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16CFA533"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0168B6">
        <w:rPr>
          <w:rFonts w:eastAsia="Palatino Linotype" w:cs="Palatino Linotype"/>
          <w:color w:val="000000"/>
          <w:szCs w:val="24"/>
        </w:rPr>
        <w:t xml:space="preserve"> </w:t>
      </w:r>
      <w:r w:rsidR="00D14086">
        <w:rPr>
          <w:rFonts w:eastAsia="Palatino Linotype" w:cs="Palatino Linotype"/>
          <w:color w:val="000000"/>
          <w:szCs w:val="24"/>
        </w:rPr>
        <w:t>seis de noviembre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06DB551E"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5B68BA">
        <w:rPr>
          <w:rFonts w:eastAsia="Palatino Linotype" w:cs="Palatino Linotype"/>
          <w:b/>
          <w:bCs/>
          <w:color w:val="000000" w:themeColor="text1"/>
        </w:rPr>
        <w:t>05520</w:t>
      </w:r>
      <w:r w:rsidR="009E28A8" w:rsidRPr="009E28A8">
        <w:rPr>
          <w:rFonts w:eastAsia="Palatino Linotype" w:cs="Palatino Linotype"/>
          <w:b/>
          <w:bCs/>
          <w:color w:val="000000" w:themeColor="text1"/>
        </w:rPr>
        <w:t>/INFOEM/IP/RR/2024</w:t>
      </w:r>
      <w:bookmarkEnd w:id="0"/>
      <w:r w:rsidRPr="70652167">
        <w:rPr>
          <w:rFonts w:eastAsia="Palatino Linotype" w:cs="Palatino Linotype"/>
          <w:color w:val="000000" w:themeColor="text1"/>
          <w:lang w:val="es-ES"/>
        </w:rPr>
        <w:t>, interpuesto por</w:t>
      </w:r>
      <w:r w:rsidR="005B68BA">
        <w:rPr>
          <w:rFonts w:eastAsia="Palatino Linotype" w:cs="Palatino Linotype"/>
          <w:b/>
          <w:bCs/>
          <w:color w:val="000000" w:themeColor="text1"/>
        </w:rPr>
        <w:t xml:space="preserve"> </w:t>
      </w:r>
      <w:r w:rsidR="005271BE">
        <w:rPr>
          <w:rFonts w:eastAsia="Palatino Linotype" w:cs="Palatino Linotype"/>
          <w:b/>
          <w:bCs/>
          <w:color w:val="000000" w:themeColor="text1"/>
        </w:rPr>
        <w:t>XXXXXXXXXXXXX</w:t>
      </w:r>
      <w:r w:rsidRPr="70652167">
        <w:rPr>
          <w:rFonts w:eastAsia="Palatino Linotype" w:cs="Palatino Linotype"/>
          <w:color w:val="000000" w:themeColor="text1"/>
          <w:lang w:val="es-ES"/>
        </w:rPr>
        <w:t xml:space="preserve">, en lo sucesivo </w:t>
      </w:r>
      <w:r w:rsidR="009E28A8">
        <w:rPr>
          <w:rFonts w:eastAsia="Palatino Linotype" w:cs="Palatino Linotype"/>
          <w:color w:val="000000" w:themeColor="text1"/>
          <w:lang w:val="es-ES"/>
        </w:rPr>
        <w:t>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9E28A8" w:rsidRPr="009E28A8">
        <w:rPr>
          <w:rFonts w:eastAsia="Palatino Linotype" w:cs="Palatino Linotype"/>
          <w:b/>
          <w:bCs/>
          <w:color w:val="000000" w:themeColor="text1"/>
        </w:rPr>
        <w:t xml:space="preserve">Ayuntamiento de </w:t>
      </w:r>
      <w:r w:rsidR="00F657E9">
        <w:rPr>
          <w:rFonts w:eastAsia="Palatino Linotype" w:cs="Palatino Linotype"/>
          <w:b/>
          <w:bCs/>
          <w:color w:val="000000" w:themeColor="text1"/>
        </w:rPr>
        <w:t>Tepotzotlán</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w:t>
      </w:r>
      <w:r w:rsidRPr="00C051D9">
        <w:rPr>
          <w:rFonts w:eastAsia="Palatino Linotype"/>
          <w:sz w:val="28"/>
          <w:szCs w:val="28"/>
        </w:rPr>
        <w:t xml:space="preserve">De la </w:t>
      </w:r>
      <w:r w:rsidR="00E33933" w:rsidRPr="00C051D9">
        <w:rPr>
          <w:rFonts w:eastAsia="Palatino Linotype"/>
          <w:sz w:val="28"/>
          <w:szCs w:val="28"/>
        </w:rPr>
        <w:t>s</w:t>
      </w:r>
      <w:r w:rsidRPr="00C051D9">
        <w:rPr>
          <w:rFonts w:eastAsia="Palatino Linotype"/>
          <w:sz w:val="28"/>
          <w:szCs w:val="28"/>
        </w:rPr>
        <w:t xml:space="preserve">olicitud de </w:t>
      </w:r>
      <w:r w:rsidR="00E33933" w:rsidRPr="00C051D9">
        <w:rPr>
          <w:rFonts w:eastAsia="Palatino Linotype"/>
          <w:sz w:val="28"/>
          <w:szCs w:val="28"/>
        </w:rPr>
        <w:t>i</w:t>
      </w:r>
      <w:r w:rsidRPr="00C051D9">
        <w:rPr>
          <w:rFonts w:eastAsia="Palatino Linotype"/>
          <w:sz w:val="28"/>
          <w:szCs w:val="28"/>
        </w:rPr>
        <w:t>nformación.</w:t>
      </w:r>
    </w:p>
    <w:p w14:paraId="68B56D82" w14:textId="729B92B0" w:rsidR="00A970D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F657E9">
        <w:rPr>
          <w:rFonts w:eastAsia="Palatino Linotype" w:cs="Palatino Linotype"/>
          <w:color w:val="000000"/>
          <w:szCs w:val="24"/>
        </w:rPr>
        <w:t>quince de julio</w:t>
      </w:r>
      <w:r w:rsidR="00C051D9">
        <w:rPr>
          <w:rFonts w:eastAsia="Palatino Linotype" w:cs="Palatino Linotype"/>
          <w:color w:val="000000"/>
          <w:szCs w:val="24"/>
        </w:rPr>
        <w:t xml:space="preserve"> </w:t>
      </w:r>
      <w:r w:rsidR="006723F9">
        <w:rPr>
          <w:rFonts w:eastAsia="Palatino Linotype" w:cs="Palatino Linotype"/>
          <w:color w:val="000000"/>
          <w:szCs w:val="24"/>
        </w:rPr>
        <w:t>de dos mil veinticuatro</w:t>
      </w:r>
      <w:r w:rsidR="00B54BC7" w:rsidRPr="006922F5">
        <w:rPr>
          <w:rFonts w:eastAsia="Palatino Linotype" w:cs="Palatino Linotype"/>
          <w:color w:val="000000"/>
          <w:szCs w:val="24"/>
        </w:rPr>
        <w:t xml:space="preserve">, </w:t>
      </w:r>
      <w:r w:rsidR="003C2571">
        <w:rPr>
          <w:rFonts w:eastAsia="Palatino Linotype" w:cs="Palatino Linotype"/>
          <w:color w:val="000000"/>
          <w:szCs w:val="24"/>
        </w:rPr>
        <w:t>la</w:t>
      </w:r>
      <w:r w:rsidR="00A970D5" w:rsidRPr="006922F5">
        <w:rPr>
          <w:rFonts w:eastAsia="Palatino Linotype" w:cs="Palatino Linotype"/>
          <w:color w:val="000000"/>
          <w:szCs w:val="24"/>
        </w:rPr>
        <w:t xml:space="preserve"> </w:t>
      </w:r>
      <w:r w:rsidR="00A970D5" w:rsidRPr="009E28A8">
        <w:rPr>
          <w:rFonts w:eastAsia="Palatino Linotype" w:cs="Palatino Linotype"/>
          <w:b/>
          <w:bCs/>
          <w:color w:val="000000"/>
          <w:szCs w:val="24"/>
        </w:rPr>
        <w:t>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F657E9" w:rsidRPr="00F657E9">
        <w:rPr>
          <w:b/>
          <w:bCs/>
        </w:rPr>
        <w:t>00194/TEPOTZOT/IP/2024</w:t>
      </w:r>
      <w:r w:rsidR="00A970D5" w:rsidRPr="00F657E9">
        <w:rPr>
          <w:rFonts w:eastAsia="Palatino Linotype" w:cs="Palatino Linotype"/>
          <w:szCs w:val="24"/>
        </w:rPr>
        <w:t>,</w:t>
      </w:r>
      <w:r w:rsidR="00A970D5" w:rsidRPr="00F657E9">
        <w:rPr>
          <w:rFonts w:eastAsia="Palatino Linotype" w:cs="Palatino Linotype"/>
          <w:b/>
          <w:szCs w:val="24"/>
        </w:rPr>
        <w:t xml:space="preserve"> </w:t>
      </w:r>
      <w:r w:rsidR="00A970D5" w:rsidRPr="006922F5">
        <w:rPr>
          <w:rFonts w:eastAsia="Palatino Linotype" w:cs="Palatino Linotype"/>
          <w:color w:val="000000"/>
          <w:szCs w:val="24"/>
        </w:rPr>
        <w:t>mediante la cual solicitó información en el tenor siguiente:</w:t>
      </w:r>
    </w:p>
    <w:p w14:paraId="51B5E141" w14:textId="77777777" w:rsidR="00253D3F" w:rsidRPr="00875B7E" w:rsidRDefault="00253D3F" w:rsidP="006922F5">
      <w:pPr>
        <w:pBdr>
          <w:top w:val="nil"/>
          <w:left w:val="nil"/>
          <w:bottom w:val="nil"/>
          <w:right w:val="nil"/>
          <w:between w:val="nil"/>
        </w:pBdr>
        <w:contextualSpacing/>
        <w:rPr>
          <w:rFonts w:eastAsia="Palatino Linotype" w:cs="Palatino Linotype"/>
          <w:color w:val="000000"/>
          <w:szCs w:val="24"/>
        </w:rPr>
      </w:pPr>
    </w:p>
    <w:p w14:paraId="133704B2" w14:textId="3CA196B6" w:rsidR="00A970D5" w:rsidRPr="006922F5" w:rsidRDefault="70652167" w:rsidP="006922F5">
      <w:pPr>
        <w:pStyle w:val="Fundamentos"/>
      </w:pPr>
      <w:r w:rsidRPr="00F657E9">
        <w:rPr>
          <w:sz w:val="24"/>
          <w:lang w:val="es-ES"/>
        </w:rPr>
        <w:t>«</w:t>
      </w:r>
      <w:r w:rsidR="00F657E9" w:rsidRPr="00F657E9">
        <w:rPr>
          <w:sz w:val="24"/>
        </w:rPr>
        <w:t xml:space="preserve"> Facturas de comprobación del gasto ejercido autorizado para los festejos patrios de Tepotzotlán del año 2023</w:t>
      </w:r>
      <w:r w:rsidRPr="00F657E9">
        <w:rPr>
          <w:sz w:val="24"/>
          <w:lang w:val="es-ES"/>
        </w:rPr>
        <w:t>»</w:t>
      </w:r>
      <w:r w:rsidRPr="70652167">
        <w:rPr>
          <w:lang w:val="es-ES"/>
        </w:rPr>
        <w:t xml:space="preserve"> (Sic)</w:t>
      </w:r>
    </w:p>
    <w:p w14:paraId="40BBECCB" w14:textId="77777777" w:rsidR="00A970D5" w:rsidRPr="00875B7E" w:rsidRDefault="00A970D5" w:rsidP="003A6013">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3A6013">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3A6013">
      <w:pPr>
        <w:pBdr>
          <w:top w:val="nil"/>
          <w:left w:val="nil"/>
          <w:bottom w:val="nil"/>
          <w:right w:val="nil"/>
          <w:between w:val="nil"/>
        </w:pBdr>
        <w:contextualSpacing/>
        <w:rPr>
          <w:rFonts w:eastAsia="Palatino Linotype" w:cs="Palatino Linotype"/>
          <w:color w:val="000000"/>
          <w:szCs w:val="24"/>
        </w:rPr>
      </w:pPr>
    </w:p>
    <w:p w14:paraId="00DCDAFD" w14:textId="3581F2B8" w:rsidR="00F657E9" w:rsidRPr="000168B6" w:rsidRDefault="009E28A8" w:rsidP="000168B6">
      <w:pPr>
        <w:rPr>
          <w:rFonts w:eastAsia="Palatino Linotype"/>
        </w:rPr>
      </w:pPr>
      <w:r w:rsidRPr="009E28A8">
        <w:rPr>
          <w:rFonts w:eastAsiaTheme="minorHAnsi" w:cs="Arial"/>
          <w:b/>
          <w:sz w:val="26"/>
          <w:szCs w:val="26"/>
          <w:lang w:val="es-MX" w:eastAsia="en-US"/>
        </w:rPr>
        <w:t>SEGUNDO</w:t>
      </w:r>
      <w:r w:rsidR="00A970D5" w:rsidRPr="006922F5">
        <w:rPr>
          <w:rFonts w:eastAsia="Palatino Linotype"/>
        </w:rPr>
        <w:t>.</w:t>
      </w:r>
      <w:r w:rsidR="00A970D5" w:rsidRPr="00C051D9">
        <w:rPr>
          <w:rFonts w:eastAsia="Palatino Linotype"/>
          <w:sz w:val="28"/>
          <w:szCs w:val="28"/>
        </w:rPr>
        <w:t xml:space="preserve"> </w:t>
      </w:r>
      <w:r w:rsidR="00EE222E" w:rsidRPr="00C051D9">
        <w:rPr>
          <w:rFonts w:eastAsia="Palatino Linotype" w:cs="Palatino Linotype"/>
          <w:b/>
          <w:color w:val="000000"/>
          <w:sz w:val="28"/>
          <w:szCs w:val="28"/>
        </w:rPr>
        <w:t>De la</w:t>
      </w:r>
      <w:r w:rsidR="00F657E9">
        <w:rPr>
          <w:rFonts w:eastAsia="Palatino Linotype" w:cs="Palatino Linotype"/>
          <w:b/>
          <w:color w:val="000000"/>
          <w:sz w:val="28"/>
          <w:szCs w:val="28"/>
        </w:rPr>
        <w:t xml:space="preserve"> Prórroga y la</w:t>
      </w:r>
      <w:r w:rsidR="00EE222E" w:rsidRPr="00C051D9">
        <w:rPr>
          <w:rFonts w:eastAsia="Palatino Linotype" w:cs="Palatino Linotype"/>
          <w:b/>
          <w:color w:val="000000"/>
          <w:sz w:val="28"/>
          <w:szCs w:val="28"/>
        </w:rPr>
        <w:t xml:space="preserve"> falta de respuesta del Sujeto Obligado</w:t>
      </w:r>
      <w:r w:rsidR="00EE222E" w:rsidRPr="00C051D9">
        <w:rPr>
          <w:rFonts w:eastAsia="Palatino Linotype" w:cs="Palatino Linotype"/>
          <w:color w:val="000000"/>
          <w:sz w:val="28"/>
          <w:szCs w:val="28"/>
        </w:rPr>
        <w:t>.</w:t>
      </w:r>
    </w:p>
    <w:p w14:paraId="611A2FA5" w14:textId="7B5FB23F" w:rsidR="00F657E9" w:rsidRPr="00F657E9" w:rsidRDefault="00F657E9" w:rsidP="00F657E9">
      <w:pPr>
        <w:pBdr>
          <w:top w:val="nil"/>
          <w:left w:val="nil"/>
          <w:bottom w:val="nil"/>
          <w:right w:val="nil"/>
          <w:between w:val="nil"/>
        </w:pBdr>
        <w:contextualSpacing/>
        <w:rPr>
          <w:rFonts w:eastAsia="Palatino Linotype" w:cs="Palatino Linotype"/>
          <w:bCs/>
          <w:color w:val="000000"/>
          <w:lang w:val="es-ES"/>
        </w:rPr>
      </w:pPr>
      <w:r w:rsidRPr="00C63164">
        <w:rPr>
          <w:rFonts w:eastAsia="Palatino Linotype" w:cs="Palatino Linotype"/>
          <w:color w:val="000000"/>
          <w:szCs w:val="24"/>
        </w:rPr>
        <w:lastRenderedPageBreak/>
        <w:t xml:space="preserve">En el expediente electrónico SAIMEX, se observa que el Sujeto Obligado </w:t>
      </w:r>
      <w:r>
        <w:rPr>
          <w:rFonts w:eastAsia="Palatino Linotype" w:cs="Palatino Linotype"/>
          <w:color w:val="000000"/>
          <w:szCs w:val="24"/>
        </w:rPr>
        <w:t xml:space="preserve">presento una prórroga en fecha diecinueve de agosto de dos mil veinticuatro a efecto de </w:t>
      </w:r>
      <w:r w:rsidRPr="00C63164">
        <w:rPr>
          <w:rFonts w:eastAsia="Palatino Linotype" w:cs="Palatino Linotype"/>
          <w:color w:val="000000"/>
          <w:szCs w:val="24"/>
        </w:rPr>
        <w:t xml:space="preserve">dar respuesta a la solicitud de información presentada por </w:t>
      </w:r>
      <w:r>
        <w:rPr>
          <w:rFonts w:eastAsia="Palatino Linotype" w:cs="Palatino Linotype"/>
          <w:color w:val="000000"/>
          <w:szCs w:val="24"/>
        </w:rPr>
        <w:t>la</w:t>
      </w:r>
      <w:r w:rsidRPr="00C63164">
        <w:rPr>
          <w:rFonts w:eastAsia="Palatino Linotype" w:cs="Palatino Linotype"/>
          <w:color w:val="000000"/>
          <w:szCs w:val="24"/>
        </w:rPr>
        <w:t xml:space="preserve"> Recurrente. </w:t>
      </w:r>
      <w:r>
        <w:rPr>
          <w:rFonts w:eastAsia="Palatino Linotype" w:cs="Palatino Linotype"/>
          <w:color w:val="000000"/>
          <w:szCs w:val="24"/>
        </w:rPr>
        <w:t xml:space="preserve">Sin embargo no pasa por desapercibido por este Instituto que la prorroga </w:t>
      </w:r>
      <w:r>
        <w:rPr>
          <w:rFonts w:eastAsia="Palatino Linotype" w:cs="Palatino Linotype"/>
          <w:b/>
          <w:color w:val="000000"/>
          <w:szCs w:val="24"/>
        </w:rPr>
        <w:t xml:space="preserve">no cumple con los requisitos </w:t>
      </w:r>
      <w:r>
        <w:rPr>
          <w:rFonts w:eastAsia="Palatino Linotype" w:cs="Palatino Linotype"/>
          <w:color w:val="000000"/>
          <w:szCs w:val="24"/>
        </w:rPr>
        <w:t xml:space="preserve">establecidos por la Ley de Transparencia Local. </w:t>
      </w:r>
    </w:p>
    <w:p w14:paraId="33C9D5C2" w14:textId="77777777" w:rsidR="00F657E9" w:rsidRDefault="00F657E9" w:rsidP="70652167">
      <w:pPr>
        <w:pBdr>
          <w:top w:val="nil"/>
          <w:left w:val="nil"/>
          <w:bottom w:val="nil"/>
          <w:right w:val="nil"/>
          <w:between w:val="nil"/>
        </w:pBdr>
        <w:contextualSpacing/>
        <w:rPr>
          <w:rFonts w:eastAsia="Palatino Linotype" w:cs="Palatino Linotype"/>
          <w:color w:val="000000"/>
          <w:szCs w:val="24"/>
        </w:rPr>
      </w:pPr>
    </w:p>
    <w:p w14:paraId="0328E392" w14:textId="71625753"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C2571">
        <w:rPr>
          <w:rFonts w:eastAsia="Palatino Linotype" w:cs="Palatino Linotype"/>
          <w:color w:val="000000"/>
          <w:szCs w:val="24"/>
        </w:rPr>
        <w:t>la</w:t>
      </w:r>
      <w:r w:rsidRPr="00C63164">
        <w:rPr>
          <w:rFonts w:eastAsia="Palatino Linotype" w:cs="Palatino Linotype"/>
          <w:color w:val="000000"/>
          <w:szCs w:val="24"/>
        </w:rPr>
        <w:t xml:space="preserve"> Recurrente. Derivado de lo anterior, se constituye la figura de la </w:t>
      </w:r>
      <w:r w:rsidRPr="00C051D9">
        <w:rPr>
          <w:rFonts w:eastAsia="Palatino Linotype" w:cs="Palatino Linotype"/>
          <w:b/>
          <w:color w:val="000000"/>
          <w:szCs w:val="24"/>
        </w:rPr>
        <w:t>Negativa Ficta</w:t>
      </w:r>
      <w:r w:rsidRPr="00C63164">
        <w:rPr>
          <w:rFonts w:eastAsia="Palatino Linotype" w:cs="Palatino Linotype"/>
          <w:color w:val="000000"/>
          <w:szCs w:val="24"/>
        </w:rPr>
        <w:t>,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F33BC43" w:rsidR="00A970D5" w:rsidRPr="006922F5" w:rsidRDefault="00C051D9" w:rsidP="006922F5">
      <w:pPr>
        <w:pStyle w:val="Ttulo2"/>
        <w:rPr>
          <w:rFonts w:eastAsia="Palatino Linotype"/>
        </w:rPr>
      </w:pPr>
      <w:r>
        <w:rPr>
          <w:rFonts w:eastAsia="Palatino Linotype"/>
        </w:rPr>
        <w:t>TERCER</w:t>
      </w:r>
      <w:r w:rsidR="00AB3A92">
        <w:rPr>
          <w:rFonts w:eastAsia="Palatino Linotype"/>
        </w:rPr>
        <w:t>O</w:t>
      </w:r>
      <w:r w:rsidR="00A970D5" w:rsidRPr="006922F5">
        <w:rPr>
          <w:rFonts w:eastAsia="Palatino Linotype"/>
        </w:rPr>
        <w:t xml:space="preserve">. </w:t>
      </w:r>
      <w:r w:rsidR="00A970D5" w:rsidRPr="00C051D9">
        <w:rPr>
          <w:rFonts w:eastAsia="Palatino Linotype"/>
          <w:sz w:val="28"/>
          <w:szCs w:val="28"/>
        </w:rPr>
        <w:t>Del recurso de revisión.</w:t>
      </w:r>
    </w:p>
    <w:p w14:paraId="0C8C3A2F" w14:textId="4811E23E"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F657E9">
        <w:rPr>
          <w:rFonts w:eastAsia="Palatino Linotype" w:cs="Palatino Linotype"/>
          <w:b/>
          <w:color w:val="000000"/>
          <w:szCs w:val="24"/>
        </w:rPr>
        <w:t xml:space="preserve">cinco </w:t>
      </w:r>
      <w:r w:rsidR="00C051D9" w:rsidRPr="00C051D9">
        <w:rPr>
          <w:rFonts w:eastAsia="Palatino Linotype" w:cs="Palatino Linotype"/>
          <w:b/>
          <w:color w:val="000000"/>
          <w:szCs w:val="24"/>
        </w:rPr>
        <w:t>de septiembre</w:t>
      </w:r>
      <w:r w:rsidRPr="00C051D9">
        <w:rPr>
          <w:rFonts w:eastAsia="Palatino Linotype" w:cs="Palatino Linotype"/>
          <w:b/>
          <w:color w:val="000000"/>
          <w:szCs w:val="24"/>
        </w:rPr>
        <w:t xml:space="preserve"> de dos mil veinticuatro</w:t>
      </w:r>
      <w:r w:rsidRPr="00883102">
        <w:rPr>
          <w:rFonts w:eastAsia="Palatino Linotype" w:cs="Palatino Linotype"/>
          <w:color w:val="000000"/>
          <w:szCs w:val="24"/>
        </w:rPr>
        <w:t xml:space="preserve">, </w:t>
      </w:r>
      <w:r w:rsidR="009E28A8">
        <w:rPr>
          <w:rFonts w:eastAsia="Palatino Linotype" w:cs="Palatino Linotype"/>
          <w:color w:val="000000"/>
          <w:szCs w:val="24"/>
        </w:rPr>
        <w:t>la</w:t>
      </w:r>
      <w:r>
        <w:rPr>
          <w:rFonts w:eastAsia="Palatino Linotype" w:cs="Palatino Linotype"/>
          <w:color w:val="000000"/>
          <w:szCs w:val="24"/>
        </w:rPr>
        <w:t xml:space="preserve">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F657E9">
        <w:rPr>
          <w:rFonts w:eastAsia="Palatino Linotype" w:cs="Palatino Linotype"/>
          <w:b/>
          <w:bCs/>
          <w:color w:val="000000"/>
          <w:szCs w:val="24"/>
        </w:rPr>
        <w:t>05520</w:t>
      </w:r>
      <w:r w:rsidR="009E28A8" w:rsidRPr="009E28A8">
        <w:rPr>
          <w:rFonts w:eastAsia="Palatino Linotype" w:cs="Palatino Linotype"/>
          <w:b/>
          <w:bCs/>
          <w:color w:val="000000"/>
          <w:szCs w:val="24"/>
        </w:rPr>
        <w:t>/INFOEM/IP/RR/2024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6BBACA99" w:rsidR="00004014" w:rsidRPr="006922F5" w:rsidRDefault="00C051D9" w:rsidP="006922F5">
      <w:pPr>
        <w:contextualSpacing/>
        <w:rPr>
          <w:rFonts w:eastAsia="Palatino Linotype" w:cs="Palatino Linotype"/>
          <w:b/>
        </w:rPr>
      </w:pPr>
      <w:r>
        <w:rPr>
          <w:rFonts w:eastAsia="Palatino Linotype" w:cs="Palatino Linotype"/>
          <w:b/>
        </w:rPr>
        <w:t>Acto Impugnado y</w:t>
      </w:r>
      <w:r w:rsidR="00655007" w:rsidRPr="006922F5">
        <w:rPr>
          <w:rFonts w:eastAsia="Palatino Linotype" w:cs="Palatino Linotype"/>
          <w:b/>
        </w:rPr>
        <w:t xml:space="preserve"> </w:t>
      </w:r>
      <w:r>
        <w:rPr>
          <w:rFonts w:eastAsia="Palatino Linotype" w:cs="Palatino Linotype"/>
          <w:b/>
        </w:rPr>
        <w:t>Razones o motivos de inconformidad</w:t>
      </w:r>
    </w:p>
    <w:p w14:paraId="4A0EFE5A" w14:textId="6D65ED86" w:rsidR="00A970D5" w:rsidRPr="006922F5" w:rsidRDefault="5C35490E" w:rsidP="5C35490E">
      <w:pPr>
        <w:pStyle w:val="Fundamentos"/>
        <w:rPr>
          <w:b/>
          <w:bCs/>
          <w:lang w:val="es-ES"/>
        </w:rPr>
      </w:pPr>
      <w:r w:rsidRPr="00F657E9">
        <w:rPr>
          <w:sz w:val="24"/>
          <w:lang w:val="es-ES"/>
        </w:rPr>
        <w:t>«</w:t>
      </w:r>
      <w:r w:rsidR="009E28A8" w:rsidRPr="00F657E9">
        <w:rPr>
          <w:rFonts w:eastAsia="Calibri" w:cs="Calibri"/>
          <w:i w:val="0"/>
          <w:sz w:val="24"/>
        </w:rPr>
        <w:t xml:space="preserve"> </w:t>
      </w:r>
      <w:r w:rsidR="00F657E9" w:rsidRPr="00F657E9">
        <w:rPr>
          <w:sz w:val="24"/>
        </w:rPr>
        <w:t>No se entrega la información solicitada, transcurrido el tiempo normal más la prórroga no entregan la información ni respuesta alguna</w:t>
      </w:r>
      <w:r w:rsidR="00F657E9">
        <w:rPr>
          <w:rFonts w:ascii="Verdana" w:hAnsi="Verdana"/>
          <w:sz w:val="14"/>
          <w:szCs w:val="14"/>
        </w:rPr>
        <w:t>.</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39D2E1F" w:rsidR="00A970D5" w:rsidRPr="006922F5" w:rsidRDefault="00C051D9" w:rsidP="006922F5">
      <w:pPr>
        <w:pStyle w:val="Ttulo2"/>
        <w:rPr>
          <w:rFonts w:eastAsia="Palatino Linotype"/>
        </w:rPr>
      </w:pPr>
      <w:r>
        <w:rPr>
          <w:rFonts w:eastAsia="Palatino Linotype"/>
        </w:rPr>
        <w:t>CUAR</w:t>
      </w:r>
      <w:r w:rsidR="00AB3A92">
        <w:rPr>
          <w:rFonts w:eastAsia="Palatino Linotype"/>
        </w:rPr>
        <w:t>TO</w:t>
      </w:r>
      <w:r w:rsidR="00A970D5" w:rsidRPr="006922F5">
        <w:rPr>
          <w:rFonts w:eastAsia="Palatino Linotype"/>
        </w:rPr>
        <w:t xml:space="preserve">. </w:t>
      </w:r>
      <w:r w:rsidR="00A970D5" w:rsidRPr="00C051D9">
        <w:rPr>
          <w:rFonts w:eastAsia="Palatino Linotype"/>
          <w:sz w:val="28"/>
          <w:szCs w:val="28"/>
        </w:rPr>
        <w:t>Del turno y admisión del recurso de revisión.</w:t>
      </w:r>
    </w:p>
    <w:p w14:paraId="2459DEBA" w14:textId="5E0677C8"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xml:space="preserve">, por medio del sistema electrónico en términos del numeral 185 fracción I de la </w:t>
      </w:r>
      <w:r w:rsidRPr="70652167">
        <w:rPr>
          <w:rFonts w:eastAsia="Palatino Linotype" w:cs="Palatino Linotype"/>
          <w:color w:val="000000" w:themeColor="text1"/>
          <w:lang w:val="es-ES"/>
        </w:rPr>
        <w:lastRenderedPageBreak/>
        <w:t>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F657E9">
        <w:rPr>
          <w:rFonts w:eastAsia="Palatino Linotype" w:cs="Palatino Linotype"/>
          <w:b/>
          <w:color w:val="000000" w:themeColor="text1"/>
          <w:lang w:val="es-ES"/>
        </w:rPr>
        <w:t xml:space="preserve">once </w:t>
      </w:r>
      <w:r w:rsidR="009E28A8" w:rsidRPr="00C051D9">
        <w:rPr>
          <w:rFonts w:eastAsia="Palatino Linotype" w:cs="Palatino Linotype"/>
          <w:b/>
          <w:color w:val="000000" w:themeColor="text1"/>
          <w:lang w:val="es-ES"/>
        </w:rPr>
        <w:t>de septiembre</w:t>
      </w:r>
      <w:r w:rsidRPr="00C051D9">
        <w:rPr>
          <w:rFonts w:eastAsia="Palatino Linotype" w:cs="Palatino Linotype"/>
          <w:b/>
          <w:color w:val="000000" w:themeColor="text1"/>
          <w:lang w:val="es-ES"/>
        </w:rPr>
        <w:t xml:space="preserve"> de dos mil veinticuatro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3C2571" w:rsidRDefault="00A970D5" w:rsidP="006922F5">
      <w:pPr>
        <w:pBdr>
          <w:top w:val="nil"/>
          <w:left w:val="nil"/>
          <w:bottom w:val="nil"/>
          <w:right w:val="nil"/>
          <w:between w:val="nil"/>
        </w:pBdr>
        <w:contextualSpacing/>
        <w:rPr>
          <w:rFonts w:eastAsia="Palatino Linotype" w:cs="Palatino Linotype"/>
          <w:color w:val="000000"/>
          <w:szCs w:val="24"/>
          <w:lang w:val="es-ES"/>
        </w:rPr>
      </w:pPr>
    </w:p>
    <w:p w14:paraId="05AE608B" w14:textId="418E85B4" w:rsidR="00A970D5" w:rsidRPr="00C051D9" w:rsidRDefault="00C051D9" w:rsidP="006922F5">
      <w:pPr>
        <w:pStyle w:val="Ttulo2"/>
        <w:rPr>
          <w:rFonts w:eastAsia="Palatino Linotype"/>
          <w:sz w:val="28"/>
          <w:szCs w:val="28"/>
        </w:rPr>
      </w:pPr>
      <w:r w:rsidRPr="00C051D9">
        <w:rPr>
          <w:rFonts w:eastAsia="Palatino Linotype"/>
          <w:sz w:val="28"/>
          <w:szCs w:val="28"/>
        </w:rPr>
        <w:t>QUINT</w:t>
      </w:r>
      <w:r w:rsidR="00AB3A92" w:rsidRPr="00C051D9">
        <w:rPr>
          <w:rFonts w:eastAsia="Palatino Linotype"/>
          <w:sz w:val="28"/>
          <w:szCs w:val="28"/>
        </w:rPr>
        <w:t>O</w:t>
      </w:r>
      <w:r w:rsidR="00A970D5" w:rsidRPr="00C051D9">
        <w:rPr>
          <w:rFonts w:eastAsia="Palatino Linotype"/>
          <w:sz w:val="28"/>
          <w:szCs w:val="28"/>
        </w:rPr>
        <w:t>. De la etapa de instrucción.</w:t>
      </w:r>
    </w:p>
    <w:p w14:paraId="5B536618" w14:textId="46945CBF" w:rsidR="00C02596" w:rsidRDefault="006C7C4B" w:rsidP="006922F5">
      <w:pPr>
        <w:pBdr>
          <w:top w:val="nil"/>
          <w:left w:val="nil"/>
          <w:bottom w:val="nil"/>
          <w:right w:val="nil"/>
          <w:between w:val="nil"/>
        </w:pBdr>
        <w:contextualSpacing/>
        <w:rPr>
          <w:rFonts w:eastAsia="Palatino Linotype" w:cs="Palatino Linotype"/>
          <w:color w:val="000000" w:themeColor="text1"/>
          <w:lang w:val="es-ES"/>
        </w:rPr>
      </w:pPr>
      <w:r w:rsidRPr="006C7C4B">
        <w:rPr>
          <w:rFonts w:eastAsia="Palatino Linotype" w:cs="Palatino Linotype"/>
          <w:color w:val="000000" w:themeColor="text1"/>
          <w:lang w:val="es-ES"/>
        </w:rPr>
        <w:t xml:space="preserve">Una vez abierta la etapa de instrucción, se observa que el Sujeto Obligado </w:t>
      </w:r>
      <w:r w:rsidR="00F657E9">
        <w:rPr>
          <w:rFonts w:eastAsia="Palatino Linotype" w:cs="Palatino Linotype"/>
          <w:b/>
          <w:color w:val="000000" w:themeColor="text1"/>
          <w:lang w:val="es-ES"/>
        </w:rPr>
        <w:t>rindió su</w:t>
      </w:r>
      <w:r w:rsidRPr="00C051D9">
        <w:rPr>
          <w:rFonts w:eastAsia="Palatino Linotype" w:cs="Palatino Linotype"/>
          <w:b/>
          <w:color w:val="000000" w:themeColor="text1"/>
          <w:lang w:val="es-ES"/>
        </w:rPr>
        <w:t xml:space="preserve"> Informe Justificado</w:t>
      </w:r>
      <w:r w:rsidR="00F657E9">
        <w:rPr>
          <w:rFonts w:eastAsia="Palatino Linotype" w:cs="Palatino Linotype"/>
          <w:b/>
          <w:color w:val="000000" w:themeColor="text1"/>
          <w:lang w:val="es-ES"/>
        </w:rPr>
        <w:t xml:space="preserve"> </w:t>
      </w:r>
      <w:r w:rsidR="00F657E9">
        <w:rPr>
          <w:rFonts w:eastAsia="Palatino Linotype" w:cs="Palatino Linotype"/>
          <w:color w:val="000000" w:themeColor="text1"/>
          <w:lang w:val="es-ES"/>
        </w:rPr>
        <w:t xml:space="preserve"> en fecha once de septiembre de dos mil veinticuatro, mismo que fue puesto a la vista del recurrente en fecha veinticinco de sep</w:t>
      </w:r>
      <w:r w:rsidR="000168B6">
        <w:rPr>
          <w:rFonts w:eastAsia="Palatino Linotype" w:cs="Palatino Linotype"/>
          <w:color w:val="000000" w:themeColor="text1"/>
          <w:lang w:val="es-ES"/>
        </w:rPr>
        <w:t>tiembre de dos mil veinticuatro, el cual no se reproduce por ser del conocimiento de las partes sin embargo será motivo de análisis en el considerando respectivo.</w:t>
      </w:r>
      <w:r w:rsidR="00F657E9">
        <w:rPr>
          <w:rFonts w:eastAsia="Palatino Linotype" w:cs="Palatino Linotype"/>
          <w:color w:val="000000" w:themeColor="text1"/>
          <w:lang w:val="es-ES"/>
        </w:rPr>
        <w:t xml:space="preserve"> </w:t>
      </w:r>
      <w:r w:rsidR="00CD2B43">
        <w:rPr>
          <w:rFonts w:eastAsia="Palatino Linotype" w:cs="Palatino Linotype"/>
          <w:color w:val="000000" w:themeColor="text1"/>
          <w:lang w:val="es-ES"/>
        </w:rPr>
        <w:t xml:space="preserve">Por su parte, </w:t>
      </w:r>
      <w:r w:rsidR="003C2571">
        <w:rPr>
          <w:rFonts w:eastAsia="Palatino Linotype" w:cs="Palatino Linotype"/>
          <w:color w:val="000000" w:themeColor="text1"/>
          <w:lang w:val="es-ES"/>
        </w:rPr>
        <w:t>la</w:t>
      </w:r>
      <w:r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392E2EC4" w14:textId="77777777" w:rsidR="00F657E9" w:rsidRPr="00253D3F" w:rsidRDefault="00F657E9" w:rsidP="006922F5">
      <w:pPr>
        <w:pBdr>
          <w:top w:val="nil"/>
          <w:left w:val="nil"/>
          <w:bottom w:val="nil"/>
          <w:right w:val="nil"/>
          <w:between w:val="nil"/>
        </w:pBdr>
        <w:contextualSpacing/>
      </w:pPr>
    </w:p>
    <w:p w14:paraId="65310342" w14:textId="06DB68DD" w:rsidR="00A970D5" w:rsidRPr="00C051D9" w:rsidRDefault="00F71EC9" w:rsidP="006922F5">
      <w:pPr>
        <w:pStyle w:val="Ttulo2"/>
        <w:rPr>
          <w:rFonts w:eastAsia="Palatino Linotype"/>
          <w:sz w:val="28"/>
          <w:szCs w:val="28"/>
        </w:rPr>
      </w:pPr>
      <w:r>
        <w:rPr>
          <w:rFonts w:eastAsia="Palatino Linotype"/>
          <w:sz w:val="28"/>
          <w:szCs w:val="28"/>
        </w:rPr>
        <w:t>SEXTO</w:t>
      </w:r>
      <w:r w:rsidR="00A970D5" w:rsidRPr="00C051D9">
        <w:rPr>
          <w:rFonts w:eastAsia="Palatino Linotype"/>
          <w:sz w:val="28"/>
          <w:szCs w:val="28"/>
        </w:rPr>
        <w:t>. Del cierre de instrucción.</w:t>
      </w:r>
    </w:p>
    <w:p w14:paraId="2456F4BD" w14:textId="35CB3F94"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F657E9">
        <w:rPr>
          <w:rFonts w:eastAsia="Palatino Linotype" w:cs="Palatino Linotype"/>
          <w:b/>
          <w:color w:val="000000"/>
          <w:szCs w:val="24"/>
        </w:rPr>
        <w:t xml:space="preserve">dos </w:t>
      </w:r>
      <w:r w:rsidR="00C051D9" w:rsidRPr="00C051D9">
        <w:rPr>
          <w:rFonts w:eastAsia="Palatino Linotype" w:cs="Palatino Linotype"/>
          <w:b/>
          <w:color w:val="000000"/>
          <w:szCs w:val="24"/>
        </w:rPr>
        <w:t xml:space="preserve">de octubre </w:t>
      </w:r>
      <w:r w:rsidR="000C2661" w:rsidRPr="00C051D9">
        <w:rPr>
          <w:rFonts w:eastAsia="Palatino Linotype" w:cs="Palatino Linotype"/>
          <w:b/>
          <w:color w:val="000000"/>
          <w:szCs w:val="24"/>
        </w:rPr>
        <w:t>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2A52A274" w14:textId="77777777" w:rsidR="00F71EC9" w:rsidRDefault="00F71EC9" w:rsidP="006922F5">
      <w:pPr>
        <w:pBdr>
          <w:top w:val="nil"/>
          <w:left w:val="nil"/>
          <w:bottom w:val="nil"/>
          <w:right w:val="nil"/>
          <w:between w:val="nil"/>
        </w:pBdr>
        <w:contextualSpacing/>
        <w:rPr>
          <w:rFonts w:eastAsia="Palatino Linotype" w:cs="Palatino Linotype"/>
          <w:color w:val="000000"/>
          <w:szCs w:val="24"/>
        </w:rPr>
      </w:pPr>
    </w:p>
    <w:p w14:paraId="102E0781" w14:textId="77777777" w:rsidR="00F71EC9" w:rsidRPr="00047890" w:rsidRDefault="00F71EC9" w:rsidP="00F71EC9">
      <w:pPr>
        <w:pStyle w:val="Ttulo2"/>
        <w:rPr>
          <w:rFonts w:eastAsiaTheme="minorHAnsi"/>
          <w:lang w:eastAsia="en-US"/>
        </w:rPr>
      </w:pPr>
      <w:r w:rsidRPr="00C65A8B">
        <w:rPr>
          <w:rFonts w:eastAsia="Calibri" w:cs="Arial"/>
          <w:sz w:val="28"/>
        </w:rPr>
        <w:t xml:space="preserve">SÉPTIMO. </w:t>
      </w:r>
      <w:r w:rsidRPr="00C65A8B">
        <w:rPr>
          <w:rFonts w:eastAsiaTheme="minorHAnsi"/>
          <w:lang w:eastAsia="en-US"/>
        </w:rPr>
        <w:t>De la ampliación del término para resolver.</w:t>
      </w:r>
    </w:p>
    <w:p w14:paraId="50E29177" w14:textId="71162EF3" w:rsidR="00F71EC9" w:rsidRPr="00166BD1" w:rsidRDefault="00F71EC9" w:rsidP="00F71EC9">
      <w:pPr>
        <w:pBdr>
          <w:top w:val="nil"/>
          <w:left w:val="nil"/>
          <w:bottom w:val="nil"/>
          <w:right w:val="nil"/>
          <w:between w:val="nil"/>
        </w:pBdr>
        <w:contextualSpacing/>
        <w:rPr>
          <w:szCs w:val="24"/>
        </w:rPr>
      </w:pPr>
      <w:r w:rsidRPr="00166BD1">
        <w:rPr>
          <w:szCs w:val="24"/>
        </w:rPr>
        <w:t xml:space="preserve">De las constancias que integran el expediente electrónico, se advierte que han transcurrido los términos de Ley, para la emisión de la resolución en el presente recurso de revisión, por lo que el </w:t>
      </w:r>
      <w:r>
        <w:rPr>
          <w:b/>
          <w:bCs/>
          <w:szCs w:val="24"/>
        </w:rPr>
        <w:t>veintidós de octubre</w:t>
      </w:r>
      <w:r w:rsidRPr="00166BD1">
        <w:rPr>
          <w:b/>
          <w:bCs/>
          <w:szCs w:val="24"/>
        </w:rPr>
        <w:t xml:space="preserve"> de dos mil veinticuatro</w:t>
      </w:r>
      <w:r w:rsidRPr="00166BD1">
        <w:rPr>
          <w:szCs w:val="24"/>
        </w:rPr>
        <w:t xml:space="preserve">, se notificó a las </w:t>
      </w:r>
      <w:r w:rsidRPr="00166BD1">
        <w:rPr>
          <w:szCs w:val="24"/>
        </w:rPr>
        <w:lastRenderedPageBreak/>
        <w:t>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EF36583" w14:textId="77777777" w:rsidR="00F71EC9" w:rsidRPr="00166BD1" w:rsidRDefault="00F71EC9" w:rsidP="00F71EC9">
      <w:pPr>
        <w:pBdr>
          <w:top w:val="nil"/>
          <w:left w:val="nil"/>
          <w:bottom w:val="nil"/>
          <w:right w:val="nil"/>
          <w:between w:val="nil"/>
        </w:pBdr>
        <w:contextualSpacing/>
        <w:rPr>
          <w:szCs w:val="24"/>
        </w:rPr>
      </w:pPr>
    </w:p>
    <w:p w14:paraId="7A8A1FEA" w14:textId="77777777" w:rsidR="00F71EC9" w:rsidRPr="00166BD1" w:rsidRDefault="00F71EC9" w:rsidP="00F71EC9">
      <w:pPr>
        <w:pBdr>
          <w:top w:val="nil"/>
          <w:left w:val="nil"/>
          <w:bottom w:val="nil"/>
          <w:right w:val="nil"/>
          <w:between w:val="nil"/>
        </w:pBdr>
        <w:contextualSpacing/>
        <w:rPr>
          <w:szCs w:val="24"/>
        </w:rPr>
      </w:pPr>
      <w:r w:rsidRPr="00166BD1">
        <w:rPr>
          <w:szCs w:val="24"/>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1FF73F3C" w14:textId="77777777" w:rsidR="00F71EC9" w:rsidRPr="00166BD1" w:rsidRDefault="00F71EC9" w:rsidP="00F71EC9">
      <w:pPr>
        <w:pBdr>
          <w:top w:val="nil"/>
          <w:left w:val="nil"/>
          <w:bottom w:val="nil"/>
          <w:right w:val="nil"/>
          <w:between w:val="nil"/>
        </w:pBdr>
        <w:contextualSpacing/>
        <w:rPr>
          <w:szCs w:val="24"/>
        </w:rPr>
      </w:pPr>
    </w:p>
    <w:p w14:paraId="6B419193" w14:textId="77777777" w:rsidR="00F71EC9" w:rsidRPr="00166BD1" w:rsidRDefault="00F71EC9" w:rsidP="00F71EC9">
      <w:pPr>
        <w:pBdr>
          <w:top w:val="nil"/>
          <w:left w:val="nil"/>
          <w:bottom w:val="nil"/>
          <w:right w:val="nil"/>
          <w:between w:val="nil"/>
        </w:pBdr>
        <w:contextualSpacing/>
        <w:rPr>
          <w:rFonts w:eastAsiaTheme="minorEastAsia"/>
          <w:szCs w:val="24"/>
          <w:lang w:val="es-ES"/>
        </w:rPr>
      </w:pPr>
      <w:r w:rsidRPr="00166BD1">
        <w:rPr>
          <w:rFonts w:eastAsiaTheme="minorEastAsia"/>
          <w:szCs w:val="24"/>
          <w:lang w:val="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D7A97C2" w14:textId="77777777" w:rsidR="00F71EC9" w:rsidRPr="00166BD1" w:rsidRDefault="00F71EC9" w:rsidP="00F71EC9">
      <w:pPr>
        <w:pBdr>
          <w:top w:val="nil"/>
          <w:left w:val="nil"/>
          <w:bottom w:val="nil"/>
          <w:right w:val="nil"/>
          <w:between w:val="nil"/>
        </w:pBdr>
        <w:contextualSpacing/>
        <w:rPr>
          <w:szCs w:val="24"/>
        </w:rPr>
      </w:pPr>
    </w:p>
    <w:p w14:paraId="731CC1EB" w14:textId="77777777" w:rsidR="00F71EC9" w:rsidRPr="00166BD1" w:rsidRDefault="00F71EC9" w:rsidP="00F71EC9">
      <w:pPr>
        <w:pBdr>
          <w:top w:val="nil"/>
          <w:left w:val="nil"/>
          <w:bottom w:val="nil"/>
          <w:right w:val="nil"/>
          <w:between w:val="nil"/>
        </w:pBdr>
        <w:contextualSpacing/>
        <w:rPr>
          <w:rFonts w:eastAsiaTheme="minorEastAsia"/>
          <w:szCs w:val="24"/>
          <w:lang w:val="es-ES"/>
        </w:rPr>
      </w:pPr>
      <w:r w:rsidRPr="00166BD1">
        <w:rPr>
          <w:rFonts w:eastAsiaTheme="minorEastAsia"/>
          <w:szCs w:val="24"/>
          <w:lang w:val="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1484969" w14:textId="77777777" w:rsidR="00F71EC9" w:rsidRPr="00166BD1" w:rsidRDefault="00F71EC9" w:rsidP="00F71EC9">
      <w:pPr>
        <w:pBdr>
          <w:top w:val="nil"/>
          <w:left w:val="nil"/>
          <w:bottom w:val="nil"/>
          <w:right w:val="nil"/>
          <w:between w:val="nil"/>
        </w:pBdr>
        <w:contextualSpacing/>
        <w:rPr>
          <w:szCs w:val="24"/>
        </w:rPr>
      </w:pPr>
    </w:p>
    <w:p w14:paraId="3D35107E" w14:textId="77777777" w:rsidR="00F71EC9" w:rsidRPr="00166BD1" w:rsidRDefault="00F71EC9" w:rsidP="00F71EC9">
      <w:pPr>
        <w:pBdr>
          <w:top w:val="nil"/>
          <w:left w:val="nil"/>
          <w:bottom w:val="nil"/>
          <w:right w:val="nil"/>
          <w:between w:val="nil"/>
        </w:pBdr>
        <w:contextualSpacing/>
        <w:rPr>
          <w:szCs w:val="24"/>
        </w:rPr>
      </w:pPr>
      <w:r w:rsidRPr="00166BD1">
        <w:rPr>
          <w:szCs w:val="24"/>
        </w:rPr>
        <w:t xml:space="preserve">En ese sentido, el legislador fijó los términos procesales en las leyes, de manera general, sin que pudiera prever la variada gama de casos que son resueltos por los órganos </w:t>
      </w:r>
      <w:r w:rsidRPr="00166BD1">
        <w:rPr>
          <w:szCs w:val="24"/>
        </w:rPr>
        <w:lastRenderedPageBreak/>
        <w:t>jurisdiccionales o cuasi jurisdiccionales, tanto por la complejidad de los hechos, como por el número de casos que conocen.</w:t>
      </w:r>
    </w:p>
    <w:p w14:paraId="37C69953" w14:textId="77777777" w:rsidR="00F71EC9" w:rsidRPr="00166BD1" w:rsidRDefault="00F71EC9" w:rsidP="00F71EC9">
      <w:pPr>
        <w:pBdr>
          <w:top w:val="nil"/>
          <w:left w:val="nil"/>
          <w:bottom w:val="nil"/>
          <w:right w:val="nil"/>
          <w:between w:val="nil"/>
        </w:pBdr>
        <w:contextualSpacing/>
        <w:rPr>
          <w:szCs w:val="24"/>
        </w:rPr>
      </w:pPr>
    </w:p>
    <w:p w14:paraId="58F4E00A" w14:textId="77777777" w:rsidR="00F71EC9" w:rsidRPr="00166BD1" w:rsidRDefault="00F71EC9" w:rsidP="00F71EC9">
      <w:pPr>
        <w:pBdr>
          <w:top w:val="nil"/>
          <w:left w:val="nil"/>
          <w:bottom w:val="nil"/>
          <w:right w:val="nil"/>
          <w:between w:val="nil"/>
        </w:pBdr>
        <w:contextualSpacing/>
        <w:rPr>
          <w:szCs w:val="24"/>
        </w:rPr>
      </w:pPr>
      <w:r w:rsidRPr="00166BD1">
        <w:rPr>
          <w:szCs w:val="24"/>
        </w:rPr>
        <w:t xml:space="preserve">Por ello, excepcionalmente, si un asunto es resuelto con posterioridad a los plazos señalados por la norma debe analizarse la razonabilidad del tiempo necesario para su resolución, atentos a los siguientes criterios:  </w:t>
      </w:r>
    </w:p>
    <w:p w14:paraId="4543C622" w14:textId="77777777" w:rsidR="00F71EC9" w:rsidRPr="00166BD1" w:rsidRDefault="00F71EC9" w:rsidP="00F71EC9">
      <w:pPr>
        <w:pBdr>
          <w:top w:val="nil"/>
          <w:left w:val="nil"/>
          <w:bottom w:val="nil"/>
          <w:right w:val="nil"/>
          <w:between w:val="nil"/>
        </w:pBdr>
        <w:contextualSpacing/>
        <w:rPr>
          <w:szCs w:val="24"/>
        </w:rPr>
      </w:pPr>
    </w:p>
    <w:p w14:paraId="5414F2C6" w14:textId="77777777" w:rsidR="00F71EC9" w:rsidRPr="00166BD1" w:rsidRDefault="00F71EC9" w:rsidP="00F71EC9">
      <w:pPr>
        <w:numPr>
          <w:ilvl w:val="0"/>
          <w:numId w:val="35"/>
        </w:numPr>
        <w:pBdr>
          <w:top w:val="nil"/>
          <w:left w:val="nil"/>
          <w:bottom w:val="nil"/>
          <w:right w:val="nil"/>
          <w:between w:val="nil"/>
        </w:pBdr>
        <w:spacing w:after="160"/>
        <w:contextualSpacing/>
        <w:rPr>
          <w:szCs w:val="24"/>
          <w:lang w:val="es-ES"/>
        </w:rPr>
      </w:pPr>
      <w:r w:rsidRPr="00166BD1">
        <w:rPr>
          <w:szCs w:val="24"/>
          <w:lang w:val="es-ES"/>
        </w:rPr>
        <w:t>Complejidad del asunto: La complejidad de la prueba, la pluralidad de sujetos procesales, el tiempo transcurrido, las características y contexto del recurso.</w:t>
      </w:r>
    </w:p>
    <w:p w14:paraId="42B26966" w14:textId="77777777" w:rsidR="00F71EC9" w:rsidRPr="00166BD1" w:rsidRDefault="00F71EC9" w:rsidP="00F71EC9">
      <w:pPr>
        <w:numPr>
          <w:ilvl w:val="0"/>
          <w:numId w:val="35"/>
        </w:numPr>
        <w:pBdr>
          <w:top w:val="nil"/>
          <w:left w:val="nil"/>
          <w:bottom w:val="nil"/>
          <w:right w:val="nil"/>
          <w:between w:val="nil"/>
        </w:pBdr>
        <w:spacing w:after="160"/>
        <w:contextualSpacing/>
        <w:rPr>
          <w:szCs w:val="24"/>
          <w:lang w:val="es-ES"/>
        </w:rPr>
      </w:pPr>
      <w:r w:rsidRPr="00166BD1">
        <w:rPr>
          <w:szCs w:val="24"/>
          <w:lang w:val="es-ES"/>
        </w:rPr>
        <w:t>Actividad Procesal del interesado: Acciones u omisiones del interesado.</w:t>
      </w:r>
    </w:p>
    <w:p w14:paraId="5182553B" w14:textId="77777777" w:rsidR="00F71EC9" w:rsidRPr="00166BD1" w:rsidRDefault="00F71EC9" w:rsidP="00F71EC9">
      <w:pPr>
        <w:numPr>
          <w:ilvl w:val="0"/>
          <w:numId w:val="35"/>
        </w:numPr>
        <w:pBdr>
          <w:top w:val="nil"/>
          <w:left w:val="nil"/>
          <w:bottom w:val="nil"/>
          <w:right w:val="nil"/>
          <w:between w:val="nil"/>
        </w:pBdr>
        <w:spacing w:after="160"/>
        <w:contextualSpacing/>
        <w:rPr>
          <w:szCs w:val="24"/>
          <w:lang w:val="es-ES"/>
        </w:rPr>
      </w:pPr>
      <w:r w:rsidRPr="00166BD1">
        <w:rPr>
          <w:szCs w:val="24"/>
          <w:lang w:val="es-ES"/>
        </w:rPr>
        <w:t>Conducta de la Autoridad: Las Acciones u omisiones realizadas en el procedimiento. Así como si la autoridad actuó con la debida diligencia.</w:t>
      </w:r>
    </w:p>
    <w:p w14:paraId="100C96D9" w14:textId="77777777" w:rsidR="00F71EC9" w:rsidRPr="00166BD1" w:rsidRDefault="00F71EC9" w:rsidP="00F71EC9">
      <w:pPr>
        <w:numPr>
          <w:ilvl w:val="0"/>
          <w:numId w:val="35"/>
        </w:numPr>
        <w:pBdr>
          <w:top w:val="nil"/>
          <w:left w:val="nil"/>
          <w:bottom w:val="nil"/>
          <w:right w:val="nil"/>
          <w:between w:val="nil"/>
        </w:pBdr>
        <w:spacing w:after="160"/>
        <w:contextualSpacing/>
        <w:rPr>
          <w:szCs w:val="24"/>
          <w:lang w:val="es-ES"/>
        </w:rPr>
      </w:pPr>
      <w:r w:rsidRPr="00166BD1">
        <w:rPr>
          <w:szCs w:val="24"/>
          <w:lang w:val="es-ES"/>
        </w:rPr>
        <w:t>La afectación generada en la situación jurídica de la persona involucrada en el proceso: Violación a sus derechos humanos.</w:t>
      </w:r>
    </w:p>
    <w:p w14:paraId="4E03B136" w14:textId="77777777" w:rsidR="00F71EC9" w:rsidRPr="00166BD1" w:rsidRDefault="00F71EC9" w:rsidP="00F71EC9">
      <w:pPr>
        <w:pBdr>
          <w:top w:val="nil"/>
          <w:left w:val="nil"/>
          <w:bottom w:val="nil"/>
          <w:right w:val="nil"/>
          <w:between w:val="nil"/>
        </w:pBdr>
        <w:contextualSpacing/>
        <w:rPr>
          <w:szCs w:val="24"/>
        </w:rPr>
      </w:pPr>
    </w:p>
    <w:p w14:paraId="7EB24F29" w14:textId="77777777" w:rsidR="00F71EC9" w:rsidRPr="00166BD1" w:rsidRDefault="00F71EC9" w:rsidP="00F71EC9">
      <w:pPr>
        <w:pBdr>
          <w:top w:val="nil"/>
          <w:left w:val="nil"/>
          <w:bottom w:val="nil"/>
          <w:right w:val="nil"/>
          <w:between w:val="nil"/>
        </w:pBdr>
        <w:contextualSpacing/>
        <w:rPr>
          <w:szCs w:val="24"/>
        </w:rPr>
      </w:pPr>
      <w:r w:rsidRPr="00166BD1">
        <w:rPr>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993E357" w14:textId="77777777" w:rsidR="00F71EC9" w:rsidRPr="00166BD1" w:rsidRDefault="00F71EC9" w:rsidP="00F71EC9">
      <w:pPr>
        <w:pBdr>
          <w:top w:val="nil"/>
          <w:left w:val="nil"/>
          <w:bottom w:val="nil"/>
          <w:right w:val="nil"/>
          <w:between w:val="nil"/>
        </w:pBdr>
        <w:contextualSpacing/>
        <w:rPr>
          <w:szCs w:val="24"/>
        </w:rPr>
      </w:pPr>
    </w:p>
    <w:p w14:paraId="5985356E" w14:textId="77777777" w:rsidR="00F71EC9" w:rsidRPr="00166BD1" w:rsidRDefault="00F71EC9" w:rsidP="00F71EC9">
      <w:pPr>
        <w:pBdr>
          <w:top w:val="nil"/>
          <w:left w:val="nil"/>
          <w:bottom w:val="nil"/>
          <w:right w:val="nil"/>
          <w:between w:val="nil"/>
        </w:pBdr>
        <w:contextualSpacing/>
        <w:rPr>
          <w:szCs w:val="24"/>
        </w:rPr>
      </w:pPr>
      <w:r w:rsidRPr="00166BD1">
        <w:rPr>
          <w:szCs w:val="24"/>
        </w:rPr>
        <w:t>Argumento que encuentra sustento en la jurisprudencia P</w:t>
      </w:r>
      <w:proofErr w:type="gramStart"/>
      <w:r w:rsidRPr="00166BD1">
        <w:rPr>
          <w:szCs w:val="24"/>
        </w:rPr>
        <w:t>./</w:t>
      </w:r>
      <w:proofErr w:type="gramEnd"/>
      <w:r w:rsidRPr="00166BD1">
        <w:rPr>
          <w:szCs w:val="24"/>
        </w:rPr>
        <w:t xml:space="preserve">J. 32/92 emitida por el Pleno de la Suprema Corte de Justicia de la Nación de rubro «TÉRMINOS PROCESALES. PARA DETERMINAR SI UN FUNCIONARIO JUDICIAL ACTUÓ INDEBIDAMENTE </w:t>
      </w:r>
      <w:r w:rsidRPr="00166BD1">
        <w:rPr>
          <w:szCs w:val="24"/>
        </w:rPr>
        <w:lastRenderedPageBreak/>
        <w:t>POR NO RESPETARLOS SE DEBE ATENDER AL PRESUPUESTO QUE CONSIDERÓ EL LEGISLADOR AL FIJARLOS Y LAS CARACTERÍSTICAS DEL CASO», visible en la Gaceta del Seminario Judicial de la Federación con el registro digital 205635.</w:t>
      </w:r>
    </w:p>
    <w:p w14:paraId="665F98F9" w14:textId="77777777" w:rsidR="00F71EC9" w:rsidRPr="00166BD1" w:rsidRDefault="00F71EC9" w:rsidP="00F71EC9">
      <w:pPr>
        <w:pBdr>
          <w:top w:val="nil"/>
          <w:left w:val="nil"/>
          <w:bottom w:val="nil"/>
          <w:right w:val="nil"/>
          <w:between w:val="nil"/>
        </w:pBdr>
        <w:contextualSpacing/>
        <w:rPr>
          <w:szCs w:val="24"/>
        </w:rPr>
      </w:pPr>
    </w:p>
    <w:p w14:paraId="7C7C6464" w14:textId="77777777" w:rsidR="00F71EC9" w:rsidRPr="00166BD1" w:rsidRDefault="00F71EC9" w:rsidP="00F71EC9">
      <w:pPr>
        <w:pBdr>
          <w:top w:val="nil"/>
          <w:left w:val="nil"/>
          <w:bottom w:val="nil"/>
          <w:right w:val="nil"/>
          <w:between w:val="nil"/>
        </w:pBdr>
        <w:contextualSpacing/>
        <w:rPr>
          <w:rFonts w:eastAsiaTheme="minorEastAsia"/>
          <w:szCs w:val="24"/>
          <w:lang w:val="es-ES"/>
        </w:rPr>
      </w:pPr>
      <w:r w:rsidRPr="00166BD1">
        <w:rPr>
          <w:rFonts w:eastAsiaTheme="minorEastAsia"/>
          <w:szCs w:val="24"/>
          <w:lang w:val="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4B244BA9" w14:textId="77777777" w:rsidR="00F71EC9" w:rsidRPr="00166BD1" w:rsidRDefault="00F71EC9" w:rsidP="00F71EC9">
      <w:pPr>
        <w:pBdr>
          <w:top w:val="nil"/>
          <w:left w:val="nil"/>
          <w:bottom w:val="nil"/>
          <w:right w:val="nil"/>
          <w:between w:val="nil"/>
        </w:pBdr>
        <w:contextualSpacing/>
        <w:rPr>
          <w:szCs w:val="24"/>
        </w:rPr>
      </w:pPr>
    </w:p>
    <w:p w14:paraId="4A776BA2" w14:textId="77777777" w:rsidR="00F71EC9" w:rsidRPr="00166BD1" w:rsidRDefault="00F71EC9" w:rsidP="00F71EC9">
      <w:pPr>
        <w:pBdr>
          <w:top w:val="nil"/>
          <w:left w:val="nil"/>
          <w:bottom w:val="nil"/>
          <w:right w:val="nil"/>
          <w:between w:val="nil"/>
        </w:pBdr>
        <w:contextualSpacing/>
        <w:rPr>
          <w:szCs w:val="24"/>
        </w:rPr>
      </w:pPr>
      <w:r w:rsidRPr="00166BD1">
        <w:rPr>
          <w:szCs w:val="24"/>
        </w:rPr>
        <w:t>«PLAZO RAZONABLE PARA RESOLVER. DIMENSIÓN Y EFECTOS DE ESTE CONCEPTO CUANDO SE ADUCE EXCESIVA CARGA DE TRABAJO», consultable en el Seminario Judicial de la Federación y su gaceta, con el registro digital 2002351.</w:t>
      </w:r>
    </w:p>
    <w:p w14:paraId="62690C80" w14:textId="77777777" w:rsidR="00F71EC9" w:rsidRPr="00166BD1" w:rsidRDefault="00F71EC9" w:rsidP="00F71EC9">
      <w:pPr>
        <w:pBdr>
          <w:top w:val="nil"/>
          <w:left w:val="nil"/>
          <w:bottom w:val="nil"/>
          <w:right w:val="nil"/>
          <w:between w:val="nil"/>
        </w:pBdr>
        <w:contextualSpacing/>
        <w:rPr>
          <w:szCs w:val="24"/>
        </w:rPr>
      </w:pPr>
    </w:p>
    <w:p w14:paraId="731184DB" w14:textId="77777777" w:rsidR="00F71EC9" w:rsidRPr="00166BD1" w:rsidRDefault="00F71EC9" w:rsidP="00F71EC9">
      <w:pPr>
        <w:pBdr>
          <w:top w:val="nil"/>
          <w:left w:val="nil"/>
          <w:bottom w:val="nil"/>
          <w:right w:val="nil"/>
          <w:between w:val="nil"/>
        </w:pBdr>
        <w:contextualSpacing/>
        <w:rPr>
          <w:szCs w:val="24"/>
        </w:rPr>
      </w:pPr>
      <w:r w:rsidRPr="00166BD1">
        <w:rPr>
          <w:szCs w:val="24"/>
        </w:rPr>
        <w:t>«PLAZO RAZONABLE PARA RESOLVER. CONCEPTO Y ELEMENTOS QUE LO INTEGRAN A LA LUZ DEL DERECHO INTERNACIONAL DE LOS DERECHOS HUMANOS», visible en el Seminario Judicial de la Federación y su gaceta, con el registro digital 2002350.</w:t>
      </w:r>
    </w:p>
    <w:p w14:paraId="0222B727" w14:textId="77777777" w:rsidR="00F71EC9" w:rsidRPr="00166BD1" w:rsidRDefault="00F71EC9" w:rsidP="00F71EC9">
      <w:pPr>
        <w:pBdr>
          <w:top w:val="nil"/>
          <w:left w:val="nil"/>
          <w:bottom w:val="nil"/>
          <w:right w:val="nil"/>
          <w:between w:val="nil"/>
        </w:pBdr>
        <w:contextualSpacing/>
        <w:rPr>
          <w:szCs w:val="24"/>
        </w:rPr>
      </w:pPr>
    </w:p>
    <w:p w14:paraId="5778F9E8" w14:textId="0AFD214E" w:rsidR="00F71EC9" w:rsidRPr="00F71EC9" w:rsidRDefault="00F71EC9" w:rsidP="006922F5">
      <w:pPr>
        <w:pBdr>
          <w:top w:val="nil"/>
          <w:left w:val="nil"/>
          <w:bottom w:val="nil"/>
          <w:right w:val="nil"/>
          <w:between w:val="nil"/>
        </w:pBdr>
        <w:contextualSpacing/>
        <w:rPr>
          <w:szCs w:val="24"/>
        </w:rPr>
      </w:pPr>
      <w:r w:rsidRPr="00166BD1">
        <w:rPr>
          <w:szCs w:val="24"/>
        </w:rPr>
        <w:t>Por ello, este organismo garante comprometido con la tutela de los derechos humanos confiados señala que este exceso del plazo legal para resolver el presente asunto resulta de carácter excepcional.</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w:t>
      </w:r>
      <w:r>
        <w:lastRenderedPageBreak/>
        <w:t xml:space="preserve">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44035312" w14:textId="29C7E982" w:rsidR="0066218F" w:rsidRDefault="00307373" w:rsidP="006922F5">
      <w:r>
        <w:t xml:space="preserve">Asimismo, no se actualiza ninguna causa de improcedencia de las referidas en el artículo 191 de la Ley de Transparencia y Acceso a la Información Pública del Estado de México </w:t>
      </w:r>
      <w:r>
        <w:lastRenderedPageBreak/>
        <w:t>y Municipios, ni mucho menos se hizo valer causa de improcedencia alguna por las partes, que resulte dable abordar, encontrándose actualizados todos los presupuestos procedimentales para atender el fondo del asunto, en los términos del considerando posterior.</w:t>
      </w:r>
    </w:p>
    <w:p w14:paraId="6E802ECA" w14:textId="77777777" w:rsidR="006C1245" w:rsidRDefault="006C1245" w:rsidP="006C1245">
      <w:pPr>
        <w:rPr>
          <w:rFonts w:eastAsia="Palatino Linotype" w:cstheme="majorBidi"/>
          <w:b/>
          <w:color w:val="000000" w:themeColor="text1"/>
          <w:sz w:val="26"/>
          <w:szCs w:val="26"/>
        </w:rPr>
      </w:pPr>
    </w:p>
    <w:p w14:paraId="7CD3BAC6" w14:textId="0BAF78A6" w:rsidR="00494E7F" w:rsidRPr="00494E7F" w:rsidRDefault="00494E7F" w:rsidP="00494E7F">
      <w:pPr>
        <w:widowControl w:val="0"/>
        <w:autoSpaceDE w:val="0"/>
        <w:autoSpaceDN w:val="0"/>
        <w:adjustRightInd w:val="0"/>
        <w:rPr>
          <w:rFonts w:cs="Arial"/>
          <w:b/>
          <w:sz w:val="28"/>
          <w:szCs w:val="28"/>
          <w:lang w:val="es-ES" w:eastAsia="es-ES"/>
        </w:rPr>
      </w:pPr>
      <w:r>
        <w:rPr>
          <w:rFonts w:cs="Arial"/>
          <w:b/>
          <w:sz w:val="28"/>
          <w:szCs w:val="28"/>
          <w:lang w:val="es-ES" w:eastAsia="es-ES"/>
        </w:rPr>
        <w:t>TERCERO</w:t>
      </w:r>
      <w:r w:rsidRPr="00360DF2">
        <w:rPr>
          <w:rFonts w:cs="Arial"/>
          <w:b/>
          <w:sz w:val="28"/>
          <w:szCs w:val="28"/>
          <w:lang w:val="es-ES" w:eastAsia="es-ES"/>
        </w:rPr>
        <w:t>. Estudio y resolución del asunto</w:t>
      </w:r>
      <w:r w:rsidRPr="00360DF2">
        <w:rPr>
          <w:b/>
          <w:sz w:val="28"/>
          <w:szCs w:val="28"/>
          <w:lang w:val="es-ES" w:eastAsia="es-ES"/>
        </w:rPr>
        <w:t xml:space="preserve">. </w:t>
      </w:r>
    </w:p>
    <w:p w14:paraId="207AF1E2" w14:textId="77777777" w:rsidR="00E315DE" w:rsidRDefault="00E315DE" w:rsidP="00E315DE">
      <w:pPr>
        <w:contextualSpacing/>
        <w:rPr>
          <w:rFonts w:cs="Arial"/>
          <w:color w:val="000000"/>
        </w:rPr>
      </w:pPr>
      <w:r>
        <w:rPr>
          <w:rFonts w:eastAsia="MS Mincho"/>
          <w:lang w:val="es-ES" w:eastAsia="es-ES"/>
        </w:rPr>
        <w:t>E</w:t>
      </w:r>
      <w:r w:rsidRPr="00360DF2">
        <w:rPr>
          <w:rFonts w:eastAsia="MS Mincho"/>
          <w:lang w:eastAsia="es-ES"/>
        </w:rPr>
        <w:t xml:space="preserve">l derecho de acceso a la información pública es un </w:t>
      </w:r>
      <w:r w:rsidRPr="00360DF2">
        <w:rPr>
          <w:rFonts w:cs="Arial"/>
          <w:color w:val="000000"/>
        </w:rPr>
        <w:t xml:space="preserve">derecho humano reconocido en el Pacto de Derechos Civiles y Políticos en su artículo 19.2; en la Convención Americana sobre Derechos Humanos en su artículo 13.1; en el artículo </w:t>
      </w:r>
      <w:r>
        <w:rPr>
          <w:rFonts w:cs="Arial"/>
          <w:color w:val="000000"/>
        </w:rPr>
        <w:t>S</w:t>
      </w:r>
      <w:r w:rsidRPr="00360DF2">
        <w:rPr>
          <w:rFonts w:cs="Arial"/>
          <w:color w:val="000000"/>
        </w:rPr>
        <w:t xml:space="preserve">exto de la Constitución Política de los Estados Unidos Mexicanos y en el artículo </w:t>
      </w:r>
      <w:r>
        <w:rPr>
          <w:rFonts w:cs="Arial"/>
          <w:color w:val="000000"/>
        </w:rPr>
        <w:t>Q</w:t>
      </w:r>
      <w:r w:rsidRPr="00360DF2">
        <w:rPr>
          <w:rFonts w:cs="Arial"/>
          <w:color w:val="000000"/>
        </w:rPr>
        <w:t xml:space="preserve">uinto de la </w:t>
      </w:r>
      <w:r>
        <w:rPr>
          <w:rFonts w:cs="Arial"/>
          <w:color w:val="000000"/>
        </w:rPr>
        <w:t>Constitución Local</w:t>
      </w:r>
      <w:r w:rsidRPr="00360DF2">
        <w:rPr>
          <w:rFonts w:cs="Arial"/>
          <w:color w:val="000000"/>
        </w:rPr>
        <w:t xml:space="preserve">, </w:t>
      </w:r>
      <w:r w:rsidRPr="00360DF2">
        <w:rPr>
          <w:rFonts w:cs="Arial"/>
          <w:color w:val="000000"/>
          <w:lang w:eastAsia="es-ES"/>
        </w:rPr>
        <w:t>a través del cual se puede solicitar aquellos documentos que generen, administren o posean las autoridades en ejercicio de sus respectivas atribuciones y competencia</w:t>
      </w:r>
      <w:r>
        <w:rPr>
          <w:rFonts w:cs="Arial"/>
          <w:color w:val="000000"/>
          <w:lang w:eastAsia="es-ES"/>
        </w:rPr>
        <w:t xml:space="preserve">s. </w:t>
      </w:r>
    </w:p>
    <w:p w14:paraId="279E3548" w14:textId="77777777" w:rsidR="00E315DE" w:rsidRPr="00360DF2" w:rsidRDefault="00E315DE" w:rsidP="00E315DE">
      <w:pPr>
        <w:contextualSpacing/>
        <w:rPr>
          <w:lang w:val="es-ES"/>
        </w:rPr>
      </w:pPr>
    </w:p>
    <w:p w14:paraId="7B6EDE40" w14:textId="65B435F8" w:rsidR="00E315DE" w:rsidRPr="00360DF2" w:rsidRDefault="00E315DE" w:rsidP="00E315DE">
      <w:pPr>
        <w:autoSpaceDE w:val="0"/>
        <w:autoSpaceDN w:val="0"/>
        <w:adjustRightInd w:val="0"/>
        <w:rPr>
          <w:rFonts w:cs="Arial"/>
          <w:lang w:val="es-ES" w:eastAsia="es-ES"/>
        </w:rPr>
      </w:pPr>
      <w:r w:rsidRPr="00360DF2">
        <w:rPr>
          <w:rFonts w:cs="Arial"/>
          <w:lang w:val="es-ES" w:eastAsia="es-ES"/>
        </w:rPr>
        <w:t xml:space="preserve">Por lo que en cumplimiento a las obligaciones que establece nuestra Carta Magna, la Constitución Estatal y la Ley de la materia le imponen, el </w:t>
      </w:r>
      <w:r w:rsidRPr="00360DF2">
        <w:rPr>
          <w:rFonts w:cs="Arial"/>
          <w:b/>
          <w:lang w:val="es-ES" w:eastAsia="es-ES"/>
        </w:rPr>
        <w:t>Sujeto Obligado</w:t>
      </w:r>
      <w:r w:rsidRPr="00360DF2">
        <w:rPr>
          <w:rFonts w:cs="Arial"/>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cs="Arial"/>
          <w:b/>
          <w:lang w:val="es-ES" w:eastAsia="es-ES"/>
        </w:rPr>
        <w:t>Sujeto Obligado</w:t>
      </w:r>
      <w:r w:rsidRPr="00360DF2">
        <w:rPr>
          <w:rFonts w:cs="Arial"/>
          <w:lang w:val="es-ES" w:eastAsia="es-ES"/>
        </w:rPr>
        <w:t xml:space="preserve"> fue omiso en dar respuesta a la solicitud</w:t>
      </w:r>
      <w:r>
        <w:rPr>
          <w:rFonts w:cs="Arial"/>
          <w:lang w:val="es-ES" w:eastAsia="es-ES"/>
        </w:rPr>
        <w:t xml:space="preserve"> de información dentro de los plazos establecidos en la Ley de Transparencia Local.</w:t>
      </w:r>
    </w:p>
    <w:p w14:paraId="675127F2" w14:textId="77777777" w:rsidR="00E315DE" w:rsidRPr="00360DF2" w:rsidRDefault="00E315DE" w:rsidP="00E315DE">
      <w:pPr>
        <w:autoSpaceDE w:val="0"/>
        <w:autoSpaceDN w:val="0"/>
        <w:adjustRightInd w:val="0"/>
        <w:rPr>
          <w:rFonts w:cs="Arial"/>
          <w:lang w:val="es-ES" w:eastAsia="es-ES"/>
        </w:rPr>
      </w:pPr>
    </w:p>
    <w:p w14:paraId="2F7661EE" w14:textId="77777777" w:rsidR="00E315DE" w:rsidRDefault="00E315DE" w:rsidP="00E315DE">
      <w:pPr>
        <w:autoSpaceDE w:val="0"/>
        <w:autoSpaceDN w:val="0"/>
        <w:adjustRightInd w:val="0"/>
        <w:rPr>
          <w:rFonts w:cs="Arial"/>
          <w:lang w:val="es-ES" w:eastAsia="es-ES"/>
        </w:rPr>
      </w:pPr>
      <w:r>
        <w:rPr>
          <w:rFonts w:cs="Arial"/>
          <w:lang w:val="es-ES" w:eastAsia="es-ES"/>
        </w:rPr>
        <w:t xml:space="preserve">Asimismo, </w:t>
      </w:r>
      <w:r w:rsidRPr="00360DF2">
        <w:rPr>
          <w:rFonts w:cs="Arial"/>
          <w:lang w:val="es-ES" w:eastAsia="es-ES"/>
        </w:rPr>
        <w:t xml:space="preserve">los motivos o razones de inconformidad </w:t>
      </w:r>
      <w:r>
        <w:rPr>
          <w:rFonts w:cs="Arial"/>
          <w:lang w:val="es-ES" w:eastAsia="es-ES"/>
        </w:rPr>
        <w:t xml:space="preserve">expuestos por la parte Recurrente </w:t>
      </w:r>
      <w:r w:rsidRPr="00360DF2">
        <w:rPr>
          <w:rFonts w:cs="Arial"/>
          <w:lang w:val="es-ES" w:eastAsia="es-ES"/>
        </w:rPr>
        <w:t>se adolece</w:t>
      </w:r>
      <w:r>
        <w:rPr>
          <w:rFonts w:cs="Arial"/>
          <w:lang w:val="es-ES" w:eastAsia="es-ES"/>
        </w:rPr>
        <w:t xml:space="preserve"> </w:t>
      </w:r>
      <w:r w:rsidRPr="00360DF2">
        <w:rPr>
          <w:rFonts w:cs="Arial"/>
          <w:lang w:val="es-ES" w:eastAsia="es-ES"/>
        </w:rPr>
        <w:t xml:space="preserve">de la falta de respuesta a la solicitud de acceso a la información formulada, </w:t>
      </w:r>
      <w:r>
        <w:rPr>
          <w:rFonts w:cs="Arial"/>
          <w:lang w:val="es-ES" w:eastAsia="es-ES"/>
        </w:rPr>
        <w:t xml:space="preserve">por </w:t>
      </w:r>
      <w:r>
        <w:rPr>
          <w:rFonts w:cs="Arial"/>
          <w:lang w:val="es-ES" w:eastAsia="es-ES"/>
        </w:rPr>
        <w:lastRenderedPageBreak/>
        <w:t xml:space="preserve">lo que se actualiza la causal de procedencia establecida </w:t>
      </w:r>
      <w:r w:rsidRPr="00360DF2">
        <w:rPr>
          <w:rFonts w:cs="Arial"/>
          <w:color w:val="000000" w:themeColor="text1"/>
          <w:lang w:val="es-ES" w:eastAsia="es-ES"/>
        </w:rPr>
        <w:t xml:space="preserve">en la fracción VII del artículo 179 de la </w:t>
      </w:r>
      <w:r w:rsidRPr="00D80CEC">
        <w:rPr>
          <w:rFonts w:cs="Arial"/>
          <w:bCs/>
          <w:color w:val="000000" w:themeColor="text1"/>
          <w:lang w:val="es-ES" w:eastAsia="es-ES"/>
        </w:rPr>
        <w:t>Ley de Transparencia y Acceso a la Información Pública del Estado de México y Municipios</w:t>
      </w:r>
      <w:r w:rsidRPr="00360DF2">
        <w:rPr>
          <w:rFonts w:cs="Arial"/>
          <w:color w:val="000000" w:themeColor="text1"/>
          <w:lang w:val="es-ES" w:eastAsia="es-ES"/>
        </w:rPr>
        <w:t>,</w:t>
      </w:r>
      <w:r w:rsidRPr="00360DF2">
        <w:rPr>
          <w:rFonts w:cs="Arial"/>
          <w:b/>
          <w:color w:val="000000" w:themeColor="text1"/>
          <w:lang w:val="es-ES" w:eastAsia="es-ES"/>
        </w:rPr>
        <w:t xml:space="preserve"> </w:t>
      </w:r>
      <w:r w:rsidRPr="00D80CEC">
        <w:rPr>
          <w:rFonts w:cs="Arial"/>
          <w:bCs/>
          <w:color w:val="000000" w:themeColor="text1"/>
          <w:lang w:val="es-ES" w:eastAsia="es-ES"/>
        </w:rPr>
        <w:t>y</w:t>
      </w:r>
      <w:r>
        <w:rPr>
          <w:rFonts w:cs="Arial"/>
          <w:b/>
          <w:color w:val="000000" w:themeColor="text1"/>
          <w:lang w:val="es-ES" w:eastAsia="es-ES"/>
        </w:rPr>
        <w:t xml:space="preserve"> </w:t>
      </w:r>
      <w:r>
        <w:rPr>
          <w:rFonts w:cs="Arial"/>
          <w:lang w:val="es-ES" w:eastAsia="es-ES"/>
        </w:rPr>
        <w:t xml:space="preserve">por tanto, </w:t>
      </w:r>
      <w:r w:rsidRPr="00360DF2">
        <w:rPr>
          <w:rFonts w:cs="Arial"/>
          <w:lang w:val="es-ES" w:eastAsia="es-ES"/>
        </w:rPr>
        <w:t>procedente la interposición del recurso de revisió</w:t>
      </w:r>
      <w:r>
        <w:rPr>
          <w:rFonts w:cs="Arial"/>
          <w:lang w:val="es-ES" w:eastAsia="es-ES"/>
        </w:rPr>
        <w:t>n</w:t>
      </w:r>
      <w:r w:rsidRPr="00360DF2">
        <w:rPr>
          <w:rFonts w:cs="Arial"/>
          <w:lang w:val="es-ES" w:eastAsia="es-ES"/>
        </w:rPr>
        <w:t>.</w:t>
      </w:r>
    </w:p>
    <w:p w14:paraId="409161AC" w14:textId="77777777" w:rsidR="00494E7F" w:rsidRPr="00360DF2" w:rsidRDefault="00494E7F" w:rsidP="00E315DE">
      <w:pPr>
        <w:autoSpaceDE w:val="0"/>
        <w:autoSpaceDN w:val="0"/>
        <w:adjustRightInd w:val="0"/>
        <w:rPr>
          <w:rFonts w:cs="Arial"/>
          <w:lang w:val="es-ES" w:eastAsia="es-ES"/>
        </w:rPr>
      </w:pPr>
    </w:p>
    <w:p w14:paraId="6B97BA54" w14:textId="77777777" w:rsidR="00E315DE" w:rsidRPr="00552E32" w:rsidRDefault="00E315DE" w:rsidP="00E315DE">
      <w:pPr>
        <w:autoSpaceDE w:val="0"/>
        <w:autoSpaceDN w:val="0"/>
        <w:adjustRightInd w:val="0"/>
        <w:rPr>
          <w:lang w:val="es-ES"/>
        </w:rPr>
      </w:pPr>
      <w:r w:rsidRPr="00552E32">
        <w:rPr>
          <w:rFonts w:cs="Arial"/>
          <w:lang w:val="es-ES" w:eastAsia="es-ES"/>
        </w:rPr>
        <w:t xml:space="preserve">En consecuencia, las razones o motivos de </w:t>
      </w:r>
      <w:r w:rsidRPr="00552E32">
        <w:rPr>
          <w:lang w:val="es-ES" w:eastAsia="es-ES"/>
        </w:rPr>
        <w:t xml:space="preserve">inconformidad hechos valer, resultan </w:t>
      </w:r>
      <w:r w:rsidRPr="00552E32">
        <w:rPr>
          <w:b/>
          <w:lang w:val="es-ES" w:eastAsia="es-ES"/>
        </w:rPr>
        <w:t>fundadas y procedentes</w:t>
      </w:r>
      <w:r w:rsidRPr="00552E32">
        <w:rPr>
          <w:lang w:val="es-ES" w:eastAsia="es-ES"/>
        </w:rPr>
        <w:t xml:space="preserve">, en virtud de las constancias que obran en el expediente electrónico SAIMEX, se acredita que el </w:t>
      </w:r>
      <w:r w:rsidRPr="00552E32">
        <w:rPr>
          <w:rFonts w:cs="Arial"/>
          <w:b/>
          <w:lang w:val="es-ES"/>
        </w:rPr>
        <w:t>Sujeto Obligado</w:t>
      </w:r>
      <w:r w:rsidRPr="00552E32">
        <w:rPr>
          <w:rFonts w:cs="Arial"/>
          <w:lang w:val="es-ES"/>
        </w:rPr>
        <w:t xml:space="preserve"> fue omiso en responder la solicitud de información hecha</w:t>
      </w:r>
      <w:r>
        <w:rPr>
          <w:rFonts w:cs="Arial"/>
          <w:lang w:val="es-ES"/>
        </w:rPr>
        <w:t>s</w:t>
      </w:r>
      <w:r w:rsidRPr="00552E32">
        <w:rPr>
          <w:rFonts w:cs="Arial"/>
          <w:lang w:val="es-ES"/>
        </w:rPr>
        <w:t xml:space="preserve"> por la parte </w:t>
      </w:r>
      <w:r w:rsidRPr="00552E32">
        <w:rPr>
          <w:rFonts w:cs="Arial"/>
          <w:b/>
          <w:lang w:val="es-ES"/>
        </w:rPr>
        <w:t>Recurrente</w:t>
      </w:r>
      <w:r w:rsidRPr="00552E32">
        <w:rPr>
          <w:rFonts w:cs="Arial"/>
          <w:lang w:val="es-ES"/>
        </w:rPr>
        <w:t xml:space="preserve">, es decir, </w:t>
      </w:r>
      <w:r w:rsidRPr="00552E32">
        <w:rPr>
          <w:lang w:val="es-ES"/>
        </w:rPr>
        <w:t xml:space="preserve">incumplió las obligaciones que se le imponen como </w:t>
      </w:r>
      <w:r w:rsidRPr="00552E32">
        <w:rPr>
          <w:b/>
          <w:lang w:val="es-ES"/>
        </w:rPr>
        <w:t>Sujeto Obligado</w:t>
      </w:r>
      <w:r w:rsidRPr="00552E32">
        <w:rPr>
          <w:lang w:val="es-ES"/>
        </w:rPr>
        <w:t>, de conformidad con lo establecido en los artículos 4, 12, 23 fracción IV, 24 último párrafo y 160 de la Ley de Transparencia y Acceso a la Información Pública del Estado de México y Municipios.</w:t>
      </w:r>
    </w:p>
    <w:p w14:paraId="36D424AC" w14:textId="77777777" w:rsidR="00E315DE" w:rsidRPr="00552E32" w:rsidRDefault="00E315DE" w:rsidP="00E315DE">
      <w:pPr>
        <w:autoSpaceDE w:val="0"/>
        <w:autoSpaceDN w:val="0"/>
        <w:adjustRightInd w:val="0"/>
        <w:rPr>
          <w:rFonts w:cs="Arial"/>
          <w:lang w:val="es-ES"/>
        </w:rPr>
      </w:pPr>
    </w:p>
    <w:p w14:paraId="038FB394" w14:textId="77777777" w:rsidR="00E315DE" w:rsidRDefault="00E315DE" w:rsidP="00E315DE">
      <w:pPr>
        <w:widowControl w:val="0"/>
        <w:tabs>
          <w:tab w:val="left" w:pos="1276"/>
        </w:tabs>
        <w:rPr>
          <w:rFonts w:eastAsia="Palatino Linotype" w:cs="Palatino Linotype"/>
        </w:rPr>
      </w:pPr>
      <w:r w:rsidRPr="00552E32">
        <w:rPr>
          <w:rFonts w:cs="Arial"/>
          <w:lang w:val="es-ES"/>
        </w:rPr>
        <w:t xml:space="preserve">De conformidad con lo establecido en los artículos 50 y 51 de la Ley de Transparencia y Acceso a la Información Pública del Estado de México y Municipios, los </w:t>
      </w:r>
      <w:r w:rsidRPr="00552E32">
        <w:rPr>
          <w:rFonts w:eastAsia="Palatino Linotype" w:cs="Palatino Linotype"/>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AE8E71E" w14:textId="77777777" w:rsidR="00E315DE" w:rsidRPr="00552E32" w:rsidRDefault="00E315DE" w:rsidP="00E315DE">
      <w:pPr>
        <w:widowControl w:val="0"/>
        <w:tabs>
          <w:tab w:val="left" w:pos="1276"/>
        </w:tabs>
        <w:rPr>
          <w:rFonts w:eastAsia="Palatino Linotype" w:cs="Palatino Linotype"/>
        </w:rPr>
      </w:pPr>
    </w:p>
    <w:p w14:paraId="13F74623" w14:textId="77777777" w:rsidR="00E315DE" w:rsidRPr="00552E32" w:rsidRDefault="00E315DE" w:rsidP="00E315DE">
      <w:pPr>
        <w:widowControl w:val="0"/>
        <w:tabs>
          <w:tab w:val="left" w:pos="1276"/>
        </w:tabs>
        <w:rPr>
          <w:rFonts w:eastAsia="Palatino Linotype" w:cs="Palatino Linotype"/>
        </w:rPr>
      </w:pPr>
      <w:r w:rsidRPr="00552E32">
        <w:rPr>
          <w:rFonts w:eastAsia="Palatino Linotype" w:cs="Palatino Linotype"/>
        </w:rPr>
        <w:t xml:space="preserve">El artículo 53, fracciones II, IV y V de la Ley de Transparencia Local establece que las Unidades de Transparencia tienen, entre otras, las funciones de recibir, tramitar y dar </w:t>
      </w:r>
      <w:r w:rsidRPr="00552E32">
        <w:rPr>
          <w:rFonts w:eastAsia="Palatino Linotype" w:cs="Palatino Linotype"/>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104A7732" w14:textId="77777777" w:rsidR="00E315DE" w:rsidRPr="00552E32" w:rsidRDefault="00E315DE" w:rsidP="00E315DE">
      <w:pPr>
        <w:widowControl w:val="0"/>
        <w:tabs>
          <w:tab w:val="left" w:pos="1276"/>
        </w:tabs>
        <w:rPr>
          <w:rFonts w:eastAsia="Palatino Linotype" w:cs="Palatino Linotype"/>
        </w:rPr>
      </w:pPr>
    </w:p>
    <w:p w14:paraId="13CB81C6" w14:textId="77777777" w:rsidR="00E315DE" w:rsidRPr="00552E32" w:rsidRDefault="00E315DE" w:rsidP="00E315DE">
      <w:pPr>
        <w:rPr>
          <w:rFonts w:eastAsia="Palatino Linotype" w:cs="Palatino Linotype"/>
        </w:rPr>
      </w:pPr>
      <w:r w:rsidRPr="00552E32">
        <w:rPr>
          <w:rFonts w:eastAsia="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013E3CC9" w14:textId="77777777" w:rsidR="00E315DE" w:rsidRDefault="00E315DE" w:rsidP="00E315DE">
      <w:pPr>
        <w:autoSpaceDE w:val="0"/>
        <w:autoSpaceDN w:val="0"/>
        <w:adjustRightInd w:val="0"/>
        <w:rPr>
          <w:rFonts w:cs="Arial"/>
          <w:lang w:eastAsia="es-ES"/>
        </w:rPr>
      </w:pPr>
    </w:p>
    <w:p w14:paraId="4BAE92CE" w14:textId="77777777" w:rsidR="00E315DE" w:rsidRDefault="00E315DE" w:rsidP="00E315DE">
      <w:pPr>
        <w:autoSpaceDE w:val="0"/>
        <w:autoSpaceDN w:val="0"/>
        <w:adjustRightInd w:val="0"/>
        <w:rPr>
          <w:i/>
          <w:lang w:val="es-ES" w:eastAsia="es-ES"/>
        </w:rPr>
      </w:pPr>
      <w:r>
        <w:rPr>
          <w:rFonts w:cs="Arial"/>
          <w:lang w:eastAsia="es-ES"/>
        </w:rPr>
        <w:t xml:space="preserve">En consecuencia, </w:t>
      </w:r>
      <w:r w:rsidRPr="00360DF2">
        <w:rPr>
          <w:lang w:val="es-ES" w:eastAsia="es-ES"/>
        </w:rPr>
        <w:t xml:space="preserve">según lo dispuesto por el artículo 150 de la Ley de Transparencia y Acceso a la Información Pública del Estado de México y Municipios, el </w:t>
      </w:r>
      <w:r w:rsidRPr="00360DF2">
        <w:rPr>
          <w:i/>
          <w:lang w:val="es-ES" w:eastAsia="es-ES"/>
        </w:rPr>
        <w:t>procedimiento de acceso a la información es la garantía primaria del derecho en cuestión</w:t>
      </w:r>
      <w:r>
        <w:rPr>
          <w:i/>
          <w:lang w:val="es-ES" w:eastAsia="es-ES"/>
        </w:rPr>
        <w:t xml:space="preserve">, </w:t>
      </w:r>
      <w:r>
        <w:rPr>
          <w:lang w:val="es-ES" w:eastAsia="es-ES"/>
        </w:rPr>
        <w:t>p</w:t>
      </w:r>
      <w:r w:rsidRPr="00360DF2">
        <w:rPr>
          <w:lang w:val="es-ES" w:eastAsia="es-ES"/>
        </w:rPr>
        <w:t xml:space="preserve">or lo tanto, la falta de respuesta a una solicitud de acceso a la información constituye un incumplimiento del </w:t>
      </w:r>
      <w:r w:rsidRPr="00360DF2">
        <w:rPr>
          <w:b/>
          <w:lang w:val="es-ES" w:eastAsia="es-ES"/>
        </w:rPr>
        <w:t>Sujeto Obligado</w:t>
      </w:r>
      <w:r w:rsidRPr="00360DF2">
        <w:rPr>
          <w:lang w:val="es-ES" w:eastAsia="es-ES"/>
        </w:rPr>
        <w:t xml:space="preserve"> a su deber de garantizar el derecho, lo que constituye una vulneración al mismo</w:t>
      </w:r>
      <w:r>
        <w:rPr>
          <w:lang w:val="es-ES" w:eastAsia="es-ES"/>
        </w:rPr>
        <w:t>.</w:t>
      </w:r>
    </w:p>
    <w:p w14:paraId="0342D3FD" w14:textId="77777777" w:rsidR="00E315DE" w:rsidRPr="0048739B" w:rsidRDefault="00E315DE" w:rsidP="00E315DE">
      <w:pPr>
        <w:autoSpaceDE w:val="0"/>
        <w:autoSpaceDN w:val="0"/>
        <w:adjustRightInd w:val="0"/>
        <w:rPr>
          <w:lang w:val="es-ES" w:eastAsia="es-ES"/>
        </w:rPr>
      </w:pPr>
    </w:p>
    <w:p w14:paraId="35CB461C" w14:textId="7805A5DA" w:rsidR="00E315DE" w:rsidRDefault="00E315DE" w:rsidP="00E315DE">
      <w:pPr>
        <w:autoSpaceDE w:val="0"/>
        <w:autoSpaceDN w:val="0"/>
        <w:adjustRightInd w:val="0"/>
        <w:rPr>
          <w:rFonts w:cs="Arial"/>
          <w:bCs/>
        </w:rPr>
      </w:pPr>
      <w:r w:rsidRPr="00360DF2">
        <w:rPr>
          <w:rFonts w:cs="Arial"/>
          <w:lang w:val="es-ES" w:eastAsia="es-ES"/>
        </w:rPr>
        <w:t xml:space="preserve">Por lo que, </w:t>
      </w:r>
      <w:r>
        <w:rPr>
          <w:rFonts w:cs="Arial"/>
          <w:lang w:val="es-ES" w:eastAsia="es-ES"/>
        </w:rPr>
        <w:t xml:space="preserve">mediante informe justificado el Sujeto Obligado pretendió subsanar la vulneración del derecho al acceso a la información del Recurrente </w:t>
      </w:r>
      <w:r w:rsidR="00494E7F">
        <w:rPr>
          <w:rFonts w:cs="Arial"/>
          <w:lang w:val="es-ES" w:eastAsia="es-ES"/>
        </w:rPr>
        <w:t>mediante los</w:t>
      </w:r>
      <w:r>
        <w:rPr>
          <w:rFonts w:cs="Arial"/>
          <w:lang w:val="es-ES" w:eastAsia="es-ES"/>
        </w:rPr>
        <w:t xml:space="preserve"> archivo</w:t>
      </w:r>
      <w:r w:rsidR="00494E7F">
        <w:rPr>
          <w:rFonts w:cs="Arial"/>
          <w:lang w:val="es-ES" w:eastAsia="es-ES"/>
        </w:rPr>
        <w:t>s</w:t>
      </w:r>
      <w:r>
        <w:rPr>
          <w:rFonts w:cs="Arial"/>
          <w:lang w:val="es-ES" w:eastAsia="es-ES"/>
        </w:rPr>
        <w:t xml:space="preserve"> </w:t>
      </w:r>
      <w:r>
        <w:rPr>
          <w:rFonts w:cs="Arial"/>
          <w:lang w:val="es-ES" w:eastAsia="es-ES"/>
        </w:rPr>
        <w:lastRenderedPageBreak/>
        <w:t>electrónico</w:t>
      </w:r>
      <w:r w:rsidR="00494E7F">
        <w:rPr>
          <w:rFonts w:cs="Arial"/>
          <w:lang w:val="es-ES" w:eastAsia="es-ES"/>
        </w:rPr>
        <w:t>s</w:t>
      </w:r>
      <w:r w:rsidR="00494E7F">
        <w:rPr>
          <w:rFonts w:cs="Arial"/>
          <w:b/>
          <w:bCs/>
        </w:rPr>
        <w:t xml:space="preserve"> “</w:t>
      </w:r>
      <w:r w:rsidR="00494E7F" w:rsidRPr="00494E7F">
        <w:rPr>
          <w:rFonts w:cs="Arial"/>
          <w:b/>
          <w:bCs/>
          <w:i/>
          <w:szCs w:val="24"/>
        </w:rPr>
        <w:t>DAyF-P-241-2024.pdf</w:t>
      </w:r>
      <w:r w:rsidR="00494E7F">
        <w:rPr>
          <w:rFonts w:cs="Arial"/>
          <w:b/>
          <w:bCs/>
          <w:i/>
          <w:szCs w:val="24"/>
        </w:rPr>
        <w:t xml:space="preserve">” </w:t>
      </w:r>
      <w:r w:rsidR="00494E7F">
        <w:rPr>
          <w:rFonts w:cs="Arial"/>
          <w:bCs/>
          <w:szCs w:val="24"/>
        </w:rPr>
        <w:t>y “</w:t>
      </w:r>
      <w:r w:rsidR="00494E7F" w:rsidRPr="00494E7F">
        <w:rPr>
          <w:rFonts w:cs="Arial"/>
          <w:b/>
          <w:bCs/>
          <w:i/>
          <w:szCs w:val="24"/>
        </w:rPr>
        <w:t>HAT-UTAIP-2024-480 acuerdo.pdf</w:t>
      </w:r>
      <w:r w:rsidR="00494E7F">
        <w:rPr>
          <w:rFonts w:cs="Arial"/>
          <w:b/>
          <w:bCs/>
          <w:i/>
          <w:szCs w:val="24"/>
        </w:rPr>
        <w:t>”</w:t>
      </w:r>
      <w:r w:rsidRPr="00494E7F">
        <w:rPr>
          <w:rFonts w:cs="Arial"/>
          <w:b/>
          <w:bCs/>
          <w:i/>
          <w:szCs w:val="24"/>
        </w:rPr>
        <w:t>,</w:t>
      </w:r>
      <w:r>
        <w:rPr>
          <w:rFonts w:cs="Arial"/>
          <w:b/>
          <w:bCs/>
        </w:rPr>
        <w:t xml:space="preserve"> </w:t>
      </w:r>
      <w:r>
        <w:rPr>
          <w:rFonts w:cs="Arial"/>
          <w:bCs/>
        </w:rPr>
        <w:t xml:space="preserve">en los términos siguientes; </w:t>
      </w:r>
    </w:p>
    <w:p w14:paraId="524D78AA" w14:textId="77777777" w:rsidR="00E315DE" w:rsidRDefault="00E315DE" w:rsidP="00E315DE">
      <w:pPr>
        <w:autoSpaceDE w:val="0"/>
        <w:autoSpaceDN w:val="0"/>
        <w:adjustRightInd w:val="0"/>
        <w:rPr>
          <w:rFonts w:cs="Arial"/>
          <w:bCs/>
        </w:rPr>
      </w:pPr>
    </w:p>
    <w:p w14:paraId="76E5D002" w14:textId="0874D8FD" w:rsidR="00494E7F" w:rsidRPr="000168B6" w:rsidRDefault="00494E7F" w:rsidP="000168B6">
      <w:pPr>
        <w:pStyle w:val="Prrafodelista"/>
        <w:numPr>
          <w:ilvl w:val="0"/>
          <w:numId w:val="28"/>
        </w:numPr>
        <w:autoSpaceDE w:val="0"/>
        <w:autoSpaceDN w:val="0"/>
        <w:adjustRightInd w:val="0"/>
        <w:rPr>
          <w:rFonts w:cs="Arial"/>
        </w:rPr>
      </w:pPr>
      <w:r w:rsidRPr="00494E7F">
        <w:rPr>
          <w:rFonts w:cs="Arial"/>
          <w:b/>
          <w:bCs/>
          <w:i/>
        </w:rPr>
        <w:t>DAyF-P-241-2024.pdf</w:t>
      </w:r>
      <w:r>
        <w:rPr>
          <w:rFonts w:cs="Arial"/>
          <w:b/>
          <w:bCs/>
          <w:i/>
        </w:rPr>
        <w:t xml:space="preserve">: </w:t>
      </w:r>
      <w:r>
        <w:rPr>
          <w:rFonts w:cs="Arial"/>
          <w:bCs/>
        </w:rPr>
        <w:t xml:space="preserve">Documento que consta de doce fojas en formato PDF con número de oficio </w:t>
      </w:r>
      <w:proofErr w:type="spellStart"/>
      <w:r>
        <w:rPr>
          <w:rFonts w:cs="Arial"/>
          <w:bCs/>
        </w:rPr>
        <w:t>DAyF</w:t>
      </w:r>
      <w:proofErr w:type="spellEnd"/>
      <w:r>
        <w:rPr>
          <w:rFonts w:cs="Arial"/>
          <w:bCs/>
        </w:rPr>
        <w:t xml:space="preserve">-P/241/2024 de fecha veintiocho de agosto de dos mil veinticuatro por medio del cual el Director de Administración y Finanzas </w:t>
      </w:r>
      <w:r w:rsidR="000168B6">
        <w:rPr>
          <w:rFonts w:cs="Arial"/>
          <w:bCs/>
        </w:rPr>
        <w:t>manifestó adjuntar</w:t>
      </w:r>
      <w:r>
        <w:rPr>
          <w:rFonts w:cs="Arial"/>
          <w:bCs/>
        </w:rPr>
        <w:t xml:space="preserve"> quince facturas que refieren el gasto de los festejos patrios de 2023.</w:t>
      </w:r>
    </w:p>
    <w:p w14:paraId="05B50AFA" w14:textId="77777777" w:rsidR="000168B6" w:rsidRPr="000168B6" w:rsidRDefault="000168B6" w:rsidP="000168B6">
      <w:pPr>
        <w:pStyle w:val="Prrafodelista"/>
        <w:autoSpaceDE w:val="0"/>
        <w:autoSpaceDN w:val="0"/>
        <w:adjustRightInd w:val="0"/>
        <w:ind w:left="720"/>
        <w:rPr>
          <w:rFonts w:cs="Arial"/>
        </w:rPr>
      </w:pPr>
    </w:p>
    <w:p w14:paraId="01799680" w14:textId="138BD74D" w:rsidR="00E315DE" w:rsidRPr="00494E7F" w:rsidRDefault="00494E7F" w:rsidP="00E47BF2">
      <w:pPr>
        <w:pStyle w:val="Prrafodelista"/>
        <w:numPr>
          <w:ilvl w:val="0"/>
          <w:numId w:val="28"/>
        </w:numPr>
        <w:autoSpaceDE w:val="0"/>
        <w:autoSpaceDN w:val="0"/>
        <w:adjustRightInd w:val="0"/>
        <w:rPr>
          <w:rFonts w:cs="Arial"/>
        </w:rPr>
      </w:pPr>
      <w:r w:rsidRPr="00494E7F">
        <w:rPr>
          <w:rFonts w:cs="Arial"/>
          <w:b/>
          <w:bCs/>
          <w:i/>
        </w:rPr>
        <w:t>HAT-UTAIP-2024-480 acuerdo.pdf</w:t>
      </w:r>
      <w:r>
        <w:rPr>
          <w:rFonts w:cs="Arial"/>
          <w:b/>
          <w:bCs/>
          <w:i/>
        </w:rPr>
        <w:t>;</w:t>
      </w:r>
      <w:r>
        <w:rPr>
          <w:rFonts w:cs="Arial"/>
        </w:rPr>
        <w:t xml:space="preserve"> Documento que consta de una foja en formato PDF con número de oficio HAT/UTAIP/2024/480 de fecha seis de septiembre de dos mil veinticuatro por medio del cual el Titular de la Unidad de Transparencia manifiesta que en la Tercer Sesión Extraordinaria del Comité de Transparencia se acordó la clasificación de la información como confidencia de los datos personales concernientes al RFC de las Facturas de los Festejos Patrios del Ayuntamiento por medio del acuerdo 02/SE/63/CT/2024. </w:t>
      </w:r>
    </w:p>
    <w:p w14:paraId="375C584F" w14:textId="77777777" w:rsidR="00494E7F" w:rsidRDefault="00494E7F" w:rsidP="00E315DE">
      <w:pPr>
        <w:autoSpaceDE w:val="0"/>
        <w:autoSpaceDN w:val="0"/>
        <w:adjustRightInd w:val="0"/>
        <w:rPr>
          <w:rFonts w:cs="Arial"/>
          <w:lang w:val="es-ES" w:eastAsia="es-ES"/>
        </w:rPr>
      </w:pPr>
    </w:p>
    <w:p w14:paraId="0A7E5118" w14:textId="2F55CA63" w:rsidR="00494E7F" w:rsidRPr="00B75FED" w:rsidRDefault="00E315DE" w:rsidP="00B75FED">
      <w:pPr>
        <w:autoSpaceDE w:val="0"/>
        <w:autoSpaceDN w:val="0"/>
        <w:adjustRightInd w:val="0"/>
        <w:rPr>
          <w:rFonts w:cs="Arial"/>
          <w:lang w:val="es-ES" w:eastAsia="es-ES"/>
        </w:rPr>
      </w:pPr>
      <w:r>
        <w:rPr>
          <w:rFonts w:cs="Arial"/>
          <w:lang w:val="es-ES" w:eastAsia="es-ES"/>
        </w:rPr>
        <w:t>En este s</w:t>
      </w:r>
      <w:r w:rsidR="00494E7F">
        <w:rPr>
          <w:rFonts w:cs="Arial"/>
          <w:lang w:val="es-ES" w:eastAsia="es-ES"/>
        </w:rPr>
        <w:t>entido es de establecerse que los</w:t>
      </w:r>
      <w:r>
        <w:rPr>
          <w:rFonts w:cs="Arial"/>
          <w:lang w:val="es-ES" w:eastAsia="es-ES"/>
        </w:rPr>
        <w:t xml:space="preserve"> artículo</w:t>
      </w:r>
      <w:r w:rsidR="00494E7F">
        <w:rPr>
          <w:rFonts w:cs="Arial"/>
          <w:lang w:val="es-ES" w:eastAsia="es-ES"/>
        </w:rPr>
        <w:t>s 38, 47, 48</w:t>
      </w:r>
      <w:r w:rsidR="0025350D">
        <w:rPr>
          <w:rFonts w:cs="Arial"/>
          <w:lang w:val="es-ES" w:eastAsia="es-ES"/>
        </w:rPr>
        <w:t xml:space="preserve"> del Bando Municipal del Sujeto Obligado por medio del cual se establece que la Dirección de Administración y Finanzas será el </w:t>
      </w:r>
      <w:r w:rsidR="0025350D" w:rsidRPr="0025350D">
        <w:rPr>
          <w:szCs w:val="24"/>
        </w:rPr>
        <w:t>órgano encargado de la recaudación de los ingresos municipales y responsable de realizar las erogaciones que lleve a cabo el Ayuntamiento</w:t>
      </w:r>
      <w:r w:rsidR="0025350D">
        <w:rPr>
          <w:szCs w:val="24"/>
        </w:rPr>
        <w:t xml:space="preserve">, por lo que conforme los artículos 93 y 95 de la Ley Orgánica Municipal del Estado de México </w:t>
      </w:r>
      <w:r w:rsidR="00B75FED">
        <w:rPr>
          <w:szCs w:val="24"/>
        </w:rPr>
        <w:t xml:space="preserve"> la tesorería municipal </w:t>
      </w:r>
      <w:r w:rsidR="00B75FED">
        <w:rPr>
          <w:rFonts w:cs="Arial"/>
          <w:lang w:val="es-ES" w:eastAsia="es-ES"/>
        </w:rPr>
        <w:t xml:space="preserve">es el órgano encargado de </w:t>
      </w:r>
      <w:r w:rsidR="00B75FED">
        <w:rPr>
          <w:szCs w:val="24"/>
        </w:rPr>
        <w:t>a</w:t>
      </w:r>
      <w:r w:rsidR="00B75FED" w:rsidRPr="00B75FED">
        <w:rPr>
          <w:szCs w:val="24"/>
        </w:rPr>
        <w:t>dministrar la hacienda pública municipal</w:t>
      </w:r>
    </w:p>
    <w:p w14:paraId="7D941385" w14:textId="1604D628" w:rsidR="00B75FED" w:rsidRPr="00B75FED" w:rsidRDefault="00B75FED" w:rsidP="00B75FED">
      <w:pPr>
        <w:autoSpaceDE w:val="0"/>
        <w:autoSpaceDN w:val="0"/>
        <w:adjustRightInd w:val="0"/>
        <w:rPr>
          <w:szCs w:val="24"/>
        </w:rPr>
      </w:pPr>
      <w:r>
        <w:rPr>
          <w:szCs w:val="24"/>
        </w:rPr>
        <w:lastRenderedPageBreak/>
        <w:t>Así como l</w:t>
      </w:r>
      <w:r w:rsidRPr="00B75FED">
        <w:rPr>
          <w:szCs w:val="24"/>
        </w:rPr>
        <w:t>levar los registros contables, financieros y administrativos de los ingresos, egresos, e inventarios</w:t>
      </w:r>
      <w:r>
        <w:rPr>
          <w:szCs w:val="24"/>
        </w:rPr>
        <w:t xml:space="preserve"> en los términos siguientes; </w:t>
      </w:r>
    </w:p>
    <w:p w14:paraId="36597BF0" w14:textId="77777777" w:rsidR="00B75FED" w:rsidRPr="00494E7F" w:rsidRDefault="00B75FED" w:rsidP="00494E7F">
      <w:pPr>
        <w:autoSpaceDE w:val="0"/>
        <w:autoSpaceDN w:val="0"/>
        <w:adjustRightInd w:val="0"/>
        <w:ind w:left="708" w:hanging="708"/>
        <w:rPr>
          <w:rFonts w:cs="Arial"/>
          <w:i/>
          <w:sz w:val="22"/>
          <w:lang w:val="es-ES" w:eastAsia="es-ES"/>
        </w:rPr>
      </w:pPr>
    </w:p>
    <w:p w14:paraId="2AF9AC02" w14:textId="2E2D2DF6" w:rsidR="00494E7F" w:rsidRPr="00494E7F" w:rsidRDefault="00B75FED" w:rsidP="00494E7F">
      <w:pPr>
        <w:autoSpaceDE w:val="0"/>
        <w:autoSpaceDN w:val="0"/>
        <w:adjustRightInd w:val="0"/>
        <w:ind w:left="708"/>
        <w:rPr>
          <w:i/>
          <w:sz w:val="22"/>
        </w:rPr>
      </w:pPr>
      <w:r>
        <w:rPr>
          <w:b/>
          <w:i/>
          <w:sz w:val="22"/>
        </w:rPr>
        <w:t>“</w:t>
      </w:r>
      <w:r w:rsidR="00494E7F" w:rsidRPr="00494E7F">
        <w:rPr>
          <w:b/>
          <w:i/>
          <w:sz w:val="22"/>
        </w:rPr>
        <w:t>ARTÍCULO 38.-</w:t>
      </w:r>
      <w:r w:rsidR="00494E7F" w:rsidRPr="00494E7F">
        <w:rPr>
          <w:i/>
          <w:sz w:val="22"/>
        </w:rPr>
        <w:t xml:space="preserve"> La Presidenta Municipal se auxiliará de las siguientes direcciones y áreas de la Administración Pública Municipal, mismas que estarán bajo su subordinación:</w:t>
      </w:r>
    </w:p>
    <w:p w14:paraId="2EBBA2A4" w14:textId="42858CDA" w:rsidR="00494E7F" w:rsidRPr="00494E7F" w:rsidRDefault="00494E7F" w:rsidP="00494E7F">
      <w:pPr>
        <w:autoSpaceDE w:val="0"/>
        <w:autoSpaceDN w:val="0"/>
        <w:adjustRightInd w:val="0"/>
        <w:ind w:left="708"/>
        <w:rPr>
          <w:rFonts w:cs="Arial"/>
          <w:i/>
          <w:sz w:val="22"/>
          <w:lang w:val="es-ES" w:eastAsia="es-ES"/>
        </w:rPr>
      </w:pPr>
      <w:r w:rsidRPr="00494E7F">
        <w:rPr>
          <w:i/>
          <w:sz w:val="22"/>
        </w:rPr>
        <w:t>…</w:t>
      </w:r>
    </w:p>
    <w:p w14:paraId="47861260" w14:textId="0D72BA9E" w:rsidR="00494E7F" w:rsidRPr="00494E7F" w:rsidRDefault="00494E7F" w:rsidP="000168B6">
      <w:pPr>
        <w:autoSpaceDE w:val="0"/>
        <w:autoSpaceDN w:val="0"/>
        <w:adjustRightInd w:val="0"/>
        <w:ind w:left="708" w:hanging="708"/>
        <w:rPr>
          <w:rFonts w:cs="Arial"/>
          <w:i/>
          <w:sz w:val="22"/>
          <w:lang w:val="es-ES" w:eastAsia="es-ES"/>
        </w:rPr>
      </w:pPr>
      <w:r w:rsidRPr="00494E7F">
        <w:rPr>
          <w:rFonts w:cs="Arial"/>
          <w:i/>
          <w:sz w:val="22"/>
          <w:lang w:val="es-ES" w:eastAsia="es-ES"/>
        </w:rPr>
        <w:tab/>
      </w:r>
      <w:r w:rsidRPr="00494E7F">
        <w:rPr>
          <w:i/>
          <w:sz w:val="22"/>
        </w:rPr>
        <w:t xml:space="preserve">4. </w:t>
      </w:r>
      <w:r w:rsidRPr="00494E7F">
        <w:rPr>
          <w:b/>
          <w:i/>
          <w:sz w:val="22"/>
        </w:rPr>
        <w:t>Dirección de Administración y Finanzas con funciones de Tesorería</w:t>
      </w:r>
      <w:r w:rsidRPr="00494E7F">
        <w:rPr>
          <w:i/>
          <w:sz w:val="22"/>
        </w:rPr>
        <w:t>;</w:t>
      </w:r>
      <w:r w:rsidR="00B75FED">
        <w:rPr>
          <w:i/>
          <w:sz w:val="22"/>
        </w:rPr>
        <w:t xml:space="preserve">”  </w:t>
      </w:r>
      <w:r w:rsidR="00B75FED" w:rsidRPr="00B75FED">
        <w:rPr>
          <w:rFonts w:eastAsia="Times New Roman" w:cs="Arial"/>
          <w:bCs/>
          <w:color w:val="000000"/>
          <w:sz w:val="22"/>
          <w:lang w:eastAsia="es-ES"/>
        </w:rPr>
        <w:t>(Énfasis añadido)</w:t>
      </w:r>
    </w:p>
    <w:p w14:paraId="2B0AA602" w14:textId="3C24EF01" w:rsidR="00494E7F" w:rsidRPr="0025350D" w:rsidRDefault="00494E7F" w:rsidP="00494E7F">
      <w:pPr>
        <w:autoSpaceDE w:val="0"/>
        <w:autoSpaceDN w:val="0"/>
        <w:adjustRightInd w:val="0"/>
        <w:ind w:left="708"/>
        <w:jc w:val="center"/>
        <w:rPr>
          <w:b/>
          <w:i/>
          <w:sz w:val="22"/>
        </w:rPr>
      </w:pPr>
      <w:r w:rsidRPr="0025350D">
        <w:rPr>
          <w:b/>
          <w:i/>
          <w:sz w:val="22"/>
        </w:rPr>
        <w:t>TÍTULO SÉPTIMO DE LA DIRECCIÓN DE ADMINISTRACIÓN Y FINANZAS CON FUNCIONES DE TESORERÍA</w:t>
      </w:r>
    </w:p>
    <w:p w14:paraId="5FEE6498" w14:textId="77777777" w:rsidR="00494E7F" w:rsidRPr="00494E7F" w:rsidRDefault="00494E7F" w:rsidP="00494E7F">
      <w:pPr>
        <w:autoSpaceDE w:val="0"/>
        <w:autoSpaceDN w:val="0"/>
        <w:adjustRightInd w:val="0"/>
        <w:ind w:left="708"/>
        <w:rPr>
          <w:i/>
          <w:sz w:val="22"/>
        </w:rPr>
      </w:pPr>
      <w:r w:rsidRPr="0025350D">
        <w:rPr>
          <w:b/>
          <w:i/>
          <w:sz w:val="22"/>
        </w:rPr>
        <w:t>ARTÍCULO 47</w:t>
      </w:r>
      <w:r w:rsidRPr="00494E7F">
        <w:rPr>
          <w:i/>
          <w:sz w:val="22"/>
        </w:rPr>
        <w:t xml:space="preserve">.- El Ayuntamiento cuenta con la Dirección de Administración y Finanzas, que asumirá las funciones y atribuciones de la Tesorería, teniendo como funciones, en forma enunciativa y no limitativa, las establecidas en el artículo 95 de la Ley Orgánica Municipal del Estado de México, así como lo dispuesto por las leyes y reglamentos aplicables en el ámbito de su competencia. </w:t>
      </w:r>
    </w:p>
    <w:p w14:paraId="31203884" w14:textId="77777777" w:rsidR="00494E7F" w:rsidRPr="00494E7F" w:rsidRDefault="00494E7F" w:rsidP="00494E7F">
      <w:pPr>
        <w:autoSpaceDE w:val="0"/>
        <w:autoSpaceDN w:val="0"/>
        <w:adjustRightInd w:val="0"/>
        <w:ind w:left="708"/>
        <w:rPr>
          <w:i/>
          <w:sz w:val="22"/>
        </w:rPr>
      </w:pPr>
    </w:p>
    <w:p w14:paraId="72067B96" w14:textId="579603E4" w:rsidR="00494E7F" w:rsidRPr="00494E7F" w:rsidRDefault="00494E7F" w:rsidP="00494E7F">
      <w:pPr>
        <w:autoSpaceDE w:val="0"/>
        <w:autoSpaceDN w:val="0"/>
        <w:adjustRightInd w:val="0"/>
        <w:ind w:left="708"/>
        <w:rPr>
          <w:i/>
          <w:sz w:val="22"/>
        </w:rPr>
      </w:pPr>
      <w:r w:rsidRPr="00494E7F">
        <w:rPr>
          <w:i/>
          <w:sz w:val="22"/>
        </w:rPr>
        <w:t xml:space="preserve">ARTÍCULO 48.- La Dirección de Administración y Finanzas con funciones de Tesorería Municipal, </w:t>
      </w:r>
      <w:r w:rsidRPr="00B75FED">
        <w:rPr>
          <w:i/>
          <w:sz w:val="22"/>
          <w:u w:val="single"/>
        </w:rPr>
        <w:t>es el único órgano encargado de la recaudación de los ingresos municipales y responsable de realizar las erogaciones que lleve a cabo el Ayuntamiento</w:t>
      </w:r>
      <w:r w:rsidRPr="00494E7F">
        <w:rPr>
          <w:i/>
          <w:sz w:val="22"/>
        </w:rPr>
        <w:t>.</w:t>
      </w:r>
    </w:p>
    <w:p w14:paraId="6FF1C50A" w14:textId="77777777" w:rsidR="00494E7F" w:rsidRDefault="00494E7F" w:rsidP="00494E7F">
      <w:pPr>
        <w:autoSpaceDE w:val="0"/>
        <w:autoSpaceDN w:val="0"/>
        <w:adjustRightInd w:val="0"/>
        <w:ind w:left="708"/>
        <w:rPr>
          <w:rFonts w:cs="Arial"/>
          <w:lang w:val="es-ES" w:eastAsia="es-ES"/>
        </w:rPr>
      </w:pPr>
    </w:p>
    <w:p w14:paraId="31F5DA79" w14:textId="6ED151FD" w:rsidR="0025350D" w:rsidRPr="0025350D" w:rsidRDefault="0025350D" w:rsidP="0025350D">
      <w:pPr>
        <w:autoSpaceDE w:val="0"/>
        <w:autoSpaceDN w:val="0"/>
        <w:adjustRightInd w:val="0"/>
        <w:ind w:left="708"/>
        <w:jc w:val="center"/>
        <w:rPr>
          <w:b/>
          <w:i/>
          <w:sz w:val="22"/>
        </w:rPr>
      </w:pPr>
      <w:r w:rsidRPr="0025350D">
        <w:rPr>
          <w:b/>
          <w:i/>
          <w:sz w:val="22"/>
        </w:rPr>
        <w:t>CAPITULO SEGUNDO De la Tesorería Municipal</w:t>
      </w:r>
    </w:p>
    <w:p w14:paraId="0CA456AD" w14:textId="032D1F69" w:rsidR="00494E7F" w:rsidRPr="0025350D" w:rsidRDefault="0025350D" w:rsidP="00494E7F">
      <w:pPr>
        <w:autoSpaceDE w:val="0"/>
        <w:autoSpaceDN w:val="0"/>
        <w:adjustRightInd w:val="0"/>
        <w:ind w:left="708"/>
        <w:rPr>
          <w:i/>
          <w:sz w:val="22"/>
        </w:rPr>
      </w:pPr>
      <w:r w:rsidRPr="0025350D">
        <w:rPr>
          <w:b/>
          <w:i/>
          <w:sz w:val="22"/>
        </w:rPr>
        <w:t>Artículo 93.-</w:t>
      </w:r>
      <w:r w:rsidRPr="0025350D">
        <w:rPr>
          <w:i/>
          <w:sz w:val="22"/>
        </w:rPr>
        <w:t xml:space="preserve"> La tesorería municipal es el órgano encargado de la recaudación de los ingresos municipales y responsable de realizar las erogaciones que haga el ayuntamiento.</w:t>
      </w:r>
    </w:p>
    <w:p w14:paraId="751AADAC" w14:textId="77777777" w:rsidR="0025350D" w:rsidRPr="0025350D" w:rsidRDefault="0025350D" w:rsidP="00494E7F">
      <w:pPr>
        <w:autoSpaceDE w:val="0"/>
        <w:autoSpaceDN w:val="0"/>
        <w:adjustRightInd w:val="0"/>
        <w:ind w:left="708"/>
        <w:rPr>
          <w:i/>
          <w:sz w:val="22"/>
        </w:rPr>
      </w:pPr>
    </w:p>
    <w:p w14:paraId="26EA3AEF" w14:textId="77777777" w:rsidR="0025350D" w:rsidRPr="0025350D" w:rsidRDefault="0025350D" w:rsidP="00494E7F">
      <w:pPr>
        <w:autoSpaceDE w:val="0"/>
        <w:autoSpaceDN w:val="0"/>
        <w:adjustRightInd w:val="0"/>
        <w:ind w:left="708"/>
        <w:rPr>
          <w:i/>
          <w:sz w:val="22"/>
        </w:rPr>
      </w:pPr>
      <w:r w:rsidRPr="0025350D">
        <w:rPr>
          <w:b/>
          <w:i/>
          <w:sz w:val="22"/>
        </w:rPr>
        <w:t>Artículo 95.-</w:t>
      </w:r>
      <w:r w:rsidRPr="0025350D">
        <w:rPr>
          <w:i/>
          <w:sz w:val="22"/>
        </w:rPr>
        <w:t xml:space="preserve"> Son atribuciones del tesorero municipal: </w:t>
      </w:r>
    </w:p>
    <w:p w14:paraId="70B37203" w14:textId="7218E624"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Administrar la hacienda pública municipal, de conformidad con las disposiciones legales aplicables; </w:t>
      </w:r>
    </w:p>
    <w:p w14:paraId="11B4FC12" w14:textId="1505F47C"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lastRenderedPageBreak/>
        <w:t>Determinar, liquidar, recaudar, fiscalizar y administrar las contribuciones en los términos de los ordenamientos jurídicos aplicables y, en su caso, aplicar el procedimiento administrativo de ejecución en términos de las disposiciones aplicables</w:t>
      </w:r>
    </w:p>
    <w:p w14:paraId="123FDCD6"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Imponer las sanciones administrativas que procedan por infracciones a las disposiciones fiscales; </w:t>
      </w:r>
    </w:p>
    <w:p w14:paraId="3371DD51"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Llevar los registros contables, financieros y administrativos de los ingresos, egresos, e inventarios;</w:t>
      </w:r>
    </w:p>
    <w:p w14:paraId="39253F27"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Proporcionar oportunamente al ayuntamiento todos los datos o informes que sean necesarios para la formulación del Presupuesto de Egresos Municipales, vigilando que se ajuste a las disposiciones de esta Ley y otros ordenamientos aplicables; </w:t>
      </w:r>
    </w:p>
    <w:p w14:paraId="7C77A7FA"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Presentar anualmente al ayuntamiento un informe de la situación contable financiera de la Tesorería Municipal; </w:t>
      </w:r>
    </w:p>
    <w:p w14:paraId="15B7A2E5" w14:textId="15742972" w:rsidR="0025350D" w:rsidRPr="0025350D" w:rsidRDefault="0025350D" w:rsidP="0025350D">
      <w:pPr>
        <w:pStyle w:val="Prrafodelista"/>
        <w:autoSpaceDE w:val="0"/>
        <w:autoSpaceDN w:val="0"/>
        <w:adjustRightInd w:val="0"/>
        <w:ind w:left="2136"/>
        <w:rPr>
          <w:i/>
          <w:sz w:val="22"/>
          <w:szCs w:val="22"/>
        </w:rPr>
      </w:pPr>
      <w:r w:rsidRPr="0025350D">
        <w:rPr>
          <w:i/>
          <w:sz w:val="22"/>
          <w:szCs w:val="22"/>
        </w:rPr>
        <w:t xml:space="preserve">VI Bis. Proporcionar para la formulación del proyecto de Presupuesto de Egresos Municipales la información financiera relativa a la solución o en su caso, el pago de los litigios laborales; </w:t>
      </w:r>
    </w:p>
    <w:p w14:paraId="2466A533" w14:textId="6B40E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Diseñar y aprobar las formas oficiales de manifestaciones, avisos y declaraciones y demás documentos requeridos; </w:t>
      </w:r>
    </w:p>
    <w:p w14:paraId="33FCBCD6" w14:textId="667D237F"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Participar en la formulación de Convenios Fiscales y ejercer las atribuciones que le correspondan en el ámbito de su competencia; </w:t>
      </w:r>
    </w:p>
    <w:p w14:paraId="4FA9CDC2" w14:textId="5DC8F74D"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 Proponer al ayuntamiento la cancelación de cuentas incobrables;</w:t>
      </w:r>
    </w:p>
    <w:p w14:paraId="5B7D27A1"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 Custodiar y ejercer las garantías que se otorguen en favor de la hacienda municipal; </w:t>
      </w:r>
    </w:p>
    <w:p w14:paraId="68CC350D"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Proponer la política de ingresos de la tesorería municipal;</w:t>
      </w:r>
    </w:p>
    <w:p w14:paraId="5B3A2A24"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Intervenir en la elaboración del programa financiero municipal; </w:t>
      </w:r>
    </w:p>
    <w:p w14:paraId="573473BA"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Elaborar y mantener actualizado el Padrón de Contribuyentes;</w:t>
      </w:r>
    </w:p>
    <w:p w14:paraId="4F50DF94" w14:textId="05EA0F68"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lastRenderedPageBreak/>
        <w:t xml:space="preserve">Ministrar a su inmediato antecesor todos los datos oficiales que le solicitare, para contestar los pliegos de observaciones y alcances que formule y deduzca el Órgano Superior de Fiscalización del Estado de México; </w:t>
      </w:r>
    </w:p>
    <w:p w14:paraId="4B08F644"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Solicitar a las instancias competentes, la práctica de revisiones circunstanciadas, de conformidad con las normas que rigen en materia de control y evaluación gubernamental en el ámbito municipal; </w:t>
      </w:r>
    </w:p>
    <w:p w14:paraId="4FB06AD5"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Glosar oportunamente las cuentas del ayuntamiento; </w:t>
      </w:r>
    </w:p>
    <w:p w14:paraId="392F5DC2"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Contestar oportunamente los pliegos de observaciones y responsabilidad que haga el Órgano Superior de Fiscalización del Estado de México, así como atender en tiempo y forma las solicitudes de información que éste requiera, informando al Ayuntamiento; </w:t>
      </w:r>
    </w:p>
    <w:p w14:paraId="7BBECEF2"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Expedir copias certificadas de los documentos a su cuidado, por acuerdo expreso del Ayuntamiento y cuando se trate de documentación presentada ante el Órgano Superior de Fiscalización del Estado de México; </w:t>
      </w:r>
    </w:p>
    <w:p w14:paraId="137601AE"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159B47E8"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Dar cumplimiento a las leyes, convenios de coordinación fiscal y demás que en materia hacendaria celebre el Ayuntamiento con el Estado</w:t>
      </w:r>
    </w:p>
    <w:p w14:paraId="0E2DB95E" w14:textId="77777777"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t xml:space="preserve">Entregar oportunamente a él o los Síndicos, según sea el caso, el informe mensual que corresponda, a fin de que se revise, y de ser necesario, para que se formulen las observaciones respectivas. </w:t>
      </w:r>
    </w:p>
    <w:p w14:paraId="1B8597F9" w14:textId="0B2D0209" w:rsidR="0025350D" w:rsidRPr="0025350D" w:rsidRDefault="0025350D" w:rsidP="00E47BF2">
      <w:pPr>
        <w:pStyle w:val="Prrafodelista"/>
        <w:numPr>
          <w:ilvl w:val="0"/>
          <w:numId w:val="29"/>
        </w:numPr>
        <w:autoSpaceDE w:val="0"/>
        <w:autoSpaceDN w:val="0"/>
        <w:adjustRightInd w:val="0"/>
        <w:rPr>
          <w:i/>
          <w:sz w:val="22"/>
          <w:szCs w:val="22"/>
        </w:rPr>
      </w:pPr>
      <w:r w:rsidRPr="0025350D">
        <w:rPr>
          <w:i/>
          <w:sz w:val="22"/>
          <w:szCs w:val="22"/>
        </w:rPr>
        <w:lastRenderedPageBreak/>
        <w:t>Las que les señalen las demás disposiciones legales y el ayuntamiento.</w:t>
      </w:r>
    </w:p>
    <w:p w14:paraId="46027473" w14:textId="1ED311D8" w:rsidR="00B75FED" w:rsidRPr="00B75FED" w:rsidRDefault="00B75FED" w:rsidP="00B75FED">
      <w:pPr>
        <w:autoSpaceDE w:val="0"/>
        <w:autoSpaceDN w:val="0"/>
        <w:adjustRightInd w:val="0"/>
        <w:rPr>
          <w:color w:val="000000"/>
        </w:rPr>
      </w:pPr>
    </w:p>
    <w:p w14:paraId="077FEDAE" w14:textId="77777777" w:rsidR="00E315DE" w:rsidRPr="00F444C4" w:rsidRDefault="00E315DE" w:rsidP="00E315DE">
      <w:pPr>
        <w:tabs>
          <w:tab w:val="left" w:pos="709"/>
        </w:tabs>
        <w:contextualSpacing/>
        <w:rPr>
          <w:rFonts w:cs="Arial"/>
        </w:rPr>
      </w:pPr>
      <w:r w:rsidRPr="00F444C4">
        <w:rPr>
          <w:rFonts w:cs="Arial"/>
        </w:rPr>
        <w:t xml:space="preserve">En esta misma tesitura, el derecho de acceso a la información pública, consiste en que la información solicitada conste en un soporte documental en cualquiera de sus formas, a saber: </w:t>
      </w:r>
      <w:r w:rsidRPr="00F444C4">
        <w:rPr>
          <w:rFonts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1CDEAC6" w14:textId="77777777" w:rsidR="00E315DE" w:rsidRPr="00F444C4" w:rsidRDefault="00E315DE" w:rsidP="00E315DE">
      <w:pPr>
        <w:rPr>
          <w:lang w:eastAsia="es-ES"/>
        </w:rPr>
      </w:pPr>
    </w:p>
    <w:p w14:paraId="63B4A178" w14:textId="77777777" w:rsidR="00E315DE" w:rsidRPr="00B75FED" w:rsidRDefault="00E315DE" w:rsidP="00E315DE">
      <w:pPr>
        <w:ind w:left="567" w:right="616"/>
        <w:rPr>
          <w:rFonts w:cs="Arial"/>
          <w:i/>
          <w:sz w:val="22"/>
        </w:rPr>
      </w:pPr>
      <w:r w:rsidRPr="00B75FED">
        <w:rPr>
          <w:rFonts w:cs="Arial"/>
          <w:i/>
          <w:sz w:val="22"/>
        </w:rPr>
        <w:t>“</w:t>
      </w:r>
      <w:r w:rsidRPr="00B75FED">
        <w:rPr>
          <w:rFonts w:cs="Arial"/>
          <w:b/>
          <w:i/>
          <w:sz w:val="22"/>
        </w:rPr>
        <w:t xml:space="preserve">Artículo 3. </w:t>
      </w:r>
      <w:r w:rsidRPr="00B75FED">
        <w:rPr>
          <w:rFonts w:cs="Arial"/>
          <w:i/>
          <w:sz w:val="22"/>
        </w:rPr>
        <w:t>Para los efectos de la presente Ley se entenderá por:</w:t>
      </w:r>
    </w:p>
    <w:p w14:paraId="23A355E2" w14:textId="77777777" w:rsidR="00E315DE" w:rsidRPr="00B75FED" w:rsidRDefault="00E315DE" w:rsidP="00E315DE">
      <w:pPr>
        <w:ind w:left="567" w:right="616"/>
        <w:rPr>
          <w:rFonts w:cs="Arial"/>
          <w:i/>
          <w:sz w:val="22"/>
        </w:rPr>
      </w:pPr>
      <w:r w:rsidRPr="00B75FED">
        <w:rPr>
          <w:rFonts w:cs="Arial"/>
          <w:i/>
          <w:sz w:val="22"/>
        </w:rPr>
        <w:t>(…)</w:t>
      </w:r>
    </w:p>
    <w:p w14:paraId="4C22780C" w14:textId="77777777" w:rsidR="00E315DE" w:rsidRPr="00B75FED" w:rsidRDefault="00E315DE" w:rsidP="00E315DE">
      <w:pPr>
        <w:ind w:left="567" w:right="616"/>
        <w:rPr>
          <w:rFonts w:cs="Arial"/>
          <w:i/>
          <w:sz w:val="22"/>
        </w:rPr>
      </w:pPr>
      <w:r w:rsidRPr="00B75FED">
        <w:rPr>
          <w:rFonts w:cs="Arial"/>
          <w:b/>
          <w:i/>
          <w:sz w:val="22"/>
        </w:rPr>
        <w:t>XI. Documento:</w:t>
      </w:r>
      <w:r w:rsidRPr="00B75FED">
        <w:rPr>
          <w:rFonts w:cs="Arial"/>
          <w:i/>
          <w:sz w:val="22"/>
        </w:rPr>
        <w:t xml:space="preserve"> Los expedientes, reportes, estudios, actas, resoluciones, oficios, correspondencia, acuerdos, directivas, directrices, circulares, contratos, convenios, instructivos, notas, memorandos, estadísticas o bien, cualquier otro </w:t>
      </w:r>
      <w:r w:rsidRPr="00B75FED">
        <w:rPr>
          <w:rFonts w:cs="Arial"/>
          <w:b/>
          <w:i/>
          <w:sz w:val="22"/>
          <w:u w:val="single"/>
        </w:rPr>
        <w:t>registro que documente el ejercicio de las facultades, funciones y competencias de los sujetos obligados</w:t>
      </w:r>
      <w:r w:rsidRPr="00B75FED">
        <w:rPr>
          <w:rFonts w:cs="Arial"/>
          <w:i/>
          <w:sz w:val="22"/>
          <w:u w:val="single"/>
        </w:rPr>
        <w:t>,</w:t>
      </w:r>
      <w:r w:rsidRPr="00B75FED">
        <w:rPr>
          <w:rFonts w:cs="Arial"/>
          <w:i/>
          <w:sz w:val="22"/>
        </w:rPr>
        <w:t xml:space="preserve"> sus servidores públicos e integrantes, </w:t>
      </w:r>
      <w:r w:rsidRPr="00B75FED">
        <w:rPr>
          <w:rFonts w:cs="Arial"/>
          <w:b/>
          <w:i/>
          <w:sz w:val="22"/>
          <w:u w:val="single"/>
        </w:rPr>
        <w:t>sin importar su fuente o fecha de elaboración.</w:t>
      </w:r>
      <w:r w:rsidRPr="00B75FED">
        <w:rPr>
          <w:rFonts w:cs="Arial"/>
          <w:i/>
          <w:sz w:val="22"/>
        </w:rPr>
        <w:t xml:space="preserve"> Los documentos podrán estar en cualquier medio, sea escrito, impreso, sonoro, visual, electrónico, informático u holográfico;</w:t>
      </w:r>
    </w:p>
    <w:p w14:paraId="61643FFF" w14:textId="77EE899D" w:rsidR="00E315DE" w:rsidRPr="00B75FED" w:rsidRDefault="00E315DE" w:rsidP="00E315DE">
      <w:pPr>
        <w:ind w:left="567" w:right="616"/>
        <w:rPr>
          <w:rFonts w:cs="Arial"/>
          <w:i/>
          <w:sz w:val="22"/>
        </w:rPr>
      </w:pPr>
      <w:r w:rsidRPr="00B75FED">
        <w:rPr>
          <w:rFonts w:cs="Arial"/>
          <w:i/>
          <w:sz w:val="22"/>
        </w:rPr>
        <w:t>(…)</w:t>
      </w:r>
      <w:proofErr w:type="gramStart"/>
      <w:r w:rsidRPr="00B75FED">
        <w:rPr>
          <w:rFonts w:cs="Arial"/>
          <w:i/>
          <w:sz w:val="22"/>
        </w:rPr>
        <w:t>”</w:t>
      </w:r>
      <w:r w:rsidR="00B75FED" w:rsidRPr="00B75FED">
        <w:rPr>
          <w:rFonts w:eastAsia="Times New Roman" w:cs="Arial"/>
          <w:bCs/>
          <w:color w:val="000000"/>
          <w:sz w:val="22"/>
          <w:lang w:eastAsia="es-ES"/>
        </w:rPr>
        <w:t>(</w:t>
      </w:r>
      <w:proofErr w:type="gramEnd"/>
      <w:r w:rsidR="00B75FED" w:rsidRPr="00B75FED">
        <w:rPr>
          <w:rFonts w:eastAsia="Times New Roman" w:cs="Arial"/>
          <w:bCs/>
          <w:color w:val="000000"/>
          <w:sz w:val="22"/>
          <w:lang w:eastAsia="es-ES"/>
        </w:rPr>
        <w:t>Énfasis añadido)</w:t>
      </w:r>
    </w:p>
    <w:p w14:paraId="5DF7F918" w14:textId="77777777" w:rsidR="00E315DE" w:rsidRPr="00FA17B2" w:rsidRDefault="00E315DE" w:rsidP="00E315DE">
      <w:pPr>
        <w:contextualSpacing/>
        <w:rPr>
          <w:rFonts w:eastAsia="MS Mincho" w:cs="Arial"/>
          <w:lang w:eastAsia="es-ES"/>
        </w:rPr>
      </w:pPr>
    </w:p>
    <w:p w14:paraId="0D1BF74C" w14:textId="77777777" w:rsidR="00E315DE" w:rsidRPr="00FA17B2" w:rsidRDefault="00E315DE" w:rsidP="00E315DE">
      <w:pPr>
        <w:contextualSpacing/>
        <w:rPr>
          <w:rFonts w:eastAsia="MS Mincho" w:cs="Arial"/>
          <w:lang w:eastAsia="es-ES"/>
        </w:rPr>
      </w:pPr>
      <w:r w:rsidRPr="00FA17B2">
        <w:rPr>
          <w:rFonts w:eastAsia="MS Mincho" w:cs="Arial"/>
          <w:lang w:eastAsia="es-ES"/>
        </w:rPr>
        <w:t xml:space="preserve">En ese contexto, no pasa por desapercibido para este Instituto que el </w:t>
      </w:r>
      <w:r w:rsidRPr="00FA17B2">
        <w:rPr>
          <w:rFonts w:eastAsia="MS Mincho" w:cs="Arial"/>
          <w:b/>
          <w:lang w:eastAsia="es-ES"/>
        </w:rPr>
        <w:t>SUJETO OBLIGADO</w:t>
      </w:r>
      <w:r w:rsidRPr="00FA17B2">
        <w:rPr>
          <w:rFonts w:eastAsiaTheme="minorEastAsia" w:cs="Arial"/>
          <w:lang w:eastAsia="es-ES"/>
        </w:rPr>
        <w:t xml:space="preserve">,  </w:t>
      </w:r>
      <w:r>
        <w:rPr>
          <w:rFonts w:eastAsiaTheme="minorEastAsia" w:cs="Arial"/>
          <w:lang w:eastAsia="es-ES"/>
        </w:rPr>
        <w:t xml:space="preserve">no </w:t>
      </w:r>
      <w:r w:rsidRPr="00FA17B2">
        <w:rPr>
          <w:rFonts w:eastAsiaTheme="minorEastAsia" w:cs="Arial"/>
          <w:lang w:eastAsia="es-ES"/>
        </w:rPr>
        <w:t>cump</w:t>
      </w:r>
      <w:r>
        <w:rPr>
          <w:rFonts w:eastAsiaTheme="minorEastAsia" w:cs="Arial"/>
          <w:lang w:eastAsia="es-ES"/>
        </w:rPr>
        <w:t>lió</w:t>
      </w:r>
      <w:r w:rsidRPr="00FA17B2">
        <w:rPr>
          <w:rFonts w:eastAsiaTheme="minorEastAsia" w:cs="Arial"/>
          <w:lang w:eastAsia="es-ES"/>
        </w:rPr>
        <w:t xml:space="preserve"> a cabalidad con el </w:t>
      </w:r>
      <w:r w:rsidRPr="00FA17B2">
        <w:rPr>
          <w:rFonts w:eastAsia="MS Mincho" w:cs="Arial"/>
          <w:lang w:eastAsia="es-ES"/>
        </w:rPr>
        <w:t xml:space="preserve">procedimiento de acceso a la información </w:t>
      </w:r>
      <w:r w:rsidRPr="00FA17B2">
        <w:rPr>
          <w:rFonts w:eastAsia="MS Mincho" w:cs="Arial"/>
          <w:lang w:eastAsia="es-ES"/>
        </w:rPr>
        <w:lastRenderedPageBreak/>
        <w:t xml:space="preserve">pública, descrito en el Título Séptimo de la Ley de </w:t>
      </w:r>
      <w:r w:rsidRPr="00FA17B2">
        <w:rPr>
          <w:rFonts w:eastAsiaTheme="minorEastAsia"/>
          <w:color w:val="000000"/>
          <w:lang w:eastAsia="es-ES"/>
        </w:rPr>
        <w:t>Transparencia</w:t>
      </w:r>
      <w:r w:rsidRPr="00FA17B2">
        <w:rPr>
          <w:rFonts w:eastAsia="MS Mincho" w:cs="Arial"/>
          <w:lang w:eastAsia="es-ES"/>
        </w:rPr>
        <w:t xml:space="preserve"> </w:t>
      </w:r>
      <w:r w:rsidRPr="00FA17B2">
        <w:rPr>
          <w:rFonts w:eastAsiaTheme="minorEastAsia"/>
          <w:color w:val="000000" w:themeColor="text1"/>
          <w:lang w:eastAsia="es-ES"/>
        </w:rPr>
        <w:t>Local</w:t>
      </w:r>
      <w:r w:rsidRPr="00FA17B2">
        <w:rPr>
          <w:rFonts w:eastAsia="MS Mincho" w:cs="Arial"/>
          <w:lang w:eastAsia="es-ES"/>
        </w:rPr>
        <w:t xml:space="preserve">, que describe los pasos que debe seguir la autoridad para atender las solicitudes que presenten las personas en ejercicio de su derecho, entre los cuales se encuentra el deber de las unidades de transparencia de turnar </w:t>
      </w:r>
      <w:r w:rsidRPr="00FA17B2">
        <w:rPr>
          <w:rFonts w:eastAsia="MS Mincho" w:cs="Arial"/>
          <w:i/>
          <w:lang w:eastAsia="es-ES"/>
        </w:rPr>
        <w:t xml:space="preserve">a todas las áreas competentes que cuenten con la información o deban tenerla de acuerdo a sus facultades, competencias y funciones, </w:t>
      </w:r>
      <w:r w:rsidRPr="00FA17B2">
        <w:rPr>
          <w:rFonts w:eastAsia="MS Mincho" w:cs="Arial"/>
          <w:b/>
          <w:i/>
          <w:u w:val="single"/>
          <w:lang w:eastAsia="es-ES"/>
        </w:rPr>
        <w:t>con el objeto de que realicen una búsqueda exhaustiva y razonable de la información solicitada</w:t>
      </w:r>
      <w:r w:rsidRPr="00FA17B2">
        <w:rPr>
          <w:rFonts w:eastAsia="MS Mincho" w:cs="Arial"/>
          <w:i/>
          <w:lang w:eastAsia="es-ES"/>
        </w:rPr>
        <w:t>,</w:t>
      </w:r>
      <w:r w:rsidRPr="00FA17B2">
        <w:rPr>
          <w:rFonts w:eastAsia="MS Mincho" w:cs="Arial"/>
          <w:lang w:eastAsia="es-ES"/>
        </w:rPr>
        <w:t xml:space="preserve"> según se asienta en el artículo 162 de la ley citada y se otorgue certeza al particular de sus pronunciamientos.</w:t>
      </w:r>
    </w:p>
    <w:p w14:paraId="04EACF77" w14:textId="77777777" w:rsidR="00E315DE" w:rsidRPr="009D064F" w:rsidRDefault="00E315DE" w:rsidP="00E315DE">
      <w:pPr>
        <w:pBdr>
          <w:top w:val="nil"/>
          <w:left w:val="nil"/>
          <w:bottom w:val="nil"/>
          <w:right w:val="nil"/>
          <w:between w:val="nil"/>
        </w:pBdr>
        <w:contextualSpacing/>
        <w:rPr>
          <w:i/>
          <w:highlight w:val="yellow"/>
        </w:rPr>
      </w:pPr>
    </w:p>
    <w:p w14:paraId="3F25CC31" w14:textId="77777777" w:rsidR="00E315DE" w:rsidRPr="00EB0769" w:rsidRDefault="00E315DE" w:rsidP="00E315DE">
      <w:pPr>
        <w:contextualSpacing/>
        <w:rPr>
          <w:rFonts w:eastAsia="MS Mincho" w:cs="Arial"/>
          <w:lang w:eastAsia="es-ES"/>
        </w:rPr>
      </w:pPr>
      <w:r w:rsidRPr="00EB0769">
        <w:rPr>
          <w:rFonts w:eastAsia="MS Mincho" w:cs="Arial"/>
          <w:lang w:eastAsia="es-ES"/>
        </w:rPr>
        <w:t xml:space="preserve">Toda vez que es obligación del Titular de la Unidad de Transparencia identificar la unidad administrativa que resguarda el documento al que una persona pretende acceder, es practicar una adecuada gestión documental que nos permite localizar el documento, como bien señala el artículo 159 de la Ley de </w:t>
      </w:r>
      <w:r w:rsidRPr="00EB0769">
        <w:rPr>
          <w:rFonts w:eastAsiaTheme="minorEastAsia"/>
          <w:lang w:eastAsia="es-ES"/>
        </w:rPr>
        <w:t>Transparencia</w:t>
      </w:r>
      <w:r w:rsidRPr="00EB0769">
        <w:rPr>
          <w:rFonts w:eastAsia="MS Mincho" w:cs="Arial"/>
          <w:lang w:eastAsia="es-ES"/>
        </w:rPr>
        <w:t xml:space="preserve">. </w:t>
      </w:r>
      <w:r w:rsidRPr="00EB0769">
        <w:rPr>
          <w:rFonts w:eastAsiaTheme="minorEastAsia"/>
          <w:lang w:eastAsia="es-ES"/>
        </w:rPr>
        <w:t xml:space="preserve">El </w:t>
      </w:r>
      <w:r w:rsidRPr="00EB0769">
        <w:rPr>
          <w:rFonts w:eastAsia="MS Mincho" w:cs="Arial"/>
          <w:lang w:eastAsia="es-ES"/>
        </w:rPr>
        <w:t>Titular</w:t>
      </w:r>
      <w:r w:rsidRPr="00EB0769">
        <w:rPr>
          <w:rFonts w:eastAsiaTheme="minorEastAsia"/>
          <w:lang w:eastAsia="es-ES"/>
        </w:rPr>
        <w:t xml:space="preserve"> de la Unidad de Transparencia tiene la obligación de cumplir con lo </w:t>
      </w:r>
      <w:r w:rsidRPr="00EB0769">
        <w:rPr>
          <w:rFonts w:eastAsia="MS Mincho" w:cs="Arial"/>
          <w:lang w:eastAsia="es-ES"/>
        </w:rPr>
        <w:t>que</w:t>
      </w:r>
      <w:r w:rsidRPr="00EB0769">
        <w:rPr>
          <w:rFonts w:eastAsiaTheme="minorEastAsia"/>
          <w:lang w:eastAsia="es-ES"/>
        </w:rPr>
        <w:t xml:space="preserve"> dispone la normatividad aplicable que, en primera instancia implica que solicite a </w:t>
      </w:r>
      <w:r w:rsidRPr="00EB0769">
        <w:rPr>
          <w:rFonts w:eastAsia="MS Mincho" w:cs="Arial"/>
          <w:lang w:eastAsia="es-ES"/>
        </w:rPr>
        <w:t>todas</w:t>
      </w:r>
      <w:r w:rsidRPr="00EB0769">
        <w:rPr>
          <w:rFonts w:eastAsiaTheme="minorEastAsia"/>
          <w:lang w:eastAsia="es-ES"/>
        </w:rPr>
        <w:t xml:space="preserve"> las áreas que pudieron haber generado o administrado la información requerida, la búsqueda de la </w:t>
      </w:r>
      <w:r w:rsidRPr="00EB0769">
        <w:rPr>
          <w:rFonts w:eastAsiaTheme="minorEastAsia"/>
          <w:color w:val="000000" w:themeColor="text1"/>
          <w:lang w:eastAsia="es-ES"/>
        </w:rPr>
        <w:t>misma</w:t>
      </w:r>
      <w:r w:rsidRPr="00EB0769">
        <w:rPr>
          <w:rFonts w:eastAsiaTheme="minorEastAsia"/>
          <w:lang w:eastAsia="es-ES"/>
        </w:rPr>
        <w:t>.</w:t>
      </w:r>
    </w:p>
    <w:p w14:paraId="281743FA" w14:textId="77777777" w:rsidR="00E315DE" w:rsidRPr="009D064F" w:rsidRDefault="00E315DE" w:rsidP="00E315DE">
      <w:pPr>
        <w:contextualSpacing/>
        <w:rPr>
          <w:rFonts w:eastAsiaTheme="minorEastAsia"/>
          <w:highlight w:val="yellow"/>
          <w:lang w:eastAsia="es-ES"/>
        </w:rPr>
      </w:pPr>
    </w:p>
    <w:p w14:paraId="1F978EEF" w14:textId="77777777" w:rsidR="00E315DE" w:rsidRPr="00EB0769" w:rsidRDefault="00E315DE" w:rsidP="00E315DE">
      <w:pPr>
        <w:contextualSpacing/>
        <w:rPr>
          <w:rFonts w:eastAsiaTheme="minorEastAsia"/>
          <w:lang w:eastAsia="es-ES"/>
        </w:rPr>
      </w:pPr>
      <w:r w:rsidRPr="00EB0769">
        <w:rPr>
          <w:rFonts w:eastAsiaTheme="minorEastAsia"/>
          <w:lang w:eastAsia="es-ES"/>
        </w:rPr>
        <w:t>Si bien es cierto que la Titular de la Unidad de Transparencia es la encargada de dar atención a las solicitudes de información con fundamento en los artículos 50 y 53 fracciones II, V y VI de la Ley de Transparencia y Acceso a la Información Pública del Estado de México y Municipios, que refieren:</w:t>
      </w:r>
    </w:p>
    <w:p w14:paraId="14533ABF" w14:textId="77777777" w:rsidR="00E315DE" w:rsidRPr="00EB0769" w:rsidRDefault="00E315DE" w:rsidP="00E315DE">
      <w:pPr>
        <w:ind w:left="360"/>
        <w:contextualSpacing/>
        <w:rPr>
          <w:rFonts w:eastAsiaTheme="minorEastAsia"/>
          <w:lang w:eastAsia="es-ES"/>
        </w:rPr>
      </w:pPr>
    </w:p>
    <w:p w14:paraId="580175A5" w14:textId="77777777" w:rsidR="00E315DE" w:rsidRPr="00B75FED" w:rsidRDefault="00E315DE" w:rsidP="00E315DE">
      <w:pPr>
        <w:tabs>
          <w:tab w:val="left" w:pos="709"/>
        </w:tabs>
        <w:ind w:left="360" w:right="760"/>
        <w:contextualSpacing/>
        <w:rPr>
          <w:rFonts w:eastAsiaTheme="minorEastAsia" w:cs="Arial"/>
          <w:i/>
          <w:sz w:val="22"/>
        </w:rPr>
      </w:pPr>
      <w:r w:rsidRPr="00B75FED">
        <w:rPr>
          <w:rFonts w:eastAsiaTheme="minorEastAsia" w:cs="Arial"/>
          <w:i/>
          <w:sz w:val="22"/>
        </w:rPr>
        <w:t xml:space="preserve">“Artículo 50. Los sujetos obligados contarán con un área responsable para la atención de las solicitudes de información, a la que se le denominará Unidad de Transparencia. </w:t>
      </w:r>
    </w:p>
    <w:p w14:paraId="4B0B26FD" w14:textId="77777777" w:rsidR="00E315DE" w:rsidRPr="00B75FED" w:rsidRDefault="00E315DE" w:rsidP="00E315DE">
      <w:pPr>
        <w:tabs>
          <w:tab w:val="left" w:pos="709"/>
        </w:tabs>
        <w:ind w:left="360" w:right="760"/>
        <w:contextualSpacing/>
        <w:rPr>
          <w:rFonts w:eastAsiaTheme="minorEastAsia" w:cs="Arial"/>
          <w:i/>
          <w:sz w:val="22"/>
        </w:rPr>
      </w:pPr>
    </w:p>
    <w:p w14:paraId="05E38EE8" w14:textId="77777777" w:rsidR="00E315DE" w:rsidRPr="00B75FED" w:rsidRDefault="00E315DE" w:rsidP="00E315DE">
      <w:pPr>
        <w:tabs>
          <w:tab w:val="left" w:pos="709"/>
        </w:tabs>
        <w:ind w:left="360" w:right="760"/>
        <w:contextualSpacing/>
        <w:rPr>
          <w:rFonts w:eastAsiaTheme="minorEastAsia" w:cs="Arial"/>
          <w:i/>
          <w:sz w:val="22"/>
        </w:rPr>
      </w:pPr>
      <w:r w:rsidRPr="00B75FED">
        <w:rPr>
          <w:rFonts w:eastAsiaTheme="minorEastAsia" w:cs="Arial"/>
          <w:i/>
          <w:sz w:val="22"/>
        </w:rPr>
        <w:lastRenderedPageBreak/>
        <w:t xml:space="preserve">Artículo 51. Los sujetos obligados designaran a un responsable para atender la Unidad de Transparencia, quien fungirá como enlace entre éstos y los solicitantes. </w:t>
      </w:r>
      <w:r w:rsidRPr="00B75FED">
        <w:rPr>
          <w:rFonts w:eastAsiaTheme="minorEastAsia" w:cs="Arial"/>
          <w:b/>
          <w:i/>
          <w:sz w:val="22"/>
          <w:u w:val="single"/>
        </w:rPr>
        <w:t>Dicha Unidad será la encargada de tramitar internamente la solicitud de información</w:t>
      </w:r>
      <w:r w:rsidRPr="00B75FED">
        <w:rPr>
          <w:rFonts w:eastAsiaTheme="minorEastAsia" w:cs="Arial"/>
          <w:i/>
          <w:sz w:val="22"/>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05EE0957" w14:textId="77777777" w:rsidR="00E315DE" w:rsidRPr="00B75FED" w:rsidRDefault="00E315DE" w:rsidP="00E315DE">
      <w:pPr>
        <w:tabs>
          <w:tab w:val="left" w:pos="709"/>
        </w:tabs>
        <w:ind w:left="360" w:right="760"/>
        <w:contextualSpacing/>
        <w:rPr>
          <w:rFonts w:eastAsiaTheme="minorEastAsia" w:cs="Arial"/>
          <w:i/>
          <w:sz w:val="22"/>
        </w:rPr>
      </w:pPr>
      <w:r w:rsidRPr="00B75FED">
        <w:rPr>
          <w:rFonts w:eastAsiaTheme="minorEastAsia" w:cs="Arial"/>
          <w:i/>
          <w:sz w:val="22"/>
        </w:rPr>
        <w:t>…</w:t>
      </w:r>
    </w:p>
    <w:p w14:paraId="17E904C8" w14:textId="77777777" w:rsidR="00E315DE" w:rsidRPr="00B75FED" w:rsidRDefault="00E315DE" w:rsidP="00E315DE">
      <w:pPr>
        <w:tabs>
          <w:tab w:val="left" w:pos="709"/>
        </w:tabs>
        <w:ind w:left="360" w:right="760"/>
        <w:contextualSpacing/>
        <w:rPr>
          <w:rFonts w:eastAsiaTheme="minorEastAsia" w:cs="Arial"/>
          <w:i/>
          <w:sz w:val="22"/>
        </w:rPr>
      </w:pPr>
      <w:r w:rsidRPr="00B75FED">
        <w:rPr>
          <w:rFonts w:eastAsiaTheme="minorEastAsia" w:cs="Arial"/>
          <w:i/>
          <w:sz w:val="22"/>
        </w:rPr>
        <w:t>Artículo 53. Las Unidades de Transparencia tendrán las siguientes funciones:</w:t>
      </w:r>
    </w:p>
    <w:p w14:paraId="61692CA5" w14:textId="77777777" w:rsidR="00E315DE" w:rsidRPr="00B75FED" w:rsidRDefault="00E315DE" w:rsidP="00E315DE">
      <w:pPr>
        <w:tabs>
          <w:tab w:val="left" w:pos="709"/>
        </w:tabs>
        <w:ind w:left="360" w:right="760"/>
        <w:contextualSpacing/>
        <w:rPr>
          <w:rFonts w:eastAsiaTheme="minorEastAsia" w:cs="Arial"/>
          <w:i/>
          <w:sz w:val="22"/>
        </w:rPr>
      </w:pPr>
      <w:r w:rsidRPr="00B75FED">
        <w:rPr>
          <w:rFonts w:eastAsiaTheme="minorEastAsia" w:cs="Arial"/>
          <w:i/>
          <w:sz w:val="22"/>
        </w:rPr>
        <w:t>…</w:t>
      </w:r>
    </w:p>
    <w:p w14:paraId="1AE2946E" w14:textId="77777777" w:rsidR="00E315DE" w:rsidRPr="00B75FED" w:rsidRDefault="00E315DE" w:rsidP="00E315DE">
      <w:pPr>
        <w:tabs>
          <w:tab w:val="left" w:pos="709"/>
        </w:tabs>
        <w:ind w:left="360" w:right="760"/>
        <w:contextualSpacing/>
        <w:rPr>
          <w:rFonts w:eastAsiaTheme="minorEastAsia" w:cs="Arial"/>
          <w:i/>
          <w:sz w:val="22"/>
        </w:rPr>
      </w:pPr>
      <w:r w:rsidRPr="00B75FED">
        <w:rPr>
          <w:rFonts w:eastAsiaTheme="minorEastAsia" w:cs="Arial"/>
          <w:i/>
          <w:sz w:val="22"/>
        </w:rPr>
        <w:t xml:space="preserve">II. Recibir, tramitar y dar respuesta a las solicitudes de acceso a la información; </w:t>
      </w:r>
    </w:p>
    <w:p w14:paraId="0164F550" w14:textId="77777777" w:rsidR="00E315DE" w:rsidRPr="00B75FED" w:rsidRDefault="00E315DE" w:rsidP="00E315DE">
      <w:pPr>
        <w:tabs>
          <w:tab w:val="left" w:pos="709"/>
        </w:tabs>
        <w:ind w:left="360" w:right="760"/>
        <w:contextualSpacing/>
        <w:rPr>
          <w:rFonts w:eastAsiaTheme="minorEastAsia" w:cs="Arial"/>
          <w:i/>
          <w:sz w:val="22"/>
        </w:rPr>
      </w:pPr>
      <w:r w:rsidRPr="00B75FED">
        <w:rPr>
          <w:rFonts w:eastAsiaTheme="minorEastAsia" w:cs="Arial"/>
          <w:i/>
          <w:sz w:val="22"/>
        </w:rPr>
        <w:t>…</w:t>
      </w:r>
    </w:p>
    <w:p w14:paraId="1923BE21" w14:textId="77777777" w:rsidR="00E315DE" w:rsidRPr="00B75FED" w:rsidRDefault="00E315DE" w:rsidP="00E315DE">
      <w:pPr>
        <w:tabs>
          <w:tab w:val="left" w:pos="709"/>
        </w:tabs>
        <w:ind w:left="360" w:right="760"/>
        <w:contextualSpacing/>
        <w:rPr>
          <w:rFonts w:eastAsiaTheme="minorEastAsia" w:cs="Arial"/>
          <w:b/>
          <w:i/>
          <w:sz w:val="22"/>
          <w:u w:val="single"/>
        </w:rPr>
      </w:pPr>
      <w:r w:rsidRPr="00B75FED">
        <w:rPr>
          <w:rFonts w:eastAsiaTheme="minorEastAsia" w:cs="Arial"/>
          <w:b/>
          <w:i/>
          <w:sz w:val="22"/>
          <w:u w:val="single"/>
        </w:rPr>
        <w:t xml:space="preserve">IV. Realizar, con efectividad, los trámites internos necesarios para la atención de las solicitudes de acceso a la información; </w:t>
      </w:r>
    </w:p>
    <w:p w14:paraId="0B41B715" w14:textId="77777777" w:rsidR="00E315DE" w:rsidRPr="00B75FED" w:rsidRDefault="00E315DE" w:rsidP="00E315DE">
      <w:pPr>
        <w:tabs>
          <w:tab w:val="left" w:pos="709"/>
        </w:tabs>
        <w:ind w:left="360" w:right="760"/>
        <w:contextualSpacing/>
        <w:rPr>
          <w:rFonts w:eastAsiaTheme="minorEastAsia" w:cs="Arial"/>
          <w:i/>
          <w:sz w:val="22"/>
        </w:rPr>
      </w:pPr>
      <w:r w:rsidRPr="00B75FED">
        <w:rPr>
          <w:rFonts w:eastAsiaTheme="minorEastAsia" w:cs="Arial"/>
          <w:i/>
          <w:sz w:val="22"/>
        </w:rPr>
        <w:t xml:space="preserve">V. Entregar, en su caso, a los particulares la información solicitada; </w:t>
      </w:r>
    </w:p>
    <w:p w14:paraId="73195D5B" w14:textId="204CBD9E" w:rsidR="00E315DE" w:rsidRPr="00B75FED" w:rsidRDefault="00E315DE" w:rsidP="00E315DE">
      <w:pPr>
        <w:tabs>
          <w:tab w:val="left" w:pos="709"/>
        </w:tabs>
        <w:ind w:left="360" w:right="760"/>
        <w:contextualSpacing/>
        <w:rPr>
          <w:rFonts w:eastAsiaTheme="minorEastAsia" w:cs="Arial"/>
          <w:i/>
          <w:sz w:val="22"/>
        </w:rPr>
      </w:pPr>
      <w:r w:rsidRPr="00B75FED">
        <w:rPr>
          <w:rFonts w:eastAsiaTheme="minorEastAsia" w:cs="Arial"/>
          <w:i/>
          <w:sz w:val="22"/>
        </w:rPr>
        <w:t>VI. Efectuar las notificaciones a los solicitantes;”</w:t>
      </w:r>
      <w:r w:rsidR="00B75FED">
        <w:rPr>
          <w:rFonts w:eastAsiaTheme="minorEastAsia" w:cs="Arial"/>
          <w:i/>
          <w:sz w:val="22"/>
        </w:rPr>
        <w:t xml:space="preserve"> </w:t>
      </w:r>
      <w:r w:rsidR="00B75FED" w:rsidRPr="00B75FED">
        <w:rPr>
          <w:rFonts w:eastAsia="Times New Roman" w:cs="Arial"/>
          <w:bCs/>
          <w:color w:val="000000"/>
          <w:sz w:val="22"/>
          <w:lang w:eastAsia="es-ES"/>
        </w:rPr>
        <w:t>(Énfasis añadido)</w:t>
      </w:r>
    </w:p>
    <w:p w14:paraId="2F1F6183" w14:textId="77777777" w:rsidR="00E315DE" w:rsidRPr="00EB0769" w:rsidRDefault="00E315DE" w:rsidP="00E315DE">
      <w:pPr>
        <w:tabs>
          <w:tab w:val="left" w:pos="709"/>
        </w:tabs>
        <w:ind w:left="357" w:right="760"/>
        <w:contextualSpacing/>
        <w:rPr>
          <w:rFonts w:eastAsiaTheme="minorEastAsia" w:cs="Arial"/>
          <w:i/>
        </w:rPr>
      </w:pPr>
    </w:p>
    <w:p w14:paraId="61EC9A9B" w14:textId="77777777" w:rsidR="00E315DE" w:rsidRPr="00EB0769" w:rsidRDefault="00E315DE" w:rsidP="00E315DE">
      <w:pPr>
        <w:contextualSpacing/>
        <w:rPr>
          <w:rFonts w:eastAsiaTheme="minorEastAsia"/>
          <w:lang w:eastAsia="es-ES"/>
        </w:rPr>
      </w:pPr>
      <w:r w:rsidRPr="00EB0769">
        <w:rPr>
          <w:rFonts w:eastAsiaTheme="minorEastAsia"/>
          <w:lang w:eastAsia="es-ES"/>
        </w:rPr>
        <w:t>También lo es que su función primordial es la de turnar la solicitud a todas las Áreas que por su competencia pueden generar, administrar o poseer la información solicitada y poner a disposición de los solicitantes las respuestas que le sean remitidas.</w:t>
      </w:r>
    </w:p>
    <w:p w14:paraId="4CF4191B" w14:textId="77777777" w:rsidR="00E315DE" w:rsidRDefault="00E315DE" w:rsidP="00E315DE">
      <w:pPr>
        <w:contextualSpacing/>
        <w:rPr>
          <w:rFonts w:eastAsiaTheme="minorEastAsia"/>
          <w:lang w:eastAsia="es-ES"/>
        </w:rPr>
      </w:pPr>
    </w:p>
    <w:p w14:paraId="4FE89DAD" w14:textId="48DF1357" w:rsidR="00B75FED" w:rsidRPr="004C5465" w:rsidRDefault="00B75FED" w:rsidP="00B75FED">
      <w:pPr>
        <w:ind w:right="49"/>
        <w:rPr>
          <w:rFonts w:eastAsia="Palatino Linotype" w:cs="Palatino Linotype"/>
          <w:szCs w:val="24"/>
          <w:lang w:eastAsia="es-ES"/>
        </w:rPr>
      </w:pPr>
      <w:r w:rsidRPr="004C5465">
        <w:rPr>
          <w:rFonts w:eastAsia="Palatino Linotype" w:cs="Palatino Linotype"/>
          <w:szCs w:val="24"/>
          <w:lang w:eastAsia="es-ES"/>
        </w:rPr>
        <w:t xml:space="preserve">Ahora bien, sobre la naturaleza de la información, es de mencionar que el particular peticionó las </w:t>
      </w:r>
      <w:r w:rsidRPr="0031148D">
        <w:rPr>
          <w:rFonts w:eastAsia="Palatino Linotype" w:cs="Palatino Linotype"/>
          <w:b/>
          <w:szCs w:val="24"/>
          <w:lang w:eastAsia="es-ES"/>
        </w:rPr>
        <w:t>facturas</w:t>
      </w:r>
      <w:r>
        <w:rPr>
          <w:rFonts w:eastAsia="Palatino Linotype" w:cs="Palatino Linotype"/>
          <w:b/>
          <w:szCs w:val="24"/>
          <w:lang w:eastAsia="es-ES"/>
        </w:rPr>
        <w:t xml:space="preserve"> </w:t>
      </w:r>
      <w:r>
        <w:rPr>
          <w:color w:val="000000"/>
        </w:rPr>
        <w:t>que comprueben el gasto ejercido para los festejos patrios del año dos mil veintitrés</w:t>
      </w:r>
      <w:r>
        <w:rPr>
          <w:rFonts w:eastAsia="Palatino Linotype" w:cs="Palatino Linotype"/>
          <w:color w:val="000000"/>
          <w:szCs w:val="24"/>
        </w:rPr>
        <w:t>;</w:t>
      </w:r>
      <w:r>
        <w:rPr>
          <w:rFonts w:eastAsia="Palatino Linotype" w:cs="Palatino Linotype"/>
          <w:szCs w:val="24"/>
          <w:lang w:eastAsia="es-ES"/>
        </w:rPr>
        <w:t xml:space="preserve"> por lo que</w:t>
      </w:r>
      <w:r w:rsidRPr="004C5465">
        <w:rPr>
          <w:rFonts w:eastAsia="Palatino Linotype" w:cs="Palatino Linotype"/>
          <w:szCs w:val="24"/>
          <w:lang w:eastAsia="es-ES"/>
        </w:rPr>
        <w:t xml:space="preserve"> resulta importante señalar que este término se encuentra definido en el Glosario de Términos Hacendarios que emite el Instituto Hacendario del Estado de México, el cual expresa lo siguiente:</w:t>
      </w:r>
    </w:p>
    <w:p w14:paraId="29F5CBF1" w14:textId="77777777" w:rsidR="00B75FED" w:rsidRPr="004C5465" w:rsidRDefault="00B75FED" w:rsidP="00B75FED">
      <w:pPr>
        <w:spacing w:line="240" w:lineRule="auto"/>
        <w:ind w:left="851" w:right="851"/>
        <w:rPr>
          <w:rFonts w:eastAsia="Palatino Linotype" w:cs="Palatino Linotype"/>
          <w:i/>
          <w:szCs w:val="24"/>
          <w:lang w:eastAsia="es-ES"/>
        </w:rPr>
      </w:pPr>
    </w:p>
    <w:p w14:paraId="1CB8DF88" w14:textId="31D9FA30" w:rsidR="00B75FED" w:rsidRPr="00B75FED" w:rsidRDefault="00B75FED" w:rsidP="00B75FED">
      <w:pPr>
        <w:spacing w:line="240" w:lineRule="auto"/>
        <w:ind w:left="567" w:right="567"/>
        <w:rPr>
          <w:rFonts w:eastAsia="Palatino Linotype" w:cs="Palatino Linotype"/>
          <w:b/>
          <w:i/>
          <w:szCs w:val="24"/>
          <w:lang w:eastAsia="es-ES"/>
        </w:rPr>
      </w:pPr>
      <w:r w:rsidRPr="004C5465">
        <w:rPr>
          <w:rFonts w:eastAsia="Palatino Linotype" w:cs="Palatino Linotype"/>
          <w:i/>
          <w:szCs w:val="24"/>
          <w:lang w:eastAsia="es-ES"/>
        </w:rPr>
        <w:t>“</w:t>
      </w:r>
      <w:r w:rsidRPr="004C5465">
        <w:rPr>
          <w:rFonts w:eastAsia="Palatino Linotype" w:cs="Palatino Linotype"/>
          <w:b/>
          <w:i/>
          <w:szCs w:val="24"/>
          <w:lang w:eastAsia="es-ES"/>
        </w:rPr>
        <w:t>FACTURA</w:t>
      </w:r>
      <w:r>
        <w:rPr>
          <w:rFonts w:eastAsia="Palatino Linotype" w:cs="Palatino Linotype"/>
          <w:b/>
          <w:i/>
          <w:szCs w:val="24"/>
          <w:lang w:eastAsia="es-ES"/>
        </w:rPr>
        <w:t xml:space="preserve">  </w:t>
      </w:r>
      <w:r w:rsidRPr="00B75FED">
        <w:rPr>
          <w:rFonts w:eastAsia="Palatino Linotype" w:cs="Palatino Linotype"/>
          <w:i/>
          <w:sz w:val="22"/>
          <w:lang w:eastAsia="es-ES"/>
        </w:rPr>
        <w:t xml:space="preserve">Es el documento fiscal que emite la persona física o moral para </w:t>
      </w:r>
      <w:r w:rsidRPr="00B75FED">
        <w:rPr>
          <w:rFonts w:eastAsia="Palatino Linotype" w:cs="Palatino Linotype"/>
          <w:b/>
          <w:i/>
          <w:sz w:val="22"/>
          <w:u w:val="single"/>
          <w:lang w:eastAsia="es-ES"/>
        </w:rPr>
        <w:t>comprobar la venta o adquisición de un bien y/o servicio</w:t>
      </w:r>
      <w:r w:rsidRPr="004C5465">
        <w:rPr>
          <w:rFonts w:eastAsia="Palatino Linotype" w:cs="Palatino Linotype"/>
          <w:i/>
          <w:szCs w:val="24"/>
          <w:lang w:eastAsia="es-ES"/>
        </w:rPr>
        <w:t>.” (Sic) (Énfasis añadido)</w:t>
      </w:r>
    </w:p>
    <w:p w14:paraId="30F5D430" w14:textId="77777777" w:rsidR="00B75FED" w:rsidRPr="004C5465" w:rsidRDefault="00B75FED" w:rsidP="00B75FED">
      <w:pPr>
        <w:spacing w:line="240" w:lineRule="auto"/>
        <w:ind w:left="567" w:right="567"/>
        <w:rPr>
          <w:rFonts w:eastAsia="Palatino Linotype" w:cs="Palatino Linotype"/>
          <w:i/>
          <w:szCs w:val="24"/>
          <w:lang w:eastAsia="es-ES"/>
        </w:rPr>
      </w:pPr>
    </w:p>
    <w:p w14:paraId="7B641FE5" w14:textId="77777777" w:rsidR="00B75FED" w:rsidRPr="004C5465" w:rsidRDefault="00B75FED" w:rsidP="00B75FED">
      <w:pPr>
        <w:spacing w:line="240" w:lineRule="auto"/>
        <w:ind w:left="851" w:right="851"/>
        <w:rPr>
          <w:rFonts w:eastAsia="Palatino Linotype" w:cs="Palatino Linotype"/>
          <w:i/>
          <w:szCs w:val="24"/>
          <w:lang w:eastAsia="es-ES"/>
        </w:rPr>
      </w:pPr>
    </w:p>
    <w:p w14:paraId="4B289CEF" w14:textId="77777777" w:rsidR="00B75FED" w:rsidRPr="004C5465" w:rsidRDefault="00B75FED" w:rsidP="00B75FED">
      <w:pPr>
        <w:rPr>
          <w:rFonts w:eastAsia="Palatino Linotype" w:cs="Palatino Linotype"/>
          <w:szCs w:val="24"/>
          <w:lang w:eastAsia="es-ES"/>
        </w:rPr>
      </w:pPr>
      <w:r w:rsidRPr="004C5465">
        <w:rPr>
          <w:rFonts w:eastAsia="Palatino Linotype" w:cs="Palatino Linotype"/>
          <w:szCs w:val="24"/>
          <w:lang w:eastAsia="es-ES"/>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4C5465">
        <w:rPr>
          <w:rFonts w:eastAsia="Palatino Linotype" w:cs="Palatino Linotype"/>
          <w:color w:val="000000"/>
          <w:szCs w:val="24"/>
          <w:lang w:eastAsia="es-ES"/>
        </w:rPr>
        <w:t xml:space="preserve">os recursos económicos del Estado, de los Municipios, así como de los Organismos Autónomos, se administrarán con eficiencia, eficacia y honradez, para cumplir con los objetivos y programas a los que estén destinados. </w:t>
      </w:r>
    </w:p>
    <w:p w14:paraId="701969B1" w14:textId="77777777" w:rsidR="00B75FED" w:rsidRPr="004C5465" w:rsidRDefault="00B75FED" w:rsidP="00B75FED">
      <w:pPr>
        <w:ind w:right="49"/>
        <w:contextualSpacing/>
        <w:rPr>
          <w:rFonts w:eastAsia="Times New Roman" w:cs="Arial"/>
          <w:szCs w:val="24"/>
          <w:lang w:eastAsia="es-ES"/>
        </w:rPr>
      </w:pPr>
    </w:p>
    <w:p w14:paraId="19F8A895" w14:textId="77777777" w:rsidR="00B75FED" w:rsidRPr="004C5465" w:rsidRDefault="00B75FED" w:rsidP="00B75FED">
      <w:pPr>
        <w:ind w:right="49"/>
        <w:contextualSpacing/>
        <w:rPr>
          <w:rFonts w:eastAsia="Times New Roman" w:cs="Arial"/>
          <w:szCs w:val="24"/>
          <w:lang w:eastAsia="es-ES"/>
        </w:rPr>
      </w:pPr>
      <w:r w:rsidRPr="004C5465">
        <w:rPr>
          <w:rFonts w:eastAsia="Times New Roman" w:cs="Arial"/>
          <w:szCs w:val="24"/>
          <w:lang w:eastAsia="es-ES"/>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73682A93" w14:textId="77777777" w:rsidR="00B75FED" w:rsidRPr="004C5465" w:rsidRDefault="00B75FED" w:rsidP="00B75FED">
      <w:pPr>
        <w:spacing w:line="240" w:lineRule="auto"/>
        <w:ind w:left="567" w:right="567"/>
        <w:rPr>
          <w:rFonts w:eastAsia="Times New Roman" w:cs="Arial"/>
          <w:bCs/>
          <w:i/>
          <w:color w:val="000000"/>
          <w:szCs w:val="24"/>
          <w:lang w:eastAsia="es-ES"/>
        </w:rPr>
      </w:pPr>
    </w:p>
    <w:p w14:paraId="7E36506B" w14:textId="77777777" w:rsidR="00B75FED" w:rsidRPr="00B75FED" w:rsidRDefault="00B75FED" w:rsidP="00B75FED">
      <w:pPr>
        <w:spacing w:line="240" w:lineRule="auto"/>
        <w:ind w:left="567" w:right="567"/>
        <w:rPr>
          <w:rFonts w:eastAsia="Times New Roman" w:cs="Times New Roman"/>
          <w:b/>
          <w:i/>
          <w:sz w:val="22"/>
          <w:lang w:eastAsia="es-ES"/>
        </w:rPr>
      </w:pPr>
      <w:r w:rsidRPr="004C5465">
        <w:rPr>
          <w:rFonts w:eastAsia="Times New Roman" w:cs="Arial"/>
          <w:bCs/>
          <w:i/>
          <w:color w:val="000000"/>
          <w:szCs w:val="24"/>
          <w:lang w:eastAsia="es-ES"/>
        </w:rPr>
        <w:t>“</w:t>
      </w:r>
      <w:r w:rsidRPr="00B75FED">
        <w:rPr>
          <w:rFonts w:eastAsia="Times New Roman" w:cs="Times New Roman"/>
          <w:b/>
          <w:i/>
          <w:sz w:val="22"/>
          <w:lang w:eastAsia="es-ES"/>
        </w:rPr>
        <w:t>Artículo 342.-</w:t>
      </w:r>
      <w:r w:rsidRPr="00B75FED">
        <w:rPr>
          <w:rFonts w:eastAsia="Times New Roman" w:cs="Times New Roman"/>
          <w:i/>
          <w:sz w:val="22"/>
          <w:lang w:eastAsia="es-ES"/>
        </w:rPr>
        <w:t xml:space="preserve"> </w:t>
      </w:r>
      <w:r w:rsidRPr="00B75FED">
        <w:rPr>
          <w:rFonts w:eastAsia="Times New Roman" w:cs="Times New Roman"/>
          <w:b/>
          <w:i/>
          <w:sz w:val="22"/>
          <w:lang w:eastAsia="es-ES"/>
        </w:rPr>
        <w:t xml:space="preserve">El registro contable del efecto patrimonial y presupuestal de las operaciones financieras, se realizará conforme al sistema y a las disposiciones que se aprueben en materia </w:t>
      </w:r>
      <w:r w:rsidRPr="00B75FED">
        <w:rPr>
          <w:rFonts w:eastAsia="Times New Roman" w:cs="Times New Roman"/>
          <w:i/>
          <w:sz w:val="22"/>
          <w:lang w:eastAsia="es-ES"/>
        </w:rPr>
        <w:t xml:space="preserve">de </w:t>
      </w:r>
      <w:r w:rsidRPr="00B75FED">
        <w:rPr>
          <w:rFonts w:eastAsia="Times New Roman" w:cs="Arial"/>
          <w:i/>
          <w:color w:val="000000"/>
          <w:sz w:val="22"/>
          <w:lang w:eastAsia="es-ES"/>
        </w:rPr>
        <w:t>planeación</w:t>
      </w:r>
      <w:r w:rsidRPr="00B75FED">
        <w:rPr>
          <w:rFonts w:eastAsia="Times New Roman" w:cs="Times New Roman"/>
          <w:i/>
          <w:sz w:val="22"/>
          <w:lang w:eastAsia="es-ES"/>
        </w:rPr>
        <w:t>,</w:t>
      </w:r>
      <w:r w:rsidRPr="00B75FED">
        <w:rPr>
          <w:rFonts w:eastAsia="Times New Roman" w:cs="Times New Roman"/>
          <w:b/>
          <w:i/>
          <w:sz w:val="22"/>
          <w:lang w:eastAsia="es-ES"/>
        </w:rPr>
        <w:t xml:space="preserve"> programación, presupuestación</w:t>
      </w:r>
      <w:r w:rsidRPr="00B75FED">
        <w:rPr>
          <w:rFonts w:eastAsia="Times New Roman" w:cs="Times New Roman"/>
          <w:i/>
          <w:sz w:val="22"/>
          <w:lang w:eastAsia="es-ES"/>
        </w:rPr>
        <w:t xml:space="preserve">, evaluación y </w:t>
      </w:r>
      <w:r w:rsidRPr="00B75FED">
        <w:rPr>
          <w:rFonts w:eastAsia="Times New Roman" w:cs="Arial"/>
          <w:b/>
          <w:i/>
          <w:color w:val="000000"/>
          <w:sz w:val="22"/>
          <w:lang w:eastAsia="es-ES"/>
        </w:rPr>
        <w:t>contabilidad</w:t>
      </w:r>
      <w:r w:rsidRPr="00B75FED">
        <w:rPr>
          <w:rFonts w:eastAsia="Times New Roman" w:cs="Times New Roman"/>
          <w:b/>
          <w:i/>
          <w:sz w:val="22"/>
          <w:lang w:eastAsia="es-ES"/>
        </w:rPr>
        <w:t xml:space="preserve"> gubernamental.</w:t>
      </w:r>
      <w:r w:rsidRPr="00B75FED">
        <w:rPr>
          <w:rFonts w:eastAsia="Times New Roman" w:cs="Times New Roman"/>
          <w:i/>
          <w:sz w:val="22"/>
          <w:lang w:eastAsia="es-ES"/>
        </w:rPr>
        <w:t xml:space="preserve"> </w:t>
      </w:r>
    </w:p>
    <w:p w14:paraId="04B8255E" w14:textId="77777777" w:rsidR="00B75FED" w:rsidRPr="00B75FED" w:rsidRDefault="00B75FED" w:rsidP="00B75FED">
      <w:pPr>
        <w:spacing w:line="240" w:lineRule="auto"/>
        <w:ind w:left="567" w:right="567"/>
        <w:rPr>
          <w:rFonts w:eastAsia="Times New Roman" w:cs="Times New Roman"/>
          <w:b/>
          <w:i/>
          <w:sz w:val="22"/>
          <w:lang w:eastAsia="es-ES"/>
        </w:rPr>
      </w:pPr>
      <w:r w:rsidRPr="00B75FED">
        <w:rPr>
          <w:rFonts w:eastAsia="Times New Roman" w:cs="Arial"/>
          <w:b/>
          <w:bCs/>
          <w:i/>
          <w:color w:val="000000"/>
          <w:sz w:val="22"/>
          <w:lang w:eastAsia="es-ES"/>
        </w:rPr>
        <w:t>…</w:t>
      </w:r>
    </w:p>
    <w:p w14:paraId="277E2A71" w14:textId="77777777" w:rsidR="00B75FED" w:rsidRPr="00B75FED" w:rsidRDefault="00B75FED" w:rsidP="00B75FED">
      <w:pPr>
        <w:spacing w:line="240" w:lineRule="auto"/>
        <w:ind w:left="567" w:right="567"/>
        <w:rPr>
          <w:rFonts w:eastAsia="Times New Roman" w:cs="Times New Roman"/>
          <w:i/>
          <w:sz w:val="22"/>
          <w:lang w:eastAsia="es-ES"/>
        </w:rPr>
      </w:pPr>
      <w:r w:rsidRPr="00B75FED">
        <w:rPr>
          <w:rFonts w:eastAsia="Times New Roman" w:cs="Times New Roman"/>
          <w:b/>
          <w:i/>
          <w:sz w:val="22"/>
          <w:lang w:eastAsia="es-ES"/>
        </w:rPr>
        <w:t>Artículo 343.-</w:t>
      </w:r>
      <w:r w:rsidRPr="00B75FED">
        <w:rPr>
          <w:rFonts w:eastAsia="Times New Roman" w:cs="Times New Roman"/>
          <w:i/>
          <w:sz w:val="22"/>
          <w:lang w:eastAsia="es-E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2E2EF9BC" w14:textId="77777777" w:rsidR="00B75FED" w:rsidRPr="00B75FED" w:rsidRDefault="00B75FED" w:rsidP="00B75FED">
      <w:pPr>
        <w:spacing w:line="240" w:lineRule="auto"/>
        <w:ind w:left="567" w:right="567"/>
        <w:rPr>
          <w:rFonts w:eastAsia="Times New Roman" w:cs="Times New Roman"/>
          <w:i/>
          <w:sz w:val="22"/>
          <w:lang w:eastAsia="es-ES"/>
        </w:rPr>
      </w:pPr>
      <w:r w:rsidRPr="00B75FED">
        <w:rPr>
          <w:rFonts w:eastAsia="Times New Roman" w:cs="Times New Roman"/>
          <w:i/>
          <w:sz w:val="22"/>
          <w:lang w:eastAsia="es-ES"/>
        </w:rPr>
        <w:t xml:space="preserve">El sistema de contabilidad sobre base acumulativa total se sustentará en los postulados básicos y el marco conceptual de la contabilidad gubernamental. </w:t>
      </w:r>
    </w:p>
    <w:p w14:paraId="5B2F5C1D" w14:textId="77777777" w:rsidR="00B75FED" w:rsidRPr="00B75FED" w:rsidRDefault="00B75FED" w:rsidP="00B75FED">
      <w:pPr>
        <w:spacing w:line="240" w:lineRule="auto"/>
        <w:ind w:left="567" w:right="567"/>
        <w:rPr>
          <w:rFonts w:eastAsia="Times New Roman" w:cs="Times New Roman"/>
          <w:i/>
          <w:sz w:val="22"/>
          <w:lang w:eastAsia="es-ES"/>
        </w:rPr>
      </w:pPr>
    </w:p>
    <w:p w14:paraId="42EDB4EE" w14:textId="77777777" w:rsidR="00B75FED" w:rsidRPr="00B75FED" w:rsidRDefault="00B75FED" w:rsidP="00B75FED">
      <w:pPr>
        <w:spacing w:line="240" w:lineRule="auto"/>
        <w:ind w:left="567" w:right="567"/>
        <w:rPr>
          <w:rFonts w:eastAsia="Times New Roman" w:cs="Times New Roman"/>
          <w:i/>
          <w:sz w:val="22"/>
          <w:lang w:eastAsia="es-ES"/>
        </w:rPr>
      </w:pPr>
      <w:r w:rsidRPr="00B75FED">
        <w:rPr>
          <w:rFonts w:eastAsia="Times New Roman" w:cs="Times New Roman"/>
          <w:b/>
          <w:i/>
          <w:sz w:val="22"/>
          <w:lang w:eastAsia="es-ES"/>
        </w:rPr>
        <w:lastRenderedPageBreak/>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B75FED">
        <w:rPr>
          <w:rFonts w:eastAsia="Times New Roman" w:cs="Times New Roman"/>
          <w:i/>
          <w:sz w:val="22"/>
          <w:lang w:eastAsia="es-ES"/>
        </w:rPr>
        <w:t xml:space="preserve">en el caso de los Municipios se hará por la Tesorería. </w:t>
      </w:r>
    </w:p>
    <w:p w14:paraId="3442D39F" w14:textId="77777777" w:rsidR="00B75FED" w:rsidRPr="00B75FED" w:rsidRDefault="00B75FED" w:rsidP="00B75FED">
      <w:pPr>
        <w:autoSpaceDE w:val="0"/>
        <w:autoSpaceDN w:val="0"/>
        <w:adjustRightInd w:val="0"/>
        <w:spacing w:line="240" w:lineRule="auto"/>
        <w:ind w:left="567" w:right="567"/>
        <w:rPr>
          <w:rFonts w:eastAsia="Times New Roman" w:cs="Times New Roman"/>
          <w:i/>
          <w:sz w:val="22"/>
          <w:lang w:eastAsia="es-ES"/>
        </w:rPr>
      </w:pPr>
      <w:r w:rsidRPr="00B75FED">
        <w:rPr>
          <w:rFonts w:eastAsia="Times New Roman" w:cs="Times New Roman"/>
          <w:i/>
          <w:sz w:val="22"/>
          <w:lang w:eastAsia="es-ES"/>
        </w:rPr>
        <w:t xml:space="preserve">Derogado. </w:t>
      </w:r>
    </w:p>
    <w:p w14:paraId="02BD4758" w14:textId="77777777" w:rsidR="00B75FED" w:rsidRPr="00B75FED" w:rsidRDefault="00B75FED" w:rsidP="00B75FED">
      <w:pPr>
        <w:autoSpaceDE w:val="0"/>
        <w:autoSpaceDN w:val="0"/>
        <w:adjustRightInd w:val="0"/>
        <w:spacing w:line="240" w:lineRule="auto"/>
        <w:ind w:left="567" w:right="567"/>
        <w:rPr>
          <w:rFonts w:eastAsia="Times New Roman" w:cs="Times New Roman"/>
          <w:i/>
          <w:sz w:val="22"/>
          <w:lang w:eastAsia="es-ES"/>
        </w:rPr>
      </w:pPr>
    </w:p>
    <w:p w14:paraId="3266A082" w14:textId="77777777" w:rsidR="00B75FED" w:rsidRPr="00B75FED" w:rsidRDefault="00B75FED" w:rsidP="00B75FED">
      <w:pPr>
        <w:spacing w:line="240" w:lineRule="auto"/>
        <w:ind w:left="567" w:right="567"/>
        <w:rPr>
          <w:rFonts w:eastAsia="Times New Roman" w:cs="Times New Roman"/>
          <w:i/>
          <w:sz w:val="22"/>
          <w:lang w:eastAsia="es-ES"/>
        </w:rPr>
      </w:pPr>
      <w:r w:rsidRPr="00B75FED">
        <w:rPr>
          <w:rFonts w:eastAsia="Times New Roman" w:cs="Times New Roman"/>
          <w:b/>
          <w:i/>
          <w:sz w:val="22"/>
          <w:lang w:eastAsia="es-E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B75FED">
        <w:rPr>
          <w:rFonts w:eastAsia="Times New Roman" w:cs="Times New Roman"/>
          <w:i/>
          <w:sz w:val="22"/>
          <w:lang w:eastAsia="es-ES"/>
        </w:rPr>
        <w:t xml:space="preserve"> a partir del ejercicio presupuestal siguiente al que corresponda, en el caso de los municipios se hará por la Tesorería. </w:t>
      </w:r>
    </w:p>
    <w:p w14:paraId="26287525" w14:textId="77777777" w:rsidR="00B75FED" w:rsidRPr="00B75FED" w:rsidRDefault="00B75FED" w:rsidP="00B75FED">
      <w:pPr>
        <w:autoSpaceDE w:val="0"/>
        <w:autoSpaceDN w:val="0"/>
        <w:adjustRightInd w:val="0"/>
        <w:spacing w:line="240" w:lineRule="auto"/>
        <w:ind w:left="567" w:right="567"/>
        <w:rPr>
          <w:rFonts w:eastAsia="Times New Roman" w:cs="Times New Roman"/>
          <w:i/>
          <w:sz w:val="22"/>
          <w:lang w:eastAsia="es-ES"/>
        </w:rPr>
      </w:pPr>
      <w:r w:rsidRPr="00B75FED">
        <w:rPr>
          <w:rFonts w:eastAsia="Times New Roman" w:cs="Times New Roman"/>
          <w:i/>
          <w:sz w:val="22"/>
          <w:lang w:eastAsia="es-ES"/>
        </w:rPr>
        <w:t>…</w:t>
      </w:r>
    </w:p>
    <w:p w14:paraId="7922D5B8" w14:textId="77777777" w:rsidR="00B75FED" w:rsidRPr="00B75FED" w:rsidRDefault="00B75FED" w:rsidP="00B75FED">
      <w:pPr>
        <w:spacing w:line="240" w:lineRule="auto"/>
        <w:ind w:left="567" w:right="567"/>
        <w:rPr>
          <w:rFonts w:eastAsia="Times New Roman" w:cs="Times New Roman"/>
          <w:i/>
          <w:sz w:val="22"/>
          <w:lang w:eastAsia="es-ES"/>
        </w:rPr>
      </w:pPr>
      <w:r w:rsidRPr="00B75FED">
        <w:rPr>
          <w:rFonts w:eastAsia="Times New Roman" w:cs="Times New Roman"/>
          <w:b/>
          <w:i/>
          <w:sz w:val="22"/>
          <w:lang w:eastAsia="es-ES"/>
        </w:rPr>
        <w:t>Artículo 345.-</w:t>
      </w:r>
      <w:r w:rsidRPr="00B75FED">
        <w:rPr>
          <w:rFonts w:eastAsia="Times New Roman" w:cs="Times New Roman"/>
          <w:i/>
          <w:sz w:val="22"/>
          <w:lang w:eastAsia="es-ES"/>
        </w:rPr>
        <w:t xml:space="preserve"> </w:t>
      </w:r>
      <w:r w:rsidRPr="00B75FED">
        <w:rPr>
          <w:rFonts w:eastAsia="Times New Roman" w:cs="Times New Roman"/>
          <w:b/>
          <w:i/>
          <w:sz w:val="22"/>
          <w:lang w:eastAsia="es-ES"/>
        </w:rPr>
        <w:t>Las Dependencias, Entidades Públicas y unidades administrativas deberán conservar la documentación contable del año en curso y la de ejercicios anteriores cuyas cuentas públicas hayan sido revisadas y fiscalizadas por la Legislatura</w:t>
      </w:r>
      <w:r w:rsidRPr="00B75FED">
        <w:rPr>
          <w:rFonts w:eastAsia="Times New Roman" w:cs="Times New Roman"/>
          <w:i/>
          <w:sz w:val="22"/>
          <w:lang w:eastAsia="es-ES"/>
        </w:rPr>
        <w:t xml:space="preserve">, la remitirán en un plazo que no excederá de seis meses al Archivo Contable Gubernamental. </w:t>
      </w:r>
      <w:r w:rsidRPr="00B75FED">
        <w:rPr>
          <w:rFonts w:eastAsia="Times New Roman" w:cs="Times New Roman"/>
          <w:b/>
          <w:i/>
          <w:sz w:val="22"/>
          <w:lang w:eastAsia="es-ES"/>
        </w:rPr>
        <w:t>Tratándose de los comprobantes fiscales digitales, estos deberán estar agregados en forma electrónica en cada póliza de registro contable</w:t>
      </w:r>
      <w:r w:rsidRPr="00B75FED">
        <w:rPr>
          <w:rFonts w:eastAsia="Times New Roman" w:cs="Times New Roman"/>
          <w:i/>
          <w:sz w:val="22"/>
          <w:lang w:eastAsia="es-ES"/>
        </w:rPr>
        <w:t xml:space="preserve">. </w:t>
      </w:r>
    </w:p>
    <w:p w14:paraId="4C3D9E11" w14:textId="0EF9C333" w:rsidR="00B75FED" w:rsidRPr="00B75FED" w:rsidRDefault="00B75FED" w:rsidP="00B75FED">
      <w:pPr>
        <w:spacing w:line="240" w:lineRule="auto"/>
        <w:ind w:left="567" w:right="567"/>
        <w:rPr>
          <w:rFonts w:eastAsia="Times New Roman" w:cs="Arial"/>
          <w:bCs/>
          <w:i/>
          <w:color w:val="000000"/>
          <w:szCs w:val="24"/>
          <w:lang w:eastAsia="es-ES"/>
        </w:rPr>
      </w:pPr>
      <w:r w:rsidRPr="00B75FED">
        <w:rPr>
          <w:rFonts w:eastAsia="Times New Roman" w:cs="Times New Roman"/>
          <w:i/>
          <w:sz w:val="22"/>
          <w:lang w:eastAsia="es-ES"/>
        </w:rPr>
        <w:t>El plazo señalado en el párrafo anterior, empezará a contar a partir de la publicación en el Periódico Oficial, del decreto correspondiente</w:t>
      </w:r>
      <w:r w:rsidRPr="004C5465">
        <w:rPr>
          <w:rFonts w:eastAsia="Times New Roman" w:cs="Times New Roman"/>
          <w:i/>
          <w:szCs w:val="24"/>
          <w:lang w:eastAsia="es-ES"/>
        </w:rPr>
        <w:t>.</w:t>
      </w:r>
      <w:r w:rsidRPr="004C5465">
        <w:rPr>
          <w:rFonts w:eastAsia="Times New Roman" w:cs="Arial"/>
          <w:bCs/>
          <w:i/>
          <w:color w:val="000000"/>
          <w:szCs w:val="24"/>
          <w:lang w:eastAsia="es-ES"/>
        </w:rPr>
        <w:t xml:space="preserve"> “</w:t>
      </w:r>
      <w:r w:rsidRPr="004C5465">
        <w:rPr>
          <w:rFonts w:eastAsia="Times New Roman" w:cs="Arial"/>
          <w:i/>
          <w:szCs w:val="24"/>
          <w:lang w:eastAsia="es-ES"/>
        </w:rPr>
        <w:t>(Sic)</w:t>
      </w:r>
      <w:r w:rsidRPr="004C5465">
        <w:rPr>
          <w:rFonts w:eastAsia="Times New Roman" w:cs="Arial"/>
          <w:bCs/>
          <w:i/>
          <w:color w:val="000000"/>
          <w:szCs w:val="24"/>
          <w:lang w:eastAsia="es-ES"/>
        </w:rPr>
        <w:t xml:space="preserve"> </w:t>
      </w:r>
      <w:r>
        <w:rPr>
          <w:rFonts w:eastAsia="Times New Roman" w:cs="Arial"/>
          <w:bCs/>
          <w:i/>
          <w:color w:val="000000"/>
          <w:szCs w:val="24"/>
          <w:lang w:eastAsia="es-ES"/>
        </w:rPr>
        <w:t xml:space="preserve">   </w:t>
      </w:r>
      <w:r w:rsidRPr="00B75FED">
        <w:rPr>
          <w:rFonts w:eastAsia="Times New Roman" w:cs="Arial"/>
          <w:bCs/>
          <w:color w:val="000000"/>
          <w:sz w:val="22"/>
          <w:lang w:eastAsia="es-ES"/>
        </w:rPr>
        <w:t>(Énfasis añadido)</w:t>
      </w:r>
    </w:p>
    <w:p w14:paraId="72E5C4D2" w14:textId="77777777" w:rsidR="00B75FED" w:rsidRPr="004C5465" w:rsidRDefault="00B75FED" w:rsidP="00B75FED">
      <w:pPr>
        <w:spacing w:line="240" w:lineRule="auto"/>
        <w:ind w:left="567" w:right="567"/>
        <w:jc w:val="right"/>
        <w:rPr>
          <w:rFonts w:eastAsia="Times New Roman" w:cs="Arial"/>
          <w:bCs/>
          <w:color w:val="000000"/>
          <w:szCs w:val="24"/>
          <w:lang w:eastAsia="es-ES"/>
        </w:rPr>
      </w:pPr>
    </w:p>
    <w:p w14:paraId="73BC938A" w14:textId="77777777" w:rsidR="00B75FED" w:rsidRPr="004C5465" w:rsidRDefault="00B75FED" w:rsidP="00B75FED">
      <w:pPr>
        <w:contextualSpacing/>
        <w:rPr>
          <w:rFonts w:eastAsia="Times New Roman" w:cs="Arial"/>
          <w:bCs/>
          <w:color w:val="000000"/>
          <w:szCs w:val="24"/>
          <w:lang w:eastAsia="es-ES"/>
        </w:rPr>
      </w:pPr>
      <w:r w:rsidRPr="004C5465">
        <w:rPr>
          <w:rFonts w:eastAsia="Times New Roman" w:cs="Arial"/>
          <w:szCs w:val="24"/>
          <w:lang w:eastAsia="es-ES"/>
        </w:rPr>
        <w:t>De una interpretación sistemática de los artículos transcritos, se desprende primeramente que el</w:t>
      </w:r>
      <w:r w:rsidRPr="004C5465">
        <w:rPr>
          <w:rFonts w:eastAsia="Times New Roman" w:cs="Arial"/>
          <w:bCs/>
          <w:color w:val="000000"/>
          <w:szCs w:val="24"/>
          <w:lang w:eastAsia="es-ES"/>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2474FAAA" w14:textId="77777777" w:rsidR="00B75FED" w:rsidRPr="004C5465" w:rsidRDefault="00B75FED" w:rsidP="00B75FED">
      <w:pPr>
        <w:rPr>
          <w:rFonts w:eastAsia="Times New Roman" w:cs="Arial"/>
          <w:bCs/>
          <w:color w:val="000000"/>
          <w:szCs w:val="24"/>
          <w:lang w:eastAsia="es-ES"/>
        </w:rPr>
      </w:pPr>
    </w:p>
    <w:p w14:paraId="36C10408" w14:textId="77777777" w:rsidR="00B75FED" w:rsidRPr="004C5465" w:rsidRDefault="00B75FED" w:rsidP="00B75FED">
      <w:pPr>
        <w:contextualSpacing/>
        <w:rPr>
          <w:rFonts w:eastAsia="Times New Roman" w:cs="Arial"/>
          <w:bCs/>
          <w:color w:val="000000"/>
          <w:szCs w:val="24"/>
          <w:lang w:eastAsia="es-ES"/>
        </w:rPr>
      </w:pPr>
      <w:r w:rsidRPr="004C5465">
        <w:rPr>
          <w:rFonts w:eastAsia="Times New Roman" w:cs="Arial"/>
          <w:szCs w:val="24"/>
          <w:lang w:eastAsia="es-ES"/>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4C5465">
        <w:rPr>
          <w:rFonts w:eastAsia="Times New Roman" w:cs="Arial"/>
          <w:szCs w:val="24"/>
        </w:rPr>
        <w:t xml:space="preserve">; sin embargo, el “Glosario de </w:t>
      </w:r>
      <w:r w:rsidRPr="004C5465">
        <w:rPr>
          <w:rFonts w:eastAsia="Times New Roman" w:cs="Arial"/>
          <w:szCs w:val="24"/>
        </w:rPr>
        <w:lastRenderedPageBreak/>
        <w:t xml:space="preserve">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25C46A32" w14:textId="77777777" w:rsidR="00B75FED" w:rsidRPr="004C5465" w:rsidRDefault="00B75FED" w:rsidP="00B75FED">
      <w:pPr>
        <w:rPr>
          <w:rFonts w:eastAsia="Times New Roman" w:cs="Arial"/>
          <w:bCs/>
          <w:color w:val="000000"/>
          <w:szCs w:val="24"/>
          <w:lang w:eastAsia="es-ES"/>
        </w:rPr>
      </w:pPr>
    </w:p>
    <w:p w14:paraId="7B2AB7FB" w14:textId="77777777" w:rsidR="00B75FED" w:rsidRPr="00EE1B1D" w:rsidRDefault="00B75FED" w:rsidP="00B75FED">
      <w:pPr>
        <w:spacing w:line="240" w:lineRule="auto"/>
        <w:ind w:left="567" w:right="567"/>
        <w:rPr>
          <w:rFonts w:eastAsia="Times New Roman" w:cs="Arial"/>
          <w:b/>
          <w:i/>
          <w:sz w:val="22"/>
        </w:rPr>
      </w:pPr>
      <w:r w:rsidRPr="00EE1B1D">
        <w:rPr>
          <w:rFonts w:eastAsia="Times New Roman" w:cs="Arial"/>
          <w:b/>
          <w:i/>
          <w:sz w:val="22"/>
        </w:rPr>
        <w:t xml:space="preserve">“REGISTRO CONTABLE </w:t>
      </w:r>
    </w:p>
    <w:p w14:paraId="30E124C0" w14:textId="77777777" w:rsidR="00B75FED" w:rsidRPr="00EE1B1D" w:rsidRDefault="00B75FED" w:rsidP="00B75FED">
      <w:pPr>
        <w:spacing w:line="240" w:lineRule="auto"/>
        <w:ind w:left="567" w:right="567"/>
        <w:rPr>
          <w:rFonts w:eastAsia="Times New Roman" w:cs="Arial"/>
          <w:i/>
          <w:sz w:val="22"/>
          <w:lang w:eastAsia="es-ES"/>
        </w:rPr>
      </w:pPr>
      <w:r w:rsidRPr="00EE1B1D">
        <w:rPr>
          <w:rFonts w:eastAsia="Times New Roman" w:cs="Arial"/>
          <w:i/>
          <w:sz w:val="22"/>
        </w:rPr>
        <w:t xml:space="preserve">Asiento que se realiza en los libros de contabilidad de las actividades relacionadas con el ingreso y egresos de un ente económico.” </w:t>
      </w:r>
      <w:r w:rsidRPr="00EE1B1D">
        <w:rPr>
          <w:rFonts w:eastAsia="Times New Roman" w:cs="Arial"/>
          <w:i/>
          <w:sz w:val="22"/>
          <w:lang w:eastAsia="es-ES"/>
        </w:rPr>
        <w:t>(Sic)</w:t>
      </w:r>
    </w:p>
    <w:p w14:paraId="484BAA4C" w14:textId="77777777" w:rsidR="00B75FED" w:rsidRPr="00EE1B1D" w:rsidRDefault="00B75FED" w:rsidP="00B75FED">
      <w:pPr>
        <w:spacing w:line="240" w:lineRule="auto"/>
        <w:ind w:left="567" w:right="567"/>
        <w:rPr>
          <w:rFonts w:eastAsia="Times New Roman" w:cs="Arial"/>
          <w:i/>
          <w:sz w:val="22"/>
        </w:rPr>
      </w:pPr>
    </w:p>
    <w:p w14:paraId="19D10991" w14:textId="77777777" w:rsidR="00B75FED" w:rsidRPr="00EE1B1D" w:rsidRDefault="00B75FED" w:rsidP="00B75FED">
      <w:pPr>
        <w:spacing w:line="240" w:lineRule="auto"/>
        <w:ind w:left="567" w:right="567"/>
        <w:rPr>
          <w:rFonts w:eastAsia="Times New Roman" w:cs="Arial"/>
          <w:b/>
          <w:i/>
          <w:sz w:val="22"/>
        </w:rPr>
      </w:pPr>
      <w:r w:rsidRPr="00EE1B1D">
        <w:rPr>
          <w:rFonts w:eastAsia="Times New Roman" w:cs="Arial"/>
          <w:b/>
          <w:i/>
          <w:sz w:val="22"/>
        </w:rPr>
        <w:t>“REGISTRO PRESUPUESTARIO</w:t>
      </w:r>
    </w:p>
    <w:p w14:paraId="0368BEFF" w14:textId="77777777" w:rsidR="00B75FED" w:rsidRPr="004C5465" w:rsidRDefault="00B75FED" w:rsidP="00B75FED">
      <w:pPr>
        <w:spacing w:line="240" w:lineRule="auto"/>
        <w:ind w:left="567" w:right="567"/>
        <w:rPr>
          <w:rFonts w:eastAsia="Times New Roman" w:cs="Arial"/>
          <w:i/>
          <w:szCs w:val="24"/>
          <w:lang w:eastAsia="es-ES"/>
        </w:rPr>
      </w:pPr>
      <w:r w:rsidRPr="00EE1B1D">
        <w:rPr>
          <w:rFonts w:eastAsia="Times New Roman" w:cs="Arial"/>
          <w:i/>
          <w:sz w:val="22"/>
        </w:rPr>
        <w:t>Asiento contable de las erogaciones realizadas por las dependencias y entidades con relación a la asignación, modificación y ejercicio de los recursos presupuestarios que se les hayan autorizado</w:t>
      </w:r>
      <w:r w:rsidRPr="004C5465">
        <w:rPr>
          <w:rFonts w:eastAsia="Times New Roman" w:cs="Arial"/>
          <w:i/>
          <w:szCs w:val="24"/>
        </w:rPr>
        <w:t xml:space="preserve">.” </w:t>
      </w:r>
      <w:r w:rsidRPr="004C5465">
        <w:rPr>
          <w:rFonts w:eastAsia="Times New Roman" w:cs="Arial"/>
          <w:i/>
          <w:szCs w:val="24"/>
          <w:lang w:eastAsia="es-ES"/>
        </w:rPr>
        <w:t>(Sic)</w:t>
      </w:r>
    </w:p>
    <w:p w14:paraId="6473DC68" w14:textId="77777777" w:rsidR="00B75FED" w:rsidRPr="004C5465" w:rsidRDefault="00B75FED" w:rsidP="00B75FED">
      <w:pPr>
        <w:contextualSpacing/>
        <w:rPr>
          <w:rFonts w:eastAsia="Times New Roman" w:cs="Arial"/>
          <w:bCs/>
          <w:color w:val="000000"/>
          <w:szCs w:val="24"/>
          <w:lang w:eastAsia="es-ES"/>
        </w:rPr>
      </w:pPr>
    </w:p>
    <w:p w14:paraId="4BDB5C38" w14:textId="77777777" w:rsidR="00B75FED" w:rsidRPr="004C5465" w:rsidRDefault="00B75FED" w:rsidP="00B75FED">
      <w:pPr>
        <w:contextualSpacing/>
        <w:rPr>
          <w:rFonts w:eastAsia="Times New Roman" w:cs="Arial"/>
          <w:bCs/>
          <w:color w:val="000000"/>
          <w:szCs w:val="24"/>
          <w:lang w:eastAsia="es-ES"/>
        </w:rPr>
      </w:pPr>
      <w:r w:rsidRPr="004C5465">
        <w:rPr>
          <w:rFonts w:eastAsia="Times New Roman" w:cs="Arial"/>
          <w:bCs/>
          <w:color w:val="000000"/>
          <w:szCs w:val="24"/>
          <w:lang w:eastAsia="es-ES"/>
        </w:rPr>
        <w:t xml:space="preserve">Por otra parte, se establece que el sistema de contabilidad sobre base acumulativa total se sustentará en los principios de contabilidad gubernamental, igualmente señalan que los </w:t>
      </w:r>
      <w:r>
        <w:rPr>
          <w:rFonts w:eastAsia="Times New Roman" w:cs="Arial"/>
          <w:b/>
          <w:bCs/>
          <w:color w:val="000000"/>
          <w:szCs w:val="24"/>
          <w:lang w:eastAsia="es-ES"/>
        </w:rPr>
        <w:t>Sujetos O</w:t>
      </w:r>
      <w:r w:rsidRPr="004C5465">
        <w:rPr>
          <w:rFonts w:eastAsia="Times New Roman" w:cs="Arial"/>
          <w:b/>
          <w:bCs/>
          <w:color w:val="000000"/>
          <w:szCs w:val="24"/>
          <w:lang w:eastAsia="es-ES"/>
        </w:rPr>
        <w:t>bligados</w:t>
      </w:r>
      <w:r w:rsidRPr="004C5465">
        <w:rPr>
          <w:rFonts w:eastAsia="Times New Roman" w:cs="Arial"/>
          <w:bCs/>
          <w:color w:val="000000"/>
          <w:szCs w:val="24"/>
          <w:lang w:eastAsia="es-ES"/>
        </w:rPr>
        <w:t xml:space="preserve"> deben contar con una unidad administrativa que registra contablemente el efecto patrimonial y presupuestal de las operaciones financieras que realizan, en el momento en que ocurran, con base en el sistema y políticas de registro establecidas.</w:t>
      </w:r>
    </w:p>
    <w:p w14:paraId="396DB366" w14:textId="77777777" w:rsidR="00B75FED" w:rsidRPr="004C5465" w:rsidRDefault="00B75FED" w:rsidP="00B75FED">
      <w:pPr>
        <w:contextualSpacing/>
        <w:rPr>
          <w:rFonts w:eastAsia="Times New Roman" w:cs="Arial"/>
          <w:bCs/>
          <w:color w:val="000000"/>
          <w:szCs w:val="24"/>
          <w:lang w:eastAsia="es-ES"/>
        </w:rPr>
      </w:pPr>
    </w:p>
    <w:p w14:paraId="40882ED7" w14:textId="77777777" w:rsidR="00B75FED" w:rsidRPr="004C5465" w:rsidRDefault="00B75FED" w:rsidP="00B75FED">
      <w:pPr>
        <w:autoSpaceDE w:val="0"/>
        <w:autoSpaceDN w:val="0"/>
        <w:adjustRightInd w:val="0"/>
        <w:rPr>
          <w:rFonts w:eastAsia="Times New Roman" w:cs="Arial"/>
          <w:szCs w:val="24"/>
        </w:rPr>
      </w:pPr>
      <w:r w:rsidRPr="004C5465">
        <w:rPr>
          <w:rFonts w:eastAsia="Times New Roman" w:cs="Arial"/>
          <w:szCs w:val="24"/>
        </w:rPr>
        <w:t xml:space="preserve">Correlativo a lo anterior, es preciso referir una definición de </w:t>
      </w:r>
      <w:r w:rsidRPr="004C5465">
        <w:rPr>
          <w:rFonts w:eastAsia="Times New Roman" w:cs="Arial"/>
          <w:i/>
          <w:szCs w:val="24"/>
        </w:rPr>
        <w:t>póliza contable</w:t>
      </w:r>
      <w:r w:rsidRPr="004C5465">
        <w:rPr>
          <w:rFonts w:eastAsia="Times New Roman" w:cs="Arial"/>
          <w:szCs w:val="24"/>
        </w:rPr>
        <w:t xml:space="preserve">, la cual, primeramente, no está definida en el Código Financiero del Estado de México y Municipios; no obstante, los ya mencionados Glosarios la definen como: </w:t>
      </w:r>
    </w:p>
    <w:p w14:paraId="4379BF54" w14:textId="77777777" w:rsidR="00B75FED" w:rsidRPr="004C5465" w:rsidRDefault="00B75FED" w:rsidP="00B75FED">
      <w:pPr>
        <w:autoSpaceDE w:val="0"/>
        <w:autoSpaceDN w:val="0"/>
        <w:adjustRightInd w:val="0"/>
        <w:rPr>
          <w:rFonts w:eastAsia="Times New Roman" w:cs="Arial"/>
          <w:szCs w:val="24"/>
        </w:rPr>
      </w:pPr>
    </w:p>
    <w:p w14:paraId="30ADCF76" w14:textId="77777777" w:rsidR="00B75FED" w:rsidRPr="004C5465" w:rsidRDefault="00B75FED" w:rsidP="00B75FED">
      <w:pPr>
        <w:spacing w:line="240" w:lineRule="auto"/>
        <w:ind w:left="567" w:right="567"/>
        <w:rPr>
          <w:rFonts w:eastAsia="Times New Roman" w:cs="Arial"/>
          <w:b/>
          <w:i/>
          <w:szCs w:val="24"/>
        </w:rPr>
      </w:pPr>
      <w:r w:rsidRPr="004C5465">
        <w:rPr>
          <w:rFonts w:eastAsia="Times New Roman" w:cs="Arial"/>
          <w:i/>
          <w:szCs w:val="24"/>
        </w:rPr>
        <w:t>“</w:t>
      </w:r>
      <w:r w:rsidRPr="004C5465">
        <w:rPr>
          <w:rFonts w:eastAsia="Times New Roman" w:cs="Arial"/>
          <w:b/>
          <w:i/>
          <w:szCs w:val="24"/>
        </w:rPr>
        <w:t>PÓLIZA CONTABLE</w:t>
      </w:r>
    </w:p>
    <w:p w14:paraId="16FCA275" w14:textId="77777777" w:rsidR="00B75FED" w:rsidRPr="004C5465" w:rsidRDefault="00B75FED" w:rsidP="00B75FED">
      <w:pPr>
        <w:spacing w:line="240" w:lineRule="auto"/>
        <w:ind w:left="567" w:right="567"/>
        <w:rPr>
          <w:rFonts w:eastAsia="Times New Roman" w:cs="Arial"/>
          <w:i/>
          <w:szCs w:val="24"/>
        </w:rPr>
      </w:pPr>
      <w:r w:rsidRPr="00EE1B1D">
        <w:rPr>
          <w:rFonts w:eastAsia="Times New Roman" w:cs="Arial"/>
          <w:i/>
          <w:sz w:val="22"/>
        </w:rPr>
        <w:t>Documento en el cual se asientan en forma individual todas y cada una de las operaciones desarrolladas por una institución, así como la información necesaria para la identificación de dichas operaciones</w:t>
      </w:r>
      <w:r w:rsidRPr="004C5465">
        <w:rPr>
          <w:rFonts w:eastAsia="Times New Roman" w:cs="Arial"/>
          <w:i/>
          <w:szCs w:val="24"/>
        </w:rPr>
        <w:t>.” (</w:t>
      </w:r>
      <w:proofErr w:type="gramStart"/>
      <w:r w:rsidRPr="004C5465">
        <w:rPr>
          <w:rFonts w:eastAsia="Times New Roman" w:cs="Arial"/>
          <w:i/>
          <w:szCs w:val="24"/>
        </w:rPr>
        <w:t>sic</w:t>
      </w:r>
      <w:proofErr w:type="gramEnd"/>
      <w:r w:rsidRPr="004C5465">
        <w:rPr>
          <w:rFonts w:eastAsia="Times New Roman" w:cs="Arial"/>
          <w:i/>
          <w:szCs w:val="24"/>
        </w:rPr>
        <w:t>)</w:t>
      </w:r>
    </w:p>
    <w:p w14:paraId="74F12C01" w14:textId="77777777" w:rsidR="00B75FED" w:rsidRPr="004C5465" w:rsidRDefault="00B75FED" w:rsidP="00B75FED">
      <w:pPr>
        <w:ind w:left="567" w:right="618"/>
        <w:rPr>
          <w:rFonts w:eastAsia="Times New Roman" w:cs="Arial"/>
          <w:i/>
          <w:szCs w:val="24"/>
        </w:rPr>
      </w:pPr>
    </w:p>
    <w:p w14:paraId="633229D5" w14:textId="77777777" w:rsidR="00B75FED" w:rsidRPr="004C5465" w:rsidRDefault="00B75FED" w:rsidP="00B75FED">
      <w:pPr>
        <w:contextualSpacing/>
        <w:rPr>
          <w:rFonts w:eastAsia="Times New Roman" w:cs="Arial"/>
          <w:szCs w:val="24"/>
        </w:rPr>
      </w:pPr>
      <w:r w:rsidRPr="004C5465">
        <w:rPr>
          <w:rFonts w:eastAsia="Times New Roman" w:cs="Arial"/>
          <w:szCs w:val="24"/>
        </w:rPr>
        <w:t xml:space="preserve">Así, se advierte que la </w:t>
      </w:r>
      <w:r w:rsidRPr="004C5465">
        <w:rPr>
          <w:rFonts w:eastAsia="Times New Roman" w:cs="Arial"/>
          <w:i/>
          <w:szCs w:val="24"/>
        </w:rPr>
        <w:t>póliza contable</w:t>
      </w:r>
      <w:r w:rsidRPr="004C5465">
        <w:rPr>
          <w:rFonts w:eastAsia="Times New Roman" w:cs="Arial"/>
          <w:szCs w:val="24"/>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2393DD1E" w14:textId="77777777" w:rsidR="00B75FED" w:rsidRDefault="00B75FED" w:rsidP="00B75FED">
      <w:pPr>
        <w:contextualSpacing/>
        <w:rPr>
          <w:rFonts w:eastAsia="Times New Roman" w:cs="Arial"/>
          <w:szCs w:val="24"/>
        </w:rPr>
      </w:pPr>
    </w:p>
    <w:p w14:paraId="0DB9FDB4" w14:textId="77777777" w:rsidR="000168B6" w:rsidRDefault="000168B6" w:rsidP="000168B6">
      <w:pPr>
        <w:pBdr>
          <w:top w:val="nil"/>
          <w:left w:val="nil"/>
          <w:bottom w:val="nil"/>
          <w:right w:val="nil"/>
          <w:between w:val="nil"/>
        </w:pBdr>
        <w:contextualSpacing/>
      </w:pPr>
      <w:r>
        <w:t xml:space="preserve">En este sentido, existen diversos tipos de pólizas contables de acuerdo con las operaciones realizadas, dentro de las cuales, encontramos las llamadas </w:t>
      </w:r>
      <w:r w:rsidRPr="001A0AE4">
        <w:rPr>
          <w:b/>
        </w:rPr>
        <w:t>pólizas de egresos</w:t>
      </w:r>
      <w:r>
        <w:rPr>
          <w:b/>
        </w:rPr>
        <w:t xml:space="preserve"> con los documentos probatorios</w:t>
      </w:r>
      <w:r>
        <w:t>, la cual refleja cualquier operación contable en la que se produzca una salida de efectivo o erogaciones, a través de transferencias bancarias electrónicas en las cuales se anotan diariamente las operaciones que representan egresos, es decir, salidas de dinero para el sujeto obligado, la cual, además debe encontrarse acompañada de las documentales que sirven de soporte de dicho movimiento.</w:t>
      </w:r>
    </w:p>
    <w:p w14:paraId="33469D10" w14:textId="77777777" w:rsidR="000168B6" w:rsidRDefault="000168B6" w:rsidP="000168B6">
      <w:pPr>
        <w:pBdr>
          <w:top w:val="nil"/>
          <w:left w:val="nil"/>
          <w:bottom w:val="nil"/>
          <w:right w:val="nil"/>
          <w:between w:val="nil"/>
        </w:pBdr>
        <w:contextualSpacing/>
      </w:pPr>
    </w:p>
    <w:p w14:paraId="37042AE8" w14:textId="77777777" w:rsidR="000168B6" w:rsidRDefault="000168B6" w:rsidP="000168B6">
      <w:pPr>
        <w:pBdr>
          <w:top w:val="nil"/>
          <w:left w:val="nil"/>
          <w:bottom w:val="nil"/>
          <w:right w:val="nil"/>
          <w:between w:val="nil"/>
        </w:pBdr>
        <w:contextualSpacing/>
      </w:pPr>
      <w:r>
        <w:t xml:space="preserve">En este sentido, Lineamientos para la Integración, Presentación y Envío de los Informes Trimestrales Municipales del Ejercicio Fiscal 2024, emitidos por el Órgano Superior de Fiscalización del Estado de México, contienen los formatos e información que debe ser proporcionada para la integración de los informes mensuales, que se entregan a éste, </w:t>
      </w:r>
      <w:r>
        <w:lastRenderedPageBreak/>
        <w:t xml:space="preserve">siendo uno de ellos la información relativa a las pólizas de ingresos, póliza de diario, póliza de egresos, póliza cheque, de tal manera que, dichos formatos constituyen un soporte documental de que la información solicitada por el hoy recurrente obra en los archivos del sujeto obligado, sirva de sustento la siguiente imagen ilustrativa </w:t>
      </w:r>
    </w:p>
    <w:p w14:paraId="35EED3AF" w14:textId="77777777" w:rsidR="000168B6" w:rsidRPr="0044416C" w:rsidRDefault="000168B6" w:rsidP="000168B6">
      <w:pPr>
        <w:pBdr>
          <w:top w:val="nil"/>
          <w:left w:val="nil"/>
          <w:bottom w:val="nil"/>
          <w:right w:val="nil"/>
          <w:between w:val="nil"/>
        </w:pBdr>
        <w:contextualSpacing/>
      </w:pPr>
    </w:p>
    <w:p w14:paraId="263BAC67" w14:textId="77777777" w:rsidR="000168B6" w:rsidRDefault="000168B6" w:rsidP="000168B6">
      <w:pPr>
        <w:pBdr>
          <w:top w:val="nil"/>
          <w:left w:val="nil"/>
          <w:bottom w:val="nil"/>
          <w:right w:val="nil"/>
          <w:between w:val="nil"/>
        </w:pBdr>
        <w:contextualSpacing/>
        <w:jc w:val="center"/>
        <w:rPr>
          <w:i/>
        </w:rPr>
      </w:pPr>
      <w:r>
        <w:rPr>
          <w:i/>
          <w:noProof/>
          <w:lang w:val="es-MX"/>
          <w14:ligatures w14:val="standardContextual"/>
        </w:rPr>
        <mc:AlternateContent>
          <mc:Choice Requires="wps">
            <w:drawing>
              <wp:anchor distT="0" distB="0" distL="114300" distR="114300" simplePos="0" relativeHeight="251659264" behindDoc="0" locked="0" layoutInCell="1" allowOverlap="1" wp14:anchorId="739A19C0" wp14:editId="79DAD33B">
                <wp:simplePos x="0" y="0"/>
                <wp:positionH relativeFrom="column">
                  <wp:posOffset>897434</wp:posOffset>
                </wp:positionH>
                <wp:positionV relativeFrom="paragraph">
                  <wp:posOffset>410689</wp:posOffset>
                </wp:positionV>
                <wp:extent cx="4968815" cy="664234"/>
                <wp:effectExtent l="19050" t="19050" r="22860" b="21590"/>
                <wp:wrapNone/>
                <wp:docPr id="6" name="Rectángulo 6"/>
                <wp:cNvGraphicFramePr/>
                <a:graphic xmlns:a="http://schemas.openxmlformats.org/drawingml/2006/main">
                  <a:graphicData uri="http://schemas.microsoft.com/office/word/2010/wordprocessingShape">
                    <wps:wsp>
                      <wps:cNvSpPr/>
                      <wps:spPr>
                        <a:xfrm>
                          <a:off x="0" y="0"/>
                          <a:ext cx="4968815" cy="664234"/>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D4DE69D" id="Rectángulo 6" o:spid="_x0000_s1026" style="position:absolute;margin-left:70.65pt;margin-top:32.35pt;width:391.2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2ilAIAAGoFAAAOAAAAZHJzL2Uyb0RvYy54bWysVM1u2zAMvg/YOwi6r7bTNEuNOkXQIsOA&#10;oi3aDj0rspQIk0VNUuJkb7Nn6YuNkh036Iodhvkgk+LvR5G8uNw1mmyF8wpMRYuTnBJhONTKrCr6&#10;7WnxaUqJD8zUTIMRFd0LTy9nHz9ctLYUI1iDroUj6MT4srUVXYdgyyzzfC0a5k/ACoNCCa5hAVm3&#10;ymrHWvTe6GyU55OsBVdbB1x4j7fXnZDOkn8pBQ93UnoRiK4o5hbS6dK5jGc2u2DlyjG7VrxPg/1D&#10;Fg1TBoMOrq5ZYGTj1B+uGsUdeJDhhEOTgZSKi4QB0RT5GzSPa2ZFwoLF8XYok/9/bvnt9t4RVVd0&#10;QolhDT7RAxbt5ZdZbTSQSSxQa32Jeo/23vWcRzKi3UnXxD/iILtU1P1QVLELhOPl+HwynRZnlHCU&#10;TSbj0ek4Os1era3z4YuAhkSiog7jp1qy7Y0PnepBJQYzsFBa4z0rtSFtRU+nRZ4nCw9a1VEahd6t&#10;llfakS3Dt18scvz6wEdqmIY2mE3E2KFKVNhr0QV4EBLLgzhGXYTYmGJwyzgXJqQqJU+oHc0kpjAY&#10;Fu8Z6lD0yfS60Uykhh0Me0x/izhYpKhgwmDcKAPuvcj19yFyp39A32GO8JdQ77ErHHTj4i1fKHya&#10;G+bDPXM4HzhJOPPhDg+pAZ8AeoqSNbif791HfWxblFLS4rxV1P/YMCco0V8NNvR5MR7HAU3M+Ozz&#10;CBl3LFkeS8ymuQJ81gK3i+WJjPpBH0jpoHnG1TCPUVHEDMfYFeXBHZir0O0BXC5czOdJDYfSsnBj&#10;Hi2PzmNVY+s97Z6Zs31/BuzsWzjMJivftGmnGy0NzDcBpEo9/FrXvt440GkK+uUTN8Yxn7ReV+Ts&#10;NwAAAP//AwBQSwMEFAAGAAgAAAAhAFA3iifdAAAACgEAAA8AAABkcnMvZG93bnJldi54bWxMj8tO&#10;wzAURPdI/IN1kdhR56WUhDgVQgIEOwJVt258SaL4EcVuE/6ey4ouRzOaOVPtVqPZGWc/OCsg3kTA&#10;0LZODbYT8PX5fHcPzAdpldTOooAf9LCrr68qWSq32A88N6FjVGJ9KQX0IUwl577t0Ui/cRNa8r7d&#10;bGQgOXdczXKhcqN5EkU5N3KwtNDLCZ96bMfmZAS8LYkeDp18f23GZj+67CXeFkaI25v18QFYwDX8&#10;h+EPn9ChJqajO1nlmSadxSlFBeTZFhgFiiSlL0dy8iIFXlf88kL9CwAA//8DAFBLAQItABQABgAI&#10;AAAAIQC2gziS/gAAAOEBAAATAAAAAAAAAAAAAAAAAAAAAABbQ29udGVudF9UeXBlc10ueG1sUEsB&#10;Ai0AFAAGAAgAAAAhADj9If/WAAAAlAEAAAsAAAAAAAAAAAAAAAAALwEAAF9yZWxzLy5yZWxzUEsB&#10;Ai0AFAAGAAgAAAAhAO7bTaKUAgAAagUAAA4AAAAAAAAAAAAAAAAALgIAAGRycy9lMm9Eb2MueG1s&#10;UEsBAi0AFAAGAAgAAAAhAFA3iifdAAAACgEAAA8AAAAAAAAAAAAAAAAA7gQAAGRycy9kb3ducmV2&#10;LnhtbFBLBQYAAAAABAAEAPMAAAD4BQAAAAA=&#10;" filled="f" strokecolor="red" strokeweight="3pt"/>
            </w:pict>
          </mc:Fallback>
        </mc:AlternateContent>
      </w:r>
      <w:r w:rsidRPr="00B41B79">
        <w:rPr>
          <w:i/>
          <w:noProof/>
          <w:lang w:val="es-MX"/>
        </w:rPr>
        <w:drawing>
          <wp:inline distT="0" distB="0" distL="0" distR="0" wp14:anchorId="5AE681A2" wp14:editId="5807FFCA">
            <wp:extent cx="5939790" cy="1902460"/>
            <wp:effectExtent l="0" t="0" r="381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902460"/>
                    </a:xfrm>
                    <a:prstGeom prst="rect">
                      <a:avLst/>
                    </a:prstGeom>
                  </pic:spPr>
                </pic:pic>
              </a:graphicData>
            </a:graphic>
          </wp:inline>
        </w:drawing>
      </w:r>
    </w:p>
    <w:p w14:paraId="5A51BE5D" w14:textId="77777777" w:rsidR="000168B6" w:rsidRDefault="000168B6" w:rsidP="000168B6">
      <w:pPr>
        <w:pBdr>
          <w:top w:val="nil"/>
          <w:left w:val="nil"/>
          <w:bottom w:val="nil"/>
          <w:right w:val="nil"/>
          <w:between w:val="nil"/>
        </w:pBdr>
        <w:contextualSpacing/>
        <w:rPr>
          <w:i/>
        </w:rPr>
      </w:pPr>
    </w:p>
    <w:p w14:paraId="0D00D28D" w14:textId="77777777" w:rsidR="000168B6" w:rsidRDefault="000168B6" w:rsidP="000168B6">
      <w:pPr>
        <w:pBdr>
          <w:top w:val="nil"/>
          <w:left w:val="nil"/>
          <w:bottom w:val="nil"/>
          <w:right w:val="nil"/>
          <w:between w:val="nil"/>
        </w:pBdr>
        <w:contextualSpacing/>
      </w:pPr>
      <w:r>
        <w:t xml:space="preserve">Sin ser óbice de lo mencionado, es de señalar que la información que es entregada al Órgano Superior de Fiscalización del Estado de México, junto con el Informe Mensual, si bien se remite dentro de los veinte días posteriores al término del mes correspondiente, también lo es que, la documentación materia de estudio debe ser generada y entregada al momento de realizar los movimientos respectivos, por lo que, debe de obrar en sus archivos las facturas que guardan relación con lo requerido por el ahora recurrente. </w:t>
      </w:r>
    </w:p>
    <w:p w14:paraId="3130AC46" w14:textId="77777777" w:rsidR="00B75FED" w:rsidRPr="004C5465" w:rsidRDefault="00B75FED" w:rsidP="00B75FED">
      <w:pPr>
        <w:spacing w:line="240" w:lineRule="auto"/>
        <w:rPr>
          <w:rFonts w:eastAsia="Times New Roman" w:cs="Arial"/>
          <w:bCs/>
          <w:color w:val="000000"/>
          <w:szCs w:val="24"/>
          <w:lang w:eastAsia="es-ES"/>
        </w:rPr>
      </w:pPr>
    </w:p>
    <w:p w14:paraId="334DD7FE" w14:textId="77777777" w:rsidR="00B75FED" w:rsidRPr="004C5465" w:rsidRDefault="00B75FED" w:rsidP="00B75FED">
      <w:pPr>
        <w:contextualSpacing/>
        <w:rPr>
          <w:rFonts w:eastAsia="Times New Roman" w:cs="Arial"/>
          <w:bCs/>
          <w:color w:val="000000"/>
          <w:szCs w:val="24"/>
          <w:lang w:eastAsia="es-ES"/>
        </w:rPr>
      </w:pPr>
      <w:r w:rsidRPr="004C5465">
        <w:rPr>
          <w:rFonts w:eastAsia="Times New Roman" w:cs="Arial"/>
          <w:bCs/>
          <w:color w:val="000000"/>
          <w:szCs w:val="24"/>
          <w:lang w:eastAsia="es-ES"/>
        </w:rPr>
        <w:t xml:space="preserve">Cabe destacar, que el ordenamiento legal en cita refiere que todo registro contable y presupuestal </w:t>
      </w:r>
      <w:r w:rsidRPr="004C5465">
        <w:rPr>
          <w:rFonts w:eastAsia="Times New Roman" w:cs="Arial"/>
          <w:b/>
          <w:bCs/>
          <w:color w:val="000000"/>
          <w:szCs w:val="24"/>
          <w:lang w:eastAsia="es-ES"/>
        </w:rPr>
        <w:t>deberá estar soportado con los documentos comprobatorios originales</w:t>
      </w:r>
      <w:r w:rsidRPr="004C5465">
        <w:rPr>
          <w:rFonts w:eastAsia="Times New Roman" w:cs="Arial"/>
          <w:bCs/>
          <w:color w:val="000000"/>
          <w:szCs w:val="24"/>
          <w:lang w:eastAsia="es-ES"/>
        </w:rPr>
        <w:t xml:space="preserve">, como lo son las facturas solicitadas, los que deberán permanecer en custodia y conservación de la Unidad administrativa correspondiente y a disposición del Órgano </w:t>
      </w:r>
      <w:r w:rsidRPr="004C5465">
        <w:rPr>
          <w:rFonts w:eastAsia="Times New Roman" w:cs="Arial"/>
          <w:bCs/>
          <w:color w:val="000000"/>
          <w:szCs w:val="24"/>
          <w:lang w:eastAsia="es-ES"/>
        </w:rPr>
        <w:lastRenderedPageBreak/>
        <w:t>Superior de Fiscalización del Estado de México; por un término de cinco años contados a partir del ejercicio presupuestal siguiente al que corresponda.</w:t>
      </w:r>
    </w:p>
    <w:p w14:paraId="4C63E797" w14:textId="77777777" w:rsidR="00B75FED" w:rsidRPr="004C5465" w:rsidRDefault="00B75FED" w:rsidP="00B75FED">
      <w:pPr>
        <w:ind w:right="-93"/>
        <w:rPr>
          <w:rFonts w:cs="Tahoma"/>
          <w:b/>
          <w:bCs/>
        </w:rPr>
      </w:pPr>
    </w:p>
    <w:p w14:paraId="204B6C81" w14:textId="522FDFB5" w:rsidR="00EE1B1D" w:rsidRDefault="00B75FED" w:rsidP="00EE1B1D">
      <w:pPr>
        <w:ind w:right="-93"/>
        <w:rPr>
          <w:rFonts w:eastAsia="Times New Roman" w:cs="Tahoma"/>
          <w:szCs w:val="24"/>
          <w:lang w:eastAsia="es-ES"/>
        </w:rPr>
      </w:pPr>
      <w:r w:rsidRPr="004C5465">
        <w:rPr>
          <w:rFonts w:eastAsia="Times New Roman" w:cs="Tahoma"/>
          <w:szCs w:val="24"/>
          <w:lang w:eastAsia="es-ES"/>
        </w:rPr>
        <w:t xml:space="preserve">Atento a lo anterior, resulta claro que existe fuente obligacional que constriñe al </w:t>
      </w:r>
      <w:r w:rsidRPr="00F873F0">
        <w:rPr>
          <w:rFonts w:eastAsia="Times New Roman" w:cs="Tahoma"/>
          <w:szCs w:val="24"/>
          <w:lang w:eastAsia="es-ES"/>
        </w:rPr>
        <w:t xml:space="preserve">Sujeto Obligado a generar administrar y poseer la información interés del Particular, en consecuencia, la información solicitada; debe obrar en los archivos del Sujeto Obligado. </w:t>
      </w:r>
      <w:r w:rsidR="00EE1B1D">
        <w:rPr>
          <w:rFonts w:eastAsia="Times New Roman" w:cs="Tahoma"/>
          <w:szCs w:val="24"/>
          <w:lang w:eastAsia="es-ES"/>
        </w:rPr>
        <w:t xml:space="preserve"> </w:t>
      </w:r>
    </w:p>
    <w:p w14:paraId="4497F917" w14:textId="71713D59" w:rsidR="00B75FED" w:rsidRPr="004C5465" w:rsidRDefault="00B75FED" w:rsidP="00EE1B1D">
      <w:pPr>
        <w:ind w:right="-93"/>
        <w:rPr>
          <w:rFonts w:eastAsia="Times New Roman" w:cs="Tahoma"/>
          <w:szCs w:val="24"/>
          <w:lang w:eastAsia="es-ES"/>
        </w:rPr>
      </w:pPr>
      <w:r w:rsidRPr="004C5465">
        <w:rPr>
          <w:rFonts w:eastAsia="Times New Roman" w:cs="Tahoma"/>
          <w:szCs w:val="24"/>
          <w:lang w:eastAsia="es-ES"/>
        </w:rPr>
        <w:t>En este sentido, de acuerdo a la naturaleza de la información solicitada se concluye que esta es de interés general y de alcance público, puesto que la ciudadanía tiene derecho a saber los gastos realizados por los sujetos obligados, esto es, su acceso permite transparentar las erogaciones del servicio público.</w:t>
      </w:r>
    </w:p>
    <w:p w14:paraId="153BCED6" w14:textId="77777777" w:rsidR="00B75FED" w:rsidRPr="004C5465" w:rsidRDefault="00B75FED" w:rsidP="00B75FED">
      <w:pPr>
        <w:rPr>
          <w:sz w:val="28"/>
          <w:szCs w:val="24"/>
        </w:rPr>
      </w:pPr>
    </w:p>
    <w:p w14:paraId="327A954D" w14:textId="77777777" w:rsidR="00B75FED" w:rsidRDefault="00B75FED" w:rsidP="00B75FED">
      <w:pPr>
        <w:rPr>
          <w:bCs/>
        </w:rPr>
      </w:pPr>
      <w:r w:rsidRPr="00960F59">
        <w:rPr>
          <w:rFonts w:cs="Times New Roman"/>
          <w:szCs w:val="24"/>
        </w:rPr>
        <w:t xml:space="preserve">Aunado a lo antes expuesto, </w:t>
      </w:r>
      <w:r>
        <w:rPr>
          <w:bCs/>
        </w:rPr>
        <w:t>cabe destacar que</w:t>
      </w:r>
      <w:r w:rsidRPr="003E55AC">
        <w:rPr>
          <w:bCs/>
        </w:rPr>
        <w:t xml:space="preserve"> de acuerdo a las obligaciones de transparencia comunes que le son atribuibles al Sujeto Obligado de conformidad a lo que establecen los artículos 92, fracción XXV y XLVII, 94, fracción I, inciso b, de la Ley de Transparencia y Acceso a la Información Pública del Estado de México y Municipios, éste debe contar con la información </w:t>
      </w:r>
      <w:r>
        <w:rPr>
          <w:bCs/>
        </w:rPr>
        <w:t>financiera sobre el presupuesto asignado, los ingresos recibidos así como el presupuesto de egresos;</w:t>
      </w:r>
      <w:r w:rsidRPr="003E55AC">
        <w:rPr>
          <w:bCs/>
        </w:rPr>
        <w:t xml:space="preserve"> </w:t>
      </w:r>
      <w:r>
        <w:rPr>
          <w:bCs/>
        </w:rPr>
        <w:t>preceptos normativos que</w:t>
      </w:r>
      <w:r w:rsidRPr="003E55AC">
        <w:rPr>
          <w:bCs/>
        </w:rPr>
        <w:t xml:space="preserve"> se cita</w:t>
      </w:r>
      <w:r>
        <w:rPr>
          <w:bCs/>
        </w:rPr>
        <w:t>n</w:t>
      </w:r>
      <w:r w:rsidRPr="003E55AC">
        <w:rPr>
          <w:bCs/>
        </w:rPr>
        <w:t xml:space="preserve"> a continuación:</w:t>
      </w:r>
    </w:p>
    <w:p w14:paraId="23BE6F3C" w14:textId="77777777" w:rsidR="00B75FED" w:rsidRPr="00101034" w:rsidRDefault="00B75FED" w:rsidP="00B75FED">
      <w:pPr>
        <w:rPr>
          <w:bCs/>
          <w:i/>
        </w:rPr>
      </w:pPr>
    </w:p>
    <w:p w14:paraId="5BBE167B" w14:textId="77777777" w:rsidR="00B75FED" w:rsidRPr="000168B6" w:rsidRDefault="00B75FED" w:rsidP="00B75FED">
      <w:pPr>
        <w:spacing w:line="240" w:lineRule="auto"/>
        <w:ind w:left="567" w:right="567"/>
        <w:jc w:val="center"/>
        <w:rPr>
          <w:b/>
          <w:bCs/>
          <w:i/>
          <w:sz w:val="22"/>
        </w:rPr>
      </w:pPr>
      <w:r w:rsidRPr="000168B6">
        <w:rPr>
          <w:b/>
          <w:bCs/>
          <w:i/>
          <w:sz w:val="22"/>
        </w:rPr>
        <w:t>Ley de Transparencia y Acceso a la Información Pública del Estado de México y Municipios</w:t>
      </w:r>
    </w:p>
    <w:p w14:paraId="267143AD" w14:textId="77777777" w:rsidR="00B75FED" w:rsidRPr="000168B6" w:rsidRDefault="00B75FED" w:rsidP="00B75FED">
      <w:pPr>
        <w:spacing w:line="240" w:lineRule="auto"/>
        <w:ind w:left="567" w:right="567"/>
        <w:rPr>
          <w:bCs/>
          <w:i/>
          <w:sz w:val="22"/>
        </w:rPr>
      </w:pPr>
      <w:r w:rsidRPr="000168B6">
        <w:rPr>
          <w:b/>
          <w:bCs/>
          <w:i/>
          <w:sz w:val="22"/>
        </w:rPr>
        <w:t xml:space="preserve">Artículo 92. </w:t>
      </w:r>
      <w:r w:rsidRPr="000168B6">
        <w:rPr>
          <w:bCs/>
          <w:i/>
          <w:sz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23E1944" w14:textId="77777777" w:rsidR="00B75FED" w:rsidRPr="000168B6" w:rsidRDefault="00B75FED" w:rsidP="00B75FED">
      <w:pPr>
        <w:spacing w:line="240" w:lineRule="auto"/>
        <w:ind w:left="567" w:right="567"/>
        <w:rPr>
          <w:b/>
          <w:bCs/>
          <w:i/>
          <w:sz w:val="22"/>
        </w:rPr>
      </w:pPr>
      <w:r w:rsidRPr="000168B6">
        <w:rPr>
          <w:b/>
          <w:bCs/>
          <w:i/>
          <w:sz w:val="22"/>
        </w:rPr>
        <w:lastRenderedPageBreak/>
        <w:t>(…)</w:t>
      </w:r>
    </w:p>
    <w:p w14:paraId="035C223E" w14:textId="77777777" w:rsidR="00B75FED" w:rsidRPr="000168B6" w:rsidRDefault="00B75FED" w:rsidP="00B75FED">
      <w:pPr>
        <w:spacing w:line="240" w:lineRule="auto"/>
        <w:ind w:left="567" w:right="567"/>
        <w:rPr>
          <w:bCs/>
          <w:i/>
          <w:sz w:val="22"/>
        </w:rPr>
      </w:pPr>
      <w:r w:rsidRPr="000168B6">
        <w:rPr>
          <w:b/>
          <w:bCs/>
          <w:i/>
          <w:sz w:val="22"/>
        </w:rPr>
        <w:t>XXV</w:t>
      </w:r>
      <w:r w:rsidRPr="000168B6">
        <w:rPr>
          <w:b/>
          <w:bCs/>
          <w:i/>
          <w:sz w:val="22"/>
          <w:u w:val="single"/>
        </w:rPr>
        <w:t>.</w:t>
      </w:r>
      <w:r w:rsidRPr="000168B6">
        <w:rPr>
          <w:bCs/>
          <w:i/>
          <w:sz w:val="22"/>
          <w:u w:val="single"/>
        </w:rPr>
        <w:t xml:space="preserve"> La información financiera sobre el presupuesto asignado</w:t>
      </w:r>
      <w:r w:rsidRPr="000168B6">
        <w:rPr>
          <w:bCs/>
          <w:i/>
          <w:sz w:val="22"/>
        </w:rPr>
        <w:t>, así como los informes del ejercicio trimestral del gasto, en términos de la Ley General de Contabilidad Gubernamental y demás disposiciones jurídicas aplicables;</w:t>
      </w:r>
    </w:p>
    <w:p w14:paraId="009A6484" w14:textId="77777777" w:rsidR="00B75FED" w:rsidRPr="000168B6" w:rsidRDefault="00B75FED" w:rsidP="00B75FED">
      <w:pPr>
        <w:spacing w:line="240" w:lineRule="auto"/>
        <w:ind w:left="567" w:right="567"/>
        <w:rPr>
          <w:bCs/>
          <w:i/>
          <w:sz w:val="22"/>
        </w:rPr>
      </w:pPr>
      <w:r w:rsidRPr="000168B6">
        <w:rPr>
          <w:b/>
          <w:bCs/>
          <w:i/>
          <w:sz w:val="22"/>
        </w:rPr>
        <w:t>(…</w:t>
      </w:r>
      <w:r w:rsidRPr="000168B6">
        <w:rPr>
          <w:bCs/>
          <w:i/>
          <w:sz w:val="22"/>
        </w:rPr>
        <w:t>)</w:t>
      </w:r>
    </w:p>
    <w:p w14:paraId="3E0ED413" w14:textId="77777777" w:rsidR="00B75FED" w:rsidRPr="000168B6" w:rsidRDefault="00B75FED" w:rsidP="00B75FED">
      <w:pPr>
        <w:spacing w:line="240" w:lineRule="auto"/>
        <w:ind w:left="567" w:right="567"/>
        <w:rPr>
          <w:i/>
          <w:iCs/>
          <w:sz w:val="22"/>
        </w:rPr>
      </w:pPr>
      <w:r w:rsidRPr="000168B6">
        <w:rPr>
          <w:b/>
          <w:bCs/>
          <w:i/>
          <w:iCs/>
          <w:sz w:val="22"/>
        </w:rPr>
        <w:t>XXXII.</w:t>
      </w:r>
      <w:r w:rsidRPr="000168B6">
        <w:rPr>
          <w:i/>
          <w:iCs/>
          <w:sz w:val="22"/>
        </w:rPr>
        <w:t xml:space="preserve"> Las concesiones, </w:t>
      </w:r>
      <w:r w:rsidRPr="000168B6">
        <w:rPr>
          <w:bCs/>
          <w:i/>
          <w:iCs/>
          <w:sz w:val="22"/>
        </w:rPr>
        <w:t>contratos</w:t>
      </w:r>
      <w:r w:rsidRPr="000168B6">
        <w:rPr>
          <w:i/>
          <w:iCs/>
          <w:sz w:val="22"/>
        </w:rPr>
        <w:t xml:space="preserve">, convenios, permisos, licencias o autorizaciones otorgados, especificando los titulares de aquéllos, debiendo publicarse su objeto, </w:t>
      </w:r>
      <w:r w:rsidRPr="000168B6">
        <w:rPr>
          <w:i/>
          <w:iCs/>
          <w:sz w:val="22"/>
          <w:u w:val="single"/>
        </w:rPr>
        <w:t>nombre o razón social del titular, vigencia, tipo, términos, condiciones, monto y modificaciones, así como si el procedimiento involucra el aprovechamiento de bienes, servicios y/o recursos públicos</w:t>
      </w:r>
      <w:r w:rsidRPr="000168B6">
        <w:rPr>
          <w:i/>
          <w:iCs/>
          <w:sz w:val="22"/>
        </w:rPr>
        <w:t xml:space="preserve">; </w:t>
      </w:r>
    </w:p>
    <w:p w14:paraId="59EAB89D" w14:textId="77777777" w:rsidR="00B75FED" w:rsidRPr="000168B6" w:rsidRDefault="00B75FED" w:rsidP="00B75FED">
      <w:pPr>
        <w:spacing w:line="240" w:lineRule="auto"/>
        <w:ind w:left="567" w:right="567"/>
        <w:rPr>
          <w:bCs/>
          <w:i/>
          <w:sz w:val="22"/>
        </w:rPr>
      </w:pPr>
      <w:r w:rsidRPr="000168B6">
        <w:rPr>
          <w:bCs/>
          <w:i/>
          <w:sz w:val="22"/>
        </w:rPr>
        <w:t>(…)</w:t>
      </w:r>
    </w:p>
    <w:p w14:paraId="1CB950EE" w14:textId="77777777" w:rsidR="00B75FED" w:rsidRPr="000168B6" w:rsidRDefault="00B75FED" w:rsidP="00B75FED">
      <w:pPr>
        <w:spacing w:line="240" w:lineRule="auto"/>
        <w:ind w:left="567" w:right="567"/>
        <w:rPr>
          <w:bCs/>
          <w:i/>
          <w:sz w:val="22"/>
        </w:rPr>
      </w:pPr>
    </w:p>
    <w:p w14:paraId="0C627189" w14:textId="77777777" w:rsidR="00B75FED" w:rsidRPr="000168B6" w:rsidRDefault="00B75FED" w:rsidP="00B75FED">
      <w:pPr>
        <w:spacing w:line="240" w:lineRule="auto"/>
        <w:ind w:left="567" w:right="567"/>
        <w:rPr>
          <w:bCs/>
          <w:i/>
          <w:sz w:val="22"/>
        </w:rPr>
      </w:pPr>
      <w:r w:rsidRPr="000168B6">
        <w:rPr>
          <w:b/>
          <w:bCs/>
          <w:i/>
          <w:sz w:val="22"/>
        </w:rPr>
        <w:t>Artículo 94.</w:t>
      </w:r>
      <w:r w:rsidRPr="000168B6">
        <w:rPr>
          <w:bCs/>
          <w:i/>
          <w:sz w:val="22"/>
        </w:rPr>
        <w:t xml:space="preserve"> Además de las obligaciones de transparencia común a que se refiere el Capítulo II de este Título, los sujetos obligados del Poder Ejecutivo Local y municipales, deberán poner a disposición del público y actualizar la siguiente información:</w:t>
      </w:r>
    </w:p>
    <w:p w14:paraId="37AA5BA7" w14:textId="77777777" w:rsidR="00B75FED" w:rsidRPr="000168B6" w:rsidRDefault="00B75FED" w:rsidP="00B75FED">
      <w:pPr>
        <w:spacing w:line="240" w:lineRule="auto"/>
        <w:ind w:left="567" w:right="567"/>
        <w:rPr>
          <w:bCs/>
          <w:i/>
          <w:sz w:val="22"/>
        </w:rPr>
      </w:pPr>
      <w:r w:rsidRPr="000168B6">
        <w:rPr>
          <w:b/>
          <w:bCs/>
          <w:i/>
          <w:sz w:val="22"/>
        </w:rPr>
        <w:t>I.</w:t>
      </w:r>
      <w:r w:rsidRPr="000168B6">
        <w:rPr>
          <w:bCs/>
          <w:i/>
          <w:sz w:val="22"/>
        </w:rPr>
        <w:t xml:space="preserve"> En el caso del Poder Ejecutivo y los Municipios, en el ámbito de su competencia:</w:t>
      </w:r>
    </w:p>
    <w:p w14:paraId="1D8AE911" w14:textId="77777777" w:rsidR="00B75FED" w:rsidRPr="000168B6" w:rsidRDefault="00B75FED" w:rsidP="00B75FED">
      <w:pPr>
        <w:spacing w:line="240" w:lineRule="auto"/>
        <w:ind w:left="567" w:right="567"/>
        <w:rPr>
          <w:bCs/>
          <w:i/>
          <w:sz w:val="22"/>
        </w:rPr>
      </w:pPr>
      <w:r w:rsidRPr="000168B6">
        <w:rPr>
          <w:b/>
          <w:bCs/>
          <w:i/>
          <w:sz w:val="22"/>
        </w:rPr>
        <w:t>b)</w:t>
      </w:r>
      <w:r w:rsidRPr="000168B6">
        <w:rPr>
          <w:bCs/>
          <w:i/>
          <w:sz w:val="22"/>
        </w:rPr>
        <w:t xml:space="preserve"> </w:t>
      </w:r>
      <w:r w:rsidRPr="000168B6">
        <w:rPr>
          <w:bCs/>
          <w:i/>
          <w:sz w:val="22"/>
          <w:u w:val="single"/>
        </w:rPr>
        <w:t>El presupuesto de egresos</w:t>
      </w:r>
      <w:r w:rsidRPr="000168B6">
        <w:rPr>
          <w:bCs/>
          <w:i/>
          <w:sz w:val="22"/>
        </w:rPr>
        <w:t xml:space="preserve"> y las fórmulas de distribución de los recursos otorgados;</w:t>
      </w:r>
    </w:p>
    <w:p w14:paraId="751BEB04" w14:textId="77777777" w:rsidR="00B75FED" w:rsidRDefault="00B75FED" w:rsidP="00B75FED">
      <w:pPr>
        <w:rPr>
          <w:rFonts w:cs="Times New Roman"/>
          <w:szCs w:val="24"/>
        </w:rPr>
      </w:pPr>
    </w:p>
    <w:p w14:paraId="4B140159" w14:textId="77777777" w:rsidR="00B75FED" w:rsidRDefault="00B75FED" w:rsidP="00B75FED">
      <w:pPr>
        <w:rPr>
          <w:rFonts w:cs="Arial"/>
          <w:szCs w:val="24"/>
        </w:rPr>
      </w:pPr>
      <w:r w:rsidRPr="00960F59">
        <w:rPr>
          <w:rFonts w:cs="Times New Roman"/>
          <w:szCs w:val="24"/>
        </w:rPr>
        <w:t xml:space="preserve">Del numeral citado, se observa que </w:t>
      </w:r>
      <w:r w:rsidRPr="00960F59">
        <w:rPr>
          <w:rFonts w:cs="Arial"/>
          <w:szCs w:val="24"/>
        </w:rPr>
        <w:t>la información solicitada forma parte de las Obligaciones de Transparencia Comunes de los Sujetos Obligados, las cuales deben poner a disposición de manera permanente y actualizada en los respectivos medios electrónicos, como lo es el portal de Información Pública de Oficio Mexiquense (IPOMEX) y por tanto el Sujeto Obligado debe contar con la información requerida.</w:t>
      </w:r>
    </w:p>
    <w:p w14:paraId="24C96377" w14:textId="77777777" w:rsidR="00B75FED" w:rsidRPr="00C141F0" w:rsidRDefault="00B75FED" w:rsidP="00E315DE">
      <w:pPr>
        <w:ind w:right="567"/>
      </w:pPr>
    </w:p>
    <w:p w14:paraId="09B7CD2D" w14:textId="77777777" w:rsidR="00E315DE" w:rsidRPr="00C141F0" w:rsidRDefault="00E315DE" w:rsidP="00E315DE">
      <w:pPr>
        <w:tabs>
          <w:tab w:val="left" w:pos="7938"/>
        </w:tabs>
        <w:rPr>
          <w:rFonts w:cs="Arial"/>
          <w:lang w:val="es-419"/>
        </w:rPr>
      </w:pPr>
      <w:r w:rsidRPr="00C141F0">
        <w:rPr>
          <w:rFonts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6B46F982" w14:textId="77777777" w:rsidR="00E315DE" w:rsidRPr="00EE1B1D" w:rsidRDefault="00E315DE" w:rsidP="00E315DE">
      <w:pPr>
        <w:pStyle w:val="Sinespaciado"/>
        <w:spacing w:line="360" w:lineRule="auto"/>
        <w:ind w:left="567" w:right="567"/>
        <w:jc w:val="both"/>
        <w:rPr>
          <w:rFonts w:ascii="Palatino Linotype" w:hAnsi="Palatino Linotype"/>
          <w:i/>
          <w:sz w:val="22"/>
          <w:szCs w:val="22"/>
        </w:rPr>
      </w:pPr>
      <w:r w:rsidRPr="00107158">
        <w:rPr>
          <w:rFonts w:ascii="Palatino Linotype" w:hAnsi="Palatino Linotype"/>
        </w:rPr>
        <w:t>“</w:t>
      </w:r>
      <w:r w:rsidRPr="00EE1B1D">
        <w:rPr>
          <w:rFonts w:ascii="Palatino Linotype" w:hAnsi="Palatino Linotype"/>
          <w:b/>
          <w:i/>
          <w:sz w:val="22"/>
          <w:szCs w:val="22"/>
        </w:rPr>
        <w:t>Artículo 12.</w:t>
      </w:r>
      <w:r w:rsidRPr="00EE1B1D">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CDED8FB" w14:textId="77777777" w:rsidR="00E315DE" w:rsidRPr="00EE1B1D" w:rsidRDefault="00E315DE" w:rsidP="00E315DE">
      <w:pPr>
        <w:pStyle w:val="Sinespaciado"/>
        <w:spacing w:line="360" w:lineRule="auto"/>
        <w:ind w:left="567" w:right="567"/>
        <w:jc w:val="both"/>
        <w:rPr>
          <w:rFonts w:ascii="Palatino Linotype" w:hAnsi="Palatino Linotype"/>
          <w:i/>
          <w:sz w:val="22"/>
          <w:szCs w:val="22"/>
        </w:rPr>
      </w:pPr>
    </w:p>
    <w:p w14:paraId="2C36C643" w14:textId="77777777" w:rsidR="00E315DE" w:rsidRPr="00107158" w:rsidRDefault="00E315DE" w:rsidP="00E315DE">
      <w:pPr>
        <w:tabs>
          <w:tab w:val="left" w:pos="1842"/>
        </w:tabs>
        <w:ind w:left="567" w:right="49"/>
        <w:rPr>
          <w:i/>
          <w:sz w:val="22"/>
        </w:rPr>
      </w:pPr>
      <w:r w:rsidRPr="00EE1B1D">
        <w:rPr>
          <w:b/>
          <w:i/>
          <w:sz w:val="22"/>
          <w:u w:val="single"/>
        </w:rPr>
        <w:t>Los sujetos obligados sólo proporcionarán la información pública que se les requiera y que obre en sus archivos</w:t>
      </w:r>
      <w:r w:rsidRPr="00EE1B1D">
        <w:rPr>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07158">
        <w:rPr>
          <w:i/>
          <w:sz w:val="22"/>
        </w:rPr>
        <w:t>.”</w:t>
      </w:r>
    </w:p>
    <w:p w14:paraId="4C60D134" w14:textId="77777777" w:rsidR="00E315DE" w:rsidRDefault="00E315DE" w:rsidP="00E315DE">
      <w:pPr>
        <w:rPr>
          <w:color w:val="000000" w:themeColor="text1"/>
        </w:rPr>
      </w:pPr>
    </w:p>
    <w:p w14:paraId="3946A211" w14:textId="77777777" w:rsidR="00E315DE" w:rsidRDefault="00E315DE" w:rsidP="00E315DE">
      <w:pPr>
        <w:rPr>
          <w:rFonts w:cs="Arial"/>
          <w:color w:val="000000" w:themeColor="text1"/>
        </w:rPr>
      </w:pPr>
      <w:r w:rsidRPr="00C141F0">
        <w:rPr>
          <w:color w:val="000000" w:themeColor="text1"/>
        </w:rPr>
        <w:t xml:space="preserve">Así, de conformidad con lo establecido en el artículo 12 de la Ley de Transparencia y Acceso a la Información Pública del Estado de México y Municipios, </w:t>
      </w:r>
      <w:r w:rsidRPr="00C141F0">
        <w:rPr>
          <w:b/>
          <w:color w:val="000000" w:themeColor="text1"/>
        </w:rPr>
        <w:t>EL SUJETO OBLIGADO</w:t>
      </w:r>
      <w:r w:rsidRPr="00C141F0">
        <w:rPr>
          <w:color w:val="000000" w:themeColor="text1"/>
        </w:rPr>
        <w:t xml:space="preserve"> sólo proporcionará la información que obra en sus archivos, lo que a</w:t>
      </w:r>
      <w:r w:rsidRPr="00C141F0">
        <w:rPr>
          <w:i/>
          <w:color w:val="000000" w:themeColor="text1"/>
        </w:rPr>
        <w:t xml:space="preserve"> contrario sensu</w:t>
      </w:r>
      <w:r w:rsidRPr="00C141F0">
        <w:rPr>
          <w:color w:val="000000" w:themeColor="text1"/>
        </w:rPr>
        <w:t xml:space="preserve"> significa que no se está obligado a proporcionar lo que no obre en los mismos.</w:t>
      </w:r>
      <w:r w:rsidRPr="00C141F0">
        <w:rPr>
          <w:rFonts w:cs="Arial"/>
          <w:color w:val="000000" w:themeColor="text1"/>
        </w:rPr>
        <w:t xml:space="preserve"> </w:t>
      </w:r>
    </w:p>
    <w:p w14:paraId="65C42869" w14:textId="77777777" w:rsidR="00E315DE" w:rsidRPr="00EB0769" w:rsidRDefault="00E315DE" w:rsidP="00E315DE">
      <w:pPr>
        <w:contextualSpacing/>
        <w:rPr>
          <w:rFonts w:eastAsiaTheme="minorEastAsia"/>
          <w:lang w:eastAsia="es-ES"/>
        </w:rPr>
      </w:pPr>
    </w:p>
    <w:p w14:paraId="314F33DD" w14:textId="7DB5C511" w:rsidR="00E315DE" w:rsidRDefault="00E315DE" w:rsidP="00E315DE">
      <w:pPr>
        <w:autoSpaceDE w:val="0"/>
        <w:autoSpaceDN w:val="0"/>
        <w:adjustRightInd w:val="0"/>
        <w:rPr>
          <w:rFonts w:eastAsia="Palatino Linotype" w:cs="Palatino Linotype"/>
        </w:rPr>
      </w:pPr>
      <w:r w:rsidRPr="007C2751">
        <w:rPr>
          <w:rFonts w:eastAsia="Palatino Linotype" w:cs="Palatino Linotype"/>
        </w:rPr>
        <w:t>En mérito de lo expuesto en líneas anteriores,</w:t>
      </w:r>
      <w:r>
        <w:rPr>
          <w:rFonts w:eastAsia="Palatino Linotype" w:cs="Palatino Linotype"/>
        </w:rPr>
        <w:t xml:space="preserve"> </w:t>
      </w:r>
      <w:r w:rsidR="001B1F0D">
        <w:rPr>
          <w:rFonts w:eastAsia="Palatino Linotype" w:cs="Palatino Linotype"/>
        </w:rPr>
        <w:t>este Instituto advierte que en el presente recurso</w:t>
      </w:r>
      <w:r>
        <w:rPr>
          <w:rFonts w:eastAsia="Palatino Linotype" w:cs="Palatino Linotype"/>
        </w:rPr>
        <w:t xml:space="preserve"> de información el</w:t>
      </w:r>
      <w:r w:rsidR="001B1F0D">
        <w:rPr>
          <w:rFonts w:eastAsia="Palatino Linotype" w:cs="Palatino Linotype"/>
        </w:rPr>
        <w:t xml:space="preserve"> Sujeto Obligado a través de su servidor público habilitado dio</w:t>
      </w:r>
      <w:r>
        <w:rPr>
          <w:rFonts w:eastAsia="Palatino Linotype" w:cs="Palatino Linotype"/>
        </w:rPr>
        <w:t xml:space="preserve"> respuesta al recurrente conforme lo siguiente; </w:t>
      </w:r>
    </w:p>
    <w:p w14:paraId="46857875" w14:textId="77777777" w:rsidR="00E315DE" w:rsidRDefault="00E315DE" w:rsidP="00E315DE">
      <w:pPr>
        <w:tabs>
          <w:tab w:val="left" w:pos="3631"/>
        </w:tabs>
        <w:autoSpaceDE w:val="0"/>
        <w:autoSpaceDN w:val="0"/>
        <w:adjustRightInd w:val="0"/>
        <w:rPr>
          <w:rFonts w:eastAsia="Palatino Linotype" w:cs="Palatino Linotype"/>
        </w:rPr>
      </w:pPr>
      <w:r>
        <w:rPr>
          <w:rFonts w:eastAsia="Palatino Linotype" w:cs="Palatino Linotype"/>
        </w:rPr>
        <w:tab/>
      </w:r>
    </w:p>
    <w:p w14:paraId="096AEBCF" w14:textId="70EE8051" w:rsidR="00E315DE" w:rsidRPr="00002DA2" w:rsidRDefault="001B1F0D" w:rsidP="00E47BF2">
      <w:pPr>
        <w:pStyle w:val="Prrafodelista"/>
        <w:numPr>
          <w:ilvl w:val="0"/>
          <w:numId w:val="27"/>
        </w:numPr>
        <w:autoSpaceDE w:val="0"/>
        <w:autoSpaceDN w:val="0"/>
        <w:adjustRightInd w:val="0"/>
        <w:ind w:left="426"/>
        <w:rPr>
          <w:rFonts w:eastAsia="Palatino Linotype" w:cs="Palatino Linotype"/>
        </w:rPr>
      </w:pPr>
      <w:r>
        <w:rPr>
          <w:rFonts w:cs="Arial"/>
          <w:bCs/>
        </w:rPr>
        <w:t>El Director de Administración y Finanzas</w:t>
      </w:r>
      <w:r w:rsidR="00002DA2">
        <w:rPr>
          <w:rFonts w:cs="Arial"/>
          <w:bCs/>
        </w:rPr>
        <w:t xml:space="preserve"> </w:t>
      </w:r>
      <w:r w:rsidR="00002DA2" w:rsidRPr="00002DA2">
        <w:rPr>
          <w:rFonts w:cs="Arial"/>
          <w:bCs/>
          <w:u w:val="single"/>
        </w:rPr>
        <w:t xml:space="preserve">manifestó </w:t>
      </w:r>
      <w:r w:rsidRPr="00002DA2">
        <w:rPr>
          <w:rFonts w:cs="Arial"/>
          <w:bCs/>
          <w:u w:val="single"/>
        </w:rPr>
        <w:t>adjunta</w:t>
      </w:r>
      <w:r w:rsidR="00002DA2" w:rsidRPr="00002DA2">
        <w:rPr>
          <w:rFonts w:cs="Arial"/>
          <w:bCs/>
          <w:u w:val="single"/>
        </w:rPr>
        <w:t>r</w:t>
      </w:r>
      <w:r>
        <w:rPr>
          <w:rFonts w:cs="Arial"/>
          <w:bCs/>
        </w:rPr>
        <w:t xml:space="preserve"> </w:t>
      </w:r>
      <w:r w:rsidRPr="00002DA2">
        <w:rPr>
          <w:rFonts w:cs="Arial"/>
          <w:bCs/>
          <w:u w:val="single"/>
        </w:rPr>
        <w:t>quince facturas que refieren el gasto de los festejos patrios de 2023</w:t>
      </w:r>
      <w:r>
        <w:rPr>
          <w:rFonts w:cs="Arial"/>
          <w:bCs/>
        </w:rPr>
        <w:t xml:space="preserve">, </w:t>
      </w:r>
      <w:r w:rsidR="00002DA2">
        <w:rPr>
          <w:rFonts w:cs="Arial"/>
          <w:bCs/>
        </w:rPr>
        <w:t xml:space="preserve">de </w:t>
      </w:r>
      <w:r>
        <w:rPr>
          <w:rFonts w:cs="Arial"/>
          <w:bCs/>
        </w:rPr>
        <w:t>las cuales fueron testad</w:t>
      </w:r>
      <w:r w:rsidR="00002DA2">
        <w:rPr>
          <w:rFonts w:cs="Arial"/>
          <w:bCs/>
        </w:rPr>
        <w:t xml:space="preserve">o el RFC del Emisor así mismo </w:t>
      </w:r>
      <w:r>
        <w:rPr>
          <w:rFonts w:cs="Arial"/>
          <w:bCs/>
        </w:rPr>
        <w:t>este Instituto advierte</w:t>
      </w:r>
      <w:r w:rsidR="00002DA2">
        <w:rPr>
          <w:rFonts w:cs="Arial"/>
          <w:bCs/>
        </w:rPr>
        <w:t xml:space="preserve"> que dentro del documento entregado  en informe justificado</w:t>
      </w:r>
      <w:r>
        <w:rPr>
          <w:rFonts w:cs="Arial"/>
          <w:bCs/>
        </w:rPr>
        <w:t xml:space="preserve"> únicamente </w:t>
      </w:r>
      <w:r w:rsidR="00002DA2">
        <w:rPr>
          <w:rFonts w:cs="Arial"/>
          <w:bCs/>
        </w:rPr>
        <w:t xml:space="preserve">subsisten </w:t>
      </w:r>
      <w:r w:rsidR="00134E67" w:rsidRPr="00C65A8B">
        <w:rPr>
          <w:rFonts w:cs="Arial"/>
          <w:bCs/>
        </w:rPr>
        <w:t>nueve</w:t>
      </w:r>
      <w:r w:rsidR="00002DA2">
        <w:rPr>
          <w:rFonts w:cs="Arial"/>
          <w:bCs/>
        </w:rPr>
        <w:t xml:space="preserve"> facturas</w:t>
      </w:r>
      <w:r>
        <w:rPr>
          <w:rFonts w:cs="Arial"/>
          <w:bCs/>
        </w:rPr>
        <w:t xml:space="preserve">, </w:t>
      </w:r>
      <w:r w:rsidR="00002DA2">
        <w:rPr>
          <w:rFonts w:cs="Arial"/>
          <w:bCs/>
        </w:rPr>
        <w:t xml:space="preserve">sirva de apoyo la imagen ilustrativa; </w:t>
      </w:r>
    </w:p>
    <w:p w14:paraId="1C87B8F7" w14:textId="1440A30E" w:rsidR="00002DA2" w:rsidRPr="001B1F0D" w:rsidRDefault="00002DA2" w:rsidP="00002DA2">
      <w:pPr>
        <w:pStyle w:val="Prrafodelista"/>
        <w:autoSpaceDE w:val="0"/>
        <w:autoSpaceDN w:val="0"/>
        <w:adjustRightInd w:val="0"/>
        <w:ind w:left="720"/>
        <w:jc w:val="center"/>
        <w:rPr>
          <w:rFonts w:eastAsia="Palatino Linotype" w:cs="Palatino Linotype"/>
        </w:rPr>
      </w:pPr>
      <w:r w:rsidRPr="00002DA2">
        <w:rPr>
          <w:rFonts w:eastAsia="Palatino Linotype" w:cs="Palatino Linotype"/>
          <w:noProof/>
          <w:lang w:val="es-MX" w:eastAsia="es-MX"/>
        </w:rPr>
        <w:lastRenderedPageBreak/>
        <w:drawing>
          <wp:inline distT="0" distB="0" distL="0" distR="0" wp14:anchorId="0EBC1061" wp14:editId="41D81FB2">
            <wp:extent cx="4291965" cy="47888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9482" cy="4797274"/>
                    </a:xfrm>
                    <a:prstGeom prst="rect">
                      <a:avLst/>
                    </a:prstGeom>
                  </pic:spPr>
                </pic:pic>
              </a:graphicData>
            </a:graphic>
          </wp:inline>
        </w:drawing>
      </w:r>
    </w:p>
    <w:p w14:paraId="190985FE" w14:textId="77777777" w:rsidR="001B1F0D" w:rsidRPr="003D055B" w:rsidRDefault="001B1F0D" w:rsidP="001B1F0D">
      <w:pPr>
        <w:pStyle w:val="Prrafodelista"/>
        <w:autoSpaceDE w:val="0"/>
        <w:autoSpaceDN w:val="0"/>
        <w:adjustRightInd w:val="0"/>
        <w:ind w:left="720"/>
        <w:rPr>
          <w:rFonts w:eastAsia="Palatino Linotype" w:cs="Palatino Linotype"/>
        </w:rPr>
      </w:pPr>
    </w:p>
    <w:p w14:paraId="09BAF509" w14:textId="6A725CD6" w:rsidR="00002DA2" w:rsidRPr="00002DA2" w:rsidRDefault="00002DA2" w:rsidP="00E47BF2">
      <w:pPr>
        <w:pStyle w:val="Prrafodelista"/>
        <w:numPr>
          <w:ilvl w:val="0"/>
          <w:numId w:val="27"/>
        </w:numPr>
        <w:rPr>
          <w:rFonts w:cs="Arial"/>
          <w:bCs/>
          <w:i/>
        </w:rPr>
      </w:pPr>
      <w:r w:rsidRPr="00002DA2">
        <w:rPr>
          <w:rFonts w:cs="Arial"/>
          <w:bCs/>
        </w:rPr>
        <w:t>Que si bien el Registro Federal de Contribuyentes (</w:t>
      </w:r>
      <w:r w:rsidRPr="00002DA2">
        <w:rPr>
          <w:rFonts w:cs="Arial"/>
          <w:b/>
          <w:bCs/>
        </w:rPr>
        <w:t>RFC</w:t>
      </w:r>
      <w:r w:rsidRPr="00002DA2">
        <w:rPr>
          <w:rFonts w:cs="Arial"/>
          <w:bCs/>
        </w:rPr>
        <w:t xml:space="preserve">) de </w:t>
      </w:r>
      <w:r>
        <w:rPr>
          <w:rFonts w:cs="Arial"/>
          <w:bCs/>
        </w:rPr>
        <w:t xml:space="preserve"> una </w:t>
      </w:r>
      <w:r w:rsidRPr="00002DA2">
        <w:rPr>
          <w:rFonts w:cs="Arial"/>
          <w:bCs/>
        </w:rPr>
        <w:t xml:space="preserve">persona </w:t>
      </w:r>
      <w:r>
        <w:rPr>
          <w:rFonts w:cs="Arial"/>
          <w:bCs/>
        </w:rPr>
        <w:t xml:space="preserve">física </w:t>
      </w:r>
      <w:r w:rsidRPr="00002DA2">
        <w:rPr>
          <w:rFonts w:cs="Arial"/>
          <w:bCs/>
        </w:rPr>
        <w:t xml:space="preserve">corresponde a una clave de carácter fiscal, única e irrepetible que permite identificar al titular, su edad y fecha de nacimiento </w:t>
      </w:r>
      <w:r>
        <w:rPr>
          <w:rFonts w:cs="Arial"/>
          <w:bCs/>
        </w:rPr>
        <w:t xml:space="preserve">es un dato personal de carácter confidencial, también lo es que conforme el Criterio 004/2021 emitido por el Máximo Órgano Garante </w:t>
      </w:r>
      <w:r w:rsidRPr="00002DA2">
        <w:rPr>
          <w:rFonts w:cs="Arial"/>
          <w:b/>
          <w:bCs/>
        </w:rPr>
        <w:t>cuando el RFC se trate de personas físicas proveedores o contratistas de sujetos obligados debe ser público</w:t>
      </w:r>
      <w:r>
        <w:rPr>
          <w:rFonts w:cs="Arial"/>
          <w:bCs/>
        </w:rPr>
        <w:t xml:space="preserve"> </w:t>
      </w:r>
      <w:r w:rsidRPr="00002DA2">
        <w:rPr>
          <w:rFonts w:cs="Arial"/>
          <w:bCs/>
        </w:rPr>
        <w:t xml:space="preserve">ya que al tratarse de personas relacionadas con contrataciones públicas, su difusión favorece la transparencia </w:t>
      </w:r>
      <w:r w:rsidRPr="00002DA2">
        <w:rPr>
          <w:rFonts w:cs="Arial"/>
          <w:bCs/>
        </w:rPr>
        <w:lastRenderedPageBreak/>
        <w:t>con la que deben administrarse los recursos públicos</w:t>
      </w:r>
      <w:r>
        <w:rPr>
          <w:rFonts w:cs="Arial"/>
          <w:bCs/>
        </w:rPr>
        <w:t xml:space="preserve">, </w:t>
      </w:r>
      <w:r w:rsidR="00134E67">
        <w:rPr>
          <w:rFonts w:cs="Arial"/>
          <w:bCs/>
        </w:rPr>
        <w:t xml:space="preserve"> </w:t>
      </w:r>
      <w:r w:rsidR="00134E67" w:rsidRPr="00C65A8B">
        <w:rPr>
          <w:rFonts w:cs="Arial"/>
          <w:bCs/>
        </w:rPr>
        <w:t xml:space="preserve">por lo que las facturas entregadas en informe justificado no pueden tenerse por colmadas toda vez que se testo </w:t>
      </w:r>
      <w:r w:rsidR="0012503B" w:rsidRPr="00C65A8B">
        <w:rPr>
          <w:rFonts w:cs="Arial"/>
          <w:bCs/>
        </w:rPr>
        <w:t xml:space="preserve">el RFC del emisor, </w:t>
      </w:r>
      <w:r w:rsidR="00134E67" w:rsidRPr="00C65A8B">
        <w:rPr>
          <w:rFonts w:cs="Arial"/>
          <w:bCs/>
        </w:rPr>
        <w:t>dato considerado como público</w:t>
      </w:r>
      <w:r w:rsidR="00134E67">
        <w:rPr>
          <w:rFonts w:cs="Arial"/>
          <w:bCs/>
        </w:rPr>
        <w:t xml:space="preserve"> </w:t>
      </w:r>
      <w:r>
        <w:rPr>
          <w:rFonts w:cs="Arial"/>
          <w:bCs/>
        </w:rPr>
        <w:t>conforme lo siguiente;</w:t>
      </w:r>
      <w:r>
        <w:rPr>
          <w:rFonts w:cs="Arial"/>
          <w:bCs/>
          <w:i/>
        </w:rPr>
        <w:t xml:space="preserve"> </w:t>
      </w:r>
    </w:p>
    <w:p w14:paraId="3B5BC7A4" w14:textId="77777777" w:rsidR="00002DA2" w:rsidRPr="00002DA2" w:rsidRDefault="00002DA2" w:rsidP="00002DA2">
      <w:pPr>
        <w:spacing w:line="240" w:lineRule="auto"/>
        <w:rPr>
          <w:rFonts w:cs="Arial"/>
          <w:bCs/>
          <w:szCs w:val="24"/>
        </w:rPr>
      </w:pPr>
    </w:p>
    <w:p w14:paraId="59069075" w14:textId="1A1A90C1" w:rsidR="001B1F0D" w:rsidRDefault="001B1F0D" w:rsidP="00002DA2">
      <w:pPr>
        <w:pStyle w:val="Prrafodelista"/>
        <w:spacing w:line="240" w:lineRule="auto"/>
        <w:ind w:left="1416"/>
        <w:rPr>
          <w:rFonts w:cs="Arial"/>
          <w:bCs/>
          <w:i/>
          <w:sz w:val="22"/>
        </w:rPr>
      </w:pPr>
      <w:r w:rsidRPr="00002DA2">
        <w:rPr>
          <w:rFonts w:cs="Arial"/>
          <w:b/>
          <w:i/>
          <w:sz w:val="22"/>
        </w:rPr>
        <w:t xml:space="preserve">Registro Federal de Contribuyentes (RFC) de personas físicas proveedores o contratistas. </w:t>
      </w:r>
      <w:r w:rsidRPr="00002DA2">
        <w:rPr>
          <w:rFonts w:cs="Arial"/>
          <w:bCs/>
          <w:i/>
          <w:sz w:val="22"/>
        </w:rPr>
        <w:t xml:space="preserve">El RFC de contratistas o proveedores de sujetos obligados debe ser público, </w:t>
      </w:r>
      <w:r w:rsidRPr="004A0417">
        <w:rPr>
          <w:rFonts w:cs="Arial"/>
          <w:bCs/>
          <w:i/>
          <w:sz w:val="22"/>
        </w:rPr>
        <w:t>ya que al tratarse de personas relacionadas con contrataciones públicas, su difusión favorece la transparencia con la que deben administrarse los recursos públicos</w:t>
      </w:r>
      <w:r w:rsidRPr="00002DA2">
        <w:rPr>
          <w:rFonts w:cs="Arial"/>
          <w:bCs/>
          <w:i/>
          <w:sz w:val="22"/>
        </w:rPr>
        <w:t xml:space="preserve">, en términos del artículo 134 de la Constitución Política de los Estados Unidos Mexicanos. </w:t>
      </w:r>
    </w:p>
    <w:p w14:paraId="7E967532" w14:textId="77777777" w:rsidR="00002DA2" w:rsidRPr="00002DA2" w:rsidRDefault="00002DA2" w:rsidP="00002DA2">
      <w:pPr>
        <w:pStyle w:val="Prrafodelista"/>
        <w:spacing w:line="240" w:lineRule="auto"/>
        <w:ind w:left="1416"/>
        <w:rPr>
          <w:rFonts w:cs="Arial"/>
          <w:bCs/>
          <w:i/>
          <w:sz w:val="22"/>
        </w:rPr>
      </w:pPr>
    </w:p>
    <w:p w14:paraId="6BE0BC3B" w14:textId="77777777" w:rsidR="001B1F0D" w:rsidRPr="001B1F0D" w:rsidRDefault="001B1F0D" w:rsidP="00002DA2">
      <w:pPr>
        <w:ind w:left="708" w:firstLine="708"/>
        <w:rPr>
          <w:rFonts w:cs="Arial"/>
          <w:b/>
          <w:i/>
          <w:sz w:val="22"/>
        </w:rPr>
      </w:pPr>
      <w:r w:rsidRPr="001B1F0D">
        <w:rPr>
          <w:rFonts w:cs="Arial"/>
          <w:b/>
          <w:i/>
          <w:sz w:val="22"/>
        </w:rPr>
        <w:t>Precedentes:</w:t>
      </w:r>
    </w:p>
    <w:p w14:paraId="27A21A92" w14:textId="77777777" w:rsidR="001B1F0D" w:rsidRPr="001B1F0D" w:rsidRDefault="001B1F0D" w:rsidP="00E47BF2">
      <w:pPr>
        <w:pStyle w:val="Prrafodelista"/>
        <w:numPr>
          <w:ilvl w:val="1"/>
          <w:numId w:val="27"/>
        </w:numPr>
        <w:spacing w:line="240" w:lineRule="auto"/>
        <w:contextualSpacing/>
        <w:rPr>
          <w:rFonts w:cs="Arial"/>
          <w:i/>
          <w:sz w:val="20"/>
          <w:szCs w:val="20"/>
        </w:rPr>
      </w:pPr>
      <w:r w:rsidRPr="001B1F0D">
        <w:rPr>
          <w:rFonts w:cs="Arial"/>
          <w:i/>
          <w:sz w:val="20"/>
          <w:szCs w:val="20"/>
        </w:rPr>
        <w:t>Acceso a la información Pública. RRA 3639/19.</w:t>
      </w:r>
      <w:r w:rsidRPr="001B1F0D">
        <w:rPr>
          <w:rFonts w:cs="Arial"/>
          <w:b/>
          <w:bCs/>
          <w:i/>
          <w:sz w:val="20"/>
          <w:szCs w:val="20"/>
        </w:rPr>
        <w:t xml:space="preserve"> </w:t>
      </w:r>
      <w:r w:rsidRPr="001B1F0D">
        <w:rPr>
          <w:rFonts w:cs="Arial"/>
          <w:i/>
          <w:sz w:val="20"/>
          <w:szCs w:val="20"/>
        </w:rPr>
        <w:t xml:space="preserve">Sesión del 10 de julio de 2019. Votación por mayoría. Con voto disidente del Comisionado Joel Salas Suárez. Instituto para la Protección del Ahorro Bancario. Comisionada Ponente María Patricia </w:t>
      </w:r>
      <w:proofErr w:type="spellStart"/>
      <w:r w:rsidRPr="001B1F0D">
        <w:rPr>
          <w:rFonts w:cs="Arial"/>
          <w:i/>
          <w:sz w:val="20"/>
          <w:szCs w:val="20"/>
        </w:rPr>
        <w:t>Kurczyn</w:t>
      </w:r>
      <w:proofErr w:type="spellEnd"/>
      <w:r w:rsidRPr="001B1F0D">
        <w:rPr>
          <w:rFonts w:cs="Arial"/>
          <w:i/>
          <w:sz w:val="20"/>
          <w:szCs w:val="20"/>
        </w:rPr>
        <w:t xml:space="preserve"> Villalobos.</w:t>
      </w:r>
    </w:p>
    <w:p w14:paraId="1889A957" w14:textId="77777777" w:rsidR="001B1F0D" w:rsidRPr="001B1F0D" w:rsidRDefault="001B1F0D" w:rsidP="00E47BF2">
      <w:pPr>
        <w:pStyle w:val="Prrafodelista"/>
        <w:numPr>
          <w:ilvl w:val="1"/>
          <w:numId w:val="27"/>
        </w:numPr>
        <w:spacing w:line="240" w:lineRule="auto"/>
        <w:contextualSpacing/>
        <w:rPr>
          <w:rFonts w:cs="Arial"/>
          <w:b/>
          <w:bCs/>
          <w:i/>
          <w:sz w:val="20"/>
          <w:szCs w:val="20"/>
        </w:rPr>
      </w:pPr>
      <w:r w:rsidRPr="001B1F0D">
        <w:rPr>
          <w:rFonts w:cs="Arial"/>
          <w:i/>
          <w:sz w:val="20"/>
          <w:szCs w:val="20"/>
        </w:rPr>
        <w:t>Acceso a la información Pública. RRA 7709/19.</w:t>
      </w:r>
      <w:r w:rsidRPr="001B1F0D">
        <w:rPr>
          <w:rFonts w:cs="Arial"/>
          <w:b/>
          <w:bCs/>
          <w:i/>
          <w:sz w:val="20"/>
          <w:szCs w:val="20"/>
        </w:rPr>
        <w:t xml:space="preserve"> </w:t>
      </w:r>
      <w:r w:rsidRPr="001B1F0D">
        <w:rPr>
          <w:rFonts w:cs="Arial"/>
          <w:i/>
          <w:sz w:val="20"/>
          <w:szCs w:val="20"/>
        </w:rPr>
        <w:t>Sesión del 13 de agosto de 2019. Votación por unanimidad. Con voto particular de la Comisionada Josefina Román Vergara. Suprema Corte de Justicia de la Nación. Comisionada Ponente Josefina Román Vergara.</w:t>
      </w:r>
    </w:p>
    <w:p w14:paraId="4357E588" w14:textId="6363D6A0" w:rsidR="001B1F0D" w:rsidRPr="001B1F0D" w:rsidRDefault="001B1F0D" w:rsidP="00E47BF2">
      <w:pPr>
        <w:pStyle w:val="Prrafodelista"/>
        <w:numPr>
          <w:ilvl w:val="1"/>
          <w:numId w:val="27"/>
        </w:numPr>
        <w:spacing w:line="240" w:lineRule="auto"/>
        <w:contextualSpacing/>
        <w:rPr>
          <w:rFonts w:cs="Arial"/>
          <w:b/>
          <w:bCs/>
          <w:i/>
          <w:sz w:val="22"/>
          <w:szCs w:val="22"/>
        </w:rPr>
      </w:pPr>
      <w:r w:rsidRPr="001B1F0D">
        <w:rPr>
          <w:rFonts w:cs="Arial"/>
          <w:i/>
          <w:sz w:val="20"/>
          <w:szCs w:val="20"/>
        </w:rPr>
        <w:t>Acceso a la información Pública. RRA 5774/19.</w:t>
      </w:r>
      <w:r w:rsidRPr="001B1F0D">
        <w:rPr>
          <w:rFonts w:cs="Arial"/>
          <w:b/>
          <w:bCs/>
          <w:i/>
          <w:sz w:val="20"/>
          <w:szCs w:val="20"/>
        </w:rPr>
        <w:t xml:space="preserve"> </w:t>
      </w:r>
      <w:r w:rsidRPr="001B1F0D">
        <w:rPr>
          <w:rFonts w:cs="Arial"/>
          <w:i/>
          <w:sz w:val="20"/>
          <w:szCs w:val="20"/>
        </w:rPr>
        <w:t>Sesión del 21 de agosto de 2019. Votación por mayoría. Con voto disidente del Comisionado Joel Salas Suárez. Secretaría de Marina. Comisionada Ponente Blanca Lilia Ibarra Cadena</w:t>
      </w:r>
      <w:r w:rsidRPr="001B1F0D">
        <w:rPr>
          <w:rFonts w:cs="Arial"/>
          <w:i/>
          <w:sz w:val="22"/>
          <w:szCs w:val="22"/>
        </w:rPr>
        <w:t>.</w:t>
      </w:r>
    </w:p>
    <w:p w14:paraId="082DA96C" w14:textId="77777777" w:rsidR="001B1F0D" w:rsidRDefault="001B1F0D" w:rsidP="001B1F0D">
      <w:pPr>
        <w:spacing w:line="240" w:lineRule="auto"/>
        <w:contextualSpacing/>
        <w:rPr>
          <w:rFonts w:ascii="Arial" w:hAnsi="Arial" w:cs="Arial"/>
          <w:b/>
          <w:bCs/>
        </w:rPr>
      </w:pPr>
    </w:p>
    <w:p w14:paraId="12D7539B" w14:textId="77777777" w:rsidR="001B1F0D" w:rsidRDefault="001B1F0D" w:rsidP="001B1F0D">
      <w:pPr>
        <w:spacing w:line="240" w:lineRule="auto"/>
        <w:contextualSpacing/>
        <w:rPr>
          <w:rFonts w:ascii="Arial" w:hAnsi="Arial" w:cs="Arial"/>
          <w:b/>
          <w:bCs/>
        </w:rPr>
      </w:pPr>
    </w:p>
    <w:p w14:paraId="69AF1CCD" w14:textId="1B67082B" w:rsidR="001B1F0D" w:rsidRDefault="00002DA2" w:rsidP="00E47BF2">
      <w:pPr>
        <w:pStyle w:val="Prrafodelista"/>
        <w:numPr>
          <w:ilvl w:val="0"/>
          <w:numId w:val="27"/>
        </w:numPr>
        <w:ind w:left="284"/>
        <w:contextualSpacing/>
        <w:rPr>
          <w:rFonts w:cs="Arial"/>
          <w:bCs/>
        </w:rPr>
      </w:pPr>
      <w:r w:rsidRPr="00002DA2">
        <w:rPr>
          <w:rFonts w:cs="Arial"/>
          <w:bCs/>
        </w:rPr>
        <w:t xml:space="preserve">Conforme lo anterior </w:t>
      </w:r>
      <w:r>
        <w:rPr>
          <w:rFonts w:cs="Arial"/>
          <w:bCs/>
        </w:rPr>
        <w:t>no pasa por desapercibido por este instituto que la Razón Social y el RFC de las personas morales corresponde a info</w:t>
      </w:r>
      <w:r w:rsidRPr="00002DA2">
        <w:rPr>
          <w:rFonts w:cs="Arial"/>
          <w:bCs/>
        </w:rPr>
        <w:t>rmación pública  por encontrarse inscritas en el Registro Público de Comercio</w:t>
      </w:r>
      <w:r w:rsidR="004A0417">
        <w:rPr>
          <w:rFonts w:cs="Arial"/>
          <w:bCs/>
        </w:rPr>
        <w:t xml:space="preserve"> en atención al Criterio 08/2019 emitido por el Máximo Órgano Garante; </w:t>
      </w:r>
    </w:p>
    <w:p w14:paraId="2B6B8BCD" w14:textId="77777777" w:rsidR="00002DA2" w:rsidRPr="00002DA2" w:rsidRDefault="00002DA2" w:rsidP="00002DA2">
      <w:pPr>
        <w:pStyle w:val="Prrafodelista"/>
        <w:ind w:left="720"/>
        <w:contextualSpacing/>
        <w:rPr>
          <w:rFonts w:cs="Arial"/>
          <w:bCs/>
          <w:i/>
        </w:rPr>
      </w:pPr>
    </w:p>
    <w:p w14:paraId="33ED3FB6" w14:textId="42164C1B" w:rsidR="00002DA2" w:rsidRPr="00272918" w:rsidRDefault="00002DA2" w:rsidP="00272918">
      <w:pPr>
        <w:ind w:left="1416"/>
        <w:rPr>
          <w:rFonts w:cs="Arial"/>
          <w:bCs/>
          <w:i/>
          <w:sz w:val="22"/>
        </w:rPr>
      </w:pPr>
      <w:r w:rsidRPr="00002DA2">
        <w:rPr>
          <w:rFonts w:cs="Arial"/>
          <w:b/>
          <w:bCs/>
          <w:i/>
          <w:sz w:val="22"/>
        </w:rPr>
        <w:t>Razón social y RFC de personas morales</w:t>
      </w:r>
      <w:r w:rsidRPr="00002DA2">
        <w:rPr>
          <w:rFonts w:cs="Arial"/>
          <w:b/>
          <w:i/>
          <w:sz w:val="22"/>
        </w:rPr>
        <w:t xml:space="preserve">. </w:t>
      </w:r>
      <w:r w:rsidRPr="00002DA2">
        <w:rPr>
          <w:rFonts w:cs="Arial"/>
          <w:bCs/>
          <w:i/>
          <w:sz w:val="22"/>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2FB20AFA" w14:textId="77777777" w:rsidR="00002DA2" w:rsidRPr="00002DA2" w:rsidRDefault="00002DA2" w:rsidP="00002DA2">
      <w:pPr>
        <w:ind w:left="708" w:firstLine="708"/>
        <w:rPr>
          <w:rFonts w:cs="Arial"/>
          <w:b/>
          <w:i/>
          <w:sz w:val="20"/>
          <w:szCs w:val="20"/>
        </w:rPr>
      </w:pPr>
      <w:r w:rsidRPr="00002DA2">
        <w:rPr>
          <w:rFonts w:cs="Arial"/>
          <w:b/>
          <w:i/>
          <w:sz w:val="20"/>
          <w:szCs w:val="20"/>
        </w:rPr>
        <w:lastRenderedPageBreak/>
        <w:t>Precedentes:</w:t>
      </w:r>
    </w:p>
    <w:p w14:paraId="5C5BD4D6" w14:textId="77777777" w:rsidR="00002DA2" w:rsidRPr="00002DA2" w:rsidRDefault="00002DA2" w:rsidP="00E47BF2">
      <w:pPr>
        <w:pStyle w:val="Prrafodelista"/>
        <w:numPr>
          <w:ilvl w:val="1"/>
          <w:numId w:val="27"/>
        </w:numPr>
        <w:contextualSpacing/>
        <w:rPr>
          <w:rFonts w:cs="Arial"/>
          <w:b/>
          <w:bCs/>
          <w:i/>
          <w:sz w:val="20"/>
          <w:szCs w:val="20"/>
        </w:rPr>
      </w:pPr>
      <w:r w:rsidRPr="00002DA2">
        <w:rPr>
          <w:rFonts w:cs="Arial"/>
          <w:i/>
          <w:sz w:val="20"/>
          <w:szCs w:val="20"/>
        </w:rPr>
        <w:t xml:space="preserve">Acceso a la información pública. RRA 3104/16. Sesión del 01 de noviembre de 2016. Votación por unanimidad. </w:t>
      </w:r>
      <w:r w:rsidRPr="00002DA2">
        <w:rPr>
          <w:rFonts w:eastAsia="Arial" w:cs="Arial"/>
          <w:i/>
          <w:sz w:val="20"/>
          <w:szCs w:val="20"/>
        </w:rPr>
        <w:t>Sin votos disidentes o particulares.</w:t>
      </w:r>
      <w:r w:rsidRPr="00002DA2">
        <w:rPr>
          <w:rFonts w:cs="Arial"/>
          <w:i/>
          <w:sz w:val="20"/>
          <w:szCs w:val="20"/>
        </w:rPr>
        <w:t xml:space="preserve"> Secretaría de la Defensa Nacional. Comisionado Ponente Oscar Mauricio Guerra Ford.</w:t>
      </w:r>
    </w:p>
    <w:p w14:paraId="4A01028A" w14:textId="77777777" w:rsidR="00002DA2" w:rsidRPr="00002DA2" w:rsidRDefault="00002DA2" w:rsidP="00E47BF2">
      <w:pPr>
        <w:pStyle w:val="Prrafodelista"/>
        <w:numPr>
          <w:ilvl w:val="1"/>
          <w:numId w:val="27"/>
        </w:numPr>
        <w:contextualSpacing/>
        <w:rPr>
          <w:rFonts w:cs="Arial"/>
          <w:b/>
          <w:bCs/>
          <w:i/>
          <w:sz w:val="20"/>
          <w:szCs w:val="20"/>
        </w:rPr>
      </w:pPr>
      <w:r w:rsidRPr="00002DA2">
        <w:rPr>
          <w:rFonts w:cs="Arial"/>
          <w:i/>
          <w:sz w:val="20"/>
          <w:szCs w:val="20"/>
        </w:rPr>
        <w:t xml:space="preserve">Acceso a la información pública. RRA 5402/17. Sesión del 25 de octubre de 2017. Votación por unanimidad. </w:t>
      </w:r>
      <w:r w:rsidRPr="00002DA2">
        <w:rPr>
          <w:rFonts w:eastAsia="Arial" w:cs="Arial"/>
          <w:i/>
          <w:sz w:val="20"/>
          <w:szCs w:val="20"/>
        </w:rPr>
        <w:t>Sin votos disidentes o particulares.</w:t>
      </w:r>
      <w:r w:rsidRPr="00002DA2">
        <w:rPr>
          <w:rFonts w:cs="Arial"/>
          <w:i/>
          <w:sz w:val="20"/>
          <w:szCs w:val="20"/>
        </w:rPr>
        <w:t xml:space="preserve"> Comisión Federal para la Protección contra Riesgos Sanitarios. Comisionado Ponente </w:t>
      </w:r>
      <w:proofErr w:type="spellStart"/>
      <w:r w:rsidRPr="00002DA2">
        <w:rPr>
          <w:rFonts w:cs="Arial"/>
          <w:i/>
          <w:sz w:val="20"/>
          <w:szCs w:val="20"/>
        </w:rPr>
        <w:t>Rosendoevgueni</w:t>
      </w:r>
      <w:proofErr w:type="spellEnd"/>
      <w:r w:rsidRPr="00002DA2">
        <w:rPr>
          <w:rFonts w:cs="Arial"/>
          <w:i/>
          <w:sz w:val="20"/>
          <w:szCs w:val="20"/>
        </w:rPr>
        <w:t xml:space="preserve"> Monterrey </w:t>
      </w:r>
      <w:proofErr w:type="spellStart"/>
      <w:r w:rsidRPr="00002DA2">
        <w:rPr>
          <w:rFonts w:cs="Arial"/>
          <w:i/>
          <w:sz w:val="20"/>
          <w:szCs w:val="20"/>
        </w:rPr>
        <w:t>Chepov</w:t>
      </w:r>
      <w:proofErr w:type="spellEnd"/>
      <w:r w:rsidRPr="00002DA2">
        <w:rPr>
          <w:rFonts w:cs="Arial"/>
          <w:i/>
          <w:sz w:val="20"/>
          <w:szCs w:val="20"/>
        </w:rPr>
        <w:t>.</w:t>
      </w:r>
    </w:p>
    <w:p w14:paraId="23CB3815" w14:textId="77777777" w:rsidR="00002DA2" w:rsidRPr="00002DA2" w:rsidRDefault="00002DA2" w:rsidP="00E47BF2">
      <w:pPr>
        <w:pStyle w:val="Prrafodelista"/>
        <w:numPr>
          <w:ilvl w:val="1"/>
          <w:numId w:val="27"/>
        </w:numPr>
        <w:contextualSpacing/>
        <w:rPr>
          <w:rFonts w:cs="Arial"/>
          <w:i/>
          <w:color w:val="000000"/>
          <w:sz w:val="20"/>
          <w:szCs w:val="20"/>
        </w:rPr>
      </w:pPr>
      <w:r w:rsidRPr="00002DA2">
        <w:rPr>
          <w:rFonts w:cs="Arial"/>
          <w:i/>
          <w:sz w:val="20"/>
          <w:szCs w:val="20"/>
        </w:rPr>
        <w:t xml:space="preserve">Acceso a la información pública. RRA 7492/17. Sesión del 07 de febrero de 2018. Votación por unanimidad. </w:t>
      </w:r>
      <w:r w:rsidRPr="00002DA2">
        <w:rPr>
          <w:rFonts w:eastAsia="Arial" w:cs="Arial"/>
          <w:i/>
          <w:sz w:val="20"/>
          <w:szCs w:val="20"/>
        </w:rPr>
        <w:t>Sin votos disidentes o particulares.</w:t>
      </w:r>
      <w:r w:rsidRPr="00002DA2">
        <w:rPr>
          <w:rFonts w:cs="Arial"/>
          <w:i/>
          <w:sz w:val="20"/>
          <w:szCs w:val="20"/>
        </w:rPr>
        <w:t xml:space="preserve"> Procuraduría Federal del Consumidor. Comisionada Ponente Areli Cano Guadiana. </w:t>
      </w:r>
    </w:p>
    <w:p w14:paraId="7DF0C6DA" w14:textId="77777777" w:rsidR="001B1F0D" w:rsidRPr="001B1F0D" w:rsidRDefault="001B1F0D" w:rsidP="001B1F0D">
      <w:pPr>
        <w:spacing w:line="240" w:lineRule="auto"/>
        <w:contextualSpacing/>
        <w:rPr>
          <w:rFonts w:ascii="Arial" w:hAnsi="Arial" w:cs="Arial"/>
          <w:b/>
          <w:bCs/>
        </w:rPr>
      </w:pPr>
    </w:p>
    <w:p w14:paraId="09D83F5E" w14:textId="30D84077" w:rsidR="00134E67" w:rsidRPr="00134E67" w:rsidRDefault="00134E67" w:rsidP="00134E67">
      <w:pPr>
        <w:pStyle w:val="Prrafodelista"/>
        <w:numPr>
          <w:ilvl w:val="0"/>
          <w:numId w:val="27"/>
        </w:numPr>
        <w:rPr>
          <w:rFonts w:eastAsia="Palatino Linotype" w:cs="Palatino Linotype"/>
        </w:rPr>
      </w:pPr>
      <w:r w:rsidRPr="00134E67">
        <w:rPr>
          <w:rFonts w:eastAsia="Palatino Linotype" w:cs="Palatino Linotype"/>
        </w:rPr>
        <w:t xml:space="preserve">Al respecto, no se omite señalar que los </w:t>
      </w:r>
      <w:r w:rsidRPr="00134E67">
        <w:rPr>
          <w:rFonts w:eastAsia="Palatino Linotype" w:cs="Palatino Linotype"/>
          <w:b/>
        </w:rPr>
        <w:t>número de cuentas bancarias de los Sujetos Obligados</w:t>
      </w:r>
      <w:r w:rsidRPr="00134E67">
        <w:rPr>
          <w:rFonts w:eastAsia="Palatino Linotype" w:cs="Palatino Linotype"/>
        </w:rPr>
        <w:t xml:space="preserve"> </w:t>
      </w:r>
      <w:r w:rsidRPr="00134E67">
        <w:rPr>
          <w:rFonts w:eastAsia="Palatino Linotype" w:cs="Palatino Linotype"/>
          <w:b/>
        </w:rPr>
        <w:t>son considerados como información pública</w:t>
      </w:r>
      <w:r w:rsidRPr="00134E67">
        <w:rPr>
          <w:rFonts w:eastAsia="Palatino Linotype" w:cs="Palatino Linotype"/>
        </w:rPr>
        <w:t>, debido a que su publicidad abona a la transparencia y favorece la correcta rendición de cuentas de los entes públicos, tal como se establece en el criterio con clave de control SO/011/2017 emitido por el Instituto Nacional de Transparencia, Acceso a la Información y Protección de Datos Personales, que a la letra dispone lo siguiente:</w:t>
      </w:r>
    </w:p>
    <w:p w14:paraId="4803AD39" w14:textId="77777777" w:rsidR="00134E67" w:rsidRPr="00FB634B" w:rsidRDefault="00134E67" w:rsidP="00134E67">
      <w:pPr>
        <w:pStyle w:val="Fundamentos"/>
        <w:ind w:left="708" w:firstLine="141"/>
        <w:rPr>
          <w:bCs/>
          <w:lang w:val="es-MX"/>
        </w:rPr>
      </w:pPr>
      <w:r w:rsidRPr="00FB634B">
        <w:rPr>
          <w:b/>
          <w:bCs/>
          <w:lang w:val="es-MX"/>
        </w:rPr>
        <w:t>Cuentas bancarias y/o CLABE interbancaria de sujetos obligados que reciben y/o transfieren recursos públicos, son información pública.</w:t>
      </w:r>
      <w:r w:rsidRPr="00FB634B">
        <w:rPr>
          <w:lang w:val="es-MX"/>
        </w:rPr>
        <w:t xml:space="preserve"> </w:t>
      </w:r>
      <w:r w:rsidRPr="00FB634B">
        <w:rPr>
          <w:bCs/>
          <w:lang w:val="es-MX"/>
        </w:rPr>
        <w:t>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3DA36B52" w14:textId="77777777" w:rsidR="00134E67" w:rsidRDefault="00134E67" w:rsidP="00134E67">
      <w:pPr>
        <w:ind w:left="567"/>
        <w:rPr>
          <w:rFonts w:eastAsia="Times New Roman" w:cs="Times New Roman"/>
          <w:szCs w:val="24"/>
          <w:lang w:eastAsia="es-ES"/>
        </w:rPr>
      </w:pPr>
    </w:p>
    <w:p w14:paraId="74BC859F" w14:textId="096926CD" w:rsidR="00134E67" w:rsidRDefault="0031270E" w:rsidP="00134E67">
      <w:pPr>
        <w:ind w:left="567"/>
        <w:rPr>
          <w:rFonts w:cs="Arial"/>
          <w:b/>
          <w:i/>
          <w:sz w:val="22"/>
        </w:rPr>
      </w:pPr>
      <w:r>
        <w:rPr>
          <w:rFonts w:eastAsia="Times New Roman" w:cs="Times New Roman"/>
          <w:szCs w:val="24"/>
          <w:lang w:eastAsia="es-ES"/>
        </w:rPr>
        <w:t>Respecto la firma y rubrica contenida en e</w:t>
      </w:r>
      <w:r w:rsidR="00134E67">
        <w:rPr>
          <w:rFonts w:eastAsia="Times New Roman" w:cs="Times New Roman"/>
          <w:szCs w:val="24"/>
          <w:lang w:eastAsia="es-ES"/>
        </w:rPr>
        <w:t xml:space="preserve">l soporte documental que se </w:t>
      </w:r>
      <w:r>
        <w:rPr>
          <w:rFonts w:eastAsia="Times New Roman" w:cs="Times New Roman"/>
          <w:szCs w:val="24"/>
          <w:lang w:eastAsia="es-ES"/>
        </w:rPr>
        <w:t xml:space="preserve">debe precisar que </w:t>
      </w:r>
      <w:r w:rsidR="00134E67">
        <w:rPr>
          <w:rFonts w:eastAsia="Times New Roman" w:cs="Times New Roman"/>
          <w:szCs w:val="24"/>
          <w:lang w:eastAsia="es-ES"/>
        </w:rPr>
        <w:t>el criterio 002/2019 emitid</w:t>
      </w:r>
      <w:r>
        <w:rPr>
          <w:rFonts w:eastAsia="Times New Roman" w:cs="Times New Roman"/>
          <w:szCs w:val="24"/>
          <w:lang w:eastAsia="es-ES"/>
        </w:rPr>
        <w:t xml:space="preserve">o por el Máximo Órgano Garante establece que la </w:t>
      </w:r>
      <w:r w:rsidR="00134E67">
        <w:rPr>
          <w:rFonts w:eastAsia="Times New Roman" w:cs="Times New Roman"/>
          <w:szCs w:val="24"/>
          <w:lang w:eastAsia="es-ES"/>
        </w:rPr>
        <w:t xml:space="preserve">firma de los servidores públicos que emiten un acto de autoridad en el ejercicio de sus funciones es de carácter público, conforme lo siguiente; </w:t>
      </w:r>
    </w:p>
    <w:p w14:paraId="7F5F1C58" w14:textId="77777777" w:rsidR="00134E67" w:rsidRDefault="00134E67" w:rsidP="00134E67">
      <w:pPr>
        <w:spacing w:line="240" w:lineRule="auto"/>
        <w:ind w:left="567"/>
        <w:rPr>
          <w:rFonts w:cs="Arial"/>
          <w:b/>
          <w:i/>
          <w:sz w:val="22"/>
        </w:rPr>
      </w:pPr>
    </w:p>
    <w:p w14:paraId="7ECF5845" w14:textId="77777777" w:rsidR="00134E67" w:rsidRPr="00A70DD3" w:rsidRDefault="00134E67" w:rsidP="00134E67">
      <w:pPr>
        <w:spacing w:line="240" w:lineRule="auto"/>
        <w:ind w:left="567"/>
        <w:rPr>
          <w:rFonts w:cs="Arial"/>
          <w:i/>
          <w:sz w:val="22"/>
        </w:rPr>
      </w:pPr>
      <w:r w:rsidRPr="00A70DD3">
        <w:rPr>
          <w:rFonts w:cs="Arial"/>
          <w:b/>
          <w:i/>
          <w:sz w:val="22"/>
        </w:rPr>
        <w:lastRenderedPageBreak/>
        <w:t>Firma y rúbrica de servidores públicos.</w:t>
      </w:r>
      <w:r w:rsidRPr="00A70DD3">
        <w:rPr>
          <w:rFonts w:cs="Arial"/>
          <w:i/>
          <w:sz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37A5C74" w14:textId="77777777" w:rsidR="00134E67" w:rsidRDefault="00134E67" w:rsidP="00134E67">
      <w:pPr>
        <w:spacing w:line="240" w:lineRule="auto"/>
        <w:rPr>
          <w:rFonts w:ascii="Arial" w:hAnsi="Arial" w:cs="Arial"/>
          <w:color w:val="000000"/>
          <w:szCs w:val="24"/>
        </w:rPr>
      </w:pPr>
    </w:p>
    <w:p w14:paraId="3839C50D" w14:textId="77777777" w:rsidR="00134E67" w:rsidRPr="00A70DD3" w:rsidRDefault="00134E67" w:rsidP="00134E67">
      <w:pPr>
        <w:ind w:firstLine="567"/>
        <w:rPr>
          <w:rFonts w:cs="Arial"/>
          <w:b/>
          <w:i/>
          <w:sz w:val="20"/>
          <w:szCs w:val="20"/>
        </w:rPr>
      </w:pPr>
      <w:r w:rsidRPr="00A70DD3">
        <w:rPr>
          <w:rFonts w:cs="Arial"/>
          <w:b/>
          <w:i/>
          <w:sz w:val="20"/>
          <w:szCs w:val="20"/>
        </w:rPr>
        <w:t>Precedentes:</w:t>
      </w:r>
    </w:p>
    <w:p w14:paraId="1B4967C1" w14:textId="77777777" w:rsidR="00134E67" w:rsidRPr="00A70DD3" w:rsidRDefault="00134E67" w:rsidP="00134E67">
      <w:pPr>
        <w:pStyle w:val="Prrafodelista"/>
        <w:numPr>
          <w:ilvl w:val="1"/>
          <w:numId w:val="27"/>
        </w:numPr>
        <w:spacing w:line="240" w:lineRule="auto"/>
        <w:contextualSpacing/>
        <w:rPr>
          <w:rFonts w:eastAsiaTheme="minorHAnsi" w:cs="Arial"/>
          <w:i/>
          <w:sz w:val="20"/>
          <w:szCs w:val="20"/>
        </w:rPr>
      </w:pPr>
      <w:r w:rsidRPr="00A70DD3">
        <w:rPr>
          <w:rFonts w:cs="Arial"/>
          <w:bCs/>
          <w:i/>
          <w:sz w:val="20"/>
          <w:szCs w:val="20"/>
        </w:rPr>
        <w:t>Acceso a la información pública. RRA 0185/17.</w:t>
      </w:r>
      <w:r w:rsidRPr="00A70DD3">
        <w:rPr>
          <w:rFonts w:cs="Arial"/>
          <w:i/>
          <w:sz w:val="20"/>
          <w:szCs w:val="20"/>
        </w:rPr>
        <w:t xml:space="preserve"> Sesión del 08 de febrero de 2017. Votación por unanimidad. </w:t>
      </w:r>
      <w:r w:rsidRPr="00A70DD3">
        <w:rPr>
          <w:rFonts w:cs="Arial"/>
          <w:bCs/>
          <w:i/>
          <w:sz w:val="20"/>
          <w:szCs w:val="20"/>
        </w:rPr>
        <w:t xml:space="preserve">Sin votos disidentes o particulares. </w:t>
      </w:r>
      <w:r w:rsidRPr="00A70DD3">
        <w:rPr>
          <w:rFonts w:cs="Arial"/>
          <w:i/>
          <w:sz w:val="20"/>
          <w:szCs w:val="20"/>
        </w:rPr>
        <w:t>Secretaría de Cultura. Comisionado Ponente Oscar Mauricio Guerra Ford.</w:t>
      </w:r>
    </w:p>
    <w:p w14:paraId="6A1E1D65" w14:textId="77777777" w:rsidR="00134E67" w:rsidRPr="00A70DD3" w:rsidRDefault="00134E67" w:rsidP="00134E67">
      <w:pPr>
        <w:pStyle w:val="Prrafodelista"/>
        <w:numPr>
          <w:ilvl w:val="1"/>
          <w:numId w:val="27"/>
        </w:numPr>
        <w:spacing w:line="240" w:lineRule="auto"/>
        <w:contextualSpacing/>
        <w:rPr>
          <w:rFonts w:eastAsiaTheme="minorHAnsi" w:cs="Arial"/>
          <w:i/>
          <w:sz w:val="20"/>
          <w:szCs w:val="20"/>
        </w:rPr>
      </w:pPr>
      <w:r w:rsidRPr="00A70DD3">
        <w:rPr>
          <w:rFonts w:cs="Arial"/>
          <w:bCs/>
          <w:i/>
          <w:sz w:val="20"/>
          <w:szCs w:val="20"/>
        </w:rPr>
        <w:t>Acceso a la información pública. RRA 1588/17.</w:t>
      </w:r>
      <w:r w:rsidRPr="00A70DD3">
        <w:rPr>
          <w:rFonts w:cs="Arial"/>
          <w:i/>
          <w:sz w:val="20"/>
          <w:szCs w:val="20"/>
        </w:rPr>
        <w:t xml:space="preserve"> Sesión del 26 de abril de 2017. Votación por unanimidad. </w:t>
      </w:r>
      <w:r w:rsidRPr="00A70DD3">
        <w:rPr>
          <w:rFonts w:cs="Arial"/>
          <w:bCs/>
          <w:i/>
          <w:sz w:val="20"/>
          <w:szCs w:val="20"/>
        </w:rPr>
        <w:t xml:space="preserve">Sin votos disidentes o particulares. </w:t>
      </w:r>
      <w:r w:rsidRPr="00A70DD3">
        <w:rPr>
          <w:rFonts w:cs="Arial"/>
          <w:i/>
          <w:sz w:val="20"/>
          <w:szCs w:val="20"/>
        </w:rPr>
        <w:t>Centro de Investigación en Materiales Avanzados, S.C. Comisionada Ponente Ximena Puente de la Mora.</w:t>
      </w:r>
    </w:p>
    <w:p w14:paraId="205A9412" w14:textId="77777777" w:rsidR="00134E67" w:rsidRPr="00A70DD3" w:rsidRDefault="00134E67" w:rsidP="00134E67">
      <w:pPr>
        <w:pStyle w:val="Prrafodelista"/>
        <w:numPr>
          <w:ilvl w:val="1"/>
          <w:numId w:val="27"/>
        </w:numPr>
        <w:spacing w:line="240" w:lineRule="auto"/>
        <w:contextualSpacing/>
        <w:rPr>
          <w:rFonts w:eastAsiaTheme="minorHAnsi" w:cs="Arial"/>
          <w:i/>
          <w:sz w:val="20"/>
          <w:szCs w:val="20"/>
        </w:rPr>
      </w:pPr>
      <w:r w:rsidRPr="00A70DD3">
        <w:rPr>
          <w:rFonts w:cs="Arial"/>
          <w:bCs/>
          <w:i/>
          <w:sz w:val="20"/>
          <w:szCs w:val="20"/>
        </w:rPr>
        <w:t>Acceso a la información pública. RRA 3472/17.</w:t>
      </w:r>
      <w:r w:rsidRPr="00A70DD3">
        <w:rPr>
          <w:rFonts w:cs="Arial"/>
          <w:i/>
          <w:sz w:val="20"/>
          <w:szCs w:val="20"/>
        </w:rPr>
        <w:t xml:space="preserve"> Sesión del 21 de junio de 2017. Votación por unanimidad. </w:t>
      </w:r>
      <w:r w:rsidRPr="00A70DD3">
        <w:rPr>
          <w:rFonts w:cs="Arial"/>
          <w:bCs/>
          <w:i/>
          <w:sz w:val="20"/>
          <w:szCs w:val="20"/>
        </w:rPr>
        <w:t xml:space="preserve">Sin votos disidentes o particulares. </w:t>
      </w:r>
      <w:r w:rsidRPr="00A70DD3">
        <w:rPr>
          <w:rFonts w:cs="Arial"/>
          <w:i/>
          <w:sz w:val="20"/>
          <w:szCs w:val="20"/>
        </w:rPr>
        <w:t>Instituto Nacional de Migración. Comisionado Ponente Joel Salas Suárez</w:t>
      </w:r>
      <w:r w:rsidRPr="00A70DD3">
        <w:rPr>
          <w:rFonts w:cs="Arial"/>
          <w:bCs/>
          <w:i/>
          <w:sz w:val="20"/>
          <w:szCs w:val="20"/>
        </w:rPr>
        <w:t>.</w:t>
      </w:r>
    </w:p>
    <w:p w14:paraId="2613BCC7" w14:textId="77777777" w:rsidR="00134E67" w:rsidRPr="00134E67" w:rsidRDefault="00134E67" w:rsidP="00134E67">
      <w:pPr>
        <w:pStyle w:val="Sinespaciado"/>
        <w:spacing w:line="360" w:lineRule="auto"/>
        <w:ind w:left="284" w:right="141"/>
        <w:jc w:val="both"/>
        <w:rPr>
          <w:rFonts w:ascii="Palatino Linotype" w:hAnsi="Palatino Linotype"/>
        </w:rPr>
      </w:pPr>
    </w:p>
    <w:p w14:paraId="761ABA05" w14:textId="6C990FF5" w:rsidR="0070725F" w:rsidRPr="000168B6" w:rsidRDefault="00E315DE" w:rsidP="00E47BF2">
      <w:pPr>
        <w:pStyle w:val="Sinespaciado"/>
        <w:numPr>
          <w:ilvl w:val="0"/>
          <w:numId w:val="27"/>
        </w:numPr>
        <w:spacing w:line="360" w:lineRule="auto"/>
        <w:ind w:left="284" w:right="141"/>
        <w:jc w:val="both"/>
        <w:rPr>
          <w:rFonts w:ascii="Palatino Linotype" w:hAnsi="Palatino Linotype"/>
        </w:rPr>
      </w:pPr>
      <w:r w:rsidRPr="000168B6">
        <w:rPr>
          <w:rFonts w:ascii="Palatino Linotype" w:hAnsi="Palatino Linotype"/>
          <w:bCs/>
        </w:rPr>
        <w:t xml:space="preserve">Respecto </w:t>
      </w:r>
      <w:r w:rsidR="0049669E" w:rsidRPr="000168B6">
        <w:rPr>
          <w:rFonts w:ascii="Palatino Linotype" w:hAnsi="Palatino Linotype"/>
          <w:bCs/>
        </w:rPr>
        <w:t xml:space="preserve">el oficio entregado por el Titular de la Unidad de Transparencia resulta imprescindible </w:t>
      </w:r>
      <w:r w:rsidR="0070725F" w:rsidRPr="000168B6">
        <w:rPr>
          <w:rFonts w:ascii="Palatino Linotype" w:hAnsi="Palatino Linotype"/>
        </w:rPr>
        <w:t xml:space="preserve">señalar que la versión pública de los documentos que se entreguen a los solicitantes </w:t>
      </w:r>
      <w:r w:rsidR="0070725F" w:rsidRPr="000168B6">
        <w:rPr>
          <w:rFonts w:ascii="Palatino Linotype" w:hAnsi="Palatino Linotype"/>
          <w:b/>
        </w:rPr>
        <w:t>debe encontrarse debidamente fundada y motivada mediante el acuerdo que para tal efecto emita el Comité de Transparencia de los sujetos obligados</w:t>
      </w:r>
      <w:r w:rsidR="0070725F" w:rsidRPr="000168B6">
        <w:rPr>
          <w:rFonts w:ascii="Palatino Linotype" w:hAnsi="Palatino Linotype"/>
        </w:rPr>
        <w:t>, tal como se estable en los artículos 49, fracción VIII, y 132, fracciones II y III, de la Ley de Transparencia y Acceso a la Información Pública del Estado de México y Municipios, que literalmente expresan:</w:t>
      </w:r>
    </w:p>
    <w:p w14:paraId="7A5F48B9" w14:textId="77777777" w:rsidR="0070725F" w:rsidRDefault="0070725F" w:rsidP="0070725F">
      <w:pPr>
        <w:pStyle w:val="Sinespaciado"/>
        <w:spacing w:line="360" w:lineRule="auto"/>
        <w:ind w:right="141"/>
        <w:jc w:val="both"/>
        <w:rPr>
          <w:rFonts w:ascii="Palatino Linotype" w:hAnsi="Palatino Linotype"/>
          <w:bCs/>
        </w:rPr>
      </w:pPr>
    </w:p>
    <w:p w14:paraId="3475EB9A" w14:textId="77777777" w:rsidR="0070725F" w:rsidRDefault="0070725F" w:rsidP="0070725F">
      <w:pPr>
        <w:pStyle w:val="Sinespaciado"/>
        <w:spacing w:line="360" w:lineRule="auto"/>
        <w:ind w:left="708" w:right="141"/>
        <w:jc w:val="both"/>
        <w:rPr>
          <w:rFonts w:ascii="Palatino Linotype" w:hAnsi="Palatino Linotype"/>
          <w:i/>
          <w:sz w:val="22"/>
          <w:szCs w:val="22"/>
        </w:rPr>
      </w:pPr>
      <w:r w:rsidRPr="003D09FE">
        <w:rPr>
          <w:rFonts w:ascii="Palatino Linotype" w:hAnsi="Palatino Linotype"/>
          <w:b/>
          <w:i/>
          <w:sz w:val="22"/>
          <w:szCs w:val="22"/>
        </w:rPr>
        <w:t>Artículo 49</w:t>
      </w:r>
      <w:r w:rsidRPr="003D09FE">
        <w:rPr>
          <w:rFonts w:ascii="Palatino Linotype" w:hAnsi="Palatino Linotype"/>
          <w:i/>
          <w:sz w:val="22"/>
          <w:szCs w:val="22"/>
        </w:rPr>
        <w:t>. Los Comités de Transparencia tendrán las siguientes atribuciones:</w:t>
      </w:r>
    </w:p>
    <w:p w14:paraId="2ADC394E" w14:textId="77777777" w:rsidR="0070725F" w:rsidRDefault="0070725F" w:rsidP="0070725F">
      <w:pPr>
        <w:pStyle w:val="Sinespaciado"/>
        <w:spacing w:line="360" w:lineRule="auto"/>
        <w:ind w:left="708" w:right="141"/>
        <w:jc w:val="both"/>
        <w:rPr>
          <w:rFonts w:ascii="Palatino Linotype" w:hAnsi="Palatino Linotype"/>
          <w:i/>
          <w:sz w:val="22"/>
          <w:szCs w:val="22"/>
        </w:rPr>
      </w:pPr>
      <w:r w:rsidRPr="003D09FE">
        <w:rPr>
          <w:rFonts w:ascii="Palatino Linotype" w:hAnsi="Palatino Linotype"/>
          <w:i/>
          <w:sz w:val="22"/>
          <w:szCs w:val="22"/>
        </w:rPr>
        <w:t xml:space="preserve"> (…) </w:t>
      </w:r>
    </w:p>
    <w:p w14:paraId="5D8F2E51" w14:textId="77777777" w:rsidR="0070725F" w:rsidRDefault="0070725F" w:rsidP="0070725F">
      <w:pPr>
        <w:pStyle w:val="Sinespaciado"/>
        <w:spacing w:line="360" w:lineRule="auto"/>
        <w:ind w:left="708" w:right="141"/>
        <w:jc w:val="both"/>
        <w:rPr>
          <w:rFonts w:ascii="Palatino Linotype" w:hAnsi="Palatino Linotype"/>
          <w:i/>
          <w:sz w:val="22"/>
          <w:szCs w:val="22"/>
        </w:rPr>
      </w:pPr>
      <w:r w:rsidRPr="003D09FE">
        <w:rPr>
          <w:rFonts w:ascii="Palatino Linotype" w:hAnsi="Palatino Linotype"/>
          <w:i/>
          <w:sz w:val="22"/>
          <w:szCs w:val="22"/>
        </w:rPr>
        <w:t xml:space="preserve">VIII. Aprobar, modificar o revocar la clasificación de la información; </w:t>
      </w:r>
    </w:p>
    <w:p w14:paraId="58F0B01E" w14:textId="77777777" w:rsidR="0070725F" w:rsidRDefault="0070725F" w:rsidP="0070725F">
      <w:pPr>
        <w:pStyle w:val="Sinespaciado"/>
        <w:spacing w:line="360" w:lineRule="auto"/>
        <w:ind w:left="708" w:right="141"/>
        <w:jc w:val="both"/>
        <w:rPr>
          <w:rFonts w:ascii="Palatino Linotype" w:hAnsi="Palatino Linotype"/>
          <w:i/>
          <w:sz w:val="22"/>
          <w:szCs w:val="22"/>
        </w:rPr>
      </w:pPr>
      <w:r w:rsidRPr="003D09FE">
        <w:rPr>
          <w:rFonts w:ascii="Palatino Linotype" w:hAnsi="Palatino Linotype"/>
          <w:i/>
          <w:sz w:val="22"/>
          <w:szCs w:val="22"/>
        </w:rPr>
        <w:t xml:space="preserve">(…) </w:t>
      </w:r>
    </w:p>
    <w:p w14:paraId="24A14ECF" w14:textId="77777777" w:rsidR="0070725F" w:rsidRDefault="0070725F" w:rsidP="0070725F">
      <w:pPr>
        <w:pStyle w:val="Sinespaciado"/>
        <w:spacing w:line="360" w:lineRule="auto"/>
        <w:ind w:left="708" w:right="141"/>
        <w:jc w:val="both"/>
        <w:rPr>
          <w:rFonts w:ascii="Palatino Linotype" w:hAnsi="Palatino Linotype"/>
          <w:i/>
          <w:sz w:val="22"/>
          <w:szCs w:val="22"/>
        </w:rPr>
      </w:pPr>
      <w:r w:rsidRPr="003D09FE">
        <w:rPr>
          <w:rFonts w:ascii="Palatino Linotype" w:hAnsi="Palatino Linotype"/>
          <w:b/>
          <w:i/>
          <w:sz w:val="22"/>
          <w:szCs w:val="22"/>
        </w:rPr>
        <w:t>Artículo 132</w:t>
      </w:r>
      <w:r w:rsidRPr="003D09FE">
        <w:rPr>
          <w:rFonts w:ascii="Palatino Linotype" w:hAnsi="Palatino Linotype"/>
          <w:i/>
          <w:sz w:val="22"/>
          <w:szCs w:val="22"/>
        </w:rPr>
        <w:t xml:space="preserve">. La clasificación de la información se llevará a cabo en el momento en que: </w:t>
      </w:r>
    </w:p>
    <w:p w14:paraId="5B5921DB" w14:textId="77777777" w:rsidR="0070725F" w:rsidRDefault="0070725F" w:rsidP="00E47BF2">
      <w:pPr>
        <w:pStyle w:val="Sinespaciado"/>
        <w:numPr>
          <w:ilvl w:val="0"/>
          <w:numId w:val="31"/>
        </w:numPr>
        <w:spacing w:line="360" w:lineRule="auto"/>
        <w:ind w:right="141"/>
        <w:jc w:val="both"/>
        <w:rPr>
          <w:rFonts w:ascii="Palatino Linotype" w:hAnsi="Palatino Linotype"/>
          <w:i/>
          <w:sz w:val="22"/>
          <w:szCs w:val="22"/>
        </w:rPr>
      </w:pPr>
      <w:r w:rsidRPr="003D09FE">
        <w:rPr>
          <w:rFonts w:ascii="Palatino Linotype" w:hAnsi="Palatino Linotype"/>
          <w:i/>
          <w:sz w:val="22"/>
          <w:szCs w:val="22"/>
        </w:rPr>
        <w:t xml:space="preserve">Se reciba una solicitud de acceso a la información; </w:t>
      </w:r>
    </w:p>
    <w:p w14:paraId="0574B36A" w14:textId="77777777" w:rsidR="0070725F" w:rsidRPr="003D09FE" w:rsidRDefault="0070725F" w:rsidP="00E47BF2">
      <w:pPr>
        <w:pStyle w:val="Sinespaciado"/>
        <w:numPr>
          <w:ilvl w:val="0"/>
          <w:numId w:val="31"/>
        </w:numPr>
        <w:spacing w:line="360" w:lineRule="auto"/>
        <w:ind w:right="141"/>
        <w:jc w:val="both"/>
        <w:rPr>
          <w:rFonts w:ascii="Palatino Linotype" w:hAnsi="Palatino Linotype"/>
          <w:bCs/>
          <w:i/>
          <w:sz w:val="22"/>
          <w:szCs w:val="22"/>
        </w:rPr>
      </w:pPr>
      <w:r w:rsidRPr="003D09FE">
        <w:rPr>
          <w:rFonts w:ascii="Palatino Linotype" w:hAnsi="Palatino Linotype"/>
          <w:i/>
          <w:sz w:val="22"/>
          <w:szCs w:val="22"/>
        </w:rPr>
        <w:t xml:space="preserve"> Se determine mediante resolución de autoridad competente; o </w:t>
      </w:r>
    </w:p>
    <w:p w14:paraId="6913AFB7" w14:textId="77777777" w:rsidR="0070725F" w:rsidRPr="003D09FE" w:rsidRDefault="0070725F" w:rsidP="00E47BF2">
      <w:pPr>
        <w:pStyle w:val="Sinespaciado"/>
        <w:numPr>
          <w:ilvl w:val="0"/>
          <w:numId w:val="31"/>
        </w:numPr>
        <w:spacing w:line="360" w:lineRule="auto"/>
        <w:ind w:right="141"/>
        <w:jc w:val="both"/>
        <w:rPr>
          <w:rFonts w:ascii="Palatino Linotype" w:hAnsi="Palatino Linotype"/>
          <w:bCs/>
          <w:i/>
          <w:sz w:val="22"/>
          <w:szCs w:val="22"/>
        </w:rPr>
      </w:pPr>
      <w:r w:rsidRPr="003D09FE">
        <w:rPr>
          <w:rFonts w:ascii="Palatino Linotype" w:hAnsi="Palatino Linotype"/>
          <w:i/>
          <w:sz w:val="22"/>
          <w:szCs w:val="22"/>
        </w:rPr>
        <w:lastRenderedPageBreak/>
        <w:t>Se generen versiones públicas para dar cumplimiento a las obligaciones de transparencia previstas en esta Ley.</w:t>
      </w:r>
    </w:p>
    <w:p w14:paraId="3348E0E3" w14:textId="77777777" w:rsidR="0070725F" w:rsidRPr="003D09FE" w:rsidRDefault="0070725F" w:rsidP="0070725F">
      <w:pPr>
        <w:pStyle w:val="infoemcitas"/>
        <w:tabs>
          <w:tab w:val="left" w:pos="7655"/>
        </w:tabs>
        <w:ind w:left="0" w:right="0"/>
        <w:rPr>
          <w:rFonts w:cs="Arial"/>
          <w:i w:val="0"/>
          <w:color w:val="000000" w:themeColor="text1"/>
          <w:sz w:val="24"/>
          <w:szCs w:val="24"/>
        </w:rPr>
      </w:pPr>
      <w:r w:rsidRPr="003D09FE">
        <w:rPr>
          <w:i w:val="0"/>
          <w:sz w:val="24"/>
          <w:szCs w:val="24"/>
        </w:rPr>
        <w:t>Asimismo, se debe hacer referencia a lo estipulado en los numerales del Cuarto al Décimo Primero de los Lineamientos Generales en materia de Clasificación y Desclasificación de la Información, así como para la elaboración de Versiones Públicas, que a la letra disponen lo siguiente:</w:t>
      </w:r>
    </w:p>
    <w:p w14:paraId="0DE84367" w14:textId="77777777" w:rsidR="0070725F" w:rsidRPr="000168B6" w:rsidRDefault="0070725F" w:rsidP="0070725F">
      <w:pPr>
        <w:ind w:left="708"/>
        <w:rPr>
          <w:rFonts w:cs="Arial"/>
          <w:i/>
          <w:color w:val="000000" w:themeColor="text1"/>
          <w:sz w:val="22"/>
        </w:rPr>
      </w:pPr>
      <w:r w:rsidRPr="000168B6">
        <w:rPr>
          <w:b/>
          <w:i/>
          <w:sz w:val="22"/>
        </w:rPr>
        <w:t>Cuarto.</w:t>
      </w:r>
      <w:r w:rsidRPr="000168B6">
        <w:rPr>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6E7F37" w14:textId="77777777" w:rsidR="0070725F" w:rsidRPr="000168B6" w:rsidRDefault="0070725F" w:rsidP="0070725F">
      <w:pPr>
        <w:ind w:left="708"/>
        <w:rPr>
          <w:i/>
          <w:sz w:val="22"/>
        </w:rPr>
      </w:pPr>
      <w:r w:rsidRPr="000168B6">
        <w:rPr>
          <w:i/>
          <w:sz w:val="22"/>
        </w:rPr>
        <w:t xml:space="preserve">Los Sujetos Obligados deberán aplicar, de manera estricta, las excepciones al derecho de acceso a la información y sólo podrán invocarlas cuando acrediten su procedencia. </w:t>
      </w:r>
    </w:p>
    <w:p w14:paraId="04132EAF" w14:textId="77777777" w:rsidR="0070725F" w:rsidRPr="000168B6" w:rsidRDefault="0070725F" w:rsidP="0070725F">
      <w:pPr>
        <w:ind w:left="708"/>
        <w:rPr>
          <w:i/>
          <w:sz w:val="22"/>
        </w:rPr>
      </w:pPr>
      <w:r w:rsidRPr="000168B6">
        <w:rPr>
          <w:b/>
          <w:i/>
          <w:sz w:val="22"/>
        </w:rPr>
        <w:t>Quinto</w:t>
      </w:r>
      <w:r w:rsidRPr="000168B6">
        <w:rPr>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 </w:t>
      </w:r>
    </w:p>
    <w:p w14:paraId="6EF2B0E9" w14:textId="77777777" w:rsidR="0070725F" w:rsidRPr="000168B6" w:rsidRDefault="0070725F" w:rsidP="0070725F">
      <w:pPr>
        <w:ind w:left="708"/>
        <w:rPr>
          <w:i/>
          <w:sz w:val="22"/>
        </w:rPr>
      </w:pPr>
      <w:r w:rsidRPr="000168B6">
        <w:rPr>
          <w:b/>
          <w:i/>
          <w:sz w:val="22"/>
        </w:rPr>
        <w:t>Sexto.</w:t>
      </w:r>
      <w:r w:rsidRPr="000168B6">
        <w:rPr>
          <w:i/>
          <w:sz w:val="22"/>
        </w:rPr>
        <w:t xml:space="preserve"> Los Sujetos Obligados no podrán emitir acuerdos de carácter general ni particular que clasifiquen documentos o expedientes como reservados, ni clasificar documentos antes de que se genere la información o cuando éstos no obren en sus archivos. </w:t>
      </w:r>
    </w:p>
    <w:p w14:paraId="6F79C377" w14:textId="77777777" w:rsidR="0070725F" w:rsidRPr="000168B6" w:rsidRDefault="0070725F" w:rsidP="0070725F">
      <w:pPr>
        <w:ind w:left="708"/>
        <w:rPr>
          <w:i/>
          <w:sz w:val="22"/>
        </w:rPr>
      </w:pPr>
      <w:r w:rsidRPr="000168B6">
        <w:rPr>
          <w:i/>
          <w:sz w:val="22"/>
        </w:rPr>
        <w:t xml:space="preserve">La clasificación de información se realizará conforme a un análisis caso por caso, mediante la aplicación de la prueba de daño y de interés público. </w:t>
      </w:r>
    </w:p>
    <w:p w14:paraId="2D4CB0EE" w14:textId="77777777" w:rsidR="0070725F" w:rsidRPr="000168B6" w:rsidRDefault="0070725F" w:rsidP="0070725F">
      <w:pPr>
        <w:ind w:left="708"/>
        <w:rPr>
          <w:i/>
          <w:sz w:val="22"/>
        </w:rPr>
      </w:pPr>
      <w:r w:rsidRPr="000168B6">
        <w:rPr>
          <w:b/>
          <w:i/>
          <w:sz w:val="22"/>
        </w:rPr>
        <w:t>Séptimo</w:t>
      </w:r>
      <w:r w:rsidRPr="000168B6">
        <w:rPr>
          <w:i/>
          <w:sz w:val="22"/>
        </w:rPr>
        <w:t xml:space="preserve">. La clasificación de la información se llevará a cabo en el momento en que: </w:t>
      </w:r>
    </w:p>
    <w:p w14:paraId="722C684F" w14:textId="77777777" w:rsidR="0070725F" w:rsidRPr="000168B6" w:rsidRDefault="0070725F" w:rsidP="00E47BF2">
      <w:pPr>
        <w:pStyle w:val="Prrafodelista"/>
        <w:numPr>
          <w:ilvl w:val="1"/>
          <w:numId w:val="30"/>
        </w:numPr>
        <w:rPr>
          <w:i/>
          <w:sz w:val="22"/>
          <w:szCs w:val="22"/>
        </w:rPr>
      </w:pPr>
      <w:r w:rsidRPr="000168B6">
        <w:rPr>
          <w:i/>
          <w:sz w:val="22"/>
          <w:szCs w:val="22"/>
        </w:rPr>
        <w:lastRenderedPageBreak/>
        <w:t xml:space="preserve">Se reciba una solicitud de acceso a la información; </w:t>
      </w:r>
    </w:p>
    <w:p w14:paraId="2CAA9457" w14:textId="77777777" w:rsidR="0070725F" w:rsidRPr="000168B6" w:rsidRDefault="0070725F" w:rsidP="00E47BF2">
      <w:pPr>
        <w:pStyle w:val="Prrafodelista"/>
        <w:numPr>
          <w:ilvl w:val="1"/>
          <w:numId w:val="30"/>
        </w:numPr>
        <w:rPr>
          <w:i/>
          <w:sz w:val="22"/>
          <w:szCs w:val="22"/>
        </w:rPr>
      </w:pPr>
      <w:r w:rsidRPr="000168B6">
        <w:rPr>
          <w:i/>
          <w:sz w:val="22"/>
          <w:szCs w:val="22"/>
        </w:rPr>
        <w:t xml:space="preserve">Se determine mediante resolución de autoridad competente, o </w:t>
      </w:r>
    </w:p>
    <w:p w14:paraId="270987FA" w14:textId="77777777" w:rsidR="0070725F" w:rsidRPr="000168B6" w:rsidRDefault="0070725F" w:rsidP="00E47BF2">
      <w:pPr>
        <w:pStyle w:val="Prrafodelista"/>
        <w:numPr>
          <w:ilvl w:val="1"/>
          <w:numId w:val="30"/>
        </w:numPr>
        <w:rPr>
          <w:i/>
          <w:sz w:val="22"/>
          <w:szCs w:val="22"/>
        </w:rPr>
      </w:pPr>
      <w:r w:rsidRPr="000168B6">
        <w:rPr>
          <w:i/>
          <w:sz w:val="22"/>
          <w:szCs w:val="22"/>
        </w:rPr>
        <w:t xml:space="preserve">Se generen versiones públicas para dar cumplimiento a las obligaciones de transparencia previstas en la Ley General, la Ley Federal y las correspondientes de las entidades federativas. </w:t>
      </w:r>
    </w:p>
    <w:p w14:paraId="33B24867" w14:textId="77777777" w:rsidR="0070725F" w:rsidRPr="000168B6" w:rsidRDefault="0070725F" w:rsidP="0070725F">
      <w:pPr>
        <w:ind w:left="708"/>
        <w:rPr>
          <w:i/>
          <w:sz w:val="22"/>
        </w:rPr>
      </w:pPr>
      <w:r w:rsidRPr="000168B6">
        <w:rPr>
          <w:i/>
          <w:sz w:val="22"/>
        </w:rPr>
        <w:t xml:space="preserve">Los titulares de las áreas deberán revisar la clasificación al momento de la recepción de una solicitud de acceso a la información, para verificar si encuadra en una causal de reserva o de confidencialidad. </w:t>
      </w:r>
    </w:p>
    <w:p w14:paraId="5990754D" w14:textId="77777777" w:rsidR="0070725F" w:rsidRPr="000168B6" w:rsidRDefault="0070725F" w:rsidP="0070725F">
      <w:pPr>
        <w:ind w:left="708"/>
        <w:rPr>
          <w:i/>
          <w:sz w:val="22"/>
        </w:rPr>
      </w:pPr>
      <w:r w:rsidRPr="000168B6">
        <w:rPr>
          <w:b/>
          <w:i/>
          <w:sz w:val="22"/>
        </w:rPr>
        <w:t>Octavo</w:t>
      </w:r>
      <w:r w:rsidRPr="000168B6">
        <w:rPr>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15F0FBAB" w14:textId="77777777" w:rsidR="0070725F" w:rsidRPr="000168B6" w:rsidRDefault="0070725F" w:rsidP="0070725F">
      <w:pPr>
        <w:ind w:left="708"/>
        <w:rPr>
          <w:i/>
          <w:sz w:val="22"/>
        </w:rPr>
      </w:pPr>
      <w:r w:rsidRPr="000168B6">
        <w:rPr>
          <w:i/>
          <w:sz w:val="22"/>
        </w:rPr>
        <w:t xml:space="preserve">Para motivar la clasificación se deberán señalar las razones o circunstancias especiales que lo llevaron a concluir que el caso particular se ajusta al supuesto previsto por la norma legal invocada como fundamento. </w:t>
      </w:r>
    </w:p>
    <w:p w14:paraId="58F389CA" w14:textId="77777777" w:rsidR="0070725F" w:rsidRPr="000168B6" w:rsidRDefault="0070725F" w:rsidP="0070725F">
      <w:pPr>
        <w:ind w:left="708"/>
        <w:rPr>
          <w:i/>
          <w:sz w:val="22"/>
        </w:rPr>
      </w:pPr>
      <w:r w:rsidRPr="000168B6">
        <w:rPr>
          <w:i/>
          <w:sz w:val="22"/>
        </w:rPr>
        <w:t>En caso de referirse a información reservada, la motivación de la clasificación también deberá comprender las circunstancias que justifican el establecimiento de determinado plazo de reserva.</w:t>
      </w:r>
    </w:p>
    <w:p w14:paraId="11F9ECD7" w14:textId="77777777" w:rsidR="0070725F" w:rsidRPr="000168B6" w:rsidRDefault="0070725F" w:rsidP="0070725F">
      <w:pPr>
        <w:ind w:left="708"/>
        <w:rPr>
          <w:i/>
          <w:sz w:val="22"/>
        </w:rPr>
      </w:pPr>
      <w:r w:rsidRPr="000168B6">
        <w:rPr>
          <w:i/>
          <w:sz w:val="22"/>
        </w:rPr>
        <w:t xml:space="preserve">Tratándose de información clasificada como confidencial respecto de la cual se haya determinado su conservación permanente por tener valor histórico, ésta conservará tal carácter de conformidad con la normativa aplicable en materia de archivos. Los documentos contenidos en los archivos históricos y los identificados como históricos confidenciales no serán susceptibles de clasificación como reservados. </w:t>
      </w:r>
    </w:p>
    <w:p w14:paraId="3BFFC182" w14:textId="77777777" w:rsidR="0070725F" w:rsidRPr="000168B6" w:rsidRDefault="0070725F" w:rsidP="0070725F">
      <w:pPr>
        <w:ind w:left="708"/>
        <w:rPr>
          <w:i/>
          <w:sz w:val="22"/>
        </w:rPr>
      </w:pPr>
      <w:r w:rsidRPr="000168B6">
        <w:rPr>
          <w:b/>
          <w:i/>
          <w:sz w:val="22"/>
        </w:rPr>
        <w:t>Noveno.</w:t>
      </w:r>
      <w:r w:rsidRPr="000168B6">
        <w:rPr>
          <w:i/>
          <w:sz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14:paraId="5DAF640D" w14:textId="77777777" w:rsidR="0070725F" w:rsidRPr="000168B6" w:rsidRDefault="0070725F" w:rsidP="0070725F">
      <w:pPr>
        <w:ind w:left="708"/>
        <w:rPr>
          <w:i/>
          <w:sz w:val="22"/>
        </w:rPr>
      </w:pPr>
      <w:r w:rsidRPr="000168B6">
        <w:rPr>
          <w:b/>
          <w:i/>
          <w:sz w:val="22"/>
        </w:rPr>
        <w:t>Décimo.</w:t>
      </w:r>
      <w:r w:rsidRPr="000168B6">
        <w:rPr>
          <w:i/>
          <w:sz w:val="22"/>
        </w:rPr>
        <w:t xml:space="preserve"> Los titulares de las áreas, deberán tener conocimiento y llevar un registro del personal que, por la naturaleza de sus atribuciones, tenga acceso a los documentos clasificados. Asimismo, </w:t>
      </w:r>
      <w:r w:rsidRPr="000168B6">
        <w:rPr>
          <w:i/>
          <w:sz w:val="22"/>
        </w:rPr>
        <w:lastRenderedPageBreak/>
        <w:t>deberán asegurarse de que dicho personal cuente con los conocimientos técnicos y legales que le permitan manejar adecuadamente la información clasificada, en los términos de los Lineamientos para la Organización y Conservación de Archivos.</w:t>
      </w:r>
    </w:p>
    <w:p w14:paraId="2C9E4008" w14:textId="77777777" w:rsidR="0070725F" w:rsidRPr="000168B6" w:rsidRDefault="0070725F" w:rsidP="0070725F">
      <w:pPr>
        <w:ind w:left="708"/>
        <w:rPr>
          <w:i/>
          <w:sz w:val="22"/>
        </w:rPr>
      </w:pPr>
      <w:r w:rsidRPr="000168B6">
        <w:rPr>
          <w:i/>
          <w:sz w:val="22"/>
        </w:rPr>
        <w:t xml:space="preserve"> En ausencia de los titulares de las áreas, la información será clasificada o desclasificada por la persona que lo supla, en términos de la normativa que rija la actuación del sujeto obligado. </w:t>
      </w:r>
    </w:p>
    <w:p w14:paraId="4E0B4FAB" w14:textId="77777777" w:rsidR="0070725F" w:rsidRPr="000168B6" w:rsidRDefault="0070725F" w:rsidP="0070725F">
      <w:pPr>
        <w:ind w:left="708"/>
        <w:rPr>
          <w:rFonts w:cs="Arial"/>
          <w:i/>
          <w:sz w:val="22"/>
        </w:rPr>
      </w:pPr>
      <w:r w:rsidRPr="000168B6">
        <w:rPr>
          <w:b/>
          <w:i/>
          <w:sz w:val="22"/>
        </w:rPr>
        <w:t>Décimo primero</w:t>
      </w:r>
      <w:r w:rsidRPr="000168B6">
        <w:rPr>
          <w:i/>
          <w:sz w:val="22"/>
        </w:rPr>
        <w:t>.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7C24D2B" w14:textId="77777777" w:rsidR="0070725F" w:rsidRPr="000168B6" w:rsidRDefault="0070725F" w:rsidP="0070725F">
      <w:pPr>
        <w:rPr>
          <w:rFonts w:cs="Arial"/>
          <w:sz w:val="22"/>
        </w:rPr>
      </w:pPr>
    </w:p>
    <w:p w14:paraId="44172B96" w14:textId="220234EE" w:rsidR="0070725F" w:rsidRPr="003718C2" w:rsidRDefault="0070725F" w:rsidP="0070725F">
      <w:pPr>
        <w:rPr>
          <w:rFonts w:cs="Arial"/>
          <w:szCs w:val="24"/>
        </w:rPr>
      </w:pPr>
      <w:r w:rsidRPr="003718C2">
        <w:rPr>
          <w:rFonts w:cs="Arial"/>
          <w:szCs w:val="24"/>
        </w:rPr>
        <w:t>De lo antes expuesto, se debe entender que la fundamentación y motivación consiste en la obligación que tiene todo ente público de expresar los preceptos jurídicos aplicables al asunto motivo del acto y las razones o argumentos de su actuar. Al respecto, el máximo tribunal del país ha establecido jurisprudencia respecto a qué debe entenderse por fundamentación y motivación, en los siguientes términos:</w:t>
      </w:r>
    </w:p>
    <w:p w14:paraId="3E97F393" w14:textId="77777777" w:rsidR="0070725F" w:rsidRPr="000168B6" w:rsidRDefault="0070725F" w:rsidP="0070725F">
      <w:pPr>
        <w:ind w:left="708"/>
        <w:rPr>
          <w:rFonts w:cs="Arial"/>
          <w:i/>
          <w:sz w:val="22"/>
        </w:rPr>
      </w:pPr>
      <w:r w:rsidRPr="000168B6">
        <w:rPr>
          <w:rFonts w:cs="Arial"/>
          <w:b/>
          <w:i/>
          <w:sz w:val="22"/>
        </w:rPr>
        <w:t>FUNDAMENTACIÓN Y MOTIVACIÓN</w:t>
      </w:r>
      <w:r w:rsidRPr="000168B6">
        <w:rPr>
          <w:rFonts w:cs="Arial"/>
          <w:i/>
          <w:sz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6682B3D" w14:textId="77777777" w:rsidR="0070725F" w:rsidRPr="003D09FE" w:rsidRDefault="0070725F" w:rsidP="0070725F">
      <w:pPr>
        <w:ind w:left="708"/>
        <w:rPr>
          <w:rFonts w:cs="Arial"/>
          <w:i/>
        </w:rPr>
      </w:pPr>
    </w:p>
    <w:p w14:paraId="454F9F06" w14:textId="77777777" w:rsidR="0070725F" w:rsidRPr="003718C2" w:rsidRDefault="0070725F" w:rsidP="0070725F">
      <w:pPr>
        <w:rPr>
          <w:rFonts w:cs="Arial"/>
          <w:szCs w:val="24"/>
        </w:rPr>
      </w:pPr>
      <w:r w:rsidRPr="003718C2">
        <w:rPr>
          <w:rFonts w:cs="Arial"/>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A94772F" w14:textId="77777777" w:rsidR="0070725F" w:rsidRPr="0039499D" w:rsidRDefault="0070725F" w:rsidP="0070725F">
      <w:pPr>
        <w:rPr>
          <w:rFonts w:cs="Arial"/>
        </w:rPr>
      </w:pPr>
    </w:p>
    <w:p w14:paraId="47EFDF7A" w14:textId="11A5FB3F" w:rsidR="0070725F" w:rsidRPr="003718C2" w:rsidRDefault="0070725F" w:rsidP="0070725F">
      <w:pPr>
        <w:rPr>
          <w:rFonts w:cs="Arial"/>
          <w:szCs w:val="24"/>
        </w:rPr>
      </w:pPr>
      <w:r w:rsidRPr="003718C2">
        <w:rPr>
          <w:rFonts w:cs="Arial"/>
          <w:szCs w:val="24"/>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236FC214" w14:textId="77777777" w:rsidR="0070725F" w:rsidRPr="000168B6" w:rsidRDefault="0070725F" w:rsidP="0070725F">
      <w:pPr>
        <w:spacing w:line="276" w:lineRule="auto"/>
        <w:ind w:left="567" w:right="567"/>
        <w:rPr>
          <w:rFonts w:cs="Arial"/>
          <w:i/>
          <w:sz w:val="22"/>
        </w:rPr>
      </w:pPr>
      <w:r w:rsidRPr="000168B6">
        <w:rPr>
          <w:rFonts w:cs="Arial"/>
          <w:b/>
          <w:i/>
          <w:sz w:val="22"/>
        </w:rPr>
        <w:t>FUNDAMENTACIÓN Y MOTIVACIÓN. EL ASPECTO FORMAL DE LA GARANTÍA Y SU FINALIDAD SE TRADUCEN EN EXPLICAR, JUSTIFICAR, POSIBILITAR LA DEFENSA Y COMUNICAR LA DECISIÓN.</w:t>
      </w:r>
      <w:r w:rsidRPr="000168B6">
        <w:rPr>
          <w:rFonts w:cs="Arial"/>
          <w:i/>
          <w:sz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17532AA" w14:textId="77777777" w:rsidR="0070725F" w:rsidRPr="00E17D28" w:rsidRDefault="0070725F" w:rsidP="0070725F">
      <w:pPr>
        <w:spacing w:line="276" w:lineRule="auto"/>
        <w:rPr>
          <w:rFonts w:cs="Arial"/>
        </w:rPr>
      </w:pPr>
    </w:p>
    <w:p w14:paraId="58255C7A" w14:textId="77777777" w:rsidR="0070725F" w:rsidRPr="003D09FE" w:rsidRDefault="0070725F" w:rsidP="0070725F">
      <w:pPr>
        <w:rPr>
          <w:rFonts w:cs="Arial"/>
          <w:szCs w:val="24"/>
        </w:rPr>
      </w:pPr>
      <w:r w:rsidRPr="003D09FE">
        <w:rPr>
          <w:rFonts w:cs="Arial"/>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9B5599D" w14:textId="77777777" w:rsidR="0031270E" w:rsidRDefault="0031270E" w:rsidP="0070725F">
      <w:pPr>
        <w:tabs>
          <w:tab w:val="left" w:pos="709"/>
        </w:tabs>
        <w:rPr>
          <w:rFonts w:cs="Arial"/>
        </w:rPr>
      </w:pPr>
    </w:p>
    <w:p w14:paraId="450B69A3" w14:textId="77777777" w:rsidR="0070725F" w:rsidRPr="003D09FE" w:rsidRDefault="0070725F" w:rsidP="0070725F">
      <w:pPr>
        <w:tabs>
          <w:tab w:val="left" w:pos="709"/>
        </w:tabs>
        <w:rPr>
          <w:szCs w:val="24"/>
        </w:rPr>
      </w:pPr>
      <w:r w:rsidRPr="003D09FE">
        <w:rPr>
          <w:szCs w:val="24"/>
        </w:rPr>
        <w:lastRenderedPageBreak/>
        <w:t xml:space="preserve">De lo anterior se desprende que la entrega de documentos en su versión pública debe acompañarse necesariamente del acuerdo del Comité de Transparencia que la sustente, el cual debe estar debidamente fundado y motivado y en el que se expongan los fundamentos y razonamientos que llevaron al Sujeto Obligado a testar, suprimir o eliminar datos de dicho soporte documental, ya que no hacerlo, la documentación entregada carece de sustento jurídico y puede ser considerada como una versión pública, sino como una documentación ilegible, incompleta o tachada; ya que el no justificar las causas o motivos por las que no </w:t>
      </w:r>
      <w:r>
        <w:rPr>
          <w:szCs w:val="24"/>
        </w:rPr>
        <w:t xml:space="preserve">se observen determinados datos </w:t>
      </w:r>
      <w:r w:rsidRPr="003D09FE">
        <w:rPr>
          <w:szCs w:val="24"/>
        </w:rPr>
        <w:t>ya sea porque se testan o suprimen, deja al solicitante en estado de incertidumbre, al no conocer o comprender porque no aparecen en la documentación respectiva</w:t>
      </w:r>
    </w:p>
    <w:p w14:paraId="21D73E3E" w14:textId="77777777" w:rsidR="005074CF" w:rsidRDefault="005074CF" w:rsidP="005074CF">
      <w:pPr>
        <w:tabs>
          <w:tab w:val="left" w:pos="709"/>
        </w:tabs>
      </w:pPr>
    </w:p>
    <w:p w14:paraId="499E773F" w14:textId="7B0186AA" w:rsidR="00E315DE" w:rsidRPr="005074CF" w:rsidRDefault="005074CF" w:rsidP="005074CF">
      <w:pPr>
        <w:tabs>
          <w:tab w:val="left" w:pos="709"/>
        </w:tabs>
        <w:rPr>
          <w:szCs w:val="24"/>
        </w:rPr>
      </w:pPr>
      <w:r w:rsidRPr="003D09FE">
        <w:rPr>
          <w:szCs w:val="24"/>
        </w:rPr>
        <w:t xml:space="preserve">Consecuentemente, este Instituto estima que los motivos de inconformidad planteados por el Recurrente son fundados, por lo que es procedente ordenar al Sujeto Obligado a que haga </w:t>
      </w:r>
      <w:r w:rsidRPr="00C65A8B">
        <w:rPr>
          <w:szCs w:val="24"/>
        </w:rPr>
        <w:t xml:space="preserve">entrega </w:t>
      </w:r>
      <w:r w:rsidR="00134E67" w:rsidRPr="00C65A8B">
        <w:rPr>
          <w:szCs w:val="24"/>
        </w:rPr>
        <w:t xml:space="preserve"> de las facturas </w:t>
      </w:r>
      <w:r w:rsidR="0031270E" w:rsidRPr="00C65A8B">
        <w:rPr>
          <w:szCs w:val="24"/>
        </w:rPr>
        <w:t xml:space="preserve">enviadas </w:t>
      </w:r>
      <w:r w:rsidR="00134E67" w:rsidRPr="00C65A8B">
        <w:rPr>
          <w:szCs w:val="24"/>
        </w:rPr>
        <w:t>en informe justificado en versión íntegra</w:t>
      </w:r>
      <w:r w:rsidR="00134E67">
        <w:rPr>
          <w:szCs w:val="24"/>
        </w:rPr>
        <w:t xml:space="preserve"> </w:t>
      </w:r>
      <w:r>
        <w:rPr>
          <w:szCs w:val="24"/>
        </w:rPr>
        <w:t xml:space="preserve">así como las facturas faltantes </w:t>
      </w:r>
      <w:r w:rsidRPr="00F657E9">
        <w:t>de comprobación del gasto ejercido autorizado para los festejos patrios de Tepotzotlán del año 2023</w:t>
      </w:r>
      <w:r>
        <w:t xml:space="preserve"> referidas por el Servidor Público Habilitado</w:t>
      </w:r>
      <w:r w:rsidR="00A70DD3">
        <w:t xml:space="preserve"> de ser procedente en versión pública</w:t>
      </w:r>
      <w:r>
        <w:t xml:space="preserve">. </w:t>
      </w:r>
    </w:p>
    <w:p w14:paraId="6038A952" w14:textId="77777777" w:rsidR="00A70DD3" w:rsidRPr="00C17BB5" w:rsidRDefault="00A70DD3" w:rsidP="00AD30AB">
      <w:pPr>
        <w:autoSpaceDE w:val="0"/>
        <w:autoSpaceDN w:val="0"/>
        <w:adjustRightInd w:val="0"/>
      </w:pPr>
    </w:p>
    <w:p w14:paraId="19320372" w14:textId="5D5066B6" w:rsidR="00AD30AB" w:rsidRDefault="00AD30AB" w:rsidP="00AD30AB">
      <w:pPr>
        <w:autoSpaceDE w:val="0"/>
        <w:autoSpaceDN w:val="0"/>
        <w:adjustRightInd w:val="0"/>
        <w:rPr>
          <w:b/>
          <w:bCs/>
          <w:szCs w:val="24"/>
        </w:rPr>
      </w:pPr>
      <w:r w:rsidRPr="00A70DD3">
        <w:rPr>
          <w:rFonts w:cs="Arial"/>
          <w:szCs w:val="24"/>
        </w:rPr>
        <w:t xml:space="preserve">Por lo tanto, de lo expuesto y con fundamento en la fracción IV del artículo 186, de la Ley de Transparencia y Acceso a la Información Pública del Estado de México y Municipios, se </w:t>
      </w:r>
      <w:r w:rsidRPr="00A70DD3">
        <w:rPr>
          <w:rFonts w:cs="Arial"/>
          <w:b/>
          <w:szCs w:val="24"/>
        </w:rPr>
        <w:t>ORDENA</w:t>
      </w:r>
      <w:r w:rsidRPr="00A70DD3">
        <w:rPr>
          <w:rFonts w:cs="Arial"/>
          <w:szCs w:val="24"/>
        </w:rPr>
        <w:t xml:space="preserve"> al </w:t>
      </w:r>
      <w:r w:rsidRPr="00A70DD3">
        <w:rPr>
          <w:rFonts w:cs="Arial"/>
          <w:b/>
          <w:szCs w:val="24"/>
        </w:rPr>
        <w:t>Sujeto Obligado</w:t>
      </w:r>
      <w:r w:rsidR="00BF7808">
        <w:rPr>
          <w:rFonts w:cs="Arial"/>
          <w:szCs w:val="24"/>
        </w:rPr>
        <w:t xml:space="preserve">, atienda la solicitud </w:t>
      </w:r>
      <w:r w:rsidRPr="00A70DD3">
        <w:rPr>
          <w:rFonts w:cs="Arial"/>
          <w:szCs w:val="24"/>
        </w:rPr>
        <w:t>de información</w:t>
      </w:r>
      <w:r w:rsidRPr="00A70DD3">
        <w:rPr>
          <w:rFonts w:eastAsia="Times New Roman" w:cs="Times New Roman"/>
          <w:b/>
          <w:bCs/>
          <w:szCs w:val="24"/>
          <w:lang w:val="es-ES" w:eastAsia="es-ES"/>
        </w:rPr>
        <w:t>,</w:t>
      </w:r>
      <w:r w:rsidR="00BF7808">
        <w:rPr>
          <w:rFonts w:cs="Arial"/>
          <w:szCs w:val="24"/>
        </w:rPr>
        <w:t xml:space="preserve"> que ha</w:t>
      </w:r>
      <w:r w:rsidRPr="00A70DD3">
        <w:rPr>
          <w:rFonts w:cs="Arial"/>
          <w:szCs w:val="24"/>
        </w:rPr>
        <w:t xml:space="preserve"> sido materia del presente fallo.</w:t>
      </w:r>
    </w:p>
    <w:p w14:paraId="2EBAF04D" w14:textId="77777777" w:rsidR="00AD30AB" w:rsidRPr="006D1FEA" w:rsidRDefault="00AD30AB" w:rsidP="00AD30AB">
      <w:pPr>
        <w:autoSpaceDE w:val="0"/>
        <w:autoSpaceDN w:val="0"/>
        <w:adjustRightInd w:val="0"/>
        <w:rPr>
          <w:b/>
          <w:bCs/>
          <w:szCs w:val="24"/>
        </w:rPr>
      </w:pPr>
    </w:p>
    <w:p w14:paraId="348B868B" w14:textId="04982B56" w:rsidR="001F04FE" w:rsidRPr="006A756C" w:rsidRDefault="00AD30AB" w:rsidP="00AD30AB">
      <w:pPr>
        <w:pBdr>
          <w:top w:val="nil"/>
          <w:left w:val="nil"/>
          <w:bottom w:val="nil"/>
          <w:right w:val="nil"/>
          <w:between w:val="nil"/>
        </w:pBdr>
        <w:rPr>
          <w:rFonts w:eastAsia="Palatino Linotype" w:cs="Palatino Linotype"/>
          <w:szCs w:val="24"/>
        </w:rPr>
      </w:pPr>
      <w:r w:rsidRPr="006A756C">
        <w:rPr>
          <w:rFonts w:eastAsia="Palatino Linotype" w:cs="Palatino Linotype"/>
          <w:szCs w:val="24"/>
        </w:rPr>
        <w:t>Por lo antes expue</w:t>
      </w:r>
      <w:r w:rsidR="00A70DD3">
        <w:rPr>
          <w:rFonts w:eastAsia="Palatino Linotype" w:cs="Palatino Linotype"/>
          <w:szCs w:val="24"/>
        </w:rPr>
        <w:t xml:space="preserve">sto y fundado es de resolverse </w:t>
      </w:r>
    </w:p>
    <w:p w14:paraId="49F25775" w14:textId="77777777" w:rsidR="00AD30AB" w:rsidRDefault="00AD30AB" w:rsidP="00AD30AB">
      <w:pPr>
        <w:pBdr>
          <w:top w:val="nil"/>
          <w:left w:val="nil"/>
          <w:bottom w:val="nil"/>
          <w:right w:val="nil"/>
          <w:between w:val="nil"/>
        </w:pBdr>
        <w:jc w:val="center"/>
        <w:rPr>
          <w:rFonts w:eastAsia="Palatino Linotype" w:cs="Palatino Linotype"/>
          <w:b/>
          <w:sz w:val="28"/>
          <w:szCs w:val="28"/>
        </w:rPr>
      </w:pPr>
      <w:r w:rsidRPr="006A756C">
        <w:rPr>
          <w:rFonts w:eastAsia="Palatino Linotype" w:cs="Palatino Linotype"/>
          <w:b/>
          <w:sz w:val="28"/>
          <w:szCs w:val="28"/>
        </w:rPr>
        <w:lastRenderedPageBreak/>
        <w:t>S E    R E S U E L V E</w:t>
      </w:r>
    </w:p>
    <w:p w14:paraId="5CC33438" w14:textId="77777777" w:rsidR="0031270E" w:rsidRPr="00EB3602" w:rsidRDefault="0031270E" w:rsidP="00AD30AB">
      <w:pPr>
        <w:pBdr>
          <w:top w:val="nil"/>
          <w:left w:val="nil"/>
          <w:bottom w:val="nil"/>
          <w:right w:val="nil"/>
          <w:between w:val="nil"/>
        </w:pBdr>
        <w:jc w:val="center"/>
        <w:rPr>
          <w:rFonts w:eastAsia="Palatino Linotype" w:cs="Palatino Linotype"/>
          <w:b/>
          <w:sz w:val="28"/>
          <w:szCs w:val="28"/>
        </w:rPr>
      </w:pPr>
    </w:p>
    <w:p w14:paraId="5E308769" w14:textId="2C8F2B00" w:rsidR="00AD30AB" w:rsidRPr="00C65A8B" w:rsidRDefault="00AD30AB" w:rsidP="001F04FE">
      <w:pPr>
        <w:pBdr>
          <w:top w:val="nil"/>
          <w:left w:val="nil"/>
          <w:bottom w:val="nil"/>
          <w:right w:val="nil"/>
          <w:between w:val="nil"/>
        </w:pBdr>
        <w:rPr>
          <w:rFonts w:eastAsia="Palatino Linotype" w:cs="Palatino Linotype"/>
          <w:szCs w:val="24"/>
        </w:rPr>
      </w:pPr>
      <w:r w:rsidRPr="00C65A8B">
        <w:rPr>
          <w:rFonts w:eastAsia="Palatino Linotype" w:cs="Palatino Linotype"/>
          <w:b/>
          <w:szCs w:val="24"/>
        </w:rPr>
        <w:t>PRIMERO.</w:t>
      </w:r>
      <w:r w:rsidRPr="00C65A8B">
        <w:rPr>
          <w:rFonts w:eastAsia="Palatino Linotype" w:cs="Palatino Linotype"/>
          <w:szCs w:val="24"/>
        </w:rPr>
        <w:t xml:space="preserve"> Se </w:t>
      </w:r>
      <w:r w:rsidRPr="00C65A8B">
        <w:rPr>
          <w:rFonts w:eastAsia="Palatino Linotype" w:cs="Palatino Linotype"/>
          <w:b/>
          <w:szCs w:val="24"/>
        </w:rPr>
        <w:t>ORDENA</w:t>
      </w:r>
      <w:r w:rsidRPr="00C65A8B">
        <w:rPr>
          <w:rFonts w:eastAsia="Palatino Linotype" w:cs="Palatino Linotype"/>
          <w:szCs w:val="24"/>
        </w:rPr>
        <w:t xml:space="preserve"> al </w:t>
      </w:r>
      <w:r w:rsidRPr="00C65A8B">
        <w:rPr>
          <w:rFonts w:eastAsia="Palatino Linotype" w:cs="Palatino Linotype"/>
          <w:b/>
          <w:szCs w:val="24"/>
        </w:rPr>
        <w:t>Sujeto Obligado</w:t>
      </w:r>
      <w:r w:rsidRPr="00C65A8B">
        <w:rPr>
          <w:rFonts w:eastAsia="Palatino Linotype" w:cs="Palatino Linotype"/>
          <w:szCs w:val="24"/>
        </w:rPr>
        <w:t xml:space="preserve"> que, haga entrega a la parte </w:t>
      </w:r>
      <w:r w:rsidRPr="00C65A8B">
        <w:rPr>
          <w:rFonts w:eastAsia="Palatino Linotype" w:cs="Palatino Linotype"/>
          <w:b/>
          <w:szCs w:val="24"/>
        </w:rPr>
        <w:t>Recurrente</w:t>
      </w:r>
      <w:r w:rsidRPr="00C65A8B">
        <w:rPr>
          <w:rFonts w:eastAsia="Palatino Linotype" w:cs="Palatino Linotype"/>
          <w:szCs w:val="24"/>
        </w:rPr>
        <w:t xml:space="preserve"> mediante el Sistema de Acceso a la Información Mexiquense (</w:t>
      </w:r>
      <w:r w:rsidRPr="00C65A8B">
        <w:rPr>
          <w:rFonts w:eastAsia="Palatino Linotype" w:cs="Palatino Linotype"/>
          <w:b/>
          <w:szCs w:val="24"/>
        </w:rPr>
        <w:t>SAIMEX</w:t>
      </w:r>
      <w:r w:rsidRPr="00C65A8B">
        <w:rPr>
          <w:rFonts w:eastAsia="Palatino Linotype" w:cs="Palatino Linotype"/>
          <w:szCs w:val="24"/>
        </w:rPr>
        <w:t xml:space="preserve">), </w:t>
      </w:r>
      <w:r w:rsidR="001F04FE" w:rsidRPr="00C65A8B">
        <w:rPr>
          <w:rFonts w:eastAsia="Palatino Linotype" w:cs="Palatino Linotype"/>
          <w:szCs w:val="24"/>
        </w:rPr>
        <w:t xml:space="preserve">por resultar fundados los motivos de inconformidad argüidos por la parte Recurrente en la solicitud de información  </w:t>
      </w:r>
      <w:r w:rsidR="001F04FE" w:rsidRPr="00C65A8B">
        <w:rPr>
          <w:b/>
          <w:bCs/>
        </w:rPr>
        <w:t>00194/TEPOTZOT/IP/2024</w:t>
      </w:r>
      <w:r w:rsidR="001F04FE" w:rsidRPr="00C65A8B">
        <w:rPr>
          <w:rFonts w:ascii="Verdana" w:hAnsi="Verdana"/>
          <w:b/>
          <w:bCs/>
        </w:rPr>
        <w:t xml:space="preserve"> </w:t>
      </w:r>
      <w:r w:rsidRPr="00C65A8B">
        <w:rPr>
          <w:rFonts w:eastAsia="Palatino Linotype" w:cs="Palatino Linotype"/>
          <w:szCs w:val="24"/>
        </w:rPr>
        <w:t>en términos del Considerando</w:t>
      </w:r>
      <w:r w:rsidRPr="00C65A8B">
        <w:rPr>
          <w:rFonts w:eastAsia="Palatino Linotype" w:cs="Palatino Linotype"/>
          <w:b/>
          <w:szCs w:val="24"/>
        </w:rPr>
        <w:t xml:space="preserve"> TERCERO</w:t>
      </w:r>
      <w:r w:rsidRPr="00C65A8B">
        <w:rPr>
          <w:rFonts w:eastAsia="Palatino Linotype" w:cs="Palatino Linotype"/>
          <w:szCs w:val="24"/>
        </w:rPr>
        <w:t xml:space="preserve"> </w:t>
      </w:r>
      <w:r w:rsidR="001F04FE" w:rsidRPr="00C65A8B">
        <w:rPr>
          <w:rFonts w:eastAsia="Palatino Linotype" w:cs="Palatino Linotype"/>
          <w:szCs w:val="24"/>
        </w:rPr>
        <w:t xml:space="preserve">en versión íntegra </w:t>
      </w:r>
      <w:r w:rsidRPr="00C65A8B">
        <w:rPr>
          <w:rFonts w:eastAsia="Palatino Linotype" w:cs="Palatino Linotype"/>
          <w:szCs w:val="24"/>
        </w:rPr>
        <w:t>lo siguiente:</w:t>
      </w:r>
    </w:p>
    <w:p w14:paraId="0B71704D" w14:textId="77777777" w:rsidR="001F04FE" w:rsidRPr="00C65A8B" w:rsidRDefault="001F04FE" w:rsidP="001F04FE">
      <w:pPr>
        <w:pBdr>
          <w:top w:val="nil"/>
          <w:left w:val="nil"/>
          <w:bottom w:val="nil"/>
          <w:right w:val="nil"/>
          <w:between w:val="nil"/>
        </w:pBdr>
        <w:rPr>
          <w:rFonts w:eastAsia="Palatino Linotype" w:cs="Palatino Linotype"/>
          <w:szCs w:val="24"/>
        </w:rPr>
      </w:pPr>
    </w:p>
    <w:p w14:paraId="164D14B4" w14:textId="3ECA1B79" w:rsidR="00A70DD3" w:rsidRPr="00C65A8B" w:rsidRDefault="001F04FE" w:rsidP="001F04FE">
      <w:pPr>
        <w:numPr>
          <w:ilvl w:val="0"/>
          <w:numId w:val="34"/>
        </w:numPr>
        <w:ind w:right="-93"/>
        <w:contextualSpacing/>
        <w:rPr>
          <w:rFonts w:eastAsia="Times New Roman" w:cs="Arial"/>
          <w:szCs w:val="24"/>
          <w:lang w:val="es-ES" w:eastAsia="es-ES"/>
        </w:rPr>
      </w:pPr>
      <w:r w:rsidRPr="00C65A8B">
        <w:rPr>
          <w:szCs w:val="24"/>
        </w:rPr>
        <w:t>Las facturas entregadas en informe justificado</w:t>
      </w:r>
      <w:r w:rsidRPr="00C65A8B">
        <w:rPr>
          <w:rFonts w:eastAsia="Times New Roman" w:cs="Arial"/>
          <w:szCs w:val="24"/>
          <w:lang w:val="es-ES" w:eastAsia="es-ES"/>
        </w:rPr>
        <w:t xml:space="preserve"> así como la</w:t>
      </w:r>
      <w:r w:rsidR="00A70DD3" w:rsidRPr="00C65A8B">
        <w:rPr>
          <w:szCs w:val="24"/>
        </w:rPr>
        <w:t xml:space="preserve">s facturas faltantes </w:t>
      </w:r>
      <w:r w:rsidR="00A70DD3" w:rsidRPr="00C65A8B">
        <w:t>de comprobación del gasto ejercido autorizado para los festejos patrios de Tepotzotlán del año 2023 referidas por el Servidor Público Habilitado</w:t>
      </w:r>
      <w:r w:rsidR="00C65A8B">
        <w:t>.</w:t>
      </w:r>
      <w:r w:rsidR="00A70DD3" w:rsidRPr="00C65A8B">
        <w:rPr>
          <w:rFonts w:eastAsia="Palatino Linotype" w:cs="Palatino Linotype"/>
          <w:szCs w:val="24"/>
        </w:rPr>
        <w:t xml:space="preserve"> </w:t>
      </w:r>
    </w:p>
    <w:p w14:paraId="726D4352" w14:textId="77777777" w:rsidR="00AD30AB" w:rsidRPr="003A39D0" w:rsidRDefault="00AD30AB" w:rsidP="00AD30AB">
      <w:pPr>
        <w:rPr>
          <w:color w:val="000000"/>
          <w:szCs w:val="24"/>
        </w:rPr>
      </w:pPr>
    </w:p>
    <w:p w14:paraId="64BC8710" w14:textId="77777777" w:rsidR="00AD30AB" w:rsidRPr="006A756C" w:rsidRDefault="00AD30AB" w:rsidP="00AD30AB">
      <w:pPr>
        <w:rPr>
          <w:rFonts w:cs="Tahoma"/>
          <w:szCs w:val="24"/>
          <w:lang w:eastAsia="es-ES"/>
        </w:rPr>
      </w:pPr>
      <w:r w:rsidRPr="006A756C">
        <w:rPr>
          <w:rFonts w:eastAsia="Palatino Linotype" w:cs="Palatino Linotype"/>
          <w:b/>
          <w:szCs w:val="24"/>
        </w:rPr>
        <w:t>SEGUNDO.</w:t>
      </w:r>
      <w:r>
        <w:rPr>
          <w:rFonts w:eastAsia="Palatino Linotype" w:cs="Palatino Linotype"/>
          <w:b/>
          <w:szCs w:val="24"/>
        </w:rPr>
        <w:t xml:space="preserve"> </w:t>
      </w:r>
      <w:r w:rsidRPr="006A756C">
        <w:rPr>
          <w:rFonts w:cs="Tahoma"/>
          <w:b/>
          <w:szCs w:val="24"/>
          <w:lang w:eastAsia="es-ES"/>
        </w:rPr>
        <w:t xml:space="preserve">NOTIFÍQUESE </w:t>
      </w:r>
      <w:r w:rsidRPr="006A756C">
        <w:rPr>
          <w:rFonts w:cs="Tahoma"/>
          <w:szCs w:val="24"/>
          <w:lang w:eastAsia="es-ES"/>
        </w:rPr>
        <w:t xml:space="preserve">la presente resolución al Titular de la Unidad de Transparencia del Sujeto Obligado, vía </w:t>
      </w:r>
      <w:r w:rsidRPr="006A756C">
        <w:rPr>
          <w:rFonts w:eastAsia="Palatino Linotype" w:cs="Palatino Linotype"/>
          <w:szCs w:val="24"/>
        </w:rPr>
        <w:t>Sistema de Acceso a la Información Mexiquense (</w:t>
      </w:r>
      <w:r w:rsidRPr="006A756C">
        <w:rPr>
          <w:rFonts w:eastAsia="Palatino Linotype" w:cs="Palatino Linotype"/>
          <w:b/>
          <w:szCs w:val="24"/>
        </w:rPr>
        <w:t>SAIMEX</w:t>
      </w:r>
      <w:r w:rsidRPr="006A756C">
        <w:rPr>
          <w:rFonts w:eastAsia="Palatino Linotype" w:cs="Palatino Linotype"/>
          <w:szCs w:val="24"/>
        </w:rPr>
        <w:t xml:space="preserve">) </w:t>
      </w:r>
      <w:r w:rsidRPr="006A756C">
        <w:rPr>
          <w:rFonts w:cs="Tahoma"/>
          <w:szCs w:val="24"/>
          <w:lang w:eastAsia="es-ES"/>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966EC5" w14:textId="77777777" w:rsidR="00AD30AB" w:rsidRPr="006A756C" w:rsidRDefault="00AD30AB" w:rsidP="00AD30AB">
      <w:pPr>
        <w:rPr>
          <w:rFonts w:cs="Tahoma"/>
          <w:szCs w:val="24"/>
          <w:lang w:eastAsia="es-ES"/>
        </w:rPr>
      </w:pPr>
    </w:p>
    <w:p w14:paraId="39243C01" w14:textId="77777777" w:rsidR="00AD30AB" w:rsidRPr="006A756C" w:rsidRDefault="00AD30AB" w:rsidP="00AD30AB">
      <w:pPr>
        <w:pBdr>
          <w:top w:val="nil"/>
          <w:left w:val="nil"/>
          <w:bottom w:val="nil"/>
          <w:right w:val="nil"/>
          <w:between w:val="nil"/>
        </w:pBdr>
        <w:rPr>
          <w:rFonts w:eastAsia="Palatino Linotype" w:cs="Palatino Linotype"/>
          <w:szCs w:val="24"/>
        </w:rPr>
      </w:pPr>
      <w:r>
        <w:rPr>
          <w:rFonts w:eastAsia="Palatino Linotype" w:cs="Palatino Linotype"/>
          <w:b/>
          <w:szCs w:val="24"/>
        </w:rPr>
        <w:lastRenderedPageBreak/>
        <w:t>TERCERO</w:t>
      </w:r>
      <w:r w:rsidRPr="006A756C">
        <w:rPr>
          <w:rFonts w:eastAsia="Palatino Linotype" w:cs="Palatino Linotype"/>
          <w:b/>
          <w:szCs w:val="24"/>
        </w:rPr>
        <w:t xml:space="preserve">. </w:t>
      </w:r>
      <w:r w:rsidRPr="006A756C">
        <w:rPr>
          <w:rFonts w:eastAsia="Palatino Linotype" w:cs="Palatino Linotype"/>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E1ED44C" w14:textId="77777777" w:rsidR="00AD30AB" w:rsidRPr="006A756C" w:rsidRDefault="00AD30AB" w:rsidP="00AD30AB">
      <w:pPr>
        <w:pBdr>
          <w:top w:val="nil"/>
          <w:left w:val="nil"/>
          <w:bottom w:val="nil"/>
          <w:right w:val="nil"/>
          <w:between w:val="nil"/>
        </w:pBdr>
        <w:rPr>
          <w:rFonts w:eastAsia="Palatino Linotype" w:cs="Palatino Linotype"/>
          <w:szCs w:val="24"/>
        </w:rPr>
      </w:pPr>
    </w:p>
    <w:p w14:paraId="3FC32A98" w14:textId="7EC56734" w:rsidR="00AD30AB" w:rsidRPr="006A756C" w:rsidRDefault="00AD30AB" w:rsidP="00AD30AB">
      <w:pPr>
        <w:autoSpaceDE w:val="0"/>
        <w:autoSpaceDN w:val="0"/>
        <w:adjustRightInd w:val="0"/>
        <w:rPr>
          <w:rFonts w:cs="Arial"/>
          <w:szCs w:val="24"/>
        </w:rPr>
      </w:pPr>
      <w:r>
        <w:rPr>
          <w:b/>
          <w:szCs w:val="24"/>
        </w:rPr>
        <w:t>CUARTO</w:t>
      </w:r>
      <w:r w:rsidRPr="006A756C">
        <w:rPr>
          <w:b/>
          <w:szCs w:val="24"/>
        </w:rPr>
        <w:t xml:space="preserve">. </w:t>
      </w:r>
      <w:r w:rsidRPr="006A756C">
        <w:rPr>
          <w:rFonts w:cs="Arial"/>
          <w:b/>
          <w:szCs w:val="24"/>
        </w:rPr>
        <w:t>NOTIFÍQUESE</w:t>
      </w:r>
      <w:r w:rsidRPr="006A756C">
        <w:rPr>
          <w:rFonts w:cs="Arial"/>
          <w:szCs w:val="24"/>
        </w:rPr>
        <w:t xml:space="preserve"> a través del Sistema de Acceso a la Información Mexiquense (SAIMEX) al </w:t>
      </w:r>
      <w:r w:rsidRPr="006A756C">
        <w:rPr>
          <w:rFonts w:cs="Arial"/>
          <w:b/>
          <w:szCs w:val="24"/>
        </w:rPr>
        <w:t>Recurrente</w:t>
      </w:r>
      <w:r w:rsidRPr="006A756C">
        <w:rPr>
          <w:rFonts w:cs="Arial"/>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D45F1E5" w14:textId="77777777" w:rsidR="00AD30AB" w:rsidRDefault="00AD30AB" w:rsidP="00AD30AB"/>
    <w:p w14:paraId="21B4CCD3" w14:textId="2ECF47D5" w:rsidR="00E315DE" w:rsidRDefault="00D82493" w:rsidP="00E315DE">
      <w:pPr>
        <w:rPr>
          <w:szCs w:val="24"/>
          <w:lang w:eastAsia="es-ES_tradnl"/>
        </w:rPr>
      </w:pPr>
      <w:r>
        <w:rPr>
          <w:rFonts w:eastAsia="Times New Roman" w:cs="Arial"/>
          <w:b/>
          <w:noProof/>
          <w:szCs w:val="24"/>
          <w:lang w:val="es-MX"/>
        </w:rPr>
        <mc:AlternateContent>
          <mc:Choice Requires="wps">
            <w:drawing>
              <wp:anchor distT="0" distB="0" distL="114300" distR="114300" simplePos="0" relativeHeight="251660288" behindDoc="0" locked="0" layoutInCell="1" allowOverlap="1" wp14:anchorId="610375B1" wp14:editId="6A8CD1D6">
                <wp:simplePos x="0" y="0"/>
                <wp:positionH relativeFrom="column">
                  <wp:posOffset>35796</wp:posOffset>
                </wp:positionH>
                <wp:positionV relativeFrom="paragraph">
                  <wp:posOffset>1479106</wp:posOffset>
                </wp:positionV>
                <wp:extent cx="5794744" cy="2573079"/>
                <wp:effectExtent l="0" t="0" r="34925" b="36830"/>
                <wp:wrapNone/>
                <wp:docPr id="1847910081" name="Conector recto 2"/>
                <wp:cNvGraphicFramePr/>
                <a:graphic xmlns:a="http://schemas.openxmlformats.org/drawingml/2006/main">
                  <a:graphicData uri="http://schemas.microsoft.com/office/word/2010/wordprocessingShape">
                    <wps:wsp>
                      <wps:cNvCnPr/>
                      <wps:spPr>
                        <a:xfrm>
                          <a:off x="0" y="0"/>
                          <a:ext cx="5794744" cy="25730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7EEAD"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pt,116.45pt" to="459.1pt,3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1zUvwEAAMIDAAAOAAAAZHJzL2Uyb0RvYy54bWysU02P0zAQvSPxHyzfaZLSJW3UdA9dwQVB&#10;xcIP8Dp2Y+EvjU2T/nvGTppFgBBCXOzYfm9m3pvJ/n40mlwEBOVsS6tVSYmw3HXKnlv65fPbV1tK&#10;QmS2Y9pZ0dKrCPT+8PLFfvCNWLve6U4AwSA2NINvaR+jb4oi8F4YFlbOC4uP0oFhEY9wLjpgA0Y3&#10;uliX5ZticNB5cFyEgLcP0yM95PhSCh4/ShlEJLqlWFvMK+T1Ka3FYc+aMzDfKz6Xwf6hCsOUxaRL&#10;qAcWGfkG6pdQRnFwwcm44s4UTkrFRdaAaqryJzWPPfMia0Fzgl9sCv8vLP9wOQFRHfZuu6l3VVlu&#10;K0osM9irI3aMRwcE0kbWyazBhwY5R3uC+RT8CZLyUYJJO2oiYzb4uhgsxkg4Xt7Vu0292VDC8W19&#10;V78u612KWjzTPYT4TjhD0kdLtbLJAdawy/sQJ+gNgrxUzlRA/opXLRJY209CoipMWWV2nidx1EAu&#10;DCeh+1rNaTMyUaTSeiGVfybN2EQTecb+lrigc0Zn40I0yjr4XdY43kqVE/6metKaZD+57prbke3A&#10;QcmGzkOdJvHHc6Y//3qH7wAAAP//AwBQSwMEFAAGAAgAAAAhAI3zymrfAAAACQEAAA8AAABkcnMv&#10;ZG93bnJldi54bWxMjzFPwzAUhHck/oP1kNioE1dEaYhTVZUQYkE0hd2NXSdgP0e2k4Z/j5noeLrT&#10;3Xf1drGGzMqHwSGHfJUBUdg5OaDm8HF8fiiBhChQCuNQcfhRAbbN7U0tKukueFBzGzVJJRgqwaGP&#10;cawoDV2vrAgrNypM3tl5K2KSXlPpxSWVW0NZlhXUigHTQi9Gte9V991OloN59fOn3utdmF4ORfv1&#10;fmZvx5nz+7tl9wQkqiX+h+EPP6FDk5hObkIZiOHwWKQgB7ZmGyDJ3+QlA3LiUKzLHGhT0+sHzS8A&#10;AAD//wMAUEsBAi0AFAAGAAgAAAAhALaDOJL+AAAA4QEAABMAAAAAAAAAAAAAAAAAAAAAAFtDb250&#10;ZW50X1R5cGVzXS54bWxQSwECLQAUAAYACAAAACEAOP0h/9YAAACUAQAACwAAAAAAAAAAAAAAAAAv&#10;AQAAX3JlbHMvLnJlbHNQSwECLQAUAAYACAAAACEA1uNc1L8BAADCAwAADgAAAAAAAAAAAAAAAAAu&#10;AgAAZHJzL2Uyb0RvYy54bWxQSwECLQAUAAYACAAAACEAjfPKat8AAAAJAQAADwAAAAAAAAAAAAAA&#10;AAAZBAAAZHJzL2Rvd25yZXYueG1sUEsFBgAAAAAEAAQA8wAAACUFAAAAAA==&#10;" strokecolor="black [3200]" strokeweight=".5pt">
                <v:stroke joinstyle="miter"/>
              </v:line>
            </w:pict>
          </mc:Fallback>
        </mc:AlternateContent>
      </w:r>
      <w:r w:rsidR="001F04FE" w:rsidRPr="0031270E">
        <w:rPr>
          <w:rFonts w:eastAsia="Times New Roman" w:cs="Arial"/>
          <w:b/>
          <w:szCs w:val="24"/>
          <w:lang w:val="es-ES" w:eastAsia="es-ES"/>
        </w:rPr>
        <w:t>QUNT</w:t>
      </w:r>
      <w:r w:rsidR="00AD30AB" w:rsidRPr="0031270E">
        <w:rPr>
          <w:rFonts w:eastAsia="Times New Roman" w:cs="Arial"/>
          <w:b/>
          <w:szCs w:val="24"/>
          <w:lang w:val="es-ES" w:eastAsia="es-ES"/>
        </w:rPr>
        <w:t>O.</w:t>
      </w:r>
      <w:r w:rsidR="00AD30AB" w:rsidRPr="00DF23DA">
        <w:rPr>
          <w:rFonts w:eastAsia="Times New Roman" w:cs="Arial"/>
          <w:b/>
          <w:szCs w:val="24"/>
          <w:lang w:val="es-ES" w:eastAsia="es-ES"/>
        </w:rPr>
        <w:t xml:space="preserve"> </w:t>
      </w:r>
      <w:r w:rsidR="00AD30AB">
        <w:rPr>
          <w:rFonts w:cs="Times New Roman"/>
          <w:b/>
          <w:szCs w:val="24"/>
          <w:lang w:eastAsia="es-ES_tradnl"/>
        </w:rPr>
        <w:t xml:space="preserve">- </w:t>
      </w:r>
      <w:r w:rsidR="00AD30AB" w:rsidRPr="00354C36">
        <w:rPr>
          <w:b/>
          <w:szCs w:val="24"/>
          <w:lang w:eastAsia="es-ES_tradnl"/>
        </w:rPr>
        <w:t xml:space="preserve">Gírese </w:t>
      </w:r>
      <w:r w:rsidR="00AD30AB" w:rsidRPr="00354C36">
        <w:rPr>
          <w:szCs w:val="24"/>
          <w:lang w:eastAsia="es-ES_tradnl"/>
        </w:rPr>
        <w:t xml:space="preserve">oficio a </w:t>
      </w:r>
      <w:r w:rsidR="00AD30AB" w:rsidRPr="000115A8">
        <w:rPr>
          <w:szCs w:val="24"/>
          <w:lang w:eastAsia="es-ES_tradnl"/>
        </w:rPr>
        <w:t>la Secretaría Técnica del Pleno</w:t>
      </w:r>
      <w:r w:rsidR="00AD30AB" w:rsidRPr="00354C36">
        <w:rPr>
          <w:szCs w:val="24"/>
          <w:lang w:eastAsia="es-ES_tradnl"/>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AD30AB">
        <w:rPr>
          <w:b/>
          <w:bCs/>
          <w:szCs w:val="24"/>
          <w:lang w:eastAsia="es-ES_tradnl"/>
        </w:rPr>
        <w:t>TERCERO</w:t>
      </w:r>
      <w:r w:rsidR="00A70DD3">
        <w:rPr>
          <w:szCs w:val="24"/>
          <w:lang w:eastAsia="es-ES_tradnl"/>
        </w:rPr>
        <w:t xml:space="preserve"> de la presente resolución</w:t>
      </w:r>
      <w:r w:rsidR="000168B6">
        <w:rPr>
          <w:szCs w:val="24"/>
          <w:lang w:eastAsia="es-ES_tradnl"/>
        </w:rPr>
        <w:t>.</w:t>
      </w:r>
    </w:p>
    <w:p w14:paraId="0E02C125" w14:textId="77777777" w:rsidR="000168B6" w:rsidRDefault="000168B6" w:rsidP="00E315DE">
      <w:pPr>
        <w:rPr>
          <w:rFonts w:cs="Times New Roman"/>
          <w:b/>
          <w:szCs w:val="24"/>
          <w:lang w:eastAsia="es-ES_tradnl"/>
        </w:rPr>
      </w:pPr>
    </w:p>
    <w:p w14:paraId="319D6A30" w14:textId="77777777" w:rsidR="00D82493" w:rsidRDefault="00D82493" w:rsidP="00E315DE">
      <w:pPr>
        <w:rPr>
          <w:rFonts w:cs="Times New Roman"/>
          <w:b/>
          <w:szCs w:val="24"/>
          <w:lang w:eastAsia="es-ES_tradnl"/>
        </w:rPr>
      </w:pPr>
    </w:p>
    <w:p w14:paraId="2A0FEEAB" w14:textId="77777777" w:rsidR="00D82493" w:rsidRDefault="00D82493" w:rsidP="00E315DE">
      <w:pPr>
        <w:rPr>
          <w:rFonts w:cs="Times New Roman"/>
          <w:b/>
          <w:szCs w:val="24"/>
          <w:lang w:eastAsia="es-ES_tradnl"/>
        </w:rPr>
      </w:pPr>
    </w:p>
    <w:p w14:paraId="07D8535F" w14:textId="77777777" w:rsidR="00D82493" w:rsidRDefault="00D82493" w:rsidP="00E315DE">
      <w:pPr>
        <w:rPr>
          <w:rFonts w:cs="Times New Roman"/>
          <w:b/>
          <w:szCs w:val="24"/>
          <w:lang w:eastAsia="es-ES_tradnl"/>
        </w:rPr>
      </w:pPr>
    </w:p>
    <w:p w14:paraId="40C9203C" w14:textId="77777777" w:rsidR="00D82493" w:rsidRDefault="00D82493" w:rsidP="00E315DE">
      <w:pPr>
        <w:rPr>
          <w:rFonts w:cs="Times New Roman"/>
          <w:b/>
          <w:szCs w:val="24"/>
          <w:lang w:eastAsia="es-ES_tradnl"/>
        </w:rPr>
      </w:pPr>
    </w:p>
    <w:p w14:paraId="6A26BE48" w14:textId="77777777" w:rsidR="00D82493" w:rsidRDefault="00D82493" w:rsidP="00E315DE">
      <w:pPr>
        <w:rPr>
          <w:rFonts w:cs="Times New Roman"/>
          <w:b/>
          <w:szCs w:val="24"/>
          <w:lang w:eastAsia="es-ES_tradnl"/>
        </w:rPr>
      </w:pPr>
    </w:p>
    <w:p w14:paraId="2D5B42E4" w14:textId="77777777" w:rsidR="00D82493" w:rsidRPr="00A70DD3" w:rsidRDefault="00D82493" w:rsidP="00E315DE">
      <w:pPr>
        <w:rPr>
          <w:rFonts w:cs="Times New Roman"/>
          <w:b/>
          <w:szCs w:val="24"/>
          <w:lang w:eastAsia="es-ES_tradnl"/>
        </w:rPr>
      </w:pPr>
    </w:p>
    <w:p w14:paraId="30226CA1" w14:textId="3BD9E3DA" w:rsidR="00E315DE" w:rsidRDefault="00E315DE" w:rsidP="00E315DE">
      <w:pPr>
        <w:rPr>
          <w:rFonts w:cs="Arial"/>
        </w:rPr>
      </w:pPr>
      <w:r w:rsidRPr="00360DF2">
        <w:rPr>
          <w:rFonts w:cs="Arial"/>
        </w:rPr>
        <w:lastRenderedPageBreak/>
        <w:t xml:space="preserve">ASÍ LO RESUELVE, POR </w:t>
      </w:r>
      <w:r w:rsidRPr="00EE44F3">
        <w:rPr>
          <w:rFonts w:cs="Arial"/>
          <w:b/>
          <w:bCs/>
        </w:rPr>
        <w:t>UNANIMIDAD DE VOTOS</w:t>
      </w:r>
      <w:r w:rsidRPr="00360DF2">
        <w:rPr>
          <w:rFonts w:cs="Arial"/>
        </w:rPr>
        <w:t xml:space="preserve"> EL PLENO DEL</w:t>
      </w:r>
      <w:r w:rsidRPr="00360DF2">
        <w:rPr>
          <w:rFonts w:eastAsia="Arial Unicode MS" w:cs="Arial"/>
        </w:rPr>
        <w:t xml:space="preserve"> INSTITUTO DE TRANSPARENCIA, ACCESO A LA INFORMACIÓN PÚBLICA Y PROTECCIÓN DE DATOS PERSONALES DEL ESTADO DE MÉXICO Y MUNICIPIOS</w:t>
      </w:r>
      <w:r w:rsidRPr="00360DF2">
        <w:rPr>
          <w:rFonts w:cs="Arial"/>
        </w:rPr>
        <w:t xml:space="preserve">, CONFORMADO POR LOS COMISIONADOS JOSÉ MARTÍNEZ VILCHIS, MARÍA DEL ROSARIO MEJÍA AYALA, SHARON CRISTINA MORALES MARTÍNEZ, LUIS GUSTAVO PARRA NORIEGA Y GUADALUPE RAMÍREZ PEÑA, </w:t>
      </w:r>
      <w:r w:rsidRPr="00EE44F3">
        <w:rPr>
          <w:rFonts w:cs="Arial"/>
          <w:b/>
          <w:bCs/>
        </w:rPr>
        <w:t xml:space="preserve">EN LA </w:t>
      </w:r>
      <w:r>
        <w:rPr>
          <w:rFonts w:cs="Arial"/>
          <w:b/>
          <w:bCs/>
        </w:rPr>
        <w:t xml:space="preserve">TRIGÉSIMA </w:t>
      </w:r>
      <w:r w:rsidR="00D14086">
        <w:rPr>
          <w:rFonts w:cs="Arial"/>
          <w:b/>
          <w:bCs/>
        </w:rPr>
        <w:t>OCTAVA</w:t>
      </w:r>
      <w:r w:rsidRPr="00EE44F3">
        <w:rPr>
          <w:rFonts w:cs="Arial"/>
          <w:b/>
          <w:bCs/>
        </w:rPr>
        <w:t xml:space="preserve"> SESIÓN ORDINARIA CELEBRADA EL </w:t>
      </w:r>
      <w:r w:rsidR="00D14086">
        <w:rPr>
          <w:rFonts w:cs="Arial"/>
          <w:b/>
          <w:bCs/>
        </w:rPr>
        <w:t>SEIS DE NOVIEMBRE</w:t>
      </w:r>
      <w:r>
        <w:rPr>
          <w:rFonts w:cs="Arial"/>
          <w:b/>
          <w:bCs/>
        </w:rPr>
        <w:t xml:space="preserve"> </w:t>
      </w:r>
      <w:r w:rsidRPr="00EE44F3">
        <w:rPr>
          <w:rFonts w:cs="Arial"/>
          <w:b/>
          <w:bCs/>
        </w:rPr>
        <w:t>DE DOS MIL VEINTICUATRO</w:t>
      </w:r>
      <w:r w:rsidRPr="00360DF2">
        <w:rPr>
          <w:rFonts w:cs="Arial"/>
        </w:rPr>
        <w:t>, ANTE EL SECRETARIO TÉCNICO DEL PLENO, ALEXIS TAPIA RAMÍREZ. -------------------------------------------</w:t>
      </w:r>
      <w:r>
        <w:rPr>
          <w:rFonts w:cs="Arial"/>
        </w:rPr>
        <w:t>----------------------------------------------------------------------------------------------------------------------------------------------------------------------------------------------------------------------------------------------------------------------------------------------------------------------------------------------------------------------------------------------------------------------------------------------------------------------------------------------------------------------------------------------</w:t>
      </w:r>
      <w:r w:rsidR="00D82493" w:rsidRPr="00D82493">
        <w:rPr>
          <w:rFonts w:cs="Arial"/>
        </w:rPr>
        <w:t>----------------------------------------------------------------------------------------------------------------------------------------------------------------------------------------------------------------------------------------------------------------------------------------------------------------------------------------------------------------------------------------------------------------------------------------------------------------------------------------------------------------------------------------------------------------------------------------------------------------------------------------------------------------------------------------------------------------------------------------------------------------------------------------------------------------------------------------------------------------------------------------------------------------------------------------------------------------------------------------------------------------------------------------------------------------------------------------------------------------------------------------------------------------------------------------------</w:t>
      </w:r>
      <w:r w:rsidR="00D82493">
        <w:rPr>
          <w:rFonts w:cs="Arial"/>
        </w:rPr>
        <w:t>--------------------</w:t>
      </w:r>
    </w:p>
    <w:p w14:paraId="33AE3C3F" w14:textId="05B09DFE" w:rsidR="00E315DE" w:rsidRPr="00360DF2" w:rsidRDefault="00D14086" w:rsidP="00E315DE">
      <w:pPr>
        <w:rPr>
          <w:rFonts w:cs="Arial"/>
          <w:sz w:val="20"/>
        </w:rPr>
      </w:pPr>
      <w:r>
        <w:rPr>
          <w:rFonts w:cs="Arial"/>
          <w:sz w:val="20"/>
        </w:rPr>
        <w:t>JMV/</w:t>
      </w:r>
      <w:r w:rsidR="00E315DE" w:rsidRPr="00360DF2">
        <w:rPr>
          <w:rFonts w:cs="Arial"/>
          <w:sz w:val="20"/>
        </w:rPr>
        <w:t>CCR/</w:t>
      </w:r>
      <w:r w:rsidR="00E315DE">
        <w:rPr>
          <w:rFonts w:cs="Arial"/>
          <w:sz w:val="20"/>
        </w:rPr>
        <w:t>NJMB</w:t>
      </w: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CCBF8" w14:textId="77777777" w:rsidR="006E6848" w:rsidRDefault="006E6848" w:rsidP="00F2498E">
      <w:pPr>
        <w:spacing w:line="240" w:lineRule="auto"/>
      </w:pPr>
      <w:r>
        <w:separator/>
      </w:r>
    </w:p>
  </w:endnote>
  <w:endnote w:type="continuationSeparator" w:id="0">
    <w:p w14:paraId="0266ACAD" w14:textId="77777777" w:rsidR="006E6848" w:rsidRDefault="006E6848" w:rsidP="00F2498E">
      <w:pPr>
        <w:spacing w:line="240" w:lineRule="auto"/>
      </w:pPr>
      <w:r>
        <w:continuationSeparator/>
      </w:r>
    </w:p>
  </w:endnote>
  <w:endnote w:type="continuationNotice" w:id="1">
    <w:p w14:paraId="38212654" w14:textId="77777777" w:rsidR="006E6848" w:rsidRDefault="006E68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F71EC9" w:rsidRPr="00871A91" w:rsidRDefault="00F71EC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271B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271BE">
      <w:rPr>
        <w:rFonts w:ascii="Palatino Linotype" w:hAnsi="Palatino Linotype"/>
        <w:b/>
        <w:bCs/>
        <w:noProof/>
        <w:sz w:val="20"/>
      </w:rPr>
      <w:t>39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F71EC9" w:rsidRPr="00871A91" w:rsidRDefault="00F71EC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271B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271BE">
      <w:rPr>
        <w:rFonts w:ascii="Palatino Linotype" w:hAnsi="Palatino Linotype"/>
        <w:b/>
        <w:bCs/>
        <w:noProof/>
        <w:sz w:val="20"/>
      </w:rPr>
      <w:t>39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7E5D3" w14:textId="77777777" w:rsidR="006E6848" w:rsidRDefault="006E6848" w:rsidP="00F2498E">
      <w:pPr>
        <w:spacing w:line="240" w:lineRule="auto"/>
      </w:pPr>
      <w:r>
        <w:separator/>
      </w:r>
    </w:p>
  </w:footnote>
  <w:footnote w:type="continuationSeparator" w:id="0">
    <w:p w14:paraId="285A6001" w14:textId="77777777" w:rsidR="006E6848" w:rsidRDefault="006E6848" w:rsidP="00F2498E">
      <w:pPr>
        <w:spacing w:line="240" w:lineRule="auto"/>
      </w:pPr>
      <w:r>
        <w:continuationSeparator/>
      </w:r>
    </w:p>
  </w:footnote>
  <w:footnote w:type="continuationNotice" w:id="1">
    <w:p w14:paraId="62D43162" w14:textId="77777777" w:rsidR="006E6848" w:rsidRDefault="006E684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F71EC9" w:rsidRDefault="005271BE">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71EC9" w:rsidRPr="00B17577" w14:paraId="37B9EBDE" w14:textId="77777777" w:rsidTr="003938ED">
      <w:trPr>
        <w:trHeight w:val="227"/>
      </w:trPr>
      <w:tc>
        <w:tcPr>
          <w:tcW w:w="5103" w:type="dxa"/>
          <w:hideMark/>
        </w:tcPr>
        <w:p w14:paraId="4964FBC5" w14:textId="54CDA645" w:rsidR="00F71EC9" w:rsidRPr="00096248" w:rsidRDefault="00F71EC9"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42A1671" w:rsidR="00F71EC9" w:rsidRPr="00096248" w:rsidRDefault="00F71EC9" w:rsidP="00011C4D">
          <w:pPr>
            <w:spacing w:after="120" w:line="240" w:lineRule="auto"/>
            <w:ind w:right="71"/>
            <w:jc w:val="right"/>
            <w:rPr>
              <w:rFonts w:cs="Arial"/>
              <w:b/>
              <w:szCs w:val="24"/>
            </w:rPr>
          </w:pPr>
          <w:r>
            <w:rPr>
              <w:rFonts w:cs="Arial"/>
              <w:b/>
              <w:bCs/>
              <w:szCs w:val="24"/>
            </w:rPr>
            <w:t>05520</w:t>
          </w:r>
          <w:r w:rsidRPr="009E28A8">
            <w:rPr>
              <w:rFonts w:cs="Arial"/>
              <w:b/>
              <w:bCs/>
              <w:szCs w:val="24"/>
            </w:rPr>
            <w:t>/INFOEM/IP/RR/2024</w:t>
          </w:r>
        </w:p>
      </w:tc>
    </w:tr>
    <w:tr w:rsidR="00F71EC9" w14:paraId="7591D3C9" w14:textId="77777777" w:rsidTr="003938ED">
      <w:trPr>
        <w:trHeight w:val="242"/>
      </w:trPr>
      <w:tc>
        <w:tcPr>
          <w:tcW w:w="5103" w:type="dxa"/>
          <w:hideMark/>
        </w:tcPr>
        <w:p w14:paraId="729A65A8" w14:textId="77777777" w:rsidR="00F71EC9" w:rsidRPr="00096248" w:rsidRDefault="00F71EC9"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FAF5CC2" w:rsidR="00F71EC9" w:rsidRPr="00096248" w:rsidRDefault="00F71EC9" w:rsidP="005B68BA">
          <w:pPr>
            <w:spacing w:after="120" w:line="240" w:lineRule="auto"/>
            <w:ind w:left="-81" w:right="71"/>
            <w:jc w:val="right"/>
            <w:rPr>
              <w:rFonts w:cs="Arial"/>
              <w:szCs w:val="24"/>
            </w:rPr>
          </w:pPr>
          <w:r>
            <w:rPr>
              <w:rFonts w:cs="Arial"/>
              <w:szCs w:val="24"/>
            </w:rPr>
            <w:t>Ayuntamiento de Tepotzotlán</w:t>
          </w:r>
        </w:p>
      </w:tc>
    </w:tr>
    <w:tr w:rsidR="00F71EC9" w:rsidRPr="00F63239" w14:paraId="037E914D" w14:textId="77777777" w:rsidTr="003938ED">
      <w:trPr>
        <w:trHeight w:val="342"/>
      </w:trPr>
      <w:tc>
        <w:tcPr>
          <w:tcW w:w="5103" w:type="dxa"/>
          <w:hideMark/>
        </w:tcPr>
        <w:p w14:paraId="7676B68F" w14:textId="64D69EAF" w:rsidR="00F71EC9" w:rsidRPr="00096248" w:rsidRDefault="00F71EC9"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F71EC9" w:rsidRDefault="00F71EC9"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F71EC9" w:rsidRPr="00711916" w:rsidRDefault="00F71EC9" w:rsidP="00011C4D">
          <w:pPr>
            <w:spacing w:after="120" w:line="240" w:lineRule="auto"/>
            <w:ind w:left="-486" w:right="71" w:firstLine="567"/>
            <w:jc w:val="right"/>
            <w:rPr>
              <w:rFonts w:cs="Arial"/>
              <w:sz w:val="2"/>
              <w:szCs w:val="2"/>
            </w:rPr>
          </w:pPr>
        </w:p>
      </w:tc>
    </w:tr>
  </w:tbl>
  <w:p w14:paraId="2998DBFD" w14:textId="25A9F426" w:rsidR="00F71EC9" w:rsidRPr="00871A91" w:rsidRDefault="005271BE">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05pt;margin-top:-16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F71EC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71EC9" w14:paraId="0F9FE9B6" w14:textId="77777777" w:rsidTr="70652167">
      <w:trPr>
        <w:trHeight w:val="227"/>
      </w:trPr>
      <w:tc>
        <w:tcPr>
          <w:tcW w:w="5103" w:type="dxa"/>
          <w:hideMark/>
        </w:tcPr>
        <w:p w14:paraId="6D1D9D71" w14:textId="11150E5A" w:rsidR="00F71EC9" w:rsidRPr="00663A37" w:rsidRDefault="00F71EC9"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8BCF746" w:rsidR="00F71EC9" w:rsidRPr="00C81ECD" w:rsidRDefault="00F71EC9" w:rsidP="00011C4D">
          <w:pPr>
            <w:spacing w:after="120" w:line="240" w:lineRule="auto"/>
            <w:ind w:left="-486" w:right="68" w:firstLine="558"/>
            <w:jc w:val="right"/>
            <w:rPr>
              <w:rFonts w:cs="Arial"/>
              <w:b/>
              <w:szCs w:val="24"/>
            </w:rPr>
          </w:pPr>
          <w:r>
            <w:rPr>
              <w:rFonts w:cs="Arial"/>
              <w:b/>
              <w:bCs/>
              <w:szCs w:val="24"/>
            </w:rPr>
            <w:t>05520</w:t>
          </w:r>
          <w:r w:rsidRPr="009E28A8">
            <w:rPr>
              <w:rFonts w:cs="Arial"/>
              <w:b/>
              <w:bCs/>
              <w:szCs w:val="24"/>
            </w:rPr>
            <w:t>/INFOEM/IP/RR/2024</w:t>
          </w:r>
        </w:p>
      </w:tc>
    </w:tr>
    <w:tr w:rsidR="00F71EC9" w:rsidRPr="001F57CD" w14:paraId="1377D264" w14:textId="77777777" w:rsidTr="70652167">
      <w:trPr>
        <w:trHeight w:val="196"/>
      </w:trPr>
      <w:tc>
        <w:tcPr>
          <w:tcW w:w="5103" w:type="dxa"/>
          <w:hideMark/>
        </w:tcPr>
        <w:p w14:paraId="04D597A1" w14:textId="77777777" w:rsidR="00F71EC9" w:rsidRPr="00663A37" w:rsidRDefault="00F71EC9"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65DD541E" w:rsidR="00F71EC9" w:rsidRPr="009E28A8" w:rsidRDefault="005271BE" w:rsidP="005B68BA">
          <w:pPr>
            <w:spacing w:after="120" w:line="240" w:lineRule="auto"/>
            <w:ind w:right="68"/>
            <w:jc w:val="right"/>
            <w:rPr>
              <w:rFonts w:cs="Arial"/>
              <w:lang w:val="es-ES"/>
            </w:rPr>
          </w:pPr>
          <w:r>
            <w:rPr>
              <w:rFonts w:cs="Arial"/>
              <w:lang w:val="es-ES"/>
            </w:rPr>
            <w:t>XXXXXXXXXXXXXXXXXX</w:t>
          </w:r>
        </w:p>
      </w:tc>
    </w:tr>
    <w:tr w:rsidR="00F71EC9" w14:paraId="4DC11993" w14:textId="77777777" w:rsidTr="70652167">
      <w:trPr>
        <w:trHeight w:val="242"/>
      </w:trPr>
      <w:tc>
        <w:tcPr>
          <w:tcW w:w="5103" w:type="dxa"/>
          <w:hideMark/>
        </w:tcPr>
        <w:p w14:paraId="76CEF1B5" w14:textId="77777777" w:rsidR="00F71EC9" w:rsidRPr="00663A37" w:rsidRDefault="00F71EC9"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410887A6" w:rsidR="00F71EC9" w:rsidRPr="009E28A8" w:rsidRDefault="00F71EC9" w:rsidP="005B68BA">
          <w:pPr>
            <w:spacing w:after="120" w:line="240" w:lineRule="auto"/>
            <w:ind w:left="-70" w:right="68"/>
            <w:jc w:val="right"/>
            <w:rPr>
              <w:rFonts w:cs="Arial"/>
              <w:szCs w:val="24"/>
            </w:rPr>
          </w:pPr>
          <w:r>
            <w:rPr>
              <w:rFonts w:cs="Arial"/>
              <w:szCs w:val="24"/>
            </w:rPr>
            <w:t>Ayuntamiento de Tepotzotlán</w:t>
          </w:r>
        </w:p>
      </w:tc>
    </w:tr>
    <w:tr w:rsidR="00F71EC9" w14:paraId="5C2B511D" w14:textId="77777777" w:rsidTr="70652167">
      <w:trPr>
        <w:trHeight w:val="342"/>
      </w:trPr>
      <w:tc>
        <w:tcPr>
          <w:tcW w:w="5103" w:type="dxa"/>
          <w:hideMark/>
        </w:tcPr>
        <w:p w14:paraId="03FEF68C" w14:textId="45E91CF4" w:rsidR="00F71EC9" w:rsidRPr="00663A37" w:rsidRDefault="00F71EC9"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F71EC9" w:rsidRPr="00663A37" w:rsidRDefault="00F71EC9"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F71EC9" w:rsidRPr="00871A91" w:rsidRDefault="005271BE">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2pt;margin-top:-18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F71EC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299"/>
    <w:multiLevelType w:val="hybridMultilevel"/>
    <w:tmpl w:val="795AF498"/>
    <w:lvl w:ilvl="0" w:tplc="8658545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34A25FBB"/>
    <w:multiLevelType w:val="hybridMultilevel"/>
    <w:tmpl w:val="7BB6620A"/>
    <w:lvl w:ilvl="0" w:tplc="C07021F0">
      <w:start w:val="1"/>
      <w:numFmt w:val="decimal"/>
      <w:lvlText w:val="%1."/>
      <w:lvlJc w:val="left"/>
      <w:pPr>
        <w:ind w:left="720" w:hanging="360"/>
      </w:pPr>
      <w:rPr>
        <w:rFonts w:hint="default"/>
        <w:color w:val="000000"/>
      </w:rPr>
    </w:lvl>
    <w:lvl w:ilvl="1" w:tplc="85AC7ADE">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EB4616"/>
    <w:multiLevelType w:val="hybridMultilevel"/>
    <w:tmpl w:val="CAF4715E"/>
    <w:lvl w:ilvl="0" w:tplc="63FC2DC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9"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0" w15:restartNumberingAfterBreak="0">
    <w:nsid w:val="392F0D87"/>
    <w:multiLevelType w:val="hybridMultilevel"/>
    <w:tmpl w:val="05E8D660"/>
    <w:lvl w:ilvl="0" w:tplc="EF0C35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0413E0C"/>
    <w:multiLevelType w:val="hybridMultilevel"/>
    <w:tmpl w:val="89B8E354"/>
    <w:lvl w:ilvl="0" w:tplc="3198E4D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B63EC3"/>
    <w:multiLevelType w:val="hybridMultilevel"/>
    <w:tmpl w:val="1F4C07AA"/>
    <w:lvl w:ilvl="0" w:tplc="6C9AC9C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68A41DB9"/>
    <w:multiLevelType w:val="hybridMultilevel"/>
    <w:tmpl w:val="B0CE618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6"/>
  </w:num>
  <w:num w:numId="3">
    <w:abstractNumId w:val="9"/>
  </w:num>
  <w:num w:numId="4">
    <w:abstractNumId w:val="33"/>
  </w:num>
  <w:num w:numId="5">
    <w:abstractNumId w:val="4"/>
  </w:num>
  <w:num w:numId="6">
    <w:abstractNumId w:val="27"/>
  </w:num>
  <w:num w:numId="7">
    <w:abstractNumId w:val="8"/>
  </w:num>
  <w:num w:numId="8">
    <w:abstractNumId w:val="2"/>
  </w:num>
  <w:num w:numId="9">
    <w:abstractNumId w:val="14"/>
  </w:num>
  <w:num w:numId="10">
    <w:abstractNumId w:val="15"/>
  </w:num>
  <w:num w:numId="11">
    <w:abstractNumId w:val="34"/>
  </w:num>
  <w:num w:numId="12">
    <w:abstractNumId w:val="32"/>
  </w:num>
  <w:num w:numId="13">
    <w:abstractNumId w:val="22"/>
  </w:num>
  <w:num w:numId="14">
    <w:abstractNumId w:val="25"/>
  </w:num>
  <w:num w:numId="15">
    <w:abstractNumId w:val="12"/>
  </w:num>
  <w:num w:numId="16">
    <w:abstractNumId w:val="11"/>
  </w:num>
  <w:num w:numId="17">
    <w:abstractNumId w:val="6"/>
  </w:num>
  <w:num w:numId="18">
    <w:abstractNumId w:val="10"/>
  </w:num>
  <w:num w:numId="19">
    <w:abstractNumId w:val="19"/>
  </w:num>
  <w:num w:numId="20">
    <w:abstractNumId w:val="1"/>
  </w:num>
  <w:num w:numId="21">
    <w:abstractNumId w:val="29"/>
  </w:num>
  <w:num w:numId="22">
    <w:abstractNumId w:val="24"/>
  </w:num>
  <w:num w:numId="23">
    <w:abstractNumId w:val="31"/>
  </w:num>
  <w:num w:numId="24">
    <w:abstractNumId w:val="18"/>
  </w:num>
  <w:num w:numId="25">
    <w:abstractNumId w:val="3"/>
  </w:num>
  <w:num w:numId="26">
    <w:abstractNumId w:val="5"/>
  </w:num>
  <w:num w:numId="27">
    <w:abstractNumId w:val="7"/>
  </w:num>
  <w:num w:numId="28">
    <w:abstractNumId w:val="28"/>
  </w:num>
  <w:num w:numId="29">
    <w:abstractNumId w:val="21"/>
  </w:num>
  <w:num w:numId="30">
    <w:abstractNumId w:val="16"/>
  </w:num>
  <w:num w:numId="31">
    <w:abstractNumId w:val="20"/>
  </w:num>
  <w:num w:numId="32">
    <w:abstractNumId w:val="17"/>
  </w:num>
  <w:num w:numId="33">
    <w:abstractNumId w:val="0"/>
  </w:num>
  <w:num w:numId="34">
    <w:abstractNumId w:val="30"/>
  </w:num>
  <w:num w:numId="3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2DA2"/>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68B6"/>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073"/>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3B"/>
    <w:rsid w:val="0012508E"/>
    <w:rsid w:val="00130C18"/>
    <w:rsid w:val="00131C40"/>
    <w:rsid w:val="00131C6C"/>
    <w:rsid w:val="00131F2D"/>
    <w:rsid w:val="001321ED"/>
    <w:rsid w:val="00133F26"/>
    <w:rsid w:val="0013462D"/>
    <w:rsid w:val="00134E67"/>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1F0D"/>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4FE"/>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50D"/>
    <w:rsid w:val="0025386E"/>
    <w:rsid w:val="00253D3F"/>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18"/>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8FF"/>
    <w:rsid w:val="002E2D8A"/>
    <w:rsid w:val="002E32E7"/>
    <w:rsid w:val="002E37DA"/>
    <w:rsid w:val="002E40AD"/>
    <w:rsid w:val="002E4D40"/>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6756"/>
    <w:rsid w:val="00307373"/>
    <w:rsid w:val="00310825"/>
    <w:rsid w:val="00310AF9"/>
    <w:rsid w:val="00310E80"/>
    <w:rsid w:val="003110C6"/>
    <w:rsid w:val="00312106"/>
    <w:rsid w:val="003126FB"/>
    <w:rsid w:val="0031270E"/>
    <w:rsid w:val="0031280C"/>
    <w:rsid w:val="00313170"/>
    <w:rsid w:val="003136B3"/>
    <w:rsid w:val="00313B18"/>
    <w:rsid w:val="00314324"/>
    <w:rsid w:val="0031447F"/>
    <w:rsid w:val="00315AE3"/>
    <w:rsid w:val="00315CA2"/>
    <w:rsid w:val="0031667E"/>
    <w:rsid w:val="00316A7B"/>
    <w:rsid w:val="003176D1"/>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013"/>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571"/>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5C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558A"/>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4E7F"/>
    <w:rsid w:val="004957D3"/>
    <w:rsid w:val="0049591A"/>
    <w:rsid w:val="004962CD"/>
    <w:rsid w:val="0049669E"/>
    <w:rsid w:val="00497395"/>
    <w:rsid w:val="004A0417"/>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4CF"/>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1BE"/>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047B"/>
    <w:rsid w:val="005913E6"/>
    <w:rsid w:val="00591770"/>
    <w:rsid w:val="00591DA0"/>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643F"/>
    <w:rsid w:val="005B68BA"/>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529"/>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848"/>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6F7EA9"/>
    <w:rsid w:val="00700C90"/>
    <w:rsid w:val="00701F34"/>
    <w:rsid w:val="007031A2"/>
    <w:rsid w:val="00703E4D"/>
    <w:rsid w:val="00703F3A"/>
    <w:rsid w:val="00704693"/>
    <w:rsid w:val="0070491A"/>
    <w:rsid w:val="00704AB9"/>
    <w:rsid w:val="007054D8"/>
    <w:rsid w:val="00706383"/>
    <w:rsid w:val="00706D47"/>
    <w:rsid w:val="007070E1"/>
    <w:rsid w:val="0070725F"/>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B3E"/>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DB0"/>
    <w:rsid w:val="007E0FE3"/>
    <w:rsid w:val="007E1437"/>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2AB"/>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4999"/>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81"/>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28A8"/>
    <w:rsid w:val="009E426E"/>
    <w:rsid w:val="009E4339"/>
    <w:rsid w:val="009E439C"/>
    <w:rsid w:val="009E46F2"/>
    <w:rsid w:val="009E620D"/>
    <w:rsid w:val="009E7192"/>
    <w:rsid w:val="009E7F49"/>
    <w:rsid w:val="009F0437"/>
    <w:rsid w:val="009F0B98"/>
    <w:rsid w:val="009F1641"/>
    <w:rsid w:val="009F1C46"/>
    <w:rsid w:val="009F1E25"/>
    <w:rsid w:val="009F2079"/>
    <w:rsid w:val="009F2592"/>
    <w:rsid w:val="009F4BE1"/>
    <w:rsid w:val="009F4FF4"/>
    <w:rsid w:val="009F5541"/>
    <w:rsid w:val="009F5C19"/>
    <w:rsid w:val="009F5D6C"/>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8EF"/>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0DD3"/>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3A92"/>
    <w:rsid w:val="00AB4584"/>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0AB"/>
    <w:rsid w:val="00AD3CC4"/>
    <w:rsid w:val="00AD4839"/>
    <w:rsid w:val="00AD4C7C"/>
    <w:rsid w:val="00AD76EF"/>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C4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5FED"/>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808"/>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1D9"/>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A8B"/>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D12"/>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086"/>
    <w:rsid w:val="00D146EB"/>
    <w:rsid w:val="00D15656"/>
    <w:rsid w:val="00D1622E"/>
    <w:rsid w:val="00D20835"/>
    <w:rsid w:val="00D20D52"/>
    <w:rsid w:val="00D20EF6"/>
    <w:rsid w:val="00D219AA"/>
    <w:rsid w:val="00D21D01"/>
    <w:rsid w:val="00D2237A"/>
    <w:rsid w:val="00D22848"/>
    <w:rsid w:val="00D22D3F"/>
    <w:rsid w:val="00D235D9"/>
    <w:rsid w:val="00D23E73"/>
    <w:rsid w:val="00D240B5"/>
    <w:rsid w:val="00D24BD1"/>
    <w:rsid w:val="00D2588A"/>
    <w:rsid w:val="00D25B60"/>
    <w:rsid w:val="00D25EA2"/>
    <w:rsid w:val="00D26217"/>
    <w:rsid w:val="00D26522"/>
    <w:rsid w:val="00D277FB"/>
    <w:rsid w:val="00D278E5"/>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2493"/>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A5721"/>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5DE"/>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47BF2"/>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B1D"/>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E85"/>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57E9"/>
    <w:rsid w:val="00F66279"/>
    <w:rsid w:val="00F67500"/>
    <w:rsid w:val="00F70652"/>
    <w:rsid w:val="00F70B12"/>
    <w:rsid w:val="00F70F10"/>
    <w:rsid w:val="00F716BE"/>
    <w:rsid w:val="00F71849"/>
    <w:rsid w:val="00F71EC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18"/>
      </w:numPr>
    </w:pPr>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pPr>
      <w:numPr>
        <w:numId w:val="21"/>
      </w:numPr>
    </w:pPr>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paragraph" w:customStyle="1" w:styleId="infoemcitas">
    <w:name w:val="infoem citas"/>
    <w:basedOn w:val="Normal"/>
    <w:qFormat/>
    <w:rsid w:val="0070725F"/>
    <w:pPr>
      <w:spacing w:before="240" w:after="160"/>
      <w:ind w:left="851" w:right="851"/>
    </w:pPr>
    <w:rPr>
      <w:rFonts w:eastAsiaTheme="minorHAnsi" w:cstheme="minorBidi"/>
      <w:i/>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19012794">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977BF-31D4-48F5-BF5D-F0F5EFDB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9621</Words>
  <Characters>52919</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cp:lastPrinted>2019-06-13T16:30:00Z</cp:lastPrinted>
  <dcterms:created xsi:type="dcterms:W3CDTF">2024-10-24T19:48:00Z</dcterms:created>
  <dcterms:modified xsi:type="dcterms:W3CDTF">2024-11-22T17:35:00Z</dcterms:modified>
</cp:coreProperties>
</file>