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5D202CAF" w:rsidR="005000AA" w:rsidRPr="00A3364C" w:rsidRDefault="005000AA" w:rsidP="005000AA">
      <w:pPr>
        <w:spacing w:before="240" w:after="240" w:line="360" w:lineRule="auto"/>
        <w:jc w:val="both"/>
        <w:rPr>
          <w:rFonts w:ascii="Palatino Linotype" w:hAnsi="Palatino Linotype"/>
          <w:sz w:val="24"/>
          <w:szCs w:val="24"/>
        </w:rPr>
      </w:pPr>
      <w:bookmarkStart w:id="0" w:name="_GoBack"/>
      <w:bookmarkEnd w:id="0"/>
      <w:r w:rsidRPr="00A3364C">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A3364C" w:rsidRPr="00A3364C">
        <w:rPr>
          <w:rFonts w:ascii="Palatino Linotype" w:hAnsi="Palatino Linotype"/>
          <w:sz w:val="24"/>
          <w:szCs w:val="24"/>
        </w:rPr>
        <w:t xml:space="preserve">fecha </w:t>
      </w:r>
      <w:r w:rsidR="0089380C" w:rsidRPr="00A3364C">
        <w:rPr>
          <w:rFonts w:ascii="Palatino Linotype" w:hAnsi="Palatino Linotype"/>
          <w:sz w:val="24"/>
          <w:szCs w:val="24"/>
        </w:rPr>
        <w:t>veintiocho (28) de febrero de dos mil veinticuatro</w:t>
      </w:r>
      <w:r w:rsidRPr="00A3364C">
        <w:rPr>
          <w:rFonts w:ascii="Palatino Linotype" w:hAnsi="Palatino Linotype"/>
          <w:sz w:val="24"/>
          <w:szCs w:val="24"/>
        </w:rPr>
        <w:t>.</w:t>
      </w:r>
    </w:p>
    <w:p w14:paraId="4C818016" w14:textId="06BEE4E0" w:rsidR="005000AA" w:rsidRDefault="005000AA" w:rsidP="005000AA">
      <w:pPr>
        <w:pStyle w:val="Encabezado"/>
        <w:spacing w:line="360" w:lineRule="auto"/>
        <w:jc w:val="both"/>
        <w:rPr>
          <w:rFonts w:ascii="Palatino Linotype" w:hAnsi="Palatino Linotype"/>
          <w:sz w:val="24"/>
          <w:szCs w:val="24"/>
        </w:rPr>
      </w:pPr>
      <w:r w:rsidRPr="00A3364C">
        <w:rPr>
          <w:rFonts w:ascii="Palatino Linotype" w:hAnsi="Palatino Linotype"/>
          <w:b/>
          <w:sz w:val="24"/>
          <w:szCs w:val="24"/>
        </w:rPr>
        <w:t>VISTO el</w:t>
      </w:r>
      <w:r w:rsidRPr="00A3364C">
        <w:rPr>
          <w:rFonts w:ascii="Palatino Linotype" w:hAnsi="Palatino Linotype"/>
          <w:sz w:val="24"/>
          <w:szCs w:val="24"/>
        </w:rPr>
        <w:t xml:space="preserve"> expediente electrónico formado con motivo del recurso de revisión </w:t>
      </w:r>
      <w:r w:rsidR="0089380C" w:rsidRPr="00A3364C">
        <w:rPr>
          <w:rFonts w:ascii="Palatino Linotype" w:hAnsi="Palatino Linotype" w:cs="Arial"/>
          <w:b/>
          <w:sz w:val="24"/>
          <w:szCs w:val="24"/>
        </w:rPr>
        <w:t>11138</w:t>
      </w:r>
      <w:r w:rsidR="0089380C" w:rsidRPr="00A3364C">
        <w:rPr>
          <w:rFonts w:ascii="Palatino Linotype" w:eastAsia="Calibri" w:hAnsi="Palatino Linotype" w:cs="Tahoma"/>
          <w:b/>
          <w:sz w:val="24"/>
          <w:szCs w:val="24"/>
          <w:lang w:eastAsia="en-US"/>
        </w:rPr>
        <w:t>/INFOEM/ICR-74</w:t>
      </w:r>
      <w:r w:rsidR="008306E4" w:rsidRPr="00A3364C">
        <w:rPr>
          <w:rFonts w:ascii="Palatino Linotype" w:eastAsia="Calibri" w:hAnsi="Palatino Linotype" w:cs="Tahoma"/>
          <w:b/>
          <w:sz w:val="24"/>
          <w:szCs w:val="24"/>
          <w:lang w:eastAsia="en-US"/>
        </w:rPr>
        <w:t>/IP/RR/2022</w:t>
      </w:r>
      <w:r w:rsidRPr="00A3364C">
        <w:rPr>
          <w:rFonts w:ascii="Palatino Linotype" w:hAnsi="Palatino Linotype" w:cs="Arial"/>
          <w:b/>
          <w:bCs/>
          <w:sz w:val="24"/>
          <w:szCs w:val="24"/>
        </w:rPr>
        <w:t xml:space="preserve">, </w:t>
      </w:r>
      <w:r w:rsidRPr="00A3364C">
        <w:rPr>
          <w:rFonts w:ascii="Palatino Linotype" w:hAnsi="Palatino Linotype"/>
          <w:sz w:val="24"/>
          <w:szCs w:val="24"/>
        </w:rPr>
        <w:t>promovido por</w:t>
      </w:r>
      <w:r w:rsidR="00396CF5" w:rsidRPr="00A3364C">
        <w:rPr>
          <w:rFonts w:ascii="Palatino Linotype" w:hAnsi="Palatino Linotype"/>
          <w:sz w:val="24"/>
          <w:szCs w:val="24"/>
        </w:rPr>
        <w:t xml:space="preserve"> </w:t>
      </w:r>
      <w:r w:rsidR="0000791B" w:rsidRPr="00A3364C">
        <w:rPr>
          <w:rFonts w:ascii="Palatino Linotype" w:hAnsi="Palatino Linotype"/>
          <w:sz w:val="24"/>
          <w:szCs w:val="24"/>
        </w:rPr>
        <w:t>un</w:t>
      </w:r>
      <w:r w:rsidR="00B93FF6" w:rsidRPr="00A3364C">
        <w:rPr>
          <w:rFonts w:ascii="Palatino Linotype" w:hAnsi="Palatino Linotype"/>
          <w:sz w:val="24"/>
          <w:szCs w:val="24"/>
        </w:rPr>
        <w:t xml:space="preserve"> </w:t>
      </w:r>
      <w:r w:rsidR="00B93FF6" w:rsidRPr="00A3364C">
        <w:rPr>
          <w:rFonts w:ascii="Palatino Linotype" w:hAnsi="Palatino Linotype"/>
          <w:b/>
          <w:sz w:val="24"/>
          <w:szCs w:val="24"/>
        </w:rPr>
        <w:t>Usuario del Sistema de Acceso a la Información Mexiquense (SAIMEX)</w:t>
      </w:r>
      <w:r w:rsidR="00A3364C">
        <w:rPr>
          <w:rFonts w:ascii="Palatino Linotype" w:hAnsi="Palatino Linotype"/>
          <w:b/>
          <w:sz w:val="24"/>
          <w:szCs w:val="24"/>
        </w:rPr>
        <w:t>,</w:t>
      </w:r>
      <w:r w:rsidR="00B93FF6" w:rsidRPr="00A3364C">
        <w:rPr>
          <w:rFonts w:ascii="Palatino Linotype" w:hAnsi="Palatino Linotype"/>
          <w:sz w:val="24"/>
          <w:szCs w:val="24"/>
        </w:rPr>
        <w:t xml:space="preserve"> </w:t>
      </w:r>
      <w:r w:rsidR="00A3364C" w:rsidRPr="00A3364C">
        <w:rPr>
          <w:rFonts w:ascii="Palatino Linotype" w:hAnsi="Palatino Linotype"/>
          <w:sz w:val="24"/>
          <w:szCs w:val="24"/>
        </w:rPr>
        <w:t>qui</w:t>
      </w:r>
      <w:r w:rsidR="00A3364C">
        <w:rPr>
          <w:rFonts w:ascii="Palatino Linotype" w:hAnsi="Palatino Linotype"/>
          <w:sz w:val="24"/>
          <w:szCs w:val="24"/>
        </w:rPr>
        <w:t xml:space="preserve">en no proporcionó </w:t>
      </w:r>
      <w:r w:rsidR="00B93FF6" w:rsidRPr="00A3364C">
        <w:rPr>
          <w:rFonts w:ascii="Palatino Linotype" w:hAnsi="Palatino Linotype"/>
          <w:sz w:val="24"/>
          <w:szCs w:val="24"/>
        </w:rPr>
        <w:t xml:space="preserve">nombre </w:t>
      </w:r>
      <w:r w:rsidR="00A3364C">
        <w:rPr>
          <w:rFonts w:ascii="Palatino Linotype" w:hAnsi="Palatino Linotype"/>
          <w:sz w:val="24"/>
          <w:szCs w:val="24"/>
        </w:rPr>
        <w:t xml:space="preserve">alguno </w:t>
      </w:r>
      <w:r w:rsidR="00B93FF6" w:rsidRPr="00A3364C">
        <w:rPr>
          <w:rFonts w:ascii="Palatino Linotype" w:hAnsi="Palatino Linotype"/>
          <w:sz w:val="24"/>
          <w:szCs w:val="24"/>
        </w:rPr>
        <w:t>para ser identificado</w:t>
      </w:r>
      <w:r w:rsidR="00CA3902" w:rsidRPr="00A3364C">
        <w:rPr>
          <w:rFonts w:ascii="Palatino Linotype" w:eastAsia="Calibri" w:hAnsi="Palatino Linotype" w:cs="Tahoma"/>
          <w:b/>
          <w:sz w:val="24"/>
          <w:szCs w:val="24"/>
          <w:lang w:eastAsia="en-US"/>
        </w:rPr>
        <w:t>,</w:t>
      </w:r>
      <w:r w:rsidR="005D09C1" w:rsidRPr="00A3364C">
        <w:rPr>
          <w:rFonts w:ascii="Palatino Linotype" w:hAnsi="Palatino Linotype"/>
          <w:sz w:val="24"/>
          <w:szCs w:val="24"/>
        </w:rPr>
        <w:t xml:space="preserve"> en su calidad de </w:t>
      </w:r>
      <w:r w:rsidRPr="00A3364C">
        <w:rPr>
          <w:rFonts w:ascii="Palatino Linotype" w:hAnsi="Palatino Linotype"/>
          <w:b/>
          <w:sz w:val="24"/>
          <w:szCs w:val="24"/>
        </w:rPr>
        <w:t>RECURRENTE</w:t>
      </w:r>
      <w:r w:rsidRPr="00A3364C">
        <w:rPr>
          <w:rFonts w:ascii="Palatino Linotype" w:hAnsi="Palatino Linotype" w:cs="Arial"/>
          <w:sz w:val="24"/>
          <w:szCs w:val="24"/>
        </w:rPr>
        <w:t xml:space="preserve">, en contra de la </w:t>
      </w:r>
      <w:r w:rsidR="005D09C1" w:rsidRPr="00A3364C">
        <w:rPr>
          <w:rFonts w:ascii="Palatino Linotype" w:hAnsi="Palatino Linotype" w:cs="Arial"/>
          <w:sz w:val="24"/>
          <w:szCs w:val="24"/>
        </w:rPr>
        <w:t xml:space="preserve">falta de </w:t>
      </w:r>
      <w:r w:rsidRPr="00A3364C">
        <w:rPr>
          <w:rFonts w:ascii="Palatino Linotype" w:hAnsi="Palatino Linotype" w:cs="Arial"/>
          <w:sz w:val="24"/>
          <w:szCs w:val="24"/>
        </w:rPr>
        <w:t xml:space="preserve">respuesta del </w:t>
      </w:r>
      <w:r w:rsidR="00B93FF6" w:rsidRPr="00A3364C">
        <w:rPr>
          <w:rFonts w:ascii="Palatino Linotype" w:eastAsia="Calibri" w:hAnsi="Palatino Linotype" w:cs="Tahoma"/>
          <w:b/>
          <w:sz w:val="24"/>
          <w:szCs w:val="24"/>
          <w:lang w:eastAsia="en-US"/>
        </w:rPr>
        <w:t>Ayuntamiento de Metepec</w:t>
      </w:r>
      <w:r w:rsidRPr="00A3364C">
        <w:rPr>
          <w:rFonts w:ascii="Palatino Linotype" w:hAnsi="Palatino Linotype" w:cs="Arial"/>
          <w:sz w:val="24"/>
          <w:szCs w:val="24"/>
        </w:rPr>
        <w:t>,</w:t>
      </w:r>
      <w:r w:rsidRPr="00A3364C">
        <w:rPr>
          <w:rFonts w:ascii="Palatino Linotype" w:hAnsi="Palatino Linotype"/>
          <w:b/>
          <w:sz w:val="24"/>
          <w:szCs w:val="24"/>
        </w:rPr>
        <w:t xml:space="preserve"> </w:t>
      </w:r>
      <w:r w:rsidRPr="00A3364C">
        <w:rPr>
          <w:rFonts w:ascii="Palatino Linotype" w:hAnsi="Palatino Linotype"/>
          <w:sz w:val="24"/>
          <w:szCs w:val="24"/>
        </w:rPr>
        <w:t>en lo sucesivo el</w:t>
      </w:r>
      <w:r w:rsidRPr="00A3364C">
        <w:rPr>
          <w:rFonts w:ascii="Palatino Linotype" w:hAnsi="Palatino Linotype"/>
          <w:b/>
          <w:sz w:val="24"/>
          <w:szCs w:val="24"/>
        </w:rPr>
        <w:t xml:space="preserve"> SUJETO OBLIGADO, </w:t>
      </w:r>
      <w:r w:rsidRPr="00A3364C">
        <w:rPr>
          <w:rFonts w:ascii="Palatino Linotype" w:hAnsi="Palatino Linotype"/>
          <w:sz w:val="24"/>
          <w:szCs w:val="24"/>
        </w:rPr>
        <w:t>se procede a dictar la presente resolución, con base en los siguientes:</w:t>
      </w:r>
    </w:p>
    <w:p w14:paraId="645F0A76" w14:textId="77777777" w:rsidR="00A3364C" w:rsidRPr="00A3364C" w:rsidRDefault="00A3364C" w:rsidP="005000AA">
      <w:pPr>
        <w:pStyle w:val="Encabezado"/>
        <w:spacing w:line="360" w:lineRule="auto"/>
        <w:jc w:val="both"/>
        <w:rPr>
          <w:rFonts w:ascii="Palatino Linotype" w:hAnsi="Palatino Linotype"/>
          <w:sz w:val="24"/>
          <w:szCs w:val="24"/>
        </w:rPr>
      </w:pPr>
    </w:p>
    <w:p w14:paraId="1F1BAF80" w14:textId="77777777" w:rsidR="005000AA" w:rsidRPr="00A3364C" w:rsidRDefault="005000AA" w:rsidP="005000AA">
      <w:pPr>
        <w:pStyle w:val="Ttulo1"/>
        <w:jc w:val="center"/>
        <w:rPr>
          <w:rFonts w:ascii="Palatino Linotype" w:hAnsi="Palatino Linotype"/>
          <w:b/>
          <w:color w:val="auto"/>
          <w:sz w:val="24"/>
          <w:szCs w:val="24"/>
        </w:rPr>
      </w:pPr>
      <w:bookmarkStart w:id="1" w:name="_Toc87549671"/>
      <w:r w:rsidRPr="00A3364C">
        <w:rPr>
          <w:rFonts w:ascii="Palatino Linotype" w:hAnsi="Palatino Linotype"/>
          <w:b/>
          <w:color w:val="auto"/>
          <w:sz w:val="24"/>
          <w:szCs w:val="24"/>
        </w:rPr>
        <w:t>ANTECEDENTES</w:t>
      </w:r>
      <w:bookmarkEnd w:id="1"/>
    </w:p>
    <w:p w14:paraId="04287D5F" w14:textId="77777777" w:rsidR="005000AA" w:rsidRPr="00A3364C" w:rsidRDefault="005000AA" w:rsidP="005000AA">
      <w:pPr>
        <w:rPr>
          <w:rFonts w:ascii="Palatino Linotype" w:hAnsi="Palatino Linotype"/>
          <w:sz w:val="24"/>
          <w:szCs w:val="24"/>
          <w:lang w:eastAsia="en-US"/>
        </w:rPr>
      </w:pPr>
    </w:p>
    <w:p w14:paraId="205E5E03" w14:textId="71AE9707" w:rsidR="005000AA" w:rsidRPr="00A3364C"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A3364C">
        <w:rPr>
          <w:rFonts w:ascii="Palatino Linotype" w:eastAsia="Calibri" w:hAnsi="Palatino Linotype" w:cs="Arial"/>
          <w:sz w:val="24"/>
          <w:lang w:val="es-ES"/>
        </w:rPr>
        <w:t xml:space="preserve">El día </w:t>
      </w:r>
      <w:r w:rsidR="0089380C" w:rsidRPr="00A3364C">
        <w:rPr>
          <w:rFonts w:ascii="Palatino Linotype" w:eastAsia="Calibri" w:hAnsi="Palatino Linotype" w:cs="Arial"/>
          <w:sz w:val="24"/>
          <w:lang w:val="es-ES"/>
        </w:rPr>
        <w:t>cuatro (04) de mayo</w:t>
      </w:r>
      <w:r w:rsidR="005000AA" w:rsidRPr="00A3364C">
        <w:rPr>
          <w:rFonts w:ascii="Palatino Linotype" w:eastAsia="Calibri" w:hAnsi="Palatino Linotype"/>
          <w:sz w:val="24"/>
          <w:lang w:val="es-ES"/>
        </w:rPr>
        <w:t xml:space="preserve"> de dos mil veinti</w:t>
      </w:r>
      <w:r w:rsidR="00D60DFE" w:rsidRPr="00A3364C">
        <w:rPr>
          <w:rFonts w:ascii="Palatino Linotype" w:eastAsia="Calibri" w:hAnsi="Palatino Linotype"/>
          <w:sz w:val="24"/>
          <w:lang w:val="es-ES"/>
        </w:rPr>
        <w:t>dós</w:t>
      </w:r>
      <w:r w:rsidR="005000AA" w:rsidRPr="00A3364C">
        <w:rPr>
          <w:rFonts w:ascii="Palatino Linotype" w:eastAsia="Calibri" w:hAnsi="Palatino Linotype" w:cs="Arial"/>
          <w:sz w:val="24"/>
          <w:lang w:val="es-ES"/>
        </w:rPr>
        <w:t>,</w:t>
      </w:r>
      <w:r w:rsidR="005000AA" w:rsidRPr="00A3364C">
        <w:rPr>
          <w:rFonts w:ascii="Palatino Linotype" w:eastAsia="Calibri" w:hAnsi="Palatino Linotype"/>
          <w:sz w:val="24"/>
          <w:lang w:val="es-ES"/>
        </w:rPr>
        <w:t xml:space="preserve"> </w:t>
      </w:r>
      <w:r w:rsidR="005000AA" w:rsidRPr="00A3364C">
        <w:rPr>
          <w:rFonts w:ascii="Palatino Linotype" w:eastAsia="Calibri" w:hAnsi="Palatino Linotype"/>
          <w:b/>
          <w:sz w:val="24"/>
          <w:lang w:val="es-ES"/>
        </w:rPr>
        <w:t xml:space="preserve">EL RECURRENTE </w:t>
      </w:r>
      <w:r w:rsidR="005000AA" w:rsidRPr="00A3364C">
        <w:rPr>
          <w:rFonts w:ascii="Palatino Linotype" w:eastAsia="Calibri" w:hAnsi="Palatino Linotype"/>
          <w:bCs/>
          <w:sz w:val="24"/>
          <w:lang w:val="es-ES"/>
        </w:rPr>
        <w:t>presentó</w:t>
      </w:r>
      <w:r w:rsidR="005000AA" w:rsidRPr="00A3364C">
        <w:rPr>
          <w:rFonts w:ascii="Palatino Linotype" w:hAnsi="Palatino Linotype"/>
          <w:b/>
          <w:sz w:val="24"/>
        </w:rPr>
        <w:t>,</w:t>
      </w:r>
      <w:r w:rsidR="005000AA" w:rsidRPr="00A3364C">
        <w:rPr>
          <w:rFonts w:ascii="Palatino Linotype" w:eastAsia="Calibri" w:hAnsi="Palatino Linotype" w:cs="Arial"/>
          <w:sz w:val="24"/>
          <w:lang w:val="es-ES"/>
        </w:rPr>
        <w:t xml:space="preserve"> ante el </w:t>
      </w:r>
      <w:r w:rsidR="005000AA" w:rsidRPr="00A3364C">
        <w:rPr>
          <w:rFonts w:ascii="Palatino Linotype" w:eastAsia="Calibri" w:hAnsi="Palatino Linotype" w:cs="Arial"/>
          <w:b/>
          <w:sz w:val="24"/>
          <w:lang w:val="es-ES"/>
        </w:rPr>
        <w:t>SUJETO OBLIGADO</w:t>
      </w:r>
      <w:r w:rsidR="005000AA" w:rsidRPr="00A3364C">
        <w:rPr>
          <w:rFonts w:ascii="Palatino Linotype" w:eastAsia="Calibri" w:hAnsi="Palatino Linotype" w:cs="Arial"/>
          <w:sz w:val="24"/>
        </w:rPr>
        <w:t xml:space="preserve"> vía </w:t>
      </w:r>
      <w:r w:rsidR="005000AA" w:rsidRPr="00A3364C">
        <w:rPr>
          <w:rFonts w:ascii="Palatino Linotype" w:eastAsia="Calibri" w:hAnsi="Palatino Linotype" w:cs="Arial"/>
          <w:sz w:val="24"/>
          <w:lang w:val="es-ES"/>
        </w:rPr>
        <w:t>Sistema de Acceso a la Información Mexiquense (</w:t>
      </w:r>
      <w:r w:rsidR="005000AA" w:rsidRPr="00A3364C">
        <w:rPr>
          <w:rFonts w:ascii="Palatino Linotype" w:eastAsia="Calibri" w:hAnsi="Palatino Linotype" w:cs="Arial"/>
          <w:b/>
          <w:sz w:val="24"/>
          <w:lang w:val="es-ES"/>
        </w:rPr>
        <w:t>SAIMEX)</w:t>
      </w:r>
      <w:r w:rsidR="005000AA" w:rsidRPr="00A3364C">
        <w:rPr>
          <w:rFonts w:ascii="Palatino Linotype" w:eastAsia="Calibri" w:hAnsi="Palatino Linotype" w:cs="Arial"/>
          <w:sz w:val="24"/>
          <w:lang w:val="es-ES"/>
        </w:rPr>
        <w:t xml:space="preserve">, la solicitud de información pública registrada con el número </w:t>
      </w:r>
      <w:r w:rsidR="0089380C" w:rsidRPr="00A3364C">
        <w:rPr>
          <w:rFonts w:ascii="Palatino Linotype" w:eastAsia="Calibri" w:hAnsi="Palatino Linotype" w:cs="Arial"/>
          <w:b/>
          <w:bCs/>
          <w:sz w:val="24"/>
        </w:rPr>
        <w:t>03395/METEPEC/IP/2022,</w:t>
      </w:r>
      <w:r w:rsidR="005D09C1" w:rsidRPr="00A3364C">
        <w:rPr>
          <w:rFonts w:ascii="Palatino Linotype" w:hAnsi="Palatino Linotype"/>
          <w:b/>
          <w:sz w:val="24"/>
          <w:lang w:val="es-ES"/>
        </w:rPr>
        <w:t xml:space="preserve"> </w:t>
      </w:r>
      <w:r w:rsidR="00A3364C">
        <w:rPr>
          <w:rFonts w:ascii="Palatino Linotype" w:eastAsia="Calibri" w:hAnsi="Palatino Linotype" w:cs="Arial"/>
          <w:sz w:val="24"/>
          <w:lang w:val="es-ES"/>
        </w:rPr>
        <w:t>en la que</w:t>
      </w:r>
      <w:r w:rsidR="005000AA" w:rsidRPr="00A3364C">
        <w:rPr>
          <w:rFonts w:ascii="Palatino Linotype" w:eastAsia="Calibri" w:hAnsi="Palatino Linotype" w:cs="Arial"/>
          <w:sz w:val="24"/>
          <w:lang w:val="es-ES"/>
        </w:rPr>
        <w:t xml:space="preserve"> solicitó lo siguiente:</w:t>
      </w:r>
    </w:p>
    <w:p w14:paraId="0A3CDCB5" w14:textId="77777777" w:rsidR="00965001" w:rsidRPr="00A3364C" w:rsidRDefault="00965001" w:rsidP="00965001">
      <w:pPr>
        <w:pStyle w:val="Prrafodelista"/>
        <w:spacing w:line="360" w:lineRule="auto"/>
        <w:ind w:left="0"/>
        <w:jc w:val="both"/>
        <w:rPr>
          <w:rFonts w:ascii="Palatino Linotype" w:hAnsi="Palatino Linotype" w:cs="Arial"/>
          <w:sz w:val="24"/>
          <w:lang w:val="es-ES"/>
        </w:rPr>
      </w:pPr>
    </w:p>
    <w:p w14:paraId="19CBEB32" w14:textId="59962C7E" w:rsidR="005000AA" w:rsidRPr="00A3364C" w:rsidRDefault="005000AA" w:rsidP="005000AA">
      <w:pPr>
        <w:ind w:left="567" w:right="567"/>
        <w:jc w:val="both"/>
        <w:rPr>
          <w:rFonts w:ascii="Palatino Linotype" w:eastAsia="Calibri" w:hAnsi="Palatino Linotype" w:cs="Arial"/>
          <w:i/>
          <w:sz w:val="24"/>
          <w:szCs w:val="24"/>
          <w:lang w:val="es-ES"/>
        </w:rPr>
      </w:pPr>
      <w:r w:rsidRPr="00A3364C">
        <w:rPr>
          <w:rFonts w:ascii="Palatino Linotype" w:eastAsia="Calibri" w:hAnsi="Palatino Linotype" w:cs="Arial"/>
          <w:i/>
          <w:sz w:val="24"/>
          <w:szCs w:val="24"/>
          <w:lang w:val="es-ES"/>
        </w:rPr>
        <w:t>“</w:t>
      </w:r>
      <w:r w:rsidR="0089380C" w:rsidRPr="00A3364C">
        <w:rPr>
          <w:rFonts w:ascii="Palatino Linotype" w:hAnsi="Palatino Linotype"/>
          <w:i/>
          <w:sz w:val="24"/>
          <w:szCs w:val="24"/>
          <w:lang w:eastAsia="es-MX"/>
        </w:rPr>
        <w:t>Se solicita la estadística de los planteles educativos públicos y privados de los niveles básico, medio superior y superior en el municipio de índole estatal y federa</w:t>
      </w:r>
      <w:r w:rsidRPr="00A3364C">
        <w:rPr>
          <w:rFonts w:ascii="Palatino Linotype" w:eastAsia="Calibri" w:hAnsi="Palatino Linotype" w:cs="Arial"/>
          <w:i/>
          <w:sz w:val="24"/>
          <w:szCs w:val="24"/>
          <w:lang w:val="es-ES"/>
        </w:rPr>
        <w:t>” (Sic)</w:t>
      </w:r>
    </w:p>
    <w:p w14:paraId="7690DF83" w14:textId="77777777" w:rsidR="00A36BE2" w:rsidRPr="00A3364C" w:rsidRDefault="00A36BE2" w:rsidP="005000AA">
      <w:pPr>
        <w:ind w:left="567" w:right="567"/>
        <w:jc w:val="both"/>
        <w:rPr>
          <w:rFonts w:ascii="Palatino Linotype" w:eastAsia="Calibri" w:hAnsi="Palatino Linotype" w:cs="Arial"/>
          <w:i/>
          <w:sz w:val="24"/>
          <w:szCs w:val="24"/>
          <w:lang w:val="es-ES"/>
        </w:rPr>
      </w:pPr>
    </w:p>
    <w:p w14:paraId="05FC21AC" w14:textId="784CB31D" w:rsidR="00427E2F" w:rsidRPr="00A3364C"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A3364C">
        <w:rPr>
          <w:rFonts w:ascii="Palatino Linotype" w:hAnsi="Palatino Linotype" w:cs="Arial"/>
          <w:sz w:val="24"/>
          <w:lang w:val="es-ES"/>
        </w:rPr>
        <w:t xml:space="preserve">Señaló como modalidad de entrega de la información a través del </w:t>
      </w:r>
      <w:r w:rsidRPr="00A3364C">
        <w:rPr>
          <w:rFonts w:ascii="Palatino Linotype" w:hAnsi="Palatino Linotype" w:cs="Arial"/>
          <w:b/>
          <w:sz w:val="24"/>
          <w:lang w:val="es-ES"/>
        </w:rPr>
        <w:t>SAIMEX.</w:t>
      </w:r>
    </w:p>
    <w:p w14:paraId="3641C327" w14:textId="747D9462" w:rsidR="0089380C" w:rsidRPr="00A3364C" w:rsidRDefault="0089380C" w:rsidP="005D09C1">
      <w:pPr>
        <w:pStyle w:val="Prrafodelista"/>
        <w:numPr>
          <w:ilvl w:val="0"/>
          <w:numId w:val="3"/>
        </w:numPr>
        <w:spacing w:before="240" w:after="240" w:line="360" w:lineRule="auto"/>
        <w:ind w:left="0" w:firstLine="0"/>
        <w:jc w:val="both"/>
        <w:rPr>
          <w:rFonts w:ascii="Palatino Linotype" w:hAnsi="Palatino Linotype"/>
          <w:i/>
          <w:color w:val="000000"/>
          <w:sz w:val="24"/>
        </w:rPr>
      </w:pPr>
      <w:r w:rsidRPr="00A3364C">
        <w:rPr>
          <w:rFonts w:ascii="Palatino Linotype" w:hAnsi="Palatino Linotype"/>
          <w:color w:val="000000"/>
          <w:sz w:val="24"/>
        </w:rPr>
        <w:lastRenderedPageBreak/>
        <w:t>El nueve (09) de mayo de dos mil veintidós, se realizó un requerimiento al servidor público habilitado.</w:t>
      </w:r>
    </w:p>
    <w:p w14:paraId="13E8924D" w14:textId="77777777" w:rsidR="0089380C" w:rsidRPr="00A3364C" w:rsidRDefault="0089380C" w:rsidP="0089380C">
      <w:pPr>
        <w:pStyle w:val="Prrafodelista"/>
        <w:rPr>
          <w:rFonts w:ascii="Palatino Linotype" w:hAnsi="Palatino Linotype"/>
          <w:color w:val="000000"/>
          <w:sz w:val="24"/>
        </w:rPr>
      </w:pPr>
    </w:p>
    <w:p w14:paraId="73E1F042" w14:textId="3E82462B" w:rsidR="00B93FF6" w:rsidRPr="00A3364C" w:rsidRDefault="00B93FF6" w:rsidP="005D09C1">
      <w:pPr>
        <w:pStyle w:val="Prrafodelista"/>
        <w:numPr>
          <w:ilvl w:val="0"/>
          <w:numId w:val="3"/>
        </w:numPr>
        <w:spacing w:before="240" w:after="240" w:line="360" w:lineRule="auto"/>
        <w:ind w:left="0" w:firstLine="0"/>
        <w:jc w:val="both"/>
        <w:rPr>
          <w:rFonts w:ascii="Palatino Linotype" w:hAnsi="Palatino Linotype"/>
          <w:i/>
          <w:color w:val="000000"/>
          <w:sz w:val="24"/>
        </w:rPr>
      </w:pPr>
      <w:r w:rsidRPr="00A3364C">
        <w:rPr>
          <w:rFonts w:ascii="Palatino Linotype" w:hAnsi="Palatino Linotype"/>
          <w:color w:val="000000"/>
          <w:sz w:val="24"/>
        </w:rPr>
        <w:t>E</w:t>
      </w:r>
      <w:r w:rsidR="0089380C" w:rsidRPr="00A3364C">
        <w:rPr>
          <w:rFonts w:ascii="Palatino Linotype" w:hAnsi="Palatino Linotype"/>
          <w:color w:val="000000"/>
          <w:sz w:val="24"/>
        </w:rPr>
        <w:t>l veintiséis (26) de mayo</w:t>
      </w:r>
      <w:r w:rsidRPr="00A3364C">
        <w:rPr>
          <w:rFonts w:ascii="Palatino Linotype" w:hAnsi="Palatino Linotype"/>
          <w:color w:val="000000"/>
          <w:sz w:val="24"/>
        </w:rPr>
        <w:t xml:space="preserve"> de dos mil veintidós, el Sujeto Obligado solicitó una prórroga para dar respuesta a la solicitud.</w:t>
      </w:r>
    </w:p>
    <w:p w14:paraId="758386EF" w14:textId="77777777" w:rsidR="00B93FF6" w:rsidRPr="00A3364C" w:rsidRDefault="00B93FF6" w:rsidP="00B93FF6">
      <w:pPr>
        <w:pStyle w:val="Prrafodelista"/>
        <w:rPr>
          <w:rFonts w:ascii="Palatino Linotype" w:eastAsia="Calibri" w:hAnsi="Palatino Linotype"/>
          <w:sz w:val="24"/>
          <w:lang w:val="es-ES"/>
        </w:rPr>
      </w:pPr>
    </w:p>
    <w:p w14:paraId="47BDCF02" w14:textId="755B5EA1" w:rsidR="005D09C1" w:rsidRPr="00A3364C" w:rsidRDefault="0089380C" w:rsidP="005D09C1">
      <w:pPr>
        <w:pStyle w:val="Prrafodelista"/>
        <w:numPr>
          <w:ilvl w:val="0"/>
          <w:numId w:val="3"/>
        </w:numPr>
        <w:spacing w:before="240" w:after="240" w:line="360" w:lineRule="auto"/>
        <w:ind w:left="0" w:firstLine="0"/>
        <w:jc w:val="both"/>
        <w:rPr>
          <w:rFonts w:ascii="Palatino Linotype" w:hAnsi="Palatino Linotype"/>
          <w:i/>
          <w:color w:val="000000"/>
          <w:sz w:val="24"/>
        </w:rPr>
      </w:pPr>
      <w:r w:rsidRPr="00A3364C">
        <w:rPr>
          <w:rFonts w:ascii="Palatino Linotype" w:eastAsia="Calibri" w:hAnsi="Palatino Linotype"/>
          <w:sz w:val="24"/>
          <w:lang w:val="es-ES"/>
        </w:rPr>
        <w:t>De las constancias del Sistema de Acceso a la Información Mexiquense (SAIMEX), se advierte que e</w:t>
      </w:r>
      <w:r w:rsidR="005000AA" w:rsidRPr="00A3364C">
        <w:rPr>
          <w:rFonts w:ascii="Palatino Linotype" w:eastAsia="Calibri" w:hAnsi="Palatino Linotype"/>
          <w:sz w:val="24"/>
          <w:lang w:val="es-ES"/>
        </w:rPr>
        <w:t xml:space="preserve">l </w:t>
      </w:r>
      <w:r w:rsidR="005D09C1" w:rsidRPr="00A3364C">
        <w:rPr>
          <w:rFonts w:ascii="Palatino Linotype" w:eastAsia="Calibri" w:hAnsi="Palatino Linotype"/>
          <w:sz w:val="24"/>
          <w:lang w:val="es-ES"/>
        </w:rPr>
        <w:t>Sujeto Obligado no emitió respuesta a la solicitud.</w:t>
      </w:r>
    </w:p>
    <w:p w14:paraId="3CE72CFC" w14:textId="3423FCEA" w:rsidR="00E65B7C" w:rsidRPr="00A3364C" w:rsidRDefault="00E65B7C" w:rsidP="00DD7DC3">
      <w:pPr>
        <w:pStyle w:val="Prrafodelista"/>
        <w:spacing w:before="240" w:after="240" w:line="360" w:lineRule="auto"/>
        <w:ind w:left="1287" w:right="567"/>
        <w:jc w:val="both"/>
        <w:rPr>
          <w:rFonts w:ascii="Palatino Linotype" w:hAnsi="Palatino Linotype"/>
          <w:i/>
          <w:color w:val="000000"/>
          <w:sz w:val="24"/>
        </w:rPr>
      </w:pPr>
    </w:p>
    <w:p w14:paraId="518CDCD9" w14:textId="7D356375" w:rsidR="005000AA" w:rsidRPr="00A3364C"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A3364C">
        <w:rPr>
          <w:rFonts w:ascii="Palatino Linotype" w:eastAsia="Calibri" w:hAnsi="Palatino Linotype" w:cs="Arial"/>
          <w:sz w:val="24"/>
          <w:lang w:val="es-AR"/>
        </w:rPr>
        <w:t xml:space="preserve">El </w:t>
      </w:r>
      <w:r w:rsidR="0089380C" w:rsidRPr="00A3364C">
        <w:rPr>
          <w:rFonts w:ascii="Palatino Linotype" w:eastAsia="Calibri" w:hAnsi="Palatino Linotype" w:cs="Arial"/>
          <w:sz w:val="24"/>
          <w:lang w:val="es-AR"/>
        </w:rPr>
        <w:t>siete (07) de junio</w:t>
      </w:r>
      <w:r w:rsidR="004E6A3B" w:rsidRPr="00A3364C">
        <w:rPr>
          <w:rFonts w:ascii="Palatino Linotype" w:eastAsia="Calibri" w:hAnsi="Palatino Linotype" w:cs="Arial"/>
          <w:sz w:val="24"/>
          <w:lang w:val="es-AR"/>
        </w:rPr>
        <w:t xml:space="preserve"> </w:t>
      </w:r>
      <w:r w:rsidR="005000AA" w:rsidRPr="00A3364C">
        <w:rPr>
          <w:rFonts w:ascii="Palatino Linotype" w:eastAsia="Calibri" w:hAnsi="Palatino Linotype" w:cs="Arial"/>
          <w:sz w:val="24"/>
          <w:lang w:val="es-AR"/>
        </w:rPr>
        <w:t>de</w:t>
      </w:r>
      <w:r w:rsidR="005000AA" w:rsidRPr="00A3364C">
        <w:rPr>
          <w:rFonts w:ascii="Palatino Linotype" w:hAnsi="Palatino Linotype" w:cs="Arial"/>
          <w:sz w:val="24"/>
          <w:lang w:val="es-ES"/>
        </w:rPr>
        <w:t xml:space="preserve"> dos mil veinti</w:t>
      </w:r>
      <w:r w:rsidR="0021453D" w:rsidRPr="00A3364C">
        <w:rPr>
          <w:rFonts w:ascii="Palatino Linotype" w:hAnsi="Palatino Linotype" w:cs="Arial"/>
          <w:sz w:val="24"/>
          <w:lang w:val="es-ES"/>
        </w:rPr>
        <w:t>dós</w:t>
      </w:r>
      <w:r w:rsidR="005000AA" w:rsidRPr="00A3364C">
        <w:rPr>
          <w:rFonts w:ascii="Palatino Linotype" w:hAnsi="Palatino Linotype" w:cs="Arial"/>
          <w:sz w:val="24"/>
          <w:lang w:val="es-ES"/>
        </w:rPr>
        <w:t xml:space="preserve">, </w:t>
      </w:r>
      <w:r w:rsidR="005000AA" w:rsidRPr="00A3364C">
        <w:rPr>
          <w:rFonts w:ascii="Palatino Linotype" w:hAnsi="Palatino Linotype"/>
          <w:b/>
          <w:sz w:val="24"/>
        </w:rPr>
        <w:t>EL RECURRENTE</w:t>
      </w:r>
      <w:r w:rsidR="005000AA" w:rsidRPr="00A3364C">
        <w:rPr>
          <w:rFonts w:ascii="Palatino Linotype" w:hAnsi="Palatino Linotype" w:cs="Arial"/>
          <w:sz w:val="24"/>
          <w:lang w:val="es-ES"/>
        </w:rPr>
        <w:t xml:space="preserve"> interpuso el recurso de revisión, en contra de la </w:t>
      </w:r>
      <w:r w:rsidR="005D09C1" w:rsidRPr="00A3364C">
        <w:rPr>
          <w:rFonts w:ascii="Palatino Linotype" w:hAnsi="Palatino Linotype" w:cs="Arial"/>
          <w:sz w:val="24"/>
          <w:lang w:val="es-ES"/>
        </w:rPr>
        <w:t xml:space="preserve">falta de </w:t>
      </w:r>
      <w:r w:rsidR="005000AA" w:rsidRPr="00A3364C">
        <w:rPr>
          <w:rFonts w:ascii="Palatino Linotype" w:hAnsi="Palatino Linotype" w:cs="Arial"/>
          <w:sz w:val="24"/>
          <w:lang w:val="es-ES"/>
        </w:rPr>
        <w:t>respuesta y, señaló como:</w:t>
      </w:r>
      <w:bookmarkStart w:id="2" w:name="_Toc462307683"/>
      <w:bookmarkStart w:id="3" w:name="_Toc472427085"/>
      <w:bookmarkStart w:id="4" w:name="_Toc472500652"/>
    </w:p>
    <w:p w14:paraId="24014C79" w14:textId="77777777" w:rsidR="005000AA" w:rsidRPr="00A3364C" w:rsidRDefault="005000AA" w:rsidP="005000AA">
      <w:pPr>
        <w:pStyle w:val="Prrafodelista"/>
        <w:rPr>
          <w:rFonts w:ascii="Palatino Linotype" w:hAnsi="Palatino Linotype" w:cs="Arial"/>
          <w:i/>
        </w:rPr>
      </w:pPr>
    </w:p>
    <w:p w14:paraId="60DF770D" w14:textId="51235629" w:rsidR="005000AA" w:rsidRPr="00A3364C" w:rsidRDefault="005000AA" w:rsidP="005000AA">
      <w:pPr>
        <w:pStyle w:val="Prrafodelista"/>
        <w:spacing w:line="360" w:lineRule="auto"/>
        <w:jc w:val="both"/>
        <w:rPr>
          <w:rFonts w:ascii="Palatino Linotype" w:hAnsi="Palatino Linotype"/>
          <w:bCs/>
          <w:i/>
          <w:iCs/>
        </w:rPr>
      </w:pPr>
      <w:r w:rsidRPr="00A3364C">
        <w:rPr>
          <w:rFonts w:ascii="Palatino Linotype" w:hAnsi="Palatino Linotype"/>
          <w:b/>
        </w:rPr>
        <w:t xml:space="preserve">Acto impugnado: </w:t>
      </w:r>
      <w:r w:rsidRPr="00A3364C">
        <w:rPr>
          <w:rFonts w:ascii="Palatino Linotype" w:hAnsi="Palatino Linotype"/>
          <w:bCs/>
          <w:i/>
          <w:iCs/>
        </w:rPr>
        <w:t>“</w:t>
      </w:r>
      <w:r w:rsidR="0089380C" w:rsidRPr="00A3364C">
        <w:rPr>
          <w:rFonts w:ascii="Palatino Linotype" w:eastAsia="Calibri" w:hAnsi="Palatino Linotype" w:cs="Tahoma"/>
          <w:i/>
          <w:lang w:eastAsia="en-US"/>
        </w:rPr>
        <w:t>Falta de respuesta</w:t>
      </w:r>
      <w:r w:rsidR="00082903" w:rsidRPr="00A3364C">
        <w:rPr>
          <w:rFonts w:ascii="Palatino Linotype" w:hAnsi="Palatino Linotype"/>
          <w:bCs/>
          <w:i/>
          <w:iCs/>
        </w:rPr>
        <w:t>” (sic) y;</w:t>
      </w:r>
    </w:p>
    <w:p w14:paraId="777595D3" w14:textId="188CC4F8" w:rsidR="005000AA" w:rsidRPr="00A3364C" w:rsidRDefault="005000AA" w:rsidP="005000AA">
      <w:pPr>
        <w:pStyle w:val="Prrafodelista"/>
        <w:spacing w:line="360" w:lineRule="auto"/>
        <w:jc w:val="both"/>
        <w:rPr>
          <w:rFonts w:ascii="Palatino Linotype" w:eastAsia="Calibri" w:hAnsi="Palatino Linotype" w:cs="Arial"/>
          <w:lang w:val="es-ES"/>
        </w:rPr>
      </w:pPr>
      <w:r w:rsidRPr="00A3364C">
        <w:rPr>
          <w:rFonts w:ascii="Palatino Linotype" w:hAnsi="Palatino Linotype"/>
          <w:b/>
        </w:rPr>
        <w:t>Razones o Motivos de Inconformidad:</w:t>
      </w:r>
      <w:r w:rsidRPr="00A3364C">
        <w:rPr>
          <w:rStyle w:val="Ttulo2Car"/>
          <w:rFonts w:ascii="Palatino Linotype" w:hAnsi="Palatino Linotype"/>
          <w:b/>
          <w:i/>
          <w:sz w:val="22"/>
          <w:szCs w:val="24"/>
          <w:lang w:val="es-ES"/>
        </w:rPr>
        <w:t xml:space="preserve"> </w:t>
      </w:r>
      <w:r w:rsidRPr="00A3364C">
        <w:rPr>
          <w:rFonts w:ascii="Palatino Linotype" w:hAnsi="Palatino Linotype"/>
        </w:rPr>
        <w:t>“</w:t>
      </w:r>
      <w:r w:rsidR="0089380C" w:rsidRPr="00A3364C">
        <w:rPr>
          <w:rFonts w:ascii="Palatino Linotype" w:hAnsi="Palatino Linotype"/>
          <w:i/>
        </w:rPr>
        <w:t>La falta de respuesta a mi solicitud</w:t>
      </w:r>
      <w:r w:rsidR="004E6A3B" w:rsidRPr="00A3364C">
        <w:rPr>
          <w:rFonts w:ascii="Palatino Linotype" w:hAnsi="Palatino Linotype"/>
          <w:i/>
        </w:rPr>
        <w:t>"</w:t>
      </w:r>
      <w:r w:rsidRPr="00A3364C">
        <w:rPr>
          <w:rFonts w:ascii="Palatino Linotype" w:eastAsia="Calibri" w:hAnsi="Palatino Linotype" w:cs="Arial"/>
          <w:lang w:val="es-ES"/>
        </w:rPr>
        <w:t>(Sic)</w:t>
      </w:r>
      <w:r w:rsidR="005358D9" w:rsidRPr="00A3364C">
        <w:rPr>
          <w:rFonts w:ascii="Palatino Linotype" w:eastAsia="Calibri" w:hAnsi="Palatino Linotype" w:cs="Arial"/>
          <w:lang w:val="es-ES"/>
        </w:rPr>
        <w:t>.</w:t>
      </w:r>
    </w:p>
    <w:p w14:paraId="518E834F" w14:textId="77777777" w:rsidR="00BC6FDD" w:rsidRPr="00A3364C" w:rsidRDefault="00BC6FDD" w:rsidP="005000AA">
      <w:pPr>
        <w:pStyle w:val="Prrafodelista"/>
        <w:spacing w:line="360" w:lineRule="auto"/>
        <w:jc w:val="both"/>
        <w:rPr>
          <w:rFonts w:ascii="Palatino Linotype" w:eastAsia="Calibri" w:hAnsi="Palatino Linotype" w:cs="Arial"/>
          <w:sz w:val="24"/>
          <w:lang w:val="es-ES"/>
        </w:rPr>
      </w:pPr>
    </w:p>
    <w:bookmarkEnd w:id="2"/>
    <w:bookmarkEnd w:id="3"/>
    <w:bookmarkEnd w:id="4"/>
    <w:p w14:paraId="5BE2AC11" w14:textId="5495C7D4" w:rsidR="005000AA" w:rsidRPr="00A3364C"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A3364C">
        <w:rPr>
          <w:rFonts w:ascii="Palatino Linotype" w:hAnsi="Palatino Linotype" w:cs="Arial"/>
          <w:sz w:val="24"/>
          <w:lang w:val="es-ES"/>
        </w:rPr>
        <w:t xml:space="preserve">Se registró el recurso de revisión bajo el número de expediente </w:t>
      </w:r>
      <w:r w:rsidRPr="00A3364C">
        <w:rPr>
          <w:rFonts w:ascii="Palatino Linotype" w:hAnsi="Palatino Linotype" w:cs="Arial"/>
          <w:bCs/>
          <w:sz w:val="24"/>
        </w:rPr>
        <w:t xml:space="preserve">al rubro indicado, asimismo con fundamento en lo dispuesto por el </w:t>
      </w:r>
      <w:r w:rsidRPr="00A3364C">
        <w:rPr>
          <w:rFonts w:ascii="Palatino Linotype" w:eastAsia="Calibri" w:hAnsi="Palatino Linotype" w:cs="Arial"/>
          <w:sz w:val="24"/>
          <w:lang w:val="es-ES"/>
        </w:rPr>
        <w:t xml:space="preserve">artículo 185 fracción I de la </w:t>
      </w:r>
      <w:r w:rsidRPr="00A3364C">
        <w:rPr>
          <w:rFonts w:ascii="Palatino Linotype" w:eastAsia="Calibri" w:hAnsi="Palatino Linotype" w:cs="Arial"/>
          <w:b/>
          <w:sz w:val="24"/>
          <w:lang w:val="es-ES"/>
        </w:rPr>
        <w:t xml:space="preserve">Ley de Transparencia y Acceso a la Información Pública del Estado de México y Municipios </w:t>
      </w:r>
      <w:r w:rsidR="00D31521" w:rsidRPr="00A3364C">
        <w:rPr>
          <w:rFonts w:ascii="Palatino Linotype" w:hAnsi="Palatino Linotype" w:cs="Arial"/>
          <w:sz w:val="24"/>
          <w:lang w:val="es-ES"/>
        </w:rPr>
        <w:t>se turnó a</w:t>
      </w:r>
      <w:r w:rsidR="00F942BD" w:rsidRPr="00A3364C">
        <w:rPr>
          <w:rFonts w:ascii="Palatino Linotype" w:hAnsi="Palatino Linotype" w:cs="Arial"/>
          <w:sz w:val="24"/>
          <w:lang w:val="es-ES"/>
        </w:rPr>
        <w:t xml:space="preserve"> </w:t>
      </w:r>
      <w:r w:rsidRPr="00A3364C">
        <w:rPr>
          <w:rFonts w:ascii="Palatino Linotype" w:hAnsi="Palatino Linotype" w:cs="Arial"/>
          <w:sz w:val="24"/>
          <w:lang w:val="es-ES"/>
        </w:rPr>
        <w:t>l</w:t>
      </w:r>
      <w:r w:rsidR="00F942BD" w:rsidRPr="00A3364C">
        <w:rPr>
          <w:rFonts w:ascii="Palatino Linotype" w:hAnsi="Palatino Linotype" w:cs="Arial"/>
          <w:sz w:val="24"/>
          <w:lang w:val="es-ES"/>
        </w:rPr>
        <w:t>a</w:t>
      </w:r>
      <w:r w:rsidRPr="00A3364C">
        <w:rPr>
          <w:rFonts w:ascii="Palatino Linotype" w:hAnsi="Palatino Linotype" w:cs="Arial"/>
          <w:sz w:val="24"/>
          <w:lang w:val="es-ES"/>
        </w:rPr>
        <w:t xml:space="preserve"> </w:t>
      </w:r>
      <w:r w:rsidR="00F942BD" w:rsidRPr="00A3364C">
        <w:rPr>
          <w:rFonts w:ascii="Palatino Linotype" w:hAnsi="Palatino Linotype" w:cs="Arial"/>
          <w:b/>
          <w:sz w:val="24"/>
          <w:lang w:val="es-ES"/>
        </w:rPr>
        <w:t>Comisionada</w:t>
      </w:r>
      <w:r w:rsidRPr="00A3364C">
        <w:rPr>
          <w:rFonts w:ascii="Palatino Linotype" w:hAnsi="Palatino Linotype" w:cs="Arial"/>
          <w:b/>
          <w:sz w:val="24"/>
          <w:lang w:val="es-ES"/>
        </w:rPr>
        <w:t xml:space="preserve"> </w:t>
      </w:r>
      <w:r w:rsidR="00F942BD" w:rsidRPr="00A3364C">
        <w:rPr>
          <w:rFonts w:ascii="Palatino Linotype" w:hAnsi="Palatino Linotype" w:cs="Arial"/>
          <w:b/>
          <w:sz w:val="24"/>
          <w:lang w:val="es-ES"/>
        </w:rPr>
        <w:t>María del Rosario Mejía Ayala</w:t>
      </w:r>
      <w:r w:rsidRPr="00A3364C">
        <w:rPr>
          <w:rFonts w:ascii="Palatino Linotype" w:hAnsi="Palatino Linotype" w:cs="Arial"/>
          <w:b/>
          <w:sz w:val="24"/>
          <w:lang w:val="es-ES"/>
        </w:rPr>
        <w:t xml:space="preserve">, </w:t>
      </w:r>
      <w:r w:rsidR="00A3364C">
        <w:rPr>
          <w:rFonts w:ascii="Palatino Linotype" w:hAnsi="Palatino Linotype" w:cs="Arial"/>
          <w:sz w:val="24"/>
          <w:lang w:val="es-ES"/>
        </w:rPr>
        <w:t>para</w:t>
      </w:r>
      <w:r w:rsidRPr="00A3364C">
        <w:rPr>
          <w:rFonts w:ascii="Palatino Linotype" w:hAnsi="Palatino Linotype" w:cs="Arial"/>
          <w:sz w:val="24"/>
          <w:lang w:val="es-ES"/>
        </w:rPr>
        <w:t xml:space="preserve"> </w:t>
      </w:r>
      <w:r w:rsidRPr="00A3364C">
        <w:rPr>
          <w:rFonts w:ascii="Palatino Linotype" w:hAnsi="Palatino Linotype" w:cs="Arial"/>
          <w:sz w:val="24"/>
        </w:rPr>
        <w:t>su análisis.</w:t>
      </w:r>
    </w:p>
    <w:p w14:paraId="21EFF6B2" w14:textId="77777777" w:rsidR="005000AA" w:rsidRPr="00A3364C"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2EBE7BA9" w:rsidR="005000AA" w:rsidRPr="00A3364C"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A3364C">
        <w:rPr>
          <w:rFonts w:ascii="Palatino Linotype" w:eastAsia="Calibri" w:hAnsi="Palatino Linotype" w:cs="Arial"/>
          <w:sz w:val="24"/>
          <w:lang w:val="es-ES"/>
        </w:rPr>
        <w:t>La Comisionada</w:t>
      </w:r>
      <w:r w:rsidR="005000AA" w:rsidRPr="00A3364C">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89380C" w:rsidRPr="00A3364C">
        <w:rPr>
          <w:rFonts w:ascii="Palatino Linotype" w:eastAsia="Calibri" w:hAnsi="Palatino Linotype" w:cs="Arial"/>
          <w:sz w:val="24"/>
          <w:lang w:val="es-ES"/>
        </w:rPr>
        <w:t xml:space="preserve">quince </w:t>
      </w:r>
      <w:r w:rsidR="0089380C" w:rsidRPr="00A3364C">
        <w:rPr>
          <w:rFonts w:ascii="Palatino Linotype" w:eastAsia="Calibri" w:hAnsi="Palatino Linotype" w:cs="Arial"/>
          <w:sz w:val="24"/>
          <w:lang w:val="es-ES"/>
        </w:rPr>
        <w:lastRenderedPageBreak/>
        <w:t>(15) de junio</w:t>
      </w:r>
      <w:r w:rsidR="00965001" w:rsidRPr="00A3364C">
        <w:rPr>
          <w:rFonts w:ascii="Palatino Linotype" w:eastAsia="Calibri" w:hAnsi="Palatino Linotype" w:cs="Arial"/>
          <w:sz w:val="24"/>
          <w:lang w:val="es-ES"/>
        </w:rPr>
        <w:t xml:space="preserve"> </w:t>
      </w:r>
      <w:r w:rsidR="005000AA" w:rsidRPr="00A3364C">
        <w:rPr>
          <w:rFonts w:ascii="Palatino Linotype" w:eastAsia="Calibri" w:hAnsi="Palatino Linotype" w:cs="Arial"/>
          <w:sz w:val="24"/>
          <w:lang w:val="es-ES"/>
        </w:rPr>
        <w:t>de dos mil veinti</w:t>
      </w:r>
      <w:r w:rsidR="0021453D" w:rsidRPr="00A3364C">
        <w:rPr>
          <w:rFonts w:ascii="Palatino Linotype" w:eastAsia="Calibri" w:hAnsi="Palatino Linotype" w:cs="Arial"/>
          <w:sz w:val="24"/>
          <w:lang w:val="es-ES"/>
        </w:rPr>
        <w:t>dós</w:t>
      </w:r>
      <w:r w:rsidR="005000AA" w:rsidRPr="00A3364C">
        <w:rPr>
          <w:rFonts w:ascii="Palatino Linotype" w:eastAsia="Calibri" w:hAnsi="Palatino Linotype" w:cs="Arial"/>
          <w:sz w:val="24"/>
          <w:lang w:val="es-ES"/>
        </w:rPr>
        <w:t xml:space="preserve">, puso a disposición de las partes el expediente electrónico </w:t>
      </w:r>
      <w:r w:rsidR="005000AA" w:rsidRPr="00A3364C">
        <w:rPr>
          <w:rFonts w:ascii="Palatino Linotype" w:eastAsia="Calibri" w:hAnsi="Palatino Linotype" w:cs="Arial"/>
          <w:sz w:val="24"/>
        </w:rPr>
        <w:t xml:space="preserve">vía </w:t>
      </w:r>
      <w:r w:rsidR="005000AA" w:rsidRPr="00A3364C">
        <w:rPr>
          <w:rFonts w:ascii="Palatino Linotype" w:eastAsia="Calibri" w:hAnsi="Palatino Linotype" w:cs="Arial"/>
          <w:b/>
          <w:sz w:val="24"/>
          <w:lang w:val="es-ES"/>
        </w:rPr>
        <w:t xml:space="preserve">SAIMEX </w:t>
      </w:r>
      <w:r w:rsidR="005000AA" w:rsidRPr="00A3364C">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A3364C">
        <w:rPr>
          <w:rFonts w:ascii="Palatino Linotype" w:eastAsia="Calibri" w:hAnsi="Palatino Linotype" w:cs="Arial"/>
          <w:b/>
          <w:sz w:val="24"/>
          <w:lang w:val="es-ES"/>
        </w:rPr>
        <w:t>SUJETO OBLIGADO</w:t>
      </w:r>
      <w:r w:rsidR="005000AA" w:rsidRPr="00A3364C">
        <w:rPr>
          <w:rFonts w:ascii="Palatino Linotype" w:eastAsia="Calibri" w:hAnsi="Palatino Linotype" w:cs="Arial"/>
          <w:sz w:val="24"/>
          <w:lang w:val="es-ES"/>
        </w:rPr>
        <w:t xml:space="preserve"> presentara el informe justificado procedente.</w:t>
      </w:r>
    </w:p>
    <w:p w14:paraId="47932EDD" w14:textId="7ABD5CE6" w:rsidR="00BC6FDD" w:rsidRPr="00A3364C" w:rsidRDefault="00BC6FDD" w:rsidP="00BC6FDD">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A3364C">
        <w:rPr>
          <w:rFonts w:ascii="Palatino Linotype" w:eastAsiaTheme="minorEastAsia" w:hAnsi="Palatino Linotype"/>
          <w:color w:val="000000"/>
          <w:sz w:val="24"/>
          <w:szCs w:val="24"/>
          <w:lang w:val="es-ES_tradnl"/>
        </w:rPr>
        <w:t xml:space="preserve">El </w:t>
      </w:r>
      <w:r w:rsidRPr="00A3364C">
        <w:rPr>
          <w:rFonts w:ascii="Palatino Linotype" w:eastAsiaTheme="minorEastAsia" w:hAnsi="Palatino Linotype"/>
          <w:b/>
          <w:color w:val="000000"/>
          <w:sz w:val="24"/>
          <w:szCs w:val="24"/>
          <w:lang w:val="es-ES_tradnl"/>
        </w:rPr>
        <w:t xml:space="preserve">SUJETO OBLIGADO </w:t>
      </w:r>
      <w:r w:rsidRPr="00A3364C">
        <w:rPr>
          <w:rFonts w:ascii="Palatino Linotype" w:eastAsiaTheme="minorEastAsia" w:hAnsi="Palatino Linotype"/>
          <w:color w:val="000000"/>
          <w:sz w:val="24"/>
          <w:szCs w:val="24"/>
          <w:lang w:val="es-ES_tradnl"/>
        </w:rPr>
        <w:t xml:space="preserve">no rindió informe justificado para manifestar lo que a su derecho conviniera; por su parte el </w:t>
      </w:r>
      <w:r w:rsidRPr="00A3364C">
        <w:rPr>
          <w:rFonts w:ascii="Palatino Linotype" w:eastAsiaTheme="minorEastAsia" w:hAnsi="Palatino Linotype"/>
          <w:b/>
          <w:color w:val="000000"/>
          <w:sz w:val="24"/>
          <w:szCs w:val="24"/>
          <w:lang w:val="es-ES_tradnl"/>
        </w:rPr>
        <w:t xml:space="preserve">RECURRENTE </w:t>
      </w:r>
      <w:r w:rsidRPr="00A3364C">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Pr="00A3364C">
        <w:rPr>
          <w:rFonts w:ascii="Palatino Linotype" w:eastAsiaTheme="minorEastAsia" w:hAnsi="Palatino Linotype"/>
          <w:b/>
          <w:color w:val="000000"/>
          <w:sz w:val="24"/>
          <w:szCs w:val="24"/>
          <w:lang w:val="es-ES_tradnl"/>
        </w:rPr>
        <w:t xml:space="preserve">SAIMEX, </w:t>
      </w:r>
      <w:r w:rsidRPr="00A3364C">
        <w:rPr>
          <w:rFonts w:ascii="Palatino Linotype" w:eastAsiaTheme="minorEastAsia" w:hAnsi="Palatino Linotype"/>
          <w:bCs/>
          <w:color w:val="000000"/>
          <w:sz w:val="24"/>
          <w:szCs w:val="24"/>
          <w:lang w:val="es-ES_tradnl"/>
        </w:rPr>
        <w:t>se inserta imagen de referencia.</w:t>
      </w:r>
    </w:p>
    <w:p w14:paraId="23DC60AD" w14:textId="77777777" w:rsidR="00BC6FDD" w:rsidRPr="00A3364C"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 w:val="24"/>
        </w:rPr>
      </w:pPr>
      <w:r w:rsidRPr="00A3364C">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32215B49" w14:textId="77777777" w:rsidR="00BC6FDD" w:rsidRPr="00A3364C" w:rsidRDefault="00BC6FDD" w:rsidP="00BC6FD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A3364C">
        <w:rPr>
          <w:rFonts w:ascii="Palatino Linotype" w:hAnsi="Palatino Linotype" w:cs="Arial"/>
          <w:b/>
          <w:bCs/>
          <w:i/>
          <w:iCs/>
          <w:color w:val="222222"/>
          <w:sz w:val="22"/>
          <w:lang w:val="es-ES_tradnl"/>
        </w:rPr>
        <w:t>QUEJA, RECURSO DE. LA OMISION DE RENDIR EL INFORME RESPECTIVO NO IMPIDE QUE SE RESUELV</w:t>
      </w:r>
      <w:r w:rsidRPr="00A3364C">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w:t>
      </w:r>
      <w:r w:rsidRPr="00A3364C">
        <w:rPr>
          <w:rFonts w:ascii="Palatino Linotype" w:hAnsi="Palatino Linotype" w:cs="Arial"/>
          <w:i/>
          <w:iCs/>
          <w:color w:val="222222"/>
          <w:sz w:val="22"/>
          <w:lang w:val="es-ES_tradnl"/>
        </w:rPr>
        <w:lastRenderedPageBreak/>
        <w:t>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44B7D876" w14:textId="77777777" w:rsidR="00BC6FDD" w:rsidRPr="00A3364C" w:rsidRDefault="00BC6FDD" w:rsidP="00BC6FDD">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5BF7F1A5" w14:textId="77777777" w:rsidR="00BC6FDD" w:rsidRPr="00A3364C"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A3364C">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A3364C">
        <w:rPr>
          <w:rFonts w:ascii="Palatino Linotype" w:hAnsi="Palatino Linotype" w:cs="Arial"/>
          <w:b/>
          <w:bCs/>
          <w:color w:val="222222"/>
          <w:sz w:val="24"/>
        </w:rPr>
        <w:t>SUJETO OBLIGADO</w:t>
      </w:r>
      <w:r w:rsidRPr="00A3364C">
        <w:rPr>
          <w:rFonts w:ascii="Palatino Linotype" w:hAnsi="Palatino Linotype" w:cs="Arial"/>
          <w:color w:val="222222"/>
          <w:sz w:val="24"/>
        </w:rPr>
        <w:t> pierda la oportunidad de justificar su falta de respuesta y manifestar lo que a su derecho convenga.</w:t>
      </w:r>
    </w:p>
    <w:p w14:paraId="4A76603E" w14:textId="77777777" w:rsidR="00E65B7C" w:rsidRPr="00A3364C" w:rsidRDefault="00E65B7C" w:rsidP="00E65B7C">
      <w:pPr>
        <w:pStyle w:val="Prrafodelista"/>
        <w:spacing w:before="240" w:after="240" w:line="360" w:lineRule="auto"/>
        <w:ind w:left="0"/>
        <w:jc w:val="both"/>
        <w:rPr>
          <w:rFonts w:ascii="Palatino Linotype" w:hAnsi="Palatino Linotype"/>
          <w:i/>
          <w:color w:val="000000"/>
          <w:sz w:val="24"/>
        </w:rPr>
      </w:pPr>
    </w:p>
    <w:p w14:paraId="04016115" w14:textId="563A4273" w:rsidR="00BC6FDD" w:rsidRPr="00A3364C" w:rsidRDefault="00DD7DC3" w:rsidP="00463BCB">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eastAsia="Calibri" w:hAnsi="Palatino Linotype" w:cs="Arial"/>
          <w:sz w:val="24"/>
          <w:lang w:val="es-ES"/>
        </w:rPr>
        <w:t xml:space="preserve">El día </w:t>
      </w:r>
      <w:r w:rsidR="0089380C" w:rsidRPr="00A3364C">
        <w:rPr>
          <w:rFonts w:ascii="Palatino Linotype" w:eastAsia="Calibri" w:hAnsi="Palatino Linotype" w:cs="Arial"/>
          <w:sz w:val="24"/>
          <w:lang w:val="es-ES"/>
        </w:rPr>
        <w:t>treinta (30) de junio</w:t>
      </w:r>
      <w:r w:rsidR="00E65B7C" w:rsidRPr="00A3364C">
        <w:rPr>
          <w:rFonts w:ascii="Palatino Linotype" w:eastAsia="Calibri" w:hAnsi="Palatino Linotype" w:cs="Arial"/>
          <w:sz w:val="24"/>
          <w:lang w:val="es-ES"/>
        </w:rPr>
        <w:t xml:space="preserve"> de </w:t>
      </w:r>
      <w:r w:rsidR="00D73603" w:rsidRPr="00A3364C">
        <w:rPr>
          <w:rFonts w:ascii="Palatino Linotype" w:eastAsia="Calibri" w:hAnsi="Palatino Linotype" w:cs="Arial"/>
          <w:sz w:val="24"/>
          <w:lang w:val="es-ES"/>
        </w:rPr>
        <w:t>dos mil veinti</w:t>
      </w:r>
      <w:r w:rsidR="0021453D" w:rsidRPr="00A3364C">
        <w:rPr>
          <w:rFonts w:ascii="Palatino Linotype" w:eastAsia="Calibri" w:hAnsi="Palatino Linotype" w:cs="Arial"/>
          <w:sz w:val="24"/>
          <w:lang w:val="es-ES"/>
        </w:rPr>
        <w:t>dós</w:t>
      </w:r>
      <w:r w:rsidR="00D73603" w:rsidRPr="00A3364C">
        <w:rPr>
          <w:rFonts w:ascii="Palatino Linotype" w:eastAsia="Calibri" w:hAnsi="Palatino Linotype" w:cs="Arial"/>
          <w:sz w:val="24"/>
          <w:lang w:val="es-ES"/>
        </w:rPr>
        <w:t>, la</w:t>
      </w:r>
      <w:r w:rsidR="005000AA" w:rsidRPr="00A3364C">
        <w:rPr>
          <w:rFonts w:ascii="Palatino Linotype" w:hAnsi="Palatino Linotype"/>
          <w:sz w:val="24"/>
        </w:rPr>
        <w:t xml:space="preserve"> Comisionad</w:t>
      </w:r>
      <w:r w:rsidR="00D73603" w:rsidRPr="00A3364C">
        <w:rPr>
          <w:rFonts w:ascii="Palatino Linotype" w:hAnsi="Palatino Linotype"/>
          <w:sz w:val="24"/>
        </w:rPr>
        <w:t>a</w:t>
      </w:r>
      <w:r w:rsidR="005000AA" w:rsidRPr="00A3364C">
        <w:rPr>
          <w:rFonts w:ascii="Palatino Linotype" w:hAnsi="Palatino Linotype"/>
          <w:sz w:val="24"/>
        </w:rPr>
        <w:t xml:space="preserve"> Ponente decretó el cierre de instrucción</w:t>
      </w:r>
      <w:r w:rsidR="005000AA" w:rsidRPr="00A3364C">
        <w:rPr>
          <w:rFonts w:ascii="Palatino Linotype" w:hAnsi="Palatino Linotype" w:cs="Arial"/>
          <w:sz w:val="24"/>
        </w:rPr>
        <w:t>.</w:t>
      </w:r>
      <w:r w:rsidR="005000AA" w:rsidRPr="00A3364C">
        <w:rPr>
          <w:rFonts w:ascii="Palatino Linotype" w:hAnsi="Palatino Linotype" w:cs="Tahoma"/>
          <w:sz w:val="24"/>
        </w:rPr>
        <w:t xml:space="preserve"> </w:t>
      </w:r>
      <w:r w:rsidR="003C497F" w:rsidRPr="00A3364C">
        <w:rPr>
          <w:rFonts w:ascii="Palatino Linotype" w:hAnsi="Palatino Linotype" w:cs="Tahoma"/>
          <w:sz w:val="24"/>
        </w:rPr>
        <w:t xml:space="preserve">Por lo que turnó la presente resolución </w:t>
      </w:r>
      <w:r w:rsidR="003C5753" w:rsidRPr="00A3364C">
        <w:rPr>
          <w:rFonts w:ascii="Palatino Linotype" w:hAnsi="Palatino Linotype" w:cs="Tahoma"/>
          <w:sz w:val="24"/>
        </w:rPr>
        <w:t>para su aprobación.</w:t>
      </w:r>
    </w:p>
    <w:p w14:paraId="2A7F6D02" w14:textId="77777777" w:rsidR="00467E24" w:rsidRPr="00A3364C" w:rsidRDefault="00467E24" w:rsidP="00467E24">
      <w:pPr>
        <w:pStyle w:val="Prrafodelista"/>
        <w:spacing w:line="360" w:lineRule="auto"/>
        <w:ind w:left="0"/>
        <w:jc w:val="both"/>
        <w:rPr>
          <w:rFonts w:ascii="Palatino Linotype" w:eastAsia="Calibri" w:hAnsi="Palatino Linotype" w:cs="Arial"/>
          <w:sz w:val="24"/>
          <w:lang w:val="es-ES"/>
        </w:rPr>
      </w:pPr>
    </w:p>
    <w:p w14:paraId="4995D5BB" w14:textId="6672012D" w:rsidR="00467E24" w:rsidRPr="00A3364C" w:rsidRDefault="0089380C" w:rsidP="00467E24">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t>El trece (13) de julio</w:t>
      </w:r>
      <w:r w:rsidR="00467E24" w:rsidRPr="00A3364C">
        <w:rPr>
          <w:rFonts w:ascii="Palatino Linotype" w:hAnsi="Palatino Linotype" w:cs="Tahoma"/>
          <w:sz w:val="24"/>
        </w:rPr>
        <w:t xml:space="preserve"> de dos mil </w:t>
      </w:r>
      <w:r w:rsidRPr="00A3364C">
        <w:rPr>
          <w:rFonts w:ascii="Palatino Linotype" w:hAnsi="Palatino Linotype" w:cs="Tahoma"/>
          <w:sz w:val="24"/>
        </w:rPr>
        <w:t>veintidós, en la Vigésima Sexta</w:t>
      </w:r>
      <w:r w:rsidR="00467E24" w:rsidRPr="00A3364C">
        <w:rPr>
          <w:rFonts w:ascii="Palatino Linotype" w:hAnsi="Palatino Linotype" w:cs="Tahoma"/>
          <w:sz w:val="24"/>
        </w:rPr>
        <w:t xml:space="preserve"> Sesión Ordinaria, el Pleno del Instituto de Transparencia, Acceso a la Información Pública y Protección de Datos Personales del Estado de México y Municipios, aprobó por Unanimidad de votos, la resolución dictada </w:t>
      </w:r>
      <w:r w:rsidRPr="00A3364C">
        <w:rPr>
          <w:rFonts w:ascii="Palatino Linotype" w:hAnsi="Palatino Linotype" w:cs="Tahoma"/>
          <w:sz w:val="24"/>
        </w:rPr>
        <w:t>en el recurso de revisión 011138</w:t>
      </w:r>
      <w:r w:rsidR="00467E24" w:rsidRPr="00A3364C">
        <w:rPr>
          <w:rFonts w:ascii="Palatino Linotype" w:hAnsi="Palatino Linotype" w:cs="Tahoma"/>
          <w:sz w:val="24"/>
        </w:rPr>
        <w:t>/INFOEM/IP/RR/2022 en la cual se determinó lo siguiente:</w:t>
      </w:r>
    </w:p>
    <w:p w14:paraId="143548B8" w14:textId="77777777" w:rsidR="00467E24" w:rsidRPr="00A3364C" w:rsidRDefault="00467E24" w:rsidP="00467E24">
      <w:pPr>
        <w:pStyle w:val="Prrafodelista"/>
        <w:rPr>
          <w:rFonts w:ascii="Palatino Linotype" w:hAnsi="Palatino Linotype" w:cs="Tahoma"/>
          <w:sz w:val="24"/>
        </w:rPr>
      </w:pPr>
    </w:p>
    <w:p w14:paraId="2D5CD55C" w14:textId="36EA571B" w:rsidR="00467E24" w:rsidRPr="00A3364C" w:rsidRDefault="00467E24" w:rsidP="00467E24">
      <w:pPr>
        <w:tabs>
          <w:tab w:val="left" w:pos="284"/>
        </w:tabs>
        <w:spacing w:line="360" w:lineRule="auto"/>
        <w:ind w:left="567" w:right="822"/>
        <w:jc w:val="both"/>
        <w:rPr>
          <w:rFonts w:ascii="Palatino Linotype" w:eastAsiaTheme="minorEastAsia" w:hAnsi="Palatino Linotype" w:cs="Arial"/>
          <w:bCs/>
          <w:i/>
          <w:sz w:val="22"/>
          <w:szCs w:val="24"/>
          <w:lang w:val="es-ES_tradnl" w:eastAsia="es-MX"/>
        </w:rPr>
      </w:pPr>
      <w:r w:rsidRPr="00A3364C">
        <w:rPr>
          <w:rFonts w:ascii="Palatino Linotype" w:hAnsi="Palatino Linotype" w:cs="Arial"/>
          <w:b/>
          <w:i/>
          <w:sz w:val="22"/>
          <w:szCs w:val="24"/>
          <w:lang w:val="es-ES_tradnl"/>
        </w:rPr>
        <w:lastRenderedPageBreak/>
        <w:t xml:space="preserve">PRIMERO. </w:t>
      </w:r>
      <w:r w:rsidRPr="00A3364C">
        <w:rPr>
          <w:rFonts w:ascii="Palatino Linotype" w:hAnsi="Palatino Linotype" w:cs="Arial"/>
          <w:i/>
          <w:sz w:val="22"/>
          <w:szCs w:val="24"/>
          <w:lang w:val="es-ES_tradnl"/>
        </w:rPr>
        <w:t>Resultan fundadas las</w:t>
      </w:r>
      <w:r w:rsidRPr="00A3364C">
        <w:rPr>
          <w:rFonts w:ascii="Palatino Linotype" w:hAnsi="Palatino Linotype" w:cs="Arial"/>
          <w:b/>
          <w:i/>
          <w:sz w:val="22"/>
          <w:szCs w:val="24"/>
          <w:lang w:val="es-ES_tradnl"/>
        </w:rPr>
        <w:t xml:space="preserve"> </w:t>
      </w:r>
      <w:r w:rsidRPr="00A3364C">
        <w:rPr>
          <w:rFonts w:ascii="Palatino Linotype" w:hAnsi="Palatino Linotype" w:cs="Arial"/>
          <w:i/>
          <w:sz w:val="22"/>
          <w:szCs w:val="24"/>
          <w:lang w:val="es-ES"/>
        </w:rPr>
        <w:t xml:space="preserve">razones o motivos de inconformidad hechos valer en el recurso de revisión </w:t>
      </w:r>
      <w:r w:rsidR="0089380C" w:rsidRPr="00A3364C">
        <w:rPr>
          <w:rFonts w:ascii="Palatino Linotype" w:hAnsi="Palatino Linotype" w:cs="Arial"/>
          <w:b/>
          <w:i/>
          <w:sz w:val="22"/>
          <w:szCs w:val="24"/>
        </w:rPr>
        <w:t>11138</w:t>
      </w:r>
      <w:r w:rsidRPr="00A3364C">
        <w:rPr>
          <w:rFonts w:ascii="Palatino Linotype" w:eastAsia="Calibri" w:hAnsi="Palatino Linotype" w:cs="Tahoma"/>
          <w:b/>
          <w:i/>
          <w:sz w:val="22"/>
          <w:szCs w:val="24"/>
          <w:lang w:eastAsia="en-US"/>
        </w:rPr>
        <w:t>/INFOEM/IP/RR/2022</w:t>
      </w:r>
      <w:r w:rsidRPr="00A3364C">
        <w:rPr>
          <w:rFonts w:ascii="Palatino Linotype" w:hAnsi="Palatino Linotype" w:cs="Arial"/>
          <w:b/>
          <w:bCs/>
          <w:i/>
          <w:sz w:val="22"/>
          <w:szCs w:val="24"/>
          <w:lang w:eastAsia="es-MX"/>
        </w:rPr>
        <w:t xml:space="preserve"> </w:t>
      </w:r>
      <w:r w:rsidRPr="00A3364C">
        <w:rPr>
          <w:rFonts w:ascii="Palatino Linotype" w:eastAsiaTheme="minorEastAsia" w:hAnsi="Palatino Linotype" w:cs="Arial"/>
          <w:bCs/>
          <w:i/>
          <w:sz w:val="22"/>
          <w:szCs w:val="24"/>
          <w:lang w:val="es-ES_tradnl" w:eastAsia="es-MX"/>
        </w:rPr>
        <w:t xml:space="preserve">en términos del </w:t>
      </w:r>
      <w:r w:rsidRPr="00A3364C">
        <w:rPr>
          <w:rFonts w:ascii="Palatino Linotype" w:eastAsiaTheme="minorEastAsia" w:hAnsi="Palatino Linotype" w:cs="Arial"/>
          <w:b/>
          <w:bCs/>
          <w:i/>
          <w:sz w:val="22"/>
          <w:szCs w:val="24"/>
          <w:lang w:val="es-ES_tradnl" w:eastAsia="es-MX"/>
        </w:rPr>
        <w:t xml:space="preserve">Considerando CUARTO </w:t>
      </w:r>
      <w:r w:rsidRPr="00A3364C">
        <w:rPr>
          <w:rFonts w:ascii="Palatino Linotype" w:eastAsiaTheme="minorEastAsia" w:hAnsi="Palatino Linotype" w:cs="Arial"/>
          <w:bCs/>
          <w:i/>
          <w:sz w:val="22"/>
          <w:szCs w:val="24"/>
          <w:lang w:val="es-ES_tradnl" w:eastAsia="es-MX"/>
        </w:rPr>
        <w:t xml:space="preserve">de la presente resolución. </w:t>
      </w:r>
    </w:p>
    <w:p w14:paraId="5D7207DB" w14:textId="77777777" w:rsidR="00467E24" w:rsidRPr="00A3364C" w:rsidRDefault="00467E24" w:rsidP="00467E24">
      <w:pPr>
        <w:tabs>
          <w:tab w:val="left" w:pos="284"/>
        </w:tabs>
        <w:spacing w:line="360" w:lineRule="auto"/>
        <w:ind w:left="567" w:right="822"/>
        <w:jc w:val="both"/>
        <w:rPr>
          <w:rFonts w:ascii="Palatino Linotype" w:eastAsiaTheme="minorEastAsia" w:hAnsi="Palatino Linotype" w:cs="Arial"/>
          <w:bCs/>
          <w:i/>
          <w:sz w:val="22"/>
          <w:szCs w:val="24"/>
          <w:lang w:val="es-ES_tradnl" w:eastAsia="es-MX"/>
        </w:rPr>
      </w:pPr>
    </w:p>
    <w:p w14:paraId="7AA449CD" w14:textId="793B8C19" w:rsidR="00467E24" w:rsidRPr="00A3364C" w:rsidRDefault="00467E24" w:rsidP="00467E24">
      <w:pPr>
        <w:tabs>
          <w:tab w:val="left" w:pos="284"/>
        </w:tabs>
        <w:spacing w:line="360" w:lineRule="auto"/>
        <w:ind w:left="567" w:right="822"/>
        <w:jc w:val="both"/>
        <w:rPr>
          <w:rFonts w:ascii="Palatino Linotype" w:eastAsia="Calibri" w:hAnsi="Palatino Linotype" w:cs="Arial"/>
          <w:i/>
          <w:sz w:val="22"/>
          <w:szCs w:val="24"/>
          <w:lang w:val="es-ES"/>
        </w:rPr>
      </w:pPr>
      <w:r w:rsidRPr="00A3364C">
        <w:rPr>
          <w:rFonts w:ascii="Palatino Linotype" w:eastAsia="Calibri" w:hAnsi="Palatino Linotype" w:cs="Arial"/>
          <w:b/>
          <w:bCs/>
          <w:i/>
          <w:sz w:val="22"/>
          <w:szCs w:val="24"/>
          <w:lang w:val="es-ES"/>
        </w:rPr>
        <w:t xml:space="preserve">SEGUNDO. </w:t>
      </w:r>
      <w:r w:rsidRPr="00A3364C">
        <w:rPr>
          <w:rFonts w:ascii="Palatino Linotype" w:eastAsia="Calibri" w:hAnsi="Palatino Linotype" w:cs="Arial"/>
          <w:i/>
          <w:sz w:val="22"/>
          <w:szCs w:val="24"/>
          <w:lang w:val="es-ES"/>
        </w:rPr>
        <w:t xml:space="preserve">Se </w:t>
      </w:r>
      <w:r w:rsidRPr="00A3364C">
        <w:rPr>
          <w:rFonts w:ascii="Palatino Linotype" w:eastAsia="Calibri" w:hAnsi="Palatino Linotype" w:cs="Arial"/>
          <w:b/>
          <w:i/>
          <w:sz w:val="22"/>
          <w:szCs w:val="24"/>
          <w:lang w:val="es-ES"/>
        </w:rPr>
        <w:t xml:space="preserve">ORDENA </w:t>
      </w:r>
      <w:r w:rsidRPr="00A3364C">
        <w:rPr>
          <w:rFonts w:ascii="Palatino Linotype" w:eastAsia="Calibri" w:hAnsi="Palatino Linotype" w:cs="Arial"/>
          <w:i/>
          <w:sz w:val="22"/>
          <w:szCs w:val="24"/>
          <w:lang w:val="es-ES"/>
        </w:rPr>
        <w:t xml:space="preserve">al </w:t>
      </w:r>
      <w:r w:rsidRPr="00A3364C">
        <w:rPr>
          <w:rFonts w:ascii="Palatino Linotype" w:eastAsia="Calibri" w:hAnsi="Palatino Linotype" w:cs="Tahoma"/>
          <w:b/>
          <w:i/>
          <w:sz w:val="22"/>
          <w:szCs w:val="24"/>
          <w:lang w:eastAsia="en-US"/>
        </w:rPr>
        <w:t>Ayuntamiento de Metepec</w:t>
      </w:r>
      <w:r w:rsidRPr="00A3364C">
        <w:rPr>
          <w:rFonts w:ascii="Palatino Linotype" w:eastAsia="Calibri" w:hAnsi="Palatino Linotype" w:cs="Arial"/>
          <w:b/>
          <w:bCs/>
          <w:i/>
          <w:sz w:val="22"/>
          <w:szCs w:val="24"/>
          <w:lang w:val="es-ES_tradnl"/>
        </w:rPr>
        <w:t xml:space="preserve"> </w:t>
      </w:r>
      <w:r w:rsidRPr="00A3364C">
        <w:rPr>
          <w:rFonts w:ascii="Palatino Linotype" w:eastAsia="Calibri" w:hAnsi="Palatino Linotype" w:cs="Arial"/>
          <w:i/>
          <w:sz w:val="22"/>
          <w:szCs w:val="24"/>
          <w:lang w:val="es-ES"/>
        </w:rPr>
        <w:t xml:space="preserve">dar atención a la solicitud de información </w:t>
      </w:r>
      <w:r w:rsidR="0089380C" w:rsidRPr="00A3364C">
        <w:rPr>
          <w:rFonts w:ascii="Palatino Linotype" w:eastAsia="Calibri" w:hAnsi="Palatino Linotype" w:cs="Arial"/>
          <w:b/>
          <w:i/>
          <w:sz w:val="22"/>
          <w:szCs w:val="24"/>
          <w:lang w:val="es-ES"/>
        </w:rPr>
        <w:t>03395</w:t>
      </w:r>
      <w:r w:rsidRPr="00A3364C">
        <w:rPr>
          <w:rFonts w:ascii="Palatino Linotype" w:eastAsia="Calibri" w:hAnsi="Palatino Linotype" w:cs="Arial"/>
          <w:b/>
          <w:i/>
          <w:sz w:val="22"/>
          <w:szCs w:val="24"/>
          <w:lang w:val="es-ES"/>
        </w:rPr>
        <w:t>/METEPEC/IP/2022</w:t>
      </w:r>
      <w:r w:rsidRPr="00A3364C">
        <w:rPr>
          <w:rFonts w:ascii="Palatino Linotype" w:hAnsi="Palatino Linotype"/>
          <w:b/>
          <w:i/>
          <w:sz w:val="22"/>
          <w:szCs w:val="24"/>
          <w:lang w:val="es-ES"/>
        </w:rPr>
        <w:t xml:space="preserve"> </w:t>
      </w:r>
      <w:r w:rsidRPr="00A3364C">
        <w:rPr>
          <w:rFonts w:ascii="Palatino Linotype" w:eastAsia="Calibri" w:hAnsi="Palatino Linotype" w:cs="Arial"/>
          <w:i/>
          <w:sz w:val="22"/>
          <w:szCs w:val="24"/>
          <w:lang w:val="es-ES"/>
        </w:rPr>
        <w:t xml:space="preserve">y, en su caso, entregar la información en la modalidad </w:t>
      </w:r>
      <w:r w:rsidRPr="00A3364C">
        <w:rPr>
          <w:rFonts w:ascii="Palatino Linotype" w:eastAsia="Calibri" w:hAnsi="Palatino Linotype" w:cs="Arial"/>
          <w:i/>
          <w:sz w:val="22"/>
          <w:szCs w:val="24"/>
          <w:lang w:val="es-ES_tradnl"/>
        </w:rPr>
        <w:t>Sistema de Acceso a Información Mexiquense (</w:t>
      </w:r>
      <w:r w:rsidRPr="00A3364C">
        <w:rPr>
          <w:rFonts w:ascii="Palatino Linotype" w:eastAsia="Calibri" w:hAnsi="Palatino Linotype" w:cs="Arial"/>
          <w:b/>
          <w:i/>
          <w:sz w:val="22"/>
          <w:szCs w:val="24"/>
          <w:lang w:val="es-ES"/>
        </w:rPr>
        <w:t>SAIMEX).</w:t>
      </w:r>
    </w:p>
    <w:p w14:paraId="0BB0373C" w14:textId="77777777" w:rsidR="00467E24" w:rsidRPr="00A3364C" w:rsidRDefault="00467E24" w:rsidP="00467E24">
      <w:pPr>
        <w:tabs>
          <w:tab w:val="left" w:pos="284"/>
        </w:tabs>
        <w:spacing w:line="360" w:lineRule="auto"/>
        <w:ind w:left="567" w:right="822"/>
        <w:jc w:val="both"/>
        <w:rPr>
          <w:rFonts w:ascii="Palatino Linotype" w:eastAsia="Calibri" w:hAnsi="Palatino Linotype" w:cs="Arial"/>
          <w:i/>
          <w:sz w:val="22"/>
          <w:szCs w:val="24"/>
          <w:lang w:val="es-ES"/>
        </w:rPr>
      </w:pPr>
    </w:p>
    <w:p w14:paraId="0243B2B8" w14:textId="77777777" w:rsidR="00467E24" w:rsidRPr="00A3364C" w:rsidRDefault="00467E24" w:rsidP="00467E24">
      <w:pPr>
        <w:tabs>
          <w:tab w:val="left" w:pos="284"/>
          <w:tab w:val="left" w:pos="8080"/>
        </w:tabs>
        <w:spacing w:line="360" w:lineRule="auto"/>
        <w:ind w:left="567" w:right="822"/>
        <w:contextualSpacing/>
        <w:jc w:val="both"/>
        <w:rPr>
          <w:rFonts w:ascii="Palatino Linotype" w:eastAsia="Palatino Linotype" w:hAnsi="Palatino Linotype" w:cs="Palatino Linotype"/>
          <w:b/>
          <w:i/>
          <w:sz w:val="22"/>
          <w:szCs w:val="24"/>
          <w:lang w:val="es-ES_tradnl"/>
        </w:rPr>
      </w:pPr>
      <w:r w:rsidRPr="00A3364C">
        <w:rPr>
          <w:rFonts w:ascii="Palatino Linotype" w:eastAsia="Palatino Linotype" w:hAnsi="Palatino Linotype" w:cs="Palatino Linotype"/>
          <w:b/>
          <w:i/>
          <w:sz w:val="22"/>
          <w:szCs w:val="24"/>
          <w:lang w:val="es-ES_tradnl"/>
        </w:rPr>
        <w:t xml:space="preserve">TERCERO. Notifíquese </w:t>
      </w:r>
      <w:r w:rsidRPr="00A3364C">
        <w:rPr>
          <w:rFonts w:ascii="Palatino Linotype" w:eastAsia="Palatino Linotype" w:hAnsi="Palatino Linotype" w:cs="Palatino Linotype"/>
          <w:i/>
          <w:sz w:val="22"/>
          <w:szCs w:val="24"/>
          <w:lang w:val="es-ES_tradnl"/>
        </w:rPr>
        <w:t xml:space="preserve">al Titular de la Unidad de Transparencia del </w:t>
      </w:r>
      <w:r w:rsidRPr="00A3364C">
        <w:rPr>
          <w:rFonts w:ascii="Palatino Linotype" w:eastAsia="Palatino Linotype" w:hAnsi="Palatino Linotype" w:cs="Palatino Linotype"/>
          <w:b/>
          <w:i/>
          <w:sz w:val="22"/>
          <w:szCs w:val="24"/>
          <w:lang w:val="es-ES_tradnl"/>
        </w:rPr>
        <w:t>SUJETO OBLIGADO</w:t>
      </w:r>
      <w:r w:rsidRPr="00A3364C">
        <w:rPr>
          <w:rFonts w:ascii="Palatino Linotype" w:eastAsia="Palatino Linotype" w:hAnsi="Palatino Linotype" w:cs="Palatino Linotype"/>
          <w:i/>
          <w:sz w:val="22"/>
          <w:szCs w:val="24"/>
          <w:lang w:val="es-ES_tradnl"/>
        </w:rPr>
        <w:t xml:space="preserve">, para que conforme a los artículos 186 último párrafo, 189 párrafo segundo y 199 de la Ley de Transparencia y Acceso a la Información Pública del Estado de México y Municipios, </w:t>
      </w:r>
      <w:r w:rsidRPr="00A3364C">
        <w:rPr>
          <w:rFonts w:ascii="Palatino Linotype" w:eastAsiaTheme="minorEastAsia" w:hAnsi="Palatino Linotype"/>
          <w:i/>
          <w:color w:val="222222"/>
          <w:sz w:val="22"/>
          <w:szCs w:val="24"/>
          <w:shd w:val="clear" w:color="auto" w:fill="FFFFFF"/>
          <w:lang w:val="es-ES_tradnl"/>
        </w:rPr>
        <w:t>vigente, dé cumplimiento a lo ordenado dentro del plazo de diez días hábiles, debiendo rendir a este Instituto el informe de cumplimiento de la resolución en un plazo de tres días hábiles posteriores.</w:t>
      </w:r>
    </w:p>
    <w:p w14:paraId="7A2BFFFA" w14:textId="77777777" w:rsidR="00467E24" w:rsidRPr="00A3364C" w:rsidRDefault="00467E24" w:rsidP="00467E24">
      <w:pPr>
        <w:shd w:val="clear" w:color="auto" w:fill="FFFFFF"/>
        <w:tabs>
          <w:tab w:val="left" w:pos="284"/>
        </w:tabs>
        <w:spacing w:line="360" w:lineRule="auto"/>
        <w:ind w:left="567" w:right="822"/>
        <w:jc w:val="both"/>
        <w:rPr>
          <w:rFonts w:ascii="Palatino Linotype" w:hAnsi="Palatino Linotype" w:cs="Arial"/>
          <w:b/>
          <w:i/>
          <w:sz w:val="22"/>
          <w:szCs w:val="24"/>
          <w:lang w:val="es-ES_tradnl"/>
        </w:rPr>
      </w:pPr>
    </w:p>
    <w:p w14:paraId="05081070"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lang w:val="es-ES_tradnl"/>
        </w:rPr>
      </w:pPr>
      <w:r w:rsidRPr="00A3364C">
        <w:rPr>
          <w:rFonts w:ascii="Palatino Linotype" w:hAnsi="Palatino Linotype" w:cs="Arial"/>
          <w:b/>
          <w:i/>
          <w:sz w:val="22"/>
          <w:szCs w:val="24"/>
          <w:lang w:val="es-ES_tradnl"/>
        </w:rPr>
        <w:t xml:space="preserve">CUARTO. </w:t>
      </w:r>
      <w:r w:rsidRPr="00A3364C">
        <w:rPr>
          <w:rFonts w:ascii="Palatino Linotype" w:hAnsi="Palatino Linotype"/>
          <w:b/>
          <w:bCs/>
          <w:i/>
          <w:color w:val="222222"/>
          <w:sz w:val="22"/>
          <w:szCs w:val="24"/>
          <w:lang w:val="es-ES"/>
        </w:rPr>
        <w:t xml:space="preserve">Notifíquese </w:t>
      </w:r>
      <w:r w:rsidRPr="00A3364C">
        <w:rPr>
          <w:rFonts w:ascii="Palatino Linotype" w:hAnsi="Palatino Linotype"/>
          <w:bCs/>
          <w:i/>
          <w:color w:val="222222"/>
          <w:sz w:val="22"/>
          <w:szCs w:val="24"/>
          <w:lang w:val="es-ES"/>
        </w:rPr>
        <w:t xml:space="preserve">al </w:t>
      </w:r>
      <w:r w:rsidRPr="00A3364C">
        <w:rPr>
          <w:rFonts w:ascii="Palatino Linotype" w:hAnsi="Palatino Linotype"/>
          <w:b/>
          <w:bCs/>
          <w:i/>
          <w:color w:val="222222"/>
          <w:sz w:val="22"/>
          <w:szCs w:val="24"/>
          <w:lang w:val="es-ES"/>
        </w:rPr>
        <w:t>RECURRENTE</w:t>
      </w:r>
      <w:r w:rsidRPr="00A3364C">
        <w:rPr>
          <w:rFonts w:ascii="Palatino Linotype" w:hAnsi="Palatino Linotype"/>
          <w:b/>
          <w:i/>
          <w:color w:val="222222"/>
          <w:sz w:val="22"/>
          <w:szCs w:val="24"/>
          <w:lang w:val="es-ES"/>
        </w:rPr>
        <w:t xml:space="preserve"> </w:t>
      </w:r>
      <w:r w:rsidRPr="00A3364C">
        <w:rPr>
          <w:rFonts w:ascii="Palatino Linotype" w:eastAsiaTheme="minorEastAsia" w:hAnsi="Palatino Linotype"/>
          <w:i/>
          <w:sz w:val="22"/>
          <w:szCs w:val="24"/>
          <w:lang w:val="es-ES_tradnl"/>
        </w:rPr>
        <w:t>la presente resolución</w:t>
      </w:r>
      <w:r w:rsidRPr="00A3364C">
        <w:rPr>
          <w:rFonts w:ascii="Palatino Linotype" w:eastAsia="MS Mincho" w:hAnsi="Palatino Linotype"/>
          <w:i/>
          <w:sz w:val="22"/>
          <w:szCs w:val="24"/>
          <w:lang w:val="es-ES_tradnl"/>
        </w:rPr>
        <w:t xml:space="preserve"> a través del Sistema de Acceso a la Información Mexiquense (SAIMEX)</w:t>
      </w:r>
    </w:p>
    <w:p w14:paraId="216B5169"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lang w:val="es-ES_tradnl"/>
        </w:rPr>
      </w:pPr>
    </w:p>
    <w:p w14:paraId="2D1EEFE1"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lang w:val="es-ES"/>
        </w:rPr>
      </w:pPr>
      <w:r w:rsidRPr="00A3364C">
        <w:rPr>
          <w:rFonts w:ascii="Palatino Linotype" w:eastAsia="MS Mincho" w:hAnsi="Palatino Linotype"/>
          <w:b/>
          <w:i/>
          <w:sz w:val="22"/>
          <w:szCs w:val="24"/>
        </w:rPr>
        <w:t>QUINTO.</w:t>
      </w:r>
      <w:r w:rsidRPr="00A3364C">
        <w:rPr>
          <w:rFonts w:ascii="Palatino Linotype" w:eastAsia="MS Mincho" w:hAnsi="Palatino Linotype"/>
          <w:i/>
          <w:sz w:val="22"/>
          <w:szCs w:val="24"/>
        </w:rPr>
        <w:t xml:space="preserve"> </w:t>
      </w:r>
      <w:r w:rsidRPr="00A3364C">
        <w:rPr>
          <w:rFonts w:ascii="Palatino Linotype" w:eastAsia="MS Mincho" w:hAnsi="Palatino Linotype"/>
          <w:i/>
          <w:sz w:val="22"/>
          <w:szCs w:val="24"/>
          <w:lang w:val="es-ES"/>
        </w:rPr>
        <w:t>Se hace del conocimiento del</w:t>
      </w:r>
      <w:r w:rsidRPr="00A3364C">
        <w:rPr>
          <w:rFonts w:ascii="Palatino Linotype" w:eastAsiaTheme="minorEastAsia" w:hAnsi="Palatino Linotype"/>
          <w:b/>
          <w:i/>
          <w:sz w:val="22"/>
          <w:szCs w:val="24"/>
          <w:lang w:val="es-ES_tradnl"/>
        </w:rPr>
        <w:t xml:space="preserve"> RECURRENTE </w:t>
      </w:r>
      <w:r w:rsidRPr="00A3364C">
        <w:rPr>
          <w:rFonts w:ascii="Palatino Linotype" w:eastAsia="MS Mincho" w:hAnsi="Palatino Linotype"/>
          <w:i/>
          <w:sz w:val="22"/>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A3364C">
        <w:rPr>
          <w:rFonts w:ascii="Palatino Linotype" w:eastAsia="MS Mincho" w:hAnsi="Palatino Linotype"/>
          <w:bCs/>
          <w:i/>
          <w:sz w:val="22"/>
          <w:szCs w:val="24"/>
          <w:lang w:val="es-ES"/>
        </w:rPr>
        <w:t>vía juicio de amparo</w:t>
      </w:r>
      <w:r w:rsidRPr="00A3364C">
        <w:rPr>
          <w:rFonts w:ascii="Palatino Linotype" w:eastAsia="MS Mincho" w:hAnsi="Palatino Linotype"/>
          <w:i/>
          <w:sz w:val="22"/>
          <w:szCs w:val="24"/>
          <w:lang w:val="es-ES"/>
        </w:rPr>
        <w:t> en los términos de las leyes aplicables.</w:t>
      </w:r>
    </w:p>
    <w:p w14:paraId="16E55033"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lang w:val="es-ES"/>
        </w:rPr>
      </w:pPr>
    </w:p>
    <w:p w14:paraId="7642769C"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rPr>
      </w:pPr>
      <w:r w:rsidRPr="00A3364C">
        <w:rPr>
          <w:rFonts w:ascii="Palatino Linotype" w:eastAsia="MS Mincho" w:hAnsi="Palatino Linotype"/>
          <w:b/>
          <w:bCs/>
          <w:i/>
          <w:sz w:val="22"/>
          <w:szCs w:val="24"/>
        </w:rPr>
        <w:lastRenderedPageBreak/>
        <w:t>SEXTO.</w:t>
      </w:r>
      <w:r w:rsidRPr="00A3364C">
        <w:rPr>
          <w:rFonts w:ascii="Palatino Linotype" w:eastAsia="MS Mincho" w:hAnsi="Palatino Linotype"/>
          <w:bCs/>
          <w:i/>
          <w:sz w:val="22"/>
          <w:szCs w:val="24"/>
        </w:rPr>
        <w:t xml:space="preserve"> Hágase del conocimiento</w:t>
      </w:r>
      <w:r w:rsidRPr="00A3364C">
        <w:rPr>
          <w:rFonts w:ascii="Palatino Linotype" w:eastAsia="MS Mincho" w:hAnsi="Palatino Linotype"/>
          <w:b/>
          <w:bCs/>
          <w:i/>
          <w:sz w:val="22"/>
          <w:szCs w:val="24"/>
        </w:rPr>
        <w:t> </w:t>
      </w:r>
      <w:r w:rsidRPr="00A3364C">
        <w:rPr>
          <w:rFonts w:ascii="Palatino Linotype" w:eastAsia="MS Mincho" w:hAnsi="Palatino Linotype"/>
          <w:i/>
          <w:sz w:val="22"/>
          <w:szCs w:val="24"/>
        </w:rPr>
        <w:t>del </w:t>
      </w:r>
      <w:r w:rsidRPr="00A3364C">
        <w:rPr>
          <w:rFonts w:ascii="Palatino Linotype" w:hAnsi="Palatino Linotype"/>
          <w:b/>
          <w:i/>
          <w:color w:val="222222"/>
          <w:sz w:val="22"/>
          <w:szCs w:val="24"/>
          <w:lang w:val="es-ES"/>
        </w:rPr>
        <w:t>RECURRENTE</w:t>
      </w:r>
      <w:r w:rsidRPr="00A3364C">
        <w:rPr>
          <w:rFonts w:ascii="Palatino Linotype" w:eastAsia="MS Mincho" w:hAnsi="Palatino Linotype"/>
          <w:b/>
          <w:bCs/>
          <w:i/>
          <w:sz w:val="22"/>
          <w:szCs w:val="24"/>
        </w:rPr>
        <w:t> </w:t>
      </w:r>
      <w:r w:rsidRPr="00A3364C">
        <w:rPr>
          <w:rFonts w:ascii="Palatino Linotype" w:eastAsia="MS Mincho" w:hAnsi="Palatino Linotype"/>
          <w:i/>
          <w:sz w:val="22"/>
          <w:szCs w:val="24"/>
        </w:rPr>
        <w:t>que la respuesta que dé </w:t>
      </w:r>
      <w:r w:rsidRPr="00A3364C">
        <w:rPr>
          <w:rFonts w:ascii="Palatino Linotype" w:eastAsia="MS Mincho" w:hAnsi="Palatino Linotype"/>
          <w:b/>
          <w:bCs/>
          <w:i/>
          <w:sz w:val="22"/>
          <w:szCs w:val="24"/>
        </w:rPr>
        <w:t>EL SUJETO OBLIGADO</w:t>
      </w:r>
      <w:r w:rsidRPr="00A3364C">
        <w:rPr>
          <w:rFonts w:ascii="Palatino Linotype" w:eastAsia="MS Mincho" w:hAnsi="Palatino Linotype"/>
          <w:i/>
          <w:sz w:val="22"/>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ECD46D0"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rPr>
      </w:pPr>
    </w:p>
    <w:p w14:paraId="54229B6A"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rPr>
      </w:pPr>
      <w:r w:rsidRPr="00A3364C">
        <w:rPr>
          <w:rFonts w:ascii="Palatino Linotype" w:eastAsia="MS Mincho" w:hAnsi="Palatino Linotype"/>
          <w:b/>
          <w:i/>
          <w:sz w:val="22"/>
          <w:szCs w:val="24"/>
        </w:rPr>
        <w:t>SÉPTIMO</w:t>
      </w:r>
      <w:r w:rsidRPr="00A3364C">
        <w:rPr>
          <w:rFonts w:ascii="Palatino Linotype" w:eastAsia="MS Mincho" w:hAnsi="Palatino Linotype"/>
          <w:i/>
          <w:sz w:val="22"/>
          <w:szCs w:val="24"/>
        </w:rPr>
        <w:t xml:space="preserve">. Con fundamento en el artículo 198 de la Ley de Transparencia y Acceso a la Información Pública del Estado de México y Municipios, se apercibe </w:t>
      </w:r>
      <w:r w:rsidRPr="00A3364C">
        <w:rPr>
          <w:rFonts w:ascii="Palatino Linotype" w:eastAsia="MS Mincho" w:hAnsi="Palatino Linotype"/>
          <w:b/>
          <w:i/>
          <w:sz w:val="22"/>
          <w:szCs w:val="24"/>
        </w:rPr>
        <w:t xml:space="preserve">al SUJETO OBLIGADO </w:t>
      </w:r>
      <w:r w:rsidRPr="00A3364C">
        <w:rPr>
          <w:rFonts w:ascii="Palatino Linotype" w:eastAsia="MS Mincho" w:hAnsi="Palatino Linotype"/>
          <w:i/>
          <w:sz w:val="22"/>
          <w:szCs w:val="24"/>
        </w:rPr>
        <w:t>de que, en caso de incumplimiento total o parcial de la presente resolución, se actuará de conformidad con lo dispuesto en los artículos 213, 214, 215, 216 y 217 de la ley en cita.</w:t>
      </w:r>
    </w:p>
    <w:p w14:paraId="4EB1031B" w14:textId="77777777" w:rsidR="00467E24" w:rsidRPr="00A3364C" w:rsidRDefault="00467E24" w:rsidP="00467E24">
      <w:pPr>
        <w:shd w:val="clear" w:color="auto" w:fill="FFFFFF"/>
        <w:tabs>
          <w:tab w:val="left" w:pos="284"/>
        </w:tabs>
        <w:spacing w:line="360" w:lineRule="auto"/>
        <w:ind w:left="567" w:right="822"/>
        <w:jc w:val="both"/>
        <w:rPr>
          <w:rFonts w:ascii="Palatino Linotype" w:eastAsia="MS Mincho" w:hAnsi="Palatino Linotype"/>
          <w:i/>
          <w:sz w:val="22"/>
          <w:szCs w:val="24"/>
          <w:lang w:val="es-ES"/>
        </w:rPr>
      </w:pPr>
    </w:p>
    <w:p w14:paraId="77D0F53A" w14:textId="77777777" w:rsidR="00467E24" w:rsidRPr="00A3364C" w:rsidRDefault="00467E24" w:rsidP="00467E24">
      <w:pPr>
        <w:tabs>
          <w:tab w:val="left" w:pos="284"/>
        </w:tabs>
        <w:spacing w:line="360" w:lineRule="auto"/>
        <w:ind w:left="567" w:right="822"/>
        <w:jc w:val="both"/>
        <w:rPr>
          <w:rFonts w:ascii="Palatino Linotype" w:eastAsia="MS Mincho" w:hAnsi="Palatino Linotype"/>
          <w:b/>
          <w:i/>
          <w:sz w:val="22"/>
          <w:szCs w:val="24"/>
          <w:lang w:val="es-ES_tradnl"/>
        </w:rPr>
      </w:pPr>
      <w:r w:rsidRPr="00A3364C">
        <w:rPr>
          <w:rFonts w:ascii="Palatino Linotype" w:eastAsia="MS Mincho" w:hAnsi="Palatino Linotype"/>
          <w:b/>
          <w:i/>
          <w:sz w:val="22"/>
          <w:szCs w:val="24"/>
          <w:lang w:val="es-ES_tradnl"/>
        </w:rPr>
        <w:t xml:space="preserve">OCTAVO. </w:t>
      </w:r>
      <w:r w:rsidRPr="00A3364C">
        <w:rPr>
          <w:rFonts w:ascii="Palatino Linotype" w:eastAsia="MS Mincho" w:hAnsi="Palatino Linotype"/>
          <w:i/>
          <w:sz w:val="22"/>
          <w:szCs w:val="24"/>
          <w:lang w:val="es-ES_tradnl"/>
        </w:rPr>
        <w:t xml:space="preserve">Gírese oficio al Contralor Interno y Órgano de Control y Vigilancia de este Instituto para hacer de su conocimiento la presente resolución a fin de que en ejercicio de sus atribuciones y de conformidad al artículo 190 de la Ley de Transparencia y Acceso a la Información Pública del Estado de México y Municipios, determine lo conducente en términos del </w:t>
      </w:r>
      <w:r w:rsidRPr="00A3364C">
        <w:rPr>
          <w:rFonts w:ascii="Palatino Linotype" w:eastAsia="MS Mincho" w:hAnsi="Palatino Linotype"/>
          <w:b/>
          <w:i/>
          <w:sz w:val="22"/>
          <w:szCs w:val="24"/>
          <w:lang w:val="es-ES_tradnl"/>
        </w:rPr>
        <w:t>Considerando SEXTO.</w:t>
      </w:r>
    </w:p>
    <w:p w14:paraId="56409618" w14:textId="77777777" w:rsidR="00467E24" w:rsidRPr="00A3364C" w:rsidRDefault="00467E24" w:rsidP="00467E24">
      <w:pPr>
        <w:pStyle w:val="Prrafodelista"/>
        <w:rPr>
          <w:rFonts w:ascii="Palatino Linotype" w:eastAsia="Calibri" w:hAnsi="Palatino Linotype" w:cs="Arial"/>
          <w:sz w:val="24"/>
          <w:lang w:val="es-ES"/>
        </w:rPr>
      </w:pPr>
    </w:p>
    <w:p w14:paraId="7C7A8F4B" w14:textId="55BBDE9A" w:rsidR="0089380C" w:rsidRPr="00A3364C" w:rsidRDefault="0089380C" w:rsidP="00467E24">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t xml:space="preserve">El cuatro (04) de agosto de dos mil veintidós, el Sujeto Obligado solicitó una ampliación de plazo para dar cumplimiento a la resolución. </w:t>
      </w:r>
    </w:p>
    <w:p w14:paraId="24C22913" w14:textId="77777777" w:rsidR="0089380C" w:rsidRPr="00A3364C" w:rsidRDefault="0089380C" w:rsidP="0089380C">
      <w:pPr>
        <w:pStyle w:val="Prrafodelista"/>
        <w:spacing w:line="360" w:lineRule="auto"/>
        <w:ind w:left="0"/>
        <w:jc w:val="both"/>
        <w:rPr>
          <w:rFonts w:ascii="Palatino Linotype" w:hAnsi="Palatino Linotype" w:cs="Tahoma"/>
          <w:sz w:val="24"/>
        </w:rPr>
      </w:pPr>
    </w:p>
    <w:p w14:paraId="0C684F15" w14:textId="14CBD1EF" w:rsidR="0089380C" w:rsidRPr="00A3364C" w:rsidRDefault="0089380C" w:rsidP="00467E24">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t xml:space="preserve">El quince (15) de agosto de dos mil veintidós, se notificó la aprobación de la ampliación de plazo para emitir resolución. </w:t>
      </w:r>
    </w:p>
    <w:p w14:paraId="18AE9A0B" w14:textId="77777777" w:rsidR="0089380C" w:rsidRPr="00A3364C" w:rsidRDefault="0089380C" w:rsidP="0089380C">
      <w:pPr>
        <w:pStyle w:val="Prrafodelista"/>
        <w:rPr>
          <w:rFonts w:ascii="Palatino Linotype" w:hAnsi="Palatino Linotype" w:cs="Tahoma"/>
          <w:sz w:val="24"/>
        </w:rPr>
      </w:pPr>
    </w:p>
    <w:p w14:paraId="6A4171E6" w14:textId="2ADB365D" w:rsidR="0089380C" w:rsidRPr="00A3364C" w:rsidRDefault="0089380C" w:rsidP="00467E24">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lastRenderedPageBreak/>
        <w:t xml:space="preserve">El veintisiete (27) de septiembre de dos mil veintidós, </w:t>
      </w:r>
      <w:r w:rsidR="00BA0628" w:rsidRPr="00A3364C">
        <w:rPr>
          <w:rFonts w:ascii="Palatino Linotype" w:hAnsi="Palatino Linotype" w:cs="Tahoma"/>
          <w:sz w:val="24"/>
        </w:rPr>
        <w:t xml:space="preserve">el Sujeto Obligado entregó en respuesta el archivo </w:t>
      </w:r>
      <w:hyperlink r:id="rId9" w:tgtFrame="_blank" w:history="1">
        <w:r w:rsidR="00BA0628" w:rsidRPr="00A3364C">
          <w:rPr>
            <w:rStyle w:val="Hipervnculo"/>
            <w:rFonts w:ascii="Palatino Linotype" w:hAnsi="Palatino Linotype" w:cs="Arial"/>
            <w:b/>
            <w:bCs/>
            <w:color w:val="auto"/>
            <w:sz w:val="24"/>
          </w:rPr>
          <w:t>3395 (1).PDF</w:t>
        </w:r>
      </w:hyperlink>
      <w:r w:rsidR="00BA0628" w:rsidRPr="00A3364C">
        <w:rPr>
          <w:rFonts w:ascii="Palatino Linotype" w:hAnsi="Palatino Linotype"/>
          <w:sz w:val="24"/>
        </w:rPr>
        <w:t xml:space="preserve">, en el que se advierte el oficio UT/MET/1449/2022 suscrito por el Titular de la Unidad de Transparencia en el que solicita al Comité de Transparencia la declaración de incompetencia. </w:t>
      </w:r>
    </w:p>
    <w:p w14:paraId="348C57D3" w14:textId="77777777" w:rsidR="00467E24" w:rsidRPr="00A3364C" w:rsidRDefault="00467E24" w:rsidP="00467E24">
      <w:pPr>
        <w:pStyle w:val="Prrafodelista"/>
        <w:spacing w:line="360" w:lineRule="auto"/>
        <w:ind w:left="0"/>
        <w:jc w:val="both"/>
        <w:rPr>
          <w:rFonts w:ascii="Palatino Linotype" w:hAnsi="Palatino Linotype" w:cs="Tahoma"/>
          <w:sz w:val="24"/>
        </w:rPr>
      </w:pPr>
    </w:p>
    <w:p w14:paraId="07121C09" w14:textId="1D5DD476" w:rsidR="00467E24" w:rsidRPr="00A3364C" w:rsidRDefault="00467E24" w:rsidP="00467E24">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t xml:space="preserve">El </w:t>
      </w:r>
      <w:r w:rsidR="0079180E" w:rsidRPr="00A3364C">
        <w:rPr>
          <w:rFonts w:ascii="Palatino Linotype" w:hAnsi="Palatino Linotype" w:cs="Tahoma"/>
          <w:sz w:val="24"/>
        </w:rPr>
        <w:t>cuatro (04</w:t>
      </w:r>
      <w:r w:rsidR="00CD71B7" w:rsidRPr="00A3364C">
        <w:rPr>
          <w:rFonts w:ascii="Palatino Linotype" w:hAnsi="Palatino Linotype" w:cs="Tahoma"/>
          <w:sz w:val="24"/>
        </w:rPr>
        <w:t>) de octubre de dos mil veintidós</w:t>
      </w:r>
      <w:r w:rsidRPr="00A3364C">
        <w:rPr>
          <w:rFonts w:ascii="Palatino Linotype" w:hAnsi="Palatino Linotype" w:cs="Tahoma"/>
          <w:sz w:val="24"/>
        </w:rPr>
        <w:t xml:space="preserve">, </w:t>
      </w:r>
      <w:r w:rsidRPr="00A3364C">
        <w:rPr>
          <w:rFonts w:ascii="Palatino Linotype" w:hAnsi="Palatino Linotype"/>
          <w:sz w:val="24"/>
        </w:rPr>
        <w:t>el Particular interpuso el medio de impugnación en estudio indicando como acto impugnado y razones o motivos de inconformidad lo que a continuación se transcribe:</w:t>
      </w:r>
    </w:p>
    <w:p w14:paraId="0EFF77E2" w14:textId="77777777" w:rsidR="00A3364C" w:rsidRPr="00A3364C" w:rsidRDefault="00A3364C" w:rsidP="00A3364C">
      <w:pPr>
        <w:pStyle w:val="Prrafodelista"/>
        <w:rPr>
          <w:rFonts w:ascii="Palatino Linotype" w:hAnsi="Palatino Linotype" w:cs="Tahoma"/>
          <w:sz w:val="24"/>
        </w:rPr>
      </w:pPr>
    </w:p>
    <w:p w14:paraId="57C70857" w14:textId="502F7ECE" w:rsidR="00467E24" w:rsidRPr="00A3364C" w:rsidRDefault="00467E24" w:rsidP="00E216AD">
      <w:pPr>
        <w:pStyle w:val="Prrafodelista"/>
        <w:numPr>
          <w:ilvl w:val="0"/>
          <w:numId w:val="5"/>
        </w:numPr>
        <w:jc w:val="both"/>
        <w:rPr>
          <w:rFonts w:ascii="Palatino Linotype" w:hAnsi="Palatino Linotype"/>
          <w:lang w:eastAsia="es-MX"/>
        </w:rPr>
      </w:pPr>
      <w:r w:rsidRPr="00A3364C">
        <w:rPr>
          <w:rFonts w:ascii="Palatino Linotype" w:hAnsi="Palatino Linotype" w:cs="Tahoma"/>
          <w:b/>
        </w:rPr>
        <w:t>Acto impugnado</w:t>
      </w:r>
      <w:r w:rsidRPr="00A3364C">
        <w:rPr>
          <w:rFonts w:ascii="Palatino Linotype" w:hAnsi="Palatino Linotype" w:cs="Tahoma"/>
        </w:rPr>
        <w:t xml:space="preserve"> “</w:t>
      </w:r>
      <w:r w:rsidR="0079180E" w:rsidRPr="00A3364C">
        <w:rPr>
          <w:rFonts w:ascii="Palatino Linotype" w:hAnsi="Palatino Linotype"/>
          <w:i/>
          <w:lang w:eastAsia="es-MX"/>
        </w:rPr>
        <w:t>la respuesta del sujeto obligado</w:t>
      </w:r>
      <w:r w:rsidRPr="00A3364C">
        <w:rPr>
          <w:rFonts w:ascii="Palatino Linotype" w:hAnsi="Palatino Linotype"/>
          <w:i/>
          <w:lang w:eastAsia="es-MX"/>
        </w:rPr>
        <w:t>”</w:t>
      </w:r>
      <w:r w:rsidRPr="00A3364C">
        <w:rPr>
          <w:rFonts w:ascii="Palatino Linotype" w:hAnsi="Palatino Linotype"/>
          <w:lang w:eastAsia="es-MX"/>
        </w:rPr>
        <w:t xml:space="preserve"> </w:t>
      </w:r>
    </w:p>
    <w:p w14:paraId="1E4DD2A2" w14:textId="5F60B8C6" w:rsidR="00467E24" w:rsidRPr="00A3364C" w:rsidRDefault="00467E24" w:rsidP="00E216AD">
      <w:pPr>
        <w:pStyle w:val="Prrafodelista"/>
        <w:numPr>
          <w:ilvl w:val="0"/>
          <w:numId w:val="5"/>
        </w:numPr>
        <w:jc w:val="both"/>
        <w:rPr>
          <w:rFonts w:ascii="Palatino Linotype" w:hAnsi="Palatino Linotype"/>
          <w:sz w:val="24"/>
          <w:lang w:eastAsia="es-MX"/>
        </w:rPr>
      </w:pPr>
      <w:r w:rsidRPr="00A3364C">
        <w:rPr>
          <w:rFonts w:ascii="Palatino Linotype" w:hAnsi="Palatino Linotype"/>
          <w:b/>
          <w:lang w:eastAsia="es-MX"/>
        </w:rPr>
        <w:t>Razones o motivos de la inconformidad</w:t>
      </w:r>
      <w:r w:rsidRPr="00A3364C">
        <w:rPr>
          <w:rFonts w:ascii="Palatino Linotype" w:hAnsi="Palatino Linotype"/>
          <w:lang w:eastAsia="es-MX"/>
        </w:rPr>
        <w:t xml:space="preserve"> “</w:t>
      </w:r>
      <w:r w:rsidR="0079180E" w:rsidRPr="00A3364C">
        <w:rPr>
          <w:rFonts w:ascii="Palatino Linotype" w:hAnsi="Palatino Linotype"/>
          <w:i/>
          <w:lang w:eastAsia="es-MX"/>
        </w:rPr>
        <w:t xml:space="preserve">el titular de la unidad de transparencia solicito 30 días de prorroga para dar cumplimiento a la resolución y no dio cumplimiento, vergüenza debería de darle al declarar incompetencia, de acuerdo al articulo 3.188 fracción VIII del código reglamentario del ayuntamiento de Metepec, son atribuciones de la dirección de educación, dicho lo anterior el titular no turno la solicitud al área competente, para que realicen una búsqueda exhaustiva de la información solicitada y sea entregada, lo mas fácil que pudo haber hecho es declar incompetencia, el titular no rindió su informe en el cual hace del conocimiento al órgano garante que ha dado cumplimiento a la resolución. como dice el presidente las cosas cambiaron en Metepec, hoy tienen al peor titular de transparencia de su historia, no sabe turnar las solicitudes de acuerdo a las atribuciones de las áreas, no responde las </w:t>
      </w:r>
      <w:r w:rsidR="0079180E" w:rsidRPr="00A3364C">
        <w:rPr>
          <w:rFonts w:ascii="Palatino Linotype" w:hAnsi="Palatino Linotype"/>
          <w:i/>
          <w:sz w:val="24"/>
          <w:lang w:eastAsia="es-MX"/>
        </w:rPr>
        <w:t>solicitudes, no protege los datos personales.</w:t>
      </w:r>
      <w:r w:rsidRPr="00A3364C">
        <w:rPr>
          <w:rFonts w:ascii="Palatino Linotype" w:hAnsi="Palatino Linotype"/>
          <w:sz w:val="24"/>
          <w:lang w:eastAsia="es-MX"/>
        </w:rPr>
        <w:t>”</w:t>
      </w:r>
    </w:p>
    <w:p w14:paraId="2A9653FD" w14:textId="77777777" w:rsidR="00467E24" w:rsidRPr="00A3364C" w:rsidRDefault="00467E24" w:rsidP="00467E24">
      <w:pPr>
        <w:pStyle w:val="Prrafodelista"/>
        <w:spacing w:line="360" w:lineRule="auto"/>
        <w:ind w:left="0"/>
        <w:jc w:val="both"/>
        <w:rPr>
          <w:rFonts w:ascii="Palatino Linotype" w:hAnsi="Palatino Linotype" w:cs="Tahoma"/>
          <w:sz w:val="24"/>
        </w:rPr>
      </w:pPr>
    </w:p>
    <w:p w14:paraId="6420E128" w14:textId="4524836B" w:rsidR="00467E24" w:rsidRPr="00A3364C" w:rsidRDefault="00467E24" w:rsidP="00467E24">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A3364C">
        <w:rPr>
          <w:rFonts w:ascii="Palatino Linotype" w:eastAsia="Calibri" w:hAnsi="Palatino Linotype" w:cs="Arial"/>
          <w:sz w:val="24"/>
          <w:lang w:val="es-ES"/>
        </w:rPr>
        <w:t>La Comisionada Ponente con fundamento en lo dispuesto por el artículo 185 fracción II de la ley de la materia, a tr</w:t>
      </w:r>
      <w:r w:rsidR="0079180E" w:rsidRPr="00A3364C">
        <w:rPr>
          <w:rFonts w:ascii="Palatino Linotype" w:eastAsia="Calibri" w:hAnsi="Palatino Linotype" w:cs="Arial"/>
          <w:sz w:val="24"/>
          <w:lang w:val="es-ES"/>
        </w:rPr>
        <w:t xml:space="preserve">avés del acuerdo de admisión del seis (06) de octubre </w:t>
      </w:r>
      <w:r w:rsidRPr="00A3364C">
        <w:rPr>
          <w:rFonts w:ascii="Palatino Linotype" w:eastAsia="Calibri" w:hAnsi="Palatino Linotype" w:cs="Arial"/>
          <w:sz w:val="24"/>
          <w:lang w:val="es-ES"/>
        </w:rPr>
        <w:t xml:space="preserve">de dos mil veintidós, puso a disposición de las partes el expediente electrónico </w:t>
      </w:r>
      <w:r w:rsidRPr="00A3364C">
        <w:rPr>
          <w:rFonts w:ascii="Palatino Linotype" w:eastAsia="Calibri" w:hAnsi="Palatino Linotype" w:cs="Arial"/>
          <w:sz w:val="24"/>
        </w:rPr>
        <w:t xml:space="preserve">vía </w:t>
      </w:r>
      <w:r w:rsidRPr="00A3364C">
        <w:rPr>
          <w:rFonts w:ascii="Palatino Linotype" w:eastAsia="Calibri" w:hAnsi="Palatino Linotype" w:cs="Arial"/>
          <w:b/>
          <w:sz w:val="24"/>
          <w:lang w:val="es-ES"/>
        </w:rPr>
        <w:t xml:space="preserve">SAIMEX </w:t>
      </w:r>
      <w:r w:rsidRPr="00A3364C">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w:t>
      </w:r>
      <w:r w:rsidRPr="00A3364C">
        <w:rPr>
          <w:rFonts w:ascii="Palatino Linotype" w:eastAsia="Calibri" w:hAnsi="Palatino Linotype" w:cs="Arial"/>
          <w:sz w:val="24"/>
          <w:lang w:val="es-ES"/>
        </w:rPr>
        <w:lastRenderedPageBreak/>
        <w:t xml:space="preserve">concreto, de esta forma para que el </w:t>
      </w:r>
      <w:r w:rsidRPr="00A3364C">
        <w:rPr>
          <w:rFonts w:ascii="Palatino Linotype" w:eastAsia="Calibri" w:hAnsi="Palatino Linotype" w:cs="Arial"/>
          <w:b/>
          <w:sz w:val="24"/>
          <w:lang w:val="es-ES"/>
        </w:rPr>
        <w:t>SUJETO OBLIGADO</w:t>
      </w:r>
      <w:r w:rsidRPr="00A3364C">
        <w:rPr>
          <w:rFonts w:ascii="Palatino Linotype" w:eastAsia="Calibri" w:hAnsi="Palatino Linotype" w:cs="Arial"/>
          <w:sz w:val="24"/>
          <w:lang w:val="es-ES"/>
        </w:rPr>
        <w:t xml:space="preserve"> presentara el informe justificado procedente.</w:t>
      </w:r>
    </w:p>
    <w:p w14:paraId="5C6AA9F9" w14:textId="45770949" w:rsidR="00467E24" w:rsidRPr="00A3364C" w:rsidRDefault="00513A6D" w:rsidP="00513A6D">
      <w:pPr>
        <w:pStyle w:val="Prrafodelista"/>
        <w:tabs>
          <w:tab w:val="left" w:pos="1792"/>
        </w:tabs>
        <w:spacing w:line="360" w:lineRule="auto"/>
        <w:ind w:left="0"/>
        <w:jc w:val="both"/>
        <w:rPr>
          <w:rFonts w:ascii="Palatino Linotype" w:hAnsi="Palatino Linotype" w:cs="Tahoma"/>
          <w:sz w:val="24"/>
        </w:rPr>
      </w:pPr>
      <w:r w:rsidRPr="00A3364C">
        <w:rPr>
          <w:rFonts w:ascii="Palatino Linotype" w:hAnsi="Palatino Linotype" w:cs="Tahoma"/>
          <w:sz w:val="24"/>
        </w:rPr>
        <w:tab/>
      </w:r>
    </w:p>
    <w:p w14:paraId="1F91116E" w14:textId="0E1243D2" w:rsidR="0079180E" w:rsidRPr="00A3364C" w:rsidRDefault="0079180E" w:rsidP="006D3646">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t xml:space="preserve">El tres (03) de noviembre de dos mil veintidós, el Recurrente realizó manifestaciones a través del archivo </w:t>
      </w:r>
      <w:hyperlink r:id="rId10" w:history="1">
        <w:r w:rsidRPr="00A3364C">
          <w:rPr>
            <w:rStyle w:val="Hipervnculo"/>
            <w:rFonts w:ascii="Palatino Linotype" w:hAnsi="Palatino Linotype" w:cs="Arial"/>
            <w:b/>
            <w:bCs/>
            <w:color w:val="auto"/>
            <w:sz w:val="24"/>
          </w:rPr>
          <w:t>Acuerdo Trámite 11138-ICR-74-2022.pdf</w:t>
        </w:r>
      </w:hyperlink>
      <w:r w:rsidRPr="00A3364C">
        <w:rPr>
          <w:rFonts w:ascii="Palatino Linotype" w:hAnsi="Palatino Linotype"/>
          <w:sz w:val="24"/>
        </w:rPr>
        <w:t xml:space="preserve">, </w:t>
      </w:r>
      <w:r w:rsidR="00513A6D" w:rsidRPr="00A3364C">
        <w:rPr>
          <w:rFonts w:ascii="Palatino Linotype" w:hAnsi="Palatino Linotype"/>
          <w:sz w:val="24"/>
        </w:rPr>
        <w:t xml:space="preserve">en el que se advierte escrito de la Dirección de Cumplimientos en el que se abstiene de emitir acuerdo en materia de verificación de cumplimiento hasta en tanto no se haya notificado resolución sobre el Segundo Recurso de Revisión. </w:t>
      </w:r>
    </w:p>
    <w:p w14:paraId="1B567444" w14:textId="77777777" w:rsidR="0079180E" w:rsidRPr="00A3364C" w:rsidRDefault="0079180E" w:rsidP="0079180E">
      <w:pPr>
        <w:pStyle w:val="Prrafodelista"/>
        <w:rPr>
          <w:rFonts w:ascii="Palatino Linotype" w:eastAsiaTheme="minorEastAsia" w:hAnsi="Palatino Linotype"/>
          <w:color w:val="000000"/>
          <w:sz w:val="24"/>
          <w:lang w:val="es-ES_tradnl"/>
        </w:rPr>
      </w:pPr>
    </w:p>
    <w:p w14:paraId="7DD496B4" w14:textId="77777777" w:rsidR="0079180E" w:rsidRPr="00A3364C" w:rsidRDefault="0079180E" w:rsidP="0079180E">
      <w:pPr>
        <w:pStyle w:val="Prrafodelista"/>
        <w:rPr>
          <w:rFonts w:ascii="Palatino Linotype" w:hAnsi="Palatino Linotype" w:cs="Tahoma"/>
          <w:sz w:val="24"/>
        </w:rPr>
      </w:pPr>
    </w:p>
    <w:p w14:paraId="23C65F44" w14:textId="70E8BC0F" w:rsidR="006D3646" w:rsidRPr="00A3364C" w:rsidRDefault="00513A6D" w:rsidP="00513A6D">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t xml:space="preserve">Por su parte, el once (11) de octubre de dos mil veintidós, el Sujeto Obligado remitió informe justificado a través del archivo </w:t>
      </w:r>
      <w:hyperlink r:id="rId11" w:history="1">
        <w:r w:rsidRPr="00A3364C">
          <w:rPr>
            <w:rStyle w:val="Hipervnculo"/>
            <w:rFonts w:ascii="Palatino Linotype" w:hAnsi="Palatino Linotype" w:cs="Tahoma"/>
            <w:b/>
            <w:bCs/>
            <w:color w:val="auto"/>
            <w:sz w:val="24"/>
          </w:rPr>
          <w:t>3395-11138-RR-Educación.PDF</w:t>
        </w:r>
      </w:hyperlink>
      <w:r w:rsidRPr="00A3364C">
        <w:rPr>
          <w:rFonts w:ascii="Palatino Linotype" w:hAnsi="Palatino Linotype" w:cs="Tahoma"/>
          <w:sz w:val="24"/>
        </w:rPr>
        <w:t xml:space="preserve">, en el que  se advierte el oficio </w:t>
      </w:r>
      <w:r w:rsidRPr="00A3364C">
        <w:rPr>
          <w:rFonts w:ascii="Palatino Linotype" w:hAnsi="Palatino Linotype" w:cs="Tahoma"/>
          <w:b/>
          <w:sz w:val="24"/>
        </w:rPr>
        <w:t>MET/DE/2868/2022,</w:t>
      </w:r>
      <w:r w:rsidRPr="00A3364C">
        <w:rPr>
          <w:rFonts w:ascii="Palatino Linotype" w:hAnsi="Palatino Linotype" w:cs="Tahoma"/>
          <w:sz w:val="24"/>
        </w:rPr>
        <w:t xml:space="preserve"> suscrito por el Director de Educación con la estadística de los planteles educativos público y privados de los niveles básicos, medio superior y superior en el Municipio, de índole estatal y federal. </w:t>
      </w:r>
    </w:p>
    <w:p w14:paraId="2B8375A0" w14:textId="77777777" w:rsidR="00513A6D" w:rsidRPr="00A3364C" w:rsidRDefault="00513A6D" w:rsidP="00513A6D">
      <w:pPr>
        <w:pStyle w:val="Prrafodelista"/>
        <w:spacing w:line="360" w:lineRule="auto"/>
        <w:ind w:left="0"/>
        <w:jc w:val="both"/>
        <w:rPr>
          <w:rFonts w:ascii="Palatino Linotype" w:hAnsi="Palatino Linotype" w:cs="Tahoma"/>
          <w:sz w:val="24"/>
        </w:rPr>
      </w:pPr>
    </w:p>
    <w:p w14:paraId="4D5BDC2F" w14:textId="0853C603" w:rsidR="006D3646" w:rsidRPr="00A3364C" w:rsidRDefault="00082903" w:rsidP="00082903">
      <w:pPr>
        <w:pStyle w:val="Prrafodelista"/>
        <w:numPr>
          <w:ilvl w:val="0"/>
          <w:numId w:val="3"/>
        </w:numPr>
        <w:spacing w:line="360" w:lineRule="auto"/>
        <w:ind w:left="0" w:firstLine="0"/>
        <w:jc w:val="both"/>
        <w:rPr>
          <w:rFonts w:ascii="Palatino Linotype" w:hAnsi="Palatino Linotype" w:cs="Tahoma"/>
          <w:sz w:val="24"/>
        </w:rPr>
      </w:pPr>
      <w:r w:rsidRPr="00A3364C">
        <w:rPr>
          <w:rFonts w:ascii="Palatino Linotype" w:hAnsi="Palatino Linotype" w:cs="Tahoma"/>
          <w:sz w:val="24"/>
        </w:rPr>
        <w:t xml:space="preserve">El día veinte (20) de febrero de dos mil veintidós, se notificaron los acuerdos mediante los cuales se aprobó la ampliación de plazo para emitir resolución, así como el acuerdo de cierre de instrucción. </w:t>
      </w:r>
      <w:r w:rsidR="006D3646" w:rsidRPr="00A3364C">
        <w:rPr>
          <w:rFonts w:ascii="Palatino Linotype" w:hAnsi="Palatino Linotype" w:cs="Tahoma"/>
          <w:sz w:val="24"/>
        </w:rPr>
        <w:t>Por lo que turnó la presente resolución para su aprobación.</w:t>
      </w:r>
    </w:p>
    <w:p w14:paraId="5478C872" w14:textId="77777777" w:rsidR="006D3646" w:rsidRDefault="006D3646" w:rsidP="006D3646">
      <w:pPr>
        <w:pStyle w:val="Prrafodelista"/>
        <w:spacing w:line="360" w:lineRule="auto"/>
        <w:ind w:left="0"/>
        <w:jc w:val="both"/>
        <w:rPr>
          <w:rFonts w:ascii="Palatino Linotype" w:hAnsi="Palatino Linotype" w:cs="Tahoma"/>
          <w:sz w:val="24"/>
        </w:rPr>
      </w:pPr>
    </w:p>
    <w:p w14:paraId="244412AF" w14:textId="77777777" w:rsidR="00A3364C" w:rsidRPr="00A3364C" w:rsidRDefault="00A3364C" w:rsidP="006D3646">
      <w:pPr>
        <w:pStyle w:val="Prrafodelista"/>
        <w:spacing w:line="360" w:lineRule="auto"/>
        <w:ind w:left="0"/>
        <w:jc w:val="both"/>
        <w:rPr>
          <w:rFonts w:ascii="Palatino Linotype" w:hAnsi="Palatino Linotype" w:cs="Tahoma"/>
          <w:sz w:val="24"/>
        </w:rPr>
      </w:pPr>
    </w:p>
    <w:p w14:paraId="0F9176A0" w14:textId="77777777" w:rsidR="005000AA" w:rsidRPr="00A3364C" w:rsidRDefault="005000AA" w:rsidP="005000AA">
      <w:pPr>
        <w:pStyle w:val="Ttulo1"/>
        <w:jc w:val="center"/>
        <w:rPr>
          <w:rFonts w:ascii="Palatino Linotype" w:hAnsi="Palatino Linotype"/>
          <w:b/>
          <w:color w:val="auto"/>
          <w:sz w:val="24"/>
          <w:szCs w:val="24"/>
        </w:rPr>
      </w:pPr>
      <w:bookmarkStart w:id="5" w:name="_Toc87549672"/>
      <w:r w:rsidRPr="00A3364C">
        <w:rPr>
          <w:rFonts w:ascii="Palatino Linotype" w:hAnsi="Palatino Linotype"/>
          <w:b/>
          <w:color w:val="auto"/>
          <w:sz w:val="24"/>
          <w:szCs w:val="24"/>
        </w:rPr>
        <w:lastRenderedPageBreak/>
        <w:t>CONSIDERANDO</w:t>
      </w:r>
      <w:bookmarkEnd w:id="5"/>
      <w:r w:rsidRPr="00A3364C">
        <w:rPr>
          <w:rFonts w:ascii="Palatino Linotype" w:hAnsi="Palatino Linotype"/>
          <w:b/>
          <w:color w:val="auto"/>
          <w:sz w:val="24"/>
          <w:szCs w:val="24"/>
        </w:rPr>
        <w:t xml:space="preserve"> </w:t>
      </w:r>
    </w:p>
    <w:p w14:paraId="10E0202F" w14:textId="77777777" w:rsidR="00082903" w:rsidRPr="00A3364C" w:rsidRDefault="00082903" w:rsidP="00082903">
      <w:pPr>
        <w:rPr>
          <w:sz w:val="24"/>
          <w:szCs w:val="24"/>
        </w:rPr>
      </w:pPr>
    </w:p>
    <w:p w14:paraId="1058C60B" w14:textId="77777777" w:rsidR="005000AA" w:rsidRPr="00A3364C" w:rsidRDefault="005000AA" w:rsidP="005000AA">
      <w:pPr>
        <w:pStyle w:val="Ttulo2"/>
        <w:rPr>
          <w:rFonts w:ascii="Palatino Linotype" w:hAnsi="Palatino Linotype"/>
          <w:b/>
          <w:color w:val="auto"/>
          <w:sz w:val="24"/>
          <w:szCs w:val="24"/>
        </w:rPr>
      </w:pPr>
      <w:bookmarkStart w:id="6" w:name="_Toc87549673"/>
      <w:r w:rsidRPr="00A3364C">
        <w:rPr>
          <w:rFonts w:ascii="Palatino Linotype" w:hAnsi="Palatino Linotype"/>
          <w:b/>
          <w:color w:val="auto"/>
          <w:sz w:val="24"/>
          <w:szCs w:val="24"/>
        </w:rPr>
        <w:t>PRIMERO. De la competencia</w:t>
      </w:r>
      <w:bookmarkEnd w:id="6"/>
    </w:p>
    <w:p w14:paraId="21B4EED5" w14:textId="43B0EE1A" w:rsidR="00082903" w:rsidRPr="00A3364C" w:rsidRDefault="00082903" w:rsidP="00082903">
      <w:pPr>
        <w:pStyle w:val="Prrafodelista"/>
        <w:numPr>
          <w:ilvl w:val="0"/>
          <w:numId w:val="3"/>
        </w:numPr>
        <w:spacing w:before="240" w:after="240" w:line="360" w:lineRule="auto"/>
        <w:ind w:left="0" w:firstLine="0"/>
        <w:jc w:val="both"/>
        <w:rPr>
          <w:rFonts w:ascii="Palatino Linotype" w:hAnsi="Palatino Linotype"/>
          <w:sz w:val="24"/>
        </w:rPr>
      </w:pPr>
      <w:r w:rsidRPr="00A3364C">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59A16A0" w14:textId="7362D675" w:rsidR="00082903" w:rsidRPr="00A3364C" w:rsidRDefault="005000AA" w:rsidP="00082903">
      <w:pPr>
        <w:pStyle w:val="Ttulo2"/>
        <w:rPr>
          <w:rFonts w:ascii="Palatino Linotype" w:hAnsi="Palatino Linotype"/>
          <w:b/>
          <w:color w:val="auto"/>
          <w:sz w:val="24"/>
          <w:szCs w:val="24"/>
        </w:rPr>
      </w:pPr>
      <w:bookmarkStart w:id="7" w:name="_Toc87549674"/>
      <w:r w:rsidRPr="00A3364C">
        <w:rPr>
          <w:rFonts w:ascii="Palatino Linotype" w:hAnsi="Palatino Linotype"/>
          <w:b/>
          <w:color w:val="auto"/>
          <w:sz w:val="24"/>
          <w:szCs w:val="24"/>
        </w:rPr>
        <w:t>SEGUNDO. De la oportunidad y procedencia.</w:t>
      </w:r>
      <w:bookmarkEnd w:id="7"/>
    </w:p>
    <w:p w14:paraId="24FDBF21" w14:textId="77777777" w:rsidR="00082903" w:rsidRPr="00A3364C" w:rsidRDefault="00082903" w:rsidP="00082903">
      <w:pPr>
        <w:rPr>
          <w:sz w:val="24"/>
          <w:szCs w:val="24"/>
        </w:rPr>
      </w:pPr>
    </w:p>
    <w:p w14:paraId="53051EF8" w14:textId="77777777" w:rsidR="00BC6FDD" w:rsidRPr="00A336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A3364C">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A3364C">
        <w:rPr>
          <w:rFonts w:ascii="Palatino Linotype" w:eastAsia="Calibri" w:hAnsi="Palatino Linotype" w:cs="Arial"/>
          <w:b/>
          <w:sz w:val="24"/>
          <w:szCs w:val="24"/>
          <w:lang w:val="es-ES"/>
        </w:rPr>
        <w:t>SUJETO OBLIGADO</w:t>
      </w:r>
      <w:r w:rsidRPr="00A3364C">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40996BC4" w14:textId="77777777" w:rsidR="00BC6FDD" w:rsidRPr="00A336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A3364C">
        <w:rPr>
          <w:rFonts w:ascii="Palatino Linotype" w:eastAsia="Calibri" w:hAnsi="Palatino Linotype" w:cs="Arial"/>
          <w:sz w:val="24"/>
          <w:szCs w:val="24"/>
          <w:lang w:val="es-ES"/>
        </w:rPr>
        <w:lastRenderedPageBreak/>
        <w:t xml:space="preserve">Por ende, se constituye la figura jurídica de la </w:t>
      </w:r>
      <w:r w:rsidRPr="00A3364C">
        <w:rPr>
          <w:rFonts w:ascii="Palatino Linotype" w:eastAsia="Calibri" w:hAnsi="Palatino Linotype" w:cs="Arial"/>
          <w:i/>
          <w:sz w:val="24"/>
          <w:szCs w:val="24"/>
          <w:lang w:val="es-ES"/>
        </w:rPr>
        <w:t>negativa ficta</w:t>
      </w:r>
      <w:r w:rsidRPr="00A3364C">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A3364C">
        <w:rPr>
          <w:rFonts w:ascii="Palatino Linotype" w:eastAsia="Calibri" w:hAnsi="Palatino Linotype" w:cs="Arial"/>
          <w:b/>
          <w:sz w:val="24"/>
          <w:szCs w:val="24"/>
          <w:lang w:val="es-ES"/>
        </w:rPr>
        <w:t>178</w:t>
      </w:r>
      <w:r w:rsidRPr="00A3364C">
        <w:rPr>
          <w:rFonts w:ascii="Palatino Linotype" w:eastAsia="Calibri" w:hAnsi="Palatino Linotype" w:cs="Arial"/>
          <w:sz w:val="24"/>
          <w:szCs w:val="24"/>
          <w:lang w:val="es-ES"/>
        </w:rPr>
        <w:t xml:space="preserve"> segundo párrafo de </w:t>
      </w:r>
      <w:r w:rsidRPr="00A3364C">
        <w:rPr>
          <w:rFonts w:ascii="Palatino Linotype" w:eastAsia="Calibri" w:hAnsi="Palatino Linotype" w:cs="Arial"/>
          <w:b/>
          <w:sz w:val="24"/>
          <w:szCs w:val="24"/>
          <w:lang w:val="es-ES"/>
        </w:rPr>
        <w:t>Ley de Transparencia y Acceso a la Información Pública del Estado de México y Municipios</w:t>
      </w:r>
      <w:r w:rsidRPr="00A3364C">
        <w:rPr>
          <w:rFonts w:ascii="Palatino Linotype" w:eastAsia="Calibri" w:hAnsi="Palatino Linotype"/>
          <w:color w:val="000000"/>
          <w:sz w:val="24"/>
          <w:szCs w:val="24"/>
          <w:shd w:val="clear" w:color="auto" w:fill="FFFFFF"/>
        </w:rPr>
        <w:t xml:space="preserve">, que dispone; ante la falta de respuesta del </w:t>
      </w:r>
      <w:r w:rsidRPr="00A3364C">
        <w:rPr>
          <w:rFonts w:ascii="Palatino Linotype" w:eastAsia="Calibri" w:hAnsi="Palatino Linotype"/>
          <w:b/>
          <w:color w:val="000000"/>
          <w:sz w:val="24"/>
          <w:szCs w:val="24"/>
          <w:shd w:val="clear" w:color="auto" w:fill="FFFFFF"/>
        </w:rPr>
        <w:t>SUJETO OBLIGADO,</w:t>
      </w:r>
      <w:r w:rsidRPr="00A3364C">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A3364C">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A3364C"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A336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A3364C">
        <w:rPr>
          <w:rFonts w:ascii="Palatino Linotype" w:eastAsia="Calibri" w:hAnsi="Palatino Linotype" w:cs="Arial"/>
          <w:sz w:val="24"/>
          <w:szCs w:val="24"/>
          <w:lang w:val="es-ES"/>
        </w:rPr>
        <w:t xml:space="preserve">Por lo que, tratándose de la </w:t>
      </w:r>
      <w:r w:rsidRPr="00A3364C">
        <w:rPr>
          <w:rFonts w:ascii="Palatino Linotype" w:eastAsia="Calibri" w:hAnsi="Palatino Linotype" w:cs="Arial"/>
          <w:i/>
          <w:sz w:val="24"/>
          <w:szCs w:val="24"/>
          <w:lang w:val="es-ES"/>
        </w:rPr>
        <w:t>negativa ficta</w:t>
      </w:r>
      <w:r w:rsidRPr="00A3364C">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A3364C">
        <w:rPr>
          <w:rFonts w:ascii="Palatino Linotype" w:eastAsia="Calibri" w:hAnsi="Palatino Linotype" w:cs="Arial"/>
          <w:i/>
          <w:sz w:val="24"/>
          <w:szCs w:val="24"/>
          <w:lang w:val="es-ES"/>
        </w:rPr>
        <w:t>negativa ficta</w:t>
      </w:r>
      <w:r w:rsidRPr="00A3364C">
        <w:rPr>
          <w:rFonts w:ascii="Palatino Linotype" w:eastAsia="Calibri" w:hAnsi="Palatino Linotype" w:cs="Arial"/>
          <w:sz w:val="24"/>
          <w:szCs w:val="24"/>
          <w:lang w:val="es-ES"/>
        </w:rPr>
        <w:t>, que señala:</w:t>
      </w:r>
    </w:p>
    <w:p w14:paraId="7827B0A4" w14:textId="77777777" w:rsidR="00BC6FDD" w:rsidRPr="00A3364C"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A3364C">
        <w:rPr>
          <w:rFonts w:ascii="Palatino Linotype" w:eastAsia="Calibri" w:hAnsi="Palatino Linotype" w:cs="Arial"/>
          <w:b/>
          <w:sz w:val="22"/>
          <w:szCs w:val="24"/>
          <w:lang w:val="es-ES"/>
        </w:rPr>
        <w:t>Criterio 0001-15</w:t>
      </w:r>
    </w:p>
    <w:p w14:paraId="25B06B5B" w14:textId="77777777" w:rsidR="00BC6FDD"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A3364C">
        <w:rPr>
          <w:rFonts w:ascii="Palatino Linotype" w:eastAsia="Calibri" w:hAnsi="Palatino Linotype" w:cs="Arial"/>
          <w:b/>
          <w:i/>
          <w:sz w:val="22"/>
          <w:szCs w:val="24"/>
          <w:lang w:val="es-ES"/>
        </w:rPr>
        <w:t>NEGATIVA FICTA. PLAZO PARA INTERPONER EL RECURSO DE REVISIÓN TRATÁNDOSE DE.</w:t>
      </w:r>
      <w:r w:rsidRPr="00A3364C">
        <w:rPr>
          <w:rFonts w:ascii="Palatino Linotype" w:eastAsia="Calibri" w:hAnsi="Palatino Linotype" w:cs="Arial"/>
          <w:i/>
          <w:sz w:val="22"/>
          <w:szCs w:val="24"/>
          <w:lang w:val="es-ES"/>
        </w:rPr>
        <w:t xml:space="preserve"> El artículo 48, párrafo tercero de la Ley de </w:t>
      </w:r>
      <w:r w:rsidRPr="00A3364C">
        <w:rPr>
          <w:rFonts w:ascii="Palatino Linotype" w:eastAsia="Calibri" w:hAnsi="Palatino Linotype" w:cs="Arial"/>
          <w:i/>
          <w:sz w:val="22"/>
          <w:szCs w:val="24"/>
          <w:lang w:val="es-ES"/>
        </w:rPr>
        <w:lastRenderedPageBreak/>
        <w:t>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28D9C23" w14:textId="77777777" w:rsidR="00A3364C" w:rsidRPr="00A3364C" w:rsidRDefault="00A3364C"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p>
    <w:p w14:paraId="7C134B8F" w14:textId="77777777" w:rsidR="00BC6FDD" w:rsidRPr="00A336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A3364C">
        <w:rPr>
          <w:rFonts w:ascii="Palatino Linotype" w:hAnsi="Palatino Linotype" w:cs="Arial"/>
          <w:color w:val="000000" w:themeColor="text1"/>
          <w:sz w:val="24"/>
          <w:szCs w:val="24"/>
          <w:lang w:val="es-ES" w:eastAsia="es-MX"/>
        </w:rPr>
        <w:t xml:space="preserve">Lo anterior, se explica porque la </w:t>
      </w:r>
      <w:r w:rsidRPr="00A3364C">
        <w:rPr>
          <w:rFonts w:ascii="Palatino Linotype" w:hAnsi="Palatino Linotype" w:cs="Arial"/>
          <w:b/>
          <w:color w:val="000000" w:themeColor="text1"/>
          <w:sz w:val="24"/>
          <w:szCs w:val="24"/>
          <w:u w:val="single"/>
          <w:lang w:val="es-ES" w:eastAsia="es-MX"/>
        </w:rPr>
        <w:t>posible ausencia</w:t>
      </w:r>
      <w:r w:rsidRPr="00A3364C">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A3364C">
        <w:rPr>
          <w:rFonts w:ascii="Palatino Linotype" w:hAnsi="Palatino Linotype" w:cs="Arial"/>
          <w:b/>
          <w:color w:val="000000" w:themeColor="text1"/>
          <w:sz w:val="24"/>
          <w:szCs w:val="24"/>
          <w:lang w:val="es-ES" w:eastAsia="es-MX"/>
        </w:rPr>
        <w:t>SUJETO OBLIGADO</w:t>
      </w:r>
      <w:r w:rsidRPr="00A3364C">
        <w:rPr>
          <w:rFonts w:ascii="Palatino Linotype" w:hAnsi="Palatino Linotype" w:cs="Arial"/>
          <w:color w:val="000000" w:themeColor="text1"/>
          <w:sz w:val="24"/>
          <w:szCs w:val="24"/>
          <w:lang w:val="es-ES" w:eastAsia="es-MX"/>
        </w:rPr>
        <w:t>.</w:t>
      </w:r>
    </w:p>
    <w:p w14:paraId="0B46B46C" w14:textId="77777777" w:rsidR="00BC6FDD" w:rsidRPr="00A3364C"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A3364C"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A3364C">
        <w:rPr>
          <w:rFonts w:ascii="Palatino Linotype" w:eastAsia="Calibri" w:hAnsi="Palatino Linotype" w:cs="Arial"/>
          <w:sz w:val="24"/>
          <w:szCs w:val="24"/>
          <w:lang w:val="es-ES_tradnl"/>
        </w:rPr>
        <w:t xml:space="preserve">Expuesto lo anterior, el escrito contiene las formalidades previstas por el artículo 180 último párrafo de la Ley de la materia actual, por lo que es procedente que este Instituto de Transparencia, Acceso a la Información Pública y Protección de </w:t>
      </w:r>
      <w:r w:rsidRPr="00A3364C">
        <w:rPr>
          <w:rFonts w:ascii="Palatino Linotype" w:eastAsia="Calibri" w:hAnsi="Palatino Linotype" w:cs="Arial"/>
          <w:sz w:val="24"/>
          <w:szCs w:val="24"/>
          <w:lang w:val="es-ES_tradnl"/>
        </w:rPr>
        <w:lastRenderedPageBreak/>
        <w:t>Datos Personales del Estado de México y Municipios, conozca y resuelva el presente recurso.</w:t>
      </w:r>
    </w:p>
    <w:p w14:paraId="12851EBB" w14:textId="73D1E88D" w:rsidR="005000AA" w:rsidRPr="00A3364C" w:rsidRDefault="005000AA" w:rsidP="005000AA">
      <w:pPr>
        <w:pStyle w:val="Ttulo1"/>
        <w:rPr>
          <w:rFonts w:ascii="Palatino Linotype" w:eastAsia="MS Mincho" w:hAnsi="Palatino Linotype" w:cs="Times New Roman"/>
          <w:b/>
          <w:color w:val="auto"/>
          <w:sz w:val="24"/>
          <w:szCs w:val="24"/>
        </w:rPr>
      </w:pPr>
      <w:bookmarkStart w:id="8" w:name="_Toc87549675"/>
      <w:r w:rsidRPr="00A3364C">
        <w:rPr>
          <w:rFonts w:ascii="Palatino Linotype" w:hAnsi="Palatino Linotype"/>
          <w:b/>
          <w:color w:val="auto"/>
          <w:sz w:val="24"/>
          <w:szCs w:val="24"/>
        </w:rPr>
        <w:t xml:space="preserve">TERCERO. </w:t>
      </w:r>
      <w:r w:rsidR="006411BB" w:rsidRPr="00A3364C">
        <w:rPr>
          <w:rFonts w:ascii="Palatino Linotype" w:hAnsi="Palatino Linotype"/>
          <w:b/>
          <w:color w:val="auto"/>
          <w:sz w:val="24"/>
          <w:szCs w:val="24"/>
        </w:rPr>
        <w:t>De las causales del sobreseimiento</w:t>
      </w:r>
      <w:bookmarkEnd w:id="8"/>
      <w:r w:rsidRPr="00A3364C">
        <w:rPr>
          <w:rFonts w:ascii="Palatino Linotype" w:hAnsi="Palatino Linotype"/>
          <w:b/>
          <w:color w:val="auto"/>
          <w:sz w:val="24"/>
          <w:szCs w:val="24"/>
        </w:rPr>
        <w:t xml:space="preserve"> </w:t>
      </w:r>
    </w:p>
    <w:p w14:paraId="40615D94" w14:textId="77777777" w:rsidR="00082903" w:rsidRPr="00A3364C" w:rsidRDefault="00082903" w:rsidP="00082903">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rPr>
        <w:t xml:space="preserve">El recurso de revisión </w:t>
      </w:r>
      <w:r w:rsidRPr="00A3364C">
        <w:rPr>
          <w:rFonts w:ascii="Palatino Linotype" w:hAnsi="Palatino Linotype" w:cs="Arial"/>
          <w:sz w:val="24"/>
        </w:rPr>
        <w:t xml:space="preserve">tiene como finalidad reparar cualquier posible afectación al derecho de acceso a la información pública en términos del Título Octavo de la Ley de </w:t>
      </w:r>
      <w:r w:rsidRPr="00A3364C">
        <w:rPr>
          <w:rFonts w:ascii="Palatino Linotype" w:eastAsia="Calibri" w:hAnsi="Palatino Linotype" w:cs="Arial"/>
          <w:sz w:val="24"/>
        </w:rPr>
        <w:t>Transparencia, Acceso a la Información Pública del Estado de México y Municipios</w:t>
      </w:r>
      <w:r w:rsidRPr="00A3364C">
        <w:rPr>
          <w:rFonts w:ascii="Palatino Linotype" w:hAnsi="Palatino Linotype" w:cs="Arial"/>
          <w:sz w:val="24"/>
        </w:rPr>
        <w:t xml:space="preserve">, y determinar la confirmación; revocación o modificación; desechamiento o </w:t>
      </w:r>
      <w:r w:rsidRPr="00A3364C">
        <w:rPr>
          <w:rFonts w:ascii="Palatino Linotype" w:hAnsi="Palatino Linotype" w:cs="Arial"/>
          <w:b/>
          <w:sz w:val="24"/>
          <w:u w:val="single"/>
        </w:rPr>
        <w:t>sobreseimiento</w:t>
      </w:r>
      <w:r w:rsidRPr="00A3364C">
        <w:rPr>
          <w:rFonts w:ascii="Palatino Linotype" w:hAnsi="Palatino Linotype" w:cs="Arial"/>
          <w:sz w:val="24"/>
        </w:rPr>
        <w:t xml:space="preserve">; y en su caso ordenar la entrega de la información con respecto a la respuesta emitida por el </w:t>
      </w:r>
      <w:r w:rsidRPr="00A3364C">
        <w:rPr>
          <w:rFonts w:ascii="Palatino Linotype" w:hAnsi="Palatino Linotype" w:cs="Arial"/>
          <w:b/>
          <w:sz w:val="24"/>
        </w:rPr>
        <w:t>SUJETO</w:t>
      </w:r>
      <w:r w:rsidRPr="00A3364C">
        <w:rPr>
          <w:rFonts w:ascii="Palatino Linotype" w:hAnsi="Palatino Linotype" w:cs="Arial"/>
          <w:sz w:val="24"/>
        </w:rPr>
        <w:t xml:space="preserve"> </w:t>
      </w:r>
      <w:r w:rsidRPr="00A3364C">
        <w:rPr>
          <w:rFonts w:ascii="Palatino Linotype" w:hAnsi="Palatino Linotype" w:cs="Arial"/>
          <w:b/>
          <w:sz w:val="24"/>
        </w:rPr>
        <w:t>OBLIGADO</w:t>
      </w:r>
      <w:r w:rsidRPr="00A3364C">
        <w:rPr>
          <w:rFonts w:ascii="Palatino Linotype" w:hAnsi="Palatino Linotype" w:cs="Arial"/>
          <w:sz w:val="24"/>
        </w:rPr>
        <w:t>.</w:t>
      </w:r>
    </w:p>
    <w:p w14:paraId="724FD399" w14:textId="77777777" w:rsidR="00082903" w:rsidRPr="00A3364C" w:rsidRDefault="00082903" w:rsidP="00082903">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7B7596CE" w14:textId="77777777" w:rsidR="00082903" w:rsidRPr="00A3364C" w:rsidRDefault="00082903" w:rsidP="00082903">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rPr>
        <w:t xml:space="preserve">De </w:t>
      </w:r>
      <w:r w:rsidRPr="00A3364C">
        <w:rPr>
          <w:rFonts w:ascii="Palatino Linotype" w:eastAsia="Calibri" w:hAnsi="Palatino Linotype"/>
          <w:sz w:val="24"/>
        </w:rPr>
        <w:t xml:space="preserve">acuerdo al precepto legal contenido en la fracción III del artículo 192 de la </w:t>
      </w:r>
      <w:r w:rsidRPr="00A3364C">
        <w:rPr>
          <w:rFonts w:ascii="Palatino Linotype" w:eastAsia="Calibri" w:hAnsi="Palatino Linotype"/>
          <w:b/>
          <w:sz w:val="24"/>
        </w:rPr>
        <w:t>Ley de Transparencia y Acceso a la Información Pública del Estado de México y Municipios</w:t>
      </w:r>
      <w:r w:rsidRPr="00A3364C">
        <w:rPr>
          <w:rFonts w:ascii="Palatino Linotype" w:eastAsia="Calibri" w:hAnsi="Palatino Linotype"/>
          <w:sz w:val="24"/>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69275159" w14:textId="77777777" w:rsidR="00082903" w:rsidRPr="00A3364C" w:rsidRDefault="00082903" w:rsidP="00082903">
      <w:pPr>
        <w:pStyle w:val="Prrafodelista"/>
        <w:ind w:left="0"/>
        <w:rPr>
          <w:rFonts w:ascii="Palatino Linotype" w:eastAsia="Calibri" w:hAnsi="Palatino Linotype" w:cs="Arial"/>
          <w:color w:val="000000" w:themeColor="text1"/>
          <w:sz w:val="24"/>
          <w:lang w:val="es-ES"/>
        </w:rPr>
      </w:pPr>
    </w:p>
    <w:p w14:paraId="2468AE8E" w14:textId="77777777" w:rsidR="00082903" w:rsidRPr="00A3364C" w:rsidRDefault="00082903" w:rsidP="00082903">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Para </w:t>
      </w:r>
      <w:r w:rsidRPr="00A3364C">
        <w:rPr>
          <w:rFonts w:ascii="Palatino Linotype" w:eastAsia="Calibri" w:hAnsi="Palatino Linotype"/>
          <w:sz w:val="24"/>
        </w:rPr>
        <w:t xml:space="preserve">los efectos de esta resolución, es oportuno precisar los alcances jurídicos de la fracción III de la disposición legal transcrita. Así, procede el sobreseimiento del recurso de revisión cuando el </w:t>
      </w:r>
      <w:r w:rsidRPr="00A3364C">
        <w:rPr>
          <w:rFonts w:ascii="Palatino Linotype" w:eastAsia="Calibri" w:hAnsi="Palatino Linotype"/>
          <w:b/>
          <w:sz w:val="24"/>
        </w:rPr>
        <w:t>SUJETO OBLIGADO</w:t>
      </w:r>
      <w:r w:rsidRPr="00A3364C">
        <w:rPr>
          <w:rFonts w:ascii="Palatino Linotype" w:eastAsia="Calibri" w:hAnsi="Palatino Linotype"/>
          <w:sz w:val="24"/>
        </w:rPr>
        <w:t>:</w:t>
      </w:r>
    </w:p>
    <w:p w14:paraId="5EFD54A7" w14:textId="77777777" w:rsidR="00082903" w:rsidRPr="00A3364C" w:rsidRDefault="00082903" w:rsidP="00082903">
      <w:pPr>
        <w:rPr>
          <w:rFonts w:ascii="Palatino Linotype" w:eastAsia="Calibri" w:hAnsi="Palatino Linotype" w:cs="Arial"/>
          <w:color w:val="000000" w:themeColor="text1"/>
          <w:sz w:val="24"/>
          <w:szCs w:val="24"/>
          <w:lang w:val="es-ES"/>
        </w:rPr>
      </w:pPr>
    </w:p>
    <w:p w14:paraId="37A5670E" w14:textId="77777777" w:rsidR="00082903" w:rsidRPr="00A3364C" w:rsidRDefault="00082903" w:rsidP="00082903">
      <w:pPr>
        <w:numPr>
          <w:ilvl w:val="0"/>
          <w:numId w:val="11"/>
        </w:numPr>
        <w:spacing w:line="360" w:lineRule="auto"/>
        <w:ind w:left="567" w:right="616" w:firstLine="0"/>
        <w:contextualSpacing/>
        <w:jc w:val="both"/>
        <w:rPr>
          <w:rFonts w:ascii="Palatino Linotype" w:hAnsi="Palatino Linotype" w:cs="Arial"/>
          <w:sz w:val="22"/>
          <w:szCs w:val="24"/>
        </w:rPr>
      </w:pPr>
      <w:r w:rsidRPr="00A3364C">
        <w:rPr>
          <w:rFonts w:ascii="Palatino Linotype" w:hAnsi="Palatino Linotype" w:cs="Arial"/>
          <w:b/>
          <w:sz w:val="22"/>
          <w:szCs w:val="24"/>
        </w:rPr>
        <w:lastRenderedPageBreak/>
        <w:t>Modifique el acto impugnado:</w:t>
      </w:r>
      <w:r w:rsidRPr="00A3364C">
        <w:rPr>
          <w:rFonts w:ascii="Palatino Linotype" w:hAnsi="Palatino Linotype" w:cs="Arial"/>
          <w:sz w:val="22"/>
          <w:szCs w:val="24"/>
        </w:rPr>
        <w:t xml:space="preserve"> Se actualiza cuando el </w:t>
      </w:r>
      <w:r w:rsidRPr="00A3364C">
        <w:rPr>
          <w:rFonts w:ascii="Palatino Linotype" w:hAnsi="Palatino Linotype" w:cs="Arial"/>
          <w:b/>
          <w:sz w:val="22"/>
          <w:szCs w:val="24"/>
        </w:rPr>
        <w:t>SUJETO OBLIGADO</w:t>
      </w:r>
      <w:r w:rsidRPr="00A3364C">
        <w:rPr>
          <w:rFonts w:ascii="Palatino Linotype" w:hAnsi="Palatino Linotype" w:cs="Arial"/>
          <w:sz w:val="22"/>
          <w:szCs w:val="24"/>
        </w:rPr>
        <w:t xml:space="preserve"> después de haber otorgado una respuesta y hasta antes de dictada la resolución del recurso de revisión, emite una diversa en la que subsane las deficiencias que hubiera tenido.</w:t>
      </w:r>
    </w:p>
    <w:p w14:paraId="4E3C813A" w14:textId="77777777" w:rsidR="00082903" w:rsidRPr="00A3364C" w:rsidRDefault="00082903" w:rsidP="00082903">
      <w:pPr>
        <w:numPr>
          <w:ilvl w:val="0"/>
          <w:numId w:val="11"/>
        </w:numPr>
        <w:spacing w:line="360" w:lineRule="auto"/>
        <w:ind w:left="567" w:right="616" w:firstLine="0"/>
        <w:contextualSpacing/>
        <w:jc w:val="both"/>
        <w:rPr>
          <w:rFonts w:ascii="Palatino Linotype" w:hAnsi="Palatino Linotype" w:cs="Arial"/>
          <w:sz w:val="22"/>
          <w:szCs w:val="24"/>
        </w:rPr>
      </w:pPr>
      <w:r w:rsidRPr="00A3364C">
        <w:rPr>
          <w:rFonts w:ascii="Palatino Linotype" w:hAnsi="Palatino Linotype" w:cs="Arial"/>
          <w:b/>
          <w:sz w:val="22"/>
          <w:szCs w:val="24"/>
        </w:rPr>
        <w:t>Revoque el acto impugnado:</w:t>
      </w:r>
      <w:r w:rsidRPr="00A3364C">
        <w:rPr>
          <w:rFonts w:ascii="Palatino Linotype" w:hAnsi="Palatino Linotype" w:cs="Arial"/>
          <w:sz w:val="22"/>
          <w:szCs w:val="24"/>
        </w:rPr>
        <w:t xml:space="preserve"> En este supuesto, el </w:t>
      </w:r>
      <w:r w:rsidRPr="00A3364C">
        <w:rPr>
          <w:rFonts w:ascii="Palatino Linotype" w:hAnsi="Palatino Linotype" w:cs="Arial"/>
          <w:b/>
          <w:sz w:val="22"/>
          <w:szCs w:val="24"/>
        </w:rPr>
        <w:t>SUJETO OBLIGADO</w:t>
      </w:r>
      <w:r w:rsidRPr="00A3364C">
        <w:rPr>
          <w:rFonts w:ascii="Palatino Linotype" w:hAnsi="Palatino Linotype" w:cs="Arial"/>
          <w:sz w:val="22"/>
          <w:szCs w:val="24"/>
        </w:rPr>
        <w:t xml:space="preserve"> deja sin efectos la primera respuesta y en su lugar emite otra que satisfaga lo solicitado por el Particular en un primer momento.</w:t>
      </w:r>
    </w:p>
    <w:p w14:paraId="0236690A" w14:textId="77777777" w:rsidR="00082903" w:rsidRPr="00A3364C" w:rsidRDefault="00082903" w:rsidP="00082903">
      <w:pPr>
        <w:spacing w:line="360" w:lineRule="auto"/>
        <w:ind w:right="616"/>
        <w:contextualSpacing/>
        <w:jc w:val="both"/>
        <w:rPr>
          <w:rFonts w:ascii="Palatino Linotype" w:hAnsi="Palatino Linotype" w:cs="Arial"/>
          <w:sz w:val="24"/>
          <w:szCs w:val="24"/>
        </w:rPr>
      </w:pPr>
    </w:p>
    <w:p w14:paraId="7C684560" w14:textId="77777777" w:rsidR="00082903" w:rsidRPr="00A3364C" w:rsidRDefault="00082903" w:rsidP="00082903">
      <w:pPr>
        <w:pStyle w:val="Prrafodelista"/>
        <w:numPr>
          <w:ilvl w:val="0"/>
          <w:numId w:val="2"/>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Las </w:t>
      </w:r>
      <w:r w:rsidRPr="00A3364C">
        <w:rPr>
          <w:rFonts w:ascii="Palatino Linotype" w:eastAsia="Calibri" w:hAnsi="Palatino Linotype"/>
          <w:sz w:val="24"/>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473A5C2D" w14:textId="77777777" w:rsidR="00082903" w:rsidRPr="00A3364C" w:rsidRDefault="00082903" w:rsidP="00082903">
      <w:pPr>
        <w:pStyle w:val="Prrafodelista"/>
        <w:tabs>
          <w:tab w:val="left" w:pos="284"/>
          <w:tab w:val="left" w:pos="567"/>
        </w:tabs>
        <w:spacing w:line="360" w:lineRule="auto"/>
        <w:ind w:left="0"/>
        <w:jc w:val="both"/>
        <w:rPr>
          <w:rFonts w:ascii="Palatino Linotype" w:eastAsia="Calibri" w:hAnsi="Palatino Linotype" w:cs="Arial"/>
          <w:color w:val="000000" w:themeColor="text1"/>
          <w:sz w:val="24"/>
          <w:lang w:val="es-ES"/>
        </w:rPr>
      </w:pPr>
    </w:p>
    <w:p w14:paraId="6DA53EC5" w14:textId="4B7BE99A" w:rsidR="00082903" w:rsidRPr="00A3364C" w:rsidRDefault="00082903" w:rsidP="00082903">
      <w:pPr>
        <w:pStyle w:val="Prrafodelista"/>
        <w:numPr>
          <w:ilvl w:val="0"/>
          <w:numId w:val="2"/>
        </w:numPr>
        <w:tabs>
          <w:tab w:val="left" w:pos="284"/>
          <w:tab w:val="left" w:pos="567"/>
        </w:tabs>
        <w:spacing w:line="360" w:lineRule="auto"/>
        <w:ind w:left="0" w:firstLine="0"/>
        <w:jc w:val="both"/>
        <w:rPr>
          <w:rFonts w:ascii="Palatino Linotype" w:hAnsi="Palatino Linotype"/>
          <w:b/>
          <w:bCs/>
          <w:color w:val="000000"/>
          <w:sz w:val="24"/>
          <w:lang w:val="es-ES"/>
        </w:rPr>
      </w:pPr>
      <w:r w:rsidRPr="00A3364C">
        <w:rPr>
          <w:rFonts w:ascii="Palatino Linotype" w:eastAsia="Calibri" w:hAnsi="Palatino Linotype" w:cs="Arial"/>
          <w:color w:val="000000" w:themeColor="text1"/>
          <w:sz w:val="24"/>
          <w:lang w:val="es-ES"/>
        </w:rPr>
        <w:t xml:space="preserve">En el presente caso, </w:t>
      </w:r>
      <w:r w:rsidRPr="00A3364C">
        <w:rPr>
          <w:rFonts w:ascii="Palatino Linotype" w:hAnsi="Palatino Linotype" w:cs="Arial"/>
          <w:color w:val="000000"/>
          <w:sz w:val="24"/>
          <w:lang w:val="es-ES"/>
        </w:rPr>
        <w:t xml:space="preserve">el Recurrente solicitó </w:t>
      </w:r>
      <w:r w:rsidR="00E102D2" w:rsidRPr="00A3364C">
        <w:rPr>
          <w:rFonts w:ascii="Palatino Linotype" w:hAnsi="Palatino Linotype" w:cs="Arial"/>
          <w:color w:val="000000"/>
          <w:sz w:val="24"/>
          <w:lang w:val="es-ES"/>
        </w:rPr>
        <w:t xml:space="preserve">la estadística de los planteles educativos públicos y privados, de nivel básico, medio superior y superior, estatal y federal en el municipio. </w:t>
      </w:r>
    </w:p>
    <w:p w14:paraId="625EBE92" w14:textId="77777777" w:rsidR="00E102D2" w:rsidRPr="00A3364C" w:rsidRDefault="00E102D2" w:rsidP="00E102D2">
      <w:pPr>
        <w:pStyle w:val="Prrafodelista"/>
        <w:rPr>
          <w:rFonts w:ascii="Palatino Linotype" w:hAnsi="Palatino Linotype"/>
          <w:b/>
          <w:bCs/>
          <w:color w:val="000000"/>
          <w:sz w:val="24"/>
          <w:lang w:val="es-ES"/>
        </w:rPr>
      </w:pPr>
    </w:p>
    <w:p w14:paraId="6BBD9089" w14:textId="6BB050F3" w:rsidR="00E102D2" w:rsidRPr="00A3364C" w:rsidRDefault="00E102D2" w:rsidP="00082903">
      <w:pPr>
        <w:pStyle w:val="Prrafodelista"/>
        <w:numPr>
          <w:ilvl w:val="0"/>
          <w:numId w:val="2"/>
        </w:numPr>
        <w:tabs>
          <w:tab w:val="left" w:pos="284"/>
          <w:tab w:val="left" w:pos="567"/>
        </w:tabs>
        <w:spacing w:line="360" w:lineRule="auto"/>
        <w:ind w:left="0" w:firstLine="0"/>
        <w:jc w:val="both"/>
        <w:rPr>
          <w:rFonts w:ascii="Palatino Linotype" w:hAnsi="Palatino Linotype"/>
          <w:bCs/>
          <w:color w:val="000000"/>
          <w:sz w:val="24"/>
          <w:lang w:val="es-ES"/>
        </w:rPr>
      </w:pPr>
      <w:r w:rsidRPr="00A3364C">
        <w:rPr>
          <w:rFonts w:ascii="Palatino Linotype" w:hAnsi="Palatino Linotype"/>
          <w:bCs/>
          <w:color w:val="000000"/>
          <w:sz w:val="24"/>
          <w:lang w:val="es-ES"/>
        </w:rPr>
        <w:t>Como ya fue referido en antecedentes, el Sujeto Obligado no emitió respuesta a la solicitud de información, posteriormente</w:t>
      </w:r>
      <w:r w:rsidR="008025C5" w:rsidRPr="00A3364C">
        <w:rPr>
          <w:rFonts w:ascii="Palatino Linotype" w:hAnsi="Palatino Linotype"/>
          <w:bCs/>
          <w:color w:val="000000"/>
          <w:sz w:val="24"/>
          <w:lang w:val="es-ES"/>
        </w:rPr>
        <w:t xml:space="preserve">, el recurrente interpuso recurso de revisión por la negativa de la información, al cual le fue notificada la resolución que ordenó al Sujeto Obligado dar atención a la solicitud de información. </w:t>
      </w:r>
    </w:p>
    <w:p w14:paraId="661E6D84" w14:textId="77777777" w:rsidR="008025C5" w:rsidRPr="00A3364C" w:rsidRDefault="008025C5" w:rsidP="008025C5">
      <w:pPr>
        <w:pStyle w:val="Prrafodelista"/>
        <w:rPr>
          <w:rFonts w:ascii="Palatino Linotype" w:hAnsi="Palatino Linotype"/>
          <w:bCs/>
          <w:color w:val="000000"/>
          <w:sz w:val="24"/>
          <w:lang w:val="es-ES"/>
        </w:rPr>
      </w:pPr>
    </w:p>
    <w:p w14:paraId="1745CC03" w14:textId="28293699" w:rsidR="008025C5" w:rsidRPr="00A3364C" w:rsidRDefault="008025C5" w:rsidP="00082903">
      <w:pPr>
        <w:pStyle w:val="Prrafodelista"/>
        <w:numPr>
          <w:ilvl w:val="0"/>
          <w:numId w:val="2"/>
        </w:numPr>
        <w:tabs>
          <w:tab w:val="left" w:pos="284"/>
          <w:tab w:val="left" w:pos="567"/>
        </w:tabs>
        <w:spacing w:line="360" w:lineRule="auto"/>
        <w:ind w:left="0" w:firstLine="0"/>
        <w:jc w:val="both"/>
        <w:rPr>
          <w:rFonts w:ascii="Palatino Linotype" w:hAnsi="Palatino Linotype"/>
          <w:bCs/>
          <w:color w:val="000000"/>
          <w:sz w:val="24"/>
          <w:lang w:val="es-ES"/>
        </w:rPr>
      </w:pPr>
      <w:r w:rsidRPr="00A3364C">
        <w:rPr>
          <w:rFonts w:ascii="Palatino Linotype" w:hAnsi="Palatino Linotype"/>
          <w:bCs/>
          <w:color w:val="000000"/>
          <w:sz w:val="24"/>
          <w:lang w:val="es-ES"/>
        </w:rPr>
        <w:lastRenderedPageBreak/>
        <w:t xml:space="preserve">Consecuentemente, el Sujeto Obligado adjuntó en respuesta a la resolución el oficio mediante el cual solicitó al Comité de Transparencia la declaración de incompetencia. Inconforme con esa respuesta, el Recurrente interpuso de nuevo recurso de revisión en el que señaló, de forma medular, su inconformidad por la negativa de la información. </w:t>
      </w:r>
    </w:p>
    <w:p w14:paraId="482B4AC2" w14:textId="77777777" w:rsidR="008025C5" w:rsidRPr="00A3364C" w:rsidRDefault="008025C5" w:rsidP="008025C5">
      <w:pPr>
        <w:pStyle w:val="Prrafodelista"/>
        <w:rPr>
          <w:rFonts w:ascii="Palatino Linotype" w:hAnsi="Palatino Linotype"/>
          <w:bCs/>
          <w:color w:val="000000"/>
          <w:sz w:val="24"/>
          <w:lang w:val="es-ES"/>
        </w:rPr>
      </w:pPr>
    </w:p>
    <w:p w14:paraId="555565B2" w14:textId="20312189" w:rsidR="008025C5" w:rsidRPr="00A3364C" w:rsidRDefault="008025C5" w:rsidP="00082903">
      <w:pPr>
        <w:pStyle w:val="Prrafodelista"/>
        <w:numPr>
          <w:ilvl w:val="0"/>
          <w:numId w:val="2"/>
        </w:numPr>
        <w:tabs>
          <w:tab w:val="left" w:pos="284"/>
          <w:tab w:val="left" w:pos="567"/>
        </w:tabs>
        <w:spacing w:line="360" w:lineRule="auto"/>
        <w:ind w:left="0" w:firstLine="0"/>
        <w:jc w:val="both"/>
        <w:rPr>
          <w:rFonts w:ascii="Palatino Linotype" w:hAnsi="Palatino Linotype"/>
          <w:bCs/>
          <w:color w:val="000000"/>
          <w:sz w:val="24"/>
          <w:lang w:val="es-ES"/>
        </w:rPr>
      </w:pPr>
      <w:r w:rsidRPr="00A3364C">
        <w:rPr>
          <w:rFonts w:ascii="Palatino Linotype" w:hAnsi="Palatino Linotype"/>
          <w:bCs/>
          <w:color w:val="000000"/>
          <w:sz w:val="24"/>
          <w:lang w:val="es-ES"/>
        </w:rPr>
        <w:t>En esta etapa del procedimiento, el Sujeto Obligado entregó informe justificado, a través de un documento ad hoc, suscrito por el Secretario de Educación en el que señaló:</w:t>
      </w:r>
    </w:p>
    <w:p w14:paraId="146C85ED" w14:textId="77777777" w:rsidR="008025C5" w:rsidRPr="00A3364C" w:rsidRDefault="008025C5" w:rsidP="008025C5">
      <w:pPr>
        <w:pStyle w:val="Prrafodelista"/>
        <w:rPr>
          <w:rFonts w:ascii="Palatino Linotype" w:hAnsi="Palatino Linotype"/>
          <w:bCs/>
          <w:color w:val="000000"/>
          <w:sz w:val="24"/>
          <w:lang w:val="es-ES"/>
        </w:rPr>
      </w:pPr>
    </w:p>
    <w:p w14:paraId="27B12E26" w14:textId="358BEF2E" w:rsidR="00082903" w:rsidRPr="00A3364C" w:rsidRDefault="008025C5" w:rsidP="002A090C">
      <w:pPr>
        <w:pStyle w:val="Prrafodelista"/>
        <w:tabs>
          <w:tab w:val="left" w:pos="284"/>
          <w:tab w:val="left" w:pos="567"/>
        </w:tabs>
        <w:spacing w:line="360" w:lineRule="auto"/>
        <w:ind w:left="0"/>
        <w:jc w:val="center"/>
        <w:rPr>
          <w:rFonts w:ascii="Palatino Linotype" w:hAnsi="Palatino Linotype"/>
          <w:bCs/>
          <w:color w:val="000000"/>
          <w:sz w:val="24"/>
          <w:lang w:val="es-ES"/>
        </w:rPr>
      </w:pPr>
      <w:r w:rsidRPr="00A3364C">
        <w:rPr>
          <w:rFonts w:ascii="Palatino Linotype" w:hAnsi="Palatino Linotype"/>
          <w:bCs/>
          <w:noProof/>
          <w:color w:val="000000"/>
          <w:sz w:val="24"/>
          <w:lang w:eastAsia="es-MX"/>
        </w:rPr>
        <w:lastRenderedPageBreak/>
        <w:drawing>
          <wp:inline distT="0" distB="0" distL="0" distR="0" wp14:anchorId="317CC01E" wp14:editId="19E30DE0">
            <wp:extent cx="5163271" cy="728764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3271" cy="7287642"/>
                    </a:xfrm>
                    <a:prstGeom prst="rect">
                      <a:avLst/>
                    </a:prstGeom>
                  </pic:spPr>
                </pic:pic>
              </a:graphicData>
            </a:graphic>
          </wp:inline>
        </w:drawing>
      </w:r>
    </w:p>
    <w:p w14:paraId="776486FE" w14:textId="6FF5FB85" w:rsidR="002A090C" w:rsidRPr="00A3364C" w:rsidRDefault="002A090C" w:rsidP="00082903">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lastRenderedPageBreak/>
        <w:t>Ahora bien, la respuesta fue emitida por el Director de Educación, quien de acuerdo al Bando Municipal 2022 de Metepec, tiene las atribuciones conferidas en el artículo 121:</w:t>
      </w:r>
    </w:p>
    <w:p w14:paraId="175D4176" w14:textId="27AE0719" w:rsidR="002A090C" w:rsidRPr="00A3364C" w:rsidRDefault="002A090C" w:rsidP="002A090C">
      <w:pPr>
        <w:pStyle w:val="Prrafodelista"/>
        <w:tabs>
          <w:tab w:val="left" w:pos="284"/>
        </w:tabs>
        <w:spacing w:line="360" w:lineRule="auto"/>
        <w:ind w:left="851" w:right="822"/>
        <w:jc w:val="center"/>
        <w:rPr>
          <w:rFonts w:ascii="Palatino Linotype" w:hAnsi="Palatino Linotype"/>
          <w:i/>
        </w:rPr>
      </w:pPr>
      <w:r w:rsidRPr="00A3364C">
        <w:rPr>
          <w:rFonts w:ascii="Palatino Linotype" w:hAnsi="Palatino Linotype"/>
          <w:i/>
        </w:rPr>
        <w:t>CAPÍTULO V</w:t>
      </w:r>
    </w:p>
    <w:p w14:paraId="1F1BDD3E" w14:textId="5A53251E" w:rsidR="002A090C" w:rsidRPr="00A3364C" w:rsidRDefault="002A090C" w:rsidP="002A090C">
      <w:pPr>
        <w:pStyle w:val="Prrafodelista"/>
        <w:tabs>
          <w:tab w:val="left" w:pos="284"/>
        </w:tabs>
        <w:spacing w:line="360" w:lineRule="auto"/>
        <w:ind w:left="851" w:right="822"/>
        <w:jc w:val="center"/>
        <w:rPr>
          <w:rFonts w:ascii="Palatino Linotype" w:hAnsi="Palatino Linotype"/>
          <w:i/>
        </w:rPr>
      </w:pPr>
      <w:r w:rsidRPr="00A3364C">
        <w:rPr>
          <w:rFonts w:ascii="Palatino Linotype" w:hAnsi="Palatino Linotype"/>
          <w:i/>
        </w:rPr>
        <w:t>DE LA EDUCACIÓN</w:t>
      </w:r>
    </w:p>
    <w:p w14:paraId="41D54330"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ARTÍCULO 121.- La Dirección de Educación promoverá y gestionará recursos para atender diversas actividades educativas. Para alcanzar el presente objetivo, tendrá las siguientes atribuciones: </w:t>
      </w:r>
    </w:p>
    <w:p w14:paraId="089FA9DA"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I. Impulsar, en colaboración con las autoridades educativas estatales y federales, acciones para potenciar la calidad educativa garantizando el derecho a la educación de las y los habitantes del municipio; </w:t>
      </w:r>
    </w:p>
    <w:p w14:paraId="6C87C8F5"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II. Participar y brindar apoyo a la infraestructura de escuelas públicas del territorio municipal, con base en los programas y partida presupuestal disponible; </w:t>
      </w:r>
    </w:p>
    <w:p w14:paraId="081CC240"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III. Impulsar el desarrollo integral de las bibliotecas públicas, en colaboración con instancias municipales, estales y federales conforme a las nuevas tecnologías de comunicación e información; </w:t>
      </w:r>
    </w:p>
    <w:p w14:paraId="1BFFE33B"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IV. Organizar, conservar e incrementar el acervo bibliográfico, hemerográfico y videográfico, para ofrecer al público usuario, materiales de consulta técnica y científica que permitan un efectivo acceso al conocimiento; </w:t>
      </w:r>
    </w:p>
    <w:p w14:paraId="6C3AC88F"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V. Fomentar en instituciones educativas la cultura cívica, a fin de dar a conocer el pasado histórico de nuestro país, rendir homenaje a la memoria de nuestros héroes nacionales y símbolos patrios; </w:t>
      </w:r>
    </w:p>
    <w:p w14:paraId="27C969BF"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VI. Fortalecer en instituciones educativas la identidad de nuestro Municipio; </w:t>
      </w:r>
    </w:p>
    <w:p w14:paraId="64413138"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lastRenderedPageBreak/>
        <w:t xml:space="preserve">VII. Promover, fomentar y coordinar actividades incluyentes para contribuir al mejoramiento de la civilidad, respeto, valores, igualdad de género y respeto de los derechos humanos para fortalecer la convivencia escolar armónica y formativa entre las y los habitantes del municipio; </w:t>
      </w:r>
    </w:p>
    <w:p w14:paraId="03E27324"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VIII. Promover, en coordinación con instituciones estatales y federales, un programa continuo contra el analfabetismo y rezago educativo; </w:t>
      </w:r>
    </w:p>
    <w:p w14:paraId="2A738B30"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IX. Apoyar con acciones que desarrollen en los Centros de Atención Múltiple, la difusión de valores para lograr una sociedad más justa; </w:t>
      </w:r>
    </w:p>
    <w:p w14:paraId="413EE424"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X. Atender oportunamente las solicitudes de las instituciones educativas, vinculadas al Programa de Escuela Segura en el municipio, conforme a las directrices del Plan Nacional de Desarrollo 2019-2024; </w:t>
      </w:r>
    </w:p>
    <w:p w14:paraId="67F0B31D"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XI. Coadyuvar con las autoridades correspondientes para elevar el grado educativo municipal, en los niveles medio superior, superior e investigación científica, con modalidades no escolarizada y virtual, prioritariamente para la población en condiciones de rezago educativo o discapacidad; </w:t>
      </w:r>
    </w:p>
    <w:p w14:paraId="5E877FE7"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XII. Instrumentar una política de becas educativas para alumnas y alumnos de educación básica, media superior y superior de escuelas públicas, así como población en condiciones de rezago educativo que tuvieron constancia o certificado de las instancias que brindan educación para los adultos, dando prioridad a los metepequenses que presenten vulnerabilidad, discapacidad y sustenten buen promedio escolar, privilegiando el dictamen que emita el Comité de Becas Escolares del año corriente; </w:t>
      </w:r>
    </w:p>
    <w:p w14:paraId="0B823BC5"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XIII. Apoyar la consolidación del servicio social, prácticas profesionales y estadías, canalizando a estudiantes de educación media superior, técnica y superior, a </w:t>
      </w:r>
      <w:r w:rsidRPr="00A3364C">
        <w:rPr>
          <w:rFonts w:ascii="Palatino Linotype" w:hAnsi="Palatino Linotype"/>
          <w:i/>
        </w:rPr>
        <w:lastRenderedPageBreak/>
        <w:t xml:space="preserve">diferentes dependencias municipales de acuerdo a su perfil de estudios; XIV. Establecer programas de reconocimientos e incentivos para madres y padres solteros de este municipio, que concluyan estudios técnicos, de nivel medio superior o superior; </w:t>
      </w:r>
    </w:p>
    <w:p w14:paraId="7217BAC0"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XV. Proponer el reconocimiento público a favor de metepequenses que hayan destacado en el territorio estatal o nacional por sus aportaciones a favor de la educación; </w:t>
      </w:r>
    </w:p>
    <w:p w14:paraId="0B050399"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XVI. Coadyuvar con las instancias correspondientes, respecto a las personas que tengan impuesta una condición en materia de educación, por suspensión de proceso penal; </w:t>
      </w:r>
    </w:p>
    <w:p w14:paraId="59ECF386" w14:textId="77777777" w:rsidR="002A090C" w:rsidRPr="00A3364C" w:rsidRDefault="002A090C" w:rsidP="002A090C">
      <w:pPr>
        <w:pStyle w:val="Prrafodelista"/>
        <w:tabs>
          <w:tab w:val="left" w:pos="284"/>
        </w:tabs>
        <w:spacing w:line="360" w:lineRule="auto"/>
        <w:ind w:left="851" w:right="822"/>
        <w:jc w:val="both"/>
        <w:rPr>
          <w:rFonts w:ascii="Palatino Linotype" w:hAnsi="Palatino Linotype"/>
          <w:i/>
        </w:rPr>
      </w:pPr>
      <w:r w:rsidRPr="00A3364C">
        <w:rPr>
          <w:rFonts w:ascii="Palatino Linotype" w:hAnsi="Palatino Linotype"/>
          <w:i/>
        </w:rPr>
        <w:t xml:space="preserve">XVII. Integrar el Consejo Municipal de Participación Social en la Educación; y </w:t>
      </w:r>
    </w:p>
    <w:p w14:paraId="3CCB67EA" w14:textId="72473764" w:rsidR="002A090C" w:rsidRPr="00A3364C" w:rsidRDefault="002A090C" w:rsidP="002A090C">
      <w:pPr>
        <w:pStyle w:val="Prrafodelista"/>
        <w:tabs>
          <w:tab w:val="left" w:pos="284"/>
        </w:tabs>
        <w:spacing w:line="360" w:lineRule="auto"/>
        <w:ind w:left="851" w:right="822"/>
        <w:jc w:val="both"/>
        <w:rPr>
          <w:rFonts w:ascii="Palatino Linotype" w:eastAsia="Calibri" w:hAnsi="Palatino Linotype" w:cs="Arial"/>
          <w:i/>
          <w:color w:val="000000" w:themeColor="text1"/>
          <w:lang w:val="es-ES"/>
        </w:rPr>
      </w:pPr>
      <w:r w:rsidRPr="00A3364C">
        <w:rPr>
          <w:rFonts w:ascii="Palatino Linotype" w:hAnsi="Palatino Linotype"/>
          <w:i/>
        </w:rPr>
        <w:t>XVIII. Vigilar en el ámbito de su competencia, la aplicación de la ley o leyes que correspondan.</w:t>
      </w:r>
    </w:p>
    <w:p w14:paraId="421BCE7B" w14:textId="77777777" w:rsidR="002A090C" w:rsidRPr="00A3364C" w:rsidRDefault="002A090C" w:rsidP="002A090C">
      <w:pPr>
        <w:pStyle w:val="Prrafodelista"/>
        <w:tabs>
          <w:tab w:val="left" w:pos="284"/>
        </w:tabs>
        <w:spacing w:line="360" w:lineRule="auto"/>
        <w:ind w:left="0"/>
        <w:jc w:val="both"/>
        <w:rPr>
          <w:rFonts w:ascii="Palatino Linotype" w:eastAsia="Calibri" w:hAnsi="Palatino Linotype" w:cs="Arial"/>
          <w:color w:val="000000" w:themeColor="text1"/>
          <w:lang w:val="es-ES"/>
        </w:rPr>
      </w:pPr>
    </w:p>
    <w:p w14:paraId="143E21C1" w14:textId="7C4038D5" w:rsidR="008B7744" w:rsidRPr="00A3364C" w:rsidRDefault="002A090C" w:rsidP="008B7744">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En ese sentido, podemos advertir que el Director de Educación es el servidor público habilitado que tiene atribuciones para generar, poseer o administrar la información solicitada. </w:t>
      </w:r>
      <w:r w:rsidR="008B7744" w:rsidRPr="00A3364C">
        <w:rPr>
          <w:rFonts w:ascii="Palatino Linotype" w:hAnsi="Palatino Linotype"/>
          <w:sz w:val="24"/>
          <w:lang w:val="es-ES"/>
        </w:rPr>
        <w:t xml:space="preserve">Por otra parte, se aprecia que el Sujeto Obligado, no remitió las documentales tal cual obran en sus archivos, sin embargo elaboró un documento ad hoc para dar cabal cumplimiento al derecho de acceso a la información del particular </w:t>
      </w:r>
      <w:r w:rsidR="00A3364C" w:rsidRPr="00A3364C">
        <w:rPr>
          <w:rFonts w:ascii="Palatino Linotype" w:hAnsi="Palatino Linotype"/>
          <w:sz w:val="24"/>
          <w:lang w:val="es-ES"/>
        </w:rPr>
        <w:t>aun</w:t>
      </w:r>
      <w:r w:rsidR="008B7744" w:rsidRPr="00A3364C">
        <w:rPr>
          <w:rFonts w:ascii="Palatino Linotype" w:hAnsi="Palatino Linotype"/>
          <w:sz w:val="24"/>
          <w:lang w:val="es-ES"/>
        </w:rPr>
        <w:t xml:space="preserve"> </w:t>
      </w:r>
      <w:r w:rsidR="008B7744" w:rsidRPr="00A3364C">
        <w:rPr>
          <w:rFonts w:ascii="Palatino Linotype" w:hAnsi="Palatino Linotype"/>
          <w:b/>
          <w:sz w:val="24"/>
          <w:lang w:val="es-ES"/>
        </w:rPr>
        <w:t>cuando no es una obligación de las autoridades</w:t>
      </w:r>
      <w:r w:rsidR="008B7744" w:rsidRPr="00A3364C">
        <w:rPr>
          <w:rFonts w:ascii="Palatino Linotype" w:hAnsi="Palatino Linotype"/>
          <w:sz w:val="24"/>
          <w:lang w:val="es-ES"/>
        </w:rPr>
        <w:t xml:space="preserve"> tal y como lo señala </w:t>
      </w:r>
      <w:r w:rsidR="008B7744" w:rsidRPr="00A3364C">
        <w:rPr>
          <w:rFonts w:ascii="Palatino Linotype" w:hAnsi="Palatino Linotype" w:cs="Arial"/>
          <w:sz w:val="24"/>
        </w:rPr>
        <w:t xml:space="preserve">el Criterio 09-10, emitido por </w:t>
      </w:r>
      <w:r w:rsidR="008B7744" w:rsidRPr="00A3364C">
        <w:rPr>
          <w:rFonts w:ascii="Palatino Linotype" w:eastAsia="Arial Unicode MS" w:hAnsi="Palatino Linotype" w:cs="Arial"/>
          <w:sz w:val="24"/>
        </w:rPr>
        <w:t xml:space="preserve">el Pleno del entonces </w:t>
      </w:r>
      <w:r w:rsidR="008B7744" w:rsidRPr="00A3364C">
        <w:rPr>
          <w:rFonts w:ascii="Palatino Linotype" w:eastAsia="Arial Unicode MS" w:hAnsi="Palatino Linotype" w:cs="Arial"/>
          <w:bCs/>
          <w:sz w:val="24"/>
        </w:rPr>
        <w:t xml:space="preserve">Instituto Federal de Acceso a la Información y Protección de Datos, </w:t>
      </w:r>
      <w:r w:rsidR="008B7744" w:rsidRPr="00A3364C">
        <w:rPr>
          <w:rFonts w:ascii="Palatino Linotype" w:eastAsia="Arial Unicode MS" w:hAnsi="Palatino Linotype" w:cs="Arial"/>
          <w:sz w:val="24"/>
        </w:rPr>
        <w:t>ahora Instituto Nacional de Transparencia, Acceso a la Información y Protección de Datos Personales,</w:t>
      </w:r>
      <w:r w:rsidR="008B7744" w:rsidRPr="00A3364C">
        <w:rPr>
          <w:rFonts w:ascii="Palatino Linotype" w:hAnsi="Palatino Linotype"/>
          <w:bCs/>
          <w:sz w:val="24"/>
        </w:rPr>
        <w:t xml:space="preserve"> que dice:</w:t>
      </w:r>
      <w:r w:rsidR="008B7744" w:rsidRPr="00A3364C">
        <w:rPr>
          <w:rFonts w:ascii="Palatino Linotype" w:hAnsi="Palatino Linotype"/>
          <w:b/>
          <w:bCs/>
          <w:sz w:val="24"/>
        </w:rPr>
        <w:t xml:space="preserve"> </w:t>
      </w:r>
    </w:p>
    <w:p w14:paraId="2EA19A0B"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lastRenderedPageBreak/>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089F62EE"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Expedientes:</w:t>
      </w:r>
    </w:p>
    <w:p w14:paraId="65A2EA26"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0438/08 Pemex Exploración y Producción – Alonso Lujambio Irazábal</w:t>
      </w:r>
    </w:p>
    <w:p w14:paraId="35FD9BA8"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1751/09 Laboratorios de Biológicos y Reactivos de México S.A. de C.V. –</w:t>
      </w:r>
    </w:p>
    <w:p w14:paraId="5D494C6E"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María Marván Laborde</w:t>
      </w:r>
    </w:p>
    <w:p w14:paraId="6005EDFA"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2868/09 Consejo Nacional de Ciencia y Tecnología – Jacqueline Peschard</w:t>
      </w:r>
    </w:p>
    <w:p w14:paraId="5E877DBD"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Mariscal</w:t>
      </w:r>
    </w:p>
    <w:p w14:paraId="0EEFA769"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5160/09 Secretaría de Hacienda y Crédito Público – Ángel Trinidad Zaldívar</w:t>
      </w:r>
    </w:p>
    <w:p w14:paraId="1AF62244" w14:textId="77777777" w:rsidR="008B7744" w:rsidRPr="00A3364C" w:rsidRDefault="008B7744" w:rsidP="008B7744">
      <w:pPr>
        <w:spacing w:line="360" w:lineRule="auto"/>
        <w:ind w:left="851" w:right="851"/>
        <w:jc w:val="both"/>
        <w:rPr>
          <w:rFonts w:ascii="Palatino Linotype" w:hAnsi="Palatino Linotype" w:cs="Arial"/>
          <w:i/>
          <w:sz w:val="22"/>
          <w:szCs w:val="24"/>
        </w:rPr>
      </w:pPr>
      <w:r w:rsidRPr="00A3364C">
        <w:rPr>
          <w:rFonts w:ascii="Palatino Linotype" w:hAnsi="Palatino Linotype" w:cs="Arial"/>
          <w:i/>
          <w:sz w:val="22"/>
          <w:szCs w:val="24"/>
        </w:rPr>
        <w:t>0304/10 Instituto Nacional de Cancerología – Jacqueline Peschard Mariscal</w:t>
      </w:r>
    </w:p>
    <w:p w14:paraId="6F8D4A3D" w14:textId="797BAB3F" w:rsidR="008B7744" w:rsidRDefault="008B7744" w:rsidP="008B7744">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A3364C">
        <w:rPr>
          <w:rFonts w:ascii="Palatino Linotype" w:hAnsi="Palatino Linotype"/>
          <w:sz w:val="24"/>
          <w:lang w:val="es-ES"/>
        </w:rPr>
        <w:t xml:space="preserve">Entonces, dado a que el criterio en mención establece que las autoridades </w:t>
      </w:r>
      <w:r w:rsidRPr="00A3364C">
        <w:rPr>
          <w:rFonts w:ascii="Palatino Linotype" w:hAnsi="Palatino Linotype"/>
          <w:b/>
          <w:sz w:val="24"/>
          <w:lang w:val="es-ES"/>
        </w:rPr>
        <w:t xml:space="preserve">no están obligadas a generar documentos “ad hoc” </w:t>
      </w:r>
      <w:r w:rsidRPr="00A3364C">
        <w:rPr>
          <w:rFonts w:ascii="Palatino Linotype" w:hAnsi="Palatino Linotype"/>
          <w:sz w:val="24"/>
          <w:lang w:val="es-ES"/>
        </w:rPr>
        <w:t xml:space="preserve">en contrario sensu, dicho criterio se puede interpretar resultando que las autoridades no están impedidas a generar documentos “ad hoc”, esto, siempre que con dicho documento elaborado se dé cabal cumplimiento a los requerimientos planteados. Es así que con la información vertida en el documento remitido en respuesta se colma con lo que inicialmente fue </w:t>
      </w:r>
      <w:r w:rsidRPr="00A3364C">
        <w:rPr>
          <w:rFonts w:ascii="Palatino Linotype" w:hAnsi="Palatino Linotype"/>
          <w:sz w:val="24"/>
          <w:lang w:val="es-ES"/>
        </w:rPr>
        <w:lastRenderedPageBreak/>
        <w:t xml:space="preserve">requerido, toda vez que se aprecia la estadística con el número de planteles educativos de nivel básico, medio superior y superior, estatales y federales en el Municipio. </w:t>
      </w:r>
    </w:p>
    <w:p w14:paraId="6DABDF60" w14:textId="77777777" w:rsidR="00A3364C" w:rsidRPr="00A3364C" w:rsidRDefault="00A3364C" w:rsidP="00A3364C">
      <w:pPr>
        <w:tabs>
          <w:tab w:val="left" w:pos="851"/>
        </w:tabs>
        <w:spacing w:before="240" w:after="240" w:line="360" w:lineRule="auto"/>
        <w:ind w:right="49"/>
        <w:jc w:val="both"/>
        <w:rPr>
          <w:rFonts w:ascii="Palatino Linotype" w:hAnsi="Palatino Linotype"/>
          <w:sz w:val="24"/>
          <w:lang w:val="es-ES"/>
        </w:rPr>
      </w:pPr>
    </w:p>
    <w:p w14:paraId="10D576CF" w14:textId="08939594" w:rsidR="008B7744" w:rsidRPr="00A3364C" w:rsidRDefault="008B7744" w:rsidP="00FF687A">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hAnsi="Palatino Linotype" w:cs="Arial"/>
          <w:bCs/>
          <w:sz w:val="24"/>
        </w:rPr>
        <w:t>Y bajo la óptica de que este órgano garante no puede dudar de la veracidad de la información que se proporcione, aquellos datos que se informen no serán sujetos a dudar de los mismos</w:t>
      </w:r>
      <w:r w:rsidRPr="00A3364C">
        <w:rPr>
          <w:rFonts w:ascii="Palatino Linotype" w:eastAsia="Calibri" w:hAnsi="Palatino Linotype" w:cs="Arial"/>
          <w:color w:val="000000" w:themeColor="text1"/>
          <w:sz w:val="24"/>
          <w:lang w:val="es-ES"/>
        </w:rPr>
        <w:t xml:space="preserve">, </w:t>
      </w:r>
      <w:r w:rsidRPr="00A3364C">
        <w:rPr>
          <w:rFonts w:ascii="Palatino Linotype" w:hAnsi="Palatino Linotype" w:cs="Arial"/>
          <w:sz w:val="24"/>
        </w:rPr>
        <w:t xml:space="preserve">situación que se aleja de las atribuciones de este Instituto </w:t>
      </w:r>
      <w:r w:rsidRPr="00A3364C">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r w:rsidR="00FF687A" w:rsidRPr="00A3364C">
        <w:rPr>
          <w:rFonts w:ascii="Palatino Linotype" w:eastAsia="Calibri" w:hAnsi="Palatino Linotype" w:cs="Arial"/>
          <w:color w:val="000000" w:themeColor="text1"/>
          <w:sz w:val="24"/>
          <w:lang w:val="es-ES"/>
        </w:rPr>
        <w:t xml:space="preserve"> </w:t>
      </w:r>
      <w:r w:rsidRPr="00A3364C">
        <w:rPr>
          <w:rFonts w:ascii="Palatino Linotype" w:hAnsi="Palatino Linotype"/>
          <w:sz w:val="24"/>
        </w:rPr>
        <w:t>Sirviendo de apoyo a lo anterior por analogía, el criterio 31-10 emitido por el ahora Instituto Nacional de Transparencia, Acceso a la Información y Protección de Datos Personales, que a la letra dice:</w:t>
      </w:r>
    </w:p>
    <w:p w14:paraId="683B99BF" w14:textId="77777777" w:rsidR="008B7744" w:rsidRPr="00A3364C" w:rsidRDefault="008B7744" w:rsidP="00FF687A">
      <w:pPr>
        <w:pStyle w:val="Default"/>
        <w:spacing w:before="240" w:after="360" w:line="360" w:lineRule="auto"/>
        <w:ind w:left="851" w:right="850"/>
        <w:jc w:val="both"/>
        <w:rPr>
          <w:rFonts w:ascii="Palatino Linotype" w:hAnsi="Palatino Linotype"/>
          <w:i/>
          <w:sz w:val="22"/>
        </w:rPr>
      </w:pPr>
      <w:r w:rsidRPr="00A3364C">
        <w:rPr>
          <w:rFonts w:ascii="Palatino Linotype" w:hAnsi="Palatino Linotype"/>
          <w:i/>
          <w:sz w:val="22"/>
        </w:rPr>
        <w:t xml:space="preserve">El Instituto Federal de Acceso a la Información y Protección de Datos </w:t>
      </w:r>
      <w:r w:rsidRPr="00A3364C">
        <w:rPr>
          <w:rFonts w:ascii="Palatino Linotype" w:hAnsi="Palatino Linotype"/>
          <w:b/>
          <w:i/>
          <w:sz w:val="22"/>
        </w:rPr>
        <w:t>no cuenta con facultades para pronunciarse respecto de la veracidad de los documentos proporcionados por los sujetos obligados.</w:t>
      </w:r>
      <w:r w:rsidRPr="00A3364C">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w:t>
      </w:r>
      <w:r w:rsidRPr="00A3364C">
        <w:rPr>
          <w:rFonts w:ascii="Palatino Linotype" w:hAnsi="Palatino Linotype"/>
          <w:i/>
          <w:sz w:val="22"/>
        </w:rPr>
        <w:lastRenderedPageBreak/>
        <w:t>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1861737" w14:textId="77777777" w:rsidR="008B7744" w:rsidRPr="00A3364C" w:rsidRDefault="008B7744" w:rsidP="00FF687A">
      <w:pPr>
        <w:pStyle w:val="Prrafodelista"/>
        <w:numPr>
          <w:ilvl w:val="0"/>
          <w:numId w:val="2"/>
        </w:numPr>
        <w:spacing w:line="360" w:lineRule="auto"/>
        <w:ind w:left="0" w:firstLine="0"/>
        <w:jc w:val="both"/>
        <w:rPr>
          <w:rFonts w:ascii="Palatino Linotype" w:hAnsi="Palatino Linotype" w:cs="Arial"/>
          <w:sz w:val="24"/>
        </w:rPr>
      </w:pPr>
      <w:r w:rsidRPr="00A3364C">
        <w:rPr>
          <w:rFonts w:ascii="Palatino Linotype" w:hAnsi="Palatino Linotype" w:cs="Arial"/>
          <w:sz w:val="24"/>
        </w:rPr>
        <w:t xml:space="preserve">Así mismo, la </w:t>
      </w:r>
      <w:r w:rsidRPr="00A3364C">
        <w:rPr>
          <w:rFonts w:ascii="Palatino Linotype" w:hAnsi="Palatino Linotype" w:cs="Arial"/>
          <w:b/>
          <w:sz w:val="24"/>
        </w:rPr>
        <w:t>Ley de Transparencia y Acceso a la Información Pública del Estado de México y Municipios</w:t>
      </w:r>
      <w:r w:rsidRPr="00A3364C">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0DE2D4B" w14:textId="77777777" w:rsidR="008B7744" w:rsidRPr="00A3364C" w:rsidRDefault="008B7744" w:rsidP="00FF687A">
      <w:pPr>
        <w:spacing w:line="360" w:lineRule="auto"/>
        <w:ind w:left="851" w:right="822"/>
        <w:jc w:val="both"/>
        <w:rPr>
          <w:rFonts w:ascii="Palatino Linotype" w:hAnsi="Palatino Linotype" w:cs="Arial"/>
          <w:b/>
          <w:i/>
          <w:sz w:val="22"/>
          <w:szCs w:val="24"/>
        </w:rPr>
      </w:pPr>
      <w:r w:rsidRPr="00A3364C">
        <w:rPr>
          <w:rFonts w:ascii="Palatino Linotype" w:hAnsi="Palatino Linotype" w:cs="Arial"/>
          <w:i/>
          <w:sz w:val="22"/>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A3364C">
        <w:rPr>
          <w:rFonts w:ascii="Palatino Linotype" w:hAnsi="Palatino Linotype" w:cs="Arial"/>
          <w:b/>
          <w:i/>
          <w:sz w:val="22"/>
          <w:szCs w:val="24"/>
        </w:rPr>
        <w:t>Los Sujetos Obligados deben poner en práctica, políticas y programas de acceso a la información que se apeguen a criterios de publicidad, veracidad, oportunidad, precisión y suficiencia en beneficio de los solicitantes.</w:t>
      </w:r>
    </w:p>
    <w:p w14:paraId="267C6B11" w14:textId="77777777" w:rsidR="008B7744" w:rsidRPr="00A3364C" w:rsidRDefault="008B7744" w:rsidP="00FF687A">
      <w:pPr>
        <w:pStyle w:val="Prrafodelista"/>
        <w:tabs>
          <w:tab w:val="left" w:pos="709"/>
        </w:tabs>
        <w:spacing w:line="360" w:lineRule="auto"/>
        <w:ind w:left="4613" w:right="51"/>
        <w:jc w:val="both"/>
        <w:rPr>
          <w:rFonts w:ascii="Palatino Linotype" w:hAnsi="Palatino Linotype" w:cs="Arial"/>
          <w:noProof/>
          <w:sz w:val="24"/>
          <w:lang w:eastAsia="es-MX"/>
        </w:rPr>
      </w:pPr>
    </w:p>
    <w:p w14:paraId="0E243655" w14:textId="77777777" w:rsidR="008B7744" w:rsidRPr="00A3364C" w:rsidRDefault="008B7744" w:rsidP="00FF687A">
      <w:pPr>
        <w:pStyle w:val="Prrafodelista"/>
        <w:numPr>
          <w:ilvl w:val="0"/>
          <w:numId w:val="2"/>
        </w:numPr>
        <w:tabs>
          <w:tab w:val="left" w:pos="709"/>
        </w:tabs>
        <w:spacing w:line="360" w:lineRule="auto"/>
        <w:ind w:left="0" w:right="51" w:firstLine="0"/>
        <w:jc w:val="both"/>
        <w:rPr>
          <w:rFonts w:ascii="Palatino Linotype" w:hAnsi="Palatino Linotype" w:cs="Arial"/>
          <w:noProof/>
          <w:sz w:val="24"/>
          <w:lang w:eastAsia="es-MX"/>
        </w:rPr>
      </w:pPr>
      <w:r w:rsidRPr="00A3364C">
        <w:rPr>
          <w:rFonts w:ascii="Palatino Linotype" w:hAnsi="Palatino Linotype" w:cs="Arial"/>
          <w:noProof/>
          <w:sz w:val="24"/>
          <w:lang w:eastAsia="es-MX"/>
        </w:rPr>
        <w:t xml:space="preserve">Numerales que compelen al </w:t>
      </w:r>
      <w:r w:rsidRPr="00A3364C">
        <w:rPr>
          <w:rFonts w:ascii="Palatino Linotype" w:hAnsi="Palatino Linotype" w:cs="Arial"/>
          <w:b/>
          <w:noProof/>
          <w:sz w:val="24"/>
          <w:lang w:eastAsia="es-MX"/>
        </w:rPr>
        <w:t>SUJETO OBLIGADO</w:t>
      </w:r>
      <w:r w:rsidRPr="00A3364C">
        <w:rPr>
          <w:rFonts w:ascii="Palatino Linotype" w:hAnsi="Palatino Linotype" w:cs="Arial"/>
          <w:noProof/>
          <w:sz w:val="24"/>
          <w:lang w:eastAsia="es-MX"/>
        </w:rPr>
        <w:t xml:space="preserve"> a apegarse en todo momento a los criterios ya expuestos, imipidiendo a este Órgano Colegiado cuestionar la veracidad de la información.</w:t>
      </w:r>
    </w:p>
    <w:p w14:paraId="63E4DD4F" w14:textId="77777777" w:rsidR="00082903" w:rsidRPr="00A3364C" w:rsidRDefault="00082903" w:rsidP="00FF687A">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lastRenderedPageBreak/>
        <w:t xml:space="preserve">Así, </w:t>
      </w:r>
      <w:r w:rsidRPr="00A3364C">
        <w:rPr>
          <w:rFonts w:ascii="Palatino Linotype" w:eastAsia="Calibri" w:hAnsi="Palatino Linotype"/>
          <w:sz w:val="24"/>
        </w:rPr>
        <w:t xml:space="preserve">este Pleno advierte que el </w:t>
      </w:r>
      <w:r w:rsidRPr="00A3364C">
        <w:rPr>
          <w:rFonts w:ascii="Palatino Linotype" w:eastAsia="Calibri" w:hAnsi="Palatino Linotype"/>
          <w:b/>
          <w:sz w:val="24"/>
        </w:rPr>
        <w:t>SUJETO OBLIGADO</w:t>
      </w:r>
      <w:r w:rsidRPr="00A3364C">
        <w:rPr>
          <w:rFonts w:ascii="Palatino Linotype" w:eastAsia="Calibri" w:hAnsi="Palatino Linotype"/>
          <w:sz w:val="24"/>
        </w:rPr>
        <w:t xml:space="preserve"> </w:t>
      </w:r>
      <w:r w:rsidRPr="00A3364C">
        <w:rPr>
          <w:rFonts w:ascii="Palatino Linotype" w:eastAsia="Calibri" w:hAnsi="Palatino Linotype"/>
          <w:b/>
          <w:sz w:val="24"/>
        </w:rPr>
        <w:t xml:space="preserve">modificó </w:t>
      </w:r>
      <w:r w:rsidRPr="00A3364C">
        <w:rPr>
          <w:rFonts w:ascii="Palatino Linotype" w:eastAsia="Calibri" w:hAnsi="Palatino Linotype"/>
          <w:sz w:val="24"/>
        </w:rPr>
        <w:t>el acto que le dio origen a los recursos de revisión, lo que trae como consecuencia que el mismo quede sin materia, actualizándose de este modo, la hipótesis jurídica contenida en la fracción III del artículo 192 de la Ley de Transparencia Local.</w:t>
      </w:r>
    </w:p>
    <w:p w14:paraId="5E0B0EE4" w14:textId="77777777" w:rsidR="00082903" w:rsidRPr="00A3364C" w:rsidRDefault="00082903" w:rsidP="00082903">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69472FF2" w14:textId="77777777" w:rsidR="00082903" w:rsidRPr="00A3364C" w:rsidRDefault="00082903" w:rsidP="00082903">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Ahora bien, </w:t>
      </w:r>
      <w:r w:rsidRPr="00A3364C">
        <w:rPr>
          <w:rFonts w:ascii="Palatino Linotype" w:eastAsia="Calibri" w:hAnsi="Palatino Linotype"/>
          <w:sz w:val="24"/>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A3364C">
        <w:rPr>
          <w:rFonts w:ascii="Palatino Linotype" w:eastAsia="Calibri" w:hAnsi="Palatino Linotype"/>
          <w:b/>
          <w:sz w:val="24"/>
        </w:rPr>
        <w:t>SUJETOS OBLIGADOS</w:t>
      </w:r>
      <w:r w:rsidRPr="00A3364C">
        <w:rPr>
          <w:rFonts w:ascii="Palatino Linotype" w:eastAsia="Calibri" w:hAnsi="Palatino Linotype"/>
          <w:sz w:val="24"/>
        </w:rPr>
        <w:t xml:space="preserve"> o la negativa de entrega de esta, derivada de la solicitud de información pública.</w:t>
      </w:r>
    </w:p>
    <w:p w14:paraId="6B073F10" w14:textId="77777777" w:rsidR="00082903" w:rsidRPr="00A3364C" w:rsidRDefault="00082903" w:rsidP="00082903">
      <w:pPr>
        <w:rPr>
          <w:rFonts w:ascii="Palatino Linotype" w:eastAsia="Calibri" w:hAnsi="Palatino Linotype" w:cs="Arial"/>
          <w:color w:val="000000" w:themeColor="text1"/>
          <w:sz w:val="24"/>
          <w:szCs w:val="24"/>
          <w:lang w:val="es-ES"/>
        </w:rPr>
      </w:pPr>
    </w:p>
    <w:p w14:paraId="100B3516" w14:textId="77777777" w:rsidR="00082903" w:rsidRPr="00A3364C" w:rsidRDefault="00082903" w:rsidP="00082903">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De </w:t>
      </w:r>
      <w:r w:rsidRPr="00A3364C">
        <w:rPr>
          <w:rFonts w:ascii="Palatino Linotype" w:eastAsia="Calibri" w:hAnsi="Palatino Linotype"/>
          <w:sz w:val="24"/>
        </w:rPr>
        <w:t xml:space="preserve">este modo, cuando el </w:t>
      </w:r>
      <w:r w:rsidRPr="00A3364C">
        <w:rPr>
          <w:rFonts w:ascii="Palatino Linotype" w:eastAsia="Calibri" w:hAnsi="Palatino Linotype"/>
          <w:b/>
          <w:sz w:val="24"/>
        </w:rPr>
        <w:t xml:space="preserve">SUJETO OBLIGADO, </w:t>
      </w:r>
      <w:r w:rsidRPr="00A3364C">
        <w:rPr>
          <w:rFonts w:ascii="Palatino Linotype" w:eastAsia="Calibri" w:hAnsi="Palatino Linotype"/>
          <w:sz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A3364C">
        <w:rPr>
          <w:rFonts w:ascii="Palatino Linotype" w:eastAsia="Calibri" w:hAnsi="Palatino Linotype"/>
          <w:i/>
          <w:sz w:val="24"/>
        </w:rPr>
        <w:t>litis</w:t>
      </w:r>
      <w:r w:rsidRPr="00A3364C">
        <w:rPr>
          <w:rFonts w:ascii="Palatino Linotype" w:eastAsia="Calibri" w:hAnsi="Palatino Linotype"/>
          <w:sz w:val="24"/>
        </w:rPr>
        <w:t xml:space="preserve"> planteada, debido a que la afectación en su esfera de derechos fue restituida por la propia autoridad que emitió el acto motivo de impugnación.</w:t>
      </w:r>
    </w:p>
    <w:p w14:paraId="1900529A" w14:textId="77777777" w:rsidR="00082903" w:rsidRPr="00A3364C" w:rsidRDefault="00082903" w:rsidP="00082903">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3C6DADF8" w14:textId="77777777" w:rsidR="00082903" w:rsidRPr="00A3364C" w:rsidRDefault="00082903" w:rsidP="00082903">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Sirve </w:t>
      </w:r>
      <w:r w:rsidRPr="00A3364C">
        <w:rPr>
          <w:rFonts w:ascii="Palatino Linotype" w:eastAsia="Calibri" w:hAnsi="Palatino Linotype"/>
          <w:sz w:val="24"/>
        </w:rPr>
        <w:t>de sustento a lo anterior la siguiente jurisprudencia por contradicción, cuyo rubro, texto y datos de identificación son los siguientes:</w:t>
      </w:r>
    </w:p>
    <w:p w14:paraId="56B7DCA2" w14:textId="77777777" w:rsidR="00082903" w:rsidRPr="00A3364C" w:rsidRDefault="00082903" w:rsidP="00082903">
      <w:pPr>
        <w:rPr>
          <w:rFonts w:ascii="Palatino Linotype" w:eastAsia="Calibri" w:hAnsi="Palatino Linotype" w:cs="Arial"/>
          <w:color w:val="000000" w:themeColor="text1"/>
          <w:sz w:val="24"/>
          <w:szCs w:val="24"/>
          <w:lang w:val="es-ES"/>
        </w:rPr>
      </w:pPr>
    </w:p>
    <w:p w14:paraId="66980F03" w14:textId="77777777" w:rsidR="00082903" w:rsidRPr="00A3364C" w:rsidRDefault="00082903" w:rsidP="00082903">
      <w:pPr>
        <w:pStyle w:val="Prrafodelista"/>
        <w:tabs>
          <w:tab w:val="left" w:pos="426"/>
          <w:tab w:val="left" w:pos="567"/>
        </w:tabs>
        <w:spacing w:line="360" w:lineRule="auto"/>
        <w:ind w:left="567" w:right="565"/>
        <w:jc w:val="both"/>
        <w:rPr>
          <w:rFonts w:ascii="Palatino Linotype" w:eastAsia="Calibri" w:hAnsi="Palatino Linotype" w:cs="Arial"/>
          <w:color w:val="000000" w:themeColor="text1"/>
          <w:lang w:val="es-ES"/>
        </w:rPr>
      </w:pPr>
      <w:r w:rsidRPr="00A3364C">
        <w:rPr>
          <w:rFonts w:ascii="Palatino Linotype" w:eastAsia="Calibri" w:hAnsi="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A3364C">
        <w:rPr>
          <w:rFonts w:ascii="Palatino Linotype" w:eastAsia="Calibri"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7284CFF6" w14:textId="77777777" w:rsidR="00082903" w:rsidRPr="00A3364C" w:rsidRDefault="00082903" w:rsidP="00082903">
      <w:pPr>
        <w:rPr>
          <w:rFonts w:ascii="Palatino Linotype" w:eastAsia="Calibri" w:hAnsi="Palatino Linotype" w:cs="Arial"/>
          <w:color w:val="000000" w:themeColor="text1"/>
          <w:sz w:val="24"/>
          <w:szCs w:val="24"/>
          <w:lang w:val="es-ES"/>
        </w:rPr>
      </w:pPr>
    </w:p>
    <w:p w14:paraId="6C2B0374" w14:textId="77777777" w:rsidR="00082903" w:rsidRPr="00A3364C" w:rsidRDefault="00082903" w:rsidP="00082903">
      <w:pPr>
        <w:pStyle w:val="Prrafodelista"/>
        <w:numPr>
          <w:ilvl w:val="0"/>
          <w:numId w:val="2"/>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La </w:t>
      </w:r>
      <w:r w:rsidRPr="00A3364C">
        <w:rPr>
          <w:rFonts w:ascii="Palatino Linotype" w:eastAsia="Calibri" w:hAnsi="Palatino Linotype"/>
          <w:sz w:val="24"/>
        </w:rPr>
        <w:t xml:space="preserve">anterior jurisprudencia resulta aplicable al presente asunto, en dos aspectos: </w:t>
      </w:r>
    </w:p>
    <w:p w14:paraId="49307958" w14:textId="77777777" w:rsidR="00082903" w:rsidRPr="00A3364C" w:rsidRDefault="00082903" w:rsidP="00082903">
      <w:pPr>
        <w:pStyle w:val="Prrafodelista"/>
        <w:tabs>
          <w:tab w:val="left" w:pos="426"/>
          <w:tab w:val="left" w:pos="567"/>
        </w:tabs>
        <w:spacing w:line="360" w:lineRule="auto"/>
        <w:ind w:left="0"/>
        <w:jc w:val="both"/>
        <w:rPr>
          <w:rFonts w:ascii="Palatino Linotype" w:eastAsia="Calibri" w:hAnsi="Palatino Linotype"/>
          <w:sz w:val="24"/>
        </w:rPr>
      </w:pPr>
    </w:p>
    <w:p w14:paraId="63ABF6B7" w14:textId="77777777" w:rsidR="00082903" w:rsidRPr="00A3364C" w:rsidRDefault="00082903" w:rsidP="00082903">
      <w:pPr>
        <w:numPr>
          <w:ilvl w:val="0"/>
          <w:numId w:val="12"/>
        </w:numPr>
        <w:spacing w:line="360" w:lineRule="auto"/>
        <w:ind w:left="567" w:right="616" w:firstLine="0"/>
        <w:contextualSpacing/>
        <w:jc w:val="both"/>
        <w:rPr>
          <w:rFonts w:ascii="Palatino Linotype" w:eastAsia="Calibri" w:hAnsi="Palatino Linotype"/>
          <w:sz w:val="22"/>
          <w:szCs w:val="24"/>
        </w:rPr>
      </w:pPr>
      <w:r w:rsidRPr="00A3364C">
        <w:rPr>
          <w:rFonts w:ascii="Palatino Linotype" w:eastAsia="Calibri" w:hAnsi="Palatino Linotype"/>
          <w:b/>
          <w:sz w:val="22"/>
          <w:szCs w:val="24"/>
        </w:rPr>
        <w:lastRenderedPageBreak/>
        <w:t>La cesación de los efectos perniciosos del acto de autoridad:</w:t>
      </w:r>
      <w:r w:rsidRPr="00A3364C">
        <w:rPr>
          <w:rFonts w:ascii="Palatino Linotype" w:eastAsia="Calibri" w:hAnsi="Palatino Linotype"/>
          <w:sz w:val="22"/>
          <w:szCs w:val="24"/>
        </w:rPr>
        <w:t xml:space="preserve"> Al respecto, la Ley de Transparencia contempla la figura jurídica del sobreseimiento cuando el </w:t>
      </w:r>
      <w:r w:rsidRPr="00A3364C">
        <w:rPr>
          <w:rFonts w:ascii="Palatino Linotype" w:eastAsia="Calibri" w:hAnsi="Palatino Linotype"/>
          <w:b/>
          <w:sz w:val="22"/>
          <w:szCs w:val="24"/>
        </w:rPr>
        <w:t>SUJETO OBLIGADO</w:t>
      </w:r>
      <w:r w:rsidRPr="00A3364C">
        <w:rPr>
          <w:rFonts w:ascii="Palatino Linotype" w:eastAsia="Calibri" w:hAnsi="Palatino Linotype"/>
          <w:sz w:val="22"/>
          <w:szCs w:val="24"/>
        </w:rPr>
        <w:t xml:space="preserve"> de </w:t>
      </w:r>
      <w:r w:rsidRPr="00A3364C">
        <w:rPr>
          <w:rFonts w:ascii="Palatino Linotype" w:eastAsia="Calibri" w:hAnsi="Palatino Linotype"/>
          <w:i/>
          <w:sz w:val="22"/>
          <w:szCs w:val="24"/>
        </w:rPr>
        <w:t>motu proprio</w:t>
      </w:r>
      <w:r w:rsidRPr="00A3364C">
        <w:rPr>
          <w:rFonts w:ascii="Palatino Linotype" w:eastAsia="Calibri" w:hAnsi="Palatino Linotype"/>
          <w:sz w:val="22"/>
          <w:szCs w:val="24"/>
        </w:rPr>
        <w:t xml:space="preserve"> modifica o revoca de tal manera el acto motivo de la impugnación que lo deja sin materia; es decir, cesan los efectos de éste y el derecho de acceso a la información pública se encuentra satisfecho.</w:t>
      </w:r>
    </w:p>
    <w:p w14:paraId="5724AAD6" w14:textId="77777777" w:rsidR="00082903" w:rsidRPr="00A3364C" w:rsidRDefault="00082903" w:rsidP="00082903">
      <w:pPr>
        <w:spacing w:line="360" w:lineRule="auto"/>
        <w:ind w:left="567" w:right="616"/>
        <w:contextualSpacing/>
        <w:rPr>
          <w:rFonts w:ascii="Palatino Linotype" w:eastAsia="Calibri" w:hAnsi="Palatino Linotype"/>
          <w:sz w:val="22"/>
          <w:szCs w:val="24"/>
        </w:rPr>
      </w:pPr>
    </w:p>
    <w:p w14:paraId="34BAC436" w14:textId="77777777" w:rsidR="00082903" w:rsidRPr="00A3364C" w:rsidRDefault="00082903" w:rsidP="00082903">
      <w:pPr>
        <w:numPr>
          <w:ilvl w:val="0"/>
          <w:numId w:val="12"/>
        </w:numPr>
        <w:spacing w:line="360" w:lineRule="auto"/>
        <w:ind w:left="567" w:right="616" w:firstLine="0"/>
        <w:contextualSpacing/>
        <w:jc w:val="both"/>
        <w:rPr>
          <w:rFonts w:ascii="Palatino Linotype" w:eastAsia="Calibri" w:hAnsi="Palatino Linotype"/>
          <w:sz w:val="22"/>
          <w:szCs w:val="24"/>
        </w:rPr>
      </w:pPr>
      <w:r w:rsidRPr="00A3364C">
        <w:rPr>
          <w:rFonts w:ascii="Palatino Linotype" w:eastAsia="Calibri" w:hAnsi="Palatino Linotype"/>
          <w:b/>
          <w:sz w:val="22"/>
          <w:szCs w:val="24"/>
        </w:rPr>
        <w:t>El momento procesal para modificar el acto impugnado:</w:t>
      </w:r>
      <w:r w:rsidRPr="00A3364C">
        <w:rPr>
          <w:rFonts w:ascii="Palatino Linotype" w:eastAsia="Calibri" w:hAnsi="Palatino Linotype"/>
          <w:sz w:val="22"/>
          <w:szCs w:val="24"/>
        </w:rPr>
        <w:t xml:space="preserve"> Para que se actualice el sobreseimiento de un recurso de revisión, el </w:t>
      </w:r>
      <w:r w:rsidRPr="00A3364C">
        <w:rPr>
          <w:rFonts w:ascii="Palatino Linotype" w:eastAsia="Calibri" w:hAnsi="Palatino Linotype"/>
          <w:b/>
          <w:sz w:val="22"/>
          <w:szCs w:val="24"/>
        </w:rPr>
        <w:t>SUJETO OBLIGADO</w:t>
      </w:r>
      <w:r w:rsidRPr="00A3364C">
        <w:rPr>
          <w:rFonts w:ascii="Palatino Linotype" w:eastAsia="Calibri" w:hAnsi="Palatino Linotype"/>
          <w:sz w:val="22"/>
          <w:szCs w:val="24"/>
        </w:rPr>
        <w:t xml:space="preserve"> puede entregar o completar la información al momento de rendir su informe de justificación o </w:t>
      </w:r>
      <w:r w:rsidRPr="00A3364C">
        <w:rPr>
          <w:rFonts w:ascii="Palatino Linotype" w:eastAsia="Calibri" w:hAnsi="Palatino Linotype"/>
          <w:b/>
          <w:sz w:val="22"/>
          <w:szCs w:val="24"/>
          <w:u w:val="single"/>
        </w:rPr>
        <w:t>posteriormente</w:t>
      </w:r>
      <w:r w:rsidRPr="00A3364C">
        <w:rPr>
          <w:rFonts w:ascii="Palatino Linotype" w:eastAsia="Calibri" w:hAnsi="Palatino Linotype"/>
          <w:sz w:val="22"/>
          <w:szCs w:val="24"/>
        </w:rPr>
        <w:t xml:space="preserve"> a éste, siempre y cuando el Pleno del Instituto no haya dictado resolución definitiva.</w:t>
      </w:r>
    </w:p>
    <w:p w14:paraId="7C0617BE" w14:textId="77777777" w:rsidR="00082903" w:rsidRPr="00A3364C" w:rsidRDefault="00082903" w:rsidP="00082903">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10C9C2D8" w14:textId="77777777" w:rsidR="00082903" w:rsidRPr="00A3364C" w:rsidRDefault="00082903" w:rsidP="00082903">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Eduardo Pallares, </w:t>
      </w:r>
      <w:r w:rsidRPr="00A3364C">
        <w:rPr>
          <w:rFonts w:ascii="Palatino Linotype" w:eastAsia="Calibri" w:hAnsi="Palatino Linotype"/>
          <w:sz w:val="24"/>
        </w:rPr>
        <w:t xml:space="preserve">en su artículo </w:t>
      </w:r>
      <w:r w:rsidRPr="00A3364C">
        <w:rPr>
          <w:rFonts w:ascii="Palatino Linotype" w:eastAsia="Calibri" w:hAnsi="Palatino Linotype"/>
          <w:i/>
          <w:sz w:val="24"/>
        </w:rPr>
        <w:t>“La caducidad y el sobreseimiento en el amparo”</w:t>
      </w:r>
      <w:r w:rsidRPr="00A3364C">
        <w:rPr>
          <w:rFonts w:ascii="Palatino Linotype" w:eastAsia="Calibri" w:hAnsi="Palatino Linotype"/>
          <w:sz w:val="24"/>
        </w:rPr>
        <w:t xml:space="preserve">, cita la definición de Aguilera Paz, aduciendo que se </w:t>
      </w:r>
      <w:r w:rsidRPr="00A3364C">
        <w:rPr>
          <w:rFonts w:ascii="Palatino Linotype" w:eastAsia="Calibri" w:hAnsi="Palatino Linotype"/>
          <w:i/>
          <w:sz w:val="24"/>
        </w:rPr>
        <w:t>“...entiende por sobreseimiento en el tecnicismo forense, el hecho de cesar en el procedimiento o curso de la causa, por no existir méritos bastantes para entrar en un juicio o para entablar la contienda judicial que debe ser objeto del mismo...”</w:t>
      </w:r>
      <w:r w:rsidRPr="00A3364C">
        <w:rPr>
          <w:rFonts w:ascii="Palatino Linotype" w:eastAsia="Calibri" w:hAnsi="Palatino Linotype"/>
          <w:sz w:val="24"/>
        </w:rPr>
        <w:t>. Asimismo, señala que existe el sobreseimiento provisional y el definitivo</w:t>
      </w:r>
      <w:r w:rsidRPr="00A3364C">
        <w:rPr>
          <w:rFonts w:ascii="Palatino Linotype" w:eastAsia="Calibri" w:hAnsi="Palatino Linotype"/>
          <w:i/>
          <w:sz w:val="24"/>
        </w:rPr>
        <w:t>: “...el definitivo es una verdadera sentencia que pone fin al juicio, y que una vez dictada, produce cosa juzgada, mientras que el provisorio tiene por efectos suspender la prosecución de la causa...”</w:t>
      </w:r>
    </w:p>
    <w:p w14:paraId="2744A4D3" w14:textId="77777777" w:rsidR="00082903" w:rsidRPr="00A3364C" w:rsidRDefault="00082903" w:rsidP="00082903">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0F73E9A7" w14:textId="77777777" w:rsidR="00082903" w:rsidRPr="00A3364C" w:rsidRDefault="00082903" w:rsidP="00082903">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Así, </w:t>
      </w:r>
      <w:r w:rsidRPr="00A3364C">
        <w:rPr>
          <w:rFonts w:ascii="Palatino Linotype" w:eastAsia="Calibri" w:hAnsi="Palatino Linotype"/>
          <w:sz w:val="24"/>
        </w:rPr>
        <w:t xml:space="preserve">para la doctrina el sobreseimiento provoca que un procedimiento se suspenda o se resuelva en definitiva </w:t>
      </w:r>
      <w:r w:rsidRPr="00A3364C">
        <w:rPr>
          <w:rFonts w:ascii="Palatino Linotype" w:eastAsia="Calibri" w:hAnsi="Palatino Linotype"/>
          <w:b/>
          <w:sz w:val="24"/>
          <w:u w:val="single"/>
        </w:rPr>
        <w:t xml:space="preserve">sin que se entre al estudio de los agravios o </w:t>
      </w:r>
      <w:r w:rsidRPr="00A3364C">
        <w:rPr>
          <w:rFonts w:ascii="Palatino Linotype" w:eastAsia="Calibri" w:hAnsi="Palatino Linotype"/>
          <w:b/>
          <w:sz w:val="24"/>
          <w:u w:val="single"/>
        </w:rPr>
        <w:lastRenderedPageBreak/>
        <w:t xml:space="preserve">motivos de inconformidad. </w:t>
      </w:r>
      <w:r w:rsidRPr="00A3364C">
        <w:rPr>
          <w:rFonts w:ascii="Palatino Linotype" w:eastAsia="Calibri" w:hAnsi="Palatino Linotype"/>
          <w:sz w:val="24"/>
        </w:rPr>
        <w:t>Este mismo criterio es compartido por el más alto tribunal del país en múltiples jurisprudencias, por lo que a continuación se agrega una de ellas que sirve como orientador en esta resolución:</w:t>
      </w:r>
    </w:p>
    <w:p w14:paraId="1F470AA6" w14:textId="77777777" w:rsidR="00082903" w:rsidRPr="00A3364C" w:rsidRDefault="00082903" w:rsidP="00082903">
      <w:pPr>
        <w:spacing w:line="360" w:lineRule="auto"/>
        <w:ind w:left="567" w:right="565"/>
        <w:contextualSpacing/>
        <w:jc w:val="both"/>
        <w:rPr>
          <w:rFonts w:ascii="Palatino Linotype" w:eastAsia="Calibri" w:hAnsi="Palatino Linotype"/>
          <w:i/>
          <w:sz w:val="22"/>
          <w:szCs w:val="24"/>
          <w:lang w:val="es-AR"/>
        </w:rPr>
      </w:pPr>
      <w:r w:rsidRPr="00A3364C">
        <w:rPr>
          <w:rFonts w:ascii="Palatino Linotype" w:eastAsia="Calibri" w:hAnsi="Palatino Linotype"/>
          <w:b/>
          <w:i/>
          <w:sz w:val="22"/>
          <w:szCs w:val="24"/>
          <w:lang w:val="es-AR"/>
        </w:rPr>
        <w:t>SOBRESEIMIENTO EN EL JUICIO DE AMPARO DIRECTO. IMPIDE EL ESTUDIO DE LAS VIOLACIONES PROCESALES PLANTEADAS EN LOS CONCEPTOS DE VIOLACIÓN. El sobreseimiento</w:t>
      </w:r>
      <w:r w:rsidRPr="00A3364C">
        <w:rPr>
          <w:rFonts w:ascii="Palatino Linotype" w:eastAsia="Calibri" w:hAnsi="Palatino Linotype"/>
          <w:i/>
          <w:sz w:val="22"/>
          <w:szCs w:val="24"/>
          <w:lang w:val="es-AR"/>
        </w:rPr>
        <w:t xml:space="preserve"> en el juicio de amparo directo </w:t>
      </w:r>
      <w:r w:rsidRPr="00A3364C">
        <w:rPr>
          <w:rFonts w:ascii="Palatino Linotype" w:eastAsia="Calibri" w:hAnsi="Palatino Linotype"/>
          <w:b/>
          <w:i/>
          <w:sz w:val="22"/>
          <w:szCs w:val="24"/>
          <w:lang w:val="es-AR"/>
        </w:rPr>
        <w:t>provoca la terminación de la controversia planteada</w:t>
      </w:r>
      <w:r w:rsidRPr="00A3364C">
        <w:rPr>
          <w:rFonts w:ascii="Palatino Linotype" w:eastAsia="Calibri" w:hAnsi="Palatino Linotype"/>
          <w:i/>
          <w:sz w:val="22"/>
          <w:szCs w:val="24"/>
          <w:lang w:val="es-AR"/>
        </w:rPr>
        <w:t xml:space="preserve"> por el quejoso en la demanda de amparo</w:t>
      </w:r>
      <w:r w:rsidRPr="00A3364C">
        <w:rPr>
          <w:rFonts w:ascii="Palatino Linotype" w:eastAsia="Calibri" w:hAnsi="Palatino Linotype"/>
          <w:b/>
          <w:i/>
          <w:sz w:val="22"/>
          <w:szCs w:val="24"/>
          <w:lang w:val="es-AR"/>
        </w:rPr>
        <w:t>, sin hacer un pronunciamiento de fondo sobre la legalidad o ilegalidad de la sentencia reclamada</w:t>
      </w:r>
      <w:r w:rsidRPr="00A3364C">
        <w:rPr>
          <w:rFonts w:ascii="Palatino Linotype" w:eastAsia="Calibri" w:hAnsi="Palatino Linotype"/>
          <w:i/>
          <w:sz w:val="22"/>
          <w:szCs w:val="24"/>
          <w:lang w:val="es-AR"/>
        </w:rPr>
        <w:t xml:space="preserve">. </w:t>
      </w:r>
      <w:r w:rsidRPr="00A3364C">
        <w:rPr>
          <w:rFonts w:ascii="Palatino Linotype" w:eastAsia="Calibri" w:hAnsi="Palatino Linotype"/>
          <w:b/>
          <w:i/>
          <w:sz w:val="22"/>
          <w:szCs w:val="24"/>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A3364C">
        <w:rPr>
          <w:rFonts w:ascii="Palatino Linotype" w:eastAsia="Calibri" w:hAnsi="Palatino Linotype"/>
          <w:i/>
          <w:sz w:val="22"/>
          <w:szCs w:val="24"/>
          <w:lang w:val="es-AR"/>
        </w:rPr>
        <w:t>.</w:t>
      </w:r>
    </w:p>
    <w:p w14:paraId="03703BC7" w14:textId="77777777" w:rsidR="00082903" w:rsidRPr="00A3364C" w:rsidRDefault="00082903" w:rsidP="00082903">
      <w:pPr>
        <w:spacing w:line="360" w:lineRule="auto"/>
        <w:ind w:left="567" w:right="565"/>
        <w:contextualSpacing/>
        <w:jc w:val="both"/>
        <w:rPr>
          <w:rFonts w:ascii="Palatino Linotype" w:eastAsia="Calibri" w:hAnsi="Palatino Linotype"/>
          <w:i/>
          <w:sz w:val="22"/>
          <w:szCs w:val="24"/>
          <w:lang w:val="es-AR"/>
        </w:rPr>
      </w:pPr>
      <w:r w:rsidRPr="00A3364C">
        <w:rPr>
          <w:rFonts w:ascii="Palatino Linotype" w:eastAsia="Calibri" w:hAnsi="Palatino Linotype"/>
          <w:i/>
          <w:sz w:val="22"/>
          <w:szCs w:val="24"/>
          <w:lang w:val="es-AR"/>
        </w:rPr>
        <w:t>SÉPTIMO TRIBUNAL COLEGIADO EN MATERIA CIVIL DEL PRIMER CIRCUITO.</w:t>
      </w:r>
    </w:p>
    <w:p w14:paraId="03B200FC" w14:textId="77777777" w:rsidR="00082903" w:rsidRPr="00A3364C" w:rsidRDefault="00082903" w:rsidP="00082903">
      <w:pPr>
        <w:spacing w:line="360" w:lineRule="auto"/>
        <w:ind w:left="567" w:right="565"/>
        <w:contextualSpacing/>
        <w:jc w:val="both"/>
        <w:rPr>
          <w:rFonts w:ascii="Palatino Linotype" w:eastAsia="Calibri" w:hAnsi="Palatino Linotype"/>
          <w:b/>
          <w:i/>
          <w:sz w:val="22"/>
          <w:szCs w:val="24"/>
          <w:lang w:val="es-AR"/>
        </w:rPr>
      </w:pPr>
      <w:r w:rsidRPr="00A3364C">
        <w:rPr>
          <w:rFonts w:ascii="Palatino Linotype" w:eastAsia="Calibri" w:hAnsi="Palatino Linotype"/>
          <w:i/>
          <w:sz w:val="22"/>
          <w:szCs w:val="24"/>
          <w:lang w:val="es-AR"/>
        </w:rPr>
        <w:t>Amparo directo 699/2008. Mariana Leticia González Steele. 13 de noviembre de 2008. Unanimidad de votos. Ponente: Sara Judith Montalvo Trejo. Secretario: Arnulfo Mateos García.</w:t>
      </w:r>
    </w:p>
    <w:p w14:paraId="5EDC8628" w14:textId="77777777" w:rsidR="00082903" w:rsidRPr="00A3364C" w:rsidRDefault="00082903" w:rsidP="00082903">
      <w:pPr>
        <w:spacing w:line="360" w:lineRule="auto"/>
        <w:ind w:right="565"/>
        <w:contextualSpacing/>
        <w:jc w:val="both"/>
        <w:rPr>
          <w:rFonts w:ascii="Palatino Linotype" w:eastAsia="Calibri" w:hAnsi="Palatino Linotype"/>
          <w:b/>
          <w:i/>
          <w:sz w:val="24"/>
          <w:szCs w:val="24"/>
          <w:lang w:val="es-AR"/>
        </w:rPr>
      </w:pPr>
    </w:p>
    <w:p w14:paraId="4D1398BA" w14:textId="77777777" w:rsidR="00082903" w:rsidRPr="00A3364C" w:rsidRDefault="00082903" w:rsidP="00082903">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cs="Arial"/>
          <w:color w:val="000000" w:themeColor="text1"/>
          <w:sz w:val="24"/>
          <w:lang w:val="es-ES"/>
        </w:rPr>
        <w:t xml:space="preserve">Consecuentemente, </w:t>
      </w:r>
      <w:r w:rsidRPr="00A3364C">
        <w:rPr>
          <w:rFonts w:ascii="Palatino Linotype" w:eastAsia="Calibri" w:hAnsi="Palatino Linotype"/>
          <w:sz w:val="24"/>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69A187AD" w14:textId="1D109AEF" w:rsidR="00082903" w:rsidRPr="00A3364C" w:rsidRDefault="00082903" w:rsidP="00082903">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A3364C">
        <w:rPr>
          <w:rFonts w:ascii="Palatino Linotype" w:eastAsia="Calibri" w:hAnsi="Palatino Linotype"/>
          <w:sz w:val="24"/>
        </w:rPr>
        <w:lastRenderedPageBreak/>
        <w:t xml:space="preserve">Bajo </w:t>
      </w:r>
      <w:r w:rsidRPr="00A3364C">
        <w:rPr>
          <w:rFonts w:ascii="Palatino Linotype" w:eastAsia="Calibri" w:hAnsi="Palatino Linotype"/>
          <w:sz w:val="24"/>
          <w:lang w:val="es-CO"/>
        </w:rPr>
        <w:t xml:space="preserve">ese tenor y en términos del artículo 186 fracción I este Pleno determina el </w:t>
      </w:r>
      <w:r w:rsidRPr="00A3364C">
        <w:rPr>
          <w:rFonts w:ascii="Palatino Linotype" w:eastAsia="Calibri" w:hAnsi="Palatino Linotype"/>
          <w:b/>
          <w:sz w:val="24"/>
          <w:lang w:val="es-CO"/>
        </w:rPr>
        <w:t xml:space="preserve">SOBRESEIMIENTO </w:t>
      </w:r>
      <w:r w:rsidRPr="00A3364C">
        <w:rPr>
          <w:rFonts w:ascii="Palatino Linotype" w:eastAsia="Calibri" w:hAnsi="Palatino Linotype"/>
          <w:sz w:val="24"/>
          <w:lang w:val="es-CO"/>
        </w:rPr>
        <w:t xml:space="preserve">del recurso de revisión </w:t>
      </w:r>
      <w:r w:rsidR="00FF687A" w:rsidRPr="00A3364C">
        <w:rPr>
          <w:rFonts w:ascii="Palatino Linotype" w:hAnsi="Palatino Linotype" w:cs="Arial"/>
          <w:b/>
          <w:bCs/>
          <w:sz w:val="24"/>
        </w:rPr>
        <w:t>11138</w:t>
      </w:r>
      <w:r w:rsidRPr="00A3364C">
        <w:rPr>
          <w:rFonts w:ascii="Palatino Linotype" w:hAnsi="Palatino Linotype" w:cs="Arial"/>
          <w:b/>
          <w:bCs/>
          <w:sz w:val="24"/>
        </w:rPr>
        <w:t>/INFOEM/</w:t>
      </w:r>
      <w:r w:rsidR="00FF687A" w:rsidRPr="00A3364C">
        <w:rPr>
          <w:rFonts w:ascii="Palatino Linotype" w:hAnsi="Palatino Linotype" w:cs="Arial"/>
          <w:b/>
          <w:bCs/>
          <w:sz w:val="24"/>
        </w:rPr>
        <w:t>ICR-74/IP/RR/2022</w:t>
      </w:r>
      <w:r w:rsidRPr="00A3364C">
        <w:rPr>
          <w:rFonts w:ascii="Palatino Linotype" w:eastAsia="Calibri" w:hAnsi="Palatino Linotype"/>
          <w:sz w:val="24"/>
          <w:lang w:val="es-CO"/>
        </w:rPr>
        <w:t>, toda vez que la afectación al derecho de acceso a la información pública establecido constitucionalmente a favor del Particular ha sido resarcida.</w:t>
      </w:r>
    </w:p>
    <w:p w14:paraId="372277F9" w14:textId="77777777" w:rsidR="00082903" w:rsidRPr="00A3364C" w:rsidRDefault="00082903" w:rsidP="00FF687A">
      <w:pPr>
        <w:pStyle w:val="Prrafodelista"/>
        <w:tabs>
          <w:tab w:val="left" w:pos="567"/>
        </w:tabs>
        <w:spacing w:line="360" w:lineRule="auto"/>
        <w:ind w:left="0"/>
        <w:jc w:val="both"/>
        <w:rPr>
          <w:rFonts w:ascii="Palatino Linotype" w:eastAsia="Calibri" w:hAnsi="Palatino Linotype" w:cs="Arial"/>
          <w:sz w:val="24"/>
        </w:rPr>
      </w:pPr>
    </w:p>
    <w:p w14:paraId="18814E0F" w14:textId="6001FF19" w:rsidR="005000AA" w:rsidRPr="00A3364C"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A3364C">
        <w:rPr>
          <w:rFonts w:ascii="Palatino Linotype" w:hAnsi="Palatino Linotype" w:cs="Arial"/>
          <w:color w:val="222222"/>
          <w:sz w:val="24"/>
          <w:lang w:eastAsia="es-MX"/>
        </w:rPr>
        <w:t xml:space="preserve">Por lo anteriormente expuesto y fundado, este </w:t>
      </w:r>
      <w:r w:rsidRPr="00A3364C">
        <w:rPr>
          <w:rFonts w:ascii="Palatino Linotype" w:hAnsi="Palatino Linotype" w:cs="Arial"/>
          <w:b/>
          <w:bCs/>
          <w:color w:val="222222"/>
          <w:sz w:val="24"/>
          <w:lang w:eastAsia="es-MX"/>
        </w:rPr>
        <w:t>ÓRGANO GARANTE</w:t>
      </w:r>
      <w:r w:rsidRPr="00A3364C">
        <w:rPr>
          <w:rFonts w:ascii="Palatino Linotype" w:hAnsi="Palatino Linotype" w:cs="Arial"/>
          <w:color w:val="222222"/>
          <w:sz w:val="24"/>
          <w:lang w:eastAsia="es-MX"/>
        </w:rPr>
        <w:t xml:space="preserve"> emite los siguientes:</w:t>
      </w:r>
      <w:r w:rsidR="00A3364C">
        <w:rPr>
          <w:rFonts w:ascii="Palatino Linotype" w:hAnsi="Palatino Linotype" w:cs="Arial"/>
          <w:color w:val="222222"/>
          <w:sz w:val="24"/>
          <w:lang w:eastAsia="es-MX"/>
        </w:rPr>
        <w:t xml:space="preserve"> --------------------------------------------------------------------------------------------------</w:t>
      </w:r>
    </w:p>
    <w:p w14:paraId="3D2F70AA" w14:textId="77777777" w:rsidR="00A3364C" w:rsidRPr="00A3364C" w:rsidRDefault="00A3364C" w:rsidP="00A3364C">
      <w:pPr>
        <w:tabs>
          <w:tab w:val="left" w:pos="567"/>
        </w:tabs>
        <w:spacing w:line="360" w:lineRule="auto"/>
        <w:jc w:val="both"/>
        <w:rPr>
          <w:rFonts w:ascii="Palatino Linotype" w:eastAsia="Calibri" w:hAnsi="Palatino Linotype" w:cs="Arial"/>
          <w:sz w:val="24"/>
        </w:rPr>
      </w:pPr>
    </w:p>
    <w:p w14:paraId="463AEB82" w14:textId="1A6F6637" w:rsidR="005000AA" w:rsidRPr="00A3364C" w:rsidRDefault="005000AA" w:rsidP="00C53585">
      <w:pPr>
        <w:pStyle w:val="Ttulo1"/>
        <w:jc w:val="center"/>
        <w:rPr>
          <w:rFonts w:ascii="Palatino Linotype" w:hAnsi="Palatino Linotype"/>
          <w:b/>
          <w:color w:val="auto"/>
          <w:sz w:val="24"/>
          <w:szCs w:val="24"/>
        </w:rPr>
      </w:pPr>
      <w:bookmarkStart w:id="9" w:name="_Toc4061692"/>
      <w:bookmarkStart w:id="10" w:name="_Toc486525261"/>
      <w:bookmarkStart w:id="11" w:name="_Toc445745148"/>
      <w:bookmarkStart w:id="12" w:name="_Toc447699324"/>
      <w:bookmarkStart w:id="13" w:name="_Toc87549684"/>
      <w:r w:rsidRPr="00A3364C">
        <w:rPr>
          <w:rFonts w:ascii="Palatino Linotype" w:hAnsi="Palatino Linotype"/>
          <w:b/>
          <w:color w:val="auto"/>
          <w:sz w:val="24"/>
          <w:szCs w:val="24"/>
        </w:rPr>
        <w:t>R E S O L U T I V O S</w:t>
      </w:r>
      <w:bookmarkEnd w:id="9"/>
      <w:bookmarkEnd w:id="10"/>
      <w:bookmarkEnd w:id="11"/>
      <w:bookmarkEnd w:id="12"/>
      <w:bookmarkEnd w:id="13"/>
    </w:p>
    <w:p w14:paraId="2B38CFA8" w14:textId="77777777" w:rsidR="00C53585" w:rsidRPr="00A3364C" w:rsidRDefault="00C53585" w:rsidP="00616297">
      <w:pPr>
        <w:tabs>
          <w:tab w:val="left" w:pos="284"/>
        </w:tabs>
        <w:spacing w:line="360" w:lineRule="auto"/>
        <w:jc w:val="both"/>
        <w:rPr>
          <w:rFonts w:ascii="Palatino Linotype" w:hAnsi="Palatino Linotype" w:cs="Arial"/>
          <w:b/>
          <w:sz w:val="24"/>
          <w:szCs w:val="24"/>
          <w:lang w:val="es-ES_tradnl"/>
        </w:rPr>
      </w:pPr>
    </w:p>
    <w:p w14:paraId="41AC0E35" w14:textId="0F0A2893" w:rsidR="00FF687A" w:rsidRPr="00A3364C" w:rsidRDefault="006411BB" w:rsidP="00FF687A">
      <w:pPr>
        <w:widowControl w:val="0"/>
        <w:tabs>
          <w:tab w:val="left" w:pos="1701"/>
        </w:tabs>
        <w:autoSpaceDE w:val="0"/>
        <w:autoSpaceDN w:val="0"/>
        <w:adjustRightInd w:val="0"/>
        <w:spacing w:before="120" w:line="360" w:lineRule="auto"/>
        <w:jc w:val="both"/>
        <w:rPr>
          <w:rFonts w:ascii="Palatino Linotype" w:hAnsi="Palatino Linotype"/>
          <w:sz w:val="24"/>
          <w:szCs w:val="24"/>
        </w:rPr>
      </w:pPr>
      <w:bookmarkStart w:id="14" w:name="_Toc450120669"/>
      <w:bookmarkStart w:id="15" w:name="_Toc460947011"/>
      <w:r w:rsidRPr="00A3364C">
        <w:rPr>
          <w:rFonts w:ascii="Palatino Linotype" w:hAnsi="Palatino Linotype" w:cs="Arial"/>
          <w:b/>
          <w:sz w:val="24"/>
          <w:szCs w:val="24"/>
        </w:rPr>
        <w:t xml:space="preserve">PRIMERO. </w:t>
      </w:r>
      <w:r w:rsidRPr="00A3364C">
        <w:rPr>
          <w:rFonts w:ascii="Palatino Linotype" w:hAnsi="Palatino Linotype"/>
          <w:sz w:val="24"/>
          <w:szCs w:val="24"/>
        </w:rPr>
        <w:t xml:space="preserve">Se </w:t>
      </w:r>
      <w:r w:rsidRPr="00A3364C">
        <w:rPr>
          <w:rFonts w:ascii="Palatino Linotype" w:hAnsi="Palatino Linotype"/>
          <w:b/>
          <w:sz w:val="24"/>
          <w:szCs w:val="24"/>
        </w:rPr>
        <w:t>SOBRESEE</w:t>
      </w:r>
      <w:r w:rsidRPr="00A3364C">
        <w:rPr>
          <w:rFonts w:ascii="Palatino Linotype" w:hAnsi="Palatino Linotype"/>
          <w:sz w:val="24"/>
          <w:szCs w:val="24"/>
        </w:rPr>
        <w:t xml:space="preserve"> el recurso de revisión número </w:t>
      </w:r>
      <w:r w:rsidR="00FF687A" w:rsidRPr="00A3364C">
        <w:rPr>
          <w:rFonts w:ascii="Palatino Linotype" w:hAnsi="Palatino Linotype"/>
          <w:b/>
          <w:sz w:val="24"/>
          <w:szCs w:val="24"/>
        </w:rPr>
        <w:t>11138/INFOEM/ICR-74</w:t>
      </w:r>
      <w:r w:rsidRPr="00A3364C">
        <w:rPr>
          <w:rFonts w:ascii="Palatino Linotype" w:hAnsi="Palatino Linotype"/>
          <w:b/>
          <w:sz w:val="24"/>
          <w:szCs w:val="24"/>
        </w:rPr>
        <w:t xml:space="preserve">/IP/RR/2022, </w:t>
      </w:r>
      <w:bookmarkStart w:id="16" w:name="_Toc461648590"/>
      <w:bookmarkStart w:id="17" w:name="_Toc461648682"/>
      <w:bookmarkStart w:id="18" w:name="_Toc462228049"/>
      <w:bookmarkStart w:id="19" w:name="_Toc462228129"/>
      <w:bookmarkStart w:id="20" w:name="_Toc496099789"/>
      <w:bookmarkStart w:id="21" w:name="_Toc496100166"/>
      <w:bookmarkStart w:id="22" w:name="_Toc499756977"/>
      <w:bookmarkStart w:id="23" w:name="_Toc499757020"/>
      <w:bookmarkStart w:id="24" w:name="_Toc504377974"/>
      <w:r w:rsidR="008638D9" w:rsidRPr="00A3364C">
        <w:rPr>
          <w:rFonts w:ascii="Palatino Linotype" w:hAnsi="Palatino Linotype"/>
          <w:bCs/>
          <w:sz w:val="24"/>
          <w:szCs w:val="24"/>
        </w:rPr>
        <w:t>con fundamento en el artículo 192, fracción III, de la Ley de Transparencia y Acceso a la Información Pública del Estado de México y Municipios,</w:t>
      </w:r>
      <w:r w:rsidR="008638D9" w:rsidRPr="00A3364C">
        <w:rPr>
          <w:rFonts w:ascii="Palatino Linotype" w:hAnsi="Palatino Linotype"/>
          <w:b/>
          <w:sz w:val="24"/>
          <w:szCs w:val="24"/>
        </w:rPr>
        <w:t xml:space="preserve"> </w:t>
      </w:r>
      <w:r w:rsidR="00FF687A" w:rsidRPr="00A3364C">
        <w:rPr>
          <w:rFonts w:ascii="Palatino Linotype" w:hAnsi="Palatino Linotype"/>
          <w:sz w:val="24"/>
          <w:szCs w:val="24"/>
        </w:rPr>
        <w:t xml:space="preserve">porque al </w:t>
      </w:r>
      <w:r w:rsidR="00FF687A" w:rsidRPr="00A3364C">
        <w:rPr>
          <w:rFonts w:ascii="Palatino Linotype" w:hAnsi="Palatino Linotype"/>
          <w:b/>
          <w:sz w:val="24"/>
          <w:szCs w:val="24"/>
        </w:rPr>
        <w:t>atender lo solicitado a través del informe justificado, el recurso</w:t>
      </w:r>
      <w:r w:rsidR="00FF687A" w:rsidRPr="00A3364C">
        <w:rPr>
          <w:rFonts w:ascii="Palatino Linotype" w:hAnsi="Palatino Linotype"/>
          <w:sz w:val="24"/>
          <w:szCs w:val="24"/>
        </w:rPr>
        <w:t xml:space="preserve"> de revisión que</w:t>
      </w:r>
      <w:r w:rsidR="00A3364C">
        <w:rPr>
          <w:rFonts w:ascii="Palatino Linotype" w:hAnsi="Palatino Linotype"/>
          <w:sz w:val="24"/>
          <w:szCs w:val="24"/>
        </w:rPr>
        <w:t>dó sin materia en términos del c</w:t>
      </w:r>
      <w:r w:rsidR="00FF687A" w:rsidRPr="00A3364C">
        <w:rPr>
          <w:rFonts w:ascii="Palatino Linotype" w:hAnsi="Palatino Linotype"/>
          <w:sz w:val="24"/>
          <w:szCs w:val="24"/>
        </w:rPr>
        <w:t xml:space="preserve">onsiderando </w:t>
      </w:r>
      <w:r w:rsidR="00FF687A" w:rsidRPr="00A3364C">
        <w:rPr>
          <w:rFonts w:ascii="Palatino Linotype" w:hAnsi="Palatino Linotype"/>
          <w:b/>
          <w:sz w:val="24"/>
          <w:szCs w:val="24"/>
        </w:rPr>
        <w:t>TERCERO</w:t>
      </w:r>
      <w:r w:rsidR="00FF687A" w:rsidRPr="00A3364C">
        <w:rPr>
          <w:rFonts w:ascii="Palatino Linotype" w:hAnsi="Palatino Linotype"/>
          <w:sz w:val="24"/>
          <w:szCs w:val="24"/>
        </w:rPr>
        <w:t xml:space="preserve"> de la presente resolución.</w:t>
      </w:r>
    </w:p>
    <w:p w14:paraId="3E387E6D" w14:textId="77777777" w:rsidR="00FF687A" w:rsidRPr="00A3364C" w:rsidRDefault="00FF687A" w:rsidP="00FF687A">
      <w:pPr>
        <w:widowControl w:val="0"/>
        <w:tabs>
          <w:tab w:val="left" w:pos="1701"/>
        </w:tabs>
        <w:autoSpaceDE w:val="0"/>
        <w:autoSpaceDN w:val="0"/>
        <w:adjustRightInd w:val="0"/>
        <w:spacing w:before="120"/>
        <w:rPr>
          <w:rFonts w:ascii="Palatino Linotype" w:hAnsi="Palatino Linotype"/>
          <w:sz w:val="24"/>
          <w:szCs w:val="24"/>
        </w:rPr>
      </w:pPr>
    </w:p>
    <w:p w14:paraId="7070422B" w14:textId="210DFDFA" w:rsidR="006411BB" w:rsidRDefault="006411BB" w:rsidP="00FF687A">
      <w:pPr>
        <w:pStyle w:val="Prrafodelista"/>
        <w:widowControl w:val="0"/>
        <w:tabs>
          <w:tab w:val="left" w:pos="1701"/>
        </w:tabs>
        <w:autoSpaceDE w:val="0"/>
        <w:autoSpaceDN w:val="0"/>
        <w:adjustRightInd w:val="0"/>
        <w:spacing w:before="120" w:line="360" w:lineRule="auto"/>
        <w:ind w:left="0"/>
        <w:jc w:val="both"/>
        <w:rPr>
          <w:rFonts w:ascii="Palatino Linotype" w:eastAsia="MS Mincho" w:hAnsi="Palatino Linotype"/>
          <w:color w:val="000000" w:themeColor="text1"/>
          <w:sz w:val="24"/>
          <w:shd w:val="clear" w:color="auto" w:fill="FFFFFF"/>
        </w:rPr>
      </w:pPr>
      <w:r w:rsidRPr="00A3364C">
        <w:rPr>
          <w:rFonts w:ascii="Palatino Linotype" w:hAnsi="Palatino Linotype" w:cs="Arial"/>
          <w:b/>
          <w:sz w:val="24"/>
        </w:rPr>
        <w:t>SEGUNDO.</w:t>
      </w:r>
      <w:bookmarkEnd w:id="16"/>
      <w:bookmarkEnd w:id="17"/>
      <w:bookmarkEnd w:id="18"/>
      <w:bookmarkEnd w:id="19"/>
      <w:bookmarkEnd w:id="20"/>
      <w:bookmarkEnd w:id="21"/>
      <w:bookmarkEnd w:id="22"/>
      <w:bookmarkEnd w:id="23"/>
      <w:bookmarkEnd w:id="24"/>
      <w:r w:rsidRPr="00A3364C">
        <w:rPr>
          <w:rStyle w:val="Ttulo2Car"/>
          <w:rFonts w:ascii="Palatino Linotype" w:hAnsi="Palatino Linotype"/>
          <w:b/>
          <w:color w:val="000000" w:themeColor="text1"/>
          <w:sz w:val="24"/>
          <w:szCs w:val="24"/>
        </w:rPr>
        <w:t xml:space="preserve"> </w:t>
      </w:r>
      <w:r w:rsidRPr="00A3364C">
        <w:rPr>
          <w:rFonts w:ascii="Palatino Linotype" w:eastAsia="MS Mincho" w:hAnsi="Palatino Linotype" w:cs="Arial"/>
          <w:b/>
          <w:bCs/>
          <w:color w:val="000000" w:themeColor="text1"/>
          <w:sz w:val="24"/>
          <w:shd w:val="clear" w:color="auto" w:fill="FFFFFF"/>
        </w:rPr>
        <w:t xml:space="preserve">Remítase </w:t>
      </w:r>
      <w:r w:rsidRPr="00A3364C">
        <w:rPr>
          <w:rFonts w:ascii="Palatino Linotype" w:eastAsia="MS Mincho" w:hAnsi="Palatino Linotype"/>
          <w:color w:val="000000" w:themeColor="text1"/>
          <w:sz w:val="24"/>
          <w:shd w:val="clear" w:color="auto" w:fill="FFFFFF"/>
        </w:rPr>
        <w:t>al Titular de la Unidad de Transparencia del</w:t>
      </w:r>
      <w:r w:rsidRPr="00A3364C">
        <w:rPr>
          <w:rFonts w:ascii="Palatino Linotype" w:eastAsia="MS Mincho" w:hAnsi="Palatino Linotype"/>
          <w:b/>
          <w:bCs/>
          <w:color w:val="000000" w:themeColor="text1"/>
          <w:sz w:val="24"/>
          <w:shd w:val="clear" w:color="auto" w:fill="FFFFFF"/>
        </w:rPr>
        <w:t xml:space="preserve"> SUJETO OBLIGADO</w:t>
      </w:r>
      <w:r w:rsidRPr="00A3364C">
        <w:rPr>
          <w:rFonts w:ascii="Palatino Linotype" w:eastAsia="MS Mincho" w:hAnsi="Palatino Linotype"/>
          <w:color w:val="000000" w:themeColor="text1"/>
          <w:sz w:val="24"/>
          <w:shd w:val="clear" w:color="auto" w:fill="FFFFFF"/>
        </w:rPr>
        <w:t xml:space="preserve"> vía Sistema de Acceso a Información Mexiquense, SAIMEX, la presente resolución. </w:t>
      </w:r>
    </w:p>
    <w:p w14:paraId="13C343C8" w14:textId="77777777" w:rsidR="00A3364C" w:rsidRPr="00A3364C" w:rsidRDefault="00A3364C" w:rsidP="00FF687A">
      <w:pPr>
        <w:pStyle w:val="Prrafodelista"/>
        <w:widowControl w:val="0"/>
        <w:tabs>
          <w:tab w:val="left" w:pos="1701"/>
        </w:tabs>
        <w:autoSpaceDE w:val="0"/>
        <w:autoSpaceDN w:val="0"/>
        <w:adjustRightInd w:val="0"/>
        <w:spacing w:before="120" w:line="360" w:lineRule="auto"/>
        <w:ind w:left="0"/>
        <w:jc w:val="both"/>
        <w:rPr>
          <w:rStyle w:val="Ttulo2Car"/>
          <w:rFonts w:ascii="Palatino Linotype" w:hAnsi="Palatino Linotype"/>
          <w:b/>
          <w:color w:val="000000" w:themeColor="text1"/>
          <w:sz w:val="24"/>
          <w:szCs w:val="24"/>
        </w:rPr>
      </w:pPr>
    </w:p>
    <w:p w14:paraId="1DA76109" w14:textId="77777777" w:rsidR="006411BB" w:rsidRPr="00A3364C" w:rsidRDefault="006411BB" w:rsidP="006411BB">
      <w:pPr>
        <w:spacing w:line="360" w:lineRule="auto"/>
        <w:jc w:val="both"/>
        <w:rPr>
          <w:rFonts w:ascii="Palatino Linotype" w:hAnsi="Palatino Linotype"/>
          <w:sz w:val="24"/>
          <w:szCs w:val="24"/>
        </w:rPr>
      </w:pPr>
      <w:bookmarkStart w:id="25" w:name="_Toc460947013"/>
      <w:bookmarkEnd w:id="14"/>
      <w:bookmarkEnd w:id="15"/>
      <w:r w:rsidRPr="00A3364C">
        <w:rPr>
          <w:rFonts w:ascii="Palatino Linotype" w:hAnsi="Palatino Linotype" w:cs="Arial"/>
          <w:b/>
          <w:sz w:val="24"/>
          <w:szCs w:val="24"/>
        </w:rPr>
        <w:t xml:space="preserve">TERCERO. </w:t>
      </w:r>
      <w:r w:rsidRPr="00A3364C">
        <w:rPr>
          <w:rFonts w:ascii="Palatino Linotype" w:hAnsi="Palatino Linotype"/>
          <w:b/>
          <w:bCs/>
          <w:color w:val="222222"/>
          <w:sz w:val="24"/>
          <w:szCs w:val="24"/>
          <w:lang w:val="es-ES"/>
        </w:rPr>
        <w:t>Notifíquese a</w:t>
      </w:r>
      <w:r w:rsidRPr="00A3364C">
        <w:rPr>
          <w:rFonts w:ascii="Palatino Linotype" w:hAnsi="Palatino Linotype"/>
          <w:b/>
          <w:sz w:val="24"/>
          <w:szCs w:val="24"/>
        </w:rPr>
        <w:t xml:space="preserve">l RECURRENTE </w:t>
      </w:r>
      <w:r w:rsidRPr="00A3364C">
        <w:rPr>
          <w:rFonts w:ascii="Palatino Linotype" w:hAnsi="Palatino Linotype"/>
          <w:sz w:val="24"/>
          <w:szCs w:val="24"/>
        </w:rPr>
        <w:t>la presente resolución.</w:t>
      </w:r>
    </w:p>
    <w:bookmarkEnd w:id="25"/>
    <w:p w14:paraId="42B74C28" w14:textId="77777777" w:rsidR="006411BB" w:rsidRPr="00A3364C" w:rsidRDefault="006411BB" w:rsidP="006411BB">
      <w:pPr>
        <w:spacing w:line="360" w:lineRule="auto"/>
        <w:jc w:val="both"/>
        <w:rPr>
          <w:rFonts w:ascii="Palatino Linotype" w:eastAsia="MS Mincho" w:hAnsi="Palatino Linotype"/>
          <w:sz w:val="24"/>
          <w:szCs w:val="24"/>
          <w:lang w:val="es-ES"/>
        </w:rPr>
      </w:pPr>
      <w:r w:rsidRPr="00A3364C">
        <w:rPr>
          <w:rFonts w:ascii="Palatino Linotype" w:eastAsia="MS Mincho" w:hAnsi="Palatino Linotype"/>
          <w:b/>
          <w:sz w:val="24"/>
          <w:szCs w:val="24"/>
        </w:rPr>
        <w:lastRenderedPageBreak/>
        <w:t>CUARTO.</w:t>
      </w:r>
      <w:r w:rsidRPr="00A3364C">
        <w:rPr>
          <w:rFonts w:ascii="Palatino Linotype" w:eastAsia="MS Mincho" w:hAnsi="Palatino Linotype"/>
          <w:sz w:val="24"/>
          <w:szCs w:val="24"/>
        </w:rPr>
        <w:t xml:space="preserve"> </w:t>
      </w:r>
      <w:r w:rsidRPr="00A3364C">
        <w:rPr>
          <w:rFonts w:ascii="Palatino Linotype" w:eastAsia="MS Mincho" w:hAnsi="Palatino Linotype"/>
          <w:sz w:val="24"/>
          <w:szCs w:val="24"/>
          <w:lang w:val="es-ES"/>
        </w:rPr>
        <w:t xml:space="preserve">Se hace del conocimiento de </w:t>
      </w:r>
      <w:r w:rsidRPr="00A3364C">
        <w:rPr>
          <w:rFonts w:ascii="Palatino Linotype" w:eastAsia="Calibri" w:hAnsi="Palatino Linotype" w:cs="Tahoma"/>
          <w:b/>
          <w:sz w:val="24"/>
          <w:szCs w:val="24"/>
          <w:lang w:eastAsia="en-US"/>
        </w:rPr>
        <w:t>RECURRENTE</w:t>
      </w:r>
      <w:r w:rsidRPr="00A3364C">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A3364C">
        <w:rPr>
          <w:rFonts w:ascii="Palatino Linotype" w:eastAsia="MS Mincho" w:hAnsi="Palatino Linotype"/>
          <w:bCs/>
          <w:sz w:val="24"/>
          <w:szCs w:val="24"/>
          <w:lang w:val="es-ES"/>
        </w:rPr>
        <w:t>vía juicio de amparo</w:t>
      </w:r>
      <w:r w:rsidRPr="00A3364C">
        <w:rPr>
          <w:rFonts w:ascii="Palatino Linotype" w:eastAsia="MS Mincho" w:hAnsi="Palatino Linotype"/>
          <w:sz w:val="24"/>
          <w:szCs w:val="24"/>
          <w:lang w:val="es-ES"/>
        </w:rPr>
        <w:t> en los términos de las leyes aplicables.</w:t>
      </w:r>
      <w:bookmarkStart w:id="26" w:name="_Toc466371865"/>
      <w:bookmarkStart w:id="27" w:name="_Toc466377653"/>
    </w:p>
    <w:bookmarkEnd w:id="26"/>
    <w:bookmarkEnd w:id="27"/>
    <w:p w14:paraId="6191F937" w14:textId="77777777" w:rsidR="002C3F45" w:rsidRPr="00A3364C" w:rsidRDefault="002C3F45" w:rsidP="00616297">
      <w:pPr>
        <w:tabs>
          <w:tab w:val="left" w:pos="284"/>
        </w:tabs>
        <w:spacing w:line="360" w:lineRule="auto"/>
        <w:jc w:val="both"/>
        <w:rPr>
          <w:rFonts w:ascii="Palatino Linotype" w:eastAsia="MS Mincho" w:hAnsi="Palatino Linotype"/>
          <w:b/>
          <w:sz w:val="24"/>
          <w:szCs w:val="24"/>
          <w:lang w:val="es-ES_tradnl"/>
        </w:rPr>
      </w:pPr>
    </w:p>
    <w:p w14:paraId="08F73E30" w14:textId="77777777" w:rsidR="00A3364C" w:rsidRPr="00A3364C" w:rsidRDefault="00A3364C" w:rsidP="00A3364C">
      <w:pPr>
        <w:spacing w:before="240" w:after="240" w:line="360" w:lineRule="auto"/>
        <w:ind w:firstLine="1"/>
        <w:jc w:val="both"/>
        <w:rPr>
          <w:rStyle w:val="Referenciasutil"/>
          <w:rFonts w:ascii="Palatino Linotype" w:hAnsi="Palatino Linotype"/>
          <w:color w:val="auto"/>
          <w:sz w:val="24"/>
        </w:rPr>
      </w:pPr>
      <w:bookmarkStart w:id="28" w:name="_Hlk129792997"/>
      <w:r w:rsidRPr="00A3364C">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28"/>
    </w:p>
    <w:p w14:paraId="6D10D57F" w14:textId="77777777" w:rsidR="005000AA" w:rsidRPr="00A3364C"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A3364C"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A3364C">
      <w:headerReference w:type="even" r:id="rId13"/>
      <w:headerReference w:type="default" r:id="rId14"/>
      <w:footerReference w:type="default" r:id="rId15"/>
      <w:headerReference w:type="first" r:id="rId16"/>
      <w:footerReference w:type="first" r:id="rId17"/>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379D1" w14:textId="77777777" w:rsidR="00F51DAD" w:rsidRDefault="00F51DAD">
      <w:r>
        <w:separator/>
      </w:r>
    </w:p>
  </w:endnote>
  <w:endnote w:type="continuationSeparator" w:id="0">
    <w:p w14:paraId="7CA4EBA9" w14:textId="77777777" w:rsidR="00F51DAD" w:rsidRDefault="00F5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463BCB" w:rsidRDefault="00463BCB">
            <w:pPr>
              <w:pStyle w:val="Piedepgina"/>
              <w:jc w:val="right"/>
            </w:pPr>
          </w:p>
          <w:p w14:paraId="1F7A191C" w14:textId="30C6AB00" w:rsidR="00463BCB" w:rsidRDefault="00463B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364C">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364C">
              <w:rPr>
                <w:b/>
                <w:bCs/>
                <w:noProof/>
              </w:rPr>
              <w:t>28</w:t>
            </w:r>
            <w:r>
              <w:rPr>
                <w:b/>
                <w:bCs/>
                <w:sz w:val="24"/>
                <w:szCs w:val="24"/>
              </w:rPr>
              <w:fldChar w:fldCharType="end"/>
            </w:r>
          </w:p>
        </w:sdtContent>
      </w:sdt>
    </w:sdtContent>
  </w:sdt>
  <w:p w14:paraId="2A221972" w14:textId="77777777" w:rsidR="00463BCB" w:rsidRDefault="00463BCB">
    <w:pPr>
      <w:pStyle w:val="Piedepgina"/>
    </w:pPr>
  </w:p>
  <w:p w14:paraId="1D6FF208" w14:textId="77777777" w:rsidR="00463BCB" w:rsidRDefault="00463BCB"/>
  <w:p w14:paraId="70055CD7" w14:textId="77777777" w:rsidR="00463BCB" w:rsidRDefault="00463BCB"/>
  <w:p w14:paraId="5452645F" w14:textId="77777777" w:rsidR="00463BCB" w:rsidRDefault="00463B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3AEEECB3" w:rsidR="00463BCB" w:rsidRDefault="00463B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364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364C">
              <w:rPr>
                <w:b/>
                <w:bCs/>
                <w:noProof/>
              </w:rPr>
              <w:t>28</w:t>
            </w:r>
            <w:r>
              <w:rPr>
                <w:b/>
                <w:bCs/>
                <w:sz w:val="24"/>
                <w:szCs w:val="24"/>
              </w:rPr>
              <w:fldChar w:fldCharType="end"/>
            </w:r>
          </w:p>
        </w:sdtContent>
      </w:sdt>
    </w:sdtContent>
  </w:sdt>
  <w:p w14:paraId="2D12AEB2" w14:textId="77777777" w:rsidR="00463BCB" w:rsidRDefault="00463BCB">
    <w:pPr>
      <w:pStyle w:val="Piedepgina"/>
    </w:pPr>
  </w:p>
  <w:p w14:paraId="54227169" w14:textId="77777777" w:rsidR="00463BCB" w:rsidRDefault="00463BCB"/>
  <w:p w14:paraId="7DE40FB1" w14:textId="77777777" w:rsidR="00463BCB" w:rsidRDefault="00463BCB"/>
  <w:p w14:paraId="33755E87" w14:textId="77777777" w:rsidR="00463BCB" w:rsidRDefault="00463B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FE542" w14:textId="77777777" w:rsidR="00F51DAD" w:rsidRDefault="00F51DAD">
      <w:r>
        <w:separator/>
      </w:r>
    </w:p>
  </w:footnote>
  <w:footnote w:type="continuationSeparator" w:id="0">
    <w:p w14:paraId="593EE645" w14:textId="77777777" w:rsidR="00F51DAD" w:rsidRDefault="00F51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463BCB" w:rsidRDefault="00F51DAD">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463BCB" w:rsidRDefault="00463BCB"/>
  <w:p w14:paraId="77B719CE" w14:textId="77777777" w:rsidR="00463BCB" w:rsidRDefault="00463BCB"/>
  <w:p w14:paraId="50A3AAAA" w14:textId="77777777" w:rsidR="00463BCB" w:rsidRDefault="00463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463BCB" w14:paraId="6255E3A4" w14:textId="77777777" w:rsidTr="00814079">
      <w:trPr>
        <w:trHeight w:val="1435"/>
      </w:trPr>
      <w:tc>
        <w:tcPr>
          <w:tcW w:w="1843" w:type="dxa"/>
          <w:shd w:val="clear" w:color="auto" w:fill="auto"/>
        </w:tcPr>
        <w:p w14:paraId="3E05202F" w14:textId="4A7C9DF8" w:rsidR="00463BCB" w:rsidRDefault="00463BC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463BCB" w:rsidRDefault="00463BCB"/>
        <w:tbl>
          <w:tblPr>
            <w:tblStyle w:val="Tablaconcuadrcula"/>
            <w:tblW w:w="709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463BCB" w14:paraId="727F90BF" w14:textId="77777777" w:rsidTr="008306E4">
            <w:trPr>
              <w:trHeight w:val="338"/>
            </w:trPr>
            <w:tc>
              <w:tcPr>
                <w:tcW w:w="2551" w:type="dxa"/>
              </w:tcPr>
              <w:p w14:paraId="410A3741" w14:textId="535C9D39" w:rsidR="00463BCB" w:rsidRDefault="00463BC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14:paraId="3FF69A05" w14:textId="5CCF0B15" w:rsidR="00463BCB" w:rsidRPr="00A3364C" w:rsidRDefault="0089380C" w:rsidP="00A3364C">
                <w:pPr>
                  <w:tabs>
                    <w:tab w:val="right" w:pos="8838"/>
                  </w:tabs>
                  <w:ind w:right="-105" w:hanging="101"/>
                  <w:rPr>
                    <w:rFonts w:ascii="Palatino Linotype" w:eastAsia="Calibri" w:hAnsi="Palatino Linotype" w:cs="Tahoma"/>
                    <w:bCs/>
                    <w:sz w:val="22"/>
                    <w:szCs w:val="22"/>
                    <w:lang w:eastAsia="en-US"/>
                  </w:rPr>
                </w:pPr>
                <w:r w:rsidRPr="00A3364C">
                  <w:rPr>
                    <w:rFonts w:ascii="Palatino Linotype" w:hAnsi="Palatino Linotype" w:cs="Arial"/>
                    <w:sz w:val="22"/>
                    <w:szCs w:val="24"/>
                  </w:rPr>
                  <w:t>11138</w:t>
                </w:r>
                <w:r w:rsidR="008306E4" w:rsidRPr="00A3364C">
                  <w:rPr>
                    <w:rFonts w:ascii="Palatino Linotype" w:eastAsia="Calibri" w:hAnsi="Palatino Linotype" w:cs="Tahoma"/>
                    <w:sz w:val="22"/>
                    <w:lang w:eastAsia="en-US"/>
                  </w:rPr>
                  <w:t>/INFOEM</w:t>
                </w:r>
                <w:r w:rsidRPr="00A3364C">
                  <w:rPr>
                    <w:rFonts w:ascii="Palatino Linotype" w:eastAsia="Calibri" w:hAnsi="Palatino Linotype" w:cs="Tahoma"/>
                    <w:sz w:val="22"/>
                    <w:lang w:eastAsia="en-US"/>
                  </w:rPr>
                  <w:t>/ICR-74</w:t>
                </w:r>
                <w:r w:rsidR="008306E4" w:rsidRPr="00A3364C">
                  <w:rPr>
                    <w:rFonts w:ascii="Palatino Linotype" w:eastAsia="Calibri" w:hAnsi="Palatino Linotype" w:cs="Tahoma"/>
                    <w:sz w:val="22"/>
                    <w:lang w:eastAsia="en-US"/>
                  </w:rPr>
                  <w:t>/IP/RR/2022</w:t>
                </w:r>
              </w:p>
            </w:tc>
          </w:tr>
          <w:tr w:rsidR="00463BCB" w14:paraId="1389436A" w14:textId="4EB800AC" w:rsidTr="008306E4">
            <w:trPr>
              <w:trHeight w:val="283"/>
            </w:trPr>
            <w:tc>
              <w:tcPr>
                <w:tcW w:w="2551" w:type="dxa"/>
              </w:tcPr>
              <w:p w14:paraId="22E0F4E9" w14:textId="77777777" w:rsidR="00463BCB" w:rsidRDefault="00463BCB">
                <w:pPr>
                  <w:tabs>
                    <w:tab w:val="right" w:pos="8838"/>
                  </w:tabs>
                  <w:ind w:right="-105"/>
                  <w:rPr>
                    <w:rFonts w:ascii="Palatino Linotype" w:eastAsia="Calibri" w:hAnsi="Palatino Linotype" w:cs="Tahoma"/>
                    <w:b/>
                    <w:sz w:val="22"/>
                    <w:szCs w:val="22"/>
                    <w:lang w:eastAsia="en-US"/>
                  </w:rPr>
                </w:pPr>
                <w:bookmarkStart w:id="29" w:name="_Hlk33010189"/>
                <w:r>
                  <w:rPr>
                    <w:rFonts w:ascii="Palatino Linotype" w:eastAsia="Calibri" w:hAnsi="Palatino Linotype" w:cs="Tahoma"/>
                    <w:b/>
                    <w:sz w:val="22"/>
                    <w:szCs w:val="22"/>
                    <w:lang w:eastAsia="en-US"/>
                  </w:rPr>
                  <w:t>Sujeto Obligado:</w:t>
                </w:r>
              </w:p>
            </w:tc>
            <w:tc>
              <w:tcPr>
                <w:tcW w:w="4544" w:type="dxa"/>
              </w:tcPr>
              <w:p w14:paraId="2B205C7F" w14:textId="0D08DAAD" w:rsidR="00463BCB" w:rsidRPr="00A3364C" w:rsidRDefault="00463BCB" w:rsidP="00A3364C">
                <w:pPr>
                  <w:tabs>
                    <w:tab w:val="left" w:pos="2834"/>
                    <w:tab w:val="right" w:pos="8838"/>
                  </w:tabs>
                  <w:ind w:left="-113" w:right="1318"/>
                  <w:rPr>
                    <w:rFonts w:ascii="Palatino Linotype" w:eastAsia="Calibri" w:hAnsi="Palatino Linotype" w:cs="Tahoma"/>
                    <w:sz w:val="22"/>
                    <w:szCs w:val="22"/>
                    <w:lang w:eastAsia="en-US"/>
                  </w:rPr>
                </w:pPr>
                <w:r w:rsidRPr="00A3364C">
                  <w:rPr>
                    <w:rFonts w:ascii="Palatino Linotype" w:eastAsia="Calibri" w:hAnsi="Palatino Linotype" w:cs="Tahoma"/>
                    <w:sz w:val="22"/>
                    <w:szCs w:val="28"/>
                    <w:lang w:eastAsia="en-US"/>
                  </w:rPr>
                  <w:t>Ayuntamiento de Metepec</w:t>
                </w:r>
              </w:p>
            </w:tc>
          </w:tr>
          <w:bookmarkEnd w:id="29"/>
          <w:tr w:rsidR="00463BCB" w14:paraId="28CCE4E5" w14:textId="77777777" w:rsidTr="008306E4">
            <w:trPr>
              <w:trHeight w:val="283"/>
            </w:trPr>
            <w:tc>
              <w:tcPr>
                <w:tcW w:w="2551" w:type="dxa"/>
              </w:tcPr>
              <w:p w14:paraId="13EBF3BB" w14:textId="6E4ECE4B" w:rsidR="00463BCB" w:rsidRDefault="00463BC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14:paraId="5DF20594" w14:textId="1A6CDEA4" w:rsidR="00463BCB" w:rsidRPr="00A3364C" w:rsidRDefault="00463BCB" w:rsidP="00A3364C">
                <w:pPr>
                  <w:tabs>
                    <w:tab w:val="right" w:pos="8838"/>
                  </w:tabs>
                  <w:ind w:left="-113" w:right="-105"/>
                  <w:rPr>
                    <w:rFonts w:ascii="Palatino Linotype" w:eastAsia="Calibri" w:hAnsi="Palatino Linotype" w:cs="Tahoma"/>
                    <w:sz w:val="22"/>
                    <w:szCs w:val="22"/>
                    <w:lang w:eastAsia="en-US"/>
                  </w:rPr>
                </w:pPr>
                <w:r w:rsidRPr="00A3364C">
                  <w:rPr>
                    <w:rFonts w:ascii="Palatino Linotype" w:eastAsia="Calibri" w:hAnsi="Palatino Linotype" w:cs="Tahoma"/>
                    <w:sz w:val="22"/>
                    <w:szCs w:val="22"/>
                    <w:lang w:eastAsia="en-US"/>
                  </w:rPr>
                  <w:t>María del Rosario Mejía Ayala</w:t>
                </w:r>
              </w:p>
            </w:tc>
          </w:tr>
        </w:tbl>
        <w:p w14:paraId="5775EEC5" w14:textId="77777777" w:rsidR="00463BCB" w:rsidRDefault="00463BCB">
          <w:pPr>
            <w:tabs>
              <w:tab w:val="right" w:pos="8838"/>
            </w:tabs>
            <w:ind w:left="-28"/>
            <w:jc w:val="both"/>
            <w:rPr>
              <w:rFonts w:ascii="Arial" w:eastAsia="Calibri" w:hAnsi="Arial" w:cs="Arial"/>
              <w:b/>
              <w:sz w:val="22"/>
              <w:szCs w:val="22"/>
              <w:lang w:eastAsia="en-US"/>
            </w:rPr>
          </w:pPr>
        </w:p>
      </w:tc>
    </w:tr>
  </w:tbl>
  <w:p w14:paraId="07EF2D29" w14:textId="1620A8B4" w:rsidR="00463BCB" w:rsidRDefault="00F51DAD"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463BCB" w:rsidRDefault="00463BCB"/>
  <w:p w14:paraId="104386EF" w14:textId="77777777" w:rsidR="00463BCB" w:rsidRDefault="00463BCB"/>
  <w:p w14:paraId="60A3E393" w14:textId="77777777" w:rsidR="00463BCB" w:rsidRDefault="00463B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463BCB" w14:paraId="61517A1D" w14:textId="77777777" w:rsidTr="003A6126">
      <w:trPr>
        <w:trHeight w:val="1435"/>
      </w:trPr>
      <w:tc>
        <w:tcPr>
          <w:tcW w:w="1560" w:type="dxa"/>
          <w:shd w:val="clear" w:color="auto" w:fill="auto"/>
        </w:tcPr>
        <w:p w14:paraId="4B74E846" w14:textId="1E0D62B9" w:rsidR="00463BCB" w:rsidRDefault="00463BC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55" w:type="dxa"/>
            <w:tblInd w:w="1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4646"/>
            <w:gridCol w:w="3402"/>
          </w:tblGrid>
          <w:tr w:rsidR="00463BCB" w14:paraId="7F59E1EF" w14:textId="77777777" w:rsidTr="008306E4">
            <w:trPr>
              <w:trHeight w:val="144"/>
            </w:trPr>
            <w:tc>
              <w:tcPr>
                <w:tcW w:w="2407" w:type="dxa"/>
              </w:tcPr>
              <w:p w14:paraId="5EFF942E"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bookmarkStart w:id="30" w:name="_Hlk12526980"/>
                <w:r>
                  <w:rPr>
                    <w:rFonts w:ascii="Palatino Linotype" w:eastAsia="Calibri" w:hAnsi="Palatino Linotype" w:cs="Tahoma"/>
                    <w:b/>
                    <w:sz w:val="22"/>
                    <w:szCs w:val="22"/>
                    <w:lang w:eastAsia="en-US"/>
                  </w:rPr>
                  <w:t>Recurso de Revisión:</w:t>
                </w:r>
              </w:p>
            </w:tc>
            <w:tc>
              <w:tcPr>
                <w:tcW w:w="4646" w:type="dxa"/>
              </w:tcPr>
              <w:p w14:paraId="0DE47EE2" w14:textId="0EFBC0F7" w:rsidR="00463BCB" w:rsidRPr="00A3364C" w:rsidRDefault="0089380C" w:rsidP="00B93FF6">
                <w:pPr>
                  <w:tabs>
                    <w:tab w:val="right" w:pos="8838"/>
                  </w:tabs>
                  <w:ind w:left="-3" w:right="-105"/>
                  <w:jc w:val="both"/>
                  <w:rPr>
                    <w:rFonts w:ascii="Palatino Linotype" w:eastAsia="Calibri" w:hAnsi="Palatino Linotype" w:cs="Tahoma"/>
                    <w:sz w:val="22"/>
                    <w:szCs w:val="22"/>
                    <w:lang w:eastAsia="en-US"/>
                  </w:rPr>
                </w:pPr>
                <w:r w:rsidRPr="00A3364C">
                  <w:rPr>
                    <w:rFonts w:ascii="Palatino Linotype" w:hAnsi="Palatino Linotype" w:cs="Arial"/>
                    <w:sz w:val="22"/>
                    <w:szCs w:val="24"/>
                  </w:rPr>
                  <w:t>11138</w:t>
                </w:r>
                <w:r w:rsidR="00463BCB" w:rsidRPr="00A3364C">
                  <w:rPr>
                    <w:rFonts w:ascii="Palatino Linotype" w:eastAsia="Calibri" w:hAnsi="Palatino Linotype" w:cs="Tahoma"/>
                    <w:sz w:val="22"/>
                    <w:lang w:eastAsia="en-US"/>
                  </w:rPr>
                  <w:t>/INFOEM</w:t>
                </w:r>
                <w:r w:rsidRPr="00A3364C">
                  <w:rPr>
                    <w:rFonts w:ascii="Palatino Linotype" w:eastAsia="Calibri" w:hAnsi="Palatino Linotype" w:cs="Tahoma"/>
                    <w:sz w:val="22"/>
                    <w:lang w:eastAsia="en-US"/>
                  </w:rPr>
                  <w:t>/ICR-74</w:t>
                </w:r>
                <w:r w:rsidR="00463BCB" w:rsidRPr="00A3364C">
                  <w:rPr>
                    <w:rFonts w:ascii="Palatino Linotype" w:eastAsia="Calibri" w:hAnsi="Palatino Linotype" w:cs="Tahoma"/>
                    <w:sz w:val="22"/>
                    <w:lang w:eastAsia="en-US"/>
                  </w:rPr>
                  <w:t>/IP/RR/2022</w:t>
                </w:r>
              </w:p>
            </w:tc>
            <w:tc>
              <w:tcPr>
                <w:tcW w:w="3402" w:type="dxa"/>
              </w:tcPr>
              <w:p w14:paraId="11E4533C" w14:textId="3B21362A" w:rsidR="00463BCB" w:rsidRDefault="00463BCB">
                <w:pPr>
                  <w:tabs>
                    <w:tab w:val="right" w:pos="8838"/>
                  </w:tabs>
                  <w:ind w:left="-74" w:right="-105"/>
                  <w:jc w:val="both"/>
                  <w:rPr>
                    <w:rFonts w:ascii="Palatino Linotype" w:eastAsia="Calibri" w:hAnsi="Palatino Linotype" w:cs="Tahoma"/>
                    <w:bCs/>
                    <w:sz w:val="22"/>
                    <w:szCs w:val="22"/>
                    <w:lang w:eastAsia="en-US"/>
                  </w:rPr>
                </w:pPr>
              </w:p>
            </w:tc>
          </w:tr>
          <w:tr w:rsidR="00463BCB" w14:paraId="3FC4FA7D" w14:textId="77777777" w:rsidTr="008306E4">
            <w:trPr>
              <w:trHeight w:val="144"/>
            </w:trPr>
            <w:tc>
              <w:tcPr>
                <w:tcW w:w="2407" w:type="dxa"/>
              </w:tcPr>
              <w:p w14:paraId="363D966B"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bookmarkStart w:id="31" w:name="_Hlk10641523"/>
                <w:bookmarkEnd w:id="30"/>
                <w:r>
                  <w:rPr>
                    <w:rFonts w:ascii="Palatino Linotype" w:eastAsia="Calibri" w:hAnsi="Palatino Linotype" w:cs="Tahoma"/>
                    <w:b/>
                    <w:sz w:val="22"/>
                    <w:szCs w:val="22"/>
                    <w:lang w:eastAsia="en-US"/>
                  </w:rPr>
                  <w:t>Recurrente:</w:t>
                </w:r>
              </w:p>
            </w:tc>
            <w:tc>
              <w:tcPr>
                <w:tcW w:w="4646" w:type="dxa"/>
              </w:tcPr>
              <w:p w14:paraId="73C065CD" w14:textId="3C03431A" w:rsidR="00463BCB" w:rsidRPr="00A3364C" w:rsidRDefault="00463BCB" w:rsidP="00A36BE2">
                <w:pPr>
                  <w:tabs>
                    <w:tab w:val="left" w:pos="3122"/>
                    <w:tab w:val="right" w:pos="8838"/>
                  </w:tabs>
                  <w:ind w:right="1457"/>
                  <w:jc w:val="both"/>
                  <w:rPr>
                    <w:rFonts w:ascii="Palatino Linotype" w:eastAsia="Calibri" w:hAnsi="Palatino Linotype" w:cs="Tahoma"/>
                    <w:sz w:val="22"/>
                    <w:szCs w:val="22"/>
                    <w:lang w:eastAsia="en-US"/>
                  </w:rPr>
                </w:pPr>
              </w:p>
            </w:tc>
            <w:tc>
              <w:tcPr>
                <w:tcW w:w="3402" w:type="dxa"/>
              </w:tcPr>
              <w:p w14:paraId="370E6EFF" w14:textId="3B7EABB6" w:rsidR="00463BCB" w:rsidRDefault="00463BCB" w:rsidP="003037E1">
                <w:pPr>
                  <w:tabs>
                    <w:tab w:val="left" w:pos="3122"/>
                    <w:tab w:val="right" w:pos="8838"/>
                  </w:tabs>
                  <w:ind w:right="-105"/>
                  <w:jc w:val="both"/>
                  <w:rPr>
                    <w:rFonts w:ascii="Palatino Linotype" w:eastAsia="Calibri" w:hAnsi="Palatino Linotype" w:cs="Tahoma"/>
                    <w:sz w:val="22"/>
                    <w:szCs w:val="22"/>
                    <w:lang w:eastAsia="en-US"/>
                  </w:rPr>
                </w:pPr>
              </w:p>
            </w:tc>
          </w:tr>
          <w:bookmarkEnd w:id="31"/>
          <w:tr w:rsidR="00463BCB" w14:paraId="4D832A43" w14:textId="77777777" w:rsidTr="008306E4">
            <w:trPr>
              <w:trHeight w:val="283"/>
            </w:trPr>
            <w:tc>
              <w:tcPr>
                <w:tcW w:w="2407" w:type="dxa"/>
              </w:tcPr>
              <w:p w14:paraId="02CA5CB0" w14:textId="77777777" w:rsidR="00463BCB" w:rsidRDefault="00463BC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24F596A1" w:rsidR="00463BCB" w:rsidRPr="00A3364C" w:rsidRDefault="00463BCB" w:rsidP="00CA3902">
                <w:pPr>
                  <w:tabs>
                    <w:tab w:val="left" w:pos="2834"/>
                    <w:tab w:val="right" w:pos="8838"/>
                  </w:tabs>
                  <w:ind w:left="-3" w:right="1315"/>
                  <w:jc w:val="both"/>
                  <w:rPr>
                    <w:rFonts w:ascii="Palatino Linotype" w:eastAsia="Calibri" w:hAnsi="Palatino Linotype" w:cs="Tahoma"/>
                    <w:sz w:val="22"/>
                    <w:szCs w:val="22"/>
                    <w:lang w:eastAsia="en-US"/>
                  </w:rPr>
                </w:pPr>
                <w:r w:rsidRPr="00A3364C">
                  <w:rPr>
                    <w:rFonts w:ascii="Palatino Linotype" w:eastAsia="Calibri" w:hAnsi="Palatino Linotype" w:cs="Tahoma"/>
                    <w:sz w:val="22"/>
                    <w:szCs w:val="28"/>
                    <w:lang w:eastAsia="en-US"/>
                  </w:rPr>
                  <w:t>Ayuntamiento de Metepec</w:t>
                </w:r>
              </w:p>
            </w:tc>
            <w:tc>
              <w:tcPr>
                <w:tcW w:w="3402" w:type="dxa"/>
              </w:tcPr>
              <w:p w14:paraId="00F18B8C" w14:textId="77777777" w:rsidR="00463BCB" w:rsidRDefault="00463BCB">
                <w:pPr>
                  <w:tabs>
                    <w:tab w:val="left" w:pos="2834"/>
                    <w:tab w:val="right" w:pos="8838"/>
                  </w:tabs>
                  <w:ind w:left="-74" w:right="-105"/>
                  <w:jc w:val="both"/>
                  <w:rPr>
                    <w:rFonts w:ascii="Palatino Linotype" w:eastAsia="Calibri" w:hAnsi="Palatino Linotype" w:cs="Tahoma"/>
                    <w:sz w:val="22"/>
                    <w:szCs w:val="22"/>
                    <w:lang w:eastAsia="en-US"/>
                  </w:rPr>
                </w:pPr>
              </w:p>
            </w:tc>
          </w:tr>
          <w:tr w:rsidR="00463BCB" w14:paraId="7BC74D7A" w14:textId="77777777" w:rsidTr="008306E4">
            <w:trPr>
              <w:trHeight w:val="283"/>
            </w:trPr>
            <w:tc>
              <w:tcPr>
                <w:tcW w:w="2407" w:type="dxa"/>
              </w:tcPr>
              <w:p w14:paraId="3BF93338" w14:textId="01E84F2D" w:rsidR="00463BCB" w:rsidRDefault="00463BCB"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463BCB" w:rsidRPr="00A3364C" w:rsidRDefault="00463BCB" w:rsidP="003037E1">
                <w:pPr>
                  <w:tabs>
                    <w:tab w:val="right" w:pos="8838"/>
                  </w:tabs>
                  <w:ind w:left="-3" w:right="-105"/>
                  <w:jc w:val="both"/>
                  <w:rPr>
                    <w:rFonts w:ascii="Palatino Linotype" w:eastAsia="Calibri" w:hAnsi="Palatino Linotype" w:cs="Tahoma"/>
                    <w:sz w:val="22"/>
                    <w:szCs w:val="22"/>
                    <w:lang w:eastAsia="en-US"/>
                  </w:rPr>
                </w:pPr>
                <w:r w:rsidRPr="00A3364C">
                  <w:rPr>
                    <w:rFonts w:ascii="Palatino Linotype" w:eastAsia="Calibri" w:hAnsi="Palatino Linotype" w:cs="Tahoma"/>
                    <w:sz w:val="22"/>
                    <w:szCs w:val="22"/>
                    <w:lang w:eastAsia="en-US"/>
                  </w:rPr>
                  <w:t>María del Rosario Mejía Ayala</w:t>
                </w:r>
              </w:p>
            </w:tc>
            <w:tc>
              <w:tcPr>
                <w:tcW w:w="3402" w:type="dxa"/>
              </w:tcPr>
              <w:p w14:paraId="6DBCB70D" w14:textId="77777777" w:rsidR="00463BCB" w:rsidRDefault="00463BCB">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463BCB" w:rsidRDefault="00463BCB">
          <w:pPr>
            <w:tabs>
              <w:tab w:val="right" w:pos="8838"/>
            </w:tabs>
            <w:ind w:left="-28"/>
            <w:jc w:val="both"/>
            <w:rPr>
              <w:rFonts w:ascii="Arial" w:eastAsia="Calibri" w:hAnsi="Arial" w:cs="Arial"/>
              <w:b/>
              <w:sz w:val="22"/>
              <w:szCs w:val="22"/>
              <w:lang w:eastAsia="en-US"/>
            </w:rPr>
          </w:pPr>
        </w:p>
      </w:tc>
    </w:tr>
  </w:tbl>
  <w:p w14:paraId="5F654A99" w14:textId="6CB7D4AE" w:rsidR="00463BCB" w:rsidRDefault="00F51DAD"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463BCB" w:rsidRDefault="00463BCB"/>
  <w:p w14:paraId="69AC6122" w14:textId="77777777" w:rsidR="00463BCB" w:rsidRDefault="00463B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9A64A2B"/>
    <w:multiLevelType w:val="hybridMultilevel"/>
    <w:tmpl w:val="10A00A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C3412C"/>
    <w:multiLevelType w:val="hybridMultilevel"/>
    <w:tmpl w:val="9814E382"/>
    <w:lvl w:ilvl="0" w:tplc="B1FCA7B0">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355341"/>
    <w:multiLevelType w:val="hybridMultilevel"/>
    <w:tmpl w:val="45CE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D93456"/>
    <w:multiLevelType w:val="hybridMultilevel"/>
    <w:tmpl w:val="FD3EF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EB0FDC"/>
    <w:multiLevelType w:val="hybridMultilevel"/>
    <w:tmpl w:val="4948E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0136A0"/>
    <w:multiLevelType w:val="hybridMultilevel"/>
    <w:tmpl w:val="9066048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10" w15:restartNumberingAfterBreak="0">
    <w:nsid w:val="7D4A500E"/>
    <w:multiLevelType w:val="hybridMultilevel"/>
    <w:tmpl w:val="622ED5C2"/>
    <w:lvl w:ilvl="0" w:tplc="BEE8439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6"/>
  </w:num>
  <w:num w:numId="8">
    <w:abstractNumId w:val="10"/>
  </w:num>
  <w:num w:numId="9">
    <w:abstractNumId w:val="7"/>
  </w:num>
  <w:num w:numId="10">
    <w:abstractNumId w:val="8"/>
  </w:num>
  <w:num w:numId="11">
    <w:abstractNumId w:val="9"/>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903"/>
    <w:rsid w:val="00082B18"/>
    <w:rsid w:val="00084E6C"/>
    <w:rsid w:val="00085304"/>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6A9"/>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D14"/>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90C"/>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C02B9"/>
    <w:rsid w:val="002C0440"/>
    <w:rsid w:val="002C06E4"/>
    <w:rsid w:val="002C0DC2"/>
    <w:rsid w:val="002C255D"/>
    <w:rsid w:val="002C2EA7"/>
    <w:rsid w:val="002C33B4"/>
    <w:rsid w:val="002C3F45"/>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6D7B"/>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7F7D"/>
    <w:rsid w:val="00451065"/>
    <w:rsid w:val="004528B2"/>
    <w:rsid w:val="0045504F"/>
    <w:rsid w:val="00456223"/>
    <w:rsid w:val="00460032"/>
    <w:rsid w:val="0046048A"/>
    <w:rsid w:val="00460BA0"/>
    <w:rsid w:val="00463AE9"/>
    <w:rsid w:val="00463BCB"/>
    <w:rsid w:val="00463D81"/>
    <w:rsid w:val="004641EB"/>
    <w:rsid w:val="00465C75"/>
    <w:rsid w:val="00466346"/>
    <w:rsid w:val="00466604"/>
    <w:rsid w:val="00467E2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6D"/>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1BB"/>
    <w:rsid w:val="00641804"/>
    <w:rsid w:val="006418ED"/>
    <w:rsid w:val="00641C5F"/>
    <w:rsid w:val="00642A9E"/>
    <w:rsid w:val="00642B13"/>
    <w:rsid w:val="006431FF"/>
    <w:rsid w:val="0064345F"/>
    <w:rsid w:val="00643C2B"/>
    <w:rsid w:val="00645F7D"/>
    <w:rsid w:val="00646100"/>
    <w:rsid w:val="006476CA"/>
    <w:rsid w:val="006544EC"/>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028"/>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15"/>
    <w:rsid w:val="006C7760"/>
    <w:rsid w:val="006C7776"/>
    <w:rsid w:val="006C79C0"/>
    <w:rsid w:val="006C7EEA"/>
    <w:rsid w:val="006D052F"/>
    <w:rsid w:val="006D07CA"/>
    <w:rsid w:val="006D1DEB"/>
    <w:rsid w:val="006D1F0C"/>
    <w:rsid w:val="006D233A"/>
    <w:rsid w:val="006D3563"/>
    <w:rsid w:val="006D3646"/>
    <w:rsid w:val="006D522C"/>
    <w:rsid w:val="006D56A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180E"/>
    <w:rsid w:val="00792298"/>
    <w:rsid w:val="00793090"/>
    <w:rsid w:val="0079563B"/>
    <w:rsid w:val="00795BA7"/>
    <w:rsid w:val="00796C9B"/>
    <w:rsid w:val="00796F2A"/>
    <w:rsid w:val="0079788B"/>
    <w:rsid w:val="007A0176"/>
    <w:rsid w:val="007A0314"/>
    <w:rsid w:val="007A0390"/>
    <w:rsid w:val="007A0F2A"/>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25C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06E4"/>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8D9"/>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BFD"/>
    <w:rsid w:val="00884EE8"/>
    <w:rsid w:val="00885168"/>
    <w:rsid w:val="0089048E"/>
    <w:rsid w:val="0089173B"/>
    <w:rsid w:val="00891E76"/>
    <w:rsid w:val="0089220F"/>
    <w:rsid w:val="008924C1"/>
    <w:rsid w:val="008935AA"/>
    <w:rsid w:val="0089380C"/>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B7744"/>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1BD"/>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551"/>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364C"/>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7BD"/>
    <w:rsid w:val="00A66808"/>
    <w:rsid w:val="00A6697B"/>
    <w:rsid w:val="00A67022"/>
    <w:rsid w:val="00A67F68"/>
    <w:rsid w:val="00A719AA"/>
    <w:rsid w:val="00A73DE3"/>
    <w:rsid w:val="00A74C2D"/>
    <w:rsid w:val="00A74D33"/>
    <w:rsid w:val="00A7564A"/>
    <w:rsid w:val="00A76B34"/>
    <w:rsid w:val="00A8015B"/>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629C"/>
    <w:rsid w:val="00A96514"/>
    <w:rsid w:val="00A966F6"/>
    <w:rsid w:val="00A96E80"/>
    <w:rsid w:val="00A97448"/>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D3D"/>
    <w:rsid w:val="00AF6DED"/>
    <w:rsid w:val="00AF7502"/>
    <w:rsid w:val="00AF79BD"/>
    <w:rsid w:val="00AF7DB8"/>
    <w:rsid w:val="00B007F7"/>
    <w:rsid w:val="00B01191"/>
    <w:rsid w:val="00B01BB6"/>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628"/>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0B51"/>
    <w:rsid w:val="00C01579"/>
    <w:rsid w:val="00C03922"/>
    <w:rsid w:val="00C03AA9"/>
    <w:rsid w:val="00C076CE"/>
    <w:rsid w:val="00C10FCF"/>
    <w:rsid w:val="00C12810"/>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A89"/>
    <w:rsid w:val="00C3345C"/>
    <w:rsid w:val="00C3426A"/>
    <w:rsid w:val="00C36BB3"/>
    <w:rsid w:val="00C40653"/>
    <w:rsid w:val="00C407E5"/>
    <w:rsid w:val="00C41BDB"/>
    <w:rsid w:val="00C41F64"/>
    <w:rsid w:val="00C42DAC"/>
    <w:rsid w:val="00C4342B"/>
    <w:rsid w:val="00C436E3"/>
    <w:rsid w:val="00C443B2"/>
    <w:rsid w:val="00C44666"/>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D71B7"/>
    <w:rsid w:val="00CE0A60"/>
    <w:rsid w:val="00CE0DCE"/>
    <w:rsid w:val="00CE1B6A"/>
    <w:rsid w:val="00CE1BC9"/>
    <w:rsid w:val="00CE321D"/>
    <w:rsid w:val="00CE33C1"/>
    <w:rsid w:val="00CE4DD6"/>
    <w:rsid w:val="00CE597A"/>
    <w:rsid w:val="00CE6484"/>
    <w:rsid w:val="00CE6763"/>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499F"/>
    <w:rsid w:val="00E0682E"/>
    <w:rsid w:val="00E06E31"/>
    <w:rsid w:val="00E102D2"/>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16AD"/>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A6E"/>
    <w:rsid w:val="00F04B15"/>
    <w:rsid w:val="00F0528B"/>
    <w:rsid w:val="00F061A6"/>
    <w:rsid w:val="00F06B3A"/>
    <w:rsid w:val="00F0710C"/>
    <w:rsid w:val="00F07A3A"/>
    <w:rsid w:val="00F07A69"/>
    <w:rsid w:val="00F07C58"/>
    <w:rsid w:val="00F11AB3"/>
    <w:rsid w:val="00F11E70"/>
    <w:rsid w:val="00F1286E"/>
    <w:rsid w:val="00F12B32"/>
    <w:rsid w:val="00F14017"/>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1DAD"/>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00FF687A"/>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styleId="Referenciasutil">
    <w:name w:val="Subtle Reference"/>
    <w:basedOn w:val="Fuentedeprrafopredeter"/>
    <w:uiPriority w:val="31"/>
    <w:qFormat/>
    <w:rsid w:val="00A3364C"/>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22521928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88774949">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1600476.pa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aimex.org.mx/saimex/solicitud/downloadAttach/1623745.pag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aimex.org.mx/saimex/upload/2022/9/f31796eb22f4f585c1f55465cb73200c.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15D5C-73ED-495B-9D29-C64E67AB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5645</Words>
  <Characters>31048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INFOEM391</cp:lastModifiedBy>
  <cp:revision>4</cp:revision>
  <cp:lastPrinted>2021-08-18T17:12:00Z</cp:lastPrinted>
  <dcterms:created xsi:type="dcterms:W3CDTF">2024-02-20T23:07:00Z</dcterms:created>
  <dcterms:modified xsi:type="dcterms:W3CDTF">2024-02-28T00:30:00Z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