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78054" w14:textId="77777777" w:rsidR="0045345E" w:rsidRPr="00354E9C" w:rsidRDefault="00087E62">
      <w:pPr>
        <w:spacing w:before="240" w:after="240"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diecisiete de enero de dos mil veinticuatro. </w:t>
      </w:r>
    </w:p>
    <w:p w14:paraId="6042C844" w14:textId="77777777" w:rsidR="0045345E" w:rsidRPr="00354E9C" w:rsidRDefault="00087E62">
      <w:pPr>
        <w:spacing w:before="240" w:after="240"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b/>
        </w:rPr>
        <w:t>VISTO</w:t>
      </w:r>
      <w:r w:rsidRPr="00354E9C">
        <w:rPr>
          <w:rFonts w:ascii="Palatino Linotype" w:eastAsia="Palatino Linotype" w:hAnsi="Palatino Linotype" w:cs="Palatino Linotype"/>
        </w:rPr>
        <w:t xml:space="preserve"> el expediente formado con motivo del r</w:t>
      </w:r>
      <w:bookmarkStart w:id="0" w:name="_GoBack"/>
      <w:bookmarkEnd w:id="0"/>
      <w:r w:rsidRPr="00354E9C">
        <w:rPr>
          <w:rFonts w:ascii="Palatino Linotype" w:eastAsia="Palatino Linotype" w:hAnsi="Palatino Linotype" w:cs="Palatino Linotype"/>
        </w:rPr>
        <w:t xml:space="preserve">ecurso de revisión </w:t>
      </w:r>
      <w:r w:rsidRPr="00354E9C">
        <w:rPr>
          <w:rFonts w:ascii="Palatino Linotype" w:eastAsia="Palatino Linotype" w:hAnsi="Palatino Linotype" w:cs="Palatino Linotype"/>
          <w:b/>
        </w:rPr>
        <w:t>05984/INFOEM/IP/RR/2023</w:t>
      </w:r>
      <w:r w:rsidRPr="00354E9C">
        <w:rPr>
          <w:rFonts w:ascii="Palatino Linotype" w:eastAsia="Palatino Linotype" w:hAnsi="Palatino Linotype" w:cs="Palatino Linotype"/>
        </w:rPr>
        <w:t>, interpuesto por</w:t>
      </w:r>
      <w:r w:rsidRPr="00354E9C">
        <w:rPr>
          <w:rFonts w:ascii="Palatino Linotype" w:eastAsia="Palatino Linotype" w:hAnsi="Palatino Linotype" w:cs="Palatino Linotype"/>
          <w:b/>
        </w:rPr>
        <w:t xml:space="preserve"> un particular que no proporcionó su nombre</w:t>
      </w:r>
      <w:r w:rsidRPr="00354E9C">
        <w:rPr>
          <w:rFonts w:ascii="Palatino Linotype" w:eastAsia="Palatino Linotype" w:hAnsi="Palatino Linotype" w:cs="Palatino Linotype"/>
        </w:rPr>
        <w:t xml:space="preserve">, en lo sucesivo la parte </w:t>
      </w:r>
      <w:r w:rsidRPr="00354E9C">
        <w:rPr>
          <w:rFonts w:ascii="Palatino Linotype" w:eastAsia="Palatino Linotype" w:hAnsi="Palatino Linotype" w:cs="Palatino Linotype"/>
          <w:b/>
        </w:rPr>
        <w:t>RECURRENTE,</w:t>
      </w:r>
      <w:r w:rsidRPr="00354E9C">
        <w:rPr>
          <w:rFonts w:ascii="Palatino Linotype" w:eastAsia="Palatino Linotype" w:hAnsi="Palatino Linotype" w:cs="Palatino Linotype"/>
        </w:rPr>
        <w:t xml:space="preserve"> en contra de la respuesta a su solicitud de información con número de folio</w:t>
      </w:r>
      <w:r w:rsidRPr="00354E9C">
        <w:rPr>
          <w:rFonts w:ascii="Palatino Linotype" w:eastAsia="Palatino Linotype" w:hAnsi="Palatino Linotype" w:cs="Palatino Linotype"/>
          <w:b/>
        </w:rPr>
        <w:t xml:space="preserve"> 01206/ZINACANT/IP/2023, </w:t>
      </w:r>
      <w:r w:rsidRPr="00354E9C">
        <w:rPr>
          <w:rFonts w:ascii="Palatino Linotype" w:eastAsia="Palatino Linotype" w:hAnsi="Palatino Linotype" w:cs="Palatino Linotype"/>
        </w:rPr>
        <w:t xml:space="preserve">por parte del </w:t>
      </w:r>
      <w:r w:rsidRPr="00354E9C">
        <w:rPr>
          <w:rFonts w:ascii="Palatino Linotype" w:eastAsia="Palatino Linotype" w:hAnsi="Palatino Linotype" w:cs="Palatino Linotype"/>
          <w:b/>
        </w:rPr>
        <w:t xml:space="preserve">Ayuntamiento de Zinacantepec, </w:t>
      </w:r>
      <w:r w:rsidRPr="00354E9C">
        <w:rPr>
          <w:rFonts w:ascii="Palatino Linotype" w:eastAsia="Palatino Linotype" w:hAnsi="Palatino Linotype" w:cs="Palatino Linotype"/>
        </w:rPr>
        <w:t xml:space="preserve">en lo sucesivo el </w:t>
      </w:r>
      <w:r w:rsidRPr="00354E9C">
        <w:rPr>
          <w:rFonts w:ascii="Palatino Linotype" w:eastAsia="Palatino Linotype" w:hAnsi="Palatino Linotype" w:cs="Palatino Linotype"/>
          <w:b/>
        </w:rPr>
        <w:t xml:space="preserve">SUJETO OBLIGADO, </w:t>
      </w:r>
      <w:r w:rsidRPr="00354E9C">
        <w:rPr>
          <w:rFonts w:ascii="Palatino Linotype" w:eastAsia="Palatino Linotype" w:hAnsi="Palatino Linotype" w:cs="Palatino Linotype"/>
        </w:rPr>
        <w:t xml:space="preserve">se procede a dictar la presente resolución con base en los siguientes: </w:t>
      </w:r>
    </w:p>
    <w:p w14:paraId="7D09C9EB" w14:textId="77777777" w:rsidR="0045345E" w:rsidRPr="00354E9C" w:rsidRDefault="00087E62">
      <w:pPr>
        <w:spacing w:before="240" w:after="240" w:line="360" w:lineRule="auto"/>
        <w:jc w:val="center"/>
        <w:rPr>
          <w:rFonts w:ascii="Palatino Linotype" w:eastAsia="Palatino Linotype" w:hAnsi="Palatino Linotype" w:cs="Palatino Linotype"/>
          <w:b/>
        </w:rPr>
      </w:pPr>
      <w:r w:rsidRPr="00354E9C">
        <w:rPr>
          <w:rFonts w:ascii="Palatino Linotype" w:eastAsia="Palatino Linotype" w:hAnsi="Palatino Linotype" w:cs="Palatino Linotype"/>
          <w:b/>
        </w:rPr>
        <w:t>I. A N T E C E D E N T E S</w:t>
      </w:r>
    </w:p>
    <w:p w14:paraId="7B9427D1" w14:textId="77777777" w:rsidR="0045345E" w:rsidRPr="00354E9C" w:rsidRDefault="00087E62">
      <w:pPr>
        <w:spacing w:before="240" w:after="240"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b/>
        </w:rPr>
        <w:t>1. Solicitud de acceso a la información.</w:t>
      </w:r>
      <w:r w:rsidRPr="00354E9C">
        <w:rPr>
          <w:rFonts w:ascii="Palatino Linotype" w:eastAsia="Palatino Linotype" w:hAnsi="Palatino Linotype" w:cs="Palatino Linotype"/>
        </w:rPr>
        <w:t xml:space="preserve"> Con fecha </w:t>
      </w:r>
      <w:r w:rsidRPr="00354E9C">
        <w:rPr>
          <w:rFonts w:ascii="Palatino Linotype" w:eastAsia="Palatino Linotype" w:hAnsi="Palatino Linotype" w:cs="Palatino Linotype"/>
          <w:b/>
        </w:rPr>
        <w:t>dieciséis de agosto de dos mil veintitrés,</w:t>
      </w:r>
      <w:r w:rsidRPr="00354E9C">
        <w:rPr>
          <w:rFonts w:ascii="Palatino Linotype" w:eastAsia="Palatino Linotype" w:hAnsi="Palatino Linotype" w:cs="Palatino Linotype"/>
        </w:rPr>
        <w:t xml:space="preserve"> la parte </w:t>
      </w:r>
      <w:r w:rsidRPr="00354E9C">
        <w:rPr>
          <w:rFonts w:ascii="Palatino Linotype" w:eastAsia="Palatino Linotype" w:hAnsi="Palatino Linotype" w:cs="Palatino Linotype"/>
          <w:b/>
        </w:rPr>
        <w:t xml:space="preserve">RECURRENTE </w:t>
      </w:r>
      <w:r w:rsidRPr="00354E9C">
        <w:rPr>
          <w:rFonts w:ascii="Palatino Linotype" w:eastAsia="Palatino Linotype" w:hAnsi="Palatino Linotype" w:cs="Palatino Linotype"/>
        </w:rPr>
        <w:t xml:space="preserve">presentó, a través del Sistema de Acceso a la Información Mexiquense, en lo subsecuente el </w:t>
      </w:r>
      <w:r w:rsidRPr="00354E9C">
        <w:rPr>
          <w:rFonts w:ascii="Palatino Linotype" w:eastAsia="Palatino Linotype" w:hAnsi="Palatino Linotype" w:cs="Palatino Linotype"/>
          <w:b/>
        </w:rPr>
        <w:t>SAIMEX,</w:t>
      </w:r>
      <w:r w:rsidRPr="00354E9C">
        <w:rPr>
          <w:rFonts w:ascii="Palatino Linotype" w:eastAsia="Palatino Linotype" w:hAnsi="Palatino Linotype" w:cs="Palatino Linotype"/>
        </w:rPr>
        <w:t xml:space="preserve"> ante el </w:t>
      </w:r>
      <w:r w:rsidRPr="00354E9C">
        <w:rPr>
          <w:rFonts w:ascii="Palatino Linotype" w:eastAsia="Palatino Linotype" w:hAnsi="Palatino Linotype" w:cs="Palatino Linotype"/>
          <w:b/>
        </w:rPr>
        <w:t>SUJETO OBLIGADO</w:t>
      </w:r>
      <w:r w:rsidRPr="00354E9C">
        <w:rPr>
          <w:rFonts w:ascii="Palatino Linotype" w:eastAsia="Palatino Linotype" w:hAnsi="Palatino Linotype" w:cs="Palatino Linotype"/>
        </w:rPr>
        <w:t>, la solicitud de acceso a la información pública, a la que se le asignó el número</w:t>
      </w:r>
      <w:r w:rsidRPr="00354E9C">
        <w:rPr>
          <w:rFonts w:ascii="Palatino Linotype" w:eastAsia="Palatino Linotype" w:hAnsi="Palatino Linotype" w:cs="Palatino Linotype"/>
          <w:b/>
        </w:rPr>
        <w:t xml:space="preserve"> 01206/ZINACANT/IP/2023, </w:t>
      </w:r>
      <w:r w:rsidRPr="00354E9C">
        <w:rPr>
          <w:rFonts w:ascii="Palatino Linotype" w:eastAsia="Palatino Linotype" w:hAnsi="Palatino Linotype" w:cs="Palatino Linotype"/>
        </w:rPr>
        <w:t xml:space="preserve">mediante la cual requirió la información siguiente: </w:t>
      </w:r>
    </w:p>
    <w:p w14:paraId="7DC8690B" w14:textId="77777777" w:rsidR="0045345E" w:rsidRPr="00354E9C" w:rsidRDefault="00087E62">
      <w:pPr>
        <w:spacing w:before="240"/>
        <w:ind w:left="851" w:right="902"/>
        <w:jc w:val="both"/>
        <w:rPr>
          <w:rFonts w:ascii="Palatino Linotype" w:eastAsia="Palatino Linotype" w:hAnsi="Palatino Linotype" w:cs="Palatino Linotype"/>
          <w:i/>
          <w:sz w:val="22"/>
          <w:szCs w:val="22"/>
        </w:rPr>
      </w:pPr>
      <w:bookmarkStart w:id="1" w:name="_heading=h.gjdgxs" w:colFirst="0" w:colLast="0"/>
      <w:bookmarkEnd w:id="1"/>
      <w:r w:rsidRPr="00354E9C">
        <w:rPr>
          <w:rFonts w:ascii="Palatino Linotype" w:eastAsia="Palatino Linotype" w:hAnsi="Palatino Linotype" w:cs="Palatino Linotype"/>
          <w:i/>
          <w:sz w:val="22"/>
          <w:szCs w:val="22"/>
        </w:rPr>
        <w:t>“SOLICITO LA RENUNCIA DE LA EX TESORERA YENI ISABEL HERNANDEZ NAVA” (Sic)</w:t>
      </w:r>
    </w:p>
    <w:p w14:paraId="0C72CF66" w14:textId="77777777" w:rsidR="0045345E" w:rsidRPr="00354E9C" w:rsidRDefault="0045345E">
      <w:pPr>
        <w:spacing w:before="240"/>
        <w:ind w:left="851" w:right="902"/>
        <w:jc w:val="both"/>
        <w:rPr>
          <w:rFonts w:ascii="Palatino Linotype" w:eastAsia="Palatino Linotype" w:hAnsi="Palatino Linotype" w:cs="Palatino Linotype"/>
          <w:i/>
          <w:sz w:val="22"/>
          <w:szCs w:val="22"/>
        </w:rPr>
      </w:pPr>
    </w:p>
    <w:p w14:paraId="2B8B2E09"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b/>
        </w:rPr>
        <w:t>Modalidad de Entrega:</w:t>
      </w:r>
      <w:r w:rsidRPr="00354E9C">
        <w:rPr>
          <w:rFonts w:ascii="Palatino Linotype" w:eastAsia="Palatino Linotype" w:hAnsi="Palatino Linotype" w:cs="Palatino Linotype"/>
        </w:rPr>
        <w:t xml:space="preserve"> A través de SAIMEX.</w:t>
      </w:r>
    </w:p>
    <w:p w14:paraId="1571C8AB" w14:textId="77777777" w:rsidR="0045345E" w:rsidRPr="00354E9C" w:rsidRDefault="0045345E">
      <w:pPr>
        <w:spacing w:line="360" w:lineRule="auto"/>
        <w:jc w:val="both"/>
        <w:rPr>
          <w:rFonts w:ascii="Palatino Linotype" w:eastAsia="Palatino Linotype" w:hAnsi="Palatino Linotype" w:cs="Palatino Linotype"/>
        </w:rPr>
      </w:pPr>
    </w:p>
    <w:p w14:paraId="492C00D7" w14:textId="77777777" w:rsidR="0045345E" w:rsidRPr="00354E9C" w:rsidRDefault="00087E62">
      <w:pPr>
        <w:spacing w:after="240" w:line="360" w:lineRule="auto"/>
        <w:jc w:val="both"/>
        <w:rPr>
          <w:rFonts w:ascii="Palatino Linotype" w:eastAsia="Palatino Linotype" w:hAnsi="Palatino Linotype" w:cs="Palatino Linotype"/>
          <w:b/>
        </w:rPr>
      </w:pPr>
      <w:r w:rsidRPr="00354E9C">
        <w:rPr>
          <w:rFonts w:ascii="Palatino Linotype" w:eastAsia="Palatino Linotype" w:hAnsi="Palatino Linotype" w:cs="Palatino Linotype"/>
          <w:b/>
        </w:rPr>
        <w:lastRenderedPageBreak/>
        <w:t xml:space="preserve">2. Respuesta. </w:t>
      </w:r>
      <w:r w:rsidRPr="00354E9C">
        <w:rPr>
          <w:rFonts w:ascii="Palatino Linotype" w:eastAsia="Palatino Linotype" w:hAnsi="Palatino Linotype" w:cs="Palatino Linotype"/>
        </w:rPr>
        <w:t xml:space="preserve">Con fecha </w:t>
      </w:r>
      <w:r w:rsidRPr="00354E9C">
        <w:rPr>
          <w:rFonts w:ascii="Palatino Linotype" w:eastAsia="Palatino Linotype" w:hAnsi="Palatino Linotype" w:cs="Palatino Linotype"/>
          <w:b/>
        </w:rPr>
        <w:t>seis de septiembre de dos mil veintitrés</w:t>
      </w:r>
      <w:r w:rsidRPr="00354E9C">
        <w:rPr>
          <w:rFonts w:ascii="Palatino Linotype" w:eastAsia="Palatino Linotype" w:hAnsi="Palatino Linotype" w:cs="Palatino Linotype"/>
        </w:rPr>
        <w:t xml:space="preserve">, el </w:t>
      </w:r>
      <w:r w:rsidRPr="00354E9C">
        <w:rPr>
          <w:rFonts w:ascii="Palatino Linotype" w:eastAsia="Palatino Linotype" w:hAnsi="Palatino Linotype" w:cs="Palatino Linotype"/>
          <w:b/>
        </w:rPr>
        <w:t xml:space="preserve">SUJETO OBLIGADO </w:t>
      </w:r>
      <w:r w:rsidRPr="00354E9C">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38292534" w14:textId="77777777" w:rsidR="0045345E" w:rsidRPr="00354E9C" w:rsidRDefault="00087E62">
      <w:pPr>
        <w:spacing w:before="240"/>
        <w:ind w:left="851" w:right="902"/>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01206/ZINACANT/IP/2023, recibida a través del Sistema SAIMEX, en donde se solicita textualmente lo siguiente: “SOLICITO LA RENUNCIA DE LA EX TESORERA YENI ISABEL HERNANDEZ NAVA” (sic). En apego a lo establecido </w:t>
      </w:r>
      <w:r w:rsidRPr="00354E9C">
        <w:rPr>
          <w:rFonts w:ascii="Palatino Linotype" w:eastAsia="Palatino Linotype" w:hAnsi="Palatino Linotype" w:cs="Palatino Linotype"/>
          <w:b/>
          <w:i/>
          <w:sz w:val="22"/>
          <w:szCs w:val="22"/>
          <w:u w:val="single"/>
        </w:rPr>
        <w:t>su solicitud fue analizada y turnada a el área poseedora de la información, en este caso a la Dirección de Administración,</w:t>
      </w:r>
      <w:r w:rsidRPr="00354E9C">
        <w:rPr>
          <w:rFonts w:ascii="Palatino Linotype" w:eastAsia="Palatino Linotype" w:hAnsi="Palatino Linotype" w:cs="Palatino Linotype"/>
          <w:i/>
          <w:sz w:val="22"/>
          <w:szCs w:val="22"/>
        </w:rPr>
        <w:t xml:space="preserve">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(Sic)</w:t>
      </w:r>
    </w:p>
    <w:p w14:paraId="1D85015A" w14:textId="77777777" w:rsidR="0045345E" w:rsidRPr="00354E9C" w:rsidRDefault="00087E62">
      <w:pPr>
        <w:spacing w:before="240" w:after="240" w:line="360" w:lineRule="auto"/>
        <w:ind w:right="49"/>
        <w:jc w:val="both"/>
        <w:rPr>
          <w:rFonts w:ascii="Palatino Linotype" w:eastAsia="Palatino Linotype" w:hAnsi="Palatino Linotype" w:cs="Palatino Linotype"/>
        </w:rPr>
      </w:pPr>
      <w:r w:rsidRPr="00354E9C">
        <w:rPr>
          <w:rFonts w:ascii="Palatino Linotype" w:eastAsia="Palatino Linotype" w:hAnsi="Palatino Linotype" w:cs="Palatino Linotype"/>
        </w:rPr>
        <w:t xml:space="preserve">El </w:t>
      </w:r>
      <w:r w:rsidRPr="00354E9C">
        <w:rPr>
          <w:rFonts w:ascii="Palatino Linotype" w:eastAsia="Palatino Linotype" w:hAnsi="Palatino Linotype" w:cs="Palatino Linotype"/>
          <w:b/>
        </w:rPr>
        <w:t>SUJETO OBLIGADO</w:t>
      </w:r>
      <w:r w:rsidRPr="00354E9C">
        <w:rPr>
          <w:rFonts w:ascii="Palatino Linotype" w:eastAsia="Palatino Linotype" w:hAnsi="Palatino Linotype" w:cs="Palatino Linotype"/>
        </w:rPr>
        <w:t>, adjuntó a su respuesta los archivos electrónicos siguientes:</w:t>
      </w:r>
    </w:p>
    <w:p w14:paraId="12919BC9" w14:textId="77777777" w:rsidR="0045345E" w:rsidRPr="00354E9C" w:rsidRDefault="00087E62">
      <w:pPr>
        <w:spacing w:before="240" w:after="240" w:line="360" w:lineRule="auto"/>
        <w:ind w:right="49"/>
        <w:jc w:val="both"/>
        <w:rPr>
          <w:rFonts w:ascii="Palatino Linotype" w:eastAsia="Palatino Linotype" w:hAnsi="Palatino Linotype" w:cs="Palatino Linotype"/>
        </w:rPr>
      </w:pPr>
      <w:r w:rsidRPr="00354E9C">
        <w:rPr>
          <w:rFonts w:ascii="Palatino Linotype" w:eastAsia="Palatino Linotype" w:hAnsi="Palatino Linotype" w:cs="Palatino Linotype"/>
        </w:rPr>
        <w:t>“</w:t>
      </w:r>
      <w:hyperlink r:id="rId8">
        <w:r w:rsidRPr="00354E9C">
          <w:rPr>
            <w:rFonts w:ascii="Palatino Linotype" w:eastAsia="Palatino Linotype" w:hAnsi="Palatino Linotype" w:cs="Palatino Linotype"/>
          </w:rPr>
          <w:t>Oficio de Atención a Solicitud 01206 ZINACANT- 2023.pdf</w:t>
        </w:r>
      </w:hyperlink>
      <w:r w:rsidRPr="00354E9C">
        <w:rPr>
          <w:rFonts w:ascii="Palatino Linotype" w:eastAsia="Palatino Linotype" w:hAnsi="Palatino Linotype" w:cs="Palatino Linotype"/>
        </w:rPr>
        <w:t xml:space="preserve">”, el cual contiene el oficio número ZIN/DA/2535/2023, por medio del cual la Directora de </w:t>
      </w:r>
      <w:r w:rsidRPr="00354E9C">
        <w:rPr>
          <w:rFonts w:ascii="Palatino Linotype" w:eastAsia="Palatino Linotype" w:hAnsi="Palatino Linotype" w:cs="Palatino Linotype"/>
        </w:rPr>
        <w:lastRenderedPageBreak/>
        <w:t xml:space="preserve">Administración del Ayuntamiento de Zinacantepec, informó que adjuntaba la versión pública de la renuncia señalada en el requerimiento. </w:t>
      </w:r>
    </w:p>
    <w:p w14:paraId="7712296F" w14:textId="77777777" w:rsidR="0045345E" w:rsidRPr="00354E9C" w:rsidRDefault="00087E62">
      <w:pPr>
        <w:spacing w:before="240" w:after="240" w:line="360" w:lineRule="auto"/>
        <w:ind w:right="49"/>
        <w:jc w:val="both"/>
        <w:rPr>
          <w:rFonts w:ascii="Palatino Linotype" w:eastAsia="Palatino Linotype" w:hAnsi="Palatino Linotype" w:cs="Palatino Linotype"/>
        </w:rPr>
      </w:pPr>
      <w:r w:rsidRPr="00354E9C">
        <w:rPr>
          <w:rFonts w:ascii="Palatino Linotype" w:eastAsia="Palatino Linotype" w:hAnsi="Palatino Linotype" w:cs="Palatino Linotype"/>
        </w:rPr>
        <w:t>“</w:t>
      </w:r>
      <w:hyperlink r:id="rId9">
        <w:r w:rsidRPr="00354E9C">
          <w:rPr>
            <w:rFonts w:ascii="Palatino Linotype" w:eastAsia="Palatino Linotype" w:hAnsi="Palatino Linotype" w:cs="Palatino Linotype"/>
          </w:rPr>
          <w:t xml:space="preserve">Renuncia VP Tesorera - </w:t>
        </w:r>
        <w:proofErr w:type="spellStart"/>
        <w:r w:rsidRPr="00354E9C">
          <w:rPr>
            <w:rFonts w:ascii="Palatino Linotype" w:eastAsia="Palatino Linotype" w:hAnsi="Palatino Linotype" w:cs="Palatino Linotype"/>
          </w:rPr>
          <w:t>Yeni</w:t>
        </w:r>
        <w:proofErr w:type="spellEnd"/>
        <w:r w:rsidRPr="00354E9C">
          <w:rPr>
            <w:rFonts w:ascii="Palatino Linotype" w:eastAsia="Palatino Linotype" w:hAnsi="Palatino Linotype" w:cs="Palatino Linotype"/>
          </w:rPr>
          <w:t xml:space="preserve"> Isabel Nava Hernández.pdf</w:t>
        </w:r>
      </w:hyperlink>
      <w:r w:rsidRPr="00354E9C">
        <w:rPr>
          <w:rFonts w:ascii="Palatino Linotype" w:eastAsia="Palatino Linotype" w:hAnsi="Palatino Linotype" w:cs="Palatino Linotype"/>
        </w:rPr>
        <w:t xml:space="preserve">”, el cual contiene la renuncia solicitada por la parte </w:t>
      </w:r>
      <w:r w:rsidRPr="00354E9C">
        <w:rPr>
          <w:rFonts w:ascii="Palatino Linotype" w:eastAsia="Palatino Linotype" w:hAnsi="Palatino Linotype" w:cs="Palatino Linotype"/>
          <w:b/>
        </w:rPr>
        <w:t>RECURRENTE</w:t>
      </w:r>
      <w:r w:rsidRPr="00354E9C">
        <w:rPr>
          <w:rFonts w:ascii="Palatino Linotype" w:eastAsia="Palatino Linotype" w:hAnsi="Palatino Linotype" w:cs="Palatino Linotype"/>
        </w:rPr>
        <w:t xml:space="preserve">, en versión pública. </w:t>
      </w:r>
    </w:p>
    <w:p w14:paraId="0ECC891A" w14:textId="77777777" w:rsidR="0045345E" w:rsidRPr="00354E9C" w:rsidRDefault="00087E62">
      <w:pPr>
        <w:spacing w:before="240" w:after="240" w:line="360" w:lineRule="auto"/>
        <w:ind w:right="49"/>
        <w:jc w:val="both"/>
        <w:rPr>
          <w:rFonts w:ascii="Palatino Linotype" w:eastAsia="Palatino Linotype" w:hAnsi="Palatino Linotype" w:cs="Palatino Linotype"/>
        </w:rPr>
      </w:pPr>
      <w:r w:rsidRPr="00354E9C">
        <w:rPr>
          <w:rFonts w:ascii="Palatino Linotype" w:eastAsia="Palatino Linotype" w:hAnsi="Palatino Linotype" w:cs="Palatino Linotype"/>
        </w:rPr>
        <w:t xml:space="preserve">Cabe señalar que el </w:t>
      </w:r>
      <w:r w:rsidRPr="00354E9C">
        <w:rPr>
          <w:rFonts w:ascii="Palatino Linotype" w:eastAsia="Palatino Linotype" w:hAnsi="Palatino Linotype" w:cs="Palatino Linotype"/>
          <w:b/>
        </w:rPr>
        <w:t>SUJETO OBLIGADO</w:t>
      </w:r>
      <w:r w:rsidRPr="00354E9C">
        <w:rPr>
          <w:rFonts w:ascii="Palatino Linotype" w:eastAsia="Palatino Linotype" w:hAnsi="Palatino Linotype" w:cs="Palatino Linotype"/>
        </w:rPr>
        <w:t xml:space="preserve"> fue omiso en adjuntar el acuerdo del Comité de Transparencia que sustente la versión pública de la renuncia referida.</w:t>
      </w:r>
    </w:p>
    <w:p w14:paraId="57B474FF" w14:textId="77777777" w:rsidR="0045345E" w:rsidRPr="00354E9C" w:rsidRDefault="00087E62">
      <w:pPr>
        <w:spacing w:before="240" w:after="240" w:line="360" w:lineRule="auto"/>
        <w:ind w:right="49"/>
        <w:jc w:val="both"/>
        <w:rPr>
          <w:rFonts w:ascii="Palatino Linotype" w:eastAsia="Palatino Linotype" w:hAnsi="Palatino Linotype" w:cs="Palatino Linotype"/>
        </w:rPr>
      </w:pPr>
      <w:r w:rsidRPr="00354E9C">
        <w:rPr>
          <w:rFonts w:ascii="Palatino Linotype" w:eastAsia="Palatino Linotype" w:hAnsi="Palatino Linotype" w:cs="Palatino Linotype"/>
          <w:b/>
        </w:rPr>
        <w:t xml:space="preserve">3. Interposición del recurso de revisión. </w:t>
      </w:r>
      <w:r w:rsidRPr="00354E9C">
        <w:rPr>
          <w:rFonts w:ascii="Palatino Linotype" w:eastAsia="Palatino Linotype" w:hAnsi="Palatino Linotype" w:cs="Palatino Linotype"/>
        </w:rPr>
        <w:t xml:space="preserve">Inconforme con los términos de la respuesta emitida por parte del </w:t>
      </w:r>
      <w:r w:rsidRPr="00354E9C">
        <w:rPr>
          <w:rFonts w:ascii="Palatino Linotype" w:eastAsia="Palatino Linotype" w:hAnsi="Palatino Linotype" w:cs="Palatino Linotype"/>
          <w:b/>
        </w:rPr>
        <w:t>SUJETO OBLIGADO</w:t>
      </w:r>
      <w:r w:rsidRPr="00354E9C">
        <w:rPr>
          <w:rFonts w:ascii="Palatino Linotype" w:eastAsia="Palatino Linotype" w:hAnsi="Palatino Linotype" w:cs="Palatino Linotype"/>
        </w:rPr>
        <w:t xml:space="preserve">, el </w:t>
      </w:r>
      <w:r w:rsidRPr="00354E9C">
        <w:rPr>
          <w:rFonts w:ascii="Palatino Linotype" w:eastAsia="Palatino Linotype" w:hAnsi="Palatino Linotype" w:cs="Palatino Linotype"/>
          <w:b/>
        </w:rPr>
        <w:t>doce de septiembre del dos mil veintitrés,</w:t>
      </w:r>
      <w:r w:rsidRPr="00354E9C">
        <w:rPr>
          <w:rFonts w:ascii="Palatino Linotype" w:eastAsia="Palatino Linotype" w:hAnsi="Palatino Linotype" w:cs="Palatino Linotype"/>
        </w:rPr>
        <w:t xml:space="preserve"> la parte recurrente interpuso el recurso de revisión a través de </w:t>
      </w:r>
      <w:r w:rsidRPr="00354E9C">
        <w:rPr>
          <w:rFonts w:ascii="Palatino Linotype" w:eastAsia="Palatino Linotype" w:hAnsi="Palatino Linotype" w:cs="Palatino Linotype"/>
          <w:b/>
        </w:rPr>
        <w:t xml:space="preserve">SAIMEX, </w:t>
      </w:r>
      <w:r w:rsidRPr="00354E9C">
        <w:rPr>
          <w:rFonts w:ascii="Palatino Linotype" w:eastAsia="Palatino Linotype" w:hAnsi="Palatino Linotype" w:cs="Palatino Linotype"/>
        </w:rPr>
        <w:t>en donde se manifestó de la siguiente manera:</w:t>
      </w:r>
    </w:p>
    <w:p w14:paraId="40F95093" w14:textId="77777777" w:rsidR="0045345E" w:rsidRPr="00354E9C" w:rsidRDefault="00087E62">
      <w:pPr>
        <w:tabs>
          <w:tab w:val="left" w:pos="2745"/>
        </w:tabs>
        <w:spacing w:before="240" w:after="240" w:line="360" w:lineRule="auto"/>
        <w:jc w:val="both"/>
        <w:rPr>
          <w:rFonts w:ascii="Palatino Linotype" w:eastAsia="Palatino Linotype" w:hAnsi="Palatino Linotype" w:cs="Palatino Linotype"/>
          <w:b/>
        </w:rPr>
      </w:pPr>
      <w:r w:rsidRPr="00354E9C">
        <w:rPr>
          <w:rFonts w:ascii="Palatino Linotype" w:eastAsia="Palatino Linotype" w:hAnsi="Palatino Linotype" w:cs="Palatino Linotype"/>
          <w:b/>
        </w:rPr>
        <w:t xml:space="preserve">Acto impugnado: </w:t>
      </w:r>
      <w:r w:rsidRPr="00354E9C">
        <w:rPr>
          <w:rFonts w:ascii="Palatino Linotype" w:eastAsia="Palatino Linotype" w:hAnsi="Palatino Linotype" w:cs="Palatino Linotype"/>
          <w:b/>
        </w:rPr>
        <w:tab/>
      </w:r>
    </w:p>
    <w:p w14:paraId="3794ED7F" w14:textId="77777777" w:rsidR="0045345E" w:rsidRPr="00354E9C" w:rsidRDefault="00087E62">
      <w:pPr>
        <w:ind w:left="851" w:right="902"/>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“LA RESPUESTA Y CLASIFICACION</w:t>
      </w:r>
      <w:proofErr w:type="gramStart"/>
      <w:r w:rsidRPr="00354E9C">
        <w:rPr>
          <w:rFonts w:ascii="Palatino Linotype" w:eastAsia="Palatino Linotype" w:hAnsi="Palatino Linotype" w:cs="Palatino Linotype"/>
          <w:i/>
          <w:sz w:val="22"/>
          <w:szCs w:val="22"/>
        </w:rPr>
        <w:t>”(</w:t>
      </w:r>
      <w:proofErr w:type="gramEnd"/>
      <w:r w:rsidRPr="00354E9C">
        <w:rPr>
          <w:rFonts w:ascii="Palatino Linotype" w:eastAsia="Palatino Linotype" w:hAnsi="Palatino Linotype" w:cs="Palatino Linotype"/>
          <w:i/>
          <w:sz w:val="22"/>
          <w:szCs w:val="22"/>
        </w:rPr>
        <w:t>Sic)</w:t>
      </w:r>
    </w:p>
    <w:p w14:paraId="6767EFA9" w14:textId="77777777" w:rsidR="0045345E" w:rsidRPr="00354E9C" w:rsidRDefault="0045345E">
      <w:pPr>
        <w:ind w:left="851" w:right="902"/>
        <w:jc w:val="both"/>
        <w:rPr>
          <w:rFonts w:ascii="Palatino Linotype" w:eastAsia="Palatino Linotype" w:hAnsi="Palatino Linotype" w:cs="Palatino Linotype"/>
          <w:i/>
          <w:sz w:val="22"/>
          <w:szCs w:val="22"/>
        </w:rPr>
      </w:pPr>
    </w:p>
    <w:p w14:paraId="19620E06"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b/>
        </w:rPr>
        <w:t>Y Razones o motivos de inconformidad</w:t>
      </w:r>
      <w:r w:rsidRPr="00354E9C">
        <w:rPr>
          <w:rFonts w:ascii="Palatino Linotype" w:eastAsia="Palatino Linotype" w:hAnsi="Palatino Linotype" w:cs="Palatino Linotype"/>
        </w:rPr>
        <w:t>:</w:t>
      </w:r>
    </w:p>
    <w:p w14:paraId="61C0B7AC" w14:textId="77777777" w:rsidR="0045345E" w:rsidRPr="00354E9C" w:rsidRDefault="00087E62">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354E9C">
        <w:rPr>
          <w:rFonts w:ascii="Palatino Linotype" w:eastAsia="Palatino Linotype" w:hAnsi="Palatino Linotype" w:cs="Palatino Linotype"/>
          <w:i/>
          <w:sz w:val="22"/>
          <w:szCs w:val="22"/>
        </w:rPr>
        <w:t xml:space="preserve"> “DICEN ES QUE VERSION PUBLICA NO SE DETECTA DONDE TESTARON INFORMACIÓN Y NO HAY ACTA DE COMITE DONDE SE APRUEBE LA VERSION PUBLICA</w:t>
      </w:r>
      <w:proofErr w:type="gramStart"/>
      <w:r w:rsidRPr="00354E9C">
        <w:rPr>
          <w:rFonts w:ascii="Palatino Linotype" w:eastAsia="Palatino Linotype" w:hAnsi="Palatino Linotype" w:cs="Palatino Linotype"/>
          <w:i/>
          <w:sz w:val="22"/>
          <w:szCs w:val="22"/>
        </w:rPr>
        <w:t>”(</w:t>
      </w:r>
      <w:proofErr w:type="gramEnd"/>
      <w:r w:rsidRPr="00354E9C">
        <w:rPr>
          <w:rFonts w:ascii="Palatino Linotype" w:eastAsia="Palatino Linotype" w:hAnsi="Palatino Linotype" w:cs="Palatino Linotype"/>
          <w:i/>
          <w:sz w:val="22"/>
          <w:szCs w:val="22"/>
        </w:rPr>
        <w:t>Sic)</w:t>
      </w:r>
    </w:p>
    <w:p w14:paraId="395323DE" w14:textId="77777777" w:rsidR="0045345E" w:rsidRPr="00354E9C" w:rsidRDefault="0045345E">
      <w:pPr>
        <w:ind w:left="851" w:right="902"/>
        <w:jc w:val="both"/>
        <w:rPr>
          <w:rFonts w:ascii="Palatino Linotype" w:eastAsia="Palatino Linotype" w:hAnsi="Palatino Linotype" w:cs="Palatino Linotype"/>
          <w:i/>
          <w:sz w:val="22"/>
          <w:szCs w:val="22"/>
        </w:rPr>
      </w:pPr>
    </w:p>
    <w:p w14:paraId="4593C215" w14:textId="77777777" w:rsidR="0045345E" w:rsidRPr="00354E9C" w:rsidRDefault="00087E62">
      <w:pPr>
        <w:spacing w:line="360" w:lineRule="auto"/>
        <w:ind w:right="51"/>
        <w:jc w:val="both"/>
        <w:rPr>
          <w:rFonts w:ascii="Palatino Linotype" w:eastAsia="Palatino Linotype" w:hAnsi="Palatino Linotype" w:cs="Palatino Linotype"/>
        </w:rPr>
      </w:pPr>
      <w:r w:rsidRPr="00354E9C">
        <w:rPr>
          <w:rFonts w:ascii="Palatino Linotype" w:eastAsia="Palatino Linotype" w:hAnsi="Palatino Linotype" w:cs="Palatino Linotype"/>
          <w:b/>
        </w:rPr>
        <w:t xml:space="preserve">5. Turno. </w:t>
      </w:r>
      <w:r w:rsidRPr="00354E9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354E9C">
        <w:rPr>
          <w:rFonts w:ascii="Palatino Linotype" w:eastAsia="Palatino Linotype" w:hAnsi="Palatino Linotype" w:cs="Palatino Linotype"/>
          <w:b/>
        </w:rPr>
        <w:t xml:space="preserve">Guadalupe Ramírez Peña, </w:t>
      </w:r>
      <w:r w:rsidRPr="00354E9C">
        <w:rPr>
          <w:rFonts w:ascii="Palatino Linotype" w:eastAsia="Palatino Linotype" w:hAnsi="Palatino Linotype" w:cs="Palatino Linotype"/>
        </w:rPr>
        <w:t xml:space="preserve">a efecto de que analizara sobre su admisión o su </w:t>
      </w:r>
      <w:proofErr w:type="spellStart"/>
      <w:r w:rsidRPr="00354E9C">
        <w:rPr>
          <w:rFonts w:ascii="Palatino Linotype" w:eastAsia="Palatino Linotype" w:hAnsi="Palatino Linotype" w:cs="Palatino Linotype"/>
        </w:rPr>
        <w:t>desechamiento</w:t>
      </w:r>
      <w:proofErr w:type="spellEnd"/>
      <w:r w:rsidRPr="00354E9C">
        <w:rPr>
          <w:rFonts w:ascii="Palatino Linotype" w:eastAsia="Palatino Linotype" w:hAnsi="Palatino Linotype" w:cs="Palatino Linotype"/>
        </w:rPr>
        <w:t>.</w:t>
      </w:r>
    </w:p>
    <w:p w14:paraId="50896F94" w14:textId="77777777" w:rsidR="0045345E" w:rsidRPr="00354E9C" w:rsidRDefault="00087E62">
      <w:pPr>
        <w:spacing w:after="240"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b/>
        </w:rPr>
        <w:lastRenderedPageBreak/>
        <w:t>6. Admisión del Recurso de revisión.</w:t>
      </w:r>
      <w:r w:rsidRPr="00354E9C">
        <w:rPr>
          <w:rFonts w:ascii="Palatino Linotype" w:eastAsia="Palatino Linotype" w:hAnsi="Palatino Linotype" w:cs="Palatino Linotype"/>
        </w:rPr>
        <w:t xml:space="preserve"> Con fecha</w:t>
      </w:r>
      <w:r w:rsidRPr="00354E9C">
        <w:rPr>
          <w:rFonts w:ascii="Palatino Linotype" w:eastAsia="Palatino Linotype" w:hAnsi="Palatino Linotype" w:cs="Palatino Linotype"/>
          <w:b/>
        </w:rPr>
        <w:t xml:space="preserve"> quince de septiembre de dos mil veintitrés, </w:t>
      </w:r>
      <w:r w:rsidRPr="00354E9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354E9C">
        <w:rPr>
          <w:rFonts w:ascii="Palatino Linotype" w:eastAsia="Palatino Linotype" w:hAnsi="Palatino Linotype" w:cs="Palatino Linotype"/>
          <w:b/>
        </w:rPr>
        <w:t xml:space="preserve">SUJETO OBLIGADO </w:t>
      </w:r>
      <w:r w:rsidRPr="00354E9C">
        <w:rPr>
          <w:rFonts w:ascii="Palatino Linotype" w:eastAsia="Palatino Linotype" w:hAnsi="Palatino Linotype" w:cs="Palatino Linotype"/>
        </w:rPr>
        <w:t>presentara su informe justificado.</w:t>
      </w:r>
    </w:p>
    <w:p w14:paraId="438A5356" w14:textId="77777777" w:rsidR="0045345E" w:rsidRPr="00354E9C" w:rsidRDefault="00087E62">
      <w:pPr>
        <w:spacing w:before="240" w:after="240" w:line="360" w:lineRule="auto"/>
        <w:jc w:val="both"/>
      </w:pPr>
      <w:r w:rsidRPr="00354E9C">
        <w:rPr>
          <w:rFonts w:ascii="Palatino Linotype" w:eastAsia="Palatino Linotype" w:hAnsi="Palatino Linotype" w:cs="Palatino Linotype"/>
          <w:b/>
        </w:rPr>
        <w:t>7. Manifestaciones</w:t>
      </w:r>
      <w:r w:rsidRPr="00354E9C">
        <w:rPr>
          <w:rFonts w:ascii="Palatino Linotype" w:eastAsia="Palatino Linotype" w:hAnsi="Palatino Linotype" w:cs="Palatino Linotype"/>
        </w:rPr>
        <w:t xml:space="preserve">. De las constancias que obran en el expediente electrónico del SAIMEX se desprende que el </w:t>
      </w:r>
      <w:r w:rsidRPr="00354E9C">
        <w:rPr>
          <w:rFonts w:ascii="Palatino Linotype" w:eastAsia="Palatino Linotype" w:hAnsi="Palatino Linotype" w:cs="Palatino Linotype"/>
          <w:b/>
        </w:rPr>
        <w:t>SUJETO OBLIGADO</w:t>
      </w:r>
      <w:r w:rsidRPr="00354E9C">
        <w:rPr>
          <w:rFonts w:ascii="Palatino Linotype" w:eastAsia="Palatino Linotype" w:hAnsi="Palatino Linotype" w:cs="Palatino Linotype"/>
        </w:rPr>
        <w:t xml:space="preserve"> no rindió su informe justificado, del mismo modo la parte</w:t>
      </w:r>
      <w:r w:rsidRPr="00354E9C">
        <w:rPr>
          <w:rFonts w:ascii="Palatino Linotype" w:eastAsia="Palatino Linotype" w:hAnsi="Palatino Linotype" w:cs="Palatino Linotype"/>
          <w:b/>
        </w:rPr>
        <w:t xml:space="preserve"> RECURRENTE</w:t>
      </w:r>
      <w:r w:rsidRPr="00354E9C">
        <w:rPr>
          <w:rFonts w:ascii="Palatino Linotype" w:eastAsia="Palatino Linotype" w:hAnsi="Palatino Linotype" w:cs="Palatino Linotype"/>
        </w:rPr>
        <w:t xml:space="preserve"> omitió realizar manifestaciones, como se observa a continuación:</w:t>
      </w:r>
    </w:p>
    <w:p w14:paraId="2CABEA87" w14:textId="77777777" w:rsidR="0045345E" w:rsidRPr="00354E9C" w:rsidRDefault="00087E62">
      <w:pPr>
        <w:spacing w:before="240" w:after="240" w:line="360" w:lineRule="auto"/>
        <w:jc w:val="both"/>
      </w:pPr>
      <w:r w:rsidRPr="00354E9C">
        <w:rPr>
          <w:noProof/>
          <w:lang w:val="es-MX"/>
        </w:rPr>
        <w:drawing>
          <wp:inline distT="0" distB="0" distL="0" distR="0" wp14:anchorId="349D58FD" wp14:editId="136BA546">
            <wp:extent cx="5612130" cy="128333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12130" cy="1283335"/>
                    </a:xfrm>
                    <a:prstGeom prst="rect">
                      <a:avLst/>
                    </a:prstGeom>
                    <a:ln/>
                  </pic:spPr>
                </pic:pic>
              </a:graphicData>
            </a:graphic>
          </wp:inline>
        </w:drawing>
      </w:r>
    </w:p>
    <w:p w14:paraId="5A51002D" w14:textId="77777777" w:rsidR="0045345E" w:rsidRPr="00354E9C" w:rsidRDefault="00087E62">
      <w:pPr>
        <w:widowControl w:val="0"/>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b/>
        </w:rPr>
        <w:t>8</w:t>
      </w:r>
      <w:r w:rsidRPr="00354E9C">
        <w:rPr>
          <w:rFonts w:ascii="Palatino Linotype" w:eastAsia="Palatino Linotype" w:hAnsi="Palatino Linotype" w:cs="Palatino Linotype"/>
        </w:rPr>
        <w:t xml:space="preserve">. </w:t>
      </w:r>
      <w:r w:rsidRPr="00354E9C">
        <w:rPr>
          <w:rFonts w:ascii="Palatino Linotype" w:eastAsia="Palatino Linotype" w:hAnsi="Palatino Linotype" w:cs="Palatino Linotype"/>
          <w:b/>
        </w:rPr>
        <w:t>Ampliación del plazo.</w:t>
      </w:r>
      <w:r w:rsidRPr="00354E9C">
        <w:rPr>
          <w:rFonts w:ascii="Palatino Linotype" w:eastAsia="Palatino Linotype" w:hAnsi="Palatino Linotype" w:cs="Palatino Linotype"/>
        </w:rPr>
        <w:t xml:space="preserve"> El catorce de diciembre del dos mil veintitrés, con fundamento en el artículo 181, párrafo tercero de la Ley de Transparencia y Acceso a la Información Pública del Estado de México y Municipios, se notificó a través del Sistema de Acceso a la Información Mexiquense, la ampliación del plazo para su resolución.</w:t>
      </w:r>
    </w:p>
    <w:p w14:paraId="7080B4F5" w14:textId="77777777" w:rsidR="0045345E" w:rsidRPr="00354E9C" w:rsidRDefault="0045345E">
      <w:pPr>
        <w:widowControl w:val="0"/>
        <w:spacing w:line="360" w:lineRule="auto"/>
        <w:jc w:val="both"/>
        <w:rPr>
          <w:rFonts w:ascii="Palatino Linotype" w:eastAsia="Palatino Linotype" w:hAnsi="Palatino Linotype" w:cs="Palatino Linotype"/>
        </w:rPr>
      </w:pPr>
    </w:p>
    <w:p w14:paraId="14AB0974" w14:textId="77777777" w:rsidR="0045345E" w:rsidRPr="00354E9C" w:rsidRDefault="00087E62">
      <w:pPr>
        <w:widowControl w:val="0"/>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 xml:space="preserve">Este organismo garante no pasa por alto justificar, que el plazo para emitir la </w:t>
      </w:r>
      <w:r w:rsidRPr="00354E9C">
        <w:rPr>
          <w:rFonts w:ascii="Palatino Linotype" w:eastAsia="Palatino Linotype" w:hAnsi="Palatino Linotype" w:cs="Palatino Linotype"/>
        </w:rPr>
        <w:lastRenderedPageBreak/>
        <w:t>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09650BB" w14:textId="77777777" w:rsidR="0045345E" w:rsidRPr="00354E9C" w:rsidRDefault="0045345E">
      <w:pPr>
        <w:spacing w:line="360" w:lineRule="auto"/>
        <w:jc w:val="both"/>
        <w:rPr>
          <w:rFonts w:ascii="Palatino Linotype" w:eastAsia="Palatino Linotype" w:hAnsi="Palatino Linotype" w:cs="Palatino Linotype"/>
        </w:rPr>
      </w:pPr>
    </w:p>
    <w:p w14:paraId="21A3C225"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25BBF5D" w14:textId="77777777" w:rsidR="0045345E" w:rsidRPr="00354E9C" w:rsidRDefault="0045345E">
      <w:pPr>
        <w:spacing w:line="360" w:lineRule="auto"/>
        <w:jc w:val="both"/>
        <w:rPr>
          <w:rFonts w:ascii="Palatino Linotype" w:eastAsia="Palatino Linotype" w:hAnsi="Palatino Linotype" w:cs="Palatino Linotype"/>
        </w:rPr>
      </w:pPr>
    </w:p>
    <w:p w14:paraId="34C9216C"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3140B22" w14:textId="77777777" w:rsidR="0045345E" w:rsidRPr="00354E9C" w:rsidRDefault="0045345E">
      <w:pPr>
        <w:spacing w:line="360" w:lineRule="auto"/>
        <w:jc w:val="both"/>
        <w:rPr>
          <w:rFonts w:ascii="Palatino Linotype" w:eastAsia="Palatino Linotype" w:hAnsi="Palatino Linotype" w:cs="Palatino Linotype"/>
        </w:rPr>
      </w:pPr>
    </w:p>
    <w:p w14:paraId="52FBDFD8"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3C7446A" w14:textId="77777777" w:rsidR="0045345E" w:rsidRPr="00354E9C" w:rsidRDefault="0045345E">
      <w:pPr>
        <w:spacing w:line="360" w:lineRule="auto"/>
        <w:jc w:val="both"/>
        <w:rPr>
          <w:rFonts w:ascii="Palatino Linotype" w:eastAsia="Palatino Linotype" w:hAnsi="Palatino Linotype" w:cs="Palatino Linotype"/>
        </w:rPr>
      </w:pPr>
    </w:p>
    <w:p w14:paraId="2E9857B2" w14:textId="77777777" w:rsidR="0045345E" w:rsidRPr="00354E9C" w:rsidRDefault="00087E62">
      <w:pPr>
        <w:spacing w:line="360" w:lineRule="auto"/>
        <w:jc w:val="both"/>
        <w:rPr>
          <w:rFonts w:ascii="Palatino Linotype" w:eastAsia="Palatino Linotype" w:hAnsi="Palatino Linotype" w:cs="Palatino Linotype"/>
          <w:strike/>
        </w:rPr>
      </w:pPr>
      <w:r w:rsidRPr="00354E9C">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2569228E" w14:textId="77777777" w:rsidR="0045345E" w:rsidRPr="00354E9C" w:rsidRDefault="0045345E">
      <w:pPr>
        <w:spacing w:line="360" w:lineRule="auto"/>
        <w:jc w:val="both"/>
        <w:rPr>
          <w:rFonts w:ascii="Palatino Linotype" w:eastAsia="Palatino Linotype" w:hAnsi="Palatino Linotype" w:cs="Palatino Linotype"/>
        </w:rPr>
      </w:pPr>
    </w:p>
    <w:p w14:paraId="4D5F61B9" w14:textId="77777777" w:rsidR="0045345E" w:rsidRPr="00354E9C" w:rsidRDefault="00087E62">
      <w:pPr>
        <w:numPr>
          <w:ilvl w:val="0"/>
          <w:numId w:val="5"/>
        </w:numPr>
        <w:spacing w:line="360" w:lineRule="auto"/>
        <w:ind w:left="850" w:hanging="357"/>
        <w:jc w:val="both"/>
        <w:rPr>
          <w:rFonts w:ascii="Palatino Linotype" w:eastAsia="Palatino Linotype" w:hAnsi="Palatino Linotype" w:cs="Palatino Linotype"/>
        </w:rPr>
      </w:pPr>
      <w:r w:rsidRPr="00354E9C">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F34E2A0" w14:textId="77777777" w:rsidR="0045345E" w:rsidRPr="00354E9C" w:rsidRDefault="0045345E">
      <w:pPr>
        <w:spacing w:line="360" w:lineRule="auto"/>
        <w:ind w:left="850" w:hanging="357"/>
        <w:jc w:val="both"/>
        <w:rPr>
          <w:rFonts w:ascii="Palatino Linotype" w:eastAsia="Palatino Linotype" w:hAnsi="Palatino Linotype" w:cs="Palatino Linotype"/>
        </w:rPr>
      </w:pPr>
    </w:p>
    <w:p w14:paraId="0AE70DF6" w14:textId="77777777" w:rsidR="0045345E" w:rsidRPr="00354E9C" w:rsidRDefault="00087E62">
      <w:pPr>
        <w:numPr>
          <w:ilvl w:val="0"/>
          <w:numId w:val="5"/>
        </w:numPr>
        <w:spacing w:line="360" w:lineRule="auto"/>
        <w:ind w:left="850" w:hanging="357"/>
        <w:jc w:val="both"/>
        <w:rPr>
          <w:rFonts w:ascii="Palatino Linotype" w:eastAsia="Palatino Linotype" w:hAnsi="Palatino Linotype" w:cs="Palatino Linotype"/>
        </w:rPr>
      </w:pPr>
      <w:r w:rsidRPr="00354E9C">
        <w:rPr>
          <w:rFonts w:ascii="Palatino Linotype" w:eastAsia="Palatino Linotype" w:hAnsi="Palatino Linotype" w:cs="Palatino Linotype"/>
        </w:rPr>
        <w:t>Actividad Procesal del interesado. Acciones u omisiones del interesado.</w:t>
      </w:r>
    </w:p>
    <w:p w14:paraId="5D0F572E" w14:textId="77777777" w:rsidR="0045345E" w:rsidRPr="00354E9C" w:rsidRDefault="0045345E">
      <w:pPr>
        <w:spacing w:line="360" w:lineRule="auto"/>
        <w:ind w:left="850" w:hanging="357"/>
        <w:jc w:val="both"/>
        <w:rPr>
          <w:rFonts w:ascii="Palatino Linotype" w:eastAsia="Palatino Linotype" w:hAnsi="Palatino Linotype" w:cs="Palatino Linotype"/>
        </w:rPr>
      </w:pPr>
    </w:p>
    <w:p w14:paraId="30905E1F" w14:textId="77777777" w:rsidR="0045345E" w:rsidRPr="00354E9C" w:rsidRDefault="00087E62">
      <w:pPr>
        <w:numPr>
          <w:ilvl w:val="0"/>
          <w:numId w:val="5"/>
        </w:numPr>
        <w:spacing w:line="360" w:lineRule="auto"/>
        <w:ind w:left="850" w:hanging="357"/>
        <w:jc w:val="both"/>
        <w:rPr>
          <w:rFonts w:ascii="Palatino Linotype" w:eastAsia="Palatino Linotype" w:hAnsi="Palatino Linotype" w:cs="Palatino Linotype"/>
        </w:rPr>
      </w:pPr>
      <w:r w:rsidRPr="00354E9C">
        <w:rPr>
          <w:rFonts w:ascii="Palatino Linotype" w:eastAsia="Palatino Linotype" w:hAnsi="Palatino Linotype" w:cs="Palatino Linotype"/>
        </w:rPr>
        <w:t>Conducta de la Autoridad: Las Acciones u omisiones realizadas en el procedimiento. Así como si la autoridad actuó con la debida diligencia.</w:t>
      </w:r>
    </w:p>
    <w:p w14:paraId="2D77A002" w14:textId="77777777" w:rsidR="0045345E" w:rsidRPr="00354E9C" w:rsidRDefault="0045345E">
      <w:pPr>
        <w:spacing w:line="360" w:lineRule="auto"/>
        <w:ind w:left="850" w:hanging="357"/>
        <w:rPr>
          <w:rFonts w:ascii="Palatino Linotype" w:eastAsia="Palatino Linotype" w:hAnsi="Palatino Linotype" w:cs="Palatino Linotype"/>
        </w:rPr>
      </w:pPr>
    </w:p>
    <w:p w14:paraId="614230E9" w14:textId="77777777" w:rsidR="0045345E" w:rsidRPr="00354E9C" w:rsidRDefault="00087E62">
      <w:pPr>
        <w:spacing w:line="360" w:lineRule="auto"/>
        <w:ind w:left="850" w:hanging="357"/>
        <w:jc w:val="both"/>
        <w:rPr>
          <w:rFonts w:ascii="Palatino Linotype" w:eastAsia="Palatino Linotype" w:hAnsi="Palatino Linotype" w:cs="Palatino Linotype"/>
        </w:rPr>
      </w:pPr>
      <w:r w:rsidRPr="00354E9C">
        <w:rPr>
          <w:rFonts w:ascii="Palatino Linotype" w:eastAsia="Palatino Linotype" w:hAnsi="Palatino Linotype" w:cs="Palatino Linotype"/>
        </w:rPr>
        <w:t>d) La afectación generada en la situación jurídica de la persona involucrada en el proceso: Violación a sus derechos humanos.</w:t>
      </w:r>
    </w:p>
    <w:p w14:paraId="435B3FB9" w14:textId="77777777" w:rsidR="0045345E" w:rsidRPr="00354E9C" w:rsidRDefault="0045345E">
      <w:pPr>
        <w:spacing w:line="360" w:lineRule="auto"/>
        <w:jc w:val="both"/>
        <w:rPr>
          <w:rFonts w:ascii="Palatino Linotype" w:eastAsia="Palatino Linotype" w:hAnsi="Palatino Linotype" w:cs="Palatino Linotype"/>
        </w:rPr>
      </w:pPr>
    </w:p>
    <w:p w14:paraId="1EA87752"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FF659D5" w14:textId="77777777" w:rsidR="0045345E" w:rsidRPr="00354E9C" w:rsidRDefault="0045345E">
      <w:pPr>
        <w:spacing w:line="360" w:lineRule="auto"/>
        <w:jc w:val="both"/>
        <w:rPr>
          <w:rFonts w:ascii="Palatino Linotype" w:eastAsia="Palatino Linotype" w:hAnsi="Palatino Linotype" w:cs="Palatino Linotype"/>
        </w:rPr>
      </w:pPr>
    </w:p>
    <w:p w14:paraId="68E1206F" w14:textId="77777777" w:rsidR="0045345E" w:rsidRPr="00354E9C" w:rsidRDefault="00087E62">
      <w:pPr>
        <w:spacing w:line="360" w:lineRule="auto"/>
        <w:jc w:val="both"/>
        <w:rPr>
          <w:rFonts w:ascii="Palatino Linotype" w:eastAsia="Palatino Linotype" w:hAnsi="Palatino Linotype" w:cs="Palatino Linotype"/>
          <w:b/>
        </w:rPr>
      </w:pPr>
      <w:r w:rsidRPr="00354E9C">
        <w:rPr>
          <w:rFonts w:ascii="Palatino Linotype" w:eastAsia="Palatino Linotype" w:hAnsi="Palatino Linotype" w:cs="Palatino Linotype"/>
        </w:rPr>
        <w:lastRenderedPageBreak/>
        <w:t>Argumento que encuentra sustento en la jurisprudencia P</w:t>
      </w:r>
      <w:proofErr w:type="gramStart"/>
      <w:r w:rsidRPr="00354E9C">
        <w:rPr>
          <w:rFonts w:ascii="Palatino Linotype" w:eastAsia="Palatino Linotype" w:hAnsi="Palatino Linotype" w:cs="Palatino Linotype"/>
        </w:rPr>
        <w:t>./</w:t>
      </w:r>
      <w:proofErr w:type="gramEnd"/>
      <w:r w:rsidRPr="00354E9C">
        <w:rPr>
          <w:rFonts w:ascii="Palatino Linotype" w:eastAsia="Palatino Linotype" w:hAnsi="Palatino Linotype" w:cs="Palatino Linotype"/>
        </w:rPr>
        <w:t xml:space="preserve">J. 32/92 emitida por el Pleno de la Suprema Corte de Justicia de la Nación de rubro </w:t>
      </w:r>
      <w:r w:rsidRPr="00354E9C">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354E9C">
        <w:rPr>
          <w:rFonts w:ascii="Palatino Linotype" w:eastAsia="Palatino Linotype" w:hAnsi="Palatino Linotype" w:cs="Palatino Linotype"/>
        </w:rPr>
        <w:t>, visible en la Gaceta del Seminario Judicial de la Federación con el registro digital 205635.</w:t>
      </w:r>
    </w:p>
    <w:p w14:paraId="1FA63D49" w14:textId="77777777" w:rsidR="0045345E" w:rsidRPr="00354E9C" w:rsidRDefault="0045345E">
      <w:pPr>
        <w:spacing w:line="360" w:lineRule="auto"/>
        <w:jc w:val="both"/>
        <w:rPr>
          <w:rFonts w:ascii="Palatino Linotype" w:eastAsia="Palatino Linotype" w:hAnsi="Palatino Linotype" w:cs="Palatino Linotype"/>
        </w:rPr>
      </w:pPr>
    </w:p>
    <w:p w14:paraId="4789CFC4"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CF47F87" w14:textId="77777777" w:rsidR="0045345E" w:rsidRPr="00354E9C" w:rsidRDefault="0045345E">
      <w:pPr>
        <w:spacing w:line="360" w:lineRule="auto"/>
        <w:jc w:val="both"/>
        <w:rPr>
          <w:rFonts w:ascii="Palatino Linotype" w:eastAsia="Palatino Linotype" w:hAnsi="Palatino Linotype" w:cs="Palatino Linotype"/>
        </w:rPr>
      </w:pPr>
    </w:p>
    <w:p w14:paraId="1ACD120C"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83A0C15" w14:textId="77777777" w:rsidR="0045345E" w:rsidRPr="00354E9C" w:rsidRDefault="0045345E">
      <w:pPr>
        <w:spacing w:line="360" w:lineRule="auto"/>
        <w:jc w:val="both"/>
        <w:rPr>
          <w:rFonts w:ascii="Palatino Linotype" w:eastAsia="Palatino Linotype" w:hAnsi="Palatino Linotype" w:cs="Palatino Linotype"/>
          <w:i/>
        </w:rPr>
      </w:pPr>
    </w:p>
    <w:p w14:paraId="75EE6488"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i/>
        </w:rPr>
        <w:lastRenderedPageBreak/>
        <w:t>“PLAZO RAZONABLE PARA RESOLVER. DIMENSIÓN Y EFECTOS DE ESTE CONCEPTO CUANDO SE ADUCE EXCESIVA CARGA DE TRABAJO.”</w:t>
      </w:r>
      <w:r w:rsidRPr="00354E9C">
        <w:rPr>
          <w:rFonts w:ascii="Palatino Linotype" w:eastAsia="Palatino Linotype" w:hAnsi="Palatino Linotype" w:cs="Palatino Linotype"/>
        </w:rPr>
        <w:t xml:space="preserve"> consultable en el Seminario Judicial de la Federación y su gaceta, con el registro digital 2002351.</w:t>
      </w:r>
    </w:p>
    <w:p w14:paraId="5593AC9E" w14:textId="77777777" w:rsidR="0045345E" w:rsidRPr="00354E9C" w:rsidRDefault="0045345E">
      <w:pPr>
        <w:spacing w:line="360" w:lineRule="auto"/>
        <w:jc w:val="both"/>
        <w:rPr>
          <w:rFonts w:ascii="Palatino Linotype" w:eastAsia="Palatino Linotype" w:hAnsi="Palatino Linotype" w:cs="Palatino Linotype"/>
          <w:b/>
        </w:rPr>
      </w:pPr>
    </w:p>
    <w:p w14:paraId="1D5202F1"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i/>
        </w:rPr>
        <w:t>“PLAZO RAZONABLE PARA RESOLVER. CONCEPTO Y ELEMENTOS QUE LO INTEGRAN A LA LUZ DEL DERECHO INTERNACIONAL DE LOS DERECHOS HUMANOS.”</w:t>
      </w:r>
      <w:r w:rsidRPr="00354E9C">
        <w:rPr>
          <w:rFonts w:ascii="Palatino Linotype" w:eastAsia="Palatino Linotype" w:hAnsi="Palatino Linotype" w:cs="Palatino Linotype"/>
        </w:rPr>
        <w:t>, visible en el Seminario Judicial de la Federación y su gaceta, con el registro digital 2002350.</w:t>
      </w:r>
    </w:p>
    <w:p w14:paraId="6E478D59" w14:textId="77777777" w:rsidR="0045345E" w:rsidRPr="00354E9C" w:rsidRDefault="0045345E">
      <w:pPr>
        <w:spacing w:line="360" w:lineRule="auto"/>
        <w:jc w:val="both"/>
        <w:rPr>
          <w:rFonts w:ascii="Palatino Linotype" w:eastAsia="Palatino Linotype" w:hAnsi="Palatino Linotype" w:cs="Palatino Linotype"/>
        </w:rPr>
      </w:pPr>
    </w:p>
    <w:p w14:paraId="4A067935"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7564B30D" w14:textId="77777777" w:rsidR="0045345E" w:rsidRPr="00354E9C" w:rsidRDefault="0045345E">
      <w:pPr>
        <w:spacing w:line="360" w:lineRule="auto"/>
        <w:jc w:val="both"/>
        <w:rPr>
          <w:rFonts w:ascii="Palatino Linotype" w:eastAsia="Palatino Linotype" w:hAnsi="Palatino Linotype" w:cs="Palatino Linotype"/>
        </w:rPr>
      </w:pPr>
    </w:p>
    <w:p w14:paraId="333600E5" w14:textId="77777777" w:rsidR="0045345E" w:rsidRPr="00354E9C" w:rsidRDefault="00087E62">
      <w:pPr>
        <w:widowControl w:val="0"/>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b/>
        </w:rPr>
        <w:t xml:space="preserve">9. Cierre de instrucción. </w:t>
      </w:r>
      <w:r w:rsidRPr="00354E9C">
        <w:rPr>
          <w:rFonts w:ascii="Palatino Linotype" w:eastAsia="Palatino Linotype" w:hAnsi="Palatino Linotype" w:cs="Palatino Linotype"/>
        </w:rPr>
        <w:t xml:space="preserve">Una vez transcurrido el periodo otorgado a las partes para realizar sus manifestaciones y no habiendo documentos que integrar al expediente, </w:t>
      </w:r>
      <w:r w:rsidRPr="00354E9C">
        <w:rPr>
          <w:rFonts w:ascii="Palatino Linotype" w:eastAsia="Palatino Linotype" w:hAnsi="Palatino Linotype" w:cs="Palatino Linotype"/>
          <w:b/>
        </w:rPr>
        <w:t>el catorce de diciembre de dos mil veintitrés</w:t>
      </w:r>
      <w:r w:rsidRPr="00354E9C">
        <w:rPr>
          <w:rFonts w:ascii="Palatino Linotype" w:eastAsia="Palatino Linotype" w:hAnsi="Palatino Linotype" w:cs="Palatino Linotype"/>
        </w:rPr>
        <w:t>, la Comisionada Ponente, notificó a través del Sistema de Acceso a la Información Mexiquense, el cierre de instrucción en términos de la fracción VI del artículo 185 de la Ley de Transparencia y Acceso a la Información Pública del Estado de México y Municipios.</w:t>
      </w:r>
    </w:p>
    <w:p w14:paraId="39CD1EBE" w14:textId="77777777" w:rsidR="0045345E" w:rsidRPr="00354E9C" w:rsidRDefault="00087E62">
      <w:pPr>
        <w:spacing w:before="240" w:after="240"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D2138CA" w14:textId="77777777" w:rsidR="0045345E" w:rsidRPr="00354E9C" w:rsidRDefault="00087E62">
      <w:pPr>
        <w:widowControl w:val="0"/>
        <w:spacing w:line="360" w:lineRule="auto"/>
        <w:jc w:val="center"/>
        <w:rPr>
          <w:rFonts w:ascii="Palatino Linotype" w:eastAsia="Palatino Linotype" w:hAnsi="Palatino Linotype" w:cs="Palatino Linotype"/>
          <w:b/>
        </w:rPr>
      </w:pPr>
      <w:r w:rsidRPr="00354E9C">
        <w:rPr>
          <w:rFonts w:ascii="Palatino Linotype" w:eastAsia="Palatino Linotype" w:hAnsi="Palatino Linotype" w:cs="Palatino Linotype"/>
          <w:b/>
        </w:rPr>
        <w:t>II. C O N S I D E R A N D O S</w:t>
      </w:r>
    </w:p>
    <w:p w14:paraId="4E8C6816" w14:textId="77777777" w:rsidR="0045345E" w:rsidRPr="00354E9C" w:rsidRDefault="0045345E">
      <w:pPr>
        <w:widowControl w:val="0"/>
        <w:spacing w:line="360" w:lineRule="auto"/>
        <w:jc w:val="center"/>
        <w:rPr>
          <w:rFonts w:ascii="Palatino Linotype" w:eastAsia="Palatino Linotype" w:hAnsi="Palatino Linotype" w:cs="Palatino Linotype"/>
          <w:b/>
        </w:rPr>
      </w:pPr>
    </w:p>
    <w:p w14:paraId="7B81F180"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b/>
        </w:rPr>
        <w:t>Primero. Competencia.</w:t>
      </w:r>
      <w:r w:rsidRPr="00354E9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31AAFB7" w14:textId="77777777" w:rsidR="0045345E" w:rsidRPr="00354E9C" w:rsidRDefault="00087E62">
      <w:pPr>
        <w:spacing w:before="240" w:after="240"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b/>
        </w:rPr>
        <w:t xml:space="preserve">Segundo. Oportunidad y </w:t>
      </w:r>
      <w:proofErr w:type="spellStart"/>
      <w:r w:rsidRPr="00354E9C">
        <w:rPr>
          <w:rFonts w:ascii="Palatino Linotype" w:eastAsia="Palatino Linotype" w:hAnsi="Palatino Linotype" w:cs="Palatino Linotype"/>
          <w:b/>
        </w:rPr>
        <w:t>Procedibilidad</w:t>
      </w:r>
      <w:proofErr w:type="spellEnd"/>
      <w:r w:rsidRPr="00354E9C">
        <w:rPr>
          <w:rFonts w:ascii="Palatino Linotype" w:eastAsia="Palatino Linotype" w:hAnsi="Palatino Linotype" w:cs="Palatino Linotype"/>
          <w:b/>
        </w:rPr>
        <w:t xml:space="preserve"> del Recurso de Revisión</w:t>
      </w:r>
      <w:r w:rsidRPr="00354E9C">
        <w:rPr>
          <w:rFonts w:ascii="Palatino Linotype" w:eastAsia="Palatino Linotype" w:hAnsi="Palatino Linotype" w:cs="Palatino Linotype"/>
        </w:rPr>
        <w:t xml:space="preserve">. Previo al estudio del fondo del asunto, se procede a analizar los requisitos de oportunidad y </w:t>
      </w:r>
      <w:proofErr w:type="spellStart"/>
      <w:r w:rsidRPr="00354E9C">
        <w:rPr>
          <w:rFonts w:ascii="Palatino Linotype" w:eastAsia="Palatino Linotype" w:hAnsi="Palatino Linotype" w:cs="Palatino Linotype"/>
        </w:rPr>
        <w:t>procedibilidad</w:t>
      </w:r>
      <w:proofErr w:type="spellEnd"/>
      <w:r w:rsidRPr="00354E9C">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71D3CED4" w14:textId="77777777" w:rsidR="0045345E" w:rsidRPr="00354E9C" w:rsidRDefault="00087E62">
      <w:pPr>
        <w:spacing w:before="240" w:after="240" w:line="360" w:lineRule="auto"/>
        <w:ind w:right="49"/>
        <w:jc w:val="both"/>
        <w:rPr>
          <w:rFonts w:ascii="Palatino Linotype" w:eastAsia="Palatino Linotype" w:hAnsi="Palatino Linotype" w:cs="Palatino Linotype"/>
        </w:rPr>
      </w:pPr>
      <w:r w:rsidRPr="00354E9C">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354E9C">
        <w:rPr>
          <w:rFonts w:ascii="Palatino Linotype" w:eastAsia="Palatino Linotype" w:hAnsi="Palatino Linotype" w:cs="Palatino Linotype"/>
          <w:b/>
        </w:rPr>
        <w:t>SUJETO OBLIGADO</w:t>
      </w:r>
      <w:r w:rsidRPr="00354E9C">
        <w:rPr>
          <w:rFonts w:ascii="Palatino Linotype" w:eastAsia="Palatino Linotype" w:hAnsi="Palatino Linotype" w:cs="Palatino Linotype"/>
        </w:rPr>
        <w:t xml:space="preserve"> proporcionó su respuesta a la solicitud de información el seis de septiembre del dos mil veintitrés y el </w:t>
      </w:r>
      <w:r w:rsidRPr="00354E9C">
        <w:rPr>
          <w:rFonts w:ascii="Palatino Linotype" w:eastAsia="Palatino Linotype" w:hAnsi="Palatino Linotype" w:cs="Palatino Linotype"/>
          <w:b/>
        </w:rPr>
        <w:t>RECURRENTE</w:t>
      </w:r>
      <w:r w:rsidRPr="00354E9C">
        <w:rPr>
          <w:rFonts w:ascii="Palatino Linotype" w:eastAsia="Palatino Linotype" w:hAnsi="Palatino Linotype" w:cs="Palatino Linotype"/>
        </w:rPr>
        <w:t xml:space="preserve"> presentó su recurso de revisión el doce de </w:t>
      </w:r>
      <w:r w:rsidRPr="00354E9C">
        <w:rPr>
          <w:rFonts w:ascii="Palatino Linotype" w:eastAsia="Palatino Linotype" w:hAnsi="Palatino Linotype" w:cs="Palatino Linotype"/>
        </w:rPr>
        <w:lastRenderedPageBreak/>
        <w:t>septiembre del mismo año; esto es, al cuarto día hábil siguiente que tuvo conocimiento de la respuesta.</w:t>
      </w:r>
    </w:p>
    <w:p w14:paraId="65B28291" w14:textId="77777777" w:rsidR="0045345E" w:rsidRPr="00354E9C" w:rsidRDefault="00087E62">
      <w:pPr>
        <w:spacing w:before="240"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 xml:space="preserve">Al mismo tiempo, por cuanto hace a la </w:t>
      </w:r>
      <w:proofErr w:type="spellStart"/>
      <w:r w:rsidRPr="00354E9C">
        <w:rPr>
          <w:rFonts w:ascii="Palatino Linotype" w:eastAsia="Palatino Linotype" w:hAnsi="Palatino Linotype" w:cs="Palatino Linotype"/>
        </w:rPr>
        <w:t>procedibilidad</w:t>
      </w:r>
      <w:proofErr w:type="spellEnd"/>
      <w:r w:rsidRPr="00354E9C">
        <w:rPr>
          <w:rFonts w:ascii="Palatino Linotype" w:eastAsia="Palatino Linotype" w:hAnsi="Palatino Linotype" w:cs="Palatino Linotype"/>
        </w:rPr>
        <w:t xml:space="preserve"> del recurso de revisión, es de suma importancia señalar que la parte recurrente no señaló nombre con el cual desee ser identificado, no obstante el, no proporcionar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C47CFB8" w14:textId="77777777" w:rsidR="0045345E" w:rsidRPr="00354E9C" w:rsidRDefault="0045345E">
      <w:pPr>
        <w:ind w:left="567" w:right="474"/>
        <w:jc w:val="both"/>
        <w:rPr>
          <w:rFonts w:ascii="Palatino Linotype" w:eastAsia="Palatino Linotype" w:hAnsi="Palatino Linotype" w:cs="Palatino Linotype"/>
          <w:i/>
        </w:rPr>
      </w:pPr>
    </w:p>
    <w:p w14:paraId="39F86D8E" w14:textId="77777777" w:rsidR="0045345E" w:rsidRPr="00354E9C" w:rsidRDefault="00087E62">
      <w:pPr>
        <w:ind w:left="567" w:right="474"/>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w:t>
      </w:r>
      <w:r w:rsidRPr="00354E9C">
        <w:rPr>
          <w:rFonts w:ascii="Palatino Linotype" w:eastAsia="Palatino Linotype" w:hAnsi="Palatino Linotype" w:cs="Palatino Linotype"/>
          <w:b/>
          <w:i/>
          <w:sz w:val="22"/>
          <w:szCs w:val="22"/>
        </w:rPr>
        <w:t>Las solicitudes anónimas</w:t>
      </w:r>
      <w:r w:rsidRPr="00354E9C">
        <w:rPr>
          <w:rFonts w:ascii="Palatino Linotype" w:eastAsia="Palatino Linotype" w:hAnsi="Palatino Linotype" w:cs="Palatino Linotype"/>
          <w:i/>
          <w:sz w:val="22"/>
          <w:szCs w:val="22"/>
        </w:rPr>
        <w:t xml:space="preserve">, con nombre incompleto o seudónimo </w:t>
      </w:r>
      <w:r w:rsidRPr="00354E9C">
        <w:rPr>
          <w:rFonts w:ascii="Palatino Linotype" w:eastAsia="Palatino Linotype" w:hAnsi="Palatino Linotype" w:cs="Palatino Linotype"/>
          <w:b/>
          <w:i/>
          <w:sz w:val="22"/>
          <w:szCs w:val="22"/>
        </w:rPr>
        <w:t>serán procedentes para su trámite por parte del sujeto obligado ante quien se presente</w:t>
      </w:r>
      <w:r w:rsidRPr="00354E9C">
        <w:rPr>
          <w:rFonts w:ascii="Palatino Linotype" w:eastAsia="Palatino Linotype" w:hAnsi="Palatino Linotype" w:cs="Palatino Linotype"/>
          <w:i/>
          <w:sz w:val="22"/>
          <w:szCs w:val="22"/>
        </w:rPr>
        <w:t>. No podrá requerirse información adicional con motivo del nombre proporcionado por el solicitante."(Sic)</w:t>
      </w:r>
    </w:p>
    <w:p w14:paraId="0A8FC4C5" w14:textId="77777777" w:rsidR="0045345E" w:rsidRPr="00354E9C" w:rsidRDefault="00087E62">
      <w:pPr>
        <w:spacing w:before="240" w:after="240"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Asimismo,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487C676C" w14:textId="77777777" w:rsidR="0045345E" w:rsidRPr="00354E9C" w:rsidRDefault="00087E62">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354E9C">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II de la ley de la materia, que a la letra dice:</w:t>
      </w:r>
    </w:p>
    <w:p w14:paraId="67987A5E" w14:textId="77777777" w:rsidR="0045345E" w:rsidRPr="00354E9C" w:rsidRDefault="00087E62">
      <w:pPr>
        <w:ind w:left="1276" w:right="1752"/>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w:t>
      </w:r>
      <w:r w:rsidRPr="00354E9C">
        <w:rPr>
          <w:rFonts w:ascii="Palatino Linotype" w:eastAsia="Palatino Linotype" w:hAnsi="Palatino Linotype" w:cs="Palatino Linotype"/>
          <w:b/>
          <w:i/>
          <w:sz w:val="22"/>
          <w:szCs w:val="22"/>
        </w:rPr>
        <w:t xml:space="preserve">Artículo 179. </w:t>
      </w:r>
      <w:r w:rsidRPr="00354E9C">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354E9C">
        <w:rPr>
          <w:rFonts w:ascii="Palatino Linotype" w:eastAsia="Palatino Linotype" w:hAnsi="Palatino Linotype" w:cs="Palatino Linotype"/>
          <w:i/>
        </w:rPr>
        <w:t>causas</w:t>
      </w:r>
      <w:r w:rsidRPr="00354E9C">
        <w:rPr>
          <w:rFonts w:ascii="Palatino Linotype" w:eastAsia="Palatino Linotype" w:hAnsi="Palatino Linotype" w:cs="Palatino Linotype"/>
          <w:i/>
          <w:sz w:val="22"/>
          <w:szCs w:val="22"/>
        </w:rPr>
        <w:t>:</w:t>
      </w:r>
    </w:p>
    <w:p w14:paraId="5F9B43B6" w14:textId="77777777" w:rsidR="0045345E" w:rsidRPr="00354E9C" w:rsidRDefault="00087E62">
      <w:pPr>
        <w:ind w:left="1276" w:right="1752"/>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w:t>
      </w:r>
    </w:p>
    <w:p w14:paraId="6281759B" w14:textId="77777777" w:rsidR="0045345E" w:rsidRPr="00354E9C" w:rsidRDefault="00087E62">
      <w:pPr>
        <w:ind w:left="1276" w:right="1752"/>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II. La clasificación de la información…” (Sic)</w:t>
      </w:r>
    </w:p>
    <w:p w14:paraId="1B89A902" w14:textId="77777777" w:rsidR="0045345E" w:rsidRPr="00354E9C" w:rsidRDefault="00087E62">
      <w:pPr>
        <w:spacing w:before="240" w:after="240"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b/>
        </w:rPr>
        <w:lastRenderedPageBreak/>
        <w:t>Tercero. Materia de Revisión</w:t>
      </w:r>
      <w:r w:rsidRPr="00354E9C">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354E9C">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354E9C">
        <w:rPr>
          <w:rFonts w:ascii="Palatino Linotype" w:eastAsia="Palatino Linotype" w:hAnsi="Palatino Linotype" w:cs="Palatino Linotype"/>
        </w:rPr>
        <w:t xml:space="preserve">de la PARTE </w:t>
      </w:r>
      <w:r w:rsidRPr="00354E9C">
        <w:rPr>
          <w:rFonts w:ascii="Palatino Linotype" w:eastAsia="Palatino Linotype" w:hAnsi="Palatino Linotype" w:cs="Palatino Linotype"/>
          <w:b/>
        </w:rPr>
        <w:t>RECURRENTE</w:t>
      </w:r>
      <w:r w:rsidRPr="00354E9C">
        <w:rPr>
          <w:rFonts w:ascii="Palatino Linotype" w:eastAsia="Palatino Linotype" w:hAnsi="Palatino Linotype" w:cs="Palatino Linotype"/>
        </w:rPr>
        <w:t>, o en su defecto, en caso de ser procedente, ordenar la entrega de información.</w:t>
      </w:r>
    </w:p>
    <w:p w14:paraId="0B256235" w14:textId="77777777" w:rsidR="0045345E" w:rsidRPr="00354E9C" w:rsidRDefault="00087E62">
      <w:pPr>
        <w:spacing w:before="240" w:after="240"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b/>
        </w:rPr>
        <w:t xml:space="preserve">Cuarto. Estudio de fondo del asunto. </w:t>
      </w:r>
      <w:r w:rsidRPr="00354E9C">
        <w:rPr>
          <w:rFonts w:ascii="Palatino Linotype" w:eastAsia="Palatino Linotype" w:hAnsi="Palatino Linotype" w:cs="Palatino Linotype"/>
        </w:rPr>
        <w:t xml:space="preserve">es conveniente analizar si la respuesta del </w:t>
      </w:r>
      <w:r w:rsidRPr="00354E9C">
        <w:rPr>
          <w:rFonts w:ascii="Palatino Linotype" w:eastAsia="Palatino Linotype" w:hAnsi="Palatino Linotype" w:cs="Palatino Linotype"/>
          <w:b/>
        </w:rPr>
        <w:t>SUJETO OBLIGADO</w:t>
      </w:r>
      <w:r w:rsidRPr="00354E9C">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343552BD" w14:textId="77777777" w:rsidR="0045345E" w:rsidRPr="00354E9C" w:rsidRDefault="00087E62">
      <w:pPr>
        <w:spacing w:before="240"/>
        <w:ind w:left="709" w:right="760"/>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w:t>
      </w:r>
      <w:r w:rsidRPr="00354E9C">
        <w:rPr>
          <w:rFonts w:ascii="Palatino Linotype" w:eastAsia="Palatino Linotype" w:hAnsi="Palatino Linotype" w:cs="Palatino Linotype"/>
          <w:b/>
          <w:i/>
          <w:sz w:val="22"/>
          <w:szCs w:val="22"/>
        </w:rPr>
        <w:t>Artículo 4.</w:t>
      </w:r>
      <w:r w:rsidRPr="00354E9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CB3DB12" w14:textId="77777777" w:rsidR="0045345E" w:rsidRPr="00354E9C" w:rsidRDefault="00087E62">
      <w:pPr>
        <w:ind w:left="709" w:right="760"/>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54E9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AE84D82" w14:textId="77777777" w:rsidR="0045345E" w:rsidRPr="00354E9C" w:rsidRDefault="00087E62">
      <w:pPr>
        <w:ind w:left="709" w:right="760"/>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sidRPr="00354E9C">
        <w:rPr>
          <w:rFonts w:ascii="Palatino Linotype" w:eastAsia="Palatino Linotype" w:hAnsi="Palatino Linotype" w:cs="Palatino Linotype"/>
          <w:i/>
          <w:sz w:val="22"/>
          <w:szCs w:val="22"/>
        </w:rPr>
        <w:t>.”(Sic)</w:t>
      </w:r>
    </w:p>
    <w:p w14:paraId="5CF23364" w14:textId="77777777" w:rsidR="0045345E" w:rsidRPr="00354E9C" w:rsidRDefault="00087E62">
      <w:pPr>
        <w:spacing w:before="240" w:after="240"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52AA61E3" w14:textId="77777777" w:rsidR="0045345E" w:rsidRPr="00354E9C" w:rsidRDefault="00087E62">
      <w:pPr>
        <w:ind w:left="567" w:right="758"/>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w:t>
      </w:r>
      <w:r w:rsidRPr="00354E9C">
        <w:rPr>
          <w:rFonts w:ascii="Palatino Linotype" w:eastAsia="Palatino Linotype" w:hAnsi="Palatino Linotype" w:cs="Palatino Linotype"/>
          <w:b/>
          <w:i/>
          <w:sz w:val="22"/>
          <w:szCs w:val="22"/>
        </w:rPr>
        <w:t>Artículo12.-</w:t>
      </w:r>
      <w:r w:rsidRPr="00354E9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D7A2425" w14:textId="77777777" w:rsidR="0045345E" w:rsidRPr="00354E9C" w:rsidRDefault="00087E62">
      <w:pPr>
        <w:ind w:left="567" w:right="758"/>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354E9C">
        <w:rPr>
          <w:rFonts w:ascii="Palatino Linotype" w:eastAsia="Palatino Linotype" w:hAnsi="Palatino Linotype" w:cs="Palatino Linotype"/>
          <w:i/>
          <w:sz w:val="22"/>
          <w:szCs w:val="22"/>
        </w:rPr>
        <w:t xml:space="preserve">. </w:t>
      </w:r>
      <w:r w:rsidRPr="00354E9C">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01C981C0" w14:textId="77777777" w:rsidR="0045345E" w:rsidRPr="00354E9C" w:rsidRDefault="0045345E">
      <w:pPr>
        <w:spacing w:line="360" w:lineRule="auto"/>
        <w:ind w:right="-93"/>
        <w:jc w:val="both"/>
        <w:rPr>
          <w:rFonts w:ascii="Palatino Linotype" w:eastAsia="Palatino Linotype" w:hAnsi="Palatino Linotype" w:cs="Palatino Linotype"/>
        </w:rPr>
      </w:pPr>
    </w:p>
    <w:p w14:paraId="2A836237" w14:textId="77777777" w:rsidR="0045345E" w:rsidRPr="00354E9C" w:rsidRDefault="00087E62">
      <w:pPr>
        <w:spacing w:line="360" w:lineRule="auto"/>
        <w:ind w:right="-93"/>
        <w:jc w:val="both"/>
        <w:rPr>
          <w:rFonts w:ascii="Palatino Linotype" w:eastAsia="Palatino Linotype" w:hAnsi="Palatino Linotype" w:cs="Palatino Linotype"/>
        </w:rPr>
      </w:pPr>
      <w:r w:rsidRPr="00354E9C">
        <w:rPr>
          <w:rFonts w:ascii="Palatino Linotype" w:eastAsia="Palatino Linotype" w:hAnsi="Palatino Linotype" w:cs="Palatino Linotype"/>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0D5BAC0E" w14:textId="77777777" w:rsidR="0045345E" w:rsidRPr="00354E9C" w:rsidRDefault="0045345E">
      <w:pPr>
        <w:spacing w:line="360" w:lineRule="auto"/>
        <w:jc w:val="both"/>
        <w:rPr>
          <w:rFonts w:ascii="Palatino Linotype" w:eastAsia="Palatino Linotype" w:hAnsi="Palatino Linotype" w:cs="Palatino Linotype"/>
        </w:rPr>
      </w:pPr>
    </w:p>
    <w:p w14:paraId="10E457ED"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lastRenderedPageBreak/>
        <w:t>Sirve de apoyo a lo anterior, el criterio 03-17, expuesto por el Instituto Nacional de Transparencia, Acceso a la Información y Protección de Datos Personales, que dice:</w:t>
      </w:r>
    </w:p>
    <w:p w14:paraId="230DD37A" w14:textId="77777777" w:rsidR="0045345E" w:rsidRPr="00354E9C" w:rsidRDefault="00087E62">
      <w:pPr>
        <w:spacing w:line="360" w:lineRule="auto"/>
        <w:jc w:val="both"/>
        <w:rPr>
          <w:rFonts w:ascii="Palatino Linotype" w:eastAsia="Palatino Linotype" w:hAnsi="Palatino Linotype" w:cs="Palatino Linotype"/>
          <w:b/>
        </w:rPr>
      </w:pPr>
      <w:r w:rsidRPr="00354E9C">
        <w:rPr>
          <w:rFonts w:ascii="Palatino Linotype" w:eastAsia="Palatino Linotype" w:hAnsi="Palatino Linotype" w:cs="Palatino Linotype"/>
          <w:b/>
        </w:rPr>
        <w:t xml:space="preserve"> </w:t>
      </w:r>
    </w:p>
    <w:p w14:paraId="6476A185" w14:textId="77777777" w:rsidR="0045345E" w:rsidRPr="00354E9C" w:rsidRDefault="00087E62">
      <w:pPr>
        <w:ind w:left="851" w:right="901"/>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w:t>
      </w:r>
      <w:r w:rsidRPr="00354E9C">
        <w:rPr>
          <w:rFonts w:ascii="Palatino Linotype" w:eastAsia="Palatino Linotype" w:hAnsi="Palatino Linotype" w:cs="Palatino Linotype"/>
          <w:b/>
          <w:i/>
          <w:sz w:val="22"/>
          <w:szCs w:val="22"/>
        </w:rPr>
        <w:t>No existe obligación de elaborar documentos ad hoc para atender las solicitudes de acceso a la información.</w:t>
      </w:r>
      <w:r w:rsidRPr="00354E9C">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61F5FFB" w14:textId="77777777" w:rsidR="0045345E" w:rsidRPr="00354E9C" w:rsidRDefault="00087E62">
      <w:pPr>
        <w:ind w:left="851" w:right="901"/>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 xml:space="preserve">Resoluciones: </w:t>
      </w:r>
    </w:p>
    <w:p w14:paraId="6CB1F2E7" w14:textId="77777777" w:rsidR="0045345E" w:rsidRPr="00354E9C" w:rsidRDefault="00087E62">
      <w:pPr>
        <w:ind w:left="851" w:right="901"/>
        <w:jc w:val="both"/>
        <w:rPr>
          <w:rFonts w:ascii="Palatino Linotype" w:eastAsia="Palatino Linotype" w:hAnsi="Palatino Linotype" w:cs="Palatino Linotype"/>
          <w:i/>
          <w:sz w:val="22"/>
          <w:szCs w:val="22"/>
        </w:rPr>
      </w:pPr>
      <w:r w:rsidRPr="00354E9C">
        <w:rPr>
          <w:rFonts w:ascii="Noto Sans Symbols" w:eastAsia="Noto Sans Symbols" w:hAnsi="Noto Sans Symbols" w:cs="Noto Sans Symbols"/>
          <w:i/>
          <w:sz w:val="22"/>
          <w:szCs w:val="22"/>
        </w:rPr>
        <w:t>∙</w:t>
      </w:r>
      <w:r w:rsidRPr="00354E9C">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14:paraId="01C07624" w14:textId="77777777" w:rsidR="0045345E" w:rsidRPr="00354E9C" w:rsidRDefault="00087E62">
      <w:pPr>
        <w:ind w:left="851" w:right="901"/>
        <w:jc w:val="both"/>
        <w:rPr>
          <w:rFonts w:ascii="Palatino Linotype" w:eastAsia="Palatino Linotype" w:hAnsi="Palatino Linotype" w:cs="Palatino Linotype"/>
          <w:i/>
          <w:sz w:val="22"/>
          <w:szCs w:val="22"/>
        </w:rPr>
      </w:pPr>
      <w:r w:rsidRPr="00354E9C">
        <w:rPr>
          <w:rFonts w:ascii="Noto Sans Symbols" w:eastAsia="Noto Sans Symbols" w:hAnsi="Noto Sans Symbols" w:cs="Noto Sans Symbols"/>
          <w:i/>
          <w:sz w:val="22"/>
          <w:szCs w:val="22"/>
        </w:rPr>
        <w:t>∙</w:t>
      </w:r>
      <w:r w:rsidRPr="00354E9C">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4F80FE0C" w14:textId="77777777" w:rsidR="0045345E" w:rsidRPr="00354E9C" w:rsidRDefault="00087E62">
      <w:pPr>
        <w:ind w:left="851" w:right="901"/>
        <w:jc w:val="both"/>
        <w:rPr>
          <w:rFonts w:ascii="Palatino Linotype" w:eastAsia="Palatino Linotype" w:hAnsi="Palatino Linotype" w:cs="Palatino Linotype"/>
          <w:i/>
          <w:sz w:val="22"/>
          <w:szCs w:val="22"/>
        </w:rPr>
      </w:pPr>
      <w:r w:rsidRPr="00354E9C">
        <w:rPr>
          <w:rFonts w:ascii="Noto Sans Symbols" w:eastAsia="Noto Sans Symbols" w:hAnsi="Noto Sans Symbols" w:cs="Noto Sans Symbols"/>
          <w:i/>
          <w:sz w:val="22"/>
          <w:szCs w:val="22"/>
        </w:rPr>
        <w:t>∙</w:t>
      </w:r>
      <w:r w:rsidRPr="00354E9C">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Mora.”(Sic)</w:t>
      </w:r>
    </w:p>
    <w:p w14:paraId="229EEA54" w14:textId="77777777" w:rsidR="0045345E" w:rsidRPr="00354E9C" w:rsidRDefault="0045345E">
      <w:pPr>
        <w:spacing w:line="360" w:lineRule="auto"/>
        <w:jc w:val="both"/>
        <w:rPr>
          <w:rFonts w:ascii="Palatino Linotype" w:eastAsia="Palatino Linotype" w:hAnsi="Palatino Linotype" w:cs="Palatino Linotype"/>
        </w:rPr>
      </w:pPr>
    </w:p>
    <w:p w14:paraId="45906C6F" w14:textId="77777777" w:rsidR="0045345E" w:rsidRPr="00354E9C" w:rsidRDefault="00087E62">
      <w:pPr>
        <w:spacing w:line="360" w:lineRule="auto"/>
        <w:jc w:val="both"/>
        <w:rPr>
          <w:rFonts w:ascii="Palatino Linotype" w:eastAsia="Palatino Linotype" w:hAnsi="Palatino Linotype" w:cs="Palatino Linotype"/>
          <w:strike/>
        </w:rPr>
      </w:pPr>
      <w:r w:rsidRPr="00354E9C">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circunstancia que aconteció en el presente asunto que se analiza.  </w:t>
      </w:r>
    </w:p>
    <w:p w14:paraId="509CC8F2" w14:textId="77777777" w:rsidR="0045345E" w:rsidRPr="00354E9C" w:rsidRDefault="0045345E">
      <w:pPr>
        <w:spacing w:line="360" w:lineRule="auto"/>
        <w:jc w:val="both"/>
        <w:rPr>
          <w:rFonts w:ascii="Palatino Linotype" w:eastAsia="Palatino Linotype" w:hAnsi="Palatino Linotype" w:cs="Palatino Linotype"/>
        </w:rPr>
      </w:pPr>
    </w:p>
    <w:p w14:paraId="29D5D7F6" w14:textId="77777777" w:rsidR="0045345E" w:rsidRPr="00354E9C" w:rsidRDefault="00087E62">
      <w:pPr>
        <w:spacing w:line="360" w:lineRule="auto"/>
        <w:ind w:right="49"/>
        <w:jc w:val="both"/>
        <w:rPr>
          <w:rFonts w:ascii="Palatino Linotype" w:eastAsia="Palatino Linotype" w:hAnsi="Palatino Linotype" w:cs="Palatino Linotype"/>
        </w:rPr>
      </w:pPr>
      <w:r w:rsidRPr="00354E9C">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BCACF5D" w14:textId="77777777" w:rsidR="0045345E" w:rsidRPr="00354E9C" w:rsidRDefault="0045345E">
      <w:pPr>
        <w:spacing w:line="360" w:lineRule="auto"/>
        <w:ind w:right="49"/>
        <w:jc w:val="both"/>
        <w:rPr>
          <w:rFonts w:ascii="Palatino Linotype" w:eastAsia="Palatino Linotype" w:hAnsi="Palatino Linotype" w:cs="Palatino Linotype"/>
        </w:rPr>
      </w:pPr>
    </w:p>
    <w:p w14:paraId="7E81D1D6"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55C01A4" w14:textId="77777777" w:rsidR="0045345E" w:rsidRPr="00354E9C" w:rsidRDefault="0045345E">
      <w:pPr>
        <w:ind w:left="851" w:right="899"/>
        <w:jc w:val="both"/>
        <w:rPr>
          <w:rFonts w:ascii="Palatino Linotype" w:eastAsia="Palatino Linotype" w:hAnsi="Palatino Linotype" w:cs="Palatino Linotype"/>
          <w:i/>
          <w:sz w:val="22"/>
          <w:szCs w:val="22"/>
        </w:rPr>
      </w:pPr>
    </w:p>
    <w:p w14:paraId="45B7D701" w14:textId="77777777" w:rsidR="0045345E" w:rsidRPr="00354E9C" w:rsidRDefault="00087E62">
      <w:pPr>
        <w:ind w:left="851" w:right="899"/>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w:t>
      </w:r>
      <w:r w:rsidRPr="00354E9C">
        <w:rPr>
          <w:rFonts w:ascii="Palatino Linotype" w:eastAsia="Palatino Linotype" w:hAnsi="Palatino Linotype" w:cs="Palatino Linotype"/>
          <w:b/>
          <w:i/>
          <w:sz w:val="22"/>
          <w:szCs w:val="22"/>
        </w:rPr>
        <w:t xml:space="preserve">Artículo 3. </w:t>
      </w:r>
      <w:r w:rsidRPr="00354E9C">
        <w:rPr>
          <w:rFonts w:ascii="Palatino Linotype" w:eastAsia="Palatino Linotype" w:hAnsi="Palatino Linotype" w:cs="Palatino Linotype"/>
          <w:i/>
          <w:sz w:val="22"/>
          <w:szCs w:val="22"/>
        </w:rPr>
        <w:t>Para los efectos de la presente Ley se entenderá por:</w:t>
      </w:r>
    </w:p>
    <w:p w14:paraId="38C026D1" w14:textId="77777777" w:rsidR="0045345E" w:rsidRPr="00354E9C" w:rsidRDefault="00087E62">
      <w:pPr>
        <w:ind w:left="851" w:right="899"/>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w:t>
      </w:r>
    </w:p>
    <w:p w14:paraId="3E9DF784" w14:textId="77777777" w:rsidR="0045345E" w:rsidRPr="00354E9C" w:rsidRDefault="00087E62">
      <w:pPr>
        <w:ind w:left="851" w:right="899"/>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b/>
          <w:i/>
          <w:sz w:val="22"/>
          <w:szCs w:val="22"/>
        </w:rPr>
        <w:t>XI. Documento:</w:t>
      </w:r>
      <w:r w:rsidRPr="00354E9C">
        <w:rPr>
          <w:rFonts w:ascii="Palatino Linotype" w:eastAsia="Palatino Linotype" w:hAnsi="Palatino Linotype" w:cs="Palatino Linotype"/>
          <w:i/>
          <w:sz w:val="22"/>
          <w:szCs w:val="22"/>
        </w:rPr>
        <w:t xml:space="preserve"> Los expedientes, reportes, estudios, actas</w:t>
      </w:r>
      <w:r w:rsidRPr="00354E9C">
        <w:rPr>
          <w:rFonts w:ascii="Palatino Linotype" w:eastAsia="Palatino Linotype" w:hAnsi="Palatino Linotype" w:cs="Palatino Linotype"/>
          <w:b/>
          <w:i/>
          <w:sz w:val="22"/>
          <w:szCs w:val="22"/>
        </w:rPr>
        <w:t>,</w:t>
      </w:r>
      <w:r w:rsidRPr="00354E9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D2D69C1" w14:textId="77777777" w:rsidR="0045345E" w:rsidRPr="00354E9C" w:rsidRDefault="0045345E">
      <w:pPr>
        <w:ind w:left="851" w:right="899"/>
        <w:jc w:val="both"/>
        <w:rPr>
          <w:rFonts w:ascii="Palatino Linotype" w:eastAsia="Palatino Linotype" w:hAnsi="Palatino Linotype" w:cs="Palatino Linotype"/>
          <w:sz w:val="22"/>
          <w:szCs w:val="22"/>
        </w:rPr>
      </w:pPr>
    </w:p>
    <w:p w14:paraId="623EF30B"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3FED659" w14:textId="77777777" w:rsidR="0045345E" w:rsidRPr="00354E9C" w:rsidRDefault="0045345E">
      <w:pPr>
        <w:ind w:left="851" w:right="899"/>
        <w:jc w:val="both"/>
        <w:rPr>
          <w:rFonts w:ascii="Palatino Linotype" w:eastAsia="Palatino Linotype" w:hAnsi="Palatino Linotype" w:cs="Palatino Linotype"/>
        </w:rPr>
      </w:pPr>
    </w:p>
    <w:p w14:paraId="0271D6A6" w14:textId="77777777" w:rsidR="0045345E" w:rsidRPr="00354E9C" w:rsidRDefault="00087E62">
      <w:pPr>
        <w:ind w:left="851" w:right="899"/>
        <w:jc w:val="both"/>
        <w:rPr>
          <w:rFonts w:ascii="Palatino Linotype" w:eastAsia="Palatino Linotype" w:hAnsi="Palatino Linotype" w:cs="Palatino Linotype"/>
          <w:b/>
          <w:i/>
          <w:sz w:val="22"/>
          <w:szCs w:val="22"/>
        </w:rPr>
      </w:pPr>
      <w:r w:rsidRPr="00354E9C">
        <w:rPr>
          <w:rFonts w:ascii="Palatino Linotype" w:eastAsia="Palatino Linotype" w:hAnsi="Palatino Linotype" w:cs="Palatino Linotype"/>
          <w:b/>
          <w:sz w:val="22"/>
          <w:szCs w:val="22"/>
        </w:rPr>
        <w:t>“</w:t>
      </w:r>
      <w:r w:rsidRPr="00354E9C">
        <w:rPr>
          <w:rFonts w:ascii="Palatino Linotype" w:eastAsia="Palatino Linotype" w:hAnsi="Palatino Linotype" w:cs="Palatino Linotype"/>
          <w:b/>
          <w:i/>
          <w:sz w:val="22"/>
          <w:szCs w:val="22"/>
        </w:rPr>
        <w:t>CRITERIO 0002-11</w:t>
      </w:r>
    </w:p>
    <w:p w14:paraId="64444843" w14:textId="77777777" w:rsidR="0045345E" w:rsidRPr="00354E9C" w:rsidRDefault="00087E62">
      <w:pPr>
        <w:ind w:left="851" w:right="899"/>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354E9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9527C2" w14:textId="77777777" w:rsidR="0045345E" w:rsidRPr="00354E9C" w:rsidRDefault="00087E62">
      <w:pPr>
        <w:ind w:left="851" w:right="899"/>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722F9CB" w14:textId="77777777" w:rsidR="0045345E" w:rsidRPr="00354E9C" w:rsidRDefault="00087E62">
      <w:pPr>
        <w:ind w:left="851" w:right="899"/>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3D5C30D" w14:textId="77777777" w:rsidR="0045345E" w:rsidRPr="00354E9C" w:rsidRDefault="00087E62">
      <w:pPr>
        <w:ind w:left="851" w:right="899"/>
        <w:jc w:val="both"/>
        <w:rPr>
          <w:rFonts w:ascii="Palatino Linotype" w:eastAsia="Palatino Linotype" w:hAnsi="Palatino Linotype" w:cs="Palatino Linotype"/>
          <w:b/>
          <w:i/>
          <w:sz w:val="22"/>
          <w:szCs w:val="22"/>
        </w:rPr>
      </w:pPr>
      <w:r w:rsidRPr="00354E9C">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AA8AF8D" w14:textId="77777777" w:rsidR="0045345E" w:rsidRPr="00354E9C" w:rsidRDefault="00087E62">
      <w:pPr>
        <w:ind w:left="851" w:right="899"/>
        <w:jc w:val="both"/>
        <w:rPr>
          <w:rFonts w:ascii="Palatino Linotype" w:eastAsia="Palatino Linotype" w:hAnsi="Palatino Linotype" w:cs="Palatino Linotype"/>
          <w:b/>
          <w:i/>
          <w:sz w:val="22"/>
          <w:szCs w:val="22"/>
        </w:rPr>
      </w:pPr>
      <w:r w:rsidRPr="00354E9C">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Obligados.”(Sic)</w:t>
      </w:r>
    </w:p>
    <w:p w14:paraId="4463884B" w14:textId="77777777" w:rsidR="0045345E" w:rsidRPr="00354E9C" w:rsidRDefault="00087E62">
      <w:pPr>
        <w:spacing w:before="240" w:after="240"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Ahora bien, del análisis de la solicitud de información pública que motivó el recurso de revisión que ahora se resuelve, se advierte que el particular requirió al Ayuntamiento de Zinacantepec, lo siguiente</w:t>
      </w:r>
    </w:p>
    <w:p w14:paraId="39707771" w14:textId="77777777" w:rsidR="0045345E" w:rsidRPr="00354E9C" w:rsidRDefault="00087E62">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LA RENUNCIA DE LA EX TESORERA REFERIDA EN LA SOLICITUD DE ACCESO A LA INFORMACIÓN PÚBLICA.</w:t>
      </w:r>
    </w:p>
    <w:p w14:paraId="2AA30DDB" w14:textId="77777777" w:rsidR="0045345E" w:rsidRPr="00354E9C" w:rsidRDefault="00087E62">
      <w:pPr>
        <w:spacing w:before="240" w:after="240" w:line="360" w:lineRule="auto"/>
        <w:ind w:right="49"/>
        <w:jc w:val="both"/>
        <w:rPr>
          <w:rFonts w:ascii="Palatino Linotype" w:eastAsia="Palatino Linotype" w:hAnsi="Palatino Linotype" w:cs="Palatino Linotype"/>
        </w:rPr>
      </w:pPr>
      <w:r w:rsidRPr="00354E9C">
        <w:rPr>
          <w:rFonts w:ascii="Palatino Linotype" w:eastAsia="Palatino Linotype" w:hAnsi="Palatino Linotype" w:cs="Palatino Linotype"/>
        </w:rPr>
        <w:lastRenderedPageBreak/>
        <w:t xml:space="preserve">En respuesta, el </w:t>
      </w:r>
      <w:r w:rsidRPr="00354E9C">
        <w:rPr>
          <w:rFonts w:ascii="Palatino Linotype" w:eastAsia="Palatino Linotype" w:hAnsi="Palatino Linotype" w:cs="Palatino Linotype"/>
          <w:b/>
        </w:rPr>
        <w:t xml:space="preserve">SUJETO OBLIGADO, </w:t>
      </w:r>
      <w:r w:rsidRPr="00354E9C">
        <w:rPr>
          <w:rFonts w:ascii="Palatino Linotype" w:eastAsia="Palatino Linotype" w:hAnsi="Palatino Linotype" w:cs="Palatino Linotype"/>
        </w:rPr>
        <w:t xml:space="preserve">a través de su Directora de Administración remitió en versión pública la renuncia solicitada; sin embargo, fue omiso en adjuntar el Acuerdo de su Comité de Transparencia que sustente la versión pública. </w:t>
      </w:r>
    </w:p>
    <w:p w14:paraId="4C57624D" w14:textId="77777777" w:rsidR="0045345E" w:rsidRPr="00354E9C" w:rsidRDefault="00087E62">
      <w:pPr>
        <w:spacing w:before="240" w:after="240" w:line="360" w:lineRule="auto"/>
        <w:ind w:right="51"/>
        <w:jc w:val="both"/>
        <w:rPr>
          <w:rFonts w:ascii="Verdana" w:eastAsia="Verdana" w:hAnsi="Verdana" w:cs="Verdana"/>
          <w:sz w:val="14"/>
          <w:szCs w:val="14"/>
        </w:rPr>
      </w:pPr>
      <w:r w:rsidRPr="00354E9C">
        <w:rPr>
          <w:rFonts w:ascii="Palatino Linotype" w:eastAsia="Palatino Linotype" w:hAnsi="Palatino Linotype" w:cs="Palatino Linotype"/>
        </w:rPr>
        <w:t xml:space="preserve">La parte </w:t>
      </w:r>
      <w:r w:rsidRPr="00354E9C">
        <w:rPr>
          <w:rFonts w:ascii="Palatino Linotype" w:eastAsia="Palatino Linotype" w:hAnsi="Palatino Linotype" w:cs="Palatino Linotype"/>
          <w:b/>
        </w:rPr>
        <w:t>RECURRENTE</w:t>
      </w:r>
      <w:r w:rsidRPr="00354E9C">
        <w:rPr>
          <w:rFonts w:ascii="Palatino Linotype" w:eastAsia="Palatino Linotype" w:hAnsi="Palatino Linotype" w:cs="Palatino Linotype"/>
        </w:rPr>
        <w:t xml:space="preserve">, al presentar el recurso de revisión que nos ocupa, se inconformó en lo medular por la clasificación de la información y porque no se remitió el acta del Comité donde se apruebe la versión pública. </w:t>
      </w:r>
    </w:p>
    <w:p w14:paraId="4F62F259" w14:textId="77777777" w:rsidR="0045345E" w:rsidRPr="00354E9C" w:rsidRDefault="00087E62">
      <w:pPr>
        <w:spacing w:before="240" w:after="240" w:line="360" w:lineRule="auto"/>
        <w:ind w:right="51"/>
        <w:jc w:val="both"/>
        <w:rPr>
          <w:rFonts w:ascii="Palatino Linotype" w:eastAsia="Palatino Linotype" w:hAnsi="Palatino Linotype" w:cs="Palatino Linotype"/>
        </w:rPr>
      </w:pPr>
      <w:r w:rsidRPr="00354E9C">
        <w:rPr>
          <w:rFonts w:ascii="Palatino Linotype" w:eastAsia="Palatino Linotype" w:hAnsi="Palatino Linotype" w:cs="Palatino Linotype"/>
        </w:rPr>
        <w:t xml:space="preserve">Ante la interposición del recurso de revisión el </w:t>
      </w:r>
      <w:r w:rsidRPr="00354E9C">
        <w:rPr>
          <w:rFonts w:ascii="Palatino Linotype" w:eastAsia="Palatino Linotype" w:hAnsi="Palatino Linotype" w:cs="Palatino Linotype"/>
          <w:b/>
        </w:rPr>
        <w:t>SUJETO OBLIGADO</w:t>
      </w:r>
      <w:r w:rsidRPr="00354E9C">
        <w:rPr>
          <w:rFonts w:ascii="Palatino Linotype" w:eastAsia="Palatino Linotype" w:hAnsi="Palatino Linotype" w:cs="Palatino Linotype"/>
        </w:rPr>
        <w:t xml:space="preserve">, fue omiso en rendir su informe justificado. </w:t>
      </w:r>
    </w:p>
    <w:p w14:paraId="21F81A06" w14:textId="77777777" w:rsidR="0045345E" w:rsidRPr="00354E9C" w:rsidRDefault="00087E62">
      <w:pPr>
        <w:spacing w:before="240" w:after="240"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 xml:space="preserve">En virtud de lo anterior, se determina que la información emitida por el </w:t>
      </w:r>
      <w:r w:rsidRPr="00354E9C">
        <w:rPr>
          <w:rFonts w:ascii="Palatino Linotype" w:eastAsia="Palatino Linotype" w:hAnsi="Palatino Linotype" w:cs="Palatino Linotype"/>
          <w:b/>
        </w:rPr>
        <w:t>SUJETO OBLIGADO</w:t>
      </w:r>
      <w:r w:rsidRPr="00354E9C">
        <w:rPr>
          <w:rFonts w:ascii="Palatino Linotype" w:eastAsia="Palatino Linotype" w:hAnsi="Palatino Linotype" w:cs="Palatino Linotype"/>
        </w:rPr>
        <w:t xml:space="preserve"> en su respuesta como informe justificado, cumple parcialmente con lo establecido por los artículos 4, 12 y 24 último párrafo de la Ley de Transparencia y Acceso a la Información Pública del Estado de México y Municipios; de ahí que, los motivos de inconformidad acontecen fundados para modificar la respuesta del </w:t>
      </w:r>
      <w:r w:rsidRPr="00354E9C">
        <w:rPr>
          <w:rFonts w:ascii="Palatino Linotype" w:eastAsia="Palatino Linotype" w:hAnsi="Palatino Linotype" w:cs="Palatino Linotype"/>
          <w:b/>
        </w:rPr>
        <w:t>SUJETO OBLIGADO</w:t>
      </w:r>
      <w:r w:rsidRPr="00354E9C">
        <w:rPr>
          <w:rFonts w:ascii="Palatino Linotype" w:eastAsia="Palatino Linotype" w:hAnsi="Palatino Linotype" w:cs="Palatino Linotype"/>
        </w:rPr>
        <w:t>, en razón de las consideraciones de derecho que a continuación se exponen:</w:t>
      </w:r>
    </w:p>
    <w:p w14:paraId="460B1BEA" w14:textId="77777777" w:rsidR="0045345E" w:rsidRPr="00354E9C" w:rsidRDefault="00087E62">
      <w:pPr>
        <w:spacing w:before="240" w:after="240" w:line="360" w:lineRule="auto"/>
        <w:ind w:right="51"/>
        <w:jc w:val="both"/>
        <w:rPr>
          <w:rFonts w:ascii="Palatino Linotype" w:eastAsia="Palatino Linotype" w:hAnsi="Palatino Linotype" w:cs="Palatino Linotype"/>
        </w:rPr>
      </w:pPr>
      <w:r w:rsidRPr="00354E9C">
        <w:rPr>
          <w:rFonts w:ascii="Palatino Linotype" w:eastAsia="Palatino Linotype" w:hAnsi="Palatino Linotype" w:cs="Palatino Linotype"/>
        </w:rPr>
        <w:t xml:space="preserve">En primer lugar, si bien la respuesta fue proporcionada por la Directora de Administración, siendo el área competente para conocer de la información requerida por el </w:t>
      </w:r>
      <w:r w:rsidRPr="00354E9C">
        <w:rPr>
          <w:rFonts w:ascii="Palatino Linotype" w:eastAsia="Palatino Linotype" w:hAnsi="Palatino Linotype" w:cs="Palatino Linotype"/>
          <w:b/>
        </w:rPr>
        <w:t>RECURRENTE,</w:t>
      </w:r>
      <w:r w:rsidRPr="00354E9C">
        <w:rPr>
          <w:rFonts w:ascii="Palatino Linotype" w:eastAsia="Palatino Linotype" w:hAnsi="Palatino Linotype" w:cs="Palatino Linotype"/>
        </w:rPr>
        <w:t xml:space="preserve"> en términos de lo señalado por el artículo 53 del Reglamento Orgánico Municipal de Zinacantepec 2022-2024, que señala:</w:t>
      </w:r>
    </w:p>
    <w:p w14:paraId="333AC1A4" w14:textId="77777777" w:rsidR="0045345E" w:rsidRPr="00354E9C" w:rsidRDefault="0045345E">
      <w:pPr>
        <w:spacing w:line="360" w:lineRule="auto"/>
        <w:jc w:val="both"/>
        <w:rPr>
          <w:rFonts w:ascii="Palatino Linotype" w:eastAsia="Palatino Linotype" w:hAnsi="Palatino Linotype" w:cs="Palatino Linotype"/>
        </w:rPr>
      </w:pPr>
    </w:p>
    <w:p w14:paraId="70237E0D" w14:textId="77777777" w:rsidR="0045345E" w:rsidRPr="00354E9C" w:rsidRDefault="00087E62">
      <w:pPr>
        <w:widowControl w:val="0"/>
        <w:tabs>
          <w:tab w:val="left" w:pos="1276"/>
        </w:tabs>
        <w:ind w:left="851" w:right="902"/>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 xml:space="preserve">“Artículo 53. Además de las previstas en las disposiciones normativas y administrativas en la materia, la Dirección de Administración tiene las siguientes </w:t>
      </w:r>
      <w:r w:rsidRPr="00354E9C">
        <w:rPr>
          <w:rFonts w:ascii="Palatino Linotype" w:eastAsia="Palatino Linotype" w:hAnsi="Palatino Linotype" w:cs="Palatino Linotype"/>
          <w:i/>
          <w:sz w:val="22"/>
          <w:szCs w:val="22"/>
        </w:rPr>
        <w:lastRenderedPageBreak/>
        <w:t>funciones y atribuciones:</w:t>
      </w:r>
      <w:r w:rsidRPr="00354E9C">
        <w:rPr>
          <w:rFonts w:ascii="Palatino Linotype" w:eastAsia="Palatino Linotype" w:hAnsi="Palatino Linotype" w:cs="Palatino Linotype"/>
          <w:i/>
          <w:sz w:val="22"/>
          <w:szCs w:val="22"/>
        </w:rPr>
        <w:br/>
        <w:t>I. Vigilar el cumplimiento de los lineamientos sobre los procesos de selección, adquisición y mantenimiento del mobiliario y recursos materiales, así como en el reclutamiento y selección de personal;</w:t>
      </w:r>
      <w:r w:rsidRPr="00354E9C">
        <w:rPr>
          <w:rFonts w:ascii="Palatino Linotype" w:eastAsia="Palatino Linotype" w:hAnsi="Palatino Linotype" w:cs="Palatino Linotype"/>
          <w:i/>
          <w:sz w:val="22"/>
          <w:szCs w:val="22"/>
        </w:rPr>
        <w:br/>
        <w:t>II. Mantener el resguardo y actualización del Archivo de personal del Ayuntamiento;</w:t>
      </w:r>
      <w:r w:rsidRPr="00354E9C">
        <w:rPr>
          <w:rFonts w:ascii="Palatino Linotype" w:eastAsia="Palatino Linotype" w:hAnsi="Palatino Linotype" w:cs="Palatino Linotype"/>
          <w:i/>
          <w:sz w:val="22"/>
          <w:szCs w:val="22"/>
        </w:rPr>
        <w:br/>
        <w:t>III. Promover la implantación de sistemas y procedimientos administrativos en la Dirección de Administración;</w:t>
      </w:r>
      <w:r w:rsidRPr="00354E9C">
        <w:rPr>
          <w:rFonts w:ascii="Palatino Linotype" w:eastAsia="Palatino Linotype" w:hAnsi="Palatino Linotype" w:cs="Palatino Linotype"/>
          <w:i/>
          <w:sz w:val="22"/>
          <w:szCs w:val="22"/>
        </w:rPr>
        <w:br/>
        <w:t>IV. Fijar políticas y estrategias para contribuir a conservar y mejorar el ambiente laboral;</w:t>
      </w:r>
      <w:r w:rsidRPr="00354E9C">
        <w:rPr>
          <w:rFonts w:ascii="Palatino Linotype" w:eastAsia="Palatino Linotype" w:hAnsi="Palatino Linotype" w:cs="Palatino Linotype"/>
          <w:i/>
          <w:sz w:val="22"/>
          <w:szCs w:val="22"/>
        </w:rPr>
        <w:br/>
        <w:t>V. Reclutar y asignar a las diversas áreas de la Administración Pública Municipal, el personal que se requiera para llevar a cabo sus objetivos;</w:t>
      </w:r>
      <w:r w:rsidRPr="00354E9C">
        <w:rPr>
          <w:rFonts w:ascii="Palatino Linotype" w:eastAsia="Palatino Linotype" w:hAnsi="Palatino Linotype" w:cs="Palatino Linotype"/>
          <w:i/>
          <w:sz w:val="22"/>
          <w:szCs w:val="22"/>
        </w:rPr>
        <w:br/>
      </w:r>
      <w:r w:rsidRPr="00354E9C">
        <w:rPr>
          <w:rFonts w:ascii="Palatino Linotype" w:eastAsia="Palatino Linotype" w:hAnsi="Palatino Linotype" w:cs="Palatino Linotype"/>
          <w:b/>
          <w:i/>
          <w:sz w:val="22"/>
          <w:szCs w:val="22"/>
        </w:rPr>
        <w:t>VI. Desarrollar un registro para el control de</w:t>
      </w:r>
      <w:r w:rsidRPr="00354E9C">
        <w:rPr>
          <w:rFonts w:ascii="Palatino Linotype" w:eastAsia="Palatino Linotype" w:hAnsi="Palatino Linotype" w:cs="Palatino Linotype"/>
          <w:i/>
          <w:sz w:val="22"/>
          <w:szCs w:val="22"/>
        </w:rPr>
        <w:t xml:space="preserve"> asistencias, nombramientos, remociones, </w:t>
      </w:r>
      <w:r w:rsidRPr="00354E9C">
        <w:rPr>
          <w:rFonts w:ascii="Palatino Linotype" w:eastAsia="Palatino Linotype" w:hAnsi="Palatino Linotype" w:cs="Palatino Linotype"/>
          <w:b/>
          <w:i/>
          <w:sz w:val="22"/>
          <w:szCs w:val="22"/>
        </w:rPr>
        <w:t>renuncias</w:t>
      </w:r>
      <w:r w:rsidRPr="00354E9C">
        <w:rPr>
          <w:rFonts w:ascii="Palatino Linotype" w:eastAsia="Palatino Linotype" w:hAnsi="Palatino Linotype" w:cs="Palatino Linotype"/>
          <w:i/>
          <w:sz w:val="22"/>
          <w:szCs w:val="22"/>
        </w:rPr>
        <w:t xml:space="preserve">, licencias, cambios de adscripción, promociones, incapacidades, vacaciones, días no laborables, y demás días de inconsistencia en </w:t>
      </w:r>
      <w:r w:rsidRPr="00354E9C">
        <w:rPr>
          <w:rFonts w:ascii="Palatino Linotype" w:eastAsia="Palatino Linotype" w:hAnsi="Palatino Linotype" w:cs="Palatino Linotype"/>
          <w:b/>
          <w:i/>
          <w:sz w:val="22"/>
          <w:szCs w:val="22"/>
        </w:rPr>
        <w:t>los Servidores Públicos Municipales</w:t>
      </w:r>
      <w:r w:rsidRPr="00354E9C">
        <w:rPr>
          <w:rFonts w:ascii="Palatino Linotype" w:eastAsia="Palatino Linotype" w:hAnsi="Palatino Linotype" w:cs="Palatino Linotype"/>
          <w:i/>
          <w:sz w:val="22"/>
          <w:szCs w:val="22"/>
        </w:rPr>
        <w:t>;</w:t>
      </w:r>
      <w:r w:rsidRPr="00354E9C">
        <w:rPr>
          <w:rFonts w:ascii="Palatino Linotype" w:eastAsia="Palatino Linotype" w:hAnsi="Palatino Linotype" w:cs="Palatino Linotype"/>
          <w:i/>
          <w:sz w:val="22"/>
          <w:szCs w:val="22"/>
        </w:rPr>
        <w:br/>
        <w:t>VII. Proveer de insumos, bienes y servicios generales que requieran las distintas áreas que conforman la Administración Pública Municipal, para su buen funcionamiento;</w:t>
      </w:r>
      <w:r w:rsidRPr="00354E9C">
        <w:rPr>
          <w:rFonts w:ascii="Palatino Linotype" w:eastAsia="Palatino Linotype" w:hAnsi="Palatino Linotype" w:cs="Palatino Linotype"/>
          <w:i/>
          <w:sz w:val="22"/>
          <w:szCs w:val="22"/>
        </w:rPr>
        <w:br/>
        <w:t>VIII. Diseñar políticas para el mantenimiento de los bienes muebles e inmuebles de las diferentes áreas de la Administración Pública Municipal;</w:t>
      </w:r>
      <w:r w:rsidRPr="00354E9C">
        <w:rPr>
          <w:rFonts w:ascii="Palatino Linotype" w:eastAsia="Palatino Linotype" w:hAnsi="Palatino Linotype" w:cs="Palatino Linotype"/>
          <w:i/>
          <w:sz w:val="22"/>
          <w:szCs w:val="22"/>
        </w:rPr>
        <w:br/>
        <w:t>IX. Evaluar programas, procesos y procedimientos para la elaboración y pago de nómina;</w:t>
      </w:r>
      <w:r w:rsidRPr="00354E9C">
        <w:rPr>
          <w:rFonts w:ascii="Palatino Linotype" w:eastAsia="Palatino Linotype" w:hAnsi="Palatino Linotype" w:cs="Palatino Linotype"/>
          <w:i/>
          <w:sz w:val="22"/>
          <w:szCs w:val="22"/>
        </w:rPr>
        <w:br/>
        <w:t>X. Implementar estrategias y políticas en los programas de profesionalización de los Servidores Públicos Municipales;</w:t>
      </w:r>
      <w:r w:rsidRPr="00354E9C">
        <w:rPr>
          <w:rFonts w:ascii="Palatino Linotype" w:eastAsia="Palatino Linotype" w:hAnsi="Palatino Linotype" w:cs="Palatino Linotype"/>
          <w:i/>
          <w:sz w:val="22"/>
          <w:szCs w:val="22"/>
        </w:rPr>
        <w:br/>
        <w:t>XI. Hacer más eficientes los recursos materiales del Municipio;</w:t>
      </w:r>
      <w:r w:rsidRPr="00354E9C">
        <w:rPr>
          <w:rFonts w:ascii="Palatino Linotype" w:eastAsia="Palatino Linotype" w:hAnsi="Palatino Linotype" w:cs="Palatino Linotype"/>
          <w:i/>
          <w:sz w:val="22"/>
          <w:szCs w:val="22"/>
        </w:rPr>
        <w:br/>
        <w:t>XII. Llevar a cabo las adquisiciones de bienes, arrendamiento de bienes muebles y la contratación de servicios que requieran las distintas áreas, ajustándose en su caso las disposiciones legales de la materia;</w:t>
      </w:r>
      <w:r w:rsidRPr="00354E9C">
        <w:rPr>
          <w:rFonts w:ascii="Palatino Linotype" w:eastAsia="Palatino Linotype" w:hAnsi="Palatino Linotype" w:cs="Palatino Linotype"/>
          <w:i/>
          <w:sz w:val="22"/>
          <w:szCs w:val="22"/>
        </w:rPr>
        <w:br/>
        <w:t>XIII. Programar, organizar, integrar, dirigir, controlar y ejecutar las licitaciones públicas, invitaciones restringidas y las adjudicaciones directas que se requieren para la adquisición y arrendamiento de bienes muebles y la prestación de servicios que requieran las áreas que integran de acuerdo a los requisitos establecidos en las diversas disposiciones legales aplicables;</w:t>
      </w:r>
      <w:r w:rsidRPr="00354E9C">
        <w:rPr>
          <w:rFonts w:ascii="Palatino Linotype" w:eastAsia="Palatino Linotype" w:hAnsi="Palatino Linotype" w:cs="Palatino Linotype"/>
          <w:i/>
          <w:sz w:val="22"/>
          <w:szCs w:val="22"/>
        </w:rPr>
        <w:br/>
        <w:t>XIV. Integrar el programa anual de adquisiciones en coordinación con las dependencias de la Administración Pública Municipal;</w:t>
      </w:r>
      <w:r w:rsidRPr="00354E9C">
        <w:rPr>
          <w:rFonts w:ascii="Palatino Linotype" w:eastAsia="Palatino Linotype" w:hAnsi="Palatino Linotype" w:cs="Palatino Linotype"/>
          <w:i/>
          <w:sz w:val="22"/>
          <w:szCs w:val="22"/>
        </w:rPr>
        <w:br/>
        <w:t>XV. Emitir los gafetes que acrediten a los servidores públicos de la Administración Municipal;</w:t>
      </w:r>
      <w:r w:rsidRPr="00354E9C">
        <w:rPr>
          <w:rFonts w:ascii="Palatino Linotype" w:eastAsia="Palatino Linotype" w:hAnsi="Palatino Linotype" w:cs="Palatino Linotype"/>
          <w:i/>
          <w:sz w:val="22"/>
          <w:szCs w:val="22"/>
        </w:rPr>
        <w:br/>
        <w:t xml:space="preserve">XVI. Establecer controles del estado físico y mantenimiento del parque vehicular </w:t>
      </w:r>
      <w:r w:rsidRPr="00354E9C">
        <w:rPr>
          <w:rFonts w:ascii="Palatino Linotype" w:eastAsia="Palatino Linotype" w:hAnsi="Palatino Linotype" w:cs="Palatino Linotype"/>
          <w:i/>
          <w:sz w:val="22"/>
          <w:szCs w:val="22"/>
        </w:rPr>
        <w:lastRenderedPageBreak/>
        <w:t>oficial, así como del pago de sus obligaciones fiscales y administrativas;</w:t>
      </w:r>
      <w:r w:rsidRPr="00354E9C">
        <w:rPr>
          <w:rFonts w:ascii="Palatino Linotype" w:eastAsia="Palatino Linotype" w:hAnsi="Palatino Linotype" w:cs="Palatino Linotype"/>
          <w:i/>
          <w:sz w:val="22"/>
          <w:szCs w:val="22"/>
        </w:rPr>
        <w:br/>
        <w:t>XVII. Participar en las negociaciones socio- económicas con el Sindicato Único de los Trabajadores de los Poderes, Municipios e Instituciones Descentralizadas del Estado de México (S.U.T.E.Y.M.) y;</w:t>
      </w:r>
      <w:r w:rsidRPr="00354E9C">
        <w:rPr>
          <w:rFonts w:ascii="Palatino Linotype" w:eastAsia="Palatino Linotype" w:hAnsi="Palatino Linotype" w:cs="Palatino Linotype"/>
          <w:i/>
          <w:sz w:val="22"/>
          <w:szCs w:val="22"/>
        </w:rPr>
        <w:br/>
        <w:t>XVIII. Las demás que señalan las leyes, reglamentos y disposiciones jurídicas aplicables, o las que señale el Presidente Municipal.”</w:t>
      </w:r>
    </w:p>
    <w:p w14:paraId="1CA7B1E2" w14:textId="77777777" w:rsidR="0045345E" w:rsidRPr="00354E9C" w:rsidRDefault="0045345E">
      <w:pPr>
        <w:spacing w:line="360" w:lineRule="auto"/>
        <w:jc w:val="both"/>
        <w:rPr>
          <w:rFonts w:ascii="Palatino Linotype" w:eastAsia="Palatino Linotype" w:hAnsi="Palatino Linotype" w:cs="Palatino Linotype"/>
        </w:rPr>
      </w:pPr>
    </w:p>
    <w:p w14:paraId="685FFA00" w14:textId="77777777" w:rsidR="0045345E" w:rsidRPr="00354E9C" w:rsidRDefault="00087E62">
      <w:pPr>
        <w:spacing w:before="240" w:after="240" w:line="360" w:lineRule="auto"/>
        <w:ind w:right="51"/>
        <w:jc w:val="both"/>
        <w:rPr>
          <w:rFonts w:ascii="Palatino Linotype" w:eastAsia="Palatino Linotype" w:hAnsi="Palatino Linotype" w:cs="Palatino Linotype"/>
        </w:rPr>
      </w:pPr>
      <w:r w:rsidRPr="00354E9C">
        <w:rPr>
          <w:rFonts w:ascii="Palatino Linotype" w:eastAsia="Palatino Linotype" w:hAnsi="Palatino Linotype" w:cs="Palatino Linotype"/>
        </w:rPr>
        <w:t>Lo que daría por colmando con ello el derecho de acceso a la información del particular; sin embargo, de una revisión a la renuncia que remitió en respuesta esta no cúmpleme las formalidades señaladas por la Ley de Transparencia y Acceso a la Información Pública del Estado de México y Municipios, para la clasificación de la información como confidencial.</w:t>
      </w:r>
    </w:p>
    <w:p w14:paraId="4506B61B" w14:textId="77777777" w:rsidR="0045345E" w:rsidRPr="00354E9C" w:rsidRDefault="00087E62">
      <w:pPr>
        <w:spacing w:before="240" w:after="240" w:line="360" w:lineRule="auto"/>
        <w:ind w:right="51"/>
        <w:jc w:val="both"/>
        <w:rPr>
          <w:rFonts w:ascii="Palatino Linotype" w:eastAsia="Palatino Linotype" w:hAnsi="Palatino Linotype" w:cs="Palatino Linotype"/>
        </w:rPr>
      </w:pPr>
      <w:r w:rsidRPr="00354E9C">
        <w:rPr>
          <w:rFonts w:ascii="Palatino Linotype" w:eastAsia="Palatino Linotype" w:hAnsi="Palatino Linotype" w:cs="Palatino Linotype"/>
        </w:rPr>
        <w:t xml:space="preserve">En segundo lugar, de la </w:t>
      </w:r>
      <w:proofErr w:type="spellStart"/>
      <w:r w:rsidRPr="00354E9C">
        <w:rPr>
          <w:rFonts w:ascii="Palatino Linotype" w:eastAsia="Palatino Linotype" w:hAnsi="Palatino Linotype" w:cs="Palatino Linotype"/>
        </w:rPr>
        <w:t>multireferida</w:t>
      </w:r>
      <w:proofErr w:type="spellEnd"/>
      <w:r w:rsidRPr="00354E9C">
        <w:rPr>
          <w:rFonts w:ascii="Palatino Linotype" w:eastAsia="Palatino Linotype" w:hAnsi="Palatino Linotype" w:cs="Palatino Linotype"/>
        </w:rPr>
        <w:t xml:space="preserve"> renuncia se aprecia que se testó información relacionada con la huella dactilar y/o número de empleado, por actualizar la fracción I del artículo 143 de la Ley de Transparencia y Acceso a la Información Pública del Estado de México y Municipios, que señala:</w:t>
      </w:r>
    </w:p>
    <w:p w14:paraId="2D84F710" w14:textId="77777777" w:rsidR="0045345E" w:rsidRPr="00354E9C" w:rsidRDefault="0045345E">
      <w:pPr>
        <w:spacing w:line="360" w:lineRule="auto"/>
        <w:jc w:val="both"/>
        <w:rPr>
          <w:rFonts w:ascii="Palatino Linotype" w:eastAsia="Palatino Linotype" w:hAnsi="Palatino Linotype" w:cs="Palatino Linotype"/>
        </w:rPr>
      </w:pPr>
    </w:p>
    <w:p w14:paraId="6106DEB4" w14:textId="77777777" w:rsidR="0045345E" w:rsidRPr="00354E9C" w:rsidRDefault="00087E62">
      <w:pPr>
        <w:tabs>
          <w:tab w:val="left" w:pos="709"/>
        </w:tabs>
        <w:ind w:left="567" w:right="567"/>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 xml:space="preserve">“Artículo 143. Para los efectos de esta Ley se considera información confidencial, la clasificada como tal, de manera permanente, por su naturaleza, cuando:  </w:t>
      </w:r>
    </w:p>
    <w:p w14:paraId="5F9A7A94" w14:textId="77777777" w:rsidR="0045345E" w:rsidRPr="00354E9C" w:rsidRDefault="00087E62">
      <w:pPr>
        <w:tabs>
          <w:tab w:val="left" w:pos="709"/>
        </w:tabs>
        <w:ind w:left="567" w:right="567"/>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 (Sic)</w:t>
      </w:r>
    </w:p>
    <w:p w14:paraId="445D5BC7" w14:textId="77777777" w:rsidR="0045345E" w:rsidRPr="00354E9C" w:rsidRDefault="0045345E">
      <w:pPr>
        <w:spacing w:line="360" w:lineRule="auto"/>
        <w:jc w:val="both"/>
        <w:rPr>
          <w:rFonts w:ascii="Palatino Linotype" w:eastAsia="Palatino Linotype" w:hAnsi="Palatino Linotype" w:cs="Palatino Linotype"/>
        </w:rPr>
      </w:pPr>
    </w:p>
    <w:p w14:paraId="4C96BD3B"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 xml:space="preserve">Así como, los artículos 1 y 4 fracción XI de la </w:t>
      </w:r>
    </w:p>
    <w:p w14:paraId="4DE65567" w14:textId="77777777" w:rsidR="0045345E" w:rsidRPr="00354E9C" w:rsidRDefault="0045345E">
      <w:pPr>
        <w:spacing w:line="360" w:lineRule="auto"/>
        <w:jc w:val="both"/>
        <w:rPr>
          <w:rFonts w:ascii="Palatino Linotype" w:eastAsia="Palatino Linotype" w:hAnsi="Palatino Linotype" w:cs="Palatino Linotype"/>
        </w:rPr>
      </w:pPr>
    </w:p>
    <w:p w14:paraId="18672983" w14:textId="77777777" w:rsidR="0045345E" w:rsidRPr="00354E9C" w:rsidRDefault="00087E62">
      <w:pPr>
        <w:tabs>
          <w:tab w:val="left" w:pos="709"/>
        </w:tabs>
        <w:ind w:left="567" w:right="567"/>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 xml:space="preserve">“Artículo 1. La presente Ley es de orden público, interés social y observancia obligatoria en el Estado de México y sus Municipios. Es reglamentaria de las disposiciones en materia de protección de datos personales </w:t>
      </w:r>
      <w:proofErr w:type="gramStart"/>
      <w:r w:rsidRPr="00354E9C">
        <w:rPr>
          <w:rFonts w:ascii="Palatino Linotype" w:eastAsia="Palatino Linotype" w:hAnsi="Palatino Linotype" w:cs="Palatino Linotype"/>
          <w:i/>
          <w:sz w:val="22"/>
          <w:szCs w:val="22"/>
        </w:rPr>
        <w:t>previstas</w:t>
      </w:r>
      <w:proofErr w:type="gramEnd"/>
      <w:r w:rsidRPr="00354E9C">
        <w:rPr>
          <w:rFonts w:ascii="Palatino Linotype" w:eastAsia="Palatino Linotype" w:hAnsi="Palatino Linotype" w:cs="Palatino Linotype"/>
          <w:i/>
          <w:sz w:val="22"/>
          <w:szCs w:val="22"/>
        </w:rPr>
        <w:t xml:space="preserve"> en la Constitución Política del Estado Libre y Soberano de México. Tiene por objeto establecer las bases, principios y </w:t>
      </w:r>
      <w:r w:rsidRPr="00354E9C">
        <w:rPr>
          <w:rFonts w:ascii="Palatino Linotype" w:eastAsia="Palatino Linotype" w:hAnsi="Palatino Linotype" w:cs="Palatino Linotype"/>
          <w:i/>
          <w:sz w:val="22"/>
          <w:szCs w:val="22"/>
        </w:rPr>
        <w:lastRenderedPageBreak/>
        <w:t>procedimientos para tutelar y garantizar el derecho que tiene toda persona a la protección de sus datos personales, en posesión de los sujetos obligados.</w:t>
      </w:r>
    </w:p>
    <w:p w14:paraId="48B038F1" w14:textId="77777777" w:rsidR="0045345E" w:rsidRPr="00354E9C" w:rsidRDefault="00087E62">
      <w:pPr>
        <w:tabs>
          <w:tab w:val="left" w:pos="709"/>
        </w:tabs>
        <w:ind w:left="567" w:right="567"/>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w:t>
      </w:r>
    </w:p>
    <w:p w14:paraId="2B8551CA" w14:textId="77777777" w:rsidR="0045345E" w:rsidRPr="00354E9C" w:rsidRDefault="00087E62">
      <w:pPr>
        <w:tabs>
          <w:tab w:val="left" w:pos="709"/>
        </w:tabs>
        <w:ind w:left="567" w:right="567"/>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Artículo 4. Para los efectos de esta Ley se entenderá por:</w:t>
      </w:r>
    </w:p>
    <w:p w14:paraId="349F7CDD" w14:textId="77777777" w:rsidR="0045345E" w:rsidRPr="00354E9C" w:rsidRDefault="00087E62">
      <w:pPr>
        <w:tabs>
          <w:tab w:val="left" w:pos="709"/>
        </w:tabs>
        <w:ind w:left="567" w:right="567"/>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w:t>
      </w:r>
    </w:p>
    <w:p w14:paraId="6585F2E4" w14:textId="77777777" w:rsidR="0045345E" w:rsidRPr="00354E9C" w:rsidRDefault="00087E62">
      <w:pPr>
        <w:tabs>
          <w:tab w:val="left" w:pos="709"/>
        </w:tabs>
        <w:ind w:left="567" w:right="567"/>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(Sic)</w:t>
      </w:r>
    </w:p>
    <w:p w14:paraId="5EC3EF0A" w14:textId="77777777" w:rsidR="0045345E" w:rsidRPr="00354E9C" w:rsidRDefault="0045345E">
      <w:pPr>
        <w:spacing w:line="360" w:lineRule="auto"/>
        <w:jc w:val="both"/>
        <w:rPr>
          <w:rFonts w:ascii="Palatino Linotype" w:eastAsia="Palatino Linotype" w:hAnsi="Palatino Linotype" w:cs="Palatino Linotype"/>
        </w:rPr>
      </w:pPr>
    </w:p>
    <w:p w14:paraId="1DB64726"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Sin que el Ayuntamiento de Zinacantepec adjuntará el acuerdo de su Comité de Transparencia por medio del cual se expongan los motivos y razones por las cuales se testaron diversos apartados en dicha documentación, de ahí que, la información remitida en el apartado de manifestaciones es considera por este Organismo Garante como un documento tachado, ilegible e ilegal, por lo que es necesario que se acompañe el acuerdo del Comité de Transparencia en donde se apruebe la versión pública para proteger los datos personales que obren en su poder, lo anterior en términos de lo señalado por los artículos 3, fracciones XX, XXI y XLV, 91, 122, 135, 143 fracción I, 147 y 149 de la repetitiva Ley de Transparencia, los cuales establecen lo siguiente:</w:t>
      </w:r>
    </w:p>
    <w:p w14:paraId="74D44196" w14:textId="77777777" w:rsidR="0045345E" w:rsidRPr="00354E9C" w:rsidRDefault="0045345E">
      <w:pPr>
        <w:tabs>
          <w:tab w:val="left" w:pos="709"/>
        </w:tabs>
        <w:ind w:left="567" w:right="567"/>
        <w:jc w:val="both"/>
        <w:rPr>
          <w:rFonts w:ascii="Palatino Linotype" w:eastAsia="Palatino Linotype" w:hAnsi="Palatino Linotype" w:cs="Palatino Linotype"/>
          <w:i/>
          <w:sz w:val="22"/>
          <w:szCs w:val="22"/>
        </w:rPr>
      </w:pPr>
    </w:p>
    <w:p w14:paraId="0DE50DF5" w14:textId="77777777" w:rsidR="0045345E" w:rsidRPr="00354E9C" w:rsidRDefault="00087E62">
      <w:pPr>
        <w:tabs>
          <w:tab w:val="left" w:pos="709"/>
        </w:tabs>
        <w:ind w:left="567" w:right="567"/>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w:t>
      </w:r>
      <w:r w:rsidRPr="00354E9C">
        <w:rPr>
          <w:rFonts w:ascii="Palatino Linotype" w:eastAsia="Palatino Linotype" w:hAnsi="Palatino Linotype" w:cs="Palatino Linotype"/>
          <w:b/>
          <w:i/>
          <w:sz w:val="22"/>
          <w:szCs w:val="22"/>
        </w:rPr>
        <w:t>Artículo 3.</w:t>
      </w:r>
      <w:r w:rsidRPr="00354E9C">
        <w:rPr>
          <w:rFonts w:ascii="Palatino Linotype" w:eastAsia="Palatino Linotype" w:hAnsi="Palatino Linotype" w:cs="Palatino Linotype"/>
          <w:i/>
          <w:sz w:val="22"/>
          <w:szCs w:val="22"/>
        </w:rPr>
        <w:t xml:space="preserve"> Para los efectos de la presente Ley se entenderá por:…</w:t>
      </w:r>
    </w:p>
    <w:p w14:paraId="27552A3A" w14:textId="77777777" w:rsidR="0045345E" w:rsidRPr="00354E9C" w:rsidRDefault="00087E62">
      <w:pPr>
        <w:tabs>
          <w:tab w:val="left" w:pos="709"/>
        </w:tabs>
        <w:ind w:left="567" w:right="567"/>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b/>
          <w:i/>
          <w:sz w:val="22"/>
          <w:szCs w:val="22"/>
        </w:rPr>
        <w:t>XX.</w:t>
      </w:r>
      <w:r w:rsidRPr="00354E9C">
        <w:rPr>
          <w:rFonts w:ascii="Palatino Linotype" w:eastAsia="Palatino Linotype" w:hAnsi="Palatino Linotype" w:cs="Palatino Linotype"/>
          <w:i/>
          <w:sz w:val="22"/>
          <w:szCs w:val="22"/>
        </w:rPr>
        <w:t xml:space="preserve"> Información clasificada: Aquella considerada por la presente Ley como reservada o confidencial; </w:t>
      </w:r>
    </w:p>
    <w:p w14:paraId="0941ABB8" w14:textId="77777777" w:rsidR="0045345E" w:rsidRPr="00354E9C" w:rsidRDefault="00087E62">
      <w:pPr>
        <w:tabs>
          <w:tab w:val="left" w:pos="709"/>
        </w:tabs>
        <w:ind w:left="567" w:right="567"/>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b/>
          <w:i/>
          <w:sz w:val="22"/>
          <w:szCs w:val="22"/>
        </w:rPr>
        <w:t>XXI.</w:t>
      </w:r>
      <w:r w:rsidRPr="00354E9C">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765719C" w14:textId="77777777" w:rsidR="0045345E" w:rsidRPr="00354E9C" w:rsidRDefault="00087E62">
      <w:pPr>
        <w:tabs>
          <w:tab w:val="left" w:pos="709"/>
        </w:tabs>
        <w:ind w:left="567" w:right="567"/>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w:t>
      </w:r>
    </w:p>
    <w:p w14:paraId="49C43740" w14:textId="77777777" w:rsidR="0045345E" w:rsidRPr="00354E9C" w:rsidRDefault="00087E62">
      <w:pPr>
        <w:tabs>
          <w:tab w:val="left" w:pos="709"/>
        </w:tabs>
        <w:ind w:left="567" w:right="567"/>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b/>
          <w:i/>
          <w:sz w:val="22"/>
          <w:szCs w:val="22"/>
        </w:rPr>
        <w:t>XLV.</w:t>
      </w:r>
      <w:r w:rsidRPr="00354E9C">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14:paraId="07887A54" w14:textId="77777777" w:rsidR="0045345E" w:rsidRPr="00354E9C" w:rsidRDefault="00087E62">
      <w:pPr>
        <w:tabs>
          <w:tab w:val="left" w:pos="709"/>
        </w:tabs>
        <w:ind w:left="567" w:right="567"/>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b/>
          <w:i/>
          <w:sz w:val="22"/>
          <w:szCs w:val="22"/>
        </w:rPr>
        <w:lastRenderedPageBreak/>
        <w:t>Artículo 91.</w:t>
      </w:r>
      <w:r w:rsidRPr="00354E9C">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19C9A775" w14:textId="77777777" w:rsidR="0045345E" w:rsidRPr="00354E9C" w:rsidRDefault="00087E62">
      <w:pPr>
        <w:tabs>
          <w:tab w:val="left" w:pos="709"/>
        </w:tabs>
        <w:ind w:left="567" w:right="567"/>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b/>
          <w:i/>
          <w:sz w:val="22"/>
          <w:szCs w:val="22"/>
        </w:rPr>
        <w:t>Artículo 122.</w:t>
      </w:r>
      <w:r w:rsidRPr="00354E9C">
        <w:rPr>
          <w:rFonts w:ascii="Palatino Linotype" w:eastAsia="Palatino Linotype" w:hAnsi="Palatino Linotype" w:cs="Palatino Linotype"/>
          <w:i/>
          <w:sz w:val="22"/>
          <w:szCs w:val="22"/>
        </w:rPr>
        <w:t xml:space="preserve"> La clasificación es el proceso mediante el cual el sujeto obligado determina que la información en su poder </w:t>
      </w:r>
      <w:proofErr w:type="spellStart"/>
      <w:r w:rsidRPr="00354E9C">
        <w:rPr>
          <w:rFonts w:ascii="Palatino Linotype" w:eastAsia="Palatino Linotype" w:hAnsi="Palatino Linotype" w:cs="Palatino Linotype"/>
          <w:i/>
          <w:sz w:val="22"/>
          <w:szCs w:val="22"/>
        </w:rPr>
        <w:t>actualiza</w:t>
      </w:r>
      <w:proofErr w:type="spellEnd"/>
      <w:r w:rsidRPr="00354E9C">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14:paraId="6829FD28" w14:textId="77777777" w:rsidR="0045345E" w:rsidRPr="00354E9C" w:rsidRDefault="00087E62">
      <w:pPr>
        <w:tabs>
          <w:tab w:val="left" w:pos="709"/>
        </w:tabs>
        <w:ind w:left="567" w:right="567"/>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14:paraId="2DE1D694" w14:textId="77777777" w:rsidR="0045345E" w:rsidRPr="00354E9C" w:rsidRDefault="00087E62">
      <w:pPr>
        <w:tabs>
          <w:tab w:val="left" w:pos="709"/>
        </w:tabs>
        <w:ind w:left="567" w:right="567"/>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14:paraId="4BF1A695" w14:textId="77777777" w:rsidR="0045345E" w:rsidRPr="00354E9C" w:rsidRDefault="00087E62">
      <w:pPr>
        <w:tabs>
          <w:tab w:val="left" w:pos="709"/>
        </w:tabs>
        <w:ind w:left="567" w:right="567"/>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b/>
          <w:i/>
          <w:sz w:val="22"/>
          <w:szCs w:val="22"/>
        </w:rPr>
        <w:t>Artículo 135.</w:t>
      </w:r>
      <w:r w:rsidRPr="00354E9C">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10909286" w14:textId="77777777" w:rsidR="0045345E" w:rsidRPr="00354E9C" w:rsidRDefault="00087E62">
      <w:pPr>
        <w:tabs>
          <w:tab w:val="left" w:pos="709"/>
        </w:tabs>
        <w:ind w:left="567" w:right="567"/>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b/>
          <w:i/>
          <w:sz w:val="22"/>
          <w:szCs w:val="22"/>
        </w:rPr>
        <w:t>Artículo 143</w:t>
      </w:r>
      <w:r w:rsidRPr="00354E9C">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551E3D7" w14:textId="77777777" w:rsidR="0045345E" w:rsidRPr="00354E9C" w:rsidRDefault="00087E62">
      <w:pPr>
        <w:tabs>
          <w:tab w:val="left" w:pos="709"/>
        </w:tabs>
        <w:ind w:left="567" w:right="567"/>
        <w:jc w:val="both"/>
        <w:rPr>
          <w:rFonts w:ascii="Palatino Linotype" w:eastAsia="Palatino Linotype" w:hAnsi="Palatino Linotype" w:cs="Palatino Linotype"/>
          <w:b/>
          <w:i/>
          <w:sz w:val="22"/>
          <w:szCs w:val="22"/>
        </w:rPr>
      </w:pPr>
      <w:r w:rsidRPr="00354E9C">
        <w:rPr>
          <w:rFonts w:ascii="Palatino Linotype" w:eastAsia="Palatino Linotype" w:hAnsi="Palatino Linotype" w:cs="Palatino Linotype"/>
          <w:b/>
          <w:i/>
          <w:sz w:val="22"/>
          <w:szCs w:val="22"/>
        </w:rPr>
        <w:t xml:space="preserve">I. Se refiera a la información privada y los datos personales concernientes a una persona física o jurídica colectiva identificada o identificable; </w:t>
      </w:r>
    </w:p>
    <w:p w14:paraId="019E7BB0" w14:textId="77777777" w:rsidR="0045345E" w:rsidRPr="00354E9C" w:rsidRDefault="00087E62">
      <w:pPr>
        <w:tabs>
          <w:tab w:val="left" w:pos="709"/>
        </w:tabs>
        <w:ind w:left="567" w:right="567"/>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b/>
          <w:i/>
          <w:sz w:val="22"/>
          <w:szCs w:val="22"/>
        </w:rPr>
        <w:t>II.</w:t>
      </w:r>
      <w:r w:rsidRPr="00354E9C">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37FBB47A" w14:textId="77777777" w:rsidR="0045345E" w:rsidRPr="00354E9C" w:rsidRDefault="00087E62">
      <w:pPr>
        <w:tabs>
          <w:tab w:val="left" w:pos="709"/>
        </w:tabs>
        <w:ind w:left="567" w:right="567"/>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b/>
          <w:i/>
          <w:sz w:val="22"/>
          <w:szCs w:val="22"/>
        </w:rPr>
        <w:t>III.</w:t>
      </w:r>
      <w:r w:rsidRPr="00354E9C">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4E47863C" w14:textId="77777777" w:rsidR="0045345E" w:rsidRPr="00354E9C" w:rsidRDefault="00087E62">
      <w:pPr>
        <w:tabs>
          <w:tab w:val="left" w:pos="709"/>
        </w:tabs>
        <w:ind w:left="567" w:right="567"/>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8F58FE7" w14:textId="77777777" w:rsidR="0045345E" w:rsidRPr="00354E9C" w:rsidRDefault="00087E62">
      <w:pPr>
        <w:tabs>
          <w:tab w:val="left" w:pos="709"/>
        </w:tabs>
        <w:ind w:left="567" w:right="567"/>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F9E5E2B" w14:textId="77777777" w:rsidR="0045345E" w:rsidRPr="00354E9C" w:rsidRDefault="00087E62">
      <w:pPr>
        <w:tabs>
          <w:tab w:val="left" w:pos="709"/>
        </w:tabs>
        <w:ind w:left="567" w:right="567"/>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Artículo 147. Para que los sujetos obligados puedan permitir el acceso a información confidencial requieren obtener el consentimiento de los particulares titulares de la información.</w:t>
      </w:r>
    </w:p>
    <w:p w14:paraId="298F7BE0" w14:textId="77777777" w:rsidR="0045345E" w:rsidRPr="00354E9C" w:rsidRDefault="00087E62">
      <w:pPr>
        <w:tabs>
          <w:tab w:val="left" w:pos="709"/>
        </w:tabs>
        <w:ind w:left="567" w:right="567"/>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b/>
          <w:i/>
          <w:sz w:val="22"/>
          <w:szCs w:val="22"/>
        </w:rPr>
        <w:t>Artículo 148.</w:t>
      </w:r>
      <w:r w:rsidRPr="00354E9C">
        <w:rPr>
          <w:rFonts w:ascii="Palatino Linotype" w:eastAsia="Palatino Linotype" w:hAnsi="Palatino Linotype" w:cs="Palatino Linotype"/>
          <w:i/>
          <w:sz w:val="22"/>
          <w:szCs w:val="22"/>
        </w:rPr>
        <w:t xml:space="preserve"> No se requerirá el consentimiento del titular de la información confidencial cuando:</w:t>
      </w:r>
    </w:p>
    <w:p w14:paraId="00901BB7" w14:textId="77777777" w:rsidR="0045345E" w:rsidRPr="00354E9C" w:rsidRDefault="00087E62">
      <w:pPr>
        <w:tabs>
          <w:tab w:val="left" w:pos="709"/>
        </w:tabs>
        <w:ind w:left="567" w:right="567"/>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b/>
          <w:i/>
          <w:sz w:val="22"/>
          <w:szCs w:val="22"/>
        </w:rPr>
        <w:t>I.</w:t>
      </w:r>
      <w:r w:rsidRPr="00354E9C">
        <w:rPr>
          <w:rFonts w:ascii="Palatino Linotype" w:eastAsia="Palatino Linotype" w:hAnsi="Palatino Linotype" w:cs="Palatino Linotype"/>
          <w:i/>
          <w:sz w:val="22"/>
          <w:szCs w:val="22"/>
        </w:rPr>
        <w:t xml:space="preserve"> La información se encuentre en registros públicos o fuentes de acceso público;</w:t>
      </w:r>
    </w:p>
    <w:p w14:paraId="3383FF11" w14:textId="77777777" w:rsidR="0045345E" w:rsidRPr="00354E9C" w:rsidRDefault="00087E62">
      <w:pPr>
        <w:tabs>
          <w:tab w:val="left" w:pos="709"/>
        </w:tabs>
        <w:ind w:left="567" w:right="567"/>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b/>
          <w:i/>
          <w:sz w:val="22"/>
          <w:szCs w:val="22"/>
        </w:rPr>
        <w:t>II.</w:t>
      </w:r>
      <w:r w:rsidRPr="00354E9C">
        <w:rPr>
          <w:rFonts w:ascii="Palatino Linotype" w:eastAsia="Palatino Linotype" w:hAnsi="Palatino Linotype" w:cs="Palatino Linotype"/>
          <w:i/>
          <w:sz w:val="22"/>
          <w:szCs w:val="22"/>
        </w:rPr>
        <w:t xml:space="preserve"> Por Ley tenga el carácter de pública;</w:t>
      </w:r>
    </w:p>
    <w:p w14:paraId="69DD02DF" w14:textId="77777777" w:rsidR="0045345E" w:rsidRPr="00354E9C" w:rsidRDefault="00087E62">
      <w:pPr>
        <w:tabs>
          <w:tab w:val="left" w:pos="709"/>
        </w:tabs>
        <w:ind w:left="567" w:right="567"/>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b/>
          <w:i/>
          <w:sz w:val="22"/>
          <w:szCs w:val="22"/>
        </w:rPr>
        <w:t>III</w:t>
      </w:r>
      <w:r w:rsidRPr="00354E9C">
        <w:rPr>
          <w:rFonts w:ascii="Palatino Linotype" w:eastAsia="Palatino Linotype" w:hAnsi="Palatino Linotype" w:cs="Palatino Linotype"/>
          <w:i/>
          <w:sz w:val="22"/>
          <w:szCs w:val="22"/>
        </w:rPr>
        <w:t>. Exista una orden judicial;</w:t>
      </w:r>
    </w:p>
    <w:p w14:paraId="5EC4063B" w14:textId="77777777" w:rsidR="0045345E" w:rsidRPr="00354E9C" w:rsidRDefault="00087E62">
      <w:pPr>
        <w:tabs>
          <w:tab w:val="left" w:pos="709"/>
        </w:tabs>
        <w:ind w:left="567" w:right="567"/>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b/>
          <w:i/>
          <w:sz w:val="22"/>
          <w:szCs w:val="22"/>
        </w:rPr>
        <w:t>IV.</w:t>
      </w:r>
      <w:r w:rsidRPr="00354E9C">
        <w:rPr>
          <w:rFonts w:ascii="Palatino Linotype" w:eastAsia="Palatino Linotype" w:hAnsi="Palatino Linotype" w:cs="Palatino Linotype"/>
          <w:i/>
          <w:sz w:val="22"/>
          <w:szCs w:val="22"/>
        </w:rPr>
        <w:t xml:space="preserve"> Por razones de seguridad pública, o para proteger los derechos de terceros, se requiera su publicación; o</w:t>
      </w:r>
    </w:p>
    <w:p w14:paraId="212FE618" w14:textId="77777777" w:rsidR="0045345E" w:rsidRPr="00354E9C" w:rsidRDefault="00087E62">
      <w:pPr>
        <w:tabs>
          <w:tab w:val="left" w:pos="709"/>
        </w:tabs>
        <w:ind w:left="567" w:right="567"/>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b/>
          <w:i/>
          <w:sz w:val="22"/>
          <w:szCs w:val="22"/>
        </w:rPr>
        <w:lastRenderedPageBreak/>
        <w:t>V.</w:t>
      </w:r>
      <w:r w:rsidRPr="00354E9C">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459AE655" w14:textId="77777777" w:rsidR="0045345E" w:rsidRPr="00354E9C" w:rsidRDefault="00087E62">
      <w:pPr>
        <w:tabs>
          <w:tab w:val="left" w:pos="709"/>
        </w:tabs>
        <w:ind w:left="567" w:right="567"/>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62832CE2" w14:textId="77777777" w:rsidR="0045345E" w:rsidRPr="00354E9C" w:rsidRDefault="00087E62">
      <w:pPr>
        <w:tabs>
          <w:tab w:val="left" w:pos="709"/>
        </w:tabs>
        <w:ind w:left="567" w:right="567"/>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b/>
          <w:i/>
          <w:sz w:val="22"/>
          <w:szCs w:val="22"/>
        </w:rPr>
        <w:t>Artículo 149.</w:t>
      </w:r>
      <w:r w:rsidRPr="00354E9C">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 (Sic)</w:t>
      </w:r>
    </w:p>
    <w:p w14:paraId="5D5DCA6B" w14:textId="77777777" w:rsidR="0045345E" w:rsidRPr="00354E9C" w:rsidRDefault="0045345E">
      <w:pPr>
        <w:tabs>
          <w:tab w:val="left" w:pos="709"/>
        </w:tabs>
        <w:ind w:left="567" w:right="567"/>
        <w:jc w:val="both"/>
        <w:rPr>
          <w:rFonts w:ascii="Palatino Linotype" w:eastAsia="Palatino Linotype" w:hAnsi="Palatino Linotype" w:cs="Palatino Linotype"/>
          <w:i/>
          <w:sz w:val="22"/>
          <w:szCs w:val="22"/>
        </w:rPr>
      </w:pPr>
    </w:p>
    <w:p w14:paraId="722B4F6C"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De los artículos transcritos anteriormente, se observan las excepciones que tiene el derecho de acceso a la información pública, respecto a algunos tipos de información, lo cual restringe su acceso, precisándose de manera clara las hipótesis que dan lugar a clasificar la información, la cual puede ser de dos maneras: Reservada o Confidencial.</w:t>
      </w:r>
    </w:p>
    <w:p w14:paraId="0292D94D" w14:textId="77777777" w:rsidR="0045345E" w:rsidRPr="00354E9C" w:rsidRDefault="0045345E">
      <w:pPr>
        <w:spacing w:line="360" w:lineRule="auto"/>
        <w:jc w:val="both"/>
        <w:rPr>
          <w:rFonts w:ascii="Palatino Linotype" w:eastAsia="Palatino Linotype" w:hAnsi="Palatino Linotype" w:cs="Palatino Linotype"/>
        </w:rPr>
      </w:pPr>
    </w:p>
    <w:p w14:paraId="56A70436"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60597006" w14:textId="77777777" w:rsidR="0045345E" w:rsidRPr="00354E9C" w:rsidRDefault="0045345E">
      <w:pPr>
        <w:spacing w:line="360" w:lineRule="auto"/>
        <w:jc w:val="both"/>
        <w:rPr>
          <w:rFonts w:ascii="Palatino Linotype" w:eastAsia="Palatino Linotype" w:hAnsi="Palatino Linotype" w:cs="Palatino Linotype"/>
        </w:rPr>
      </w:pPr>
    </w:p>
    <w:p w14:paraId="622B6FF1"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lastRenderedPageBreak/>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3772619E" w14:textId="77777777" w:rsidR="0045345E" w:rsidRPr="00354E9C" w:rsidRDefault="0045345E">
      <w:pPr>
        <w:spacing w:line="360" w:lineRule="auto"/>
        <w:jc w:val="both"/>
        <w:rPr>
          <w:rFonts w:ascii="Palatino Linotype" w:eastAsia="Palatino Linotype" w:hAnsi="Palatino Linotype" w:cs="Palatino Linotype"/>
        </w:rPr>
      </w:pPr>
    </w:p>
    <w:p w14:paraId="3A17C7E9" w14:textId="77777777" w:rsidR="0045345E" w:rsidRPr="00354E9C" w:rsidRDefault="00087E62">
      <w:pPr>
        <w:ind w:left="567" w:right="616"/>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w:t>
      </w:r>
      <w:r w:rsidRPr="00354E9C">
        <w:rPr>
          <w:rFonts w:ascii="Palatino Linotype" w:eastAsia="Palatino Linotype" w:hAnsi="Palatino Linotype" w:cs="Palatino Linotype"/>
          <w:b/>
          <w:i/>
          <w:sz w:val="22"/>
          <w:szCs w:val="22"/>
        </w:rPr>
        <w:t>Artículo 168</w:t>
      </w:r>
      <w:r w:rsidRPr="00354E9C">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14:paraId="3D5D037F" w14:textId="77777777" w:rsidR="0045345E" w:rsidRPr="00354E9C" w:rsidRDefault="00087E62">
      <w:pPr>
        <w:ind w:left="567" w:right="616"/>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b/>
          <w:i/>
          <w:sz w:val="22"/>
          <w:szCs w:val="22"/>
        </w:rPr>
        <w:t>I.</w:t>
      </w:r>
      <w:r w:rsidRPr="00354E9C">
        <w:rPr>
          <w:rFonts w:ascii="Palatino Linotype" w:eastAsia="Palatino Linotype" w:hAnsi="Palatino Linotype" w:cs="Palatino Linotype"/>
          <w:i/>
          <w:sz w:val="22"/>
          <w:szCs w:val="22"/>
        </w:rPr>
        <w:t xml:space="preserve"> El Área deberá remitir la solicitud, así como un escrito en el que </w:t>
      </w:r>
      <w:r w:rsidRPr="00354E9C">
        <w:rPr>
          <w:rFonts w:ascii="Palatino Linotype" w:eastAsia="Palatino Linotype" w:hAnsi="Palatino Linotype" w:cs="Palatino Linotype"/>
          <w:b/>
          <w:i/>
          <w:sz w:val="22"/>
          <w:szCs w:val="22"/>
        </w:rPr>
        <w:t>funde y motive la clasificación al Comité de Transparencia</w:t>
      </w:r>
      <w:r w:rsidRPr="00354E9C">
        <w:rPr>
          <w:rFonts w:ascii="Palatino Linotype" w:eastAsia="Palatino Linotype" w:hAnsi="Palatino Linotype" w:cs="Palatino Linotype"/>
          <w:i/>
          <w:sz w:val="22"/>
          <w:szCs w:val="22"/>
        </w:rPr>
        <w:t>, mismo que deberá resolver para:</w:t>
      </w:r>
    </w:p>
    <w:p w14:paraId="345BEE69" w14:textId="77777777" w:rsidR="0045345E" w:rsidRPr="00354E9C" w:rsidRDefault="00087E62">
      <w:pPr>
        <w:ind w:left="567" w:right="616"/>
        <w:jc w:val="both"/>
        <w:rPr>
          <w:rFonts w:ascii="Palatino Linotype" w:eastAsia="Palatino Linotype" w:hAnsi="Palatino Linotype" w:cs="Palatino Linotype"/>
          <w:b/>
          <w:i/>
          <w:sz w:val="22"/>
          <w:szCs w:val="22"/>
        </w:rPr>
      </w:pPr>
      <w:r w:rsidRPr="00354E9C">
        <w:rPr>
          <w:rFonts w:ascii="Palatino Linotype" w:eastAsia="Palatino Linotype" w:hAnsi="Palatino Linotype" w:cs="Palatino Linotype"/>
          <w:i/>
          <w:sz w:val="22"/>
          <w:szCs w:val="22"/>
        </w:rPr>
        <w:t>a</w:t>
      </w:r>
      <w:r w:rsidRPr="00354E9C">
        <w:rPr>
          <w:rFonts w:ascii="Palatino Linotype" w:eastAsia="Palatino Linotype" w:hAnsi="Palatino Linotype" w:cs="Palatino Linotype"/>
          <w:b/>
          <w:i/>
          <w:sz w:val="22"/>
          <w:szCs w:val="22"/>
        </w:rPr>
        <w:t>) Confirmar la clasificación;</w:t>
      </w:r>
    </w:p>
    <w:p w14:paraId="45D612BA" w14:textId="77777777" w:rsidR="0045345E" w:rsidRPr="00354E9C" w:rsidRDefault="00087E62">
      <w:pPr>
        <w:ind w:left="567" w:right="616"/>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14:paraId="40994894" w14:textId="77777777" w:rsidR="0045345E" w:rsidRPr="00354E9C" w:rsidRDefault="00087E62">
      <w:pPr>
        <w:ind w:left="567" w:right="616"/>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b/>
          <w:i/>
          <w:sz w:val="22"/>
          <w:szCs w:val="22"/>
        </w:rPr>
        <w:t>II.</w:t>
      </w:r>
      <w:r w:rsidRPr="00354E9C">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14:paraId="53823BE4" w14:textId="77777777" w:rsidR="0045345E" w:rsidRPr="00354E9C" w:rsidRDefault="00087E62">
      <w:pPr>
        <w:ind w:left="567" w:right="616"/>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b/>
          <w:i/>
          <w:sz w:val="22"/>
          <w:szCs w:val="22"/>
        </w:rPr>
        <w:t>III.</w:t>
      </w:r>
      <w:r w:rsidRPr="00354E9C">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 (Sic)</w:t>
      </w:r>
    </w:p>
    <w:p w14:paraId="464089C5" w14:textId="77777777" w:rsidR="0045345E" w:rsidRPr="00354E9C" w:rsidRDefault="0045345E">
      <w:pPr>
        <w:spacing w:line="360" w:lineRule="auto"/>
        <w:jc w:val="both"/>
        <w:rPr>
          <w:rFonts w:ascii="Palatino Linotype" w:eastAsia="Palatino Linotype" w:hAnsi="Palatino Linotype" w:cs="Palatino Linotype"/>
        </w:rPr>
      </w:pPr>
    </w:p>
    <w:p w14:paraId="34F232A5"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 xml:space="preserve">En este sentido, para la respuesta esté apegada a Derecho, es importante invocar lo establecido en el marco normativo del Acceso a la Información Pública vigente: </w:t>
      </w:r>
    </w:p>
    <w:p w14:paraId="4A8DA2E1" w14:textId="77777777" w:rsidR="0045345E" w:rsidRPr="00354E9C" w:rsidRDefault="0045345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6AE81C2" w14:textId="77777777" w:rsidR="0045345E" w:rsidRPr="00354E9C" w:rsidRDefault="00087E6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LEY DE TRANSPARENCIA Y ACCESO A LA INFORMACIÓN DEL ESTADO DE MÉXICO Y MUNICIPIOS</w:t>
      </w:r>
    </w:p>
    <w:p w14:paraId="5FB4B828" w14:textId="77777777" w:rsidR="0045345E" w:rsidRPr="00354E9C" w:rsidRDefault="0045345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309B7B7" w14:textId="77777777" w:rsidR="0045345E" w:rsidRPr="00354E9C" w:rsidRDefault="00087E6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 xml:space="preserve">Artículo 49. Los Comités de Transparencia tendrán las siguientes atribuciones: </w:t>
      </w:r>
    </w:p>
    <w:p w14:paraId="16D9B183" w14:textId="77777777" w:rsidR="0045345E" w:rsidRPr="00354E9C" w:rsidRDefault="00087E6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w:t>
      </w:r>
    </w:p>
    <w:p w14:paraId="387BB3C0" w14:textId="77777777" w:rsidR="0045345E" w:rsidRPr="00354E9C" w:rsidRDefault="00087E6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7CAB9953" w14:textId="77777777" w:rsidR="0045345E" w:rsidRPr="00354E9C" w:rsidRDefault="00087E6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w:t>
      </w:r>
    </w:p>
    <w:p w14:paraId="5E25F76B" w14:textId="77777777" w:rsidR="0045345E" w:rsidRPr="00354E9C" w:rsidRDefault="00087E6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VIII. Aprobar, modificar o revocar la clasificación de la información;</w:t>
      </w:r>
    </w:p>
    <w:p w14:paraId="71919DDB" w14:textId="77777777" w:rsidR="0045345E" w:rsidRPr="00354E9C" w:rsidRDefault="00087E6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w:t>
      </w:r>
    </w:p>
    <w:p w14:paraId="7A61E087" w14:textId="77777777" w:rsidR="0045345E" w:rsidRPr="00354E9C" w:rsidRDefault="0045345E">
      <w:pPr>
        <w:pBdr>
          <w:top w:val="nil"/>
          <w:left w:val="nil"/>
          <w:bottom w:val="nil"/>
          <w:right w:val="nil"/>
          <w:between w:val="nil"/>
        </w:pBdr>
        <w:ind w:right="864"/>
        <w:jc w:val="both"/>
        <w:rPr>
          <w:rFonts w:ascii="Palatino Linotype" w:eastAsia="Palatino Linotype" w:hAnsi="Palatino Linotype" w:cs="Palatino Linotype"/>
          <w:i/>
          <w:sz w:val="22"/>
          <w:szCs w:val="22"/>
        </w:rPr>
      </w:pPr>
    </w:p>
    <w:p w14:paraId="17EF928E" w14:textId="77777777" w:rsidR="0045345E" w:rsidRPr="00354E9C" w:rsidRDefault="00087E6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 xml:space="preserve">Artículo 132. La clasificación de la información se llevará a cabo en el momento en que: </w:t>
      </w:r>
    </w:p>
    <w:p w14:paraId="5CD620A2" w14:textId="77777777" w:rsidR="0045345E" w:rsidRPr="00354E9C" w:rsidRDefault="00087E6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w:t>
      </w:r>
    </w:p>
    <w:p w14:paraId="1DAED8E5" w14:textId="77777777" w:rsidR="0045345E" w:rsidRPr="00354E9C" w:rsidRDefault="00087E6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III. Se generen versiones públicas para dar cumplimiento a las obligaciones de transparencia previstas en esta Ley</w:t>
      </w:r>
    </w:p>
    <w:p w14:paraId="57C38E33" w14:textId="77777777" w:rsidR="0045345E" w:rsidRPr="00354E9C" w:rsidRDefault="00087E6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w:t>
      </w:r>
    </w:p>
    <w:p w14:paraId="04331F89" w14:textId="77777777" w:rsidR="0045345E" w:rsidRPr="00354E9C" w:rsidRDefault="0045345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84D788D" w14:textId="77777777" w:rsidR="0045345E" w:rsidRPr="00354E9C" w:rsidRDefault="00087E6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F169264" w14:textId="77777777" w:rsidR="0045345E" w:rsidRPr="00354E9C" w:rsidRDefault="0045345E">
      <w:pPr>
        <w:rPr>
          <w:rFonts w:ascii="Palatino Linotype" w:eastAsia="Palatino Linotype" w:hAnsi="Palatino Linotype" w:cs="Palatino Linotype"/>
          <w:sz w:val="22"/>
          <w:szCs w:val="22"/>
        </w:rPr>
      </w:pPr>
    </w:p>
    <w:p w14:paraId="6FFABFA5" w14:textId="77777777" w:rsidR="0045345E" w:rsidRPr="00354E9C" w:rsidRDefault="00087E6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LINEAMIENTOS GENERALES EN MATERIA DE CLASIFICACIÓN Y DESCLASIFICACIÓN DE LA INFORMACIÓN, ASÍ COMO PARA LA ELABORACIÓN DE VERSIONES PÚBLICAS</w:t>
      </w:r>
    </w:p>
    <w:p w14:paraId="01971B6D" w14:textId="77777777" w:rsidR="0045345E" w:rsidRPr="00354E9C" w:rsidRDefault="0045345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D03C917" w14:textId="77777777" w:rsidR="0045345E" w:rsidRPr="00354E9C" w:rsidRDefault="00087E6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 xml:space="preserve">Segundo.- Para efectos de los presentes Lineamientos Generales, se entenderá por: </w:t>
      </w:r>
    </w:p>
    <w:p w14:paraId="35463C71" w14:textId="77777777" w:rsidR="0045345E" w:rsidRPr="00354E9C" w:rsidRDefault="00087E6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 xml:space="preserve">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 </w:t>
      </w:r>
    </w:p>
    <w:p w14:paraId="62898C29" w14:textId="77777777" w:rsidR="0045345E" w:rsidRPr="00354E9C" w:rsidRDefault="0045345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1D2DF91" w14:textId="77777777" w:rsidR="0045345E" w:rsidRPr="00354E9C" w:rsidRDefault="00087E6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Cuarto.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w:t>
      </w:r>
    </w:p>
    <w:p w14:paraId="21D79798" w14:textId="77777777" w:rsidR="0045345E" w:rsidRPr="00354E9C" w:rsidRDefault="0045345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6DF547E" w14:textId="77777777" w:rsidR="0045345E" w:rsidRPr="00354E9C" w:rsidRDefault="00087E6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Quinto.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0B96168" w14:textId="77777777" w:rsidR="0045345E" w:rsidRPr="00354E9C" w:rsidRDefault="0045345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2DAA163" w14:textId="77777777" w:rsidR="0045345E" w:rsidRPr="00354E9C" w:rsidRDefault="00087E6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 xml:space="preserve">Sexto. Los sujetos obligados no podrán emitir acuerdos de carácter general ni particular que clasifiquen documentos o expedientes como reservados, ni clasificar documentos antes de que se genere la información o cuando éstos no obren en sus archivos. </w:t>
      </w:r>
    </w:p>
    <w:p w14:paraId="186DF4D6" w14:textId="77777777" w:rsidR="0045345E" w:rsidRPr="00354E9C" w:rsidRDefault="00087E6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4D566D1E" w14:textId="77777777" w:rsidR="0045345E" w:rsidRPr="00354E9C" w:rsidRDefault="0045345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7A4EB4C" w14:textId="77777777" w:rsidR="0045345E" w:rsidRPr="00354E9C" w:rsidRDefault="00087E6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Séptimo. La clasificación de la información se llevará a cabo en el momento en que:</w:t>
      </w:r>
    </w:p>
    <w:p w14:paraId="5CE37C74" w14:textId="77777777" w:rsidR="0045345E" w:rsidRPr="00354E9C" w:rsidRDefault="00087E6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w:t>
      </w:r>
    </w:p>
    <w:p w14:paraId="1E2A50AC" w14:textId="77777777" w:rsidR="0045345E" w:rsidRPr="00354E9C" w:rsidRDefault="00087E6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III. Se generen versiones públicas para dar cumplimiento a las obligaciones de transparencia previstas en la Ley General, la Ley Federal y las correspondientes de las entidades federativas. Los titulares de las áreas deberán revisar la clasificación al momento de la recepción de una solicitud de acceso a la información, para verificar si encuadra en una causal de reserva o de confidencialidad.</w:t>
      </w:r>
    </w:p>
    <w:p w14:paraId="5865AADA" w14:textId="77777777" w:rsidR="0045345E" w:rsidRPr="00354E9C" w:rsidRDefault="0045345E">
      <w:pPr>
        <w:rPr>
          <w:rFonts w:ascii="Palatino Linotype" w:eastAsia="Palatino Linotype" w:hAnsi="Palatino Linotype" w:cs="Palatino Linotype"/>
          <w:sz w:val="22"/>
          <w:szCs w:val="22"/>
        </w:rPr>
      </w:pPr>
    </w:p>
    <w:p w14:paraId="4F585B44" w14:textId="77777777" w:rsidR="0045345E" w:rsidRPr="00354E9C" w:rsidRDefault="00087E6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BB21307" w14:textId="77777777" w:rsidR="0045345E" w:rsidRPr="00354E9C" w:rsidRDefault="0045345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990A66B" w14:textId="77777777" w:rsidR="0045345E" w:rsidRPr="00354E9C" w:rsidRDefault="00087E6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D4D3D86" w14:textId="77777777" w:rsidR="0045345E" w:rsidRPr="00354E9C" w:rsidRDefault="0045345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73E11AD" w14:textId="77777777" w:rsidR="0045345E" w:rsidRPr="00354E9C" w:rsidRDefault="00087E6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Sexagésimo tercero. Para la elaboración de todo tipo de versión pública, ya sea para el cumplimiento a obligaciones de transparencia o bien, derivadas de la atención a una solicitud de información o del mandatado de autoridad competente, los Sujetos Obligados elaborarán una leyenda ya sea en carátula o en colofón que rija a todo documento sometido a versión pública.</w:t>
      </w:r>
    </w:p>
    <w:p w14:paraId="1338E514" w14:textId="77777777" w:rsidR="0045345E" w:rsidRPr="00354E9C" w:rsidRDefault="0045345E">
      <w:pPr>
        <w:spacing w:line="360" w:lineRule="auto"/>
        <w:jc w:val="both"/>
        <w:rPr>
          <w:rFonts w:ascii="Palatino Linotype" w:eastAsia="Palatino Linotype" w:hAnsi="Palatino Linotype" w:cs="Palatino Linotype"/>
          <w:i/>
          <w:sz w:val="22"/>
          <w:szCs w:val="22"/>
        </w:rPr>
      </w:pPr>
    </w:p>
    <w:p w14:paraId="08B8F1D5"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 xml:space="preserve">Por lo tanto, es importante referir que </w:t>
      </w:r>
      <w:r w:rsidRPr="00354E9C">
        <w:rPr>
          <w:rFonts w:ascii="Palatino Linotype" w:eastAsia="Palatino Linotype" w:hAnsi="Palatino Linotype" w:cs="Palatino Linotype"/>
          <w:b/>
        </w:rPr>
        <w:t>el SUJETO OBLIGADO</w:t>
      </w:r>
      <w:r w:rsidRPr="00354E9C">
        <w:rPr>
          <w:rFonts w:ascii="Palatino Linotype" w:eastAsia="Palatino Linotype" w:hAnsi="Palatino Linotype" w:cs="Palatino Linotype"/>
        </w:rPr>
        <w:t xml:space="preserve"> deberá seguir el procedimiento legal establecido para la emisión de versiones públicas, esto es, que </w:t>
      </w:r>
      <w:r w:rsidRPr="00354E9C">
        <w:rPr>
          <w:rFonts w:ascii="Palatino Linotype" w:eastAsia="Palatino Linotype" w:hAnsi="Palatino Linotype" w:cs="Palatino Linotype"/>
        </w:rPr>
        <w:lastRenderedPageBreak/>
        <w:t xml:space="preserve">deberá remitir el Acuerdo a través del cual su Comité de Transparencia aprobó la clasificación de la </w:t>
      </w:r>
      <w:proofErr w:type="spellStart"/>
      <w:r w:rsidRPr="00354E9C">
        <w:rPr>
          <w:rFonts w:ascii="Palatino Linotype" w:eastAsia="Palatino Linotype" w:hAnsi="Palatino Linotype" w:cs="Palatino Linotype"/>
        </w:rPr>
        <w:t>multireferida</w:t>
      </w:r>
      <w:proofErr w:type="spellEnd"/>
      <w:r w:rsidRPr="00354E9C">
        <w:rPr>
          <w:rFonts w:ascii="Palatino Linotype" w:eastAsia="Palatino Linotype" w:hAnsi="Palatino Linotype" w:cs="Palatino Linotype"/>
        </w:rPr>
        <w:t xml:space="preserve"> renuncia, para que cumpla con las formalidades antes citadas que la sustente, en el que deben de constar los fundamentos y razones que llevaron al </w:t>
      </w:r>
      <w:r w:rsidRPr="00354E9C">
        <w:rPr>
          <w:rFonts w:ascii="Palatino Linotype" w:eastAsia="Palatino Linotype" w:hAnsi="Palatino Linotype" w:cs="Palatino Linotype"/>
          <w:b/>
        </w:rPr>
        <w:t>SUJETO OBLIGADO</w:t>
      </w:r>
      <w:r w:rsidRPr="00354E9C">
        <w:rPr>
          <w:rFonts w:ascii="Palatino Linotype" w:eastAsia="Palatino Linotype" w:hAnsi="Palatino Linotype" w:cs="Palatino Linotype"/>
        </w:rPr>
        <w:t xml:space="preserve"> a testar, suprimir o eliminar datos de dicho soporte documental, ya que el no hacerlo, implica que lo entregado no es legal ni formalmente una versión pública, sino más bien una documentación ilegible, incompleta y tachada; pues no señalar las razones por las que no se aprecian determinados datos, ya sea porque se testan o suprimen, deja a la parte recurrente en estado de incertidumbre, al no conocer o comprender porque no aparecen en la documentación respectiva, es decir, sí no se exponen de manera puntual las razones de ello se estaría violentando desde un inicio el Derecho de Acceso a la Información de la parte</w:t>
      </w:r>
      <w:r w:rsidRPr="00354E9C">
        <w:rPr>
          <w:rFonts w:ascii="Palatino Linotype" w:eastAsia="Palatino Linotype" w:hAnsi="Palatino Linotype" w:cs="Palatino Linotype"/>
          <w:b/>
        </w:rPr>
        <w:t xml:space="preserve"> RECURRENTE.</w:t>
      </w:r>
      <w:r w:rsidRPr="00354E9C">
        <w:rPr>
          <w:rFonts w:ascii="Palatino Linotype" w:eastAsia="Palatino Linotype" w:hAnsi="Palatino Linotype" w:cs="Palatino Linotype"/>
        </w:rPr>
        <w:t xml:space="preserve"> </w:t>
      </w:r>
    </w:p>
    <w:p w14:paraId="3A222962" w14:textId="77777777" w:rsidR="0045345E" w:rsidRPr="00354E9C" w:rsidRDefault="0045345E">
      <w:pPr>
        <w:spacing w:line="360" w:lineRule="auto"/>
        <w:jc w:val="both"/>
        <w:rPr>
          <w:rFonts w:ascii="Palatino Linotype" w:eastAsia="Palatino Linotype" w:hAnsi="Palatino Linotype" w:cs="Palatino Linotype"/>
        </w:rPr>
      </w:pPr>
    </w:p>
    <w:p w14:paraId="4B9A667F"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 xml:space="preserve">En tercer lugar, si bien es cierto que el </w:t>
      </w:r>
      <w:r w:rsidRPr="00354E9C">
        <w:rPr>
          <w:rFonts w:ascii="Palatino Linotype" w:eastAsia="Palatino Linotype" w:hAnsi="Palatino Linotype" w:cs="Palatino Linotype"/>
          <w:b/>
        </w:rPr>
        <w:t>SUJETO OBLIGADO</w:t>
      </w:r>
      <w:r w:rsidRPr="00354E9C">
        <w:rPr>
          <w:rFonts w:ascii="Palatino Linotype" w:eastAsia="Palatino Linotype" w:hAnsi="Palatino Linotype" w:cs="Palatino Linotype"/>
        </w:rPr>
        <w:t xml:space="preserve"> remitió la renuncia solicitada por la parte </w:t>
      </w:r>
      <w:r w:rsidRPr="00354E9C">
        <w:rPr>
          <w:rFonts w:ascii="Palatino Linotype" w:eastAsia="Palatino Linotype" w:hAnsi="Palatino Linotype" w:cs="Palatino Linotype"/>
          <w:b/>
        </w:rPr>
        <w:t>RECURRENTE</w:t>
      </w:r>
      <w:r w:rsidRPr="00354E9C">
        <w:rPr>
          <w:rFonts w:ascii="Palatino Linotype" w:eastAsia="Palatino Linotype" w:hAnsi="Palatino Linotype" w:cs="Palatino Linotype"/>
        </w:rPr>
        <w:t>, y conforme al punto anterior lo procedente sería ordenar únicamente el Acuerdo Clasificación del Comité de Transparencia del Ayuntamiento de Zinacantepec que sustente la versión la versión pública de la renuncia que fue entregada en respuesta; no obstante, de acuerdo a la leyenda de clasificación que se aprecia en dicha renuncia, como así lo dice:</w:t>
      </w:r>
    </w:p>
    <w:p w14:paraId="7D5B046E" w14:textId="77777777" w:rsidR="0045345E" w:rsidRPr="00354E9C" w:rsidRDefault="0045345E">
      <w:pPr>
        <w:spacing w:line="360" w:lineRule="auto"/>
        <w:jc w:val="both"/>
        <w:rPr>
          <w:rFonts w:ascii="Palatino Linotype" w:eastAsia="Palatino Linotype" w:hAnsi="Palatino Linotype" w:cs="Palatino Linotype"/>
        </w:rPr>
      </w:pPr>
    </w:p>
    <w:p w14:paraId="27C5D830"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noProof/>
          <w:lang w:val="es-MX"/>
        </w:rPr>
        <w:drawing>
          <wp:inline distT="0" distB="0" distL="0" distR="0" wp14:anchorId="23B02D39" wp14:editId="38C39F6D">
            <wp:extent cx="5624259" cy="718055"/>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624259" cy="718055"/>
                    </a:xfrm>
                    <a:prstGeom prst="rect">
                      <a:avLst/>
                    </a:prstGeom>
                    <a:ln/>
                  </pic:spPr>
                </pic:pic>
              </a:graphicData>
            </a:graphic>
          </wp:inline>
        </w:drawing>
      </w:r>
    </w:p>
    <w:p w14:paraId="6C037663"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lastRenderedPageBreak/>
        <w:t>Se aprecia que supuestamente se clasificó información confidencial como lo es el número de empleado y/o huella dactilar, sin que se tenga certeza cuál de los dos datos fueron testados o ambos; en sentido, se procede abordar tanto el número de empleado y huella dactilar conforme al criterio de este Organismo Garante, para determinar si es procedente su clasificación o no, conforme a lo siguiente:</w:t>
      </w:r>
    </w:p>
    <w:p w14:paraId="5BE1A2B5" w14:textId="77777777" w:rsidR="0045345E" w:rsidRPr="00354E9C" w:rsidRDefault="0045345E">
      <w:pPr>
        <w:spacing w:line="360" w:lineRule="auto"/>
        <w:jc w:val="both"/>
        <w:rPr>
          <w:rFonts w:ascii="Palatino Linotype" w:eastAsia="Palatino Linotype" w:hAnsi="Palatino Linotype" w:cs="Palatino Linotype"/>
        </w:rPr>
      </w:pPr>
    </w:p>
    <w:p w14:paraId="7A2BE593"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011320DB" w14:textId="77777777" w:rsidR="0045345E" w:rsidRPr="00354E9C" w:rsidRDefault="0045345E">
      <w:pPr>
        <w:spacing w:line="360" w:lineRule="auto"/>
        <w:jc w:val="both"/>
        <w:rPr>
          <w:rFonts w:ascii="Palatino Linotype" w:eastAsia="Palatino Linotype" w:hAnsi="Palatino Linotype" w:cs="Palatino Linotype"/>
        </w:rPr>
      </w:pPr>
    </w:p>
    <w:p w14:paraId="55E02D20"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En ese sentido, cuando el número de empleado,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p>
    <w:p w14:paraId="14300DFA" w14:textId="77777777" w:rsidR="0045345E" w:rsidRPr="00354E9C" w:rsidRDefault="0045345E">
      <w:pPr>
        <w:spacing w:line="360" w:lineRule="auto"/>
        <w:jc w:val="both"/>
        <w:rPr>
          <w:rFonts w:ascii="Palatino Linotype" w:eastAsia="Palatino Linotype" w:hAnsi="Palatino Linotype" w:cs="Palatino Linotype"/>
        </w:rPr>
      </w:pPr>
    </w:p>
    <w:p w14:paraId="1294FD99"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INAI, se ha pronunciado sobre su publicidad, a través del criterio 06/19, que indica lo siguiente:</w:t>
      </w:r>
    </w:p>
    <w:p w14:paraId="78D19EE2" w14:textId="77777777" w:rsidR="0045345E" w:rsidRPr="00354E9C" w:rsidRDefault="0045345E">
      <w:pPr>
        <w:spacing w:line="360" w:lineRule="auto"/>
        <w:jc w:val="both"/>
        <w:rPr>
          <w:rFonts w:ascii="Palatino Linotype" w:eastAsia="Palatino Linotype" w:hAnsi="Palatino Linotype" w:cs="Palatino Linotype"/>
        </w:rPr>
      </w:pPr>
    </w:p>
    <w:p w14:paraId="1CC94F2C" w14:textId="77777777" w:rsidR="0045345E" w:rsidRPr="00354E9C" w:rsidRDefault="00087E62">
      <w:pPr>
        <w:ind w:left="567" w:right="567"/>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lastRenderedPageBreak/>
        <w:t>“</w:t>
      </w:r>
      <w:r w:rsidRPr="00354E9C">
        <w:rPr>
          <w:rFonts w:ascii="Palatino Linotype" w:eastAsia="Palatino Linotype" w:hAnsi="Palatino Linotype" w:cs="Palatino Linotype"/>
          <w:b/>
          <w:i/>
          <w:sz w:val="22"/>
          <w:szCs w:val="22"/>
        </w:rPr>
        <w:t>Número de empleado</w:t>
      </w:r>
      <w:r w:rsidRPr="00354E9C">
        <w:rPr>
          <w:rFonts w:ascii="Palatino Linotype" w:eastAsia="Palatino Linotype" w:hAnsi="Palatino Linotype" w:cs="Palatino Linotype"/>
          <w:i/>
          <w:sz w:val="22"/>
          <w:szCs w:val="22"/>
        </w:rPr>
        <w:t>.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71EF0341" w14:textId="77777777" w:rsidR="0045345E" w:rsidRPr="00354E9C" w:rsidRDefault="0045345E">
      <w:pPr>
        <w:spacing w:line="360" w:lineRule="auto"/>
        <w:jc w:val="both"/>
        <w:rPr>
          <w:rFonts w:ascii="Palatino Linotype" w:eastAsia="Palatino Linotype" w:hAnsi="Palatino Linotype" w:cs="Palatino Linotype"/>
        </w:rPr>
      </w:pPr>
    </w:p>
    <w:p w14:paraId="795CBE42"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354E9C">
        <w:rPr>
          <w:rFonts w:ascii="Palatino Linotype" w:eastAsia="Palatino Linotype" w:hAnsi="Palatino Linotype" w:cs="Palatino Linotype"/>
          <w:b/>
        </w:rPr>
        <w:t>SUJETO OBLIGADO</w:t>
      </w:r>
      <w:r w:rsidRPr="00354E9C">
        <w:rPr>
          <w:rFonts w:ascii="Palatino Linotype" w:eastAsia="Palatino Linotype" w:hAnsi="Palatino Linotype" w:cs="Palatino Linotype"/>
        </w:rPr>
        <w:t xml:space="preserve"> deberá acatar lo establecido y de ser procedente, entregará el número de empleado o equivalente de los servidores públicos materia de la solicitud, o en su caso, lo clasificará como información confidencial, a través del Acuerdo emitido por su Comité de Transparencia conforme a la ley de la materia.</w:t>
      </w:r>
    </w:p>
    <w:p w14:paraId="75FBEEAC" w14:textId="77777777" w:rsidR="0045345E" w:rsidRPr="00354E9C" w:rsidRDefault="0045345E">
      <w:pPr>
        <w:spacing w:line="360" w:lineRule="auto"/>
        <w:jc w:val="both"/>
        <w:rPr>
          <w:rFonts w:ascii="Palatino Linotype" w:eastAsia="Palatino Linotype" w:hAnsi="Palatino Linotype" w:cs="Palatino Linotype"/>
        </w:rPr>
      </w:pPr>
    </w:p>
    <w:p w14:paraId="5D0030B2"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Así, se colige que solamente procederá la clasificación del número de empleado, cuando se integre con datos personales de los servidores públicos o funcione como clave de acceso que no requiera una contraseña para ingresar a sistemas o bases de datos.</w:t>
      </w:r>
    </w:p>
    <w:p w14:paraId="6B591260" w14:textId="77777777" w:rsidR="0045345E" w:rsidRPr="00354E9C" w:rsidRDefault="0045345E">
      <w:pPr>
        <w:spacing w:line="360" w:lineRule="auto"/>
        <w:jc w:val="both"/>
        <w:rPr>
          <w:rFonts w:ascii="Palatino Linotype" w:eastAsia="Palatino Linotype" w:hAnsi="Palatino Linotype" w:cs="Palatino Linotype"/>
        </w:rPr>
      </w:pPr>
    </w:p>
    <w:p w14:paraId="5322D46D"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 xml:space="preserve">De tales circunstancias, se considera que el Ente Recurrido </w:t>
      </w:r>
      <w:r w:rsidRPr="00354E9C">
        <w:rPr>
          <w:rFonts w:ascii="Palatino Linotype" w:eastAsia="Palatino Linotype" w:hAnsi="Palatino Linotype" w:cs="Palatino Linotype"/>
          <w:b/>
        </w:rPr>
        <w:t xml:space="preserve">deberá proporcionar dicho dato, en el caso, de que este se conforme únicamente de números, símbolos o dígitos, que de ninguna manera puedan revelar datos personales o de acceso a </w:t>
      </w:r>
      <w:r w:rsidRPr="00354E9C">
        <w:rPr>
          <w:rFonts w:ascii="Palatino Linotype" w:eastAsia="Palatino Linotype" w:hAnsi="Palatino Linotype" w:cs="Palatino Linotype"/>
          <w:b/>
        </w:rPr>
        <w:lastRenderedPageBreak/>
        <w:t>sistemas con información de los trabajadores;</w:t>
      </w:r>
      <w:r w:rsidRPr="00354E9C">
        <w:rPr>
          <w:rFonts w:ascii="Palatino Linotype" w:eastAsia="Palatino Linotype" w:hAnsi="Palatino Linotype" w:cs="Palatino Linotype"/>
        </w:rPr>
        <w:t xml:space="preserve"> en el caso contrario, procederá su clasificación, en términos del artículo 143, fracción I, de la Ley de la materia.</w:t>
      </w:r>
    </w:p>
    <w:p w14:paraId="7A3C34A2" w14:textId="77777777" w:rsidR="0045345E" w:rsidRPr="00354E9C" w:rsidRDefault="0045345E">
      <w:pPr>
        <w:spacing w:line="360" w:lineRule="auto"/>
        <w:jc w:val="both"/>
        <w:rPr>
          <w:rFonts w:ascii="Palatino Linotype" w:eastAsia="Palatino Linotype" w:hAnsi="Palatino Linotype" w:cs="Palatino Linotype"/>
        </w:rPr>
      </w:pPr>
    </w:p>
    <w:p w14:paraId="72BC1F4A"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 xml:space="preserve">En lo que corresponde a la huella dactilar, la Academia Mexicana de la Lengua y el Diccionario de la Real Academia de la Lengua Española, establecen que la huella dactilar, es la impresión que suele dejar la yema del dedo en un objeto al tocarlo, o la que se obtiene impregnándola previamente en una materia colorante. Por su parte, en el documento electrónico intitulado “Nuevas Tecnologías Biométricas”, publicado por el Instituto Nacional de Ciencias Penales y la Procuraduría General de la República, disponible en </w:t>
      </w:r>
      <w:hyperlink r:id="rId12">
        <w:r w:rsidRPr="00354E9C">
          <w:rPr>
            <w:rFonts w:ascii="Palatino Linotype" w:eastAsia="Palatino Linotype" w:hAnsi="Palatino Linotype" w:cs="Palatino Linotype"/>
            <w:u w:val="single"/>
          </w:rPr>
          <w:t>https://docplayer.es/5455342-Nuevas-tecnologias-biometricas-instituto-nacional-de-ciencias-penales-procuraduria-general-de-la-republica-version-1-0.html</w:t>
        </w:r>
      </w:hyperlink>
      <w:r w:rsidRPr="00354E9C">
        <w:rPr>
          <w:rFonts w:ascii="Palatino Linotype" w:eastAsia="Palatino Linotype" w:hAnsi="Palatino Linotype" w:cs="Palatino Linotype"/>
        </w:rPr>
        <w:t xml:space="preserve">, se indica que existen tres principios fundamentales para la identificación de las huellas dactilares, a saber: </w:t>
      </w:r>
    </w:p>
    <w:p w14:paraId="36093E36" w14:textId="77777777" w:rsidR="0045345E" w:rsidRPr="00354E9C" w:rsidRDefault="0045345E">
      <w:pPr>
        <w:spacing w:line="360" w:lineRule="auto"/>
        <w:jc w:val="both"/>
        <w:rPr>
          <w:rFonts w:ascii="Palatino Linotype" w:eastAsia="Palatino Linotype" w:hAnsi="Palatino Linotype" w:cs="Palatino Linotype"/>
        </w:rPr>
      </w:pPr>
    </w:p>
    <w:p w14:paraId="1BA47FDA" w14:textId="77777777" w:rsidR="0045345E" w:rsidRPr="00354E9C" w:rsidRDefault="00087E62">
      <w:pPr>
        <w:numPr>
          <w:ilvl w:val="0"/>
          <w:numId w:val="3"/>
        </w:numPr>
        <w:spacing w:line="360" w:lineRule="auto"/>
        <w:ind w:right="474"/>
        <w:jc w:val="both"/>
        <w:rPr>
          <w:rFonts w:ascii="Palatino Linotype" w:eastAsia="Palatino Linotype" w:hAnsi="Palatino Linotype" w:cs="Palatino Linotype"/>
        </w:rPr>
      </w:pPr>
      <w:r w:rsidRPr="00354E9C">
        <w:rPr>
          <w:rFonts w:ascii="Palatino Linotype" w:eastAsia="Palatino Linotype" w:hAnsi="Palatino Linotype" w:cs="Palatino Linotype"/>
        </w:rPr>
        <w:t xml:space="preserve">Primer principio. La huella es una característica individual. No hay dos huellas con características en las crestas que sean idénticas. </w:t>
      </w:r>
    </w:p>
    <w:p w14:paraId="10C986B2" w14:textId="77777777" w:rsidR="0045345E" w:rsidRPr="00354E9C" w:rsidRDefault="00087E62">
      <w:pPr>
        <w:numPr>
          <w:ilvl w:val="0"/>
          <w:numId w:val="3"/>
        </w:numPr>
        <w:spacing w:line="360" w:lineRule="auto"/>
        <w:ind w:right="474"/>
        <w:jc w:val="both"/>
        <w:rPr>
          <w:rFonts w:ascii="Palatino Linotype" w:eastAsia="Palatino Linotype" w:hAnsi="Palatino Linotype" w:cs="Palatino Linotype"/>
        </w:rPr>
      </w:pPr>
      <w:r w:rsidRPr="00354E9C">
        <w:rPr>
          <w:rFonts w:ascii="Palatino Linotype" w:eastAsia="Palatino Linotype" w:hAnsi="Palatino Linotype" w:cs="Palatino Linotype"/>
        </w:rPr>
        <w:t xml:space="preserve">Segundo principio. Una huella permanece sin cambios durante toda la vida de un individuo (sin embargo, puede adquirir cicatrices o cualquier otra deformación que impida su identificación clara). </w:t>
      </w:r>
    </w:p>
    <w:p w14:paraId="1E410C7E" w14:textId="77777777" w:rsidR="0045345E" w:rsidRPr="00354E9C" w:rsidRDefault="00087E62">
      <w:pPr>
        <w:numPr>
          <w:ilvl w:val="0"/>
          <w:numId w:val="3"/>
        </w:numPr>
        <w:spacing w:line="360" w:lineRule="auto"/>
        <w:ind w:right="474"/>
        <w:jc w:val="both"/>
        <w:rPr>
          <w:rFonts w:ascii="Palatino Linotype" w:eastAsia="Palatino Linotype" w:hAnsi="Palatino Linotype" w:cs="Palatino Linotype"/>
        </w:rPr>
      </w:pPr>
      <w:r w:rsidRPr="00354E9C">
        <w:rPr>
          <w:rFonts w:ascii="Palatino Linotype" w:eastAsia="Palatino Linotype" w:hAnsi="Palatino Linotype" w:cs="Palatino Linotype"/>
        </w:rPr>
        <w:t xml:space="preserve">Tercer principio. Las huellas tienen patrones que se forman con sus crestas, lo que hace posible clasificarlas sistemáticamente para agilizar las búsquedas. </w:t>
      </w:r>
    </w:p>
    <w:p w14:paraId="40890F98" w14:textId="77777777" w:rsidR="0045345E" w:rsidRPr="00354E9C" w:rsidRDefault="0045345E">
      <w:pPr>
        <w:pBdr>
          <w:top w:val="nil"/>
          <w:left w:val="nil"/>
          <w:bottom w:val="nil"/>
          <w:right w:val="nil"/>
          <w:between w:val="nil"/>
        </w:pBdr>
        <w:ind w:left="708"/>
        <w:rPr>
          <w:rFonts w:ascii="Palatino Linotype" w:eastAsia="Palatino Linotype" w:hAnsi="Palatino Linotype" w:cs="Palatino Linotype"/>
          <w:sz w:val="22"/>
          <w:szCs w:val="22"/>
        </w:rPr>
      </w:pPr>
    </w:p>
    <w:p w14:paraId="6528218B"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lastRenderedPageBreak/>
        <w:t>Conforme a lo expuesto, es indubitable que la huella dactilar es una característica propia de un individuo que permite su reconocimiento. Por tanto, sin duda, se considera que es una característica individual que se utiliza como medio de identificación de las personas y, por tanto, constituye un dato personal, de conformidad con lo establecido en el artículo 143, fracción I de la Ley de la materia.</w:t>
      </w:r>
    </w:p>
    <w:p w14:paraId="4F9BBDD7" w14:textId="77777777" w:rsidR="0045345E" w:rsidRPr="00354E9C" w:rsidRDefault="0045345E">
      <w:pPr>
        <w:spacing w:line="360" w:lineRule="auto"/>
        <w:jc w:val="both"/>
        <w:rPr>
          <w:rFonts w:ascii="Palatino Linotype" w:eastAsia="Palatino Linotype" w:hAnsi="Palatino Linotype" w:cs="Palatino Linotype"/>
        </w:rPr>
      </w:pPr>
    </w:p>
    <w:p w14:paraId="24CED3F9"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Ahora bien, no obstante que dicho dato no se haya recolectado mediante escaneo que permita su sistematización y procesamiento electrónico, incluso su recolección en tinta y papel, también permite su escaneo, lo que puede propiciar un mal uno de dicho dato, sino se aplican las medidas de protección adecuada, tal como lo refiere la Tesis Aislada HUELLA DACTILAR. ES APTA PARA ACREDITAR EL CONSENTIMIENTO EN LA CELEBRACIÓN DE UN CONTRATO.</w:t>
      </w:r>
    </w:p>
    <w:p w14:paraId="2DA6BC64" w14:textId="77777777" w:rsidR="0045345E" w:rsidRPr="00354E9C" w:rsidRDefault="0045345E">
      <w:pPr>
        <w:spacing w:line="360" w:lineRule="auto"/>
        <w:jc w:val="both"/>
        <w:rPr>
          <w:rFonts w:ascii="Palatino Linotype" w:eastAsia="Palatino Linotype" w:hAnsi="Palatino Linotype" w:cs="Palatino Linotype"/>
        </w:rPr>
      </w:pPr>
    </w:p>
    <w:p w14:paraId="7096265C" w14:textId="77777777" w:rsidR="0045345E" w:rsidRPr="00354E9C" w:rsidRDefault="00087E62">
      <w:pPr>
        <w:ind w:left="567" w:right="567"/>
        <w:jc w:val="both"/>
        <w:rPr>
          <w:rFonts w:ascii="Palatino Linotype" w:eastAsia="Palatino Linotype" w:hAnsi="Palatino Linotype" w:cs="Palatino Linotype"/>
          <w:i/>
        </w:rPr>
      </w:pPr>
      <w:r w:rsidRPr="00354E9C">
        <w:rPr>
          <w:rFonts w:ascii="Palatino Linotype" w:eastAsia="Palatino Linotype" w:hAnsi="Palatino Linotype" w:cs="Palatino Linotype"/>
          <w:b/>
          <w:i/>
        </w:rPr>
        <w:t>“La huella dactilar es un elemento jurídicamente reconocido para demostrar tanto la individualización de su autor como la manifestación de su voluntad con el contenido de un documento, porque es más idónea para individualizar al sujeto, pues las técnicas dactiloscópicas desarrolladas permiten afirmar que no hay dos personas que posean idénticas huellas dactilares;</w:t>
      </w:r>
      <w:r w:rsidRPr="00354E9C">
        <w:rPr>
          <w:rFonts w:ascii="Palatino Linotype" w:eastAsia="Palatino Linotype" w:hAnsi="Palatino Linotype" w:cs="Palatino Linotype"/>
          <w:i/>
        </w:rPr>
        <w:t xml:space="preserve"> en cambio, los caracteres de la letra pueden ser imitados y, en algunos casos, podrá resultar difícil al perito decidir sobre la autenticidad de una firma. Como ejemplo de la eficacia de esa función individualizadora se tiene el artículo 76 del Código Civil para el Distrito Federal, que concibe a la huella como una firma útil para identificar a los nacidos en un parto múltiple. Por lo que toca a la función de acreditar la manifestación del consentimiento, el citado código prevé diversos supuestos, como por ejemplo, la solicitud del matrimonio (artículo 97, fracción III, segundo párrafo) y la celebración misma de éste (artículo 103, fracción IX, tercer párrafo). Tratándose de los contratos, la impresión de la huella cumple esa doble función, pues si bien es cierto que dicho código en su artículo 1834 establece como requisito adicional </w:t>
      </w:r>
      <w:r w:rsidRPr="00354E9C">
        <w:rPr>
          <w:rFonts w:ascii="Palatino Linotype" w:eastAsia="Palatino Linotype" w:hAnsi="Palatino Linotype" w:cs="Palatino Linotype"/>
          <w:i/>
        </w:rPr>
        <w:lastRenderedPageBreak/>
        <w:t>la firma de la persona que intervenga a ruego del autor de la huella, ello ocurre de manera excepcional para los casos en que éste no sepa o no pueda leer ni escribir, pero aun en este caso el conocimiento del contenido del documento y, en consecuencia, la eficacia de la manifestación de la voluntad del autor respecto del contenido del contrato, se asegura con la necesidad de la intervención de la persona que solicite el autor. De esta manera, si en un contrato se encuentran plasmadas huellas atribuidas a una de las partes acompañadas de firmas igualmente atribuidas a él, quedando demostrado que dichas huellas sí corresponden a dicho autor, debe tenerse por acreditado el consentimiento en la celebración del contrato, incluso, con independencia de que la prueba pericial haya determinado la falsificación de las firmas correspondientes, más aún cuando el autor no negó expresamente haber estampado sus huellas en el contrato.(Sic)</w:t>
      </w:r>
    </w:p>
    <w:p w14:paraId="4B4A960D" w14:textId="77777777" w:rsidR="0045345E" w:rsidRPr="00354E9C" w:rsidRDefault="0045345E">
      <w:pPr>
        <w:spacing w:line="360" w:lineRule="auto"/>
        <w:jc w:val="both"/>
        <w:rPr>
          <w:rFonts w:ascii="Palatino Linotype" w:eastAsia="Palatino Linotype" w:hAnsi="Palatino Linotype" w:cs="Palatino Linotype"/>
        </w:rPr>
      </w:pPr>
    </w:p>
    <w:p w14:paraId="076B49AB"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 xml:space="preserve"> En la actualidad existen sistemas denominados AFIS por sus siglas en inglés </w:t>
      </w:r>
      <w:proofErr w:type="spellStart"/>
      <w:r w:rsidRPr="00354E9C">
        <w:rPr>
          <w:rFonts w:ascii="Palatino Linotype" w:eastAsia="Palatino Linotype" w:hAnsi="Palatino Linotype" w:cs="Palatino Linotype"/>
          <w:i/>
        </w:rPr>
        <w:t>Automated</w:t>
      </w:r>
      <w:proofErr w:type="spellEnd"/>
      <w:r w:rsidRPr="00354E9C">
        <w:rPr>
          <w:rFonts w:ascii="Palatino Linotype" w:eastAsia="Palatino Linotype" w:hAnsi="Palatino Linotype" w:cs="Palatino Linotype"/>
          <w:i/>
        </w:rPr>
        <w:t xml:space="preserve"> </w:t>
      </w:r>
      <w:proofErr w:type="spellStart"/>
      <w:r w:rsidRPr="00354E9C">
        <w:rPr>
          <w:rFonts w:ascii="Palatino Linotype" w:eastAsia="Palatino Linotype" w:hAnsi="Palatino Linotype" w:cs="Palatino Linotype"/>
          <w:i/>
        </w:rPr>
        <w:t>Fingerprint</w:t>
      </w:r>
      <w:proofErr w:type="spellEnd"/>
      <w:r w:rsidRPr="00354E9C">
        <w:rPr>
          <w:rFonts w:ascii="Palatino Linotype" w:eastAsia="Palatino Linotype" w:hAnsi="Palatino Linotype" w:cs="Palatino Linotype"/>
          <w:i/>
        </w:rPr>
        <w:t xml:space="preserve"> </w:t>
      </w:r>
      <w:proofErr w:type="spellStart"/>
      <w:r w:rsidRPr="00354E9C">
        <w:rPr>
          <w:rFonts w:ascii="Palatino Linotype" w:eastAsia="Palatino Linotype" w:hAnsi="Palatino Linotype" w:cs="Palatino Linotype"/>
          <w:i/>
        </w:rPr>
        <w:t>Identification</w:t>
      </w:r>
      <w:proofErr w:type="spellEnd"/>
      <w:r w:rsidRPr="00354E9C">
        <w:rPr>
          <w:rFonts w:ascii="Palatino Linotype" w:eastAsia="Palatino Linotype" w:hAnsi="Palatino Linotype" w:cs="Palatino Linotype"/>
          <w:i/>
        </w:rPr>
        <w:t xml:space="preserve"> </w:t>
      </w:r>
      <w:proofErr w:type="spellStart"/>
      <w:r w:rsidRPr="00354E9C">
        <w:rPr>
          <w:rFonts w:ascii="Palatino Linotype" w:eastAsia="Palatino Linotype" w:hAnsi="Palatino Linotype" w:cs="Palatino Linotype"/>
          <w:i/>
        </w:rPr>
        <w:t>System</w:t>
      </w:r>
      <w:proofErr w:type="spellEnd"/>
      <w:r w:rsidRPr="00354E9C">
        <w:rPr>
          <w:rFonts w:ascii="Palatino Linotype" w:eastAsia="Palatino Linotype" w:hAnsi="Palatino Linotype" w:cs="Palatino Linotype"/>
        </w:rPr>
        <w:t xml:space="preserve"> que son sistemas informáticos que permiten la captura, consulta y comparación automática de huellas dactilares, para la captura y adquisición existen diversas formas de realizarlo y una de ellas es a través de la fotografía de una huella dactilar que se encuentra impresa en un papel, que sólo depende de la calidad de la imagen para su comparación para la individualización del autor por medio de los sistemas AFIS. </w:t>
      </w:r>
    </w:p>
    <w:p w14:paraId="39F5C989" w14:textId="77777777" w:rsidR="0045345E" w:rsidRPr="00354E9C" w:rsidRDefault="0045345E">
      <w:pPr>
        <w:spacing w:line="360" w:lineRule="auto"/>
        <w:jc w:val="both"/>
        <w:rPr>
          <w:rFonts w:ascii="Palatino Linotype" w:eastAsia="Palatino Linotype" w:hAnsi="Palatino Linotype" w:cs="Palatino Linotype"/>
        </w:rPr>
      </w:pPr>
    </w:p>
    <w:p w14:paraId="25417140"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 xml:space="preserve">En términos de la calidad de la imagen se debe observar que en la NOM-151-SCFI-2016 publicada en el Diario Oficial de la Federación el 30 de Marzo de 2017, se determina que la calidad propicia para realizar la digitalización de documentos físicos en formato de imagen es de 200 píxeles por pulgada o superior para representaciones en blanco y negro, color o escala de grises, para garantizar el contenido y la integridad de los documentos digitalizados. Desde esta perspectiva es viable digitalizar la imagen de una huella digital con una calidad mínima para </w:t>
      </w:r>
      <w:r w:rsidRPr="00354E9C">
        <w:rPr>
          <w:rFonts w:ascii="Palatino Linotype" w:eastAsia="Palatino Linotype" w:hAnsi="Palatino Linotype" w:cs="Palatino Linotype"/>
        </w:rPr>
        <w:lastRenderedPageBreak/>
        <w:t xml:space="preserve">poder ser puesta a disposición de un sistema AFIS por medio de escáneres y multifuncionales de venta al público general de diversas marcas y que pueden proporcionar una resolución de hasta 600 pixeles por pulgada. </w:t>
      </w:r>
    </w:p>
    <w:p w14:paraId="5AA26DFA" w14:textId="77777777" w:rsidR="0045345E" w:rsidRPr="00354E9C" w:rsidRDefault="0045345E">
      <w:pPr>
        <w:spacing w:line="360" w:lineRule="auto"/>
        <w:jc w:val="both"/>
        <w:rPr>
          <w:rFonts w:ascii="Palatino Linotype" w:eastAsia="Palatino Linotype" w:hAnsi="Palatino Linotype" w:cs="Palatino Linotype"/>
        </w:rPr>
      </w:pPr>
    </w:p>
    <w:p w14:paraId="246205D6"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En conclusión, con el uso de las tecnologías de digitalización e impresión puestas a disposición de público general, es posible realizar la adquisición y reproducción de la huella digital que se encuentra en un documento y adicionalmente se puede sistematizar la comparación y análisis de las digitalizaciones a través de sistemas especializados para esta finalidad que pueden encontrarse de forma gratuita en internet.</w:t>
      </w:r>
    </w:p>
    <w:p w14:paraId="5F869970" w14:textId="77777777" w:rsidR="0045345E" w:rsidRPr="00354E9C" w:rsidRDefault="0045345E">
      <w:pPr>
        <w:spacing w:line="360" w:lineRule="auto"/>
        <w:jc w:val="both"/>
        <w:rPr>
          <w:rFonts w:ascii="Palatino Linotype" w:eastAsia="Palatino Linotype" w:hAnsi="Palatino Linotype" w:cs="Palatino Linotype"/>
        </w:rPr>
      </w:pPr>
    </w:p>
    <w:p w14:paraId="49B94E74" w14:textId="77777777" w:rsidR="0045345E" w:rsidRPr="00354E9C" w:rsidRDefault="00087E62">
      <w:pPr>
        <w:spacing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Por lo anterior, la huella dactilar no sólo constituye un dato personal confidencial de carácter biométrico, sino que su tratamiento debe llevarse a cabo a través de medidas de seguridad que garanticen su adecuado tratamiento, por lo que debe ser clasificado como confidencial en términos del artículo 143, fracción I, de la Ley de Transparencia y Acceso a la Información Pública del Estado de México y Municipios.</w:t>
      </w:r>
    </w:p>
    <w:p w14:paraId="6503A024" w14:textId="77777777" w:rsidR="0045345E" w:rsidRPr="00354E9C" w:rsidRDefault="00087E62">
      <w:pPr>
        <w:spacing w:before="240" w:after="240" w:line="360" w:lineRule="auto"/>
        <w:ind w:right="51"/>
        <w:jc w:val="both"/>
        <w:rPr>
          <w:rFonts w:ascii="Palatino Linotype" w:eastAsia="Palatino Linotype" w:hAnsi="Palatino Linotype" w:cs="Palatino Linotype"/>
        </w:rPr>
      </w:pPr>
      <w:r w:rsidRPr="00354E9C">
        <w:rPr>
          <w:rFonts w:ascii="Palatino Linotype" w:eastAsia="Palatino Linotype" w:hAnsi="Palatino Linotype" w:cs="Palatino Linotype"/>
        </w:rPr>
        <w:t xml:space="preserve">Por consiguiente, para el caso de que la renuncia contenga el número de empleado de la extesorera en mención y no arroje datos personales, así como que no contenga la huella, se deberá entregar dicha renuncia de manera íntegra. </w:t>
      </w:r>
    </w:p>
    <w:p w14:paraId="57236369" w14:textId="77777777" w:rsidR="0045345E" w:rsidRPr="00354E9C" w:rsidRDefault="00087E62">
      <w:pPr>
        <w:spacing w:before="240" w:after="240" w:line="360" w:lineRule="auto"/>
        <w:ind w:right="51"/>
        <w:jc w:val="both"/>
        <w:rPr>
          <w:rFonts w:ascii="Palatino Linotype" w:eastAsia="Palatino Linotype" w:hAnsi="Palatino Linotype" w:cs="Palatino Linotype"/>
        </w:rPr>
      </w:pPr>
      <w:r w:rsidRPr="00354E9C">
        <w:rPr>
          <w:rFonts w:ascii="Palatino Linotype" w:eastAsia="Palatino Linotype" w:hAnsi="Palatino Linotype" w:cs="Palatino Linotype"/>
        </w:rPr>
        <w:t xml:space="preserve">En el supuesto que contenga el número de empleado y que arroje datos personales y/o la huella dactilar, se deberá entregar dicha renuncia en correcta versión pública, debiendo acompañar el acuerdo del Comité de Transparencia del Ayuntamiento de </w:t>
      </w:r>
      <w:r w:rsidRPr="00354E9C">
        <w:rPr>
          <w:rFonts w:ascii="Palatino Linotype" w:eastAsia="Palatino Linotype" w:hAnsi="Palatino Linotype" w:cs="Palatino Linotype"/>
        </w:rPr>
        <w:lastRenderedPageBreak/>
        <w:t xml:space="preserve">Zinacantepec en donde funde y motive los datos personales que se testaron en dicho documento, conforme a lo señalado por el considerando quinto del presente fallo. </w:t>
      </w:r>
    </w:p>
    <w:p w14:paraId="03A9A74A" w14:textId="77777777" w:rsidR="0045345E" w:rsidRPr="00354E9C" w:rsidRDefault="00087E62">
      <w:pPr>
        <w:pBdr>
          <w:top w:val="nil"/>
          <w:left w:val="nil"/>
          <w:bottom w:val="nil"/>
          <w:right w:val="nil"/>
          <w:between w:val="nil"/>
        </w:pBdr>
        <w:spacing w:line="360" w:lineRule="auto"/>
        <w:jc w:val="both"/>
      </w:pPr>
      <w:r w:rsidRPr="00354E9C">
        <w:rPr>
          <w:rFonts w:ascii="Palatino Linotype" w:eastAsia="Palatino Linotype" w:hAnsi="Palatino Linotype" w:cs="Palatino Linotype"/>
          <w:b/>
        </w:rPr>
        <w:t xml:space="preserve">Quinto. Versión Pública. </w:t>
      </w:r>
      <w:r w:rsidRPr="00354E9C">
        <w:rPr>
          <w:rFonts w:ascii="Palatino Linotype" w:eastAsia="Palatino Linotype" w:hAnsi="Palatino Linotype" w:cs="Palatino Linotype"/>
        </w:rPr>
        <w:t xml:space="preserve">Finalmente para la entrega de los soportes documentales que deberá proporcionar el sujeto obligado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sidRPr="00354E9C">
        <w:rPr>
          <w:rFonts w:ascii="Palatino Linotype" w:eastAsia="Palatino Linotype" w:hAnsi="Palatino Linotype" w:cs="Palatino Linotype"/>
          <w:b/>
        </w:rPr>
        <w:t>Sujeto Obligado</w:t>
      </w:r>
      <w:r w:rsidRPr="00354E9C">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1E8363D4" w14:textId="77777777" w:rsidR="0045345E" w:rsidRPr="00354E9C" w:rsidRDefault="00087E62">
      <w:pPr>
        <w:pBdr>
          <w:top w:val="nil"/>
          <w:left w:val="nil"/>
          <w:bottom w:val="nil"/>
          <w:right w:val="nil"/>
          <w:between w:val="nil"/>
        </w:pBdr>
        <w:spacing w:before="240" w:after="240" w:line="360" w:lineRule="auto"/>
        <w:ind w:right="50"/>
        <w:jc w:val="both"/>
      </w:pPr>
      <w:r w:rsidRPr="00354E9C">
        <w:rPr>
          <w:rFonts w:ascii="Palatino Linotype" w:eastAsia="Palatino Linotype" w:hAnsi="Palatino Linotype" w:cs="Palatino Linotype"/>
        </w:rPr>
        <w:t xml:space="preserve">Lo anterior, de conformidad a lo que señalan los artículos 3 fracciones IX, XX, XXI y XLV, 91, 132 fracciones II y III, y 143 </w:t>
      </w:r>
      <w:proofErr w:type="gramStart"/>
      <w:r w:rsidRPr="00354E9C">
        <w:rPr>
          <w:rFonts w:ascii="Palatino Linotype" w:eastAsia="Palatino Linotype" w:hAnsi="Palatino Linotype" w:cs="Palatino Linotype"/>
        </w:rPr>
        <w:t>fracción</w:t>
      </w:r>
      <w:proofErr w:type="gramEnd"/>
      <w:r w:rsidRPr="00354E9C">
        <w:rPr>
          <w:rFonts w:ascii="Palatino Linotype" w:eastAsia="Palatino Linotype" w:hAnsi="Palatino Linotype" w:cs="Palatino Linotype"/>
        </w:rPr>
        <w:t xml:space="preserve"> I de la Ley de Transparencia y Acceso a la Información Pública del Estado de México y Municipios que establecen:</w:t>
      </w:r>
    </w:p>
    <w:p w14:paraId="31997A5B" w14:textId="77777777" w:rsidR="0045345E" w:rsidRPr="00354E9C" w:rsidRDefault="00087E62">
      <w:pPr>
        <w:pBdr>
          <w:top w:val="nil"/>
          <w:left w:val="nil"/>
          <w:bottom w:val="nil"/>
          <w:right w:val="nil"/>
          <w:between w:val="nil"/>
        </w:pBdr>
        <w:spacing w:before="120" w:after="120"/>
        <w:ind w:left="567" w:right="902"/>
        <w:jc w:val="both"/>
      </w:pPr>
      <w:r w:rsidRPr="00354E9C">
        <w:rPr>
          <w:rFonts w:ascii="Palatino Linotype" w:eastAsia="Palatino Linotype" w:hAnsi="Palatino Linotype" w:cs="Palatino Linotype"/>
          <w:i/>
          <w:sz w:val="22"/>
          <w:szCs w:val="22"/>
        </w:rPr>
        <w:t>“</w:t>
      </w:r>
      <w:r w:rsidRPr="00354E9C">
        <w:rPr>
          <w:rFonts w:ascii="Palatino Linotype" w:eastAsia="Palatino Linotype" w:hAnsi="Palatino Linotype" w:cs="Palatino Linotype"/>
          <w:b/>
          <w:i/>
          <w:sz w:val="22"/>
          <w:szCs w:val="22"/>
        </w:rPr>
        <w:t>Artículo 3</w:t>
      </w:r>
      <w:r w:rsidRPr="00354E9C">
        <w:rPr>
          <w:rFonts w:ascii="Palatino Linotype" w:eastAsia="Palatino Linotype" w:hAnsi="Palatino Linotype" w:cs="Palatino Linotype"/>
          <w:i/>
          <w:sz w:val="22"/>
          <w:szCs w:val="22"/>
        </w:rPr>
        <w:t>. Para los efectos de la presente Ley se entenderá por:</w:t>
      </w:r>
    </w:p>
    <w:p w14:paraId="67F7D3B1" w14:textId="77777777" w:rsidR="0045345E" w:rsidRPr="00354E9C" w:rsidRDefault="00087E62">
      <w:pPr>
        <w:pBdr>
          <w:top w:val="nil"/>
          <w:left w:val="nil"/>
          <w:bottom w:val="nil"/>
          <w:right w:val="nil"/>
          <w:between w:val="nil"/>
        </w:pBdr>
        <w:spacing w:before="120" w:after="120"/>
        <w:ind w:left="567" w:right="902"/>
        <w:jc w:val="both"/>
      </w:pPr>
      <w:r w:rsidRPr="00354E9C">
        <w:rPr>
          <w:rFonts w:ascii="Palatino Linotype" w:eastAsia="Palatino Linotype" w:hAnsi="Palatino Linotype" w:cs="Palatino Linotype"/>
          <w:i/>
          <w:sz w:val="22"/>
          <w:szCs w:val="22"/>
        </w:rPr>
        <w:t>[…]</w:t>
      </w:r>
    </w:p>
    <w:p w14:paraId="298116F4" w14:textId="77777777" w:rsidR="0045345E" w:rsidRPr="00354E9C" w:rsidRDefault="00087E62">
      <w:pPr>
        <w:pBdr>
          <w:top w:val="nil"/>
          <w:left w:val="nil"/>
          <w:bottom w:val="nil"/>
          <w:right w:val="nil"/>
          <w:between w:val="nil"/>
        </w:pBdr>
        <w:spacing w:before="120" w:after="120"/>
        <w:ind w:left="567" w:right="902"/>
        <w:jc w:val="both"/>
      </w:pPr>
      <w:r w:rsidRPr="00354E9C">
        <w:rPr>
          <w:rFonts w:ascii="Palatino Linotype" w:eastAsia="Palatino Linotype" w:hAnsi="Palatino Linotype" w:cs="Palatino Linotype"/>
          <w:b/>
          <w:i/>
          <w:sz w:val="22"/>
          <w:szCs w:val="22"/>
        </w:rPr>
        <w:t>IX. Datos personales:</w:t>
      </w:r>
      <w:r w:rsidRPr="00354E9C">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585A4676" w14:textId="77777777" w:rsidR="0045345E" w:rsidRPr="00354E9C" w:rsidRDefault="00087E62">
      <w:pPr>
        <w:pBdr>
          <w:top w:val="nil"/>
          <w:left w:val="nil"/>
          <w:bottom w:val="nil"/>
          <w:right w:val="nil"/>
          <w:between w:val="nil"/>
        </w:pBdr>
        <w:spacing w:before="120" w:after="120"/>
        <w:ind w:left="567" w:right="902"/>
        <w:jc w:val="both"/>
      </w:pPr>
      <w:r w:rsidRPr="00354E9C">
        <w:rPr>
          <w:rFonts w:ascii="Palatino Linotype" w:eastAsia="Palatino Linotype" w:hAnsi="Palatino Linotype" w:cs="Palatino Linotype"/>
          <w:b/>
          <w:i/>
          <w:sz w:val="22"/>
          <w:szCs w:val="22"/>
        </w:rPr>
        <w:t>XX. Información clasificada</w:t>
      </w:r>
      <w:r w:rsidRPr="00354E9C">
        <w:rPr>
          <w:rFonts w:ascii="Palatino Linotype" w:eastAsia="Palatino Linotype" w:hAnsi="Palatino Linotype" w:cs="Palatino Linotype"/>
          <w:i/>
          <w:sz w:val="22"/>
          <w:szCs w:val="22"/>
        </w:rPr>
        <w:t>: Aquella considerada por la presente Ley como reservada o confidencial;</w:t>
      </w:r>
    </w:p>
    <w:p w14:paraId="1A4E0312" w14:textId="77777777" w:rsidR="0045345E" w:rsidRPr="00354E9C" w:rsidRDefault="00087E62">
      <w:pPr>
        <w:pBdr>
          <w:top w:val="nil"/>
          <w:left w:val="nil"/>
          <w:bottom w:val="nil"/>
          <w:right w:val="nil"/>
          <w:between w:val="nil"/>
        </w:pBdr>
        <w:spacing w:before="120" w:after="120"/>
        <w:ind w:left="567" w:right="902"/>
        <w:jc w:val="both"/>
      </w:pPr>
      <w:r w:rsidRPr="00354E9C">
        <w:rPr>
          <w:rFonts w:ascii="Palatino Linotype" w:eastAsia="Palatino Linotype" w:hAnsi="Palatino Linotype" w:cs="Palatino Linotype"/>
          <w:b/>
          <w:i/>
          <w:sz w:val="22"/>
          <w:szCs w:val="22"/>
        </w:rPr>
        <w:t>XXI. Información confidencial:</w:t>
      </w:r>
      <w:r w:rsidRPr="00354E9C">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w:t>
      </w:r>
      <w:r w:rsidRPr="00354E9C">
        <w:rPr>
          <w:rFonts w:ascii="Palatino Linotype" w:eastAsia="Palatino Linotype" w:hAnsi="Palatino Linotype" w:cs="Palatino Linotype"/>
          <w:i/>
          <w:sz w:val="22"/>
          <w:szCs w:val="22"/>
        </w:rPr>
        <w:lastRenderedPageBreak/>
        <w:t>titularidad corresponda a particulares, sujetos de derecho internacional o a sujetos obligados cuando no involucren el ejercicio de recursos públicos;</w:t>
      </w:r>
    </w:p>
    <w:p w14:paraId="3DD89A16" w14:textId="77777777" w:rsidR="0045345E" w:rsidRPr="00354E9C" w:rsidRDefault="00087E62">
      <w:pPr>
        <w:pBdr>
          <w:top w:val="nil"/>
          <w:left w:val="nil"/>
          <w:bottom w:val="nil"/>
          <w:right w:val="nil"/>
          <w:between w:val="nil"/>
        </w:pBdr>
        <w:spacing w:before="120" w:after="120"/>
        <w:ind w:left="567" w:right="902"/>
        <w:jc w:val="both"/>
      </w:pPr>
      <w:r w:rsidRPr="00354E9C">
        <w:rPr>
          <w:rFonts w:ascii="Palatino Linotype" w:eastAsia="Palatino Linotype" w:hAnsi="Palatino Linotype" w:cs="Palatino Linotype"/>
          <w:b/>
          <w:i/>
          <w:sz w:val="22"/>
          <w:szCs w:val="22"/>
        </w:rPr>
        <w:t>XLV. Versión pública:</w:t>
      </w:r>
      <w:r w:rsidRPr="00354E9C">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399C21F2" w14:textId="77777777" w:rsidR="0045345E" w:rsidRPr="00354E9C" w:rsidRDefault="00087E62">
      <w:pPr>
        <w:pBdr>
          <w:top w:val="nil"/>
          <w:left w:val="nil"/>
          <w:bottom w:val="nil"/>
          <w:right w:val="nil"/>
          <w:between w:val="nil"/>
        </w:pBdr>
        <w:spacing w:before="120" w:after="120"/>
        <w:ind w:left="567" w:right="902"/>
        <w:jc w:val="both"/>
      </w:pPr>
      <w:r w:rsidRPr="00354E9C">
        <w:rPr>
          <w:rFonts w:ascii="Palatino Linotype" w:eastAsia="Palatino Linotype" w:hAnsi="Palatino Linotype" w:cs="Palatino Linotype"/>
          <w:i/>
          <w:sz w:val="22"/>
          <w:szCs w:val="22"/>
        </w:rPr>
        <w:t>[…]</w:t>
      </w:r>
    </w:p>
    <w:p w14:paraId="35CF2698" w14:textId="77777777" w:rsidR="0045345E" w:rsidRPr="00354E9C" w:rsidRDefault="00087E62">
      <w:pPr>
        <w:pBdr>
          <w:top w:val="nil"/>
          <w:left w:val="nil"/>
          <w:bottom w:val="nil"/>
          <w:right w:val="nil"/>
          <w:between w:val="nil"/>
        </w:pBdr>
        <w:spacing w:before="120" w:after="120"/>
        <w:ind w:left="567" w:right="902"/>
        <w:jc w:val="both"/>
      </w:pPr>
      <w:r w:rsidRPr="00354E9C">
        <w:rPr>
          <w:rFonts w:ascii="Palatino Linotype" w:eastAsia="Palatino Linotype" w:hAnsi="Palatino Linotype" w:cs="Palatino Linotype"/>
          <w:b/>
          <w:i/>
          <w:sz w:val="22"/>
          <w:szCs w:val="22"/>
        </w:rPr>
        <w:t xml:space="preserve">Artículo 91. </w:t>
      </w:r>
      <w:r w:rsidRPr="00354E9C">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67085B59" w14:textId="77777777" w:rsidR="0045345E" w:rsidRPr="00354E9C" w:rsidRDefault="00087E62">
      <w:pPr>
        <w:pBdr>
          <w:top w:val="nil"/>
          <w:left w:val="nil"/>
          <w:bottom w:val="nil"/>
          <w:right w:val="nil"/>
          <w:between w:val="nil"/>
        </w:pBdr>
        <w:spacing w:before="120" w:after="120"/>
        <w:ind w:left="567" w:right="902"/>
        <w:jc w:val="both"/>
      </w:pPr>
      <w:r w:rsidRPr="00354E9C">
        <w:rPr>
          <w:rFonts w:ascii="Palatino Linotype" w:eastAsia="Palatino Linotype" w:hAnsi="Palatino Linotype" w:cs="Palatino Linotype"/>
          <w:b/>
          <w:i/>
          <w:sz w:val="22"/>
          <w:szCs w:val="22"/>
        </w:rPr>
        <w:t xml:space="preserve">Artículo 132. </w:t>
      </w:r>
      <w:r w:rsidRPr="00354E9C">
        <w:rPr>
          <w:rFonts w:ascii="Palatino Linotype" w:eastAsia="Palatino Linotype" w:hAnsi="Palatino Linotype" w:cs="Palatino Linotype"/>
          <w:i/>
          <w:sz w:val="22"/>
          <w:szCs w:val="22"/>
        </w:rPr>
        <w:t>La clasificación de la información se llevará a cabo en el momento en que:</w:t>
      </w:r>
    </w:p>
    <w:p w14:paraId="46A56622" w14:textId="77777777" w:rsidR="0045345E" w:rsidRPr="00354E9C" w:rsidRDefault="00087E62">
      <w:pPr>
        <w:pBdr>
          <w:top w:val="nil"/>
          <w:left w:val="nil"/>
          <w:bottom w:val="nil"/>
          <w:right w:val="nil"/>
          <w:between w:val="nil"/>
        </w:pBdr>
        <w:spacing w:before="120" w:after="120"/>
        <w:ind w:left="567" w:right="902"/>
        <w:jc w:val="both"/>
      </w:pPr>
      <w:r w:rsidRPr="00354E9C">
        <w:rPr>
          <w:rFonts w:ascii="Palatino Linotype" w:eastAsia="Palatino Linotype" w:hAnsi="Palatino Linotype" w:cs="Palatino Linotype"/>
          <w:b/>
          <w:i/>
          <w:sz w:val="22"/>
          <w:szCs w:val="22"/>
        </w:rPr>
        <w:t>I</w:t>
      </w:r>
      <w:r w:rsidRPr="00354E9C">
        <w:rPr>
          <w:rFonts w:ascii="Palatino Linotype" w:eastAsia="Palatino Linotype" w:hAnsi="Palatino Linotype" w:cs="Palatino Linotype"/>
          <w:i/>
          <w:sz w:val="22"/>
          <w:szCs w:val="22"/>
        </w:rPr>
        <w:t>. Se reciba una solicitud de acceso a la información;</w:t>
      </w:r>
    </w:p>
    <w:p w14:paraId="524C0968" w14:textId="77777777" w:rsidR="0045345E" w:rsidRPr="00354E9C" w:rsidRDefault="00087E62">
      <w:pPr>
        <w:pBdr>
          <w:top w:val="nil"/>
          <w:left w:val="nil"/>
          <w:bottom w:val="nil"/>
          <w:right w:val="nil"/>
          <w:between w:val="nil"/>
        </w:pBdr>
        <w:spacing w:before="120" w:after="120"/>
        <w:ind w:left="567" w:right="902"/>
        <w:jc w:val="both"/>
      </w:pPr>
      <w:r w:rsidRPr="00354E9C">
        <w:rPr>
          <w:rFonts w:ascii="Palatino Linotype" w:eastAsia="Palatino Linotype" w:hAnsi="Palatino Linotype" w:cs="Palatino Linotype"/>
          <w:b/>
          <w:i/>
          <w:sz w:val="22"/>
          <w:szCs w:val="22"/>
        </w:rPr>
        <w:t>II</w:t>
      </w:r>
      <w:r w:rsidRPr="00354E9C">
        <w:rPr>
          <w:rFonts w:ascii="Palatino Linotype" w:eastAsia="Palatino Linotype" w:hAnsi="Palatino Linotype" w:cs="Palatino Linotype"/>
          <w:i/>
          <w:sz w:val="22"/>
          <w:szCs w:val="22"/>
        </w:rPr>
        <w:t>. Se determine mediante resolución de autoridad competente; o</w:t>
      </w:r>
    </w:p>
    <w:p w14:paraId="4A11B991" w14:textId="77777777" w:rsidR="0045345E" w:rsidRPr="00354E9C" w:rsidRDefault="00087E62">
      <w:pPr>
        <w:pBdr>
          <w:top w:val="nil"/>
          <w:left w:val="nil"/>
          <w:bottom w:val="nil"/>
          <w:right w:val="nil"/>
          <w:between w:val="nil"/>
        </w:pBdr>
        <w:spacing w:before="120" w:after="120"/>
        <w:ind w:left="567" w:right="902"/>
        <w:jc w:val="both"/>
      </w:pPr>
      <w:r w:rsidRPr="00354E9C">
        <w:rPr>
          <w:rFonts w:ascii="Palatino Linotype" w:eastAsia="Palatino Linotype" w:hAnsi="Palatino Linotype" w:cs="Palatino Linotype"/>
          <w:b/>
          <w:i/>
          <w:sz w:val="22"/>
          <w:szCs w:val="22"/>
        </w:rPr>
        <w:t>III</w:t>
      </w:r>
      <w:r w:rsidRPr="00354E9C">
        <w:rPr>
          <w:rFonts w:ascii="Palatino Linotype" w:eastAsia="Palatino Linotype" w:hAnsi="Palatino Linotype" w:cs="Palatino Linotype"/>
          <w:i/>
          <w:sz w:val="22"/>
          <w:szCs w:val="22"/>
        </w:rPr>
        <w:t>. Se generen versiones públicas para dar cumplimiento a las obligaciones de transparencia previstas en esta Ley.</w:t>
      </w:r>
    </w:p>
    <w:p w14:paraId="2508C0E6" w14:textId="77777777" w:rsidR="0045345E" w:rsidRPr="00354E9C" w:rsidRDefault="00087E62">
      <w:pPr>
        <w:pBdr>
          <w:top w:val="nil"/>
          <w:left w:val="nil"/>
          <w:bottom w:val="nil"/>
          <w:right w:val="nil"/>
          <w:between w:val="nil"/>
        </w:pBdr>
        <w:spacing w:before="120" w:after="120"/>
        <w:ind w:left="567" w:right="902"/>
        <w:jc w:val="both"/>
      </w:pPr>
      <w:r w:rsidRPr="00354E9C">
        <w:rPr>
          <w:rFonts w:ascii="Palatino Linotype" w:eastAsia="Palatino Linotype" w:hAnsi="Palatino Linotype" w:cs="Palatino Linotype"/>
          <w:i/>
          <w:sz w:val="22"/>
          <w:szCs w:val="22"/>
        </w:rPr>
        <w:t>[…]</w:t>
      </w:r>
    </w:p>
    <w:p w14:paraId="5BDD0D7F" w14:textId="77777777" w:rsidR="0045345E" w:rsidRPr="00354E9C" w:rsidRDefault="00087E62">
      <w:pPr>
        <w:pBdr>
          <w:top w:val="nil"/>
          <w:left w:val="nil"/>
          <w:bottom w:val="nil"/>
          <w:right w:val="nil"/>
          <w:between w:val="nil"/>
        </w:pBdr>
        <w:spacing w:before="120" w:after="120"/>
        <w:ind w:left="567" w:right="902"/>
        <w:jc w:val="both"/>
      </w:pPr>
      <w:r w:rsidRPr="00354E9C">
        <w:rPr>
          <w:rFonts w:ascii="Palatino Linotype" w:eastAsia="Palatino Linotype" w:hAnsi="Palatino Linotype" w:cs="Palatino Linotype"/>
          <w:b/>
          <w:i/>
          <w:sz w:val="22"/>
          <w:szCs w:val="22"/>
        </w:rPr>
        <w:t>Artículo 143</w:t>
      </w:r>
      <w:r w:rsidRPr="00354E9C">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A5BA816" w14:textId="77777777" w:rsidR="0045345E" w:rsidRPr="00354E9C" w:rsidRDefault="00087E62">
      <w:pPr>
        <w:pBdr>
          <w:top w:val="nil"/>
          <w:left w:val="nil"/>
          <w:bottom w:val="nil"/>
          <w:right w:val="nil"/>
          <w:between w:val="nil"/>
        </w:pBdr>
        <w:spacing w:before="120" w:after="120"/>
        <w:ind w:left="567" w:right="902"/>
        <w:jc w:val="both"/>
      </w:pPr>
      <w:r w:rsidRPr="00354E9C">
        <w:rPr>
          <w:rFonts w:ascii="Palatino Linotype" w:eastAsia="Palatino Linotype" w:hAnsi="Palatino Linotype" w:cs="Palatino Linotype"/>
          <w:b/>
          <w:i/>
          <w:sz w:val="22"/>
          <w:szCs w:val="22"/>
        </w:rPr>
        <w:t>I.</w:t>
      </w:r>
      <w:r w:rsidRPr="00354E9C">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354E9C">
        <w:rPr>
          <w:rFonts w:ascii="Palatino Linotype" w:eastAsia="Palatino Linotype" w:hAnsi="Palatino Linotype" w:cs="Palatino Linotype"/>
          <w:i/>
          <w:sz w:val="22"/>
          <w:szCs w:val="22"/>
        </w:rPr>
        <w:t>jurídico</w:t>
      </w:r>
      <w:proofErr w:type="gramEnd"/>
      <w:r w:rsidRPr="00354E9C">
        <w:rPr>
          <w:rFonts w:ascii="Palatino Linotype" w:eastAsia="Palatino Linotype" w:hAnsi="Palatino Linotype" w:cs="Palatino Linotype"/>
          <w:i/>
          <w:sz w:val="22"/>
          <w:szCs w:val="22"/>
        </w:rPr>
        <w:t xml:space="preserve"> colectiva identificada o identificable;</w:t>
      </w:r>
    </w:p>
    <w:p w14:paraId="394C43DC" w14:textId="77777777" w:rsidR="0045345E" w:rsidRPr="00354E9C" w:rsidRDefault="00087E62">
      <w:pPr>
        <w:pBdr>
          <w:top w:val="nil"/>
          <w:left w:val="nil"/>
          <w:bottom w:val="nil"/>
          <w:right w:val="nil"/>
          <w:between w:val="nil"/>
        </w:pBdr>
        <w:spacing w:before="120" w:after="120"/>
        <w:ind w:left="567" w:right="902"/>
        <w:jc w:val="both"/>
      </w:pPr>
      <w:r w:rsidRPr="00354E9C">
        <w:rPr>
          <w:rFonts w:ascii="Palatino Linotype" w:eastAsia="Palatino Linotype" w:hAnsi="Palatino Linotype" w:cs="Palatino Linotype"/>
          <w:b/>
          <w:i/>
          <w:sz w:val="22"/>
          <w:szCs w:val="22"/>
        </w:rPr>
        <w:t>II.</w:t>
      </w:r>
      <w:r w:rsidRPr="00354E9C">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3DD43008" w14:textId="77777777" w:rsidR="0045345E" w:rsidRPr="00354E9C" w:rsidRDefault="00087E62">
      <w:pPr>
        <w:pBdr>
          <w:top w:val="nil"/>
          <w:left w:val="nil"/>
          <w:bottom w:val="nil"/>
          <w:right w:val="nil"/>
          <w:between w:val="nil"/>
        </w:pBdr>
        <w:spacing w:before="120" w:after="120"/>
        <w:ind w:left="567" w:right="902"/>
        <w:jc w:val="both"/>
      </w:pPr>
      <w:r w:rsidRPr="00354E9C">
        <w:rPr>
          <w:rFonts w:ascii="Palatino Linotype" w:eastAsia="Palatino Linotype" w:hAnsi="Palatino Linotype" w:cs="Palatino Linotype"/>
          <w:b/>
          <w:i/>
          <w:sz w:val="22"/>
          <w:szCs w:val="22"/>
        </w:rPr>
        <w:t>III</w:t>
      </w:r>
      <w:r w:rsidRPr="00354E9C">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104365F8" w14:textId="77777777" w:rsidR="0045345E" w:rsidRPr="00354E9C" w:rsidRDefault="00087E62">
      <w:pPr>
        <w:pBdr>
          <w:top w:val="nil"/>
          <w:left w:val="nil"/>
          <w:bottom w:val="nil"/>
          <w:right w:val="nil"/>
          <w:between w:val="nil"/>
        </w:pBdr>
        <w:spacing w:before="120" w:after="120"/>
        <w:ind w:left="567" w:right="902"/>
        <w:jc w:val="both"/>
      </w:pPr>
      <w:r w:rsidRPr="00354E9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4ABA461" w14:textId="77777777" w:rsidR="0045345E" w:rsidRPr="00354E9C" w:rsidRDefault="00087E62">
      <w:pPr>
        <w:pBdr>
          <w:top w:val="nil"/>
          <w:left w:val="nil"/>
          <w:bottom w:val="nil"/>
          <w:right w:val="nil"/>
          <w:between w:val="nil"/>
        </w:pBdr>
        <w:spacing w:before="120" w:after="120"/>
        <w:ind w:left="567" w:right="902"/>
        <w:jc w:val="both"/>
      </w:pPr>
      <w:r w:rsidRPr="00354E9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7CDC314" w14:textId="77777777" w:rsidR="0045345E" w:rsidRPr="00354E9C" w:rsidRDefault="00087E62">
      <w:pPr>
        <w:pBdr>
          <w:top w:val="nil"/>
          <w:left w:val="nil"/>
          <w:bottom w:val="nil"/>
          <w:right w:val="nil"/>
          <w:between w:val="nil"/>
        </w:pBdr>
        <w:spacing w:before="240" w:after="240" w:line="360" w:lineRule="auto"/>
        <w:jc w:val="both"/>
      </w:pPr>
      <w:r w:rsidRPr="00354E9C">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w:t>
      </w:r>
      <w:r w:rsidRPr="00354E9C">
        <w:rPr>
          <w:rFonts w:ascii="Palatino Linotype" w:eastAsia="Palatino Linotype" w:hAnsi="Palatino Linotype" w:cs="Palatino Linotype"/>
        </w:rPr>
        <w:lastRenderedPageBreak/>
        <w:t>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BC1A5B1" w14:textId="77777777" w:rsidR="0045345E" w:rsidRPr="00354E9C" w:rsidRDefault="00087E62">
      <w:pPr>
        <w:pBdr>
          <w:top w:val="nil"/>
          <w:left w:val="nil"/>
          <w:bottom w:val="nil"/>
          <w:right w:val="nil"/>
          <w:between w:val="nil"/>
        </w:pBdr>
        <w:spacing w:line="360" w:lineRule="auto"/>
        <w:jc w:val="both"/>
      </w:pPr>
      <w:r w:rsidRPr="00354E9C">
        <w:rPr>
          <w:rFonts w:ascii="Palatino Linotype" w:eastAsia="Palatino Linotype" w:hAnsi="Palatino Linotype" w:cs="Palatino Linotype"/>
        </w:rPr>
        <w:t xml:space="preserve">Entorno a lo que aquí nos interesa, los Lineamientos Quincuagésimo, Quincuagésimo primero, Quincuagésimo segundo, Quincuagésimo tercero, Quincuagésimo cuarto y Quincuagésimo quinto señalan las formalidades que deberá llevar el acuerdo de clasificación que deberá emitir el </w:t>
      </w:r>
      <w:r w:rsidRPr="00354E9C">
        <w:rPr>
          <w:rFonts w:ascii="Palatino Linotype" w:eastAsia="Palatino Linotype" w:hAnsi="Palatino Linotype" w:cs="Palatino Linotype"/>
          <w:b/>
        </w:rPr>
        <w:t>Sujeto Obligado</w:t>
      </w:r>
      <w:r w:rsidRPr="00354E9C">
        <w:rPr>
          <w:rFonts w:ascii="Palatino Linotype" w:eastAsia="Palatino Linotype" w:hAnsi="Palatino Linotype" w:cs="Palatino Linotype"/>
        </w:rPr>
        <w:t>, siendo estas las siguientes:</w:t>
      </w:r>
    </w:p>
    <w:p w14:paraId="0EFE3F76" w14:textId="77777777" w:rsidR="0045345E" w:rsidRPr="00354E9C" w:rsidRDefault="0045345E"/>
    <w:p w14:paraId="4AD54245" w14:textId="77777777" w:rsidR="0045345E" w:rsidRPr="00354E9C" w:rsidRDefault="00087E62">
      <w:pPr>
        <w:pBdr>
          <w:top w:val="nil"/>
          <w:left w:val="nil"/>
          <w:bottom w:val="nil"/>
          <w:right w:val="nil"/>
          <w:between w:val="nil"/>
        </w:pBdr>
        <w:ind w:left="567"/>
        <w:jc w:val="both"/>
      </w:pPr>
      <w:r w:rsidRPr="00354E9C">
        <w:rPr>
          <w:rFonts w:ascii="Palatino Linotype" w:eastAsia="Palatino Linotype" w:hAnsi="Palatino Linotype" w:cs="Palatino Linotype"/>
          <w:i/>
          <w:sz w:val="22"/>
          <w:szCs w:val="22"/>
        </w:rPr>
        <w:t>“CAPÍTULO VIII </w:t>
      </w:r>
    </w:p>
    <w:p w14:paraId="725C37F1" w14:textId="77777777" w:rsidR="0045345E" w:rsidRPr="00354E9C" w:rsidRDefault="00087E62">
      <w:pPr>
        <w:pBdr>
          <w:top w:val="nil"/>
          <w:left w:val="nil"/>
          <w:bottom w:val="nil"/>
          <w:right w:val="nil"/>
          <w:between w:val="nil"/>
        </w:pBdr>
        <w:ind w:left="567"/>
        <w:jc w:val="both"/>
      </w:pPr>
      <w:r w:rsidRPr="00354E9C">
        <w:rPr>
          <w:rFonts w:ascii="Palatino Linotype" w:eastAsia="Palatino Linotype" w:hAnsi="Palatino Linotype" w:cs="Palatino Linotype"/>
          <w:i/>
          <w:sz w:val="22"/>
          <w:szCs w:val="22"/>
        </w:rPr>
        <w:t>DE LOS ELEMENTOS PARA LA CLASIFICACIÓN </w:t>
      </w:r>
    </w:p>
    <w:p w14:paraId="56DB0173" w14:textId="77777777" w:rsidR="0045345E" w:rsidRPr="00354E9C" w:rsidRDefault="00087E62">
      <w:pPr>
        <w:pBdr>
          <w:top w:val="nil"/>
          <w:left w:val="nil"/>
          <w:bottom w:val="nil"/>
          <w:right w:val="nil"/>
          <w:between w:val="nil"/>
        </w:pBdr>
        <w:ind w:left="567" w:right="900"/>
        <w:jc w:val="both"/>
      </w:pPr>
      <w:r w:rsidRPr="00354E9C">
        <w:rPr>
          <w:rFonts w:ascii="Palatino Linotype" w:eastAsia="Palatino Linotype" w:hAnsi="Palatino Linotype" w:cs="Palatino Linotype"/>
          <w:b/>
          <w:i/>
          <w:sz w:val="22"/>
          <w:szCs w:val="22"/>
        </w:rPr>
        <w:t>Quincuagésimo.</w:t>
      </w:r>
      <w:r w:rsidRPr="00354E9C">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AD37E02" w14:textId="77777777" w:rsidR="0045345E" w:rsidRPr="00354E9C" w:rsidRDefault="00087E62">
      <w:pPr>
        <w:pBdr>
          <w:top w:val="nil"/>
          <w:left w:val="nil"/>
          <w:bottom w:val="nil"/>
          <w:right w:val="nil"/>
          <w:between w:val="nil"/>
        </w:pBdr>
        <w:ind w:left="567" w:right="900"/>
        <w:jc w:val="both"/>
      </w:pPr>
      <w:r w:rsidRPr="00354E9C">
        <w:rPr>
          <w:rFonts w:ascii="Palatino Linotype" w:eastAsia="Palatino Linotype" w:hAnsi="Palatino Linotype" w:cs="Palatino Linotype"/>
          <w:b/>
          <w:i/>
          <w:sz w:val="22"/>
          <w:szCs w:val="22"/>
        </w:rPr>
        <w:t>Quincuagésimo primero.</w:t>
      </w:r>
      <w:r w:rsidRPr="00354E9C">
        <w:rPr>
          <w:rFonts w:ascii="Palatino Linotype" w:eastAsia="Palatino Linotype" w:hAnsi="Palatino Linotype" w:cs="Palatino Linotype"/>
          <w:i/>
          <w:sz w:val="22"/>
          <w:szCs w:val="22"/>
        </w:rPr>
        <w:t xml:space="preserve"> Toda acta del Comité de Transparencia deberá contener: </w:t>
      </w:r>
    </w:p>
    <w:p w14:paraId="0E95D56B" w14:textId="77777777" w:rsidR="0045345E" w:rsidRPr="00354E9C" w:rsidRDefault="00087E62">
      <w:pPr>
        <w:numPr>
          <w:ilvl w:val="0"/>
          <w:numId w:val="4"/>
        </w:numPr>
        <w:pBdr>
          <w:top w:val="nil"/>
          <w:left w:val="nil"/>
          <w:bottom w:val="nil"/>
          <w:right w:val="nil"/>
          <w:between w:val="nil"/>
        </w:pBdr>
        <w:ind w:left="567" w:right="900"/>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El número de sesión y fecha; </w:t>
      </w:r>
    </w:p>
    <w:p w14:paraId="25291050" w14:textId="77777777" w:rsidR="0045345E" w:rsidRPr="00354E9C" w:rsidRDefault="00087E62">
      <w:pPr>
        <w:numPr>
          <w:ilvl w:val="0"/>
          <w:numId w:val="4"/>
        </w:numPr>
        <w:pBdr>
          <w:top w:val="nil"/>
          <w:left w:val="nil"/>
          <w:bottom w:val="nil"/>
          <w:right w:val="nil"/>
          <w:between w:val="nil"/>
        </w:pBdr>
        <w:ind w:left="709" w:right="900"/>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El nombre del área que solicitó la clasificación de información; </w:t>
      </w:r>
    </w:p>
    <w:p w14:paraId="33638782" w14:textId="77777777" w:rsidR="0045345E" w:rsidRPr="00354E9C" w:rsidRDefault="00087E62">
      <w:pPr>
        <w:numPr>
          <w:ilvl w:val="0"/>
          <w:numId w:val="4"/>
        </w:numPr>
        <w:pBdr>
          <w:top w:val="nil"/>
          <w:left w:val="nil"/>
          <w:bottom w:val="nil"/>
          <w:right w:val="nil"/>
          <w:between w:val="nil"/>
        </w:pBdr>
        <w:ind w:left="709" w:right="900"/>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La fundamentación legal y motivación correspondiente; </w:t>
      </w:r>
    </w:p>
    <w:p w14:paraId="0C5253C8" w14:textId="77777777" w:rsidR="0045345E" w:rsidRPr="00354E9C" w:rsidRDefault="00087E62">
      <w:pPr>
        <w:numPr>
          <w:ilvl w:val="0"/>
          <w:numId w:val="4"/>
        </w:numPr>
        <w:pBdr>
          <w:top w:val="nil"/>
          <w:left w:val="nil"/>
          <w:bottom w:val="nil"/>
          <w:right w:val="nil"/>
          <w:between w:val="nil"/>
        </w:pBdr>
        <w:ind w:left="709" w:right="900"/>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La resolución o resoluciones aprobadas; y </w:t>
      </w:r>
    </w:p>
    <w:p w14:paraId="4D64D30E" w14:textId="77777777" w:rsidR="0045345E" w:rsidRPr="00354E9C" w:rsidRDefault="00087E62">
      <w:pPr>
        <w:numPr>
          <w:ilvl w:val="0"/>
          <w:numId w:val="4"/>
        </w:numPr>
        <w:pBdr>
          <w:top w:val="nil"/>
          <w:left w:val="nil"/>
          <w:bottom w:val="nil"/>
          <w:right w:val="nil"/>
          <w:between w:val="nil"/>
        </w:pBdr>
        <w:ind w:left="709" w:right="900"/>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La rúbrica o firma digital de cada integrante del Comité de Transparencia. </w:t>
      </w:r>
    </w:p>
    <w:p w14:paraId="3001B127" w14:textId="77777777" w:rsidR="0045345E" w:rsidRPr="00354E9C" w:rsidRDefault="00087E62">
      <w:pPr>
        <w:pBdr>
          <w:top w:val="nil"/>
          <w:left w:val="nil"/>
          <w:bottom w:val="nil"/>
          <w:right w:val="nil"/>
          <w:between w:val="nil"/>
        </w:pBdr>
        <w:ind w:left="567" w:right="900"/>
        <w:jc w:val="both"/>
      </w:pPr>
      <w:r w:rsidRPr="00354E9C">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 </w:t>
      </w:r>
    </w:p>
    <w:p w14:paraId="4BF602AE" w14:textId="77777777" w:rsidR="0045345E" w:rsidRPr="00354E9C" w:rsidRDefault="00087E62">
      <w:pPr>
        <w:pBdr>
          <w:top w:val="nil"/>
          <w:left w:val="nil"/>
          <w:bottom w:val="nil"/>
          <w:right w:val="nil"/>
          <w:between w:val="nil"/>
        </w:pBdr>
        <w:ind w:left="567" w:right="900"/>
        <w:jc w:val="both"/>
      </w:pPr>
      <w:r w:rsidRPr="00354E9C">
        <w:rPr>
          <w:rFonts w:ascii="Palatino Linotype" w:eastAsia="Palatino Linotype" w:hAnsi="Palatino Linotype" w:cs="Palatino Linotype"/>
          <w:i/>
          <w:sz w:val="22"/>
          <w:szCs w:val="22"/>
        </w:rPr>
        <w:t>I. Los motivos y razonamientos que sustenten la confirmación o modificación de la prueba de daño;</w:t>
      </w:r>
    </w:p>
    <w:p w14:paraId="37D19B10" w14:textId="77777777" w:rsidR="0045345E" w:rsidRPr="00354E9C" w:rsidRDefault="00087E62">
      <w:pPr>
        <w:pBdr>
          <w:top w:val="nil"/>
          <w:left w:val="nil"/>
          <w:bottom w:val="nil"/>
          <w:right w:val="nil"/>
          <w:between w:val="nil"/>
        </w:pBdr>
        <w:ind w:left="567" w:right="900"/>
        <w:jc w:val="both"/>
      </w:pPr>
      <w:r w:rsidRPr="00354E9C">
        <w:rPr>
          <w:rFonts w:ascii="Palatino Linotype" w:eastAsia="Palatino Linotype" w:hAnsi="Palatino Linotype" w:cs="Palatino Linotype"/>
          <w:i/>
          <w:sz w:val="22"/>
          <w:szCs w:val="22"/>
        </w:rPr>
        <w:t>II. Descripción de las partes o secciones reservadas, en caso de clasificación parcial; </w:t>
      </w:r>
    </w:p>
    <w:p w14:paraId="7F368415" w14:textId="77777777" w:rsidR="0045345E" w:rsidRPr="00354E9C" w:rsidRDefault="00087E62">
      <w:pPr>
        <w:pBdr>
          <w:top w:val="nil"/>
          <w:left w:val="nil"/>
          <w:bottom w:val="nil"/>
          <w:right w:val="nil"/>
          <w:between w:val="nil"/>
        </w:pBdr>
        <w:ind w:left="567" w:right="900"/>
        <w:jc w:val="both"/>
      </w:pPr>
      <w:r w:rsidRPr="00354E9C">
        <w:rPr>
          <w:rFonts w:ascii="Palatino Linotype" w:eastAsia="Palatino Linotype" w:hAnsi="Palatino Linotype" w:cs="Palatino Linotype"/>
          <w:i/>
          <w:sz w:val="22"/>
          <w:szCs w:val="22"/>
        </w:rPr>
        <w:lastRenderedPageBreak/>
        <w:t>III. El periodo por el que mantendrá su clasificación y fecha de expiración; y </w:t>
      </w:r>
    </w:p>
    <w:p w14:paraId="69762093" w14:textId="77777777" w:rsidR="0045345E" w:rsidRPr="00354E9C" w:rsidRDefault="00087E62">
      <w:pPr>
        <w:pBdr>
          <w:top w:val="nil"/>
          <w:left w:val="nil"/>
          <w:bottom w:val="nil"/>
          <w:right w:val="nil"/>
          <w:between w:val="nil"/>
        </w:pBdr>
        <w:ind w:left="567" w:right="900"/>
        <w:jc w:val="both"/>
      </w:pPr>
      <w:r w:rsidRPr="00354E9C">
        <w:rPr>
          <w:rFonts w:ascii="Palatino Linotype" w:eastAsia="Palatino Linotype" w:hAnsi="Palatino Linotype" w:cs="Palatino Linotype"/>
          <w:i/>
          <w:sz w:val="22"/>
          <w:szCs w:val="22"/>
        </w:rPr>
        <w:t>IV. El nombre del titular y área encargada de realizar la versión pública del documento, en su caso. </w:t>
      </w:r>
    </w:p>
    <w:p w14:paraId="73CC867C" w14:textId="77777777" w:rsidR="0045345E" w:rsidRPr="00354E9C" w:rsidRDefault="00087E62">
      <w:pPr>
        <w:pBdr>
          <w:top w:val="nil"/>
          <w:left w:val="nil"/>
          <w:bottom w:val="nil"/>
          <w:right w:val="nil"/>
          <w:between w:val="nil"/>
        </w:pBdr>
        <w:ind w:left="567" w:right="900"/>
        <w:jc w:val="both"/>
      </w:pPr>
      <w:r w:rsidRPr="00354E9C">
        <w:rPr>
          <w:rFonts w:ascii="Palatino Linotype" w:eastAsia="Palatino Linotype" w:hAnsi="Palatino Linotype" w:cs="Palatino Linotype"/>
          <w:i/>
          <w:sz w:val="22"/>
          <w:szCs w:val="22"/>
        </w:rPr>
        <w:t>En los casos en que se clasifique la información como reservada siempre se entregará o anexará la prueba de daño con la respuesta al solicitante. </w:t>
      </w:r>
    </w:p>
    <w:p w14:paraId="08503025" w14:textId="77777777" w:rsidR="0045345E" w:rsidRPr="00354E9C" w:rsidRDefault="00087E62">
      <w:pPr>
        <w:pBdr>
          <w:top w:val="nil"/>
          <w:left w:val="nil"/>
          <w:bottom w:val="nil"/>
          <w:right w:val="nil"/>
          <w:between w:val="nil"/>
        </w:pBdr>
        <w:ind w:left="567" w:right="900"/>
        <w:jc w:val="both"/>
      </w:pPr>
      <w:r w:rsidRPr="00354E9C">
        <w:rPr>
          <w:rFonts w:ascii="Palatino Linotype" w:eastAsia="Palatino Linotype" w:hAnsi="Palatino Linotype" w:cs="Palatino Linotype"/>
          <w:b/>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753C0E7" w14:textId="77777777" w:rsidR="0045345E" w:rsidRPr="00354E9C" w:rsidRDefault="00087E62">
      <w:pPr>
        <w:pBdr>
          <w:top w:val="nil"/>
          <w:left w:val="nil"/>
          <w:bottom w:val="nil"/>
          <w:right w:val="nil"/>
          <w:between w:val="nil"/>
        </w:pBdr>
        <w:ind w:left="567" w:right="900"/>
        <w:jc w:val="both"/>
      </w:pPr>
      <w:r w:rsidRPr="00354E9C">
        <w:rPr>
          <w:rFonts w:ascii="Palatino Linotype" w:eastAsia="Palatino Linotype" w:hAnsi="Palatino Linotype" w:cs="Palatino Linotype"/>
          <w:b/>
          <w:i/>
          <w:sz w:val="22"/>
          <w:szCs w:val="22"/>
        </w:rPr>
        <w:t xml:space="preserve">Quincuagésimo segundo. </w:t>
      </w:r>
      <w:r w:rsidRPr="00354E9C">
        <w:rPr>
          <w:rFonts w:ascii="Palatino Linotype" w:eastAsia="Palatino Linotype" w:hAnsi="Palatino Linotype" w:cs="Palatino Linotype"/>
          <w:i/>
          <w:sz w:val="22"/>
          <w:szCs w:val="22"/>
        </w:rPr>
        <w:t xml:space="preserve">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354E9C">
        <w:rPr>
          <w:rFonts w:ascii="Palatino Linotype" w:eastAsia="Palatino Linotype" w:hAnsi="Palatino Linotype" w:cs="Palatino Linotype"/>
          <w:i/>
          <w:sz w:val="22"/>
          <w:szCs w:val="22"/>
        </w:rPr>
        <w:t>sobreposición</w:t>
      </w:r>
      <w:proofErr w:type="spellEnd"/>
      <w:r w:rsidRPr="00354E9C">
        <w:rPr>
          <w:rFonts w:ascii="Palatino Linotype" w:eastAsia="Palatino Linotype" w:hAnsi="Palatino Linotype" w:cs="Palatino Linotype"/>
          <w:i/>
          <w:sz w:val="22"/>
          <w:szCs w:val="22"/>
        </w:rPr>
        <w:t xml:space="preserve"> de contenido distinto al autorizado por el Comité.</w:t>
      </w:r>
    </w:p>
    <w:p w14:paraId="331C2001" w14:textId="77777777" w:rsidR="0045345E" w:rsidRPr="00354E9C" w:rsidRDefault="00087E62">
      <w:pPr>
        <w:pBdr>
          <w:top w:val="nil"/>
          <w:left w:val="nil"/>
          <w:bottom w:val="nil"/>
          <w:right w:val="nil"/>
          <w:between w:val="nil"/>
        </w:pBdr>
        <w:ind w:left="567" w:right="900"/>
        <w:jc w:val="both"/>
      </w:pPr>
      <w:r w:rsidRPr="00354E9C">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5904A825" w14:textId="77777777" w:rsidR="0045345E" w:rsidRPr="00354E9C" w:rsidRDefault="00087E62">
      <w:pPr>
        <w:pBdr>
          <w:top w:val="nil"/>
          <w:left w:val="nil"/>
          <w:bottom w:val="nil"/>
          <w:right w:val="nil"/>
          <w:between w:val="nil"/>
        </w:pBdr>
        <w:ind w:left="567" w:right="900"/>
        <w:jc w:val="both"/>
      </w:pPr>
      <w:r w:rsidRPr="00354E9C">
        <w:rPr>
          <w:rFonts w:ascii="Palatino Linotype" w:eastAsia="Palatino Linotype" w:hAnsi="Palatino Linotype" w:cs="Palatino Linotype"/>
          <w:i/>
          <w:sz w:val="22"/>
          <w:szCs w:val="22"/>
        </w:rPr>
        <w:t>I. Fijar la fecha en que se elaboró la versión pública y la fecha en la cual el Comité de</w:t>
      </w:r>
    </w:p>
    <w:p w14:paraId="22B36EDB" w14:textId="77777777" w:rsidR="0045345E" w:rsidRPr="00354E9C" w:rsidRDefault="00087E62">
      <w:pPr>
        <w:pBdr>
          <w:top w:val="nil"/>
          <w:left w:val="nil"/>
          <w:bottom w:val="nil"/>
          <w:right w:val="nil"/>
          <w:between w:val="nil"/>
        </w:pBdr>
        <w:ind w:left="567" w:right="900"/>
        <w:jc w:val="both"/>
      </w:pPr>
      <w:r w:rsidRPr="00354E9C">
        <w:rPr>
          <w:rFonts w:ascii="Palatino Linotype" w:eastAsia="Palatino Linotype" w:hAnsi="Palatino Linotype" w:cs="Palatino Linotype"/>
          <w:i/>
          <w:sz w:val="22"/>
          <w:szCs w:val="22"/>
        </w:rPr>
        <w:t>Transparencia confirmó dicha versión;</w:t>
      </w:r>
    </w:p>
    <w:p w14:paraId="58B0921C" w14:textId="77777777" w:rsidR="0045345E" w:rsidRPr="00354E9C" w:rsidRDefault="00087E62">
      <w:pPr>
        <w:pBdr>
          <w:top w:val="nil"/>
          <w:left w:val="nil"/>
          <w:bottom w:val="nil"/>
          <w:right w:val="nil"/>
          <w:between w:val="nil"/>
        </w:pBdr>
        <w:ind w:left="567" w:right="900"/>
        <w:jc w:val="both"/>
      </w:pPr>
      <w:r w:rsidRPr="00354E9C">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08E2321D" w14:textId="77777777" w:rsidR="0045345E" w:rsidRPr="00354E9C" w:rsidRDefault="00087E62">
      <w:pPr>
        <w:pBdr>
          <w:top w:val="nil"/>
          <w:left w:val="nil"/>
          <w:bottom w:val="nil"/>
          <w:right w:val="nil"/>
          <w:between w:val="nil"/>
        </w:pBdr>
        <w:ind w:left="567" w:right="900"/>
        <w:jc w:val="both"/>
      </w:pPr>
      <w:r w:rsidRPr="00354E9C">
        <w:rPr>
          <w:rFonts w:ascii="Palatino Linotype" w:eastAsia="Palatino Linotype" w:hAnsi="Palatino Linotype" w:cs="Palatino Linotype"/>
          <w:i/>
          <w:sz w:val="22"/>
          <w:szCs w:val="22"/>
        </w:rPr>
        <w:t>III. Señalar las personas o instancias autorizadas a acceder a la información clasificada.</w:t>
      </w:r>
    </w:p>
    <w:p w14:paraId="68A93243" w14:textId="77777777" w:rsidR="0045345E" w:rsidRPr="00354E9C" w:rsidRDefault="00087E62">
      <w:pPr>
        <w:pBdr>
          <w:top w:val="nil"/>
          <w:left w:val="nil"/>
          <w:bottom w:val="nil"/>
          <w:right w:val="nil"/>
          <w:between w:val="nil"/>
        </w:pBdr>
        <w:ind w:left="567" w:right="900"/>
        <w:jc w:val="both"/>
      </w:pPr>
      <w:r w:rsidRPr="00354E9C">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r w:rsidRPr="00354E9C">
        <w:rPr>
          <w:noProof/>
          <w:lang w:val="es-MX"/>
        </w:rPr>
        <w:drawing>
          <wp:inline distT="0" distB="0" distL="0" distR="0" wp14:anchorId="43C7E985" wp14:editId="675673BF">
            <wp:extent cx="4572000" cy="333375"/>
            <wp:effectExtent l="0" t="0" r="0" b="0"/>
            <wp:docPr id="4" name="image3.png" descr="https://lh7-us.googleusercontent.com/x2KxGI00GIuoGHm0-k8A_D36shelZSvaPv4SGpYOxjCadbNECapazkNcs2qCvhe5kZcShJeQZdYnXCj6sSenAytb3xlznHvWMZzr7t08QK2hM0Tfl7Z2h4WZvxxJrXf7Oi3sfPv_3J2ao7ERJkE_zhXT1puoGZo4JJeI6q_YPejHOFlbhtPl7K6ewKe5WQI"/>
            <wp:cNvGraphicFramePr/>
            <a:graphic xmlns:a="http://schemas.openxmlformats.org/drawingml/2006/main">
              <a:graphicData uri="http://schemas.openxmlformats.org/drawingml/2006/picture">
                <pic:pic xmlns:pic="http://schemas.openxmlformats.org/drawingml/2006/picture">
                  <pic:nvPicPr>
                    <pic:cNvPr id="0" name="image3.png" descr="https://lh7-us.googleusercontent.com/x2KxGI00GIuoGHm0-k8A_D36shelZSvaPv4SGpYOxjCadbNECapazkNcs2qCvhe5kZcShJeQZdYnXCj6sSenAytb3xlznHvWMZzr7t08QK2hM0Tfl7Z2h4WZvxxJrXf7Oi3sfPv_3J2ao7ERJkE_zhXT1puoGZo4JJeI6q_YPejHOFlbhtPl7K6ewKe5WQI"/>
                    <pic:cNvPicPr preferRelativeResize="0"/>
                  </pic:nvPicPr>
                  <pic:blipFill>
                    <a:blip r:embed="rId13"/>
                    <a:srcRect/>
                    <a:stretch>
                      <a:fillRect/>
                    </a:stretch>
                  </pic:blipFill>
                  <pic:spPr>
                    <a:xfrm>
                      <a:off x="0" y="0"/>
                      <a:ext cx="4572000" cy="333375"/>
                    </a:xfrm>
                    <a:prstGeom prst="rect">
                      <a:avLst/>
                    </a:prstGeom>
                    <a:ln/>
                  </pic:spPr>
                </pic:pic>
              </a:graphicData>
            </a:graphic>
          </wp:inline>
        </w:drawing>
      </w:r>
    </w:p>
    <w:p w14:paraId="3DFA293A" w14:textId="77777777" w:rsidR="0045345E" w:rsidRPr="00354E9C" w:rsidRDefault="00087E62">
      <w:pPr>
        <w:pBdr>
          <w:top w:val="nil"/>
          <w:left w:val="nil"/>
          <w:bottom w:val="nil"/>
          <w:right w:val="nil"/>
          <w:between w:val="nil"/>
        </w:pBdr>
        <w:ind w:left="567" w:right="900"/>
        <w:jc w:val="both"/>
      </w:pPr>
      <w:r w:rsidRPr="00354E9C">
        <w:rPr>
          <w:rFonts w:ascii="Palatino Linotype" w:eastAsia="Palatino Linotype" w:hAnsi="Palatino Linotype" w:cs="Palatino Linotype"/>
          <w:b/>
          <w:i/>
          <w:noProof/>
          <w:sz w:val="22"/>
          <w:szCs w:val="22"/>
          <w:lang w:val="es-MX"/>
        </w:rPr>
        <w:lastRenderedPageBreak/>
        <w:drawing>
          <wp:inline distT="0" distB="0" distL="0" distR="0" wp14:anchorId="7AA35DD2" wp14:editId="68532FA8">
            <wp:extent cx="4572000" cy="5143500"/>
            <wp:effectExtent l="0" t="0" r="0" b="0"/>
            <wp:docPr id="6" name="image5.png" descr="https://lh7-us.googleusercontent.com/b5CW5RuXjKEFeo9wU2nLWT8yi_YPQ5Yu4P4459dMP8x9er3j7xqWpLiCwfw_20yFZpsXEvdOEYkCsCEPmMNmeeVJXhujZYN3HNZEcJq3GvaILgZCsbYWEka1fACo6NhExzH9MJZsYbMOs7ewcdxiZF-S2srv6-_hX-I0ExslkcK-SN7ISy9goygpAhwFQK8"/>
            <wp:cNvGraphicFramePr/>
            <a:graphic xmlns:a="http://schemas.openxmlformats.org/drawingml/2006/main">
              <a:graphicData uri="http://schemas.openxmlformats.org/drawingml/2006/picture">
                <pic:pic xmlns:pic="http://schemas.openxmlformats.org/drawingml/2006/picture">
                  <pic:nvPicPr>
                    <pic:cNvPr id="0" name="image5.png" descr="https://lh7-us.googleusercontent.com/b5CW5RuXjKEFeo9wU2nLWT8yi_YPQ5Yu4P4459dMP8x9er3j7xqWpLiCwfw_20yFZpsXEvdOEYkCsCEPmMNmeeVJXhujZYN3HNZEcJq3GvaILgZCsbYWEka1fACo6NhExzH9MJZsYbMOs7ewcdxiZF-S2srv6-_hX-I0ExslkcK-SN7ISy9goygpAhwFQK8"/>
                    <pic:cNvPicPr preferRelativeResize="0"/>
                  </pic:nvPicPr>
                  <pic:blipFill>
                    <a:blip r:embed="rId14"/>
                    <a:srcRect/>
                    <a:stretch>
                      <a:fillRect/>
                    </a:stretch>
                  </pic:blipFill>
                  <pic:spPr>
                    <a:xfrm>
                      <a:off x="0" y="0"/>
                      <a:ext cx="4572000" cy="5143500"/>
                    </a:xfrm>
                    <a:prstGeom prst="rect">
                      <a:avLst/>
                    </a:prstGeom>
                    <a:ln/>
                  </pic:spPr>
                </pic:pic>
              </a:graphicData>
            </a:graphic>
          </wp:inline>
        </w:drawing>
      </w:r>
    </w:p>
    <w:p w14:paraId="410C7DB2" w14:textId="77777777" w:rsidR="0045345E" w:rsidRPr="00354E9C" w:rsidRDefault="0045345E"/>
    <w:p w14:paraId="173EF786" w14:textId="77777777" w:rsidR="0045345E" w:rsidRPr="00354E9C" w:rsidRDefault="00087E62">
      <w:pPr>
        <w:pBdr>
          <w:top w:val="nil"/>
          <w:left w:val="nil"/>
          <w:bottom w:val="nil"/>
          <w:right w:val="nil"/>
          <w:between w:val="nil"/>
        </w:pBdr>
        <w:ind w:left="567" w:right="900"/>
        <w:jc w:val="both"/>
      </w:pPr>
      <w:r w:rsidRPr="00354E9C">
        <w:rPr>
          <w:rFonts w:ascii="Palatino Linotype" w:eastAsia="Palatino Linotype" w:hAnsi="Palatino Linotype" w:cs="Palatino Linotype"/>
          <w:b/>
          <w:i/>
          <w:sz w:val="22"/>
          <w:szCs w:val="22"/>
        </w:rPr>
        <w:t xml:space="preserve">Quincuagésimo cuarto. </w:t>
      </w:r>
      <w:r w:rsidRPr="00354E9C">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65AA8BB2" w14:textId="77777777" w:rsidR="0045345E" w:rsidRPr="00354E9C" w:rsidRDefault="0045345E"/>
    <w:p w14:paraId="5ABE1875" w14:textId="77777777" w:rsidR="0045345E" w:rsidRPr="00354E9C" w:rsidRDefault="00087E62">
      <w:pPr>
        <w:pBdr>
          <w:top w:val="nil"/>
          <w:left w:val="nil"/>
          <w:bottom w:val="nil"/>
          <w:right w:val="nil"/>
          <w:between w:val="nil"/>
        </w:pBdr>
        <w:ind w:left="567" w:right="900"/>
        <w:jc w:val="both"/>
      </w:pPr>
      <w:r w:rsidRPr="00354E9C">
        <w:rPr>
          <w:rFonts w:ascii="Palatino Linotype" w:eastAsia="Palatino Linotype" w:hAnsi="Palatino Linotype" w:cs="Palatino Linotype"/>
          <w:b/>
          <w:i/>
          <w:sz w:val="22"/>
          <w:szCs w:val="22"/>
        </w:rPr>
        <w:t xml:space="preserve">Quincuagésimo quinto. </w:t>
      </w:r>
      <w:r w:rsidRPr="00354E9C">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354E9C">
        <w:rPr>
          <w:rFonts w:ascii="Palatino Linotype" w:eastAsia="Palatino Linotype" w:hAnsi="Palatino Linotype" w:cs="Palatino Linotype"/>
          <w:i/>
          <w:sz w:val="22"/>
          <w:szCs w:val="22"/>
        </w:rPr>
        <w:t>testado</w:t>
      </w:r>
      <w:proofErr w:type="spellEnd"/>
      <w:r w:rsidRPr="00354E9C">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w:t>
      </w:r>
      <w:r w:rsidRPr="00354E9C">
        <w:rPr>
          <w:rFonts w:ascii="Palatino Linotype" w:eastAsia="Palatino Linotype" w:hAnsi="Palatino Linotype" w:cs="Palatino Linotype"/>
          <w:i/>
          <w:sz w:val="22"/>
          <w:szCs w:val="22"/>
        </w:rPr>
        <w:lastRenderedPageBreak/>
        <w:t>Generales, los presentes Lineamientos y demás normativa aplicable antes de su confirmación por el Comité de Transparencia.” (Énfasis añadido) </w:t>
      </w:r>
    </w:p>
    <w:p w14:paraId="49BD36D1" w14:textId="77777777" w:rsidR="0045345E" w:rsidRPr="00354E9C" w:rsidRDefault="00087E62">
      <w:pPr>
        <w:pBdr>
          <w:top w:val="nil"/>
          <w:left w:val="nil"/>
          <w:bottom w:val="nil"/>
          <w:right w:val="nil"/>
          <w:between w:val="nil"/>
        </w:pBdr>
        <w:spacing w:before="240" w:after="240" w:line="360" w:lineRule="auto"/>
        <w:jc w:val="both"/>
      </w:pPr>
      <w:r w:rsidRPr="00354E9C">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354E9C">
        <w:rPr>
          <w:rFonts w:ascii="Palatino Linotype" w:eastAsia="Palatino Linotype" w:hAnsi="Palatino Linotype" w:cs="Palatino Linotype"/>
          <w:b/>
        </w:rPr>
        <w:t>Sujeto Obligado</w:t>
      </w:r>
      <w:r w:rsidRPr="00354E9C">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AECC27E" w14:textId="77777777" w:rsidR="0045345E" w:rsidRPr="00354E9C" w:rsidRDefault="00087E62">
      <w:pPr>
        <w:spacing w:before="240" w:after="240"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67EE626B" w14:textId="77777777" w:rsidR="0045345E" w:rsidRPr="00354E9C" w:rsidRDefault="00087E62">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354E9C">
        <w:rPr>
          <w:rFonts w:ascii="Palatino Linotype" w:eastAsia="Palatino Linotype" w:hAnsi="Palatino Linotype" w:cs="Palatino Linotype"/>
          <w:b/>
        </w:rPr>
        <w:t>R E S U E L V E:</w:t>
      </w:r>
    </w:p>
    <w:p w14:paraId="3F428C72" w14:textId="77777777" w:rsidR="0045345E" w:rsidRPr="00354E9C" w:rsidRDefault="00087E62">
      <w:pPr>
        <w:spacing w:before="240" w:after="240"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b/>
        </w:rPr>
        <w:t xml:space="preserve">Primero. </w:t>
      </w:r>
      <w:r w:rsidRPr="00354E9C">
        <w:rPr>
          <w:rFonts w:ascii="Palatino Linotype" w:eastAsia="Palatino Linotype" w:hAnsi="Palatino Linotype" w:cs="Palatino Linotype"/>
        </w:rPr>
        <w:t xml:space="preserve">Resultan fundados los motivos de inconformidad hechos valer por la parte </w:t>
      </w:r>
      <w:r w:rsidRPr="00354E9C">
        <w:rPr>
          <w:rFonts w:ascii="Palatino Linotype" w:eastAsia="Palatino Linotype" w:hAnsi="Palatino Linotype" w:cs="Palatino Linotype"/>
          <w:b/>
        </w:rPr>
        <w:t>RECURRENTE</w:t>
      </w:r>
      <w:r w:rsidRPr="00354E9C">
        <w:rPr>
          <w:rFonts w:ascii="Palatino Linotype" w:eastAsia="Palatino Linotype" w:hAnsi="Palatino Linotype" w:cs="Palatino Linotype"/>
        </w:rPr>
        <w:t xml:space="preserve"> en el Recurso de Revisión </w:t>
      </w:r>
      <w:r w:rsidRPr="00354E9C">
        <w:rPr>
          <w:rFonts w:ascii="Palatino Linotype" w:eastAsia="Palatino Linotype" w:hAnsi="Palatino Linotype" w:cs="Palatino Linotype"/>
          <w:b/>
        </w:rPr>
        <w:t xml:space="preserve">05984/INFOEM/IP/RR/2023; </w:t>
      </w:r>
      <w:r w:rsidRPr="00354E9C">
        <w:rPr>
          <w:rFonts w:ascii="Palatino Linotype" w:eastAsia="Palatino Linotype" w:hAnsi="Palatino Linotype" w:cs="Palatino Linotype"/>
        </w:rPr>
        <w:t xml:space="preserve">por lo que, en términos del considerando </w:t>
      </w:r>
      <w:r w:rsidRPr="00354E9C">
        <w:rPr>
          <w:rFonts w:ascii="Palatino Linotype" w:eastAsia="Palatino Linotype" w:hAnsi="Palatino Linotype" w:cs="Palatino Linotype"/>
          <w:b/>
        </w:rPr>
        <w:t xml:space="preserve">Cuarto </w:t>
      </w:r>
      <w:r w:rsidRPr="00354E9C">
        <w:rPr>
          <w:rFonts w:ascii="Palatino Linotype" w:eastAsia="Palatino Linotype" w:hAnsi="Palatino Linotype" w:cs="Palatino Linotype"/>
        </w:rPr>
        <w:t xml:space="preserve">de esta resolución, se </w:t>
      </w:r>
      <w:r w:rsidRPr="00354E9C">
        <w:rPr>
          <w:rFonts w:ascii="Palatino Linotype" w:eastAsia="Palatino Linotype" w:hAnsi="Palatino Linotype" w:cs="Palatino Linotype"/>
          <w:b/>
        </w:rPr>
        <w:t xml:space="preserve">MODIFICA </w:t>
      </w:r>
      <w:r w:rsidRPr="00354E9C">
        <w:rPr>
          <w:rFonts w:ascii="Palatino Linotype" w:eastAsia="Palatino Linotype" w:hAnsi="Palatino Linotype" w:cs="Palatino Linotype"/>
        </w:rPr>
        <w:t xml:space="preserve">la respuesta emitida por el </w:t>
      </w:r>
      <w:r w:rsidRPr="00354E9C">
        <w:rPr>
          <w:rFonts w:ascii="Palatino Linotype" w:eastAsia="Palatino Linotype" w:hAnsi="Palatino Linotype" w:cs="Palatino Linotype"/>
          <w:b/>
        </w:rPr>
        <w:t>SUJETO OBLIGADO</w:t>
      </w:r>
      <w:r w:rsidRPr="00354E9C">
        <w:rPr>
          <w:rFonts w:ascii="Palatino Linotype" w:eastAsia="Palatino Linotype" w:hAnsi="Palatino Linotype" w:cs="Palatino Linotype"/>
        </w:rPr>
        <w:t>.</w:t>
      </w:r>
    </w:p>
    <w:p w14:paraId="7712C8A1" w14:textId="77777777" w:rsidR="0045345E" w:rsidRPr="00354E9C" w:rsidRDefault="00087E62">
      <w:pPr>
        <w:spacing w:before="240" w:after="240" w:line="360" w:lineRule="auto"/>
        <w:ind w:right="49"/>
        <w:jc w:val="both"/>
        <w:rPr>
          <w:rFonts w:ascii="Palatino Linotype" w:eastAsia="Palatino Linotype" w:hAnsi="Palatino Linotype" w:cs="Palatino Linotype"/>
        </w:rPr>
      </w:pPr>
      <w:r w:rsidRPr="00354E9C">
        <w:rPr>
          <w:rFonts w:ascii="Palatino Linotype" w:eastAsia="Palatino Linotype" w:hAnsi="Palatino Linotype" w:cs="Palatino Linotype"/>
          <w:b/>
        </w:rPr>
        <w:lastRenderedPageBreak/>
        <w:t xml:space="preserve">Segundo. </w:t>
      </w:r>
      <w:r w:rsidRPr="00354E9C">
        <w:rPr>
          <w:rFonts w:ascii="Palatino Linotype" w:eastAsia="Palatino Linotype" w:hAnsi="Palatino Linotype" w:cs="Palatino Linotype"/>
        </w:rPr>
        <w:t>Se</w:t>
      </w:r>
      <w:r w:rsidRPr="00354E9C">
        <w:rPr>
          <w:rFonts w:ascii="Palatino Linotype" w:eastAsia="Palatino Linotype" w:hAnsi="Palatino Linotype" w:cs="Palatino Linotype"/>
          <w:b/>
        </w:rPr>
        <w:t xml:space="preserve"> ORDENA </w:t>
      </w:r>
      <w:r w:rsidRPr="00354E9C">
        <w:rPr>
          <w:rFonts w:ascii="Palatino Linotype" w:eastAsia="Palatino Linotype" w:hAnsi="Palatino Linotype" w:cs="Palatino Linotype"/>
        </w:rPr>
        <w:t xml:space="preserve">al </w:t>
      </w:r>
      <w:r w:rsidRPr="00354E9C">
        <w:rPr>
          <w:rFonts w:ascii="Palatino Linotype" w:eastAsia="Palatino Linotype" w:hAnsi="Palatino Linotype" w:cs="Palatino Linotype"/>
          <w:b/>
        </w:rPr>
        <w:t>SUJETO OBLIGADO</w:t>
      </w:r>
      <w:r w:rsidRPr="00354E9C">
        <w:rPr>
          <w:rFonts w:ascii="Palatino Linotype" w:eastAsia="Palatino Linotype" w:hAnsi="Palatino Linotype" w:cs="Palatino Linotype"/>
        </w:rPr>
        <w:t xml:space="preserve"> a que,</w:t>
      </w:r>
      <w:r w:rsidRPr="00354E9C">
        <w:rPr>
          <w:rFonts w:ascii="Palatino Linotype" w:eastAsia="Palatino Linotype" w:hAnsi="Palatino Linotype" w:cs="Palatino Linotype"/>
          <w:b/>
        </w:rPr>
        <w:t xml:space="preserve"> </w:t>
      </w:r>
      <w:r w:rsidRPr="00354E9C">
        <w:rPr>
          <w:rFonts w:ascii="Palatino Linotype" w:eastAsia="Palatino Linotype" w:hAnsi="Palatino Linotype" w:cs="Palatino Linotype"/>
        </w:rPr>
        <w:t>en términos de los Considerandos Cuarto y Quinto, haga entrega vía SAIMEX, de ser procedente en versión pública, de lo siguiente:</w:t>
      </w:r>
    </w:p>
    <w:p w14:paraId="26A7B2D0" w14:textId="77777777" w:rsidR="0045345E" w:rsidRPr="00354E9C" w:rsidRDefault="00087E62">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354E9C">
        <w:rPr>
          <w:rFonts w:ascii="Palatino Linotype" w:eastAsia="Palatino Linotype" w:hAnsi="Palatino Linotype" w:cs="Palatino Linotype"/>
          <w:b/>
        </w:rPr>
        <w:t xml:space="preserve">La renuncia de la servidora pública referida en la solicitud, remitida en respuesta. </w:t>
      </w:r>
    </w:p>
    <w:p w14:paraId="0A83A5D0" w14:textId="77777777" w:rsidR="0045345E" w:rsidRPr="00354E9C" w:rsidRDefault="00087E62">
      <w:pPr>
        <w:pBdr>
          <w:top w:val="nil"/>
          <w:left w:val="nil"/>
          <w:bottom w:val="nil"/>
          <w:right w:val="nil"/>
          <w:between w:val="nil"/>
        </w:pBdr>
        <w:ind w:left="360" w:right="51"/>
        <w:jc w:val="both"/>
        <w:rPr>
          <w:rFonts w:ascii="Palatino Linotype" w:eastAsia="Palatino Linotype" w:hAnsi="Palatino Linotype" w:cs="Palatino Linotype"/>
          <w:i/>
          <w:sz w:val="22"/>
          <w:szCs w:val="22"/>
        </w:rPr>
      </w:pPr>
      <w:r w:rsidRPr="00354E9C">
        <w:rPr>
          <w:rFonts w:ascii="Palatino Linotype" w:eastAsia="Palatino Linotype" w:hAnsi="Palatino Linotype" w:cs="Palatino Linotype"/>
          <w:i/>
          <w:sz w:val="22"/>
          <w:szCs w:val="22"/>
        </w:rPr>
        <w:t>De ser procedente 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14:paraId="777CE4A4" w14:textId="77777777" w:rsidR="0045345E" w:rsidRPr="00354E9C" w:rsidRDefault="0045345E">
      <w:pPr>
        <w:spacing w:line="360" w:lineRule="auto"/>
        <w:ind w:left="360" w:right="49"/>
        <w:jc w:val="both"/>
        <w:rPr>
          <w:rFonts w:ascii="Palatino Linotype" w:eastAsia="Palatino Linotype" w:hAnsi="Palatino Linotype" w:cs="Palatino Linotype"/>
          <w:b/>
        </w:rPr>
      </w:pPr>
    </w:p>
    <w:p w14:paraId="0D5C5DBE" w14:textId="77777777" w:rsidR="0045345E" w:rsidRPr="00354E9C" w:rsidRDefault="00087E62">
      <w:pPr>
        <w:spacing w:line="360" w:lineRule="auto"/>
        <w:ind w:right="49"/>
        <w:jc w:val="both"/>
        <w:rPr>
          <w:rFonts w:ascii="Palatino Linotype" w:eastAsia="Palatino Linotype" w:hAnsi="Palatino Linotype" w:cs="Palatino Linotype"/>
        </w:rPr>
      </w:pPr>
      <w:r w:rsidRPr="00354E9C">
        <w:rPr>
          <w:rFonts w:ascii="Palatino Linotype" w:eastAsia="Palatino Linotype" w:hAnsi="Palatino Linotype" w:cs="Palatino Linotype"/>
          <w:b/>
        </w:rPr>
        <w:t xml:space="preserve">Tercero. Notifíquese, </w:t>
      </w:r>
      <w:r w:rsidRPr="00354E9C">
        <w:rPr>
          <w:rFonts w:ascii="Palatino Linotype" w:eastAsia="Palatino Linotype" w:hAnsi="Palatino Linotype" w:cs="Palatino Linotype"/>
        </w:rPr>
        <w:t xml:space="preserve">vía </w:t>
      </w:r>
      <w:r w:rsidRPr="00354E9C">
        <w:rPr>
          <w:rFonts w:ascii="Palatino Linotype" w:eastAsia="Palatino Linotype" w:hAnsi="Palatino Linotype" w:cs="Palatino Linotype"/>
          <w:b/>
        </w:rPr>
        <w:t>SAIMEX</w:t>
      </w:r>
      <w:r w:rsidRPr="00354E9C">
        <w:rPr>
          <w:rFonts w:ascii="Palatino Linotype" w:eastAsia="Palatino Linotype" w:hAnsi="Palatino Linotype" w:cs="Palatino Linotype"/>
        </w:rPr>
        <w:t xml:space="preserve">, al Titular de la Unidad de Transparencia del </w:t>
      </w:r>
      <w:r w:rsidRPr="00354E9C">
        <w:rPr>
          <w:rFonts w:ascii="Palatino Linotype" w:eastAsia="Palatino Linotype" w:hAnsi="Palatino Linotype" w:cs="Palatino Linotype"/>
          <w:b/>
        </w:rPr>
        <w:t>Sujeto Obligado,</w:t>
      </w:r>
      <w:r w:rsidRPr="00354E9C">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B8506BC" w14:textId="77777777" w:rsidR="0045345E" w:rsidRPr="00354E9C" w:rsidRDefault="0045345E">
      <w:pPr>
        <w:spacing w:line="360" w:lineRule="auto"/>
        <w:ind w:right="49"/>
        <w:jc w:val="both"/>
        <w:rPr>
          <w:rFonts w:ascii="Palatino Linotype" w:eastAsia="Palatino Linotype" w:hAnsi="Palatino Linotype" w:cs="Palatino Linotype"/>
        </w:rPr>
      </w:pPr>
    </w:p>
    <w:p w14:paraId="2960236E" w14:textId="77777777" w:rsidR="0045345E" w:rsidRPr="00354E9C" w:rsidRDefault="00087E62">
      <w:pPr>
        <w:spacing w:after="240"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b/>
        </w:rPr>
        <w:t xml:space="preserve">Cuarto. </w:t>
      </w:r>
      <w:r w:rsidRPr="00354E9C">
        <w:rPr>
          <w:rFonts w:ascii="Palatino Linotype" w:eastAsia="Palatino Linotype" w:hAnsi="Palatino Linotype" w:cs="Palatino Linotype"/>
        </w:rPr>
        <w:t xml:space="preserve">Notifíquese, vía </w:t>
      </w:r>
      <w:r w:rsidRPr="00354E9C">
        <w:rPr>
          <w:rFonts w:ascii="Palatino Linotype" w:eastAsia="Palatino Linotype" w:hAnsi="Palatino Linotype" w:cs="Palatino Linotype"/>
          <w:b/>
        </w:rPr>
        <w:t>SAIMEX</w:t>
      </w:r>
      <w:r w:rsidRPr="00354E9C">
        <w:rPr>
          <w:rFonts w:ascii="Palatino Linotype" w:eastAsia="Palatino Linotype" w:hAnsi="Palatino Linotype" w:cs="Palatino Linotype"/>
        </w:rPr>
        <w:t xml:space="preserve">, a la parte </w:t>
      </w:r>
      <w:r w:rsidRPr="00354E9C">
        <w:rPr>
          <w:rFonts w:ascii="Palatino Linotype" w:eastAsia="Palatino Linotype" w:hAnsi="Palatino Linotype" w:cs="Palatino Linotype"/>
          <w:b/>
        </w:rPr>
        <w:t>RECURRENTE</w:t>
      </w:r>
      <w:r w:rsidRPr="00354E9C">
        <w:rPr>
          <w:rFonts w:ascii="Palatino Linotype" w:eastAsia="Palatino Linotype" w:hAnsi="Palatino Linotype" w:cs="Palatino Linotype"/>
        </w:rPr>
        <w:t xml:space="preserve"> la presente resolución, así como, que de conformidad con lo establecido en el artículo 196 de la Ley de </w:t>
      </w:r>
      <w:r w:rsidRPr="00354E9C">
        <w:rPr>
          <w:rFonts w:ascii="Palatino Linotype" w:eastAsia="Palatino Linotype" w:hAnsi="Palatino Linotype" w:cs="Palatino Linotype"/>
        </w:rPr>
        <w:lastRenderedPageBreak/>
        <w:t>Transparencia y Acceso a la Información Pública del Estado de México y Municipios, en caso de que considere que le causa algún perjuicio podrá impugnarla vía Juicio de Amparo en los términos de las leyes aplicables.</w:t>
      </w:r>
    </w:p>
    <w:p w14:paraId="683BF139" w14:textId="77777777" w:rsidR="0045345E" w:rsidRPr="00354E9C" w:rsidRDefault="00087E62">
      <w:pPr>
        <w:spacing w:before="240" w:after="240" w:line="360" w:lineRule="auto"/>
        <w:jc w:val="both"/>
        <w:rPr>
          <w:rFonts w:ascii="Palatino Linotype" w:eastAsia="Palatino Linotype" w:hAnsi="Palatino Linotype" w:cs="Palatino Linotype"/>
        </w:rPr>
      </w:pPr>
      <w:r w:rsidRPr="00354E9C">
        <w:rPr>
          <w:rFonts w:ascii="Palatino Linotype" w:eastAsia="Palatino Linotype" w:hAnsi="Palatino Linotype" w:cs="Palatino Linotype"/>
          <w:b/>
        </w:rPr>
        <w:t>Quinto.</w:t>
      </w:r>
      <w:r w:rsidRPr="00354E9C">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354E9C">
        <w:rPr>
          <w:rFonts w:ascii="Palatino Linotype" w:eastAsia="Palatino Linotype" w:hAnsi="Palatino Linotype" w:cs="Palatino Linotype"/>
          <w:b/>
        </w:rPr>
        <w:t>SUJETO OBLIGADO</w:t>
      </w:r>
      <w:r w:rsidRPr="00354E9C">
        <w:rPr>
          <w:rFonts w:ascii="Palatino Linotype" w:eastAsia="Palatino Linotype" w:hAnsi="Palatino Linotype" w:cs="Palatino Linotype"/>
        </w:rPr>
        <w:t xml:space="preserve"> de manera fundada y motivada, podrá solicitar una ampliación de plazo para el cumplimiento de la presente resolución.</w:t>
      </w:r>
    </w:p>
    <w:p w14:paraId="5EA215BC" w14:textId="77777777" w:rsidR="0045345E" w:rsidRPr="00354E9C" w:rsidRDefault="00087E62">
      <w:pPr>
        <w:spacing w:before="240" w:after="240" w:line="360" w:lineRule="auto"/>
        <w:jc w:val="both"/>
        <w:rPr>
          <w:rFonts w:ascii="Palatino Linotype" w:eastAsia="Palatino Linotype" w:hAnsi="Palatino Linotype" w:cs="Palatino Linotype"/>
        </w:rPr>
      </w:pPr>
      <w:bookmarkStart w:id="4" w:name="_heading=h.2et92p0" w:colFirst="0" w:colLast="0"/>
      <w:bookmarkEnd w:id="4"/>
      <w:r w:rsidRPr="00354E9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w:t>
      </w:r>
    </w:p>
    <w:p w14:paraId="0B28BB12" w14:textId="484220F8" w:rsidR="0045345E" w:rsidRPr="00354E9C" w:rsidRDefault="0045345E">
      <w:pPr>
        <w:spacing w:before="240" w:after="240" w:line="360" w:lineRule="auto"/>
        <w:jc w:val="both"/>
        <w:rPr>
          <w:rFonts w:ascii="Palatino Linotype" w:eastAsia="Palatino Linotype" w:hAnsi="Palatino Linotype" w:cs="Palatino Linotype"/>
        </w:rPr>
      </w:pPr>
    </w:p>
    <w:p w14:paraId="2BF79F5D" w14:textId="55A98162" w:rsidR="00354E9C" w:rsidRPr="00354E9C" w:rsidRDefault="00354E9C">
      <w:pPr>
        <w:spacing w:before="240" w:after="240" w:line="360" w:lineRule="auto"/>
        <w:jc w:val="both"/>
        <w:rPr>
          <w:rFonts w:ascii="Palatino Linotype" w:eastAsia="Palatino Linotype" w:hAnsi="Palatino Linotype" w:cs="Palatino Linotype"/>
        </w:rPr>
      </w:pPr>
    </w:p>
    <w:p w14:paraId="62D57B32" w14:textId="32E40AE7" w:rsidR="00354E9C" w:rsidRPr="00354E9C" w:rsidRDefault="00354E9C">
      <w:pPr>
        <w:spacing w:before="240" w:after="240" w:line="360" w:lineRule="auto"/>
        <w:jc w:val="both"/>
        <w:rPr>
          <w:rFonts w:ascii="Palatino Linotype" w:eastAsia="Palatino Linotype" w:hAnsi="Palatino Linotype" w:cs="Palatino Linotype"/>
        </w:rPr>
      </w:pPr>
    </w:p>
    <w:p w14:paraId="7182FC4F" w14:textId="49164BF9" w:rsidR="00354E9C" w:rsidRPr="00354E9C" w:rsidRDefault="00354E9C">
      <w:pPr>
        <w:spacing w:before="240" w:after="240" w:line="360" w:lineRule="auto"/>
        <w:jc w:val="both"/>
        <w:rPr>
          <w:rFonts w:ascii="Palatino Linotype" w:eastAsia="Palatino Linotype" w:hAnsi="Palatino Linotype" w:cs="Palatino Linotype"/>
        </w:rPr>
      </w:pPr>
    </w:p>
    <w:p w14:paraId="776D713C" w14:textId="3C9E0C93" w:rsidR="00354E9C" w:rsidRPr="00354E9C" w:rsidRDefault="00354E9C">
      <w:pPr>
        <w:spacing w:before="240" w:after="240" w:line="360" w:lineRule="auto"/>
        <w:jc w:val="both"/>
        <w:rPr>
          <w:rFonts w:ascii="Palatino Linotype" w:eastAsia="Palatino Linotype" w:hAnsi="Palatino Linotype" w:cs="Palatino Linotype"/>
        </w:rPr>
      </w:pPr>
    </w:p>
    <w:p w14:paraId="16552DF5" w14:textId="77777777" w:rsidR="00354E9C" w:rsidRPr="00354E9C" w:rsidRDefault="00354E9C">
      <w:pPr>
        <w:spacing w:before="240" w:after="240" w:line="360" w:lineRule="auto"/>
        <w:jc w:val="both"/>
        <w:rPr>
          <w:rFonts w:ascii="Palatino Linotype" w:eastAsia="Palatino Linotype" w:hAnsi="Palatino Linotype" w:cs="Palatino Linotype"/>
        </w:rPr>
      </w:pPr>
    </w:p>
    <w:sectPr w:rsidR="00354E9C" w:rsidRPr="00354E9C">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187E2" w14:textId="77777777" w:rsidR="00BB00FE" w:rsidRDefault="00BB00FE">
      <w:r>
        <w:separator/>
      </w:r>
    </w:p>
  </w:endnote>
  <w:endnote w:type="continuationSeparator" w:id="0">
    <w:p w14:paraId="16787CFF" w14:textId="77777777" w:rsidR="00BB00FE" w:rsidRDefault="00BB0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25B03" w14:textId="77777777" w:rsidR="0045345E" w:rsidRDefault="00087E6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3604A">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3604A">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6B3A5795" w14:textId="77777777" w:rsidR="0045345E" w:rsidRDefault="0045345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43D48" w14:textId="77777777" w:rsidR="0045345E" w:rsidRDefault="00087E6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3604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3604A">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251FC55B" w14:textId="77777777" w:rsidR="0045345E" w:rsidRDefault="0045345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FA150" w14:textId="77777777" w:rsidR="00BB00FE" w:rsidRDefault="00BB00FE">
      <w:r>
        <w:separator/>
      </w:r>
    </w:p>
  </w:footnote>
  <w:footnote w:type="continuationSeparator" w:id="0">
    <w:p w14:paraId="0E921E7E" w14:textId="77777777" w:rsidR="00BB00FE" w:rsidRDefault="00BB00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6EBD9" w14:textId="77777777" w:rsidR="0045345E" w:rsidRDefault="00087E6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01B87FE7" wp14:editId="1E0F7465">
          <wp:simplePos x="0" y="0"/>
          <wp:positionH relativeFrom="column">
            <wp:posOffset>-1080131</wp:posOffset>
          </wp:positionH>
          <wp:positionV relativeFrom="paragraph">
            <wp:posOffset>-488311</wp:posOffset>
          </wp:positionV>
          <wp:extent cx="7809865" cy="1016571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45345E" w14:paraId="1B60F037" w14:textId="77777777">
      <w:tc>
        <w:tcPr>
          <w:tcW w:w="2489" w:type="dxa"/>
          <w:shd w:val="clear" w:color="auto" w:fill="auto"/>
        </w:tcPr>
        <w:p w14:paraId="54E2CE9B" w14:textId="77777777" w:rsidR="0045345E" w:rsidRDefault="00087E6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C1CE3EE" w14:textId="77777777" w:rsidR="0045345E" w:rsidRDefault="00087E6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05984/INFOEM/IP/RR/2023</w:t>
          </w:r>
        </w:p>
      </w:tc>
    </w:tr>
    <w:tr w:rsidR="0045345E" w14:paraId="77BEEE2B" w14:textId="77777777">
      <w:trPr>
        <w:trHeight w:val="228"/>
      </w:trPr>
      <w:tc>
        <w:tcPr>
          <w:tcW w:w="2489" w:type="dxa"/>
          <w:shd w:val="clear" w:color="auto" w:fill="auto"/>
          <w:vAlign w:val="center"/>
        </w:tcPr>
        <w:p w14:paraId="70EC1DC8" w14:textId="77777777" w:rsidR="0045345E" w:rsidRDefault="00087E6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D3F7D84" w14:textId="77777777" w:rsidR="0045345E" w:rsidRDefault="00087E62">
          <w:pPr>
            <w:ind w:right="31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45345E" w14:paraId="6AC85C2E" w14:textId="77777777">
      <w:tc>
        <w:tcPr>
          <w:tcW w:w="2489" w:type="dxa"/>
          <w:shd w:val="clear" w:color="auto" w:fill="auto"/>
          <w:vAlign w:val="center"/>
        </w:tcPr>
        <w:p w14:paraId="72C3D0D1" w14:textId="77777777" w:rsidR="0045345E" w:rsidRDefault="00087E6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D2EE307" w14:textId="77777777" w:rsidR="0045345E" w:rsidRDefault="00087E6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3854C58" w14:textId="77777777" w:rsidR="0045345E" w:rsidRDefault="00087E6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37315" w14:textId="77777777" w:rsidR="0045345E" w:rsidRDefault="0045345E">
    <w:pPr>
      <w:widowControl w:val="0"/>
      <w:pBdr>
        <w:top w:val="nil"/>
        <w:left w:val="nil"/>
        <w:bottom w:val="nil"/>
        <w:right w:val="nil"/>
        <w:between w:val="nil"/>
      </w:pBdr>
      <w:spacing w:line="276" w:lineRule="auto"/>
      <w:ind w:right="191"/>
      <w:rPr>
        <w:rFonts w:ascii="Palatino Linotype" w:eastAsia="Palatino Linotype" w:hAnsi="Palatino Linotype" w:cs="Palatino Linotype"/>
        <w:color w:val="000000"/>
        <w:sz w:val="16"/>
        <w:szCs w:val="16"/>
      </w:rPr>
    </w:pPr>
  </w:p>
  <w:tbl>
    <w:tblPr>
      <w:tblStyle w:val="a"/>
      <w:tblW w:w="5670" w:type="dxa"/>
      <w:tblInd w:w="3261" w:type="dxa"/>
      <w:tblLayout w:type="fixed"/>
      <w:tblLook w:val="0400" w:firstRow="0" w:lastRow="0" w:firstColumn="0" w:lastColumn="0" w:noHBand="0" w:noVBand="1"/>
    </w:tblPr>
    <w:tblGrid>
      <w:gridCol w:w="2551"/>
      <w:gridCol w:w="3119"/>
    </w:tblGrid>
    <w:tr w:rsidR="0045345E" w14:paraId="007EAFC5" w14:textId="77777777">
      <w:tc>
        <w:tcPr>
          <w:tcW w:w="2551" w:type="dxa"/>
          <w:shd w:val="clear" w:color="auto" w:fill="auto"/>
          <w:vAlign w:val="center"/>
        </w:tcPr>
        <w:p w14:paraId="3402CB7D" w14:textId="77777777" w:rsidR="0045345E" w:rsidRDefault="00087E6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A455299" w14:textId="77777777" w:rsidR="0045345E" w:rsidRDefault="00087E6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05984/INFOEM/IP/RR/2023</w:t>
          </w:r>
        </w:p>
      </w:tc>
    </w:tr>
    <w:tr w:rsidR="0045345E" w14:paraId="5E016054" w14:textId="77777777">
      <w:trPr>
        <w:trHeight w:val="130"/>
      </w:trPr>
      <w:tc>
        <w:tcPr>
          <w:tcW w:w="2551" w:type="dxa"/>
          <w:shd w:val="clear" w:color="auto" w:fill="auto"/>
          <w:vAlign w:val="center"/>
        </w:tcPr>
        <w:p w14:paraId="1729D988" w14:textId="77777777" w:rsidR="0045345E" w:rsidRDefault="00087E6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B8AFC64" w14:textId="77777777" w:rsidR="0045345E" w:rsidRDefault="0045345E">
          <w:pPr>
            <w:ind w:left="-45" w:right="-533"/>
            <w:jc w:val="both"/>
            <w:rPr>
              <w:rFonts w:ascii="Palatino Linotype" w:eastAsia="Palatino Linotype" w:hAnsi="Palatino Linotype" w:cs="Palatino Linotype"/>
              <w:b/>
              <w:sz w:val="22"/>
              <w:szCs w:val="22"/>
            </w:rPr>
          </w:pPr>
        </w:p>
      </w:tc>
    </w:tr>
    <w:tr w:rsidR="0045345E" w14:paraId="54AC467E" w14:textId="77777777">
      <w:trPr>
        <w:trHeight w:val="228"/>
      </w:trPr>
      <w:tc>
        <w:tcPr>
          <w:tcW w:w="2551" w:type="dxa"/>
          <w:shd w:val="clear" w:color="auto" w:fill="auto"/>
          <w:vAlign w:val="center"/>
        </w:tcPr>
        <w:p w14:paraId="75D9707F" w14:textId="77777777" w:rsidR="0045345E" w:rsidRDefault="00087E6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1BDAD40" w14:textId="77777777" w:rsidR="0045345E" w:rsidRDefault="00087E62">
          <w:pPr>
            <w:ind w:left="-45" w:right="27"/>
            <w:jc w:val="both"/>
          </w:pPr>
          <w:r>
            <w:rPr>
              <w:rFonts w:ascii="Palatino Linotype" w:eastAsia="Palatino Linotype" w:hAnsi="Palatino Linotype" w:cs="Palatino Linotype"/>
              <w:b/>
              <w:sz w:val="22"/>
              <w:szCs w:val="22"/>
            </w:rPr>
            <w:t>Ayuntamiento de Zinacantepec.</w:t>
          </w:r>
        </w:p>
      </w:tc>
    </w:tr>
    <w:tr w:rsidR="0045345E" w14:paraId="1E129C65" w14:textId="77777777">
      <w:tc>
        <w:tcPr>
          <w:tcW w:w="2551" w:type="dxa"/>
          <w:shd w:val="clear" w:color="auto" w:fill="auto"/>
          <w:vAlign w:val="center"/>
        </w:tcPr>
        <w:p w14:paraId="70192C3B" w14:textId="77777777" w:rsidR="0045345E" w:rsidRDefault="00087E6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0C2D92F" w14:textId="77777777" w:rsidR="0045345E" w:rsidRDefault="00087E62">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068AA2" w14:textId="77777777" w:rsidR="0045345E" w:rsidRDefault="00087E62">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51F1185D" wp14:editId="2940982E">
          <wp:simplePos x="0" y="0"/>
          <wp:positionH relativeFrom="column">
            <wp:posOffset>-1089656</wp:posOffset>
          </wp:positionH>
          <wp:positionV relativeFrom="paragraph">
            <wp:posOffset>-1169666</wp:posOffset>
          </wp:positionV>
          <wp:extent cx="7809865" cy="1016571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70344"/>
    <w:multiLevelType w:val="multilevel"/>
    <w:tmpl w:val="F9945F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1C6361A"/>
    <w:multiLevelType w:val="multilevel"/>
    <w:tmpl w:val="A57E47A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E020D5"/>
    <w:multiLevelType w:val="multilevel"/>
    <w:tmpl w:val="66A41FF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32355A05"/>
    <w:multiLevelType w:val="multilevel"/>
    <w:tmpl w:val="6504E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5EB1186"/>
    <w:multiLevelType w:val="multilevel"/>
    <w:tmpl w:val="D4F2E736"/>
    <w:lvl w:ilvl="0">
      <w:numFmt w:val="upp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45E"/>
    <w:rsid w:val="0003604A"/>
    <w:rsid w:val="00087E62"/>
    <w:rsid w:val="00354E9C"/>
    <w:rsid w:val="0045345E"/>
    <w:rsid w:val="004F48BE"/>
    <w:rsid w:val="005A6E46"/>
    <w:rsid w:val="00BB00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7F496"/>
  <w15:docId w15:val="{54DE38C9-DF85-480A-8813-A467522E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80498.page"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player.es/5455342-Nuevas-tecnologias-biometricas-instituto-nacional-de-ciencias-penales-procuraduria-general-de-la-republica-version-1-0.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1880499.page"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5flB6aPSzYOlGsNchwZ2W3orkQ==">CgMxLjAyCGguZ2pkZ3hzMgloLjMwajB6bGwyCGgudHlqY3d0MgloLjJldDkycDA4AHIhMXFaRnFvV3VwZTU2djRvaWVoZTFROHlYWmlmMXpucmxq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10297</Words>
  <Characters>56634</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INFOEM563</cp:lastModifiedBy>
  <cp:revision>2</cp:revision>
  <cp:lastPrinted>2024-01-19T16:46:00Z</cp:lastPrinted>
  <dcterms:created xsi:type="dcterms:W3CDTF">2024-01-25T00:09:00Z</dcterms:created>
  <dcterms:modified xsi:type="dcterms:W3CDTF">2024-01-25T00:09:00Z</dcterms:modified>
</cp:coreProperties>
</file>