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9197" w14:textId="77777777" w:rsidR="0006514A" w:rsidRDefault="0006514A">
      <w:pPr>
        <w:widowControl w:val="0"/>
        <w:pBdr>
          <w:top w:val="nil"/>
          <w:left w:val="nil"/>
          <w:bottom w:val="nil"/>
          <w:right w:val="nil"/>
          <w:between w:val="nil"/>
        </w:pBdr>
        <w:spacing w:line="276" w:lineRule="auto"/>
      </w:pPr>
    </w:p>
    <w:p w14:paraId="424B37BB" w14:textId="77777777" w:rsidR="0006514A" w:rsidRDefault="003F0F1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w:t>
      </w:r>
      <w:r w:rsidR="009042BF">
        <w:rPr>
          <w:rFonts w:ascii="Palatino Linotype" w:eastAsia="Palatino Linotype" w:hAnsi="Palatino Linotype" w:cs="Palatino Linotype"/>
        </w:rPr>
        <w:t>tado de México; de fecha seis (06)</w:t>
      </w:r>
      <w:r>
        <w:rPr>
          <w:rFonts w:ascii="Palatino Linotype" w:eastAsia="Palatino Linotype" w:hAnsi="Palatino Linotype" w:cs="Palatino Linotype"/>
        </w:rPr>
        <w:t xml:space="preserve"> de </w:t>
      </w:r>
      <w:r w:rsidR="009042BF">
        <w:rPr>
          <w:rFonts w:ascii="Palatino Linotype" w:eastAsia="Palatino Linotype" w:hAnsi="Palatino Linotype" w:cs="Palatino Linotype"/>
        </w:rPr>
        <w:t>noviembre</w:t>
      </w:r>
      <w:r>
        <w:rPr>
          <w:rFonts w:ascii="Palatino Linotype" w:eastAsia="Palatino Linotype" w:hAnsi="Palatino Linotype" w:cs="Palatino Linotype"/>
        </w:rPr>
        <w:t xml:space="preserve"> de dos mil veinticuatro.</w:t>
      </w:r>
    </w:p>
    <w:p w14:paraId="5AA5CDA9" w14:textId="77777777" w:rsidR="0006514A" w:rsidRDefault="0006514A">
      <w:pPr>
        <w:spacing w:line="360" w:lineRule="auto"/>
        <w:jc w:val="both"/>
        <w:rPr>
          <w:rFonts w:ascii="Palatino Linotype" w:eastAsia="Palatino Linotype" w:hAnsi="Palatino Linotype" w:cs="Palatino Linotype"/>
        </w:rPr>
      </w:pPr>
    </w:p>
    <w:p w14:paraId="25CFA63C" w14:textId="1562D93B" w:rsidR="0006514A" w:rsidRDefault="003F0F1D">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VISTOS </w:t>
      </w:r>
      <w:r>
        <w:rPr>
          <w:rFonts w:ascii="Palatino Linotype" w:eastAsia="Palatino Linotype" w:hAnsi="Palatino Linotype" w:cs="Palatino Linotype"/>
          <w:color w:val="000000"/>
        </w:rPr>
        <w:t xml:space="preserve">los expedientes electrónicos formados con motivo de los recursos de revisión </w:t>
      </w:r>
      <w:r>
        <w:rPr>
          <w:rFonts w:ascii="Palatino Linotype" w:eastAsia="Palatino Linotype" w:hAnsi="Palatino Linotype" w:cs="Palatino Linotype"/>
          <w:b/>
        </w:rPr>
        <w:t>02993/INFOEM/IP/RR/2024</w:t>
      </w:r>
      <w:r>
        <w:rPr>
          <w:rFonts w:ascii="Palatino Linotype" w:eastAsia="Palatino Linotype" w:hAnsi="Palatino Linotype" w:cs="Palatino Linotype"/>
        </w:rPr>
        <w:t xml:space="preserve"> y </w:t>
      </w:r>
      <w:r>
        <w:rPr>
          <w:rFonts w:ascii="Palatino Linotype" w:eastAsia="Palatino Linotype" w:hAnsi="Palatino Linotype" w:cs="Palatino Linotype"/>
          <w:b/>
        </w:rPr>
        <w:t>03831/INFOEM/IP/RR/2024</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acumulados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promovidos por </w:t>
      </w:r>
      <w:r w:rsidR="00672633">
        <w:rPr>
          <w:rFonts w:ascii="Palatino Linotype" w:eastAsia="Palatino Linotype" w:hAnsi="Palatino Linotype" w:cs="Palatino Linotype"/>
          <w:b/>
          <w:i/>
          <w:color w:val="000000"/>
        </w:rPr>
        <w:t xml:space="preserve">XXX </w:t>
      </w:r>
      <w:proofErr w:type="spellStart"/>
      <w:r w:rsidR="00672633">
        <w:rPr>
          <w:rFonts w:ascii="Palatino Linotype" w:eastAsia="Palatino Linotype" w:hAnsi="Palatino Linotype" w:cs="Palatino Linotype"/>
          <w:b/>
          <w:i/>
          <w:color w:val="000000"/>
        </w:rPr>
        <w:t>XXX</w:t>
      </w:r>
      <w:proofErr w:type="spellEnd"/>
      <w:r>
        <w:rPr>
          <w:rFonts w:ascii="Palatino Linotype" w:eastAsia="Palatino Linotype" w:hAnsi="Palatino Linotype" w:cs="Palatino Linotype"/>
          <w:color w:val="000000"/>
        </w:rPr>
        <w:t xml:space="preserve">, en su calidad de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en contra de las respuestas del </w:t>
      </w:r>
      <w:r>
        <w:rPr>
          <w:rFonts w:ascii="Palatino Linotype" w:eastAsia="Palatino Linotype" w:hAnsi="Palatino Linotype" w:cs="Palatino Linotype"/>
          <w:b/>
          <w:color w:val="000000"/>
        </w:rPr>
        <w:t>Organismo Descentralizado de Agua Potable Alcantarillado y Saneamiento de Nezahualcóyotl (ODAPAS)</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en lo sucesivo el</w:t>
      </w:r>
      <w:r>
        <w:rPr>
          <w:rFonts w:ascii="Palatino Linotype" w:eastAsia="Palatino Linotype" w:hAnsi="Palatino Linotype" w:cs="Palatino Linotype"/>
          <w:b/>
          <w:color w:val="000000"/>
        </w:rPr>
        <w:t xml:space="preserve"> SUJETO OBLIGADO, </w:t>
      </w:r>
      <w:r>
        <w:rPr>
          <w:rFonts w:ascii="Palatino Linotype" w:eastAsia="Palatino Linotype" w:hAnsi="Palatino Linotype" w:cs="Palatino Linotype"/>
          <w:color w:val="000000"/>
        </w:rPr>
        <w:t>se procede a dictar la presente Resolución, con base en los siguientes:</w:t>
      </w:r>
    </w:p>
    <w:p w14:paraId="2A291D78" w14:textId="77777777" w:rsidR="0006514A" w:rsidRDefault="0006514A">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rPr>
      </w:pPr>
    </w:p>
    <w:p w14:paraId="065C5DFD" w14:textId="77777777" w:rsidR="0006514A" w:rsidRDefault="003F0F1D">
      <w:pPr>
        <w:pStyle w:val="Ttulo1"/>
        <w:spacing w:before="0" w:line="360" w:lineRule="auto"/>
        <w:jc w:val="center"/>
        <w:rPr>
          <w:rFonts w:ascii="Palatino Linotype" w:eastAsia="Palatino Linotype" w:hAnsi="Palatino Linotype" w:cs="Palatino Linotype"/>
          <w:b/>
          <w:color w:val="000000"/>
          <w:sz w:val="24"/>
          <w:szCs w:val="24"/>
        </w:rPr>
      </w:pPr>
      <w:bookmarkStart w:id="0" w:name="_heading=h.30j0zll" w:colFirst="0" w:colLast="0"/>
      <w:bookmarkEnd w:id="0"/>
      <w:r>
        <w:rPr>
          <w:rFonts w:ascii="Palatino Linotype" w:eastAsia="Palatino Linotype" w:hAnsi="Palatino Linotype" w:cs="Palatino Linotype"/>
          <w:b/>
          <w:color w:val="000000"/>
          <w:sz w:val="24"/>
          <w:szCs w:val="24"/>
        </w:rPr>
        <w:t>A N T E C E D E N T E S</w:t>
      </w:r>
    </w:p>
    <w:p w14:paraId="208E5AC6" w14:textId="77777777" w:rsidR="0006514A" w:rsidRDefault="0006514A">
      <w:pPr>
        <w:spacing w:line="360" w:lineRule="auto"/>
        <w:rPr>
          <w:rFonts w:ascii="Palatino Linotype" w:eastAsia="Palatino Linotype" w:hAnsi="Palatino Linotype" w:cs="Palatino Linotype"/>
        </w:rPr>
      </w:pPr>
    </w:p>
    <w:p w14:paraId="103D29AF"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Los días</w:t>
      </w:r>
      <w:r>
        <w:rPr>
          <w:rFonts w:ascii="Palatino Linotype" w:eastAsia="Palatino Linotype" w:hAnsi="Palatino Linotype" w:cs="Palatino Linotype"/>
          <w:b/>
          <w:color w:val="000000"/>
        </w:rPr>
        <w:t xml:space="preserve"> veintiuno de abril y diecisiete de mayo de dos mil veinticuatro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 xml:space="preserve">EL RECURRENTE </w:t>
      </w:r>
      <w:r>
        <w:rPr>
          <w:rFonts w:ascii="Palatino Linotype" w:eastAsia="Palatino Linotype" w:hAnsi="Palatino Linotype" w:cs="Palatino Linotype"/>
          <w:color w:val="000000"/>
        </w:rPr>
        <w:t>presentó</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las solicitudes de información públicas registradas con los números: </w:t>
      </w:r>
      <w:r>
        <w:rPr>
          <w:rFonts w:ascii="Palatino Linotype" w:eastAsia="Palatino Linotype" w:hAnsi="Palatino Linotype" w:cs="Palatino Linotype"/>
          <w:b/>
          <w:color w:val="000000"/>
        </w:rPr>
        <w:t xml:space="preserve">00041/OASNEZA/IP/2024 </w:t>
      </w:r>
      <w:r>
        <w:rPr>
          <w:rFonts w:ascii="Palatino Linotype" w:eastAsia="Palatino Linotype" w:hAnsi="Palatino Linotype" w:cs="Palatino Linotype"/>
          <w:color w:val="000000"/>
        </w:rPr>
        <w:t>y</w:t>
      </w:r>
      <w:r>
        <w:rPr>
          <w:rFonts w:ascii="Palatino Linotype" w:eastAsia="Palatino Linotype" w:hAnsi="Palatino Linotype" w:cs="Palatino Linotype"/>
          <w:b/>
          <w:color w:val="000000"/>
        </w:rPr>
        <w:t xml:space="preserve"> 00059/OASNEZA/IP/2024 </w:t>
      </w:r>
      <w:r>
        <w:rPr>
          <w:rFonts w:ascii="Palatino Linotype" w:eastAsia="Palatino Linotype" w:hAnsi="Palatino Linotype" w:cs="Palatino Linotype"/>
          <w:color w:val="000000"/>
        </w:rPr>
        <w:t>mediante la cual solicitó lo siguiente:</w:t>
      </w:r>
    </w:p>
    <w:p w14:paraId="1574EA8E" w14:textId="77777777" w:rsidR="0006514A" w:rsidRDefault="0006514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157041B" w14:textId="77777777" w:rsidR="0006514A" w:rsidRDefault="003F0F1D">
      <w:pPr>
        <w:pBdr>
          <w:top w:val="nil"/>
          <w:left w:val="nil"/>
          <w:bottom w:val="nil"/>
          <w:right w:val="nil"/>
          <w:between w:val="nil"/>
        </w:pBdr>
        <w:spacing w:line="360" w:lineRule="auto"/>
        <w:ind w:left="567" w:right="68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Número de Folio de la Solicitud: </w:t>
      </w:r>
      <w:r>
        <w:rPr>
          <w:rFonts w:ascii="Palatino Linotype" w:eastAsia="Palatino Linotype" w:hAnsi="Palatino Linotype" w:cs="Palatino Linotype"/>
          <w:b/>
          <w:color w:val="000000"/>
        </w:rPr>
        <w:t>00041/OASNEZA/IP/2024</w:t>
      </w:r>
    </w:p>
    <w:p w14:paraId="42455454" w14:textId="77777777" w:rsidR="0006514A" w:rsidRDefault="003F0F1D">
      <w:pPr>
        <w:pBdr>
          <w:top w:val="nil"/>
          <w:left w:val="nil"/>
          <w:bottom w:val="nil"/>
          <w:right w:val="nil"/>
          <w:between w:val="nil"/>
        </w:pBdr>
        <w:spacing w:line="360" w:lineRule="auto"/>
        <w:ind w:left="567" w:right="68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rPr>
        <w:t xml:space="preserve"> </w:t>
      </w:r>
      <w:r>
        <w:rPr>
          <w:rFonts w:ascii="Palatino Linotype" w:eastAsia="Palatino Linotype" w:hAnsi="Palatino Linotype" w:cs="Palatino Linotype"/>
          <w:i/>
          <w:color w:val="000000"/>
        </w:rPr>
        <w:t xml:space="preserve">De los 13 trabajadores comisionados mencionados en la respuesta de la solicitud 27 y que respondieron el 18 de abril solicito me hagan llegar las listas de asistencia de los 13 servidores </w:t>
      </w:r>
      <w:proofErr w:type="spellStart"/>
      <w:r>
        <w:rPr>
          <w:rFonts w:ascii="Palatino Linotype" w:eastAsia="Palatino Linotype" w:hAnsi="Palatino Linotype" w:cs="Palatino Linotype"/>
          <w:i/>
          <w:color w:val="000000"/>
        </w:rPr>
        <w:t>publicos</w:t>
      </w:r>
      <w:proofErr w:type="spellEnd"/>
      <w:r>
        <w:rPr>
          <w:rFonts w:ascii="Palatino Linotype" w:eastAsia="Palatino Linotype" w:hAnsi="Palatino Linotype" w:cs="Palatino Linotype"/>
          <w:i/>
          <w:color w:val="000000"/>
        </w:rPr>
        <w:t xml:space="preserve"> mencionados que están comisionados las listas deberán ser desde 1 de agosto 2023 al 15 de abril del 2024 en formato </w:t>
      </w:r>
      <w:proofErr w:type="spellStart"/>
      <w:r>
        <w:rPr>
          <w:rFonts w:ascii="Palatino Linotype" w:eastAsia="Palatino Linotype" w:hAnsi="Palatino Linotype" w:cs="Palatino Linotype"/>
          <w:i/>
          <w:color w:val="000000"/>
        </w:rPr>
        <w:t>pdf</w:t>
      </w:r>
      <w:proofErr w:type="spellEnd"/>
      <w:r>
        <w:rPr>
          <w:rFonts w:ascii="Palatino Linotype" w:eastAsia="Palatino Linotype" w:hAnsi="Palatino Linotype" w:cs="Palatino Linotype"/>
          <w:i/>
          <w:color w:val="000000"/>
        </w:rPr>
        <w:t xml:space="preserve"> y en un solo archivo cuando entreguen la información ya que mencionaron en su oficio que desde esa fecha fueron asignados y es razonable que se debe llevar ese protocolo oficio y firma sus asistencias por cualquier motivo o </w:t>
      </w:r>
      <w:proofErr w:type="spellStart"/>
      <w:r>
        <w:rPr>
          <w:rFonts w:ascii="Palatino Linotype" w:eastAsia="Palatino Linotype" w:hAnsi="Palatino Linotype" w:cs="Palatino Linotype"/>
          <w:i/>
          <w:color w:val="000000"/>
        </w:rPr>
        <w:t>circustancia</w:t>
      </w:r>
      <w:proofErr w:type="spellEnd"/>
      <w:r>
        <w:rPr>
          <w:rFonts w:ascii="Palatino Linotype" w:eastAsia="Palatino Linotype" w:hAnsi="Palatino Linotype" w:cs="Palatino Linotype"/>
          <w:i/>
          <w:color w:val="000000"/>
        </w:rPr>
        <w:t xml:space="preserve"> que pueda suceder con el servidor </w:t>
      </w:r>
      <w:proofErr w:type="spellStart"/>
      <w:r>
        <w:rPr>
          <w:rFonts w:ascii="Palatino Linotype" w:eastAsia="Palatino Linotype" w:hAnsi="Palatino Linotype" w:cs="Palatino Linotype"/>
          <w:i/>
          <w:color w:val="000000"/>
        </w:rPr>
        <w:t>publico</w:t>
      </w:r>
      <w:proofErr w:type="spellEnd"/>
      <w:r>
        <w:rPr>
          <w:rFonts w:ascii="Palatino Linotype" w:eastAsia="Palatino Linotype" w:hAnsi="Palatino Linotype" w:cs="Palatino Linotype"/>
          <w:i/>
          <w:color w:val="000000"/>
        </w:rPr>
        <w:t xml:space="preserve"> y </w:t>
      </w:r>
      <w:proofErr w:type="spellStart"/>
      <w:r>
        <w:rPr>
          <w:rFonts w:ascii="Palatino Linotype" w:eastAsia="Palatino Linotype" w:hAnsi="Palatino Linotype" w:cs="Palatino Linotype"/>
          <w:i/>
          <w:color w:val="000000"/>
        </w:rPr>
        <w:t>tambien</w:t>
      </w:r>
      <w:proofErr w:type="spellEnd"/>
      <w:r>
        <w:rPr>
          <w:rFonts w:ascii="Palatino Linotype" w:eastAsia="Palatino Linotype" w:hAnsi="Palatino Linotype" w:cs="Palatino Linotype"/>
          <w:i/>
          <w:color w:val="000000"/>
        </w:rPr>
        <w:t xml:space="preserve"> solicito todas las listas y el área responsable de resguardar todas las listas con oficio porque lupita oculta a sus comisionados a las </w:t>
      </w:r>
      <w:proofErr w:type="spellStart"/>
      <w:r>
        <w:rPr>
          <w:rFonts w:ascii="Palatino Linotype" w:eastAsia="Palatino Linotype" w:hAnsi="Palatino Linotype" w:cs="Palatino Linotype"/>
          <w:i/>
          <w:color w:val="000000"/>
        </w:rPr>
        <w:t>areas</w:t>
      </w:r>
      <w:proofErr w:type="spellEnd"/>
      <w:r>
        <w:rPr>
          <w:rFonts w:ascii="Palatino Linotype" w:eastAsia="Palatino Linotype" w:hAnsi="Palatino Linotype" w:cs="Palatino Linotype"/>
          <w:i/>
          <w:color w:val="000000"/>
        </w:rPr>
        <w:t xml:space="preserve"> que bueno que ingeniero </w:t>
      </w:r>
      <w:proofErr w:type="spellStart"/>
      <w:r>
        <w:rPr>
          <w:rFonts w:ascii="Palatino Linotype" w:eastAsia="Palatino Linotype" w:hAnsi="Palatino Linotype" w:cs="Palatino Linotype"/>
          <w:i/>
          <w:color w:val="000000"/>
        </w:rPr>
        <w:t>cardenas</w:t>
      </w:r>
      <w:proofErr w:type="spellEnd"/>
      <w:r>
        <w:rPr>
          <w:rFonts w:ascii="Palatino Linotype" w:eastAsia="Palatino Linotype" w:hAnsi="Palatino Linotype" w:cs="Palatino Linotype"/>
          <w:i/>
          <w:color w:val="000000"/>
        </w:rPr>
        <w:t xml:space="preserve"> tiene conocimiento y el área RH ya que nos pide ocultarle la información especialmente al área de RH se dará cuenta ingeniero que las listas no vienes de área de RH pido al ingeniero </w:t>
      </w:r>
      <w:proofErr w:type="spellStart"/>
      <w:r>
        <w:rPr>
          <w:rFonts w:ascii="Palatino Linotype" w:eastAsia="Palatino Linotype" w:hAnsi="Palatino Linotype" w:cs="Palatino Linotype"/>
          <w:i/>
          <w:color w:val="000000"/>
        </w:rPr>
        <w:t>cardenas</w:t>
      </w:r>
      <w:proofErr w:type="spellEnd"/>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este</w:t>
      </w:r>
      <w:proofErr w:type="spellEnd"/>
      <w:r>
        <w:rPr>
          <w:rFonts w:ascii="Palatino Linotype" w:eastAsia="Palatino Linotype" w:hAnsi="Palatino Linotype" w:cs="Palatino Linotype"/>
          <w:i/>
          <w:color w:val="000000"/>
        </w:rPr>
        <w:t xml:space="preserve"> atento para ver como manda la información es por eso que requiero las listas de todas las áreas de Administración de todos los servidores </w:t>
      </w:r>
      <w:proofErr w:type="spellStart"/>
      <w:r>
        <w:rPr>
          <w:rFonts w:ascii="Palatino Linotype" w:eastAsia="Palatino Linotype" w:hAnsi="Palatino Linotype" w:cs="Palatino Linotype"/>
          <w:i/>
          <w:color w:val="000000"/>
        </w:rPr>
        <w:t>publicos</w:t>
      </w:r>
      <w:proofErr w:type="spellEnd"/>
      <w:r>
        <w:rPr>
          <w:rFonts w:ascii="Palatino Linotype" w:eastAsia="Palatino Linotype" w:hAnsi="Palatino Linotype" w:cs="Palatino Linotype"/>
          <w:i/>
          <w:color w:val="000000"/>
        </w:rPr>
        <w:t xml:space="preserve"> de la primera quincena de abril 2024 agradezco enormemente la información que me mandaron Y saber que se está al pendiente entre "" porque nuestra jefa hace cada </w:t>
      </w:r>
      <w:r>
        <w:rPr>
          <w:rFonts w:ascii="Palatino Linotype" w:eastAsia="Palatino Linotype" w:hAnsi="Palatino Linotype" w:cs="Palatino Linotype"/>
          <w:i/>
          <w:color w:val="000000"/>
        </w:rPr>
        <w:lastRenderedPageBreak/>
        <w:t xml:space="preserve">cosa especialmente que es </w:t>
      </w:r>
      <w:proofErr w:type="spellStart"/>
      <w:r>
        <w:rPr>
          <w:rFonts w:ascii="Palatino Linotype" w:eastAsia="Palatino Linotype" w:hAnsi="Palatino Linotype" w:cs="Palatino Linotype"/>
          <w:i/>
          <w:color w:val="000000"/>
        </w:rPr>
        <w:t>apollando</w:t>
      </w:r>
      <w:proofErr w:type="spellEnd"/>
      <w:r>
        <w:rPr>
          <w:rFonts w:ascii="Palatino Linotype" w:eastAsia="Palatino Linotype" w:hAnsi="Palatino Linotype" w:cs="Palatino Linotype"/>
          <w:i/>
          <w:color w:val="000000"/>
        </w:rPr>
        <w:t xml:space="preserve"> a </w:t>
      </w:r>
      <w:proofErr w:type="spellStart"/>
      <w:r>
        <w:rPr>
          <w:rFonts w:ascii="Palatino Linotype" w:eastAsia="Palatino Linotype" w:hAnsi="Palatino Linotype" w:cs="Palatino Linotype"/>
          <w:i/>
          <w:color w:val="000000"/>
        </w:rPr>
        <w:t>Rocio</w:t>
      </w:r>
      <w:proofErr w:type="spellEnd"/>
      <w:r>
        <w:rPr>
          <w:rFonts w:ascii="Palatino Linotype" w:eastAsia="Palatino Linotype" w:hAnsi="Palatino Linotype" w:cs="Palatino Linotype"/>
          <w:i/>
          <w:color w:val="000000"/>
        </w:rPr>
        <w:t xml:space="preserve"> Olmos es el colmo y </w:t>
      </w:r>
      <w:proofErr w:type="spellStart"/>
      <w:r>
        <w:rPr>
          <w:rFonts w:ascii="Palatino Linotype" w:eastAsia="Palatino Linotype" w:hAnsi="Palatino Linotype" w:cs="Palatino Linotype"/>
          <w:i/>
          <w:color w:val="000000"/>
        </w:rPr>
        <w:t>asu</w:t>
      </w:r>
      <w:proofErr w:type="spellEnd"/>
      <w:r>
        <w:rPr>
          <w:rFonts w:ascii="Palatino Linotype" w:eastAsia="Palatino Linotype" w:hAnsi="Palatino Linotype" w:cs="Palatino Linotype"/>
          <w:i/>
          <w:color w:val="000000"/>
        </w:rPr>
        <w:t xml:space="preserve"> gente directa la corra dice que firma los sábados y Domingo y nunca va porque aquí lo vemos pero seguiremos al pendiente porque esa señora años sin ir a trabajar desde el 2000 pero que tal a gente que </w:t>
      </w:r>
      <w:proofErr w:type="spellStart"/>
      <w:r>
        <w:rPr>
          <w:rFonts w:ascii="Palatino Linotype" w:eastAsia="Palatino Linotype" w:hAnsi="Palatino Linotype" w:cs="Palatino Linotype"/>
          <w:i/>
          <w:color w:val="000000"/>
        </w:rPr>
        <w:t>de</w:t>
      </w:r>
      <w:proofErr w:type="spellEnd"/>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de</w:t>
      </w:r>
      <w:proofErr w:type="spellEnd"/>
      <w:r>
        <w:rPr>
          <w:rFonts w:ascii="Palatino Linotype" w:eastAsia="Palatino Linotype" w:hAnsi="Palatino Linotype" w:cs="Palatino Linotype"/>
          <w:i/>
          <w:color w:val="000000"/>
        </w:rPr>
        <w:t xml:space="preserve"> verdad esta con Guadalupe quiere que firme al pie de la letra y cuidado que falte seguiremos al pendiente y en espera de ver pronto </w:t>
      </w:r>
      <w:proofErr w:type="spellStart"/>
      <w:r>
        <w:rPr>
          <w:rFonts w:ascii="Palatino Linotype" w:eastAsia="Palatino Linotype" w:hAnsi="Palatino Linotype" w:cs="Palatino Linotype"/>
          <w:i/>
          <w:color w:val="000000"/>
        </w:rPr>
        <w:t>Rocio</w:t>
      </w:r>
      <w:proofErr w:type="spellEnd"/>
      <w:r>
        <w:rPr>
          <w:rFonts w:ascii="Palatino Linotype" w:eastAsia="Palatino Linotype" w:hAnsi="Palatino Linotype" w:cs="Palatino Linotype"/>
          <w:i/>
          <w:color w:val="000000"/>
        </w:rPr>
        <w:t xml:space="preserve"> Olmos Buen inicio de semana"</w:t>
      </w:r>
    </w:p>
    <w:p w14:paraId="78C0F028" w14:textId="77777777" w:rsidR="0006514A" w:rsidRDefault="0006514A">
      <w:pPr>
        <w:pBdr>
          <w:top w:val="nil"/>
          <w:left w:val="nil"/>
          <w:bottom w:val="nil"/>
          <w:right w:val="nil"/>
          <w:between w:val="nil"/>
        </w:pBdr>
        <w:spacing w:line="360" w:lineRule="auto"/>
        <w:ind w:left="567" w:right="680"/>
        <w:jc w:val="both"/>
        <w:rPr>
          <w:rFonts w:ascii="Palatino Linotype" w:eastAsia="Palatino Linotype" w:hAnsi="Palatino Linotype" w:cs="Palatino Linotype"/>
          <w:color w:val="000000"/>
        </w:rPr>
      </w:pPr>
    </w:p>
    <w:p w14:paraId="1CCA1FFA" w14:textId="77777777" w:rsidR="0006514A" w:rsidRDefault="003F0F1D">
      <w:pPr>
        <w:pBdr>
          <w:top w:val="nil"/>
          <w:left w:val="nil"/>
          <w:bottom w:val="nil"/>
          <w:right w:val="nil"/>
          <w:between w:val="nil"/>
        </w:pBdr>
        <w:spacing w:line="360" w:lineRule="auto"/>
        <w:ind w:left="567" w:right="68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Número de Folio de la Solicitud: </w:t>
      </w:r>
      <w:r>
        <w:rPr>
          <w:rFonts w:ascii="Palatino Linotype" w:eastAsia="Palatino Linotype" w:hAnsi="Palatino Linotype" w:cs="Palatino Linotype"/>
          <w:b/>
          <w:color w:val="000000"/>
        </w:rPr>
        <w:t>00059/OASNEZA/IP/2024</w:t>
      </w:r>
    </w:p>
    <w:p w14:paraId="11396D99" w14:textId="77777777" w:rsidR="0006514A" w:rsidRDefault="003F0F1D">
      <w:pPr>
        <w:pBdr>
          <w:top w:val="nil"/>
          <w:left w:val="nil"/>
          <w:bottom w:val="nil"/>
          <w:right w:val="nil"/>
          <w:between w:val="nil"/>
        </w:pBdr>
        <w:spacing w:line="360" w:lineRule="auto"/>
        <w:ind w:left="567" w:right="68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rPr>
        <w:t xml:space="preserve"> </w:t>
      </w:r>
      <w:r>
        <w:rPr>
          <w:rFonts w:ascii="Palatino Linotype" w:eastAsia="Palatino Linotype" w:hAnsi="Palatino Linotype" w:cs="Palatino Linotype"/>
          <w:i/>
          <w:color w:val="000000"/>
        </w:rPr>
        <w:t xml:space="preserve">En mi solicitudes 41 pedí listas y el Lic. Roldan en su oficio dice que la licenciada Olivia Altagracia es la encargada de resguardar las listas según sus obligaciones y atribuciones de su reglamento esa jefatura que está a su cargo manda un oficio y solo acredita las listas de abril mas no la de sus comisionados que en anterior solicitud mencione, da la casualidad que las lista de los 10 comisionados la licenciada Olivia no manda oficio haciendo mención de dicha información no veo el oficio sol acredita una listas no mando las listas de agosto a la fecha de los comisionados que solicite y conociendo a Guadalupe Pérez la mando ella estoy 1000% seguro que esa información la desconoce la licenciada de recursos humanos o acaso la licenciada Olivia Altagracia está cubriendo las porquerías de </w:t>
      </w:r>
      <w:r>
        <w:rPr>
          <w:rFonts w:ascii="Palatino Linotype" w:eastAsia="Palatino Linotype" w:hAnsi="Palatino Linotype" w:cs="Palatino Linotype"/>
          <w:i/>
          <w:color w:val="000000"/>
        </w:rPr>
        <w:lastRenderedPageBreak/>
        <w:t xml:space="preserve">Guadalupe. Requiero por parte de la jefatura de recursos humanos que está a cargo de la servidora pública licenciada Olivia Altagracia el oficio del mes de agosto de los 10 comisionados mencionados que la Lic. Lupe Pérez le turno para abrir sus expedientes y tener conocimientos he dicho </w:t>
      </w:r>
      <w:proofErr w:type="gramStart"/>
      <w:r>
        <w:rPr>
          <w:rFonts w:ascii="Palatino Linotype" w:eastAsia="Palatino Linotype" w:hAnsi="Palatino Linotype" w:cs="Palatino Linotype"/>
          <w:i/>
          <w:color w:val="000000"/>
        </w:rPr>
        <w:t>personal</w:t>
      </w:r>
      <w:proofErr w:type="gramEnd"/>
      <w:r>
        <w:rPr>
          <w:rFonts w:ascii="Palatino Linotype" w:eastAsia="Palatino Linotype" w:hAnsi="Palatino Linotype" w:cs="Palatino Linotype"/>
          <w:i/>
          <w:color w:val="000000"/>
        </w:rPr>
        <w:t xml:space="preserve"> así como sus listas de la primera quincena de mayo 2024 avalado por la jefatura y administración. Pido el apoyo del contralor interno revise las listas y verifique que se mande la información requiero las lista de los 10 comisionados mencionados en el oficio que mando a esta plataforma que están en </w:t>
      </w:r>
      <w:proofErr w:type="spellStart"/>
      <w:r>
        <w:rPr>
          <w:rFonts w:ascii="Palatino Linotype" w:eastAsia="Palatino Linotype" w:hAnsi="Palatino Linotype" w:cs="Palatino Linotype"/>
          <w:i/>
          <w:color w:val="000000"/>
        </w:rPr>
        <w:t>odapas</w:t>
      </w:r>
      <w:proofErr w:type="spellEnd"/>
      <w:r>
        <w:rPr>
          <w:rFonts w:ascii="Palatino Linotype" w:eastAsia="Palatino Linotype" w:hAnsi="Palatino Linotype" w:cs="Palatino Linotype"/>
          <w:i/>
          <w:color w:val="000000"/>
        </w:rPr>
        <w:t xml:space="preserve"> y pido sea observado el oficio que mando la jefatura de recursos humanos le omiten las listas de los comisionados solo le mencionan que se requiere la lista del personal de la primera quincena de abril y jamás le mandan que se requieren las lista de los comisionados, entonces su reglamento y que ella sea la responsable como lo menciono el licenciado roldan que en </w:t>
      </w:r>
      <w:proofErr w:type="spellStart"/>
      <w:r>
        <w:rPr>
          <w:rFonts w:ascii="Palatino Linotype" w:eastAsia="Palatino Linotype" w:hAnsi="Palatino Linotype" w:cs="Palatino Linotype"/>
          <w:i/>
          <w:color w:val="000000"/>
        </w:rPr>
        <w:t>articulo</w:t>
      </w:r>
      <w:proofErr w:type="spellEnd"/>
      <w:r>
        <w:rPr>
          <w:rFonts w:ascii="Palatino Linotype" w:eastAsia="Palatino Linotype" w:hAnsi="Palatino Linotype" w:cs="Palatino Linotype"/>
          <w:i/>
          <w:color w:val="000000"/>
        </w:rPr>
        <w:t xml:space="preserve"> 44 de su reglamento y etc. no le hacen caso, y el titular de transparencia está tapando y cubriendo dicha información y el oficio de la responsable que es Guadalupe Pérez donde esta él es la responsable de dicha información y está omitiendo información titular de transparencia usted le envía Guadalupe donde está su oficio ella donde le responde porque no lo anexo"</w:t>
      </w:r>
    </w:p>
    <w:p w14:paraId="632E4DC3" w14:textId="77777777" w:rsidR="0006514A" w:rsidRDefault="0006514A">
      <w:pPr>
        <w:pBdr>
          <w:top w:val="nil"/>
          <w:left w:val="nil"/>
          <w:bottom w:val="nil"/>
          <w:right w:val="nil"/>
          <w:between w:val="nil"/>
        </w:pBdr>
        <w:spacing w:line="360" w:lineRule="auto"/>
        <w:ind w:left="567" w:right="680"/>
        <w:jc w:val="both"/>
        <w:rPr>
          <w:rFonts w:ascii="Palatino Linotype" w:eastAsia="Palatino Linotype" w:hAnsi="Palatino Linotype" w:cs="Palatino Linotype"/>
          <w:color w:val="000000"/>
        </w:rPr>
      </w:pPr>
    </w:p>
    <w:p w14:paraId="026A211D" w14:textId="77777777" w:rsidR="0006514A" w:rsidRDefault="003F0F1D">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lastRenderedPageBreak/>
        <w:t xml:space="preserve">Se señaló como modalidad de entrega de la información a través del </w:t>
      </w:r>
      <w:r>
        <w:rPr>
          <w:rFonts w:ascii="Palatino Linotype" w:eastAsia="Palatino Linotype" w:hAnsi="Palatino Linotype" w:cs="Palatino Linotype"/>
          <w:b/>
          <w:color w:val="000000"/>
        </w:rPr>
        <w:t>SAIMEX.</w:t>
      </w:r>
    </w:p>
    <w:p w14:paraId="3C84FEE5"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quince de mayo y siete de junio de dos mil veinticuatro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dio respuestas a las solicitudes de información</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de la siguiente manera:</w:t>
      </w:r>
    </w:p>
    <w:p w14:paraId="55337B39" w14:textId="77777777" w:rsidR="0006514A" w:rsidRDefault="0006514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30B16FE" w14:textId="77777777" w:rsidR="0006514A" w:rsidRDefault="003F0F1D">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Folio de la solicitud, </w:t>
      </w:r>
      <w:r>
        <w:rPr>
          <w:rFonts w:ascii="Palatino Linotype" w:eastAsia="Palatino Linotype" w:hAnsi="Palatino Linotype" w:cs="Palatino Linotype"/>
          <w:b/>
          <w:color w:val="000000"/>
        </w:rPr>
        <w:t xml:space="preserve">00041/OASNEZA/IP/2024: </w:t>
      </w:r>
      <w:r>
        <w:rPr>
          <w:rFonts w:ascii="Palatino Linotype" w:eastAsia="Palatino Linotype" w:hAnsi="Palatino Linotype" w:cs="Palatino Linotype"/>
          <w:color w:val="000000"/>
        </w:rPr>
        <w:t xml:space="preserve">oficio signado por la </w:t>
      </w:r>
      <w:proofErr w:type="gramStart"/>
      <w:r>
        <w:rPr>
          <w:rFonts w:ascii="Palatino Linotype" w:eastAsia="Palatino Linotype" w:hAnsi="Palatino Linotype" w:cs="Palatino Linotype"/>
          <w:color w:val="000000"/>
        </w:rPr>
        <w:t>Directora</w:t>
      </w:r>
      <w:proofErr w:type="gramEnd"/>
      <w:r>
        <w:rPr>
          <w:rFonts w:ascii="Palatino Linotype" w:eastAsia="Palatino Linotype" w:hAnsi="Palatino Linotype" w:cs="Palatino Linotype"/>
          <w:color w:val="000000"/>
        </w:rPr>
        <w:t xml:space="preserve"> de Administración en lo relativo a las expresiones subjetivas, en el que informa que la solicitud no encuadra en el ejercicio de derecho de acceso a la información pública, control asistencia de Comisionados correspondiente a la primera quincena de agosto de dos mil veintitrés constante de 44 fojas.</w:t>
      </w:r>
    </w:p>
    <w:p w14:paraId="4B7DED95" w14:textId="77777777" w:rsidR="0006514A" w:rsidRDefault="0006514A">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391048C4" w14:textId="77777777" w:rsidR="0006514A" w:rsidRDefault="003F0F1D">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Folio de la solicitud: </w:t>
      </w:r>
      <w:r>
        <w:rPr>
          <w:rFonts w:ascii="Palatino Linotype" w:eastAsia="Palatino Linotype" w:hAnsi="Palatino Linotype" w:cs="Palatino Linotype"/>
          <w:b/>
          <w:color w:val="000000"/>
        </w:rPr>
        <w:t>00059/OASNEZA/IP/2024</w:t>
      </w:r>
      <w:r>
        <w:rPr>
          <w:rFonts w:ascii="Palatino Linotype" w:eastAsia="Palatino Linotype" w:hAnsi="Palatino Linotype" w:cs="Palatino Linotype"/>
          <w:color w:val="000000"/>
        </w:rPr>
        <w:t xml:space="preserve">: oficio signado por la </w:t>
      </w:r>
      <w:proofErr w:type="gramStart"/>
      <w:r>
        <w:rPr>
          <w:rFonts w:ascii="Palatino Linotype" w:eastAsia="Palatino Linotype" w:hAnsi="Palatino Linotype" w:cs="Palatino Linotype"/>
          <w:color w:val="000000"/>
        </w:rPr>
        <w:t>Directora</w:t>
      </w:r>
      <w:proofErr w:type="gramEnd"/>
      <w:r>
        <w:rPr>
          <w:rFonts w:ascii="Palatino Linotype" w:eastAsia="Palatino Linotype" w:hAnsi="Palatino Linotype" w:cs="Palatino Linotype"/>
          <w:color w:val="000000"/>
        </w:rPr>
        <w:t xml:space="preserve"> de Administración, en el que informa que la solicitud no encuadra en el ejercicio de derecho de acceso a la información pública en lo relativo a las expresiones subjetivas, control asistencia de Comisionados correspondiente a la primera quincena de agosto de dos mil veintitrés constante de 44 fojas.</w:t>
      </w:r>
    </w:p>
    <w:p w14:paraId="40C466A9" w14:textId="77777777" w:rsidR="0006514A" w:rsidRDefault="0006514A">
      <w:pPr>
        <w:pBdr>
          <w:top w:val="nil"/>
          <w:left w:val="nil"/>
          <w:bottom w:val="nil"/>
          <w:right w:val="nil"/>
          <w:between w:val="nil"/>
        </w:pBdr>
        <w:spacing w:line="360" w:lineRule="auto"/>
        <w:ind w:left="720"/>
        <w:rPr>
          <w:rFonts w:ascii="Palatino Linotype" w:eastAsia="Palatino Linotype" w:hAnsi="Palatino Linotype" w:cs="Palatino Linotype"/>
          <w:i/>
          <w:color w:val="000000"/>
        </w:rPr>
      </w:pPr>
    </w:p>
    <w:p w14:paraId="49A34AF8"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1" w:name="_heading=h.1fob9te" w:colFirst="0" w:colLast="0"/>
      <w:bookmarkEnd w:id="1"/>
      <w:r>
        <w:rPr>
          <w:rFonts w:ascii="Palatino Linotype" w:eastAsia="Palatino Linotype" w:hAnsi="Palatino Linotype" w:cs="Palatino Linotype"/>
          <w:color w:val="000000"/>
        </w:rPr>
        <w:lastRenderedPageBreak/>
        <w:t xml:space="preserve">Los días </w:t>
      </w:r>
      <w:r>
        <w:rPr>
          <w:rFonts w:ascii="Palatino Linotype" w:eastAsia="Palatino Linotype" w:hAnsi="Palatino Linotype" w:cs="Palatino Linotype"/>
          <w:b/>
          <w:color w:val="000000"/>
        </w:rPr>
        <w:t>diecisiete de mayo y veinticuatro de junio de agosto de dos mil veinticuatro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interpuso los recursos de revisión, en contra de </w:t>
      </w:r>
      <w:proofErr w:type="gramStart"/>
      <w:r>
        <w:rPr>
          <w:rFonts w:ascii="Palatino Linotype" w:eastAsia="Palatino Linotype" w:hAnsi="Palatino Linotype" w:cs="Palatino Linotype"/>
          <w:color w:val="000000"/>
        </w:rPr>
        <w:t>la respuestas</w:t>
      </w:r>
      <w:proofErr w:type="gramEnd"/>
      <w:r>
        <w:rPr>
          <w:rFonts w:ascii="Palatino Linotype" w:eastAsia="Palatino Linotype" w:hAnsi="Palatino Linotype" w:cs="Palatino Linotype"/>
          <w:color w:val="000000"/>
        </w:rPr>
        <w:t xml:space="preserve"> de la siguiente manera:</w:t>
      </w:r>
    </w:p>
    <w:p w14:paraId="187FE350" w14:textId="77777777" w:rsidR="0006514A" w:rsidRDefault="003F0F1D">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Folio del recurso de revisión: 02993/INFOEM/IP/RR/2024</w:t>
      </w:r>
    </w:p>
    <w:p w14:paraId="7D403805" w14:textId="77777777" w:rsidR="0006514A" w:rsidRDefault="003F0F1D">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ACTO IMPUGNADO</w:t>
      </w:r>
      <w:r>
        <w:rPr>
          <w:rFonts w:ascii="Palatino Linotype" w:eastAsia="Palatino Linotype" w:hAnsi="Palatino Linotype" w:cs="Palatino Linotype"/>
          <w:b/>
          <w:color w:val="000000"/>
        </w:rPr>
        <w:tab/>
      </w:r>
    </w:p>
    <w:p w14:paraId="23B20E5B" w14:textId="77777777" w:rsidR="0006514A" w:rsidRDefault="003F0F1D">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“No es clara la </w:t>
      </w:r>
      <w:proofErr w:type="spellStart"/>
      <w:r>
        <w:rPr>
          <w:rFonts w:ascii="Palatino Linotype" w:eastAsia="Palatino Linotype" w:hAnsi="Palatino Linotype" w:cs="Palatino Linotype"/>
          <w:i/>
          <w:color w:val="000000"/>
        </w:rPr>
        <w:t>informacion</w:t>
      </w:r>
      <w:proofErr w:type="spellEnd"/>
      <w:r>
        <w:rPr>
          <w:rFonts w:ascii="Palatino Linotype" w:eastAsia="Palatino Linotype" w:hAnsi="Palatino Linotype" w:cs="Palatino Linotype"/>
          <w:i/>
          <w:color w:val="000000"/>
        </w:rPr>
        <w:t>.”</w:t>
      </w:r>
    </w:p>
    <w:p w14:paraId="00DD7A53" w14:textId="77777777" w:rsidR="0006514A" w:rsidRDefault="0006514A">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rPr>
      </w:pPr>
    </w:p>
    <w:p w14:paraId="4BAA7DA5" w14:textId="77777777" w:rsidR="0006514A" w:rsidRDefault="003F0F1D">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RAZONES O MOTIVOS DE LA INCONFORMIDAD</w:t>
      </w:r>
      <w:r>
        <w:rPr>
          <w:rFonts w:ascii="Palatino Linotype" w:eastAsia="Palatino Linotype" w:hAnsi="Palatino Linotype" w:cs="Palatino Linotype"/>
          <w:b/>
          <w:color w:val="000000"/>
        </w:rPr>
        <w:tab/>
      </w:r>
    </w:p>
    <w:p w14:paraId="66A30552" w14:textId="77777777" w:rsidR="0006514A" w:rsidRDefault="003F0F1D">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“En mi solicitudes 41 pedí listas y el Lic. Roldan en su oficio dice que la licenciada Olivia Altagracia es la encargada de resguardar las listas según sus obligaciones y atribuciones de su reglamento esa jefatura que está a su cargo manda un oficio y solo acredita las listas de abril mas no la de sus comisionados que en anterior solicitud mencione, da la casualidad que las lista de los 10 comisionados la licenciada Olivia no manda oficio haciendo mención de dicha información no veo el oficio sol acredita una listas no mando las listas de agosto a la fecha de los comisionados que solicite y conociendo a Guadalupe Pérez la mando ella estoy 1000% seguro que esa información la desconoce la licenciada de recursos humanos o acaso la licenciada Olivia Altagracia está cubriendo las porquerías de Guadalupe. Requiero por parte de la jefatura de </w:t>
      </w:r>
      <w:r>
        <w:rPr>
          <w:rFonts w:ascii="Palatino Linotype" w:eastAsia="Palatino Linotype" w:hAnsi="Palatino Linotype" w:cs="Palatino Linotype"/>
          <w:i/>
          <w:color w:val="000000"/>
        </w:rPr>
        <w:lastRenderedPageBreak/>
        <w:t xml:space="preserve">recursos humanos que está a cargo de la servidora pública licenciada Olivia Altagracia el oficio del mes de agosto de los 10 comisionados mencionados que la Lic. Lupe Pérez le turno para abrir sus expedientes y tener conocimientos he dicho </w:t>
      </w:r>
      <w:proofErr w:type="gramStart"/>
      <w:r>
        <w:rPr>
          <w:rFonts w:ascii="Palatino Linotype" w:eastAsia="Palatino Linotype" w:hAnsi="Palatino Linotype" w:cs="Palatino Linotype"/>
          <w:i/>
          <w:color w:val="000000"/>
        </w:rPr>
        <w:t>personal</w:t>
      </w:r>
      <w:proofErr w:type="gramEnd"/>
      <w:r>
        <w:rPr>
          <w:rFonts w:ascii="Palatino Linotype" w:eastAsia="Palatino Linotype" w:hAnsi="Palatino Linotype" w:cs="Palatino Linotype"/>
          <w:i/>
          <w:color w:val="000000"/>
        </w:rPr>
        <w:t xml:space="preserve"> así como sus listas de la primera quincena de mayo 2024 avalado por la jefatura y administración. Pido el apoyo del contralor interno revise las listas y verifique que se mande la información requiero las lista de los 10 comisionados mencionados en el oficio que mando a esta plataforma que están en </w:t>
      </w:r>
      <w:proofErr w:type="spellStart"/>
      <w:r>
        <w:rPr>
          <w:rFonts w:ascii="Palatino Linotype" w:eastAsia="Palatino Linotype" w:hAnsi="Palatino Linotype" w:cs="Palatino Linotype"/>
          <w:i/>
          <w:color w:val="000000"/>
        </w:rPr>
        <w:t>odapas</w:t>
      </w:r>
      <w:proofErr w:type="spellEnd"/>
      <w:r>
        <w:rPr>
          <w:rFonts w:ascii="Palatino Linotype" w:eastAsia="Palatino Linotype" w:hAnsi="Palatino Linotype" w:cs="Palatino Linotype"/>
          <w:i/>
          <w:color w:val="000000"/>
        </w:rPr>
        <w:t xml:space="preserve"> y pido sea observado el oficio que mando la jefatura de recursos humanos le omiten las listas de los comisionados solo le mencionan que se requiere la lista del personal de la primera quincena de abril y jamás le mandan que se requieren las lista de los comisionados, entonces su reglamento y que ella sea la responsable como lo menciono el licenciado roldan que en </w:t>
      </w:r>
      <w:proofErr w:type="spellStart"/>
      <w:r>
        <w:rPr>
          <w:rFonts w:ascii="Palatino Linotype" w:eastAsia="Palatino Linotype" w:hAnsi="Palatino Linotype" w:cs="Palatino Linotype"/>
          <w:i/>
          <w:color w:val="000000"/>
        </w:rPr>
        <w:t>articulo</w:t>
      </w:r>
      <w:proofErr w:type="spellEnd"/>
      <w:r>
        <w:rPr>
          <w:rFonts w:ascii="Palatino Linotype" w:eastAsia="Palatino Linotype" w:hAnsi="Palatino Linotype" w:cs="Palatino Linotype"/>
          <w:i/>
          <w:color w:val="000000"/>
        </w:rPr>
        <w:t xml:space="preserve"> 44 de su reglamento y etc. no le hacen caso, y el titular de transparencia está tapando y cubriendo dicha información y el oficio de la responsable que es Guadalupe Pérez donde esta él es la responsable de dicha información y está omitiendo información titular de transparencia usted le envía Guadalupe donde está su oficio ella donde le responde porque no lo anexo”</w:t>
      </w:r>
    </w:p>
    <w:p w14:paraId="1710130D" w14:textId="77777777" w:rsidR="0006514A" w:rsidRDefault="0006514A">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rPr>
      </w:pPr>
    </w:p>
    <w:p w14:paraId="5EB7A1A7" w14:textId="77777777" w:rsidR="0006514A" w:rsidRDefault="003F0F1D">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Folio del recurso de revisión: 03831/INFOEM/IP/RR/2024</w:t>
      </w:r>
    </w:p>
    <w:p w14:paraId="45C16BE5" w14:textId="77777777" w:rsidR="0006514A" w:rsidRDefault="003F0F1D">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ACTO IMPUGNADO</w:t>
      </w:r>
      <w:r>
        <w:rPr>
          <w:rFonts w:ascii="Palatino Linotype" w:eastAsia="Palatino Linotype" w:hAnsi="Palatino Linotype" w:cs="Palatino Linotype"/>
          <w:b/>
          <w:color w:val="000000"/>
        </w:rPr>
        <w:tab/>
      </w:r>
    </w:p>
    <w:p w14:paraId="2854FD12" w14:textId="77777777" w:rsidR="0006514A" w:rsidRDefault="003F0F1D">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“Los oficios de asignación de los comisionados no los mandan”</w:t>
      </w:r>
    </w:p>
    <w:p w14:paraId="5F7D5CF3" w14:textId="77777777" w:rsidR="0006514A" w:rsidRDefault="0006514A">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rPr>
      </w:pPr>
    </w:p>
    <w:p w14:paraId="6763C611" w14:textId="77777777" w:rsidR="0006514A" w:rsidRDefault="003F0F1D">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RAZONES O MOTIVOS DE LA INCONFORMIDAD</w:t>
      </w:r>
      <w:r>
        <w:rPr>
          <w:rFonts w:ascii="Palatino Linotype" w:eastAsia="Palatino Linotype" w:hAnsi="Palatino Linotype" w:cs="Palatino Linotype"/>
          <w:b/>
          <w:color w:val="000000"/>
        </w:rPr>
        <w:tab/>
      </w:r>
    </w:p>
    <w:p w14:paraId="79B27AAD" w14:textId="77777777" w:rsidR="0006514A" w:rsidRDefault="003F0F1D">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“Los oficios de asignación de los comisionados que no mandan”</w:t>
      </w:r>
    </w:p>
    <w:p w14:paraId="4F192C64" w14:textId="77777777" w:rsidR="0006514A" w:rsidRDefault="0006514A">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rPr>
      </w:pPr>
    </w:p>
    <w:p w14:paraId="13C8E7C0" w14:textId="77777777" w:rsidR="0006514A" w:rsidRDefault="003F0F1D">
      <w:pPr>
        <w:numPr>
          <w:ilvl w:val="0"/>
          <w:numId w:val="2"/>
        </w:num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i/>
          <w:color w:val="000000"/>
          <w:u w:val="single"/>
        </w:rPr>
      </w:pPr>
      <w:r>
        <w:rPr>
          <w:rFonts w:ascii="Palatino Linotype" w:eastAsia="Palatino Linotype" w:hAnsi="Palatino Linotype" w:cs="Palatino Linotype"/>
          <w:b/>
          <w:color w:val="000000"/>
          <w:u w:val="single"/>
        </w:rPr>
        <w:t>Acumulación, manifestaciones, alegatos y respuesta complementaría.</w:t>
      </w:r>
    </w:p>
    <w:p w14:paraId="1D6F680D" w14:textId="77777777" w:rsidR="0006514A" w:rsidRDefault="0006514A">
      <w:p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i/>
          <w:color w:val="000000"/>
          <w:u w:val="single"/>
        </w:rPr>
      </w:pPr>
    </w:p>
    <w:p w14:paraId="55F77025"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rPr>
      </w:pPr>
      <w:r>
        <w:rPr>
          <w:rFonts w:ascii="Palatino Linotype" w:eastAsia="Palatino Linotype" w:hAnsi="Palatino Linotype" w:cs="Palatino Linotype"/>
        </w:rPr>
        <w:t xml:space="preserve">Con fundamento en lo dispuesto por el artículo 185 fracción II de la ley de la materia, se acordó a las partes a efecto de </w:t>
      </w:r>
      <w:proofErr w:type="gramStart"/>
      <w:r>
        <w:rPr>
          <w:rFonts w:ascii="Palatino Linotype" w:eastAsia="Palatino Linotype" w:hAnsi="Palatino Linotype" w:cs="Palatino Linotype"/>
        </w:rPr>
        <w:t>que</w:t>
      </w:r>
      <w:proofErr w:type="gramEnd"/>
      <w:r>
        <w:rPr>
          <w:rFonts w:ascii="Palatino Linotype" w:eastAsia="Palatino Linotype" w:hAnsi="Palatino Linotype" w:cs="Palatino Linotype"/>
        </w:rPr>
        <w:t xml:space="preserve"> en un plazo máximo de siete días,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manifestara lo que a su derecho conviniera, ofrecieran pruebas y alegatos, y el Sujeto Obligado presentará el Informe Justificado.</w:t>
      </w:r>
    </w:p>
    <w:p w14:paraId="109628D7" w14:textId="77777777" w:rsidR="0006514A" w:rsidRDefault="0006514A">
      <w:pPr>
        <w:pBdr>
          <w:top w:val="nil"/>
          <w:left w:val="nil"/>
          <w:bottom w:val="nil"/>
          <w:right w:val="nil"/>
          <w:between w:val="nil"/>
        </w:pBdr>
        <w:spacing w:line="360" w:lineRule="auto"/>
        <w:jc w:val="both"/>
        <w:rPr>
          <w:rFonts w:ascii="Palatino Linotype" w:eastAsia="Palatino Linotype" w:hAnsi="Palatino Linotype" w:cs="Palatino Linotype"/>
          <w:i/>
        </w:rPr>
      </w:pPr>
    </w:p>
    <w:p w14:paraId="6BA97B12"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rPr>
      </w:pPr>
      <w:r>
        <w:rPr>
          <w:rFonts w:ascii="Palatino Linotype" w:eastAsia="Palatino Linotype" w:hAnsi="Palatino Linotype" w:cs="Palatino Linotype"/>
        </w:rPr>
        <w:t xml:space="preserve">En </w:t>
      </w:r>
      <w:r>
        <w:rPr>
          <w:rFonts w:ascii="Palatino Linotype" w:eastAsia="Palatino Linotype" w:hAnsi="Palatino Linotype" w:cs="Palatino Linotype"/>
          <w:b/>
        </w:rPr>
        <w:t>veintiséis de agosto de dos mil veinticuatro</w:t>
      </w:r>
      <w:r>
        <w:rPr>
          <w:rFonts w:ascii="Palatino Linotype" w:eastAsia="Palatino Linotype" w:hAnsi="Palatino Linotype" w:cs="Palatino Linotype"/>
        </w:rPr>
        <w:t xml:space="preserve">, el hoy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se desistió expresamente del Recurso de Revisión 03831/INFOEM/IP/RR/2024.</w:t>
      </w:r>
    </w:p>
    <w:p w14:paraId="5FE35FDE" w14:textId="77777777" w:rsidR="0006514A" w:rsidRDefault="0006514A">
      <w:pPr>
        <w:pBdr>
          <w:top w:val="nil"/>
          <w:left w:val="nil"/>
          <w:bottom w:val="nil"/>
          <w:right w:val="nil"/>
          <w:between w:val="nil"/>
        </w:pBdr>
        <w:spacing w:line="360" w:lineRule="auto"/>
        <w:ind w:left="720"/>
        <w:rPr>
          <w:rFonts w:ascii="Palatino Linotype" w:eastAsia="Palatino Linotype" w:hAnsi="Palatino Linotype" w:cs="Palatino Linotype"/>
          <w:i/>
          <w:color w:val="000000"/>
        </w:rPr>
      </w:pPr>
    </w:p>
    <w:p w14:paraId="30E1AB14"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Posteriormente el Pleno de este Órgano Autónomo, en la</w:t>
      </w:r>
      <w:r>
        <w:rPr>
          <w:rFonts w:ascii="Palatino Linotype" w:eastAsia="Palatino Linotype" w:hAnsi="Palatino Linotype" w:cs="Palatino Linotype"/>
          <w:b/>
        </w:rPr>
        <w:t xml:space="preserve"> Vigésima Cuarta Sesión Ordinaria </w:t>
      </w:r>
      <w:r>
        <w:rPr>
          <w:rFonts w:ascii="Palatino Linotype" w:eastAsia="Palatino Linotype" w:hAnsi="Palatino Linotype" w:cs="Palatino Linotype"/>
        </w:rPr>
        <w:t>de fecha</w:t>
      </w:r>
      <w:r>
        <w:rPr>
          <w:rFonts w:ascii="Palatino Linotype" w:eastAsia="Palatino Linotype" w:hAnsi="Palatino Linotype" w:cs="Palatino Linotype"/>
          <w:b/>
        </w:rPr>
        <w:t xml:space="preserve"> tres de julio dos mil veinticuatro</w:t>
      </w:r>
      <w:r>
        <w:rPr>
          <w:rFonts w:ascii="Palatino Linotype" w:eastAsia="Palatino Linotype" w:hAnsi="Palatino Linotype" w:cs="Palatino Linotype"/>
        </w:rPr>
        <w:t xml:space="preserve">; ordenó la acumulación </w:t>
      </w:r>
      <w:r>
        <w:rPr>
          <w:rFonts w:ascii="Palatino Linotype" w:eastAsia="Palatino Linotype" w:hAnsi="Palatino Linotype" w:cs="Palatino Linotype"/>
        </w:rPr>
        <w:lastRenderedPageBreak/>
        <w:t xml:space="preserve">de los recursos de revisión de mérito, a efecto de que la Ponencia de la </w:t>
      </w:r>
      <w:r>
        <w:rPr>
          <w:rFonts w:ascii="Palatino Linotype" w:eastAsia="Palatino Linotype" w:hAnsi="Palatino Linotype" w:cs="Palatino Linotype"/>
          <w:b/>
        </w:rPr>
        <w:t xml:space="preserve">Comisionada María del Rosario Mejía Ayala </w:t>
      </w:r>
      <w:r>
        <w:rPr>
          <w:rFonts w:ascii="Palatino Linotype" w:eastAsia="Palatino Linotype" w:hAnsi="Palatino Linotype" w:cs="Palatino Linotype"/>
        </w:rPr>
        <w:t>formulara y presentara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Pr>
          <w:rFonts w:ascii="Palatino Linotype" w:eastAsia="Palatino Linotype" w:hAnsi="Palatino Linotype" w:cs="Palatino Linotype"/>
          <w:i/>
          <w:vertAlign w:val="superscript"/>
        </w:rPr>
        <w:footnoteReference w:id="1"/>
      </w:r>
      <w:r>
        <w:rPr>
          <w:rFonts w:ascii="Palatino Linotype" w:eastAsia="Palatino Linotype" w:hAnsi="Palatino Linotype" w:cs="Palatino Linotype"/>
        </w:rPr>
        <w:t>, que señala:</w:t>
      </w:r>
    </w:p>
    <w:p w14:paraId="5C6CF987" w14:textId="77777777" w:rsidR="0006514A" w:rsidRDefault="0006514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5BAD9306" w14:textId="77777777" w:rsidR="0006514A" w:rsidRDefault="003F0F1D">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“ONCE.</w:t>
      </w:r>
      <w:r>
        <w:rPr>
          <w:rFonts w:ascii="Palatino Linotype" w:eastAsia="Palatino Linotype" w:hAnsi="Palatino Linotype" w:cs="Palatino Linotype"/>
          <w:i/>
          <w:color w:val="000000"/>
        </w:rPr>
        <w:t xml:space="preserve"> El Instituto, para mejor resolver y evitar la emisión de resoluciones contradictorias, podrá acordar la acumulación de los expedientes de recursos de revisión, de oficio o a petición de parte cuando:</w:t>
      </w:r>
    </w:p>
    <w:p w14:paraId="2CEE24FF" w14:textId="77777777" w:rsidR="0006514A" w:rsidRDefault="003F0F1D">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i/>
          <w:color w:val="000000"/>
        </w:rPr>
        <w:tab/>
      </w:r>
    </w:p>
    <w:p w14:paraId="470E1FFB" w14:textId="77777777" w:rsidR="0006514A" w:rsidRDefault="003F0F1D">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b) Las partes o los actos impugnados sean iguales</w:t>
      </w:r>
    </w:p>
    <w:p w14:paraId="03EDB5C1" w14:textId="77777777" w:rsidR="0006514A" w:rsidRDefault="003F0F1D">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 Cuando se trate del mismo solicitante, el mismo SUJETO OBLIGADO, aunque se trate de solicitudes diversas;</w:t>
      </w:r>
    </w:p>
    <w:p w14:paraId="51627139" w14:textId="77777777" w:rsidR="0006514A" w:rsidRDefault="003F0F1D">
      <w:pPr>
        <w:pBdr>
          <w:top w:val="nil"/>
          <w:left w:val="nil"/>
          <w:bottom w:val="nil"/>
          <w:right w:val="nil"/>
          <w:between w:val="nil"/>
        </w:pBdr>
        <w:tabs>
          <w:tab w:val="left" w:pos="426"/>
        </w:tabs>
        <w:spacing w:line="360" w:lineRule="auto"/>
        <w:ind w:left="567" w:right="61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14:paraId="489E75D1" w14:textId="77777777" w:rsidR="0006514A" w:rsidRDefault="0006514A">
      <w:pPr>
        <w:pBdr>
          <w:top w:val="nil"/>
          <w:left w:val="nil"/>
          <w:bottom w:val="nil"/>
          <w:right w:val="nil"/>
          <w:between w:val="nil"/>
        </w:pBdr>
        <w:tabs>
          <w:tab w:val="left" w:pos="426"/>
        </w:tabs>
        <w:spacing w:line="360" w:lineRule="auto"/>
        <w:ind w:left="567" w:right="616"/>
        <w:jc w:val="both"/>
        <w:rPr>
          <w:rFonts w:ascii="Palatino Linotype" w:eastAsia="Palatino Linotype" w:hAnsi="Palatino Linotype" w:cs="Palatino Linotype"/>
          <w:color w:val="000000"/>
        </w:rPr>
      </w:pPr>
    </w:p>
    <w:p w14:paraId="021AB22A"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Es así que,</w:t>
      </w:r>
      <w:r>
        <w:rPr>
          <w:rFonts w:ascii="Palatino Linotype" w:eastAsia="Palatino Linotype" w:hAnsi="Palatino Linotype" w:cs="Palatino Linotype"/>
          <w:i/>
        </w:rPr>
        <w:t xml:space="preserve"> </w:t>
      </w:r>
      <w:r>
        <w:rPr>
          <w:rFonts w:ascii="Palatino Linotype" w:eastAsia="Palatino Linotype" w:hAnsi="Palatino Linotype" w:cs="Palatino Linotype"/>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5531A390" w14:textId="77777777" w:rsidR="0006514A" w:rsidRDefault="0006514A">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6C5CAEE4" w14:textId="77777777" w:rsidR="0006514A" w:rsidRDefault="003F0F1D">
      <w:pPr>
        <w:tabs>
          <w:tab w:val="left" w:pos="567"/>
        </w:tabs>
        <w:spacing w:line="360" w:lineRule="auto"/>
        <w:ind w:left="567" w:right="616"/>
        <w:jc w:val="center"/>
        <w:rPr>
          <w:rFonts w:ascii="Palatino Linotype" w:eastAsia="Palatino Linotype" w:hAnsi="Palatino Linotype" w:cs="Palatino Linotype"/>
          <w:b/>
          <w:i/>
        </w:rPr>
      </w:pPr>
      <w:r>
        <w:rPr>
          <w:rFonts w:ascii="Palatino Linotype" w:eastAsia="Palatino Linotype" w:hAnsi="Palatino Linotype" w:cs="Palatino Linotype"/>
          <w:b/>
          <w:i/>
        </w:rPr>
        <w:t>Código de Procedimientos Administrativos del Estado de México.</w:t>
      </w:r>
    </w:p>
    <w:p w14:paraId="3AAE6108" w14:textId="77777777" w:rsidR="0006514A" w:rsidRDefault="003F0F1D">
      <w:pPr>
        <w:spacing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“Artículo 18.-</w:t>
      </w:r>
      <w:r>
        <w:rPr>
          <w:rFonts w:ascii="Palatino Linotype" w:eastAsia="Palatino Linotype" w:hAnsi="Palatino Linotype" w:cs="Palatino Linotype"/>
          <w:i/>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4ECD41A7" w14:textId="77777777" w:rsidR="0006514A" w:rsidRDefault="0006514A">
      <w:pPr>
        <w:tabs>
          <w:tab w:val="left" w:pos="567"/>
        </w:tabs>
        <w:spacing w:line="360" w:lineRule="auto"/>
        <w:ind w:right="616"/>
        <w:jc w:val="both"/>
        <w:rPr>
          <w:rFonts w:ascii="Palatino Linotype" w:eastAsia="Palatino Linotype" w:hAnsi="Palatino Linotype" w:cs="Palatino Linotype"/>
          <w:i/>
        </w:rPr>
      </w:pPr>
    </w:p>
    <w:p w14:paraId="335C8407" w14:textId="77777777" w:rsidR="0006514A" w:rsidRDefault="003F0F1D">
      <w:pPr>
        <w:spacing w:line="360" w:lineRule="auto"/>
        <w:ind w:left="567" w:right="618"/>
        <w:jc w:val="both"/>
        <w:rPr>
          <w:rFonts w:ascii="Palatino Linotype" w:eastAsia="Palatino Linotype" w:hAnsi="Palatino Linotype" w:cs="Palatino Linotype"/>
          <w:b/>
          <w:i/>
        </w:rPr>
      </w:pPr>
      <w:r>
        <w:rPr>
          <w:rFonts w:ascii="Palatino Linotype" w:eastAsia="Palatino Linotype" w:hAnsi="Palatino Linotype" w:cs="Palatino Linotype"/>
          <w:b/>
          <w:i/>
        </w:rPr>
        <w:lastRenderedPageBreak/>
        <w:t>Ley de Transparencia y Acceso a la Información Pública del Estado de México y Municipios</w:t>
      </w:r>
    </w:p>
    <w:p w14:paraId="7F41CAA5" w14:textId="77777777" w:rsidR="0006514A" w:rsidRDefault="003F0F1D">
      <w:pPr>
        <w:spacing w:line="360" w:lineRule="auto"/>
        <w:ind w:left="567" w:right="618"/>
        <w:jc w:val="both"/>
        <w:rPr>
          <w:rFonts w:ascii="Palatino Linotype" w:eastAsia="Palatino Linotype" w:hAnsi="Palatino Linotype" w:cs="Palatino Linotype"/>
          <w:i/>
        </w:rPr>
      </w:pPr>
      <w:r>
        <w:rPr>
          <w:rFonts w:ascii="Palatino Linotype" w:eastAsia="Palatino Linotype" w:hAnsi="Palatino Linotype" w:cs="Palatino Linotype"/>
          <w:b/>
          <w:i/>
        </w:rPr>
        <w:t>“Artículo 195.</w:t>
      </w:r>
      <w:r>
        <w:rPr>
          <w:rFonts w:ascii="Palatino Linotype" w:eastAsia="Palatino Linotype" w:hAnsi="Palatino Linotype" w:cs="Palatino Linotype"/>
          <w:i/>
        </w:rPr>
        <w:t xml:space="preserve"> En la tramitación del recurso de revisión se aplicarán supletoriamente las disposiciones contenidas en el Código de Procedimientos Administrativos del Estado de México.”</w:t>
      </w:r>
    </w:p>
    <w:p w14:paraId="1A080E6F" w14:textId="77777777" w:rsidR="0006514A" w:rsidRDefault="0006514A">
      <w:pPr>
        <w:spacing w:line="360" w:lineRule="auto"/>
        <w:ind w:left="567" w:right="618"/>
        <w:jc w:val="both"/>
        <w:rPr>
          <w:rFonts w:ascii="Palatino Linotype" w:eastAsia="Palatino Linotype" w:hAnsi="Palatino Linotype" w:cs="Palatino Linotype"/>
          <w:i/>
        </w:rPr>
      </w:pPr>
    </w:p>
    <w:p w14:paraId="421E80C8"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Comisionados Ponentes de origen con fundamento en lo dispuesto por el artículo 185 fracción II de la ley de la materia, a través de los acuerdos de admisión de días: trece, diecinueve, veintidós, veintitrés, veintiséis y veintisiete de agosto dos mil veinticuatro, se pusieron a disposición de las partes los expedientes electrónicos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derecho </w:t>
      </w:r>
      <w:r>
        <w:rPr>
          <w:rFonts w:ascii="Palatino Linotype" w:eastAsia="Palatino Linotype" w:hAnsi="Palatino Linotype" w:cs="Palatino Linotype"/>
        </w:rPr>
        <w:t>conviniera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al caso concreto, de esta forma para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informe justificado procedente.</w:t>
      </w:r>
    </w:p>
    <w:p w14:paraId="273F44EF" w14:textId="77777777" w:rsidR="0006514A" w:rsidRDefault="0006514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1445B37"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rindió sus informes justificados los días quince de agosto y, dos, tres y veintitrés de septiembre del año en curso, cuyo contenido de manera general es el siguiente:</w:t>
      </w:r>
    </w:p>
    <w:p w14:paraId="766C3760" w14:textId="77777777" w:rsidR="0006514A" w:rsidRDefault="0006514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0955B62" w14:textId="77777777" w:rsidR="0006514A" w:rsidRPr="00BF3867"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Al Recurso de Revisión: </w:t>
      </w:r>
      <w:r>
        <w:rPr>
          <w:rFonts w:ascii="Palatino Linotype" w:eastAsia="Palatino Linotype" w:hAnsi="Palatino Linotype" w:cs="Palatino Linotype"/>
          <w:b/>
          <w:color w:val="000000"/>
        </w:rPr>
        <w:t>02993/INFOEM/IP/RR/</w:t>
      </w:r>
      <w:proofErr w:type="gramStart"/>
      <w:r>
        <w:rPr>
          <w:rFonts w:ascii="Palatino Linotype" w:eastAsia="Palatino Linotype" w:hAnsi="Palatino Linotype" w:cs="Palatino Linotype"/>
          <w:color w:val="000000"/>
        </w:rPr>
        <w:t>2024,  se</w:t>
      </w:r>
      <w:proofErr w:type="gramEnd"/>
      <w:r>
        <w:rPr>
          <w:rFonts w:ascii="Palatino Linotype" w:eastAsia="Palatino Linotype" w:hAnsi="Palatino Linotype" w:cs="Palatino Linotype"/>
          <w:color w:val="000000"/>
        </w:rPr>
        <w:t xml:space="preserve"> adjuntan los siguientes archivos denominados </w:t>
      </w:r>
      <w:r>
        <w:rPr>
          <w:rFonts w:ascii="Palatino Linotype" w:eastAsia="Palatino Linotype" w:hAnsi="Palatino Linotype" w:cs="Palatino Linotype"/>
          <w:i/>
          <w:color w:val="000000"/>
        </w:rPr>
        <w:t xml:space="preserve">Listas Agosto 23 - Abril 24 Comisionados.pdf, AREAS DE ADMINISTRACIÓN PRIMERA DE ABRIL (1).pdf y </w:t>
      </w:r>
      <w:proofErr w:type="spellStart"/>
      <w:r>
        <w:rPr>
          <w:rFonts w:ascii="Palatino Linotype" w:eastAsia="Palatino Linotype" w:hAnsi="Palatino Linotype" w:cs="Palatino Linotype"/>
          <w:i/>
          <w:color w:val="000000"/>
        </w:rPr>
        <w:t>Resp</w:t>
      </w:r>
      <w:proofErr w:type="spellEnd"/>
      <w:r>
        <w:rPr>
          <w:rFonts w:ascii="Palatino Linotype" w:eastAsia="Palatino Linotype" w:hAnsi="Palatino Linotype" w:cs="Palatino Linotype"/>
          <w:i/>
          <w:color w:val="000000"/>
        </w:rPr>
        <w:t xml:space="preserve">. Recurso de </w:t>
      </w:r>
      <w:proofErr w:type="spellStart"/>
      <w:r>
        <w:rPr>
          <w:rFonts w:ascii="Palatino Linotype" w:eastAsia="Palatino Linotype" w:hAnsi="Palatino Linotype" w:cs="Palatino Linotype"/>
          <w:i/>
          <w:color w:val="000000"/>
        </w:rPr>
        <w:t>Revision</w:t>
      </w:r>
      <w:proofErr w:type="spellEnd"/>
      <w:r>
        <w:rPr>
          <w:rFonts w:ascii="Palatino Linotype" w:eastAsia="Palatino Linotype" w:hAnsi="Palatino Linotype" w:cs="Palatino Linotype"/>
          <w:i/>
          <w:color w:val="000000"/>
        </w:rPr>
        <w:t xml:space="preserve"> Sol. 41.pdf</w:t>
      </w:r>
      <w:r>
        <w:rPr>
          <w:rFonts w:ascii="Palatino Linotype" w:eastAsia="Palatino Linotype" w:hAnsi="Palatino Linotype" w:cs="Palatino Linotype"/>
          <w:color w:val="000000"/>
        </w:rPr>
        <w:t xml:space="preserve">, que contiene un oficio signado por el </w:t>
      </w:r>
      <w:proofErr w:type="gramStart"/>
      <w:r>
        <w:rPr>
          <w:rFonts w:ascii="Palatino Linotype" w:eastAsia="Palatino Linotype" w:hAnsi="Palatino Linotype" w:cs="Palatino Linotype"/>
          <w:color w:val="000000"/>
        </w:rPr>
        <w:t>Director</w:t>
      </w:r>
      <w:proofErr w:type="gramEnd"/>
      <w:r>
        <w:rPr>
          <w:rFonts w:ascii="Palatino Linotype" w:eastAsia="Palatino Linotype" w:hAnsi="Palatino Linotype" w:cs="Palatino Linotype"/>
          <w:color w:val="000000"/>
        </w:rPr>
        <w:t xml:space="preserve"> de Administración en el que ratifica el contenido de la información remitida de manera inicial señalando que se adjuntan copia simple de las listas de asistencia de la pr</w:t>
      </w:r>
      <w:r w:rsidR="00A72188">
        <w:rPr>
          <w:rFonts w:ascii="Palatino Linotype" w:eastAsia="Palatino Linotype" w:hAnsi="Palatino Linotype" w:cs="Palatino Linotype"/>
          <w:color w:val="000000"/>
        </w:rPr>
        <w:t>imera quincena de abril incluye</w:t>
      </w:r>
      <w:r>
        <w:rPr>
          <w:rFonts w:ascii="Palatino Linotype" w:eastAsia="Palatino Linotype" w:hAnsi="Palatino Linotype" w:cs="Palatino Linotype"/>
          <w:color w:val="000000"/>
        </w:rPr>
        <w:t xml:space="preserve">ndo también archivo PDF que contiene las 10 listas de los 10 servidores públicos que se encuentran comisionados a ese Organismo de la primera quincena de agosto de 2023 a la primera quincena de abril del año en curso. Anexos que corresponden a los archivos </w:t>
      </w:r>
      <w:r>
        <w:rPr>
          <w:rFonts w:ascii="Palatino Linotype" w:eastAsia="Palatino Linotype" w:hAnsi="Palatino Linotype" w:cs="Palatino Linotype"/>
          <w:color w:val="000000"/>
        </w:rPr>
        <w:tab/>
        <w:t xml:space="preserve">Listas </w:t>
      </w:r>
      <w:proofErr w:type="gramStart"/>
      <w:r>
        <w:rPr>
          <w:rFonts w:ascii="Palatino Linotype" w:eastAsia="Palatino Linotype" w:hAnsi="Palatino Linotype" w:cs="Palatino Linotype"/>
          <w:color w:val="000000"/>
        </w:rPr>
        <w:t>Agosto</w:t>
      </w:r>
      <w:proofErr w:type="gramEnd"/>
      <w:r>
        <w:rPr>
          <w:rFonts w:ascii="Palatino Linotype" w:eastAsia="Palatino Linotype" w:hAnsi="Palatino Linotype" w:cs="Palatino Linotype"/>
          <w:color w:val="000000"/>
        </w:rPr>
        <w:t xml:space="preserve"> 23 - Abril 24 Comisionados.pdf y AREAS DE ADMINISTRACIÓN PRIMERA DE ABRIL (1).</w:t>
      </w:r>
      <w:proofErr w:type="spellStart"/>
      <w:r>
        <w:rPr>
          <w:rFonts w:ascii="Palatino Linotype" w:eastAsia="Palatino Linotype" w:hAnsi="Palatino Linotype" w:cs="Palatino Linotype"/>
          <w:color w:val="000000"/>
        </w:rPr>
        <w:t>pdf</w:t>
      </w:r>
      <w:proofErr w:type="spellEnd"/>
      <w:r>
        <w:rPr>
          <w:rFonts w:ascii="Palatino Linotype" w:eastAsia="Palatino Linotype" w:hAnsi="Palatino Linotype" w:cs="Palatino Linotype"/>
          <w:color w:val="000000"/>
        </w:rPr>
        <w:t>, respectivamente.</w:t>
      </w:r>
    </w:p>
    <w:p w14:paraId="6CDF7BAA" w14:textId="77777777" w:rsidR="00BF3867" w:rsidRDefault="00BF3867" w:rsidP="00BF3867">
      <w:pPr>
        <w:pStyle w:val="Prrafodelista"/>
        <w:rPr>
          <w:rFonts w:ascii="Palatino Linotype" w:eastAsia="Palatino Linotype" w:hAnsi="Palatino Linotype" w:cs="Palatino Linotype"/>
          <w:i/>
          <w:color w:val="000000"/>
        </w:rPr>
      </w:pPr>
    </w:p>
    <w:p w14:paraId="54982A62" w14:textId="77777777" w:rsidR="00BF3867" w:rsidRDefault="00BF3867" w:rsidP="00BF3867">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6C9ED4BB"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Relativo al Recurso de Revisión Relativo al Recurso de Revisión 03831/INFOEM/IP/RR/2024, se rindió informe justificado en fecha veintisiete de agosto del año en curso; no obstante, no se notificó al particular por haberse desistido del recurso de revisión.</w:t>
      </w:r>
    </w:p>
    <w:p w14:paraId="2453EFB0" w14:textId="77777777" w:rsidR="0006514A" w:rsidRDefault="0006514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431F0030" w14:textId="77777777" w:rsidR="0006514A" w:rsidRDefault="003F0F1D">
      <w:pPr>
        <w:numPr>
          <w:ilvl w:val="0"/>
          <w:numId w:val="1"/>
        </w:numPr>
        <w:pBdr>
          <w:top w:val="nil"/>
          <w:left w:val="nil"/>
          <w:bottom w:val="nil"/>
          <w:right w:val="nil"/>
          <w:between w:val="nil"/>
        </w:pBdr>
        <w:spacing w:line="360" w:lineRule="auto"/>
        <w:ind w:left="0" w:hanging="1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Seguidamente la Comisionada Ponente notificó el acuerdo mediante el cual se amplió el plazo para emitir la Resolución. Al respecto, 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175715B2" w14:textId="77777777" w:rsidR="0006514A" w:rsidRDefault="0006514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02E8027E"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9B4516D" w14:textId="77777777" w:rsidR="0006514A" w:rsidRDefault="0006514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5A4782D"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en términos de lo que establecen los artículos 8.1 y 25 de la Convención Americana sobre Derechos Humanos, los recursos deben ser sencillos y resolverse en </w:t>
      </w:r>
      <w:r>
        <w:rPr>
          <w:rFonts w:ascii="Palatino Linotype" w:eastAsia="Palatino Linotype" w:hAnsi="Palatino Linotype" w:cs="Palatino Linotype"/>
          <w:color w:val="000000"/>
        </w:rPr>
        <w:lastRenderedPageBreak/>
        <w:t>el menor tiempo posible, tomando en consideración la dilación total del procedimiento; esto es, en un plazo razonable.</w:t>
      </w:r>
    </w:p>
    <w:p w14:paraId="01A31BF6" w14:textId="77777777" w:rsidR="0006514A" w:rsidRDefault="0006514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69745606"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F152416" w14:textId="77777777" w:rsidR="00A72188" w:rsidRDefault="00A72188" w:rsidP="00A72188">
      <w:pPr>
        <w:pStyle w:val="Prrafodelista"/>
        <w:rPr>
          <w:rFonts w:ascii="Palatino Linotype" w:eastAsia="Palatino Linotype" w:hAnsi="Palatino Linotype" w:cs="Palatino Linotype"/>
          <w:color w:val="000000"/>
        </w:rPr>
      </w:pPr>
    </w:p>
    <w:p w14:paraId="59162141"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14:paraId="41069C78" w14:textId="77777777" w:rsidR="0006514A" w:rsidRDefault="003F0F1D">
      <w:pPr>
        <w:numPr>
          <w:ilvl w:val="3"/>
          <w:numId w:val="1"/>
        </w:numPr>
        <w:pBdr>
          <w:top w:val="nil"/>
          <w:left w:val="nil"/>
          <w:bottom w:val="nil"/>
          <w:right w:val="nil"/>
          <w:between w:val="nil"/>
        </w:pBdr>
        <w:spacing w:line="360" w:lineRule="auto"/>
        <w:ind w:hanging="35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Complejidad del asunto: La complejidad de la prueba, la pluralidad de sujetos procesales, el tiempo transcurrido, las características y contexto del recurso.</w:t>
      </w:r>
    </w:p>
    <w:p w14:paraId="35AD89FA" w14:textId="77777777" w:rsidR="0006514A" w:rsidRDefault="003F0F1D">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b)   Actividad Procesal del interesado: Acciones u omisiones del interesado.</w:t>
      </w:r>
    </w:p>
    <w:p w14:paraId="5D930240" w14:textId="77777777" w:rsidR="0006514A" w:rsidRDefault="003F0F1D">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 Conducta de la Autoridad: Las Acciones u omisiones realizadas en el procedimiento. Así como si la autoridad actuó con la debida diligencia.</w:t>
      </w:r>
    </w:p>
    <w:p w14:paraId="6BCA478F" w14:textId="77777777" w:rsidR="0006514A" w:rsidRDefault="003F0F1D">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  </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La afectación generada en la situación jurídica de la persona involucrada en el proceso: Violación a sus derechos humanos.</w:t>
      </w:r>
    </w:p>
    <w:p w14:paraId="4A2831E2" w14:textId="77777777" w:rsidR="0006514A" w:rsidRDefault="0006514A">
      <w:pPr>
        <w:pBdr>
          <w:top w:val="nil"/>
          <w:left w:val="nil"/>
          <w:bottom w:val="nil"/>
          <w:right w:val="nil"/>
          <w:between w:val="nil"/>
        </w:pBdr>
        <w:spacing w:line="360" w:lineRule="auto"/>
        <w:ind w:left="284"/>
        <w:jc w:val="both"/>
        <w:rPr>
          <w:rFonts w:ascii="Palatino Linotype" w:eastAsia="Palatino Linotype" w:hAnsi="Palatino Linotype" w:cs="Palatino Linotype"/>
          <w:color w:val="000000"/>
        </w:rPr>
      </w:pPr>
    </w:p>
    <w:p w14:paraId="030E8B8A"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00BD7D7" w14:textId="77777777" w:rsidR="0006514A" w:rsidRDefault="0006514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164417A"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3E30C527" w14:textId="77777777" w:rsidR="0006514A" w:rsidRDefault="0006514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0084F38"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w:t>
      </w:r>
      <w:r>
        <w:rPr>
          <w:rFonts w:ascii="Palatino Linotype" w:eastAsia="Palatino Linotype" w:hAnsi="Palatino Linotype" w:cs="Palatino Linotype"/>
          <w:color w:val="000000"/>
        </w:rPr>
        <w:lastRenderedPageBreak/>
        <w:t>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9D40052" w14:textId="77777777" w:rsidR="0006514A" w:rsidRDefault="0006514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51D0FB3"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66F00B8F" w14:textId="77777777" w:rsidR="0006514A" w:rsidRDefault="003F0F1D">
      <w:pPr>
        <w:pBdr>
          <w:top w:val="nil"/>
          <w:left w:val="nil"/>
          <w:bottom w:val="nil"/>
          <w:right w:val="nil"/>
          <w:between w:val="nil"/>
        </w:pBdr>
        <w:spacing w:line="360" w:lineRule="auto"/>
        <w:ind w:left="567" w:right="53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“PLAZO RAZONABLE PARA RESOLVER. DIMENSIÓN Y EFECTOS DE ESTE CONCEPTO CUANDO SE ADUCE EXCESIVA CARGA DE TRABAJO.” consultable en el Sem</w:t>
      </w:r>
      <w:r>
        <w:rPr>
          <w:rFonts w:ascii="Palatino Linotype" w:eastAsia="Palatino Linotype" w:hAnsi="Palatino Linotype" w:cs="Palatino Linotype"/>
        </w:rPr>
        <w:t>a</w:t>
      </w:r>
      <w:r>
        <w:rPr>
          <w:rFonts w:ascii="Palatino Linotype" w:eastAsia="Palatino Linotype" w:hAnsi="Palatino Linotype" w:cs="Palatino Linotype"/>
          <w:color w:val="000000"/>
        </w:rPr>
        <w:t>nario Judicial de la Federación y su gaceta, con el registro digital 2002351.</w:t>
      </w:r>
    </w:p>
    <w:p w14:paraId="21F85C5F" w14:textId="77777777" w:rsidR="0006514A" w:rsidRDefault="0006514A">
      <w:pPr>
        <w:pBdr>
          <w:top w:val="nil"/>
          <w:left w:val="nil"/>
          <w:bottom w:val="nil"/>
          <w:right w:val="nil"/>
          <w:between w:val="nil"/>
        </w:pBdr>
        <w:spacing w:line="360" w:lineRule="auto"/>
        <w:ind w:left="567" w:right="539"/>
        <w:jc w:val="both"/>
        <w:rPr>
          <w:rFonts w:ascii="Palatino Linotype" w:eastAsia="Palatino Linotype" w:hAnsi="Palatino Linotype" w:cs="Palatino Linotype"/>
          <w:color w:val="000000"/>
        </w:rPr>
      </w:pPr>
    </w:p>
    <w:p w14:paraId="4FFC5FCF" w14:textId="77777777" w:rsidR="0006514A" w:rsidRDefault="003F0F1D">
      <w:pPr>
        <w:pBdr>
          <w:top w:val="nil"/>
          <w:left w:val="nil"/>
          <w:bottom w:val="nil"/>
          <w:right w:val="nil"/>
          <w:between w:val="nil"/>
        </w:pBdr>
        <w:spacing w:line="360" w:lineRule="auto"/>
        <w:ind w:left="567" w:right="53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“PLAZO RAZONABLE PARA RESOLVER. CONCEPTO Y ELEMENTOS QUE LO INTEGRAN A LA LUZ DEL DERECHO INTERNACIONAL DE </w:t>
      </w:r>
      <w:r>
        <w:rPr>
          <w:rFonts w:ascii="Palatino Linotype" w:eastAsia="Palatino Linotype" w:hAnsi="Palatino Linotype" w:cs="Palatino Linotype"/>
          <w:color w:val="000000"/>
        </w:rPr>
        <w:lastRenderedPageBreak/>
        <w:t>LOS DERECHOS HUMANOS.”, visible en el Sem</w:t>
      </w:r>
      <w:r>
        <w:rPr>
          <w:rFonts w:ascii="Palatino Linotype" w:eastAsia="Palatino Linotype" w:hAnsi="Palatino Linotype" w:cs="Palatino Linotype"/>
        </w:rPr>
        <w:t>a</w:t>
      </w:r>
      <w:r>
        <w:rPr>
          <w:rFonts w:ascii="Palatino Linotype" w:eastAsia="Palatino Linotype" w:hAnsi="Palatino Linotype" w:cs="Palatino Linotype"/>
          <w:color w:val="000000"/>
        </w:rPr>
        <w:t>nario Judicial de la Federación y su gaceta, con el registro digital 2002350.</w:t>
      </w:r>
    </w:p>
    <w:p w14:paraId="1FF463FD" w14:textId="77777777" w:rsidR="0006514A" w:rsidRDefault="0006514A">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rPr>
      </w:pPr>
    </w:p>
    <w:p w14:paraId="7DACA7F0"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63B3A9E1" w14:textId="77777777" w:rsidR="0006514A" w:rsidRDefault="0006514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E891B24"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Finalmente, al no existir diligencias por practicar mediante acuerdo de fecha </w:t>
      </w:r>
      <w:r>
        <w:rPr>
          <w:rFonts w:ascii="Palatino Linotype" w:eastAsia="Palatino Linotype" w:hAnsi="Palatino Linotype" w:cs="Palatino Linotype"/>
          <w:b/>
          <w:color w:val="000000"/>
        </w:rPr>
        <w:t>treinta de octubre de dos mil veinticuatro</w:t>
      </w:r>
      <w:r>
        <w:rPr>
          <w:rFonts w:ascii="Palatino Linotype" w:eastAsia="Palatino Linotype" w:hAnsi="Palatino Linotype" w:cs="Palatino Linotype"/>
          <w:color w:val="000000"/>
        </w:rPr>
        <w:t xml:space="preserve"> se decretó el cierre de instrucción, por lo que no habiendo más que hacer constar, y---------------------------------------------------------</w:t>
      </w:r>
    </w:p>
    <w:p w14:paraId="6CE31E53" w14:textId="77777777" w:rsidR="0006514A" w:rsidRDefault="0006514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00F45DE" w14:textId="77777777" w:rsidR="0006514A" w:rsidRDefault="003F0F1D">
      <w:pPr>
        <w:pStyle w:val="Ttulo1"/>
        <w:spacing w:before="0" w:line="360" w:lineRule="auto"/>
        <w:jc w:val="center"/>
        <w:rPr>
          <w:rFonts w:ascii="Palatino Linotype" w:eastAsia="Palatino Linotype" w:hAnsi="Palatino Linotype" w:cs="Palatino Linotype"/>
          <w:b/>
          <w:color w:val="000000"/>
          <w:sz w:val="24"/>
          <w:szCs w:val="24"/>
        </w:rPr>
      </w:pPr>
      <w:bookmarkStart w:id="2" w:name="_heading=h.3znysh7" w:colFirst="0" w:colLast="0"/>
      <w:bookmarkEnd w:id="2"/>
      <w:r>
        <w:rPr>
          <w:rFonts w:ascii="Palatino Linotype" w:eastAsia="Palatino Linotype" w:hAnsi="Palatino Linotype" w:cs="Palatino Linotype"/>
          <w:b/>
          <w:color w:val="000000"/>
          <w:sz w:val="24"/>
          <w:szCs w:val="24"/>
        </w:rPr>
        <w:t xml:space="preserve">C O N S I D E R A N D O </w:t>
      </w:r>
    </w:p>
    <w:p w14:paraId="44F84F42" w14:textId="77777777" w:rsidR="0006514A" w:rsidRDefault="0006514A">
      <w:pPr>
        <w:spacing w:line="360" w:lineRule="auto"/>
        <w:rPr>
          <w:rFonts w:ascii="Palatino Linotype" w:eastAsia="Palatino Linotype" w:hAnsi="Palatino Linotype" w:cs="Palatino Linotype"/>
        </w:rPr>
      </w:pPr>
    </w:p>
    <w:p w14:paraId="05056940" w14:textId="77777777" w:rsidR="0006514A" w:rsidRDefault="003F0F1D">
      <w:pPr>
        <w:pStyle w:val="Ttulo2"/>
        <w:spacing w:before="0" w:line="360" w:lineRule="auto"/>
        <w:rPr>
          <w:rFonts w:ascii="Palatino Linotype" w:eastAsia="Palatino Linotype" w:hAnsi="Palatino Linotype" w:cs="Palatino Linotype"/>
          <w:b/>
          <w:color w:val="000000"/>
          <w:sz w:val="24"/>
          <w:szCs w:val="24"/>
        </w:rPr>
      </w:pPr>
      <w:bookmarkStart w:id="3" w:name="_heading=h.2et92p0" w:colFirst="0" w:colLast="0"/>
      <w:bookmarkEnd w:id="3"/>
      <w:r>
        <w:rPr>
          <w:rFonts w:ascii="Palatino Linotype" w:eastAsia="Palatino Linotype" w:hAnsi="Palatino Linotype" w:cs="Palatino Linotype"/>
          <w:b/>
          <w:color w:val="000000"/>
          <w:sz w:val="24"/>
          <w:szCs w:val="24"/>
        </w:rPr>
        <w:t xml:space="preserve">PRIMERO. De la competencia </w:t>
      </w:r>
    </w:p>
    <w:p w14:paraId="3BA380A9" w14:textId="77777777" w:rsidR="0006514A" w:rsidRDefault="0006514A">
      <w:pPr>
        <w:spacing w:line="360" w:lineRule="auto"/>
        <w:rPr>
          <w:rFonts w:ascii="Palatino Linotype" w:eastAsia="Palatino Linotype" w:hAnsi="Palatino Linotype" w:cs="Palatino Linotype"/>
        </w:rPr>
      </w:pPr>
    </w:p>
    <w:p w14:paraId="0A8BA705"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bookmarkStart w:id="4" w:name="_heading=h.tyjcwt" w:colFirst="0" w:colLast="0"/>
      <w:bookmarkEnd w:id="4"/>
      <w:r>
        <w:rPr>
          <w:rFonts w:ascii="Palatino Linotype" w:eastAsia="Palatino Linotype" w:hAnsi="Palatino Linotype" w:cs="Palatino Linotype"/>
        </w:rPr>
        <w:t xml:space="preserve">El Instituto de Transparencia, Acceso a la Información Pública y Protección de Datos </w:t>
      </w:r>
      <w:r>
        <w:rPr>
          <w:rFonts w:ascii="Palatino Linotype" w:eastAsia="Palatino Linotype" w:hAnsi="Palatino Linotype" w:cs="Palatino Linotype"/>
          <w:color w:val="000000"/>
        </w:rPr>
        <w:t>Personales</w:t>
      </w:r>
      <w:r>
        <w:rPr>
          <w:rFonts w:ascii="Palatino Linotype" w:eastAsia="Palatino Linotype" w:hAnsi="Palatino Linotype" w:cs="Palatino Linotype"/>
        </w:rPr>
        <w:t xml:space="preserve"> del Estado de México y Municipios, es competente para conocer y resolver el presente recurso de revisión interpuesto por la parte recurrente, conforme </w:t>
      </w:r>
      <w:r>
        <w:rPr>
          <w:rFonts w:ascii="Palatino Linotype" w:eastAsia="Palatino Linotype" w:hAnsi="Palatino Linotype" w:cs="Palatino Linotype"/>
        </w:rPr>
        <w:lastRenderedPageBreak/>
        <w:t>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A931334" w14:textId="77777777" w:rsidR="0006514A" w:rsidRDefault="0006514A">
      <w:pPr>
        <w:pBdr>
          <w:top w:val="nil"/>
          <w:left w:val="nil"/>
          <w:bottom w:val="nil"/>
          <w:right w:val="nil"/>
          <w:between w:val="nil"/>
        </w:pBdr>
        <w:spacing w:line="360" w:lineRule="auto"/>
        <w:jc w:val="both"/>
        <w:rPr>
          <w:rFonts w:ascii="Palatino Linotype" w:eastAsia="Palatino Linotype" w:hAnsi="Palatino Linotype" w:cs="Palatino Linotype"/>
        </w:rPr>
      </w:pPr>
    </w:p>
    <w:p w14:paraId="6754880E" w14:textId="77777777" w:rsidR="0006514A" w:rsidRDefault="003F0F1D">
      <w:pPr>
        <w:pStyle w:val="Ttulo2"/>
        <w:spacing w:before="0" w:line="360" w:lineRule="auto"/>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SEGUNDO. De la oportunidad y procedencia.</w:t>
      </w:r>
    </w:p>
    <w:p w14:paraId="30F47CF2" w14:textId="77777777" w:rsidR="0006514A" w:rsidRDefault="0006514A">
      <w:pPr>
        <w:spacing w:line="360" w:lineRule="auto"/>
        <w:rPr>
          <w:rFonts w:ascii="Palatino Linotype" w:eastAsia="Palatino Linotype" w:hAnsi="Palatino Linotype" w:cs="Palatino Linotype"/>
        </w:rPr>
      </w:pPr>
    </w:p>
    <w:p w14:paraId="2E6A0D0F"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bookmarkStart w:id="5" w:name="_heading=h.3dy6vkm" w:colFirst="0" w:colLast="0"/>
      <w:bookmarkEnd w:id="5"/>
      <w:r>
        <w:rPr>
          <w:rFonts w:ascii="Palatino Linotype" w:eastAsia="Palatino Linotype" w:hAnsi="Palatino Linotype" w:cs="Palatino Linotype"/>
        </w:rPr>
        <w:t xml:space="preserve">Este Órgano Garante considera que los medios de impugnación reúnen los requisitos de procedencia </w:t>
      </w:r>
      <w:r>
        <w:rPr>
          <w:rFonts w:ascii="Palatino Linotype" w:eastAsia="Palatino Linotype" w:hAnsi="Palatino Linotype" w:cs="Palatino Linotype"/>
          <w:color w:val="000000"/>
        </w:rPr>
        <w:t xml:space="preserve">toda vez que: los recursos fueron presentados dentro del plazo establecido en el artículo 178 de la Ley de Transparencia y Acceso a la Información Pública </w:t>
      </w:r>
      <w:r>
        <w:rPr>
          <w:rFonts w:ascii="Palatino Linotype" w:eastAsia="Palatino Linotype" w:hAnsi="Palatino Linotype" w:cs="Palatino Linotype"/>
        </w:rPr>
        <w:t>del</w:t>
      </w:r>
      <w:r>
        <w:rPr>
          <w:rFonts w:ascii="Palatino Linotype" w:eastAsia="Palatino Linotype" w:hAnsi="Palatino Linotype" w:cs="Palatino Linotype"/>
          <w:color w:val="000000"/>
        </w:rPr>
        <w:t xml:space="preserve"> Estado de México y Municipios; asimismo no se tiene </w:t>
      </w:r>
      <w:r>
        <w:rPr>
          <w:rFonts w:ascii="Palatino Linotype" w:eastAsia="Palatino Linotype" w:hAnsi="Palatino Linotype" w:cs="Palatino Linotype"/>
          <w:color w:val="000000"/>
        </w:rPr>
        <w:lastRenderedPageBreak/>
        <w:t xml:space="preserve">conocimiento de que se encuentre en trámite algún medio de defensa presentado por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ante otra instancia.</w:t>
      </w:r>
    </w:p>
    <w:p w14:paraId="3583B451" w14:textId="77777777" w:rsidR="0006514A" w:rsidRDefault="0006514A">
      <w:pPr>
        <w:spacing w:line="360" w:lineRule="auto"/>
        <w:ind w:left="4613"/>
        <w:jc w:val="both"/>
        <w:rPr>
          <w:rFonts w:ascii="Palatino Linotype" w:eastAsia="Palatino Linotype" w:hAnsi="Palatino Linotype" w:cs="Palatino Linotype"/>
        </w:rPr>
      </w:pPr>
    </w:p>
    <w:p w14:paraId="18A9664A"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otro lado, es de suma importancia señalar que la parte recurrente no proporciona un </w:t>
      </w:r>
      <w:r>
        <w:rPr>
          <w:rFonts w:ascii="Palatino Linotype" w:eastAsia="Palatino Linotype" w:hAnsi="Palatino Linotype" w:cs="Palatino Linotype"/>
          <w:b/>
          <w:u w:val="single"/>
        </w:rPr>
        <w:t>nombre completo</w:t>
      </w:r>
      <w:r>
        <w:rPr>
          <w:rFonts w:ascii="Palatino Linotype" w:eastAsia="Palatino Linotype" w:hAnsi="Palatino Linotype" w:cs="Palatino Linotype"/>
        </w:rPr>
        <w:t xml:space="preserve"> como se advierte en el detalle de seguimiento del SAIMEX, no </w:t>
      </w:r>
      <w:proofErr w:type="gramStart"/>
      <w:r>
        <w:rPr>
          <w:rFonts w:ascii="Palatino Linotype" w:eastAsia="Palatino Linotype" w:hAnsi="Palatino Linotype" w:cs="Palatino Linotype"/>
        </w:rPr>
        <w:t>obstante</w:t>
      </w:r>
      <w:proofErr w:type="gramEnd"/>
      <w:r>
        <w:rPr>
          <w:rFonts w:ascii="Palatino Linotype" w:eastAsia="Palatino Linotype" w:hAnsi="Palatino Linotype" w:cs="Palatino Linotype"/>
        </w:rPr>
        <w:t xml:space="preserv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5C5D6B6" w14:textId="77777777" w:rsidR="0006514A" w:rsidRDefault="0006514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01CAD5F1" w14:textId="77777777" w:rsidR="0006514A" w:rsidRDefault="003F0F1D">
      <w:pPr>
        <w:spacing w:line="360" w:lineRule="auto"/>
        <w:ind w:left="709" w:right="82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Las solicitudes anónimas</w:t>
      </w:r>
      <w:r>
        <w:rPr>
          <w:rFonts w:ascii="Palatino Linotype" w:eastAsia="Palatino Linotype" w:hAnsi="Palatino Linotype" w:cs="Palatino Linotype"/>
          <w:i/>
        </w:rPr>
        <w:t xml:space="preserve">, con nombre incompleto o seudónimo </w:t>
      </w:r>
      <w:r>
        <w:rPr>
          <w:rFonts w:ascii="Palatino Linotype" w:eastAsia="Palatino Linotype" w:hAnsi="Palatino Linotype" w:cs="Palatino Linotype"/>
          <w:b/>
          <w:i/>
        </w:rPr>
        <w:t>serán procedentes para su trámite por parte del sujeto obligado ante quien se presente</w:t>
      </w:r>
      <w:r>
        <w:rPr>
          <w:rFonts w:ascii="Palatino Linotype" w:eastAsia="Palatino Linotype" w:hAnsi="Palatino Linotype" w:cs="Palatino Linotype"/>
          <w:i/>
        </w:rPr>
        <w:t>. No podrá requerirse información adicional con motivo del nombre proporcionado por el solicitante."</w:t>
      </w:r>
    </w:p>
    <w:p w14:paraId="5D7E3F83" w14:textId="77777777" w:rsidR="0006514A" w:rsidRDefault="0006514A">
      <w:pPr>
        <w:spacing w:line="360" w:lineRule="auto"/>
        <w:jc w:val="both"/>
        <w:rPr>
          <w:rFonts w:ascii="Palatino Linotype" w:eastAsia="Palatino Linotype" w:hAnsi="Palatino Linotype" w:cs="Palatino Linotype"/>
        </w:rPr>
      </w:pPr>
    </w:p>
    <w:p w14:paraId="4F5770F0"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14:paraId="68948AB1" w14:textId="77777777" w:rsidR="0006514A" w:rsidRDefault="0006514A">
      <w:pPr>
        <w:pBdr>
          <w:top w:val="nil"/>
          <w:left w:val="nil"/>
          <w:bottom w:val="nil"/>
          <w:right w:val="nil"/>
          <w:between w:val="nil"/>
        </w:pBdr>
        <w:spacing w:line="360" w:lineRule="auto"/>
        <w:jc w:val="both"/>
        <w:rPr>
          <w:rFonts w:ascii="Palatino Linotype" w:eastAsia="Palatino Linotype" w:hAnsi="Palatino Linotype" w:cs="Palatino Linotype"/>
        </w:rPr>
      </w:pPr>
    </w:p>
    <w:p w14:paraId="25998A89" w14:textId="77777777" w:rsidR="0006514A" w:rsidRDefault="003F0F1D">
      <w:pPr>
        <w:spacing w:line="360" w:lineRule="auto"/>
        <w:ind w:left="851" w:right="964"/>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6.-</w:t>
      </w:r>
      <w:r>
        <w:rPr>
          <w:rFonts w:ascii="Palatino Linotype" w:eastAsia="Palatino Linotype" w:hAnsi="Palatino Linotype" w:cs="Palatino Linotype"/>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E646245" w14:textId="77777777" w:rsidR="0006514A" w:rsidRDefault="003F0F1D">
      <w:pPr>
        <w:spacing w:line="360" w:lineRule="auto"/>
        <w:ind w:left="851" w:right="964"/>
        <w:jc w:val="both"/>
        <w:rPr>
          <w:rFonts w:ascii="Palatino Linotype" w:eastAsia="Palatino Linotype" w:hAnsi="Palatino Linotype" w:cs="Palatino Linotype"/>
          <w:i/>
        </w:rPr>
      </w:pPr>
      <w:r>
        <w:rPr>
          <w:rFonts w:ascii="Palatino Linotype" w:eastAsia="Palatino Linotype" w:hAnsi="Palatino Linotype" w:cs="Palatino Linotype"/>
          <w:i/>
        </w:rPr>
        <w:t>Para efectos de lo dispuesto en el presente artículo se observará lo siguiente:</w:t>
      </w:r>
    </w:p>
    <w:p w14:paraId="3C1AA2E5" w14:textId="77777777" w:rsidR="0006514A" w:rsidRDefault="0006514A">
      <w:pPr>
        <w:spacing w:line="360" w:lineRule="auto"/>
        <w:ind w:left="851" w:right="964"/>
        <w:jc w:val="both"/>
        <w:rPr>
          <w:rFonts w:ascii="Palatino Linotype" w:eastAsia="Palatino Linotype" w:hAnsi="Palatino Linotype" w:cs="Palatino Linotype"/>
          <w:i/>
        </w:rPr>
      </w:pPr>
    </w:p>
    <w:p w14:paraId="64E7FD03" w14:textId="77777777" w:rsidR="0006514A" w:rsidRDefault="003F0F1D">
      <w:pPr>
        <w:spacing w:line="360" w:lineRule="auto"/>
        <w:ind w:left="851" w:right="964"/>
        <w:jc w:val="both"/>
        <w:rPr>
          <w:rFonts w:ascii="Palatino Linotype" w:eastAsia="Palatino Linotype" w:hAnsi="Palatino Linotype" w:cs="Palatino Linotype"/>
          <w:i/>
        </w:rPr>
      </w:pPr>
      <w:r>
        <w:rPr>
          <w:rFonts w:ascii="Palatino Linotype" w:eastAsia="Palatino Linotype" w:hAnsi="Palatino Linotype" w:cs="Palatino Linotype"/>
          <w:i/>
        </w:rPr>
        <w:t>A. Para el ejercicio del derecho de acceso a la información, la Federación, los Estados y el Distrito Federal, en el ámbito de sus respectivas competencias, se regirán por los siguientes principios y bases:</w:t>
      </w:r>
    </w:p>
    <w:p w14:paraId="32E2436B" w14:textId="77777777" w:rsidR="0006514A" w:rsidRDefault="003F0F1D">
      <w:pPr>
        <w:spacing w:line="360" w:lineRule="auto"/>
        <w:ind w:left="851" w:right="964"/>
        <w:jc w:val="both"/>
        <w:rPr>
          <w:rFonts w:ascii="Palatino Linotype" w:eastAsia="Palatino Linotype" w:hAnsi="Palatino Linotype" w:cs="Palatino Linotype"/>
          <w:i/>
        </w:rPr>
      </w:pPr>
      <w:r>
        <w:rPr>
          <w:rFonts w:ascii="Palatino Linotype" w:eastAsia="Palatino Linotype" w:hAnsi="Palatino Linotype" w:cs="Palatino Linotype"/>
          <w:i/>
        </w:rPr>
        <w:t xml:space="preserve">III. Toda persona, sin necesidad de acreditar interés alguno o justificar su utilización, tendrá acceso gratuito a la información pública, a sus datos personales o a la rectificación de éstos.” </w:t>
      </w:r>
    </w:p>
    <w:p w14:paraId="2D4125DB" w14:textId="77777777" w:rsidR="0006514A" w:rsidRDefault="0006514A">
      <w:pPr>
        <w:spacing w:line="360" w:lineRule="auto"/>
        <w:ind w:left="567" w:right="474"/>
        <w:jc w:val="both"/>
        <w:rPr>
          <w:rFonts w:ascii="Palatino Linotype" w:eastAsia="Palatino Linotype" w:hAnsi="Palatino Linotype" w:cs="Palatino Linotype"/>
          <w:i/>
        </w:rPr>
      </w:pPr>
    </w:p>
    <w:p w14:paraId="37560F10"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Así como el artículo 5 fracción III, párrafo vigésimo noveno, trigésimo y trigésimo primero, de la Constitución Política del Estado Libre y Soberano de México, que determina lo siguiente:</w:t>
      </w:r>
    </w:p>
    <w:p w14:paraId="7B8C9DBE" w14:textId="77777777" w:rsidR="0006514A" w:rsidRDefault="0006514A">
      <w:pPr>
        <w:pBdr>
          <w:top w:val="nil"/>
          <w:left w:val="nil"/>
          <w:bottom w:val="nil"/>
          <w:right w:val="nil"/>
          <w:between w:val="nil"/>
        </w:pBdr>
        <w:spacing w:line="360" w:lineRule="auto"/>
        <w:jc w:val="both"/>
        <w:rPr>
          <w:rFonts w:ascii="Palatino Linotype" w:eastAsia="Palatino Linotype" w:hAnsi="Palatino Linotype" w:cs="Palatino Linotype"/>
        </w:rPr>
      </w:pPr>
    </w:p>
    <w:p w14:paraId="5C8C866C" w14:textId="77777777" w:rsidR="0006514A" w:rsidRDefault="003F0F1D">
      <w:pPr>
        <w:spacing w:line="360" w:lineRule="auto"/>
        <w:ind w:left="851" w:right="964"/>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5.-</w:t>
      </w:r>
      <w:r>
        <w:rPr>
          <w:rFonts w:ascii="Palatino Linotype" w:eastAsia="Palatino Linotype" w:hAnsi="Palatino Linotype" w:cs="Palatino Linotype"/>
          <w:i/>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160DB594" w14:textId="77777777" w:rsidR="0006514A" w:rsidRDefault="003F0F1D">
      <w:pPr>
        <w:spacing w:line="360" w:lineRule="auto"/>
        <w:ind w:left="1134" w:right="1106"/>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6FBA82A" w14:textId="77777777" w:rsidR="0006514A" w:rsidRDefault="003F0F1D">
      <w:pPr>
        <w:spacing w:line="360" w:lineRule="auto"/>
        <w:ind w:left="851" w:right="964"/>
        <w:jc w:val="both"/>
        <w:rPr>
          <w:rFonts w:ascii="Palatino Linotype" w:eastAsia="Palatino Linotype" w:hAnsi="Palatino Linotype" w:cs="Palatino Linotype"/>
          <w:i/>
        </w:rPr>
      </w:pPr>
      <w:r>
        <w:rPr>
          <w:rFonts w:ascii="Palatino Linotype" w:eastAsia="Palatino Linotype" w:hAnsi="Palatino Linotype" w:cs="Palatino Linotype"/>
          <w:i/>
        </w:rPr>
        <w:t>Toda persona en el Estado de México, tiene derecho al libre acceso a la información plural y oportuna, así como a buscar recibir y difundir información e ideas de toda índole por cualquier medio de expresión.</w:t>
      </w:r>
    </w:p>
    <w:p w14:paraId="1F6F0BFB" w14:textId="77777777" w:rsidR="0006514A" w:rsidRDefault="003F0F1D">
      <w:pPr>
        <w:spacing w:line="360" w:lineRule="auto"/>
        <w:ind w:left="1134" w:right="1106"/>
        <w:jc w:val="both"/>
        <w:rPr>
          <w:rFonts w:ascii="Palatino Linotype" w:eastAsia="Palatino Linotype" w:hAnsi="Palatino Linotype" w:cs="Palatino Linotype"/>
          <w:i/>
        </w:rPr>
      </w:pPr>
      <w:r>
        <w:rPr>
          <w:rFonts w:ascii="Palatino Linotype" w:eastAsia="Palatino Linotype" w:hAnsi="Palatino Linotype" w:cs="Palatino Linotype"/>
          <w:i/>
        </w:rPr>
        <w:t>...</w:t>
      </w:r>
    </w:p>
    <w:p w14:paraId="022B62EC" w14:textId="77777777" w:rsidR="0006514A" w:rsidRDefault="003F0F1D">
      <w:pPr>
        <w:spacing w:line="360" w:lineRule="auto"/>
        <w:ind w:left="851" w:right="964"/>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El derecho a la información será garantizado por el Estado. La ley establecerá las previsiones que permitan asegurar la protección, el respeto y la difusión de este derecho.</w:t>
      </w:r>
    </w:p>
    <w:p w14:paraId="557E96D4" w14:textId="77777777" w:rsidR="0006514A" w:rsidRDefault="003F0F1D">
      <w:pPr>
        <w:spacing w:line="360" w:lineRule="auto"/>
        <w:ind w:left="851" w:right="964"/>
        <w:jc w:val="both"/>
        <w:rPr>
          <w:rFonts w:ascii="Palatino Linotype" w:eastAsia="Palatino Linotype" w:hAnsi="Palatino Linotype" w:cs="Palatino Linotype"/>
          <w:i/>
        </w:rPr>
      </w:pPr>
      <w:r>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746D2B77" w14:textId="77777777" w:rsidR="0006514A" w:rsidRDefault="003F0F1D">
      <w:pPr>
        <w:spacing w:line="360" w:lineRule="auto"/>
        <w:ind w:left="851" w:right="964"/>
        <w:jc w:val="both"/>
        <w:rPr>
          <w:rFonts w:ascii="Palatino Linotype" w:eastAsia="Palatino Linotype" w:hAnsi="Palatino Linotype" w:cs="Palatino Linotype"/>
          <w:i/>
        </w:rPr>
      </w:pPr>
      <w:r>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1B296D04" w14:textId="77777777" w:rsidR="0006514A" w:rsidRDefault="003F0F1D">
      <w:pPr>
        <w:spacing w:line="360" w:lineRule="auto"/>
        <w:ind w:left="1134" w:right="1106"/>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F4804CD" w14:textId="77777777" w:rsidR="0006514A" w:rsidRDefault="003F0F1D">
      <w:pPr>
        <w:spacing w:line="360" w:lineRule="auto"/>
        <w:ind w:left="851" w:right="964"/>
        <w:jc w:val="both"/>
        <w:rPr>
          <w:rFonts w:ascii="Palatino Linotype" w:eastAsia="Palatino Linotype" w:hAnsi="Palatino Linotype" w:cs="Palatino Linotype"/>
          <w:i/>
        </w:rPr>
      </w:pPr>
      <w:r>
        <w:rPr>
          <w:rFonts w:ascii="Palatino Linotype" w:eastAsia="Palatino Linotype" w:hAnsi="Palatino Linotype" w:cs="Palatino Linotype"/>
          <w:i/>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w:t>
      </w:r>
      <w:r>
        <w:rPr>
          <w:rFonts w:ascii="Palatino Linotype" w:eastAsia="Palatino Linotype" w:hAnsi="Palatino Linotype" w:cs="Palatino Linotype"/>
          <w:i/>
        </w:rPr>
        <w:lastRenderedPageBreak/>
        <w:t xml:space="preserve">acceso a la información pública y a la protección de datos personales en posesión de los sujetos obligados en los términos que establezca la ley.” </w:t>
      </w:r>
      <w:r>
        <w:rPr>
          <w:rFonts w:ascii="Palatino Linotype" w:eastAsia="Palatino Linotype" w:hAnsi="Palatino Linotype" w:cs="Palatino Linotype"/>
        </w:rPr>
        <w:t>(Sic)</w:t>
      </w:r>
    </w:p>
    <w:p w14:paraId="28ECF7DA" w14:textId="77777777" w:rsidR="0006514A" w:rsidRDefault="0006514A">
      <w:pPr>
        <w:spacing w:line="360" w:lineRule="auto"/>
        <w:ind w:left="426" w:right="476"/>
        <w:jc w:val="both"/>
        <w:rPr>
          <w:rFonts w:ascii="Palatino Linotype" w:eastAsia="Palatino Linotype" w:hAnsi="Palatino Linotype" w:cs="Palatino Linotype"/>
          <w:i/>
        </w:rPr>
      </w:pPr>
    </w:p>
    <w:p w14:paraId="25ED35B2"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Por otra parte, del contenido del artículo 1 de la Constitución Política de los Estados Unidos mexicanos, se destaca lo siguiente:</w:t>
      </w:r>
    </w:p>
    <w:p w14:paraId="1831BCCB" w14:textId="77777777" w:rsidR="0006514A" w:rsidRDefault="0006514A">
      <w:pPr>
        <w:pBdr>
          <w:top w:val="nil"/>
          <w:left w:val="nil"/>
          <w:bottom w:val="nil"/>
          <w:right w:val="nil"/>
          <w:between w:val="nil"/>
        </w:pBdr>
        <w:spacing w:line="360" w:lineRule="auto"/>
        <w:jc w:val="both"/>
        <w:rPr>
          <w:rFonts w:ascii="Palatino Linotype" w:eastAsia="Palatino Linotype" w:hAnsi="Palatino Linotype" w:cs="Palatino Linotype"/>
        </w:rPr>
      </w:pPr>
    </w:p>
    <w:p w14:paraId="47246407" w14:textId="77777777" w:rsidR="0006514A" w:rsidRDefault="003F0F1D">
      <w:pPr>
        <w:spacing w:line="360" w:lineRule="auto"/>
        <w:ind w:left="851" w:right="964"/>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w:t>
      </w:r>
      <w:r>
        <w:rPr>
          <w:rFonts w:ascii="Palatino Linotype" w:eastAsia="Palatino Linotype" w:hAnsi="Palatino Linotype" w:cs="Palatino Linotype"/>
          <w:i/>
        </w:rPr>
        <w:t xml:space="preserve">. En los Estados Unidos Mexicanos todas las personas gozarán de los derechos humanos reconocidos en esta Constitución y en los </w:t>
      </w:r>
      <w:proofErr w:type="gramStart"/>
      <w:r>
        <w:rPr>
          <w:rFonts w:ascii="Palatino Linotype" w:eastAsia="Palatino Linotype" w:hAnsi="Palatino Linotype" w:cs="Palatino Linotype"/>
          <w:i/>
        </w:rPr>
        <w:t>tratados  internacionales</w:t>
      </w:r>
      <w:proofErr w:type="gramEnd"/>
      <w:r>
        <w:rPr>
          <w:rFonts w:ascii="Palatino Linotype" w:eastAsia="Palatino Linotype" w:hAnsi="Palatino Linotype" w:cs="Palatino Linotype"/>
          <w:i/>
        </w:rPr>
        <w:t xml:space="preserve"> de los que el Estado Mexicano sea parte, así como de las garantías para su protección, cuyo ejercicio no podrá restringirse ni suspenderse, salvo en los casos y bajo las condiciones que esta Constitución establece.</w:t>
      </w:r>
    </w:p>
    <w:p w14:paraId="5A1E47CB" w14:textId="77777777" w:rsidR="0006514A" w:rsidRDefault="003F0F1D">
      <w:pPr>
        <w:spacing w:line="360" w:lineRule="auto"/>
        <w:ind w:left="851" w:right="964"/>
        <w:jc w:val="both"/>
        <w:rPr>
          <w:rFonts w:ascii="Palatino Linotype" w:eastAsia="Palatino Linotype" w:hAnsi="Palatino Linotype" w:cs="Palatino Linotype"/>
          <w:i/>
        </w:rPr>
      </w:pPr>
      <w:r>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56B51C1F" w14:textId="77777777" w:rsidR="0006514A" w:rsidRDefault="003F0F1D">
      <w:pPr>
        <w:spacing w:line="360" w:lineRule="auto"/>
        <w:ind w:left="851" w:right="964"/>
        <w:jc w:val="both"/>
        <w:rPr>
          <w:rFonts w:ascii="Palatino Linotype" w:eastAsia="Palatino Linotype" w:hAnsi="Palatino Linotype" w:cs="Palatino Linotype"/>
          <w:i/>
        </w:rPr>
      </w:pPr>
      <w:r>
        <w:rPr>
          <w:rFonts w:ascii="Palatino Linotype" w:eastAsia="Palatino Linotype" w:hAnsi="Palatino Linotype" w:cs="Palatino Linotype"/>
          <w:i/>
        </w:rPr>
        <w:t xml:space="preserve">Todas las autoridades, en el ámbito de sus competencias, tienen la obligación de promover, respetar, proteger y garantizar los derechos humanos de conformidad con los principios de universalidad, interdependencia, </w:t>
      </w:r>
      <w:r>
        <w:rPr>
          <w:rFonts w:ascii="Palatino Linotype" w:eastAsia="Palatino Linotype" w:hAnsi="Palatino Linotype" w:cs="Palatino Linotype"/>
          <w:i/>
        </w:rPr>
        <w:lastRenderedPageBreak/>
        <w:t>indivisibilidad y progresividad. En consecuencia, el Estado deberá prevenir, investigar, sancionar y reparar las violaciones a los derechos humanos, en los términos que establezca la ley."</w:t>
      </w:r>
    </w:p>
    <w:p w14:paraId="7D04C83F" w14:textId="77777777" w:rsidR="0006514A" w:rsidRDefault="0006514A">
      <w:pPr>
        <w:spacing w:line="360" w:lineRule="auto"/>
        <w:ind w:left="426" w:right="474"/>
        <w:jc w:val="both"/>
        <w:rPr>
          <w:rFonts w:ascii="Palatino Linotype" w:eastAsia="Palatino Linotype" w:hAnsi="Palatino Linotype" w:cs="Palatino Linotype"/>
          <w:i/>
        </w:rPr>
      </w:pPr>
    </w:p>
    <w:p w14:paraId="3B8303CF"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Pr>
          <w:rFonts w:ascii="Palatino Linotype" w:eastAsia="Palatino Linotype" w:hAnsi="Palatino Linotype" w:cs="Palatino Linotype"/>
          <w:i/>
        </w:rPr>
        <w:t>derecho fundamental exime a quien lo ejerce</w:t>
      </w:r>
      <w:r>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C35FDD5" w14:textId="77777777" w:rsidR="0006514A" w:rsidRDefault="0006514A">
      <w:pPr>
        <w:spacing w:line="360" w:lineRule="auto"/>
        <w:jc w:val="both"/>
        <w:rPr>
          <w:rFonts w:ascii="Palatino Linotype" w:eastAsia="Palatino Linotype" w:hAnsi="Palatino Linotype" w:cs="Palatino Linotype"/>
        </w:rPr>
      </w:pPr>
    </w:p>
    <w:p w14:paraId="2E57A1DB"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dado lo expuesto y fundado con anterioridad, se estima que el requisito relativo al nombre de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w:t>
      </w:r>
      <w:r>
        <w:rPr>
          <w:rFonts w:ascii="Palatino Linotype" w:eastAsia="Palatino Linotype" w:hAnsi="Palatino Linotype" w:cs="Palatino Linotype"/>
        </w:rPr>
        <w:lastRenderedPageBreak/>
        <w:t>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72E9215A" w14:textId="77777777" w:rsidR="0006514A" w:rsidRDefault="0006514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4B16EE1"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55F7B13D" w14:textId="77777777" w:rsidR="0006514A" w:rsidRDefault="0006514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A57429C" w14:textId="77777777" w:rsidR="0006514A" w:rsidRDefault="003F0F1D">
      <w:pPr>
        <w:pStyle w:val="Ttulo1"/>
        <w:spacing w:before="0" w:line="360" w:lineRule="auto"/>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TERCERO. Del planteamiento de la</w:t>
      </w:r>
      <w:r>
        <w:rPr>
          <w:rFonts w:ascii="Palatino Linotype" w:eastAsia="Palatino Linotype" w:hAnsi="Palatino Linotype" w:cs="Palatino Linotype"/>
          <w:b/>
          <w:i/>
          <w:color w:val="000000"/>
          <w:sz w:val="24"/>
          <w:szCs w:val="24"/>
        </w:rPr>
        <w:t xml:space="preserve"> Litis</w:t>
      </w:r>
    </w:p>
    <w:p w14:paraId="20A31F29" w14:textId="77777777" w:rsidR="0006514A" w:rsidRDefault="0006514A">
      <w:pPr>
        <w:spacing w:line="360" w:lineRule="auto"/>
        <w:rPr>
          <w:rFonts w:ascii="Palatino Linotype" w:eastAsia="Palatino Linotype" w:hAnsi="Palatino Linotype" w:cs="Palatino Linotype"/>
        </w:rPr>
      </w:pPr>
    </w:p>
    <w:p w14:paraId="2CEF1C1F" w14:textId="77777777" w:rsidR="0006514A" w:rsidRDefault="003F0F1D">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RECURRENTE solicitó la siguiente información que se desglosa:</w:t>
      </w:r>
    </w:p>
    <w:p w14:paraId="6C169BE3" w14:textId="77777777" w:rsidR="0006514A" w:rsidRDefault="0006514A">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3A67505F" w14:textId="77777777" w:rsidR="0006514A" w:rsidRDefault="003F0F1D">
      <w:pPr>
        <w:pBdr>
          <w:top w:val="nil"/>
          <w:left w:val="nil"/>
          <w:bottom w:val="nil"/>
          <w:right w:val="nil"/>
          <w:between w:val="nil"/>
        </w:pBdr>
        <w:spacing w:line="360" w:lineRule="auto"/>
        <w:ind w:left="720" w:right="110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Número de Folio de la Solicitud: 00041/OASNEZA/IP/2024</w:t>
      </w:r>
      <w:r>
        <w:rPr>
          <w:rFonts w:ascii="Palatino Linotype" w:eastAsia="Palatino Linotype" w:hAnsi="Palatino Linotype" w:cs="Palatino Linotype"/>
          <w:b/>
          <w:color w:val="000000"/>
        </w:rPr>
        <w:br/>
      </w:r>
      <w:r>
        <w:rPr>
          <w:rFonts w:ascii="Palatino Linotype" w:eastAsia="Palatino Linotype" w:hAnsi="Palatino Linotype" w:cs="Palatino Linotype"/>
          <w:color w:val="000000"/>
        </w:rPr>
        <w:t>De los 13 trabajadores comisionados mencionados en la respuesta de la solicitud 27:</w:t>
      </w:r>
    </w:p>
    <w:p w14:paraId="28831E8F" w14:textId="77777777" w:rsidR="0006514A" w:rsidRDefault="003F0F1D">
      <w:pPr>
        <w:numPr>
          <w:ilvl w:val="0"/>
          <w:numId w:val="4"/>
        </w:numPr>
        <w:pBdr>
          <w:top w:val="nil"/>
          <w:left w:val="nil"/>
          <w:bottom w:val="nil"/>
          <w:right w:val="nil"/>
          <w:between w:val="nil"/>
        </w:pBdr>
        <w:spacing w:line="360" w:lineRule="auto"/>
        <w:ind w:right="110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Listas de asistencia del 1 de agosto 2023 al 15 de abril del 2024; </w:t>
      </w:r>
    </w:p>
    <w:p w14:paraId="493829D1" w14:textId="77777777" w:rsidR="0006514A" w:rsidRDefault="003F0F1D">
      <w:pPr>
        <w:numPr>
          <w:ilvl w:val="0"/>
          <w:numId w:val="4"/>
        </w:numPr>
        <w:pBdr>
          <w:top w:val="nil"/>
          <w:left w:val="nil"/>
          <w:bottom w:val="nil"/>
          <w:right w:val="nil"/>
          <w:between w:val="nil"/>
        </w:pBdr>
        <w:spacing w:line="360" w:lineRule="auto"/>
        <w:ind w:right="110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Área responsable de resguardar todas las listas; y</w:t>
      </w:r>
    </w:p>
    <w:p w14:paraId="0AA916EA" w14:textId="77777777" w:rsidR="0006514A" w:rsidRDefault="003F0F1D">
      <w:pPr>
        <w:numPr>
          <w:ilvl w:val="0"/>
          <w:numId w:val="4"/>
        </w:numPr>
        <w:pBdr>
          <w:top w:val="nil"/>
          <w:left w:val="nil"/>
          <w:bottom w:val="nil"/>
          <w:right w:val="nil"/>
          <w:between w:val="nil"/>
        </w:pBdr>
        <w:spacing w:line="360" w:lineRule="auto"/>
        <w:ind w:right="110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Listas de todas las áreas de Administración de todos los servidores públicos de la primera quincena de abril 2024.</w:t>
      </w:r>
    </w:p>
    <w:p w14:paraId="13E0B646" w14:textId="77777777" w:rsidR="0006514A" w:rsidRDefault="0006514A">
      <w:pPr>
        <w:pBdr>
          <w:top w:val="nil"/>
          <w:left w:val="nil"/>
          <w:bottom w:val="nil"/>
          <w:right w:val="nil"/>
          <w:between w:val="nil"/>
        </w:pBdr>
        <w:spacing w:line="360" w:lineRule="auto"/>
        <w:ind w:left="720" w:right="1106"/>
        <w:jc w:val="both"/>
        <w:rPr>
          <w:rFonts w:ascii="Palatino Linotype" w:eastAsia="Palatino Linotype" w:hAnsi="Palatino Linotype" w:cs="Palatino Linotype"/>
          <w:color w:val="000000"/>
        </w:rPr>
      </w:pPr>
    </w:p>
    <w:p w14:paraId="2EBD55CD" w14:textId="77777777" w:rsidR="0006514A" w:rsidRDefault="003F0F1D">
      <w:pPr>
        <w:pBdr>
          <w:top w:val="nil"/>
          <w:left w:val="nil"/>
          <w:bottom w:val="nil"/>
          <w:right w:val="nil"/>
          <w:between w:val="nil"/>
        </w:pBdr>
        <w:spacing w:line="360" w:lineRule="auto"/>
        <w:ind w:left="720" w:right="110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Número de Folio de la Solicitud: 00059/OASNEZA/IP/2024</w:t>
      </w:r>
    </w:p>
    <w:p w14:paraId="3091600E" w14:textId="77777777" w:rsidR="0006514A" w:rsidRDefault="003F0F1D">
      <w:pPr>
        <w:numPr>
          <w:ilvl w:val="0"/>
          <w:numId w:val="4"/>
        </w:numPr>
        <w:pBdr>
          <w:top w:val="nil"/>
          <w:left w:val="nil"/>
          <w:bottom w:val="nil"/>
          <w:right w:val="nil"/>
          <w:between w:val="nil"/>
        </w:pBdr>
        <w:spacing w:line="360" w:lineRule="auto"/>
        <w:ind w:right="1106"/>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De la Jefatura de Recursos Humanos, el oficio del mes de agosto de 2024 turnado para abrir expedientes a los 10 comisionados y, </w:t>
      </w:r>
      <w:proofErr w:type="gramStart"/>
      <w:r>
        <w:rPr>
          <w:rFonts w:ascii="Palatino Linotype" w:eastAsia="Palatino Linotype" w:hAnsi="Palatino Linotype" w:cs="Palatino Linotype"/>
          <w:color w:val="000000"/>
        </w:rPr>
        <w:t>listas  asistencia</w:t>
      </w:r>
      <w:proofErr w:type="gramEnd"/>
      <w:r>
        <w:rPr>
          <w:rFonts w:ascii="Palatino Linotype" w:eastAsia="Palatino Linotype" w:hAnsi="Palatino Linotype" w:cs="Palatino Linotype"/>
          <w:color w:val="000000"/>
        </w:rPr>
        <w:t xml:space="preserve"> de la primera quincena de mayo 2024.</w:t>
      </w:r>
    </w:p>
    <w:p w14:paraId="541ED6F8" w14:textId="77777777" w:rsidR="0006514A" w:rsidRDefault="0006514A">
      <w:pPr>
        <w:pBdr>
          <w:top w:val="nil"/>
          <w:left w:val="nil"/>
          <w:bottom w:val="nil"/>
          <w:right w:val="nil"/>
          <w:between w:val="nil"/>
        </w:pBdr>
        <w:spacing w:line="360" w:lineRule="auto"/>
        <w:ind w:left="1068" w:right="1106"/>
        <w:jc w:val="both"/>
        <w:rPr>
          <w:rFonts w:ascii="Palatino Linotype" w:eastAsia="Palatino Linotype" w:hAnsi="Palatino Linotype" w:cs="Palatino Linotype"/>
          <w:b/>
          <w:color w:val="000000"/>
        </w:rPr>
      </w:pPr>
    </w:p>
    <w:p w14:paraId="3E29D8C9" w14:textId="77777777" w:rsidR="0006514A" w:rsidRDefault="003F0F1D">
      <w:pPr>
        <w:numPr>
          <w:ilvl w:val="0"/>
          <w:numId w:val="1"/>
        </w:numPr>
        <w:pBdr>
          <w:top w:val="nil"/>
          <w:left w:val="nil"/>
          <w:bottom w:val="nil"/>
          <w:right w:val="nil"/>
          <w:between w:val="nil"/>
        </w:pBdr>
        <w:tabs>
          <w:tab w:val="left" w:pos="284"/>
        </w:tabs>
        <w:spacing w:line="360" w:lineRule="auto"/>
        <w:ind w:left="0" w:right="-28"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respuesta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remitió el soporte documental descrito en el anterior Párrafo 2. Atento a lo anterior, el particular interpuso el recurso de revisión, mediante al cual se adolece de manera general por la entrega de información incompleta.</w:t>
      </w:r>
    </w:p>
    <w:p w14:paraId="666E780D" w14:textId="77777777" w:rsidR="0006514A" w:rsidRDefault="0006514A">
      <w:pPr>
        <w:tabs>
          <w:tab w:val="left" w:pos="284"/>
        </w:tabs>
        <w:spacing w:line="360" w:lineRule="auto"/>
        <w:jc w:val="both"/>
        <w:rPr>
          <w:rFonts w:ascii="Palatino Linotype" w:eastAsia="Palatino Linotype" w:hAnsi="Palatino Linotype" w:cs="Palatino Linotype"/>
          <w:i/>
        </w:rPr>
      </w:pPr>
    </w:p>
    <w:p w14:paraId="37006D2E" w14:textId="77777777" w:rsidR="0006514A" w:rsidRDefault="003F0F1D">
      <w:pPr>
        <w:numPr>
          <w:ilvl w:val="0"/>
          <w:numId w:val="1"/>
        </w:numPr>
        <w:spacing w:line="360" w:lineRule="auto"/>
        <w:ind w:left="0" w:right="48"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Por lo tanto, el presente recurso de </w:t>
      </w:r>
      <w:r>
        <w:rPr>
          <w:rFonts w:ascii="Palatino Linotype" w:eastAsia="Palatino Linotype" w:hAnsi="Palatino Linotype" w:cs="Palatino Linotype"/>
          <w:color w:val="000000"/>
        </w:rPr>
        <w:t>revisión</w:t>
      </w:r>
      <w:r>
        <w:rPr>
          <w:rFonts w:ascii="Palatino Linotype" w:eastAsia="Palatino Linotype" w:hAnsi="Palatino Linotype" w:cs="Palatino Linotype"/>
        </w:rPr>
        <w:t xml:space="preserve"> se circunscribe en determinar si se actualiza la causal de procedencia</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contenida en el artículo 179 fracciones V, de la </w:t>
      </w:r>
      <w:r>
        <w:rPr>
          <w:rFonts w:ascii="Palatino Linotype" w:eastAsia="Palatino Linotype" w:hAnsi="Palatino Linotype" w:cs="Palatino Linotype"/>
          <w:b/>
        </w:rPr>
        <w:t>Ley de Transparencia y Acceso a la Información Pública del Estado de México y Municipios</w:t>
      </w:r>
      <w:r>
        <w:rPr>
          <w:rFonts w:ascii="Palatino Linotype" w:eastAsia="Palatino Linotype" w:hAnsi="Palatino Linotype" w:cs="Palatino Linotype"/>
        </w:rPr>
        <w:t>, relativa a la entrega de información incompleta.</w:t>
      </w:r>
    </w:p>
    <w:p w14:paraId="26694B1D" w14:textId="77777777" w:rsidR="0006514A" w:rsidRDefault="0006514A">
      <w:pPr>
        <w:spacing w:line="360" w:lineRule="auto"/>
        <w:ind w:right="48"/>
        <w:jc w:val="both"/>
        <w:rPr>
          <w:rFonts w:ascii="Palatino Linotype" w:eastAsia="Palatino Linotype" w:hAnsi="Palatino Linotype" w:cs="Palatino Linotype"/>
        </w:rPr>
      </w:pPr>
    </w:p>
    <w:p w14:paraId="3073635D" w14:textId="77777777" w:rsidR="0006514A" w:rsidRDefault="003F0F1D">
      <w:pPr>
        <w:pStyle w:val="Ttulo1"/>
        <w:spacing w:before="0" w:line="360" w:lineRule="auto"/>
        <w:rPr>
          <w:rFonts w:ascii="Palatino Linotype" w:eastAsia="Palatino Linotype" w:hAnsi="Palatino Linotype" w:cs="Palatino Linotype"/>
          <w:b/>
          <w:color w:val="000000"/>
          <w:sz w:val="24"/>
          <w:szCs w:val="24"/>
        </w:rPr>
      </w:pPr>
      <w:bookmarkStart w:id="6" w:name="_heading=h.1t3h5sf" w:colFirst="0" w:colLast="0"/>
      <w:bookmarkEnd w:id="6"/>
      <w:r>
        <w:rPr>
          <w:rFonts w:ascii="Palatino Linotype" w:eastAsia="Palatino Linotype" w:hAnsi="Palatino Linotype" w:cs="Palatino Linotype"/>
          <w:b/>
          <w:color w:val="000000"/>
          <w:sz w:val="24"/>
          <w:szCs w:val="24"/>
        </w:rPr>
        <w:t>CUARTO. Estudio y resolución.</w:t>
      </w:r>
    </w:p>
    <w:p w14:paraId="55B7B9BB" w14:textId="77777777" w:rsidR="0006514A" w:rsidRDefault="003F0F1D">
      <w:pPr>
        <w:numPr>
          <w:ilvl w:val="0"/>
          <w:numId w:val="1"/>
        </w:numPr>
        <w:spacing w:line="360" w:lineRule="auto"/>
        <w:ind w:left="0" w:right="48" w:firstLine="0"/>
        <w:jc w:val="both"/>
        <w:rPr>
          <w:rFonts w:ascii="Palatino Linotype" w:eastAsia="Palatino Linotype" w:hAnsi="Palatino Linotype" w:cs="Palatino Linotype"/>
        </w:rPr>
      </w:pPr>
      <w:r>
        <w:rPr>
          <w:rFonts w:ascii="Palatino Linotype" w:eastAsia="Palatino Linotype" w:hAnsi="Palatino Linotype" w:cs="Palatino Linotype"/>
        </w:rPr>
        <w:t>Acotado lo anterior; se revisará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045D17B3" w14:textId="77777777" w:rsidR="0006514A" w:rsidRDefault="0006514A">
      <w:pPr>
        <w:spacing w:line="360" w:lineRule="auto"/>
        <w:jc w:val="both"/>
        <w:rPr>
          <w:rFonts w:ascii="Palatino Linotype" w:eastAsia="Palatino Linotype" w:hAnsi="Palatino Linotype" w:cs="Palatino Linotype"/>
        </w:rPr>
      </w:pPr>
    </w:p>
    <w:p w14:paraId="0262DC90" w14:textId="77777777" w:rsidR="0006514A" w:rsidRDefault="003F0F1D">
      <w:pPr>
        <w:numPr>
          <w:ilvl w:val="0"/>
          <w:numId w:val="1"/>
        </w:numPr>
        <w:spacing w:line="360" w:lineRule="auto"/>
        <w:ind w:left="0" w:right="48"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Asimismo, es relevante mencionar que el artículo 19 del ordenamiento local de la materia señala que se presume que la información debe existir si se refiere a las </w:t>
      </w:r>
      <w:r>
        <w:rPr>
          <w:rFonts w:ascii="Palatino Linotype" w:eastAsia="Palatino Linotype" w:hAnsi="Palatino Linotype" w:cs="Palatino Linotype"/>
        </w:rPr>
        <w:lastRenderedPageBreak/>
        <w:t>facultades, competencias y funciones que los ordenamientos jurídicos aplicables otorgan a los sujetos obligados y en caso de que dichas facultades no se hayan ejercido, se deberá motivar la respuesta en función de las causas que motivaron tal circunstancia.</w:t>
      </w:r>
    </w:p>
    <w:p w14:paraId="25B42C13" w14:textId="77777777" w:rsidR="0006514A" w:rsidRDefault="0006514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0C0B8B62" w14:textId="77777777" w:rsidR="0006514A" w:rsidRDefault="003F0F1D">
      <w:pPr>
        <w:numPr>
          <w:ilvl w:val="0"/>
          <w:numId w:val="1"/>
        </w:numPr>
        <w:spacing w:line="360" w:lineRule="auto"/>
        <w:ind w:left="0" w:right="48" w:firstLine="0"/>
        <w:jc w:val="both"/>
        <w:rPr>
          <w:rFonts w:ascii="Palatino Linotype" w:eastAsia="Palatino Linotype" w:hAnsi="Palatino Linotype" w:cs="Palatino Linotype"/>
        </w:rPr>
      </w:pPr>
      <w:r>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31EED4BE" w14:textId="77777777" w:rsidR="0006514A" w:rsidRDefault="0006514A">
      <w:pPr>
        <w:spacing w:line="360" w:lineRule="auto"/>
        <w:ind w:right="48"/>
        <w:jc w:val="both"/>
        <w:rPr>
          <w:rFonts w:ascii="Palatino Linotype" w:eastAsia="Palatino Linotype" w:hAnsi="Palatino Linotype" w:cs="Palatino Linotype"/>
        </w:rPr>
      </w:pPr>
    </w:p>
    <w:p w14:paraId="326441F5" w14:textId="77777777" w:rsidR="0006514A" w:rsidRDefault="003F0F1D">
      <w:pPr>
        <w:numPr>
          <w:ilvl w:val="0"/>
          <w:numId w:val="1"/>
        </w:numPr>
        <w:spacing w:line="360" w:lineRule="auto"/>
        <w:ind w:left="0" w:right="48"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Acotado lo anterior, traer a contexto primeramente el Recurso de Revisión registrado con el número 03831/INFOEM/IP/RR/2024; toda vez que del mismo se </w:t>
      </w:r>
      <w:r>
        <w:rPr>
          <w:rFonts w:ascii="Palatino Linotype" w:eastAsia="Palatino Linotype" w:hAnsi="Palatino Linotype" w:cs="Palatino Linotype"/>
        </w:rPr>
        <w:lastRenderedPageBreak/>
        <w:t>advierte que el particular se desiste de manera expresa como se advierte de las constancias que integran ese expediente electrónico.</w:t>
      </w:r>
    </w:p>
    <w:p w14:paraId="4B43320A" w14:textId="77777777" w:rsidR="0006514A" w:rsidRDefault="0006514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6BE381E5" w14:textId="77777777" w:rsidR="0006514A" w:rsidRDefault="003F0F1D">
      <w:pPr>
        <w:numPr>
          <w:ilvl w:val="0"/>
          <w:numId w:val="1"/>
        </w:numPr>
        <w:spacing w:line="360" w:lineRule="auto"/>
        <w:ind w:left="0" w:right="48"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Opción que </w:t>
      </w:r>
      <w:r>
        <w:rPr>
          <w:rFonts w:ascii="Palatino Linotype" w:eastAsia="Palatino Linotype" w:hAnsi="Palatino Linotype" w:cs="Palatino Linotype"/>
        </w:rPr>
        <w:t>únicamente</w:t>
      </w:r>
      <w:r>
        <w:rPr>
          <w:rFonts w:ascii="Palatino Linotype" w:eastAsia="Palatino Linotype" w:hAnsi="Palatino Linotype" w:cs="Palatino Linotype"/>
          <w:color w:val="000000"/>
        </w:rPr>
        <w:t xml:space="preserve"> puede hacer uso el usuario dueño de la cuenta previo ingreso </w:t>
      </w:r>
      <w:r>
        <w:rPr>
          <w:rFonts w:ascii="Palatino Linotype" w:eastAsia="Palatino Linotype" w:hAnsi="Palatino Linotype" w:cs="Palatino Linotype"/>
        </w:rPr>
        <w:t>de</w:t>
      </w:r>
      <w:r>
        <w:rPr>
          <w:rFonts w:ascii="Palatino Linotype" w:eastAsia="Palatino Linotype" w:hAnsi="Palatino Linotype" w:cs="Palatino Linotype"/>
          <w:color w:val="000000"/>
        </w:rPr>
        <w:t xml:space="preserve"> nombre de usuario y contraseña; asimismo refiere </w:t>
      </w:r>
      <w:r>
        <w:rPr>
          <w:rFonts w:ascii="Palatino Linotype" w:eastAsia="Palatino Linotype" w:hAnsi="Palatino Linotype" w:cs="Palatino Linotype"/>
          <w:b/>
          <w:i/>
          <w:color w:val="000000"/>
        </w:rPr>
        <w:t>“Pediré la información por partes gracias”</w:t>
      </w:r>
      <w:r>
        <w:rPr>
          <w:rFonts w:ascii="Palatino Linotype" w:eastAsia="Palatino Linotype" w:hAnsi="Palatino Linotype" w:cs="Palatino Linotype"/>
          <w:color w:val="000000"/>
        </w:rPr>
        <w:t xml:space="preserve">, aunado a esta manifestación es importante señalar </w:t>
      </w:r>
      <w:proofErr w:type="gramStart"/>
      <w:r>
        <w:rPr>
          <w:rFonts w:ascii="Palatino Linotype" w:eastAsia="Palatino Linotype" w:hAnsi="Palatino Linotype" w:cs="Palatino Linotype"/>
          <w:color w:val="000000"/>
        </w:rPr>
        <w:t>que</w:t>
      </w:r>
      <w:proofErr w:type="gramEnd"/>
      <w:r>
        <w:rPr>
          <w:rFonts w:ascii="Palatino Linotype" w:eastAsia="Palatino Linotype" w:hAnsi="Palatino Linotype" w:cs="Palatino Linotype"/>
          <w:color w:val="000000"/>
        </w:rPr>
        <w:t xml:space="preserve"> en dicho sistema al activar la opción para el desistimiento, al usuario aparece una ventana de alerta con el objeto que confirme que efectivamente es su deseo desistirse del recurso; actuación que se constituye como un desistimiento expreso.</w:t>
      </w:r>
    </w:p>
    <w:p w14:paraId="11FB2D59" w14:textId="77777777" w:rsidR="0006514A" w:rsidRDefault="0006514A">
      <w:pPr>
        <w:tabs>
          <w:tab w:val="left" w:pos="426"/>
          <w:tab w:val="left" w:pos="567"/>
        </w:tabs>
        <w:spacing w:line="360" w:lineRule="auto"/>
        <w:jc w:val="both"/>
        <w:rPr>
          <w:rFonts w:ascii="Palatino Linotype" w:eastAsia="Palatino Linotype" w:hAnsi="Palatino Linotype" w:cs="Palatino Linotype"/>
          <w:color w:val="000000"/>
        </w:rPr>
      </w:pPr>
    </w:p>
    <w:p w14:paraId="6C076C3F" w14:textId="77777777" w:rsidR="0006514A" w:rsidRDefault="003F0F1D">
      <w:pPr>
        <w:numPr>
          <w:ilvl w:val="0"/>
          <w:numId w:val="1"/>
        </w:numPr>
        <w:spacing w:line="360" w:lineRule="auto"/>
        <w:ind w:left="0" w:right="48"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orden de ideas se colige que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de propia voluntad sin existir coacción o dolo, en ejercicio de sus derechos se desiste del presente recurso en que se actúa, en este sentido el </w:t>
      </w:r>
      <w:r>
        <w:rPr>
          <w:rFonts w:ascii="Palatino Linotype" w:eastAsia="Palatino Linotype" w:hAnsi="Palatino Linotype" w:cs="Palatino Linotype"/>
        </w:rPr>
        <w:t>artículo</w:t>
      </w:r>
      <w:r>
        <w:rPr>
          <w:rFonts w:ascii="Palatino Linotype" w:eastAsia="Palatino Linotype" w:hAnsi="Palatino Linotype" w:cs="Palatino Linotype"/>
          <w:color w:val="000000"/>
        </w:rPr>
        <w:t xml:space="preserve"> 192 fracción I </w:t>
      </w:r>
      <w:r>
        <w:rPr>
          <w:rFonts w:ascii="Palatino Linotype" w:eastAsia="Palatino Linotype" w:hAnsi="Palatino Linotype" w:cs="Palatino Linotype"/>
        </w:rPr>
        <w:t xml:space="preserve">de </w:t>
      </w:r>
      <w:proofErr w:type="gramStart"/>
      <w:r>
        <w:rPr>
          <w:rFonts w:ascii="Palatino Linotype" w:eastAsia="Palatino Linotype" w:hAnsi="Palatino Linotype" w:cs="Palatino Linotype"/>
        </w:rPr>
        <w:t xml:space="preserve">la  </w:t>
      </w:r>
      <w:r>
        <w:rPr>
          <w:rFonts w:ascii="Palatino Linotype" w:eastAsia="Palatino Linotype" w:hAnsi="Palatino Linotype" w:cs="Palatino Linotype"/>
          <w:color w:val="000000"/>
        </w:rPr>
        <w:t>Ley</w:t>
      </w:r>
      <w:proofErr w:type="gramEnd"/>
      <w:r>
        <w:rPr>
          <w:rFonts w:ascii="Palatino Linotype" w:eastAsia="Palatino Linotype" w:hAnsi="Palatino Linotype" w:cs="Palatino Linotype"/>
          <w:color w:val="000000"/>
        </w:rPr>
        <w:t xml:space="preserve"> de Transparencia y Acceso a la Información Pública del Estado de México y Municipios, establece lo siguiente:</w:t>
      </w:r>
    </w:p>
    <w:p w14:paraId="73D0A093" w14:textId="77777777" w:rsidR="0006514A" w:rsidRDefault="0006514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25AD12A0" w14:textId="77777777" w:rsidR="0006514A" w:rsidRDefault="003F0F1D">
      <w:pPr>
        <w:pBdr>
          <w:top w:val="nil"/>
          <w:left w:val="nil"/>
          <w:bottom w:val="nil"/>
          <w:right w:val="nil"/>
          <w:between w:val="nil"/>
        </w:pBdr>
        <w:spacing w:line="360" w:lineRule="auto"/>
        <w:ind w:left="709" w:right="47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“Artículo 192. El recurso será sobreseído, en todo o en parte, cuando una vez admitido, se actualicen alguno de los siguientes supuestos:</w:t>
      </w:r>
    </w:p>
    <w:p w14:paraId="7BB05B43" w14:textId="77777777" w:rsidR="0006514A" w:rsidRDefault="003F0F1D">
      <w:pPr>
        <w:pBdr>
          <w:top w:val="nil"/>
          <w:left w:val="nil"/>
          <w:bottom w:val="nil"/>
          <w:right w:val="nil"/>
          <w:between w:val="nil"/>
        </w:pBdr>
        <w:spacing w:line="360" w:lineRule="auto"/>
        <w:ind w:left="709" w:right="47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 xml:space="preserve">I. </w:t>
      </w:r>
      <w:r>
        <w:rPr>
          <w:rFonts w:ascii="Palatino Linotype" w:eastAsia="Palatino Linotype" w:hAnsi="Palatino Linotype" w:cs="Palatino Linotype"/>
          <w:b/>
          <w:i/>
          <w:color w:val="000000"/>
        </w:rPr>
        <w:t>El recurrente se desista expresamente del recurso</w:t>
      </w:r>
      <w:r>
        <w:rPr>
          <w:rFonts w:ascii="Palatino Linotype" w:eastAsia="Palatino Linotype" w:hAnsi="Palatino Linotype" w:cs="Palatino Linotype"/>
          <w:i/>
          <w:color w:val="000000"/>
        </w:rPr>
        <w:t>;</w:t>
      </w:r>
    </w:p>
    <w:p w14:paraId="37AA230F" w14:textId="77777777" w:rsidR="0006514A" w:rsidRDefault="003F0F1D">
      <w:pPr>
        <w:pBdr>
          <w:top w:val="nil"/>
          <w:left w:val="nil"/>
          <w:bottom w:val="nil"/>
          <w:right w:val="nil"/>
          <w:between w:val="nil"/>
        </w:pBdr>
        <w:spacing w:line="360" w:lineRule="auto"/>
        <w:ind w:left="709" w:right="47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14:paraId="150FCAE5" w14:textId="77777777" w:rsidR="0006514A" w:rsidRDefault="0006514A">
      <w:pPr>
        <w:pBdr>
          <w:top w:val="nil"/>
          <w:left w:val="nil"/>
          <w:bottom w:val="nil"/>
          <w:right w:val="nil"/>
          <w:between w:val="nil"/>
        </w:pBdr>
        <w:spacing w:line="360" w:lineRule="auto"/>
        <w:ind w:left="709" w:right="474"/>
        <w:jc w:val="both"/>
        <w:rPr>
          <w:rFonts w:ascii="Palatino Linotype" w:eastAsia="Palatino Linotype" w:hAnsi="Palatino Linotype" w:cs="Palatino Linotype"/>
          <w:i/>
          <w:color w:val="000000"/>
        </w:rPr>
      </w:pPr>
    </w:p>
    <w:p w14:paraId="19E781DE" w14:textId="77777777" w:rsidR="0006514A" w:rsidRDefault="003F0F1D">
      <w:pPr>
        <w:numPr>
          <w:ilvl w:val="0"/>
          <w:numId w:val="1"/>
        </w:numPr>
        <w:spacing w:line="360" w:lineRule="auto"/>
        <w:ind w:left="0" w:right="48" w:firstLine="0"/>
        <w:jc w:val="both"/>
        <w:rPr>
          <w:rFonts w:ascii="Palatino Linotype" w:eastAsia="Palatino Linotype" w:hAnsi="Palatino Linotype" w:cs="Palatino Linotype"/>
          <w:i/>
        </w:rPr>
      </w:pPr>
      <w:r>
        <w:rPr>
          <w:rFonts w:ascii="Palatino Linotype" w:eastAsia="Palatino Linotype" w:hAnsi="Palatino Linotype" w:cs="Palatino Linotype"/>
        </w:rPr>
        <w:t xml:space="preserve">El desistimiento teóricamente es definido como; </w:t>
      </w:r>
      <w:r>
        <w:rPr>
          <w:rFonts w:ascii="Palatino Linotype" w:eastAsia="Palatino Linotype" w:hAnsi="Palatino Linotype" w:cs="Palatino Linotype"/>
          <w:i/>
        </w:rPr>
        <w:t>renunciar o abandonar el ejercicio de una acción procesal o de un derecho reconocido por ley.</w:t>
      </w:r>
      <w:r>
        <w:rPr>
          <w:rFonts w:ascii="Palatino Linotype" w:eastAsia="Palatino Linotype" w:hAnsi="Palatino Linotype" w:cs="Palatino Linotype"/>
          <w:i/>
          <w:vertAlign w:val="superscript"/>
        </w:rPr>
        <w:footnoteReference w:id="2"/>
      </w:r>
    </w:p>
    <w:p w14:paraId="616DF0D9" w14:textId="77777777" w:rsidR="0006514A" w:rsidRDefault="0006514A">
      <w:pPr>
        <w:tabs>
          <w:tab w:val="left" w:pos="426"/>
          <w:tab w:val="left" w:pos="567"/>
        </w:tabs>
        <w:spacing w:line="360" w:lineRule="auto"/>
        <w:jc w:val="both"/>
        <w:rPr>
          <w:rFonts w:ascii="Palatino Linotype" w:eastAsia="Palatino Linotype" w:hAnsi="Palatino Linotype" w:cs="Palatino Linotype"/>
          <w:i/>
        </w:rPr>
      </w:pPr>
    </w:p>
    <w:p w14:paraId="51BD8E72" w14:textId="77777777" w:rsidR="0006514A" w:rsidRDefault="003F0F1D">
      <w:pPr>
        <w:numPr>
          <w:ilvl w:val="0"/>
          <w:numId w:val="1"/>
        </w:numPr>
        <w:spacing w:line="360" w:lineRule="auto"/>
        <w:ind w:left="0" w:right="48" w:firstLine="0"/>
        <w:jc w:val="both"/>
        <w:rPr>
          <w:rFonts w:ascii="Palatino Linotype" w:eastAsia="Palatino Linotype" w:hAnsi="Palatino Linotype" w:cs="Palatino Linotype"/>
        </w:rPr>
      </w:pPr>
      <w:r>
        <w:rPr>
          <w:rFonts w:ascii="Palatino Linotype" w:eastAsia="Palatino Linotype" w:hAnsi="Palatino Linotype" w:cs="Palatino Linotype"/>
        </w:rPr>
        <w:t>Se debe tomar en cuenta que el desistimiento de manera más precisa es; un acto procesal  mediante el cual se manifiesta el propósito de abandonar una instancia, la reclamación de un derecho o la realización de cualquier otro trámite de un procedimiento iniciado, por el particular, pero a su vez dicho acto tiene los efectos legales siguientes; la anulación de todos los actos procesales verificados y sus consecuencias, es decir, se tendría por no accionado el derecho de acceso a la información y por ende a que no haya acto reclamado, en el caso del recurso de revisión.</w:t>
      </w:r>
    </w:p>
    <w:p w14:paraId="700E8E8B" w14:textId="77777777" w:rsidR="0006514A" w:rsidRDefault="0006514A">
      <w:pPr>
        <w:tabs>
          <w:tab w:val="left" w:pos="426"/>
          <w:tab w:val="left" w:pos="567"/>
        </w:tabs>
        <w:spacing w:line="360" w:lineRule="auto"/>
        <w:jc w:val="both"/>
        <w:rPr>
          <w:rFonts w:ascii="Palatino Linotype" w:eastAsia="Palatino Linotype" w:hAnsi="Palatino Linotype" w:cs="Palatino Linotype"/>
        </w:rPr>
      </w:pPr>
    </w:p>
    <w:p w14:paraId="797F503F" w14:textId="77777777" w:rsidR="0006514A" w:rsidRDefault="003F0F1D">
      <w:pPr>
        <w:numPr>
          <w:ilvl w:val="0"/>
          <w:numId w:val="1"/>
        </w:numPr>
        <w:spacing w:line="360" w:lineRule="auto"/>
        <w:ind w:left="0" w:right="48"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Sirve de sustento por analogía la jurisprudencia emitida por la Primera Sala de nuestro Alto Tribunal del País, con número 1a./J. 53/2015 (10a.), que menciona lo siguiente:</w:t>
      </w:r>
    </w:p>
    <w:p w14:paraId="24367481" w14:textId="77777777" w:rsidR="0006514A" w:rsidRDefault="0006514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582036D4" w14:textId="77777777" w:rsidR="0006514A" w:rsidRDefault="003F0F1D">
      <w:pPr>
        <w:tabs>
          <w:tab w:val="left" w:pos="709"/>
        </w:tabs>
        <w:spacing w:line="360" w:lineRule="auto"/>
        <w:ind w:left="851" w:right="851"/>
        <w:jc w:val="both"/>
        <w:rPr>
          <w:rFonts w:ascii="Palatino Linotype" w:eastAsia="Palatino Linotype" w:hAnsi="Palatino Linotype" w:cs="Palatino Linotype"/>
          <w:b/>
          <w:i/>
        </w:rPr>
      </w:pPr>
      <w:r>
        <w:rPr>
          <w:rFonts w:ascii="Palatino Linotype" w:eastAsia="Palatino Linotype" w:hAnsi="Palatino Linotype" w:cs="Palatino Linotype"/>
          <w:b/>
          <w:i/>
        </w:rPr>
        <w:t>INCONFORMIDAD. TRÁMITE Y EFECTOS JURÍDICOS EN EL DESISTIMIENTO DE DICHO RECURSO.</w:t>
      </w:r>
    </w:p>
    <w:p w14:paraId="66E4452B" w14:textId="77777777" w:rsidR="0006514A" w:rsidRDefault="003F0F1D">
      <w:pPr>
        <w:tabs>
          <w:tab w:val="left" w:pos="709"/>
        </w:tabs>
        <w:spacing w:line="360"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 xml:space="preserve">El desistimiento es un acto procesal mediante el cual se manifiesta el propósito de abandonar una instancia o de no confirmar el ejercicio de una acción, la reclamación de un derecho o la realización de cualquier otro trámite de un procedimiento iniciado. En el caso del recurso de inconformidad previsto en los artículos 201 a 203 de la Ley de Amparo, publicada en el Diario Oficial de la Federación el 2 de abril de 2013, la propia ley no contempla explícitamente aquella institución jurídica; sin embargo, en términos del artículo 2o. de dicho ordenamiento, a falta de disposición expresa se aplicará supletoriamente el Código Federal de Procedimientos Civiles y, en su defecto, los principios generales del derecho. Por tanto, para tramitar un desistimiento del recurso de inconformidad es necesario acudir a este último ordenamiento legal, de cuyos artículos 373, fracción II, y 378, se advierte que la secuela del </w:t>
      </w:r>
      <w:r>
        <w:rPr>
          <w:rFonts w:ascii="Palatino Linotype" w:eastAsia="Palatino Linotype" w:hAnsi="Palatino Linotype" w:cs="Palatino Linotype"/>
          <w:i/>
        </w:rPr>
        <w:lastRenderedPageBreak/>
        <w:t>desistimiento es la anulación de todos los actos procesales verificados y sus consecuencias, entendiéndose como no presentada la demanda respectiva, lo que en la especie da lugar, como efecto jurídico, a que se entienda como no reclamado el acuerdo impugnado de que se trata y, en consecuencia, que adquiera firmeza legal.</w:t>
      </w:r>
    </w:p>
    <w:p w14:paraId="5E3E80E0" w14:textId="77777777" w:rsidR="0006514A" w:rsidRDefault="003F0F1D">
      <w:pPr>
        <w:tabs>
          <w:tab w:val="left" w:pos="709"/>
        </w:tabs>
        <w:spacing w:line="360"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Tesis de jurisprudencia 53/2015 (10a.). Aprobada por la Primera Sala de este Alto Tribunal, en sesión de fecha primero de julio de dos mil quince.</w:t>
      </w:r>
    </w:p>
    <w:p w14:paraId="1EE2EDB0" w14:textId="77777777" w:rsidR="0006514A" w:rsidRDefault="0006514A">
      <w:pPr>
        <w:pBdr>
          <w:top w:val="nil"/>
          <w:left w:val="nil"/>
          <w:bottom w:val="nil"/>
          <w:right w:val="nil"/>
          <w:between w:val="nil"/>
        </w:pBdr>
        <w:spacing w:line="360" w:lineRule="auto"/>
        <w:ind w:left="426" w:right="49"/>
        <w:jc w:val="both"/>
        <w:rPr>
          <w:rFonts w:ascii="Palatino Linotype" w:eastAsia="Palatino Linotype" w:hAnsi="Palatino Linotype" w:cs="Palatino Linotype"/>
          <w:color w:val="000000"/>
        </w:rPr>
      </w:pPr>
    </w:p>
    <w:p w14:paraId="02C54A63" w14:textId="77777777" w:rsidR="0006514A" w:rsidRDefault="003F0F1D">
      <w:pPr>
        <w:numPr>
          <w:ilvl w:val="0"/>
          <w:numId w:val="1"/>
        </w:numPr>
        <w:spacing w:line="360" w:lineRule="auto"/>
        <w:ind w:left="0" w:right="48"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Seguidamente deviene el Recurso de Revisión </w:t>
      </w:r>
      <w:r>
        <w:rPr>
          <w:rFonts w:ascii="Palatino Linotype" w:eastAsia="Palatino Linotype" w:hAnsi="Palatino Linotype" w:cs="Palatino Linotype"/>
          <w:b/>
        </w:rPr>
        <w:t>02993/INFOEM/IP/RR/2024</w:t>
      </w:r>
      <w:r>
        <w:rPr>
          <w:rFonts w:ascii="Palatino Linotype" w:eastAsia="Palatino Linotype" w:hAnsi="Palatino Linotype" w:cs="Palatino Linotype"/>
        </w:rPr>
        <w:t>, en el que se impugna de manera general, lo siguiente:</w:t>
      </w:r>
    </w:p>
    <w:p w14:paraId="65C37C73" w14:textId="77777777" w:rsidR="0006514A" w:rsidRDefault="0006514A">
      <w:pPr>
        <w:spacing w:line="360" w:lineRule="auto"/>
        <w:ind w:right="48"/>
        <w:jc w:val="both"/>
        <w:rPr>
          <w:rFonts w:ascii="Palatino Linotype" w:eastAsia="Palatino Linotype" w:hAnsi="Palatino Linotype" w:cs="Palatino Linotype"/>
        </w:rPr>
      </w:pPr>
    </w:p>
    <w:p w14:paraId="178A225F" w14:textId="77777777" w:rsidR="0006514A" w:rsidRDefault="003F0F1D">
      <w:pPr>
        <w:spacing w:line="360" w:lineRule="auto"/>
        <w:ind w:left="426" w:right="397"/>
        <w:jc w:val="both"/>
        <w:rPr>
          <w:rFonts w:ascii="Palatino Linotype" w:eastAsia="Palatino Linotype" w:hAnsi="Palatino Linotype" w:cs="Palatino Linotype"/>
          <w:i/>
        </w:rPr>
      </w:pPr>
      <w:r>
        <w:rPr>
          <w:rFonts w:ascii="Palatino Linotype" w:eastAsia="Palatino Linotype" w:hAnsi="Palatino Linotype" w:cs="Palatino Linotype"/>
          <w:i/>
        </w:rPr>
        <w:t>…solo acredita las listas de abril mas no la de sus comisionados... no mando las listas de agosto a la fecha de los comisionados que solicite...</w:t>
      </w:r>
    </w:p>
    <w:p w14:paraId="295551C8" w14:textId="77777777" w:rsidR="0006514A" w:rsidRDefault="0006514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492F3322"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De lo anterior se advierte, que no impugna la totalidad de rubros que integraron su solicitud de información inicial, al estar su escrito </w:t>
      </w:r>
      <w:proofErr w:type="spellStart"/>
      <w:r>
        <w:rPr>
          <w:rFonts w:ascii="Palatino Linotype" w:eastAsia="Palatino Linotype" w:hAnsi="Palatino Linotype" w:cs="Palatino Linotype"/>
        </w:rPr>
        <w:t>recursal</w:t>
      </w:r>
      <w:proofErr w:type="spellEnd"/>
      <w:r>
        <w:rPr>
          <w:rFonts w:ascii="Palatino Linotype" w:eastAsia="Palatino Linotype" w:hAnsi="Palatino Linotype" w:cs="Palatino Linotype"/>
          <w:color w:val="000000"/>
        </w:rPr>
        <w:t xml:space="preserve"> encaminados a impugnar lo relativo a la entrega de las listas de asistencia. Razón, por la que se </w:t>
      </w:r>
      <w:r>
        <w:rPr>
          <w:rFonts w:ascii="Palatino Linotype" w:eastAsia="Palatino Linotype" w:hAnsi="Palatino Linotype" w:cs="Palatino Linotype"/>
          <w:color w:val="000000"/>
        </w:rPr>
        <w:lastRenderedPageBreak/>
        <w:t>colige que al no impugnar la totalidad de los rubros que integraron la solicitud de información inicial, se actualiza la figura denominada actos consentidos.</w:t>
      </w:r>
    </w:p>
    <w:p w14:paraId="32C97226" w14:textId="77777777" w:rsidR="0006514A" w:rsidRDefault="0006514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52CEAA0"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Esto es así, debido a que cuando el recurrente impugna la respuesta del sujeto obligado y éste no expresa razón o motivo de inconformidad en contra de todos los rubros </w:t>
      </w:r>
      <w:r>
        <w:rPr>
          <w:rFonts w:ascii="Palatino Linotype" w:eastAsia="Palatino Linotype" w:hAnsi="Palatino Linotype" w:cs="Palatino Linotype"/>
          <w:color w:val="000000"/>
        </w:rPr>
        <w:t>solicitados</w:t>
      </w:r>
      <w:r>
        <w:rPr>
          <w:rFonts w:ascii="Palatino Linotype" w:eastAsia="Palatino Linotype" w:hAnsi="Palatino Linotype" w:cs="Palatino Linotype"/>
        </w:rPr>
        <w:t>, los mismos deben declararse firmes,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14:paraId="5731FFA0" w14:textId="77777777" w:rsidR="0006514A" w:rsidRDefault="0006514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4286E93" w14:textId="77777777" w:rsidR="0006514A" w:rsidRDefault="003F0F1D">
      <w:pPr>
        <w:pBdr>
          <w:top w:val="nil"/>
          <w:left w:val="nil"/>
          <w:bottom w:val="nil"/>
          <w:right w:val="nil"/>
          <w:between w:val="nil"/>
        </w:pBdr>
        <w:spacing w:line="360" w:lineRule="auto"/>
        <w:ind w:left="426" w:right="425"/>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“REVISIÓN EN AMPARO. LOS RESOLUTIVOS NO COMBATIDOS DEBEN DECLARARSE FIRMES. </w:t>
      </w:r>
      <w:r>
        <w:rPr>
          <w:rFonts w:ascii="Palatino Linotype" w:eastAsia="Palatino Linotype" w:hAnsi="Palatino Linotype" w:cs="Palatino Linotype"/>
          <w:i/>
          <w:color w:val="000000"/>
          <w:u w:val="single"/>
        </w:rPr>
        <w:t>Cuando algún resolutivo de la sentencia impugnada afecta a EL RECURRENTE, y ésta no expresa agravio en contra de las consideraciones que le sirven de base, dicho resolutivo debe declararse firme.</w:t>
      </w:r>
      <w:r>
        <w:rPr>
          <w:rFonts w:ascii="Palatino Linotype" w:eastAsia="Palatino Linotype" w:hAnsi="Palatino Linotype" w:cs="Palatino Linotype"/>
          <w:i/>
          <w:color w:val="000000"/>
        </w:rPr>
        <w:t> Esto es, en el caso referido, no obstante que la materia de la revisión comprende a todos los resolutivos que afectan a EL RECURRENTE, </w:t>
      </w:r>
      <w:r>
        <w:rPr>
          <w:rFonts w:ascii="Palatino Linotype" w:eastAsia="Palatino Linotype" w:hAnsi="Palatino Linotype" w:cs="Palatino Linotype"/>
          <w:i/>
          <w:color w:val="000000"/>
          <w:u w:val="single"/>
        </w:rPr>
        <w:t xml:space="preserve">deben declararse firmes aquéllos en contra de los cuales no se formuló agravio y dicha declaración de firmeza debe reflejarse </w:t>
      </w:r>
      <w:r>
        <w:rPr>
          <w:rFonts w:ascii="Palatino Linotype" w:eastAsia="Palatino Linotype" w:hAnsi="Palatino Linotype" w:cs="Palatino Linotype"/>
          <w:i/>
          <w:color w:val="000000"/>
          <w:u w:val="single"/>
        </w:rPr>
        <w:lastRenderedPageBreak/>
        <w:t>en la parte considerativa y en los resolutivos debe confirmarse la sentencia recurrida en la parte correspondiente</w:t>
      </w:r>
      <w:r>
        <w:rPr>
          <w:rFonts w:ascii="Palatino Linotype" w:eastAsia="Palatino Linotype" w:hAnsi="Palatino Linotype" w:cs="Palatino Linotype"/>
          <w:i/>
          <w:color w:val="000000"/>
        </w:rPr>
        <w:t>.”</w:t>
      </w:r>
    </w:p>
    <w:p w14:paraId="0E26C1E4" w14:textId="77777777" w:rsidR="0006514A" w:rsidRDefault="003F0F1D">
      <w:pPr>
        <w:pBdr>
          <w:top w:val="nil"/>
          <w:left w:val="nil"/>
          <w:bottom w:val="nil"/>
          <w:right w:val="nil"/>
          <w:between w:val="nil"/>
        </w:pBdr>
        <w:spacing w:line="360" w:lineRule="auto"/>
        <w:ind w:left="426" w:right="42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(Énfasis añadido)</w:t>
      </w:r>
    </w:p>
    <w:p w14:paraId="7FE8FC0D" w14:textId="77777777" w:rsidR="0006514A" w:rsidRDefault="0006514A">
      <w:pPr>
        <w:pBdr>
          <w:top w:val="nil"/>
          <w:left w:val="nil"/>
          <w:bottom w:val="nil"/>
          <w:right w:val="nil"/>
          <w:between w:val="nil"/>
        </w:pBdr>
        <w:spacing w:line="360" w:lineRule="auto"/>
        <w:ind w:left="426" w:right="426"/>
        <w:jc w:val="center"/>
        <w:rPr>
          <w:rFonts w:ascii="Palatino Linotype" w:eastAsia="Palatino Linotype" w:hAnsi="Palatino Linotype" w:cs="Palatino Linotype"/>
          <w:color w:val="000000"/>
        </w:rPr>
      </w:pPr>
    </w:p>
    <w:p w14:paraId="281A6FB7"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Consecutivamente, </w:t>
      </w:r>
      <w:r>
        <w:rPr>
          <w:rFonts w:ascii="Palatino Linotype" w:eastAsia="Palatino Linotype" w:hAnsi="Palatino Linotype" w:cs="Palatino Linotype"/>
          <w:b/>
        </w:rPr>
        <w:t xml:space="preserve">la parte de la respuesta que no fue impugnada debe </w:t>
      </w:r>
      <w:r>
        <w:rPr>
          <w:rFonts w:ascii="Palatino Linotype" w:eastAsia="Palatino Linotype" w:hAnsi="Palatino Linotype" w:cs="Palatino Linotype"/>
        </w:rPr>
        <w:t>declararse</w:t>
      </w:r>
      <w:r>
        <w:rPr>
          <w:rFonts w:ascii="Palatino Linotype" w:eastAsia="Palatino Linotype" w:hAnsi="Palatino Linotype" w:cs="Palatino Linotype"/>
          <w:b/>
        </w:rPr>
        <w:t xml:space="preserve"> </w:t>
      </w:r>
      <w:r>
        <w:rPr>
          <w:rFonts w:ascii="Palatino Linotype" w:eastAsia="Palatino Linotype" w:hAnsi="Palatino Linotype" w:cs="Palatino Linotype"/>
        </w:rPr>
        <w:t>consentida</w:t>
      </w:r>
      <w:r>
        <w:rPr>
          <w:rFonts w:ascii="Palatino Linotype" w:eastAsia="Palatino Linotype" w:hAnsi="Palatino Linotype" w:cs="Palatino Linotype"/>
          <w:b/>
        </w:rPr>
        <w:t xml:space="preserve"> por el recurrente, toda vez que no realizó </w:t>
      </w:r>
      <w:r>
        <w:rPr>
          <w:rFonts w:ascii="Palatino Linotype" w:eastAsia="Palatino Linotype" w:hAnsi="Palatino Linotype" w:cs="Palatino Linotype"/>
        </w:rPr>
        <w:t>manifestaciones</w:t>
      </w:r>
      <w:r>
        <w:rPr>
          <w:rFonts w:ascii="Palatino Linotype" w:eastAsia="Palatino Linotype" w:hAnsi="Palatino Linotype" w:cs="Palatino Linotype"/>
          <w:b/>
        </w:rPr>
        <w:t xml:space="preserve"> de inconformidad</w:t>
      </w:r>
      <w:r>
        <w:rPr>
          <w:rFonts w:ascii="Palatino Linotype" w:eastAsia="Palatino Linotype" w:hAnsi="Palatino Linotype" w:cs="Palatino Linotype"/>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14:paraId="193C9606" w14:textId="77777777" w:rsidR="0006514A" w:rsidRDefault="0006514A">
      <w:pPr>
        <w:spacing w:line="360" w:lineRule="auto"/>
        <w:jc w:val="both"/>
        <w:rPr>
          <w:rFonts w:ascii="Palatino Linotype" w:eastAsia="Palatino Linotype" w:hAnsi="Palatino Linotype" w:cs="Palatino Linotype"/>
        </w:rPr>
      </w:pPr>
    </w:p>
    <w:p w14:paraId="44543627" w14:textId="77777777" w:rsidR="0006514A" w:rsidRDefault="003F0F1D">
      <w:pPr>
        <w:pBdr>
          <w:top w:val="nil"/>
          <w:left w:val="nil"/>
          <w:bottom w:val="nil"/>
          <w:right w:val="nil"/>
          <w:between w:val="nil"/>
        </w:pBdr>
        <w:spacing w:line="360" w:lineRule="auto"/>
        <w:ind w:left="426" w:right="425"/>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“ACTOS CONSENTIDOS. SON LOS QUE NO SE IMPUGNAN MEDIANTE EL RECURSO IDÓNEO. </w:t>
      </w:r>
      <w:r>
        <w:rPr>
          <w:rFonts w:ascii="Palatino Linotype" w:eastAsia="Palatino Linotype" w:hAnsi="Palatino Linotype" w:cs="Palatino Linotype"/>
          <w:i/>
          <w:color w:val="000000"/>
          <w:u w:val="single"/>
        </w:rPr>
        <w:t>Debe reputarse como consentido el acto que no se impugnó por el medio establecido por la ley</w:t>
      </w:r>
      <w:r>
        <w:rPr>
          <w:rFonts w:ascii="Palatino Linotype" w:eastAsia="Palatino Linotype" w:hAnsi="Palatino Linotype" w:cs="Palatino Linotype"/>
          <w:i/>
          <w:color w:val="000000"/>
        </w:rPr>
        <w:t xml:space="preserve">, </w:t>
      </w:r>
      <w:proofErr w:type="gramStart"/>
      <w:r>
        <w:rPr>
          <w:rFonts w:ascii="Palatino Linotype" w:eastAsia="Palatino Linotype" w:hAnsi="Palatino Linotype" w:cs="Palatino Linotype"/>
          <w:i/>
          <w:color w:val="000000"/>
        </w:rPr>
        <w:t>ya que</w:t>
      </w:r>
      <w:proofErr w:type="gramEnd"/>
      <w:r>
        <w:rPr>
          <w:rFonts w:ascii="Palatino Linotype" w:eastAsia="Palatino Linotype" w:hAnsi="Palatino Linotype" w:cs="Palatino Linotype"/>
          <w:i/>
          <w:color w:val="000000"/>
        </w:rPr>
        <w:t xml:space="preserve"> si se hizo uso de otro no previsto por ella o si se hace una simple manifestación de inconformidad, tales actuaciones no producen efectos jurídicos tendientes a revocar, confirmar o modificar el acto </w:t>
      </w:r>
      <w:r>
        <w:rPr>
          <w:rFonts w:ascii="Palatino Linotype" w:eastAsia="Palatino Linotype" w:hAnsi="Palatino Linotype" w:cs="Palatino Linotype"/>
          <w:i/>
          <w:color w:val="000000"/>
        </w:rPr>
        <w:lastRenderedPageBreak/>
        <w:t>reclamado en amparo, lo que significa consentimiento del mismo por falta de impugnación eficaz.”</w:t>
      </w:r>
    </w:p>
    <w:p w14:paraId="6DAE4511" w14:textId="77777777" w:rsidR="0006514A" w:rsidRPr="00BF3867" w:rsidRDefault="003F0F1D">
      <w:pPr>
        <w:pBdr>
          <w:top w:val="nil"/>
          <w:left w:val="nil"/>
          <w:bottom w:val="nil"/>
          <w:right w:val="nil"/>
          <w:between w:val="nil"/>
        </w:pBdr>
        <w:spacing w:line="360" w:lineRule="auto"/>
        <w:ind w:left="426" w:right="426"/>
        <w:jc w:val="both"/>
        <w:rPr>
          <w:rFonts w:ascii="Palatino Linotype" w:eastAsia="Palatino Linotype" w:hAnsi="Palatino Linotype" w:cs="Palatino Linotype"/>
          <w:color w:val="000000"/>
        </w:rPr>
      </w:pPr>
      <w:r w:rsidRPr="00BF3867">
        <w:rPr>
          <w:rFonts w:ascii="Palatino Linotype" w:eastAsia="Palatino Linotype" w:hAnsi="Palatino Linotype" w:cs="Palatino Linotype"/>
          <w:color w:val="000000"/>
        </w:rPr>
        <w:t>(Énfasis añadido)</w:t>
      </w:r>
    </w:p>
    <w:p w14:paraId="519C8147" w14:textId="77777777" w:rsidR="0006514A" w:rsidRPr="00BF3867" w:rsidRDefault="0006514A">
      <w:pPr>
        <w:pBdr>
          <w:top w:val="nil"/>
          <w:left w:val="nil"/>
          <w:bottom w:val="nil"/>
          <w:right w:val="nil"/>
          <w:between w:val="nil"/>
        </w:pBdr>
        <w:spacing w:line="360" w:lineRule="auto"/>
        <w:ind w:left="426" w:right="426"/>
        <w:jc w:val="both"/>
        <w:rPr>
          <w:rFonts w:ascii="Palatino Linotype" w:eastAsia="Palatino Linotype" w:hAnsi="Palatino Linotype" w:cs="Palatino Linotype"/>
          <w:color w:val="000000"/>
        </w:rPr>
      </w:pPr>
    </w:p>
    <w:p w14:paraId="7C187467" w14:textId="77777777" w:rsidR="0006514A" w:rsidRPr="00BF3867" w:rsidRDefault="003F0F1D" w:rsidP="00A72188">
      <w:pPr>
        <w:numPr>
          <w:ilvl w:val="0"/>
          <w:numId w:val="1"/>
        </w:numPr>
        <w:spacing w:line="360" w:lineRule="auto"/>
        <w:ind w:left="0" w:right="48" w:firstLine="0"/>
        <w:jc w:val="both"/>
        <w:rPr>
          <w:rFonts w:ascii="Palatino Linotype" w:eastAsia="Palatino Linotype" w:hAnsi="Palatino Linotype" w:cs="Palatino Linotype"/>
        </w:rPr>
      </w:pPr>
      <w:r w:rsidRPr="00BF3867">
        <w:rPr>
          <w:rFonts w:ascii="Palatino Linotype" w:eastAsia="Palatino Linotype" w:hAnsi="Palatino Linotype" w:cs="Palatino Linotype"/>
        </w:rPr>
        <w:t xml:space="preserve">Ahora bien, del rubro impugnado se advierte que el particular está ampliando la solicitud inicial al señalar: </w:t>
      </w:r>
      <w:r w:rsidR="00A72188" w:rsidRPr="00BF3867">
        <w:rPr>
          <w:rFonts w:ascii="Palatino Linotype" w:eastAsia="Palatino Linotype" w:hAnsi="Palatino Linotype" w:cs="Palatino Linotype"/>
          <w:i/>
        </w:rPr>
        <w:t xml:space="preserve">“…listas de la primera quincena de mayo 2024 </w:t>
      </w:r>
      <w:r w:rsidR="00A72188" w:rsidRPr="00BF3867">
        <w:rPr>
          <w:rFonts w:ascii="Palatino Linotype" w:eastAsia="Palatino Linotype" w:hAnsi="Palatino Linotype" w:cs="Palatino Linotype"/>
          <w:b/>
          <w:i/>
        </w:rPr>
        <w:t>avalado por la jefatura y administración</w:t>
      </w:r>
      <w:r w:rsidR="00A72188" w:rsidRPr="00BF3867">
        <w:rPr>
          <w:rFonts w:ascii="Palatino Linotype" w:eastAsia="Palatino Linotype" w:hAnsi="Palatino Linotype" w:cs="Palatino Linotype"/>
          <w:i/>
        </w:rPr>
        <w:t xml:space="preserve">…” </w:t>
      </w:r>
      <w:r w:rsidR="00A72188" w:rsidRPr="00BF3867">
        <w:rPr>
          <w:rFonts w:ascii="Palatino Linotype" w:eastAsia="Palatino Linotype" w:hAnsi="Palatino Linotype" w:cs="Palatino Linotype"/>
        </w:rPr>
        <w:t xml:space="preserve">y; </w:t>
      </w:r>
      <w:r w:rsidRPr="00BF3867">
        <w:rPr>
          <w:rFonts w:ascii="Palatino Linotype" w:eastAsia="Palatino Linotype" w:hAnsi="Palatino Linotype" w:cs="Palatino Linotype"/>
          <w:i/>
        </w:rPr>
        <w:t xml:space="preserve">no mando las listas de agosto </w:t>
      </w:r>
      <w:r w:rsidRPr="00BF3867">
        <w:rPr>
          <w:rFonts w:ascii="Palatino Linotype" w:eastAsia="Palatino Linotype" w:hAnsi="Palatino Linotype" w:cs="Palatino Linotype"/>
          <w:b/>
          <w:i/>
        </w:rPr>
        <w:t>a la fecha</w:t>
      </w:r>
      <w:r w:rsidRPr="00BF3867">
        <w:rPr>
          <w:rFonts w:ascii="Palatino Linotype" w:eastAsia="Palatino Linotype" w:hAnsi="Palatino Linotype" w:cs="Palatino Linotype"/>
          <w:i/>
        </w:rPr>
        <w:t xml:space="preserve"> de los comisionados que solicite. </w:t>
      </w:r>
      <w:r w:rsidRPr="00BF3867">
        <w:rPr>
          <w:rFonts w:ascii="Palatino Linotype" w:eastAsia="Palatino Linotype" w:hAnsi="Palatino Linotype" w:cs="Palatino Linotype"/>
        </w:rPr>
        <w:t xml:space="preserve">Ello resulta así, en virtud que </w:t>
      </w:r>
      <w:r w:rsidR="00A72188" w:rsidRPr="00BF3867">
        <w:rPr>
          <w:rFonts w:ascii="Palatino Linotype" w:eastAsia="Palatino Linotype" w:hAnsi="Palatino Linotype" w:cs="Palatino Linotype"/>
        </w:rPr>
        <w:t xml:space="preserve">no se solicitó que fueran documentos avalados y por qué </w:t>
      </w:r>
      <w:r w:rsidRPr="00BF3867">
        <w:rPr>
          <w:rFonts w:ascii="Palatino Linotype" w:eastAsia="Palatino Linotype" w:hAnsi="Palatino Linotype" w:cs="Palatino Linotype"/>
        </w:rPr>
        <w:t xml:space="preserve">la solicitud inicial fue enfática en los extremos temporales de los que requería la información y que </w:t>
      </w:r>
      <w:r w:rsidRPr="00BF3867">
        <w:rPr>
          <w:rFonts w:ascii="Palatino Linotype" w:eastAsia="Palatino Linotype" w:hAnsi="Palatino Linotype" w:cs="Palatino Linotype"/>
          <w:b/>
        </w:rPr>
        <w:t>no fue a la fecha de la solicitud o de interposición</w:t>
      </w:r>
      <w:r w:rsidRPr="00BF3867">
        <w:rPr>
          <w:rFonts w:ascii="Palatino Linotype" w:eastAsia="Palatino Linotype" w:hAnsi="Palatino Linotype" w:cs="Palatino Linotype"/>
        </w:rPr>
        <w:t xml:space="preserve"> del recurso de revisión; sino la siguiente:</w:t>
      </w:r>
      <w:r w:rsidRPr="00BF3867">
        <w:rPr>
          <w:rFonts w:ascii="Palatino Linotype" w:eastAsia="Palatino Linotype" w:hAnsi="Palatino Linotype" w:cs="Palatino Linotype"/>
          <w:i/>
        </w:rPr>
        <w:t xml:space="preserve"> “...las listas deberán ser desde 1 de agosto 2023 al 15 de abril del 2024…”</w:t>
      </w:r>
    </w:p>
    <w:p w14:paraId="51369E09" w14:textId="77777777" w:rsidR="0006514A" w:rsidRPr="00BF3867" w:rsidRDefault="0006514A">
      <w:pPr>
        <w:spacing w:line="360" w:lineRule="auto"/>
        <w:ind w:right="48"/>
        <w:jc w:val="both"/>
        <w:rPr>
          <w:rFonts w:ascii="Palatino Linotype" w:eastAsia="Palatino Linotype" w:hAnsi="Palatino Linotype" w:cs="Palatino Linotype"/>
        </w:rPr>
      </w:pPr>
    </w:p>
    <w:p w14:paraId="37599A9C" w14:textId="77777777" w:rsidR="0006514A" w:rsidRPr="00BF3867" w:rsidRDefault="003F0F1D">
      <w:pPr>
        <w:numPr>
          <w:ilvl w:val="0"/>
          <w:numId w:val="1"/>
        </w:numPr>
        <w:spacing w:line="360" w:lineRule="auto"/>
        <w:ind w:left="0" w:right="48" w:firstLine="0"/>
        <w:jc w:val="both"/>
        <w:rPr>
          <w:rFonts w:ascii="Palatino Linotype" w:eastAsia="Palatino Linotype" w:hAnsi="Palatino Linotype" w:cs="Palatino Linotype"/>
        </w:rPr>
      </w:pPr>
      <w:r w:rsidRPr="00BF3867">
        <w:rPr>
          <w:rFonts w:ascii="Palatino Linotype" w:eastAsia="Palatino Linotype" w:hAnsi="Palatino Linotype" w:cs="Palatino Linotype"/>
        </w:rPr>
        <w:t>A mayor abundamiento, los nuevos puntos de la solicitud son considerados “</w:t>
      </w:r>
      <w:r w:rsidRPr="00BF3867">
        <w:rPr>
          <w:rFonts w:ascii="Palatino Linotype" w:eastAsia="Palatino Linotype" w:hAnsi="Palatino Linotype" w:cs="Palatino Linotype"/>
          <w:b/>
          <w:i/>
        </w:rPr>
        <w:t xml:space="preserve">plus </w:t>
      </w:r>
      <w:proofErr w:type="spellStart"/>
      <w:r w:rsidRPr="00BF3867">
        <w:rPr>
          <w:rFonts w:ascii="Palatino Linotype" w:eastAsia="Palatino Linotype" w:hAnsi="Palatino Linotype" w:cs="Palatino Linotype"/>
          <w:b/>
          <w:i/>
        </w:rPr>
        <w:t>petitio</w:t>
      </w:r>
      <w:proofErr w:type="spellEnd"/>
      <w:r w:rsidRPr="00BF3867">
        <w:rPr>
          <w:rFonts w:ascii="Palatino Linotype" w:eastAsia="Palatino Linotype" w:hAnsi="Palatino Linotype" w:cs="Palatino Linotype"/>
          <w:b/>
          <w:i/>
        </w:rPr>
        <w:t>”</w:t>
      </w:r>
      <w:r w:rsidRPr="00BF3867">
        <w:rPr>
          <w:rFonts w:ascii="Palatino Linotype" w:eastAsia="Palatino Linotype" w:hAnsi="Palatino Linotype" w:cs="Palatino Linotype"/>
          <w:i/>
        </w:rPr>
        <w:t xml:space="preserve"> </w:t>
      </w:r>
      <w:r w:rsidRPr="00BF3867">
        <w:rPr>
          <w:rFonts w:ascii="Palatino Linotype" w:eastAsia="Palatino Linotype" w:hAnsi="Palatino Linotype" w:cs="Palatino Linotype"/>
        </w:rPr>
        <w:t xml:space="preserve">y no son susceptibles de ser valorados. Viene a colación, el artículo 36 fracción II de la Ley de Transparencia y Acceso a la Información Pública del Estado de México y Municipios, por el cual este Instituto no está facultado para resolver con respecto a ampliaciones a solicitudes de información presentadas por medios </w:t>
      </w:r>
      <w:r w:rsidRPr="00BF3867">
        <w:rPr>
          <w:rFonts w:ascii="Palatino Linotype" w:eastAsia="Palatino Linotype" w:hAnsi="Palatino Linotype" w:cs="Palatino Linotype"/>
        </w:rPr>
        <w:lastRenderedPageBreak/>
        <w:t xml:space="preserve">distintos a los que señala el artículo 155 del multicitado ordenamiento, por lo que el recurso de revisión no constituye un medio válido para solicitar información adicional.  </w:t>
      </w:r>
    </w:p>
    <w:p w14:paraId="038D1643" w14:textId="77777777" w:rsidR="0006514A" w:rsidRPr="00BF3867" w:rsidRDefault="0006514A">
      <w:pPr>
        <w:pBdr>
          <w:top w:val="nil"/>
          <w:left w:val="nil"/>
          <w:bottom w:val="nil"/>
          <w:right w:val="nil"/>
          <w:between w:val="nil"/>
        </w:pBdr>
        <w:tabs>
          <w:tab w:val="left" w:pos="7088"/>
        </w:tabs>
        <w:spacing w:line="360" w:lineRule="auto"/>
        <w:ind w:left="4613"/>
        <w:jc w:val="both"/>
        <w:rPr>
          <w:rFonts w:ascii="Palatino Linotype" w:eastAsia="Palatino Linotype" w:hAnsi="Palatino Linotype" w:cs="Palatino Linotype"/>
          <w:color w:val="000000"/>
        </w:rPr>
      </w:pPr>
    </w:p>
    <w:p w14:paraId="569BB5AC" w14:textId="77777777" w:rsidR="0006514A" w:rsidRPr="00BF3867" w:rsidRDefault="003F0F1D">
      <w:pPr>
        <w:numPr>
          <w:ilvl w:val="0"/>
          <w:numId w:val="1"/>
        </w:numPr>
        <w:spacing w:line="360" w:lineRule="auto"/>
        <w:ind w:left="0" w:right="48" w:firstLine="0"/>
        <w:jc w:val="both"/>
        <w:rPr>
          <w:rFonts w:ascii="Palatino Linotype" w:eastAsia="Palatino Linotype" w:hAnsi="Palatino Linotype" w:cs="Palatino Linotype"/>
        </w:rPr>
      </w:pPr>
      <w:r w:rsidRPr="00BF3867">
        <w:rPr>
          <w:rFonts w:ascii="Palatino Linotype" w:eastAsia="Palatino Linotype" w:hAnsi="Palatino Linotype" w:cs="Palatino Linotype"/>
        </w:rPr>
        <w:t>Sirve de apoyo a lo anterior por analogía, la Jurisprudencia No. 29 visible a foja 19 del Apéndice al Semanario Judicial de la Federación 1917-1995, Tomo IV, Materia Común, Primera Parte, Tesis de la Suprema Corte de Justicia, que señala:</w:t>
      </w:r>
    </w:p>
    <w:p w14:paraId="2E955D34" w14:textId="77777777" w:rsidR="0006514A" w:rsidRPr="00BF3867" w:rsidRDefault="0006514A">
      <w:pPr>
        <w:pBdr>
          <w:top w:val="nil"/>
          <w:left w:val="nil"/>
          <w:bottom w:val="nil"/>
          <w:right w:val="nil"/>
          <w:between w:val="nil"/>
        </w:pBdr>
        <w:spacing w:line="360" w:lineRule="auto"/>
        <w:ind w:left="4613" w:right="616"/>
        <w:jc w:val="both"/>
        <w:rPr>
          <w:rFonts w:ascii="Palatino Linotype" w:eastAsia="Palatino Linotype" w:hAnsi="Palatino Linotype" w:cs="Palatino Linotype"/>
          <w:b/>
          <w:i/>
          <w:color w:val="000000"/>
        </w:rPr>
      </w:pPr>
    </w:p>
    <w:p w14:paraId="332565F0" w14:textId="77777777" w:rsidR="0006514A" w:rsidRPr="00BF3867" w:rsidRDefault="003F0F1D">
      <w:pPr>
        <w:pBdr>
          <w:top w:val="nil"/>
          <w:left w:val="nil"/>
          <w:bottom w:val="nil"/>
          <w:right w:val="nil"/>
          <w:between w:val="nil"/>
        </w:pBdr>
        <w:spacing w:line="360" w:lineRule="auto"/>
        <w:ind w:left="567" w:right="616"/>
        <w:jc w:val="both"/>
        <w:rPr>
          <w:rFonts w:ascii="Palatino Linotype" w:eastAsia="Palatino Linotype" w:hAnsi="Palatino Linotype" w:cs="Palatino Linotype"/>
          <w:b/>
          <w:i/>
          <w:color w:val="000000"/>
        </w:rPr>
      </w:pPr>
      <w:r w:rsidRPr="00BF3867">
        <w:rPr>
          <w:rFonts w:ascii="Palatino Linotype" w:eastAsia="Palatino Linotype" w:hAnsi="Palatino Linotype" w:cs="Palatino Linotype"/>
          <w:b/>
          <w:i/>
          <w:color w:val="000000"/>
        </w:rPr>
        <w:t>“AGRAVIOS EN LA REVISIÓN. DEBEN ESTAR EN RELACIÓN DIRECTA CON LOS FUNDAMENTOS Y CONSIDERACIONES DE LA SENTENCIA</w:t>
      </w:r>
    </w:p>
    <w:p w14:paraId="3CC47E0E" w14:textId="77777777" w:rsidR="0006514A" w:rsidRPr="00BF3867" w:rsidRDefault="0006514A">
      <w:pPr>
        <w:pBdr>
          <w:top w:val="nil"/>
          <w:left w:val="nil"/>
          <w:bottom w:val="nil"/>
          <w:right w:val="nil"/>
          <w:between w:val="nil"/>
        </w:pBdr>
        <w:tabs>
          <w:tab w:val="left" w:pos="7797"/>
        </w:tabs>
        <w:spacing w:line="360" w:lineRule="auto"/>
        <w:ind w:left="567" w:right="616"/>
        <w:jc w:val="both"/>
        <w:rPr>
          <w:rFonts w:ascii="Palatino Linotype" w:eastAsia="Palatino Linotype" w:hAnsi="Palatino Linotype" w:cs="Palatino Linotype"/>
          <w:b/>
          <w:i/>
          <w:color w:val="000000"/>
          <w:u w:val="single"/>
        </w:rPr>
      </w:pPr>
    </w:p>
    <w:p w14:paraId="5924BF11" w14:textId="77777777" w:rsidR="0006514A" w:rsidRPr="00BF3867" w:rsidRDefault="003F0F1D">
      <w:pPr>
        <w:pBdr>
          <w:top w:val="nil"/>
          <w:left w:val="nil"/>
          <w:bottom w:val="nil"/>
          <w:right w:val="nil"/>
          <w:between w:val="nil"/>
        </w:pBdr>
        <w:tabs>
          <w:tab w:val="left" w:pos="7797"/>
        </w:tabs>
        <w:spacing w:line="360" w:lineRule="auto"/>
        <w:ind w:left="567" w:right="616"/>
        <w:jc w:val="both"/>
        <w:rPr>
          <w:rFonts w:ascii="Palatino Linotype" w:eastAsia="Palatino Linotype" w:hAnsi="Palatino Linotype" w:cs="Palatino Linotype"/>
          <w:i/>
          <w:color w:val="000000"/>
        </w:rPr>
      </w:pPr>
      <w:r w:rsidRPr="00BF3867">
        <w:rPr>
          <w:rFonts w:ascii="Palatino Linotype" w:eastAsia="Palatino Linotype" w:hAnsi="Palatino Linotype" w:cs="Palatino Linotype"/>
          <w:b/>
          <w:i/>
          <w:color w:val="000000"/>
          <w:u w:val="single"/>
        </w:rPr>
        <w:t>Los agravios deben estar en relación directa e inmediata con los fundamentos contenidos en la sentencia que se recurre</w:t>
      </w:r>
      <w:r w:rsidRPr="00BF3867">
        <w:rPr>
          <w:rFonts w:ascii="Palatino Linotype" w:eastAsia="Palatino Linotype" w:hAnsi="Palatino Linotype" w:cs="Palatino Linotype"/>
          <w:i/>
          <w:color w:val="000000"/>
        </w:rPr>
        <w:t xml:space="preserv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w:t>
      </w:r>
      <w:r w:rsidRPr="00BF3867">
        <w:rPr>
          <w:rFonts w:ascii="Palatino Linotype" w:eastAsia="Palatino Linotype" w:hAnsi="Palatino Linotype" w:cs="Palatino Linotype"/>
          <w:i/>
          <w:color w:val="000000"/>
        </w:rPr>
        <w:lastRenderedPageBreak/>
        <w:t>toda vez que esta se limita al estudio integral del fallo que se combate, con vista de los motivos de inconformidad que plantean los recurrentes.”</w:t>
      </w:r>
    </w:p>
    <w:p w14:paraId="71C2E329" w14:textId="77777777" w:rsidR="0006514A" w:rsidRPr="00BF3867" w:rsidRDefault="0006514A">
      <w:pPr>
        <w:pBdr>
          <w:top w:val="nil"/>
          <w:left w:val="nil"/>
          <w:bottom w:val="nil"/>
          <w:right w:val="nil"/>
          <w:between w:val="nil"/>
        </w:pBdr>
        <w:tabs>
          <w:tab w:val="left" w:pos="7088"/>
          <w:tab w:val="left" w:pos="7230"/>
        </w:tabs>
        <w:spacing w:line="360" w:lineRule="auto"/>
        <w:ind w:left="4613"/>
        <w:jc w:val="both"/>
        <w:rPr>
          <w:rFonts w:ascii="Palatino Linotype" w:eastAsia="Palatino Linotype" w:hAnsi="Palatino Linotype" w:cs="Palatino Linotype"/>
          <w:color w:val="000000"/>
        </w:rPr>
      </w:pPr>
    </w:p>
    <w:p w14:paraId="5C91A2FD" w14:textId="77777777" w:rsidR="0006514A" w:rsidRPr="00BF3867" w:rsidRDefault="003F0F1D">
      <w:pPr>
        <w:numPr>
          <w:ilvl w:val="0"/>
          <w:numId w:val="1"/>
        </w:numPr>
        <w:spacing w:line="360" w:lineRule="auto"/>
        <w:ind w:left="0" w:right="48" w:firstLine="0"/>
        <w:jc w:val="both"/>
        <w:rPr>
          <w:rFonts w:ascii="Palatino Linotype" w:eastAsia="Palatino Linotype" w:hAnsi="Palatino Linotype" w:cs="Palatino Linotype"/>
        </w:rPr>
      </w:pPr>
      <w:r w:rsidRPr="00BF3867">
        <w:rPr>
          <w:rFonts w:ascii="Palatino Linotype" w:eastAsia="Palatino Linotype" w:hAnsi="Palatino Linotype" w:cs="Palatino Linotype"/>
        </w:rPr>
        <w:t xml:space="preserve">Por lo anterior, se establece que dentro del recurso de revisión presentado por </w:t>
      </w:r>
      <w:r w:rsidRPr="00BF3867">
        <w:rPr>
          <w:rFonts w:ascii="Palatino Linotype" w:eastAsia="Palatino Linotype" w:hAnsi="Palatino Linotype" w:cs="Palatino Linotype"/>
          <w:b/>
        </w:rPr>
        <w:t xml:space="preserve">La Recurrente </w:t>
      </w:r>
      <w:r w:rsidRPr="00BF3867">
        <w:rPr>
          <w:rFonts w:ascii="Palatino Linotype" w:eastAsia="Palatino Linotype" w:hAnsi="Palatino Linotype" w:cs="Palatino Linotype"/>
        </w:rPr>
        <w:t>no debe variar el fondo de la</w:t>
      </w:r>
      <w:r w:rsidRPr="00BF3867">
        <w:rPr>
          <w:rFonts w:ascii="Palatino Linotype" w:eastAsia="Palatino Linotype" w:hAnsi="Palatino Linotype" w:cs="Palatino Linotype"/>
          <w:i/>
        </w:rPr>
        <w:t xml:space="preserve"> litis,</w:t>
      </w:r>
      <w:r w:rsidRPr="00BF3867">
        <w:rPr>
          <w:rFonts w:ascii="Palatino Linotype" w:eastAsia="Palatino Linotype" w:hAnsi="Palatino Linotype" w:cs="Palatino Linotype"/>
        </w:rPr>
        <w:t xml:space="preserve"> de tal manera que la manifestación a que se ha hecho referencia y que fue vertida en sus motivos de inconformidad, resulta notoriamente improcedente, pues este Órgano Garante se encuentra imposibilitado para satisfacer requerimientos que no fueron formulados en tiempo y forma. </w:t>
      </w:r>
    </w:p>
    <w:p w14:paraId="5A26B0EE" w14:textId="77777777" w:rsidR="0006514A" w:rsidRDefault="0006514A">
      <w:pPr>
        <w:pBdr>
          <w:top w:val="nil"/>
          <w:left w:val="nil"/>
          <w:bottom w:val="nil"/>
          <w:right w:val="nil"/>
          <w:between w:val="nil"/>
        </w:pBdr>
        <w:tabs>
          <w:tab w:val="left" w:pos="7088"/>
          <w:tab w:val="left" w:pos="7230"/>
        </w:tabs>
        <w:spacing w:line="360" w:lineRule="auto"/>
        <w:ind w:left="4613"/>
        <w:jc w:val="both"/>
        <w:rPr>
          <w:rFonts w:ascii="Palatino Linotype" w:eastAsia="Palatino Linotype" w:hAnsi="Palatino Linotype" w:cs="Palatino Linotype"/>
          <w:color w:val="000000"/>
        </w:rPr>
      </w:pPr>
    </w:p>
    <w:p w14:paraId="195E7F51" w14:textId="77777777" w:rsidR="0006514A" w:rsidRDefault="003F0F1D">
      <w:pPr>
        <w:numPr>
          <w:ilvl w:val="0"/>
          <w:numId w:val="1"/>
        </w:numPr>
        <w:spacing w:line="360" w:lineRule="auto"/>
        <w:ind w:left="0" w:right="48"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igual manera, tiene aplicación al respecto por analogía, la tesis aislada número I.8o.A.136 A, de la Novena Época, publicada en el Seminario Oficial de la Federación y su Gaceta Tomo XXIX, </w:t>
      </w:r>
      <w:proofErr w:type="gramStart"/>
      <w:r>
        <w:rPr>
          <w:rFonts w:ascii="Palatino Linotype" w:eastAsia="Palatino Linotype" w:hAnsi="Palatino Linotype" w:cs="Palatino Linotype"/>
        </w:rPr>
        <w:t>Marzo</w:t>
      </w:r>
      <w:proofErr w:type="gramEnd"/>
      <w:r>
        <w:rPr>
          <w:rFonts w:ascii="Palatino Linotype" w:eastAsia="Palatino Linotype" w:hAnsi="Palatino Linotype" w:cs="Palatino Linotype"/>
        </w:rPr>
        <w:t xml:space="preserve"> de 2009, página 2887, con número de registro 167607, que lleva por rubro y texto los siguientes:</w:t>
      </w:r>
    </w:p>
    <w:p w14:paraId="59470CA2" w14:textId="77777777" w:rsidR="0006514A" w:rsidRDefault="0006514A">
      <w:pPr>
        <w:pBdr>
          <w:top w:val="nil"/>
          <w:left w:val="nil"/>
          <w:bottom w:val="nil"/>
          <w:right w:val="nil"/>
          <w:between w:val="nil"/>
        </w:pBdr>
        <w:spacing w:line="360" w:lineRule="auto"/>
        <w:ind w:left="4613"/>
        <w:rPr>
          <w:rFonts w:ascii="Palatino Linotype" w:eastAsia="Palatino Linotype" w:hAnsi="Palatino Linotype" w:cs="Palatino Linotype"/>
          <w:color w:val="000000"/>
        </w:rPr>
      </w:pPr>
    </w:p>
    <w:p w14:paraId="15BC8443" w14:textId="77777777" w:rsidR="0006514A" w:rsidRDefault="003F0F1D">
      <w:pPr>
        <w:pBdr>
          <w:top w:val="nil"/>
          <w:left w:val="nil"/>
          <w:bottom w:val="nil"/>
          <w:right w:val="nil"/>
          <w:between w:val="nil"/>
        </w:pBdr>
        <w:tabs>
          <w:tab w:val="left" w:pos="7797"/>
        </w:tabs>
        <w:spacing w:line="360" w:lineRule="auto"/>
        <w:ind w:left="567" w:right="616"/>
        <w:jc w:val="both"/>
        <w:rPr>
          <w:rFonts w:ascii="Palatino Linotype" w:eastAsia="Palatino Linotype" w:hAnsi="Palatino Linotype" w:cs="Palatino Linotype"/>
          <w:b/>
          <w:i/>
          <w:color w:val="000000"/>
          <w:u w:val="single"/>
        </w:rPr>
      </w:pPr>
      <w:r>
        <w:rPr>
          <w:rFonts w:ascii="Palatino Linotype" w:eastAsia="Palatino Linotype" w:hAnsi="Palatino Linotype" w:cs="Palatino Linotype"/>
          <w:b/>
          <w:i/>
          <w:color w:val="000000"/>
        </w:rPr>
        <w:t xml:space="preserve">“TRANSPARENCIA Y ACCESO A LA INFORMACIÓN PÚBLICA GUBERNAMENTAL. LOS ARTÍCULOS 1, 2 Y 6 DE LA LEY FEDERAL RELATIVA, NO DEBEN INTERPRETARSE EN EL SENTIDO DE PERMITIR AL GOBERNADO QUE A SU ARBITRIO SOLICITE COPIA </w:t>
      </w:r>
      <w:r>
        <w:rPr>
          <w:rFonts w:ascii="Palatino Linotype" w:eastAsia="Palatino Linotype" w:hAnsi="Palatino Linotype" w:cs="Palatino Linotype"/>
          <w:b/>
          <w:i/>
          <w:color w:val="000000"/>
        </w:rPr>
        <w:lastRenderedPageBreak/>
        <w:t xml:space="preserve">DE DOCUMENTOS QUE NO OBREN EN LOS EXPEDIENTES DE LOS SUJETOS OBLIGADOS, </w:t>
      </w:r>
      <w:r>
        <w:rPr>
          <w:rFonts w:ascii="Palatino Linotype" w:eastAsia="Palatino Linotype" w:hAnsi="Palatino Linotype" w:cs="Palatino Linotype"/>
          <w:b/>
          <w:i/>
          <w:color w:val="000000"/>
          <w:u w:val="single"/>
        </w:rPr>
        <w:t xml:space="preserve">O SEAN DISTINTOS A LOS DE SU PETICIÓN INICIAL. </w:t>
      </w:r>
    </w:p>
    <w:p w14:paraId="7C2AB6E8" w14:textId="77777777" w:rsidR="0006514A" w:rsidRDefault="0006514A">
      <w:pPr>
        <w:pBdr>
          <w:top w:val="nil"/>
          <w:left w:val="nil"/>
          <w:bottom w:val="nil"/>
          <w:right w:val="nil"/>
          <w:between w:val="nil"/>
        </w:pBdr>
        <w:tabs>
          <w:tab w:val="left" w:pos="6237"/>
        </w:tabs>
        <w:spacing w:line="360" w:lineRule="auto"/>
        <w:ind w:left="4613" w:right="616"/>
        <w:jc w:val="both"/>
        <w:rPr>
          <w:rFonts w:ascii="Palatino Linotype" w:eastAsia="Palatino Linotype" w:hAnsi="Palatino Linotype" w:cs="Palatino Linotype"/>
          <w:i/>
          <w:color w:val="000000"/>
        </w:rPr>
      </w:pPr>
    </w:p>
    <w:p w14:paraId="0DB7E7CF" w14:textId="77777777" w:rsidR="0006514A" w:rsidRDefault="003F0F1D">
      <w:pPr>
        <w:pBdr>
          <w:top w:val="nil"/>
          <w:left w:val="nil"/>
          <w:bottom w:val="nil"/>
          <w:right w:val="nil"/>
          <w:between w:val="nil"/>
        </w:pBdr>
        <w:tabs>
          <w:tab w:val="left" w:pos="7797"/>
        </w:tabs>
        <w:spacing w:line="360" w:lineRule="auto"/>
        <w:ind w:left="567" w:right="616"/>
        <w:jc w:val="both"/>
        <w:rPr>
          <w:rFonts w:ascii="Palatino Linotype" w:eastAsia="Palatino Linotype" w:hAnsi="Palatino Linotype" w:cs="Palatino Linotype"/>
          <w:b/>
          <w:i/>
          <w:color w:val="000000"/>
        </w:rPr>
      </w:pPr>
      <w:r>
        <w:rPr>
          <w:rFonts w:ascii="Palatino Linotype" w:eastAsia="Palatino Linotype" w:hAnsi="Palatino Linotype" w:cs="Palatino Linotype"/>
          <w:i/>
          <w:color w:val="000000"/>
        </w:rPr>
        <w:t xml:space="preserve">Si bien es cierto que los artículos 1 y 2 de la Ley Federal </w:t>
      </w:r>
      <w:r>
        <w:rPr>
          <w:rFonts w:ascii="Palatino Linotype" w:eastAsia="Palatino Linotype" w:hAnsi="Palatino Linotype" w:cs="Palatino Linotype"/>
          <w:b/>
          <w:i/>
          <w:color w:val="000000"/>
        </w:rPr>
        <w:t>de</w:t>
      </w:r>
      <w:r>
        <w:rPr>
          <w:rFonts w:ascii="Palatino Linotype" w:eastAsia="Palatino Linotype" w:hAnsi="Palatino Linotype" w:cs="Palatino Linotype"/>
          <w:i/>
          <w:color w:val="000000"/>
        </w:rPr>
        <w:t xml:space="preserv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w:t>
      </w:r>
      <w:r>
        <w:rPr>
          <w:rFonts w:ascii="Palatino Linotype" w:eastAsia="Palatino Linotype" w:hAnsi="Palatino Linotype" w:cs="Palatino Linotype"/>
          <w:b/>
          <w:i/>
          <w:color w:val="000000"/>
          <w:u w:val="single"/>
        </w:rPr>
        <w:t>el precepto 6 de la propia legislación prevé el principio de máxima publicidad y disponibilidad de la información en posesión de los sujetos obligados;</w:t>
      </w:r>
      <w:r>
        <w:rPr>
          <w:rFonts w:ascii="Palatino Linotype" w:eastAsia="Palatino Linotype" w:hAnsi="Palatino Linotype" w:cs="Palatino Linotype"/>
          <w:i/>
          <w:color w:val="000000"/>
        </w:rPr>
        <w:t xml:space="preserve"> también lo es que ello no implica que tales numerales deban interpretarse en el sentido de permitir al gobernado que a su arbitrio solicite copia de documentos que no obren en los expedientes de los sujetos obligados</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b/>
          <w:i/>
          <w:color w:val="000000"/>
          <w:u w:val="single"/>
        </w:rPr>
        <w:t xml:space="preserve">o sean distintos a los de su petición inicial, pues ello contravendría el artículo 42 de la citada ley, que señala que las dependencias y entidades sólo estarán </w:t>
      </w:r>
      <w:r>
        <w:rPr>
          <w:rFonts w:ascii="Palatino Linotype" w:eastAsia="Palatino Linotype" w:hAnsi="Palatino Linotype" w:cs="Palatino Linotype"/>
          <w:b/>
          <w:i/>
          <w:color w:val="000000"/>
          <w:u w:val="single"/>
        </w:rPr>
        <w:lastRenderedPageBreak/>
        <w:t>obligadas a entregar los documentos que se encuentran en sus archivos –los solicitados- y que la obligación de acceso a la información se dará por cumplida cuando se pongan a disposición del solicitante para consulta en el sitio donde se encuentren.</w:t>
      </w:r>
    </w:p>
    <w:p w14:paraId="634497AF" w14:textId="77777777" w:rsidR="0006514A" w:rsidRDefault="0006514A">
      <w:pPr>
        <w:pBdr>
          <w:top w:val="nil"/>
          <w:left w:val="nil"/>
          <w:bottom w:val="nil"/>
          <w:right w:val="nil"/>
          <w:between w:val="nil"/>
        </w:pBdr>
        <w:tabs>
          <w:tab w:val="left" w:pos="6237"/>
        </w:tabs>
        <w:spacing w:line="360" w:lineRule="auto"/>
        <w:ind w:left="4613" w:right="616"/>
        <w:jc w:val="both"/>
        <w:rPr>
          <w:rFonts w:ascii="Palatino Linotype" w:eastAsia="Palatino Linotype" w:hAnsi="Palatino Linotype" w:cs="Palatino Linotype"/>
          <w:i/>
          <w:color w:val="000000"/>
        </w:rPr>
      </w:pPr>
    </w:p>
    <w:p w14:paraId="597C0A36" w14:textId="77777777" w:rsidR="0006514A" w:rsidRDefault="003F0F1D">
      <w:pPr>
        <w:numPr>
          <w:ilvl w:val="0"/>
          <w:numId w:val="1"/>
        </w:numPr>
        <w:spacing w:line="360" w:lineRule="auto"/>
        <w:ind w:left="0" w:right="48"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manera complementaria, el Instituto Nacional de Transparencia, Acceso a la Información y Protección de Datos Personales ha sostenido la improcedencia de ampliar las solicitudes de información pública o de datos personales a través de la interposición del recurso de revisión, como se estima acontece en el anterior asunto. Lo anterior de conformidad con el criterio 27/10; por lo que este Órgano Garante insiste en la imposibilidad de entrar al estudio de información novedosa. Criterio que es de la literalidad siguiente: </w:t>
      </w:r>
    </w:p>
    <w:p w14:paraId="06A09A34" w14:textId="77777777" w:rsidR="0006514A" w:rsidRDefault="0006514A">
      <w:pPr>
        <w:spacing w:line="360" w:lineRule="auto"/>
        <w:ind w:right="48"/>
        <w:jc w:val="both"/>
        <w:rPr>
          <w:rFonts w:ascii="Palatino Linotype" w:eastAsia="Palatino Linotype" w:hAnsi="Palatino Linotype" w:cs="Palatino Linotype"/>
        </w:rPr>
      </w:pPr>
    </w:p>
    <w:p w14:paraId="5A487589" w14:textId="77777777" w:rsidR="0006514A" w:rsidRDefault="003F0F1D">
      <w:pPr>
        <w:pBdr>
          <w:top w:val="nil"/>
          <w:left w:val="nil"/>
          <w:bottom w:val="nil"/>
          <w:right w:val="nil"/>
          <w:between w:val="nil"/>
        </w:pBdr>
        <w:tabs>
          <w:tab w:val="left" w:pos="7797"/>
        </w:tabs>
        <w:spacing w:line="360" w:lineRule="auto"/>
        <w:ind w:left="567" w:right="616"/>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“ES IMPROCEDENTE AMPLIAR LAS SOLICITUDES DE ACCESO A INFORMACIÓN </w:t>
      </w:r>
      <w:r>
        <w:rPr>
          <w:rFonts w:ascii="Palatino Linotype" w:eastAsia="Palatino Linotype" w:hAnsi="Palatino Linotype" w:cs="Palatino Linotype"/>
          <w:i/>
          <w:color w:val="000000"/>
        </w:rPr>
        <w:t>PÚBLICA</w:t>
      </w:r>
      <w:r>
        <w:rPr>
          <w:rFonts w:ascii="Palatino Linotype" w:eastAsia="Palatino Linotype" w:hAnsi="Palatino Linotype" w:cs="Palatino Linotype"/>
          <w:b/>
          <w:i/>
          <w:color w:val="000000"/>
        </w:rPr>
        <w:t xml:space="preserve"> O DATOS PERSONALES, A TRAVÉS DE LA INTERPOSICIÓN DEL RECURSO DE REVISIÓN</w:t>
      </w:r>
    </w:p>
    <w:p w14:paraId="28D1EEE6" w14:textId="77777777" w:rsidR="0006514A" w:rsidRDefault="0006514A">
      <w:pPr>
        <w:pBdr>
          <w:top w:val="nil"/>
          <w:left w:val="nil"/>
          <w:bottom w:val="nil"/>
          <w:right w:val="nil"/>
          <w:between w:val="nil"/>
        </w:pBdr>
        <w:tabs>
          <w:tab w:val="left" w:pos="7513"/>
        </w:tabs>
        <w:spacing w:line="360" w:lineRule="auto"/>
        <w:ind w:left="4613" w:right="616"/>
        <w:jc w:val="both"/>
        <w:rPr>
          <w:rFonts w:ascii="Palatino Linotype" w:eastAsia="Palatino Linotype" w:hAnsi="Palatino Linotype" w:cs="Palatino Linotype"/>
          <w:b/>
          <w:i/>
          <w:color w:val="000000"/>
          <w:u w:val="single"/>
        </w:rPr>
      </w:pPr>
    </w:p>
    <w:p w14:paraId="18C6B723" w14:textId="77777777" w:rsidR="0006514A" w:rsidRDefault="003F0F1D">
      <w:pPr>
        <w:pBdr>
          <w:top w:val="nil"/>
          <w:left w:val="nil"/>
          <w:bottom w:val="nil"/>
          <w:right w:val="nil"/>
          <w:between w:val="nil"/>
        </w:pBdr>
        <w:tabs>
          <w:tab w:val="left" w:pos="7797"/>
        </w:tabs>
        <w:spacing w:line="360" w:lineRule="auto"/>
        <w:ind w:left="567" w:right="616"/>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u w:val="single"/>
        </w:rPr>
        <w:lastRenderedPageBreak/>
        <w:t xml:space="preserve">En aquellos casos en los que los recurrentes amplíen los </w:t>
      </w:r>
      <w:r>
        <w:rPr>
          <w:rFonts w:ascii="Palatino Linotype" w:eastAsia="Palatino Linotype" w:hAnsi="Palatino Linotype" w:cs="Palatino Linotype"/>
          <w:b/>
          <w:i/>
          <w:color w:val="000000"/>
        </w:rPr>
        <w:t>alcances</w:t>
      </w:r>
      <w:r>
        <w:rPr>
          <w:rFonts w:ascii="Palatino Linotype" w:eastAsia="Palatino Linotype" w:hAnsi="Palatino Linotype" w:cs="Palatino Linotype"/>
          <w:b/>
          <w:i/>
          <w:color w:val="000000"/>
          <w:u w:val="single"/>
        </w:rPr>
        <w:t xml:space="preserve"> de la solicitud de información o acceso a datos personales a través de un recurso de revisión, esta</w:t>
      </w:r>
      <w:r>
        <w:rPr>
          <w:rFonts w:ascii="Palatino Linotype" w:eastAsia="Palatino Linotype" w:hAnsi="Palatino Linotype" w:cs="Palatino Linotype"/>
          <w:i/>
          <w:color w:val="000000"/>
          <w:u w:val="single"/>
        </w:rPr>
        <w:t xml:space="preserve"> </w:t>
      </w:r>
      <w:r>
        <w:rPr>
          <w:rFonts w:ascii="Palatino Linotype" w:eastAsia="Palatino Linotype" w:hAnsi="Palatino Linotype" w:cs="Palatino Linotype"/>
          <w:b/>
          <w:i/>
          <w:color w:val="000000"/>
          <w:u w:val="single"/>
        </w:rPr>
        <w:t>ampliación no podrá constituir materia del procedimiento a sustanciarse</w:t>
      </w:r>
      <w:r>
        <w:rPr>
          <w:rFonts w:ascii="Palatino Linotype" w:eastAsia="Palatino Linotype" w:hAnsi="Palatino Linotype" w:cs="Palatino Linotype"/>
          <w:i/>
          <w:color w:val="000000"/>
        </w:rPr>
        <w:t xml:space="preserve"> por el Instituto Federal de Acceso a la Información y Protección de Datos. Lo anterior, sin perjuicio de que los recurrentes puedan ejercer su derecho a realizar una nueva solicitud en términos de la Ley de la materia. </w:t>
      </w:r>
    </w:p>
    <w:p w14:paraId="1A6C7B6E" w14:textId="77777777" w:rsidR="0006514A" w:rsidRDefault="0006514A">
      <w:pPr>
        <w:pBdr>
          <w:top w:val="nil"/>
          <w:left w:val="nil"/>
          <w:bottom w:val="nil"/>
          <w:right w:val="nil"/>
          <w:between w:val="nil"/>
        </w:pBdr>
        <w:tabs>
          <w:tab w:val="left" w:pos="7797"/>
        </w:tabs>
        <w:spacing w:line="360" w:lineRule="auto"/>
        <w:ind w:left="567" w:right="616"/>
        <w:jc w:val="both"/>
        <w:rPr>
          <w:rFonts w:ascii="Palatino Linotype" w:eastAsia="Palatino Linotype" w:hAnsi="Palatino Linotype" w:cs="Palatino Linotype"/>
          <w:i/>
          <w:color w:val="000000"/>
        </w:rPr>
      </w:pPr>
    </w:p>
    <w:p w14:paraId="4EC7E9E6" w14:textId="77777777" w:rsidR="0006514A" w:rsidRDefault="003F0F1D">
      <w:pPr>
        <w:numPr>
          <w:ilvl w:val="0"/>
          <w:numId w:val="1"/>
        </w:numPr>
        <w:spacing w:line="360" w:lineRule="auto"/>
        <w:ind w:left="0" w:right="48" w:firstLine="0"/>
        <w:jc w:val="both"/>
        <w:rPr>
          <w:rFonts w:ascii="Palatino Linotype" w:eastAsia="Palatino Linotype" w:hAnsi="Palatino Linotype" w:cs="Palatino Linotype"/>
        </w:rPr>
      </w:pPr>
      <w:r>
        <w:rPr>
          <w:rFonts w:ascii="Palatino Linotype" w:eastAsia="Palatino Linotype" w:hAnsi="Palatino Linotype" w:cs="Palatino Linotype"/>
        </w:rPr>
        <w:t>Al respecto, cabe traer a cuenta lo previsto por el artículo 12, párrafo segundo de la Ley de Transparencia y Acceso a la Información Pública del Estado de México y Municipios que la letra establece lo siguiente:</w:t>
      </w:r>
    </w:p>
    <w:p w14:paraId="66650C92" w14:textId="77777777" w:rsidR="0006514A" w:rsidRDefault="0006514A">
      <w:pPr>
        <w:pBdr>
          <w:top w:val="nil"/>
          <w:left w:val="nil"/>
          <w:bottom w:val="nil"/>
          <w:right w:val="nil"/>
          <w:between w:val="nil"/>
        </w:pBdr>
        <w:spacing w:line="360" w:lineRule="auto"/>
        <w:ind w:left="4613"/>
        <w:rPr>
          <w:rFonts w:ascii="Palatino Linotype" w:eastAsia="Palatino Linotype" w:hAnsi="Palatino Linotype" w:cs="Palatino Linotype"/>
          <w:color w:val="000000"/>
        </w:rPr>
      </w:pPr>
    </w:p>
    <w:p w14:paraId="4DA02C15" w14:textId="77777777" w:rsidR="0006514A" w:rsidRDefault="0006514A">
      <w:pPr>
        <w:pBdr>
          <w:top w:val="nil"/>
          <w:left w:val="nil"/>
          <w:bottom w:val="nil"/>
          <w:right w:val="nil"/>
          <w:between w:val="nil"/>
        </w:pBdr>
        <w:spacing w:line="360" w:lineRule="auto"/>
        <w:ind w:left="4613"/>
        <w:rPr>
          <w:rFonts w:ascii="Palatino Linotype" w:eastAsia="Palatino Linotype" w:hAnsi="Palatino Linotype" w:cs="Palatino Linotype"/>
          <w:color w:val="000000"/>
        </w:rPr>
      </w:pPr>
    </w:p>
    <w:p w14:paraId="14C802D0" w14:textId="77777777" w:rsidR="0006514A" w:rsidRDefault="003F0F1D">
      <w:pPr>
        <w:pBdr>
          <w:top w:val="nil"/>
          <w:left w:val="nil"/>
          <w:bottom w:val="nil"/>
          <w:right w:val="nil"/>
          <w:between w:val="nil"/>
        </w:pBdr>
        <w:tabs>
          <w:tab w:val="left" w:pos="7797"/>
        </w:tabs>
        <w:spacing w:line="360" w:lineRule="auto"/>
        <w:ind w:left="567" w:right="616"/>
        <w:jc w:val="both"/>
        <w:rPr>
          <w:rFonts w:ascii="Palatino Linotype" w:eastAsia="Palatino Linotype" w:hAnsi="Palatino Linotype" w:cs="Palatino Linotype"/>
          <w:b/>
          <w:i/>
          <w:color w:val="000000"/>
        </w:rPr>
      </w:pPr>
      <w:r>
        <w:rPr>
          <w:rFonts w:ascii="Palatino Linotype" w:eastAsia="Palatino Linotype" w:hAnsi="Palatino Linotype" w:cs="Palatino Linotype"/>
          <w:i/>
          <w:color w:val="000000"/>
        </w:rPr>
        <w:t>“Artículo</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i/>
          <w:color w:val="000000"/>
        </w:rPr>
        <w:t>12</w:t>
      </w:r>
      <w:r>
        <w:rPr>
          <w:rFonts w:ascii="Palatino Linotype" w:eastAsia="Palatino Linotype" w:hAnsi="Palatino Linotype" w:cs="Palatino Linotype"/>
          <w:b/>
          <w:i/>
          <w:color w:val="000000"/>
        </w:rPr>
        <w:t>.</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b/>
          <w:i/>
          <w:color w:val="000000"/>
        </w:rPr>
        <w:t xml:space="preserve"> </w:t>
      </w:r>
    </w:p>
    <w:p w14:paraId="5820AF97" w14:textId="77777777" w:rsidR="0006514A" w:rsidRDefault="003F0F1D">
      <w:pPr>
        <w:pBdr>
          <w:top w:val="nil"/>
          <w:left w:val="nil"/>
          <w:bottom w:val="nil"/>
          <w:right w:val="nil"/>
          <w:between w:val="nil"/>
        </w:pBdr>
        <w:tabs>
          <w:tab w:val="left" w:pos="7797"/>
        </w:tabs>
        <w:spacing w:line="360" w:lineRule="auto"/>
        <w:ind w:left="567" w:right="616"/>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u w:val="single"/>
        </w:rPr>
        <w:t xml:space="preserve">Los sujetos obligados sólo proporcionarán la información pública </w:t>
      </w:r>
      <w:r>
        <w:rPr>
          <w:rFonts w:ascii="Palatino Linotype" w:eastAsia="Palatino Linotype" w:hAnsi="Palatino Linotype" w:cs="Palatino Linotype"/>
          <w:i/>
          <w:color w:val="000000"/>
        </w:rPr>
        <w:t>que</w:t>
      </w:r>
      <w:r>
        <w:rPr>
          <w:rFonts w:ascii="Palatino Linotype" w:eastAsia="Palatino Linotype" w:hAnsi="Palatino Linotype" w:cs="Palatino Linotype"/>
          <w:b/>
          <w:i/>
          <w:color w:val="000000"/>
          <w:u w:val="single"/>
        </w:rPr>
        <w:t xml:space="preserve"> se les requiera y que obre en sus archivos y en el estado en que ésta se encuentre</w:t>
      </w:r>
      <w:r>
        <w:rPr>
          <w:rFonts w:ascii="Palatino Linotype" w:eastAsia="Palatino Linotype" w:hAnsi="Palatino Linotype" w:cs="Palatino Linotype"/>
          <w:i/>
          <w:color w:val="000000"/>
        </w:rPr>
        <w:t xml:space="preserve">. La obligación de proporcionar información no comprende el procesamiento de la misma, ni el presentarla conforme al interés del solicitante; no </w:t>
      </w:r>
      <w:r>
        <w:rPr>
          <w:rFonts w:ascii="Palatino Linotype" w:eastAsia="Palatino Linotype" w:hAnsi="Palatino Linotype" w:cs="Palatino Linotype"/>
          <w:i/>
          <w:color w:val="000000"/>
        </w:rPr>
        <w:lastRenderedPageBreak/>
        <w:t>estarán obligados a generarla, resumirla, efectuar cálculos o practicar investigaciones.”</w:t>
      </w:r>
    </w:p>
    <w:p w14:paraId="78FD1F60" w14:textId="77777777" w:rsidR="0006514A" w:rsidRDefault="0006514A">
      <w:pPr>
        <w:pBdr>
          <w:top w:val="nil"/>
          <w:left w:val="nil"/>
          <w:bottom w:val="nil"/>
          <w:right w:val="nil"/>
          <w:between w:val="nil"/>
        </w:pBdr>
        <w:tabs>
          <w:tab w:val="left" w:pos="7797"/>
        </w:tabs>
        <w:spacing w:line="360" w:lineRule="auto"/>
        <w:ind w:left="567" w:right="616"/>
        <w:jc w:val="both"/>
        <w:rPr>
          <w:rFonts w:ascii="Palatino Linotype" w:eastAsia="Palatino Linotype" w:hAnsi="Palatino Linotype" w:cs="Palatino Linotype"/>
          <w:i/>
          <w:color w:val="000000"/>
        </w:rPr>
      </w:pPr>
    </w:p>
    <w:p w14:paraId="21A998D1" w14:textId="77777777" w:rsidR="0006514A" w:rsidRDefault="0006514A">
      <w:pPr>
        <w:pBdr>
          <w:top w:val="nil"/>
          <w:left w:val="nil"/>
          <w:bottom w:val="nil"/>
          <w:right w:val="nil"/>
          <w:between w:val="nil"/>
        </w:pBdr>
        <w:spacing w:line="360" w:lineRule="auto"/>
        <w:ind w:left="4613" w:right="851"/>
        <w:jc w:val="both"/>
        <w:rPr>
          <w:rFonts w:ascii="Palatino Linotype" w:eastAsia="Palatino Linotype" w:hAnsi="Palatino Linotype" w:cs="Palatino Linotype"/>
          <w:b/>
          <w:i/>
          <w:color w:val="000000"/>
        </w:rPr>
      </w:pPr>
    </w:p>
    <w:p w14:paraId="025855FB" w14:textId="77777777" w:rsidR="0006514A" w:rsidRDefault="003F0F1D">
      <w:pPr>
        <w:numPr>
          <w:ilvl w:val="0"/>
          <w:numId w:val="1"/>
        </w:numPr>
        <w:spacing w:line="360" w:lineRule="auto"/>
        <w:ind w:left="0" w:right="48"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Además, y de conformidad con lo ya establecido anteriormente en el artículo 12, de la Ley de Transparencia y Acceso a la Información Pública del Estado de México y Municipios, anteriormente invocado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sólo proporcionará la información que obra en sus archivos, lo que </w:t>
      </w:r>
      <w:r>
        <w:rPr>
          <w:rFonts w:ascii="Palatino Linotype" w:eastAsia="Palatino Linotype" w:hAnsi="Palatino Linotype" w:cs="Palatino Linotype"/>
          <w:i/>
        </w:rPr>
        <w:t>a contrario sensu</w:t>
      </w:r>
      <w:r>
        <w:rPr>
          <w:rFonts w:ascii="Palatino Linotype" w:eastAsia="Palatino Linotype" w:hAnsi="Palatino Linotype" w:cs="Palatino Linotype"/>
        </w:rPr>
        <w:t xml:space="preserve"> significa que no se está obligado a proporcionar lo que no obre en sus archivos.</w:t>
      </w:r>
    </w:p>
    <w:p w14:paraId="11E73FAD" w14:textId="77777777" w:rsidR="0006514A" w:rsidRDefault="0006514A">
      <w:pPr>
        <w:pBdr>
          <w:top w:val="nil"/>
          <w:left w:val="nil"/>
          <w:bottom w:val="nil"/>
          <w:right w:val="nil"/>
          <w:between w:val="nil"/>
        </w:pBdr>
        <w:spacing w:line="360" w:lineRule="auto"/>
        <w:ind w:left="4613"/>
        <w:jc w:val="both"/>
        <w:rPr>
          <w:rFonts w:ascii="Palatino Linotype" w:eastAsia="Palatino Linotype" w:hAnsi="Palatino Linotype" w:cs="Palatino Linotype"/>
          <w:color w:val="000000"/>
        </w:rPr>
      </w:pPr>
    </w:p>
    <w:p w14:paraId="6F8279E2" w14:textId="77777777" w:rsidR="0006514A" w:rsidRDefault="003F0F1D">
      <w:pPr>
        <w:numPr>
          <w:ilvl w:val="0"/>
          <w:numId w:val="1"/>
        </w:numPr>
        <w:spacing w:line="360" w:lineRule="auto"/>
        <w:ind w:left="0" w:right="48"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bajo los principios de certeza, eficacia y objetividad, establecidos en el artículo 9, de la Ley de Transparencia y Acceso a la Información Pública del Estado de México y Municipios, y derivado de que la información requerida corresponde con atribuciones de un Sujeto Obligado distinto al que le fue presentada la solicitud, y a fin de no dilatar el derecho de acceso a la información, como ya fue establecido, se dejan a salvo los derechos de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para que pueda realizar la solicitud de información ante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correspondiente.</w:t>
      </w:r>
    </w:p>
    <w:p w14:paraId="7B8AC01E" w14:textId="77777777" w:rsidR="0006514A" w:rsidRDefault="0006514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14F94A31"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Ahora bien, de las listas de asistencia solicitadas en necesario señalar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acepta que las genera, posee y administra, tan es así que remite soporte documental al respecto en respuesta y en calidad de informe justificado, por lo que resultaría ocioso un estudio pormenorizado para demostrar si cuenta con ella, si ya acepto que así lo es. No </w:t>
      </w:r>
      <w:proofErr w:type="gramStart"/>
      <w:r>
        <w:rPr>
          <w:rFonts w:ascii="Palatino Linotype" w:eastAsia="Palatino Linotype" w:hAnsi="Palatino Linotype" w:cs="Palatino Linotype"/>
        </w:rPr>
        <w:t>obstante</w:t>
      </w:r>
      <w:proofErr w:type="gramEnd"/>
      <w:r>
        <w:rPr>
          <w:rFonts w:ascii="Palatino Linotype" w:eastAsia="Palatino Linotype" w:hAnsi="Palatino Linotype" w:cs="Palatino Linotype"/>
        </w:rPr>
        <w:t xml:space="preserve"> esa situación no es óbice para realizar las siguientes precisiones lo que se robustece con lo establecido en los artículos 56 y 59 del mismo ordenamiento legal, que dispone lo siguiente: </w:t>
      </w:r>
    </w:p>
    <w:p w14:paraId="3AA0070D" w14:textId="77777777" w:rsidR="0006514A" w:rsidRDefault="0006514A">
      <w:pPr>
        <w:spacing w:line="360" w:lineRule="auto"/>
        <w:ind w:left="567" w:right="567"/>
        <w:jc w:val="both"/>
        <w:rPr>
          <w:rFonts w:ascii="Palatino Linotype" w:eastAsia="Palatino Linotype" w:hAnsi="Palatino Linotype" w:cs="Palatino Linotype"/>
          <w:i/>
        </w:rPr>
      </w:pPr>
    </w:p>
    <w:p w14:paraId="283B61FA" w14:textId="77777777" w:rsidR="0006514A" w:rsidRDefault="003F0F1D">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56</w:t>
      </w:r>
      <w:r>
        <w:rPr>
          <w:rFonts w:ascii="Palatino Linotype" w:eastAsia="Palatino Linotype" w:hAnsi="Palatino Linotype" w:cs="Palatino Linotype"/>
          <w:i/>
        </w:rPr>
        <w:t>. Las condiciones generales de trabajo, establecerán como mínimo:</w:t>
      </w:r>
    </w:p>
    <w:p w14:paraId="092A8F03" w14:textId="77777777" w:rsidR="0006514A" w:rsidRDefault="003F0F1D">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I. Duración de la jornada de trabajo;</w:t>
      </w:r>
    </w:p>
    <w:p w14:paraId="40BD1BBD" w14:textId="77777777" w:rsidR="0006514A" w:rsidRDefault="003F0F1D">
      <w:pPr>
        <w:spacing w:line="360" w:lineRule="auto"/>
        <w:ind w:left="567"/>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14:paraId="31DDFD99" w14:textId="77777777" w:rsidR="0006514A" w:rsidRDefault="0006514A">
      <w:pPr>
        <w:spacing w:line="360" w:lineRule="auto"/>
        <w:ind w:left="567"/>
        <w:jc w:val="both"/>
        <w:rPr>
          <w:rFonts w:ascii="Palatino Linotype" w:eastAsia="Palatino Linotype" w:hAnsi="Palatino Linotype" w:cs="Palatino Linotype"/>
          <w:i/>
        </w:rPr>
      </w:pPr>
    </w:p>
    <w:p w14:paraId="2C56AB8D" w14:textId="77777777" w:rsidR="0006514A" w:rsidRDefault="003F0F1D">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ARTÍCULO 59.</w:t>
      </w:r>
      <w:r>
        <w:rPr>
          <w:rFonts w:ascii="Palatino Linotype" w:eastAsia="Palatino Linotype" w:hAnsi="Palatino Linotype" w:cs="Palatino Linotype"/>
          <w:i/>
        </w:rPr>
        <w:t xml:space="preserve"> Jornada de trabajo es el tiempo durante el cual el servidor público está a disposición de la institución pública para prestar sus servicios. El horario de trabajo será determinado conforme a las necesidades del servicio de la institución pública o dependencia, de acuerdo a lo estipulado en las condiciones generales de trabajo, sin que exceda los máximos legales”.</w:t>
      </w:r>
    </w:p>
    <w:p w14:paraId="14001951" w14:textId="77777777" w:rsidR="0006514A" w:rsidRDefault="003F0F1D">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14:paraId="62D7EAC7"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ese contexto, la duración de la jornada de trabajo puede ser de varias maneras, las cuales se encuentran establecidas en el artículo 60, 61, 62 y 63 de la mencionada Ley de Trabajo que literalmente señalan lo siguiente: </w:t>
      </w:r>
    </w:p>
    <w:p w14:paraId="1056B088" w14:textId="77777777" w:rsidR="0006514A" w:rsidRDefault="0006514A">
      <w:pPr>
        <w:spacing w:line="360" w:lineRule="auto"/>
        <w:jc w:val="both"/>
        <w:rPr>
          <w:rFonts w:ascii="Palatino Linotype" w:eastAsia="Palatino Linotype" w:hAnsi="Palatino Linotype" w:cs="Palatino Linotype"/>
        </w:rPr>
      </w:pPr>
    </w:p>
    <w:p w14:paraId="68BF1BE2" w14:textId="77777777" w:rsidR="0006514A" w:rsidRDefault="003F0F1D">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ARTÍCULO 60</w:t>
      </w:r>
      <w:r>
        <w:rPr>
          <w:rFonts w:ascii="Palatino Linotype" w:eastAsia="Palatino Linotype" w:hAnsi="Palatino Linotype" w:cs="Palatino Linotype"/>
          <w:i/>
        </w:rPr>
        <w:t xml:space="preserve">. La jornada de trabajo puede ser diurna, nocturna o mixta, conforme a lo siguiente: </w:t>
      </w:r>
    </w:p>
    <w:p w14:paraId="069D9C13" w14:textId="77777777" w:rsidR="0006514A" w:rsidRDefault="003F0F1D">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I. Diurna, la comprendida entre las seis y las veinte horas; </w:t>
      </w:r>
    </w:p>
    <w:p w14:paraId="677938C0" w14:textId="77777777" w:rsidR="0006514A" w:rsidRDefault="003F0F1D">
      <w:pPr>
        <w:spacing w:line="360" w:lineRule="auto"/>
        <w:ind w:left="567"/>
        <w:rPr>
          <w:rFonts w:ascii="Palatino Linotype" w:eastAsia="Palatino Linotype" w:hAnsi="Palatino Linotype" w:cs="Palatino Linotype"/>
          <w:i/>
        </w:rPr>
      </w:pPr>
      <w:r>
        <w:rPr>
          <w:rFonts w:ascii="Palatino Linotype" w:eastAsia="Palatino Linotype" w:hAnsi="Palatino Linotype" w:cs="Palatino Linotype"/>
          <w:i/>
        </w:rPr>
        <w:t xml:space="preserve">II. Nocturna, la comprendida entre las veinte y las seis horas; y </w:t>
      </w:r>
    </w:p>
    <w:p w14:paraId="30831244" w14:textId="77777777" w:rsidR="0006514A" w:rsidRDefault="003F0F1D">
      <w:pPr>
        <w:spacing w:line="360" w:lineRule="auto"/>
        <w:ind w:left="567"/>
        <w:rPr>
          <w:rFonts w:ascii="Palatino Linotype" w:eastAsia="Palatino Linotype" w:hAnsi="Palatino Linotype" w:cs="Palatino Linotype"/>
          <w:i/>
        </w:rPr>
      </w:pPr>
      <w:r>
        <w:rPr>
          <w:rFonts w:ascii="Palatino Linotype" w:eastAsia="Palatino Linotype" w:hAnsi="Palatino Linotype" w:cs="Palatino Linotype"/>
          <w:i/>
        </w:rPr>
        <w:t xml:space="preserve">III. Mixta, la que comprenda períodos de tiempo de las jornadas diurna y nocturna, siempre que el período nocturno sea menor de tres horas y media, pues en caso contrario, se considerará como jornada nocturna. </w:t>
      </w:r>
    </w:p>
    <w:p w14:paraId="2F607F7D" w14:textId="77777777" w:rsidR="0006514A" w:rsidRDefault="003F0F1D">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ARTÍCULO 61.</w:t>
      </w:r>
      <w:r>
        <w:rPr>
          <w:rFonts w:ascii="Palatino Linotype" w:eastAsia="Palatino Linotype" w:hAnsi="Palatino Linotype" w:cs="Palatino Linotype"/>
          <w:i/>
        </w:rPr>
        <w:t xml:space="preserve"> Cuando la naturaleza del trabajo así lo exija, la jornada se reducirá teniendo en cuenta el número de horas que pueda trabajar un individuo normal sin sufrir quebranto en su salud. </w:t>
      </w:r>
    </w:p>
    <w:p w14:paraId="2407AE83" w14:textId="77777777" w:rsidR="0006514A" w:rsidRDefault="0006514A">
      <w:pPr>
        <w:spacing w:line="360" w:lineRule="auto"/>
        <w:ind w:left="567" w:right="567"/>
        <w:jc w:val="both"/>
        <w:rPr>
          <w:rFonts w:ascii="Palatino Linotype" w:eastAsia="Palatino Linotype" w:hAnsi="Palatino Linotype" w:cs="Palatino Linotype"/>
          <w:i/>
        </w:rPr>
      </w:pPr>
    </w:p>
    <w:p w14:paraId="55BE91BC" w14:textId="77777777" w:rsidR="0006514A" w:rsidRDefault="003F0F1D">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ARTÍCULO 62.</w:t>
      </w:r>
      <w:r>
        <w:rPr>
          <w:rFonts w:ascii="Palatino Linotype" w:eastAsia="Palatino Linotype" w:hAnsi="Palatino Linotype" w:cs="Palatino Linotype"/>
          <w:i/>
        </w:rPr>
        <w:t xml:space="preserve"> Por cada seis días de trabajo el servidor público disfrutará de uno de descanso con goce de sueldo íntegro. Cuando proceda, se podrán distribuir las </w:t>
      </w:r>
      <w:r>
        <w:rPr>
          <w:rFonts w:ascii="Palatino Linotype" w:eastAsia="Palatino Linotype" w:hAnsi="Palatino Linotype" w:cs="Palatino Linotype"/>
          <w:i/>
        </w:rPr>
        <w:lastRenderedPageBreak/>
        <w:t xml:space="preserve">horas de trabajo, a fin de permitir a los servidores públicos el descanso del sábado o cualquier modalidad equivalente. </w:t>
      </w:r>
    </w:p>
    <w:p w14:paraId="0AE9B157" w14:textId="77777777" w:rsidR="0006514A" w:rsidRDefault="0006514A">
      <w:pPr>
        <w:spacing w:line="360" w:lineRule="auto"/>
        <w:ind w:left="567" w:right="567"/>
        <w:jc w:val="both"/>
        <w:rPr>
          <w:rFonts w:ascii="Palatino Linotype" w:eastAsia="Palatino Linotype" w:hAnsi="Palatino Linotype" w:cs="Palatino Linotype"/>
          <w:i/>
        </w:rPr>
      </w:pPr>
    </w:p>
    <w:p w14:paraId="42451A7E" w14:textId="77777777" w:rsidR="0006514A" w:rsidRDefault="003F0F1D">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ARTÍCULO 63.</w:t>
      </w:r>
      <w:r>
        <w:rPr>
          <w:rFonts w:ascii="Palatino Linotype" w:eastAsia="Palatino Linotype" w:hAnsi="Palatino Linotype" w:cs="Palatino Linotype"/>
          <w:i/>
        </w:rPr>
        <w:t xml:space="preserve"> El servidor público tendrá derecho a un descanso de media hora cuando trabaje horario continuo de más de siete horas y cuando menos de una hora, en horario discontinuo. Cuando el servidor público no pueda salir del lugar donde presta sus servicios durante la hora de descanso o de comidas, el tiempo correspondiente le será considerado como tiempo efectivo de trabajo.</w:t>
      </w:r>
    </w:p>
    <w:p w14:paraId="70161CFA" w14:textId="77777777" w:rsidR="0006514A" w:rsidRDefault="0006514A">
      <w:pPr>
        <w:spacing w:line="360" w:lineRule="auto"/>
        <w:jc w:val="both"/>
        <w:rPr>
          <w:rFonts w:ascii="Palatino Linotype" w:eastAsia="Palatino Linotype" w:hAnsi="Palatino Linotype" w:cs="Palatino Linotype"/>
        </w:rPr>
      </w:pPr>
    </w:p>
    <w:p w14:paraId="1B628E6B"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concluye que se establecen algunos supuestos para la duración de la jornada de trabajo, la cual deberá cumplir cabalmente el servidor público ya que se constituye como una obligación en la Ley de Trabajo de los Servidores Públicos del Estado de México y Municipios, en su artículo 88 fracción III y VI que literalmente indica: </w:t>
      </w:r>
    </w:p>
    <w:p w14:paraId="2EFE726B" w14:textId="77777777" w:rsidR="0006514A" w:rsidRDefault="0006514A">
      <w:pPr>
        <w:pBdr>
          <w:top w:val="nil"/>
          <w:left w:val="nil"/>
          <w:bottom w:val="nil"/>
          <w:right w:val="nil"/>
          <w:between w:val="nil"/>
        </w:pBdr>
        <w:spacing w:line="360" w:lineRule="auto"/>
        <w:jc w:val="both"/>
        <w:rPr>
          <w:rFonts w:ascii="Palatino Linotype" w:eastAsia="Palatino Linotype" w:hAnsi="Palatino Linotype" w:cs="Palatino Linotype"/>
        </w:rPr>
      </w:pPr>
    </w:p>
    <w:p w14:paraId="72783AA6" w14:textId="77777777" w:rsidR="0006514A" w:rsidRDefault="003F0F1D">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“ARTÍCULO 88.</w:t>
      </w:r>
      <w:r>
        <w:rPr>
          <w:rFonts w:ascii="Palatino Linotype" w:eastAsia="Palatino Linotype" w:hAnsi="Palatino Linotype" w:cs="Palatino Linotype"/>
          <w:i/>
        </w:rPr>
        <w:t xml:space="preserve"> Son obligaciones de los servidores públicos: </w:t>
      </w:r>
    </w:p>
    <w:p w14:paraId="096EF2F6" w14:textId="77777777" w:rsidR="0006514A" w:rsidRDefault="003F0F1D">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006B7634" w14:textId="77777777" w:rsidR="0006514A" w:rsidRDefault="003F0F1D">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III. Asistir puntualmente a sus labores y no faltar sin causa justificada o sin permiso.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 </w:t>
      </w:r>
    </w:p>
    <w:p w14:paraId="35A24A29" w14:textId="77777777" w:rsidR="0006514A" w:rsidRDefault="003F0F1D">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E03D340" w14:textId="77777777" w:rsidR="0006514A" w:rsidRDefault="003F0F1D">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VI. Cumplir con las obligaciones que señalan las condiciones generales de trabajo; “</w:t>
      </w:r>
    </w:p>
    <w:p w14:paraId="63CC00B6" w14:textId="77777777" w:rsidR="0006514A" w:rsidRDefault="0006514A">
      <w:pPr>
        <w:spacing w:line="360" w:lineRule="auto"/>
        <w:ind w:left="567" w:right="567"/>
        <w:jc w:val="both"/>
        <w:rPr>
          <w:rFonts w:ascii="Palatino Linotype" w:eastAsia="Palatino Linotype" w:hAnsi="Palatino Linotype" w:cs="Palatino Linotype"/>
          <w:i/>
        </w:rPr>
      </w:pPr>
    </w:p>
    <w:p w14:paraId="24442461"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Es decir que los servidores públicos tienen la obligación de cumplir con la jornada de trabajo estipulada en su nombramiento, contrato o formato único de movimiento de personal; en caso contrario, será motivo de rescisión de la relación laboral aquellas que establecen el artículo 93 de la Ley de Trabajo de los Servidores Públicos del Estado de México y Municipios:</w:t>
      </w:r>
    </w:p>
    <w:p w14:paraId="6534640B" w14:textId="77777777" w:rsidR="0006514A" w:rsidRDefault="0006514A">
      <w:pPr>
        <w:spacing w:line="360" w:lineRule="auto"/>
        <w:jc w:val="both"/>
        <w:rPr>
          <w:rFonts w:ascii="Palatino Linotype" w:eastAsia="Palatino Linotype" w:hAnsi="Palatino Linotype" w:cs="Palatino Linotype"/>
        </w:rPr>
      </w:pPr>
    </w:p>
    <w:p w14:paraId="25EEECCA" w14:textId="77777777" w:rsidR="0006514A" w:rsidRDefault="003F0F1D">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ARTÍCULO 93.</w:t>
      </w:r>
      <w:r>
        <w:rPr>
          <w:rFonts w:ascii="Palatino Linotype" w:eastAsia="Palatino Linotype" w:hAnsi="Palatino Linotype" w:cs="Palatino Linotype"/>
          <w:i/>
        </w:rPr>
        <w:t xml:space="preserve"> Son causas de rescisión de la relación laboral, sin responsabilidad para las instituciones públicas:</w:t>
      </w:r>
    </w:p>
    <w:p w14:paraId="59FEBF59" w14:textId="77777777" w:rsidR="0006514A" w:rsidRDefault="003F0F1D">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p>
    <w:p w14:paraId="1CFF9B7E" w14:textId="77777777" w:rsidR="0006514A" w:rsidRDefault="003F0F1D">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V. Incurrir en cuatro o más faltas de asistencia a sus labores sin causa justificada, dentro de un lapso de treinta días;</w:t>
      </w:r>
    </w:p>
    <w:p w14:paraId="14FCE24E" w14:textId="77777777" w:rsidR="0006514A" w:rsidRDefault="003F0F1D">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V. Abandonar las labores sin autorización previa o razón plenamente justificada, en contravención a lo establecido en las condiciones generales de trabajo;</w:t>
      </w:r>
    </w:p>
    <w:p w14:paraId="44828049" w14:textId="77777777" w:rsidR="0006514A" w:rsidRDefault="003F0F1D">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5D8041F7" w14:textId="77777777" w:rsidR="0006514A" w:rsidRDefault="003F0F1D">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XVII. Sustraer tarjetas o listas de puntualidad y asistencia del lugar destinado para ello, ya sea la del propio servidor público o la de otro, utilizar o registrar asistencia con gafete-credencial o </w:t>
      </w:r>
      <w:proofErr w:type="gramStart"/>
      <w:r>
        <w:rPr>
          <w:rFonts w:ascii="Palatino Linotype" w:eastAsia="Palatino Linotype" w:hAnsi="Palatino Linotype" w:cs="Palatino Linotype"/>
          <w:i/>
        </w:rPr>
        <w:t>tarjeta distinto</w:t>
      </w:r>
      <w:proofErr w:type="gramEnd"/>
      <w:r>
        <w:rPr>
          <w:rFonts w:ascii="Palatino Linotype" w:eastAsia="Palatino Linotype" w:hAnsi="Palatino Linotype" w:cs="Palatino Linotype"/>
          <w:i/>
        </w:rPr>
        <w:t xml:space="preserve"> al suyo o alterar en cualquier forma los registros de control de puntualidad y asistencia; siempre y cuando no sea resultado de un error involuntario;</w:t>
      </w:r>
    </w:p>
    <w:p w14:paraId="1C6F8B95" w14:textId="77777777" w:rsidR="0006514A" w:rsidRDefault="0006514A">
      <w:pPr>
        <w:spacing w:line="360" w:lineRule="auto"/>
        <w:jc w:val="both"/>
        <w:rPr>
          <w:rFonts w:ascii="Palatino Linotype" w:eastAsia="Palatino Linotype" w:hAnsi="Palatino Linotype" w:cs="Palatino Linotype"/>
        </w:rPr>
      </w:pPr>
    </w:p>
    <w:p w14:paraId="7E4A875A"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para comprobar el cumplimiento de la jornada de trabajo del Servidor Público, de conformidad con lo que establecen la fracción III y el penúltimo párrafo del artículo 220-K de la Ley en cita, precisa que: </w:t>
      </w:r>
    </w:p>
    <w:p w14:paraId="0C3778B1" w14:textId="77777777" w:rsidR="0006514A" w:rsidRDefault="0006514A">
      <w:pPr>
        <w:spacing w:line="360" w:lineRule="auto"/>
        <w:jc w:val="both"/>
        <w:rPr>
          <w:rFonts w:ascii="Palatino Linotype" w:eastAsia="Palatino Linotype" w:hAnsi="Palatino Linotype" w:cs="Palatino Linotype"/>
        </w:rPr>
      </w:pPr>
    </w:p>
    <w:p w14:paraId="471DCE7B" w14:textId="77777777" w:rsidR="0006514A" w:rsidRDefault="003F0F1D">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ARTÍCULO 220 K.-</w:t>
      </w:r>
      <w:r>
        <w:rPr>
          <w:rFonts w:ascii="Palatino Linotype" w:eastAsia="Palatino Linotype" w:hAnsi="Palatino Linotype" w:cs="Palatino Linotype"/>
          <w:i/>
        </w:rPr>
        <w:t xml:space="preserve"> La institución o dependencia pública tiene la obligación de conservar y exhibir en el proceso los documentos que a continuación se precisan: </w:t>
      </w:r>
    </w:p>
    <w:p w14:paraId="5D8716A7" w14:textId="77777777" w:rsidR="0006514A" w:rsidRDefault="003F0F1D">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w:t>
      </w:r>
    </w:p>
    <w:p w14:paraId="227CF9EF" w14:textId="77777777" w:rsidR="0006514A" w:rsidRDefault="003F0F1D">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III. Controles de asistencia o la información magnética o electrónica de asistencia de los servidores públicos</w:t>
      </w:r>
      <w:r>
        <w:rPr>
          <w:rFonts w:ascii="Palatino Linotype" w:eastAsia="Palatino Linotype" w:hAnsi="Palatino Linotype" w:cs="Palatino Linotype"/>
          <w:i/>
        </w:rPr>
        <w:t xml:space="preserve">; </w:t>
      </w:r>
    </w:p>
    <w:p w14:paraId="2F8D0391" w14:textId="77777777" w:rsidR="0006514A" w:rsidRDefault="003F0F1D">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FCE9EED" w14:textId="77777777" w:rsidR="0006514A" w:rsidRDefault="003F0F1D">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Los documentos señalados en la fracción I de este artículo, deberán conservarse mientras dure la relación laboral y hasta un año después; </w:t>
      </w:r>
      <w:r>
        <w:rPr>
          <w:rFonts w:ascii="Palatino Linotype" w:eastAsia="Palatino Linotype" w:hAnsi="Palatino Linotype" w:cs="Palatino Linotype"/>
          <w:b/>
          <w:i/>
        </w:rPr>
        <w:t>los señalados por las fracciones</w:t>
      </w:r>
      <w:r>
        <w:rPr>
          <w:rFonts w:ascii="Palatino Linotype" w:eastAsia="Palatino Linotype" w:hAnsi="Palatino Linotype" w:cs="Palatino Linotype"/>
          <w:i/>
        </w:rPr>
        <w:t xml:space="preserve"> II, </w:t>
      </w:r>
      <w:r>
        <w:rPr>
          <w:rFonts w:ascii="Palatino Linotype" w:eastAsia="Palatino Linotype" w:hAnsi="Palatino Linotype" w:cs="Palatino Linotype"/>
          <w:b/>
          <w:i/>
        </w:rPr>
        <w:t>III,</w:t>
      </w:r>
      <w:r>
        <w:rPr>
          <w:rFonts w:ascii="Palatino Linotype" w:eastAsia="Palatino Linotype" w:hAnsi="Palatino Linotype" w:cs="Palatino Linotype"/>
          <w:i/>
        </w:rPr>
        <w:t xml:space="preserve"> IV </w:t>
      </w:r>
      <w:r>
        <w:rPr>
          <w:rFonts w:ascii="Palatino Linotype" w:eastAsia="Palatino Linotype" w:hAnsi="Palatino Linotype" w:cs="Palatino Linotype"/>
          <w:b/>
          <w:i/>
        </w:rPr>
        <w:t>durante el último año y un año después de que se extinga la relación laboral</w:t>
      </w:r>
      <w:r>
        <w:rPr>
          <w:rFonts w:ascii="Palatino Linotype" w:eastAsia="Palatino Linotype" w:hAnsi="Palatino Linotype" w:cs="Palatino Linotype"/>
          <w:i/>
        </w:rPr>
        <w:t>,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44B3CE5A" w14:textId="77777777" w:rsidR="0006514A" w:rsidRDefault="0006514A">
      <w:pPr>
        <w:spacing w:line="360" w:lineRule="auto"/>
        <w:jc w:val="both"/>
        <w:rPr>
          <w:rFonts w:ascii="Palatino Linotype" w:eastAsia="Palatino Linotype" w:hAnsi="Palatino Linotype" w:cs="Palatino Linotype"/>
        </w:rPr>
      </w:pPr>
    </w:p>
    <w:p w14:paraId="41002DE2"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Acotado lo anterior, del análisis al archivo denominado </w:t>
      </w:r>
      <w:r>
        <w:rPr>
          <w:rFonts w:ascii="Palatino Linotype" w:eastAsia="Palatino Linotype" w:hAnsi="Palatino Linotype" w:cs="Palatino Linotype"/>
          <w:b/>
          <w:i/>
          <w:color w:val="000000"/>
        </w:rPr>
        <w:t xml:space="preserve">Listas </w:t>
      </w:r>
      <w:proofErr w:type="gramStart"/>
      <w:r>
        <w:rPr>
          <w:rFonts w:ascii="Palatino Linotype" w:eastAsia="Palatino Linotype" w:hAnsi="Palatino Linotype" w:cs="Palatino Linotype"/>
          <w:b/>
          <w:i/>
          <w:color w:val="000000"/>
        </w:rPr>
        <w:t>Agosto</w:t>
      </w:r>
      <w:proofErr w:type="gramEnd"/>
      <w:r>
        <w:rPr>
          <w:rFonts w:ascii="Palatino Linotype" w:eastAsia="Palatino Linotype" w:hAnsi="Palatino Linotype" w:cs="Palatino Linotype"/>
          <w:b/>
          <w:i/>
          <w:color w:val="000000"/>
        </w:rPr>
        <w:t xml:space="preserve"> 23 - Abril 24 Comisionados.zip</w:t>
      </w:r>
      <w:r>
        <w:rPr>
          <w:rFonts w:ascii="Palatino Linotype" w:eastAsia="Palatino Linotype" w:hAnsi="Palatino Linotype" w:cs="Palatino Linotype"/>
          <w:color w:val="000000"/>
        </w:rPr>
        <w:t xml:space="preserve">, se advierte que corresponde a lista de asistencia de los comisionados a que el particular refiere le informaron en calidad de respuesta en una solicitud de información diversa con número 00027/OASNEZA/IP/2024, respuesta que </w:t>
      </w:r>
      <w:r>
        <w:rPr>
          <w:rFonts w:ascii="Palatino Linotype" w:eastAsia="Palatino Linotype" w:hAnsi="Palatino Linotype" w:cs="Palatino Linotype"/>
          <w:color w:val="000000"/>
        </w:rPr>
        <w:lastRenderedPageBreak/>
        <w:t>de una indagatoria se obtuvo que dichos nombres de servidores públicos son los siguientes:</w:t>
      </w:r>
    </w:p>
    <w:p w14:paraId="3EED131D" w14:textId="77777777" w:rsidR="0006514A" w:rsidRDefault="003F0F1D">
      <w:pPr>
        <w:pBdr>
          <w:top w:val="nil"/>
          <w:left w:val="nil"/>
          <w:bottom w:val="nil"/>
          <w:right w:val="nil"/>
          <w:between w:val="nil"/>
        </w:pBdr>
        <w:spacing w:line="360"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1C395A00" wp14:editId="5F3E7D00">
            <wp:extent cx="5742940" cy="217614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42940" cy="2176145"/>
                    </a:xfrm>
                    <a:prstGeom prst="rect">
                      <a:avLst/>
                    </a:prstGeom>
                    <a:ln/>
                  </pic:spPr>
                </pic:pic>
              </a:graphicData>
            </a:graphic>
          </wp:inline>
        </w:drawing>
      </w:r>
    </w:p>
    <w:p w14:paraId="28031B79" w14:textId="77777777" w:rsidR="0006514A" w:rsidRDefault="0006514A">
      <w:pPr>
        <w:pBdr>
          <w:top w:val="nil"/>
          <w:left w:val="nil"/>
          <w:bottom w:val="nil"/>
          <w:right w:val="nil"/>
          <w:between w:val="nil"/>
        </w:pBdr>
        <w:spacing w:line="360" w:lineRule="auto"/>
        <w:jc w:val="center"/>
        <w:rPr>
          <w:rFonts w:ascii="Palatino Linotype" w:eastAsia="Palatino Linotype" w:hAnsi="Palatino Linotype" w:cs="Palatino Linotype"/>
          <w:color w:val="000000"/>
        </w:rPr>
      </w:pPr>
      <w:bookmarkStart w:id="7" w:name="_heading=h.gjdgxs" w:colFirst="0" w:colLast="0"/>
      <w:bookmarkEnd w:id="7"/>
    </w:p>
    <w:p w14:paraId="1A41C5EE"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Si bien del archivo de respuesta no se advierten los trece nombres, obedece a que se encuentran comisionados a otras áreas pertenecientes al Ayuntamiento diversas del Organismo, como lo hace constar el Servidor Público Habilitado en su informe justificado, a saber:</w:t>
      </w:r>
    </w:p>
    <w:p w14:paraId="6852EE2F" w14:textId="77777777" w:rsidR="0006514A" w:rsidRDefault="0006514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0888027" w14:textId="77777777" w:rsidR="0006514A" w:rsidRDefault="003F0F1D">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lastRenderedPageBreak/>
        <w:drawing>
          <wp:inline distT="0" distB="0" distL="0" distR="0" wp14:anchorId="7B4E6261" wp14:editId="09212D56">
            <wp:extent cx="5742940" cy="142748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42940" cy="1427480"/>
                    </a:xfrm>
                    <a:prstGeom prst="rect">
                      <a:avLst/>
                    </a:prstGeom>
                    <a:ln/>
                  </pic:spPr>
                </pic:pic>
              </a:graphicData>
            </a:graphic>
          </wp:inline>
        </w:drawing>
      </w:r>
    </w:p>
    <w:p w14:paraId="1FA93468" w14:textId="77777777" w:rsidR="0006514A" w:rsidRDefault="0006514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94C4443"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del lapso temporal se advierte que ciertamente abarca de la primera quincena de agosto a la primera de abril de 2024, específicamente al día 15, de modo que se tiene por colmado el rubro en comento, siendo infundados los motivos de inconformidad </w:t>
      </w:r>
      <w:proofErr w:type="gramStart"/>
      <w:r>
        <w:rPr>
          <w:rFonts w:ascii="Palatino Linotype" w:eastAsia="Palatino Linotype" w:hAnsi="Palatino Linotype" w:cs="Palatino Linotype"/>
          <w:color w:val="000000"/>
        </w:rPr>
        <w:t>y  procedente</w:t>
      </w:r>
      <w:proofErr w:type="gramEnd"/>
      <w:r>
        <w:rPr>
          <w:rFonts w:ascii="Palatino Linotype" w:eastAsia="Palatino Linotype" w:hAnsi="Palatino Linotype" w:cs="Palatino Linotype"/>
          <w:color w:val="000000"/>
        </w:rPr>
        <w:t xml:space="preserve"> confirmar la respuesta emitida. En esa tesitura, respecto de los siguientes motivos de inconformidad:</w:t>
      </w:r>
    </w:p>
    <w:p w14:paraId="3DE386F2" w14:textId="77777777" w:rsidR="0006514A" w:rsidRDefault="0006514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CBCCC20" w14:textId="77777777" w:rsidR="0006514A" w:rsidRDefault="003F0F1D">
      <w:pPr>
        <w:pBdr>
          <w:top w:val="nil"/>
          <w:left w:val="nil"/>
          <w:bottom w:val="nil"/>
          <w:right w:val="nil"/>
          <w:between w:val="nil"/>
        </w:pBdr>
        <w:spacing w:line="360" w:lineRule="auto"/>
        <w:ind w:left="567" w:right="39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“Requiero por parte de la jefatura de recursos humanos que está a cargo de la servidora pública licenciada Olivia Altagracia el oficio del mes de agosto de los 10 comisionados mencionados que la Lic. Lupe Pérez le turno para abrir sus expedientes y tener conocimientos he dicho </w:t>
      </w:r>
      <w:proofErr w:type="gramStart"/>
      <w:r>
        <w:rPr>
          <w:rFonts w:ascii="Palatino Linotype" w:eastAsia="Palatino Linotype" w:hAnsi="Palatino Linotype" w:cs="Palatino Linotype"/>
          <w:i/>
          <w:color w:val="000000"/>
        </w:rPr>
        <w:t>personal</w:t>
      </w:r>
      <w:proofErr w:type="gramEnd"/>
      <w:r>
        <w:rPr>
          <w:rFonts w:ascii="Palatino Linotype" w:eastAsia="Palatino Linotype" w:hAnsi="Palatino Linotype" w:cs="Palatino Linotype"/>
          <w:i/>
          <w:color w:val="000000"/>
        </w:rPr>
        <w:t xml:space="preserve"> así como sus listas de la primera quincena de mayo 2024 avalado por la jefatura y administración.</w:t>
      </w:r>
    </w:p>
    <w:p w14:paraId="51EFDC23" w14:textId="77777777" w:rsidR="0006514A" w:rsidRDefault="0006514A">
      <w:pPr>
        <w:pBdr>
          <w:top w:val="nil"/>
          <w:left w:val="nil"/>
          <w:bottom w:val="nil"/>
          <w:right w:val="nil"/>
          <w:between w:val="nil"/>
        </w:pBdr>
        <w:spacing w:line="360" w:lineRule="auto"/>
        <w:ind w:left="567" w:right="397"/>
        <w:jc w:val="both"/>
        <w:rPr>
          <w:rFonts w:ascii="Palatino Linotype" w:eastAsia="Palatino Linotype" w:hAnsi="Palatino Linotype" w:cs="Palatino Linotype"/>
          <w:i/>
          <w:color w:val="000000"/>
        </w:rPr>
      </w:pPr>
    </w:p>
    <w:p w14:paraId="79DD15DC" w14:textId="77777777" w:rsidR="0006514A" w:rsidRDefault="003F0F1D">
      <w:pPr>
        <w:pBdr>
          <w:top w:val="nil"/>
          <w:left w:val="nil"/>
          <w:bottom w:val="nil"/>
          <w:right w:val="nil"/>
          <w:between w:val="nil"/>
        </w:pBdr>
        <w:spacing w:line="360" w:lineRule="auto"/>
        <w:ind w:left="567" w:right="39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 xml:space="preserve">Pido el apoyo del contralor interno revise las listas y verifique que se mande la información requiero las lista de los 10 comisionados mencionados en el oficio que mando a esta plataforma que están en </w:t>
      </w:r>
      <w:proofErr w:type="spellStart"/>
      <w:r>
        <w:rPr>
          <w:rFonts w:ascii="Palatino Linotype" w:eastAsia="Palatino Linotype" w:hAnsi="Palatino Linotype" w:cs="Palatino Linotype"/>
          <w:i/>
          <w:color w:val="000000"/>
        </w:rPr>
        <w:t>odapas</w:t>
      </w:r>
      <w:proofErr w:type="spellEnd"/>
      <w:r>
        <w:rPr>
          <w:rFonts w:ascii="Palatino Linotype" w:eastAsia="Palatino Linotype" w:hAnsi="Palatino Linotype" w:cs="Palatino Linotype"/>
          <w:i/>
          <w:color w:val="000000"/>
        </w:rPr>
        <w:t xml:space="preserve"> y pido sea observado el oficio que mando la jefatura de recursos humanos le omiten las listas de los comisionados solo le mencionan que se requiere la lista del personal de la primera quincena de abril y jamás le mandan que se requieren las lista de los comisionados, entonces su reglamento y que ella sea la responsable como lo menciono el licenciado roldan que en </w:t>
      </w:r>
      <w:proofErr w:type="spellStart"/>
      <w:r>
        <w:rPr>
          <w:rFonts w:ascii="Palatino Linotype" w:eastAsia="Palatino Linotype" w:hAnsi="Palatino Linotype" w:cs="Palatino Linotype"/>
          <w:i/>
          <w:color w:val="000000"/>
        </w:rPr>
        <w:t>articulo</w:t>
      </w:r>
      <w:proofErr w:type="spellEnd"/>
      <w:r>
        <w:rPr>
          <w:rFonts w:ascii="Palatino Linotype" w:eastAsia="Palatino Linotype" w:hAnsi="Palatino Linotype" w:cs="Palatino Linotype"/>
          <w:i/>
          <w:color w:val="000000"/>
        </w:rPr>
        <w:t xml:space="preserve"> 44 de su reglamento y etc. no le hacen caso, y el titular de transparencia está tapando y cubriendo dicha información y el oficio de la responsable que es Guadalupe Pérez donde esta él es la responsable de dicha información y está omitiendo información titular de transparencia usted le envía Guadalupe donde está su oficio ella donde le responde porque no lo anexo”</w:t>
      </w:r>
    </w:p>
    <w:p w14:paraId="319C8F62" w14:textId="77777777" w:rsidR="0006514A" w:rsidRDefault="0006514A">
      <w:pPr>
        <w:pBdr>
          <w:top w:val="nil"/>
          <w:left w:val="nil"/>
          <w:bottom w:val="nil"/>
          <w:right w:val="nil"/>
          <w:between w:val="nil"/>
        </w:pBdr>
        <w:spacing w:line="360" w:lineRule="auto"/>
        <w:ind w:left="567" w:right="397"/>
        <w:jc w:val="both"/>
        <w:rPr>
          <w:rFonts w:ascii="Palatino Linotype" w:eastAsia="Palatino Linotype" w:hAnsi="Palatino Linotype" w:cs="Palatino Linotype"/>
          <w:i/>
          <w:color w:val="000000"/>
        </w:rPr>
      </w:pPr>
    </w:p>
    <w:p w14:paraId="5E35832F"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necesario subrayar que el derecho de acceso a la información pública, es un derecho que versa sobre documentos que los sujetos obligados, generen, posean o administren en ejercicio de sus funciones de derecho público, por tanto, </w:t>
      </w:r>
      <w:r>
        <w:rPr>
          <w:rFonts w:ascii="Palatino Linotype" w:eastAsia="Palatino Linotype" w:hAnsi="Palatino Linotype" w:cs="Palatino Linotype"/>
          <w:b/>
          <w:color w:val="000000"/>
        </w:rPr>
        <w:t>no es la vía para solicitar apoyo a los órganos internos de control o interponer quejas o denuncias</w:t>
      </w:r>
      <w:r>
        <w:rPr>
          <w:rFonts w:ascii="Palatino Linotype" w:eastAsia="Palatino Linotype" w:hAnsi="Palatino Linotype" w:cs="Palatino Linotype"/>
          <w:color w:val="000000"/>
        </w:rPr>
        <w:t xml:space="preserve">, por lo que corresponde a un contexto que no puede ser considerado en el </w:t>
      </w:r>
      <w:r>
        <w:rPr>
          <w:rFonts w:ascii="Palatino Linotype" w:eastAsia="Palatino Linotype" w:hAnsi="Palatino Linotype" w:cs="Palatino Linotype"/>
          <w:color w:val="000000"/>
        </w:rPr>
        <w:lastRenderedPageBreak/>
        <w:t>presente proveído, dejando a salvo los derechos del solicitante para que interponga las quejas o denuncias que a sus intereses convenga a las instancias correspondientes.</w:t>
      </w:r>
    </w:p>
    <w:p w14:paraId="45F68115" w14:textId="77777777" w:rsidR="0006514A" w:rsidRDefault="0006514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CC2E8C2"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Finalmente, de las expresiones subjetivas que se advierten tanto en la solicitud de información como el escrito </w:t>
      </w:r>
      <w:proofErr w:type="spellStart"/>
      <w:r>
        <w:rPr>
          <w:rFonts w:ascii="Palatino Linotype" w:eastAsia="Palatino Linotype" w:hAnsi="Palatino Linotype" w:cs="Palatino Linotype"/>
          <w:color w:val="000000"/>
        </w:rPr>
        <w:t>recursal</w:t>
      </w:r>
      <w:proofErr w:type="spellEnd"/>
      <w:r>
        <w:rPr>
          <w:rFonts w:ascii="Palatino Linotype" w:eastAsia="Palatino Linotype" w:hAnsi="Palatino Linotype" w:cs="Palatino Linotype"/>
          <w:color w:val="000000"/>
        </w:rPr>
        <w:t xml:space="preserve">, es necesario puntualizar </w:t>
      </w:r>
      <w:r>
        <w:rPr>
          <w:rFonts w:ascii="Palatino Linotype" w:eastAsia="Palatino Linotype" w:hAnsi="Palatino Linotype" w:cs="Palatino Linotype"/>
        </w:rPr>
        <w:t>que dichas manifestaciones subjetivas corresponden aquellas percepciones, emociones, sensaciones o experiencias internas que una persona puede describir, pero que no son directamente observables o medibles por otras personas. De modo tal que corresponden a manifestaciones que no son atendibles vía derecho de acceso a la información pública.</w:t>
      </w:r>
    </w:p>
    <w:p w14:paraId="7C68240E" w14:textId="77777777" w:rsidR="0006514A" w:rsidRDefault="0006514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423C1529"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Luego entonces, debe señalarse que el ejercicio del derecho de acceso a la información debe efectuarse de manera </w:t>
      </w:r>
      <w:r>
        <w:rPr>
          <w:rFonts w:ascii="Palatino Linotype" w:eastAsia="Palatino Linotype" w:hAnsi="Palatino Linotype" w:cs="Palatino Linotype"/>
          <w:b/>
        </w:rPr>
        <w:t>pacífica y respetuosa</w:t>
      </w:r>
      <w:r>
        <w:rPr>
          <w:rFonts w:ascii="Palatino Linotype" w:eastAsia="Palatino Linotype" w:hAnsi="Palatino Linotype" w:cs="Palatino Linotype"/>
        </w:rPr>
        <w:t xml:space="preserve">, en virtud que este derecho permite a cualquier ciudadano solicitar información que sea de interés público a los sujetos obligados  por lo que el realizar esta solicitud de manera pacífica y respetuosa implica, que también se deben cumplir con los procedimientos formales que establece la ley, procurando en todo momento un lenguaje adecuado y respetuoso </w:t>
      </w:r>
      <w:r>
        <w:rPr>
          <w:rFonts w:ascii="Palatino Linotype" w:eastAsia="Palatino Linotype" w:hAnsi="Palatino Linotype" w:cs="Palatino Linotype"/>
        </w:rPr>
        <w:lastRenderedPageBreak/>
        <w:t>para dirigirse a los y las servidores públicos, sin insultos o provocaciones, independientemente de la opinión que se tenga sobre estos la persona solicitante.</w:t>
      </w:r>
    </w:p>
    <w:p w14:paraId="1604AB47" w14:textId="77777777" w:rsidR="0006514A" w:rsidRDefault="0006514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4C2B6D0D"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Así las cosas, este Órgano Garante, considera importante ejercer el derecho de manera responsable y otorgando un uso sea racional y no abusivo, solicitando solo lo que es legítimo y público, a través de un enfoque pacífico y respetuoso que asegure un mejor trato y respuesta por parte de las autoridades, manteniendo el respeto mutuo entre ciudadanos y servidores públicos.</w:t>
      </w:r>
    </w:p>
    <w:p w14:paraId="390376A5" w14:textId="77777777" w:rsidR="0006514A" w:rsidRDefault="0006514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54EB797F" w14:textId="77777777" w:rsidR="0006514A" w:rsidRDefault="003F0F1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8" w:name="_heading=h.4d34og8" w:colFirst="0" w:colLast="0"/>
      <w:bookmarkEnd w:id="8"/>
      <w:r>
        <w:rPr>
          <w:rFonts w:ascii="Palatino Linotype" w:eastAsia="Palatino Linotype" w:hAnsi="Palatino Linotype" w:cs="Palatino Linotype"/>
          <w:color w:val="222222"/>
        </w:rPr>
        <w:t xml:space="preserve">Por lo anteriormente expuesto y fundado, este </w:t>
      </w:r>
      <w:r>
        <w:rPr>
          <w:rFonts w:ascii="Palatino Linotype" w:eastAsia="Palatino Linotype" w:hAnsi="Palatino Linotype" w:cs="Palatino Linotype"/>
          <w:b/>
          <w:color w:val="222222"/>
        </w:rPr>
        <w:t>ÓRGANO GARANTE</w:t>
      </w:r>
      <w:r>
        <w:rPr>
          <w:rFonts w:ascii="Palatino Linotype" w:eastAsia="Palatino Linotype" w:hAnsi="Palatino Linotype" w:cs="Palatino Linotype"/>
          <w:color w:val="222222"/>
        </w:rPr>
        <w:t xml:space="preserve"> emite los siguientes: </w:t>
      </w:r>
    </w:p>
    <w:p w14:paraId="68A0EA01" w14:textId="77777777" w:rsidR="0006514A" w:rsidRDefault="0006514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003E25A6" w14:textId="77777777" w:rsidR="0006514A" w:rsidRDefault="003F0F1D">
      <w:pPr>
        <w:pStyle w:val="Ttulo1"/>
        <w:spacing w:before="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 E S O L U T I V O S</w:t>
      </w:r>
    </w:p>
    <w:p w14:paraId="6B36F964" w14:textId="77777777" w:rsidR="0006514A" w:rsidRDefault="0006514A">
      <w:pPr>
        <w:spacing w:line="360" w:lineRule="auto"/>
        <w:jc w:val="both"/>
        <w:rPr>
          <w:rFonts w:ascii="Palatino Linotype" w:eastAsia="Palatino Linotype" w:hAnsi="Palatino Linotype" w:cs="Palatino Linotype"/>
          <w:b/>
        </w:rPr>
      </w:pPr>
    </w:p>
    <w:p w14:paraId="370A51FD" w14:textId="77777777" w:rsidR="0006514A" w:rsidRDefault="003F0F1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Resultan infundadas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razones o motivos de inconformidad hechos valer en el Recurso de Revisión</w:t>
      </w:r>
      <w:r>
        <w:rPr>
          <w:rFonts w:ascii="Palatino Linotype" w:eastAsia="Palatino Linotype" w:hAnsi="Palatino Linotype" w:cs="Palatino Linotype"/>
          <w:b/>
        </w:rPr>
        <w:t xml:space="preserve"> 02993/INFOEM/IP/RR/2024, </w:t>
      </w:r>
      <w:r>
        <w:rPr>
          <w:rFonts w:ascii="Palatino Linotype" w:eastAsia="Palatino Linotype" w:hAnsi="Palatino Linotype" w:cs="Palatino Linotype"/>
        </w:rPr>
        <w:t xml:space="preserve">en términos del </w:t>
      </w:r>
      <w:r>
        <w:rPr>
          <w:rFonts w:ascii="Palatino Linotype" w:eastAsia="Palatino Linotype" w:hAnsi="Palatino Linotype" w:cs="Palatino Linotype"/>
          <w:b/>
        </w:rPr>
        <w:t>Considerando</w:t>
      </w:r>
      <w:r>
        <w:rPr>
          <w:rFonts w:ascii="Palatino Linotype" w:eastAsia="Palatino Linotype" w:hAnsi="Palatino Linotype" w:cs="Palatino Linotype"/>
        </w:rPr>
        <w:t xml:space="preserve"> </w:t>
      </w:r>
      <w:r>
        <w:rPr>
          <w:rFonts w:ascii="Palatino Linotype" w:eastAsia="Palatino Linotype" w:hAnsi="Palatino Linotype" w:cs="Palatino Linotype"/>
          <w:b/>
        </w:rPr>
        <w:t>CUARTO</w:t>
      </w:r>
      <w:r>
        <w:rPr>
          <w:rFonts w:ascii="Palatino Linotype" w:eastAsia="Palatino Linotype" w:hAnsi="Palatino Linotype" w:cs="Palatino Linotype"/>
        </w:rPr>
        <w:t xml:space="preserve"> de la presente Resolución.</w:t>
      </w:r>
    </w:p>
    <w:p w14:paraId="21F824EA" w14:textId="77777777" w:rsidR="009042BF" w:rsidRDefault="009042BF">
      <w:pPr>
        <w:spacing w:line="360" w:lineRule="auto"/>
        <w:jc w:val="both"/>
        <w:rPr>
          <w:rFonts w:ascii="Palatino Linotype" w:eastAsia="Palatino Linotype" w:hAnsi="Palatino Linotype" w:cs="Palatino Linotype"/>
        </w:rPr>
      </w:pPr>
    </w:p>
    <w:p w14:paraId="47ACDBDB" w14:textId="77777777" w:rsidR="0006514A" w:rsidRDefault="003F0F1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SEGUNDO.</w:t>
      </w:r>
      <w:r>
        <w:rPr>
          <w:rFonts w:ascii="Palatino Linotype" w:eastAsia="Palatino Linotype" w:hAnsi="Palatino Linotype" w:cs="Palatino Linotype"/>
          <w:color w:val="2F5496"/>
        </w:rPr>
        <w:t xml:space="preserve"> </w:t>
      </w:r>
      <w:r>
        <w:rPr>
          <w:rFonts w:ascii="Palatino Linotype" w:eastAsia="Palatino Linotype" w:hAnsi="Palatino Linotype" w:cs="Palatino Linotype"/>
        </w:rPr>
        <w:t>Se</w:t>
      </w:r>
      <w:r>
        <w:rPr>
          <w:rFonts w:ascii="Palatino Linotype" w:eastAsia="Palatino Linotype" w:hAnsi="Palatino Linotype" w:cs="Palatino Linotype"/>
          <w:b/>
        </w:rPr>
        <w:t xml:space="preserve"> CONFIRMA </w:t>
      </w:r>
      <w:r>
        <w:rPr>
          <w:rFonts w:ascii="Palatino Linotype" w:eastAsia="Palatino Linotype" w:hAnsi="Palatino Linotype" w:cs="Palatino Linotype"/>
        </w:rPr>
        <w:t xml:space="preserve">la respuesta emitida por el </w:t>
      </w:r>
      <w:r>
        <w:rPr>
          <w:rFonts w:ascii="Palatino Linotype" w:eastAsia="Palatino Linotype" w:hAnsi="Palatino Linotype" w:cs="Palatino Linotype"/>
          <w:b/>
        </w:rPr>
        <w:t xml:space="preserve">Organismo Descentralizado de Agua Potable Alcantarillado y Saneamiento de Nezahualcóyotl (ODAPAS) </w:t>
      </w:r>
      <w:r>
        <w:rPr>
          <w:rFonts w:ascii="Palatino Linotype" w:eastAsia="Palatino Linotype" w:hAnsi="Palatino Linotype" w:cs="Palatino Linotype"/>
        </w:rPr>
        <w:t xml:space="preserve">a la Solicitud de Información </w:t>
      </w:r>
      <w:r>
        <w:rPr>
          <w:rFonts w:ascii="Palatino Linotype" w:eastAsia="Palatino Linotype" w:hAnsi="Palatino Linotype" w:cs="Palatino Linotype"/>
          <w:b/>
          <w:color w:val="000000"/>
        </w:rPr>
        <w:t>00041/OASNEZA/IP/2024</w:t>
      </w:r>
      <w:r>
        <w:rPr>
          <w:rFonts w:ascii="Palatino Linotype" w:eastAsia="Palatino Linotype" w:hAnsi="Palatino Linotype" w:cs="Palatino Linotype"/>
          <w:b/>
        </w:rPr>
        <w:t>.</w:t>
      </w:r>
      <w:r>
        <w:rPr>
          <w:rFonts w:ascii="Palatino Linotype" w:eastAsia="Palatino Linotype" w:hAnsi="Palatino Linotype" w:cs="Palatino Linotype"/>
        </w:rPr>
        <w:t xml:space="preserve"> </w:t>
      </w:r>
    </w:p>
    <w:p w14:paraId="4D7B38E6" w14:textId="77777777" w:rsidR="0006514A" w:rsidRDefault="0006514A">
      <w:pPr>
        <w:spacing w:line="360" w:lineRule="auto"/>
        <w:jc w:val="both"/>
        <w:rPr>
          <w:rFonts w:ascii="Palatino Linotype" w:eastAsia="Palatino Linotype" w:hAnsi="Palatino Linotype" w:cs="Palatino Linotype"/>
        </w:rPr>
      </w:pPr>
    </w:p>
    <w:p w14:paraId="0B42AF51" w14:textId="77777777" w:rsidR="0006514A" w:rsidRDefault="003F0F1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TERCERO</w:t>
      </w:r>
      <w:r>
        <w:rPr>
          <w:rFonts w:ascii="Palatino Linotype" w:eastAsia="Palatino Linotype" w:hAnsi="Palatino Linotype" w:cs="Palatino Linotype"/>
        </w:rPr>
        <w:t xml:space="preserve">. Se </w:t>
      </w:r>
      <w:r>
        <w:rPr>
          <w:rFonts w:ascii="Palatino Linotype" w:eastAsia="Palatino Linotype" w:hAnsi="Palatino Linotype" w:cs="Palatino Linotype"/>
          <w:b/>
        </w:rPr>
        <w:t xml:space="preserve">SOBRESEE </w:t>
      </w:r>
      <w:r>
        <w:rPr>
          <w:rFonts w:ascii="Palatino Linotype" w:eastAsia="Palatino Linotype" w:hAnsi="Palatino Linotype" w:cs="Palatino Linotype"/>
        </w:rPr>
        <w:t>el Recurso de Revisión</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número </w:t>
      </w:r>
      <w:r>
        <w:rPr>
          <w:rFonts w:ascii="Palatino Linotype" w:eastAsia="Palatino Linotype" w:hAnsi="Palatino Linotype" w:cs="Palatino Linotype"/>
          <w:b/>
        </w:rPr>
        <w:t>03831/INFOEM/IP/RR/2024</w:t>
      </w:r>
      <w:r>
        <w:rPr>
          <w:rFonts w:ascii="Palatino Linotype" w:eastAsia="Palatino Linotype" w:hAnsi="Palatino Linotype" w:cs="Palatino Linotype"/>
        </w:rPr>
        <w:t xml:space="preserve"> por haberse desistido expresamente </w:t>
      </w:r>
      <w:r>
        <w:rPr>
          <w:rFonts w:ascii="Palatino Linotype" w:eastAsia="Palatino Linotype" w:hAnsi="Palatino Linotype" w:cs="Palatino Linotype"/>
          <w:b/>
        </w:rPr>
        <w:t>EL</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sidRPr="009042BF">
        <w:rPr>
          <w:rFonts w:ascii="Palatino Linotype" w:eastAsia="Palatino Linotype" w:hAnsi="Palatino Linotype" w:cs="Palatino Linotype"/>
        </w:rPr>
        <w:t>con fundamento en el artículo</w:t>
      </w:r>
      <w:r>
        <w:rPr>
          <w:rFonts w:ascii="Palatino Linotype" w:eastAsia="Palatino Linotype" w:hAnsi="Palatino Linotype" w:cs="Palatino Linotype"/>
          <w:b/>
        </w:rPr>
        <w:t xml:space="preserve"> </w:t>
      </w:r>
      <w:r w:rsidRPr="009042BF">
        <w:rPr>
          <w:rFonts w:ascii="Palatino Linotype" w:eastAsia="Palatino Linotype" w:hAnsi="Palatino Linotype" w:cs="Palatino Linotype"/>
        </w:rPr>
        <w:t>192</w:t>
      </w:r>
      <w:r w:rsidR="009042BF">
        <w:rPr>
          <w:rFonts w:ascii="Palatino Linotype" w:eastAsia="Palatino Linotype" w:hAnsi="Palatino Linotype" w:cs="Palatino Linotype"/>
        </w:rPr>
        <w:t>,</w:t>
      </w:r>
      <w:r w:rsidRPr="009042BF">
        <w:rPr>
          <w:rFonts w:ascii="Palatino Linotype" w:eastAsia="Palatino Linotype" w:hAnsi="Palatino Linotype" w:cs="Palatino Linotype"/>
        </w:rPr>
        <w:t xml:space="preserve"> </w:t>
      </w:r>
      <w:r>
        <w:rPr>
          <w:rFonts w:ascii="Palatino Linotype" w:eastAsia="Palatino Linotype" w:hAnsi="Palatino Linotype" w:cs="Palatino Linotype"/>
        </w:rPr>
        <w:t>fracción I</w:t>
      </w:r>
      <w:r w:rsidR="009042BF">
        <w:rPr>
          <w:rFonts w:ascii="Palatino Linotype" w:eastAsia="Palatino Linotype" w:hAnsi="Palatino Linotype" w:cs="Palatino Linotype"/>
        </w:rPr>
        <w:t>,</w:t>
      </w:r>
      <w:r>
        <w:rPr>
          <w:rFonts w:ascii="Palatino Linotype" w:eastAsia="Palatino Linotype" w:hAnsi="Palatino Linotype" w:cs="Palatino Linotype"/>
        </w:rPr>
        <w:t xml:space="preserve"> de </w:t>
      </w:r>
      <w:proofErr w:type="gramStart"/>
      <w:r>
        <w:rPr>
          <w:rFonts w:ascii="Palatino Linotype" w:eastAsia="Palatino Linotype" w:hAnsi="Palatino Linotype" w:cs="Palatino Linotype"/>
        </w:rPr>
        <w:t>la  Ley</w:t>
      </w:r>
      <w:proofErr w:type="gramEnd"/>
      <w:r>
        <w:rPr>
          <w:rFonts w:ascii="Palatino Linotype" w:eastAsia="Palatino Linotype" w:hAnsi="Palatino Linotype" w:cs="Palatino Linotype"/>
        </w:rPr>
        <w:t xml:space="preserve"> de Transparencia y Acceso a la Información Pública del Estado de México y Municipios, en términos del Considerando </w:t>
      </w:r>
      <w:r>
        <w:rPr>
          <w:rFonts w:ascii="Palatino Linotype" w:eastAsia="Palatino Linotype" w:hAnsi="Palatino Linotype" w:cs="Palatino Linotype"/>
          <w:b/>
        </w:rPr>
        <w:t>CUARTO</w:t>
      </w:r>
      <w:r>
        <w:rPr>
          <w:rFonts w:ascii="Palatino Linotype" w:eastAsia="Palatino Linotype" w:hAnsi="Palatino Linotype" w:cs="Palatino Linotype"/>
        </w:rPr>
        <w:t xml:space="preserve"> de la presente Resolución.</w:t>
      </w:r>
    </w:p>
    <w:p w14:paraId="184C6F26" w14:textId="77777777" w:rsidR="0006514A" w:rsidRDefault="0006514A">
      <w:pPr>
        <w:spacing w:line="360" w:lineRule="auto"/>
        <w:jc w:val="both"/>
        <w:rPr>
          <w:rFonts w:ascii="Palatino Linotype" w:eastAsia="Palatino Linotype" w:hAnsi="Palatino Linotype" w:cs="Palatino Linotype"/>
        </w:rPr>
      </w:pPr>
    </w:p>
    <w:p w14:paraId="4750CB89" w14:textId="77777777" w:rsidR="0006514A" w:rsidRDefault="003F0F1D">
      <w:pPr>
        <w:shd w:val="clear" w:color="auto" w:fill="FFFFFF"/>
        <w:spacing w:line="360" w:lineRule="auto"/>
        <w:jc w:val="both"/>
        <w:rPr>
          <w:rFonts w:ascii="Palatino Linotype" w:eastAsia="Palatino Linotype" w:hAnsi="Palatino Linotype" w:cs="Palatino Linotype"/>
          <w:color w:val="000000"/>
          <w:highlight w:val="white"/>
        </w:rPr>
      </w:pPr>
      <w:r>
        <w:rPr>
          <w:rFonts w:ascii="Palatino Linotype" w:eastAsia="Palatino Linotype" w:hAnsi="Palatino Linotype" w:cs="Palatino Linotype"/>
          <w:b/>
        </w:rPr>
        <w:t xml:space="preserve">CUARTO. Notifíquese </w:t>
      </w:r>
      <w:r>
        <w:rPr>
          <w:rFonts w:ascii="Palatino Linotype" w:eastAsia="Palatino Linotype" w:hAnsi="Palatino Linotype" w:cs="Palatino Linotype"/>
        </w:rPr>
        <w:t xml:space="preserve">al Titular de la Unidad de Transparencia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vía SAIMEX, para su conocimiento</w:t>
      </w:r>
      <w:r>
        <w:rPr>
          <w:rFonts w:ascii="Palatino Linotype" w:eastAsia="Palatino Linotype" w:hAnsi="Palatino Linotype" w:cs="Palatino Linotype"/>
          <w:color w:val="000000"/>
          <w:highlight w:val="white"/>
        </w:rPr>
        <w:t>.</w:t>
      </w:r>
    </w:p>
    <w:p w14:paraId="019D3298" w14:textId="77777777" w:rsidR="0006514A" w:rsidRDefault="0006514A">
      <w:pPr>
        <w:shd w:val="clear" w:color="auto" w:fill="FFFFFF"/>
        <w:spacing w:line="360" w:lineRule="auto"/>
        <w:jc w:val="both"/>
        <w:rPr>
          <w:rFonts w:ascii="Palatino Linotype" w:eastAsia="Palatino Linotype" w:hAnsi="Palatino Linotype" w:cs="Palatino Linotype"/>
          <w:color w:val="000000"/>
          <w:highlight w:val="white"/>
        </w:rPr>
      </w:pPr>
    </w:p>
    <w:p w14:paraId="06AAB34F" w14:textId="77777777" w:rsidR="0006514A" w:rsidRDefault="003F0F1D">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highlight w:val="white"/>
        </w:rPr>
      </w:pPr>
      <w:r>
        <w:rPr>
          <w:rFonts w:ascii="Palatino Linotype" w:eastAsia="Palatino Linotype" w:hAnsi="Palatino Linotype" w:cs="Palatino Linotype"/>
          <w:b/>
          <w:color w:val="000000"/>
        </w:rPr>
        <w:t>QUINTO</w:t>
      </w:r>
      <w:r>
        <w:rPr>
          <w:rFonts w:ascii="Palatino Linotype" w:eastAsia="Palatino Linotype" w:hAnsi="Palatino Linotype" w:cs="Palatino Linotype"/>
          <w:b/>
          <w:color w:val="222222"/>
        </w:rPr>
        <w:t xml:space="preserve">. Notifíquese </w:t>
      </w:r>
      <w:r>
        <w:rPr>
          <w:rFonts w:ascii="Palatino Linotype" w:eastAsia="Palatino Linotype" w:hAnsi="Palatino Linotype" w:cs="Palatino Linotype"/>
          <w:color w:val="222222"/>
        </w:rPr>
        <w:t xml:space="preserve">a </w:t>
      </w:r>
      <w:r>
        <w:rPr>
          <w:rFonts w:ascii="Palatino Linotype" w:eastAsia="Palatino Linotype" w:hAnsi="Palatino Linotype" w:cs="Palatino Linotype"/>
          <w:b/>
          <w:color w:val="222222"/>
        </w:rPr>
        <w:t>EL RECURRENTE</w:t>
      </w:r>
      <w:r>
        <w:rPr>
          <w:rFonts w:ascii="Palatino Linotype" w:eastAsia="Palatino Linotype" w:hAnsi="Palatino Linotype" w:cs="Palatino Linotype"/>
          <w:color w:val="222222"/>
        </w:rPr>
        <w:t xml:space="preserve"> la presente resolución vía SAIMEX</w:t>
      </w:r>
      <w:r>
        <w:rPr>
          <w:rFonts w:ascii="Palatino Linotype" w:eastAsia="Palatino Linotype" w:hAnsi="Palatino Linotype" w:cs="Palatino Linotype"/>
          <w:color w:val="000000"/>
          <w:highlight w:val="white"/>
        </w:rPr>
        <w:t>.</w:t>
      </w:r>
    </w:p>
    <w:p w14:paraId="5DAD991E" w14:textId="77777777" w:rsidR="0006514A" w:rsidRDefault="0006514A">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222222"/>
        </w:rPr>
      </w:pPr>
    </w:p>
    <w:p w14:paraId="67D7FACE" w14:textId="77777777" w:rsidR="0006514A" w:rsidRDefault="003F0F1D">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222222"/>
        </w:rPr>
        <w:t xml:space="preserve">SEXTO. </w:t>
      </w:r>
      <w:r>
        <w:rPr>
          <w:rFonts w:ascii="Palatino Linotype" w:eastAsia="Palatino Linotype" w:hAnsi="Palatino Linotype" w:cs="Palatino Linotype"/>
          <w:color w:val="000000"/>
        </w:rPr>
        <w:t xml:space="preserve">Se hace del conocimiento de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w:t>
      </w:r>
      <w:r>
        <w:rPr>
          <w:rFonts w:ascii="Palatino Linotype" w:eastAsia="Palatino Linotype" w:hAnsi="Palatino Linotype" w:cs="Palatino Linotype"/>
          <w:color w:val="000000"/>
        </w:rPr>
        <w:lastRenderedPageBreak/>
        <w:t>le cause algún perjuicio podrá impugnarla vía juicio de amparo en los términos de las leyes aplicables.</w:t>
      </w:r>
    </w:p>
    <w:p w14:paraId="63BDA8CB" w14:textId="77777777" w:rsidR="0006514A" w:rsidRDefault="0006514A">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rPr>
      </w:pPr>
    </w:p>
    <w:p w14:paraId="7E016C87" w14:textId="77777777" w:rsidR="009042BF" w:rsidRPr="003C7186" w:rsidRDefault="009042BF" w:rsidP="009042BF">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OCTAVA </w:t>
      </w:r>
      <w:r w:rsidRPr="003C7186">
        <w:rPr>
          <w:rFonts w:ascii="Palatino Linotype" w:hAnsi="Palatino Linotype"/>
        </w:rPr>
        <w:t xml:space="preserve">SESIÓN ORDINARIA CELEBRADA EL </w:t>
      </w:r>
      <w:r>
        <w:rPr>
          <w:rFonts w:ascii="Palatino Linotype" w:hAnsi="Palatino Linotype"/>
        </w:rPr>
        <w:t>SEIS</w:t>
      </w:r>
      <w:r w:rsidRPr="003C7186">
        <w:rPr>
          <w:rFonts w:ascii="Palatino Linotype" w:hAnsi="Palatino Linotype"/>
        </w:rPr>
        <w:t xml:space="preserve"> </w:t>
      </w:r>
      <w:r>
        <w:rPr>
          <w:rFonts w:ascii="Palatino Linotype" w:hAnsi="Palatino Linotype"/>
        </w:rPr>
        <w:t>(06) DE NOVIEMBRE</w:t>
      </w:r>
      <w:r w:rsidRPr="003C7186">
        <w:rPr>
          <w:rFonts w:ascii="Palatino Linotype" w:hAnsi="Palatino Linotype"/>
        </w:rPr>
        <w:t xml:space="preserve"> DE DOS MIL VEINTICUATRO, ANTE EL SECRETARIO TÉCNICO DEL PLENO ALEXIS TAPIA RAMÍREZ. </w:t>
      </w:r>
    </w:p>
    <w:p w14:paraId="17AD6FC1" w14:textId="77777777" w:rsidR="009042BF" w:rsidRPr="00902BA4" w:rsidRDefault="009042BF" w:rsidP="009042BF">
      <w:pPr>
        <w:widowControl w:val="0"/>
        <w:autoSpaceDE w:val="0"/>
        <w:autoSpaceDN w:val="0"/>
        <w:adjustRightInd w:val="0"/>
        <w:spacing w:after="200" w:line="276" w:lineRule="auto"/>
        <w:ind w:left="-142" w:right="-234"/>
        <w:rPr>
          <w:rFonts w:ascii="Calibri" w:hAnsi="Calibri" w:cs="Calibri"/>
        </w:rPr>
      </w:pPr>
    </w:p>
    <w:p w14:paraId="73A50A90" w14:textId="77777777" w:rsidR="009042BF" w:rsidRDefault="009042BF" w:rsidP="009042BF">
      <w:pPr>
        <w:spacing w:before="240" w:after="240" w:line="360" w:lineRule="auto"/>
        <w:ind w:firstLine="1"/>
        <w:jc w:val="both"/>
        <w:rPr>
          <w:rFonts w:ascii="Palatino Linotype" w:hAnsi="Palatino Linotype"/>
        </w:rPr>
      </w:pPr>
      <w:bookmarkStart w:id="9" w:name="_Hlk96506827"/>
    </w:p>
    <w:bookmarkEnd w:id="9"/>
    <w:p w14:paraId="1D933325" w14:textId="77777777" w:rsidR="0006514A" w:rsidRDefault="0006514A">
      <w:pPr>
        <w:spacing w:line="360" w:lineRule="auto"/>
        <w:jc w:val="both"/>
        <w:rPr>
          <w:rFonts w:ascii="Palatino Linotype" w:eastAsia="Palatino Linotype" w:hAnsi="Palatino Linotype" w:cs="Palatino Linotype"/>
          <w:color w:val="222222"/>
        </w:rPr>
      </w:pPr>
    </w:p>
    <w:p w14:paraId="331DDD98" w14:textId="77777777" w:rsidR="0006514A" w:rsidRDefault="0006514A">
      <w:pPr>
        <w:spacing w:line="360" w:lineRule="auto"/>
        <w:jc w:val="both"/>
        <w:rPr>
          <w:rFonts w:ascii="Palatino Linotype" w:eastAsia="Palatino Linotype" w:hAnsi="Palatino Linotype" w:cs="Palatino Linotype"/>
          <w:color w:val="222222"/>
        </w:rPr>
      </w:pPr>
    </w:p>
    <w:p w14:paraId="1BCAF12E" w14:textId="77777777" w:rsidR="0006514A" w:rsidRDefault="0006514A">
      <w:pPr>
        <w:spacing w:line="360" w:lineRule="auto"/>
        <w:jc w:val="both"/>
        <w:rPr>
          <w:rFonts w:ascii="Palatino Linotype" w:eastAsia="Palatino Linotype" w:hAnsi="Palatino Linotype" w:cs="Palatino Linotype"/>
          <w:color w:val="222222"/>
        </w:rPr>
      </w:pPr>
    </w:p>
    <w:p w14:paraId="539326D6" w14:textId="77777777" w:rsidR="0006514A" w:rsidRDefault="0006514A">
      <w:pPr>
        <w:spacing w:line="360" w:lineRule="auto"/>
        <w:jc w:val="both"/>
        <w:rPr>
          <w:rFonts w:ascii="Palatino Linotype" w:eastAsia="Palatino Linotype" w:hAnsi="Palatino Linotype" w:cs="Palatino Linotype"/>
          <w:color w:val="222222"/>
        </w:rPr>
      </w:pPr>
    </w:p>
    <w:p w14:paraId="4F45B143" w14:textId="77777777" w:rsidR="0006514A" w:rsidRDefault="0006514A">
      <w:pPr>
        <w:spacing w:line="360" w:lineRule="auto"/>
        <w:rPr>
          <w:rFonts w:ascii="Palatino Linotype" w:eastAsia="Palatino Linotype" w:hAnsi="Palatino Linotype" w:cs="Palatino Linotype"/>
        </w:rPr>
      </w:pPr>
    </w:p>
    <w:p w14:paraId="3FAE4928" w14:textId="77777777" w:rsidR="0006514A" w:rsidRDefault="0006514A">
      <w:pPr>
        <w:spacing w:line="360" w:lineRule="auto"/>
        <w:rPr>
          <w:rFonts w:ascii="Palatino Linotype" w:eastAsia="Palatino Linotype" w:hAnsi="Palatino Linotype" w:cs="Palatino Linotype"/>
        </w:rPr>
      </w:pPr>
    </w:p>
    <w:sectPr w:rsidR="0006514A">
      <w:headerReference w:type="even" r:id="rId10"/>
      <w:headerReference w:type="default" r:id="rId11"/>
      <w:footerReference w:type="default" r:id="rId12"/>
      <w:headerReference w:type="first" r:id="rId13"/>
      <w:footerReference w:type="first" r:id="rId14"/>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7197A" w14:textId="77777777" w:rsidR="00F2060E" w:rsidRDefault="00F2060E">
      <w:r>
        <w:separator/>
      </w:r>
    </w:p>
  </w:endnote>
  <w:endnote w:type="continuationSeparator" w:id="0">
    <w:p w14:paraId="44F97D4F" w14:textId="77777777" w:rsidR="00F2060E" w:rsidRDefault="00F2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C112" w14:textId="77777777" w:rsidR="0006514A" w:rsidRDefault="0006514A">
    <w:pPr>
      <w:pBdr>
        <w:top w:val="nil"/>
        <w:left w:val="nil"/>
        <w:bottom w:val="nil"/>
        <w:right w:val="nil"/>
        <w:between w:val="nil"/>
      </w:pBdr>
      <w:tabs>
        <w:tab w:val="center" w:pos="4419"/>
        <w:tab w:val="right" w:pos="8838"/>
      </w:tabs>
      <w:jc w:val="right"/>
      <w:rPr>
        <w:color w:val="000000"/>
      </w:rPr>
    </w:pPr>
  </w:p>
  <w:p w14:paraId="651BA03C" w14:textId="77777777" w:rsidR="0006514A" w:rsidRDefault="003F0F1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7B70D4">
      <w:rPr>
        <w:b/>
        <w:noProof/>
        <w:color w:val="000000"/>
      </w:rPr>
      <w:t>55</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7B70D4">
      <w:rPr>
        <w:b/>
        <w:noProof/>
        <w:color w:val="000000"/>
      </w:rPr>
      <w:t>55</w:t>
    </w:r>
    <w:r>
      <w:rPr>
        <w:b/>
        <w:color w:val="000000"/>
      </w:rPr>
      <w:fldChar w:fldCharType="end"/>
    </w:r>
  </w:p>
  <w:p w14:paraId="6FDF0FAF" w14:textId="77777777" w:rsidR="0006514A" w:rsidRDefault="0006514A">
    <w:pPr>
      <w:pBdr>
        <w:top w:val="nil"/>
        <w:left w:val="nil"/>
        <w:bottom w:val="nil"/>
        <w:right w:val="nil"/>
        <w:between w:val="nil"/>
      </w:pBdr>
      <w:tabs>
        <w:tab w:val="center" w:pos="4419"/>
        <w:tab w:val="right" w:pos="8838"/>
      </w:tabs>
      <w:rPr>
        <w:color w:val="000000"/>
      </w:rPr>
    </w:pPr>
  </w:p>
  <w:p w14:paraId="5B69B05F" w14:textId="77777777" w:rsidR="0006514A" w:rsidRDefault="0006514A"/>
  <w:p w14:paraId="00A019D6" w14:textId="77777777" w:rsidR="0006514A" w:rsidRDefault="0006514A"/>
  <w:p w14:paraId="190BDABF" w14:textId="77777777" w:rsidR="0006514A" w:rsidRDefault="000651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3A6C" w14:textId="77777777" w:rsidR="0006514A" w:rsidRDefault="003F0F1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7B70D4">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7B70D4">
      <w:rPr>
        <w:b/>
        <w:noProof/>
        <w:color w:val="000000"/>
      </w:rPr>
      <w:t>55</w:t>
    </w:r>
    <w:r>
      <w:rPr>
        <w:b/>
        <w:color w:val="000000"/>
      </w:rPr>
      <w:fldChar w:fldCharType="end"/>
    </w:r>
  </w:p>
  <w:p w14:paraId="460331B4" w14:textId="77777777" w:rsidR="0006514A" w:rsidRDefault="0006514A">
    <w:pPr>
      <w:pBdr>
        <w:top w:val="nil"/>
        <w:left w:val="nil"/>
        <w:bottom w:val="nil"/>
        <w:right w:val="nil"/>
        <w:between w:val="nil"/>
      </w:pBdr>
      <w:tabs>
        <w:tab w:val="center" w:pos="4419"/>
        <w:tab w:val="right" w:pos="8838"/>
      </w:tabs>
      <w:rPr>
        <w:color w:val="000000"/>
      </w:rPr>
    </w:pPr>
  </w:p>
  <w:p w14:paraId="03969299" w14:textId="77777777" w:rsidR="0006514A" w:rsidRDefault="0006514A"/>
  <w:p w14:paraId="4282A0A5" w14:textId="77777777" w:rsidR="0006514A" w:rsidRDefault="0006514A"/>
  <w:p w14:paraId="2859A219" w14:textId="77777777" w:rsidR="0006514A" w:rsidRDefault="000651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D9F8F" w14:textId="77777777" w:rsidR="00F2060E" w:rsidRDefault="00F2060E">
      <w:r>
        <w:separator/>
      </w:r>
    </w:p>
  </w:footnote>
  <w:footnote w:type="continuationSeparator" w:id="0">
    <w:p w14:paraId="3936A389" w14:textId="77777777" w:rsidR="00F2060E" w:rsidRDefault="00F2060E">
      <w:r>
        <w:continuationSeparator/>
      </w:r>
    </w:p>
  </w:footnote>
  <w:footnote w:id="1">
    <w:p w14:paraId="4E6EF253" w14:textId="77777777" w:rsidR="0006514A" w:rsidRDefault="003F0F1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14:paraId="11533AF6" w14:textId="77777777" w:rsidR="0006514A" w:rsidRDefault="003F0F1D">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https://archivos.juridicas.unam.mx/www/bjv/libros/7/3270/24.pdf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524F" w14:textId="77777777" w:rsidR="0006514A" w:rsidRDefault="00F2060E">
    <w:pPr>
      <w:pBdr>
        <w:top w:val="nil"/>
        <w:left w:val="nil"/>
        <w:bottom w:val="nil"/>
        <w:right w:val="nil"/>
        <w:between w:val="nil"/>
      </w:pBdr>
      <w:tabs>
        <w:tab w:val="center" w:pos="4419"/>
        <w:tab w:val="right" w:pos="8838"/>
      </w:tabs>
      <w:rPr>
        <w:color w:val="000000"/>
      </w:rPr>
    </w:pPr>
    <w:r>
      <w:rPr>
        <w:color w:val="000000"/>
      </w:rPr>
      <w:pict w14:anchorId="37E00E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p w14:paraId="376188A0" w14:textId="77777777" w:rsidR="0006514A" w:rsidRDefault="0006514A"/>
  <w:p w14:paraId="33C33991" w14:textId="77777777" w:rsidR="0006514A" w:rsidRDefault="0006514A"/>
  <w:p w14:paraId="6384488A" w14:textId="77777777" w:rsidR="0006514A" w:rsidRDefault="000651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58EF" w14:textId="77777777" w:rsidR="0006514A" w:rsidRDefault="0006514A">
    <w:pPr>
      <w:widowControl w:val="0"/>
      <w:pBdr>
        <w:top w:val="nil"/>
        <w:left w:val="nil"/>
        <w:bottom w:val="nil"/>
        <w:right w:val="nil"/>
        <w:between w:val="nil"/>
      </w:pBdr>
      <w:spacing w:line="276" w:lineRule="auto"/>
    </w:pPr>
  </w:p>
  <w:tbl>
    <w:tblPr>
      <w:tblStyle w:val="a"/>
      <w:tblW w:w="9356" w:type="dxa"/>
      <w:tblInd w:w="0" w:type="dxa"/>
      <w:tblLayout w:type="fixed"/>
      <w:tblLook w:val="0400" w:firstRow="0" w:lastRow="0" w:firstColumn="0" w:lastColumn="0" w:noHBand="0" w:noVBand="1"/>
    </w:tblPr>
    <w:tblGrid>
      <w:gridCol w:w="1843"/>
      <w:gridCol w:w="7513"/>
    </w:tblGrid>
    <w:tr w:rsidR="0006514A" w14:paraId="6E23FB6F" w14:textId="77777777">
      <w:trPr>
        <w:trHeight w:val="1435"/>
      </w:trPr>
      <w:tc>
        <w:tcPr>
          <w:tcW w:w="1843" w:type="dxa"/>
          <w:shd w:val="clear" w:color="auto" w:fill="auto"/>
        </w:tcPr>
        <w:p w14:paraId="3E1DB88B" w14:textId="77777777" w:rsidR="0006514A" w:rsidRDefault="003F0F1D">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p w14:paraId="153D7FBF" w14:textId="77777777" w:rsidR="0006514A" w:rsidRDefault="0006514A"/>
        <w:tbl>
          <w:tblPr>
            <w:tblStyle w:val="a0"/>
            <w:tblW w:w="5669" w:type="dxa"/>
            <w:tblInd w:w="1594" w:type="dxa"/>
            <w:tblBorders>
              <w:top w:val="nil"/>
              <w:left w:val="nil"/>
              <w:bottom w:val="nil"/>
              <w:right w:val="nil"/>
              <w:insideH w:val="nil"/>
              <w:insideV w:val="nil"/>
            </w:tblBorders>
            <w:tblLayout w:type="fixed"/>
            <w:tblLook w:val="0400" w:firstRow="0" w:lastRow="0" w:firstColumn="0" w:lastColumn="0" w:noHBand="0" w:noVBand="1"/>
          </w:tblPr>
          <w:tblGrid>
            <w:gridCol w:w="2551"/>
            <w:gridCol w:w="3118"/>
          </w:tblGrid>
          <w:tr w:rsidR="0006514A" w14:paraId="658EC4B0" w14:textId="77777777">
            <w:trPr>
              <w:trHeight w:val="338"/>
            </w:trPr>
            <w:tc>
              <w:tcPr>
                <w:tcW w:w="2551" w:type="dxa"/>
              </w:tcPr>
              <w:p w14:paraId="735A6E4B" w14:textId="77777777" w:rsidR="0006514A" w:rsidRPr="00BF3867" w:rsidRDefault="0006514A">
                <w:pPr>
                  <w:tabs>
                    <w:tab w:val="right" w:pos="8838"/>
                  </w:tabs>
                  <w:ind w:right="-105"/>
                  <w:rPr>
                    <w:rFonts w:ascii="Palatino Linotype" w:eastAsia="Palatino Linotype" w:hAnsi="Palatino Linotype" w:cs="Palatino Linotype"/>
                    <w:b/>
                    <w:sz w:val="20"/>
                    <w:szCs w:val="22"/>
                  </w:rPr>
                </w:pPr>
              </w:p>
              <w:p w14:paraId="6F461E04" w14:textId="77777777" w:rsidR="0006514A" w:rsidRPr="00BF3867" w:rsidRDefault="003F0F1D">
                <w:pPr>
                  <w:tabs>
                    <w:tab w:val="right" w:pos="8838"/>
                  </w:tabs>
                  <w:ind w:right="-105"/>
                  <w:rPr>
                    <w:rFonts w:ascii="Palatino Linotype" w:eastAsia="Palatino Linotype" w:hAnsi="Palatino Linotype" w:cs="Palatino Linotype"/>
                    <w:b/>
                    <w:sz w:val="20"/>
                    <w:szCs w:val="22"/>
                  </w:rPr>
                </w:pPr>
                <w:r w:rsidRPr="00BF3867">
                  <w:rPr>
                    <w:rFonts w:ascii="Palatino Linotype" w:eastAsia="Palatino Linotype" w:hAnsi="Palatino Linotype" w:cs="Palatino Linotype"/>
                    <w:b/>
                    <w:sz w:val="20"/>
                    <w:szCs w:val="22"/>
                  </w:rPr>
                  <w:t>Recurso de Revisión:</w:t>
                </w:r>
              </w:p>
            </w:tc>
            <w:tc>
              <w:tcPr>
                <w:tcW w:w="3118" w:type="dxa"/>
              </w:tcPr>
              <w:p w14:paraId="6FFA7982" w14:textId="77777777" w:rsidR="0006514A" w:rsidRPr="00BF3867" w:rsidRDefault="0006514A">
                <w:pPr>
                  <w:tabs>
                    <w:tab w:val="right" w:pos="8838"/>
                  </w:tabs>
                  <w:ind w:right="-105" w:hanging="101"/>
                  <w:jc w:val="both"/>
                  <w:rPr>
                    <w:rFonts w:ascii="Palatino Linotype" w:eastAsia="Palatino Linotype" w:hAnsi="Palatino Linotype" w:cs="Palatino Linotype"/>
                    <w:sz w:val="20"/>
                    <w:szCs w:val="22"/>
                  </w:rPr>
                </w:pPr>
              </w:p>
              <w:p w14:paraId="77146C61" w14:textId="77777777" w:rsidR="0006514A" w:rsidRPr="00BF3867" w:rsidRDefault="003F0F1D">
                <w:pPr>
                  <w:tabs>
                    <w:tab w:val="right" w:pos="8838"/>
                  </w:tabs>
                  <w:ind w:left="-108" w:right="-105" w:hanging="100"/>
                  <w:jc w:val="both"/>
                  <w:rPr>
                    <w:rFonts w:ascii="Palatino Linotype" w:eastAsia="Palatino Linotype" w:hAnsi="Palatino Linotype" w:cs="Palatino Linotype"/>
                    <w:sz w:val="20"/>
                    <w:szCs w:val="22"/>
                  </w:rPr>
                </w:pPr>
                <w:r w:rsidRPr="00BF3867">
                  <w:rPr>
                    <w:rFonts w:ascii="Palatino Linotype" w:eastAsia="Palatino Linotype" w:hAnsi="Palatino Linotype" w:cs="Palatino Linotype"/>
                    <w:sz w:val="20"/>
                    <w:szCs w:val="22"/>
                  </w:rPr>
                  <w:t>0</w:t>
                </w:r>
                <w:r w:rsidR="00BF3867">
                  <w:rPr>
                    <w:rFonts w:ascii="Palatino Linotype" w:eastAsia="Palatino Linotype" w:hAnsi="Palatino Linotype" w:cs="Palatino Linotype"/>
                    <w:sz w:val="20"/>
                    <w:szCs w:val="22"/>
                  </w:rPr>
                  <w:t>0</w:t>
                </w:r>
                <w:r w:rsidRPr="00BF3867">
                  <w:rPr>
                    <w:rFonts w:ascii="Palatino Linotype" w:eastAsia="Palatino Linotype" w:hAnsi="Palatino Linotype" w:cs="Palatino Linotype"/>
                    <w:sz w:val="20"/>
                    <w:szCs w:val="22"/>
                  </w:rPr>
                  <w:t>2993/INFOEM/IP/RR/2024 y 03831/INFOEM/IP/RR/2024</w:t>
                </w:r>
              </w:p>
            </w:tc>
          </w:tr>
          <w:tr w:rsidR="0006514A" w14:paraId="31A5A6AC" w14:textId="77777777">
            <w:trPr>
              <w:trHeight w:val="283"/>
            </w:trPr>
            <w:tc>
              <w:tcPr>
                <w:tcW w:w="2551" w:type="dxa"/>
              </w:tcPr>
              <w:p w14:paraId="311C9318" w14:textId="77777777" w:rsidR="0006514A" w:rsidRPr="00BF3867" w:rsidRDefault="003F0F1D">
                <w:pPr>
                  <w:tabs>
                    <w:tab w:val="right" w:pos="8838"/>
                  </w:tabs>
                  <w:ind w:right="-105"/>
                  <w:rPr>
                    <w:rFonts w:ascii="Palatino Linotype" w:eastAsia="Palatino Linotype" w:hAnsi="Palatino Linotype" w:cs="Palatino Linotype"/>
                    <w:b/>
                    <w:sz w:val="20"/>
                    <w:szCs w:val="22"/>
                  </w:rPr>
                </w:pPr>
                <w:bookmarkStart w:id="10" w:name="_heading=h.2s8eyo1" w:colFirst="0" w:colLast="0"/>
                <w:bookmarkEnd w:id="10"/>
                <w:r w:rsidRPr="00BF3867">
                  <w:rPr>
                    <w:rFonts w:ascii="Palatino Linotype" w:eastAsia="Palatino Linotype" w:hAnsi="Palatino Linotype" w:cs="Palatino Linotype"/>
                    <w:b/>
                    <w:sz w:val="20"/>
                    <w:szCs w:val="22"/>
                  </w:rPr>
                  <w:t>Sujeto Obligado:</w:t>
                </w:r>
              </w:p>
            </w:tc>
            <w:tc>
              <w:tcPr>
                <w:tcW w:w="3118" w:type="dxa"/>
              </w:tcPr>
              <w:p w14:paraId="3043BC90" w14:textId="77777777" w:rsidR="0006514A" w:rsidRPr="00BF3867" w:rsidRDefault="003F0F1D">
                <w:pPr>
                  <w:tabs>
                    <w:tab w:val="left" w:pos="2834"/>
                    <w:tab w:val="right" w:pos="8838"/>
                  </w:tabs>
                  <w:ind w:left="-113" w:right="-107"/>
                  <w:jc w:val="both"/>
                  <w:rPr>
                    <w:rFonts w:ascii="Palatino Linotype" w:eastAsia="Palatino Linotype" w:hAnsi="Palatino Linotype" w:cs="Palatino Linotype"/>
                    <w:sz w:val="20"/>
                    <w:szCs w:val="22"/>
                  </w:rPr>
                </w:pPr>
                <w:r w:rsidRPr="00BF3867">
                  <w:rPr>
                    <w:rFonts w:ascii="Palatino Linotype" w:eastAsia="Palatino Linotype" w:hAnsi="Palatino Linotype" w:cs="Palatino Linotype"/>
                    <w:sz w:val="20"/>
                    <w:szCs w:val="22"/>
                  </w:rPr>
                  <w:t>Organismo Descentralizado de Agua Potable Alcantarillado y Saneamiento de Nezahualcóyotl (ODAPAS)</w:t>
                </w:r>
              </w:p>
            </w:tc>
          </w:tr>
          <w:tr w:rsidR="0006514A" w14:paraId="307BE1A5" w14:textId="77777777">
            <w:trPr>
              <w:trHeight w:val="283"/>
            </w:trPr>
            <w:tc>
              <w:tcPr>
                <w:tcW w:w="2551" w:type="dxa"/>
              </w:tcPr>
              <w:p w14:paraId="3AF7DD77" w14:textId="77777777" w:rsidR="0006514A" w:rsidRPr="00BF3867" w:rsidRDefault="003F0F1D">
                <w:pPr>
                  <w:tabs>
                    <w:tab w:val="right" w:pos="8838"/>
                  </w:tabs>
                  <w:ind w:right="-105"/>
                  <w:rPr>
                    <w:rFonts w:ascii="Palatino Linotype" w:eastAsia="Palatino Linotype" w:hAnsi="Palatino Linotype" w:cs="Palatino Linotype"/>
                    <w:b/>
                    <w:sz w:val="20"/>
                    <w:szCs w:val="22"/>
                  </w:rPr>
                </w:pPr>
                <w:r w:rsidRPr="00BF3867">
                  <w:rPr>
                    <w:rFonts w:ascii="Palatino Linotype" w:eastAsia="Palatino Linotype" w:hAnsi="Palatino Linotype" w:cs="Palatino Linotype"/>
                    <w:b/>
                    <w:sz w:val="20"/>
                    <w:szCs w:val="22"/>
                  </w:rPr>
                  <w:t>Comisionada Ponente:</w:t>
                </w:r>
              </w:p>
            </w:tc>
            <w:tc>
              <w:tcPr>
                <w:tcW w:w="3118" w:type="dxa"/>
              </w:tcPr>
              <w:p w14:paraId="51F7F4EC" w14:textId="77777777" w:rsidR="0006514A" w:rsidRPr="00BF3867" w:rsidRDefault="003F0F1D">
                <w:pPr>
                  <w:tabs>
                    <w:tab w:val="right" w:pos="8838"/>
                  </w:tabs>
                  <w:ind w:left="-113" w:right="-105"/>
                  <w:jc w:val="both"/>
                  <w:rPr>
                    <w:rFonts w:ascii="Palatino Linotype" w:eastAsia="Palatino Linotype" w:hAnsi="Palatino Linotype" w:cs="Palatino Linotype"/>
                    <w:b/>
                    <w:sz w:val="20"/>
                    <w:szCs w:val="22"/>
                  </w:rPr>
                </w:pPr>
                <w:r w:rsidRPr="00BF3867">
                  <w:rPr>
                    <w:rFonts w:ascii="Palatino Linotype" w:eastAsia="Palatino Linotype" w:hAnsi="Palatino Linotype" w:cs="Palatino Linotype"/>
                    <w:sz w:val="20"/>
                    <w:szCs w:val="22"/>
                  </w:rPr>
                  <w:t>María del Rosario Mejía Ayala</w:t>
                </w:r>
              </w:p>
            </w:tc>
          </w:tr>
        </w:tbl>
        <w:p w14:paraId="1B8C3D9A" w14:textId="77777777" w:rsidR="0006514A" w:rsidRDefault="0006514A">
          <w:pPr>
            <w:tabs>
              <w:tab w:val="right" w:pos="8838"/>
            </w:tabs>
            <w:ind w:left="-28"/>
            <w:jc w:val="both"/>
            <w:rPr>
              <w:rFonts w:ascii="Arial" w:eastAsia="Arial" w:hAnsi="Arial" w:cs="Arial"/>
              <w:b/>
              <w:sz w:val="22"/>
              <w:szCs w:val="22"/>
            </w:rPr>
          </w:pPr>
        </w:p>
      </w:tc>
    </w:tr>
  </w:tbl>
  <w:p w14:paraId="7571BDE4" w14:textId="77777777" w:rsidR="0006514A" w:rsidRDefault="00F2060E">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299F0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104.3pt;margin-top:-133.1pt;width:663.5pt;height:12in;z-index:-251659776;mso-position-horizontal:absolute;mso-position-horizontal-relative:margin;mso-position-vertical:absolute;mso-position-vertical-relative:margin">
          <v:imagedata r:id="rId1" o:title="image1"/>
          <w10:wrap anchorx="margin" anchory="margin"/>
        </v:shape>
      </w:pict>
    </w:r>
  </w:p>
  <w:p w14:paraId="278EDBAD" w14:textId="77777777" w:rsidR="0006514A" w:rsidRDefault="0006514A"/>
  <w:p w14:paraId="2E8E3B77" w14:textId="77777777" w:rsidR="0006514A" w:rsidRDefault="0006514A"/>
  <w:p w14:paraId="218BFFE0" w14:textId="77777777" w:rsidR="0006514A" w:rsidRDefault="000651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2B95" w14:textId="77777777" w:rsidR="0006514A" w:rsidRDefault="0006514A">
    <w:pPr>
      <w:widowControl w:val="0"/>
      <w:pBdr>
        <w:top w:val="nil"/>
        <w:left w:val="nil"/>
        <w:bottom w:val="nil"/>
        <w:right w:val="nil"/>
        <w:between w:val="nil"/>
      </w:pBdr>
      <w:spacing w:line="276" w:lineRule="auto"/>
    </w:pPr>
  </w:p>
  <w:tbl>
    <w:tblPr>
      <w:tblStyle w:val="a1"/>
      <w:tblW w:w="9498" w:type="dxa"/>
      <w:tblInd w:w="0" w:type="dxa"/>
      <w:tblLayout w:type="fixed"/>
      <w:tblLook w:val="0400" w:firstRow="0" w:lastRow="0" w:firstColumn="0" w:lastColumn="0" w:noHBand="0" w:noVBand="1"/>
    </w:tblPr>
    <w:tblGrid>
      <w:gridCol w:w="1560"/>
      <w:gridCol w:w="7938"/>
    </w:tblGrid>
    <w:tr w:rsidR="0006514A" w14:paraId="6F9310DD" w14:textId="77777777">
      <w:trPr>
        <w:trHeight w:val="1435"/>
      </w:trPr>
      <w:tc>
        <w:tcPr>
          <w:tcW w:w="1560" w:type="dxa"/>
          <w:shd w:val="clear" w:color="auto" w:fill="auto"/>
        </w:tcPr>
        <w:p w14:paraId="2ADBAC4D" w14:textId="77777777" w:rsidR="0006514A" w:rsidRDefault="0006514A">
          <w:pPr>
            <w:tabs>
              <w:tab w:val="right" w:pos="4273"/>
            </w:tabs>
            <w:rPr>
              <w:rFonts w:ascii="Garamond" w:eastAsia="Garamond" w:hAnsi="Garamond" w:cs="Garamond"/>
              <w:sz w:val="22"/>
              <w:szCs w:val="22"/>
            </w:rPr>
          </w:pPr>
        </w:p>
      </w:tc>
      <w:tc>
        <w:tcPr>
          <w:tcW w:w="7938" w:type="dxa"/>
          <w:shd w:val="clear" w:color="auto" w:fill="auto"/>
        </w:tcPr>
        <w:p w14:paraId="486DD027" w14:textId="77777777" w:rsidR="0006514A" w:rsidRDefault="0006514A">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8940"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90"/>
            <w:gridCol w:w="3210"/>
            <w:gridCol w:w="3240"/>
          </w:tblGrid>
          <w:tr w:rsidR="0006514A" w14:paraId="6FC4E363" w14:textId="77777777">
            <w:trPr>
              <w:trHeight w:val="144"/>
            </w:trPr>
            <w:tc>
              <w:tcPr>
                <w:tcW w:w="2490" w:type="dxa"/>
              </w:tcPr>
              <w:p w14:paraId="37D73B44" w14:textId="77777777" w:rsidR="0006514A" w:rsidRDefault="003F0F1D">
                <w:pPr>
                  <w:tabs>
                    <w:tab w:val="right" w:pos="8838"/>
                  </w:tabs>
                  <w:ind w:left="-74" w:right="-105"/>
                  <w:rPr>
                    <w:rFonts w:ascii="Palatino Linotype" w:eastAsia="Palatino Linotype" w:hAnsi="Palatino Linotype" w:cs="Palatino Linotype"/>
                    <w:b/>
                    <w:sz w:val="22"/>
                    <w:szCs w:val="22"/>
                  </w:rPr>
                </w:pPr>
                <w:bookmarkStart w:id="11" w:name="_heading=h.17dp8vu" w:colFirst="0" w:colLast="0"/>
                <w:bookmarkEnd w:id="11"/>
                <w:r>
                  <w:rPr>
                    <w:rFonts w:ascii="Palatino Linotype" w:eastAsia="Palatino Linotype" w:hAnsi="Palatino Linotype" w:cs="Palatino Linotype"/>
                    <w:b/>
                    <w:sz w:val="22"/>
                    <w:szCs w:val="22"/>
                  </w:rPr>
                  <w:t>Recurso de Revisión:</w:t>
                </w:r>
              </w:p>
            </w:tc>
            <w:tc>
              <w:tcPr>
                <w:tcW w:w="3210" w:type="dxa"/>
              </w:tcPr>
              <w:p w14:paraId="57096409" w14:textId="77777777" w:rsidR="0006514A" w:rsidRDefault="003F0F1D">
                <w:pPr>
                  <w:tabs>
                    <w:tab w:val="right" w:pos="8838"/>
                  </w:tabs>
                  <w:ind w:left="-3"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02993/INFOEM/IP/RR/2024 y 03831/INFOEM/IP/RR/2024</w:t>
                </w:r>
              </w:p>
            </w:tc>
            <w:tc>
              <w:tcPr>
                <w:tcW w:w="3240" w:type="dxa"/>
              </w:tcPr>
              <w:p w14:paraId="1E4FA049" w14:textId="77777777" w:rsidR="0006514A" w:rsidRDefault="0006514A">
                <w:pPr>
                  <w:tabs>
                    <w:tab w:val="right" w:pos="8838"/>
                  </w:tabs>
                  <w:ind w:left="-74" w:right="-105"/>
                  <w:jc w:val="both"/>
                  <w:rPr>
                    <w:rFonts w:ascii="Palatino Linotype" w:eastAsia="Palatino Linotype" w:hAnsi="Palatino Linotype" w:cs="Palatino Linotype"/>
                    <w:sz w:val="22"/>
                    <w:szCs w:val="22"/>
                  </w:rPr>
                </w:pPr>
              </w:p>
            </w:tc>
          </w:tr>
          <w:tr w:rsidR="0006514A" w14:paraId="39BDB441" w14:textId="77777777">
            <w:trPr>
              <w:trHeight w:val="144"/>
            </w:trPr>
            <w:tc>
              <w:tcPr>
                <w:tcW w:w="2490" w:type="dxa"/>
              </w:tcPr>
              <w:p w14:paraId="6F54491E" w14:textId="77777777" w:rsidR="0006514A" w:rsidRDefault="003F0F1D">
                <w:pPr>
                  <w:tabs>
                    <w:tab w:val="right" w:pos="8838"/>
                  </w:tabs>
                  <w:ind w:left="-74" w:right="-105"/>
                  <w:rPr>
                    <w:rFonts w:ascii="Palatino Linotype" w:eastAsia="Palatino Linotype" w:hAnsi="Palatino Linotype" w:cs="Palatino Linotype"/>
                    <w:b/>
                    <w:sz w:val="22"/>
                    <w:szCs w:val="22"/>
                  </w:rPr>
                </w:pPr>
                <w:bookmarkStart w:id="12" w:name="_heading=h.3rdcrjn" w:colFirst="0" w:colLast="0"/>
                <w:bookmarkEnd w:id="12"/>
                <w:r>
                  <w:rPr>
                    <w:rFonts w:ascii="Palatino Linotype" w:eastAsia="Palatino Linotype" w:hAnsi="Palatino Linotype" w:cs="Palatino Linotype"/>
                    <w:b/>
                    <w:sz w:val="22"/>
                    <w:szCs w:val="22"/>
                  </w:rPr>
                  <w:t>Recurrente:</w:t>
                </w:r>
              </w:p>
            </w:tc>
            <w:tc>
              <w:tcPr>
                <w:tcW w:w="3210" w:type="dxa"/>
              </w:tcPr>
              <w:p w14:paraId="0F86035B" w14:textId="30FF08AE" w:rsidR="0006514A" w:rsidRDefault="00672633">
                <w:pPr>
                  <w:tabs>
                    <w:tab w:val="left" w:pos="3122"/>
                    <w:tab w:val="right" w:pos="8838"/>
                  </w:tabs>
                  <w:ind w:right="17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c>
              <w:tcPr>
                <w:tcW w:w="3240" w:type="dxa"/>
              </w:tcPr>
              <w:p w14:paraId="233B6C7D" w14:textId="77777777" w:rsidR="0006514A" w:rsidRDefault="0006514A">
                <w:pPr>
                  <w:tabs>
                    <w:tab w:val="left" w:pos="3122"/>
                    <w:tab w:val="right" w:pos="8838"/>
                  </w:tabs>
                  <w:ind w:right="-105"/>
                  <w:jc w:val="both"/>
                  <w:rPr>
                    <w:rFonts w:ascii="Palatino Linotype" w:eastAsia="Palatino Linotype" w:hAnsi="Palatino Linotype" w:cs="Palatino Linotype"/>
                    <w:sz w:val="22"/>
                    <w:szCs w:val="22"/>
                  </w:rPr>
                </w:pPr>
              </w:p>
            </w:tc>
          </w:tr>
          <w:tr w:rsidR="0006514A" w14:paraId="66575038" w14:textId="77777777">
            <w:trPr>
              <w:trHeight w:val="283"/>
            </w:trPr>
            <w:tc>
              <w:tcPr>
                <w:tcW w:w="2490" w:type="dxa"/>
              </w:tcPr>
              <w:p w14:paraId="3DB8E7F9" w14:textId="77777777" w:rsidR="0006514A" w:rsidRDefault="003F0F1D">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210" w:type="dxa"/>
              </w:tcPr>
              <w:p w14:paraId="79A8046F" w14:textId="77777777" w:rsidR="0006514A" w:rsidRDefault="003F0F1D">
                <w:pPr>
                  <w:tabs>
                    <w:tab w:val="left" w:pos="2834"/>
                    <w:tab w:val="right" w:pos="8838"/>
                  </w:tabs>
                  <w:ind w:left="-3"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Organismo Descentralizado de Agua Potable Alcantarillado y Saneamiento de Nezahualcóyotl (ODAPAS)</w:t>
                </w:r>
              </w:p>
            </w:tc>
            <w:tc>
              <w:tcPr>
                <w:tcW w:w="3240" w:type="dxa"/>
              </w:tcPr>
              <w:p w14:paraId="3DBF1361" w14:textId="77777777" w:rsidR="0006514A" w:rsidRDefault="0006514A">
                <w:pPr>
                  <w:tabs>
                    <w:tab w:val="left" w:pos="2834"/>
                    <w:tab w:val="right" w:pos="8838"/>
                  </w:tabs>
                  <w:ind w:left="-74" w:right="-105"/>
                  <w:jc w:val="both"/>
                  <w:rPr>
                    <w:rFonts w:ascii="Palatino Linotype" w:eastAsia="Palatino Linotype" w:hAnsi="Palatino Linotype" w:cs="Palatino Linotype"/>
                    <w:sz w:val="22"/>
                    <w:szCs w:val="22"/>
                  </w:rPr>
                </w:pPr>
              </w:p>
            </w:tc>
          </w:tr>
          <w:tr w:rsidR="0006514A" w14:paraId="186AD149" w14:textId="77777777">
            <w:trPr>
              <w:trHeight w:val="283"/>
            </w:trPr>
            <w:tc>
              <w:tcPr>
                <w:tcW w:w="2490" w:type="dxa"/>
              </w:tcPr>
              <w:p w14:paraId="3EAD6855" w14:textId="77777777" w:rsidR="0006514A" w:rsidRDefault="003F0F1D">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210" w:type="dxa"/>
              </w:tcPr>
              <w:p w14:paraId="1D88659D" w14:textId="77777777" w:rsidR="0006514A" w:rsidRDefault="003F0F1D">
                <w:pPr>
                  <w:tabs>
                    <w:tab w:val="right" w:pos="8838"/>
                  </w:tabs>
                  <w:ind w:left="-3"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3240" w:type="dxa"/>
              </w:tcPr>
              <w:p w14:paraId="14AEFE9F" w14:textId="77777777" w:rsidR="0006514A" w:rsidRDefault="0006514A">
                <w:pPr>
                  <w:tabs>
                    <w:tab w:val="right" w:pos="8838"/>
                  </w:tabs>
                  <w:ind w:left="-74" w:right="-105"/>
                  <w:jc w:val="both"/>
                  <w:rPr>
                    <w:rFonts w:ascii="Palatino Linotype" w:eastAsia="Palatino Linotype" w:hAnsi="Palatino Linotype" w:cs="Palatino Linotype"/>
                    <w:sz w:val="22"/>
                    <w:szCs w:val="22"/>
                  </w:rPr>
                </w:pPr>
              </w:p>
            </w:tc>
          </w:tr>
        </w:tbl>
        <w:p w14:paraId="54EBA7D9" w14:textId="77777777" w:rsidR="0006514A" w:rsidRDefault="0006514A">
          <w:pPr>
            <w:tabs>
              <w:tab w:val="right" w:pos="8838"/>
            </w:tabs>
            <w:ind w:left="-28"/>
            <w:jc w:val="both"/>
            <w:rPr>
              <w:rFonts w:ascii="Arial" w:eastAsia="Arial" w:hAnsi="Arial" w:cs="Arial"/>
              <w:b/>
              <w:sz w:val="22"/>
              <w:szCs w:val="22"/>
            </w:rPr>
          </w:pPr>
        </w:p>
      </w:tc>
    </w:tr>
  </w:tbl>
  <w:p w14:paraId="77FAD0BD" w14:textId="77777777" w:rsidR="0006514A" w:rsidRDefault="00F2060E">
    <w:pPr>
      <w:rPr>
        <w:color w:val="000000"/>
      </w:rPr>
    </w:pPr>
    <w:r>
      <w:rPr>
        <w:color w:val="000000"/>
        <w:sz w:val="14"/>
        <w:szCs w:val="14"/>
      </w:rPr>
      <w:pict w14:anchorId="54189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75.8pt;margin-top:-134.3pt;width:663.5pt;height:12in;z-index:-251658752;mso-position-horizontal:absolute;mso-position-horizontal-relative:margin;mso-position-vertical:absolute;mso-position-vertical-relative:margin">
          <v:imagedata r:id="rId1" o:title="image1"/>
          <w10:wrap anchorx="margin" anchory="margin"/>
        </v:shape>
      </w:pict>
    </w:r>
  </w:p>
  <w:p w14:paraId="6C26D692" w14:textId="77777777" w:rsidR="0006514A" w:rsidRDefault="0006514A"/>
  <w:p w14:paraId="29029F3E" w14:textId="77777777" w:rsidR="0006514A" w:rsidRDefault="000651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7655F"/>
    <w:multiLevelType w:val="multilevel"/>
    <w:tmpl w:val="72CA1970"/>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8"/>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AF2715"/>
    <w:multiLevelType w:val="multilevel"/>
    <w:tmpl w:val="2F60E3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2F94589"/>
    <w:multiLevelType w:val="multilevel"/>
    <w:tmpl w:val="B0C2AA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D672343"/>
    <w:multiLevelType w:val="multilevel"/>
    <w:tmpl w:val="DBB40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43223617">
    <w:abstractNumId w:val="0"/>
  </w:num>
  <w:num w:numId="2" w16cid:durableId="1568303249">
    <w:abstractNumId w:val="1"/>
  </w:num>
  <w:num w:numId="3" w16cid:durableId="1475223402">
    <w:abstractNumId w:val="3"/>
  </w:num>
  <w:num w:numId="4" w16cid:durableId="1134326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14A"/>
    <w:rsid w:val="0006514A"/>
    <w:rsid w:val="00085C1A"/>
    <w:rsid w:val="003F0F1D"/>
    <w:rsid w:val="0062722D"/>
    <w:rsid w:val="00672633"/>
    <w:rsid w:val="007B7041"/>
    <w:rsid w:val="007B70D4"/>
    <w:rsid w:val="009042BF"/>
    <w:rsid w:val="00A72188"/>
    <w:rsid w:val="00BF3867"/>
    <w:rsid w:val="00F206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ED26C"/>
  <w15:docId w15:val="{FA336AE3-E807-460B-9E0D-95DD3DAC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C79"/>
  </w:style>
  <w:style w:type="paragraph" w:styleId="Ttulo1">
    <w:name w:val="heading 1"/>
    <w:basedOn w:val="Normal"/>
    <w:next w:val="Normal"/>
    <w:link w:val="Ttulo1Car"/>
    <w:uiPriority w:val="9"/>
    <w:qFormat/>
    <w:rsid w:val="001C2C7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C2C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1C2C79"/>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1C2C79"/>
    <w:rPr>
      <w:rFonts w:asciiTheme="majorHAnsi" w:eastAsiaTheme="majorEastAsia" w:hAnsiTheme="majorHAnsi" w:cstheme="majorBidi"/>
      <w:color w:val="2E74B5" w:themeColor="accent1" w:themeShade="BF"/>
      <w:sz w:val="26"/>
      <w:szCs w:val="26"/>
      <w:lang w:eastAsia="es-MX"/>
    </w:rPr>
  </w:style>
  <w:style w:type="paragraph" w:styleId="Piedepgina">
    <w:name w:val="footer"/>
    <w:basedOn w:val="Normal"/>
    <w:link w:val="PiedepginaCar"/>
    <w:uiPriority w:val="99"/>
    <w:unhideWhenUsed/>
    <w:rsid w:val="001C2C79"/>
    <w:pPr>
      <w:tabs>
        <w:tab w:val="center" w:pos="4419"/>
        <w:tab w:val="right" w:pos="8838"/>
      </w:tabs>
    </w:pPr>
  </w:style>
  <w:style w:type="character" w:customStyle="1" w:styleId="PiedepginaCar">
    <w:name w:val="Pie de página Car"/>
    <w:basedOn w:val="Fuentedeprrafopredeter"/>
    <w:link w:val="Piedepgina"/>
    <w:uiPriority w:val="99"/>
    <w:rsid w:val="001C2C79"/>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53281"/>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53281"/>
    <w:rPr>
      <w:rFonts w:ascii="Times New Roman" w:eastAsia="Times New Roman" w:hAnsi="Times New Roman" w:cs="Times New Roman"/>
      <w:sz w:val="24"/>
      <w:szCs w:val="24"/>
      <w:lang w:eastAsia="es-MX"/>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5D37F5"/>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D37F5"/>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5D37F5"/>
    <w:rPr>
      <w:rFonts w:ascii="Times New Roman" w:eastAsia="Times New Roman" w:hAnsi="Times New Roman" w:cs="Times New Roman"/>
      <w:sz w:val="20"/>
      <w:szCs w:val="20"/>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5D37F5"/>
    <w:rPr>
      <w:vertAlign w:val="superscript"/>
    </w:rPr>
  </w:style>
  <w:style w:type="table" w:styleId="Tablaconcuadrcula">
    <w:name w:val="Table Grid"/>
    <w:basedOn w:val="Tablanormal"/>
    <w:uiPriority w:val="39"/>
    <w:rsid w:val="00C84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rsid w:val="00C845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vnculo">
    <w:name w:val="Hyperlink"/>
    <w:aliases w:val="Hipervínculo1,Hipervínculo11,Hipervínculo12,Hipervínculo13,Hipervínculo14,Hipervínculo15"/>
    <w:basedOn w:val="Fuentedeprrafopredeter"/>
    <w:uiPriority w:val="99"/>
    <w:unhideWhenUsed/>
    <w:qFormat/>
    <w:rsid w:val="008058D0"/>
    <w:rPr>
      <w:color w:val="0563C1" w:themeColor="hyperlink"/>
      <w:u w:val="single"/>
    </w:rPr>
  </w:style>
  <w:style w:type="paragraph" w:styleId="Sinespaciado">
    <w:name w:val="No Spacing"/>
    <w:aliases w:val="Francesa,INAI"/>
    <w:link w:val="SinespaciadoCar"/>
    <w:uiPriority w:val="1"/>
    <w:qFormat/>
    <w:rsid w:val="00CB4107"/>
    <w:rPr>
      <w:lang w:eastAsia="es-ES"/>
    </w:rPr>
  </w:style>
  <w:style w:type="character" w:customStyle="1" w:styleId="SinespaciadoCar">
    <w:name w:val="Sin espaciado Car"/>
    <w:aliases w:val="Francesa Car,INAI Car"/>
    <w:link w:val="Sinespaciado"/>
    <w:uiPriority w:val="1"/>
    <w:locked/>
    <w:rsid w:val="00CB4107"/>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Rw0Q8xPcG7oJprtm9wLjSb+isw==">CgMxLjAyCGguZ2pkZ3hzMgloLjMwajB6bGwyCWguMWZvYjl0ZTIJaC4zem55c2g3MgloLjJldDkycDAyCGgudHlqY3d0MgloLjNkeTZ2a20yCWguMXQzaDVzZjIIaC5namRneHMyCWguNGQzNG9nODIJaC4yczhleW8xMgloLjE3ZHA4dnUyCWguM3JkY3JqbjgAciExbjU1eks5cmZ4Y0ZPQTlrMENRd2lUNEtxT1hTbzBHRGY=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55</Pages>
  <Words>8690</Words>
  <Characters>47800</Characters>
  <Application>Microsoft Office Word</Application>
  <DocSecurity>0</DocSecurity>
  <Lines>398</Lines>
  <Paragraphs>112</Paragraphs>
  <ScaleCrop>false</ScaleCrop>
  <Company>HP Inc.</Company>
  <LinksUpToDate>false</LinksUpToDate>
  <CharactersWithSpaces>56378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inf03m612@outlook.com</cp:lastModifiedBy>
  <cp:revision>6</cp:revision>
  <cp:lastPrinted>2024-11-07T18:25:00Z</cp:lastPrinted>
  <dcterms:created xsi:type="dcterms:W3CDTF">2024-10-24T15:43:00Z</dcterms:created>
  <dcterms:modified xsi:type="dcterms:W3CDTF">2024-11-14T00:05:00Z</dcterms:modified>
</cp:coreProperties>
</file>