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5A95A" w14:textId="2265F8BF" w:rsidR="00DD45AF" w:rsidRPr="002B3167" w:rsidRDefault="006D5803" w:rsidP="002B3167">
      <w:pPr>
        <w:shd w:val="clear" w:color="auto" w:fill="FFFFFF"/>
        <w:spacing w:after="0" w:line="360" w:lineRule="auto"/>
        <w:jc w:val="both"/>
        <w:rPr>
          <w:rFonts w:ascii="Palatino Linotype" w:eastAsia="Times New Roman" w:hAnsi="Palatino Linotype" w:cs="Arial"/>
          <w:color w:val="000000"/>
          <w:sz w:val="24"/>
          <w:szCs w:val="24"/>
          <w:lang w:eastAsia="es-MX"/>
        </w:rPr>
      </w:pPr>
      <w:r w:rsidRPr="002B3167">
        <w:rPr>
          <w:rFonts w:ascii="Palatino Linotype" w:eastAsia="Times New Roman" w:hAnsi="Palatino Linotype" w:cs="Arial"/>
          <w:color w:val="000000"/>
          <w:sz w:val="24"/>
          <w:szCs w:val="24"/>
          <w:lang w:eastAsia="es-MX"/>
        </w:rPr>
        <w:t>Resolución del Pleno del Instituto de Transparencia, Acceso a la</w:t>
      </w:r>
      <w:bookmarkStart w:id="0" w:name="_GoBack"/>
      <w:bookmarkEnd w:id="0"/>
      <w:r w:rsidRPr="002B3167">
        <w:rPr>
          <w:rFonts w:ascii="Palatino Linotype" w:eastAsia="Times New Roman" w:hAnsi="Palatino Linotype" w:cs="Arial"/>
          <w:color w:val="000000"/>
          <w:sz w:val="24"/>
          <w:szCs w:val="24"/>
          <w:lang w:eastAsia="es-MX"/>
        </w:rPr>
        <w:t xml:space="preserve"> Información Pública y Protección de Datos Personales del Estado de México y Municipios, con domicilio en Metepec, Estado de México, a </w:t>
      </w:r>
      <w:r w:rsidR="00691843" w:rsidRPr="002B3167">
        <w:rPr>
          <w:rFonts w:ascii="Palatino Linotype" w:eastAsia="Times New Roman" w:hAnsi="Palatino Linotype" w:cs="Arial"/>
          <w:color w:val="000000"/>
          <w:sz w:val="24"/>
          <w:szCs w:val="24"/>
          <w:lang w:eastAsia="es-MX"/>
        </w:rPr>
        <w:t>veintiuno</w:t>
      </w:r>
      <w:r w:rsidR="008C0691" w:rsidRPr="002B3167">
        <w:rPr>
          <w:rFonts w:ascii="Palatino Linotype" w:eastAsia="Times New Roman" w:hAnsi="Palatino Linotype" w:cs="Arial"/>
          <w:color w:val="000000"/>
          <w:sz w:val="24"/>
          <w:szCs w:val="24"/>
          <w:lang w:eastAsia="es-MX"/>
        </w:rPr>
        <w:t xml:space="preserve"> de </w:t>
      </w:r>
      <w:r w:rsidR="00486595" w:rsidRPr="002B3167">
        <w:rPr>
          <w:rFonts w:ascii="Palatino Linotype" w:eastAsia="Times New Roman" w:hAnsi="Palatino Linotype" w:cs="Arial"/>
          <w:color w:val="000000"/>
          <w:sz w:val="24"/>
          <w:szCs w:val="24"/>
          <w:lang w:eastAsia="es-MX"/>
        </w:rPr>
        <w:t>marzo</w:t>
      </w:r>
      <w:r w:rsidR="008C0691" w:rsidRPr="002B3167">
        <w:rPr>
          <w:rFonts w:ascii="Palatino Linotype" w:eastAsia="Times New Roman" w:hAnsi="Palatino Linotype" w:cs="Arial"/>
          <w:color w:val="000000"/>
          <w:sz w:val="24"/>
          <w:szCs w:val="24"/>
          <w:lang w:eastAsia="es-MX"/>
        </w:rPr>
        <w:t xml:space="preserve"> de dos mil veinti</w:t>
      </w:r>
      <w:r w:rsidR="00486595" w:rsidRPr="002B3167">
        <w:rPr>
          <w:rFonts w:ascii="Palatino Linotype" w:eastAsia="Times New Roman" w:hAnsi="Palatino Linotype" w:cs="Arial"/>
          <w:color w:val="000000"/>
          <w:sz w:val="24"/>
          <w:szCs w:val="24"/>
          <w:lang w:eastAsia="es-MX"/>
        </w:rPr>
        <w:t>cuatro</w:t>
      </w:r>
      <w:r w:rsidR="008C0691" w:rsidRPr="002B3167">
        <w:rPr>
          <w:rFonts w:ascii="Palatino Linotype" w:eastAsia="Times New Roman" w:hAnsi="Palatino Linotype" w:cs="Arial"/>
          <w:color w:val="000000"/>
          <w:sz w:val="24"/>
          <w:szCs w:val="24"/>
          <w:lang w:eastAsia="es-MX"/>
        </w:rPr>
        <w:t>.</w:t>
      </w:r>
    </w:p>
    <w:p w14:paraId="5798652F" w14:textId="77777777" w:rsidR="00486595" w:rsidRPr="002B3167" w:rsidRDefault="00486595" w:rsidP="002B3167">
      <w:pPr>
        <w:shd w:val="clear" w:color="auto" w:fill="FFFFFF"/>
        <w:spacing w:after="0" w:line="360" w:lineRule="auto"/>
        <w:jc w:val="both"/>
        <w:rPr>
          <w:rFonts w:ascii="Palatino Linotype" w:eastAsia="Times New Roman" w:hAnsi="Palatino Linotype" w:cs="Arial"/>
          <w:color w:val="000000"/>
          <w:sz w:val="24"/>
          <w:szCs w:val="24"/>
          <w:lang w:eastAsia="es-MX"/>
        </w:rPr>
      </w:pPr>
    </w:p>
    <w:p w14:paraId="1A414414" w14:textId="395F3C3B" w:rsidR="008C0691" w:rsidRPr="002B3167" w:rsidRDefault="00DD45AF"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4"/>
          <w:szCs w:val="24"/>
        </w:rPr>
        <w:t>VISTO</w:t>
      </w:r>
      <w:r w:rsidRPr="002B3167">
        <w:rPr>
          <w:rFonts w:ascii="Palatino Linotype" w:hAnsi="Palatino Linotype" w:cs="Arial"/>
          <w:sz w:val="24"/>
          <w:szCs w:val="24"/>
        </w:rPr>
        <w:t xml:space="preserve"> el expediente electrónico formado con motivo del recurso de revisión número </w:t>
      </w:r>
      <w:r w:rsidR="00486595" w:rsidRPr="002B3167">
        <w:rPr>
          <w:rFonts w:ascii="Palatino Linotype" w:hAnsi="Palatino Linotype" w:cs="Arial"/>
          <w:b/>
          <w:sz w:val="24"/>
          <w:szCs w:val="24"/>
        </w:rPr>
        <w:t>04335/INFOEM/IP/RR/2023</w:t>
      </w:r>
      <w:r w:rsidRPr="002B3167">
        <w:rPr>
          <w:rFonts w:ascii="Palatino Linotype" w:hAnsi="Palatino Linotype" w:cs="Arial"/>
          <w:b/>
          <w:sz w:val="24"/>
          <w:szCs w:val="24"/>
        </w:rPr>
        <w:t xml:space="preserve">, </w:t>
      </w:r>
      <w:r w:rsidRPr="002B3167">
        <w:rPr>
          <w:rFonts w:ascii="Palatino Linotype" w:hAnsi="Palatino Linotype" w:cs="Arial"/>
          <w:sz w:val="24"/>
          <w:szCs w:val="24"/>
        </w:rPr>
        <w:t xml:space="preserve">interpuesto por </w:t>
      </w:r>
      <w:r w:rsidR="00792E0C" w:rsidRPr="002B3167">
        <w:rPr>
          <w:rFonts w:ascii="Palatino Linotype" w:hAnsi="Palatino Linotype" w:cs="Arial"/>
          <w:sz w:val="24"/>
          <w:szCs w:val="24"/>
        </w:rPr>
        <w:t xml:space="preserve">el </w:t>
      </w:r>
      <w:r w:rsidR="00011156" w:rsidRPr="002B3167">
        <w:rPr>
          <w:rFonts w:ascii="Palatino Linotype" w:hAnsi="Palatino Linotype" w:cs="Arial"/>
          <w:b/>
          <w:sz w:val="24"/>
          <w:szCs w:val="24"/>
        </w:rPr>
        <w:t xml:space="preserve">C. </w:t>
      </w:r>
      <w:r w:rsidR="00E46FBE">
        <w:rPr>
          <w:rFonts w:ascii="Palatino Linotype" w:hAnsi="Palatino Linotype" w:cs="Arial"/>
          <w:b/>
          <w:sz w:val="24"/>
          <w:szCs w:val="24"/>
        </w:rPr>
        <w:t>XXXXXXXXXXXXXXXXXX</w:t>
      </w:r>
      <w:r w:rsidR="00011156" w:rsidRPr="002B3167">
        <w:rPr>
          <w:rFonts w:ascii="Palatino Linotype" w:hAnsi="Palatino Linotype" w:cs="Arial"/>
          <w:b/>
          <w:sz w:val="24"/>
          <w:szCs w:val="24"/>
        </w:rPr>
        <w:t xml:space="preserve">, </w:t>
      </w:r>
      <w:r w:rsidR="00486595" w:rsidRPr="002B3167">
        <w:rPr>
          <w:rFonts w:ascii="Palatino Linotype" w:hAnsi="Palatino Linotype" w:cs="Arial"/>
          <w:sz w:val="24"/>
          <w:szCs w:val="24"/>
        </w:rPr>
        <w:t>quien en lo posterior se le denominara la parte</w:t>
      </w:r>
      <w:r w:rsidR="00486595" w:rsidRPr="002B3167">
        <w:rPr>
          <w:rFonts w:ascii="Palatino Linotype" w:hAnsi="Palatino Linotype" w:cs="Arial"/>
          <w:b/>
          <w:sz w:val="24"/>
          <w:szCs w:val="24"/>
        </w:rPr>
        <w:t xml:space="preserve"> Recurrente, </w:t>
      </w:r>
      <w:r w:rsidR="00011156" w:rsidRPr="002B3167">
        <w:rPr>
          <w:rFonts w:ascii="Palatino Linotype" w:hAnsi="Palatino Linotype" w:cs="Arial"/>
          <w:sz w:val="24"/>
          <w:szCs w:val="24"/>
        </w:rPr>
        <w:t xml:space="preserve">en contra de la </w:t>
      </w:r>
      <w:r w:rsidR="00D7378D" w:rsidRPr="002B3167">
        <w:rPr>
          <w:rFonts w:ascii="Palatino Linotype" w:hAnsi="Palatino Linotype" w:cs="Arial"/>
          <w:sz w:val="24"/>
          <w:szCs w:val="24"/>
        </w:rPr>
        <w:t xml:space="preserve">falta de </w:t>
      </w:r>
      <w:r w:rsidR="008C0691" w:rsidRPr="002B3167">
        <w:rPr>
          <w:rFonts w:ascii="Palatino Linotype" w:hAnsi="Palatino Linotype" w:cs="Arial"/>
          <w:sz w:val="24"/>
          <w:szCs w:val="24"/>
        </w:rPr>
        <w:t xml:space="preserve">respuesta de la </w:t>
      </w:r>
      <w:r w:rsidR="00486595" w:rsidRPr="002B3167">
        <w:rPr>
          <w:rFonts w:ascii="Palatino Linotype" w:hAnsi="Palatino Linotype" w:cs="Arial"/>
          <w:b/>
          <w:sz w:val="24"/>
          <w:szCs w:val="24"/>
        </w:rPr>
        <w:t>Hospital Regional de Alta Especialidad de Zumpango</w:t>
      </w:r>
      <w:r w:rsidR="008C0691" w:rsidRPr="002B3167">
        <w:rPr>
          <w:rFonts w:ascii="Palatino Linotype" w:hAnsi="Palatino Linotype" w:cs="Arial"/>
          <w:b/>
          <w:sz w:val="24"/>
          <w:szCs w:val="24"/>
        </w:rPr>
        <w:t xml:space="preserve">, </w:t>
      </w:r>
      <w:r w:rsidR="008C0691" w:rsidRPr="002B3167">
        <w:rPr>
          <w:rFonts w:ascii="Palatino Linotype" w:hAnsi="Palatino Linotype" w:cs="Arial"/>
          <w:sz w:val="24"/>
          <w:szCs w:val="24"/>
        </w:rPr>
        <w:t xml:space="preserve">en lo sucesivo </w:t>
      </w:r>
      <w:r w:rsidR="008C0691" w:rsidRPr="002B3167">
        <w:rPr>
          <w:rFonts w:ascii="Palatino Linotype" w:hAnsi="Palatino Linotype" w:cs="Arial"/>
          <w:b/>
          <w:sz w:val="24"/>
          <w:szCs w:val="24"/>
        </w:rPr>
        <w:t xml:space="preserve">El Sujeto Obligado, </w:t>
      </w:r>
      <w:r w:rsidR="008C0691" w:rsidRPr="002B3167">
        <w:rPr>
          <w:rFonts w:ascii="Palatino Linotype" w:hAnsi="Palatino Linotype" w:cs="Arial"/>
          <w:sz w:val="24"/>
          <w:szCs w:val="24"/>
        </w:rPr>
        <w:t xml:space="preserve">se procede a dictar la presente resolución. </w:t>
      </w:r>
    </w:p>
    <w:p w14:paraId="492DDF61" w14:textId="77777777" w:rsidR="00B50E49" w:rsidRPr="002B3167" w:rsidRDefault="00B50E49" w:rsidP="002B3167">
      <w:pPr>
        <w:spacing w:after="0" w:line="360" w:lineRule="auto"/>
        <w:jc w:val="both"/>
        <w:rPr>
          <w:rFonts w:ascii="Palatino Linotype" w:hAnsi="Palatino Linotype" w:cs="Arial"/>
          <w:b/>
          <w:sz w:val="24"/>
          <w:szCs w:val="24"/>
        </w:rPr>
      </w:pPr>
    </w:p>
    <w:p w14:paraId="22CF085C" w14:textId="77777777" w:rsidR="006D5803" w:rsidRPr="002B3167" w:rsidRDefault="006D5803" w:rsidP="002B3167">
      <w:pPr>
        <w:pStyle w:val="infoemcitas"/>
        <w:spacing w:before="0" w:after="0"/>
        <w:jc w:val="center"/>
        <w:rPr>
          <w:b/>
          <w:bCs/>
          <w:i w:val="0"/>
          <w:iCs/>
          <w:sz w:val="24"/>
          <w:szCs w:val="24"/>
        </w:rPr>
      </w:pPr>
      <w:r w:rsidRPr="002B3167">
        <w:rPr>
          <w:b/>
          <w:bCs/>
          <w:i w:val="0"/>
          <w:iCs/>
          <w:sz w:val="24"/>
          <w:szCs w:val="24"/>
        </w:rPr>
        <w:t>A N T E C E D E N T E S   D E L   A S U N T O</w:t>
      </w:r>
    </w:p>
    <w:p w14:paraId="4F006BA9" w14:textId="77777777" w:rsidR="00486595" w:rsidRPr="002B3167" w:rsidRDefault="00486595" w:rsidP="002B3167">
      <w:pPr>
        <w:spacing w:after="0" w:line="360" w:lineRule="auto"/>
        <w:jc w:val="both"/>
        <w:rPr>
          <w:rFonts w:ascii="Palatino Linotype" w:hAnsi="Palatino Linotype" w:cs="Arial"/>
          <w:b/>
          <w:sz w:val="24"/>
          <w:szCs w:val="24"/>
        </w:rPr>
      </w:pPr>
    </w:p>
    <w:p w14:paraId="506FEE04" w14:textId="08DFBDC9" w:rsidR="008C0691" w:rsidRPr="002B3167" w:rsidRDefault="006D5803"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8"/>
          <w:szCs w:val="24"/>
        </w:rPr>
        <w:t>PRIMERO</w:t>
      </w:r>
      <w:r w:rsidRPr="002B3167">
        <w:rPr>
          <w:rFonts w:ascii="Palatino Linotype" w:hAnsi="Palatino Linotype" w:cs="Arial"/>
          <w:b/>
          <w:sz w:val="24"/>
          <w:szCs w:val="24"/>
        </w:rPr>
        <w:t>.</w:t>
      </w:r>
      <w:r w:rsidRPr="002B3167">
        <w:rPr>
          <w:rFonts w:ascii="Palatino Linotype" w:hAnsi="Palatino Linotype" w:cs="Arial"/>
          <w:sz w:val="24"/>
          <w:szCs w:val="24"/>
        </w:rPr>
        <w:t xml:space="preserve"> Con fecha</w:t>
      </w:r>
      <w:r w:rsidR="00E138CC" w:rsidRPr="002B3167">
        <w:rPr>
          <w:rFonts w:ascii="Palatino Linotype" w:hAnsi="Palatino Linotype" w:cs="Arial"/>
          <w:sz w:val="24"/>
          <w:szCs w:val="24"/>
        </w:rPr>
        <w:t xml:space="preserve"> </w:t>
      </w:r>
      <w:r w:rsidR="00486595" w:rsidRPr="002B3167">
        <w:rPr>
          <w:rFonts w:ascii="Palatino Linotype" w:hAnsi="Palatino Linotype" w:cs="Arial"/>
          <w:sz w:val="24"/>
          <w:szCs w:val="24"/>
        </w:rPr>
        <w:t>veinte de junio de dos mil veintitrés</w:t>
      </w:r>
      <w:r w:rsidR="008C0691" w:rsidRPr="002B3167">
        <w:rPr>
          <w:rFonts w:ascii="Palatino Linotype" w:hAnsi="Palatino Linotype" w:cs="Arial"/>
          <w:sz w:val="24"/>
          <w:szCs w:val="24"/>
        </w:rPr>
        <w:t xml:space="preserve">, </w:t>
      </w:r>
      <w:r w:rsidR="00486595" w:rsidRPr="002B3167">
        <w:rPr>
          <w:rFonts w:ascii="Palatino Linotype" w:hAnsi="Palatino Linotype" w:cs="Arial"/>
          <w:sz w:val="24"/>
          <w:szCs w:val="24"/>
        </w:rPr>
        <w:t>la parte</w:t>
      </w:r>
      <w:r w:rsidR="008C0691" w:rsidRPr="002B3167">
        <w:rPr>
          <w:rFonts w:ascii="Palatino Linotype" w:hAnsi="Palatino Linotype" w:cs="Arial"/>
          <w:b/>
          <w:sz w:val="24"/>
          <w:szCs w:val="24"/>
        </w:rPr>
        <w:t xml:space="preserve"> Recurrente, </w:t>
      </w:r>
      <w:r w:rsidR="008C0691" w:rsidRPr="002B3167">
        <w:rPr>
          <w:rFonts w:ascii="Palatino Linotype" w:hAnsi="Palatino Linotype" w:cs="Arial"/>
          <w:sz w:val="24"/>
          <w:szCs w:val="24"/>
        </w:rPr>
        <w:t>presentó a través del Sistema de Acceso de Información Mexiquense (</w:t>
      </w:r>
      <w:r w:rsidR="008C0691" w:rsidRPr="002B3167">
        <w:rPr>
          <w:rFonts w:ascii="Palatino Linotype" w:hAnsi="Palatino Linotype" w:cs="Arial"/>
          <w:b/>
          <w:sz w:val="24"/>
          <w:szCs w:val="24"/>
        </w:rPr>
        <w:t>SAIMEX)</w:t>
      </w:r>
      <w:r w:rsidR="008C0691" w:rsidRPr="002B3167">
        <w:rPr>
          <w:rFonts w:ascii="Palatino Linotype" w:hAnsi="Palatino Linotype" w:cs="Arial"/>
          <w:sz w:val="24"/>
          <w:szCs w:val="24"/>
        </w:rPr>
        <w:t xml:space="preserve"> ante </w:t>
      </w:r>
      <w:r w:rsidR="00486595" w:rsidRPr="002B3167">
        <w:rPr>
          <w:rFonts w:ascii="Palatino Linotype" w:hAnsi="Palatino Linotype" w:cs="Arial"/>
          <w:sz w:val="24"/>
          <w:szCs w:val="24"/>
        </w:rPr>
        <w:t>el</w:t>
      </w:r>
      <w:r w:rsidR="00486595" w:rsidRPr="002B3167">
        <w:rPr>
          <w:rFonts w:ascii="Palatino Linotype" w:hAnsi="Palatino Linotype" w:cs="Arial"/>
          <w:b/>
          <w:sz w:val="24"/>
          <w:szCs w:val="24"/>
        </w:rPr>
        <w:t xml:space="preserve"> </w:t>
      </w:r>
      <w:r w:rsidR="008C0691" w:rsidRPr="002B3167">
        <w:rPr>
          <w:rFonts w:ascii="Palatino Linotype" w:hAnsi="Palatino Linotype" w:cs="Arial"/>
          <w:b/>
          <w:sz w:val="24"/>
          <w:szCs w:val="24"/>
        </w:rPr>
        <w:t>Sujeto Obligado</w:t>
      </w:r>
      <w:r w:rsidR="008C0691" w:rsidRPr="002B3167">
        <w:rPr>
          <w:rFonts w:ascii="Palatino Linotype" w:hAnsi="Palatino Linotype" w:cs="Arial"/>
          <w:sz w:val="24"/>
          <w:szCs w:val="24"/>
        </w:rPr>
        <w:t xml:space="preserve">, solicitud de acceso a la información pública, registrada bajo el número de expediente </w:t>
      </w:r>
      <w:r w:rsidR="00486595" w:rsidRPr="002B3167">
        <w:rPr>
          <w:rFonts w:ascii="Palatino Linotype" w:hAnsi="Palatino Linotype" w:cs="Arial"/>
          <w:b/>
          <w:sz w:val="24"/>
          <w:szCs w:val="24"/>
        </w:rPr>
        <w:t>00109/HRZUM/IP/2023</w:t>
      </w:r>
      <w:r w:rsidR="008C0691" w:rsidRPr="002B3167">
        <w:rPr>
          <w:rFonts w:ascii="Palatino Linotype" w:hAnsi="Palatino Linotype" w:cs="Arial"/>
          <w:b/>
          <w:sz w:val="24"/>
          <w:szCs w:val="24"/>
        </w:rPr>
        <w:t xml:space="preserve">, </w:t>
      </w:r>
      <w:r w:rsidR="008C0691" w:rsidRPr="002B3167">
        <w:rPr>
          <w:rFonts w:ascii="Palatino Linotype" w:hAnsi="Palatino Linotype" w:cs="Arial"/>
          <w:sz w:val="24"/>
          <w:szCs w:val="24"/>
        </w:rPr>
        <w:t xml:space="preserve">mediante la cual solicitó información en el tenor siguiente: </w:t>
      </w:r>
    </w:p>
    <w:p w14:paraId="142BE27D" w14:textId="77777777" w:rsidR="00486595" w:rsidRPr="002B3167" w:rsidRDefault="00486595" w:rsidP="002B3167">
      <w:pPr>
        <w:spacing w:after="0" w:line="360" w:lineRule="auto"/>
        <w:jc w:val="both"/>
        <w:rPr>
          <w:rFonts w:ascii="Palatino Linotype" w:hAnsi="Palatino Linotype" w:cs="Arial"/>
          <w:sz w:val="24"/>
          <w:szCs w:val="24"/>
        </w:rPr>
      </w:pPr>
    </w:p>
    <w:p w14:paraId="1D8FA54B" w14:textId="485A6221" w:rsidR="008C0691" w:rsidRPr="002B3167" w:rsidRDefault="008C0691" w:rsidP="002B3167">
      <w:pPr>
        <w:pStyle w:val="Citas"/>
        <w:spacing w:before="0" w:after="0" w:line="240" w:lineRule="auto"/>
        <w:ind w:left="567" w:right="567"/>
        <w:rPr>
          <w:b/>
          <w:szCs w:val="24"/>
        </w:rPr>
      </w:pPr>
      <w:r w:rsidRPr="002B3167">
        <w:rPr>
          <w:szCs w:val="24"/>
        </w:rPr>
        <w:t>“</w:t>
      </w:r>
      <w:r w:rsidR="00486595" w:rsidRPr="002B3167">
        <w:rPr>
          <w:szCs w:val="24"/>
        </w:rPr>
        <w:t xml:space="preserve">Solicito saber las altas de los nuevos servidores públicos que han ingresado desde que </w:t>
      </w:r>
      <w:proofErr w:type="spellStart"/>
      <w:r w:rsidR="00486595" w:rsidRPr="002B3167">
        <w:rPr>
          <w:szCs w:val="24"/>
        </w:rPr>
        <w:t>esta</w:t>
      </w:r>
      <w:proofErr w:type="spellEnd"/>
      <w:r w:rsidR="00486595" w:rsidRPr="002B3167">
        <w:rPr>
          <w:szCs w:val="24"/>
        </w:rPr>
        <w:t xml:space="preserve"> en la Subdirección de Personal la Lic. Lizet Rebollar Montes de Oca y sus puestos y a quien quito por ponerlos, </w:t>
      </w:r>
      <w:proofErr w:type="spellStart"/>
      <w:r w:rsidR="00486595" w:rsidRPr="002B3167">
        <w:rPr>
          <w:szCs w:val="24"/>
        </w:rPr>
        <w:t>cuanto</w:t>
      </w:r>
      <w:proofErr w:type="spellEnd"/>
      <w:r w:rsidR="00486595" w:rsidRPr="002B3167">
        <w:rPr>
          <w:szCs w:val="24"/>
        </w:rPr>
        <w:t xml:space="preserve"> ganan y si han tenido actas administrativas, así como sus actividades diarias y récord de asistencia al hospital y si han faltado integrar el </w:t>
      </w:r>
      <w:proofErr w:type="spellStart"/>
      <w:r w:rsidR="00486595" w:rsidRPr="002B3167">
        <w:rPr>
          <w:szCs w:val="24"/>
        </w:rPr>
        <w:t>por que</w:t>
      </w:r>
      <w:proofErr w:type="spellEnd"/>
      <w:r w:rsidR="00486595" w:rsidRPr="002B3167">
        <w:rPr>
          <w:szCs w:val="24"/>
        </w:rPr>
        <w:t xml:space="preserve"> con documentos que acrediten la falta</w:t>
      </w:r>
      <w:r w:rsidRPr="002B3167">
        <w:rPr>
          <w:szCs w:val="24"/>
        </w:rPr>
        <w:t xml:space="preserve"> </w:t>
      </w:r>
      <w:r w:rsidRPr="002B3167">
        <w:rPr>
          <w:b/>
          <w:szCs w:val="24"/>
        </w:rPr>
        <w:t xml:space="preserve">[Sic] </w:t>
      </w:r>
    </w:p>
    <w:p w14:paraId="729C8F07" w14:textId="77777777" w:rsidR="00486595" w:rsidRPr="002B3167" w:rsidRDefault="00486595" w:rsidP="002B3167">
      <w:pPr>
        <w:spacing w:after="0" w:line="360" w:lineRule="auto"/>
        <w:ind w:right="850"/>
        <w:jc w:val="both"/>
        <w:rPr>
          <w:rFonts w:ascii="Palatino Linotype" w:eastAsia="Times New Roman" w:hAnsi="Palatino Linotype" w:cs="Times New Roman"/>
          <w:b/>
          <w:sz w:val="24"/>
          <w:szCs w:val="24"/>
          <w:lang w:val="es-ES_tradnl" w:eastAsia="es-ES"/>
        </w:rPr>
      </w:pPr>
    </w:p>
    <w:p w14:paraId="284BBE4E" w14:textId="57C4EC48" w:rsidR="006D5803" w:rsidRPr="002B3167" w:rsidRDefault="00985AD2" w:rsidP="002B3167">
      <w:pPr>
        <w:spacing w:after="0" w:line="360" w:lineRule="auto"/>
        <w:ind w:right="850"/>
        <w:jc w:val="both"/>
        <w:rPr>
          <w:rFonts w:ascii="Palatino Linotype" w:eastAsia="Times New Roman" w:hAnsi="Palatino Linotype" w:cs="Times New Roman"/>
          <w:sz w:val="24"/>
          <w:szCs w:val="24"/>
          <w:lang w:val="es-ES_tradnl" w:eastAsia="es-ES"/>
        </w:rPr>
      </w:pPr>
      <w:r w:rsidRPr="002B3167">
        <w:rPr>
          <w:rFonts w:ascii="Palatino Linotype" w:eastAsia="Times New Roman" w:hAnsi="Palatino Linotype" w:cs="Times New Roman"/>
          <w:b/>
          <w:sz w:val="24"/>
          <w:szCs w:val="24"/>
          <w:lang w:val="es-ES_tradnl" w:eastAsia="es-ES"/>
        </w:rPr>
        <w:t>M</w:t>
      </w:r>
      <w:r w:rsidR="006D5803" w:rsidRPr="002B3167">
        <w:rPr>
          <w:rFonts w:ascii="Palatino Linotype" w:eastAsia="Times New Roman" w:hAnsi="Palatino Linotype" w:cs="Times New Roman"/>
          <w:b/>
          <w:sz w:val="24"/>
          <w:szCs w:val="24"/>
          <w:lang w:val="es-ES_tradnl" w:eastAsia="es-ES"/>
        </w:rPr>
        <w:t>odalidad de entrega:</w:t>
      </w:r>
      <w:r w:rsidR="006D5803" w:rsidRPr="002B3167">
        <w:rPr>
          <w:rFonts w:ascii="Palatino Linotype" w:eastAsia="Times New Roman" w:hAnsi="Palatino Linotype" w:cs="Times New Roman"/>
          <w:sz w:val="24"/>
          <w:szCs w:val="24"/>
          <w:lang w:val="es-ES_tradnl" w:eastAsia="es-ES"/>
        </w:rPr>
        <w:t xml:space="preserve"> A través del SAIMEX. </w:t>
      </w:r>
    </w:p>
    <w:p w14:paraId="07852741" w14:textId="7EC68087" w:rsidR="008C0691" w:rsidRPr="002B3167" w:rsidRDefault="008C0691" w:rsidP="002B3167">
      <w:pPr>
        <w:spacing w:after="0" w:line="360" w:lineRule="auto"/>
        <w:ind w:right="334"/>
        <w:jc w:val="both"/>
        <w:rPr>
          <w:rFonts w:ascii="Palatino Linotype" w:hAnsi="Palatino Linotype" w:cs="Arial"/>
          <w:sz w:val="24"/>
          <w:szCs w:val="24"/>
        </w:rPr>
      </w:pPr>
      <w:r w:rsidRPr="002B3167">
        <w:rPr>
          <w:rFonts w:ascii="Palatino Linotype" w:hAnsi="Palatino Linotype" w:cs="Arial"/>
          <w:b/>
          <w:sz w:val="28"/>
          <w:szCs w:val="24"/>
        </w:rPr>
        <w:lastRenderedPageBreak/>
        <w:t>SEGUNDO</w:t>
      </w:r>
      <w:r w:rsidRPr="002B3167">
        <w:rPr>
          <w:rFonts w:ascii="Palatino Linotype" w:hAnsi="Palatino Linotype" w:cs="Arial"/>
          <w:b/>
          <w:sz w:val="24"/>
          <w:szCs w:val="24"/>
        </w:rPr>
        <w:t xml:space="preserve">. </w:t>
      </w:r>
      <w:r w:rsidRPr="002B3167">
        <w:rPr>
          <w:rFonts w:ascii="Palatino Linotype" w:hAnsi="Palatino Linotype" w:cs="Arial"/>
          <w:sz w:val="24"/>
          <w:szCs w:val="24"/>
        </w:rPr>
        <w:t xml:space="preserve">En fecha </w:t>
      </w:r>
      <w:r w:rsidR="00486595" w:rsidRPr="002B3167">
        <w:rPr>
          <w:rFonts w:ascii="Palatino Linotype" w:hAnsi="Palatino Linotype" w:cs="Arial"/>
          <w:sz w:val="24"/>
          <w:szCs w:val="24"/>
        </w:rPr>
        <w:t>veintidós de junio de dos mil veintitrés</w:t>
      </w:r>
      <w:r w:rsidRPr="002B3167">
        <w:rPr>
          <w:rFonts w:ascii="Palatino Linotype" w:hAnsi="Palatino Linotype" w:cs="Arial"/>
          <w:sz w:val="24"/>
          <w:szCs w:val="24"/>
        </w:rPr>
        <w:t xml:space="preserve">, </w:t>
      </w:r>
      <w:r w:rsidR="00486595" w:rsidRPr="002B3167">
        <w:rPr>
          <w:rFonts w:ascii="Palatino Linotype" w:hAnsi="Palatino Linotype" w:cs="Arial"/>
          <w:sz w:val="24"/>
          <w:szCs w:val="24"/>
        </w:rPr>
        <w:t>el</w:t>
      </w:r>
      <w:r w:rsidR="00486595" w:rsidRPr="002B3167">
        <w:rPr>
          <w:rFonts w:ascii="Palatino Linotype" w:hAnsi="Palatino Linotype" w:cs="Arial"/>
          <w:b/>
          <w:sz w:val="24"/>
          <w:szCs w:val="24"/>
        </w:rPr>
        <w:t xml:space="preserve"> </w:t>
      </w:r>
      <w:r w:rsidRPr="002B3167">
        <w:rPr>
          <w:rFonts w:ascii="Palatino Linotype" w:hAnsi="Palatino Linotype" w:cs="Arial"/>
          <w:b/>
          <w:sz w:val="24"/>
          <w:szCs w:val="24"/>
        </w:rPr>
        <w:t xml:space="preserve">Sujeto Obligado </w:t>
      </w:r>
      <w:r w:rsidR="00486595" w:rsidRPr="002B3167">
        <w:rPr>
          <w:rFonts w:ascii="Palatino Linotype" w:hAnsi="Palatino Linotype" w:cs="Arial"/>
          <w:sz w:val="24"/>
          <w:szCs w:val="24"/>
        </w:rPr>
        <w:t xml:space="preserve">consideró no contar con todos los elementos necesarios para dar atención a la solicitud, por lo que, </w:t>
      </w:r>
      <w:r w:rsidRPr="002B3167">
        <w:rPr>
          <w:rFonts w:ascii="Palatino Linotype" w:hAnsi="Palatino Linotype" w:cs="Arial"/>
          <w:sz w:val="24"/>
          <w:szCs w:val="24"/>
        </w:rPr>
        <w:t xml:space="preserve">solicitó aclaración a la solicitud de información, resultando de nuestro interés lo siguiente: </w:t>
      </w:r>
    </w:p>
    <w:p w14:paraId="5F252E3A" w14:textId="77777777" w:rsidR="00486595" w:rsidRPr="002B3167" w:rsidRDefault="00486595" w:rsidP="002B3167">
      <w:pPr>
        <w:spacing w:after="0" w:line="360" w:lineRule="auto"/>
        <w:ind w:right="334"/>
        <w:jc w:val="both"/>
        <w:rPr>
          <w:rFonts w:ascii="Palatino Linotype" w:hAnsi="Palatino Linotype" w:cs="Arial"/>
          <w:sz w:val="24"/>
          <w:szCs w:val="24"/>
        </w:rPr>
      </w:pPr>
    </w:p>
    <w:p w14:paraId="460CB410" w14:textId="77777777" w:rsidR="00486595" w:rsidRPr="002B3167" w:rsidRDefault="008C0691" w:rsidP="002B3167">
      <w:pPr>
        <w:pStyle w:val="Citas"/>
        <w:spacing w:before="0" w:after="0" w:line="240" w:lineRule="auto"/>
        <w:ind w:left="567" w:right="567"/>
        <w:rPr>
          <w:szCs w:val="24"/>
        </w:rPr>
      </w:pPr>
      <w:r w:rsidRPr="002B3167">
        <w:rPr>
          <w:szCs w:val="24"/>
        </w:rPr>
        <w:t>“</w:t>
      </w:r>
      <w:r w:rsidR="00486595" w:rsidRPr="002B3167">
        <w:rPr>
          <w:szCs w:val="24"/>
        </w:rPr>
        <w:t xml:space="preserve">Con fundamento en el </w:t>
      </w:r>
      <w:proofErr w:type="spellStart"/>
      <w:r w:rsidR="00486595" w:rsidRPr="002B3167">
        <w:rPr>
          <w:szCs w:val="24"/>
        </w:rPr>
        <w:t>articulo</w:t>
      </w:r>
      <w:proofErr w:type="spellEnd"/>
      <w:r w:rsidR="00486595" w:rsidRPr="002B3167">
        <w:rPr>
          <w:szCs w:val="24"/>
        </w:rPr>
        <w:t xml:space="preserve"> 159 de la Ley de Transparencia y Acceso a la Información Pública del Estado de México y Municipios, se le requiere para que dentro del plazo de diez días hábiles realice lo siguiente:</w:t>
      </w:r>
    </w:p>
    <w:p w14:paraId="6920B8E2" w14:textId="77777777" w:rsidR="00486595" w:rsidRPr="002B3167" w:rsidRDefault="00486595" w:rsidP="002B3167">
      <w:pPr>
        <w:pStyle w:val="Citas"/>
        <w:spacing w:before="0" w:after="0" w:line="240" w:lineRule="auto"/>
        <w:ind w:left="567" w:right="567"/>
        <w:rPr>
          <w:szCs w:val="24"/>
        </w:rPr>
      </w:pPr>
    </w:p>
    <w:p w14:paraId="7064B482" w14:textId="77777777" w:rsidR="00486595" w:rsidRPr="002B3167" w:rsidRDefault="00486595" w:rsidP="002B3167">
      <w:pPr>
        <w:pStyle w:val="Citas"/>
        <w:spacing w:before="0" w:after="0" w:line="240" w:lineRule="auto"/>
        <w:ind w:left="567" w:right="567"/>
        <w:rPr>
          <w:szCs w:val="24"/>
        </w:rPr>
      </w:pPr>
      <w:r w:rsidRPr="002B3167">
        <w:rPr>
          <w:szCs w:val="24"/>
        </w:rPr>
        <w:t xml:space="preserve">De conformidad con lo solicitado por la persona servidora pública habilitada, se requiere información adicional que permita atender la solicitud, señalando para ello lo siguiente: "De conformidad con el artículo 159 de la Ley de Transparencia y Acceso a la información Pública del Estado de México y Municipios se requiere al solicitante aclare de manera precisa la información requerida, toda vez que la misma resulta ser de apreciación subjetiva y no atiende meramente un </w:t>
      </w:r>
      <w:proofErr w:type="spellStart"/>
      <w:r w:rsidRPr="002B3167">
        <w:rPr>
          <w:szCs w:val="24"/>
        </w:rPr>
        <w:t>tramite</w:t>
      </w:r>
      <w:proofErr w:type="spellEnd"/>
      <w:r w:rsidRPr="002B3167">
        <w:rPr>
          <w:szCs w:val="24"/>
        </w:rPr>
        <w:t xml:space="preserve"> de transparencia." (</w:t>
      </w:r>
      <w:proofErr w:type="gramStart"/>
      <w:r w:rsidRPr="002B3167">
        <w:rPr>
          <w:szCs w:val="24"/>
        </w:rPr>
        <w:t>sic</w:t>
      </w:r>
      <w:proofErr w:type="gramEnd"/>
      <w:r w:rsidRPr="002B3167">
        <w:rPr>
          <w:szCs w:val="24"/>
        </w:rPr>
        <w:t>)</w:t>
      </w:r>
    </w:p>
    <w:p w14:paraId="2761AF90" w14:textId="77777777" w:rsidR="00486595" w:rsidRPr="002B3167" w:rsidRDefault="00486595" w:rsidP="002B3167">
      <w:pPr>
        <w:pStyle w:val="Citas"/>
        <w:spacing w:before="0" w:after="0" w:line="240" w:lineRule="auto"/>
        <w:ind w:left="567" w:right="567"/>
        <w:rPr>
          <w:szCs w:val="24"/>
        </w:rPr>
      </w:pPr>
    </w:p>
    <w:p w14:paraId="7FC562DC" w14:textId="626DD23D" w:rsidR="008C0691" w:rsidRPr="002B3167" w:rsidRDefault="00486595" w:rsidP="002B3167">
      <w:pPr>
        <w:pStyle w:val="Citas"/>
        <w:spacing w:before="0" w:after="0" w:line="240" w:lineRule="auto"/>
        <w:ind w:left="567" w:right="567"/>
        <w:rPr>
          <w:b/>
          <w:szCs w:val="24"/>
        </w:rPr>
      </w:pPr>
      <w:r w:rsidRPr="002B3167">
        <w:rPr>
          <w:szCs w:val="24"/>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008C0691" w:rsidRPr="002B3167">
        <w:rPr>
          <w:szCs w:val="24"/>
        </w:rPr>
        <w:t>”</w:t>
      </w:r>
      <w:r w:rsidR="008C0691" w:rsidRPr="002B3167">
        <w:rPr>
          <w:b/>
          <w:szCs w:val="24"/>
        </w:rPr>
        <w:t xml:space="preserve">[Sic] </w:t>
      </w:r>
    </w:p>
    <w:p w14:paraId="3569FFCE" w14:textId="77777777" w:rsidR="00D64C38" w:rsidRPr="002B3167" w:rsidRDefault="00D64C38" w:rsidP="002B3167">
      <w:pPr>
        <w:pStyle w:val="Citas"/>
        <w:spacing w:before="0" w:after="0"/>
        <w:ind w:left="0"/>
        <w:rPr>
          <w:i w:val="0"/>
          <w:sz w:val="24"/>
          <w:szCs w:val="24"/>
        </w:rPr>
      </w:pPr>
    </w:p>
    <w:p w14:paraId="658E3DD8" w14:textId="7BEBEA21" w:rsidR="00B316CC" w:rsidRPr="002B3167" w:rsidRDefault="00F654FD"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8"/>
          <w:szCs w:val="24"/>
        </w:rPr>
        <w:t>TERCERO</w:t>
      </w:r>
      <w:r w:rsidRPr="002B3167">
        <w:rPr>
          <w:rFonts w:ascii="Palatino Linotype" w:hAnsi="Palatino Linotype" w:cs="Arial"/>
          <w:b/>
          <w:sz w:val="24"/>
          <w:szCs w:val="24"/>
        </w:rPr>
        <w:t xml:space="preserve">. </w:t>
      </w:r>
      <w:r w:rsidRPr="002B3167">
        <w:rPr>
          <w:rFonts w:ascii="Palatino Linotype" w:hAnsi="Palatino Linotype" w:cs="Arial"/>
          <w:sz w:val="24"/>
          <w:szCs w:val="24"/>
        </w:rPr>
        <w:t xml:space="preserve">En el expediente electrónico </w:t>
      </w:r>
      <w:r w:rsidRPr="002B3167">
        <w:rPr>
          <w:rFonts w:ascii="Palatino Linotype" w:hAnsi="Palatino Linotype" w:cs="Arial"/>
          <w:b/>
          <w:sz w:val="24"/>
          <w:szCs w:val="24"/>
        </w:rPr>
        <w:t>SAIMEX</w:t>
      </w:r>
      <w:r w:rsidR="00486595" w:rsidRPr="002B3167">
        <w:rPr>
          <w:rFonts w:ascii="Palatino Linotype" w:hAnsi="Palatino Linotype" w:cs="Arial"/>
          <w:sz w:val="24"/>
          <w:szCs w:val="24"/>
        </w:rPr>
        <w:t xml:space="preserve">, se aprecia que la parte </w:t>
      </w:r>
      <w:r w:rsidR="00486595" w:rsidRPr="002B3167">
        <w:rPr>
          <w:rFonts w:ascii="Palatino Linotype" w:hAnsi="Palatino Linotype" w:cs="Arial"/>
          <w:b/>
          <w:sz w:val="24"/>
          <w:szCs w:val="24"/>
        </w:rPr>
        <w:t>Recurrente</w:t>
      </w:r>
      <w:r w:rsidR="00486595" w:rsidRPr="002B3167">
        <w:rPr>
          <w:rFonts w:ascii="Palatino Linotype" w:hAnsi="Palatino Linotype" w:cs="Arial"/>
          <w:sz w:val="24"/>
          <w:szCs w:val="24"/>
        </w:rPr>
        <w:t xml:space="preserve"> </w:t>
      </w:r>
      <w:r w:rsidR="00853FEE" w:rsidRPr="002B3167">
        <w:rPr>
          <w:rFonts w:ascii="Palatino Linotype" w:hAnsi="Palatino Linotype" w:cs="Arial"/>
          <w:sz w:val="24"/>
          <w:szCs w:val="24"/>
        </w:rPr>
        <w:t>fue omis</w:t>
      </w:r>
      <w:r w:rsidR="00486595" w:rsidRPr="002B3167">
        <w:rPr>
          <w:rFonts w:ascii="Palatino Linotype" w:hAnsi="Palatino Linotype" w:cs="Arial"/>
          <w:sz w:val="24"/>
          <w:szCs w:val="24"/>
        </w:rPr>
        <w:t>a</w:t>
      </w:r>
      <w:r w:rsidR="00853FEE" w:rsidRPr="002B3167">
        <w:rPr>
          <w:rFonts w:ascii="Palatino Linotype" w:hAnsi="Palatino Linotype" w:cs="Arial"/>
          <w:sz w:val="24"/>
          <w:szCs w:val="24"/>
        </w:rPr>
        <w:t xml:space="preserve"> en desahogar </w:t>
      </w:r>
      <w:r w:rsidR="00486595" w:rsidRPr="002B3167">
        <w:rPr>
          <w:rFonts w:ascii="Palatino Linotype" w:hAnsi="Palatino Linotype" w:cs="Arial"/>
          <w:sz w:val="24"/>
          <w:szCs w:val="24"/>
        </w:rPr>
        <w:t xml:space="preserve">el requerimiento </w:t>
      </w:r>
      <w:r w:rsidR="00853FEE" w:rsidRPr="002B3167">
        <w:rPr>
          <w:rFonts w:ascii="Palatino Linotype" w:hAnsi="Palatino Linotype" w:cs="Arial"/>
          <w:sz w:val="24"/>
          <w:szCs w:val="24"/>
        </w:rPr>
        <w:t xml:space="preserve">de aclaración formulada por </w:t>
      </w:r>
      <w:r w:rsidR="00486595" w:rsidRPr="002B3167">
        <w:rPr>
          <w:rFonts w:ascii="Palatino Linotype" w:hAnsi="Palatino Linotype" w:cs="Arial"/>
          <w:sz w:val="24"/>
          <w:szCs w:val="24"/>
        </w:rPr>
        <w:t>el</w:t>
      </w:r>
      <w:r w:rsidR="00486595" w:rsidRPr="002B3167">
        <w:rPr>
          <w:rFonts w:ascii="Palatino Linotype" w:hAnsi="Palatino Linotype" w:cs="Arial"/>
          <w:b/>
          <w:sz w:val="24"/>
          <w:szCs w:val="24"/>
        </w:rPr>
        <w:t xml:space="preserve"> Sujeto </w:t>
      </w:r>
      <w:r w:rsidR="00486595" w:rsidRPr="002B3167">
        <w:rPr>
          <w:rFonts w:ascii="Palatino Linotype" w:hAnsi="Palatino Linotype" w:cs="Arial"/>
          <w:sz w:val="24"/>
          <w:szCs w:val="24"/>
        </w:rPr>
        <w:t xml:space="preserve">Obligado. Atentos a ello, el Sujeto Obligado el cinco de julio de dos mil veintitrés </w:t>
      </w:r>
      <w:r w:rsidR="00B316CC" w:rsidRPr="002B3167">
        <w:rPr>
          <w:rFonts w:ascii="Palatino Linotype" w:hAnsi="Palatino Linotype" w:cs="Arial"/>
          <w:sz w:val="24"/>
          <w:szCs w:val="24"/>
        </w:rPr>
        <w:t xml:space="preserve">dio por concluida </w:t>
      </w:r>
      <w:r w:rsidR="00486595" w:rsidRPr="002B3167">
        <w:rPr>
          <w:rFonts w:ascii="Palatino Linotype" w:hAnsi="Palatino Linotype" w:cs="Arial"/>
          <w:sz w:val="24"/>
          <w:szCs w:val="24"/>
        </w:rPr>
        <w:t xml:space="preserve">la solicitud de información </w:t>
      </w:r>
      <w:r w:rsidR="00B316CC" w:rsidRPr="002B3167">
        <w:rPr>
          <w:rFonts w:ascii="Palatino Linotype" w:hAnsi="Palatino Linotype" w:cs="Arial"/>
          <w:sz w:val="24"/>
          <w:szCs w:val="24"/>
        </w:rPr>
        <w:t>en los siguientes términos:</w:t>
      </w:r>
    </w:p>
    <w:p w14:paraId="2481F1DF" w14:textId="77777777" w:rsidR="00B0499A" w:rsidRPr="002B3167" w:rsidRDefault="00B0499A" w:rsidP="002B3167">
      <w:pPr>
        <w:spacing w:after="0" w:line="360" w:lineRule="auto"/>
        <w:jc w:val="both"/>
        <w:rPr>
          <w:rFonts w:ascii="Palatino Linotype" w:hAnsi="Palatino Linotype" w:cs="Arial"/>
          <w:sz w:val="24"/>
          <w:szCs w:val="24"/>
        </w:rPr>
      </w:pPr>
    </w:p>
    <w:p w14:paraId="5453D0F4" w14:textId="77777777" w:rsidR="00486595" w:rsidRPr="002B3167" w:rsidRDefault="00B316CC" w:rsidP="002B3167">
      <w:pPr>
        <w:pStyle w:val="Citas"/>
        <w:spacing w:before="0" w:after="0" w:line="240" w:lineRule="auto"/>
        <w:ind w:left="567" w:right="567"/>
        <w:rPr>
          <w:szCs w:val="24"/>
        </w:rPr>
      </w:pPr>
      <w:r w:rsidRPr="002B3167">
        <w:rPr>
          <w:szCs w:val="24"/>
        </w:rPr>
        <w:t>“</w:t>
      </w:r>
      <w:r w:rsidR="00486595" w:rsidRPr="002B3167">
        <w:rPr>
          <w:szCs w:val="24"/>
        </w:rPr>
        <w:t xml:space="preserve">Con fundamento en el </w:t>
      </w:r>
      <w:proofErr w:type="spellStart"/>
      <w:r w:rsidR="00486595" w:rsidRPr="002B3167">
        <w:rPr>
          <w:szCs w:val="24"/>
        </w:rPr>
        <w:t>articulo</w:t>
      </w:r>
      <w:proofErr w:type="spellEnd"/>
      <w:r w:rsidR="00486595" w:rsidRPr="002B3167">
        <w:rPr>
          <w:szCs w:val="24"/>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5550BF10" w14:textId="77777777" w:rsidR="00486595" w:rsidRPr="002B3167" w:rsidRDefault="00486595" w:rsidP="002B3167">
      <w:pPr>
        <w:pStyle w:val="Citas"/>
        <w:spacing w:before="0" w:after="0" w:line="240" w:lineRule="auto"/>
        <w:ind w:left="567" w:right="567"/>
        <w:rPr>
          <w:szCs w:val="24"/>
        </w:rPr>
      </w:pPr>
    </w:p>
    <w:p w14:paraId="2E841528" w14:textId="77777777" w:rsidR="00486595" w:rsidRPr="002B3167" w:rsidRDefault="00486595" w:rsidP="002B3167">
      <w:pPr>
        <w:pStyle w:val="Citas"/>
        <w:spacing w:before="0" w:after="0" w:line="240" w:lineRule="auto"/>
        <w:ind w:left="567" w:right="567"/>
        <w:rPr>
          <w:szCs w:val="24"/>
        </w:rPr>
      </w:pPr>
      <w:r w:rsidRPr="002B3167">
        <w:rPr>
          <w:szCs w:val="24"/>
        </w:rPr>
        <w:lastRenderedPageBreak/>
        <w:t>Me refiero a la solicitud de acceso a la información pública con número de folio 00109/HRZUM/IP/2023, misma que fue ingresada a la Plataforma SAIMEX de acceso a la información el pasado 20/06/2023 y a la que fue requerida, con fundamento en el artículo 159 de la Ley de Transparencia y Acceso a la Información Pública del Estado de México y Municipios, un requerimiento de aclaración, complementación o corrección de la información, mismo que la fecha de la emisión del presente no se ha atendido. Por ello, y con fundamento en el artículo 159 párrafo tercero de la Ley</w:t>
      </w:r>
      <w:r w:rsidRPr="002B3167">
        <w:rPr>
          <w:szCs w:val="24"/>
          <w:u w:val="single"/>
        </w:rPr>
        <w:t xml:space="preserve">, se notifica a la persona solicitante que, conforme lo previamente expuesto y fundado, el requerimiento se tiene como no presentado. </w:t>
      </w:r>
      <w:r w:rsidRPr="002B3167">
        <w:rPr>
          <w:szCs w:val="24"/>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15BEACD8" w14:textId="77777777" w:rsidR="00486595" w:rsidRPr="002B3167" w:rsidRDefault="00486595" w:rsidP="002B3167">
      <w:pPr>
        <w:pStyle w:val="Citas"/>
        <w:spacing w:before="0" w:after="0" w:line="240" w:lineRule="auto"/>
        <w:ind w:left="567" w:right="567"/>
        <w:rPr>
          <w:szCs w:val="24"/>
        </w:rPr>
      </w:pPr>
    </w:p>
    <w:p w14:paraId="5619A030" w14:textId="1C2C6451" w:rsidR="00B316CC" w:rsidRPr="002B3167" w:rsidRDefault="00486595" w:rsidP="002B3167">
      <w:pPr>
        <w:pStyle w:val="Citas"/>
        <w:spacing w:before="0" w:after="0" w:line="240" w:lineRule="auto"/>
        <w:ind w:left="567" w:right="567"/>
        <w:rPr>
          <w:b/>
          <w:szCs w:val="24"/>
        </w:rPr>
      </w:pPr>
      <w:r w:rsidRPr="002B3167">
        <w:rPr>
          <w:szCs w:val="24"/>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r w:rsidR="00B316CC" w:rsidRPr="002B3167">
        <w:rPr>
          <w:szCs w:val="24"/>
        </w:rPr>
        <w:t xml:space="preserve">” </w:t>
      </w:r>
      <w:r w:rsidR="00B316CC" w:rsidRPr="002B3167">
        <w:rPr>
          <w:b/>
          <w:szCs w:val="24"/>
        </w:rPr>
        <w:t xml:space="preserve">[Sic] </w:t>
      </w:r>
    </w:p>
    <w:p w14:paraId="5042C0C6" w14:textId="77777777" w:rsidR="00B316CC" w:rsidRPr="002B3167" w:rsidRDefault="00B316CC" w:rsidP="002B3167">
      <w:pPr>
        <w:spacing w:after="0" w:line="360" w:lineRule="auto"/>
        <w:jc w:val="both"/>
        <w:rPr>
          <w:rFonts w:ascii="Palatino Linotype" w:hAnsi="Palatino Linotype" w:cs="Arial"/>
          <w:sz w:val="24"/>
          <w:szCs w:val="24"/>
        </w:rPr>
      </w:pPr>
    </w:p>
    <w:p w14:paraId="5CD6C3C5" w14:textId="184E6FE7" w:rsidR="00486595" w:rsidRPr="002B3167" w:rsidRDefault="00B316CC" w:rsidP="002B3167">
      <w:pPr>
        <w:spacing w:after="0" w:line="360" w:lineRule="auto"/>
        <w:jc w:val="both"/>
        <w:rPr>
          <w:rFonts w:ascii="Palatino Linotype" w:hAnsi="Palatino Linotype" w:cs="Arial"/>
          <w:sz w:val="24"/>
          <w:szCs w:val="24"/>
        </w:rPr>
      </w:pPr>
      <w:r w:rsidRPr="002B3167">
        <w:rPr>
          <w:rFonts w:ascii="Palatino Linotype" w:hAnsi="Palatino Linotype" w:cs="Arial"/>
          <w:sz w:val="24"/>
          <w:szCs w:val="24"/>
        </w:rPr>
        <w:t xml:space="preserve">Adicionalmente, </w:t>
      </w:r>
      <w:r w:rsidRPr="002B3167">
        <w:rPr>
          <w:rFonts w:ascii="Palatino Linotype" w:hAnsi="Palatino Linotype" w:cs="Arial"/>
          <w:b/>
          <w:sz w:val="24"/>
          <w:szCs w:val="24"/>
        </w:rPr>
        <w:t xml:space="preserve">El Sujeto Obligado </w:t>
      </w:r>
      <w:r w:rsidRPr="002B3167">
        <w:rPr>
          <w:rFonts w:ascii="Palatino Linotype" w:hAnsi="Palatino Linotype" w:cs="Arial"/>
          <w:sz w:val="24"/>
          <w:szCs w:val="24"/>
        </w:rPr>
        <w:t>adjuntó</w:t>
      </w:r>
      <w:r w:rsidR="00486595" w:rsidRPr="002B3167">
        <w:rPr>
          <w:rFonts w:ascii="Palatino Linotype" w:hAnsi="Palatino Linotype" w:cs="Arial"/>
          <w:sz w:val="24"/>
          <w:szCs w:val="24"/>
        </w:rPr>
        <w:t xml:space="preserve"> el documento electrónico </w:t>
      </w:r>
      <w:r w:rsidR="00486595" w:rsidRPr="002B3167">
        <w:rPr>
          <w:rFonts w:ascii="Palatino Linotype" w:hAnsi="Palatino Linotype" w:cs="Arial"/>
          <w:i/>
          <w:sz w:val="24"/>
          <w:szCs w:val="24"/>
        </w:rPr>
        <w:t>“</w:t>
      </w:r>
      <w:proofErr w:type="spellStart"/>
      <w:r w:rsidR="00486595" w:rsidRPr="002B3167">
        <w:rPr>
          <w:rFonts w:ascii="Palatino Linotype" w:hAnsi="Palatino Linotype" w:cs="Arial"/>
          <w:b/>
          <w:i/>
          <w:sz w:val="24"/>
          <w:szCs w:val="24"/>
        </w:rPr>
        <w:t>Resp</w:t>
      </w:r>
      <w:proofErr w:type="spellEnd"/>
      <w:r w:rsidR="00486595" w:rsidRPr="002B3167">
        <w:rPr>
          <w:rFonts w:ascii="Palatino Linotype" w:hAnsi="Palatino Linotype" w:cs="Arial"/>
          <w:b/>
          <w:i/>
          <w:sz w:val="24"/>
          <w:szCs w:val="24"/>
        </w:rPr>
        <w:t xml:space="preserve"> UT s00109.pdf</w:t>
      </w:r>
      <w:r w:rsidR="00486595" w:rsidRPr="002B3167">
        <w:rPr>
          <w:rFonts w:ascii="Palatino Linotype" w:hAnsi="Palatino Linotype" w:cs="Arial"/>
          <w:i/>
          <w:sz w:val="24"/>
          <w:szCs w:val="24"/>
        </w:rPr>
        <w:t>”</w:t>
      </w:r>
      <w:r w:rsidR="00486595" w:rsidRPr="002B3167">
        <w:rPr>
          <w:rFonts w:ascii="Palatino Linotype" w:hAnsi="Palatino Linotype" w:cs="Arial"/>
          <w:sz w:val="24"/>
          <w:szCs w:val="24"/>
        </w:rPr>
        <w:t>, cuyo contenido será analizado en párrafos ulteriores.</w:t>
      </w:r>
    </w:p>
    <w:p w14:paraId="34141B3D" w14:textId="77777777" w:rsidR="00486595" w:rsidRPr="002B3167" w:rsidRDefault="00486595" w:rsidP="002B3167">
      <w:pPr>
        <w:spacing w:after="0" w:line="360" w:lineRule="auto"/>
        <w:jc w:val="both"/>
        <w:rPr>
          <w:rFonts w:ascii="Palatino Linotype" w:hAnsi="Palatino Linotype" w:cs="Arial"/>
          <w:sz w:val="24"/>
          <w:szCs w:val="24"/>
        </w:rPr>
      </w:pPr>
    </w:p>
    <w:p w14:paraId="2429ABDF" w14:textId="3C2DA1BD" w:rsidR="00810382" w:rsidRPr="002B3167" w:rsidRDefault="00810382"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8"/>
          <w:szCs w:val="24"/>
        </w:rPr>
        <w:t>CUARTO</w:t>
      </w:r>
      <w:r w:rsidRPr="002B3167">
        <w:rPr>
          <w:rFonts w:ascii="Palatino Linotype" w:hAnsi="Palatino Linotype" w:cs="Arial"/>
          <w:b/>
          <w:sz w:val="24"/>
          <w:szCs w:val="24"/>
        </w:rPr>
        <w:t xml:space="preserve">. </w:t>
      </w:r>
      <w:r w:rsidRPr="002B3167">
        <w:rPr>
          <w:rFonts w:ascii="Palatino Linotype" w:hAnsi="Palatino Linotype" w:cs="Arial"/>
          <w:sz w:val="24"/>
          <w:szCs w:val="24"/>
        </w:rPr>
        <w:t xml:space="preserve">En el expediente electrónico </w:t>
      </w:r>
      <w:r w:rsidRPr="002B3167">
        <w:rPr>
          <w:rFonts w:ascii="Palatino Linotype" w:hAnsi="Palatino Linotype" w:cs="Arial"/>
          <w:b/>
          <w:sz w:val="24"/>
          <w:szCs w:val="24"/>
        </w:rPr>
        <w:t>SAIMEX</w:t>
      </w:r>
      <w:r w:rsidRPr="002B3167">
        <w:rPr>
          <w:rFonts w:ascii="Palatino Linotype" w:hAnsi="Palatino Linotype" w:cs="Arial"/>
          <w:sz w:val="24"/>
          <w:szCs w:val="24"/>
        </w:rPr>
        <w:t xml:space="preserve">, se aprecia que </w:t>
      </w:r>
      <w:r w:rsidRPr="002B3167">
        <w:rPr>
          <w:rFonts w:ascii="Palatino Linotype" w:hAnsi="Palatino Linotype" w:cs="Arial"/>
          <w:b/>
          <w:sz w:val="24"/>
          <w:szCs w:val="24"/>
        </w:rPr>
        <w:t xml:space="preserve">El Sujeto Obligado </w:t>
      </w:r>
      <w:r w:rsidRPr="002B3167">
        <w:rPr>
          <w:rFonts w:ascii="Palatino Linotype" w:hAnsi="Palatino Linotype" w:cs="Arial"/>
          <w:sz w:val="24"/>
          <w:szCs w:val="24"/>
        </w:rPr>
        <w:t xml:space="preserve">fue omiso en dar respuesta a la solicitud de información presentada por </w:t>
      </w:r>
      <w:r w:rsidR="00C93891" w:rsidRPr="002B3167">
        <w:rPr>
          <w:rFonts w:ascii="Palatino Linotype" w:hAnsi="Palatino Linotype" w:cs="Arial"/>
          <w:b/>
          <w:sz w:val="24"/>
          <w:szCs w:val="24"/>
        </w:rPr>
        <w:t>El</w:t>
      </w:r>
      <w:r w:rsidRPr="002B3167">
        <w:rPr>
          <w:rFonts w:ascii="Palatino Linotype" w:hAnsi="Palatino Linotype" w:cs="Arial"/>
          <w:b/>
          <w:sz w:val="24"/>
          <w:szCs w:val="24"/>
        </w:rPr>
        <w:t xml:space="preserve"> Recurrente. </w:t>
      </w:r>
      <w:r w:rsidRPr="002B3167">
        <w:rPr>
          <w:rFonts w:ascii="Palatino Linotype" w:hAnsi="Palatino Linotype" w:cs="Arial"/>
          <w:sz w:val="24"/>
          <w:szCs w:val="24"/>
        </w:rPr>
        <w:t xml:space="preserve">Derivado de lo anterior, se constituye la figura de la </w:t>
      </w:r>
      <w:r w:rsidRPr="002B3167">
        <w:rPr>
          <w:rFonts w:ascii="Palatino Linotype" w:hAnsi="Palatino Linotype" w:cs="Arial"/>
          <w:b/>
          <w:sz w:val="24"/>
          <w:szCs w:val="24"/>
        </w:rPr>
        <w:t xml:space="preserve">NEGATIVA FICTA, </w:t>
      </w:r>
      <w:r w:rsidRPr="002B3167">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2FD41B69" w14:textId="77777777" w:rsidR="00F654FD" w:rsidRPr="002B3167" w:rsidRDefault="00F654FD" w:rsidP="002B3167">
      <w:pPr>
        <w:pStyle w:val="Citas"/>
        <w:spacing w:before="0" w:after="0"/>
        <w:ind w:left="0"/>
        <w:rPr>
          <w:i w:val="0"/>
          <w:sz w:val="24"/>
          <w:szCs w:val="24"/>
        </w:rPr>
      </w:pPr>
    </w:p>
    <w:p w14:paraId="0267DF60" w14:textId="20D24D44" w:rsidR="00115706" w:rsidRPr="002B3167" w:rsidRDefault="00481833"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8"/>
          <w:szCs w:val="24"/>
        </w:rPr>
        <w:t>QUINTO</w:t>
      </w:r>
      <w:r w:rsidR="006D5803" w:rsidRPr="002B3167">
        <w:rPr>
          <w:rFonts w:ascii="Palatino Linotype" w:hAnsi="Palatino Linotype" w:cs="Arial"/>
          <w:b/>
          <w:sz w:val="24"/>
          <w:szCs w:val="24"/>
        </w:rPr>
        <w:t xml:space="preserve">. </w:t>
      </w:r>
      <w:r w:rsidR="006D5803" w:rsidRPr="002B3167">
        <w:rPr>
          <w:rFonts w:ascii="Palatino Linotype" w:hAnsi="Palatino Linotype" w:cs="Arial"/>
          <w:sz w:val="24"/>
          <w:szCs w:val="24"/>
        </w:rPr>
        <w:t xml:space="preserve">Inconforme con la falta de respuesta por </w:t>
      </w:r>
      <w:r w:rsidR="00B0499A" w:rsidRPr="002B3167">
        <w:rPr>
          <w:rFonts w:ascii="Palatino Linotype" w:hAnsi="Palatino Linotype" w:cs="Arial"/>
          <w:sz w:val="24"/>
          <w:szCs w:val="24"/>
        </w:rPr>
        <w:t>el</w:t>
      </w:r>
      <w:r w:rsidR="00B0499A" w:rsidRPr="002B3167">
        <w:rPr>
          <w:rFonts w:ascii="Palatino Linotype" w:hAnsi="Palatino Linotype" w:cs="Arial"/>
          <w:b/>
          <w:sz w:val="24"/>
          <w:szCs w:val="24"/>
        </w:rPr>
        <w:t xml:space="preserve"> </w:t>
      </w:r>
      <w:r w:rsidR="006D5803" w:rsidRPr="002B3167">
        <w:rPr>
          <w:rFonts w:ascii="Palatino Linotype" w:hAnsi="Palatino Linotype" w:cs="Arial"/>
          <w:b/>
          <w:sz w:val="24"/>
          <w:szCs w:val="24"/>
        </w:rPr>
        <w:t xml:space="preserve">Sujeto Obligado, </w:t>
      </w:r>
      <w:r w:rsidR="00B0499A" w:rsidRPr="002B3167">
        <w:rPr>
          <w:rFonts w:ascii="Palatino Linotype" w:hAnsi="Palatino Linotype" w:cs="Arial"/>
          <w:sz w:val="24"/>
          <w:szCs w:val="24"/>
        </w:rPr>
        <w:t>la parte</w:t>
      </w:r>
      <w:r w:rsidR="00B0499A" w:rsidRPr="002B3167">
        <w:rPr>
          <w:rFonts w:ascii="Palatino Linotype" w:hAnsi="Palatino Linotype" w:cs="Arial"/>
          <w:b/>
          <w:sz w:val="24"/>
          <w:szCs w:val="24"/>
        </w:rPr>
        <w:t xml:space="preserve"> </w:t>
      </w:r>
      <w:r w:rsidR="006D5803" w:rsidRPr="002B3167">
        <w:rPr>
          <w:rFonts w:ascii="Palatino Linotype" w:hAnsi="Palatino Linotype" w:cs="Arial"/>
          <w:b/>
          <w:sz w:val="24"/>
          <w:szCs w:val="24"/>
        </w:rPr>
        <w:t xml:space="preserve">Recurrente </w:t>
      </w:r>
      <w:r w:rsidR="006D5803" w:rsidRPr="002B3167">
        <w:rPr>
          <w:rFonts w:ascii="Palatino Linotype" w:hAnsi="Palatino Linotype" w:cs="Arial"/>
          <w:sz w:val="24"/>
          <w:szCs w:val="24"/>
        </w:rPr>
        <w:t>interpuso el recurso de revisión, en fecha</w:t>
      </w:r>
      <w:r w:rsidR="005B1C46" w:rsidRPr="002B3167">
        <w:rPr>
          <w:rFonts w:ascii="Palatino Linotype" w:hAnsi="Palatino Linotype" w:cs="Arial"/>
          <w:sz w:val="24"/>
          <w:szCs w:val="24"/>
        </w:rPr>
        <w:t xml:space="preserve"> </w:t>
      </w:r>
      <w:r w:rsidR="00B0499A" w:rsidRPr="002B3167">
        <w:rPr>
          <w:rFonts w:ascii="Palatino Linotype" w:hAnsi="Palatino Linotype" w:cs="Arial"/>
          <w:sz w:val="24"/>
          <w:szCs w:val="24"/>
        </w:rPr>
        <w:t xml:space="preserve">tres de agosto de dos mil </w:t>
      </w:r>
      <w:r w:rsidR="00B0499A" w:rsidRPr="002B3167">
        <w:rPr>
          <w:rFonts w:ascii="Palatino Linotype" w:hAnsi="Palatino Linotype" w:cs="Arial"/>
          <w:sz w:val="24"/>
          <w:szCs w:val="24"/>
        </w:rPr>
        <w:lastRenderedPageBreak/>
        <w:t>veintitrés</w:t>
      </w:r>
      <w:r w:rsidR="00115706" w:rsidRPr="002B3167">
        <w:rPr>
          <w:rFonts w:ascii="Palatino Linotype" w:hAnsi="Palatino Linotype" w:cs="Arial"/>
          <w:sz w:val="24"/>
          <w:szCs w:val="24"/>
        </w:rPr>
        <w:t xml:space="preserve">, el cual fue registrado con el expediente número </w:t>
      </w:r>
      <w:r w:rsidR="00486595" w:rsidRPr="002B3167">
        <w:rPr>
          <w:rFonts w:ascii="Palatino Linotype" w:hAnsi="Palatino Linotype" w:cs="Arial"/>
          <w:b/>
          <w:sz w:val="24"/>
          <w:szCs w:val="24"/>
        </w:rPr>
        <w:t>04335/INFOEM/IP/RR/2023</w:t>
      </w:r>
      <w:r w:rsidR="00115706" w:rsidRPr="002B3167">
        <w:rPr>
          <w:rFonts w:ascii="Palatino Linotype" w:hAnsi="Palatino Linotype" w:cs="Arial"/>
          <w:b/>
          <w:sz w:val="24"/>
          <w:szCs w:val="24"/>
        </w:rPr>
        <w:t xml:space="preserve">, </w:t>
      </w:r>
      <w:r w:rsidR="00115706" w:rsidRPr="002B3167">
        <w:rPr>
          <w:rFonts w:ascii="Palatino Linotype" w:hAnsi="Palatino Linotype" w:cs="Arial"/>
          <w:sz w:val="24"/>
          <w:szCs w:val="24"/>
        </w:rPr>
        <w:t xml:space="preserve">en el cual arguye las siguientes manifestaciones: </w:t>
      </w:r>
    </w:p>
    <w:p w14:paraId="0567DE38" w14:textId="77777777" w:rsidR="00B0499A" w:rsidRPr="002B3167" w:rsidRDefault="00B0499A" w:rsidP="002B3167">
      <w:pPr>
        <w:spacing w:after="0" w:line="360" w:lineRule="auto"/>
        <w:jc w:val="both"/>
        <w:rPr>
          <w:rFonts w:ascii="Palatino Linotype" w:hAnsi="Palatino Linotype" w:cs="Arial"/>
          <w:sz w:val="24"/>
          <w:szCs w:val="24"/>
        </w:rPr>
      </w:pPr>
    </w:p>
    <w:p w14:paraId="432600E4" w14:textId="173E43F6" w:rsidR="00315C28" w:rsidRPr="002B3167" w:rsidRDefault="00315C28"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4"/>
          <w:szCs w:val="24"/>
        </w:rPr>
        <w:t>Acto Impugnado:</w:t>
      </w:r>
      <w:r w:rsidRPr="002B3167">
        <w:rPr>
          <w:rFonts w:ascii="Palatino Linotype" w:hAnsi="Palatino Linotype" w:cs="Arial"/>
          <w:sz w:val="24"/>
          <w:szCs w:val="24"/>
        </w:rPr>
        <w:t xml:space="preserve"> </w:t>
      </w:r>
    </w:p>
    <w:p w14:paraId="19C48403" w14:textId="77777777" w:rsidR="00B0499A" w:rsidRPr="002B3167" w:rsidRDefault="00B0499A" w:rsidP="002B3167">
      <w:pPr>
        <w:spacing w:after="0" w:line="360" w:lineRule="auto"/>
        <w:jc w:val="both"/>
        <w:rPr>
          <w:rFonts w:ascii="Palatino Linotype" w:hAnsi="Palatino Linotype" w:cs="Arial"/>
          <w:b/>
          <w:sz w:val="24"/>
          <w:szCs w:val="24"/>
        </w:rPr>
      </w:pPr>
    </w:p>
    <w:p w14:paraId="1AA058DB" w14:textId="39EBFE51" w:rsidR="00315C28" w:rsidRPr="002B3167" w:rsidRDefault="00284441" w:rsidP="002B3167">
      <w:pPr>
        <w:pStyle w:val="Citas"/>
        <w:spacing w:before="0" w:after="0" w:line="240" w:lineRule="auto"/>
        <w:ind w:left="567" w:right="567"/>
        <w:rPr>
          <w:b/>
          <w:szCs w:val="24"/>
        </w:rPr>
      </w:pPr>
      <w:r w:rsidRPr="002B3167">
        <w:rPr>
          <w:szCs w:val="24"/>
        </w:rPr>
        <w:t>“</w:t>
      </w:r>
      <w:r w:rsidR="00B0499A" w:rsidRPr="002B3167">
        <w:rPr>
          <w:szCs w:val="24"/>
        </w:rPr>
        <w:t>a la respuesta</w:t>
      </w:r>
      <w:r w:rsidR="00315C28" w:rsidRPr="002B3167">
        <w:rPr>
          <w:szCs w:val="24"/>
        </w:rPr>
        <w:t xml:space="preserve">” </w:t>
      </w:r>
      <w:r w:rsidR="00315C28" w:rsidRPr="002B3167">
        <w:rPr>
          <w:b/>
          <w:szCs w:val="24"/>
        </w:rPr>
        <w:t xml:space="preserve">[Sic] </w:t>
      </w:r>
    </w:p>
    <w:p w14:paraId="33FFFDA6" w14:textId="77777777" w:rsidR="00BA0CA5" w:rsidRPr="002B3167" w:rsidRDefault="00BA0CA5" w:rsidP="002B3167">
      <w:pPr>
        <w:spacing w:after="0" w:line="360" w:lineRule="auto"/>
        <w:ind w:right="851"/>
        <w:jc w:val="both"/>
        <w:rPr>
          <w:rFonts w:ascii="Palatino Linotype" w:hAnsi="Palatino Linotype" w:cs="Arial"/>
          <w:b/>
          <w:sz w:val="24"/>
          <w:szCs w:val="24"/>
        </w:rPr>
      </w:pPr>
    </w:p>
    <w:p w14:paraId="52A21935" w14:textId="77777777" w:rsidR="006D5803" w:rsidRPr="002B3167" w:rsidRDefault="006D5803" w:rsidP="002B3167">
      <w:pPr>
        <w:spacing w:after="0" w:line="360" w:lineRule="auto"/>
        <w:ind w:right="851"/>
        <w:jc w:val="both"/>
        <w:rPr>
          <w:rFonts w:ascii="Palatino Linotype" w:hAnsi="Palatino Linotype" w:cs="Arial"/>
          <w:sz w:val="24"/>
          <w:szCs w:val="24"/>
        </w:rPr>
      </w:pPr>
      <w:r w:rsidRPr="002B3167">
        <w:rPr>
          <w:rFonts w:ascii="Palatino Linotype" w:hAnsi="Palatino Linotype" w:cs="Arial"/>
          <w:b/>
          <w:sz w:val="24"/>
          <w:szCs w:val="24"/>
        </w:rPr>
        <w:t>Razones o Motivos de Inconformidad:</w:t>
      </w:r>
    </w:p>
    <w:p w14:paraId="787E4B28" w14:textId="77777777" w:rsidR="00B0499A" w:rsidRPr="002B3167" w:rsidRDefault="00B0499A" w:rsidP="002B3167">
      <w:pPr>
        <w:spacing w:after="0" w:line="360" w:lineRule="auto"/>
        <w:ind w:right="851"/>
        <w:jc w:val="both"/>
        <w:rPr>
          <w:rFonts w:ascii="Palatino Linotype" w:hAnsi="Palatino Linotype" w:cs="Arial"/>
          <w:sz w:val="24"/>
          <w:szCs w:val="24"/>
        </w:rPr>
      </w:pPr>
    </w:p>
    <w:p w14:paraId="73A41C1E" w14:textId="67210309" w:rsidR="005C3CD1" w:rsidRPr="002B3167" w:rsidRDefault="00672112" w:rsidP="002B3167">
      <w:pPr>
        <w:pStyle w:val="Citas"/>
        <w:spacing w:before="0" w:after="0" w:line="240" w:lineRule="auto"/>
        <w:ind w:left="567" w:right="567"/>
        <w:rPr>
          <w:b/>
          <w:szCs w:val="24"/>
        </w:rPr>
      </w:pPr>
      <w:r w:rsidRPr="002B3167">
        <w:rPr>
          <w:szCs w:val="24"/>
        </w:rPr>
        <w:t>“</w:t>
      </w:r>
      <w:r w:rsidR="00B0499A" w:rsidRPr="002B3167">
        <w:rPr>
          <w:szCs w:val="24"/>
        </w:rPr>
        <w:t>Esta explicito la solicitud, quieren ganar tiempo para no dar la respuesta</w:t>
      </w:r>
      <w:r w:rsidRPr="002B3167">
        <w:rPr>
          <w:szCs w:val="24"/>
        </w:rPr>
        <w:t xml:space="preserve">” </w:t>
      </w:r>
      <w:r w:rsidRPr="002B3167">
        <w:rPr>
          <w:b/>
          <w:szCs w:val="24"/>
        </w:rPr>
        <w:t xml:space="preserve">[Sic] </w:t>
      </w:r>
    </w:p>
    <w:p w14:paraId="20162409" w14:textId="77777777" w:rsidR="00B0499A" w:rsidRPr="002B3167" w:rsidRDefault="00B0499A" w:rsidP="002B3167">
      <w:pPr>
        <w:spacing w:after="0" w:line="360" w:lineRule="auto"/>
        <w:jc w:val="both"/>
        <w:rPr>
          <w:rFonts w:ascii="Palatino Linotype" w:hAnsi="Palatino Linotype" w:cs="Arial"/>
          <w:b/>
          <w:sz w:val="24"/>
          <w:szCs w:val="24"/>
        </w:rPr>
      </w:pPr>
    </w:p>
    <w:p w14:paraId="1D3EE3B2" w14:textId="270CDFF4" w:rsidR="00B0499A" w:rsidRPr="002B3167" w:rsidRDefault="00B0499A" w:rsidP="002B3167">
      <w:pPr>
        <w:spacing w:after="0" w:line="360" w:lineRule="auto"/>
        <w:ind w:right="49"/>
        <w:jc w:val="both"/>
        <w:rPr>
          <w:rFonts w:ascii="Palatino Linotype" w:eastAsia="Times New Roman" w:hAnsi="Palatino Linotype" w:cs="Arial"/>
          <w:sz w:val="24"/>
          <w:szCs w:val="24"/>
          <w:lang w:val="es-ES_tradnl" w:eastAsia="es-ES"/>
        </w:rPr>
      </w:pPr>
      <w:r w:rsidRPr="002B3167">
        <w:rPr>
          <w:rFonts w:ascii="Palatino Linotype" w:hAnsi="Palatino Linotype" w:cs="Arial"/>
          <w:sz w:val="24"/>
          <w:szCs w:val="24"/>
          <w:lang w:val="es-ES"/>
        </w:rPr>
        <w:t xml:space="preserve">Recurso de revisión que, </w:t>
      </w:r>
      <w:r w:rsidRPr="002B3167">
        <w:rPr>
          <w:rFonts w:ascii="Palatino Linotype" w:eastAsia="Times New Roman" w:hAnsi="Palatino Linotype" w:cs="Arial"/>
          <w:sz w:val="24"/>
          <w:szCs w:val="24"/>
          <w:lang w:val="es-ES_tradnl" w:eastAsia="es-ES"/>
        </w:rPr>
        <w:t xml:space="preserve">se envió electrónicamente al Instituto de </w:t>
      </w:r>
      <w:r w:rsidRPr="002B3167">
        <w:rPr>
          <w:rFonts w:ascii="Palatino Linotype" w:eastAsia="Arial Unicode MS" w:hAnsi="Palatino Linotype" w:cs="Arial"/>
          <w:sz w:val="24"/>
          <w:szCs w:val="24"/>
          <w:lang w:val="es-ES" w:eastAsia="es-ES"/>
        </w:rPr>
        <w:t>Transparencia</w:t>
      </w:r>
      <w:r w:rsidRPr="002B316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2B3167">
        <w:rPr>
          <w:rFonts w:ascii="Palatino Linotype" w:eastAsia="Times New Roman" w:hAnsi="Palatino Linotype" w:cs="Times New Roman"/>
          <w:sz w:val="24"/>
          <w:szCs w:val="24"/>
          <w:lang w:val="es-ES" w:eastAsia="es-ES"/>
        </w:rPr>
        <w:t>Ley de Transparencia y Acceso a la Información Pública del Estado de México y Municipios</w:t>
      </w:r>
      <w:r w:rsidRPr="002B3167">
        <w:rPr>
          <w:rFonts w:ascii="Palatino Linotype" w:eastAsia="Times New Roman" w:hAnsi="Palatino Linotype" w:cs="Arial"/>
          <w:sz w:val="24"/>
          <w:szCs w:val="24"/>
          <w:lang w:val="es-ES_tradnl" w:eastAsia="es-ES"/>
        </w:rPr>
        <w:t>, se turnó a través del</w:t>
      </w:r>
      <w:r w:rsidRPr="002B3167">
        <w:rPr>
          <w:rFonts w:ascii="Palatino Linotype" w:eastAsia="Arial Unicode MS" w:hAnsi="Palatino Linotype" w:cs="Arial"/>
          <w:sz w:val="24"/>
          <w:szCs w:val="24"/>
          <w:lang w:val="es-ES_tradnl" w:eastAsia="es-ES"/>
        </w:rPr>
        <w:t xml:space="preserve"> </w:t>
      </w:r>
      <w:r w:rsidRPr="002B3167">
        <w:rPr>
          <w:rFonts w:ascii="Palatino Linotype" w:eastAsia="Arial Unicode MS" w:hAnsi="Palatino Linotype" w:cs="Arial"/>
          <w:b/>
          <w:sz w:val="24"/>
          <w:szCs w:val="24"/>
          <w:lang w:val="es-ES_tradnl" w:eastAsia="es-ES"/>
        </w:rPr>
        <w:t>SAIMEX</w:t>
      </w:r>
      <w:r w:rsidRPr="002B3167">
        <w:rPr>
          <w:rFonts w:ascii="Palatino Linotype" w:eastAsia="Times New Roman" w:hAnsi="Palatino Linotype" w:cs="Times New Roman"/>
          <w:sz w:val="24"/>
          <w:szCs w:val="24"/>
          <w:lang w:val="es-ES" w:eastAsia="es-ES"/>
        </w:rPr>
        <w:t xml:space="preserve"> al </w:t>
      </w:r>
      <w:r w:rsidRPr="002B3167">
        <w:rPr>
          <w:rFonts w:ascii="Palatino Linotype" w:eastAsia="Times New Roman" w:hAnsi="Palatino Linotype" w:cs="Arial"/>
          <w:sz w:val="24"/>
          <w:szCs w:val="24"/>
          <w:lang w:val="es-ES_tradnl" w:eastAsia="es-ES"/>
        </w:rPr>
        <w:t xml:space="preserve">Comisionado Presidente </w:t>
      </w:r>
      <w:r w:rsidRPr="002B3167">
        <w:rPr>
          <w:rFonts w:ascii="Palatino Linotype" w:eastAsia="Times New Roman" w:hAnsi="Palatino Linotype" w:cs="Arial"/>
          <w:b/>
          <w:sz w:val="24"/>
          <w:szCs w:val="24"/>
          <w:lang w:val="es-ES_tradnl" w:eastAsia="es-ES"/>
        </w:rPr>
        <w:t xml:space="preserve">JOSÉ MARTÍNEZ VILCHIS, </w:t>
      </w:r>
      <w:r w:rsidRPr="002B3167">
        <w:rPr>
          <w:rFonts w:ascii="Palatino Linotype" w:eastAsia="Times New Roman" w:hAnsi="Palatino Linotype" w:cs="Arial"/>
          <w:sz w:val="24"/>
          <w:szCs w:val="24"/>
          <w:lang w:val="es-ES_tradnl" w:eastAsia="es-ES"/>
        </w:rPr>
        <w:t xml:space="preserve">a efecto de que decretara su admisión o </w:t>
      </w:r>
      <w:proofErr w:type="spellStart"/>
      <w:r w:rsidRPr="002B3167">
        <w:rPr>
          <w:rFonts w:ascii="Palatino Linotype" w:eastAsia="Times New Roman" w:hAnsi="Palatino Linotype" w:cs="Arial"/>
          <w:sz w:val="24"/>
          <w:szCs w:val="24"/>
          <w:lang w:val="es-ES_tradnl" w:eastAsia="es-ES"/>
        </w:rPr>
        <w:t>desechamiento</w:t>
      </w:r>
      <w:proofErr w:type="spellEnd"/>
      <w:r w:rsidRPr="002B3167">
        <w:rPr>
          <w:rFonts w:ascii="Palatino Linotype" w:eastAsia="Times New Roman" w:hAnsi="Palatino Linotype" w:cs="Arial"/>
          <w:sz w:val="24"/>
          <w:szCs w:val="24"/>
          <w:lang w:val="es-ES_tradnl" w:eastAsia="es-ES"/>
        </w:rPr>
        <w:t>.</w:t>
      </w:r>
    </w:p>
    <w:p w14:paraId="3638A419" w14:textId="77777777" w:rsidR="00792E0C" w:rsidRPr="002B3167" w:rsidRDefault="00792E0C" w:rsidP="002B3167">
      <w:pPr>
        <w:spacing w:after="0" w:line="360" w:lineRule="auto"/>
        <w:jc w:val="both"/>
        <w:rPr>
          <w:rFonts w:ascii="Palatino Linotype" w:hAnsi="Palatino Linotype" w:cs="Arial"/>
          <w:sz w:val="24"/>
          <w:szCs w:val="24"/>
          <w:lang w:val="es-ES_tradnl"/>
        </w:rPr>
      </w:pPr>
    </w:p>
    <w:p w14:paraId="0F222F54" w14:textId="6CE8A63F" w:rsidR="00B0499A" w:rsidRPr="002B3167" w:rsidRDefault="00894471"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b/>
          <w:sz w:val="28"/>
          <w:szCs w:val="28"/>
          <w:lang w:val="es-ES_tradnl" w:eastAsia="es-ES"/>
        </w:rPr>
        <w:t>SEXTO</w:t>
      </w:r>
      <w:r w:rsidR="00B0499A" w:rsidRPr="002B3167">
        <w:rPr>
          <w:rFonts w:ascii="Palatino Linotype" w:eastAsia="Times New Roman" w:hAnsi="Palatino Linotype" w:cs="Arial"/>
          <w:b/>
          <w:sz w:val="28"/>
          <w:szCs w:val="28"/>
          <w:lang w:val="es-ES_tradnl" w:eastAsia="es-ES"/>
        </w:rPr>
        <w:t xml:space="preserve">. </w:t>
      </w:r>
      <w:r w:rsidR="00B0499A" w:rsidRPr="002B3167">
        <w:rPr>
          <w:rFonts w:ascii="Palatino Linotype" w:eastAsia="Times New Roman" w:hAnsi="Palatino Linotype" w:cs="Arial"/>
          <w:sz w:val="24"/>
          <w:szCs w:val="24"/>
          <w:lang w:val="es-ES_tradnl" w:eastAsia="es-ES"/>
        </w:rPr>
        <w:t>E</w:t>
      </w:r>
      <w:r w:rsidR="00B0499A" w:rsidRPr="002B3167">
        <w:rPr>
          <w:rFonts w:ascii="Palatino Linotype" w:eastAsia="Times New Roman" w:hAnsi="Palatino Linotype" w:cs="Arial"/>
          <w:sz w:val="24"/>
          <w:szCs w:val="24"/>
          <w:lang w:val="es-ES" w:eastAsia="es-ES"/>
        </w:rPr>
        <w:t xml:space="preserve">n fecha nueve de agosto de dos mil veintitrés, atento a lo dispuesto en el </w:t>
      </w:r>
      <w:r w:rsidR="00B0499A" w:rsidRPr="002B3167">
        <w:rPr>
          <w:rFonts w:ascii="Palatino Linotype" w:eastAsia="Times New Roman" w:hAnsi="Palatino Linotype" w:cs="Arial"/>
          <w:sz w:val="24"/>
          <w:szCs w:val="24"/>
          <w:lang w:val="es-ES_tradnl" w:eastAsia="es-ES"/>
        </w:rPr>
        <w:t>artículo</w:t>
      </w:r>
      <w:r w:rsidR="00B0499A" w:rsidRPr="002B3167">
        <w:rPr>
          <w:rFonts w:ascii="Palatino Linotype" w:eastAsia="Times New Roman" w:hAnsi="Palatino Linotype" w:cs="Arial"/>
          <w:sz w:val="24"/>
          <w:szCs w:val="24"/>
          <w:lang w:val="es-ES" w:eastAsia="es-ES"/>
        </w:rPr>
        <w:t xml:space="preserve"> 185 fracciones I, II y IV </w:t>
      </w:r>
      <w:r w:rsidR="00B0499A" w:rsidRPr="002B3167">
        <w:rPr>
          <w:rFonts w:ascii="Palatino Linotype" w:eastAsia="Times New Roman" w:hAnsi="Palatino Linotype" w:cs="Arial"/>
          <w:sz w:val="24"/>
          <w:szCs w:val="24"/>
          <w:lang w:val="es-ES_tradnl" w:eastAsia="es-ES"/>
        </w:rPr>
        <w:t xml:space="preserve">de la </w:t>
      </w:r>
      <w:r w:rsidR="00B0499A" w:rsidRPr="002B316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B0499A" w:rsidRPr="002B3167">
        <w:rPr>
          <w:rFonts w:ascii="Palatino Linotype" w:eastAsia="Times New Roman" w:hAnsi="Palatino Linotype" w:cs="Arial"/>
          <w:sz w:val="24"/>
          <w:szCs w:val="24"/>
          <w:lang w:val="es-ES" w:eastAsia="es-ES"/>
        </w:rPr>
        <w:t xml:space="preserve">cordó la admisión a trámite del referido recursos de revisión, así como la integración del expediente respectivo, que se puso a disposición de las partes, para que en un plazo máximo de siete días hábiles, </w:t>
      </w:r>
      <w:r w:rsidR="00B0499A" w:rsidRPr="002B3167">
        <w:rPr>
          <w:rFonts w:ascii="Palatino Linotype" w:eastAsia="Times New Roman" w:hAnsi="Palatino Linotype" w:cs="Arial"/>
          <w:sz w:val="24"/>
          <w:szCs w:val="24"/>
          <w:lang w:val="es-ES" w:eastAsia="es-ES"/>
        </w:rPr>
        <w:lastRenderedPageBreak/>
        <w:t>realizarán manifestaciones y ofrecieran las pruebas y alegatos que a su derecho conviniera o exhibieran el informe justificado, según fuera el caso.</w:t>
      </w:r>
    </w:p>
    <w:p w14:paraId="2D7E5CD8"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790CDC27" w14:textId="35FA0382" w:rsidR="00B0499A" w:rsidRPr="002B3167" w:rsidRDefault="00894471"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8"/>
          <w:szCs w:val="28"/>
        </w:rPr>
        <w:t>SÉPTIMO</w:t>
      </w:r>
      <w:r w:rsidR="00B0499A" w:rsidRPr="002B3167">
        <w:rPr>
          <w:rFonts w:ascii="Palatino Linotype" w:hAnsi="Palatino Linotype" w:cs="Arial"/>
          <w:b/>
          <w:sz w:val="28"/>
          <w:szCs w:val="28"/>
        </w:rPr>
        <w:t xml:space="preserve">. </w:t>
      </w:r>
      <w:r w:rsidR="00B0499A" w:rsidRPr="002B3167">
        <w:rPr>
          <w:rFonts w:ascii="Palatino Linotype" w:hAnsi="Palatino Linotype" w:cs="Arial"/>
          <w:sz w:val="24"/>
          <w:szCs w:val="24"/>
        </w:rPr>
        <w:t xml:space="preserve">Una vez abierta la etapa de instrucción, se advierte que tanto el </w:t>
      </w:r>
      <w:r w:rsidR="00B0499A" w:rsidRPr="002B3167">
        <w:rPr>
          <w:rFonts w:ascii="Palatino Linotype" w:hAnsi="Palatino Linotype" w:cs="Arial"/>
          <w:b/>
          <w:sz w:val="24"/>
          <w:szCs w:val="24"/>
        </w:rPr>
        <w:t>Sujeto Obligado</w:t>
      </w:r>
      <w:r w:rsidR="00B0499A" w:rsidRPr="002B3167">
        <w:rPr>
          <w:rFonts w:ascii="Palatino Linotype" w:hAnsi="Palatino Linotype" w:cs="Arial"/>
          <w:sz w:val="24"/>
          <w:szCs w:val="24"/>
        </w:rPr>
        <w:t xml:space="preserve"> como la parte Recurrente fueron omisos en rendir su informe justificado y las manifestaciones que a sus intereses convinieran. Así mismo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1E1A01CE" w14:textId="77777777" w:rsidR="00B0499A" w:rsidRPr="002B3167" w:rsidRDefault="00B0499A" w:rsidP="002B3167">
      <w:pPr>
        <w:spacing w:after="0" w:line="360" w:lineRule="auto"/>
        <w:jc w:val="both"/>
        <w:rPr>
          <w:rFonts w:ascii="Palatino Linotype" w:hAnsi="Palatino Linotype" w:cs="Arial"/>
          <w:sz w:val="24"/>
          <w:szCs w:val="24"/>
        </w:rPr>
      </w:pPr>
    </w:p>
    <w:p w14:paraId="7D66BD53" w14:textId="75B3110D" w:rsidR="00B0499A" w:rsidRPr="002B3167" w:rsidRDefault="00894471"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8"/>
          <w:szCs w:val="28"/>
        </w:rPr>
        <w:t>OCTAVO</w:t>
      </w:r>
      <w:r w:rsidR="00B0499A" w:rsidRPr="002B3167">
        <w:rPr>
          <w:rFonts w:ascii="Palatino Linotype" w:hAnsi="Palatino Linotype" w:cs="Arial"/>
          <w:b/>
          <w:sz w:val="28"/>
          <w:szCs w:val="28"/>
        </w:rPr>
        <w:t xml:space="preserve">. </w:t>
      </w:r>
      <w:r w:rsidR="00B0499A" w:rsidRPr="002B3167">
        <w:rPr>
          <w:rFonts w:ascii="Palatino Linotype" w:hAnsi="Palatino Linotype" w:cs="Arial"/>
          <w:sz w:val="24"/>
          <w:szCs w:val="28"/>
        </w:rPr>
        <w:t>U</w:t>
      </w:r>
      <w:r w:rsidR="00B0499A" w:rsidRPr="002B3167">
        <w:rPr>
          <w:rFonts w:ascii="Palatino Linotype" w:hAnsi="Palatino Linotype" w:cs="Arial"/>
          <w:sz w:val="24"/>
          <w:szCs w:val="24"/>
        </w:rPr>
        <w:t>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veintiuno de agosto de dos mil veintitrés, en términos del artículo 185 fracción VI de la Ley de Transparencia y Acceso a la Información Pública del Estado de México y Municipios, ordenándose turnar los expedientes a la resolución que en derecho proceda.</w:t>
      </w:r>
    </w:p>
    <w:p w14:paraId="697A0E6A" w14:textId="77777777" w:rsidR="00B0499A" w:rsidRPr="002B3167" w:rsidRDefault="00B0499A" w:rsidP="002B3167">
      <w:pPr>
        <w:spacing w:after="0" w:line="360" w:lineRule="auto"/>
        <w:jc w:val="both"/>
        <w:rPr>
          <w:rFonts w:ascii="Palatino Linotype" w:hAnsi="Palatino Linotype" w:cs="Arial"/>
          <w:sz w:val="24"/>
          <w:szCs w:val="24"/>
        </w:rPr>
      </w:pPr>
    </w:p>
    <w:p w14:paraId="0A87DCB1" w14:textId="71DDEDCB" w:rsidR="00B0499A" w:rsidRPr="002B3167" w:rsidRDefault="00894471" w:rsidP="002B3167">
      <w:pPr>
        <w:spacing w:after="0" w:line="360" w:lineRule="auto"/>
        <w:jc w:val="both"/>
        <w:rPr>
          <w:rFonts w:ascii="Palatino Linotype" w:hAnsi="Palatino Linotype" w:cs="Arial"/>
          <w:sz w:val="24"/>
          <w:szCs w:val="24"/>
        </w:rPr>
      </w:pPr>
      <w:r w:rsidRPr="002B3167">
        <w:rPr>
          <w:rFonts w:ascii="Palatino Linotype" w:hAnsi="Palatino Linotype" w:cs="Arial"/>
          <w:b/>
          <w:sz w:val="28"/>
          <w:szCs w:val="28"/>
        </w:rPr>
        <w:t>NOVENO</w:t>
      </w:r>
      <w:r w:rsidR="00B0499A" w:rsidRPr="002B3167">
        <w:rPr>
          <w:rFonts w:ascii="Palatino Linotype" w:hAnsi="Palatino Linotype" w:cs="Arial"/>
          <w:b/>
          <w:sz w:val="28"/>
          <w:szCs w:val="28"/>
        </w:rPr>
        <w:t xml:space="preserve">. </w:t>
      </w:r>
      <w:r w:rsidR="00B0499A" w:rsidRPr="002B3167">
        <w:rPr>
          <w:rFonts w:ascii="Palatino Linotype" w:hAnsi="Palatino Linotype" w:cs="Arial"/>
          <w:sz w:val="24"/>
          <w:szCs w:val="24"/>
        </w:rPr>
        <w:t xml:space="preserve">De las constancias que integran el expediente electrónico, se advierte que ha transcurrido el términos de Ley, para la emisión de la resolución en el presente recurso de revisión, por lo que en fecha </w:t>
      </w:r>
      <w:r w:rsidR="0069152A" w:rsidRPr="002B3167">
        <w:rPr>
          <w:rFonts w:ascii="Palatino Linotype" w:hAnsi="Palatino Linotype" w:cs="Arial"/>
          <w:sz w:val="24"/>
          <w:szCs w:val="24"/>
        </w:rPr>
        <w:t xml:space="preserve">veintiuno de septiembre de </w:t>
      </w:r>
      <w:r w:rsidR="00B0499A" w:rsidRPr="002B3167">
        <w:rPr>
          <w:rFonts w:ascii="Palatino Linotype" w:hAnsi="Palatino Linotype" w:cs="Arial"/>
          <w:sz w:val="24"/>
          <w:szCs w:val="24"/>
        </w:rPr>
        <w:t xml:space="preserve">dos mil veintitrés, se notificó a las partes el acuerdo por el que se ordena ampliar el plazo para la emisión de la resolución, en términos del artículo 181 párrafo tercero de la Ley de </w:t>
      </w:r>
      <w:r w:rsidR="00B0499A" w:rsidRPr="002B3167">
        <w:rPr>
          <w:rFonts w:ascii="Palatino Linotype" w:hAnsi="Palatino Linotype" w:cs="Arial"/>
          <w:sz w:val="24"/>
          <w:szCs w:val="24"/>
        </w:rPr>
        <w:lastRenderedPageBreak/>
        <w:t>Transparencia y Acceso a la Información Pública del Estado de México y Municipios, ordenándose turnar los expedientes a la resolución que en derecho proceda.</w:t>
      </w:r>
    </w:p>
    <w:p w14:paraId="192A2029" w14:textId="77777777" w:rsidR="00B0499A" w:rsidRPr="002B3167" w:rsidRDefault="00B0499A" w:rsidP="002B3167">
      <w:pPr>
        <w:spacing w:after="0" w:line="360" w:lineRule="auto"/>
        <w:jc w:val="both"/>
        <w:rPr>
          <w:rFonts w:ascii="Palatino Linotype" w:hAnsi="Palatino Linotype" w:cs="Arial"/>
          <w:sz w:val="24"/>
          <w:szCs w:val="24"/>
        </w:rPr>
      </w:pPr>
    </w:p>
    <w:p w14:paraId="00207EAB"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9A81B51"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412CF148"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4312CF2"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1D963F4B"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06F1FF"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 xml:space="preserve"> </w:t>
      </w:r>
    </w:p>
    <w:p w14:paraId="2D7E7DA2"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8A679F4"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55A17821"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2E8A78CF"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 xml:space="preserve"> </w:t>
      </w:r>
    </w:p>
    <w:p w14:paraId="1149697B" w14:textId="77777777" w:rsidR="00B0499A" w:rsidRPr="002B3167" w:rsidRDefault="00B0499A" w:rsidP="002B3167">
      <w:pPr>
        <w:spacing w:after="0" w:line="360" w:lineRule="auto"/>
        <w:ind w:left="993" w:right="49" w:hanging="426"/>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b/>
          <w:sz w:val="24"/>
          <w:szCs w:val="24"/>
          <w:lang w:val="es-ES" w:eastAsia="es-ES"/>
        </w:rPr>
        <w:t xml:space="preserve">a) </w:t>
      </w:r>
      <w:r w:rsidRPr="002B3167">
        <w:rPr>
          <w:rFonts w:ascii="Palatino Linotype" w:eastAsia="Times New Roman" w:hAnsi="Palatino Linotype" w:cs="Arial"/>
          <w:b/>
          <w:sz w:val="24"/>
          <w:szCs w:val="24"/>
          <w:lang w:val="es-ES" w:eastAsia="es-ES"/>
        </w:rPr>
        <w:tab/>
        <w:t>Complejidad del asunto:</w:t>
      </w:r>
      <w:r w:rsidRPr="002B3167">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486043B6" w14:textId="77777777" w:rsidR="00B0499A" w:rsidRPr="002B3167" w:rsidRDefault="00B0499A" w:rsidP="002B3167">
      <w:pPr>
        <w:spacing w:after="0" w:line="360" w:lineRule="auto"/>
        <w:ind w:left="993" w:right="49" w:hanging="426"/>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b/>
          <w:sz w:val="24"/>
          <w:szCs w:val="24"/>
          <w:lang w:val="es-ES" w:eastAsia="es-ES"/>
        </w:rPr>
        <w:t xml:space="preserve">b) </w:t>
      </w:r>
      <w:r w:rsidRPr="002B3167">
        <w:rPr>
          <w:rFonts w:ascii="Palatino Linotype" w:eastAsia="Times New Roman" w:hAnsi="Palatino Linotype" w:cs="Arial"/>
          <w:b/>
          <w:sz w:val="24"/>
          <w:szCs w:val="24"/>
          <w:lang w:val="es-ES" w:eastAsia="es-ES"/>
        </w:rPr>
        <w:tab/>
        <w:t>Actividad Procesal del interesado:</w:t>
      </w:r>
      <w:r w:rsidRPr="002B3167">
        <w:rPr>
          <w:rFonts w:ascii="Palatino Linotype" w:eastAsia="Times New Roman" w:hAnsi="Palatino Linotype" w:cs="Arial"/>
          <w:sz w:val="24"/>
          <w:szCs w:val="24"/>
          <w:lang w:val="es-ES" w:eastAsia="es-ES"/>
        </w:rPr>
        <w:t xml:space="preserve"> Acciones u omisiones del interesado.</w:t>
      </w:r>
    </w:p>
    <w:p w14:paraId="30128784" w14:textId="77777777" w:rsidR="00B0499A" w:rsidRPr="002B3167" w:rsidRDefault="00B0499A" w:rsidP="002B3167">
      <w:pPr>
        <w:spacing w:after="0" w:line="360" w:lineRule="auto"/>
        <w:ind w:left="993" w:right="49" w:hanging="426"/>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b/>
          <w:sz w:val="24"/>
          <w:szCs w:val="24"/>
          <w:lang w:val="es-ES" w:eastAsia="es-ES"/>
        </w:rPr>
        <w:t xml:space="preserve">c) </w:t>
      </w:r>
      <w:r w:rsidRPr="002B3167">
        <w:rPr>
          <w:rFonts w:ascii="Palatino Linotype" w:eastAsia="Times New Roman" w:hAnsi="Palatino Linotype" w:cs="Arial"/>
          <w:b/>
          <w:sz w:val="24"/>
          <w:szCs w:val="24"/>
          <w:lang w:val="es-ES" w:eastAsia="es-ES"/>
        </w:rPr>
        <w:tab/>
        <w:t>Conducta de la Autoridad:</w:t>
      </w:r>
      <w:r w:rsidRPr="002B3167">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1E5AA18" w14:textId="77777777" w:rsidR="00B0499A" w:rsidRPr="002B3167" w:rsidRDefault="00B0499A" w:rsidP="002B3167">
      <w:pPr>
        <w:spacing w:after="0" w:line="360" w:lineRule="auto"/>
        <w:ind w:left="993" w:right="49" w:hanging="426"/>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b/>
          <w:sz w:val="24"/>
          <w:szCs w:val="24"/>
          <w:lang w:val="es-ES" w:eastAsia="es-ES"/>
        </w:rPr>
        <w:t xml:space="preserve">d) </w:t>
      </w:r>
      <w:r w:rsidRPr="002B3167">
        <w:rPr>
          <w:rFonts w:ascii="Palatino Linotype" w:eastAsia="Times New Roman" w:hAnsi="Palatino Linotype" w:cs="Arial"/>
          <w:b/>
          <w:sz w:val="24"/>
          <w:szCs w:val="24"/>
          <w:lang w:val="es-ES" w:eastAsia="es-ES"/>
        </w:rPr>
        <w:tab/>
        <w:t>La afectación generada en la situación jurídica de la persona involucrada en el proceso:</w:t>
      </w:r>
      <w:r w:rsidRPr="002B3167">
        <w:rPr>
          <w:rFonts w:ascii="Palatino Linotype" w:eastAsia="Times New Roman" w:hAnsi="Palatino Linotype" w:cs="Arial"/>
          <w:sz w:val="24"/>
          <w:szCs w:val="24"/>
          <w:lang w:val="es-ES" w:eastAsia="es-ES"/>
        </w:rPr>
        <w:t xml:space="preserve"> Violación a sus derechos humanos.</w:t>
      </w:r>
    </w:p>
    <w:p w14:paraId="72BB3E12"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14493333"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2B3167">
        <w:rPr>
          <w:rFonts w:ascii="Palatino Linotype" w:eastAsia="Times New Roman" w:hAnsi="Palatino Linotype" w:cs="Arial"/>
          <w:sz w:val="24"/>
          <w:szCs w:val="24"/>
          <w:lang w:val="es-ES" w:eastAsia="es-ES"/>
        </w:rPr>
        <w:lastRenderedPageBreak/>
        <w:t>relación con la actuación del funcionario, como ha acontecido en el caso que nos ocupa.</w:t>
      </w:r>
    </w:p>
    <w:p w14:paraId="573DEC57"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7DA0A403"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Argumento que encuentra sustento en la jurisprudencia P</w:t>
      </w:r>
      <w:proofErr w:type="gramStart"/>
      <w:r w:rsidRPr="002B3167">
        <w:rPr>
          <w:rFonts w:ascii="Palatino Linotype" w:eastAsia="Times New Roman" w:hAnsi="Palatino Linotype" w:cs="Arial"/>
          <w:sz w:val="24"/>
          <w:szCs w:val="24"/>
          <w:lang w:val="es-ES" w:eastAsia="es-ES"/>
        </w:rPr>
        <w:t>./</w:t>
      </w:r>
      <w:proofErr w:type="gramEnd"/>
      <w:r w:rsidRPr="002B3167">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6C10233"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057E22CA"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3096511"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2A77142B"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lastRenderedPageBreak/>
        <w:t>Al respecto, también son de considerar los criterios sostenidos por el Cuarto Tribunal Colegiado en Materia Administrativa del Primer Circuito, cuyos rubros y datos de identificación son los siguientes:</w:t>
      </w:r>
    </w:p>
    <w:p w14:paraId="354D8B0A"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7ADBDB2A"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5F73E6F9"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 xml:space="preserve"> </w:t>
      </w:r>
    </w:p>
    <w:p w14:paraId="7C70BD17"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0C130502"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p>
    <w:p w14:paraId="50B3D5B3" w14:textId="77777777" w:rsidR="00B0499A" w:rsidRPr="002B3167" w:rsidRDefault="00B0499A" w:rsidP="002B3167">
      <w:pPr>
        <w:spacing w:after="0" w:line="360" w:lineRule="auto"/>
        <w:ind w:right="49"/>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3E6C8892" w14:textId="77777777" w:rsidR="00D3189A" w:rsidRPr="002B3167" w:rsidRDefault="00D3189A" w:rsidP="002B3167">
      <w:pPr>
        <w:spacing w:after="0" w:line="360" w:lineRule="auto"/>
        <w:jc w:val="center"/>
        <w:rPr>
          <w:rFonts w:ascii="Palatino Linotype" w:hAnsi="Palatino Linotype" w:cs="Arial"/>
          <w:b/>
          <w:sz w:val="24"/>
          <w:szCs w:val="24"/>
          <w:lang w:val="es-ES"/>
        </w:rPr>
      </w:pPr>
    </w:p>
    <w:p w14:paraId="0D4A17DB" w14:textId="77777777" w:rsidR="006D5803" w:rsidRPr="002B3167" w:rsidRDefault="006D5803" w:rsidP="002B3167">
      <w:pPr>
        <w:spacing w:after="0" w:line="360" w:lineRule="auto"/>
        <w:jc w:val="center"/>
        <w:rPr>
          <w:rFonts w:ascii="Palatino Linotype" w:hAnsi="Palatino Linotype" w:cs="Arial"/>
          <w:b/>
          <w:sz w:val="24"/>
          <w:szCs w:val="24"/>
        </w:rPr>
      </w:pPr>
      <w:r w:rsidRPr="002B3167">
        <w:rPr>
          <w:rFonts w:ascii="Palatino Linotype" w:hAnsi="Palatino Linotype" w:cs="Arial"/>
          <w:b/>
          <w:sz w:val="24"/>
          <w:szCs w:val="24"/>
        </w:rPr>
        <w:t xml:space="preserve">C O N S I D E R A N D O </w:t>
      </w:r>
    </w:p>
    <w:p w14:paraId="0C3DA860" w14:textId="77777777" w:rsidR="0069152A" w:rsidRPr="002B3167" w:rsidRDefault="0069152A" w:rsidP="002B3167">
      <w:pPr>
        <w:spacing w:after="0" w:line="360" w:lineRule="auto"/>
        <w:jc w:val="both"/>
        <w:rPr>
          <w:rFonts w:ascii="Palatino Linotype" w:hAnsi="Palatino Linotype" w:cs="Arial"/>
          <w:sz w:val="24"/>
          <w:szCs w:val="24"/>
        </w:rPr>
      </w:pPr>
    </w:p>
    <w:p w14:paraId="6E81E773" w14:textId="77777777" w:rsidR="006D5803" w:rsidRPr="002B3167" w:rsidRDefault="006D5803" w:rsidP="002B3167">
      <w:pPr>
        <w:spacing w:after="0" w:line="360" w:lineRule="auto"/>
        <w:jc w:val="both"/>
        <w:rPr>
          <w:rFonts w:ascii="Palatino Linotype" w:hAnsi="Palatino Linotype" w:cs="Arial"/>
          <w:sz w:val="28"/>
          <w:szCs w:val="24"/>
        </w:rPr>
      </w:pPr>
      <w:r w:rsidRPr="002B3167">
        <w:rPr>
          <w:rFonts w:ascii="Palatino Linotype" w:hAnsi="Palatino Linotype" w:cs="Arial"/>
          <w:b/>
          <w:sz w:val="28"/>
          <w:szCs w:val="24"/>
        </w:rPr>
        <w:t>PRIMERO. De la competencia</w:t>
      </w:r>
      <w:r w:rsidRPr="002B3167">
        <w:rPr>
          <w:rFonts w:ascii="Palatino Linotype" w:hAnsi="Palatino Linotype" w:cs="Arial"/>
          <w:sz w:val="28"/>
          <w:szCs w:val="24"/>
        </w:rPr>
        <w:t>.</w:t>
      </w:r>
    </w:p>
    <w:p w14:paraId="02361021" w14:textId="75BB95F6" w:rsidR="00FD6FD8" w:rsidRPr="002B3167" w:rsidRDefault="00FD6FD8" w:rsidP="002B3167">
      <w:pPr>
        <w:spacing w:after="0" w:line="360" w:lineRule="auto"/>
        <w:jc w:val="both"/>
        <w:rPr>
          <w:rFonts w:ascii="Palatino Linotype" w:eastAsia="Calibri" w:hAnsi="Palatino Linotype" w:cs="Arial"/>
          <w:b/>
          <w:color w:val="000000" w:themeColor="text1"/>
          <w:sz w:val="24"/>
          <w:szCs w:val="24"/>
        </w:rPr>
      </w:pPr>
      <w:r w:rsidRPr="002B3167">
        <w:rPr>
          <w:rFonts w:ascii="Palatino Linotype" w:hAnsi="Palatino Linotype" w:cs="Arial"/>
          <w:sz w:val="24"/>
          <w:szCs w:val="24"/>
          <w:lang w:val="es-ES"/>
        </w:rPr>
        <w:t>Este Instituto de Transparencia, Acceso a la Información Pública y Protección de Datos Personales del Estado de México, es competente para conocer y resolver el presente recurso de revisión interpuesto por la</w:t>
      </w:r>
      <w:r w:rsidRPr="002B3167">
        <w:rPr>
          <w:rFonts w:ascii="Palatino Linotype" w:hAnsi="Palatino Linotype" w:cs="Arial"/>
          <w:b/>
          <w:sz w:val="24"/>
          <w:szCs w:val="24"/>
          <w:lang w:val="es-ES"/>
        </w:rPr>
        <w:t xml:space="preserve"> </w:t>
      </w:r>
      <w:r w:rsidRPr="002B3167">
        <w:rPr>
          <w:rFonts w:ascii="Palatino Linotype" w:hAnsi="Palatino Linotype" w:cs="Arial"/>
          <w:sz w:val="24"/>
          <w:szCs w:val="24"/>
          <w:lang w:val="es-ES"/>
        </w:rPr>
        <w:t>parte</w:t>
      </w:r>
      <w:r w:rsidRPr="002B3167">
        <w:rPr>
          <w:rFonts w:ascii="Palatino Linotype" w:hAnsi="Palatino Linotype" w:cs="Arial"/>
          <w:b/>
          <w:sz w:val="24"/>
          <w:szCs w:val="24"/>
          <w:lang w:val="es-ES"/>
        </w:rPr>
        <w:t xml:space="preserve"> </w:t>
      </w:r>
      <w:r w:rsidR="002B3167" w:rsidRPr="002B3167">
        <w:rPr>
          <w:rFonts w:ascii="Palatino Linotype" w:hAnsi="Palatino Linotype" w:cs="Arial"/>
          <w:b/>
          <w:sz w:val="24"/>
          <w:szCs w:val="24"/>
          <w:lang w:val="es-ES"/>
        </w:rPr>
        <w:t xml:space="preserve">Recurrente </w:t>
      </w:r>
      <w:r w:rsidRPr="002B3167">
        <w:rPr>
          <w:rFonts w:ascii="Palatino Linotype" w:hAnsi="Palatino Linotype" w:cs="Arial"/>
          <w:sz w:val="24"/>
          <w:szCs w:val="24"/>
          <w:lang w:val="es-ES"/>
        </w:rPr>
        <w:t xml:space="preserve">conforme a lo dispuesto en los </w:t>
      </w:r>
      <w:r w:rsidRPr="002B3167">
        <w:rPr>
          <w:rFonts w:ascii="Palatino Linotype" w:hAnsi="Palatino Linotype" w:cs="Arial"/>
          <w:sz w:val="24"/>
          <w:szCs w:val="24"/>
          <w:lang w:val="es-ES"/>
        </w:rPr>
        <w:lastRenderedPageBreak/>
        <w:t xml:space="preserve">artículos 1, párrafos segundo y tercero, </w:t>
      </w:r>
      <w:r w:rsidRPr="002B3167">
        <w:rPr>
          <w:rFonts w:ascii="Palatino Linotype" w:eastAsia="Calibri" w:hAnsi="Palatino Linotype"/>
          <w:color w:val="000000" w:themeColor="text1"/>
          <w:sz w:val="24"/>
          <w:szCs w:val="24"/>
        </w:rPr>
        <w:t xml:space="preserve">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2B3167">
        <w:rPr>
          <w:rFonts w:ascii="Palatino Linotype" w:eastAsia="Calibri" w:hAnsi="Palatino Linotype" w:cs="Arial"/>
          <w:color w:val="000000" w:themeColor="text1"/>
          <w:sz w:val="24"/>
          <w:szCs w:val="24"/>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17AFFE98" w14:textId="77777777" w:rsidR="00FD6FD8" w:rsidRPr="002B3167" w:rsidRDefault="00FD6FD8" w:rsidP="002B3167">
      <w:pPr>
        <w:spacing w:after="0" w:line="360" w:lineRule="auto"/>
        <w:jc w:val="both"/>
        <w:rPr>
          <w:rFonts w:ascii="Palatino Linotype" w:hAnsi="Palatino Linotype" w:cs="Arial"/>
          <w:sz w:val="24"/>
          <w:szCs w:val="24"/>
        </w:rPr>
      </w:pPr>
    </w:p>
    <w:p w14:paraId="5F4B11BD" w14:textId="77777777" w:rsidR="0069152A" w:rsidRPr="002B3167" w:rsidRDefault="0069152A" w:rsidP="002B3167">
      <w:pPr>
        <w:autoSpaceDE w:val="0"/>
        <w:autoSpaceDN w:val="0"/>
        <w:adjustRightInd w:val="0"/>
        <w:spacing w:after="0" w:line="360" w:lineRule="auto"/>
        <w:jc w:val="both"/>
        <w:rPr>
          <w:rFonts w:ascii="Palatino Linotype" w:hAnsi="Palatino Linotype" w:cs="Arial"/>
          <w:bCs/>
          <w:sz w:val="28"/>
          <w:szCs w:val="24"/>
        </w:rPr>
      </w:pPr>
      <w:r w:rsidRPr="002B3167">
        <w:rPr>
          <w:rFonts w:ascii="Palatino Linotype" w:hAnsi="Palatino Linotype" w:cs="Arial"/>
          <w:b/>
          <w:sz w:val="32"/>
          <w:szCs w:val="28"/>
        </w:rPr>
        <w:t>SEGUNDO. Del alcance de los recursos de revisión.</w:t>
      </w:r>
      <w:r w:rsidRPr="002B3167">
        <w:rPr>
          <w:rFonts w:ascii="Palatino Linotype" w:hAnsi="Palatino Linotype" w:cs="Arial"/>
          <w:bCs/>
          <w:sz w:val="32"/>
          <w:szCs w:val="28"/>
        </w:rPr>
        <w:t xml:space="preserve"> </w:t>
      </w:r>
    </w:p>
    <w:p w14:paraId="5DF460FE" w14:textId="77777777" w:rsidR="0069152A" w:rsidRPr="002B3167" w:rsidRDefault="0069152A" w:rsidP="002B316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2B3167">
        <w:rPr>
          <w:rFonts w:ascii="Palatino Linotype" w:eastAsia="Palatino Linotype" w:hAnsi="Palatino Linotype" w:cs="Palatino Linotype"/>
          <w:color w:val="000000"/>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0F17AD2" w14:textId="77777777" w:rsidR="0069152A" w:rsidRPr="002B3167" w:rsidRDefault="0069152A" w:rsidP="002B3167">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0339C83E" w14:textId="77777777" w:rsidR="0069152A" w:rsidRPr="002B3167" w:rsidRDefault="0069152A" w:rsidP="002B3167">
      <w:pPr>
        <w:autoSpaceDE w:val="0"/>
        <w:autoSpaceDN w:val="0"/>
        <w:adjustRightInd w:val="0"/>
        <w:spacing w:after="0" w:line="360" w:lineRule="auto"/>
        <w:jc w:val="both"/>
        <w:rPr>
          <w:rFonts w:ascii="Palatino Linotype" w:hAnsi="Palatino Linotype" w:cs="Arial"/>
          <w:b/>
          <w:sz w:val="28"/>
          <w:szCs w:val="28"/>
        </w:rPr>
      </w:pPr>
      <w:r w:rsidRPr="002B3167">
        <w:rPr>
          <w:rFonts w:ascii="Palatino Linotype" w:hAnsi="Palatino Linotype" w:cs="Arial"/>
          <w:b/>
          <w:sz w:val="28"/>
          <w:szCs w:val="28"/>
        </w:rPr>
        <w:t xml:space="preserve">TERCERO. Del estudio de las causas de improcedencia. </w:t>
      </w:r>
    </w:p>
    <w:p w14:paraId="5AC3AF70" w14:textId="77777777" w:rsidR="0069152A" w:rsidRPr="002B3167" w:rsidRDefault="0069152A"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t xml:space="preserve">El estudio de las causas de improcedencia que se hagan valer por las partes o que se advierta de oficio por este </w:t>
      </w:r>
      <w:proofErr w:type="spellStart"/>
      <w:r w:rsidRPr="002B3167">
        <w:rPr>
          <w:rFonts w:ascii="Palatino Linotype" w:hAnsi="Palatino Linotype" w:cs="Arial"/>
          <w:sz w:val="24"/>
          <w:szCs w:val="24"/>
        </w:rPr>
        <w:t>Resolutor</w:t>
      </w:r>
      <w:proofErr w:type="spellEnd"/>
      <w:r w:rsidRPr="002B3167">
        <w:rPr>
          <w:rFonts w:ascii="Palatino Linotype" w:hAnsi="Palatino Linotype" w:cs="Arial"/>
          <w:sz w:val="24"/>
          <w:szCs w:val="24"/>
        </w:rPr>
        <w:t xml:space="preserve"> debe ser objeto de análisis previo al estudio de fondo del asunto ya que el estudio de los presupuestos procesales sobre el inicio o </w:t>
      </w:r>
      <w:r w:rsidRPr="002B3167">
        <w:rPr>
          <w:rFonts w:ascii="Palatino Linotype" w:hAnsi="Palatino Linotype" w:cs="Arial"/>
          <w:sz w:val="24"/>
          <w:szCs w:val="24"/>
        </w:rPr>
        <w:lastRenderedPageBreak/>
        <w:t>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02E4F62" w14:textId="77777777" w:rsidR="0069152A" w:rsidRPr="002B3167" w:rsidRDefault="0069152A" w:rsidP="002B3167">
      <w:pPr>
        <w:autoSpaceDE w:val="0"/>
        <w:autoSpaceDN w:val="0"/>
        <w:adjustRightInd w:val="0"/>
        <w:spacing w:after="0" w:line="360" w:lineRule="auto"/>
        <w:jc w:val="both"/>
        <w:rPr>
          <w:rFonts w:ascii="Palatino Linotype" w:hAnsi="Palatino Linotype" w:cs="Arial"/>
          <w:sz w:val="24"/>
          <w:szCs w:val="24"/>
        </w:rPr>
      </w:pPr>
    </w:p>
    <w:p w14:paraId="2BA8181A" w14:textId="77777777" w:rsidR="0069152A" w:rsidRPr="002B3167" w:rsidRDefault="0069152A" w:rsidP="002B3167">
      <w:pPr>
        <w:spacing w:after="0" w:line="240" w:lineRule="auto"/>
        <w:ind w:left="567" w:right="567"/>
        <w:jc w:val="both"/>
        <w:rPr>
          <w:rFonts w:ascii="Palatino Linotype" w:hAnsi="Palatino Linotype" w:cs="Arial"/>
        </w:rPr>
      </w:pPr>
      <w:r w:rsidRPr="002B3167">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2B3167">
        <w:rPr>
          <w:rFonts w:ascii="Palatino Linotype" w:hAnsi="Palatino Linotype"/>
          <w:i/>
        </w:rPr>
        <w:t xml:space="preserve">Del examen de compatibilidad de los artículos </w:t>
      </w:r>
      <w:hyperlink r:id="rId8" w:history="1">
        <w:r w:rsidRPr="002B3167">
          <w:rPr>
            <w:rFonts w:ascii="Palatino Linotype" w:eastAsia="Calibri" w:hAnsi="Palatino Linotype"/>
            <w:i/>
            <w:color w:val="0563C1" w:themeColor="hyperlink"/>
            <w:u w:val="single"/>
          </w:rPr>
          <w:t>73 y 74 de la Ley de Amparo</w:t>
        </w:r>
      </w:hyperlink>
      <w:r w:rsidRPr="002B3167">
        <w:rPr>
          <w:rFonts w:ascii="Palatino Linotype" w:eastAsia="Calibri" w:hAnsi="Palatino Linotype"/>
          <w:i/>
          <w:color w:val="0563C1" w:themeColor="hyperlink"/>
          <w:u w:val="single"/>
        </w:rPr>
        <w:t xml:space="preserve"> </w:t>
      </w:r>
      <w:r w:rsidRPr="002B3167">
        <w:rPr>
          <w:rFonts w:ascii="Palatino Linotype" w:hAnsi="Palatino Linotype"/>
          <w:i/>
        </w:rPr>
        <w:t xml:space="preserve">con el artículo </w:t>
      </w:r>
      <w:hyperlink r:id="rId9" w:history="1">
        <w:r w:rsidRPr="002B3167">
          <w:rPr>
            <w:rFonts w:ascii="Palatino Linotype" w:eastAsia="Calibri" w:hAnsi="Palatino Linotype"/>
            <w:i/>
            <w:color w:val="0563C1" w:themeColor="hyperlink"/>
            <w:u w:val="single"/>
          </w:rPr>
          <w:t>25.1 de la Convención Americana sobre Derechos Humanos</w:t>
        </w:r>
      </w:hyperlink>
      <w:r w:rsidRPr="002B3167">
        <w:rPr>
          <w:rFonts w:ascii="Palatino Linotype" w:hAnsi="Palatino Linotype"/>
          <w:i/>
        </w:rPr>
        <w:t xml:space="preserve"> </w:t>
      </w:r>
      <w:r w:rsidRPr="002B3167">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2B3167">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2B3167">
        <w:rPr>
          <w:rFonts w:ascii="Palatino Linotype" w:hAnsi="Palatino Linotype"/>
          <w:i/>
        </w:rPr>
        <w:t>concesoria</w:t>
      </w:r>
      <w:proofErr w:type="spellEnd"/>
      <w:r w:rsidRPr="002B3167">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AB16B72" w14:textId="77777777" w:rsidR="0069152A" w:rsidRPr="002B3167" w:rsidRDefault="0069152A" w:rsidP="002B31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373D1A0" w14:textId="77777777" w:rsidR="0069152A" w:rsidRPr="002B3167" w:rsidRDefault="0069152A"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lastRenderedPageBreak/>
        <w:t>Por lo que una vez que se analizó el expediente en estudio se cae en la cuenta de que no se actualiza ninguna de las casuales a continuación transcritas:</w:t>
      </w:r>
    </w:p>
    <w:p w14:paraId="7D3DBF76" w14:textId="77777777" w:rsidR="0069152A" w:rsidRPr="002B3167" w:rsidRDefault="0069152A" w:rsidP="002B3167">
      <w:pPr>
        <w:autoSpaceDE w:val="0"/>
        <w:autoSpaceDN w:val="0"/>
        <w:adjustRightInd w:val="0"/>
        <w:spacing w:after="0" w:line="360" w:lineRule="auto"/>
        <w:jc w:val="both"/>
        <w:rPr>
          <w:rFonts w:ascii="Palatino Linotype" w:hAnsi="Palatino Linotype" w:cs="Arial"/>
          <w:sz w:val="24"/>
          <w:szCs w:val="24"/>
        </w:rPr>
      </w:pPr>
    </w:p>
    <w:p w14:paraId="44E717FD" w14:textId="77777777" w:rsidR="0069152A" w:rsidRPr="002B3167" w:rsidRDefault="0069152A" w:rsidP="002B316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B3167">
        <w:rPr>
          <w:rFonts w:ascii="Palatino Linotype" w:eastAsia="Times New Roman" w:hAnsi="Palatino Linotype" w:cs="Arial"/>
          <w:i/>
          <w:lang w:val="es-ES" w:eastAsia="es-ES"/>
        </w:rPr>
        <w:t>“</w:t>
      </w:r>
      <w:r w:rsidRPr="002B3167">
        <w:rPr>
          <w:rFonts w:ascii="Palatino Linotype" w:eastAsia="Times New Roman" w:hAnsi="Palatino Linotype" w:cs="Arial"/>
          <w:b/>
          <w:i/>
          <w:lang w:val="es-ES" w:eastAsia="es-ES"/>
        </w:rPr>
        <w:t>Artículo 191</w:t>
      </w:r>
      <w:r w:rsidRPr="002B3167">
        <w:rPr>
          <w:rFonts w:ascii="Palatino Linotype" w:eastAsia="Times New Roman" w:hAnsi="Palatino Linotype" w:cs="Arial"/>
          <w:i/>
          <w:lang w:val="es-ES" w:eastAsia="es-ES"/>
        </w:rPr>
        <w:t xml:space="preserve">. El recurso será desechado por improcedente cuando:  </w:t>
      </w:r>
    </w:p>
    <w:p w14:paraId="70902424" w14:textId="77777777" w:rsidR="0069152A" w:rsidRPr="002B3167" w:rsidRDefault="0069152A" w:rsidP="002B316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B3167">
        <w:rPr>
          <w:rFonts w:ascii="Palatino Linotype" w:eastAsia="Times New Roman" w:hAnsi="Palatino Linotype" w:cs="Arial"/>
          <w:b/>
          <w:i/>
          <w:lang w:val="es-ES" w:eastAsia="es-ES"/>
        </w:rPr>
        <w:t>I</w:t>
      </w:r>
      <w:r w:rsidRPr="002B3167">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64C7741C" w14:textId="77777777" w:rsidR="0069152A" w:rsidRPr="002B3167" w:rsidRDefault="0069152A" w:rsidP="002B316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B3167">
        <w:rPr>
          <w:rFonts w:ascii="Palatino Linotype" w:eastAsia="Times New Roman" w:hAnsi="Palatino Linotype" w:cs="Arial"/>
          <w:b/>
          <w:i/>
          <w:lang w:val="es-ES" w:eastAsia="es-ES"/>
        </w:rPr>
        <w:t>II</w:t>
      </w:r>
      <w:r w:rsidRPr="002B3167">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52BE39E7" w14:textId="77777777" w:rsidR="0069152A" w:rsidRPr="002B3167" w:rsidRDefault="0069152A" w:rsidP="002B316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B3167">
        <w:rPr>
          <w:rFonts w:ascii="Palatino Linotype" w:eastAsia="Times New Roman" w:hAnsi="Palatino Linotype" w:cs="Arial"/>
          <w:b/>
          <w:i/>
          <w:lang w:val="es-ES" w:eastAsia="es-ES"/>
        </w:rPr>
        <w:t>III</w:t>
      </w:r>
      <w:r w:rsidRPr="002B3167">
        <w:rPr>
          <w:rFonts w:ascii="Palatino Linotype" w:eastAsia="Times New Roman" w:hAnsi="Palatino Linotype" w:cs="Arial"/>
          <w:i/>
          <w:lang w:val="es-ES" w:eastAsia="es-ES"/>
        </w:rPr>
        <w:t xml:space="preserve">. No actualice alguno de los supuestos previstos en la presente Ley;  </w:t>
      </w:r>
    </w:p>
    <w:p w14:paraId="66C023B0" w14:textId="77777777" w:rsidR="0069152A" w:rsidRPr="002B3167" w:rsidRDefault="0069152A" w:rsidP="002B316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B3167">
        <w:rPr>
          <w:rFonts w:ascii="Palatino Linotype" w:eastAsia="Times New Roman" w:hAnsi="Palatino Linotype" w:cs="Arial"/>
          <w:b/>
          <w:i/>
          <w:lang w:val="es-ES" w:eastAsia="es-ES"/>
        </w:rPr>
        <w:t>IV</w:t>
      </w:r>
      <w:r w:rsidRPr="002B3167">
        <w:rPr>
          <w:rFonts w:ascii="Palatino Linotype" w:eastAsia="Times New Roman" w:hAnsi="Palatino Linotype" w:cs="Arial"/>
          <w:i/>
          <w:lang w:val="es-ES" w:eastAsia="es-ES"/>
        </w:rPr>
        <w:t xml:space="preserve">. No se haya desahogado la prevención en los términos establecidos en la presente Ley;  </w:t>
      </w:r>
    </w:p>
    <w:p w14:paraId="74260FCB" w14:textId="77777777" w:rsidR="0069152A" w:rsidRPr="002B3167" w:rsidRDefault="0069152A" w:rsidP="002B316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B3167">
        <w:rPr>
          <w:rFonts w:ascii="Palatino Linotype" w:eastAsia="Times New Roman" w:hAnsi="Palatino Linotype" w:cs="Arial"/>
          <w:b/>
          <w:i/>
          <w:lang w:val="es-ES" w:eastAsia="es-ES"/>
        </w:rPr>
        <w:t>V</w:t>
      </w:r>
      <w:r w:rsidRPr="002B3167">
        <w:rPr>
          <w:rFonts w:ascii="Palatino Linotype" w:eastAsia="Times New Roman" w:hAnsi="Palatino Linotype" w:cs="Arial"/>
          <w:i/>
          <w:lang w:val="es-ES" w:eastAsia="es-ES"/>
        </w:rPr>
        <w:t xml:space="preserve">. Se impugne la veracidad de la información proporcionada;  </w:t>
      </w:r>
    </w:p>
    <w:p w14:paraId="7338DE6C" w14:textId="77777777" w:rsidR="0069152A" w:rsidRPr="002B3167" w:rsidRDefault="0069152A" w:rsidP="002B316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B3167">
        <w:rPr>
          <w:rFonts w:ascii="Palatino Linotype" w:eastAsia="Times New Roman" w:hAnsi="Palatino Linotype" w:cs="Arial"/>
          <w:b/>
          <w:i/>
          <w:lang w:val="es-ES" w:eastAsia="es-ES"/>
        </w:rPr>
        <w:t>VI</w:t>
      </w:r>
      <w:r w:rsidRPr="002B3167">
        <w:rPr>
          <w:rFonts w:ascii="Palatino Linotype" w:eastAsia="Times New Roman" w:hAnsi="Palatino Linotype" w:cs="Arial"/>
          <w:i/>
          <w:lang w:val="es-ES" w:eastAsia="es-ES"/>
        </w:rPr>
        <w:t xml:space="preserve">. Se trate de una consulta, o trámite en específico; y  </w:t>
      </w:r>
    </w:p>
    <w:p w14:paraId="67B9C2DA" w14:textId="77777777" w:rsidR="0069152A" w:rsidRPr="002B3167" w:rsidRDefault="0069152A" w:rsidP="002B316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2B3167">
        <w:rPr>
          <w:rFonts w:ascii="Palatino Linotype" w:eastAsia="Times New Roman" w:hAnsi="Palatino Linotype" w:cs="Arial"/>
          <w:b/>
          <w:i/>
          <w:lang w:val="es-ES" w:eastAsia="es-ES"/>
        </w:rPr>
        <w:t>VII</w:t>
      </w:r>
      <w:r w:rsidRPr="002B3167">
        <w:rPr>
          <w:rFonts w:ascii="Palatino Linotype" w:eastAsia="Times New Roman" w:hAnsi="Palatino Linotype" w:cs="Arial"/>
          <w:i/>
          <w:lang w:val="es-ES" w:eastAsia="es-ES"/>
        </w:rPr>
        <w:t>. El recurrente amplíe su solicitud en el recurso de revisión, únicamente respecto de los nuevos contenidos.”</w:t>
      </w:r>
    </w:p>
    <w:p w14:paraId="5C751B81" w14:textId="77777777" w:rsidR="0069152A" w:rsidRPr="002B3167" w:rsidRDefault="0069152A" w:rsidP="002B3167">
      <w:pPr>
        <w:autoSpaceDE w:val="0"/>
        <w:autoSpaceDN w:val="0"/>
        <w:adjustRightInd w:val="0"/>
        <w:spacing w:after="0" w:line="360" w:lineRule="auto"/>
        <w:jc w:val="both"/>
        <w:rPr>
          <w:rFonts w:ascii="Palatino Linotype" w:hAnsi="Palatino Linotype" w:cs="Arial"/>
          <w:sz w:val="24"/>
          <w:szCs w:val="24"/>
        </w:rPr>
      </w:pPr>
    </w:p>
    <w:p w14:paraId="13AD1CCD" w14:textId="79DFFCC8" w:rsidR="0069152A" w:rsidRPr="002B3167" w:rsidRDefault="0069152A"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t>Ya que no fue interpuesto de forma extemporánea, no se está tramitando ante el Poder Judicial Federal, no es una consulta, o trámite en específico, ni tampoco se advierte que el</w:t>
      </w:r>
      <w:r w:rsidRPr="002B3167">
        <w:rPr>
          <w:rFonts w:ascii="Palatino Linotype" w:hAnsi="Palatino Linotype" w:cs="Arial"/>
          <w:b/>
          <w:sz w:val="24"/>
          <w:szCs w:val="24"/>
        </w:rPr>
        <w:t xml:space="preserve"> Recurrente</w:t>
      </w:r>
      <w:r w:rsidRPr="002B3167">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49F87FE9" w14:textId="77777777" w:rsidR="008962CF" w:rsidRPr="002B3167" w:rsidRDefault="008962CF" w:rsidP="002B3167">
      <w:pPr>
        <w:pStyle w:val="Prrafodelista"/>
        <w:autoSpaceDE w:val="0"/>
        <w:autoSpaceDN w:val="0"/>
        <w:adjustRightInd w:val="0"/>
        <w:spacing w:line="360" w:lineRule="auto"/>
        <w:ind w:left="0"/>
        <w:jc w:val="both"/>
        <w:rPr>
          <w:rFonts w:ascii="Palatino Linotype" w:hAnsi="Palatino Linotype" w:cs="Arial"/>
          <w:lang w:val="es-MX"/>
        </w:rPr>
      </w:pPr>
    </w:p>
    <w:p w14:paraId="7879D459" w14:textId="3059229E" w:rsidR="006D5803" w:rsidRPr="002B3167" w:rsidRDefault="006D5803" w:rsidP="002B3167">
      <w:pPr>
        <w:tabs>
          <w:tab w:val="left" w:pos="709"/>
        </w:tabs>
        <w:spacing w:after="0" w:line="360" w:lineRule="auto"/>
        <w:ind w:right="51"/>
        <w:jc w:val="both"/>
        <w:rPr>
          <w:rFonts w:ascii="Palatino Linotype" w:hAnsi="Palatino Linotype"/>
          <w:b/>
          <w:sz w:val="28"/>
          <w:szCs w:val="24"/>
        </w:rPr>
      </w:pPr>
      <w:r w:rsidRPr="002B3167">
        <w:rPr>
          <w:rFonts w:ascii="Palatino Linotype" w:hAnsi="Palatino Linotype"/>
          <w:b/>
          <w:sz w:val="28"/>
          <w:szCs w:val="24"/>
        </w:rPr>
        <w:t>CUARTO. Estudio y resolución del asunto</w:t>
      </w:r>
      <w:r w:rsidR="0069152A" w:rsidRPr="002B3167">
        <w:rPr>
          <w:rFonts w:ascii="Palatino Linotype" w:hAnsi="Palatino Linotype"/>
          <w:b/>
          <w:sz w:val="28"/>
          <w:szCs w:val="24"/>
        </w:rPr>
        <w:t>.</w:t>
      </w:r>
    </w:p>
    <w:p w14:paraId="74D44481" w14:textId="70A033E9" w:rsidR="006D5803" w:rsidRPr="002B3167" w:rsidRDefault="006D5803" w:rsidP="002B3167">
      <w:pPr>
        <w:spacing w:after="0" w:line="360" w:lineRule="auto"/>
        <w:jc w:val="both"/>
        <w:rPr>
          <w:rFonts w:ascii="Palatino Linotype" w:eastAsia="Times New Roman" w:hAnsi="Palatino Linotype" w:cs="Times New Roman"/>
          <w:sz w:val="24"/>
          <w:szCs w:val="24"/>
          <w:lang w:eastAsia="es-ES"/>
        </w:rPr>
      </w:pPr>
      <w:r w:rsidRPr="002B3167">
        <w:rPr>
          <w:rFonts w:ascii="Palatino Linotype" w:eastAsia="Times New Roman" w:hAnsi="Palatino Linotype" w:cs="Times New Roman"/>
          <w:sz w:val="24"/>
          <w:szCs w:val="24"/>
          <w:lang w:eastAsia="es-ES"/>
        </w:rPr>
        <w:t xml:space="preserve">Antes del entrar al estudio, cabe precisar que </w:t>
      </w:r>
      <w:r w:rsidR="0069152A" w:rsidRPr="002B3167">
        <w:rPr>
          <w:rFonts w:ascii="Palatino Linotype" w:eastAsia="Times New Roman" w:hAnsi="Palatino Linotype" w:cs="Times New Roman"/>
          <w:sz w:val="24"/>
          <w:szCs w:val="24"/>
          <w:lang w:eastAsia="es-ES"/>
        </w:rPr>
        <w:t>el</w:t>
      </w:r>
      <w:r w:rsidR="0069152A" w:rsidRPr="002B3167">
        <w:rPr>
          <w:rFonts w:ascii="Palatino Linotype" w:eastAsia="Times New Roman" w:hAnsi="Palatino Linotype" w:cs="Times New Roman"/>
          <w:b/>
          <w:sz w:val="24"/>
          <w:szCs w:val="24"/>
          <w:lang w:eastAsia="es-ES"/>
        </w:rPr>
        <w:t xml:space="preserve"> </w:t>
      </w:r>
      <w:r w:rsidRPr="002B3167">
        <w:rPr>
          <w:rFonts w:ascii="Palatino Linotype" w:eastAsia="Times New Roman" w:hAnsi="Palatino Linotype" w:cs="Times New Roman"/>
          <w:b/>
          <w:sz w:val="24"/>
          <w:szCs w:val="24"/>
          <w:lang w:eastAsia="es-ES"/>
        </w:rPr>
        <w:t>Sujeto Obligado</w:t>
      </w:r>
      <w:r w:rsidRPr="002B3167">
        <w:rPr>
          <w:rFonts w:ascii="Palatino Linotype" w:eastAsia="Times New Roman" w:hAnsi="Palatino Linotype" w:cs="Times New Roman"/>
          <w:sz w:val="24"/>
          <w:szCs w:val="24"/>
          <w:lang w:eastAsia="es-ES"/>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actualizándose las hipótesis, señaladas</w:t>
      </w:r>
      <w:r w:rsidRPr="002B3167">
        <w:rPr>
          <w:rFonts w:ascii="Palatino Linotype" w:eastAsia="Calibri" w:hAnsi="Palatino Linotype" w:cs="Times New Roman"/>
          <w:sz w:val="24"/>
          <w:szCs w:val="24"/>
          <w:lang w:eastAsia="es-ES"/>
        </w:rPr>
        <w:t xml:space="preserve"> en las fracciones I y VII, del </w:t>
      </w:r>
      <w:r w:rsidRPr="002B3167">
        <w:rPr>
          <w:rFonts w:ascii="Palatino Linotype" w:eastAsia="Calibri" w:hAnsi="Palatino Linotype" w:cs="Times New Roman"/>
          <w:sz w:val="24"/>
          <w:szCs w:val="24"/>
          <w:lang w:eastAsia="es-ES"/>
        </w:rPr>
        <w:lastRenderedPageBreak/>
        <w:t>artículo 179, de la Ley de Transparencia y Acceso a la Información Pública del Estado de México y Municipios,</w:t>
      </w:r>
      <w:r w:rsidRPr="002B3167">
        <w:rPr>
          <w:rFonts w:ascii="Palatino Linotype" w:eastAsia="Calibri" w:hAnsi="Palatino Linotype" w:cs="Times New Roman"/>
          <w:b/>
          <w:sz w:val="24"/>
          <w:szCs w:val="24"/>
          <w:lang w:eastAsia="es-ES"/>
        </w:rPr>
        <w:t xml:space="preserve"> </w:t>
      </w:r>
      <w:r w:rsidRPr="002B3167">
        <w:rPr>
          <w:rFonts w:ascii="Palatino Linotype" w:eastAsia="Times New Roman" w:hAnsi="Palatino Linotype" w:cs="Times New Roman"/>
          <w:sz w:val="24"/>
          <w:szCs w:val="24"/>
          <w:lang w:eastAsia="es-ES"/>
        </w:rPr>
        <w:t>resultando procedente la interposición del recurso de revisión cuando no se dé respuesta a una solicitud de información.</w:t>
      </w:r>
    </w:p>
    <w:p w14:paraId="4CF456CC" w14:textId="77777777" w:rsidR="0069152A" w:rsidRPr="002B3167" w:rsidRDefault="0069152A" w:rsidP="002B3167">
      <w:pPr>
        <w:spacing w:after="0" w:line="360" w:lineRule="auto"/>
        <w:jc w:val="both"/>
        <w:rPr>
          <w:rFonts w:ascii="Palatino Linotype" w:eastAsia="Times New Roman" w:hAnsi="Palatino Linotype" w:cs="Times New Roman"/>
          <w:sz w:val="24"/>
          <w:szCs w:val="24"/>
          <w:lang w:eastAsia="es-ES"/>
        </w:rPr>
      </w:pPr>
    </w:p>
    <w:p w14:paraId="6BC30B87" w14:textId="79BCD536" w:rsidR="006D5803" w:rsidRPr="002B3167" w:rsidRDefault="006D5803" w:rsidP="002B3167">
      <w:pPr>
        <w:spacing w:after="0" w:line="360" w:lineRule="auto"/>
        <w:jc w:val="both"/>
        <w:rPr>
          <w:rFonts w:ascii="Palatino Linotype" w:eastAsia="Times New Roman" w:hAnsi="Palatino Linotype" w:cs="Times New Roman"/>
          <w:sz w:val="24"/>
          <w:szCs w:val="24"/>
          <w:lang w:eastAsia="es-ES"/>
        </w:rPr>
      </w:pPr>
      <w:r w:rsidRPr="002B3167">
        <w:rPr>
          <w:rFonts w:ascii="Palatino Linotype" w:eastAsia="Times New Roman" w:hAnsi="Palatino Linotype" w:cs="Times New Roman"/>
          <w:sz w:val="24"/>
          <w:szCs w:val="24"/>
          <w:lang w:eastAsia="es-ES"/>
        </w:rPr>
        <w:t>Así las cosas, ante la omisión del Sujeto Obligado para dar respuesta a</w:t>
      </w:r>
      <w:r w:rsidR="00792E0C" w:rsidRPr="002B3167">
        <w:rPr>
          <w:rFonts w:ascii="Palatino Linotype" w:eastAsia="Times New Roman" w:hAnsi="Palatino Linotype" w:cs="Times New Roman"/>
          <w:sz w:val="24"/>
          <w:szCs w:val="24"/>
          <w:lang w:eastAsia="es-ES"/>
        </w:rPr>
        <w:t xml:space="preserve">l </w:t>
      </w:r>
      <w:r w:rsidRPr="002B3167">
        <w:rPr>
          <w:rFonts w:ascii="Palatino Linotype" w:eastAsia="Times New Roman" w:hAnsi="Palatino Linotype" w:cs="Times New Roman"/>
          <w:b/>
          <w:sz w:val="24"/>
          <w:szCs w:val="24"/>
          <w:lang w:eastAsia="es-ES"/>
        </w:rPr>
        <w:t>Recurrente</w:t>
      </w:r>
      <w:r w:rsidRPr="002B3167">
        <w:rPr>
          <w:rFonts w:ascii="Palatino Linotype" w:eastAsia="Times New Roman" w:hAnsi="Palatino Linotype" w:cs="Times New Roman"/>
          <w:sz w:val="24"/>
          <w:szCs w:val="24"/>
          <w:lang w:eastAsia="es-ES"/>
        </w:rPr>
        <w:t xml:space="preserve">, se advierte lo que en la doctrina se le conoce como </w:t>
      </w:r>
      <w:r w:rsidRPr="002B3167">
        <w:rPr>
          <w:rFonts w:ascii="Palatino Linotype" w:eastAsia="Times New Roman" w:hAnsi="Palatino Linotype" w:cs="Times New Roman"/>
          <w:b/>
          <w:bCs/>
          <w:i/>
          <w:sz w:val="24"/>
          <w:szCs w:val="24"/>
          <w:lang w:eastAsia="es-ES"/>
        </w:rPr>
        <w:t>negativa ficta</w:t>
      </w:r>
      <w:r w:rsidRPr="002B3167">
        <w:rPr>
          <w:rFonts w:ascii="Palatino Linotype" w:eastAsia="Times New Roman" w:hAnsi="Palatino Linotype" w:cs="Times New Roman"/>
          <w:b/>
          <w:bCs/>
          <w:sz w:val="24"/>
          <w:szCs w:val="24"/>
          <w:lang w:eastAsia="es-ES"/>
        </w:rPr>
        <w:t>,</w:t>
      </w:r>
      <w:r w:rsidRPr="002B3167">
        <w:rPr>
          <w:rFonts w:ascii="Palatino Linotype" w:eastAsia="Times New Roman" w:hAnsi="Palatino Linotype" w:cs="Times New Roman"/>
          <w:sz w:val="24"/>
          <w:szCs w:val="24"/>
          <w:lang w:eastAsia="es-ES"/>
        </w:rPr>
        <w:t xml:space="preserve"> figura jurídica cuya esencia consiste en atribuir un efecto negativo al silencio de la autoridad administrativa frente a las instancias y solicitudes que hagan los particulares.</w:t>
      </w:r>
    </w:p>
    <w:p w14:paraId="349E366D" w14:textId="77777777" w:rsidR="006D5803" w:rsidRPr="002B3167" w:rsidRDefault="006D5803" w:rsidP="002B3167">
      <w:pPr>
        <w:spacing w:after="0" w:line="360" w:lineRule="auto"/>
        <w:jc w:val="both"/>
        <w:rPr>
          <w:rFonts w:ascii="Palatino Linotype" w:eastAsia="Times New Roman" w:hAnsi="Palatino Linotype" w:cs="Times New Roman"/>
          <w:sz w:val="24"/>
          <w:szCs w:val="24"/>
          <w:lang w:eastAsia="es-ES"/>
        </w:rPr>
      </w:pPr>
    </w:p>
    <w:p w14:paraId="349ABB28" w14:textId="6FF10CEE" w:rsidR="006D5803" w:rsidRPr="002B3167" w:rsidRDefault="006D5803" w:rsidP="002B3167">
      <w:pPr>
        <w:spacing w:after="0" w:line="360" w:lineRule="auto"/>
        <w:jc w:val="both"/>
        <w:rPr>
          <w:rFonts w:ascii="Palatino Linotype" w:eastAsia="Times New Roman" w:hAnsi="Palatino Linotype" w:cs="Times New Roman"/>
          <w:sz w:val="24"/>
          <w:szCs w:val="24"/>
          <w:lang w:eastAsia="es-ES"/>
        </w:rPr>
      </w:pPr>
      <w:r w:rsidRPr="002B3167">
        <w:rPr>
          <w:rFonts w:ascii="Palatino Linotype" w:eastAsia="Times New Roman" w:hAnsi="Palatino Linotype" w:cs="Times New Roman"/>
          <w:sz w:val="24"/>
          <w:szCs w:val="24"/>
          <w:lang w:eastAsia="es-ES"/>
        </w:rPr>
        <w:t xml:space="preserve">En este </w:t>
      </w:r>
      <w:r w:rsidR="0090162D" w:rsidRPr="002B3167">
        <w:rPr>
          <w:rFonts w:ascii="Palatino Linotype" w:eastAsia="Times New Roman" w:hAnsi="Palatino Linotype" w:cs="Times New Roman"/>
          <w:sz w:val="24"/>
          <w:szCs w:val="24"/>
          <w:lang w:eastAsia="es-ES"/>
        </w:rPr>
        <w:t>contexto</w:t>
      </w:r>
      <w:r w:rsidRPr="002B3167">
        <w:rPr>
          <w:rFonts w:ascii="Palatino Linotype" w:eastAsia="Times New Roman" w:hAnsi="Palatino Linotype" w:cs="Times New Roman"/>
          <w:sz w:val="24"/>
          <w:szCs w:val="24"/>
          <w:lang w:eastAsia="es-ES"/>
        </w:rPr>
        <w:t xml:space="preserve"> la </w:t>
      </w:r>
      <w:r w:rsidRPr="002B3167">
        <w:rPr>
          <w:rFonts w:ascii="Palatino Linotype" w:eastAsia="Times New Roman" w:hAnsi="Palatino Linotype" w:cs="Times New Roman"/>
          <w:i/>
          <w:sz w:val="24"/>
          <w:szCs w:val="24"/>
          <w:lang w:eastAsia="es-ES"/>
        </w:rPr>
        <w:t>negativa ficta</w:t>
      </w:r>
      <w:r w:rsidRPr="002B3167">
        <w:rPr>
          <w:rFonts w:ascii="Palatino Linotype" w:eastAsia="Times New Roman" w:hAnsi="Palatino Linotype" w:cs="Times New Roman"/>
          <w:sz w:val="24"/>
          <w:szCs w:val="24"/>
          <w:lang w:eastAsia="es-ES"/>
        </w:rPr>
        <w:t xml:space="preserve"> constituye una presunción legal, en el entendido de que donde no hubo respuesta por parte del Sujeto Obligado</w:t>
      </w:r>
      <w:r w:rsidRPr="002B3167">
        <w:rPr>
          <w:rFonts w:ascii="Palatino Linotype" w:eastAsia="Times New Roman" w:hAnsi="Palatino Linotype" w:cs="Times New Roman"/>
          <w:b/>
          <w:sz w:val="24"/>
          <w:szCs w:val="24"/>
          <w:lang w:eastAsia="es-ES"/>
        </w:rPr>
        <w:t xml:space="preserve"> </w:t>
      </w:r>
      <w:r w:rsidRPr="002B3167">
        <w:rPr>
          <w:rFonts w:ascii="Palatino Linotype" w:eastAsia="Times New Roman" w:hAnsi="Palatino Linotype" w:cs="Times New Roman"/>
          <w:sz w:val="24"/>
          <w:szCs w:val="24"/>
          <w:lang w:eastAsia="es-ES"/>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2B3167">
        <w:rPr>
          <w:rFonts w:ascii="Palatino Linotype" w:eastAsia="Times New Roman" w:hAnsi="Palatino Linotype" w:cs="Times New Roman"/>
          <w:i/>
          <w:sz w:val="24"/>
          <w:szCs w:val="24"/>
          <w:lang w:eastAsia="es-ES"/>
        </w:rPr>
        <w:t>Estado de Derecho</w:t>
      </w:r>
      <w:r w:rsidRPr="002B3167">
        <w:rPr>
          <w:rFonts w:ascii="Palatino Linotype" w:eastAsia="Times New Roman" w:hAnsi="Palatino Linotype" w:cs="Times New Roman"/>
          <w:sz w:val="24"/>
          <w:szCs w:val="24"/>
          <w:lang w:eastAsia="es-ES"/>
        </w:rPr>
        <w:t xml:space="preserve"> en el que, el particular, tiene siempre una vía de defensa.</w:t>
      </w:r>
    </w:p>
    <w:p w14:paraId="3BEE8A1E" w14:textId="77777777" w:rsidR="00501C24" w:rsidRPr="002B3167" w:rsidRDefault="00501C24" w:rsidP="002B3167">
      <w:pPr>
        <w:spacing w:after="0" w:line="360" w:lineRule="auto"/>
        <w:jc w:val="both"/>
        <w:rPr>
          <w:rFonts w:ascii="Palatino Linotype" w:eastAsia="Times New Roman" w:hAnsi="Palatino Linotype" w:cs="Times New Roman"/>
          <w:sz w:val="24"/>
          <w:szCs w:val="24"/>
          <w:lang w:eastAsia="es-ES"/>
        </w:rPr>
      </w:pPr>
    </w:p>
    <w:p w14:paraId="487E9C7D" w14:textId="77777777" w:rsidR="006D5803" w:rsidRPr="002B3167" w:rsidRDefault="006D5803" w:rsidP="002B3167">
      <w:pPr>
        <w:spacing w:after="0" w:line="360" w:lineRule="auto"/>
        <w:jc w:val="both"/>
        <w:rPr>
          <w:rFonts w:ascii="Palatino Linotype" w:eastAsia="Times New Roman" w:hAnsi="Palatino Linotype" w:cs="Times New Roman"/>
          <w:sz w:val="24"/>
          <w:szCs w:val="24"/>
          <w:lang w:eastAsia="es-ES"/>
        </w:rPr>
      </w:pPr>
      <w:r w:rsidRPr="002B3167">
        <w:rPr>
          <w:rFonts w:ascii="Palatino Linotype" w:eastAsia="Times New Roman" w:hAnsi="Palatino Linotype" w:cs="Times New Roman"/>
          <w:sz w:val="24"/>
          <w:szCs w:val="24"/>
          <w:lang w:eastAsia="es-ES"/>
        </w:rPr>
        <w:t xml:space="preserve">En este sentido en el marco del derecho de acceso a la información pública, la figura de la </w:t>
      </w:r>
      <w:r w:rsidRPr="002B3167">
        <w:rPr>
          <w:rFonts w:ascii="Palatino Linotype" w:eastAsia="Times New Roman" w:hAnsi="Palatino Linotype" w:cs="Times New Roman"/>
          <w:i/>
          <w:sz w:val="24"/>
          <w:szCs w:val="24"/>
          <w:lang w:eastAsia="es-ES"/>
        </w:rPr>
        <w:t>negativa ficta</w:t>
      </w:r>
      <w:r w:rsidRPr="002B3167">
        <w:rPr>
          <w:rFonts w:ascii="Palatino Linotype" w:eastAsia="Times New Roman" w:hAnsi="Palatino Linotype" w:cs="Times New Roman"/>
          <w:sz w:val="24"/>
          <w:szCs w:val="24"/>
          <w:lang w:eastAsia="es-ES"/>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w:t>
      </w:r>
      <w:r w:rsidRPr="002B3167">
        <w:rPr>
          <w:rFonts w:ascii="Palatino Linotype" w:eastAsia="Times New Roman" w:hAnsi="Palatino Linotype" w:cs="Times New Roman"/>
          <w:sz w:val="24"/>
          <w:szCs w:val="24"/>
          <w:lang w:eastAsia="es-ES"/>
        </w:rPr>
        <w:lastRenderedPageBreak/>
        <w:t>de los Sujetos Obligados, conforme a los artículos 4, 12 y 160, de la Ley local en la materia, que a la letra citan:</w:t>
      </w:r>
    </w:p>
    <w:p w14:paraId="3551D897" w14:textId="77777777" w:rsidR="00E15A9B" w:rsidRPr="002B3167" w:rsidRDefault="00E15A9B" w:rsidP="002B3167">
      <w:pPr>
        <w:spacing w:after="0" w:line="360" w:lineRule="auto"/>
        <w:jc w:val="both"/>
        <w:rPr>
          <w:rFonts w:ascii="Palatino Linotype" w:eastAsia="Times New Roman" w:hAnsi="Palatino Linotype" w:cs="Times New Roman"/>
          <w:sz w:val="24"/>
          <w:szCs w:val="24"/>
          <w:lang w:eastAsia="es-ES"/>
        </w:rPr>
      </w:pPr>
    </w:p>
    <w:p w14:paraId="7010D119" w14:textId="77777777" w:rsidR="006D5803" w:rsidRPr="002B3167" w:rsidRDefault="006D5803" w:rsidP="002B3167">
      <w:pPr>
        <w:pStyle w:val="infoemcitas"/>
        <w:spacing w:before="0" w:after="0" w:line="240" w:lineRule="auto"/>
        <w:ind w:left="567" w:right="567"/>
        <w:rPr>
          <w:szCs w:val="24"/>
          <w:lang w:eastAsia="es-ES"/>
        </w:rPr>
      </w:pPr>
      <w:r w:rsidRPr="002B3167">
        <w:rPr>
          <w:b/>
          <w:szCs w:val="24"/>
          <w:lang w:eastAsia="es-ES"/>
        </w:rPr>
        <w:t>“Artículo 4.</w:t>
      </w:r>
      <w:r w:rsidRPr="002B3167">
        <w:rPr>
          <w:szCs w:val="24"/>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032A085" w14:textId="77777777" w:rsidR="006D5803" w:rsidRPr="002B3167" w:rsidRDefault="006D5803" w:rsidP="002B3167">
      <w:pPr>
        <w:pStyle w:val="infoemcitas"/>
        <w:spacing w:before="0" w:after="0" w:line="240" w:lineRule="auto"/>
        <w:ind w:left="567" w:right="567"/>
        <w:rPr>
          <w:szCs w:val="24"/>
          <w:lang w:eastAsia="es-ES"/>
        </w:rPr>
      </w:pPr>
      <w:r w:rsidRPr="002B3167">
        <w:rPr>
          <w:szCs w:val="24"/>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D1D861A" w14:textId="77777777" w:rsidR="006D5803" w:rsidRPr="002B3167" w:rsidRDefault="006D5803" w:rsidP="002B3167">
      <w:pPr>
        <w:pStyle w:val="infoemcitas"/>
        <w:spacing w:before="0" w:after="0" w:line="240" w:lineRule="auto"/>
        <w:ind w:left="567" w:right="567"/>
        <w:rPr>
          <w:szCs w:val="24"/>
          <w:lang w:eastAsia="es-ES"/>
        </w:rPr>
      </w:pPr>
      <w:r w:rsidRPr="002B3167">
        <w:rPr>
          <w:szCs w:val="24"/>
          <w:lang w:eastAsia="es-ES"/>
        </w:rPr>
        <w:t>Los sujetos obligados deben poner en práctica, políticas y programas de acceso a la información que se apeguen a criterios de publicidad, veracidad, oportunidad, precisión y suficiencia en beneficio de los solicitantes.</w:t>
      </w:r>
    </w:p>
    <w:p w14:paraId="387502EB" w14:textId="77777777" w:rsidR="002B3167" w:rsidRPr="002B3167" w:rsidRDefault="002B3167" w:rsidP="002B3167">
      <w:pPr>
        <w:pStyle w:val="infoemcitas"/>
        <w:spacing w:before="0" w:after="0" w:line="240" w:lineRule="auto"/>
        <w:ind w:left="567" w:right="567"/>
        <w:rPr>
          <w:b/>
          <w:szCs w:val="24"/>
          <w:lang w:eastAsia="es-ES"/>
        </w:rPr>
      </w:pPr>
    </w:p>
    <w:p w14:paraId="40AE44F9" w14:textId="77777777" w:rsidR="006D5803" w:rsidRPr="002B3167" w:rsidRDefault="006D5803" w:rsidP="002B3167">
      <w:pPr>
        <w:pStyle w:val="infoemcitas"/>
        <w:spacing w:before="0" w:after="0" w:line="240" w:lineRule="auto"/>
        <w:ind w:left="567" w:right="567"/>
        <w:rPr>
          <w:szCs w:val="24"/>
          <w:lang w:eastAsia="es-ES"/>
        </w:rPr>
      </w:pPr>
      <w:r w:rsidRPr="002B3167">
        <w:rPr>
          <w:b/>
          <w:szCs w:val="24"/>
          <w:lang w:eastAsia="es-ES"/>
        </w:rPr>
        <w:t>Artículo 12.</w:t>
      </w:r>
      <w:r w:rsidRPr="002B3167">
        <w:rPr>
          <w:szCs w:val="24"/>
          <w:lang w:eastAsia="es-ES"/>
        </w:rPr>
        <w:t xml:space="preserve"> Quienes generen, recopilen, administren, manejen, procesen, archiven o conserven información pública serán responsables de la misma en los términos de las disposiciones jurídicas aplicables.</w:t>
      </w:r>
    </w:p>
    <w:p w14:paraId="7898E0C4" w14:textId="77777777" w:rsidR="006D5803" w:rsidRPr="002B3167" w:rsidRDefault="006D5803" w:rsidP="002B3167">
      <w:pPr>
        <w:pStyle w:val="infoemcitas"/>
        <w:spacing w:before="0" w:after="0" w:line="240" w:lineRule="auto"/>
        <w:ind w:left="567" w:right="567"/>
        <w:rPr>
          <w:szCs w:val="24"/>
          <w:lang w:eastAsia="es-ES"/>
        </w:rPr>
      </w:pPr>
      <w:r w:rsidRPr="002B3167">
        <w:rPr>
          <w:szCs w:val="24"/>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F3B704" w14:textId="77777777" w:rsidR="006D5803" w:rsidRPr="002B3167" w:rsidRDefault="006D5803" w:rsidP="002B3167">
      <w:pPr>
        <w:pStyle w:val="infoemcitas"/>
        <w:spacing w:before="0" w:after="0" w:line="240" w:lineRule="auto"/>
        <w:ind w:left="567" w:right="567"/>
        <w:rPr>
          <w:szCs w:val="24"/>
          <w:lang w:eastAsia="es-ES"/>
        </w:rPr>
      </w:pPr>
      <w:r w:rsidRPr="002B3167">
        <w:rPr>
          <w:szCs w:val="24"/>
          <w:lang w:eastAsia="es-ES"/>
        </w:rPr>
        <w:t>(…)</w:t>
      </w:r>
    </w:p>
    <w:p w14:paraId="7BFDB148" w14:textId="77777777" w:rsidR="002B3167" w:rsidRPr="002B3167" w:rsidRDefault="002B3167" w:rsidP="002B3167">
      <w:pPr>
        <w:pStyle w:val="infoemcitas"/>
        <w:spacing w:before="0" w:after="0" w:line="240" w:lineRule="auto"/>
        <w:ind w:left="567" w:right="567"/>
        <w:rPr>
          <w:b/>
          <w:szCs w:val="24"/>
          <w:lang w:eastAsia="es-ES"/>
        </w:rPr>
      </w:pPr>
    </w:p>
    <w:p w14:paraId="6FC0D903" w14:textId="77777777" w:rsidR="006D5803" w:rsidRPr="002B3167" w:rsidRDefault="006D5803" w:rsidP="002B3167">
      <w:pPr>
        <w:pStyle w:val="infoemcitas"/>
        <w:spacing w:before="0" w:after="0" w:line="240" w:lineRule="auto"/>
        <w:ind w:left="567" w:right="567"/>
        <w:rPr>
          <w:szCs w:val="24"/>
          <w:lang w:eastAsia="es-ES"/>
        </w:rPr>
      </w:pPr>
      <w:r w:rsidRPr="002B3167">
        <w:rPr>
          <w:b/>
          <w:szCs w:val="24"/>
          <w:lang w:eastAsia="es-ES"/>
        </w:rPr>
        <w:t>Artículo 160.</w:t>
      </w:r>
      <w:r w:rsidRPr="002B3167">
        <w:rPr>
          <w:szCs w:val="24"/>
          <w:lang w:eastAsia="es-ES"/>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45229A5" w14:textId="77777777" w:rsidR="006D5803" w:rsidRPr="002B3167" w:rsidRDefault="006D5803" w:rsidP="002B3167">
      <w:pPr>
        <w:pStyle w:val="infoemcitas"/>
        <w:spacing w:before="0" w:after="0" w:line="240" w:lineRule="auto"/>
        <w:ind w:left="567" w:right="567"/>
        <w:rPr>
          <w:b/>
          <w:bCs/>
          <w:szCs w:val="24"/>
          <w:lang w:eastAsia="es-ES"/>
        </w:rPr>
      </w:pPr>
      <w:r w:rsidRPr="002B3167">
        <w:rPr>
          <w:szCs w:val="24"/>
          <w:lang w:eastAsia="es-ES"/>
        </w:rPr>
        <w:t xml:space="preserve">En caso que la información solicitada consista en bases de datos se deberá privilegiar la entrega de la misma en formatos abiertos.” </w:t>
      </w:r>
      <w:r w:rsidRPr="002B3167">
        <w:rPr>
          <w:b/>
          <w:bCs/>
          <w:szCs w:val="24"/>
          <w:lang w:eastAsia="es-ES"/>
        </w:rPr>
        <w:t>[Sic]</w:t>
      </w:r>
    </w:p>
    <w:p w14:paraId="6F148BF6" w14:textId="77777777" w:rsidR="006D5803" w:rsidRPr="002B3167" w:rsidRDefault="006D5803" w:rsidP="002B3167">
      <w:pPr>
        <w:spacing w:after="0" w:line="360" w:lineRule="auto"/>
        <w:jc w:val="both"/>
        <w:rPr>
          <w:rFonts w:ascii="Palatino Linotype" w:eastAsia="Times New Roman" w:hAnsi="Palatino Linotype" w:cs="Times New Roman"/>
          <w:sz w:val="24"/>
          <w:szCs w:val="24"/>
          <w:lang w:eastAsia="es-ES"/>
        </w:rPr>
      </w:pPr>
    </w:p>
    <w:p w14:paraId="024A413A" w14:textId="77777777" w:rsidR="006D5803" w:rsidRPr="002B3167" w:rsidRDefault="006D5803" w:rsidP="002B3167">
      <w:pPr>
        <w:spacing w:after="0" w:line="360" w:lineRule="auto"/>
        <w:jc w:val="both"/>
        <w:rPr>
          <w:rFonts w:ascii="Palatino Linotype" w:eastAsia="Times New Roman" w:hAnsi="Palatino Linotype" w:cs="Times New Roman"/>
          <w:sz w:val="24"/>
          <w:szCs w:val="24"/>
          <w:lang w:eastAsia="es-ES"/>
        </w:rPr>
      </w:pPr>
      <w:r w:rsidRPr="002B3167">
        <w:rPr>
          <w:rFonts w:ascii="Palatino Linotype" w:eastAsia="Times New Roman" w:hAnsi="Palatino Linotype" w:cs="Times New Roman"/>
          <w:sz w:val="24"/>
          <w:szCs w:val="24"/>
          <w:lang w:eastAsia="es-ES"/>
        </w:rPr>
        <w:lastRenderedPageBreak/>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2B3167">
        <w:rPr>
          <w:rFonts w:ascii="Palatino Linotype" w:eastAsia="Times New Roman" w:hAnsi="Palatino Linotype" w:cs="Times New Roman"/>
          <w:bCs/>
          <w:sz w:val="24"/>
          <w:szCs w:val="24"/>
          <w:lang w:eastAsia="es-ES"/>
        </w:rPr>
        <w:t>de la Ley local en la materia, que se reproduce de la siguiente forma</w:t>
      </w:r>
      <w:r w:rsidRPr="002B3167">
        <w:rPr>
          <w:rFonts w:ascii="Palatino Linotype" w:eastAsia="Times New Roman" w:hAnsi="Palatino Linotype" w:cs="Times New Roman"/>
          <w:sz w:val="24"/>
          <w:szCs w:val="24"/>
          <w:lang w:eastAsia="es-ES"/>
        </w:rPr>
        <w:t>:</w:t>
      </w:r>
    </w:p>
    <w:p w14:paraId="2E8C59A9" w14:textId="77777777" w:rsidR="00E15A9B" w:rsidRPr="002B3167" w:rsidRDefault="00E15A9B" w:rsidP="002B3167">
      <w:pPr>
        <w:spacing w:after="0" w:line="360" w:lineRule="auto"/>
        <w:jc w:val="both"/>
        <w:rPr>
          <w:rFonts w:ascii="Palatino Linotype" w:eastAsia="Times New Roman" w:hAnsi="Palatino Linotype" w:cs="Times New Roman"/>
          <w:sz w:val="24"/>
          <w:szCs w:val="24"/>
          <w:lang w:eastAsia="es-ES"/>
        </w:rPr>
      </w:pPr>
    </w:p>
    <w:p w14:paraId="391DCB29" w14:textId="77777777" w:rsidR="006D5803" w:rsidRPr="002B3167" w:rsidRDefault="006D5803" w:rsidP="002B3167">
      <w:pPr>
        <w:pStyle w:val="infoemcitas"/>
        <w:spacing w:before="0" w:after="0" w:line="240" w:lineRule="auto"/>
        <w:ind w:left="567" w:right="567"/>
        <w:rPr>
          <w:b/>
          <w:bCs/>
          <w:szCs w:val="24"/>
          <w:lang w:eastAsia="es-ES"/>
        </w:rPr>
      </w:pPr>
      <w:r w:rsidRPr="002B3167">
        <w:rPr>
          <w:szCs w:val="24"/>
          <w:lang w:eastAsia="es-ES"/>
        </w:rPr>
        <w:t>“</w:t>
      </w:r>
      <w:r w:rsidRPr="002B3167">
        <w:rPr>
          <w:b/>
          <w:szCs w:val="24"/>
          <w:lang w:eastAsia="es-ES"/>
        </w:rPr>
        <w:t>Artículo 166.</w:t>
      </w:r>
      <w:r w:rsidRPr="002B3167">
        <w:rPr>
          <w:szCs w:val="24"/>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2B3167">
        <w:rPr>
          <w:b/>
          <w:bCs/>
          <w:szCs w:val="24"/>
          <w:lang w:eastAsia="es-ES"/>
        </w:rPr>
        <w:t>[Sic]</w:t>
      </w:r>
    </w:p>
    <w:p w14:paraId="01E280B7" w14:textId="77777777" w:rsidR="00BC6896" w:rsidRPr="002B3167" w:rsidRDefault="00BC6896" w:rsidP="002B3167">
      <w:pPr>
        <w:spacing w:after="0" w:line="360" w:lineRule="auto"/>
        <w:jc w:val="both"/>
        <w:rPr>
          <w:rFonts w:ascii="Palatino Linotype" w:eastAsia="Times New Roman" w:hAnsi="Palatino Linotype" w:cs="Times New Roman"/>
          <w:sz w:val="24"/>
          <w:szCs w:val="24"/>
          <w:lang w:eastAsia="es-ES"/>
        </w:rPr>
      </w:pPr>
    </w:p>
    <w:p w14:paraId="0C4386C9" w14:textId="1EB2A5BA" w:rsidR="006D5803" w:rsidRPr="002B3167" w:rsidRDefault="006D5803" w:rsidP="002B3167">
      <w:pPr>
        <w:spacing w:after="0" w:line="360" w:lineRule="auto"/>
        <w:jc w:val="both"/>
        <w:rPr>
          <w:rFonts w:ascii="Palatino Linotype" w:eastAsia="Times New Roman" w:hAnsi="Palatino Linotype" w:cs="Times New Roman"/>
          <w:sz w:val="24"/>
          <w:szCs w:val="24"/>
          <w:lang w:eastAsia="es-ES"/>
        </w:rPr>
      </w:pPr>
      <w:r w:rsidRPr="002B3167">
        <w:rPr>
          <w:rFonts w:ascii="Palatino Linotype" w:eastAsia="Times New Roman" w:hAnsi="Palatino Linotype" w:cs="Times New Roman"/>
          <w:sz w:val="24"/>
          <w:szCs w:val="24"/>
          <w:lang w:eastAsia="es-ES"/>
        </w:rPr>
        <w:t>De lo anterior, conforme a las acciones del Sujeto Obligado, se establece que éste vulnera el derecho de acceso a la i</w:t>
      </w:r>
      <w:r w:rsidR="00F6232F" w:rsidRPr="002B3167">
        <w:rPr>
          <w:rFonts w:ascii="Palatino Linotype" w:eastAsia="Times New Roman" w:hAnsi="Palatino Linotype" w:cs="Times New Roman"/>
          <w:sz w:val="24"/>
          <w:szCs w:val="24"/>
          <w:lang w:eastAsia="es-ES"/>
        </w:rPr>
        <w:t xml:space="preserve">nformación pública </w:t>
      </w:r>
      <w:r w:rsidR="00481833" w:rsidRPr="002B3167">
        <w:rPr>
          <w:rFonts w:ascii="Palatino Linotype" w:eastAsia="Times New Roman" w:hAnsi="Palatino Linotype" w:cs="Times New Roman"/>
          <w:sz w:val="24"/>
          <w:szCs w:val="24"/>
          <w:lang w:eastAsia="es-ES"/>
        </w:rPr>
        <w:t>del</w:t>
      </w:r>
      <w:r w:rsidRPr="002B3167">
        <w:rPr>
          <w:rFonts w:ascii="Palatino Linotype" w:eastAsia="Times New Roman" w:hAnsi="Palatino Linotype" w:cs="Times New Roman"/>
          <w:sz w:val="24"/>
          <w:szCs w:val="24"/>
          <w:lang w:eastAsia="es-ES"/>
        </w:rPr>
        <w:t xml:space="preserve"> Recurrente, toda vez que no entrega respuesta a la solicitud de información presentada, de conformidad a lo establecido en el artículo 24 fracción XI de la ley local en la materia, y que señala:</w:t>
      </w:r>
    </w:p>
    <w:p w14:paraId="3E398659" w14:textId="77777777" w:rsidR="00E15A9B" w:rsidRPr="002B3167" w:rsidRDefault="00E15A9B" w:rsidP="002B3167">
      <w:pPr>
        <w:spacing w:after="0" w:line="360" w:lineRule="auto"/>
        <w:jc w:val="both"/>
        <w:rPr>
          <w:rFonts w:ascii="Palatino Linotype" w:eastAsia="Times New Roman" w:hAnsi="Palatino Linotype" w:cs="Times New Roman"/>
          <w:sz w:val="24"/>
          <w:szCs w:val="24"/>
          <w:lang w:eastAsia="es-ES"/>
        </w:rPr>
      </w:pPr>
    </w:p>
    <w:p w14:paraId="4C2DBE64" w14:textId="77777777" w:rsidR="006D5803" w:rsidRPr="002B3167" w:rsidRDefault="006D5803" w:rsidP="002B3167">
      <w:pPr>
        <w:pStyle w:val="infoemcitas"/>
        <w:spacing w:before="0" w:after="0" w:line="240" w:lineRule="auto"/>
        <w:ind w:left="567" w:right="567"/>
        <w:rPr>
          <w:szCs w:val="24"/>
          <w:lang w:eastAsia="es-ES"/>
        </w:rPr>
      </w:pPr>
      <w:r w:rsidRPr="002B3167">
        <w:rPr>
          <w:b/>
          <w:szCs w:val="24"/>
          <w:lang w:eastAsia="es-ES"/>
        </w:rPr>
        <w:t>“A</w:t>
      </w:r>
      <w:r w:rsidRPr="002B3167">
        <w:rPr>
          <w:b/>
          <w:bCs/>
          <w:szCs w:val="24"/>
          <w:lang w:eastAsia="es-ES"/>
        </w:rPr>
        <w:t>rtículo 24.</w:t>
      </w:r>
      <w:r w:rsidRPr="002B3167">
        <w:rPr>
          <w:bCs/>
          <w:szCs w:val="24"/>
          <w:lang w:eastAsia="es-ES"/>
        </w:rPr>
        <w:t xml:space="preserve"> </w:t>
      </w:r>
      <w:r w:rsidRPr="002B3167">
        <w:rPr>
          <w:szCs w:val="24"/>
          <w:lang w:eastAsia="es-ES"/>
        </w:rPr>
        <w:t>Para el cumplimiento de los objetivos de esta Ley, los sujetos obligados deberán cumplir con las siguientes obligaciones, según corresponda, de acuerdo a su naturaleza:</w:t>
      </w:r>
    </w:p>
    <w:p w14:paraId="11EDE46A" w14:textId="77777777" w:rsidR="006D5803" w:rsidRPr="002B3167" w:rsidRDefault="006D5803" w:rsidP="002B3167">
      <w:pPr>
        <w:pStyle w:val="infoemcitas"/>
        <w:spacing w:before="0" w:after="0" w:line="240" w:lineRule="auto"/>
        <w:ind w:left="567" w:right="567"/>
        <w:rPr>
          <w:szCs w:val="24"/>
          <w:lang w:eastAsia="es-ES"/>
        </w:rPr>
      </w:pPr>
      <w:r w:rsidRPr="002B3167">
        <w:rPr>
          <w:bCs/>
          <w:szCs w:val="24"/>
          <w:lang w:eastAsia="es-ES"/>
        </w:rPr>
        <w:t>(..</w:t>
      </w:r>
      <w:r w:rsidRPr="002B3167">
        <w:rPr>
          <w:szCs w:val="24"/>
          <w:lang w:eastAsia="es-ES"/>
        </w:rPr>
        <w:t>.)</w:t>
      </w:r>
    </w:p>
    <w:p w14:paraId="6E606111" w14:textId="77777777" w:rsidR="006D5803" w:rsidRPr="002B3167" w:rsidRDefault="006D5803" w:rsidP="002B3167">
      <w:pPr>
        <w:pStyle w:val="infoemcitas"/>
        <w:spacing w:before="0" w:after="0" w:line="240" w:lineRule="auto"/>
        <w:ind w:left="567" w:right="567"/>
        <w:rPr>
          <w:bCs/>
          <w:szCs w:val="24"/>
          <w:lang w:eastAsia="es-ES"/>
        </w:rPr>
      </w:pPr>
      <w:r w:rsidRPr="002B3167">
        <w:rPr>
          <w:bCs/>
          <w:szCs w:val="24"/>
          <w:lang w:eastAsia="es-ES"/>
        </w:rPr>
        <w:t>XI. Dar acceso a la información pública que le sea requerida, en los términos de la Ley General, esta Ley y demás disposiciones jurídicas aplicables;</w:t>
      </w:r>
    </w:p>
    <w:p w14:paraId="0278A99D" w14:textId="01770080" w:rsidR="006D5803" w:rsidRPr="002B3167" w:rsidRDefault="006D5803" w:rsidP="002B3167">
      <w:pPr>
        <w:pStyle w:val="infoemcitas"/>
        <w:spacing w:before="0" w:after="0" w:line="240" w:lineRule="auto"/>
        <w:ind w:left="567" w:right="567"/>
        <w:rPr>
          <w:b/>
          <w:szCs w:val="24"/>
          <w:lang w:eastAsia="es-ES"/>
        </w:rPr>
      </w:pPr>
      <w:r w:rsidRPr="002B3167">
        <w:rPr>
          <w:bCs/>
          <w:szCs w:val="24"/>
          <w:lang w:eastAsia="es-ES"/>
        </w:rPr>
        <w:t xml:space="preserve">(…)” </w:t>
      </w:r>
      <w:r w:rsidRPr="002B3167">
        <w:rPr>
          <w:b/>
          <w:szCs w:val="24"/>
          <w:lang w:eastAsia="es-ES"/>
        </w:rPr>
        <w:t>[Sic]</w:t>
      </w:r>
    </w:p>
    <w:p w14:paraId="5309A45D" w14:textId="77777777" w:rsidR="00E15A9B" w:rsidRPr="002B3167" w:rsidRDefault="00E15A9B" w:rsidP="002B3167">
      <w:pPr>
        <w:pStyle w:val="Prrafodelista"/>
        <w:autoSpaceDE w:val="0"/>
        <w:autoSpaceDN w:val="0"/>
        <w:adjustRightInd w:val="0"/>
        <w:spacing w:line="360" w:lineRule="auto"/>
        <w:ind w:left="0"/>
        <w:jc w:val="both"/>
        <w:rPr>
          <w:rFonts w:ascii="Palatino Linotype" w:hAnsi="Palatino Linotype" w:cs="Arial"/>
        </w:rPr>
      </w:pPr>
    </w:p>
    <w:p w14:paraId="7319C543" w14:textId="77777777" w:rsidR="006D5803" w:rsidRPr="002B3167" w:rsidRDefault="006D5803"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w:t>
      </w:r>
      <w:r w:rsidRPr="002B3167">
        <w:rPr>
          <w:rFonts w:ascii="Palatino Linotype" w:hAnsi="Palatino Linotype" w:cs="Arial"/>
        </w:rPr>
        <w:lastRenderedPageBreak/>
        <w:t xml:space="preserve">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EB19D6A" w14:textId="77777777" w:rsidR="006D5803" w:rsidRPr="002B3167" w:rsidRDefault="006D5803" w:rsidP="002B3167">
      <w:pPr>
        <w:pStyle w:val="Prrafodelista"/>
        <w:autoSpaceDE w:val="0"/>
        <w:autoSpaceDN w:val="0"/>
        <w:adjustRightInd w:val="0"/>
        <w:spacing w:line="360" w:lineRule="auto"/>
        <w:ind w:left="0"/>
        <w:jc w:val="both"/>
        <w:rPr>
          <w:rFonts w:ascii="Palatino Linotype" w:hAnsi="Palatino Linotype" w:cs="Arial"/>
        </w:rPr>
      </w:pPr>
    </w:p>
    <w:p w14:paraId="3EF0D1EF" w14:textId="11F37624" w:rsidR="006D5803" w:rsidRPr="002B3167" w:rsidRDefault="006D5803"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 xml:space="preserve">Por otra parte, al referirnos al acto impugnado por </w:t>
      </w:r>
      <w:r w:rsidR="00792E0C" w:rsidRPr="002B3167">
        <w:rPr>
          <w:rFonts w:ascii="Palatino Linotype" w:hAnsi="Palatino Linotype" w:cs="Arial"/>
          <w:b/>
        </w:rPr>
        <w:t>El</w:t>
      </w:r>
      <w:r w:rsidRPr="002B3167">
        <w:rPr>
          <w:rFonts w:ascii="Palatino Linotype" w:hAnsi="Palatino Linotype" w:cs="Arial"/>
          <w:b/>
        </w:rPr>
        <w:t xml:space="preserve"> Recurrente, </w:t>
      </w:r>
      <w:r w:rsidRPr="002B3167">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w:t>
      </w:r>
      <w:r w:rsidR="00663439" w:rsidRPr="002B3167">
        <w:rPr>
          <w:rFonts w:ascii="Palatino Linotype" w:hAnsi="Palatino Linotype" w:cs="Arial"/>
        </w:rPr>
        <w:t xml:space="preserve">s fracciones I y </w:t>
      </w:r>
      <w:r w:rsidRPr="002B3167">
        <w:rPr>
          <w:rFonts w:ascii="Palatino Linotype" w:hAnsi="Palatino Linotype" w:cs="Arial"/>
        </w:rPr>
        <w:t xml:space="preserve"> VII, del artículo 179, de la Ley de Transparencia y Acceso a la Información Pública del Estado de México y Municipios, el cual a la letra reza:</w:t>
      </w:r>
    </w:p>
    <w:p w14:paraId="33F35B9A" w14:textId="77777777" w:rsidR="00E15A9B" w:rsidRPr="002B3167" w:rsidRDefault="00E15A9B" w:rsidP="002B3167">
      <w:pPr>
        <w:pStyle w:val="Prrafodelista"/>
        <w:autoSpaceDE w:val="0"/>
        <w:autoSpaceDN w:val="0"/>
        <w:adjustRightInd w:val="0"/>
        <w:spacing w:line="360" w:lineRule="auto"/>
        <w:ind w:left="0"/>
        <w:jc w:val="both"/>
        <w:rPr>
          <w:rFonts w:ascii="Palatino Linotype" w:hAnsi="Palatino Linotype" w:cs="Arial"/>
        </w:rPr>
      </w:pPr>
    </w:p>
    <w:p w14:paraId="5B2EB262" w14:textId="77777777" w:rsidR="006D5803" w:rsidRPr="002B3167" w:rsidRDefault="006D5803" w:rsidP="002B3167">
      <w:pPr>
        <w:pStyle w:val="infoemcitas"/>
        <w:spacing w:before="0" w:after="0" w:line="240" w:lineRule="auto"/>
        <w:ind w:left="567" w:right="567"/>
        <w:rPr>
          <w:szCs w:val="24"/>
        </w:rPr>
      </w:pPr>
      <w:r w:rsidRPr="002B3167">
        <w:rPr>
          <w:b/>
          <w:bCs/>
          <w:szCs w:val="24"/>
        </w:rPr>
        <w:t xml:space="preserve">“Artículo 179. </w:t>
      </w:r>
      <w:r w:rsidRPr="002B3167">
        <w:rPr>
          <w:szCs w:val="24"/>
        </w:rPr>
        <w:t>El recurso de revisión es un medio de protección que la Ley otorga a los particulares, para hacer valer su derecho de acceso a la información pública, y procederá en contra de las siguientes causas:</w:t>
      </w:r>
    </w:p>
    <w:p w14:paraId="4407F5E1" w14:textId="13301B90" w:rsidR="00663439" w:rsidRPr="002B3167" w:rsidRDefault="00663439" w:rsidP="002B3167">
      <w:pPr>
        <w:pStyle w:val="infoemcitas"/>
        <w:numPr>
          <w:ilvl w:val="0"/>
          <w:numId w:val="9"/>
        </w:numPr>
        <w:spacing w:before="0" w:after="0" w:line="240" w:lineRule="auto"/>
        <w:ind w:left="993" w:right="567" w:hanging="436"/>
        <w:rPr>
          <w:b/>
          <w:bCs/>
          <w:szCs w:val="24"/>
        </w:rPr>
      </w:pPr>
      <w:r w:rsidRPr="002B3167">
        <w:rPr>
          <w:bCs/>
          <w:szCs w:val="24"/>
        </w:rPr>
        <w:t>La negativa a la información solicitada</w:t>
      </w:r>
    </w:p>
    <w:p w14:paraId="297E4068" w14:textId="77777777" w:rsidR="006D5803" w:rsidRPr="002B3167" w:rsidRDefault="006D5803" w:rsidP="002B3167">
      <w:pPr>
        <w:pStyle w:val="infoemcitas"/>
        <w:spacing w:before="0" w:after="0" w:line="240" w:lineRule="auto"/>
        <w:ind w:left="567" w:right="567"/>
        <w:rPr>
          <w:szCs w:val="24"/>
        </w:rPr>
      </w:pPr>
      <w:r w:rsidRPr="002B3167">
        <w:rPr>
          <w:b/>
          <w:bCs/>
          <w:szCs w:val="24"/>
        </w:rPr>
        <w:t>(…</w:t>
      </w:r>
      <w:r w:rsidRPr="002B3167">
        <w:rPr>
          <w:szCs w:val="24"/>
        </w:rPr>
        <w:t>)</w:t>
      </w:r>
    </w:p>
    <w:p w14:paraId="6B799159" w14:textId="77777777" w:rsidR="006D5803" w:rsidRPr="002B3167" w:rsidRDefault="006D5803" w:rsidP="002B3167">
      <w:pPr>
        <w:pStyle w:val="infoemcitas"/>
        <w:spacing w:before="0" w:after="0" w:line="240" w:lineRule="auto"/>
        <w:ind w:left="567" w:right="567"/>
        <w:rPr>
          <w:szCs w:val="24"/>
        </w:rPr>
      </w:pPr>
      <w:r w:rsidRPr="002B3167">
        <w:rPr>
          <w:b/>
          <w:bCs/>
          <w:szCs w:val="24"/>
        </w:rPr>
        <w:t xml:space="preserve">VII. </w:t>
      </w:r>
      <w:r w:rsidRPr="002B3167">
        <w:rPr>
          <w:szCs w:val="24"/>
        </w:rPr>
        <w:t>La falta de respuesta a una solicitud de acceso a la información</w:t>
      </w:r>
    </w:p>
    <w:p w14:paraId="31C9ECAF" w14:textId="2F6041BD" w:rsidR="006D5803" w:rsidRPr="002B3167" w:rsidRDefault="006D5803" w:rsidP="002B3167">
      <w:pPr>
        <w:pStyle w:val="infoemcitas"/>
        <w:spacing w:before="0" w:after="0" w:line="240" w:lineRule="auto"/>
        <w:ind w:left="567" w:right="567"/>
        <w:rPr>
          <w:rFonts w:cs="Arial"/>
          <w:b/>
          <w:szCs w:val="24"/>
        </w:rPr>
      </w:pPr>
      <w:r w:rsidRPr="002B3167">
        <w:rPr>
          <w:rFonts w:cs="Arial"/>
          <w:b/>
          <w:szCs w:val="24"/>
        </w:rPr>
        <w:t>(…)”</w:t>
      </w:r>
      <w:r w:rsidRPr="002B3167">
        <w:rPr>
          <w:rFonts w:cs="Arial"/>
          <w:szCs w:val="24"/>
        </w:rPr>
        <w:t xml:space="preserve"> </w:t>
      </w:r>
      <w:r w:rsidRPr="002B3167">
        <w:rPr>
          <w:rFonts w:cs="Arial"/>
          <w:b/>
          <w:szCs w:val="24"/>
        </w:rPr>
        <w:t>[Sic]</w:t>
      </w:r>
    </w:p>
    <w:p w14:paraId="1A0DF84B" w14:textId="77777777" w:rsidR="00E15A9B" w:rsidRPr="002B3167" w:rsidRDefault="00E15A9B" w:rsidP="002B3167">
      <w:pPr>
        <w:pStyle w:val="Prrafodelista"/>
        <w:autoSpaceDE w:val="0"/>
        <w:autoSpaceDN w:val="0"/>
        <w:adjustRightInd w:val="0"/>
        <w:spacing w:line="360" w:lineRule="auto"/>
        <w:ind w:left="0"/>
        <w:jc w:val="both"/>
        <w:rPr>
          <w:rFonts w:ascii="Palatino Linotype" w:hAnsi="Palatino Linotype" w:cs="Arial"/>
        </w:rPr>
      </w:pPr>
    </w:p>
    <w:p w14:paraId="2A89B80A" w14:textId="58CDC066" w:rsidR="006D5803" w:rsidRPr="002B3167" w:rsidRDefault="006D5803" w:rsidP="002B3167">
      <w:pPr>
        <w:pStyle w:val="Prrafodelista"/>
        <w:autoSpaceDE w:val="0"/>
        <w:autoSpaceDN w:val="0"/>
        <w:adjustRightInd w:val="0"/>
        <w:spacing w:line="360" w:lineRule="auto"/>
        <w:ind w:left="0"/>
        <w:jc w:val="both"/>
        <w:rPr>
          <w:rFonts w:ascii="Palatino Linotype" w:hAnsi="Palatino Linotype"/>
        </w:rPr>
      </w:pPr>
      <w:r w:rsidRPr="002B3167">
        <w:rPr>
          <w:rFonts w:ascii="Palatino Linotype" w:hAnsi="Palatino Linotype" w:cs="Arial"/>
        </w:rPr>
        <w:t xml:space="preserve">En este tenor, resulta evidente que las razones o motivos de inconformidad hechos valer por </w:t>
      </w:r>
      <w:r w:rsidR="00E15A9B" w:rsidRPr="002B3167">
        <w:rPr>
          <w:rFonts w:ascii="Palatino Linotype" w:hAnsi="Palatino Linotype" w:cs="Arial"/>
        </w:rPr>
        <w:t>el</w:t>
      </w:r>
      <w:r w:rsidR="00E15A9B" w:rsidRPr="002B3167">
        <w:rPr>
          <w:rFonts w:ascii="Palatino Linotype" w:hAnsi="Palatino Linotype" w:cs="Arial"/>
          <w:b/>
        </w:rPr>
        <w:t xml:space="preserve"> </w:t>
      </w:r>
      <w:r w:rsidRPr="002B3167">
        <w:rPr>
          <w:rFonts w:ascii="Palatino Linotype" w:hAnsi="Palatino Linotype" w:cs="Arial"/>
          <w:b/>
        </w:rPr>
        <w:t xml:space="preserve">Recurrente, </w:t>
      </w:r>
      <w:r w:rsidRPr="002B3167">
        <w:rPr>
          <w:rFonts w:ascii="Palatino Linotype" w:hAnsi="Palatino Linotype" w:cs="Arial"/>
        </w:rPr>
        <w:t xml:space="preserve">resultan fundados y procedentes, en virtud de que como consta en el expediente electrónico del </w:t>
      </w:r>
      <w:r w:rsidRPr="002B3167">
        <w:rPr>
          <w:rFonts w:ascii="Palatino Linotype" w:hAnsi="Palatino Linotype" w:cs="Arial"/>
          <w:b/>
        </w:rPr>
        <w:t xml:space="preserve">SAIMEX, </w:t>
      </w:r>
      <w:r w:rsidRPr="002B3167">
        <w:rPr>
          <w:rFonts w:ascii="Palatino Linotype" w:hAnsi="Palatino Linotype" w:cs="Arial"/>
        </w:rPr>
        <w:t xml:space="preserve">se acredita que </w:t>
      </w:r>
      <w:r w:rsidR="00E15A9B" w:rsidRPr="002B3167">
        <w:rPr>
          <w:rFonts w:ascii="Palatino Linotype" w:hAnsi="Palatino Linotype" w:cs="Arial"/>
        </w:rPr>
        <w:t>el</w:t>
      </w:r>
      <w:r w:rsidR="00E15A9B" w:rsidRPr="002B3167">
        <w:rPr>
          <w:rFonts w:ascii="Palatino Linotype" w:hAnsi="Palatino Linotype" w:cs="Arial"/>
          <w:b/>
        </w:rPr>
        <w:t xml:space="preserve"> </w:t>
      </w:r>
      <w:r w:rsidRPr="002B3167">
        <w:rPr>
          <w:rFonts w:ascii="Palatino Linotype" w:hAnsi="Palatino Linotype" w:cs="Arial"/>
          <w:b/>
        </w:rPr>
        <w:t xml:space="preserve">Sujeto Obligado </w:t>
      </w:r>
      <w:r w:rsidRPr="002B3167">
        <w:rPr>
          <w:rFonts w:ascii="Palatino Linotype" w:hAnsi="Palatino Linotype" w:cs="Arial"/>
        </w:rPr>
        <w:t xml:space="preserve">fue omiso en responder la solicitud de información hecha por </w:t>
      </w:r>
      <w:r w:rsidR="00E15A9B" w:rsidRPr="002B3167">
        <w:rPr>
          <w:rFonts w:ascii="Palatino Linotype" w:hAnsi="Palatino Linotype" w:cs="Arial"/>
        </w:rPr>
        <w:t>el</w:t>
      </w:r>
      <w:r w:rsidR="00E15A9B" w:rsidRPr="002B3167">
        <w:rPr>
          <w:rFonts w:ascii="Palatino Linotype" w:hAnsi="Palatino Linotype" w:cs="Arial"/>
          <w:b/>
        </w:rPr>
        <w:t xml:space="preserve"> </w:t>
      </w:r>
      <w:r w:rsidRPr="002B3167">
        <w:rPr>
          <w:rFonts w:ascii="Palatino Linotype" w:hAnsi="Palatino Linotype" w:cs="Arial"/>
          <w:b/>
        </w:rPr>
        <w:t xml:space="preserve">Recurrente, </w:t>
      </w:r>
      <w:r w:rsidRPr="002B3167">
        <w:rPr>
          <w:rFonts w:ascii="Palatino Linotype" w:hAnsi="Palatino Linotype" w:cs="Arial"/>
        </w:rPr>
        <w:t xml:space="preserve">por ello </w:t>
      </w:r>
      <w:r w:rsidRPr="002B3167">
        <w:rPr>
          <w:rFonts w:ascii="Palatino Linotype" w:hAnsi="Palatino Linotype"/>
        </w:rPr>
        <w:t xml:space="preserve">se ordena dar vista al Titular de la Contraloría Interna y Órgano de Control y Vigilancia de este Instituto, de conformidad con el artículo 190, de la Ley de </w:t>
      </w:r>
      <w:r w:rsidRPr="002B3167">
        <w:rPr>
          <w:rFonts w:ascii="Palatino Linotype" w:hAnsi="Palatino Linotype"/>
        </w:rPr>
        <w:lastRenderedPageBreak/>
        <w:t>Transparencia y Acceso a la Información Pública del Estado de México y Municipios, a efecto de que determine lo conducente.</w:t>
      </w:r>
    </w:p>
    <w:p w14:paraId="697092C4" w14:textId="77777777" w:rsidR="00BC6896" w:rsidRPr="002B3167" w:rsidRDefault="00BC6896" w:rsidP="002B3167">
      <w:pPr>
        <w:pStyle w:val="Prrafodelista"/>
        <w:autoSpaceDE w:val="0"/>
        <w:autoSpaceDN w:val="0"/>
        <w:adjustRightInd w:val="0"/>
        <w:spacing w:line="360" w:lineRule="auto"/>
        <w:ind w:left="0"/>
        <w:jc w:val="both"/>
        <w:rPr>
          <w:rFonts w:ascii="Palatino Linotype" w:hAnsi="Palatino Linotype" w:cs="Arial"/>
          <w:b/>
        </w:rPr>
      </w:pPr>
    </w:p>
    <w:p w14:paraId="666E9B36" w14:textId="5CC5EDA7" w:rsidR="006D5803" w:rsidRPr="002B3167" w:rsidRDefault="006D5803"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 xml:space="preserve">Dicho lo anterior, considerando la información requerida por </w:t>
      </w:r>
      <w:r w:rsidR="00E15A9B" w:rsidRPr="002B3167">
        <w:rPr>
          <w:rFonts w:ascii="Palatino Linotype" w:hAnsi="Palatino Linotype" w:cs="Arial"/>
        </w:rPr>
        <w:t>el</w:t>
      </w:r>
      <w:r w:rsidR="00E15A9B" w:rsidRPr="002B3167">
        <w:rPr>
          <w:rFonts w:ascii="Palatino Linotype" w:hAnsi="Palatino Linotype" w:cs="Arial"/>
          <w:b/>
        </w:rPr>
        <w:t xml:space="preserve"> </w:t>
      </w:r>
      <w:r w:rsidRPr="002B3167">
        <w:rPr>
          <w:rFonts w:ascii="Palatino Linotype" w:hAnsi="Palatino Linotype" w:cs="Arial"/>
          <w:b/>
        </w:rPr>
        <w:t xml:space="preserve">Recurrente </w:t>
      </w:r>
      <w:r w:rsidRPr="002B3167">
        <w:rPr>
          <w:rFonts w:ascii="Palatino Linotype" w:hAnsi="Palatino Linotype" w:cs="Arial"/>
        </w:rPr>
        <w:t xml:space="preserve">en su solicitud de información, y ante la falta de respuesta, se establece que la materia de estudio se centrará en las atribuciones del </w:t>
      </w:r>
      <w:r w:rsidRPr="002B3167">
        <w:rPr>
          <w:rFonts w:ascii="Palatino Linotype" w:hAnsi="Palatino Linotype" w:cs="Arial"/>
          <w:b/>
        </w:rPr>
        <w:t xml:space="preserve">Sujeto Obligado, </w:t>
      </w:r>
      <w:r w:rsidRPr="002B3167">
        <w:rPr>
          <w:rFonts w:ascii="Palatino Linotype" w:hAnsi="Palatino Linotype" w:cs="Arial"/>
        </w:rPr>
        <w:t>a efecto de determinar si éste genera, posee o administra dicha información.</w:t>
      </w:r>
    </w:p>
    <w:p w14:paraId="3C455969" w14:textId="77777777" w:rsidR="006D5803" w:rsidRPr="002B3167" w:rsidRDefault="006D5803" w:rsidP="002B3167">
      <w:pPr>
        <w:pStyle w:val="Prrafodelista"/>
        <w:autoSpaceDE w:val="0"/>
        <w:autoSpaceDN w:val="0"/>
        <w:adjustRightInd w:val="0"/>
        <w:spacing w:line="360" w:lineRule="auto"/>
        <w:ind w:left="0"/>
        <w:jc w:val="both"/>
        <w:rPr>
          <w:rFonts w:ascii="Palatino Linotype" w:hAnsi="Palatino Linotype" w:cs="Arial"/>
        </w:rPr>
      </w:pPr>
    </w:p>
    <w:p w14:paraId="4B83DD7F" w14:textId="18E59ECB" w:rsidR="006D5803" w:rsidRPr="002B3167" w:rsidRDefault="006D5803"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 xml:space="preserve">Una vez establecida y delimitada la materia del presente recurso de revisión, y atentos a </w:t>
      </w:r>
      <w:r w:rsidRPr="002B3167">
        <w:rPr>
          <w:rFonts w:ascii="Palatino Linotype" w:hAnsi="Palatino Linotype"/>
          <w:lang w:eastAsia="es-MX"/>
        </w:rPr>
        <w:t xml:space="preserve">la falta de respuesta del </w:t>
      </w:r>
      <w:r w:rsidRPr="002B3167">
        <w:rPr>
          <w:rFonts w:ascii="Palatino Linotype" w:hAnsi="Palatino Linotype"/>
          <w:b/>
          <w:lang w:eastAsia="es-MX"/>
        </w:rPr>
        <w:t>Sujeto Obligado</w:t>
      </w:r>
      <w:r w:rsidRPr="002B3167">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2B3167">
        <w:rPr>
          <w:rFonts w:ascii="Palatino Linotype" w:hAnsi="Palatino Linotype"/>
          <w:b/>
          <w:lang w:eastAsia="es-MX"/>
        </w:rPr>
        <w:t>Sujeto Obligado</w:t>
      </w:r>
      <w:r w:rsidRPr="002B3167">
        <w:rPr>
          <w:rFonts w:ascii="Palatino Linotype" w:hAnsi="Palatino Linotype"/>
          <w:lang w:eastAsia="es-MX"/>
        </w:rPr>
        <w:t xml:space="preserve"> de la misma, tal y como lo constituyen </w:t>
      </w:r>
      <w:r w:rsidRPr="002B3167">
        <w:rPr>
          <w:rFonts w:ascii="Palatino Linotype" w:hAnsi="Palatino Linotype" w:cs="Arial"/>
        </w:rPr>
        <w:t>los artículos,</w:t>
      </w:r>
      <w:r w:rsidR="00B622D7" w:rsidRPr="002B3167">
        <w:rPr>
          <w:rFonts w:ascii="Palatino Linotype" w:hAnsi="Palatino Linotype" w:cs="Arial"/>
        </w:rPr>
        <w:t xml:space="preserve"> 7 y 23, fracción I</w:t>
      </w:r>
      <w:r w:rsidRPr="002B3167">
        <w:rPr>
          <w:rFonts w:ascii="Palatino Linotype" w:hAnsi="Palatino Linotype" w:cs="Arial"/>
        </w:rPr>
        <w:t>, de la Ley de Transparencia y Acceso a la Información Pública del Estado de México y Municipios, que establecen como deber de los sujetos obligados el hacer pública toda la información en su posesión, como se aprecia a continuación:</w:t>
      </w:r>
    </w:p>
    <w:p w14:paraId="685AF879" w14:textId="77777777" w:rsidR="00E15A9B" w:rsidRPr="002B3167" w:rsidRDefault="00E15A9B" w:rsidP="002B3167">
      <w:pPr>
        <w:pStyle w:val="Prrafodelista"/>
        <w:autoSpaceDE w:val="0"/>
        <w:autoSpaceDN w:val="0"/>
        <w:adjustRightInd w:val="0"/>
        <w:spacing w:line="360" w:lineRule="auto"/>
        <w:ind w:left="0"/>
        <w:jc w:val="both"/>
        <w:rPr>
          <w:rFonts w:ascii="Palatino Linotype" w:hAnsi="Palatino Linotype" w:cs="Arial"/>
        </w:rPr>
      </w:pPr>
    </w:p>
    <w:p w14:paraId="3965A46A" w14:textId="77777777" w:rsidR="006D5803" w:rsidRPr="002B3167" w:rsidRDefault="006D5803" w:rsidP="002B3167">
      <w:pPr>
        <w:pStyle w:val="infoemcitas"/>
        <w:spacing w:before="0" w:after="0" w:line="240" w:lineRule="auto"/>
        <w:ind w:left="567" w:right="567"/>
        <w:rPr>
          <w:rFonts w:cs="Arial"/>
          <w:szCs w:val="24"/>
        </w:rPr>
      </w:pPr>
      <w:r w:rsidRPr="002B3167">
        <w:rPr>
          <w:rFonts w:cs="Arial"/>
          <w:szCs w:val="24"/>
        </w:rPr>
        <w:t>“</w:t>
      </w:r>
      <w:r w:rsidRPr="002B3167">
        <w:rPr>
          <w:rFonts w:cs="Arial"/>
          <w:b/>
          <w:szCs w:val="24"/>
        </w:rPr>
        <w:t>Artículo 7. El Estado de México garantizará el efectivo acceso de toda persona a la información en posesión de cualquier entidad,</w:t>
      </w:r>
      <w:r w:rsidRPr="002B3167">
        <w:rPr>
          <w:rFonts w:cs="Arial"/>
          <w:szCs w:val="24"/>
        </w:rPr>
        <w:t xml:space="preserve"> autoridad, órgano y organismo de los poderes Ejecutivo, Legislativo y Judicial, órganos autónomos, partidos políticos, fideicomisos y fondos públicos, así como de cualquier persona física, jurídico colectiva o sindicato </w:t>
      </w:r>
      <w:r w:rsidRPr="002B3167">
        <w:rPr>
          <w:rFonts w:cs="Arial"/>
          <w:b/>
          <w:szCs w:val="24"/>
        </w:rPr>
        <w:t>que reciba y ejerza recursos públicos</w:t>
      </w:r>
      <w:r w:rsidRPr="002B3167">
        <w:rPr>
          <w:rFonts w:cs="Arial"/>
          <w:szCs w:val="24"/>
        </w:rPr>
        <w:t xml:space="preserve"> o realice actos de autoridad en el ámbito de competencia del Estado de México y sus municipios. </w:t>
      </w:r>
    </w:p>
    <w:p w14:paraId="0B614E07" w14:textId="77777777" w:rsidR="006D5803" w:rsidRPr="002B3167" w:rsidRDefault="006D5803" w:rsidP="002B3167">
      <w:pPr>
        <w:pStyle w:val="infoemcitas"/>
        <w:spacing w:before="0" w:after="0" w:line="240" w:lineRule="auto"/>
        <w:ind w:left="567" w:right="567"/>
        <w:rPr>
          <w:rFonts w:cs="Arial"/>
          <w:bCs/>
          <w:szCs w:val="24"/>
        </w:rPr>
      </w:pPr>
      <w:r w:rsidRPr="002B3167">
        <w:rPr>
          <w:rFonts w:cs="Arial"/>
          <w:b/>
          <w:bCs/>
          <w:szCs w:val="24"/>
        </w:rPr>
        <w:t>Artículo 23</w:t>
      </w:r>
      <w:r w:rsidRPr="002B3167">
        <w:rPr>
          <w:rFonts w:cs="Arial"/>
          <w:bCs/>
          <w:szCs w:val="24"/>
        </w:rPr>
        <w:t xml:space="preserve">. Son sujetos obligados a transparentar y permitir el acceso a su información y proteger los datos personales que obren en su poder: </w:t>
      </w:r>
    </w:p>
    <w:p w14:paraId="4DEB9DE1" w14:textId="77777777" w:rsidR="00B622D7" w:rsidRPr="002B3167" w:rsidRDefault="00B622D7" w:rsidP="002B3167">
      <w:pPr>
        <w:pStyle w:val="infoemcitas"/>
        <w:spacing w:before="0" w:after="0" w:line="240" w:lineRule="auto"/>
        <w:ind w:left="567" w:right="567"/>
        <w:rPr>
          <w:b/>
          <w:szCs w:val="24"/>
          <w:u w:val="single"/>
        </w:rPr>
      </w:pPr>
      <w:r w:rsidRPr="002B3167">
        <w:rPr>
          <w:szCs w:val="24"/>
        </w:rPr>
        <w:lastRenderedPageBreak/>
        <w:t xml:space="preserve">I. El Poder Ejecutivo del Estado de México, las dependencias, organismos auxiliares, órganos, entidades, fideicomisos y fondos públicos, </w:t>
      </w:r>
      <w:r w:rsidRPr="002B3167">
        <w:rPr>
          <w:b/>
          <w:szCs w:val="24"/>
          <w:u w:val="single"/>
        </w:rPr>
        <w:t>así como la Procuraduría General de Justicia;</w:t>
      </w:r>
    </w:p>
    <w:p w14:paraId="726E8524" w14:textId="19511EF8" w:rsidR="006D5803" w:rsidRPr="002B3167" w:rsidRDefault="00B622D7" w:rsidP="002B3167">
      <w:pPr>
        <w:pStyle w:val="infoemcitas"/>
        <w:spacing w:before="0" w:after="0" w:line="240" w:lineRule="auto"/>
        <w:ind w:left="567" w:right="567"/>
        <w:rPr>
          <w:rFonts w:cs="Arial"/>
          <w:b/>
          <w:szCs w:val="24"/>
        </w:rPr>
      </w:pPr>
      <w:r w:rsidRPr="002B3167">
        <w:rPr>
          <w:rFonts w:cs="Arial"/>
          <w:bCs/>
          <w:szCs w:val="24"/>
        </w:rPr>
        <w:t>(…)</w:t>
      </w:r>
      <w:r w:rsidR="00943DF1" w:rsidRPr="002B3167">
        <w:rPr>
          <w:rFonts w:cs="Arial"/>
          <w:bCs/>
          <w:szCs w:val="24"/>
        </w:rPr>
        <w:t xml:space="preserve">” </w:t>
      </w:r>
      <w:r w:rsidR="00943DF1" w:rsidRPr="002B3167">
        <w:rPr>
          <w:rFonts w:cs="Arial"/>
          <w:b/>
          <w:szCs w:val="24"/>
        </w:rPr>
        <w:t>[Sic]</w:t>
      </w:r>
    </w:p>
    <w:p w14:paraId="379E2C12" w14:textId="77777777" w:rsidR="00663439" w:rsidRPr="002B3167" w:rsidRDefault="00663439" w:rsidP="002B31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40A1FE" w14:textId="5094F83F" w:rsidR="006D5803" w:rsidRPr="002B3167" w:rsidRDefault="006D5803" w:rsidP="002B31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 xml:space="preserve">En primera instancia, al referirnos al acto impugnado por </w:t>
      </w:r>
      <w:r w:rsidR="00792E0C" w:rsidRPr="002B3167">
        <w:rPr>
          <w:rFonts w:ascii="Palatino Linotype" w:eastAsia="Times New Roman" w:hAnsi="Palatino Linotype" w:cs="Arial"/>
          <w:b/>
          <w:bCs/>
          <w:sz w:val="24"/>
          <w:szCs w:val="24"/>
          <w:lang w:val="es-ES" w:eastAsia="es-ES"/>
        </w:rPr>
        <w:t>El</w:t>
      </w:r>
      <w:r w:rsidRPr="002B3167">
        <w:rPr>
          <w:rFonts w:ascii="Palatino Linotype" w:eastAsia="Times New Roman" w:hAnsi="Palatino Linotype" w:cs="Arial"/>
          <w:sz w:val="24"/>
          <w:szCs w:val="24"/>
          <w:lang w:val="es-ES" w:eastAsia="es-ES"/>
        </w:rPr>
        <w:t xml:space="preserve"> </w:t>
      </w:r>
      <w:r w:rsidRPr="002B3167">
        <w:rPr>
          <w:rFonts w:ascii="Palatino Linotype" w:eastAsia="Times New Roman" w:hAnsi="Palatino Linotype" w:cs="Arial"/>
          <w:b/>
          <w:sz w:val="24"/>
          <w:szCs w:val="24"/>
          <w:lang w:val="es-ES" w:eastAsia="es-ES"/>
        </w:rPr>
        <w:t>Recurrente</w:t>
      </w:r>
      <w:r w:rsidRPr="002B3167">
        <w:rPr>
          <w:rFonts w:ascii="Palatino Linotype" w:eastAsia="Times New Roman" w:hAnsi="Palatino Linotype" w:cs="Arial"/>
          <w:sz w:val="24"/>
          <w:szCs w:val="24"/>
          <w:lang w:val="es-ES" w:eastAsia="es-ES"/>
        </w:rPr>
        <w:t xml:space="preserve">, concatenado con los motivos o razones de inconformidad emitidos, se distingue que se adolece, de forma toral, de la falta de respuesta a la solicitud de acceso a la información formulada, actualizando con ello lo </w:t>
      </w:r>
      <w:r w:rsidRPr="002B3167">
        <w:rPr>
          <w:rFonts w:ascii="Palatino Linotype" w:eastAsia="Calibri" w:hAnsi="Palatino Linotype" w:cs="Arial"/>
          <w:color w:val="000000" w:themeColor="text1"/>
          <w:sz w:val="24"/>
          <w:szCs w:val="24"/>
          <w:lang w:val="es-ES" w:eastAsia="es-ES"/>
        </w:rPr>
        <w:t>establecido en la</w:t>
      </w:r>
      <w:r w:rsidR="00663439" w:rsidRPr="002B3167">
        <w:rPr>
          <w:rFonts w:ascii="Palatino Linotype" w:eastAsia="Calibri" w:hAnsi="Palatino Linotype" w:cs="Arial"/>
          <w:color w:val="000000" w:themeColor="text1"/>
          <w:sz w:val="24"/>
          <w:szCs w:val="24"/>
          <w:lang w:val="es-ES" w:eastAsia="es-ES"/>
        </w:rPr>
        <w:t>s</w:t>
      </w:r>
      <w:r w:rsidRPr="002B3167">
        <w:rPr>
          <w:rFonts w:ascii="Palatino Linotype" w:eastAsia="Calibri" w:hAnsi="Palatino Linotype" w:cs="Arial"/>
          <w:color w:val="000000" w:themeColor="text1"/>
          <w:sz w:val="24"/>
          <w:szCs w:val="24"/>
          <w:lang w:val="es-ES" w:eastAsia="es-ES"/>
        </w:rPr>
        <w:t xml:space="preserve"> </w:t>
      </w:r>
      <w:r w:rsidR="00663439" w:rsidRPr="002B3167">
        <w:rPr>
          <w:rFonts w:ascii="Palatino Linotype" w:eastAsia="Calibri" w:hAnsi="Palatino Linotype" w:cs="Arial"/>
          <w:color w:val="000000" w:themeColor="text1"/>
          <w:sz w:val="24"/>
          <w:szCs w:val="24"/>
          <w:lang w:val="es-ES" w:eastAsia="es-ES"/>
        </w:rPr>
        <w:t xml:space="preserve">fracciones I y </w:t>
      </w:r>
      <w:r w:rsidRPr="002B3167">
        <w:rPr>
          <w:rFonts w:ascii="Palatino Linotype" w:eastAsia="Calibri" w:hAnsi="Palatino Linotype" w:cs="Arial"/>
          <w:color w:val="000000" w:themeColor="text1"/>
          <w:sz w:val="24"/>
          <w:szCs w:val="24"/>
          <w:lang w:val="es-ES" w:eastAsia="es-ES"/>
        </w:rPr>
        <w:t xml:space="preserve"> VII del artículo 179 de la </w:t>
      </w:r>
      <w:r w:rsidRPr="002B3167">
        <w:rPr>
          <w:rFonts w:ascii="Palatino Linotype" w:eastAsia="Calibri" w:hAnsi="Palatino Linotype" w:cs="Arial"/>
          <w:b/>
          <w:color w:val="000000" w:themeColor="text1"/>
          <w:sz w:val="24"/>
          <w:szCs w:val="24"/>
          <w:lang w:val="es-ES" w:eastAsia="es-ES"/>
        </w:rPr>
        <w:t>Ley de Transparencia y Acceso a la Información Pública del Estado de México y Municipios</w:t>
      </w:r>
      <w:r w:rsidRPr="002B3167">
        <w:rPr>
          <w:rFonts w:ascii="Palatino Linotype" w:eastAsia="Calibri" w:hAnsi="Palatino Linotype" w:cs="Arial"/>
          <w:color w:val="000000" w:themeColor="text1"/>
          <w:sz w:val="24"/>
          <w:szCs w:val="24"/>
          <w:lang w:val="es-ES" w:eastAsia="es-ES"/>
        </w:rPr>
        <w:t>,</w:t>
      </w:r>
      <w:r w:rsidRPr="002B3167">
        <w:rPr>
          <w:rFonts w:ascii="Palatino Linotype" w:eastAsia="Calibri" w:hAnsi="Palatino Linotype" w:cs="Arial"/>
          <w:b/>
          <w:color w:val="000000" w:themeColor="text1"/>
          <w:sz w:val="24"/>
          <w:szCs w:val="24"/>
          <w:lang w:val="es-ES" w:eastAsia="es-ES"/>
        </w:rPr>
        <w:t xml:space="preserve"> </w:t>
      </w:r>
      <w:r w:rsidRPr="002B3167">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245F7E1C" w14:textId="77777777" w:rsidR="00E15A9B" w:rsidRPr="002B3167" w:rsidRDefault="00E15A9B" w:rsidP="002B31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9F8749D" w14:textId="5CE1349D" w:rsidR="00894471" w:rsidRPr="002B3167" w:rsidRDefault="00897CD0"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 xml:space="preserve">Una vez sentado lo anterior, es procedente mencionar que </w:t>
      </w:r>
      <w:r w:rsidR="0023689F" w:rsidRPr="002B3167">
        <w:rPr>
          <w:rFonts w:ascii="Palatino Linotype" w:hAnsi="Palatino Linotype" w:cs="Arial"/>
        </w:rPr>
        <w:t xml:space="preserve">mediante </w:t>
      </w:r>
      <w:r w:rsidRPr="002B3167">
        <w:rPr>
          <w:rFonts w:ascii="Palatino Linotype" w:hAnsi="Palatino Linotype" w:cs="Arial"/>
        </w:rPr>
        <w:t xml:space="preserve">la solicitud de información </w:t>
      </w:r>
      <w:r w:rsidR="00486595" w:rsidRPr="002B3167">
        <w:rPr>
          <w:rFonts w:ascii="Palatino Linotype" w:hAnsi="Palatino Linotype" w:cs="Arial"/>
          <w:b/>
        </w:rPr>
        <w:t>00109/HRZUM/IP/2023</w:t>
      </w:r>
      <w:r w:rsidR="00663439" w:rsidRPr="002B3167">
        <w:rPr>
          <w:rFonts w:ascii="Palatino Linotype" w:hAnsi="Palatino Linotype" w:cs="Arial"/>
          <w:b/>
        </w:rPr>
        <w:t xml:space="preserve">, </w:t>
      </w:r>
      <w:r w:rsidR="00663439" w:rsidRPr="002B3167">
        <w:rPr>
          <w:rFonts w:ascii="Palatino Linotype" w:hAnsi="Palatino Linotype" w:cs="Arial"/>
        </w:rPr>
        <w:t xml:space="preserve">el particular formuló un requerimiento, respecto del cual señaló como elemento temporal </w:t>
      </w:r>
      <w:r w:rsidR="00663439" w:rsidRPr="002B3167">
        <w:rPr>
          <w:rFonts w:ascii="Palatino Linotype" w:hAnsi="Palatino Linotype" w:cs="Arial"/>
          <w:i/>
        </w:rPr>
        <w:t>“</w:t>
      </w:r>
      <w:r w:rsidR="00E15A9B" w:rsidRPr="002B3167">
        <w:rPr>
          <w:rFonts w:ascii="Palatino Linotype" w:hAnsi="Palatino Linotype" w:cs="Arial"/>
          <w:i/>
          <w:lang w:val="es-MX"/>
        </w:rPr>
        <w:t xml:space="preserve">desde que </w:t>
      </w:r>
      <w:proofErr w:type="spellStart"/>
      <w:r w:rsidR="00E15A9B" w:rsidRPr="002B3167">
        <w:rPr>
          <w:rFonts w:ascii="Palatino Linotype" w:hAnsi="Palatino Linotype" w:cs="Arial"/>
          <w:i/>
          <w:lang w:val="es-MX"/>
        </w:rPr>
        <w:t>esta</w:t>
      </w:r>
      <w:proofErr w:type="spellEnd"/>
      <w:r w:rsidR="00E15A9B" w:rsidRPr="002B3167">
        <w:rPr>
          <w:rFonts w:ascii="Palatino Linotype" w:hAnsi="Palatino Linotype" w:cs="Arial"/>
          <w:i/>
          <w:lang w:val="es-MX"/>
        </w:rPr>
        <w:t xml:space="preserve"> en la Subdirección de Personal la Lic. Lizet Rebollar Montes de Oca</w:t>
      </w:r>
      <w:r w:rsidR="00663439" w:rsidRPr="002B3167">
        <w:rPr>
          <w:rFonts w:ascii="Palatino Linotype" w:hAnsi="Palatino Linotype" w:cs="Arial"/>
          <w:i/>
        </w:rPr>
        <w:t>”,</w:t>
      </w:r>
      <w:r w:rsidR="00663439" w:rsidRPr="002B3167">
        <w:rPr>
          <w:rFonts w:ascii="Palatino Linotype" w:hAnsi="Palatino Linotype" w:cs="Arial"/>
        </w:rPr>
        <w:t xml:space="preserve"> </w:t>
      </w:r>
      <w:r w:rsidR="00894471" w:rsidRPr="002B3167">
        <w:rPr>
          <w:rFonts w:ascii="Palatino Linotype" w:hAnsi="Palatino Linotype" w:cs="Arial"/>
        </w:rPr>
        <w:t>atentos a ello, se procedió a hacer consulta del portal IPOMEX del Sujeto Obligado</w:t>
      </w:r>
      <w:r w:rsidR="007316FD" w:rsidRPr="002B3167">
        <w:rPr>
          <w:rStyle w:val="Refdenotaalpie"/>
          <w:rFonts w:ascii="Palatino Linotype" w:hAnsi="Palatino Linotype" w:cs="Arial"/>
        </w:rPr>
        <w:footnoteReference w:id="1"/>
      </w:r>
      <w:r w:rsidR="00894471" w:rsidRPr="002B3167">
        <w:rPr>
          <w:rFonts w:ascii="Palatino Linotype" w:hAnsi="Palatino Linotype" w:cs="Arial"/>
        </w:rPr>
        <w:t xml:space="preserve">, observando en la fracción VII Directorio de todos los servidores públicos, se encuentra información únicamente del año 2023, particularmente en la Subdirección de Personal (área de la que se </w:t>
      </w:r>
      <w:r w:rsidR="007316FD" w:rsidRPr="002B3167">
        <w:rPr>
          <w:rFonts w:ascii="Palatino Linotype" w:hAnsi="Palatino Linotype" w:cs="Arial"/>
        </w:rPr>
        <w:t>refiere la parte Recurrente), advirtiéndose publicado el nombre de una Subdirectora diferente, se inserta la imagen siguiente para pronta referencia:</w:t>
      </w:r>
    </w:p>
    <w:p w14:paraId="1C7DF34E" w14:textId="77777777" w:rsidR="007316FD" w:rsidRPr="002B3167" w:rsidRDefault="007316FD" w:rsidP="002B3167">
      <w:pPr>
        <w:pStyle w:val="Prrafodelista"/>
        <w:autoSpaceDE w:val="0"/>
        <w:autoSpaceDN w:val="0"/>
        <w:adjustRightInd w:val="0"/>
        <w:spacing w:line="360" w:lineRule="auto"/>
        <w:ind w:left="0"/>
        <w:jc w:val="both"/>
        <w:rPr>
          <w:rFonts w:ascii="Palatino Linotype" w:hAnsi="Palatino Linotype" w:cs="Arial"/>
        </w:rPr>
      </w:pPr>
    </w:p>
    <w:p w14:paraId="26EBADE3" w14:textId="07931973" w:rsidR="007316FD" w:rsidRPr="002B3167" w:rsidRDefault="007316FD" w:rsidP="002B3167">
      <w:pPr>
        <w:pStyle w:val="Prrafodelista"/>
        <w:autoSpaceDE w:val="0"/>
        <w:autoSpaceDN w:val="0"/>
        <w:adjustRightInd w:val="0"/>
        <w:spacing w:line="360" w:lineRule="auto"/>
        <w:ind w:left="0"/>
        <w:jc w:val="center"/>
        <w:rPr>
          <w:rFonts w:ascii="Palatino Linotype" w:hAnsi="Palatino Linotype" w:cs="Arial"/>
        </w:rPr>
      </w:pPr>
      <w:r w:rsidRPr="002B3167">
        <w:rPr>
          <w:rFonts w:ascii="Palatino Linotype" w:hAnsi="Palatino Linotype" w:cs="Arial"/>
          <w:noProof/>
          <w:lang w:val="es-MX" w:eastAsia="es-MX"/>
        </w:rPr>
        <w:lastRenderedPageBreak/>
        <w:drawing>
          <wp:inline distT="0" distB="0" distL="0" distR="0" wp14:anchorId="314414BD" wp14:editId="475C1F95">
            <wp:extent cx="4360460" cy="3939410"/>
            <wp:effectExtent l="0" t="0" r="254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78076" cy="3955325"/>
                    </a:xfrm>
                    <a:prstGeom prst="rect">
                      <a:avLst/>
                    </a:prstGeom>
                  </pic:spPr>
                </pic:pic>
              </a:graphicData>
            </a:graphic>
          </wp:inline>
        </w:drawing>
      </w:r>
    </w:p>
    <w:p w14:paraId="3A7A99EF" w14:textId="77777777" w:rsidR="007316FD" w:rsidRPr="002B3167" w:rsidRDefault="007316FD" w:rsidP="002B3167">
      <w:pPr>
        <w:pStyle w:val="Prrafodelista"/>
        <w:autoSpaceDE w:val="0"/>
        <w:autoSpaceDN w:val="0"/>
        <w:adjustRightInd w:val="0"/>
        <w:spacing w:line="360" w:lineRule="auto"/>
        <w:ind w:left="0"/>
        <w:jc w:val="both"/>
        <w:rPr>
          <w:rFonts w:ascii="Palatino Linotype" w:hAnsi="Palatino Linotype" w:cs="Arial"/>
        </w:rPr>
      </w:pPr>
    </w:p>
    <w:p w14:paraId="0C702FB5" w14:textId="2A158C02" w:rsidR="007316FD" w:rsidRPr="002B3167" w:rsidRDefault="007316FD"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En ese mismo orden de ideas, se procedió a hacer consulta de la fracción VIII A Remuneraciones en el referido portal IPOMEX, advirtiéndose información publicada de los años 2022 y 2023, haciendo búsqueda de la información en ambos periodos, encontrando el nombre de la servidora pública referida, ostentando el cargo de Subdirectora de Personal, se insertan las imágenes siguientes como referencia:</w:t>
      </w:r>
    </w:p>
    <w:p w14:paraId="51D09BBF" w14:textId="77777777" w:rsidR="007316FD" w:rsidRPr="002B3167" w:rsidRDefault="007316FD" w:rsidP="002B3167">
      <w:pPr>
        <w:pStyle w:val="Prrafodelista"/>
        <w:autoSpaceDE w:val="0"/>
        <w:autoSpaceDN w:val="0"/>
        <w:adjustRightInd w:val="0"/>
        <w:spacing w:line="360" w:lineRule="auto"/>
        <w:ind w:left="0"/>
        <w:jc w:val="center"/>
        <w:rPr>
          <w:rFonts w:ascii="Palatino Linotype" w:hAnsi="Palatino Linotype" w:cs="Arial"/>
        </w:rPr>
      </w:pPr>
    </w:p>
    <w:p w14:paraId="41A93D53" w14:textId="37A902E4" w:rsidR="007316FD" w:rsidRPr="002B3167" w:rsidRDefault="007316FD" w:rsidP="002B3167">
      <w:pPr>
        <w:pStyle w:val="Prrafodelista"/>
        <w:autoSpaceDE w:val="0"/>
        <w:autoSpaceDN w:val="0"/>
        <w:adjustRightInd w:val="0"/>
        <w:spacing w:line="360" w:lineRule="auto"/>
        <w:ind w:left="0"/>
        <w:jc w:val="center"/>
        <w:rPr>
          <w:rFonts w:ascii="Palatino Linotype" w:hAnsi="Palatino Linotype" w:cs="Arial"/>
        </w:rPr>
      </w:pPr>
      <w:r w:rsidRPr="002B3167">
        <w:rPr>
          <w:rFonts w:ascii="Palatino Linotype" w:hAnsi="Palatino Linotype" w:cs="Arial"/>
          <w:noProof/>
          <w:lang w:val="es-MX" w:eastAsia="es-MX"/>
        </w:rPr>
        <w:lastRenderedPageBreak/>
        <w:drawing>
          <wp:inline distT="0" distB="0" distL="0" distR="0" wp14:anchorId="69E0BCF1" wp14:editId="430FD7A5">
            <wp:extent cx="3009332" cy="1910322"/>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1014" cy="1924086"/>
                    </a:xfrm>
                    <a:prstGeom prst="rect">
                      <a:avLst/>
                    </a:prstGeom>
                  </pic:spPr>
                </pic:pic>
              </a:graphicData>
            </a:graphic>
          </wp:inline>
        </w:drawing>
      </w:r>
    </w:p>
    <w:p w14:paraId="14A2795D" w14:textId="12FDEC4F" w:rsidR="007316FD" w:rsidRPr="002B3167" w:rsidRDefault="007316FD"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Año 2022</w:t>
      </w:r>
    </w:p>
    <w:p w14:paraId="3816A0F4" w14:textId="093F7663" w:rsidR="007316FD" w:rsidRPr="002B3167" w:rsidRDefault="007316FD" w:rsidP="002B3167">
      <w:pPr>
        <w:pStyle w:val="Prrafodelista"/>
        <w:autoSpaceDE w:val="0"/>
        <w:autoSpaceDN w:val="0"/>
        <w:adjustRightInd w:val="0"/>
        <w:spacing w:line="360" w:lineRule="auto"/>
        <w:ind w:left="0"/>
        <w:jc w:val="center"/>
        <w:rPr>
          <w:rFonts w:ascii="Palatino Linotype" w:hAnsi="Palatino Linotype" w:cs="Arial"/>
        </w:rPr>
      </w:pPr>
      <w:r w:rsidRPr="002B3167">
        <w:rPr>
          <w:rFonts w:ascii="Palatino Linotype" w:hAnsi="Palatino Linotype" w:cs="Arial"/>
          <w:noProof/>
          <w:lang w:val="es-MX" w:eastAsia="es-MX"/>
        </w:rPr>
        <w:drawing>
          <wp:inline distT="0" distB="0" distL="0" distR="0" wp14:anchorId="62AD6EC8" wp14:editId="3CB6AB44">
            <wp:extent cx="5760720" cy="490855"/>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90855"/>
                    </a:xfrm>
                    <a:prstGeom prst="rect">
                      <a:avLst/>
                    </a:prstGeom>
                  </pic:spPr>
                </pic:pic>
              </a:graphicData>
            </a:graphic>
          </wp:inline>
        </w:drawing>
      </w:r>
    </w:p>
    <w:p w14:paraId="46D51131" w14:textId="0C41FBF4" w:rsidR="007316FD" w:rsidRPr="002B3167" w:rsidRDefault="007316FD"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Año 2023</w:t>
      </w:r>
    </w:p>
    <w:p w14:paraId="4CC0BB41" w14:textId="27C3E714" w:rsidR="007316FD" w:rsidRPr="002B3167" w:rsidRDefault="007316FD" w:rsidP="002B3167">
      <w:pPr>
        <w:pStyle w:val="Prrafodelista"/>
        <w:autoSpaceDE w:val="0"/>
        <w:autoSpaceDN w:val="0"/>
        <w:adjustRightInd w:val="0"/>
        <w:spacing w:line="360" w:lineRule="auto"/>
        <w:ind w:left="0"/>
        <w:jc w:val="center"/>
        <w:rPr>
          <w:rFonts w:ascii="Palatino Linotype" w:hAnsi="Palatino Linotype" w:cs="Arial"/>
        </w:rPr>
      </w:pPr>
      <w:r w:rsidRPr="002B3167">
        <w:rPr>
          <w:rFonts w:ascii="Palatino Linotype" w:hAnsi="Palatino Linotype" w:cs="Arial"/>
          <w:noProof/>
          <w:lang w:val="es-MX" w:eastAsia="es-MX"/>
        </w:rPr>
        <w:drawing>
          <wp:inline distT="0" distB="0" distL="0" distR="0" wp14:anchorId="2184C2C2" wp14:editId="0A3300F9">
            <wp:extent cx="5760720" cy="400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00050"/>
                    </a:xfrm>
                    <a:prstGeom prst="rect">
                      <a:avLst/>
                    </a:prstGeom>
                  </pic:spPr>
                </pic:pic>
              </a:graphicData>
            </a:graphic>
          </wp:inline>
        </w:drawing>
      </w:r>
    </w:p>
    <w:p w14:paraId="17A8E69F" w14:textId="77777777" w:rsidR="007316FD" w:rsidRPr="002B3167" w:rsidRDefault="007316FD" w:rsidP="002B3167">
      <w:pPr>
        <w:pStyle w:val="Prrafodelista"/>
        <w:autoSpaceDE w:val="0"/>
        <w:autoSpaceDN w:val="0"/>
        <w:adjustRightInd w:val="0"/>
        <w:spacing w:line="360" w:lineRule="auto"/>
        <w:ind w:left="0"/>
        <w:jc w:val="both"/>
        <w:rPr>
          <w:rFonts w:ascii="Palatino Linotype" w:hAnsi="Palatino Linotype" w:cs="Arial"/>
        </w:rPr>
      </w:pPr>
    </w:p>
    <w:p w14:paraId="67CDF1E3" w14:textId="15F50E4A" w:rsidR="00FD6FD8" w:rsidRPr="002B3167" w:rsidRDefault="007316FD" w:rsidP="002B3167">
      <w:pPr>
        <w:pStyle w:val="Prrafodelista"/>
        <w:autoSpaceDE w:val="0"/>
        <w:autoSpaceDN w:val="0"/>
        <w:adjustRightInd w:val="0"/>
        <w:spacing w:line="360" w:lineRule="auto"/>
        <w:ind w:left="0"/>
        <w:jc w:val="both"/>
        <w:rPr>
          <w:rFonts w:ascii="Palatino Linotype" w:hAnsi="Palatino Linotype"/>
        </w:rPr>
      </w:pPr>
      <w:r w:rsidRPr="002B3167">
        <w:rPr>
          <w:rFonts w:ascii="Palatino Linotype" w:hAnsi="Palatino Linotype" w:cs="Arial"/>
        </w:rPr>
        <w:t xml:space="preserve">Con base en lo anterior, se tiene por acreditado que la servidor a pública de quien se peticiona información, ostentó el cargo de Subdirectora de Personal, </w:t>
      </w:r>
      <w:r w:rsidR="002B3167" w:rsidRPr="002B3167">
        <w:rPr>
          <w:rFonts w:ascii="Palatino Linotype" w:hAnsi="Palatino Linotype" w:cs="Arial"/>
        </w:rPr>
        <w:t>por lo que</w:t>
      </w:r>
      <w:r w:rsidRPr="002B3167">
        <w:rPr>
          <w:rFonts w:ascii="Palatino Linotype" w:hAnsi="Palatino Linotype" w:cs="Arial"/>
        </w:rPr>
        <w:t xml:space="preserve">, el </w:t>
      </w:r>
      <w:r w:rsidR="008B3844" w:rsidRPr="002B3167">
        <w:rPr>
          <w:rFonts w:ascii="Palatino Linotype" w:hAnsi="Palatino Linotype" w:cs="Arial"/>
        </w:rPr>
        <w:t xml:space="preserve">Sujeto Obligado debe contar con la información en que consté el periodo en que ocupó el cargo, consecuentemente, </w:t>
      </w:r>
      <w:r w:rsidR="00E15A9B" w:rsidRPr="002B3167">
        <w:rPr>
          <w:rFonts w:ascii="Palatino Linotype" w:hAnsi="Palatino Linotype" w:cs="Arial"/>
        </w:rPr>
        <w:t xml:space="preserve">deberá hacer búsqueda de la información desde la fecha cuando la servidora pública referida comenzó a ocupar el cargo de Subdirectora de personal hasta el veinte de junio de dos mil veintitrés. </w:t>
      </w:r>
      <w:r w:rsidR="00FD6FD8" w:rsidRPr="002B3167">
        <w:rPr>
          <w:rFonts w:ascii="Palatino Linotype" w:hAnsi="Palatino Linotype"/>
        </w:rPr>
        <w:t xml:space="preserve">Dicha precisión, con fundamento en los artículos 13 y 181 cuarto párrafo de la Ley en materia, los cuales a la letra rezan: </w:t>
      </w:r>
    </w:p>
    <w:p w14:paraId="4407A0C6" w14:textId="77777777" w:rsidR="00E15A9B" w:rsidRPr="002B3167" w:rsidRDefault="00E15A9B" w:rsidP="002B3167">
      <w:pPr>
        <w:pStyle w:val="Prrafodelista"/>
        <w:autoSpaceDE w:val="0"/>
        <w:autoSpaceDN w:val="0"/>
        <w:adjustRightInd w:val="0"/>
        <w:spacing w:line="360" w:lineRule="auto"/>
        <w:ind w:left="0"/>
        <w:jc w:val="both"/>
        <w:rPr>
          <w:rFonts w:ascii="Palatino Linotype" w:hAnsi="Palatino Linotype"/>
        </w:rPr>
      </w:pPr>
    </w:p>
    <w:p w14:paraId="62C5774A" w14:textId="77777777" w:rsidR="00FD6FD8" w:rsidRPr="002B3167" w:rsidRDefault="00FD6FD8" w:rsidP="002B3167">
      <w:pPr>
        <w:tabs>
          <w:tab w:val="left" w:pos="709"/>
        </w:tabs>
        <w:spacing w:after="0" w:line="240" w:lineRule="auto"/>
        <w:ind w:left="567" w:right="567"/>
        <w:jc w:val="both"/>
        <w:rPr>
          <w:rFonts w:ascii="Palatino Linotype" w:hAnsi="Palatino Linotype"/>
          <w:i/>
          <w:szCs w:val="24"/>
        </w:rPr>
      </w:pPr>
      <w:r w:rsidRPr="002B3167">
        <w:rPr>
          <w:rFonts w:ascii="Palatino Linotype" w:hAnsi="Palatino Linotype"/>
          <w:b/>
          <w:bCs/>
          <w:i/>
          <w:szCs w:val="24"/>
        </w:rPr>
        <w:t xml:space="preserve">“Artículo 13. </w:t>
      </w:r>
      <w:r w:rsidRPr="002B3167">
        <w:rPr>
          <w:rFonts w:ascii="Palatino Linotype" w:hAnsi="Palatino Linotype"/>
          <w:i/>
          <w:szCs w:val="24"/>
        </w:rPr>
        <w:t>El Instituto, en el ámbito de sus atribuciones, deberá suplir cualquier deficiencia para garantizar el ejercicio del derecho de acceso a la información.</w:t>
      </w:r>
    </w:p>
    <w:p w14:paraId="4C7E4C51" w14:textId="77777777" w:rsidR="00FD6FD8" w:rsidRPr="002B3167" w:rsidRDefault="00FD6FD8" w:rsidP="002B3167">
      <w:pPr>
        <w:tabs>
          <w:tab w:val="left" w:pos="709"/>
        </w:tabs>
        <w:spacing w:after="0" w:line="240" w:lineRule="auto"/>
        <w:ind w:left="567" w:right="567"/>
        <w:jc w:val="both"/>
        <w:rPr>
          <w:rFonts w:ascii="Palatino Linotype" w:hAnsi="Palatino Linotype"/>
          <w:b/>
          <w:i/>
          <w:szCs w:val="24"/>
        </w:rPr>
      </w:pPr>
      <w:r w:rsidRPr="002B3167">
        <w:rPr>
          <w:rFonts w:ascii="Palatino Linotype" w:hAnsi="Palatino Linotype"/>
          <w:b/>
          <w:i/>
          <w:szCs w:val="24"/>
        </w:rPr>
        <w:lastRenderedPageBreak/>
        <w:t xml:space="preserve">Artículo 181. … </w:t>
      </w:r>
    </w:p>
    <w:p w14:paraId="244291A0" w14:textId="77777777" w:rsidR="00FD6FD8" w:rsidRPr="002B3167" w:rsidRDefault="00FD6FD8" w:rsidP="002B3167">
      <w:pPr>
        <w:tabs>
          <w:tab w:val="left" w:pos="709"/>
        </w:tabs>
        <w:spacing w:after="0" w:line="240" w:lineRule="auto"/>
        <w:ind w:left="567" w:right="567"/>
        <w:jc w:val="both"/>
        <w:rPr>
          <w:rFonts w:ascii="Palatino Linotype" w:hAnsi="Palatino Linotype"/>
          <w:b/>
          <w:i/>
          <w:szCs w:val="24"/>
        </w:rPr>
      </w:pPr>
      <w:r w:rsidRPr="002B3167">
        <w:rPr>
          <w:rFonts w:ascii="Palatino Linotype" w:hAnsi="Palatino Linotype"/>
          <w:i/>
          <w:szCs w:val="24"/>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2B3167">
        <w:rPr>
          <w:rFonts w:ascii="Palatino Linotype" w:hAnsi="Palatino Linotype"/>
          <w:b/>
          <w:i/>
          <w:szCs w:val="24"/>
        </w:rPr>
        <w:t>[Sic]</w:t>
      </w:r>
    </w:p>
    <w:p w14:paraId="581DD46D" w14:textId="77777777" w:rsidR="00B622D7" w:rsidRPr="002B3167" w:rsidRDefault="00B622D7" w:rsidP="002B3167">
      <w:pPr>
        <w:spacing w:after="0" w:line="360" w:lineRule="auto"/>
        <w:ind w:right="72"/>
        <w:jc w:val="both"/>
        <w:rPr>
          <w:rFonts w:ascii="Palatino Linotype" w:eastAsia="Times New Roman" w:hAnsi="Palatino Linotype" w:cs="Arial"/>
          <w:sz w:val="24"/>
          <w:szCs w:val="24"/>
          <w:lang w:val="es-ES" w:eastAsia="es-ES"/>
        </w:rPr>
      </w:pPr>
    </w:p>
    <w:p w14:paraId="5C5CEB0B" w14:textId="7E73D5E6" w:rsidR="00BB4C07" w:rsidRPr="002B3167" w:rsidRDefault="00BB4C07" w:rsidP="002B3167">
      <w:pPr>
        <w:spacing w:after="0" w:line="360" w:lineRule="auto"/>
        <w:ind w:right="72"/>
        <w:jc w:val="both"/>
        <w:rPr>
          <w:rFonts w:ascii="Palatino Linotype" w:hAnsi="Palatino Linotype" w:cs="Arial"/>
          <w:sz w:val="24"/>
          <w:szCs w:val="24"/>
        </w:rPr>
      </w:pPr>
      <w:r w:rsidRPr="002B3167">
        <w:rPr>
          <w:rFonts w:ascii="Palatino Linotype" w:eastAsia="Times New Roman" w:hAnsi="Palatino Linotype" w:cs="Arial"/>
          <w:sz w:val="24"/>
          <w:szCs w:val="24"/>
          <w:lang w:val="es-ES" w:eastAsia="es-ES"/>
        </w:rPr>
        <w:t xml:space="preserve">Bajo estas líneas argumentativas, </w:t>
      </w:r>
      <w:r w:rsidRPr="002B3167">
        <w:rPr>
          <w:rFonts w:ascii="Palatino Linotype" w:hAnsi="Palatino Linotype" w:cs="Arial"/>
          <w:sz w:val="24"/>
          <w:szCs w:val="24"/>
        </w:rPr>
        <w:t xml:space="preserve">al retomar y delimitar el requerimiento </w:t>
      </w:r>
      <w:r w:rsidR="00FD6FD8" w:rsidRPr="002B3167">
        <w:rPr>
          <w:rFonts w:ascii="Palatino Linotype" w:hAnsi="Palatino Linotype" w:cs="Arial"/>
          <w:sz w:val="24"/>
          <w:szCs w:val="24"/>
        </w:rPr>
        <w:t>del</w:t>
      </w:r>
      <w:r w:rsidRPr="002B3167">
        <w:rPr>
          <w:rFonts w:ascii="Palatino Linotype" w:hAnsi="Palatino Linotype" w:cs="Arial"/>
          <w:sz w:val="24"/>
          <w:szCs w:val="24"/>
        </w:rPr>
        <w:t xml:space="preserve"> ahora </w:t>
      </w:r>
      <w:r w:rsidRPr="002B3167">
        <w:rPr>
          <w:rFonts w:ascii="Palatino Linotype" w:hAnsi="Palatino Linotype" w:cs="Arial"/>
          <w:b/>
          <w:sz w:val="24"/>
          <w:szCs w:val="24"/>
        </w:rPr>
        <w:t xml:space="preserve">Recurrente, </w:t>
      </w:r>
      <w:r w:rsidRPr="002B3167">
        <w:rPr>
          <w:rFonts w:ascii="Palatino Linotype" w:hAnsi="Palatino Linotype" w:cs="Arial"/>
          <w:sz w:val="24"/>
          <w:szCs w:val="24"/>
        </w:rPr>
        <w:t xml:space="preserve">de manera objetiva se precisa que versa en conocer la siguiente información: </w:t>
      </w:r>
    </w:p>
    <w:p w14:paraId="23808308" w14:textId="77777777" w:rsidR="00E15A9B" w:rsidRPr="002B3167" w:rsidRDefault="00E15A9B" w:rsidP="002B3167">
      <w:pPr>
        <w:spacing w:after="0" w:line="360" w:lineRule="auto"/>
        <w:ind w:right="72"/>
        <w:jc w:val="both"/>
        <w:rPr>
          <w:rFonts w:ascii="Palatino Linotype" w:hAnsi="Palatino Linotype" w:cs="Arial"/>
          <w:sz w:val="24"/>
          <w:szCs w:val="24"/>
        </w:rPr>
      </w:pPr>
    </w:p>
    <w:p w14:paraId="1D43DE89" w14:textId="17D65B3F" w:rsidR="00BB4C07" w:rsidRPr="002B3167" w:rsidRDefault="002F0136" w:rsidP="002B3167">
      <w:pPr>
        <w:pStyle w:val="Prrafodelista"/>
        <w:numPr>
          <w:ilvl w:val="0"/>
          <w:numId w:val="1"/>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 xml:space="preserve">Las altas de los nuevos servidores públicos que han ingresado desde que </w:t>
      </w:r>
      <w:proofErr w:type="spellStart"/>
      <w:r w:rsidRPr="002B3167">
        <w:rPr>
          <w:rFonts w:ascii="Palatino Linotype" w:hAnsi="Palatino Linotype" w:cs="Arial"/>
        </w:rPr>
        <w:t>esta</w:t>
      </w:r>
      <w:proofErr w:type="spellEnd"/>
      <w:r w:rsidRPr="002B3167">
        <w:rPr>
          <w:rFonts w:ascii="Palatino Linotype" w:hAnsi="Palatino Linotype" w:cs="Arial"/>
        </w:rPr>
        <w:t xml:space="preserve"> en la Subdirección de Personal la Lic. Lizet Rebollar Montes de Oca;</w:t>
      </w:r>
    </w:p>
    <w:p w14:paraId="15774CB1" w14:textId="71B74E07" w:rsidR="002F0136" w:rsidRPr="002B3167" w:rsidRDefault="002F0136" w:rsidP="002B3167">
      <w:pPr>
        <w:pStyle w:val="Prrafodelista"/>
        <w:numPr>
          <w:ilvl w:val="0"/>
          <w:numId w:val="1"/>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a quien quito por ponerlos;</w:t>
      </w:r>
    </w:p>
    <w:p w14:paraId="20395124" w14:textId="67E5EF56" w:rsidR="002F0136" w:rsidRPr="002B3167" w:rsidRDefault="002F0136" w:rsidP="002B3167">
      <w:pPr>
        <w:pStyle w:val="Prrafodelista"/>
        <w:numPr>
          <w:ilvl w:val="0"/>
          <w:numId w:val="1"/>
        </w:numPr>
        <w:autoSpaceDE w:val="0"/>
        <w:autoSpaceDN w:val="0"/>
        <w:adjustRightInd w:val="0"/>
        <w:spacing w:line="360" w:lineRule="auto"/>
        <w:jc w:val="both"/>
        <w:rPr>
          <w:rFonts w:ascii="Palatino Linotype" w:hAnsi="Palatino Linotype" w:cs="Arial"/>
        </w:rPr>
      </w:pPr>
      <w:proofErr w:type="spellStart"/>
      <w:r w:rsidRPr="002B3167">
        <w:rPr>
          <w:rFonts w:ascii="Palatino Linotype" w:hAnsi="Palatino Linotype" w:cs="Arial"/>
        </w:rPr>
        <w:t>cuanto</w:t>
      </w:r>
      <w:proofErr w:type="spellEnd"/>
      <w:r w:rsidRPr="002B3167">
        <w:rPr>
          <w:rFonts w:ascii="Palatino Linotype" w:hAnsi="Palatino Linotype" w:cs="Arial"/>
        </w:rPr>
        <w:t xml:space="preserve"> ganan;</w:t>
      </w:r>
    </w:p>
    <w:p w14:paraId="7B1BAC8D" w14:textId="3E954B6F" w:rsidR="002F0136" w:rsidRPr="002B3167" w:rsidRDefault="002F0136" w:rsidP="002B3167">
      <w:pPr>
        <w:pStyle w:val="Prrafodelista"/>
        <w:numPr>
          <w:ilvl w:val="0"/>
          <w:numId w:val="1"/>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si han tenido actas administrativas;</w:t>
      </w:r>
    </w:p>
    <w:p w14:paraId="007BAFEE" w14:textId="6E350D34" w:rsidR="002F0136" w:rsidRPr="002B3167" w:rsidRDefault="002F0136" w:rsidP="002B3167">
      <w:pPr>
        <w:pStyle w:val="Prrafodelista"/>
        <w:numPr>
          <w:ilvl w:val="0"/>
          <w:numId w:val="1"/>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actividades diarias;</w:t>
      </w:r>
    </w:p>
    <w:p w14:paraId="04487A22" w14:textId="7D9D1EAD" w:rsidR="002F0136" w:rsidRPr="002B3167" w:rsidRDefault="002F0136" w:rsidP="002B3167">
      <w:pPr>
        <w:pStyle w:val="Prrafodelista"/>
        <w:numPr>
          <w:ilvl w:val="0"/>
          <w:numId w:val="1"/>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 xml:space="preserve">récord de asistencia al hospital; y </w:t>
      </w:r>
    </w:p>
    <w:p w14:paraId="4EDC89BE" w14:textId="1362E612" w:rsidR="002F0136" w:rsidRPr="002B3167" w:rsidRDefault="002F0136" w:rsidP="002B3167">
      <w:pPr>
        <w:pStyle w:val="Prrafodelista"/>
        <w:numPr>
          <w:ilvl w:val="0"/>
          <w:numId w:val="1"/>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 xml:space="preserve">Si han faltado integrar el </w:t>
      </w:r>
      <w:proofErr w:type="spellStart"/>
      <w:r w:rsidRPr="002B3167">
        <w:rPr>
          <w:rFonts w:ascii="Palatino Linotype" w:hAnsi="Palatino Linotype" w:cs="Arial"/>
        </w:rPr>
        <w:t>por que</w:t>
      </w:r>
      <w:proofErr w:type="spellEnd"/>
      <w:r w:rsidRPr="002B3167">
        <w:rPr>
          <w:rFonts w:ascii="Palatino Linotype" w:hAnsi="Palatino Linotype" w:cs="Arial"/>
        </w:rPr>
        <w:t xml:space="preserve"> con documentos que acrediten la falta.</w:t>
      </w:r>
    </w:p>
    <w:p w14:paraId="0B6A67BB" w14:textId="77777777" w:rsidR="00BB73B9" w:rsidRPr="002B3167" w:rsidRDefault="00BB73B9" w:rsidP="002B3167">
      <w:pPr>
        <w:autoSpaceDE w:val="0"/>
        <w:autoSpaceDN w:val="0"/>
        <w:adjustRightInd w:val="0"/>
        <w:spacing w:after="0" w:line="360" w:lineRule="auto"/>
        <w:jc w:val="both"/>
        <w:rPr>
          <w:rFonts w:ascii="Palatino Linotype" w:hAnsi="Palatino Linotype" w:cs="Arial"/>
          <w:sz w:val="24"/>
          <w:szCs w:val="24"/>
        </w:rPr>
      </w:pPr>
    </w:p>
    <w:p w14:paraId="3E837F7B" w14:textId="77777777" w:rsidR="00BB73B9" w:rsidRPr="002B3167" w:rsidRDefault="00BB73B9" w:rsidP="002B3167">
      <w:pPr>
        <w:pStyle w:val="Prrafodelista"/>
        <w:autoSpaceDE w:val="0"/>
        <w:autoSpaceDN w:val="0"/>
        <w:adjustRightInd w:val="0"/>
        <w:spacing w:line="360" w:lineRule="auto"/>
        <w:ind w:left="0"/>
        <w:jc w:val="both"/>
        <w:rPr>
          <w:rFonts w:ascii="Palatino Linotype" w:hAnsi="Palatino Linotype"/>
        </w:rPr>
      </w:pPr>
      <w:r w:rsidRPr="002B3167">
        <w:rPr>
          <w:rFonts w:ascii="Palatino Linotype" w:hAnsi="Palatino Linotype"/>
        </w:rPr>
        <w:t xml:space="preserve">Por ende, para su mejor entendimiento se esbozan las directrices generales de la facultad de aclaración, en contraste con los términos en los que dicha atribución fue ejercida por </w:t>
      </w:r>
      <w:r w:rsidRPr="002B3167">
        <w:rPr>
          <w:rFonts w:ascii="Palatino Linotype" w:hAnsi="Palatino Linotype"/>
          <w:b/>
        </w:rPr>
        <w:t xml:space="preserve">El Sujeto Obligado, </w:t>
      </w:r>
      <w:r w:rsidRPr="002B3167">
        <w:rPr>
          <w:rFonts w:ascii="Palatino Linotype" w:hAnsi="Palatino Linotype"/>
        </w:rPr>
        <w:t>tal y como se muestra a continuación:</w:t>
      </w:r>
    </w:p>
    <w:p w14:paraId="55BE69B9" w14:textId="77777777" w:rsidR="00BB73B9" w:rsidRPr="002B3167" w:rsidRDefault="00BB73B9" w:rsidP="002B3167">
      <w:pPr>
        <w:pStyle w:val="Prrafodelista"/>
        <w:autoSpaceDE w:val="0"/>
        <w:autoSpaceDN w:val="0"/>
        <w:adjustRightInd w:val="0"/>
        <w:spacing w:line="360" w:lineRule="auto"/>
        <w:ind w:left="0"/>
        <w:jc w:val="both"/>
        <w:rPr>
          <w:rFonts w:ascii="Palatino Linotype" w:hAnsi="Palatino Linotype"/>
        </w:rPr>
      </w:pPr>
    </w:p>
    <w:p w14:paraId="04EAC876" w14:textId="77777777" w:rsidR="00BB73B9" w:rsidRPr="002B3167" w:rsidRDefault="00BB73B9" w:rsidP="002B3167">
      <w:pPr>
        <w:pStyle w:val="Prrafodelista"/>
        <w:autoSpaceDE w:val="0"/>
        <w:autoSpaceDN w:val="0"/>
        <w:adjustRightInd w:val="0"/>
        <w:spacing w:line="360" w:lineRule="auto"/>
        <w:ind w:left="0"/>
        <w:jc w:val="both"/>
        <w:rPr>
          <w:rFonts w:ascii="Palatino Linotype" w:hAnsi="Palatino Linotype"/>
        </w:rPr>
      </w:pPr>
    </w:p>
    <w:p w14:paraId="3E18F9B6" w14:textId="77777777" w:rsidR="00BB73B9" w:rsidRPr="002B3167" w:rsidRDefault="00BB73B9" w:rsidP="002B3167">
      <w:pPr>
        <w:autoSpaceDE w:val="0"/>
        <w:autoSpaceDN w:val="0"/>
        <w:adjustRightInd w:val="0"/>
        <w:spacing w:after="0" w:line="360" w:lineRule="auto"/>
        <w:jc w:val="both"/>
        <w:rPr>
          <w:rFonts w:ascii="Palatino Linotype" w:hAnsi="Palatino Linotype"/>
          <w:sz w:val="24"/>
          <w:szCs w:val="24"/>
          <w:lang w:val="es-ES"/>
        </w:rPr>
      </w:pP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59"/>
        <w:gridCol w:w="3859"/>
      </w:tblGrid>
      <w:tr w:rsidR="00BB73B9" w:rsidRPr="002B3167" w14:paraId="6719A24D" w14:textId="77777777" w:rsidTr="00BB73B9">
        <w:trPr>
          <w:trHeight w:val="952"/>
          <w:jc w:val="center"/>
        </w:trPr>
        <w:tc>
          <w:tcPr>
            <w:tcW w:w="3859" w:type="dxa"/>
            <w:tcBorders>
              <w:right w:val="single" w:sz="12" w:space="0" w:color="FFFFFF" w:themeColor="background1"/>
            </w:tcBorders>
            <w:shd w:val="clear" w:color="auto" w:fill="000000" w:themeFill="text1"/>
            <w:vAlign w:val="center"/>
          </w:tcPr>
          <w:p w14:paraId="5F308059" w14:textId="77777777" w:rsidR="00BB73B9" w:rsidRPr="002B3167" w:rsidRDefault="00BB73B9" w:rsidP="002B3167">
            <w:pPr>
              <w:autoSpaceDE w:val="0"/>
              <w:autoSpaceDN w:val="0"/>
              <w:adjustRightInd w:val="0"/>
              <w:spacing w:line="360" w:lineRule="auto"/>
              <w:jc w:val="center"/>
              <w:rPr>
                <w:rFonts w:ascii="Palatino Linotype" w:hAnsi="Palatino Linotype"/>
                <w:szCs w:val="24"/>
                <w:lang w:val="es-ES"/>
              </w:rPr>
            </w:pPr>
            <w:r w:rsidRPr="002B3167">
              <w:rPr>
                <w:rFonts w:ascii="Palatino Linotype" w:hAnsi="Palatino Linotype"/>
                <w:szCs w:val="24"/>
                <w:lang w:val="es-ES"/>
              </w:rPr>
              <w:lastRenderedPageBreak/>
              <w:t>Facultad de aclaración en términos abstractos</w:t>
            </w:r>
          </w:p>
        </w:tc>
        <w:tc>
          <w:tcPr>
            <w:tcW w:w="3859" w:type="dxa"/>
            <w:tcBorders>
              <w:left w:val="single" w:sz="12" w:space="0" w:color="FFFFFF" w:themeColor="background1"/>
            </w:tcBorders>
            <w:shd w:val="clear" w:color="auto" w:fill="000000" w:themeFill="text1"/>
            <w:vAlign w:val="center"/>
          </w:tcPr>
          <w:p w14:paraId="62B8D03D" w14:textId="77777777" w:rsidR="00BB73B9" w:rsidRPr="002B3167" w:rsidRDefault="00BB73B9" w:rsidP="002B3167">
            <w:pPr>
              <w:autoSpaceDE w:val="0"/>
              <w:autoSpaceDN w:val="0"/>
              <w:adjustRightInd w:val="0"/>
              <w:spacing w:line="360" w:lineRule="auto"/>
              <w:jc w:val="center"/>
              <w:rPr>
                <w:rFonts w:ascii="Palatino Linotype" w:hAnsi="Palatino Linotype"/>
                <w:b/>
                <w:szCs w:val="24"/>
                <w:lang w:val="es-ES"/>
              </w:rPr>
            </w:pPr>
            <w:r w:rsidRPr="002B3167">
              <w:rPr>
                <w:rFonts w:ascii="Palatino Linotype" w:hAnsi="Palatino Linotype"/>
                <w:szCs w:val="24"/>
                <w:lang w:val="es-ES"/>
              </w:rPr>
              <w:t xml:space="preserve">Aclaración a la solicitud de información </w:t>
            </w:r>
            <w:r w:rsidRPr="002B3167">
              <w:rPr>
                <w:rFonts w:ascii="Palatino Linotype" w:hAnsi="Palatino Linotype"/>
                <w:b/>
                <w:szCs w:val="24"/>
                <w:lang w:val="es-ES"/>
              </w:rPr>
              <w:t>00109/HRZUM/IP/2023</w:t>
            </w:r>
          </w:p>
        </w:tc>
      </w:tr>
      <w:tr w:rsidR="00BB73B9" w:rsidRPr="002B3167" w14:paraId="513BB5C1" w14:textId="77777777" w:rsidTr="00BB73B9">
        <w:trPr>
          <w:trHeight w:val="6120"/>
          <w:jc w:val="center"/>
        </w:trPr>
        <w:tc>
          <w:tcPr>
            <w:tcW w:w="3859" w:type="dxa"/>
            <w:vAlign w:val="center"/>
          </w:tcPr>
          <w:p w14:paraId="5D7464A0" w14:textId="77777777" w:rsidR="00BB73B9" w:rsidRPr="002B3167" w:rsidRDefault="00BB73B9" w:rsidP="002B3167">
            <w:pPr>
              <w:autoSpaceDE w:val="0"/>
              <w:autoSpaceDN w:val="0"/>
              <w:adjustRightInd w:val="0"/>
              <w:jc w:val="both"/>
              <w:rPr>
                <w:rFonts w:ascii="Palatino Linotype" w:hAnsi="Palatino Linotype"/>
                <w:szCs w:val="24"/>
              </w:rPr>
            </w:pPr>
            <w:r w:rsidRPr="002B3167">
              <w:rPr>
                <w:rFonts w:ascii="Palatino Linotype" w:hAnsi="Palatino Linotype"/>
                <w:szCs w:val="24"/>
              </w:rPr>
              <w:t>Se podrá requerir a los particulares:</w:t>
            </w:r>
          </w:p>
          <w:p w14:paraId="5545233E" w14:textId="77777777" w:rsidR="00BB73B9" w:rsidRPr="002B3167" w:rsidRDefault="00BB73B9" w:rsidP="002B3167">
            <w:pPr>
              <w:autoSpaceDE w:val="0"/>
              <w:autoSpaceDN w:val="0"/>
              <w:adjustRightInd w:val="0"/>
              <w:jc w:val="both"/>
              <w:rPr>
                <w:rFonts w:ascii="Palatino Linotype" w:hAnsi="Palatino Linotype"/>
                <w:szCs w:val="24"/>
              </w:rPr>
            </w:pPr>
          </w:p>
          <w:p w14:paraId="5865E88C" w14:textId="77777777" w:rsidR="00BB73B9" w:rsidRPr="002B3167" w:rsidRDefault="00BB73B9" w:rsidP="002B3167">
            <w:pPr>
              <w:pStyle w:val="Prrafodelista"/>
              <w:numPr>
                <w:ilvl w:val="0"/>
                <w:numId w:val="17"/>
              </w:numPr>
              <w:autoSpaceDE w:val="0"/>
              <w:autoSpaceDN w:val="0"/>
              <w:adjustRightInd w:val="0"/>
              <w:jc w:val="both"/>
              <w:rPr>
                <w:rFonts w:ascii="Palatino Linotype" w:hAnsi="Palatino Linotype"/>
                <w:sz w:val="22"/>
              </w:rPr>
            </w:pPr>
            <w:r w:rsidRPr="002B3167">
              <w:rPr>
                <w:rFonts w:ascii="Palatino Linotype" w:hAnsi="Palatino Linotype"/>
                <w:sz w:val="22"/>
              </w:rPr>
              <w:t>Hacer comprensibles los requerimientos ambiguos</w:t>
            </w:r>
          </w:p>
          <w:p w14:paraId="589739B2" w14:textId="77777777" w:rsidR="00BB73B9" w:rsidRPr="002B3167" w:rsidRDefault="00BB73B9" w:rsidP="002B3167">
            <w:pPr>
              <w:pStyle w:val="Prrafodelista"/>
              <w:autoSpaceDE w:val="0"/>
              <w:autoSpaceDN w:val="0"/>
              <w:adjustRightInd w:val="0"/>
              <w:ind w:left="720"/>
              <w:jc w:val="both"/>
              <w:rPr>
                <w:rFonts w:ascii="Palatino Linotype" w:hAnsi="Palatino Linotype"/>
                <w:sz w:val="22"/>
              </w:rPr>
            </w:pPr>
          </w:p>
          <w:p w14:paraId="3C8D3EA7" w14:textId="77777777" w:rsidR="00BB73B9" w:rsidRPr="002B3167" w:rsidRDefault="00BB73B9" w:rsidP="002B3167">
            <w:pPr>
              <w:pStyle w:val="Prrafodelista"/>
              <w:numPr>
                <w:ilvl w:val="0"/>
                <w:numId w:val="17"/>
              </w:numPr>
              <w:autoSpaceDE w:val="0"/>
              <w:autoSpaceDN w:val="0"/>
              <w:adjustRightInd w:val="0"/>
              <w:jc w:val="both"/>
              <w:rPr>
                <w:rFonts w:ascii="Palatino Linotype" w:hAnsi="Palatino Linotype"/>
                <w:sz w:val="22"/>
              </w:rPr>
            </w:pPr>
            <w:r w:rsidRPr="002B3167">
              <w:rPr>
                <w:rFonts w:ascii="Palatino Linotype" w:hAnsi="Palatino Linotype"/>
                <w:sz w:val="22"/>
              </w:rPr>
              <w:t>Rectificar las solicitudes contradictorias</w:t>
            </w:r>
          </w:p>
          <w:p w14:paraId="11A9501B" w14:textId="77777777" w:rsidR="00BB73B9" w:rsidRPr="002B3167" w:rsidRDefault="00BB73B9" w:rsidP="002B3167">
            <w:pPr>
              <w:pStyle w:val="Prrafodelista"/>
              <w:rPr>
                <w:rFonts w:ascii="Palatino Linotype" w:hAnsi="Palatino Linotype"/>
                <w:sz w:val="22"/>
              </w:rPr>
            </w:pPr>
          </w:p>
          <w:p w14:paraId="2772E192" w14:textId="77777777" w:rsidR="00BB73B9" w:rsidRPr="002B3167" w:rsidRDefault="00BB73B9" w:rsidP="002B3167">
            <w:pPr>
              <w:pStyle w:val="Prrafodelista"/>
              <w:numPr>
                <w:ilvl w:val="0"/>
                <w:numId w:val="17"/>
              </w:numPr>
              <w:autoSpaceDE w:val="0"/>
              <w:autoSpaceDN w:val="0"/>
              <w:adjustRightInd w:val="0"/>
              <w:jc w:val="both"/>
              <w:rPr>
                <w:rFonts w:ascii="Palatino Linotype" w:hAnsi="Palatino Linotype"/>
                <w:sz w:val="22"/>
              </w:rPr>
            </w:pPr>
            <w:r w:rsidRPr="002B3167">
              <w:rPr>
                <w:rFonts w:ascii="Palatino Linotype" w:hAnsi="Palatino Linotype"/>
                <w:sz w:val="22"/>
              </w:rPr>
              <w:t>Explicar los conceptos oscuros</w:t>
            </w:r>
          </w:p>
          <w:p w14:paraId="7D4455A2" w14:textId="77777777" w:rsidR="00BB73B9" w:rsidRPr="002B3167" w:rsidRDefault="00BB73B9" w:rsidP="002B3167">
            <w:pPr>
              <w:pStyle w:val="Prrafodelista"/>
              <w:rPr>
                <w:rFonts w:ascii="Palatino Linotype" w:hAnsi="Palatino Linotype"/>
                <w:sz w:val="22"/>
              </w:rPr>
            </w:pPr>
          </w:p>
          <w:p w14:paraId="41961F83" w14:textId="77777777" w:rsidR="00BB73B9" w:rsidRPr="002B3167" w:rsidRDefault="00BB73B9" w:rsidP="002B3167">
            <w:pPr>
              <w:pStyle w:val="Prrafodelista"/>
              <w:numPr>
                <w:ilvl w:val="0"/>
                <w:numId w:val="17"/>
              </w:numPr>
              <w:autoSpaceDE w:val="0"/>
              <w:autoSpaceDN w:val="0"/>
              <w:adjustRightInd w:val="0"/>
              <w:jc w:val="both"/>
              <w:rPr>
                <w:rFonts w:ascii="Palatino Linotype" w:hAnsi="Palatino Linotype"/>
                <w:sz w:val="22"/>
              </w:rPr>
            </w:pPr>
            <w:r w:rsidRPr="002B3167">
              <w:rPr>
                <w:rFonts w:ascii="Palatino Linotype" w:hAnsi="Palatino Linotype"/>
                <w:sz w:val="22"/>
              </w:rPr>
              <w:t>Complementar, corregir o ampliar los datos proporcionados</w:t>
            </w:r>
          </w:p>
          <w:p w14:paraId="3743C194" w14:textId="77777777" w:rsidR="00BB73B9" w:rsidRPr="002B3167" w:rsidRDefault="00BB73B9" w:rsidP="002B3167">
            <w:pPr>
              <w:pStyle w:val="Prrafodelista"/>
              <w:rPr>
                <w:rFonts w:ascii="Palatino Linotype" w:hAnsi="Palatino Linotype"/>
                <w:sz w:val="22"/>
              </w:rPr>
            </w:pPr>
          </w:p>
          <w:p w14:paraId="3D660E34" w14:textId="77777777" w:rsidR="00BB73B9" w:rsidRPr="002B3167" w:rsidRDefault="00BB73B9" w:rsidP="002B3167">
            <w:pPr>
              <w:pStyle w:val="Prrafodelista"/>
              <w:numPr>
                <w:ilvl w:val="0"/>
                <w:numId w:val="17"/>
              </w:numPr>
              <w:autoSpaceDE w:val="0"/>
              <w:autoSpaceDN w:val="0"/>
              <w:adjustRightInd w:val="0"/>
              <w:jc w:val="both"/>
              <w:rPr>
                <w:rFonts w:ascii="Palatino Linotype" w:hAnsi="Palatino Linotype"/>
                <w:sz w:val="22"/>
              </w:rPr>
            </w:pPr>
            <w:r w:rsidRPr="002B3167">
              <w:rPr>
                <w:rFonts w:ascii="Palatino Linotype" w:hAnsi="Palatino Linotype"/>
                <w:sz w:val="22"/>
              </w:rPr>
              <w:t>Precisar uno o varios requerimientos de información</w:t>
            </w:r>
          </w:p>
          <w:p w14:paraId="0F3BA6A7" w14:textId="77777777" w:rsidR="00BB73B9" w:rsidRPr="002B3167" w:rsidRDefault="00BB73B9" w:rsidP="002B3167">
            <w:pPr>
              <w:pStyle w:val="Prrafodelista"/>
              <w:rPr>
                <w:rFonts w:ascii="Palatino Linotype" w:hAnsi="Palatino Linotype"/>
                <w:sz w:val="22"/>
              </w:rPr>
            </w:pPr>
          </w:p>
          <w:p w14:paraId="7E750C43" w14:textId="77777777" w:rsidR="00BB73B9" w:rsidRPr="002B3167" w:rsidRDefault="00BB73B9" w:rsidP="002B3167">
            <w:pPr>
              <w:pStyle w:val="Prrafodelista"/>
              <w:numPr>
                <w:ilvl w:val="0"/>
                <w:numId w:val="17"/>
              </w:numPr>
              <w:autoSpaceDE w:val="0"/>
              <w:autoSpaceDN w:val="0"/>
              <w:adjustRightInd w:val="0"/>
              <w:jc w:val="both"/>
              <w:rPr>
                <w:rFonts w:ascii="Palatino Linotype" w:hAnsi="Palatino Linotype"/>
                <w:sz w:val="22"/>
              </w:rPr>
            </w:pPr>
            <w:r w:rsidRPr="002B3167">
              <w:rPr>
                <w:rFonts w:ascii="Palatino Linotype" w:hAnsi="Palatino Linotype"/>
                <w:sz w:val="22"/>
              </w:rPr>
              <w:t xml:space="preserve">Subsanar omisiones y corregir errores o defectos. </w:t>
            </w:r>
          </w:p>
        </w:tc>
        <w:tc>
          <w:tcPr>
            <w:tcW w:w="3859" w:type="dxa"/>
            <w:vAlign w:val="center"/>
          </w:tcPr>
          <w:p w14:paraId="3D0A5A6C" w14:textId="51A05C76" w:rsidR="00BB73B9" w:rsidRPr="002B3167" w:rsidRDefault="00BB73B9" w:rsidP="002B3167">
            <w:pPr>
              <w:autoSpaceDE w:val="0"/>
              <w:autoSpaceDN w:val="0"/>
              <w:adjustRightInd w:val="0"/>
              <w:spacing w:line="360" w:lineRule="auto"/>
              <w:jc w:val="both"/>
              <w:rPr>
                <w:rFonts w:ascii="Palatino Linotype" w:hAnsi="Palatino Linotype"/>
                <w:i/>
              </w:rPr>
            </w:pPr>
            <w:r w:rsidRPr="002B3167">
              <w:rPr>
                <w:rFonts w:ascii="Palatino Linotype" w:hAnsi="Palatino Linotype"/>
                <w:i/>
              </w:rPr>
              <w:t xml:space="preserve">“…se requiere al solicitante aclare de manera precisa la información requerida, toda vez que la misma resulta ser de apreciación subjetiva y no atiende meramente un </w:t>
            </w:r>
            <w:proofErr w:type="spellStart"/>
            <w:r w:rsidRPr="002B3167">
              <w:rPr>
                <w:rFonts w:ascii="Palatino Linotype" w:hAnsi="Palatino Linotype"/>
                <w:i/>
              </w:rPr>
              <w:t>tramite</w:t>
            </w:r>
            <w:proofErr w:type="spellEnd"/>
            <w:r w:rsidRPr="002B3167">
              <w:rPr>
                <w:rFonts w:ascii="Palatino Linotype" w:hAnsi="Palatino Linotype"/>
                <w:i/>
              </w:rPr>
              <w:t xml:space="preserve"> de transparencia." (sic)</w:t>
            </w:r>
          </w:p>
        </w:tc>
      </w:tr>
    </w:tbl>
    <w:p w14:paraId="7AB882C1" w14:textId="77777777" w:rsidR="00BB73B9" w:rsidRPr="002B3167" w:rsidRDefault="00BB73B9" w:rsidP="002B3167">
      <w:pPr>
        <w:autoSpaceDE w:val="0"/>
        <w:autoSpaceDN w:val="0"/>
        <w:adjustRightInd w:val="0"/>
        <w:spacing w:after="0" w:line="360" w:lineRule="auto"/>
        <w:jc w:val="both"/>
        <w:rPr>
          <w:rFonts w:ascii="Palatino Linotype" w:hAnsi="Palatino Linotype" w:cs="Arial"/>
          <w:sz w:val="24"/>
          <w:szCs w:val="24"/>
        </w:rPr>
      </w:pPr>
    </w:p>
    <w:p w14:paraId="137D178F" w14:textId="77777777" w:rsidR="00BB73B9" w:rsidRPr="002B3167" w:rsidRDefault="00BB73B9"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t xml:space="preserve">Luego entonces, si bien es cierto que la solicitud de aclaración formulada por el </w:t>
      </w:r>
      <w:r w:rsidRPr="002B3167">
        <w:rPr>
          <w:rFonts w:ascii="Palatino Linotype" w:hAnsi="Palatino Linotype" w:cs="Arial"/>
          <w:b/>
          <w:sz w:val="24"/>
          <w:szCs w:val="24"/>
        </w:rPr>
        <w:t>Sujeto Obligado</w:t>
      </w:r>
      <w:r w:rsidRPr="002B3167">
        <w:rPr>
          <w:rFonts w:ascii="Palatino Linotype" w:hAnsi="Palatino Linotype" w:cs="Arial"/>
          <w:sz w:val="24"/>
          <w:szCs w:val="24"/>
        </w:rPr>
        <w:t xml:space="preserve"> atendió el criterio de oportunidad previsto en el numeral 159 de la Ley de Transparencia </w:t>
      </w:r>
      <w:r w:rsidRPr="002B3167">
        <w:rPr>
          <w:rFonts w:ascii="Palatino Linotype" w:hAnsi="Palatino Linotype" w:cs="Arial"/>
          <w:b/>
          <w:sz w:val="24"/>
          <w:szCs w:val="24"/>
        </w:rPr>
        <w:t xml:space="preserve">–máximo cinco días hábiles contados a partir de la presentación de la solicitud-, </w:t>
      </w:r>
      <w:r w:rsidRPr="002B3167">
        <w:rPr>
          <w:rFonts w:ascii="Palatino Linotype" w:hAnsi="Palatino Linotype" w:cs="Arial"/>
          <w:sz w:val="24"/>
          <w:szCs w:val="24"/>
        </w:rPr>
        <w:t xml:space="preserve">lo cierto también es que dicha aclaración fue formulada en evidente discordancia con los parámetros de fondo de la multicitada atribución, al imponer al particular una carga desproporcionada que supedita su derecho de acceso a la información a proveer datos preponderantemente específicos y detallados, los cuales </w:t>
      </w:r>
      <w:r w:rsidRPr="002B3167">
        <w:rPr>
          <w:rFonts w:ascii="Palatino Linotype" w:hAnsi="Palatino Linotype" w:cs="Arial"/>
          <w:sz w:val="24"/>
          <w:szCs w:val="24"/>
        </w:rPr>
        <w:lastRenderedPageBreak/>
        <w:t xml:space="preserve">se encuentran en clara desvinculación con su contexto subjetivo, al no fungir como parte en las carpetas de investigación requeridas. </w:t>
      </w:r>
    </w:p>
    <w:p w14:paraId="5F73F7A0" w14:textId="77777777" w:rsidR="00BB73B9" w:rsidRPr="002B3167" w:rsidRDefault="00BB73B9" w:rsidP="002B3167">
      <w:pPr>
        <w:autoSpaceDE w:val="0"/>
        <w:autoSpaceDN w:val="0"/>
        <w:adjustRightInd w:val="0"/>
        <w:spacing w:after="0" w:line="360" w:lineRule="auto"/>
        <w:jc w:val="both"/>
        <w:rPr>
          <w:rFonts w:ascii="Palatino Linotype" w:hAnsi="Palatino Linotype" w:cs="Arial"/>
          <w:sz w:val="24"/>
          <w:szCs w:val="24"/>
        </w:rPr>
      </w:pPr>
    </w:p>
    <w:p w14:paraId="40FD7CBA" w14:textId="0983F386" w:rsidR="00BB73B9" w:rsidRPr="002B3167" w:rsidRDefault="00BB73B9" w:rsidP="002B3167">
      <w:pPr>
        <w:spacing w:after="0" w:line="360" w:lineRule="auto"/>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En razón de lo anterior, en fecha cinco de julio de dos mil veintitrés, el</w:t>
      </w:r>
      <w:r w:rsidRPr="002B3167">
        <w:rPr>
          <w:rFonts w:ascii="Palatino Linotype" w:eastAsia="Times New Roman" w:hAnsi="Palatino Linotype" w:cs="Arial"/>
          <w:b/>
          <w:sz w:val="24"/>
          <w:szCs w:val="24"/>
          <w:lang w:val="es-ES" w:eastAsia="es-ES"/>
        </w:rPr>
        <w:t xml:space="preserve"> Sujeto Obligado </w:t>
      </w:r>
      <w:r w:rsidRPr="002B3167">
        <w:rPr>
          <w:rFonts w:ascii="Palatino Linotype" w:eastAsia="Times New Roman" w:hAnsi="Palatino Linotype" w:cs="Arial"/>
          <w:sz w:val="24"/>
          <w:szCs w:val="24"/>
          <w:lang w:val="es-ES" w:eastAsia="es-ES"/>
        </w:rPr>
        <w:t>se limitó a tener por no presentada la solicitud de información, es decir, su actuación violó el derecho de acceso a la información, al inobservar los numerales 162 y 163 de la Ley de Transparencia y Acceso a la Información Pública del Estado de México y Municipios, normatividad invocada que dispone a la literalidad lo siguiente:</w:t>
      </w:r>
    </w:p>
    <w:p w14:paraId="2836F579" w14:textId="77777777" w:rsidR="00BB73B9" w:rsidRPr="002B3167" w:rsidRDefault="00BB73B9" w:rsidP="002B3167">
      <w:pPr>
        <w:spacing w:after="0" w:line="360" w:lineRule="auto"/>
        <w:jc w:val="both"/>
        <w:rPr>
          <w:rFonts w:ascii="Palatino Linotype" w:eastAsia="Times New Roman" w:hAnsi="Palatino Linotype" w:cs="Arial"/>
          <w:sz w:val="24"/>
          <w:szCs w:val="24"/>
          <w:lang w:val="es-ES" w:eastAsia="es-ES"/>
        </w:rPr>
      </w:pPr>
    </w:p>
    <w:p w14:paraId="57A6B2C0" w14:textId="77777777" w:rsidR="00BB73B9" w:rsidRPr="002B3167" w:rsidRDefault="00BB73B9" w:rsidP="002B3167">
      <w:pPr>
        <w:pStyle w:val="Citas"/>
        <w:spacing w:before="0" w:after="0" w:line="240" w:lineRule="auto"/>
        <w:ind w:left="567" w:right="567"/>
        <w:rPr>
          <w:b/>
          <w:szCs w:val="24"/>
          <w:u w:val="single"/>
        </w:rPr>
      </w:pPr>
      <w:r w:rsidRPr="002B3167">
        <w:rPr>
          <w:b/>
          <w:szCs w:val="24"/>
          <w:u w:val="single"/>
        </w:rPr>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31245F05" w14:textId="77777777" w:rsidR="00BB73B9" w:rsidRPr="002B3167" w:rsidRDefault="00BB73B9" w:rsidP="002B3167">
      <w:pPr>
        <w:pStyle w:val="Citas"/>
        <w:spacing w:before="0" w:after="0" w:line="240" w:lineRule="auto"/>
        <w:ind w:left="567" w:right="567"/>
        <w:rPr>
          <w:b/>
          <w:szCs w:val="24"/>
          <w:u w:val="single"/>
        </w:rPr>
      </w:pPr>
      <w:r w:rsidRPr="002B3167">
        <w:rPr>
          <w:b/>
          <w:szCs w:val="24"/>
          <w:u w:val="single"/>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5B5E128A" w14:textId="77777777" w:rsidR="00BB73B9" w:rsidRPr="002B3167" w:rsidRDefault="00BB73B9" w:rsidP="002B3167">
      <w:pPr>
        <w:pStyle w:val="Citas"/>
        <w:spacing w:before="0" w:after="0" w:line="240" w:lineRule="auto"/>
        <w:ind w:left="567" w:right="567"/>
        <w:rPr>
          <w:rFonts w:eastAsia="Times New Roman"/>
          <w:b/>
          <w:szCs w:val="24"/>
          <w:lang w:val="es-ES" w:eastAsia="es-ES"/>
        </w:rPr>
      </w:pPr>
      <w:r w:rsidRPr="002B3167">
        <w:rPr>
          <w:szCs w:val="24"/>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r w:rsidRPr="002B3167">
        <w:rPr>
          <w:b/>
          <w:szCs w:val="24"/>
        </w:rPr>
        <w:t xml:space="preserve">[Sic] </w:t>
      </w:r>
    </w:p>
    <w:p w14:paraId="42FA1C2A" w14:textId="77777777" w:rsidR="00BB73B9" w:rsidRPr="002B3167" w:rsidRDefault="00BB73B9" w:rsidP="002B3167">
      <w:pPr>
        <w:spacing w:after="0" w:line="360" w:lineRule="auto"/>
        <w:jc w:val="both"/>
        <w:rPr>
          <w:rFonts w:ascii="Palatino Linotype" w:eastAsia="Times New Roman" w:hAnsi="Palatino Linotype" w:cs="Arial"/>
          <w:sz w:val="24"/>
          <w:szCs w:val="24"/>
          <w:lang w:val="es-ES" w:eastAsia="es-ES"/>
        </w:rPr>
      </w:pPr>
    </w:p>
    <w:p w14:paraId="10173D8B" w14:textId="111C213A" w:rsidR="00BB73B9" w:rsidRPr="002B3167" w:rsidRDefault="006B30C7" w:rsidP="002B3167">
      <w:pPr>
        <w:spacing w:after="0" w:line="360" w:lineRule="auto"/>
        <w:jc w:val="both"/>
        <w:rPr>
          <w:rFonts w:ascii="Palatino Linotype" w:eastAsia="Times New Roman" w:hAnsi="Palatino Linotype" w:cs="Arial"/>
          <w:sz w:val="24"/>
          <w:szCs w:val="24"/>
          <w:lang w:val="es-ES" w:eastAsia="es-ES"/>
        </w:rPr>
      </w:pPr>
      <w:r w:rsidRPr="002B3167">
        <w:rPr>
          <w:rFonts w:ascii="Palatino Linotype" w:eastAsia="Times New Roman" w:hAnsi="Palatino Linotype" w:cs="Arial"/>
          <w:sz w:val="24"/>
          <w:szCs w:val="24"/>
          <w:lang w:val="es-ES" w:eastAsia="es-ES"/>
        </w:rPr>
        <w:t>S</w:t>
      </w:r>
      <w:r w:rsidR="00BB73B9" w:rsidRPr="002B3167">
        <w:rPr>
          <w:rFonts w:ascii="Palatino Linotype" w:eastAsia="Times New Roman" w:hAnsi="Palatino Linotype" w:cs="Arial"/>
          <w:sz w:val="24"/>
          <w:szCs w:val="24"/>
          <w:lang w:val="es-ES" w:eastAsia="es-ES"/>
        </w:rPr>
        <w:t xml:space="preserve">entado lo anterior, como fue mencionado en el antecedente séptimo, </w:t>
      </w:r>
      <w:r w:rsidRPr="002B3167">
        <w:rPr>
          <w:rFonts w:ascii="Palatino Linotype" w:eastAsia="Times New Roman" w:hAnsi="Palatino Linotype" w:cs="Arial"/>
          <w:sz w:val="24"/>
          <w:szCs w:val="24"/>
          <w:lang w:val="es-ES" w:eastAsia="es-ES"/>
        </w:rPr>
        <w:t>el</w:t>
      </w:r>
      <w:r w:rsidRPr="002B3167">
        <w:rPr>
          <w:rFonts w:ascii="Palatino Linotype" w:eastAsia="Times New Roman" w:hAnsi="Palatino Linotype" w:cs="Arial"/>
          <w:b/>
          <w:sz w:val="24"/>
          <w:szCs w:val="24"/>
          <w:lang w:val="es-ES" w:eastAsia="es-ES"/>
        </w:rPr>
        <w:t xml:space="preserve"> </w:t>
      </w:r>
      <w:r w:rsidR="00BB73B9" w:rsidRPr="002B3167">
        <w:rPr>
          <w:rFonts w:ascii="Palatino Linotype" w:eastAsia="Times New Roman" w:hAnsi="Palatino Linotype" w:cs="Arial"/>
          <w:b/>
          <w:sz w:val="24"/>
          <w:szCs w:val="24"/>
          <w:lang w:val="es-ES" w:eastAsia="es-ES"/>
        </w:rPr>
        <w:t xml:space="preserve">Sujeto Obligado </w:t>
      </w:r>
      <w:r w:rsidR="00BB73B9" w:rsidRPr="002B3167">
        <w:rPr>
          <w:rFonts w:ascii="Palatino Linotype" w:eastAsia="Times New Roman" w:hAnsi="Palatino Linotype" w:cs="Arial"/>
          <w:sz w:val="24"/>
          <w:szCs w:val="24"/>
          <w:lang w:val="es-ES" w:eastAsia="es-ES"/>
        </w:rPr>
        <w:t xml:space="preserve">fue omiso en rendir su informe justificado, teniéndose por </w:t>
      </w:r>
      <w:proofErr w:type="spellStart"/>
      <w:r w:rsidR="00BB73B9" w:rsidRPr="002B3167">
        <w:rPr>
          <w:rFonts w:ascii="Palatino Linotype" w:eastAsia="Times New Roman" w:hAnsi="Palatino Linotype" w:cs="Arial"/>
          <w:sz w:val="24"/>
          <w:szCs w:val="24"/>
          <w:lang w:val="es-ES" w:eastAsia="es-ES"/>
        </w:rPr>
        <w:t>precluida</w:t>
      </w:r>
      <w:proofErr w:type="spellEnd"/>
      <w:r w:rsidR="00BB73B9" w:rsidRPr="002B3167">
        <w:rPr>
          <w:rFonts w:ascii="Palatino Linotype" w:eastAsia="Times New Roman" w:hAnsi="Palatino Linotype" w:cs="Arial"/>
          <w:sz w:val="24"/>
          <w:szCs w:val="24"/>
          <w:lang w:val="es-ES" w:eastAsia="es-ES"/>
        </w:rPr>
        <w:t xml:space="preserve"> la prerrogativa prevista en el numeral 185, fracción III de la Ley de Transparencia y Acceso a la Información Pública del Estado de México y Municipios. </w:t>
      </w:r>
    </w:p>
    <w:p w14:paraId="0C1A289C" w14:textId="77777777" w:rsidR="00BB73B9" w:rsidRPr="002B3167" w:rsidRDefault="00BB73B9" w:rsidP="002B3167">
      <w:pPr>
        <w:autoSpaceDE w:val="0"/>
        <w:autoSpaceDN w:val="0"/>
        <w:adjustRightInd w:val="0"/>
        <w:spacing w:after="0" w:line="360" w:lineRule="auto"/>
        <w:jc w:val="both"/>
        <w:rPr>
          <w:rFonts w:ascii="Palatino Linotype" w:hAnsi="Palatino Linotype" w:cs="Arial"/>
          <w:sz w:val="24"/>
          <w:szCs w:val="24"/>
          <w:lang w:val="es-ES"/>
        </w:rPr>
      </w:pPr>
    </w:p>
    <w:p w14:paraId="692F6DC9" w14:textId="2023ECBE" w:rsidR="00D87CE9" w:rsidRPr="002B3167" w:rsidRDefault="00AE463F"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lastRenderedPageBreak/>
        <w:t xml:space="preserve">Una vez precisado lo anterior y </w:t>
      </w:r>
      <w:r w:rsidR="00175B44" w:rsidRPr="002B3167">
        <w:rPr>
          <w:rFonts w:ascii="Palatino Linotype" w:hAnsi="Palatino Linotype" w:cs="Arial"/>
          <w:sz w:val="24"/>
          <w:szCs w:val="24"/>
        </w:rPr>
        <w:t>con el propósito</w:t>
      </w:r>
      <w:r w:rsidRPr="002B3167">
        <w:rPr>
          <w:rFonts w:ascii="Palatino Linotype" w:hAnsi="Palatino Linotype" w:cs="Arial"/>
          <w:sz w:val="24"/>
          <w:szCs w:val="24"/>
        </w:rPr>
        <w:t xml:space="preserve"> de realizar un análisis exhaustivo de la información requerida, resulta oportuno desentrañar la naturaleza de la </w:t>
      </w:r>
      <w:r w:rsidR="00486595" w:rsidRPr="002B3167">
        <w:rPr>
          <w:rFonts w:ascii="Palatino Linotype" w:hAnsi="Palatino Linotype" w:cs="Arial"/>
          <w:sz w:val="24"/>
          <w:szCs w:val="24"/>
        </w:rPr>
        <w:t>Hospital Regional de Alta Especialidad de Zumpango</w:t>
      </w:r>
      <w:r w:rsidR="0032173F" w:rsidRPr="002B3167">
        <w:rPr>
          <w:rFonts w:ascii="Palatino Linotype" w:hAnsi="Palatino Linotype" w:cs="Arial"/>
          <w:sz w:val="24"/>
          <w:szCs w:val="24"/>
        </w:rPr>
        <w:t xml:space="preserve">, por lo que se traen a colación los artículos </w:t>
      </w:r>
      <w:r w:rsidR="00C3163A" w:rsidRPr="002B3167">
        <w:rPr>
          <w:rFonts w:ascii="Palatino Linotype" w:hAnsi="Palatino Linotype" w:cs="Arial"/>
          <w:sz w:val="24"/>
          <w:szCs w:val="24"/>
        </w:rPr>
        <w:t>1, 2, 4, 5</w:t>
      </w:r>
      <w:r w:rsidR="0032173F" w:rsidRPr="002B3167">
        <w:rPr>
          <w:rFonts w:ascii="Palatino Linotype" w:hAnsi="Palatino Linotype" w:cs="Arial"/>
          <w:sz w:val="24"/>
          <w:szCs w:val="24"/>
        </w:rPr>
        <w:t xml:space="preserve"> de la Ley que crea el Organismo Público Descentralizado de Carácter Estatal denominado Hospital Regional de Alta Especialidad de Zumpango,</w:t>
      </w:r>
      <w:r w:rsidR="00C3163A" w:rsidRPr="002B3167">
        <w:rPr>
          <w:rFonts w:ascii="Palatino Linotype" w:hAnsi="Palatino Linotype" w:cs="Arial"/>
          <w:sz w:val="24"/>
          <w:szCs w:val="24"/>
        </w:rPr>
        <w:t xml:space="preserve"> 6, 11, 13 y 18 fracción II, 20 del Reglamento Interior del Hospital Regional de Alta Especialidad de Zumpango</w:t>
      </w:r>
      <w:r w:rsidR="0032173F" w:rsidRPr="002B3167">
        <w:rPr>
          <w:rFonts w:ascii="Palatino Linotype" w:hAnsi="Palatino Linotype" w:cs="Arial"/>
          <w:sz w:val="24"/>
          <w:szCs w:val="24"/>
        </w:rPr>
        <w:t xml:space="preserve"> los cuales señalan:</w:t>
      </w:r>
    </w:p>
    <w:p w14:paraId="54210AB8" w14:textId="77777777" w:rsidR="002F0136" w:rsidRPr="002B3167" w:rsidRDefault="002F0136" w:rsidP="002B3167">
      <w:pPr>
        <w:autoSpaceDE w:val="0"/>
        <w:autoSpaceDN w:val="0"/>
        <w:adjustRightInd w:val="0"/>
        <w:spacing w:after="0" w:line="360" w:lineRule="auto"/>
        <w:jc w:val="both"/>
        <w:rPr>
          <w:rFonts w:ascii="Palatino Linotype" w:hAnsi="Palatino Linotype" w:cs="Arial"/>
          <w:sz w:val="24"/>
          <w:szCs w:val="24"/>
        </w:rPr>
      </w:pPr>
    </w:p>
    <w:p w14:paraId="79228E7C" w14:textId="77777777" w:rsidR="006B6B85" w:rsidRPr="002B3167" w:rsidRDefault="0032173F"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r w:rsidRPr="002B3167">
        <w:rPr>
          <w:rFonts w:ascii="Palatino Linotype" w:hAnsi="Palatino Linotype" w:cs="Arial"/>
          <w:b/>
          <w:i/>
          <w:szCs w:val="24"/>
        </w:rPr>
        <w:t>Artículo 1.-</w:t>
      </w:r>
      <w:r w:rsidRPr="002B3167">
        <w:rPr>
          <w:rFonts w:ascii="Palatino Linotype" w:hAnsi="Palatino Linotype" w:cs="Arial"/>
          <w:i/>
          <w:szCs w:val="24"/>
        </w:rPr>
        <w:t xml:space="preserve"> Se crea el Hospital Regional de Alta Especialidad de Zumpango como un Organismo Público Descentralizado de carácter estatal, con </w:t>
      </w:r>
      <w:r w:rsidRPr="002B3167">
        <w:rPr>
          <w:rFonts w:ascii="Palatino Linotype" w:hAnsi="Palatino Linotype" w:cs="Arial"/>
          <w:i/>
          <w:szCs w:val="24"/>
          <w:u w:val="single"/>
        </w:rPr>
        <w:t>personalidad jurídica y patrimonio propios</w:t>
      </w:r>
      <w:r w:rsidRPr="002B3167">
        <w:rPr>
          <w:rFonts w:ascii="Palatino Linotype" w:hAnsi="Palatino Linotype" w:cs="Arial"/>
          <w:i/>
          <w:szCs w:val="24"/>
        </w:rPr>
        <w:t xml:space="preserve">. </w:t>
      </w:r>
    </w:p>
    <w:p w14:paraId="5859EBD0" w14:textId="3DC11299" w:rsidR="006B6B85" w:rsidRPr="002B3167" w:rsidRDefault="0032173F"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xml:space="preserve">El Hospital Regional de Alta Especialidad de Zumpango </w:t>
      </w:r>
      <w:r w:rsidRPr="002B3167">
        <w:rPr>
          <w:rFonts w:ascii="Palatino Linotype" w:hAnsi="Palatino Linotype" w:cs="Arial"/>
          <w:i/>
          <w:szCs w:val="24"/>
          <w:u w:val="single"/>
        </w:rPr>
        <w:t>estará sectorizado a la Secretaría de Salud.</w:t>
      </w:r>
      <w:r w:rsidRPr="002B3167">
        <w:rPr>
          <w:rFonts w:ascii="Palatino Linotype" w:hAnsi="Palatino Linotype" w:cs="Arial"/>
          <w:i/>
          <w:szCs w:val="24"/>
        </w:rPr>
        <w:t xml:space="preserve"> </w:t>
      </w:r>
    </w:p>
    <w:p w14:paraId="19860E5E"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p>
    <w:p w14:paraId="744F76F9" w14:textId="77777777" w:rsidR="006B6B85" w:rsidRPr="002B3167" w:rsidRDefault="0032173F"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2</w:t>
      </w:r>
      <w:r w:rsidRPr="002B3167">
        <w:rPr>
          <w:rFonts w:ascii="Palatino Linotype" w:hAnsi="Palatino Linotype" w:cs="Arial"/>
          <w:i/>
          <w:szCs w:val="24"/>
        </w:rPr>
        <w:t xml:space="preserve">.- El Hospital Regional de Alta Especialidad de Zumpango tendrá por objeto: </w:t>
      </w:r>
    </w:p>
    <w:p w14:paraId="46E1EF0F" w14:textId="2794237F" w:rsidR="006B6B85" w:rsidRPr="002B3167" w:rsidRDefault="0032173F"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w:t>
      </w:r>
      <w:r w:rsidRPr="002B3167">
        <w:rPr>
          <w:rFonts w:ascii="Palatino Linotype" w:hAnsi="Palatino Linotype" w:cs="Arial"/>
          <w:i/>
          <w:szCs w:val="24"/>
        </w:rPr>
        <w:t xml:space="preserve">. Proveer servicios médicos de alta especialidad con enfoque regional, proporcionando consulta externa y atención hospitalaria a la población que no cuente con seguridad social y que requiera de alguna de las especialidades existentes en la Unidad Hospitalaria, a fin de fortalecer el tercer nivel de atención en las áreas de especialización; </w:t>
      </w:r>
    </w:p>
    <w:p w14:paraId="5F6E758E" w14:textId="649CF427" w:rsidR="0032173F" w:rsidRPr="002B3167" w:rsidRDefault="0032173F"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II</w:t>
      </w:r>
      <w:r w:rsidRPr="002B3167">
        <w:rPr>
          <w:rFonts w:ascii="Palatino Linotype" w:hAnsi="Palatino Linotype" w:cs="Arial"/>
          <w:i/>
          <w:szCs w:val="24"/>
        </w:rPr>
        <w:t>. La formación de recursos humanos en el campo de las especialidades médicas, el desarrollo de investigaciones en materia médica de alta especialidad y la difusión de sus resultados.</w:t>
      </w:r>
    </w:p>
    <w:p w14:paraId="7C8759F5" w14:textId="77777777" w:rsidR="0032173F" w:rsidRPr="002B3167" w:rsidRDefault="0032173F" w:rsidP="002B3167">
      <w:pPr>
        <w:autoSpaceDE w:val="0"/>
        <w:autoSpaceDN w:val="0"/>
        <w:adjustRightInd w:val="0"/>
        <w:spacing w:after="0" w:line="240" w:lineRule="auto"/>
        <w:ind w:left="567" w:right="567"/>
        <w:jc w:val="both"/>
        <w:rPr>
          <w:rFonts w:ascii="Palatino Linotype" w:hAnsi="Palatino Linotype" w:cs="Arial"/>
          <w:i/>
          <w:szCs w:val="24"/>
        </w:rPr>
      </w:pPr>
    </w:p>
    <w:p w14:paraId="6F92FA72" w14:textId="3793AE8E" w:rsidR="0032173F" w:rsidRPr="002B3167" w:rsidRDefault="0032173F"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4.-</w:t>
      </w:r>
      <w:r w:rsidRPr="002B3167">
        <w:rPr>
          <w:rFonts w:ascii="Palatino Linotype" w:hAnsi="Palatino Linotype" w:cs="Arial"/>
          <w:i/>
          <w:szCs w:val="24"/>
        </w:rPr>
        <w:t xml:space="preserve"> El Hospital Regional de Alta Especialidad de Zumpango contará con las unidades administrativas autorizadas en su Reglamento Interior.</w:t>
      </w:r>
    </w:p>
    <w:p w14:paraId="6AE8BB43"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p>
    <w:p w14:paraId="749EDDB9" w14:textId="01A17794" w:rsidR="0032173F"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5.-</w:t>
      </w:r>
      <w:r w:rsidRPr="002B3167">
        <w:rPr>
          <w:rFonts w:ascii="Palatino Linotype" w:hAnsi="Palatino Linotype" w:cs="Arial"/>
          <w:i/>
          <w:szCs w:val="24"/>
        </w:rPr>
        <w:t xml:space="preserve"> La dirección y administración del Hospital Regional de Alta Especialidad de Zumpango corresponderá: I. Al Consejo Interno; II. Al Director General.</w:t>
      </w:r>
    </w:p>
    <w:p w14:paraId="7D64E81E"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p>
    <w:p w14:paraId="2329C95A" w14:textId="5CBE3E58" w:rsidR="006B6B85" w:rsidRPr="002B3167" w:rsidRDefault="006B6B85" w:rsidP="002B3167">
      <w:pPr>
        <w:autoSpaceDE w:val="0"/>
        <w:autoSpaceDN w:val="0"/>
        <w:adjustRightInd w:val="0"/>
        <w:spacing w:after="0" w:line="240" w:lineRule="auto"/>
        <w:ind w:left="567" w:right="567"/>
        <w:jc w:val="center"/>
        <w:rPr>
          <w:rFonts w:ascii="Palatino Linotype" w:hAnsi="Palatino Linotype" w:cs="Arial"/>
          <w:b/>
          <w:i/>
          <w:szCs w:val="24"/>
        </w:rPr>
      </w:pPr>
      <w:r w:rsidRPr="002B3167">
        <w:rPr>
          <w:rFonts w:ascii="Palatino Linotype" w:hAnsi="Palatino Linotype" w:cs="Arial"/>
          <w:b/>
          <w:i/>
          <w:szCs w:val="24"/>
        </w:rPr>
        <w:t>Reglamento Interior del Hospital Regional de Alta Especialidad de Zumpango</w:t>
      </w:r>
    </w:p>
    <w:p w14:paraId="151E3E51"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p>
    <w:p w14:paraId="674C9318"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6.-</w:t>
      </w:r>
      <w:r w:rsidRPr="002B3167">
        <w:rPr>
          <w:rFonts w:ascii="Palatino Linotype" w:hAnsi="Palatino Linotype" w:cs="Arial"/>
          <w:i/>
          <w:szCs w:val="24"/>
        </w:rPr>
        <w:t xml:space="preserve"> La dirección y administración del Hospital Regional corresponden a:</w:t>
      </w:r>
    </w:p>
    <w:p w14:paraId="79D17A61"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w:t>
      </w:r>
      <w:r w:rsidRPr="002B3167">
        <w:rPr>
          <w:rFonts w:ascii="Palatino Linotype" w:hAnsi="Palatino Linotype" w:cs="Arial"/>
          <w:i/>
          <w:szCs w:val="24"/>
        </w:rPr>
        <w:t xml:space="preserve">. El Consejo Interno; y </w:t>
      </w:r>
    </w:p>
    <w:p w14:paraId="2E1E8D1E" w14:textId="7450D3DF"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lastRenderedPageBreak/>
        <w:t>II</w:t>
      </w:r>
      <w:r w:rsidRPr="002B3167">
        <w:rPr>
          <w:rFonts w:ascii="Palatino Linotype" w:hAnsi="Palatino Linotype" w:cs="Arial"/>
          <w:i/>
          <w:szCs w:val="24"/>
        </w:rPr>
        <w:t>. Al Director General.</w:t>
      </w:r>
    </w:p>
    <w:p w14:paraId="65187650"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p>
    <w:p w14:paraId="1DA52782"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11.-</w:t>
      </w:r>
      <w:r w:rsidRPr="002B3167">
        <w:rPr>
          <w:rFonts w:ascii="Palatino Linotype" w:hAnsi="Palatino Linotype" w:cs="Arial"/>
          <w:i/>
          <w:szCs w:val="24"/>
        </w:rPr>
        <w:t xml:space="preserve"> El estudio, planeación, trámite y resolución de los asuntos competencia del Organismo, así como su representación legal, corresponden originalmente al Director General, quien para su mejor atención y despacho podrá delegar sus atribuciones en las personas servidoras públicas subalternas, sin perder por ello la posibilidad de su ejercicio directo, excepto aquellas que por disposición de la ley deberán ser ejercidas en forma directa. Además de las señaladas en la Ley, corresponden al Director General las atribuciones siguientes: </w:t>
      </w:r>
    </w:p>
    <w:p w14:paraId="40FF2923" w14:textId="63E956DA"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w:t>
      </w:r>
      <w:r w:rsidRPr="002B3167">
        <w:rPr>
          <w:rFonts w:ascii="Palatino Linotype" w:hAnsi="Palatino Linotype" w:cs="Arial"/>
          <w:i/>
          <w:szCs w:val="24"/>
        </w:rPr>
        <w:t xml:space="preserve">. Planear, programar, organizar, dirigir, controlar y evaluar las funciones encomendadas al Hospital Regional. </w:t>
      </w:r>
    </w:p>
    <w:p w14:paraId="3747213E" w14:textId="17D9E7FA"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II</w:t>
      </w:r>
      <w:r w:rsidRPr="002B3167">
        <w:rPr>
          <w:rFonts w:ascii="Palatino Linotype" w:hAnsi="Palatino Linotype" w:cs="Arial"/>
          <w:i/>
          <w:szCs w:val="24"/>
        </w:rPr>
        <w:t xml:space="preserve">. Someter a la aprobación del Consejo Interno los programas de trabajo del Hospital Regional. </w:t>
      </w:r>
    </w:p>
    <w:p w14:paraId="6BDF9635" w14:textId="3ED308A3"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III</w:t>
      </w:r>
      <w:r w:rsidRPr="002B3167">
        <w:rPr>
          <w:rFonts w:ascii="Palatino Linotype" w:hAnsi="Palatino Linotype" w:cs="Arial"/>
          <w:i/>
          <w:szCs w:val="24"/>
        </w:rPr>
        <w:t xml:space="preserve">. Vigilar que se cumplan las obligaciones derivadas de los contratos de prestación de bienes y servicios que haya celebrado el Hospital Regional con los proveedores. </w:t>
      </w:r>
    </w:p>
    <w:p w14:paraId="371D203D" w14:textId="7B925155"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IV</w:t>
      </w:r>
      <w:r w:rsidRPr="002B3167">
        <w:rPr>
          <w:rFonts w:ascii="Palatino Linotype" w:hAnsi="Palatino Linotype" w:cs="Arial"/>
          <w:i/>
          <w:szCs w:val="24"/>
        </w:rPr>
        <w:t xml:space="preserve">. Someter a la aprobación del Consejo Interno, los proyectos de estructura orgánica y de presupuesto anual de egresos del Hospital Regional y remitirlos a la Secretaría de Finanzas. </w:t>
      </w:r>
    </w:p>
    <w:p w14:paraId="5C813491"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V</w:t>
      </w:r>
      <w:r w:rsidRPr="002B3167">
        <w:rPr>
          <w:rFonts w:ascii="Palatino Linotype" w:hAnsi="Palatino Linotype" w:cs="Arial"/>
          <w:i/>
          <w:szCs w:val="24"/>
        </w:rPr>
        <w:t xml:space="preserve">. Presentar al Consejo Interno para su aprobación, los estados financieros y el balance anual del Hospital Regional, previo dictamen del auditor externo. </w:t>
      </w:r>
    </w:p>
    <w:p w14:paraId="0FD5FD84" w14:textId="63CA8866"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VI</w:t>
      </w:r>
      <w:r w:rsidRPr="002B3167">
        <w:rPr>
          <w:rFonts w:ascii="Palatino Linotype" w:hAnsi="Palatino Linotype" w:cs="Arial"/>
          <w:i/>
          <w:szCs w:val="24"/>
        </w:rPr>
        <w:t xml:space="preserve">. Someter a la consideración del Consejo Interno modificaciones jurídicas y administrativas que tiendan a modernizar la organización y el funcionamiento del Hospital Regional y llevar a cabo su ejecución. </w:t>
      </w:r>
    </w:p>
    <w:p w14:paraId="77A7CE3B"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VII</w:t>
      </w:r>
      <w:r w:rsidRPr="002B3167">
        <w:rPr>
          <w:rFonts w:ascii="Palatino Linotype" w:hAnsi="Palatino Linotype" w:cs="Arial"/>
          <w:i/>
          <w:szCs w:val="24"/>
        </w:rPr>
        <w:t xml:space="preserve">. Suscribir los contratos de arrendamientos con base en la normatividad aplicable, previo acuerdo con el Consejo Interno. </w:t>
      </w:r>
    </w:p>
    <w:p w14:paraId="5A4A7D72" w14:textId="7B9FA8D6"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VIII</w:t>
      </w:r>
      <w:r w:rsidRPr="002B3167">
        <w:rPr>
          <w:rFonts w:ascii="Palatino Linotype" w:hAnsi="Palatino Linotype" w:cs="Arial"/>
          <w:i/>
          <w:szCs w:val="24"/>
        </w:rPr>
        <w:t xml:space="preserve">. Delegar sus facultades en servidores públicos subalternos. </w:t>
      </w:r>
    </w:p>
    <w:p w14:paraId="4C3B6FC7" w14:textId="76BB7074"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IX</w:t>
      </w:r>
      <w:r w:rsidRPr="002B3167">
        <w:rPr>
          <w:rFonts w:ascii="Palatino Linotype" w:hAnsi="Palatino Linotype" w:cs="Arial"/>
          <w:i/>
          <w:szCs w:val="24"/>
        </w:rPr>
        <w:t xml:space="preserve">. Resolver, en el ámbito administrativo, las dudas que se susciten con motivo de la interpretación o aplicación de este Reglamento, así como los casos no previstos en el mismo. </w:t>
      </w:r>
    </w:p>
    <w:p w14:paraId="09B5E4FB"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X</w:t>
      </w:r>
      <w:r w:rsidRPr="002B3167">
        <w:rPr>
          <w:rFonts w:ascii="Palatino Linotype" w:hAnsi="Palatino Linotype" w:cs="Arial"/>
          <w:i/>
          <w:szCs w:val="24"/>
        </w:rPr>
        <w:t xml:space="preserve">. Autorizar, emitir y negociar títulos de crédito u otro instrumento relacionado con el patrimonio del Organismo, previa autorización del Consejo Interno. </w:t>
      </w:r>
    </w:p>
    <w:p w14:paraId="1727AC1E" w14:textId="221E275C"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XI</w:t>
      </w:r>
      <w:r w:rsidRPr="002B3167">
        <w:rPr>
          <w:rFonts w:ascii="Palatino Linotype" w:hAnsi="Palatino Linotype" w:cs="Arial"/>
          <w:i/>
          <w:szCs w:val="24"/>
        </w:rPr>
        <w:t xml:space="preserve">. Instruir en el ámbito de su competencia el debido cumplimiento de las disposiciones en materia de transparencia, acceso a la información pública y protección de datos personales en términos de la normativa aplicable. </w:t>
      </w:r>
    </w:p>
    <w:p w14:paraId="2D2566C6" w14:textId="6802BDE2"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XII</w:t>
      </w:r>
      <w:r w:rsidRPr="002B3167">
        <w:rPr>
          <w:rFonts w:ascii="Palatino Linotype" w:hAnsi="Palatino Linotype" w:cs="Arial"/>
          <w:i/>
          <w:szCs w:val="24"/>
        </w:rPr>
        <w:t>. Promover que los planes y programas del Hospital Regional sean realizados con perspectiva de</w:t>
      </w:r>
      <w:r w:rsidRPr="002B3167">
        <w:rPr>
          <w:rFonts w:ascii="Palatino Linotype" w:hAnsi="Palatino Linotype" w:cs="Arial"/>
          <w:b/>
          <w:i/>
          <w:szCs w:val="24"/>
        </w:rPr>
        <w:t xml:space="preserve"> </w:t>
      </w:r>
      <w:r w:rsidRPr="002B3167">
        <w:rPr>
          <w:rFonts w:ascii="Palatino Linotype" w:hAnsi="Palatino Linotype" w:cs="Arial"/>
          <w:i/>
          <w:szCs w:val="24"/>
        </w:rPr>
        <w:t>género y respeto a los derechos humanos.</w:t>
      </w:r>
    </w:p>
    <w:p w14:paraId="71E41817"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XIII</w:t>
      </w:r>
      <w:r w:rsidRPr="002B3167">
        <w:rPr>
          <w:rFonts w:ascii="Palatino Linotype" w:hAnsi="Palatino Linotype" w:cs="Arial"/>
          <w:i/>
          <w:szCs w:val="24"/>
        </w:rPr>
        <w:t xml:space="preserve">. Promover acciones para la modernización administrativa, Mejora Regulatoria, Gobierno Digital y Gestión de la Calidad en los trámites y servicios que presta el Hospital Regional, así como su ejecución y cumplimiento, y </w:t>
      </w:r>
    </w:p>
    <w:p w14:paraId="467692F9" w14:textId="567D11FB"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lastRenderedPageBreak/>
        <w:t>XIV</w:t>
      </w:r>
      <w:r w:rsidRPr="002B3167">
        <w:rPr>
          <w:rFonts w:ascii="Palatino Linotype" w:hAnsi="Palatino Linotype" w:cs="Arial"/>
          <w:i/>
          <w:szCs w:val="24"/>
        </w:rPr>
        <w:t>. Las demás que le señalen otras disposiciones jurídicas y aquellas que le encomiende el Consejo Interno.</w:t>
      </w:r>
    </w:p>
    <w:p w14:paraId="4DF1369E"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p>
    <w:p w14:paraId="25DC4A52"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13.-</w:t>
      </w:r>
      <w:r w:rsidRPr="002B3167">
        <w:rPr>
          <w:rFonts w:ascii="Palatino Linotype" w:hAnsi="Palatino Linotype" w:cs="Arial"/>
          <w:i/>
          <w:szCs w:val="24"/>
        </w:rPr>
        <w:t xml:space="preserve"> Para el estudio, planeación y despacho de los asuntos de su competencia, el Director General se auxiliará de las unidades administrativas siguientes: </w:t>
      </w:r>
    </w:p>
    <w:p w14:paraId="349A13A0" w14:textId="0F1C0555"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w:t>
      </w:r>
      <w:r w:rsidRPr="002B3167">
        <w:rPr>
          <w:rFonts w:ascii="Palatino Linotype" w:hAnsi="Palatino Linotype" w:cs="Arial"/>
          <w:i/>
          <w:szCs w:val="24"/>
        </w:rPr>
        <w:t xml:space="preserve">. Dirección Médica. </w:t>
      </w:r>
    </w:p>
    <w:p w14:paraId="401A21CB" w14:textId="15EFA6BC"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II</w:t>
      </w:r>
      <w:r w:rsidRPr="002B3167">
        <w:rPr>
          <w:rFonts w:ascii="Palatino Linotype" w:hAnsi="Palatino Linotype" w:cs="Arial"/>
          <w:i/>
          <w:szCs w:val="24"/>
        </w:rPr>
        <w:t xml:space="preserve">. Dirección Técnica Operativa. </w:t>
      </w:r>
    </w:p>
    <w:p w14:paraId="24AC7E26"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III</w:t>
      </w:r>
      <w:r w:rsidRPr="002B3167">
        <w:rPr>
          <w:rFonts w:ascii="Palatino Linotype" w:hAnsi="Palatino Linotype" w:cs="Arial"/>
          <w:i/>
          <w:szCs w:val="24"/>
        </w:rPr>
        <w:t xml:space="preserve">. Dirección de Administración y Finanzas. </w:t>
      </w:r>
    </w:p>
    <w:p w14:paraId="596CF04C" w14:textId="087037DF"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IV</w:t>
      </w:r>
      <w:r w:rsidRPr="002B3167">
        <w:rPr>
          <w:rFonts w:ascii="Palatino Linotype" w:hAnsi="Palatino Linotype" w:cs="Arial"/>
          <w:i/>
          <w:szCs w:val="24"/>
        </w:rPr>
        <w:t xml:space="preserve">. Unidad Jurídica y de Igualdad de Género. </w:t>
      </w:r>
    </w:p>
    <w:p w14:paraId="410543AD"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V</w:t>
      </w:r>
      <w:r w:rsidRPr="002B3167">
        <w:rPr>
          <w:rFonts w:ascii="Palatino Linotype" w:hAnsi="Palatino Linotype" w:cs="Arial"/>
          <w:i/>
          <w:szCs w:val="24"/>
        </w:rPr>
        <w:t xml:space="preserve">. Derogada. </w:t>
      </w:r>
    </w:p>
    <w:p w14:paraId="0EE494F9" w14:textId="02022DBA"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El Hospital Regional contará con un Órgano Interno de Control y las demás unidades administrativas que le sean autorizadas en su estructura de organización, cuyas funciones y líneas de autoridad se establecerán en el Manual General de Organización; asimismo, se auxiliará de los servidores públicos, órganos técnicos y administrativos necesarios para el cumplimiento de sus atribuciones, en términos de la normativa aplicable, estructura orgánica y presupuesto autorizado.</w:t>
      </w:r>
    </w:p>
    <w:p w14:paraId="47B66C92" w14:textId="77777777" w:rsidR="00C3163A" w:rsidRPr="002B3167" w:rsidRDefault="00C3163A" w:rsidP="002B3167">
      <w:pPr>
        <w:autoSpaceDE w:val="0"/>
        <w:autoSpaceDN w:val="0"/>
        <w:adjustRightInd w:val="0"/>
        <w:spacing w:after="0" w:line="240" w:lineRule="auto"/>
        <w:ind w:left="567" w:right="567"/>
        <w:jc w:val="both"/>
        <w:rPr>
          <w:rFonts w:ascii="Palatino Linotype" w:hAnsi="Palatino Linotype" w:cs="Arial"/>
          <w:i/>
          <w:szCs w:val="24"/>
        </w:rPr>
      </w:pPr>
    </w:p>
    <w:p w14:paraId="7C27900A"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18.-</w:t>
      </w:r>
      <w:r w:rsidRPr="002B3167">
        <w:rPr>
          <w:rFonts w:ascii="Palatino Linotype" w:hAnsi="Palatino Linotype" w:cs="Arial"/>
          <w:i/>
          <w:szCs w:val="24"/>
        </w:rPr>
        <w:t xml:space="preserve"> Corresponde a la Dirección de Administración y Finanzas: </w:t>
      </w:r>
    </w:p>
    <w:p w14:paraId="323F384E" w14:textId="14CDBF5B"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w:t>
      </w:r>
      <w:r w:rsidRPr="002B3167">
        <w:rPr>
          <w:rFonts w:ascii="Palatino Linotype" w:hAnsi="Palatino Linotype" w:cs="Arial"/>
          <w:i/>
          <w:szCs w:val="24"/>
        </w:rPr>
        <w:t xml:space="preserve">. </w:t>
      </w:r>
      <w:r w:rsidRPr="002B3167">
        <w:rPr>
          <w:rFonts w:ascii="Palatino Linotype" w:hAnsi="Palatino Linotype" w:cs="Arial"/>
          <w:i/>
          <w:szCs w:val="24"/>
          <w:u w:val="single"/>
        </w:rPr>
        <w:t>Planear, organizar y controlar el suministro, administración y aplicación de los recursos humanos,</w:t>
      </w:r>
      <w:r w:rsidRPr="002B3167">
        <w:rPr>
          <w:rFonts w:ascii="Palatino Linotype" w:hAnsi="Palatino Linotype" w:cs="Arial"/>
          <w:i/>
          <w:szCs w:val="24"/>
        </w:rPr>
        <w:t xml:space="preserve"> materiales y </w:t>
      </w:r>
      <w:r w:rsidRPr="002B3167">
        <w:rPr>
          <w:rFonts w:ascii="Palatino Linotype" w:hAnsi="Palatino Linotype" w:cs="Arial"/>
          <w:i/>
          <w:szCs w:val="24"/>
          <w:u w:val="single"/>
        </w:rPr>
        <w:t>financieros</w:t>
      </w:r>
      <w:r w:rsidRPr="002B3167">
        <w:rPr>
          <w:rFonts w:ascii="Palatino Linotype" w:hAnsi="Palatino Linotype" w:cs="Arial"/>
          <w:i/>
          <w:szCs w:val="24"/>
        </w:rPr>
        <w:t xml:space="preserve">, así como los servicios generales necesarios para el funcionamiento de las unidades administrativas del Hospital Regional, en términos de la normatividad en la materia. </w:t>
      </w:r>
    </w:p>
    <w:p w14:paraId="28A0DEEF" w14:textId="3E5FCC25"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II</w:t>
      </w:r>
      <w:r w:rsidRPr="002B3167">
        <w:rPr>
          <w:rFonts w:ascii="Palatino Linotype" w:hAnsi="Palatino Linotype" w:cs="Arial"/>
          <w:i/>
          <w:szCs w:val="24"/>
        </w:rPr>
        <w:t xml:space="preserve">. </w:t>
      </w:r>
      <w:r w:rsidRPr="002B3167">
        <w:rPr>
          <w:rFonts w:ascii="Palatino Linotype" w:hAnsi="Palatino Linotype" w:cs="Arial"/>
          <w:i/>
          <w:szCs w:val="24"/>
          <w:u w:val="single"/>
        </w:rPr>
        <w:t>Cumplir y hacer cumplir mediante la emisión de circulares y lineamientos las normas, políticas y procedimientos en materia de recursos humanos,</w:t>
      </w:r>
      <w:r w:rsidRPr="002B3167">
        <w:rPr>
          <w:rFonts w:ascii="Palatino Linotype" w:hAnsi="Palatino Linotype" w:cs="Arial"/>
          <w:i/>
          <w:szCs w:val="24"/>
        </w:rPr>
        <w:t xml:space="preserve"> materiales, </w:t>
      </w:r>
      <w:r w:rsidRPr="002B3167">
        <w:rPr>
          <w:rFonts w:ascii="Palatino Linotype" w:hAnsi="Palatino Linotype" w:cs="Arial"/>
          <w:i/>
          <w:szCs w:val="24"/>
          <w:u w:val="single"/>
        </w:rPr>
        <w:t>financieros</w:t>
      </w:r>
      <w:r w:rsidRPr="002B3167">
        <w:rPr>
          <w:rFonts w:ascii="Palatino Linotype" w:hAnsi="Palatino Linotype" w:cs="Arial"/>
          <w:i/>
          <w:szCs w:val="24"/>
        </w:rPr>
        <w:t xml:space="preserve"> y técnicos del Organismo, vigilando su correcta aplicación.</w:t>
      </w:r>
    </w:p>
    <w:p w14:paraId="3E9550AA" w14:textId="76A4F80F"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31CD516F" w14:textId="77777777"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p>
    <w:p w14:paraId="7233BC2B" w14:textId="54B5229A" w:rsidR="006B6B85" w:rsidRPr="002B3167" w:rsidRDefault="006B6B85"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20.-</w:t>
      </w:r>
      <w:r w:rsidRPr="002B3167">
        <w:rPr>
          <w:rFonts w:ascii="Palatino Linotype" w:hAnsi="Palatino Linotype" w:cs="Arial"/>
          <w:i/>
          <w:szCs w:val="24"/>
        </w:rPr>
        <w:t xml:space="preserve"> Está adscrito orgánica y presupuestalmente a la Secretaría, un órgano interno de control, cuyo titular depende funcionalmente de la Secretaría de la Contraloría, con las atribuciones que se establecen en el Reglamento Interior de ésta y los demás ordenamientos legales y administrativos aplicables.</w:t>
      </w:r>
    </w:p>
    <w:p w14:paraId="16A8D781" w14:textId="5C64575C" w:rsidR="0037150F" w:rsidRPr="002B3167" w:rsidRDefault="0037150F"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w:t>
      </w:r>
    </w:p>
    <w:p w14:paraId="767FC0AA" w14:textId="4DC47C63" w:rsidR="006B6B85" w:rsidRPr="002B3167" w:rsidRDefault="00C3163A" w:rsidP="002B3167">
      <w:pPr>
        <w:autoSpaceDE w:val="0"/>
        <w:autoSpaceDN w:val="0"/>
        <w:adjustRightInd w:val="0"/>
        <w:spacing w:after="0" w:line="240" w:lineRule="auto"/>
        <w:ind w:left="567" w:right="567"/>
        <w:jc w:val="right"/>
        <w:rPr>
          <w:rFonts w:ascii="Palatino Linotype" w:hAnsi="Palatino Linotype" w:cs="Arial"/>
          <w:szCs w:val="24"/>
        </w:rPr>
      </w:pPr>
      <w:r w:rsidRPr="002B3167">
        <w:rPr>
          <w:rFonts w:ascii="Palatino Linotype" w:hAnsi="Palatino Linotype" w:cs="Arial"/>
          <w:szCs w:val="24"/>
        </w:rPr>
        <w:t>(Énfasis añadido)</w:t>
      </w:r>
    </w:p>
    <w:p w14:paraId="2BA09EFB" w14:textId="77777777" w:rsidR="0032173F" w:rsidRPr="002B3167" w:rsidRDefault="0032173F" w:rsidP="002B3167">
      <w:pPr>
        <w:autoSpaceDE w:val="0"/>
        <w:autoSpaceDN w:val="0"/>
        <w:adjustRightInd w:val="0"/>
        <w:spacing w:after="0" w:line="360" w:lineRule="auto"/>
        <w:jc w:val="both"/>
        <w:rPr>
          <w:rFonts w:ascii="Palatino Linotype" w:hAnsi="Palatino Linotype" w:cs="Arial"/>
          <w:sz w:val="24"/>
          <w:szCs w:val="24"/>
        </w:rPr>
      </w:pPr>
    </w:p>
    <w:p w14:paraId="07751597" w14:textId="77777777" w:rsidR="00A13595" w:rsidRPr="002B3167" w:rsidRDefault="00C3163A"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t xml:space="preserve">Preceptos legales que de manera enunciativa señalan las distintas unidades administrativas que integran la estructura orgánica del Sujeto Obligado, </w:t>
      </w:r>
      <w:r w:rsidR="00A13595" w:rsidRPr="002B3167">
        <w:rPr>
          <w:rFonts w:ascii="Palatino Linotype" w:hAnsi="Palatino Linotype" w:cs="Arial"/>
          <w:sz w:val="24"/>
          <w:szCs w:val="24"/>
        </w:rPr>
        <w:t>así</w:t>
      </w:r>
      <w:r w:rsidRPr="002B3167">
        <w:rPr>
          <w:rFonts w:ascii="Palatino Linotype" w:hAnsi="Palatino Linotype" w:cs="Arial"/>
          <w:sz w:val="24"/>
          <w:szCs w:val="24"/>
        </w:rPr>
        <w:t xml:space="preserve"> como, las </w:t>
      </w:r>
      <w:r w:rsidRPr="002B3167">
        <w:rPr>
          <w:rFonts w:ascii="Palatino Linotype" w:hAnsi="Palatino Linotype" w:cs="Arial"/>
          <w:sz w:val="24"/>
          <w:szCs w:val="24"/>
        </w:rPr>
        <w:lastRenderedPageBreak/>
        <w:t xml:space="preserve">atribuciones de las </w:t>
      </w:r>
      <w:r w:rsidR="00A13595" w:rsidRPr="002B3167">
        <w:rPr>
          <w:rFonts w:ascii="Palatino Linotype" w:hAnsi="Palatino Linotype" w:cs="Arial"/>
          <w:sz w:val="24"/>
          <w:szCs w:val="24"/>
        </w:rPr>
        <w:t>áreas, particularmente de la Dirección de Administración y Finanzas quien es la encargada de planear, organizar y controlar el suministro, administración y aplicación de los recursos humanos, materiales y financieros, así como los servicios generales necesarios para el funcionamiento de las unidades administrativas del Hospital Regional y de cumplir y hacer cumplir mediante la emisión de circulares y lineamientos las normas, políticas y procedimientos en materia de recursos humanos, materiales, financieros y técnicos del Organismo.</w:t>
      </w:r>
    </w:p>
    <w:p w14:paraId="2EA70F17" w14:textId="77777777" w:rsidR="00A13595" w:rsidRPr="002B3167" w:rsidRDefault="00A13595" w:rsidP="002B3167">
      <w:pPr>
        <w:autoSpaceDE w:val="0"/>
        <w:autoSpaceDN w:val="0"/>
        <w:adjustRightInd w:val="0"/>
        <w:spacing w:after="0" w:line="360" w:lineRule="auto"/>
        <w:jc w:val="both"/>
        <w:rPr>
          <w:rFonts w:ascii="Palatino Linotype" w:hAnsi="Palatino Linotype" w:cs="Arial"/>
          <w:sz w:val="24"/>
          <w:szCs w:val="24"/>
        </w:rPr>
      </w:pPr>
    </w:p>
    <w:p w14:paraId="3739FC22" w14:textId="77777777" w:rsidR="00201B34" w:rsidRPr="002B3167" w:rsidRDefault="00201B34" w:rsidP="002B3167">
      <w:pPr>
        <w:autoSpaceDE w:val="0"/>
        <w:autoSpaceDN w:val="0"/>
        <w:adjustRightInd w:val="0"/>
        <w:spacing w:after="0" w:line="360" w:lineRule="auto"/>
        <w:jc w:val="both"/>
        <w:rPr>
          <w:rFonts w:ascii="Palatino Linotype" w:hAnsi="Palatino Linotype" w:cs="Arial"/>
          <w:bCs/>
          <w:sz w:val="24"/>
          <w:szCs w:val="24"/>
          <w:lang w:val="es-ES"/>
        </w:rPr>
      </w:pPr>
      <w:r w:rsidRPr="002B3167">
        <w:rPr>
          <w:rFonts w:ascii="Palatino Linotype" w:hAnsi="Palatino Linotype" w:cs="Arial"/>
          <w:bCs/>
          <w:sz w:val="24"/>
          <w:szCs w:val="24"/>
          <w:lang w:val="es-ES"/>
        </w:rPr>
        <w:t xml:space="preserve">Además, el artículo 4°, fracción VI, de la Ley del Trabajo de los servidores públicos del Estado y Municipios, precisa que son </w:t>
      </w:r>
      <w:r w:rsidRPr="002B3167">
        <w:rPr>
          <w:rFonts w:ascii="Palatino Linotype" w:hAnsi="Palatino Linotype" w:cs="Arial"/>
          <w:b/>
          <w:bCs/>
          <w:sz w:val="24"/>
          <w:szCs w:val="24"/>
          <w:lang w:val="es-ES"/>
        </w:rPr>
        <w:t>servidores públicos</w:t>
      </w:r>
      <w:r w:rsidRPr="002B3167">
        <w:rPr>
          <w:rFonts w:ascii="Palatino Linotype" w:hAnsi="Palatino Linotype" w:cs="Arial"/>
          <w:bCs/>
          <w:sz w:val="24"/>
          <w:szCs w:val="24"/>
          <w:lang w:val="es-ES"/>
        </w:rPr>
        <w:t>, todas las personas físicas que preste a una institución pública un trabajo personal subordinado, mediante el pago de un sueldo.</w:t>
      </w:r>
    </w:p>
    <w:p w14:paraId="468A82EA" w14:textId="77777777" w:rsidR="00201B34" w:rsidRPr="002B3167" w:rsidRDefault="00201B34" w:rsidP="002B3167">
      <w:pPr>
        <w:autoSpaceDE w:val="0"/>
        <w:autoSpaceDN w:val="0"/>
        <w:adjustRightInd w:val="0"/>
        <w:spacing w:after="0" w:line="360" w:lineRule="auto"/>
        <w:jc w:val="both"/>
        <w:rPr>
          <w:rFonts w:ascii="Palatino Linotype" w:hAnsi="Palatino Linotype" w:cs="Arial"/>
          <w:sz w:val="24"/>
          <w:szCs w:val="24"/>
        </w:rPr>
      </w:pPr>
    </w:p>
    <w:p w14:paraId="4ACD1E54" w14:textId="77777777" w:rsidR="00201B34" w:rsidRPr="002B3167" w:rsidRDefault="00201B34" w:rsidP="002B3167">
      <w:pPr>
        <w:autoSpaceDE w:val="0"/>
        <w:autoSpaceDN w:val="0"/>
        <w:adjustRightInd w:val="0"/>
        <w:spacing w:after="0" w:line="360" w:lineRule="auto"/>
        <w:jc w:val="both"/>
        <w:rPr>
          <w:rFonts w:ascii="Palatino Linotype" w:hAnsi="Palatino Linotype" w:cs="Arial"/>
          <w:bCs/>
          <w:sz w:val="24"/>
          <w:szCs w:val="24"/>
          <w:lang w:val="es-ES_tradnl"/>
        </w:rPr>
      </w:pPr>
      <w:r w:rsidRPr="002B3167">
        <w:rPr>
          <w:rFonts w:ascii="Palatino Linotype" w:hAnsi="Palatino Linotype" w:cs="Arial"/>
          <w:bCs/>
          <w:sz w:val="24"/>
          <w:szCs w:val="24"/>
          <w:lang w:val="es-ES_tradnl"/>
        </w:rPr>
        <w:t xml:space="preserve">En ese contexto, los artículos 59 y 84 de dicha normatividad, establece que la </w:t>
      </w:r>
      <w:r w:rsidRPr="002B3167">
        <w:rPr>
          <w:rFonts w:ascii="Palatino Linotype" w:hAnsi="Palatino Linotype" w:cs="Arial"/>
          <w:b/>
          <w:sz w:val="24"/>
          <w:szCs w:val="24"/>
          <w:lang w:val="es-ES_tradnl"/>
        </w:rPr>
        <w:t>jornada de trabajo, es el tiempo durante el cual la o el servidor público está a disposición del Ayuntamiento o Unidad Administrativa</w:t>
      </w:r>
      <w:r w:rsidRPr="002B3167">
        <w:rPr>
          <w:rFonts w:ascii="Palatino Linotype" w:hAnsi="Palatino Linotype" w:cs="Arial"/>
          <w:bCs/>
          <w:sz w:val="24"/>
          <w:szCs w:val="24"/>
          <w:lang w:val="es-ES_tradnl"/>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 </w:t>
      </w:r>
    </w:p>
    <w:p w14:paraId="3A1155C2" w14:textId="77777777" w:rsidR="00201B34" w:rsidRPr="002B3167" w:rsidRDefault="00201B34" w:rsidP="002B3167">
      <w:pPr>
        <w:autoSpaceDE w:val="0"/>
        <w:autoSpaceDN w:val="0"/>
        <w:adjustRightInd w:val="0"/>
        <w:spacing w:after="0" w:line="360" w:lineRule="auto"/>
        <w:jc w:val="both"/>
        <w:rPr>
          <w:rFonts w:ascii="Palatino Linotype" w:hAnsi="Palatino Linotype" w:cs="Arial"/>
          <w:bCs/>
          <w:sz w:val="24"/>
          <w:szCs w:val="24"/>
          <w:lang w:val="es-ES_tradnl"/>
        </w:rPr>
      </w:pPr>
    </w:p>
    <w:p w14:paraId="4613B3C4" w14:textId="2E0587A7" w:rsidR="00201B34" w:rsidRPr="002B3167" w:rsidRDefault="00201B34" w:rsidP="002B3167">
      <w:pPr>
        <w:autoSpaceDE w:val="0"/>
        <w:autoSpaceDN w:val="0"/>
        <w:adjustRightInd w:val="0"/>
        <w:spacing w:after="0" w:line="360" w:lineRule="auto"/>
        <w:jc w:val="both"/>
        <w:rPr>
          <w:rFonts w:ascii="Palatino Linotype" w:hAnsi="Palatino Linotype" w:cs="Arial"/>
          <w:b/>
          <w:bCs/>
          <w:sz w:val="24"/>
          <w:szCs w:val="24"/>
          <w:lang w:val="es-ES_tradnl"/>
        </w:rPr>
      </w:pPr>
      <w:r w:rsidRPr="002B3167">
        <w:rPr>
          <w:rFonts w:ascii="Palatino Linotype" w:hAnsi="Palatino Linotype" w:cs="Arial"/>
          <w:bCs/>
          <w:sz w:val="24"/>
          <w:szCs w:val="24"/>
          <w:lang w:val="es-ES_tradnl"/>
        </w:rPr>
        <w:t xml:space="preserve">Asimismo, los artículos 88, fracción III, y 220 K de la Ley de referencia, estipula como </w:t>
      </w:r>
      <w:r w:rsidRPr="002B3167">
        <w:rPr>
          <w:rFonts w:ascii="Palatino Linotype" w:hAnsi="Palatino Linotype" w:cs="Arial"/>
          <w:b/>
          <w:sz w:val="24"/>
          <w:szCs w:val="24"/>
          <w:lang w:val="es-ES_tradnl"/>
        </w:rPr>
        <w:t xml:space="preserve">obligación de los servidores públicos asistir a sus labores y no faltar sin causa </w:t>
      </w:r>
      <w:r w:rsidRPr="002B3167">
        <w:rPr>
          <w:rFonts w:ascii="Palatino Linotype" w:hAnsi="Palatino Linotype" w:cs="Arial"/>
          <w:b/>
          <w:sz w:val="24"/>
          <w:szCs w:val="24"/>
          <w:lang w:val="es-ES_tradnl"/>
        </w:rPr>
        <w:lastRenderedPageBreak/>
        <w:t>justificada o sin permiso</w:t>
      </w:r>
      <w:r w:rsidRPr="002B3167">
        <w:rPr>
          <w:rFonts w:ascii="Palatino Linotype" w:hAnsi="Palatino Linotype" w:cs="Arial"/>
          <w:bCs/>
          <w:sz w:val="24"/>
          <w:szCs w:val="24"/>
          <w:lang w:val="es-ES_tradnl"/>
        </w:rPr>
        <w:t xml:space="preserve">, por otro lado, las instituciones o dependencias tienen </w:t>
      </w:r>
      <w:r w:rsidRPr="002B3167">
        <w:rPr>
          <w:rFonts w:ascii="Palatino Linotype" w:hAnsi="Palatino Linotype" w:cs="Arial"/>
          <w:b/>
          <w:bCs/>
          <w:sz w:val="24"/>
          <w:szCs w:val="24"/>
          <w:lang w:val="es-ES_tradnl"/>
        </w:rPr>
        <w:t>la obligación de conservar y exhibir los controles de asistencia o la información electrónica de asistencia de los servidores públicos.</w:t>
      </w:r>
    </w:p>
    <w:p w14:paraId="3503AD5E" w14:textId="77777777" w:rsidR="00A13595" w:rsidRPr="002B3167" w:rsidRDefault="00A13595" w:rsidP="002B3167">
      <w:pPr>
        <w:autoSpaceDE w:val="0"/>
        <w:autoSpaceDN w:val="0"/>
        <w:adjustRightInd w:val="0"/>
        <w:spacing w:after="0" w:line="360" w:lineRule="auto"/>
        <w:jc w:val="both"/>
        <w:rPr>
          <w:rFonts w:ascii="Palatino Linotype" w:hAnsi="Palatino Linotype" w:cs="Arial"/>
          <w:sz w:val="24"/>
          <w:szCs w:val="24"/>
          <w:lang w:val="es-ES_tradnl"/>
        </w:rPr>
      </w:pPr>
    </w:p>
    <w:p w14:paraId="02CC3DF4" w14:textId="77777777" w:rsidR="00201B34" w:rsidRPr="002B3167" w:rsidRDefault="00201B34"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t xml:space="preserve">Atribuciones de dicha Dirección que toman particular relevancia, atendiendo a la información peticionada, relativa a las altas de los servidores públicos, bajas de personal, remuneraciones, control de asistencia, lo cual constituyen los requerimientos de información </w:t>
      </w:r>
      <w:r w:rsidRPr="002B3167">
        <w:rPr>
          <w:rFonts w:ascii="Palatino Linotype" w:hAnsi="Palatino Linotype" w:cs="Arial"/>
          <w:b/>
          <w:sz w:val="26"/>
          <w:szCs w:val="26"/>
        </w:rPr>
        <w:t>1, 2, 3, 5, 6</w:t>
      </w:r>
      <w:r w:rsidRPr="002B3167">
        <w:rPr>
          <w:rFonts w:ascii="Palatino Linotype" w:hAnsi="Palatino Linotype" w:cs="Arial"/>
          <w:sz w:val="24"/>
          <w:szCs w:val="24"/>
        </w:rPr>
        <w:t xml:space="preserve"> y </w:t>
      </w:r>
      <w:r w:rsidRPr="002B3167">
        <w:rPr>
          <w:rFonts w:ascii="Palatino Linotype" w:hAnsi="Palatino Linotype" w:cs="Arial"/>
          <w:b/>
          <w:sz w:val="26"/>
          <w:szCs w:val="26"/>
        </w:rPr>
        <w:t>7</w:t>
      </w:r>
      <w:r w:rsidRPr="002B3167">
        <w:rPr>
          <w:rFonts w:ascii="Palatino Linotype" w:hAnsi="Palatino Linotype" w:cs="Arial"/>
          <w:sz w:val="24"/>
          <w:szCs w:val="24"/>
        </w:rPr>
        <w:t>, siendo la consecuencia lógica que se turne el requerimiento de información a efecto que dicha área emita respuesta en términos de Ley.</w:t>
      </w:r>
    </w:p>
    <w:p w14:paraId="31CC4D9B" w14:textId="77777777" w:rsidR="00C3163A" w:rsidRPr="002B3167" w:rsidRDefault="00C3163A" w:rsidP="002B3167">
      <w:pPr>
        <w:autoSpaceDE w:val="0"/>
        <w:autoSpaceDN w:val="0"/>
        <w:adjustRightInd w:val="0"/>
        <w:spacing w:after="0" w:line="360" w:lineRule="auto"/>
        <w:jc w:val="both"/>
        <w:rPr>
          <w:rFonts w:ascii="Palatino Linotype" w:hAnsi="Palatino Linotype" w:cs="Arial"/>
          <w:sz w:val="24"/>
          <w:szCs w:val="24"/>
        </w:rPr>
      </w:pPr>
    </w:p>
    <w:p w14:paraId="2865B19F" w14:textId="0CC16833" w:rsidR="005C4802" w:rsidRPr="002B3167" w:rsidRDefault="00A13595"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t xml:space="preserve">Ahora bien, en lo que corresponde al requerimiento de información </w:t>
      </w:r>
      <w:r w:rsidRPr="002B3167">
        <w:rPr>
          <w:rFonts w:ascii="Palatino Linotype" w:hAnsi="Palatino Linotype" w:cs="Arial"/>
          <w:b/>
          <w:sz w:val="26"/>
          <w:szCs w:val="26"/>
        </w:rPr>
        <w:t>4</w:t>
      </w:r>
      <w:r w:rsidRPr="002B3167">
        <w:rPr>
          <w:rFonts w:ascii="Palatino Linotype" w:hAnsi="Palatino Linotype" w:cs="Arial"/>
          <w:sz w:val="24"/>
          <w:szCs w:val="24"/>
        </w:rPr>
        <w:t xml:space="preserve"> “si han tenido actas administrativas”, </w:t>
      </w:r>
      <w:r w:rsidR="005C4802" w:rsidRPr="002B3167">
        <w:rPr>
          <w:rFonts w:ascii="Palatino Linotype" w:hAnsi="Palatino Linotype" w:cs="Arial"/>
          <w:sz w:val="24"/>
          <w:szCs w:val="24"/>
        </w:rPr>
        <w:t>cabe traer a contexto lo referido en el Manual General de Organización del Hospital Regional de Alta Especialidad de Zumpango,</w:t>
      </w:r>
      <w:r w:rsidR="008E5741" w:rsidRPr="002B3167">
        <w:rPr>
          <w:rFonts w:ascii="Palatino Linotype" w:hAnsi="Palatino Linotype" w:cs="Arial"/>
          <w:sz w:val="24"/>
          <w:szCs w:val="24"/>
        </w:rPr>
        <w:t xml:space="preserve"> particularmente las atribuciones del Órgano Interno de Control</w:t>
      </w:r>
      <w:r w:rsidR="002A2B26" w:rsidRPr="002B3167">
        <w:rPr>
          <w:rFonts w:ascii="Palatino Linotype" w:hAnsi="Palatino Linotype" w:cs="Arial"/>
          <w:sz w:val="24"/>
          <w:szCs w:val="24"/>
        </w:rPr>
        <w:t>, Unidad Jurídica y de Igualdad de Género</w:t>
      </w:r>
      <w:r w:rsidR="008E5741" w:rsidRPr="002B3167">
        <w:rPr>
          <w:rFonts w:ascii="Palatino Linotype" w:hAnsi="Palatino Linotype" w:cs="Arial"/>
          <w:sz w:val="24"/>
          <w:szCs w:val="24"/>
        </w:rPr>
        <w:t xml:space="preserve"> </w:t>
      </w:r>
      <w:r w:rsidR="002A2B26" w:rsidRPr="002B3167">
        <w:rPr>
          <w:rFonts w:ascii="Palatino Linotype" w:hAnsi="Palatino Linotype" w:cs="Arial"/>
          <w:sz w:val="24"/>
          <w:szCs w:val="24"/>
        </w:rPr>
        <w:t xml:space="preserve">y la Subdirección de Personal, </w:t>
      </w:r>
      <w:r w:rsidR="005C4802" w:rsidRPr="002B3167">
        <w:rPr>
          <w:rFonts w:ascii="Palatino Linotype" w:hAnsi="Palatino Linotype" w:cs="Arial"/>
          <w:sz w:val="24"/>
          <w:szCs w:val="24"/>
        </w:rPr>
        <w:t xml:space="preserve">el cual indica lo siguiente: </w:t>
      </w:r>
    </w:p>
    <w:p w14:paraId="25808CB3" w14:textId="77777777" w:rsidR="005C4802" w:rsidRPr="002B3167" w:rsidRDefault="005C4802" w:rsidP="002B3167">
      <w:pPr>
        <w:autoSpaceDE w:val="0"/>
        <w:autoSpaceDN w:val="0"/>
        <w:adjustRightInd w:val="0"/>
        <w:spacing w:after="0" w:line="360" w:lineRule="auto"/>
        <w:jc w:val="both"/>
        <w:rPr>
          <w:rFonts w:ascii="Palatino Linotype" w:hAnsi="Palatino Linotype" w:cs="Arial"/>
          <w:sz w:val="24"/>
          <w:szCs w:val="24"/>
        </w:rPr>
      </w:pPr>
    </w:p>
    <w:p w14:paraId="605BE83E" w14:textId="7534A819"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“208C0401000400S ÓRGANO INTERNO DE CONTROL</w:t>
      </w:r>
    </w:p>
    <w:p w14:paraId="40E9774D"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OBJETIVO:</w:t>
      </w:r>
    </w:p>
    <w:p w14:paraId="5792AA93"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xml:space="preserve">Supervisar, auditar y dictaminar la operación administrativa y contable del organismo, a través de los mecanismos de control y evaluación establecidos por la Secretaría de Contraloría del Estado de México, que promuevan la transparencia y el apego a la legalidad de las personas servidoras públicas, la atención de peticiones, </w:t>
      </w:r>
      <w:r w:rsidRPr="002B3167">
        <w:rPr>
          <w:rFonts w:ascii="Palatino Linotype" w:hAnsi="Palatino Linotype" w:cs="Arial"/>
          <w:i/>
          <w:szCs w:val="24"/>
          <w:u w:val="single"/>
        </w:rPr>
        <w:t>quejas</w:t>
      </w:r>
      <w:r w:rsidRPr="002B3167">
        <w:rPr>
          <w:rFonts w:ascii="Palatino Linotype" w:hAnsi="Palatino Linotype" w:cs="Arial"/>
          <w:i/>
          <w:szCs w:val="24"/>
        </w:rPr>
        <w:t xml:space="preserve"> y denuncias ciudadanas, la realización de auditorías y la resolución de procedimientos de responsabilidad administrativa por actos u omisiones cometidas por personas servidoras o ex servidoras públicas adscritas al Hospital.</w:t>
      </w:r>
    </w:p>
    <w:p w14:paraId="30A6AEEE"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p>
    <w:p w14:paraId="0591BF06"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lastRenderedPageBreak/>
        <w:t>FUNCIONES:</w:t>
      </w:r>
    </w:p>
    <w:p w14:paraId="435A057F"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6F91BB71"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Llevar a cabo las auditorías programadas de conformidad con las normas y disposiciones vigentes en materia de salud, sistemas de registro y contabilidad, contratación, control y pago de personal, adquisiciones y servicios, contrato de prestación de servicios, uso, destino, afectación, baja de bienes y demás activos y recursos materiales.</w:t>
      </w:r>
    </w:p>
    <w:p w14:paraId="44D0C3E1"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Fungir como Secretario Técnico del Comité de Control y Evaluación del Hospital, así como vigilar el seguimiento y cumplimiento de los acuerdos generados por dicho órgano colegiado.</w:t>
      </w:r>
    </w:p>
    <w:p w14:paraId="17F762E3"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08995145"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Dirigir la evaluación al desempeño de las unidades administrativas del Hospital y recomendar las acciones de mejora derivadas de las funciones de control y evaluación con el propósito de que se realicen las adecuaciones y correcciones que resulten procedentes.</w:t>
      </w:r>
    </w:p>
    <w:p w14:paraId="7CCF7D62"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Evaluar y realizar el seguimiento del programa operativo anual del Hospital, a efecto de proponer las acciones de mejora y emitir las recomendaciones preventivas y correctivas correspondientes.</w:t>
      </w:r>
    </w:p>
    <w:p w14:paraId="3F0A1715"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Instruir la implementación de las acciones de control que resulten procedentes para establecer el criterio que en situaciones específicas deberán observar las personas servidoras públicas del Hospital en el desempeño de sus empleos, cargos o comisiones.</w:t>
      </w:r>
    </w:p>
    <w:p w14:paraId="01244B7D"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68709921"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xml:space="preserve">- Verificar el cumplimiento de las recomendaciones que haga el Comité Coordinador del Sistema Estatal Anticorrupción a las unidades administrativas del Hospital, con el objeto de adoptar las medidas necesarias para el fortalecimiento institucional y prevenir faltas administrativas y </w:t>
      </w:r>
      <w:proofErr w:type="gramStart"/>
      <w:r w:rsidRPr="002B3167">
        <w:rPr>
          <w:rFonts w:ascii="Palatino Linotype" w:hAnsi="Palatino Linotype" w:cs="Arial"/>
          <w:i/>
          <w:szCs w:val="24"/>
        </w:rPr>
        <w:t>hechos</w:t>
      </w:r>
      <w:proofErr w:type="gramEnd"/>
      <w:r w:rsidRPr="002B3167">
        <w:rPr>
          <w:rFonts w:ascii="Palatino Linotype" w:hAnsi="Palatino Linotype" w:cs="Arial"/>
          <w:i/>
          <w:szCs w:val="24"/>
        </w:rPr>
        <w:t xml:space="preserve"> de corrupción.</w:t>
      </w:r>
    </w:p>
    <w:p w14:paraId="42AF72F6"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Coordinar la investigación, substanciación y calificación de las faltas administrativas; así como emitir las resoluciones en caso de faltas administrativas no graves con el objeto de determinar lo que en derecho resulte procedente.  − Elaborar el informe de la presunta responsabilidad de faltas administrativas de oficio, por denuncia o derivado de las auditorías practicadas, a fin de determinar lo que en derecho resulte procedente.  − Ordenar la remisión del Informe de Presunta Responsabilidad Administrativa en caso de faltas administrativas graves a la autoridad correspondiente con el objeto de dar cumplimiento a la normatividad aplicable.</w:t>
      </w:r>
    </w:p>
    <w:p w14:paraId="5FDA22DA"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Recibir las denuncias que se formulen por presuntas infracciones o faltas administrativas derivadas de actos u omisiones cometidas por personas servidoras públicas del organismo, o de particulares por conductas sancionables, en términos de la Ley de Responsabilidades Administrativas del Estado de México y Municipios; investigar y calificar las faltas administrativas que detecte, así como llevar a cabo las acciones que procedan.</w:t>
      </w:r>
    </w:p>
    <w:p w14:paraId="4E77FD14"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6C34DA14"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lastRenderedPageBreak/>
        <w:t>− Instruir la imposición y ejecución de sanciones administrativas por faltas administrativas no graves de conformidad con la normatividad vigente para su cumplimiento.</w:t>
      </w:r>
    </w:p>
    <w:p w14:paraId="429F2E19"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6FB8403C"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Implementar mecanismos de control interno que resulten procedentes para prevenir actos u omisiones que pudieran constituir responsabilidades administrativas.</w:t>
      </w:r>
    </w:p>
    <w:p w14:paraId="0A851EC2"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Ordenar la ejecución y, en su caso, la verificación de que se hagan efectivas las sanciones administrativas impuestas a las personas servidoras públicas en términos de las leyes respectivas, para su cumplimiento.</w:t>
      </w:r>
    </w:p>
    <w:p w14:paraId="2FF9ADC0"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xml:space="preserve">− Presentar las denuncias por hechos que las leyes señalen como delitos ante la autoridad estatal o federal competente, a efecto de que estas determinen lo procedente. … </w:t>
      </w:r>
    </w:p>
    <w:p w14:paraId="235CC6C3" w14:textId="77777777" w:rsidR="005C4802" w:rsidRPr="002B3167" w:rsidRDefault="005C4802" w:rsidP="002B3167">
      <w:pPr>
        <w:autoSpaceDE w:val="0"/>
        <w:autoSpaceDN w:val="0"/>
        <w:adjustRightInd w:val="0"/>
        <w:spacing w:after="0" w:line="240" w:lineRule="auto"/>
        <w:ind w:left="567" w:right="567"/>
        <w:jc w:val="both"/>
        <w:rPr>
          <w:rFonts w:ascii="Palatino Linotype" w:hAnsi="Palatino Linotype" w:cs="Arial"/>
          <w:i/>
          <w:szCs w:val="24"/>
        </w:rPr>
      </w:pPr>
    </w:p>
    <w:p w14:paraId="6EA1634B" w14:textId="77777777"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 xml:space="preserve">208C0401000500S UNIDAD JURÍDICA Y DE IGUALDAD DE GÉNERO </w:t>
      </w:r>
    </w:p>
    <w:p w14:paraId="692FEF52" w14:textId="77777777"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 xml:space="preserve">OBJETIVO: </w:t>
      </w:r>
    </w:p>
    <w:p w14:paraId="4C663D0B" w14:textId="6EFD156C"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i/>
          <w:szCs w:val="24"/>
        </w:rPr>
        <w:t xml:space="preserve">Representar legalmente al Hospital en los asuntos jurídicos en que intervenga, así como proporcionar asesoría en la materia a las unidades médico administrativas del organismo y proponer los instrumentos jurídicos que al efecto se requieran, con estricto apego a la ley, e implementar acciones que aseguren la incorporación de la perspectiva de género en los programas, proyectos, acciones y políticas públicas competencia del Organismo, con el fin de promover la igualdad de género, erradicar la violencia y discriminación, e impulsar una cultura de respeto, condiciones e igualdad de oportunidades entre mujeres y hombres. </w:t>
      </w:r>
      <w:r w:rsidRPr="002B3167">
        <w:rPr>
          <w:rFonts w:ascii="Palatino Linotype" w:hAnsi="Palatino Linotype" w:cs="Arial"/>
          <w:b/>
          <w:i/>
          <w:szCs w:val="24"/>
        </w:rPr>
        <w:t>FUNCIONES:</w:t>
      </w:r>
    </w:p>
    <w:p w14:paraId="54040721" w14:textId="0BC7ED09"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09409A27" w14:textId="1F2FF603"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Dictaminar las actas administrativas que se levanten a las personas servidoras públicas del Hospital, por violación o incumplimiento de las disposiciones laborales aplicables.</w:t>
      </w:r>
    </w:p>
    <w:p w14:paraId="0E6684C4" w14:textId="77777777"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i/>
          <w:szCs w:val="24"/>
        </w:rPr>
      </w:pPr>
    </w:p>
    <w:p w14:paraId="0E000855" w14:textId="77777777"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i/>
          <w:szCs w:val="24"/>
        </w:rPr>
      </w:pPr>
    </w:p>
    <w:p w14:paraId="3B1C4548" w14:textId="77777777"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 xml:space="preserve">208C0401030200L SUBDIRECCIÓN DE PERSONAL </w:t>
      </w:r>
    </w:p>
    <w:p w14:paraId="37F90DFE" w14:textId="77777777"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 xml:space="preserve">OBJETIVO: </w:t>
      </w:r>
    </w:p>
    <w:p w14:paraId="0BE6E9F3" w14:textId="77777777"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xml:space="preserve">Coordinar y controlar el sistema de administración y desarrollo de personal, que permita registrar los movimientos e incidencias, así como vigilar la observancia de las condiciones laborales de las personas servidoras públicas que laboran en el Hospital. </w:t>
      </w:r>
    </w:p>
    <w:p w14:paraId="0FDD2201" w14:textId="34A9BC16"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FUNCIONES:</w:t>
      </w:r>
    </w:p>
    <w:p w14:paraId="316E2887" w14:textId="2F68F0EE"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67EF96A0" w14:textId="3F8DB9C3"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 Realizar el seguimiento de las actas administrativas generadas en las unidades médicas y administrativas del Hospital, que se hayan turnado a la Unidad Jurídica y de Igualdad de Género para el análisis y determinación de la sanción correspondiente.</w:t>
      </w:r>
    </w:p>
    <w:p w14:paraId="56818631" w14:textId="77777777" w:rsidR="005174AB" w:rsidRPr="002B3167" w:rsidRDefault="005174AB" w:rsidP="002B3167">
      <w:pPr>
        <w:autoSpaceDE w:val="0"/>
        <w:autoSpaceDN w:val="0"/>
        <w:adjustRightInd w:val="0"/>
        <w:spacing w:after="0" w:line="240" w:lineRule="auto"/>
        <w:ind w:left="567" w:right="567"/>
        <w:jc w:val="both"/>
        <w:rPr>
          <w:rFonts w:ascii="Palatino Linotype" w:hAnsi="Palatino Linotype" w:cs="Arial"/>
          <w:i/>
          <w:szCs w:val="24"/>
        </w:rPr>
      </w:pPr>
    </w:p>
    <w:p w14:paraId="188B7E36" w14:textId="77777777" w:rsidR="005C4802" w:rsidRPr="002B3167" w:rsidRDefault="005C4802" w:rsidP="002B3167">
      <w:pPr>
        <w:autoSpaceDE w:val="0"/>
        <w:autoSpaceDN w:val="0"/>
        <w:adjustRightInd w:val="0"/>
        <w:spacing w:after="0" w:line="240" w:lineRule="auto"/>
        <w:ind w:left="567" w:right="567"/>
        <w:jc w:val="right"/>
        <w:rPr>
          <w:rFonts w:ascii="Palatino Linotype" w:hAnsi="Palatino Linotype" w:cs="Arial"/>
          <w:szCs w:val="24"/>
        </w:rPr>
      </w:pPr>
      <w:r w:rsidRPr="002B3167">
        <w:rPr>
          <w:rFonts w:ascii="Palatino Linotype" w:hAnsi="Palatino Linotype" w:cs="Arial"/>
          <w:szCs w:val="24"/>
        </w:rPr>
        <w:t xml:space="preserve">(Énfasis añadido) </w:t>
      </w:r>
    </w:p>
    <w:p w14:paraId="64640BD9" w14:textId="6F1DD68D" w:rsidR="005C4802" w:rsidRPr="002B3167" w:rsidRDefault="00862CE3"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lastRenderedPageBreak/>
        <w:t>Ordenamiento del que se observan atribuciones de tres unidades administrativas que integran la estructura orgánica del Sujeto Obligado. Atribuciones respecto a las actas administrativas que sean generadas contra servidores públicos adscritos al Sujeto Obligado, consecuentemente, resulta dable ordenar el soporte documental en que obre si los servidores +públicos que ingresaron en el periodo en que la servidora pública referida en la solicitud ocupó el cargo de Subdirectora de Personal.</w:t>
      </w:r>
    </w:p>
    <w:p w14:paraId="6D277652" w14:textId="77777777" w:rsidR="005C4802" w:rsidRPr="002B3167" w:rsidRDefault="005C4802" w:rsidP="002B3167">
      <w:pPr>
        <w:autoSpaceDE w:val="0"/>
        <w:autoSpaceDN w:val="0"/>
        <w:adjustRightInd w:val="0"/>
        <w:spacing w:after="0" w:line="360" w:lineRule="auto"/>
        <w:jc w:val="both"/>
        <w:rPr>
          <w:rFonts w:ascii="Palatino Linotype" w:hAnsi="Palatino Linotype" w:cs="Arial"/>
          <w:sz w:val="24"/>
          <w:szCs w:val="24"/>
        </w:rPr>
      </w:pPr>
    </w:p>
    <w:p w14:paraId="5B55AAB6" w14:textId="77777777" w:rsidR="00BB73B9" w:rsidRPr="002B3167" w:rsidRDefault="00BB73B9" w:rsidP="002B3167">
      <w:pPr>
        <w:spacing w:after="0" w:line="360" w:lineRule="auto"/>
        <w:jc w:val="both"/>
        <w:rPr>
          <w:rFonts w:ascii="Palatino Linotype" w:hAnsi="Palatino Linotype" w:cs="Arial"/>
          <w:sz w:val="24"/>
          <w:szCs w:val="24"/>
        </w:rPr>
      </w:pPr>
      <w:r w:rsidRPr="002B3167">
        <w:rPr>
          <w:rFonts w:ascii="Palatino Linotype" w:hAnsi="Palatino Linotype" w:cs="Arial"/>
          <w:sz w:val="24"/>
          <w:szCs w:val="24"/>
        </w:rPr>
        <w:t>Finalmente, este Instituto resalta que, si bien, por regla general, toda la información 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w:t>
      </w:r>
    </w:p>
    <w:p w14:paraId="0082FA64" w14:textId="77777777" w:rsidR="00BB73B9" w:rsidRPr="002B3167" w:rsidRDefault="00BB73B9" w:rsidP="002B3167">
      <w:pPr>
        <w:spacing w:after="0" w:line="360" w:lineRule="auto"/>
        <w:jc w:val="both"/>
        <w:rPr>
          <w:rFonts w:ascii="Palatino Linotype" w:hAnsi="Palatino Linotype" w:cs="Arial"/>
          <w:sz w:val="24"/>
          <w:szCs w:val="24"/>
        </w:rPr>
      </w:pPr>
    </w:p>
    <w:p w14:paraId="3BCC7285" w14:textId="77777777" w:rsidR="00BB73B9" w:rsidRPr="002B3167" w:rsidRDefault="00BB73B9" w:rsidP="002B3167">
      <w:pPr>
        <w:spacing w:after="0" w:line="360" w:lineRule="auto"/>
        <w:jc w:val="both"/>
        <w:rPr>
          <w:rFonts w:ascii="Palatino Linotype" w:hAnsi="Palatino Linotype" w:cs="Arial"/>
          <w:sz w:val="24"/>
          <w:szCs w:val="24"/>
        </w:rPr>
      </w:pPr>
      <w:r w:rsidRPr="002B3167">
        <w:rPr>
          <w:rFonts w:ascii="Palatino Linotype" w:hAnsi="Palatino Linotype" w:cs="Arial"/>
          <w:sz w:val="24"/>
          <w:szCs w:val="24"/>
        </w:rPr>
        <w:t>Respecto a la información reservada, resulta necesario señalar que de conformidad con el artículo 3, fracciones XXIV de la Ley de Transparencia y Acceso a la Información Pública del Estado de México y Municipios, se define de la siguiente manera:</w:t>
      </w:r>
    </w:p>
    <w:p w14:paraId="2D5227E5" w14:textId="77777777" w:rsidR="00BB73B9" w:rsidRPr="002B3167" w:rsidRDefault="00BB73B9" w:rsidP="002B3167">
      <w:pPr>
        <w:spacing w:after="0" w:line="360" w:lineRule="auto"/>
        <w:jc w:val="both"/>
        <w:rPr>
          <w:rFonts w:ascii="Palatino Linotype" w:hAnsi="Palatino Linotype" w:cs="Arial"/>
          <w:sz w:val="14"/>
          <w:szCs w:val="24"/>
        </w:rPr>
      </w:pPr>
    </w:p>
    <w:p w14:paraId="43D13763" w14:textId="77777777" w:rsidR="00BB73B9" w:rsidRPr="002B3167" w:rsidRDefault="00BB73B9" w:rsidP="002B3167">
      <w:pPr>
        <w:spacing w:after="0" w:line="240" w:lineRule="auto"/>
        <w:ind w:left="567" w:right="567"/>
        <w:jc w:val="both"/>
        <w:rPr>
          <w:rFonts w:ascii="Palatino Linotype" w:hAnsi="Palatino Linotype" w:cs="Arial"/>
          <w:i/>
        </w:rPr>
      </w:pPr>
      <w:r w:rsidRPr="002B3167">
        <w:rPr>
          <w:rFonts w:ascii="Palatino Linotype" w:hAnsi="Palatino Linotype" w:cs="Arial"/>
          <w:b/>
          <w:i/>
        </w:rPr>
        <w:t>“…XXIV. Información reservada:</w:t>
      </w:r>
      <w:r w:rsidRPr="002B3167">
        <w:rPr>
          <w:rFonts w:ascii="Palatino Linotype" w:hAnsi="Palatino Linotype" w:cs="Arial"/>
          <w:i/>
        </w:rPr>
        <w:t xml:space="preserve"> La clasificada con este carácter de manera temporal por las disposiciones de esta Ley, cuya divulgación puede causar daño en términos de lo establecido por esta Ley…”</w:t>
      </w:r>
    </w:p>
    <w:p w14:paraId="4C469779" w14:textId="77777777" w:rsidR="00BB73B9" w:rsidRPr="002B3167" w:rsidRDefault="00BB73B9" w:rsidP="002B3167">
      <w:pPr>
        <w:spacing w:after="0" w:line="360" w:lineRule="auto"/>
        <w:jc w:val="both"/>
        <w:rPr>
          <w:rFonts w:ascii="Palatino Linotype" w:hAnsi="Palatino Linotype" w:cs="Arial"/>
          <w:sz w:val="24"/>
          <w:szCs w:val="24"/>
        </w:rPr>
      </w:pPr>
    </w:p>
    <w:p w14:paraId="4B2DD3E0" w14:textId="77777777" w:rsidR="00BB73B9" w:rsidRPr="002B3167" w:rsidRDefault="00BB73B9" w:rsidP="002B3167">
      <w:pPr>
        <w:spacing w:after="0" w:line="360" w:lineRule="auto"/>
        <w:jc w:val="both"/>
        <w:rPr>
          <w:rFonts w:ascii="Palatino Linotype" w:hAnsi="Palatino Linotype" w:cs="Arial"/>
          <w:sz w:val="24"/>
          <w:szCs w:val="24"/>
        </w:rPr>
      </w:pPr>
      <w:r w:rsidRPr="002B3167">
        <w:rPr>
          <w:rFonts w:ascii="Palatino Linotype" w:hAnsi="Palatino Linotype" w:cs="Arial"/>
          <w:sz w:val="24"/>
          <w:szCs w:val="24"/>
        </w:rPr>
        <w:t xml:space="preserve">En síntesis, se determina que, excepcionalmente la información pública podrá ser clasificada como reservada temporalmente por razones de interés público, en los términos de las causas legítimas y estrictamente necesarias previstas por la Ley de </w:t>
      </w:r>
      <w:r w:rsidRPr="002B3167">
        <w:rPr>
          <w:rFonts w:ascii="Palatino Linotype" w:hAnsi="Palatino Linotype" w:cs="Arial"/>
          <w:sz w:val="24"/>
          <w:szCs w:val="24"/>
        </w:rPr>
        <w:lastRenderedPageBreak/>
        <w:t>Transparencia, por lo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De tal manera, se tiene que en el caso particular la clasificación invocada fue la de reserva, por lo que el estudio se centrará en este supuesto.</w:t>
      </w:r>
    </w:p>
    <w:p w14:paraId="382606D3" w14:textId="77777777" w:rsidR="00BB73B9" w:rsidRPr="002B3167" w:rsidRDefault="00BB73B9" w:rsidP="002B3167">
      <w:pPr>
        <w:spacing w:after="0" w:line="360" w:lineRule="auto"/>
        <w:jc w:val="both"/>
        <w:rPr>
          <w:rFonts w:ascii="Palatino Linotype" w:hAnsi="Palatino Linotype" w:cs="Arial"/>
          <w:sz w:val="24"/>
          <w:szCs w:val="24"/>
        </w:rPr>
      </w:pPr>
    </w:p>
    <w:p w14:paraId="25E0AD50" w14:textId="77777777" w:rsidR="00BB73B9" w:rsidRPr="002B3167" w:rsidRDefault="00BB73B9" w:rsidP="002B3167">
      <w:pPr>
        <w:spacing w:after="0" w:line="360" w:lineRule="auto"/>
        <w:jc w:val="both"/>
        <w:rPr>
          <w:rFonts w:ascii="Palatino Linotype" w:eastAsia="Calibri" w:hAnsi="Palatino Linotype" w:cs="Arial"/>
          <w:sz w:val="24"/>
          <w:szCs w:val="24"/>
          <w:lang w:val="es-ES" w:eastAsia="es-ES"/>
        </w:rPr>
      </w:pPr>
      <w:r w:rsidRPr="002B3167">
        <w:rPr>
          <w:rFonts w:ascii="Palatino Linotype" w:eastAsia="Calibri" w:hAnsi="Palatino Linotype" w:cs="Arial"/>
          <w:sz w:val="24"/>
          <w:szCs w:val="24"/>
          <w:lang w:val="es-ES" w:eastAsia="es-CO"/>
        </w:rPr>
        <w:t xml:space="preserve">Es así, que respecto a la información clasificada como reservada la </w:t>
      </w:r>
      <w:r w:rsidRPr="002B3167">
        <w:rPr>
          <w:rFonts w:ascii="Palatino Linotype" w:eastAsia="Calibri" w:hAnsi="Palatino Linotype" w:cs="Arial"/>
          <w:sz w:val="24"/>
          <w:szCs w:val="24"/>
          <w:lang w:val="es-ES" w:eastAsia="es-ES"/>
        </w:rPr>
        <w:t>Ley de Transparencia vigente en nuestra entidad establece en su artículo 140 una serie de hipótesis en las cuales radica la posibilidad de tal clasificación de información, que son:</w:t>
      </w:r>
    </w:p>
    <w:p w14:paraId="59B426ED" w14:textId="77777777" w:rsidR="000411BE" w:rsidRPr="002B3167" w:rsidRDefault="000411BE" w:rsidP="002B3167">
      <w:pPr>
        <w:spacing w:after="0" w:line="360" w:lineRule="auto"/>
        <w:jc w:val="both"/>
        <w:rPr>
          <w:rFonts w:ascii="Palatino Linotype" w:eastAsia="Calibri" w:hAnsi="Palatino Linotype" w:cs="Arial"/>
          <w:sz w:val="24"/>
          <w:szCs w:val="24"/>
          <w:lang w:val="es-ES" w:eastAsia="es-ES"/>
        </w:rPr>
      </w:pPr>
    </w:p>
    <w:p w14:paraId="376595AD"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i/>
          <w:sz w:val="24"/>
          <w:szCs w:val="24"/>
          <w:lang w:val="es-ES"/>
        </w:rPr>
        <w:t xml:space="preserve"> </w:t>
      </w:r>
      <w:r w:rsidRPr="002B3167">
        <w:rPr>
          <w:rFonts w:ascii="Palatino Linotype" w:eastAsia="Calibri" w:hAnsi="Palatino Linotype" w:cs="Times New Roman"/>
          <w:i/>
        </w:rPr>
        <w:t>“</w:t>
      </w:r>
      <w:r w:rsidRPr="002B3167">
        <w:rPr>
          <w:rFonts w:ascii="Palatino Linotype" w:eastAsia="Calibri" w:hAnsi="Palatino Linotype" w:cs="Times New Roman"/>
          <w:b/>
          <w:i/>
          <w:lang w:val="es-ES"/>
        </w:rPr>
        <w:t>Artículo 140.</w:t>
      </w:r>
      <w:r w:rsidRPr="002B3167">
        <w:rPr>
          <w:rFonts w:ascii="Palatino Linotype" w:eastAsia="Calibri" w:hAnsi="Palatino Linotype" w:cs="Times New Roman"/>
          <w:i/>
          <w:lang w:val="es-ES"/>
        </w:rPr>
        <w:t xml:space="preserve"> El acceso a la información pública será restringido excepcionalmente, cuando por razones de interés público, ésta sea clasificada como reservada, conforme a los criterios siguientes: </w:t>
      </w:r>
    </w:p>
    <w:p w14:paraId="4F2BEFDA"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I.</w:t>
      </w:r>
      <w:r w:rsidRPr="002B3167">
        <w:rPr>
          <w:rFonts w:ascii="Palatino Linotype" w:eastAsia="Calibri" w:hAnsi="Palatino Linotype" w:cs="Times New Roman"/>
          <w:i/>
          <w:lang w:val="es-ES"/>
        </w:rPr>
        <w:t xml:space="preserve"> Comprometa la seguridad pública y cuente con un propósito genuino y un efecto demostrable; </w:t>
      </w:r>
    </w:p>
    <w:p w14:paraId="639D6E83"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II.</w:t>
      </w:r>
      <w:r w:rsidRPr="002B3167">
        <w:rPr>
          <w:rFonts w:ascii="Palatino Linotype" w:eastAsia="Calibri" w:hAnsi="Palatino Linotype" w:cs="Times New Roman"/>
          <w:i/>
          <w:lang w:val="es-ES"/>
        </w:rPr>
        <w:t xml:space="preserve"> Pueda menoscabar la conducción de las negociaciones y relaciones internacionales; </w:t>
      </w:r>
    </w:p>
    <w:p w14:paraId="29A57C25"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III.</w:t>
      </w:r>
      <w:r w:rsidRPr="002B3167">
        <w:rPr>
          <w:rFonts w:ascii="Palatino Linotype" w:eastAsia="Calibri" w:hAnsi="Palatino Linotype" w:cs="Times New Roman"/>
          <w:i/>
          <w:lang w:val="es-ES"/>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C986824"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IV.</w:t>
      </w:r>
      <w:r w:rsidRPr="002B3167">
        <w:rPr>
          <w:rFonts w:ascii="Palatino Linotype" w:eastAsia="Calibri" w:hAnsi="Palatino Linotype" w:cs="Times New Roman"/>
          <w:i/>
          <w:lang w:val="es-ES"/>
        </w:rPr>
        <w:t xml:space="preserve"> Ponga en riesgo la vida, la seguridad o la salud de una persona física; </w:t>
      </w:r>
    </w:p>
    <w:p w14:paraId="0DDFF89C"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V.</w:t>
      </w:r>
      <w:r w:rsidRPr="002B3167">
        <w:rPr>
          <w:rFonts w:ascii="Palatino Linotype" w:eastAsia="Calibri" w:hAnsi="Palatino Linotype" w:cs="Times New Roman"/>
          <w:i/>
          <w:lang w:val="es-ES"/>
        </w:rPr>
        <w:t xml:space="preserve"> Aquella cuya divulgación obstruya o pueda causar un serio perjuicio a: </w:t>
      </w:r>
    </w:p>
    <w:p w14:paraId="64512FBE"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1.</w:t>
      </w:r>
      <w:r w:rsidRPr="002B3167">
        <w:rPr>
          <w:rFonts w:ascii="Palatino Linotype" w:eastAsia="Calibri" w:hAnsi="Palatino Linotype" w:cs="Times New Roman"/>
          <w:i/>
          <w:lang w:val="es-ES"/>
        </w:rPr>
        <w:t xml:space="preserve"> Las actividades de fiscalización, verificación, inspección, comprobación y auditoría sobre el cumplimiento de las Leyes; o </w:t>
      </w:r>
    </w:p>
    <w:p w14:paraId="19A17946"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2.</w:t>
      </w:r>
      <w:r w:rsidRPr="002B3167">
        <w:rPr>
          <w:rFonts w:ascii="Palatino Linotype" w:eastAsia="Calibri" w:hAnsi="Palatino Linotype" w:cs="Times New Roman"/>
          <w:i/>
          <w:lang w:val="es-ES"/>
        </w:rPr>
        <w:t xml:space="preserve"> La recaudación de las contribuciones. </w:t>
      </w:r>
    </w:p>
    <w:p w14:paraId="62B61F76"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VI.</w:t>
      </w:r>
      <w:r w:rsidRPr="002B3167">
        <w:rPr>
          <w:rFonts w:ascii="Palatino Linotype" w:eastAsia="Calibri" w:hAnsi="Palatino Linotype" w:cs="Times New Roman"/>
          <w:i/>
          <w:lang w:val="es-ES"/>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w:t>
      </w:r>
      <w:r w:rsidRPr="002B3167">
        <w:rPr>
          <w:rFonts w:ascii="Palatino Linotype" w:eastAsia="Calibri" w:hAnsi="Palatino Linotype" w:cs="Times New Roman"/>
          <w:i/>
          <w:lang w:val="es-ES"/>
        </w:rPr>
        <w:lastRenderedPageBreak/>
        <w:t xml:space="preserve">seguridad de un denunciante, querellante o testigo, así como sus familias, en los términos de las disposiciones jurídicas aplicables; </w:t>
      </w:r>
    </w:p>
    <w:p w14:paraId="7FE1D212"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VII.</w:t>
      </w:r>
      <w:r w:rsidRPr="002B3167">
        <w:rPr>
          <w:rFonts w:ascii="Palatino Linotype" w:eastAsia="Calibri" w:hAnsi="Palatino Linotype" w:cs="Times New Roman"/>
          <w:i/>
          <w:lang w:val="es-ES"/>
        </w:rPr>
        <w:t xml:space="preserve"> La que contengan las opiniones, recomendaciones o puntos de vista que formen parte del proceso deliberativo de los servidores públicos, hasta en tanto sea adoptada la decisión definitiva, la cual deberá estar documentada; </w:t>
      </w:r>
    </w:p>
    <w:p w14:paraId="15450570"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VIII.</w:t>
      </w:r>
      <w:r w:rsidRPr="002B3167">
        <w:rPr>
          <w:rFonts w:ascii="Palatino Linotype" w:eastAsia="Calibri" w:hAnsi="Palatino Linotype" w:cs="Times New Roman"/>
          <w:i/>
          <w:lang w:val="es-ES"/>
        </w:rPr>
        <w:t xml:space="preserve"> </w:t>
      </w:r>
      <w:r w:rsidRPr="002B3167">
        <w:rPr>
          <w:rFonts w:ascii="Palatino Linotype" w:eastAsia="Calibri" w:hAnsi="Palatino Linotype" w:cs="Times New Roman"/>
          <w:b/>
          <w:bCs/>
          <w:i/>
          <w:lang w:val="es-ES"/>
        </w:rPr>
        <w:t>Vulnere la conducción de los expedientes judiciales o de los procedimientos administrativos seguidos en forma de juicio, en tanto no hayan quedado firmes</w:t>
      </w:r>
      <w:r w:rsidRPr="002B3167">
        <w:rPr>
          <w:rFonts w:ascii="Palatino Linotype" w:eastAsia="Calibri" w:hAnsi="Palatino Linotype" w:cs="Times New Roman"/>
          <w:i/>
          <w:lang w:val="es-ES"/>
        </w:rPr>
        <w:t xml:space="preserve">; </w:t>
      </w:r>
    </w:p>
    <w:p w14:paraId="13EE47C5"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IX.</w:t>
      </w:r>
      <w:r w:rsidRPr="002B3167">
        <w:rPr>
          <w:rFonts w:ascii="Palatino Linotype" w:eastAsia="Calibri" w:hAnsi="Palatino Linotype" w:cs="Times New Roman"/>
          <w:i/>
          <w:lang w:val="es-ES"/>
        </w:rPr>
        <w:t xml:space="preserve"> Se encuentre contenida dentro de las investigaciones de hechos que la Ley señale como delitos y se tramiten ante el Ministerio Público; </w:t>
      </w:r>
    </w:p>
    <w:p w14:paraId="37441F3E" w14:textId="77777777" w:rsidR="00BB73B9" w:rsidRPr="002B3167" w:rsidRDefault="00BB73B9" w:rsidP="002B3167">
      <w:pPr>
        <w:spacing w:after="0" w:line="240" w:lineRule="auto"/>
        <w:ind w:left="567" w:right="567"/>
        <w:jc w:val="both"/>
        <w:rPr>
          <w:rFonts w:ascii="Palatino Linotype" w:eastAsia="Calibri" w:hAnsi="Palatino Linotype" w:cs="Times New Roman"/>
          <w:i/>
          <w:lang w:val="es-ES"/>
        </w:rPr>
      </w:pPr>
      <w:r w:rsidRPr="002B3167">
        <w:rPr>
          <w:rFonts w:ascii="Palatino Linotype" w:eastAsia="Calibri" w:hAnsi="Palatino Linotype" w:cs="Times New Roman"/>
          <w:b/>
          <w:i/>
          <w:lang w:val="es-ES"/>
        </w:rPr>
        <w:t>X.</w:t>
      </w:r>
      <w:r w:rsidRPr="002B3167">
        <w:rPr>
          <w:rFonts w:ascii="Palatino Linotype" w:eastAsia="Calibri" w:hAnsi="Palatino Linotype" w:cs="Times New Roman"/>
          <w:i/>
          <w:lang w:val="es-ES"/>
        </w:rPr>
        <w:t xml:space="preserve"> </w:t>
      </w:r>
      <w:r w:rsidRPr="002B3167">
        <w:rPr>
          <w:rFonts w:ascii="Palatino Linotype" w:eastAsia="Calibri" w:hAnsi="Palatino Linotype" w:cs="Times New Roman"/>
          <w:b/>
          <w:bCs/>
          <w:i/>
          <w:lang w:val="es-ES"/>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r w:rsidRPr="002B3167">
        <w:rPr>
          <w:rFonts w:ascii="Palatino Linotype" w:eastAsia="Calibri" w:hAnsi="Palatino Linotype" w:cs="Times New Roman"/>
          <w:i/>
          <w:lang w:val="es-ES"/>
        </w:rPr>
        <w:t xml:space="preserve"> </w:t>
      </w:r>
    </w:p>
    <w:p w14:paraId="4B6F5CB9" w14:textId="77777777" w:rsidR="00BB73B9" w:rsidRPr="002B3167" w:rsidRDefault="00BB73B9" w:rsidP="002B3167">
      <w:pPr>
        <w:spacing w:after="0" w:line="240" w:lineRule="auto"/>
        <w:ind w:left="567" w:right="567"/>
        <w:jc w:val="both"/>
        <w:rPr>
          <w:rFonts w:ascii="Palatino Linotype" w:eastAsia="Calibri" w:hAnsi="Palatino Linotype" w:cs="Times New Roman"/>
          <w:b/>
          <w:bCs/>
          <w:i/>
          <w:lang w:val="es-ES"/>
        </w:rPr>
      </w:pPr>
      <w:r w:rsidRPr="002B3167">
        <w:rPr>
          <w:rFonts w:ascii="Palatino Linotype" w:eastAsia="Calibri" w:hAnsi="Palatino Linotype" w:cs="Times New Roman"/>
          <w:b/>
          <w:bCs/>
          <w:i/>
          <w:lang w:val="es-ES"/>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0A44FED3" w14:textId="77777777" w:rsidR="00BB73B9" w:rsidRPr="002B3167" w:rsidRDefault="00BB73B9" w:rsidP="002B3167">
      <w:pPr>
        <w:spacing w:after="0" w:line="240" w:lineRule="auto"/>
        <w:ind w:left="567" w:right="567"/>
        <w:jc w:val="both"/>
        <w:rPr>
          <w:rFonts w:ascii="Palatino Linotype" w:eastAsia="Calibri" w:hAnsi="Palatino Linotype" w:cs="Times New Roman"/>
        </w:rPr>
      </w:pPr>
      <w:r w:rsidRPr="002B3167">
        <w:rPr>
          <w:rFonts w:ascii="Palatino Linotype" w:eastAsia="Calibri" w:hAnsi="Palatino Linotype" w:cs="Times New Roman"/>
          <w:b/>
          <w:i/>
          <w:lang w:val="es-ES"/>
        </w:rPr>
        <w:t>XI.</w:t>
      </w:r>
      <w:r w:rsidRPr="002B3167">
        <w:rPr>
          <w:rFonts w:ascii="Palatino Linotype" w:eastAsia="Calibri" w:hAnsi="Palatino Linotype" w:cs="Times New Roman"/>
          <w:i/>
          <w:lang w:val="es-ES"/>
        </w:rPr>
        <w:t xml:space="preserve"> Las que por disposición expresa de una ley tengan tal carácter, siempre que sean acordes con las bases, principios y disposiciones establecidos en esta Ley y no la contravengan; así como las previstas en tratados internacionales” (Sic).</w:t>
      </w:r>
    </w:p>
    <w:p w14:paraId="13F0A16C" w14:textId="77777777" w:rsidR="00BB73B9" w:rsidRPr="002B3167" w:rsidRDefault="00BB73B9" w:rsidP="002B3167">
      <w:pPr>
        <w:spacing w:after="0" w:line="360" w:lineRule="auto"/>
        <w:jc w:val="both"/>
        <w:rPr>
          <w:rFonts w:ascii="Palatino Linotype" w:hAnsi="Palatino Linotype"/>
          <w:sz w:val="24"/>
          <w:szCs w:val="24"/>
          <w:lang w:val="es-ES" w:eastAsia="es-ES"/>
        </w:rPr>
      </w:pPr>
    </w:p>
    <w:p w14:paraId="116D6BA0" w14:textId="77777777" w:rsidR="00BB73B9" w:rsidRPr="002B3167" w:rsidRDefault="00BB73B9" w:rsidP="002B3167">
      <w:pPr>
        <w:spacing w:after="0" w:line="360" w:lineRule="auto"/>
        <w:jc w:val="both"/>
        <w:rPr>
          <w:rFonts w:ascii="Palatino Linotype" w:eastAsia="Calibri" w:hAnsi="Palatino Linotype" w:cs="Times New Roman"/>
          <w:sz w:val="24"/>
          <w:szCs w:val="24"/>
        </w:rPr>
      </w:pPr>
      <w:r w:rsidRPr="002B3167">
        <w:rPr>
          <w:rFonts w:ascii="Palatino Linotype" w:hAnsi="Palatino Linotype"/>
          <w:sz w:val="24"/>
          <w:szCs w:val="24"/>
          <w:lang w:val="es-ES" w:eastAsia="es-ES"/>
        </w:rPr>
        <w:t xml:space="preserve">En el presente asunto no es la excepción, </w:t>
      </w:r>
      <w:r w:rsidRPr="002B3167">
        <w:rPr>
          <w:rFonts w:ascii="Palatino Linotype" w:hAnsi="Palatino Linotype"/>
          <w:bCs/>
          <w:sz w:val="24"/>
          <w:szCs w:val="24"/>
          <w:lang w:val="es-ES"/>
        </w:rPr>
        <w:t xml:space="preserve">pues la reserva de la información implica una clasificación, la cual debe entenderse como el proceso mediante el cual </w:t>
      </w:r>
      <w:r w:rsidRPr="002B3167">
        <w:rPr>
          <w:rFonts w:ascii="Palatino Linotype" w:hAnsi="Palatino Linotype"/>
          <w:b/>
          <w:bCs/>
          <w:sz w:val="24"/>
          <w:szCs w:val="24"/>
          <w:lang w:val="es-ES"/>
        </w:rPr>
        <w:t>El Sujeto Obligado</w:t>
      </w:r>
      <w:r w:rsidRPr="002B3167">
        <w:rPr>
          <w:rFonts w:ascii="Palatino Linotype" w:hAnsi="Palatino Linotype"/>
          <w:bCs/>
          <w:sz w:val="24"/>
          <w:szCs w:val="24"/>
          <w:lang w:val="es-ES"/>
        </w:rPr>
        <w:t xml:space="preserve"> determina que la información en su poder actualizar alguno de los supuestos de reserva o confidencialidad</w:t>
      </w:r>
      <w:r w:rsidRPr="002B3167">
        <w:rPr>
          <w:rFonts w:ascii="Palatino Linotype" w:eastAsia="Calibri" w:hAnsi="Palatino Linotype" w:cs="Times New Roman"/>
          <w:sz w:val="24"/>
          <w:szCs w:val="24"/>
        </w:rPr>
        <w:t>.</w:t>
      </w:r>
    </w:p>
    <w:p w14:paraId="2DC6A63A" w14:textId="77777777" w:rsidR="00BB73B9" w:rsidRPr="002B3167" w:rsidRDefault="00BB73B9" w:rsidP="002B3167">
      <w:pPr>
        <w:spacing w:after="0" w:line="360" w:lineRule="auto"/>
        <w:jc w:val="both"/>
        <w:rPr>
          <w:rFonts w:ascii="Palatino Linotype" w:eastAsia="Calibri" w:hAnsi="Palatino Linotype" w:cs="Times New Roman"/>
          <w:sz w:val="24"/>
          <w:szCs w:val="24"/>
        </w:rPr>
      </w:pPr>
    </w:p>
    <w:p w14:paraId="38E3D563" w14:textId="77777777" w:rsidR="00BB73B9" w:rsidRPr="002B3167" w:rsidRDefault="00BB73B9" w:rsidP="002B3167">
      <w:pPr>
        <w:spacing w:after="0" w:line="360" w:lineRule="auto"/>
        <w:jc w:val="both"/>
        <w:rPr>
          <w:rFonts w:ascii="Palatino Linotype" w:eastAsia="Calibri" w:hAnsi="Palatino Linotype"/>
          <w:sz w:val="24"/>
          <w:szCs w:val="24"/>
        </w:rPr>
      </w:pPr>
      <w:r w:rsidRPr="002B3167">
        <w:rPr>
          <w:rFonts w:ascii="Palatino Linotype" w:hAnsi="Palatino Linotype"/>
          <w:color w:val="000000" w:themeColor="text1"/>
          <w:sz w:val="24"/>
          <w:szCs w:val="24"/>
        </w:rPr>
        <w:t xml:space="preserve">Por lo que, para el caso que nos ocupa, siendo la reserva de la información, cabe mencionar que de ser el caso el Sujeto Obligado deben </w:t>
      </w:r>
      <w:r w:rsidRPr="002B3167">
        <w:rPr>
          <w:rFonts w:ascii="Palatino Linotype" w:eastAsia="Calibri" w:hAnsi="Palatino Linotype"/>
          <w:sz w:val="24"/>
          <w:szCs w:val="24"/>
        </w:rPr>
        <w:t xml:space="preserve">realizar la prueba de daño correspondiente, de conformidad con lo establecido por el artículo 128, párrafo segundo de la Ley de Transparencia y Acceso a la Información Pública del Estado de México y Municipios, establece que a efecto de motivar la clasificación de información, </w:t>
      </w:r>
      <w:r w:rsidRPr="002B3167">
        <w:rPr>
          <w:rFonts w:ascii="Palatino Linotype" w:eastAsia="Calibri" w:hAnsi="Palatino Linotype"/>
          <w:sz w:val="24"/>
          <w:szCs w:val="24"/>
        </w:rPr>
        <w:lastRenderedPageBreak/>
        <w:t xml:space="preserve">se debe establecer las razones, motivos o circunstancias especiales que lo llevaron a concluir que el caso encuadra en la descripción de la norma jurídica señala como fundamento, aplicando en todo momento una prueba de daño en términos del artículo 129, fracciones I, II y III, 134, párrafo tercero de la Ley de Transparencia y Acceso a la Información Pública del Estado de México y Municipios, vigente, los cuales en lo que interesa son del tenor literal siguiente: </w:t>
      </w:r>
    </w:p>
    <w:p w14:paraId="177E1A66" w14:textId="77777777" w:rsidR="00BB73B9" w:rsidRPr="002B3167" w:rsidRDefault="00BB73B9" w:rsidP="002B3167">
      <w:pPr>
        <w:spacing w:after="0" w:line="360" w:lineRule="auto"/>
        <w:jc w:val="both"/>
        <w:rPr>
          <w:rFonts w:ascii="Palatino Linotype" w:eastAsia="Calibri" w:hAnsi="Palatino Linotype"/>
          <w:sz w:val="24"/>
          <w:szCs w:val="24"/>
        </w:rPr>
      </w:pPr>
    </w:p>
    <w:p w14:paraId="5BC76FF4" w14:textId="77777777" w:rsidR="00BB73B9" w:rsidRPr="002B3167" w:rsidRDefault="00BB73B9" w:rsidP="002B3167">
      <w:pPr>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“Artículo 128…</w:t>
      </w:r>
    </w:p>
    <w:p w14:paraId="0D1EC6A0" w14:textId="77777777" w:rsidR="00BB73B9" w:rsidRPr="002B3167" w:rsidRDefault="00BB73B9" w:rsidP="002B3167">
      <w:pPr>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70B69993" w14:textId="77777777" w:rsidR="00BB73B9" w:rsidRPr="002B3167" w:rsidRDefault="00BB73B9" w:rsidP="002B3167">
      <w:pPr>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Artículo 129.</w:t>
      </w:r>
      <w:r w:rsidRPr="002B3167">
        <w:rPr>
          <w:rFonts w:ascii="Palatino Linotype" w:hAnsi="Palatino Linotype" w:cs="Arial"/>
          <w:i/>
          <w:szCs w:val="24"/>
        </w:rPr>
        <w:t xml:space="preserve"> En la aplicación de la prueba de daño, el sujeto obligado deberá precisar las razones objetivas por las que la apertura de la información generaría una afectación, justificando que:</w:t>
      </w:r>
    </w:p>
    <w:p w14:paraId="282E981C" w14:textId="77777777" w:rsidR="00BB73B9" w:rsidRPr="002B3167" w:rsidRDefault="00BB73B9" w:rsidP="002B3167">
      <w:pPr>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 xml:space="preserve">I. </w:t>
      </w:r>
      <w:r w:rsidRPr="002B3167">
        <w:rPr>
          <w:rFonts w:ascii="Palatino Linotype" w:hAnsi="Palatino Linotype" w:cs="Arial"/>
          <w:i/>
          <w:szCs w:val="24"/>
        </w:rPr>
        <w:t>La divulgación de la información representa un riesgo real, demostrable e identificable del perjuicio significativo al interés público o a la seguridad pública;</w:t>
      </w:r>
    </w:p>
    <w:p w14:paraId="1E8E3FD1" w14:textId="77777777" w:rsidR="00BB73B9" w:rsidRPr="002B3167" w:rsidRDefault="00BB73B9" w:rsidP="002B3167">
      <w:pPr>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II.</w:t>
      </w:r>
      <w:r w:rsidRPr="002B3167">
        <w:rPr>
          <w:rFonts w:ascii="Palatino Linotype" w:hAnsi="Palatino Linotype" w:cs="Arial"/>
          <w:i/>
          <w:szCs w:val="24"/>
        </w:rPr>
        <w:t xml:space="preserve"> El riesgo de perjuicio que supondría la divulgación supera el interés público general de que se difunda; y</w:t>
      </w:r>
    </w:p>
    <w:p w14:paraId="52330001" w14:textId="77777777" w:rsidR="00BB73B9" w:rsidRPr="002B3167" w:rsidRDefault="00BB73B9" w:rsidP="002B3167">
      <w:pPr>
        <w:spacing w:after="0" w:line="240" w:lineRule="auto"/>
        <w:ind w:left="567" w:right="567"/>
        <w:jc w:val="both"/>
        <w:rPr>
          <w:rFonts w:ascii="Palatino Linotype" w:hAnsi="Palatino Linotype" w:cs="Arial"/>
          <w:i/>
          <w:szCs w:val="24"/>
        </w:rPr>
      </w:pPr>
      <w:r w:rsidRPr="002B3167">
        <w:rPr>
          <w:rFonts w:ascii="Palatino Linotype" w:hAnsi="Palatino Linotype" w:cs="Arial"/>
          <w:b/>
          <w:i/>
          <w:szCs w:val="24"/>
        </w:rPr>
        <w:t>III.</w:t>
      </w:r>
      <w:r w:rsidRPr="002B3167">
        <w:rPr>
          <w:rFonts w:ascii="Palatino Linotype" w:hAnsi="Palatino Linotype" w:cs="Arial"/>
          <w:i/>
          <w:szCs w:val="24"/>
        </w:rPr>
        <w:t xml:space="preserve"> La limitación se adecua al principio de proporcionalidad y representa el medio menos restrictivo disponible representa el medio menos restrictivo disponible para evitar el perjuicio.</w:t>
      </w:r>
    </w:p>
    <w:p w14:paraId="0994005B" w14:textId="77777777" w:rsidR="00BB73B9" w:rsidRPr="002B3167" w:rsidRDefault="00BB73B9" w:rsidP="002B3167">
      <w:pPr>
        <w:spacing w:after="0" w:line="240" w:lineRule="auto"/>
        <w:ind w:left="567" w:right="567"/>
        <w:jc w:val="both"/>
        <w:rPr>
          <w:rFonts w:ascii="Palatino Linotype" w:hAnsi="Palatino Linotype" w:cs="Arial"/>
          <w:b/>
          <w:i/>
          <w:szCs w:val="24"/>
        </w:rPr>
      </w:pPr>
      <w:r w:rsidRPr="002B3167">
        <w:rPr>
          <w:rFonts w:ascii="Palatino Linotype" w:hAnsi="Palatino Linotype" w:cs="Arial"/>
          <w:b/>
          <w:i/>
          <w:szCs w:val="24"/>
        </w:rPr>
        <w:t>Artículo 134</w:t>
      </w:r>
    </w:p>
    <w:p w14:paraId="0DDE5C4F" w14:textId="77777777" w:rsidR="00BB73B9" w:rsidRPr="002B3167" w:rsidRDefault="00BB73B9" w:rsidP="002B3167">
      <w:pPr>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w:t>
      </w:r>
    </w:p>
    <w:p w14:paraId="2687ED7C" w14:textId="77777777" w:rsidR="00BB73B9" w:rsidRPr="002B3167" w:rsidRDefault="00BB73B9" w:rsidP="002B3167">
      <w:pPr>
        <w:spacing w:after="0" w:line="240" w:lineRule="auto"/>
        <w:ind w:left="567" w:right="567"/>
        <w:jc w:val="both"/>
        <w:rPr>
          <w:rFonts w:ascii="Palatino Linotype" w:hAnsi="Palatino Linotype" w:cs="Arial"/>
          <w:b/>
          <w:bCs/>
          <w:i/>
          <w:szCs w:val="24"/>
        </w:rPr>
      </w:pPr>
      <w:r w:rsidRPr="002B3167">
        <w:rPr>
          <w:rFonts w:ascii="Palatino Linotype" w:hAnsi="Palatino Linotype" w:cs="Arial"/>
          <w:i/>
          <w:szCs w:val="24"/>
        </w:rPr>
        <w:t>La clasificación de información se realizará conforme a un análisis caso por caso, mediante la aplicación de la prueba de daño</w:t>
      </w:r>
      <w:r w:rsidRPr="002B3167">
        <w:rPr>
          <w:rFonts w:ascii="Palatino Linotype" w:hAnsi="Palatino Linotype" w:cs="Arial"/>
          <w:b/>
          <w:i/>
          <w:szCs w:val="24"/>
        </w:rPr>
        <w:t>”</w:t>
      </w:r>
      <w:r w:rsidRPr="002B3167">
        <w:rPr>
          <w:rFonts w:ascii="Palatino Linotype" w:hAnsi="Palatino Linotype" w:cs="Arial"/>
          <w:i/>
          <w:szCs w:val="24"/>
        </w:rPr>
        <w:t xml:space="preserve"> (Sic).</w:t>
      </w:r>
    </w:p>
    <w:p w14:paraId="47AE7D05" w14:textId="77777777" w:rsidR="00BB73B9" w:rsidRPr="002B3167" w:rsidRDefault="00BB73B9" w:rsidP="002B3167">
      <w:pPr>
        <w:spacing w:after="0" w:line="360" w:lineRule="auto"/>
        <w:jc w:val="both"/>
        <w:rPr>
          <w:rFonts w:ascii="Palatino Linotype" w:eastAsia="Calibri" w:hAnsi="Palatino Linotype"/>
          <w:sz w:val="24"/>
          <w:szCs w:val="24"/>
        </w:rPr>
      </w:pPr>
    </w:p>
    <w:p w14:paraId="0BFF13E4" w14:textId="77777777" w:rsidR="00BB73B9" w:rsidRPr="002B3167" w:rsidRDefault="00BB73B9" w:rsidP="002B3167">
      <w:pPr>
        <w:spacing w:after="0" w:line="360" w:lineRule="auto"/>
        <w:jc w:val="both"/>
        <w:rPr>
          <w:rFonts w:ascii="Palatino Linotype" w:eastAsia="Calibri" w:hAnsi="Palatino Linotype" w:cs="Arial"/>
          <w:sz w:val="24"/>
          <w:szCs w:val="24"/>
          <w:lang w:val="es-ES" w:eastAsia="es-ES"/>
        </w:rPr>
      </w:pPr>
      <w:r w:rsidRPr="002B3167">
        <w:rPr>
          <w:rFonts w:ascii="Palatino Linotype" w:eastAsia="Calibri" w:hAnsi="Palatino Linotype"/>
          <w:sz w:val="24"/>
          <w:szCs w:val="24"/>
        </w:rPr>
        <w:t xml:space="preserve">Correlativo a lo anterior, la prueba de daño es la argumentación fundada y motivada que deben realizar los sujetos obligados para acreditar que la divulgación de la información lesiona un interés jurídicamente protegido y que el daño que puede </w:t>
      </w:r>
      <w:r w:rsidRPr="002B3167">
        <w:rPr>
          <w:rFonts w:ascii="Palatino Linotype" w:eastAsia="Calibri" w:hAnsi="Palatino Linotype"/>
          <w:sz w:val="24"/>
          <w:szCs w:val="24"/>
        </w:rPr>
        <w:lastRenderedPageBreak/>
        <w:t xml:space="preserve">producir es mayor que el interés de conocer ésta y su validez, no depende de los medios de prueba que el sujeto obligado aporte, sino de la solidez del juicio de ponderación que se efectúe de acuerdo con las normas aplicables, lo anterior tiene sustento en </w:t>
      </w:r>
      <w:r w:rsidRPr="002B3167">
        <w:rPr>
          <w:rFonts w:ascii="Palatino Linotype" w:eastAsia="Calibri" w:hAnsi="Palatino Linotype" w:cs="Arial"/>
          <w:sz w:val="24"/>
          <w:szCs w:val="24"/>
          <w:lang w:val="es-ES" w:eastAsia="es-ES"/>
        </w:rPr>
        <w:t>la siguiente tesis</w:t>
      </w:r>
      <w:r w:rsidRPr="002B3167">
        <w:rPr>
          <w:rFonts w:ascii="Palatino Linotype" w:eastAsia="Calibri" w:hAnsi="Palatino Linotype" w:cs="Arial"/>
          <w:sz w:val="24"/>
          <w:szCs w:val="24"/>
          <w:vertAlign w:val="superscript"/>
          <w:lang w:val="es-ES" w:eastAsia="es-ES"/>
        </w:rPr>
        <w:footnoteReference w:id="2"/>
      </w:r>
      <w:r w:rsidRPr="002B3167">
        <w:rPr>
          <w:rFonts w:ascii="Palatino Linotype" w:eastAsia="Calibri" w:hAnsi="Palatino Linotype" w:cs="Arial"/>
          <w:sz w:val="24"/>
          <w:szCs w:val="24"/>
          <w:lang w:val="es-ES" w:eastAsia="es-ES"/>
        </w:rPr>
        <w:t>:</w:t>
      </w:r>
    </w:p>
    <w:p w14:paraId="53AADAF5" w14:textId="77777777" w:rsidR="00BB73B9" w:rsidRPr="002B3167" w:rsidRDefault="00BB73B9" w:rsidP="002B3167">
      <w:pPr>
        <w:spacing w:after="0" w:line="360" w:lineRule="auto"/>
        <w:jc w:val="both"/>
        <w:rPr>
          <w:rFonts w:ascii="Palatino Linotype" w:eastAsia="Calibri" w:hAnsi="Palatino Linotype"/>
          <w:sz w:val="24"/>
          <w:szCs w:val="24"/>
        </w:rPr>
      </w:pPr>
    </w:p>
    <w:p w14:paraId="5C9ECDA2" w14:textId="77777777" w:rsidR="00BB73B9" w:rsidRPr="002B3167" w:rsidRDefault="00BB73B9" w:rsidP="002B3167">
      <w:pPr>
        <w:spacing w:after="0" w:line="240" w:lineRule="auto"/>
        <w:ind w:left="567" w:right="567"/>
        <w:jc w:val="both"/>
        <w:rPr>
          <w:rFonts w:ascii="Palatino Linotype" w:hAnsi="Palatino Linotype" w:cs="Arial"/>
          <w:b/>
          <w:bCs/>
          <w:i/>
          <w:szCs w:val="24"/>
        </w:rPr>
      </w:pPr>
      <w:r w:rsidRPr="002B3167">
        <w:rPr>
          <w:rFonts w:ascii="Palatino Linotype" w:hAnsi="Palatino Linotype" w:cs="Arial"/>
          <w:b/>
          <w:bCs/>
          <w:i/>
          <w:szCs w:val="24"/>
        </w:rPr>
        <w:t>“PRUEBA DE DAÑO EN LA CLASIFICACIÓN DE LA INFORMACIÓN PÚBLICA. SU VALIDEZ NO DEPENDE DE LOS MEDIOS DE PRUEBA QUE EL SUJETO OBLIGADO APORTE.</w:t>
      </w:r>
    </w:p>
    <w:p w14:paraId="53439784" w14:textId="77777777" w:rsidR="00BB73B9" w:rsidRPr="002B3167" w:rsidRDefault="00BB73B9" w:rsidP="002B3167">
      <w:pPr>
        <w:spacing w:after="0" w:line="240" w:lineRule="auto"/>
        <w:ind w:left="567" w:right="567"/>
        <w:jc w:val="both"/>
        <w:rPr>
          <w:rFonts w:ascii="Palatino Linotype" w:hAnsi="Palatino Linotype" w:cs="Arial"/>
          <w:i/>
          <w:szCs w:val="24"/>
        </w:rPr>
      </w:pPr>
      <w:r w:rsidRPr="002B3167">
        <w:rPr>
          <w:rFonts w:ascii="Palatino Linotype" w:hAnsi="Palatino Linotype" w:cs="Arial"/>
          <w:i/>
          <w:szCs w:val="24"/>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 la validez de la prueba de daño no depende de los medios de prueba que el sujeto obligado aporte, sino de la solidez del juicio de ponderación que se efectúe en los términos señalados.</w:t>
      </w:r>
    </w:p>
    <w:p w14:paraId="631890B9" w14:textId="77777777" w:rsidR="00BB73B9" w:rsidRPr="002B3167" w:rsidRDefault="00BB73B9" w:rsidP="002B3167">
      <w:pPr>
        <w:spacing w:after="0" w:line="240" w:lineRule="auto"/>
        <w:ind w:left="567" w:right="567"/>
        <w:jc w:val="both"/>
        <w:rPr>
          <w:rFonts w:ascii="Palatino Linotype" w:hAnsi="Palatino Linotype" w:cs="Arial"/>
          <w:i/>
          <w:sz w:val="20"/>
          <w:szCs w:val="24"/>
        </w:rPr>
      </w:pPr>
      <w:r w:rsidRPr="002B3167">
        <w:rPr>
          <w:rFonts w:ascii="Palatino Linotype" w:hAnsi="Palatino Linotype" w:cs="Arial"/>
          <w:i/>
          <w:sz w:val="20"/>
          <w:szCs w:val="24"/>
        </w:rPr>
        <w:t>DÉCIMO TRIBUNAL COLEGIADO EN MATERIA ADMINISTRATIVA DEL PRIMER CIRCUITO.</w:t>
      </w:r>
    </w:p>
    <w:p w14:paraId="4074E704" w14:textId="77777777" w:rsidR="00BB73B9" w:rsidRPr="002B3167" w:rsidRDefault="00BB73B9" w:rsidP="002B3167">
      <w:pPr>
        <w:spacing w:after="0" w:line="240" w:lineRule="auto"/>
        <w:ind w:left="567" w:right="567"/>
        <w:jc w:val="both"/>
        <w:rPr>
          <w:rFonts w:ascii="Palatino Linotype" w:hAnsi="Palatino Linotype" w:cs="Arial"/>
          <w:i/>
          <w:sz w:val="20"/>
          <w:szCs w:val="24"/>
        </w:rPr>
      </w:pPr>
      <w:r w:rsidRPr="002B3167">
        <w:rPr>
          <w:rFonts w:ascii="Palatino Linotype" w:hAnsi="Palatino Linotype" w:cs="Arial"/>
          <w:i/>
          <w:sz w:val="20"/>
          <w:szCs w:val="24"/>
        </w:rPr>
        <w:t>Amparo en revisión 149/2018. Amanda Ibáñez Molina. 6 de septiembre de 2018. Unanimidad de votos. Ponente: Alfredo Enrique Báez López. Secretario: Roberto César Morales Corona”.</w:t>
      </w:r>
    </w:p>
    <w:p w14:paraId="33C29980"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lastRenderedPageBreak/>
        <w:t xml:space="preserve">Considerando que, la solicitud de información </w:t>
      </w:r>
      <w:r w:rsidRPr="002B3167">
        <w:rPr>
          <w:rFonts w:ascii="Palatino Linotype" w:hAnsi="Palatino Linotype" w:cs="Arial"/>
          <w:sz w:val="24"/>
        </w:rPr>
        <w:t>es</w:t>
      </w:r>
      <w:r w:rsidRPr="002B3167">
        <w:rPr>
          <w:rFonts w:ascii="Palatino Linotype" w:hAnsi="Palatino Linotype" w:cs="Arial"/>
          <w:b/>
          <w:sz w:val="24"/>
        </w:rPr>
        <w:t xml:space="preserve"> </w:t>
      </w:r>
      <w:r w:rsidRPr="002B3167">
        <w:rPr>
          <w:rFonts w:ascii="Palatino Linotype" w:hAnsi="Palatino Linotype" w:cs="Arial"/>
          <w:sz w:val="24"/>
        </w:rPr>
        <w:t>referente a la entrega</w:t>
      </w:r>
      <w:r w:rsidRPr="002B3167">
        <w:rPr>
          <w:rFonts w:ascii="Palatino Linotype" w:hAnsi="Palatino Linotype"/>
          <w:sz w:val="24"/>
          <w:szCs w:val="24"/>
        </w:rPr>
        <w:t xml:space="preserve"> del expediente formado con motivo de un procedimiento por probables responsabilidades administrativa, resulta necesario realizar las siguientes precisiones respecto al origen y estado en el que pueda encontrarse el procedimiento de referencia, por lo que se deberá tomar en cuenta las siguientes consideración para el cumplimiento de la presente resolución.</w:t>
      </w:r>
    </w:p>
    <w:p w14:paraId="4B87A595"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2DE8160E"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 xml:space="preserve">Con fundamento en los artículos 113 fracción IX de la Ley General Transparencia y Acceso a la Información Pública, Vigésimo Octavo de los Lineamientos Generales en Materia de Clasificación y Desclasificación de la Información y 140 fracción IV y VIII de la Ley de Transparencia y Acceso a la Información Pública del Estado de México y Municipios, el cual prevé como algunos de los </w:t>
      </w:r>
      <w:r w:rsidRPr="002B3167">
        <w:rPr>
          <w:rFonts w:ascii="Palatino Linotype" w:hAnsi="Palatino Linotype"/>
          <w:b/>
          <w:sz w:val="24"/>
          <w:szCs w:val="24"/>
        </w:rPr>
        <w:t>criterios de reserva de la información cuando: se obstruya los procedimientos para fincar responsabilidad a los servidores públicos, en tanto no se haya dictado la resolución administrativa correspondiente; cuando afecte o vulnere la conducción o los derechos del debido proceso en los procedimientos administrativos</w:t>
      </w:r>
      <w:r w:rsidRPr="002B3167">
        <w:rPr>
          <w:rFonts w:ascii="Palatino Linotype" w:hAnsi="Palatino Linotype"/>
          <w:sz w:val="24"/>
          <w:szCs w:val="24"/>
        </w:rPr>
        <w:t>, incluidos los de quejas, denuncias, inconformidades, responsabilidades administrativas y resarcitorias en tanto no hayan quedado firmes o afecte la administración de justicia o la seguridad de un denunciante, querellante o testigo, así como sus familias; se vulnere la conducción de los procedimientos administrativos seguidos en forma de juicio, en tanto no hayan quedado firmes, disposiciones legales que son del tenor literal siguiente:</w:t>
      </w:r>
    </w:p>
    <w:p w14:paraId="3BA2D128"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703EBC9A" w14:textId="77777777" w:rsidR="00BB73B9" w:rsidRPr="002B3167" w:rsidRDefault="00BB73B9" w:rsidP="002B3167">
      <w:pPr>
        <w:tabs>
          <w:tab w:val="left" w:pos="709"/>
        </w:tabs>
        <w:spacing w:after="0" w:line="240" w:lineRule="auto"/>
        <w:jc w:val="center"/>
        <w:rPr>
          <w:rFonts w:ascii="Palatino Linotype" w:hAnsi="Palatino Linotype"/>
          <w:b/>
          <w:i/>
          <w:szCs w:val="24"/>
        </w:rPr>
      </w:pPr>
      <w:r w:rsidRPr="002B3167">
        <w:rPr>
          <w:rFonts w:ascii="Palatino Linotype" w:hAnsi="Palatino Linotype"/>
          <w:b/>
          <w:i/>
          <w:szCs w:val="24"/>
        </w:rPr>
        <w:t>Ley General Transparencia y Acceso a la Información Pública</w:t>
      </w:r>
    </w:p>
    <w:p w14:paraId="31D64E51" w14:textId="77777777" w:rsidR="00BB73B9" w:rsidRPr="002B3167" w:rsidRDefault="00BB73B9" w:rsidP="002B3167">
      <w:pPr>
        <w:tabs>
          <w:tab w:val="left" w:pos="709"/>
        </w:tabs>
        <w:spacing w:after="0" w:line="240" w:lineRule="auto"/>
        <w:jc w:val="center"/>
        <w:rPr>
          <w:rFonts w:ascii="Palatino Linotype" w:hAnsi="Palatino Linotype"/>
          <w:b/>
          <w:i/>
          <w:szCs w:val="24"/>
        </w:rPr>
      </w:pPr>
    </w:p>
    <w:p w14:paraId="05874256"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lastRenderedPageBreak/>
        <w:t>Artículo 113.</w:t>
      </w:r>
      <w:r w:rsidRPr="002B3167">
        <w:rPr>
          <w:rFonts w:ascii="Palatino Linotype" w:hAnsi="Palatino Linotype"/>
          <w:i/>
        </w:rPr>
        <w:t xml:space="preserve"> Como información reservada podrá clasificarse aquella cuya publicación:</w:t>
      </w:r>
    </w:p>
    <w:p w14:paraId="3108869B"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w:t>
      </w:r>
    </w:p>
    <w:p w14:paraId="2F20A5FA"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IX.</w:t>
      </w:r>
      <w:r w:rsidRPr="002B3167">
        <w:rPr>
          <w:rFonts w:ascii="Palatino Linotype" w:hAnsi="Palatino Linotype"/>
          <w:i/>
        </w:rPr>
        <w:t xml:space="preserve"> Obstruya los procedimientos para fincar responsabilidad a los Servidores Públicos, en tanto no se haya dictado la resolución administrativa;</w:t>
      </w:r>
    </w:p>
    <w:p w14:paraId="128C2E1B" w14:textId="77777777" w:rsidR="00BB73B9" w:rsidRPr="002B3167" w:rsidRDefault="00BB73B9" w:rsidP="002B3167">
      <w:pPr>
        <w:tabs>
          <w:tab w:val="left" w:pos="709"/>
        </w:tabs>
        <w:spacing w:after="0" w:line="240" w:lineRule="auto"/>
        <w:ind w:left="567" w:right="567"/>
        <w:jc w:val="center"/>
        <w:rPr>
          <w:rFonts w:ascii="Palatino Linotype" w:hAnsi="Palatino Linotype"/>
          <w:b/>
          <w:i/>
          <w:sz w:val="28"/>
        </w:rPr>
      </w:pPr>
    </w:p>
    <w:p w14:paraId="26D183D3"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i/>
        </w:rPr>
        <w:t>Vigésimo Octavo de los Lineamientos Generales en Materia de Clasificación y Desclasificación de la Información</w:t>
      </w:r>
    </w:p>
    <w:p w14:paraId="4EBAEA1A" w14:textId="77777777" w:rsidR="00BB73B9" w:rsidRPr="002B3167" w:rsidRDefault="00BB73B9" w:rsidP="002B3167">
      <w:pPr>
        <w:tabs>
          <w:tab w:val="left" w:pos="709"/>
        </w:tabs>
        <w:spacing w:after="0" w:line="240" w:lineRule="auto"/>
        <w:ind w:left="567" w:right="567"/>
        <w:jc w:val="both"/>
        <w:rPr>
          <w:rFonts w:ascii="Palatino Linotype" w:hAnsi="Palatino Linotype"/>
        </w:rPr>
      </w:pPr>
    </w:p>
    <w:p w14:paraId="73B3C6FA"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Vigésimo octavo.</w:t>
      </w:r>
      <w:r w:rsidRPr="002B3167">
        <w:rPr>
          <w:rFonts w:ascii="Palatino Linotype" w:hAnsi="Palatino Linotype"/>
          <w:i/>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52E5555D"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I.</w:t>
      </w:r>
      <w:r w:rsidRPr="002B3167">
        <w:rPr>
          <w:rFonts w:ascii="Palatino Linotype" w:hAnsi="Palatino Linotype"/>
          <w:i/>
        </w:rPr>
        <w:t xml:space="preserve">        La existencia de un procedimiento de responsabilidad administrativa en trámite, y</w:t>
      </w:r>
    </w:p>
    <w:p w14:paraId="4308A408"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II.</w:t>
      </w:r>
      <w:r w:rsidRPr="002B3167">
        <w:rPr>
          <w:rFonts w:ascii="Palatino Linotype" w:hAnsi="Palatino Linotype"/>
          <w:i/>
        </w:rPr>
        <w:t xml:space="preserve">       Que la información se refiera a actuaciones, diligencias y constancias propias del procedimiento de responsabilidad.</w:t>
      </w:r>
    </w:p>
    <w:p w14:paraId="3D89992E" w14:textId="77777777" w:rsidR="00BB73B9" w:rsidRPr="002B3167" w:rsidRDefault="00BB73B9" w:rsidP="002B3167">
      <w:pPr>
        <w:tabs>
          <w:tab w:val="left" w:pos="709"/>
        </w:tabs>
        <w:spacing w:after="0" w:line="240" w:lineRule="auto"/>
        <w:ind w:left="567" w:right="567"/>
        <w:jc w:val="both"/>
        <w:rPr>
          <w:rFonts w:ascii="Palatino Linotype" w:hAnsi="Palatino Linotype"/>
          <w:i/>
          <w:sz w:val="28"/>
        </w:rPr>
      </w:pPr>
    </w:p>
    <w:p w14:paraId="62C63E1E"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rPr>
        <w:t>Ley de Transparencia y Acceso a la Información Pública del Estado de México y Municipios</w:t>
      </w:r>
    </w:p>
    <w:p w14:paraId="6A49FEE1" w14:textId="77777777" w:rsidR="00BB73B9" w:rsidRPr="002B3167" w:rsidRDefault="00BB73B9" w:rsidP="002B3167">
      <w:pPr>
        <w:tabs>
          <w:tab w:val="left" w:pos="709"/>
        </w:tabs>
        <w:spacing w:after="0" w:line="240" w:lineRule="auto"/>
        <w:ind w:left="567" w:right="567"/>
        <w:jc w:val="both"/>
      </w:pPr>
    </w:p>
    <w:p w14:paraId="33C3F2DA"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Artículo 140.</w:t>
      </w:r>
      <w:r w:rsidRPr="002B3167">
        <w:rPr>
          <w:rFonts w:ascii="Palatino Linotype" w:hAnsi="Palatino Linotype"/>
          <w:i/>
        </w:rPr>
        <w:t xml:space="preserve"> El acceso a la información pública será restringido excepcionalmente, cuando por razones de interés público, ésta sea clasificada como reservada, conforme a los criterios siguientes:</w:t>
      </w:r>
    </w:p>
    <w:p w14:paraId="7F486B5C"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w:t>
      </w:r>
    </w:p>
    <w:p w14:paraId="184BA448" w14:textId="77777777" w:rsidR="00BB73B9" w:rsidRPr="002B3167" w:rsidRDefault="00BB73B9" w:rsidP="002B3167">
      <w:pPr>
        <w:tabs>
          <w:tab w:val="left" w:pos="709"/>
        </w:tabs>
        <w:spacing w:after="0" w:line="240" w:lineRule="auto"/>
        <w:ind w:left="567" w:right="567"/>
        <w:jc w:val="both"/>
        <w:rPr>
          <w:rFonts w:ascii="Palatino Linotype" w:hAnsi="Palatino Linotype"/>
          <w:i/>
        </w:rPr>
      </w:pPr>
    </w:p>
    <w:p w14:paraId="28EA1B60"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IV.</w:t>
      </w:r>
      <w:r w:rsidRPr="002B3167">
        <w:rPr>
          <w:rFonts w:ascii="Palatino Linotype" w:hAnsi="Palatino Linotype"/>
          <w:i/>
        </w:rPr>
        <w:t xml:space="preserve"> Ponga en riesgo la vida, la seguridad o la salud de una persona física;</w:t>
      </w:r>
    </w:p>
    <w:p w14:paraId="3828F4B6"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w:t>
      </w:r>
    </w:p>
    <w:p w14:paraId="1640C4DC" w14:textId="77777777" w:rsidR="00BB73B9" w:rsidRPr="002B3167" w:rsidRDefault="00BB73B9" w:rsidP="002B3167">
      <w:pPr>
        <w:tabs>
          <w:tab w:val="left" w:pos="709"/>
        </w:tabs>
        <w:spacing w:after="0" w:line="240" w:lineRule="auto"/>
        <w:ind w:left="567" w:right="567"/>
        <w:jc w:val="both"/>
        <w:rPr>
          <w:rFonts w:ascii="Palatino Linotype" w:hAnsi="Palatino Linotype"/>
          <w:sz w:val="24"/>
          <w:szCs w:val="24"/>
        </w:rPr>
      </w:pPr>
      <w:r w:rsidRPr="002B3167">
        <w:rPr>
          <w:rFonts w:ascii="Palatino Linotype" w:hAnsi="Palatino Linotype"/>
          <w:b/>
          <w:i/>
        </w:rPr>
        <w:t>VIII.</w:t>
      </w:r>
      <w:r w:rsidRPr="002B3167">
        <w:rPr>
          <w:rFonts w:ascii="Palatino Linotype" w:hAnsi="Palatino Linotype"/>
          <w:i/>
        </w:rPr>
        <w:t xml:space="preserve"> Vulnere la conducción de los expedientes judiciales o de los procedimientos administrativos seguidos en forma de juicio, en tanto no hayan quedado firmes;</w:t>
      </w:r>
    </w:p>
    <w:p w14:paraId="4DCCDE20"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47723FED"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 xml:space="preserve">En tal contexto, la información requerida correspondiente al expediente formado con motivo del procedimiento de probables responsabilidades administrativas, al no contar con los elementos para determinar si aún se encuentra en etapa de investigación o sustanciación, ante tales supuestos, </w:t>
      </w:r>
      <w:r w:rsidRPr="002B3167">
        <w:rPr>
          <w:rFonts w:ascii="Palatino Linotype" w:hAnsi="Palatino Linotype"/>
          <w:b/>
          <w:sz w:val="24"/>
          <w:szCs w:val="24"/>
        </w:rPr>
        <w:t xml:space="preserve">si el expediente actualiza la hipótesis normativa </w:t>
      </w:r>
      <w:r w:rsidRPr="002B3167">
        <w:rPr>
          <w:rFonts w:ascii="Palatino Linotype" w:hAnsi="Palatino Linotype"/>
          <w:b/>
          <w:sz w:val="24"/>
          <w:szCs w:val="24"/>
        </w:rPr>
        <w:lastRenderedPageBreak/>
        <w:t xml:space="preserve">señalada anteriormente debe ser considerado como información reservada, </w:t>
      </w:r>
      <w:r w:rsidRPr="002B3167">
        <w:rPr>
          <w:rFonts w:ascii="Palatino Linotype" w:hAnsi="Palatino Linotype"/>
          <w:sz w:val="24"/>
          <w:szCs w:val="24"/>
        </w:rPr>
        <w:t xml:space="preserve">previa cumplimiento de todas y cada una de las formalidades establecidas para su clasificación, </w:t>
      </w:r>
      <w:r w:rsidRPr="002B3167">
        <w:rPr>
          <w:rFonts w:ascii="Palatino Linotype" w:hAnsi="Palatino Linotype"/>
          <w:b/>
          <w:sz w:val="24"/>
          <w:szCs w:val="24"/>
        </w:rPr>
        <w:t xml:space="preserve">lo anterior resulta aplicable tanto a las investigaciones o procedimientos de responsabilidad administrativa originado por faltas administrativas no graves y las graves </w:t>
      </w:r>
      <w:r w:rsidRPr="002B3167">
        <w:rPr>
          <w:rFonts w:ascii="Palatino Linotype" w:hAnsi="Palatino Linotype" w:cs="Arial"/>
          <w:sz w:val="24"/>
        </w:rPr>
        <w:t>siempre que se encuentre en trámite.</w:t>
      </w:r>
      <w:r w:rsidRPr="002B3167">
        <w:rPr>
          <w:rFonts w:ascii="Palatino Linotype" w:hAnsi="Palatino Linotype"/>
          <w:sz w:val="24"/>
          <w:szCs w:val="24"/>
        </w:rPr>
        <w:t xml:space="preserve"> </w:t>
      </w:r>
    </w:p>
    <w:p w14:paraId="050B39D3" w14:textId="77777777" w:rsidR="00BB73B9" w:rsidRPr="002B3167" w:rsidRDefault="00BB73B9" w:rsidP="002B3167">
      <w:pPr>
        <w:tabs>
          <w:tab w:val="left" w:pos="709"/>
        </w:tabs>
        <w:spacing w:after="0" w:line="360" w:lineRule="auto"/>
        <w:jc w:val="both"/>
        <w:rPr>
          <w:rFonts w:ascii="Palatino Linotype" w:hAnsi="Palatino Linotype"/>
          <w:b/>
          <w:sz w:val="24"/>
          <w:szCs w:val="24"/>
        </w:rPr>
      </w:pPr>
    </w:p>
    <w:p w14:paraId="1AB5F526" w14:textId="77777777" w:rsidR="00BB73B9" w:rsidRPr="002B3167" w:rsidRDefault="00BB73B9" w:rsidP="002B3167">
      <w:pPr>
        <w:tabs>
          <w:tab w:val="left" w:pos="709"/>
        </w:tabs>
        <w:spacing w:after="0" w:line="360" w:lineRule="auto"/>
        <w:jc w:val="both"/>
        <w:rPr>
          <w:rFonts w:ascii="Palatino Linotype" w:eastAsia="Calibri" w:hAnsi="Palatino Linotype" w:cs="Tahoma"/>
          <w:bCs/>
          <w:sz w:val="24"/>
          <w:szCs w:val="24"/>
        </w:rPr>
      </w:pPr>
      <w:r w:rsidRPr="002B3167">
        <w:rPr>
          <w:rFonts w:ascii="Palatino Linotype" w:hAnsi="Palatino Linotype"/>
          <w:sz w:val="24"/>
          <w:szCs w:val="24"/>
        </w:rPr>
        <w:t xml:space="preserve">En suma a lo anterior, no se omite señalar que, es criterio del Pleno del máximo Tribunal que, </w:t>
      </w:r>
      <w:r w:rsidRPr="002B3167">
        <w:rPr>
          <w:rFonts w:ascii="Palatino Linotype" w:eastAsia="Calibri" w:hAnsi="Palatino Linotype" w:cs="Tahoma"/>
          <w:bCs/>
          <w:sz w:val="24"/>
          <w:szCs w:val="24"/>
        </w:rPr>
        <w:t>de la interpretación armónica y sistemática de los artículos 14, párrafo segundo, 16, párrafo primero, 19, párrafo primero, 21, párrafo primero y 102, apartado A, párrafo segundo, de la Constitución Política de los Estados Unidos Mexicanos, deriva el principio de presunción de inocencia, que a su vez se establece en los artículos 8, numeral 2, de la Convención Americana sobre Derechos Humanos y 14, numeral 2, del Pacto Internacional de Derechos Civiles y Políticos, que hacen efectiva la presunción de inocencia que debe ser aplicable en todos los procedimientos de cuyo resultado pudiera derivar alguna pena o sanción como resultado de la facultad punitiva del Estado, en tal contexto es un derecho fundamental de toda persona, sometida a un procedimiento administrativo sancionador, lo anterior tiene sustento en la Contradicción de Tesis, con registro digital: 2006590, la cual es del tenor literal siguiente:</w:t>
      </w:r>
    </w:p>
    <w:p w14:paraId="7531FABB" w14:textId="77777777" w:rsidR="002B3167" w:rsidRPr="002B3167" w:rsidRDefault="002B3167" w:rsidP="002B3167">
      <w:pPr>
        <w:tabs>
          <w:tab w:val="left" w:pos="709"/>
        </w:tabs>
        <w:spacing w:after="0" w:line="360" w:lineRule="auto"/>
        <w:jc w:val="both"/>
        <w:rPr>
          <w:rFonts w:ascii="Palatino Linotype" w:eastAsia="Calibri" w:hAnsi="Palatino Linotype" w:cs="Tahoma"/>
          <w:bCs/>
          <w:sz w:val="24"/>
          <w:szCs w:val="24"/>
        </w:rPr>
      </w:pPr>
    </w:p>
    <w:p w14:paraId="469F3D06"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
          <w:i/>
        </w:rPr>
      </w:pPr>
      <w:r w:rsidRPr="002B3167">
        <w:rPr>
          <w:rFonts w:ascii="Palatino Linotype" w:eastAsia="Calibri" w:hAnsi="Palatino Linotype" w:cs="Tahoma"/>
          <w:b/>
          <w:i/>
        </w:rPr>
        <w:t>PRESUNCIÓN DE INOCENCIA. ESTE PRINCIPIO ES APLICABLE AL PROCEDIMIENTO ADMINISTRATIVO SANCIONADOR, CON MATICES O MODULACIONES.</w:t>
      </w:r>
    </w:p>
    <w:p w14:paraId="65F4F694"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rPr>
      </w:pPr>
      <w:r w:rsidRPr="002B3167">
        <w:rPr>
          <w:rFonts w:ascii="Palatino Linotype" w:eastAsia="Calibri" w:hAnsi="Palatino Linotype" w:cs="Tahoma"/>
          <w:bCs/>
          <w:i/>
        </w:rPr>
        <w:t xml:space="preserve">El Tribunal Pleno de la Suprema Corte de Justicia de la Nación, en la tesis aislada P. XXXV/2002, sostuvo que, de la interpretación armónica y sistemática de los artículos 14, </w:t>
      </w:r>
      <w:r w:rsidRPr="002B3167">
        <w:rPr>
          <w:rFonts w:ascii="Palatino Linotype" w:eastAsia="Calibri" w:hAnsi="Palatino Linotype" w:cs="Tahoma"/>
          <w:bCs/>
          <w:i/>
        </w:rPr>
        <w:lastRenderedPageBreak/>
        <w:t>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 cuya consecuencia procesal, entre otras, es desplazar la carga de la prueba a la autoridad, en atención al derecho al debido proceso.</w:t>
      </w:r>
    </w:p>
    <w:p w14:paraId="01A47F16"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rPr>
      </w:pPr>
    </w:p>
    <w:p w14:paraId="1EAC1103"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 xml:space="preserve">Contradicción de tesis 200/2013. Entre las sustentadas por la Primera y la Segunda Salas de la Suprema Corte de Justicia de la Nación. 28 de enero de 2014. Mayoría de nueve votos de los Ministros Alfredo Gutiérrez Ortiz Mena, José Ramón Cossío Díaz, Margarita Beatriz Luna Ramos, José Fernando Franco González Salas, Arturo Zaldívar Lelo de Larrea, Jorge Mario Pardo Rebolledo, Sergio A. Valls Hernández, Olga Sánchez Cordero de García Villegas y Juan N. Silva Meza; votaron en contra: Luis María Aguilar Morales y Alberto Pérez </w:t>
      </w:r>
      <w:proofErr w:type="spellStart"/>
      <w:r w:rsidRPr="002B3167">
        <w:rPr>
          <w:rFonts w:ascii="Palatino Linotype" w:eastAsia="Calibri" w:hAnsi="Palatino Linotype" w:cs="Tahoma"/>
          <w:bCs/>
          <w:i/>
          <w:sz w:val="20"/>
        </w:rPr>
        <w:t>Dayán</w:t>
      </w:r>
      <w:proofErr w:type="spellEnd"/>
      <w:r w:rsidRPr="002B3167">
        <w:rPr>
          <w:rFonts w:ascii="Palatino Linotype" w:eastAsia="Calibri" w:hAnsi="Palatino Linotype" w:cs="Tahoma"/>
          <w:bCs/>
          <w:i/>
          <w:sz w:val="20"/>
        </w:rPr>
        <w:t>. Ponente: Olga Sánchez Cordero de García Villegas. Secretario: Octavio Joel Flores Díaz.</w:t>
      </w:r>
    </w:p>
    <w:p w14:paraId="4A156566"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p>
    <w:p w14:paraId="31DFE012"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Tesis y/o criterios contendientes:</w:t>
      </w:r>
    </w:p>
    <w:p w14:paraId="74A3E4CF"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Tesis 1a. XCIII/2013 (10a.), de rubro: "PRESUNCIÓN DE INOCENCIA. LA APLICACIÓN DE ESTE DERECHO A LOS PROCEDIMIENTOS ADMINISTRATIVOS SANCIONADORES DEBE REALIZARSE CON LAS MODULACIONES NECESARIAS PARA SER COMPATIBLE CON EL CONTEXTO AL QUE SE PRETENDE APLICAR.", aprobada por la Primera Sala de la Suprema Corte de Justicia de la Nación, y publicada en el Semanario Judicial de la Federación y su Gaceta, Décima Época, Libro XIX, Tomo 1, abril de 2013, página 968,</w:t>
      </w:r>
    </w:p>
    <w:p w14:paraId="4E8DC3F9"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p>
    <w:p w14:paraId="2FA3FB27"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 xml:space="preserve">Tesis 1a. XCVII/2013 (10a.), de rubro: "PRESUNCIÓN DE INOCENCIA. EL ARTÍCULO 61 DE LA LEY DE FISCALIZACIÓN SUPERIOR DEL ESTADO DE MORELOS, NO VULNERA </w:t>
      </w:r>
      <w:r w:rsidRPr="002B3167">
        <w:rPr>
          <w:rFonts w:ascii="Palatino Linotype" w:eastAsia="Calibri" w:hAnsi="Palatino Linotype" w:cs="Tahoma"/>
          <w:bCs/>
          <w:i/>
          <w:sz w:val="20"/>
        </w:rPr>
        <w:lastRenderedPageBreak/>
        <w:t>ESTE DERECHO EN SUS VERTIENTES DE REGLA DE TRATAMIENTO, REGLA PROBATORIA Y ESTÁNDAR DE PRUEBA.", aprobada por la Primera Sala de la Suprema Corte de Justicia de la Nación, y publicada en el Semanario Judicial de la Federación y su Gaceta, Décima Época, Libro XIX, Tomo 1, abril de 2013, página 967,</w:t>
      </w:r>
    </w:p>
    <w:p w14:paraId="40E6DCE3"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p>
    <w:p w14:paraId="73B4C282"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Tesis 2a. XC/2012 (10a.), de rubro: "PRESUNCIÓN DE INOCENCIA. CONSTITUYE UN PRINCIPIO CONSTITUCIONAL APLICABLE EXCLUSIVAMENTE EN EL PROCEDIMIENTO PENAL.", aprobada por la Segunda Sala de la Suprema Corte de Justicia de la Nación, y publicada en el Semanario Judicial de la Federación y su Gaceta, Décima Época, Libro XVI, Tomo 2, enero de 2013, página 1687, y</w:t>
      </w:r>
    </w:p>
    <w:p w14:paraId="7896F174"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p>
    <w:p w14:paraId="51B9F5A3"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Tesis 2a. XCI/2012 (10a.), de rubro: "PRESUNCIÓN DE INOCENCIA. NO ES UN PRINCIPIO APLICABLE EN EL PROCEDIMIENTO ADMINISTRATIVO SANCIONADOR.", aprobada por la Segunda Sala de la Suprema Corte de Justicia de la Nación, y publicada en el Semanario Judicial de la Federación y su Gaceta, Décima Época, Libro XVI, Tomo 2, enero de 2013, página 1688.</w:t>
      </w:r>
    </w:p>
    <w:p w14:paraId="661149DA"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p>
    <w:p w14:paraId="404B0FA7"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El Tribunal Pleno, el veintiséis de mayo en curso, aprobó, con el número 43/2014 (10a.), la tesis jurisprudencial que antecede. México, Distrito Federal, a veintiséis de mayo de dos mil catorce.</w:t>
      </w:r>
    </w:p>
    <w:p w14:paraId="1AA4633F"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p>
    <w:p w14:paraId="2F8018BE"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Nota: La tesis aislada P. XXXV/2002 citada, aparece publicada en el Semanario Judicial de la Federación y su Gaceta, Novena Época, Tomo XVI, agosto de 2002, página 14, con el rubro: "PRESUNCIÓN DE INOCENCIA. EL PRINCIPIO RELATIVO SE CONTIENE DE MANERA IMPLÍCITA EN LA CONSTITUCIÓN FEDERAL."</w:t>
      </w:r>
    </w:p>
    <w:p w14:paraId="6041F4FB"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p>
    <w:p w14:paraId="5D6037B8" w14:textId="77777777" w:rsidR="00BB73B9" w:rsidRPr="002B3167" w:rsidRDefault="00BB73B9" w:rsidP="002B3167">
      <w:pPr>
        <w:tabs>
          <w:tab w:val="left" w:pos="709"/>
        </w:tabs>
        <w:spacing w:after="0" w:line="240" w:lineRule="auto"/>
        <w:ind w:left="567" w:right="567"/>
        <w:jc w:val="both"/>
        <w:rPr>
          <w:rFonts w:ascii="Palatino Linotype" w:eastAsia="Calibri" w:hAnsi="Palatino Linotype" w:cs="Tahoma"/>
          <w:bCs/>
          <w:i/>
          <w:sz w:val="20"/>
        </w:rPr>
      </w:pPr>
      <w:r w:rsidRPr="002B3167">
        <w:rPr>
          <w:rFonts w:ascii="Palatino Linotype" w:eastAsia="Calibri" w:hAnsi="Palatino Linotype" w:cs="Tahoma"/>
          <w:bCs/>
          <w:i/>
          <w:sz w:val="20"/>
        </w:rPr>
        <w:t>Esta tesis se publicó el viernes 06 de junio de 2014 a las 12:30 horas en el Semanario Judicial de la Federación y, por ende, se considera de aplicación obligatoria a partir del lunes 09 de junio de 2014, para los efectos previstos en el punto séptimo del Acuerdo General Plenario 19/2013.</w:t>
      </w:r>
    </w:p>
    <w:p w14:paraId="4F467552"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5D0F9EB5"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 xml:space="preserve">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w:t>
      </w:r>
      <w:r w:rsidRPr="002B3167">
        <w:rPr>
          <w:rFonts w:ascii="Palatino Linotype" w:hAnsi="Palatino Linotype"/>
        </w:rPr>
        <w:t>delitos de lesa humanidad</w:t>
      </w:r>
      <w:r w:rsidRPr="002B3167">
        <w:t xml:space="preserve"> </w:t>
      </w:r>
      <w:r w:rsidRPr="002B3167">
        <w:rPr>
          <w:rFonts w:ascii="Palatino Linotype" w:hAnsi="Palatino Linotype"/>
          <w:sz w:val="24"/>
          <w:szCs w:val="24"/>
        </w:rPr>
        <w:t>o actos de corrupción, preceptos legales que establecen lo siguiente:</w:t>
      </w:r>
    </w:p>
    <w:p w14:paraId="650BFEEB" w14:textId="77777777" w:rsidR="00BB73B9" w:rsidRPr="002B3167" w:rsidRDefault="00BB73B9" w:rsidP="002B3167">
      <w:pPr>
        <w:tabs>
          <w:tab w:val="left" w:pos="709"/>
        </w:tabs>
        <w:spacing w:after="0" w:line="240" w:lineRule="auto"/>
        <w:jc w:val="center"/>
        <w:rPr>
          <w:rFonts w:ascii="Palatino Linotype" w:hAnsi="Palatino Linotype"/>
          <w:b/>
          <w:i/>
        </w:rPr>
      </w:pPr>
      <w:r w:rsidRPr="002B3167">
        <w:rPr>
          <w:rFonts w:ascii="Palatino Linotype" w:hAnsi="Palatino Linotype"/>
          <w:b/>
          <w:i/>
        </w:rPr>
        <w:lastRenderedPageBreak/>
        <w:t>Ley General de Transparencia y Acceso a la Información Pública</w:t>
      </w:r>
    </w:p>
    <w:p w14:paraId="6F463334" w14:textId="77777777" w:rsidR="000411BE" w:rsidRPr="002B3167" w:rsidRDefault="000411BE" w:rsidP="002B3167">
      <w:pPr>
        <w:tabs>
          <w:tab w:val="left" w:pos="709"/>
        </w:tabs>
        <w:spacing w:after="0" w:line="240" w:lineRule="auto"/>
        <w:jc w:val="center"/>
        <w:rPr>
          <w:rFonts w:ascii="Palatino Linotype" w:hAnsi="Palatino Linotype"/>
          <w:i/>
        </w:rPr>
      </w:pPr>
    </w:p>
    <w:p w14:paraId="183F7ABB"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Artículo 115.</w:t>
      </w:r>
      <w:r w:rsidRPr="002B3167">
        <w:rPr>
          <w:rFonts w:ascii="Palatino Linotype" w:hAnsi="Palatino Linotype"/>
          <w:i/>
        </w:rPr>
        <w:t xml:space="preserve"> No podrá invocarse el carácter de reservado cuando:</w:t>
      </w:r>
    </w:p>
    <w:p w14:paraId="565406FD"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I. Se trate de violaciones graves de derechos humanos o delitos de lesa humanidad, o</w:t>
      </w:r>
    </w:p>
    <w:p w14:paraId="709CF472"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II. Se trate de información relacionada con actos de corrupción de acuerdo con las leyes aplicables.</w:t>
      </w:r>
    </w:p>
    <w:p w14:paraId="505A9FC4" w14:textId="77777777" w:rsidR="00BB73B9" w:rsidRPr="002B3167" w:rsidRDefault="00BB73B9" w:rsidP="002B3167">
      <w:pPr>
        <w:tabs>
          <w:tab w:val="left" w:pos="709"/>
        </w:tabs>
        <w:spacing w:after="0" w:line="240" w:lineRule="auto"/>
        <w:ind w:left="567" w:right="567"/>
        <w:jc w:val="both"/>
        <w:rPr>
          <w:rFonts w:ascii="Palatino Linotype" w:hAnsi="Palatino Linotype"/>
          <w:i/>
        </w:rPr>
      </w:pPr>
    </w:p>
    <w:p w14:paraId="3FB000D7" w14:textId="77777777" w:rsidR="00BB73B9" w:rsidRPr="002B3167" w:rsidRDefault="00BB73B9" w:rsidP="002B3167">
      <w:pPr>
        <w:tabs>
          <w:tab w:val="left" w:pos="709"/>
        </w:tabs>
        <w:spacing w:after="0" w:line="240" w:lineRule="auto"/>
        <w:ind w:left="567" w:right="567"/>
        <w:jc w:val="both"/>
        <w:rPr>
          <w:rFonts w:ascii="Palatino Linotype" w:hAnsi="Palatino Linotype"/>
          <w:b/>
          <w:i/>
        </w:rPr>
      </w:pPr>
      <w:r w:rsidRPr="002B3167">
        <w:rPr>
          <w:rFonts w:ascii="Palatino Linotype" w:hAnsi="Palatino Linotype"/>
          <w:b/>
          <w:i/>
        </w:rPr>
        <w:t>Ley de Transparencia y Acceso a la Información Pública del Estado de México y Municipios</w:t>
      </w:r>
    </w:p>
    <w:p w14:paraId="5E1CFB64"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Artículo 142.</w:t>
      </w:r>
      <w:r w:rsidRPr="002B3167">
        <w:rPr>
          <w:rFonts w:ascii="Palatino Linotype" w:hAnsi="Palatino Linotype"/>
          <w:i/>
        </w:rPr>
        <w:t xml:space="preserve"> Bajo ninguna circunstancia podrá invocarse el carácter de reservado cuando:</w:t>
      </w:r>
    </w:p>
    <w:p w14:paraId="18E50984"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I. Se trate de violaciones graves de derechos humanos, calificada así por autoridad competente;</w:t>
      </w:r>
    </w:p>
    <w:p w14:paraId="25AACCCB"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II.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247F584C"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446B1933"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IV. Se trate de información relacionada con actos de corrupción de conformidad con las disposiciones jurídicas aplicables.</w:t>
      </w:r>
    </w:p>
    <w:p w14:paraId="5BB29F34" w14:textId="77777777" w:rsidR="00BB73B9" w:rsidRPr="002B3167" w:rsidRDefault="00BB73B9" w:rsidP="002B3167">
      <w:pPr>
        <w:tabs>
          <w:tab w:val="left" w:pos="709"/>
        </w:tabs>
        <w:spacing w:after="0" w:line="240" w:lineRule="auto"/>
        <w:ind w:left="567" w:right="567"/>
        <w:jc w:val="both"/>
        <w:rPr>
          <w:rFonts w:ascii="Palatino Linotype" w:hAnsi="Palatino Linotype"/>
          <w:i/>
        </w:rPr>
      </w:pPr>
    </w:p>
    <w:p w14:paraId="6E927A62" w14:textId="77777777" w:rsidR="00BB73B9" w:rsidRPr="002B3167" w:rsidRDefault="00BB73B9" w:rsidP="002B3167">
      <w:pPr>
        <w:tabs>
          <w:tab w:val="left" w:pos="709"/>
        </w:tabs>
        <w:spacing w:after="0" w:line="240" w:lineRule="auto"/>
        <w:ind w:left="567" w:right="567"/>
        <w:jc w:val="both"/>
        <w:rPr>
          <w:rFonts w:ascii="Palatino Linotype" w:hAnsi="Palatino Linotype"/>
          <w:b/>
          <w:i/>
        </w:rPr>
      </w:pPr>
      <w:r w:rsidRPr="002B3167">
        <w:rPr>
          <w:rFonts w:ascii="Palatino Linotype" w:hAnsi="Palatino Linotype"/>
          <w:b/>
          <w:i/>
          <w:color w:val="2F2F2F"/>
          <w:shd w:val="clear" w:color="auto" w:fill="FFFFFF"/>
        </w:rPr>
        <w:t>LINEAMIENTOS GENERALES EN MATERIA DE CLASIFICACIÓN Y DESCLASIFICACIÓN DE LA INFORMACIÓN, ASÍ COMO PARA LA ELABORACIÓN DE VERSIONES PÚBLICAS.</w:t>
      </w:r>
    </w:p>
    <w:p w14:paraId="046E0268"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Trigésimo séptimo. No podrá invocarse el carácter de reservado de la información cuando:</w:t>
      </w:r>
    </w:p>
    <w:p w14:paraId="0B5F0C8D"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I.        Se trate de violaciones graves de derechos humanos;</w:t>
      </w:r>
    </w:p>
    <w:p w14:paraId="58713C9C"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0B2F2024"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 xml:space="preserve"> III.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29F0B509"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 xml:space="preserve">IV.      Cuando se trate de información relativa a la asignación y ejercicio de los gastos de campañas, precampañas y gastos en general de partidos políticos con cuenta al presupuesto </w:t>
      </w:r>
      <w:r w:rsidRPr="002B3167">
        <w:rPr>
          <w:rFonts w:ascii="Palatino Linotype" w:hAnsi="Palatino Linotype"/>
          <w:i/>
        </w:rPr>
        <w:lastRenderedPageBreak/>
        <w:t>público, ni las aportaciones de cualquier tipo o especie que realicen los particulares sin importar el destino de los recursos aportados; lo anterior de conformidad con lo establecido en la Ley General de Partidos Políticos.</w:t>
      </w:r>
    </w:p>
    <w:p w14:paraId="125DD757"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351AD981"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 xml:space="preserve">Al respecto, derivado de la excepción establecida en los preceptos legales antes citados, resulta oportuno mencionar que en tal supuesto, esta ponencia considera que si la información del expediente que lo originó o que se encuentra contenida dentro de la investigación o procedimiento de responsabilidad administrativa es relativa a alguna 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62170CD8"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29549249"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Asimismo,</w:t>
      </w:r>
      <w:r w:rsidRPr="002B3167">
        <w:rPr>
          <w:rFonts w:ascii="Palatino Linotype" w:hAnsi="Palatino Linotype"/>
          <w:b/>
          <w:sz w:val="24"/>
          <w:szCs w:val="24"/>
        </w:rPr>
        <w:t xml:space="preserve"> </w:t>
      </w:r>
      <w:r w:rsidRPr="002B3167">
        <w:rPr>
          <w:rFonts w:ascii="Palatino Linotype" w:hAnsi="Palatino Linotype"/>
          <w:sz w:val="24"/>
          <w:szCs w:val="24"/>
        </w:rPr>
        <w:t>con</w:t>
      </w:r>
      <w:r w:rsidRPr="002B3167">
        <w:rPr>
          <w:rFonts w:ascii="Palatino Linotype" w:hAnsi="Palatino Linotype"/>
          <w:b/>
          <w:sz w:val="24"/>
          <w:szCs w:val="24"/>
        </w:rPr>
        <w:t xml:space="preserve"> </w:t>
      </w:r>
      <w:r w:rsidRPr="002B3167">
        <w:rPr>
          <w:rFonts w:ascii="Palatino Linotype" w:hAnsi="Palatino Linotype"/>
          <w:sz w:val="24"/>
          <w:szCs w:val="24"/>
        </w:rPr>
        <w:t xml:space="preserve">fundamento en los artículos 53, párrafo primero de la Ley General del Sistema Nacional Anticorrupción, 27, párrafo cuarto, primera hipótesis de la Ley General de Responsabilidades Administrativas, 53, párrafo primero de la Ley del Sistema Anticorrupción del Estado de México, en relación con los artículos 70 fracciones XVII y XVIII de la Ley General de Transparencia y Acceso a la Información Pública, y 92 fracción XXI de la Ley de Transparencia y Acceso a la Información Pública del Estado de México y Municipios, los cuales señalan que las constancias de sanciones o de inhabilitación que se encuentren firmes, entendiéndose como el expediente que contiene la investigación o sustanciación del procedimiento de responsabilidad administrativa hasta su resolución por actos vinculados con faltas graves y las </w:t>
      </w:r>
      <w:r w:rsidRPr="002B3167">
        <w:rPr>
          <w:rFonts w:ascii="Palatino Linotype" w:hAnsi="Palatino Linotype"/>
          <w:sz w:val="24"/>
          <w:szCs w:val="24"/>
        </w:rPr>
        <w:lastRenderedPageBreak/>
        <w:t>sanciones impuestas por faltas administrativas graves, serán del conocimiento público cuando éstas contengan impedimentos o inhabilitaciones para ser contratados como Servidores públicos o como prestadores de servicios o contratistas del sector público, aunado a la obligación de publicar el listado de Servidores Públicos con sanciones administrativas definitivas, especificando la causa de sanción, disposiciones legales que son del tenor literal siguiente:</w:t>
      </w:r>
    </w:p>
    <w:p w14:paraId="4B3F26DA"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50C263AB"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i/>
        </w:rPr>
        <w:t>Ley General del Sistema Nacional Anticorrupción.</w:t>
      </w:r>
    </w:p>
    <w:p w14:paraId="4C76753B"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“Artículo 53.</w:t>
      </w:r>
      <w:r w:rsidRPr="002B3167">
        <w:rPr>
          <w:rFonts w:ascii="Palatino Linotype" w:hAnsi="Palatino Linotype"/>
          <w:i/>
        </w:rPr>
        <w:t xml:space="preserve"> 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General de Responsabilidades Administrativas. </w:t>
      </w:r>
    </w:p>
    <w:p w14:paraId="777C37AA" w14:textId="77777777" w:rsidR="00BB73B9" w:rsidRPr="002B3167" w:rsidRDefault="00BB73B9" w:rsidP="002B3167">
      <w:pPr>
        <w:tabs>
          <w:tab w:val="left" w:pos="709"/>
        </w:tabs>
        <w:spacing w:after="0" w:line="360" w:lineRule="auto"/>
        <w:jc w:val="both"/>
        <w:rPr>
          <w:rFonts w:ascii="Palatino Linotype" w:hAnsi="Palatino Linotype"/>
          <w:i/>
          <w:sz w:val="24"/>
          <w:szCs w:val="24"/>
        </w:rPr>
      </w:pPr>
    </w:p>
    <w:p w14:paraId="73706FCA"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i/>
        </w:rPr>
        <w:t>Ley General de Responsabilidades Administrativas.</w:t>
      </w:r>
    </w:p>
    <w:p w14:paraId="3B7D7C1D" w14:textId="77777777" w:rsidR="00BB73B9" w:rsidRPr="002B3167" w:rsidRDefault="00BB73B9" w:rsidP="002B3167">
      <w:pPr>
        <w:tabs>
          <w:tab w:val="left" w:pos="709"/>
        </w:tabs>
        <w:spacing w:after="0" w:line="240" w:lineRule="auto"/>
        <w:ind w:left="567" w:right="567"/>
        <w:jc w:val="both"/>
        <w:rPr>
          <w:rFonts w:ascii="Palatino Linotype" w:hAnsi="Palatino Linotype"/>
          <w:b/>
          <w:i/>
        </w:rPr>
      </w:pPr>
      <w:r w:rsidRPr="002B3167">
        <w:rPr>
          <w:rFonts w:ascii="Palatino Linotype" w:hAnsi="Palatino Linotype"/>
          <w:b/>
          <w:i/>
        </w:rPr>
        <w:t>“27…</w:t>
      </w:r>
    </w:p>
    <w:p w14:paraId="580F3562"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w:t>
      </w:r>
    </w:p>
    <w:p w14:paraId="5A7FCA11" w14:textId="77777777" w:rsidR="00BB73B9" w:rsidRPr="002B3167" w:rsidRDefault="00BB73B9" w:rsidP="002B3167">
      <w:pPr>
        <w:tabs>
          <w:tab w:val="left" w:pos="709"/>
        </w:tabs>
        <w:spacing w:after="0" w:line="240" w:lineRule="auto"/>
        <w:ind w:left="567" w:right="567"/>
        <w:jc w:val="both"/>
        <w:rPr>
          <w:rFonts w:ascii="Palatino Linotype" w:hAnsi="Palatino Linotype"/>
          <w:i/>
          <w:sz w:val="28"/>
          <w:szCs w:val="24"/>
        </w:rPr>
      </w:pPr>
    </w:p>
    <w:p w14:paraId="7377C35E" w14:textId="77777777" w:rsidR="00BB73B9" w:rsidRPr="002B3167" w:rsidRDefault="00BB73B9" w:rsidP="002B3167">
      <w:pPr>
        <w:tabs>
          <w:tab w:val="left" w:pos="709"/>
        </w:tabs>
        <w:spacing w:after="0" w:line="240" w:lineRule="auto"/>
        <w:ind w:left="567" w:right="567"/>
        <w:jc w:val="center"/>
        <w:rPr>
          <w:rFonts w:ascii="Palatino Linotype" w:hAnsi="Palatino Linotype"/>
          <w:b/>
          <w:i/>
          <w:sz w:val="24"/>
          <w:szCs w:val="24"/>
        </w:rPr>
      </w:pPr>
      <w:r w:rsidRPr="002B3167">
        <w:rPr>
          <w:rFonts w:ascii="Palatino Linotype" w:hAnsi="Palatino Linotype"/>
          <w:b/>
          <w:i/>
          <w:sz w:val="24"/>
          <w:szCs w:val="24"/>
        </w:rPr>
        <w:t>Ley del Sistema Anticorrupción del Estado de México</w:t>
      </w:r>
    </w:p>
    <w:p w14:paraId="548EDB24" w14:textId="77777777" w:rsidR="00BB73B9" w:rsidRPr="002B3167" w:rsidRDefault="00BB73B9" w:rsidP="002B3167">
      <w:pPr>
        <w:tabs>
          <w:tab w:val="left" w:pos="709"/>
        </w:tabs>
        <w:spacing w:after="0" w:line="240" w:lineRule="auto"/>
        <w:ind w:left="567" w:right="567"/>
        <w:jc w:val="both"/>
        <w:rPr>
          <w:rFonts w:ascii="Palatino Linotype" w:hAnsi="Palatino Linotype"/>
          <w:b/>
          <w:i/>
        </w:rPr>
      </w:pPr>
      <w:r w:rsidRPr="002B3167">
        <w:rPr>
          <w:rFonts w:ascii="Palatino Linotype" w:hAnsi="Palatino Linotype"/>
          <w:b/>
          <w:i/>
        </w:rPr>
        <w:t xml:space="preserve">“Artículo 53. </w:t>
      </w:r>
      <w:r w:rsidRPr="002B3167">
        <w:rPr>
          <w:rFonts w:ascii="Palatino Linotype" w:hAnsi="Palatino Linotype"/>
          <w:i/>
        </w:rPr>
        <w:t>Las sanciones impuestas por faltas administrativas graves serán del conocimiento 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r w:rsidRPr="002B3167">
        <w:rPr>
          <w:rFonts w:ascii="Palatino Linotype" w:hAnsi="Palatino Linotype"/>
          <w:b/>
          <w:i/>
        </w:rPr>
        <w:t>”.</w:t>
      </w:r>
    </w:p>
    <w:p w14:paraId="6A97D71B"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i/>
        </w:rPr>
        <w:t>Ley General de Transparencia y Acceso a la Información Pública.</w:t>
      </w:r>
    </w:p>
    <w:p w14:paraId="5E240D16"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Artículo 70.</w:t>
      </w:r>
      <w:r w:rsidRPr="002B3167">
        <w:rPr>
          <w:rFonts w:ascii="Palatino Linotype" w:hAnsi="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w:t>
      </w:r>
      <w:r w:rsidRPr="002B3167">
        <w:rPr>
          <w:rFonts w:ascii="Palatino Linotype" w:hAnsi="Palatino Linotype"/>
          <w:i/>
        </w:rPr>
        <w:lastRenderedPageBreak/>
        <w:t>objeto social, según corresponda, la información, por lo menos, de los temas, documentos y políticas que a continuación se señalan:</w:t>
      </w:r>
    </w:p>
    <w:p w14:paraId="2816DC83"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w:t>
      </w:r>
    </w:p>
    <w:p w14:paraId="10164710"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XVII.</w:t>
      </w:r>
      <w:r w:rsidRPr="002B3167">
        <w:rPr>
          <w:rFonts w:ascii="Palatino Linotype" w:hAnsi="Palatino Linotype"/>
          <w:i/>
        </w:rPr>
        <w:t xml:space="preserve"> La información curricular, desde el nivel de jefe de departamento o equivalente, hasta el titular del sujeto obligado, así como, en su caso, las sanciones administrativas de que haya sido objeto;</w:t>
      </w:r>
    </w:p>
    <w:p w14:paraId="41B0F080"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XVIII.</w:t>
      </w:r>
      <w:r w:rsidRPr="002B3167">
        <w:rPr>
          <w:rFonts w:ascii="Palatino Linotype" w:hAnsi="Palatino Linotype"/>
          <w:i/>
        </w:rPr>
        <w:t xml:space="preserve"> El listado de Servidores Públicos con sanciones administrativas definitivas, especificando la causa de sanción y la disposición;</w:t>
      </w:r>
    </w:p>
    <w:p w14:paraId="3C07477A" w14:textId="77777777" w:rsidR="00BB73B9" w:rsidRPr="002B3167" w:rsidRDefault="00BB73B9" w:rsidP="002B3167">
      <w:pPr>
        <w:tabs>
          <w:tab w:val="left" w:pos="709"/>
        </w:tabs>
        <w:spacing w:after="0" w:line="240" w:lineRule="auto"/>
        <w:ind w:left="567" w:right="567"/>
        <w:jc w:val="both"/>
        <w:rPr>
          <w:rFonts w:ascii="Palatino Linotype" w:hAnsi="Palatino Linotype"/>
          <w:i/>
        </w:rPr>
      </w:pPr>
    </w:p>
    <w:p w14:paraId="7E4DD926"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i/>
        </w:rPr>
        <w:t>Ley de Transparencia y Acceso a la Información Pública del Estado de México y Municipios.</w:t>
      </w:r>
    </w:p>
    <w:p w14:paraId="0B90921A"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Artículo 92.</w:t>
      </w:r>
      <w:r w:rsidRPr="002B3167">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4419655" w14:textId="77777777" w:rsidR="00BB73B9" w:rsidRPr="002B3167" w:rsidRDefault="00BB73B9" w:rsidP="002B3167">
      <w:pPr>
        <w:tabs>
          <w:tab w:val="left" w:pos="709"/>
        </w:tabs>
        <w:spacing w:after="0" w:line="240" w:lineRule="auto"/>
        <w:ind w:left="567" w:right="567"/>
        <w:jc w:val="both"/>
        <w:rPr>
          <w:rFonts w:ascii="Palatino Linotype" w:hAnsi="Palatino Linotype"/>
          <w:b/>
          <w:i/>
        </w:rPr>
      </w:pPr>
      <w:r w:rsidRPr="002B3167">
        <w:rPr>
          <w:rFonts w:ascii="Palatino Linotype" w:hAnsi="Palatino Linotype"/>
          <w:b/>
          <w:i/>
        </w:rPr>
        <w:t>…</w:t>
      </w:r>
    </w:p>
    <w:p w14:paraId="23311F23"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b/>
          <w:i/>
        </w:rPr>
        <w:t>XXII.</w:t>
      </w:r>
      <w:r w:rsidRPr="002B3167">
        <w:rPr>
          <w:rFonts w:ascii="Palatino Linotype" w:hAnsi="Palatino Linotype"/>
          <w:i/>
        </w:rPr>
        <w:t xml:space="preserve"> El listado de Servidores Públicos con sanciones administrativas definitivas, especificando la causa de sanción y la disposición;</w:t>
      </w:r>
    </w:p>
    <w:p w14:paraId="2E84368A"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212D2826"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En tal sentido, en el supuesto de que los expedientes formados con motivo de procedimientos administrativo</w:t>
      </w:r>
      <w:r w:rsidRPr="002B3167">
        <w:rPr>
          <w:rFonts w:ascii="Palatino Linotype" w:hAnsi="Palatino Linotype" w:cs="Arial"/>
          <w:b/>
          <w:sz w:val="24"/>
          <w:szCs w:val="24"/>
        </w:rPr>
        <w:t>s</w:t>
      </w:r>
      <w:r w:rsidRPr="002B3167">
        <w:rPr>
          <w:rFonts w:ascii="Palatino Linotype" w:hAnsi="Palatino Linotype"/>
          <w:sz w:val="24"/>
          <w:szCs w:val="24"/>
        </w:rPr>
        <w:t xml:space="preserve"> se ajusten a las hipótesis establecidos en los artículos de referencia, es decir que en los expedientes en referencia </w:t>
      </w:r>
      <w:r w:rsidRPr="002B3167">
        <w:rPr>
          <w:rFonts w:ascii="Palatino Linotype" w:hAnsi="Palatino Linotype"/>
          <w:b/>
          <w:sz w:val="24"/>
          <w:szCs w:val="24"/>
        </w:rPr>
        <w:t>contengan resolución con sanción por responsabilidad administrativa por motivo de una faltas administrativas graves, y la misma hayan causado estado,</w:t>
      </w:r>
      <w:r w:rsidRPr="002B3167">
        <w:rPr>
          <w:rFonts w:ascii="Palatino Linotype" w:hAnsi="Palatino Linotype"/>
          <w:sz w:val="24"/>
          <w:szCs w:val="24"/>
        </w:rPr>
        <w:t xml:space="preserve"> </w:t>
      </w:r>
      <w:r w:rsidRPr="002B3167">
        <w:rPr>
          <w:rFonts w:ascii="Palatino Linotype" w:hAnsi="Palatino Linotype"/>
          <w:b/>
          <w:sz w:val="24"/>
          <w:szCs w:val="24"/>
        </w:rPr>
        <w:t xml:space="preserve">debe ser considerado como información pública, </w:t>
      </w:r>
      <w:r w:rsidRPr="002B3167">
        <w:rPr>
          <w:rFonts w:ascii="Palatino Linotype" w:hAnsi="Palatino Linotype"/>
          <w:sz w:val="24"/>
          <w:szCs w:val="24"/>
        </w:rPr>
        <w:t>por lo que la misma es susceptible de ser entregada la cual incluye el nombre de servidores públicos sancionados, las sanciones administrativas de que haya sido objeto, la causa y la disposición legal, por lo que en tal caso a consideración de esta ponencia resulta procedente la entrega de la información derivado de la solicitudes de acceso de referencia, siempre que dichas sanciones se encuentren firmes.</w:t>
      </w:r>
    </w:p>
    <w:p w14:paraId="67113134"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lastRenderedPageBreak/>
        <w:t>Correlativo a lo anterior, los artículos 53, párrafo segundo de la Ley General del Sistema Nacional Anticorrupción, 53, párrafo segundo de la Ley del Sistema Anticorrupción del Estado de México y 27, párrafo cuarto, segundo supuesto de la Ley General de Responsabilidades administrativas, señalan que los registros de las sanciones relativas a responsabilidades administrativas no graves, quedarán registradas para efectos de eventual reincidencia, pero no serán públicas, porciones legales cuyo contenido literal es el siguiente:</w:t>
      </w:r>
    </w:p>
    <w:p w14:paraId="344FE3AF"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77DE8CCF"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i/>
        </w:rPr>
        <w:t>Ley General del Sistema Nacional Anticorrupción</w:t>
      </w:r>
    </w:p>
    <w:p w14:paraId="2FCCD20B" w14:textId="77777777" w:rsidR="00BB73B9" w:rsidRPr="002B3167" w:rsidRDefault="00BB73B9" w:rsidP="002B3167">
      <w:pPr>
        <w:tabs>
          <w:tab w:val="left" w:pos="709"/>
        </w:tabs>
        <w:spacing w:after="0" w:line="240" w:lineRule="auto"/>
        <w:ind w:left="567" w:right="567"/>
        <w:jc w:val="both"/>
        <w:rPr>
          <w:rFonts w:ascii="Palatino Linotype" w:hAnsi="Palatino Linotype"/>
          <w:b/>
          <w:i/>
        </w:rPr>
      </w:pPr>
      <w:r w:rsidRPr="002B3167">
        <w:rPr>
          <w:rFonts w:ascii="Palatino Linotype" w:hAnsi="Palatino Linotype"/>
          <w:b/>
          <w:i/>
        </w:rPr>
        <w:t>“53…</w:t>
      </w:r>
    </w:p>
    <w:p w14:paraId="5FA2B8C0"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Los registros de las sanciones relativas a responsabilidades administrativas no graves, quedarán registradas para efectos de eventual reincidencia, pero no serán públicas</w:t>
      </w:r>
      <w:r w:rsidRPr="002B3167">
        <w:rPr>
          <w:rFonts w:ascii="Palatino Linotype" w:hAnsi="Palatino Linotype"/>
          <w:b/>
          <w:i/>
        </w:rPr>
        <w:t xml:space="preserve">...” </w:t>
      </w:r>
    </w:p>
    <w:p w14:paraId="009685E8" w14:textId="77777777" w:rsidR="00BB73B9" w:rsidRPr="002B3167" w:rsidRDefault="00BB73B9" w:rsidP="002B3167">
      <w:pPr>
        <w:tabs>
          <w:tab w:val="left" w:pos="709"/>
        </w:tabs>
        <w:spacing w:after="0" w:line="240" w:lineRule="auto"/>
        <w:ind w:left="567" w:right="567"/>
        <w:jc w:val="both"/>
        <w:rPr>
          <w:rFonts w:ascii="Palatino Linotype" w:hAnsi="Palatino Linotype"/>
          <w:i/>
        </w:rPr>
      </w:pPr>
    </w:p>
    <w:p w14:paraId="299BB4D4"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i/>
        </w:rPr>
        <w:t>Ley del Sistema Anticorrupción del Estado de México</w:t>
      </w:r>
    </w:p>
    <w:p w14:paraId="5574EE8D" w14:textId="77777777" w:rsidR="00BB73B9" w:rsidRPr="002B3167" w:rsidRDefault="00BB73B9" w:rsidP="002B3167">
      <w:pPr>
        <w:tabs>
          <w:tab w:val="left" w:pos="709"/>
        </w:tabs>
        <w:spacing w:after="0" w:line="240" w:lineRule="auto"/>
        <w:ind w:left="567" w:right="567"/>
        <w:jc w:val="both"/>
        <w:rPr>
          <w:rFonts w:ascii="Palatino Linotype" w:hAnsi="Palatino Linotype"/>
          <w:b/>
          <w:i/>
        </w:rPr>
      </w:pPr>
      <w:r w:rsidRPr="002B3167">
        <w:rPr>
          <w:rFonts w:ascii="Palatino Linotype" w:hAnsi="Palatino Linotype"/>
          <w:b/>
          <w:i/>
        </w:rPr>
        <w:t>“53…</w:t>
      </w:r>
    </w:p>
    <w:p w14:paraId="01F06BC9"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Los registros de las sanciones relativas a responsabilidades administrativas no graves, quedarán registradas para efectos de eventual reincidencia, pero no serán públicas…”</w:t>
      </w:r>
    </w:p>
    <w:p w14:paraId="7F639DA3" w14:textId="77777777" w:rsidR="00BB73B9" w:rsidRPr="002B3167" w:rsidRDefault="00BB73B9" w:rsidP="002B3167">
      <w:pPr>
        <w:tabs>
          <w:tab w:val="left" w:pos="709"/>
        </w:tabs>
        <w:spacing w:after="0" w:line="240" w:lineRule="auto"/>
        <w:ind w:left="567" w:right="567"/>
        <w:jc w:val="both"/>
        <w:rPr>
          <w:rFonts w:ascii="Palatino Linotype" w:hAnsi="Palatino Linotype"/>
          <w:i/>
        </w:rPr>
      </w:pPr>
    </w:p>
    <w:p w14:paraId="2BA36915" w14:textId="77777777" w:rsidR="00BB73B9" w:rsidRPr="002B3167" w:rsidRDefault="00BB73B9" w:rsidP="002B3167">
      <w:pPr>
        <w:tabs>
          <w:tab w:val="left" w:pos="709"/>
        </w:tabs>
        <w:spacing w:after="0" w:line="240" w:lineRule="auto"/>
        <w:ind w:left="567" w:right="567"/>
        <w:jc w:val="center"/>
        <w:rPr>
          <w:rFonts w:ascii="Palatino Linotype" w:hAnsi="Palatino Linotype"/>
          <w:b/>
          <w:i/>
        </w:rPr>
      </w:pPr>
      <w:r w:rsidRPr="002B3167">
        <w:rPr>
          <w:rFonts w:ascii="Palatino Linotype" w:hAnsi="Palatino Linotype"/>
          <w:b/>
          <w:i/>
        </w:rPr>
        <w:t>Ley General de Responsabilidades Administrativas</w:t>
      </w:r>
    </w:p>
    <w:p w14:paraId="37032691" w14:textId="77777777" w:rsidR="00BB73B9" w:rsidRPr="002B3167" w:rsidRDefault="00BB73B9" w:rsidP="002B3167">
      <w:pPr>
        <w:tabs>
          <w:tab w:val="left" w:pos="709"/>
        </w:tabs>
        <w:spacing w:after="0" w:line="240" w:lineRule="auto"/>
        <w:ind w:left="567" w:right="567"/>
        <w:jc w:val="both"/>
        <w:rPr>
          <w:rFonts w:ascii="Palatino Linotype" w:hAnsi="Palatino Linotype"/>
          <w:b/>
          <w:i/>
        </w:rPr>
      </w:pPr>
      <w:r w:rsidRPr="002B3167">
        <w:rPr>
          <w:rFonts w:ascii="Palatino Linotype" w:hAnsi="Palatino Linotype"/>
          <w:b/>
          <w:i/>
        </w:rPr>
        <w:t>“27…</w:t>
      </w:r>
    </w:p>
    <w:p w14:paraId="0EEB5DA6" w14:textId="77777777" w:rsidR="00BB73B9" w:rsidRPr="002B3167" w:rsidRDefault="00BB73B9" w:rsidP="002B3167">
      <w:pPr>
        <w:tabs>
          <w:tab w:val="left" w:pos="709"/>
        </w:tabs>
        <w:spacing w:after="0" w:line="240" w:lineRule="auto"/>
        <w:ind w:left="567" w:right="567"/>
        <w:jc w:val="both"/>
        <w:rPr>
          <w:rFonts w:ascii="Palatino Linotype" w:hAnsi="Palatino Linotype"/>
          <w:i/>
        </w:rPr>
      </w:pPr>
      <w:proofErr w:type="gramStart"/>
      <w:r w:rsidRPr="002B3167">
        <w:rPr>
          <w:rFonts w:ascii="Palatino Linotype" w:hAnsi="Palatino Linotype"/>
          <w:i/>
        </w:rPr>
        <w:t>así</w:t>
      </w:r>
      <w:proofErr w:type="gramEnd"/>
      <w:r w:rsidRPr="002B3167">
        <w:rPr>
          <w:rFonts w:ascii="Palatino Linotype" w:hAnsi="Palatino Linotype"/>
          <w:i/>
        </w:rPr>
        <w:t xml:space="preserve"> como la anotación de aquellas abstenciones que hayan realizado las autoridades investigadoras o el Tribunal, en términos de los artículos 77 y 80 de esta Ley”.</w:t>
      </w:r>
    </w:p>
    <w:p w14:paraId="76745C07" w14:textId="77777777" w:rsidR="00BB73B9" w:rsidRPr="002B3167" w:rsidRDefault="00BB73B9" w:rsidP="002B3167">
      <w:pPr>
        <w:tabs>
          <w:tab w:val="left" w:pos="709"/>
        </w:tabs>
        <w:spacing w:after="0" w:line="360" w:lineRule="auto"/>
        <w:ind w:right="567"/>
        <w:jc w:val="both"/>
        <w:rPr>
          <w:rFonts w:ascii="Palatino Linotype" w:hAnsi="Palatino Linotype"/>
        </w:rPr>
      </w:pPr>
    </w:p>
    <w:p w14:paraId="68FB779F"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 xml:space="preserve">De los preceptos legales anteriores se pueden advertir dos supuestos: el primero con fundamento en los artículos 53, párrafo segundo de la Ley General del Sistema Nacional Anticorrupción, 53, párrafo segundo de la Ley del Sistema Anticorrupción del Estado de México, en la cual se advierte que respecto a expedientes que contienen procedimientos de responsabilidad administrativa originados por motivo de faltas </w:t>
      </w:r>
      <w:r w:rsidRPr="002B3167">
        <w:rPr>
          <w:rFonts w:ascii="Palatino Linotype" w:hAnsi="Palatino Linotype"/>
          <w:sz w:val="24"/>
          <w:szCs w:val="24"/>
        </w:rPr>
        <w:lastRenderedPageBreak/>
        <w:t>administrativas no graves, en las que se haya determinado imponer alguna sanción, por determinación de la ley las mismas no son consideradas públicas.</w:t>
      </w:r>
    </w:p>
    <w:p w14:paraId="1228EB00"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46CC297B"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Correlativo a lo anterior, con fundamento en el artículo 27, párrafo cuarto, segundo supuesto de la Ley General de Responsabilidades Administrativas, se determina que los expedientes que contienen abstenciones derivadas de investigaciones o procedimientos de responsabilidad administrativa originados por faltas administrativas no graves, no se harán públicas.</w:t>
      </w:r>
    </w:p>
    <w:p w14:paraId="21601C4B"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7F2A1D18"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Finalmente, para el caso de los procedimientos de sanciones graves absolutorias, concluidos, se procederá a su acceso en versión pública, protegiendo el nombre, cargo y área de adscripción del Servidor Público absuelto y aquellos datos personales que hagan identificable a una persona, toda vez que la información solicitada, se relaciona con servidores públicos en específico, los cuales al no haber recibido alguna sanción por posibles responsabilidades, se procede a clasificar como confidencial el nombre y cargo del servidor público, al poder causar un perjuicio a la vida privada de estos.</w:t>
      </w:r>
    </w:p>
    <w:p w14:paraId="0DAB163C" w14:textId="77777777" w:rsidR="00BB73B9" w:rsidRPr="002B3167" w:rsidRDefault="00BB73B9" w:rsidP="002B3167">
      <w:pPr>
        <w:tabs>
          <w:tab w:val="left" w:pos="709"/>
        </w:tabs>
        <w:spacing w:after="0" w:line="360" w:lineRule="auto"/>
        <w:jc w:val="both"/>
        <w:rPr>
          <w:rFonts w:ascii="Palatino Linotype" w:hAnsi="Palatino Linotype"/>
          <w:b/>
          <w:sz w:val="24"/>
          <w:szCs w:val="24"/>
        </w:rPr>
      </w:pPr>
    </w:p>
    <w:p w14:paraId="7780C0A7"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Bajo este contexto, se considera que en el supuesto de que la información se encuentre en alguno de los supuestos antes establecidos, el Sujeto Obligado deberá clasificar la información, emitiendo en su caso el acuerdo correspondiente</w:t>
      </w:r>
      <w:r w:rsidRPr="002B3167">
        <w:rPr>
          <w:rFonts w:ascii="Palatino Linotype" w:hAnsi="Palatino Linotype"/>
          <w:b/>
          <w:sz w:val="24"/>
          <w:szCs w:val="24"/>
        </w:rPr>
        <w:t xml:space="preserve">, </w:t>
      </w:r>
      <w:r w:rsidRPr="002B3167">
        <w:rPr>
          <w:rFonts w:ascii="Palatino Linotype" w:hAnsi="Palatino Linotype"/>
          <w:sz w:val="24"/>
          <w:szCs w:val="24"/>
        </w:rPr>
        <w:t>tomando en consideración que, de proporcionar el nombre de los servidores públicos relacionados al procedimiento de responsabilidades administrativas por faltas no graves, podría afectar su honor, buen nombre y su imagen.</w:t>
      </w:r>
    </w:p>
    <w:p w14:paraId="3E4ECF9E"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lastRenderedPageBreak/>
        <w:t>Al respecto, la Suprema Corte de Justicia de la Nación ha reconocido como derechos fundamentales de las personas, el derecho a la intimidad y a la propia imagen, en el siguiente criterio:</w:t>
      </w:r>
    </w:p>
    <w:p w14:paraId="707FC6BF"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70F8923B" w14:textId="77777777" w:rsidR="00BB73B9" w:rsidRPr="002B3167" w:rsidRDefault="00BB73B9" w:rsidP="002B3167">
      <w:pPr>
        <w:tabs>
          <w:tab w:val="left" w:pos="709"/>
        </w:tabs>
        <w:spacing w:after="0" w:line="240" w:lineRule="auto"/>
        <w:ind w:left="567" w:right="567"/>
        <w:jc w:val="both"/>
        <w:rPr>
          <w:rFonts w:ascii="Palatino Linotype" w:hAnsi="Palatino Linotype"/>
          <w:i/>
        </w:rPr>
      </w:pPr>
      <w:r w:rsidRPr="002B3167">
        <w:rPr>
          <w:rFonts w:ascii="Palatino Linotype" w:hAnsi="Palatino Linotype"/>
          <w:i/>
        </w:rPr>
        <w:t>“</w:t>
      </w:r>
      <w:r w:rsidRPr="002B3167">
        <w:rPr>
          <w:rFonts w:ascii="Palatino Linotype" w:hAnsi="Palatino Linotype"/>
          <w:b/>
          <w:bCs/>
          <w:i/>
        </w:rPr>
        <w:t>DERECHOS A LA INTIMIDAD, PROPIA IMAGEN, IDENTIDAD PERSONAL Y SEXUAL. CONSTITUYEN DERECHOS DE DEFENSA Y GARANTÍA ESENCIAL PARA LA CONDICIÓN HUMANA</w:t>
      </w:r>
      <w:r w:rsidRPr="002B3167">
        <w:rPr>
          <w:rFonts w:ascii="Palatino Linotype" w:hAnsi="Palatino Linotype"/>
          <w:i/>
        </w:rPr>
        <w:t>.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0B0EE396"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 xml:space="preserve"> </w:t>
      </w:r>
    </w:p>
    <w:p w14:paraId="553DB899"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lastRenderedPageBreak/>
        <w:t>En ese sentido, se puede hacer notar el derecho de todo individuo a no ser conocido por otros en ciertos aspectos de su vida y, por ende, el poder de decisión sobre la publicidad o información de datos relativos a su persona (derecho a la intimidad), aunado al derecho a la propia imagen es el derecho de decidir, de forma libre, sobre la manera en que elige mostrarse frente a los demás.</w:t>
      </w:r>
    </w:p>
    <w:p w14:paraId="3BDFADE2"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0F1E8AF3" w14:textId="77777777"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Por lo expuesto, se desprende que dar a conocer el nombre del servidor público de un procedimiento de responsabilidad administrativa no grave, constituye información confidencial que afecta su esfera privada, puesto que podría generar una percepción negativa de este, ocasionando un perjuicio en su honor, intimidad y buena imagen, pues como se precisó la afectación es para el propio servidor público, situación que no afecta a terceros.</w:t>
      </w:r>
    </w:p>
    <w:p w14:paraId="21C54992" w14:textId="77777777" w:rsidR="00BB73B9" w:rsidRPr="002B3167" w:rsidRDefault="00BB73B9" w:rsidP="002B3167">
      <w:pPr>
        <w:tabs>
          <w:tab w:val="left" w:pos="709"/>
        </w:tabs>
        <w:spacing w:after="0" w:line="360" w:lineRule="auto"/>
        <w:jc w:val="both"/>
        <w:rPr>
          <w:rFonts w:ascii="Palatino Linotype" w:hAnsi="Palatino Linotype"/>
          <w:sz w:val="24"/>
          <w:szCs w:val="24"/>
        </w:rPr>
      </w:pPr>
    </w:p>
    <w:p w14:paraId="28A42FD8" w14:textId="509B198B" w:rsidR="00BB73B9" w:rsidRPr="002B3167" w:rsidRDefault="00BB73B9" w:rsidP="002B3167">
      <w:pPr>
        <w:tabs>
          <w:tab w:val="left" w:pos="709"/>
        </w:tabs>
        <w:spacing w:after="0" w:line="360" w:lineRule="auto"/>
        <w:jc w:val="both"/>
        <w:rPr>
          <w:rFonts w:ascii="Palatino Linotype" w:hAnsi="Palatino Linotype"/>
          <w:sz w:val="24"/>
          <w:szCs w:val="24"/>
        </w:rPr>
      </w:pPr>
      <w:r w:rsidRPr="002B3167">
        <w:rPr>
          <w:rFonts w:ascii="Palatino Linotype" w:hAnsi="Palatino Linotype"/>
          <w:sz w:val="24"/>
          <w:szCs w:val="24"/>
        </w:rPr>
        <w:t>Finalmente, respecto a la información que da cuenta de lo solicitado, en el presente caso la información peticionada</w:t>
      </w:r>
      <w:r w:rsidRPr="002B3167">
        <w:rPr>
          <w:rFonts w:ascii="Palatino Linotype" w:hAnsi="Palatino Linotype"/>
          <w:color w:val="000000"/>
          <w:sz w:val="24"/>
          <w:szCs w:val="24"/>
        </w:rPr>
        <w:t>,</w:t>
      </w:r>
      <w:r w:rsidRPr="002B3167">
        <w:rPr>
          <w:rFonts w:ascii="Palatino Linotype" w:hAnsi="Palatino Linotype"/>
          <w:sz w:val="24"/>
          <w:szCs w:val="24"/>
        </w:rPr>
        <w:t xml:space="preserve">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3DCC4816"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5B3D2E44" w14:textId="77777777" w:rsidR="002B3167" w:rsidRPr="002B3167" w:rsidRDefault="002B3167" w:rsidP="002B3167">
      <w:pPr>
        <w:spacing w:after="0" w:line="360" w:lineRule="auto"/>
        <w:jc w:val="both"/>
        <w:rPr>
          <w:rFonts w:ascii="Palatino Linotype" w:eastAsia="MS Mincho" w:hAnsi="Palatino Linotype" w:cs="Arial"/>
          <w:sz w:val="24"/>
          <w:szCs w:val="24"/>
          <w:lang w:val="es-ES"/>
        </w:rPr>
      </w:pPr>
    </w:p>
    <w:p w14:paraId="60F64CEE" w14:textId="77777777" w:rsidR="00BB73B9" w:rsidRPr="002B3167" w:rsidRDefault="00BB73B9" w:rsidP="002B3167">
      <w:pPr>
        <w:spacing w:after="0" w:line="360" w:lineRule="auto"/>
        <w:jc w:val="both"/>
        <w:rPr>
          <w:rFonts w:ascii="Palatino Linotype" w:eastAsia="Calibri" w:hAnsi="Palatino Linotype" w:cs="Times New Roman"/>
          <w:sz w:val="24"/>
          <w:szCs w:val="24"/>
          <w:lang w:val="es-ES_tradnl" w:eastAsia="es-ES"/>
        </w:rPr>
      </w:pPr>
      <w:r w:rsidRPr="002B3167">
        <w:rPr>
          <w:rFonts w:ascii="Palatino Linotype" w:eastAsia="Calibri" w:hAnsi="Palatino Linotype" w:cs="Times New Roman"/>
          <w:sz w:val="24"/>
          <w:szCs w:val="24"/>
          <w:lang w:val="es-ES_tradnl" w:eastAsia="es-ES"/>
        </w:rPr>
        <w:lastRenderedPageBreak/>
        <w:t xml:space="preserve">Es con base en las consideraciones de hecho y de derecho señaladas previamente, que se puede concluir que el </w:t>
      </w:r>
      <w:r w:rsidRPr="002B3167">
        <w:rPr>
          <w:rFonts w:ascii="Palatino Linotype" w:eastAsia="Calibri" w:hAnsi="Palatino Linotype" w:cs="Times New Roman"/>
          <w:b/>
          <w:sz w:val="24"/>
          <w:szCs w:val="24"/>
          <w:lang w:val="es-ES_tradnl" w:eastAsia="es-ES"/>
        </w:rPr>
        <w:t>Sujeto Obligado</w:t>
      </w:r>
      <w:r w:rsidRPr="002B3167">
        <w:rPr>
          <w:rFonts w:ascii="Palatino Linotype" w:eastAsia="Calibri" w:hAnsi="Palatino Linotype" w:cs="Times New Roman"/>
          <w:sz w:val="24"/>
          <w:szCs w:val="24"/>
          <w:lang w:val="es-ES_tradnl" w:eastAsia="es-ES"/>
        </w:rPr>
        <w:t xml:space="preserve"> no satisface los requerimientos de información del </w:t>
      </w:r>
      <w:r w:rsidRPr="002B3167">
        <w:rPr>
          <w:rFonts w:ascii="Palatino Linotype" w:eastAsia="Calibri" w:hAnsi="Palatino Linotype" w:cs="Times New Roman"/>
          <w:b/>
          <w:sz w:val="24"/>
          <w:szCs w:val="24"/>
          <w:lang w:val="es-ES_tradnl" w:eastAsia="es-ES"/>
        </w:rPr>
        <w:t>Recurrente</w:t>
      </w:r>
      <w:r w:rsidRPr="002B3167">
        <w:rPr>
          <w:rFonts w:ascii="Palatino Linotype" w:eastAsia="Calibri" w:hAnsi="Palatino Linotype" w:cs="Times New Roman"/>
          <w:sz w:val="24"/>
          <w:szCs w:val="24"/>
          <w:lang w:val="es-ES_tradnl" w:eastAsia="es-ES"/>
        </w:rPr>
        <w:t>, consecuentemente, resulta dable ordenar su entrega debiendo observar lo relativo a la información de carácter sensible y confidencial.</w:t>
      </w:r>
    </w:p>
    <w:p w14:paraId="63F2379A" w14:textId="77777777" w:rsidR="00BB73B9" w:rsidRPr="002B3167" w:rsidRDefault="00BB73B9" w:rsidP="002B3167">
      <w:pPr>
        <w:spacing w:after="0" w:line="360" w:lineRule="auto"/>
        <w:jc w:val="both"/>
        <w:rPr>
          <w:rFonts w:ascii="Palatino Linotype" w:eastAsia="Calibri" w:hAnsi="Palatino Linotype" w:cs="Times New Roman"/>
          <w:sz w:val="24"/>
          <w:szCs w:val="24"/>
          <w:lang w:val="es-ES_tradnl" w:eastAsia="es-ES"/>
        </w:rPr>
      </w:pPr>
    </w:p>
    <w:p w14:paraId="5E4BF36C" w14:textId="6B98C70E"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 xml:space="preserve">Finalmente, la información </w:t>
      </w:r>
      <w:r w:rsidR="00EB6391" w:rsidRPr="002B3167">
        <w:rPr>
          <w:rFonts w:ascii="Palatino Linotype" w:eastAsia="MS Mincho" w:hAnsi="Palatino Linotype" w:cs="Arial"/>
          <w:sz w:val="24"/>
          <w:szCs w:val="24"/>
          <w:lang w:val="es-ES"/>
        </w:rPr>
        <w:t xml:space="preserve">de las actas administrativas </w:t>
      </w:r>
      <w:r w:rsidRPr="002B3167">
        <w:rPr>
          <w:rFonts w:ascii="Palatino Linotype" w:eastAsia="MS Mincho" w:hAnsi="Palatino Linotype" w:cs="Arial"/>
          <w:sz w:val="24"/>
          <w:szCs w:val="24"/>
          <w:lang w:val="es-ES"/>
        </w:rPr>
        <w:t xml:space="preserve">pudiera encontrarse en un procedimiento administrativo, no contando con los elementos necesarios para determinar si deriva por faltas administrativas no graves, faltas de particulares o faltas graves, así mismo </w:t>
      </w:r>
      <w:r w:rsidRPr="002B3167">
        <w:rPr>
          <w:rFonts w:ascii="Palatino Linotype" w:eastAsia="MS Mincho" w:hAnsi="Palatino Linotype" w:cs="Arial"/>
          <w:b/>
          <w:sz w:val="24"/>
          <w:szCs w:val="24"/>
          <w:lang w:val="es-ES"/>
        </w:rPr>
        <w:t>que se encuentre concluido. En dichos supuestos, no será dable ordenar la información; en todo caso se deberá clasificar como reservada</w:t>
      </w:r>
      <w:r w:rsidRPr="002B3167">
        <w:rPr>
          <w:rFonts w:ascii="Palatino Linotype" w:eastAsia="MS Mincho" w:hAnsi="Palatino Linotype" w:cs="Arial"/>
          <w:sz w:val="24"/>
          <w:szCs w:val="24"/>
          <w:lang w:val="es-ES"/>
        </w:rPr>
        <w:t xml:space="preserve">, y de ser el caso que </w:t>
      </w:r>
      <w:r w:rsidRPr="002B3167">
        <w:rPr>
          <w:rFonts w:ascii="Palatino Linotype" w:eastAsia="MS Mincho" w:hAnsi="Palatino Linotype" w:cs="Arial"/>
          <w:b/>
          <w:sz w:val="24"/>
          <w:szCs w:val="24"/>
          <w:lang w:val="es-ES"/>
        </w:rPr>
        <w:t>haya causado estado, deberá hacer entrega de la versión pública y del Acta del Comité de Transparencia que se elabore para tal efecto.</w:t>
      </w:r>
    </w:p>
    <w:p w14:paraId="22C66654" w14:textId="77777777" w:rsidR="00BB73B9" w:rsidRPr="002B3167" w:rsidRDefault="00BB73B9" w:rsidP="002B3167">
      <w:pPr>
        <w:spacing w:after="0" w:line="360" w:lineRule="auto"/>
        <w:jc w:val="both"/>
        <w:rPr>
          <w:rFonts w:ascii="Palatino Linotype" w:eastAsia="Calibri" w:hAnsi="Palatino Linotype"/>
          <w:sz w:val="24"/>
          <w:lang w:val="es-ES"/>
        </w:rPr>
      </w:pPr>
    </w:p>
    <w:p w14:paraId="3050742A" w14:textId="77777777" w:rsidR="00BB73B9" w:rsidRPr="002B3167" w:rsidRDefault="00BB73B9" w:rsidP="002B3167">
      <w:pPr>
        <w:numPr>
          <w:ilvl w:val="0"/>
          <w:numId w:val="24"/>
        </w:numPr>
        <w:spacing w:after="0" w:line="360" w:lineRule="auto"/>
        <w:jc w:val="both"/>
        <w:rPr>
          <w:rFonts w:ascii="Palatino Linotype" w:eastAsia="Times New Roman" w:hAnsi="Palatino Linotype" w:cs="Arial"/>
          <w:b/>
          <w:i/>
          <w:sz w:val="28"/>
          <w:szCs w:val="24"/>
          <w:lang w:val="es-ES" w:eastAsia="es-ES"/>
        </w:rPr>
      </w:pPr>
      <w:r w:rsidRPr="002B3167">
        <w:rPr>
          <w:rFonts w:ascii="Palatino Linotype" w:eastAsia="Times New Roman" w:hAnsi="Palatino Linotype" w:cs="Arial"/>
          <w:b/>
          <w:i/>
          <w:sz w:val="28"/>
          <w:szCs w:val="24"/>
          <w:lang w:val="es-ES" w:eastAsia="es-ES"/>
        </w:rPr>
        <w:t>De la Versión Pública.</w:t>
      </w:r>
    </w:p>
    <w:p w14:paraId="19854C5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29CDB03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 xml:space="preserve">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w:t>
      </w:r>
      <w:r w:rsidRPr="002B3167">
        <w:rPr>
          <w:rFonts w:ascii="Palatino Linotype" w:eastAsia="MS Mincho" w:hAnsi="Palatino Linotype" w:cs="Arial"/>
          <w:sz w:val="24"/>
          <w:szCs w:val="24"/>
          <w:lang w:val="es-ES"/>
        </w:rPr>
        <w:lastRenderedPageBreak/>
        <w:t>descuentos que se les hagan y que no tengan relación con los impuestos o la cuota por seguridad social, así como, firmas y calificaciones, entre otros datos.</w:t>
      </w:r>
      <w:r w:rsidRPr="002B3167">
        <w:rPr>
          <w:rFonts w:ascii="Palatino Linotype" w:eastAsia="MS Mincho" w:hAnsi="Palatino Linotype" w:cs="Arial"/>
          <w:sz w:val="24"/>
          <w:szCs w:val="24"/>
          <w:lang w:val="es-ES"/>
        </w:rPr>
        <w:cr/>
      </w:r>
    </w:p>
    <w:p w14:paraId="52ED2FCD"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 xml:space="preserve">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2B3167">
        <w:rPr>
          <w:rFonts w:ascii="Palatino Linotype" w:eastAsia="MS Mincho" w:hAnsi="Palatino Linotype" w:cs="Arial"/>
          <w:sz w:val="24"/>
          <w:szCs w:val="24"/>
          <w:lang w:val="es-ES"/>
        </w:rPr>
        <w:t>homoclave</w:t>
      </w:r>
      <w:proofErr w:type="spellEnd"/>
      <w:r w:rsidRPr="002B3167">
        <w:rPr>
          <w:rFonts w:ascii="Palatino Linotype" w:eastAsia="MS Mincho" w:hAnsi="Palatino Linotype" w:cs="Arial"/>
          <w:sz w:val="24"/>
          <w:szCs w:val="24"/>
          <w:lang w:val="es-ES"/>
        </w:rPr>
        <w:t>; la cual para su obtención es necesario acreditar personalidad, fecha de nacimiento entre otros con documentos oficiales.</w:t>
      </w:r>
    </w:p>
    <w:p w14:paraId="704FA9CE"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3B3237FA"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Al respecto, el Instituto Nacional de Transparencia, Acceso a la Información y Protección de Datos Personales (INAI) a través del Criterio 19/17, señala literalmente lo siguiente:</w:t>
      </w:r>
    </w:p>
    <w:p w14:paraId="109A3A47"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07BA8213"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w:t>
      </w:r>
      <w:r w:rsidRPr="002B3167">
        <w:rPr>
          <w:rFonts w:ascii="Palatino Linotype" w:eastAsia="MS Mincho" w:hAnsi="Palatino Linotype" w:cs="Arial"/>
          <w:b/>
          <w:i/>
          <w:szCs w:val="24"/>
          <w:lang w:val="es-ES"/>
        </w:rPr>
        <w:t>Registro Federal de Contribuyentes (RFC) de personas físicas</w:t>
      </w:r>
      <w:r w:rsidRPr="002B3167">
        <w:rPr>
          <w:rFonts w:ascii="Palatino Linotype" w:eastAsia="MS Mincho" w:hAnsi="Palatino Linotype" w:cs="Arial"/>
          <w:i/>
          <w:szCs w:val="24"/>
          <w:lang w:val="es-ES"/>
        </w:rPr>
        <w:t xml:space="preserve">. El RFC es una clave de carácter fiscal, </w:t>
      </w:r>
      <w:proofErr w:type="gramStart"/>
      <w:r w:rsidRPr="002B3167">
        <w:rPr>
          <w:rFonts w:ascii="Palatino Linotype" w:eastAsia="MS Mincho" w:hAnsi="Palatino Linotype" w:cs="Arial"/>
          <w:i/>
          <w:szCs w:val="24"/>
          <w:lang w:val="es-ES"/>
        </w:rPr>
        <w:t>única</w:t>
      </w:r>
      <w:proofErr w:type="gramEnd"/>
      <w:r w:rsidRPr="002B3167">
        <w:rPr>
          <w:rFonts w:ascii="Palatino Linotype" w:eastAsia="MS Mincho" w:hAnsi="Palatino Linotype" w:cs="Arial"/>
          <w:i/>
          <w:szCs w:val="24"/>
          <w:lang w:val="es-ES"/>
        </w:rPr>
        <w:t xml:space="preserve"> e irrepetible, que permite identificar al titular, su edad y fecha de nacimiento, por lo que es un dato personal de carácter confidencial.</w:t>
      </w:r>
    </w:p>
    <w:p w14:paraId="191CC2EF"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Resoluciones:</w:t>
      </w:r>
    </w:p>
    <w:p w14:paraId="7F6F0EDB" w14:textId="77777777" w:rsidR="00BB73B9" w:rsidRPr="002B3167" w:rsidRDefault="00BB73B9" w:rsidP="002B3167">
      <w:pPr>
        <w:spacing w:after="0" w:line="240" w:lineRule="auto"/>
        <w:ind w:left="567" w:right="567"/>
        <w:jc w:val="both"/>
        <w:rPr>
          <w:rFonts w:ascii="Palatino Linotype" w:eastAsia="MS Mincho" w:hAnsi="Palatino Linotype" w:cs="Arial"/>
          <w:i/>
          <w:sz w:val="20"/>
          <w:szCs w:val="24"/>
          <w:lang w:val="es-ES"/>
        </w:rPr>
      </w:pPr>
      <w:r w:rsidRPr="002B3167">
        <w:rPr>
          <w:rFonts w:ascii="Palatino Linotype" w:eastAsia="MS Mincho" w:hAnsi="Palatino Linotype" w:cs="Arial"/>
          <w:i/>
          <w:sz w:val="20"/>
          <w:szCs w:val="24"/>
          <w:lang w:val="es-ES"/>
        </w:rPr>
        <w:t>• RRA 0189/17. Morena. 08 de febrero de 2017. Por unanimidad.</w:t>
      </w:r>
    </w:p>
    <w:p w14:paraId="6299E510" w14:textId="77777777" w:rsidR="00BB73B9" w:rsidRPr="002B3167" w:rsidRDefault="00BB73B9" w:rsidP="002B3167">
      <w:pPr>
        <w:spacing w:after="0" w:line="240" w:lineRule="auto"/>
        <w:ind w:left="567" w:right="567"/>
        <w:jc w:val="both"/>
        <w:rPr>
          <w:rFonts w:ascii="Palatino Linotype" w:eastAsia="MS Mincho" w:hAnsi="Palatino Linotype" w:cs="Arial"/>
          <w:i/>
          <w:sz w:val="20"/>
          <w:szCs w:val="24"/>
          <w:lang w:val="es-ES"/>
        </w:rPr>
      </w:pPr>
      <w:r w:rsidRPr="002B3167">
        <w:rPr>
          <w:rFonts w:ascii="Palatino Linotype" w:eastAsia="MS Mincho" w:hAnsi="Palatino Linotype" w:cs="Arial"/>
          <w:i/>
          <w:sz w:val="20"/>
          <w:szCs w:val="24"/>
          <w:lang w:val="es-ES"/>
        </w:rPr>
        <w:t>Comisionado Ponente Joel Salas Suárez.</w:t>
      </w:r>
    </w:p>
    <w:p w14:paraId="44F57A3E" w14:textId="77777777" w:rsidR="00BB73B9" w:rsidRPr="002B3167" w:rsidRDefault="00BB73B9" w:rsidP="002B3167">
      <w:pPr>
        <w:spacing w:after="0" w:line="240" w:lineRule="auto"/>
        <w:ind w:left="567" w:right="567"/>
        <w:jc w:val="both"/>
        <w:rPr>
          <w:rFonts w:ascii="Palatino Linotype" w:eastAsia="MS Mincho" w:hAnsi="Palatino Linotype" w:cs="Arial"/>
          <w:i/>
          <w:sz w:val="20"/>
          <w:szCs w:val="24"/>
          <w:lang w:val="es-ES"/>
        </w:rPr>
      </w:pPr>
      <w:r w:rsidRPr="002B3167">
        <w:rPr>
          <w:rFonts w:ascii="Palatino Linotype" w:eastAsia="MS Mincho" w:hAnsi="Palatino Linotype" w:cs="Arial"/>
          <w:i/>
          <w:sz w:val="20"/>
          <w:szCs w:val="24"/>
          <w:lang w:val="es-ES"/>
        </w:rPr>
        <w:t>• RRA 0677/17. Universidad Nacional Autónoma de México. 08 de marzo de</w:t>
      </w:r>
    </w:p>
    <w:p w14:paraId="185F77CA" w14:textId="77777777" w:rsidR="00BB73B9" w:rsidRPr="002B3167" w:rsidRDefault="00BB73B9" w:rsidP="002B3167">
      <w:pPr>
        <w:spacing w:after="0" w:line="240" w:lineRule="auto"/>
        <w:ind w:left="567" w:right="567"/>
        <w:jc w:val="both"/>
        <w:rPr>
          <w:rFonts w:ascii="Palatino Linotype" w:eastAsia="MS Mincho" w:hAnsi="Palatino Linotype" w:cs="Arial"/>
          <w:i/>
          <w:sz w:val="20"/>
          <w:szCs w:val="24"/>
          <w:lang w:val="es-ES"/>
        </w:rPr>
      </w:pPr>
      <w:r w:rsidRPr="002B3167">
        <w:rPr>
          <w:rFonts w:ascii="Palatino Linotype" w:eastAsia="MS Mincho" w:hAnsi="Palatino Linotype" w:cs="Arial"/>
          <w:i/>
          <w:sz w:val="20"/>
          <w:szCs w:val="24"/>
          <w:lang w:val="es-ES"/>
        </w:rPr>
        <w:t xml:space="preserve">2017. Por unanimidad. Comisionado Ponente </w:t>
      </w:r>
      <w:proofErr w:type="spellStart"/>
      <w:r w:rsidRPr="002B3167">
        <w:rPr>
          <w:rFonts w:ascii="Palatino Linotype" w:eastAsia="MS Mincho" w:hAnsi="Palatino Linotype" w:cs="Arial"/>
          <w:i/>
          <w:sz w:val="20"/>
          <w:szCs w:val="24"/>
          <w:lang w:val="es-ES"/>
        </w:rPr>
        <w:t>Rosendoevgueni</w:t>
      </w:r>
      <w:proofErr w:type="spellEnd"/>
      <w:r w:rsidRPr="002B3167">
        <w:rPr>
          <w:rFonts w:ascii="Palatino Linotype" w:eastAsia="MS Mincho" w:hAnsi="Palatino Linotype" w:cs="Arial"/>
          <w:i/>
          <w:sz w:val="20"/>
          <w:szCs w:val="24"/>
          <w:lang w:val="es-ES"/>
        </w:rPr>
        <w:t xml:space="preserve"> Monterrey </w:t>
      </w:r>
      <w:proofErr w:type="spellStart"/>
      <w:r w:rsidRPr="002B3167">
        <w:rPr>
          <w:rFonts w:ascii="Palatino Linotype" w:eastAsia="MS Mincho" w:hAnsi="Palatino Linotype" w:cs="Arial"/>
          <w:i/>
          <w:sz w:val="20"/>
          <w:szCs w:val="24"/>
          <w:lang w:val="es-ES"/>
        </w:rPr>
        <w:t>Chepov</w:t>
      </w:r>
      <w:proofErr w:type="spellEnd"/>
      <w:r w:rsidRPr="002B3167">
        <w:rPr>
          <w:rFonts w:ascii="Palatino Linotype" w:eastAsia="MS Mincho" w:hAnsi="Palatino Linotype" w:cs="Arial"/>
          <w:i/>
          <w:sz w:val="20"/>
          <w:szCs w:val="24"/>
          <w:lang w:val="es-ES"/>
        </w:rPr>
        <w:t>.</w:t>
      </w:r>
    </w:p>
    <w:p w14:paraId="21833D01" w14:textId="77777777" w:rsidR="00BB73B9" w:rsidRPr="002B3167" w:rsidRDefault="00BB73B9" w:rsidP="002B3167">
      <w:pPr>
        <w:spacing w:after="0" w:line="240" w:lineRule="auto"/>
        <w:ind w:left="567" w:right="567"/>
        <w:jc w:val="both"/>
        <w:rPr>
          <w:rFonts w:ascii="Palatino Linotype" w:eastAsia="MS Mincho" w:hAnsi="Palatino Linotype" w:cs="Arial"/>
          <w:i/>
          <w:sz w:val="20"/>
          <w:szCs w:val="24"/>
          <w:lang w:val="es-ES"/>
        </w:rPr>
      </w:pPr>
      <w:r w:rsidRPr="002B3167">
        <w:rPr>
          <w:rFonts w:ascii="Palatino Linotype" w:eastAsia="MS Mincho" w:hAnsi="Palatino Linotype" w:cs="Arial"/>
          <w:i/>
          <w:sz w:val="20"/>
          <w:szCs w:val="24"/>
          <w:lang w:val="es-ES"/>
        </w:rPr>
        <w:t>• RRA 1564/17. Tribunal Electoral del Poder Judicial de la Federación. 26 de abril de 2017. Por unanimidad. Comisionado Ponente Oscar Mauricio Guerra Ford.”</w:t>
      </w:r>
    </w:p>
    <w:p w14:paraId="42C800D1"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0DD42746"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lastRenderedPageBreak/>
        <w:t xml:space="preserve">De lo anterior, se desprende que el Registro Federal de Contribuyentes se vincula al nombre de su titular, permitiendo identificar la edad de la persona, fecha de nacimiento, así como su </w:t>
      </w:r>
      <w:proofErr w:type="spellStart"/>
      <w:r w:rsidRPr="002B3167">
        <w:rPr>
          <w:rFonts w:ascii="Palatino Linotype" w:eastAsia="MS Mincho" w:hAnsi="Palatino Linotype" w:cs="Arial"/>
          <w:sz w:val="24"/>
          <w:szCs w:val="24"/>
          <w:lang w:val="es-ES"/>
        </w:rPr>
        <w:t>homoclave</w:t>
      </w:r>
      <w:proofErr w:type="spellEnd"/>
      <w:r w:rsidRPr="002B3167">
        <w:rPr>
          <w:rFonts w:ascii="Palatino Linotype" w:eastAsia="MS Mincho" w:hAnsi="Palatino Linotype" w:cs="Arial"/>
          <w:sz w:val="24"/>
          <w:szCs w:val="24"/>
          <w:lang w:val="es-ES"/>
        </w:rPr>
        <w:t>,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EF357A3"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7875CC5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A2C6A43"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74F56B9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Lo anterior, tiene sustento en los artículos 86 y 91, de la Ley General de Población, la cual señala lo siguiente:</w:t>
      </w:r>
    </w:p>
    <w:p w14:paraId="062CBB13"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7D118544"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w:t>
      </w:r>
      <w:r w:rsidRPr="002B3167">
        <w:rPr>
          <w:rFonts w:ascii="Palatino Linotype" w:eastAsia="MS Mincho" w:hAnsi="Palatino Linotype" w:cs="Arial"/>
          <w:b/>
          <w:i/>
          <w:szCs w:val="24"/>
          <w:lang w:val="es-ES"/>
        </w:rPr>
        <w:t>Artículo 86.</w:t>
      </w:r>
      <w:r w:rsidRPr="002B3167">
        <w:rPr>
          <w:rFonts w:ascii="Palatino Linotype" w:eastAsia="MS Mincho" w:hAnsi="Palatino Linotype" w:cs="Arial"/>
          <w:i/>
          <w:szCs w:val="24"/>
          <w:lang w:val="es-ES"/>
        </w:rPr>
        <w:t xml:space="preserve"> El Registro Nacional de Población tiene como finalidad registrar a cada una de las personas que integran la población del país, con los datos que permitan certificar y acreditar fehacientemente su identidad.</w:t>
      </w:r>
    </w:p>
    <w:p w14:paraId="3F52A2C0"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Artículo 91.</w:t>
      </w:r>
      <w:r w:rsidRPr="002B3167">
        <w:rPr>
          <w:rFonts w:ascii="Palatino Linotype" w:eastAsia="MS Mincho" w:hAnsi="Palatino Linotype" w:cs="Arial"/>
          <w:i/>
          <w:szCs w:val="24"/>
          <w:lang w:val="es-ES"/>
        </w:rPr>
        <w:t xml:space="preserve"> Al incorporar a una persona en el Registro Nacional de Población, se le asignará una clave que se denominará Clave Única de Registro de Población. Esta servirá para registrarla e identificarla en forma individual.”</w:t>
      </w:r>
    </w:p>
    <w:p w14:paraId="603A8700"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4059F061"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 xml:space="preserve">Ahora bien, por cuanto a la Clave Única de Registro de Población </w:t>
      </w:r>
      <w:r w:rsidRPr="002B3167">
        <w:rPr>
          <w:rFonts w:ascii="Palatino Linotype" w:eastAsia="MS Mincho" w:hAnsi="Palatino Linotype" w:cs="Arial"/>
          <w:b/>
          <w:sz w:val="24"/>
          <w:szCs w:val="24"/>
          <w:lang w:val="es-ES"/>
        </w:rPr>
        <w:t>CURP</w:t>
      </w:r>
      <w:r w:rsidRPr="002B3167">
        <w:rPr>
          <w:rFonts w:ascii="Palatino Linotype" w:eastAsia="MS Mincho" w:hAnsi="Palatino Linotype" w:cs="Arial"/>
          <w:sz w:val="24"/>
          <w:szCs w:val="24"/>
          <w:lang w:val="es-ES"/>
        </w:rPr>
        <w:t xml:space="preserve">, está integrada por 18 elementos representados por letras y números, que se generan a partir </w:t>
      </w:r>
      <w:r w:rsidRPr="002B3167">
        <w:rPr>
          <w:rFonts w:ascii="Palatino Linotype" w:eastAsia="MS Mincho" w:hAnsi="Palatino Linotype" w:cs="Arial"/>
          <w:sz w:val="24"/>
          <w:szCs w:val="24"/>
          <w:lang w:val="es-ES"/>
        </w:rPr>
        <w:lastRenderedPageBreak/>
        <w:t xml:space="preserve">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w:t>
      </w:r>
      <w:proofErr w:type="spellStart"/>
      <w:r w:rsidRPr="002B3167">
        <w:rPr>
          <w:rFonts w:ascii="Palatino Linotype" w:eastAsia="MS Mincho" w:hAnsi="Palatino Linotype" w:cs="Arial"/>
          <w:sz w:val="24"/>
          <w:szCs w:val="24"/>
          <w:lang w:val="es-ES"/>
        </w:rPr>
        <w:t>homoclave</w:t>
      </w:r>
      <w:proofErr w:type="spellEnd"/>
      <w:r w:rsidRPr="002B3167">
        <w:rPr>
          <w:rFonts w:ascii="Palatino Linotype" w:eastAsia="MS Mincho" w:hAnsi="Palatino Linotype" w:cs="Arial"/>
          <w:sz w:val="24"/>
          <w:szCs w:val="24"/>
          <w:lang w:val="es-ES"/>
        </w:rPr>
        <w:t xml:space="preserve"> o digito verificador, compuesto de dos elementos, con el que se evitan duplicaciones en la Clave, identifican el cambio de siglo y garantizan la correcta integración.</w:t>
      </w:r>
    </w:p>
    <w:p w14:paraId="556789DC"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0020A7D9"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Al respecto, el INAI a través del Criterio 18/17, señala literalmente lo siguiente:</w:t>
      </w:r>
    </w:p>
    <w:p w14:paraId="7FD3EB06"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7FEC320C"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w:t>
      </w:r>
      <w:r w:rsidRPr="002B3167">
        <w:rPr>
          <w:rFonts w:ascii="Palatino Linotype" w:eastAsia="MS Mincho" w:hAnsi="Palatino Linotype" w:cs="Arial"/>
          <w:b/>
          <w:i/>
          <w:szCs w:val="24"/>
          <w:lang w:val="es-ES"/>
        </w:rPr>
        <w:t>Clave Única de Registro de Población (CURP).</w:t>
      </w:r>
      <w:r w:rsidRPr="002B3167">
        <w:rPr>
          <w:rFonts w:ascii="Palatino Linotype" w:eastAsia="MS Mincho" w:hAnsi="Palatino Linotype" w:cs="Arial"/>
          <w:i/>
          <w:szCs w:val="24"/>
          <w:lang w:val="es-E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349021A"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Resoluciones:</w:t>
      </w:r>
    </w:p>
    <w:p w14:paraId="42E27025" w14:textId="77777777" w:rsidR="00BB73B9" w:rsidRPr="002B3167" w:rsidRDefault="00BB73B9" w:rsidP="002B3167">
      <w:pPr>
        <w:spacing w:after="0" w:line="240" w:lineRule="auto"/>
        <w:ind w:left="567" w:right="567"/>
        <w:jc w:val="both"/>
        <w:rPr>
          <w:rFonts w:ascii="Palatino Linotype" w:eastAsia="MS Mincho" w:hAnsi="Palatino Linotype" w:cs="Arial"/>
          <w:i/>
          <w:sz w:val="20"/>
          <w:szCs w:val="24"/>
          <w:lang w:val="es-ES"/>
        </w:rPr>
      </w:pPr>
      <w:r w:rsidRPr="002B3167">
        <w:rPr>
          <w:rFonts w:ascii="Palatino Linotype" w:eastAsia="MS Mincho" w:hAnsi="Palatino Linotype" w:cs="Arial"/>
          <w:i/>
          <w:szCs w:val="24"/>
          <w:lang w:val="es-ES"/>
        </w:rPr>
        <w:t xml:space="preserve">• </w:t>
      </w:r>
      <w:r w:rsidRPr="002B3167">
        <w:rPr>
          <w:rFonts w:ascii="Palatino Linotype" w:eastAsia="MS Mincho" w:hAnsi="Palatino Linotype" w:cs="Arial"/>
          <w:i/>
          <w:sz w:val="20"/>
          <w:szCs w:val="24"/>
          <w:lang w:val="es-ES"/>
        </w:rPr>
        <w:t xml:space="preserve">RRA 3995/16. Secretaría de la Defensa Nacional. 1 de febrero de 2017. Por unanimidad. Comisionado Ponente </w:t>
      </w:r>
      <w:proofErr w:type="spellStart"/>
      <w:r w:rsidRPr="002B3167">
        <w:rPr>
          <w:rFonts w:ascii="Palatino Linotype" w:eastAsia="MS Mincho" w:hAnsi="Palatino Linotype" w:cs="Arial"/>
          <w:i/>
          <w:sz w:val="20"/>
          <w:szCs w:val="24"/>
          <w:lang w:val="es-ES"/>
        </w:rPr>
        <w:t>Rosendoevgueni</w:t>
      </w:r>
      <w:proofErr w:type="spellEnd"/>
      <w:r w:rsidRPr="002B3167">
        <w:rPr>
          <w:rFonts w:ascii="Palatino Linotype" w:eastAsia="MS Mincho" w:hAnsi="Palatino Linotype" w:cs="Arial"/>
          <w:i/>
          <w:sz w:val="20"/>
          <w:szCs w:val="24"/>
          <w:lang w:val="es-ES"/>
        </w:rPr>
        <w:t xml:space="preserve"> Monterrey </w:t>
      </w:r>
      <w:proofErr w:type="spellStart"/>
      <w:r w:rsidRPr="002B3167">
        <w:rPr>
          <w:rFonts w:ascii="Palatino Linotype" w:eastAsia="MS Mincho" w:hAnsi="Palatino Linotype" w:cs="Arial"/>
          <w:i/>
          <w:sz w:val="20"/>
          <w:szCs w:val="24"/>
          <w:lang w:val="es-ES"/>
        </w:rPr>
        <w:t>Chepov</w:t>
      </w:r>
      <w:proofErr w:type="spellEnd"/>
      <w:r w:rsidRPr="002B3167">
        <w:rPr>
          <w:rFonts w:ascii="Palatino Linotype" w:eastAsia="MS Mincho" w:hAnsi="Palatino Linotype" w:cs="Arial"/>
          <w:i/>
          <w:sz w:val="20"/>
          <w:szCs w:val="24"/>
          <w:lang w:val="es-ES"/>
        </w:rPr>
        <w:t>.</w:t>
      </w:r>
    </w:p>
    <w:p w14:paraId="03F506F9" w14:textId="77777777" w:rsidR="00BB73B9" w:rsidRPr="002B3167" w:rsidRDefault="00BB73B9" w:rsidP="002B3167">
      <w:pPr>
        <w:spacing w:after="0" w:line="240" w:lineRule="auto"/>
        <w:ind w:left="567" w:right="567"/>
        <w:jc w:val="both"/>
        <w:rPr>
          <w:rFonts w:ascii="Palatino Linotype" w:eastAsia="MS Mincho" w:hAnsi="Palatino Linotype" w:cs="Arial"/>
          <w:i/>
          <w:sz w:val="20"/>
          <w:szCs w:val="24"/>
          <w:lang w:val="es-ES"/>
        </w:rPr>
      </w:pPr>
      <w:r w:rsidRPr="002B3167">
        <w:rPr>
          <w:rFonts w:ascii="Palatino Linotype" w:eastAsia="MS Mincho" w:hAnsi="Palatino Linotype" w:cs="Arial"/>
          <w:i/>
          <w:sz w:val="20"/>
          <w:szCs w:val="24"/>
          <w:lang w:val="es-ES"/>
        </w:rPr>
        <w:t>• RRA 0937/17. Senado de la República. 15 de marzo de 2017. Por unanimidad. Comisionada Ponente Ximena Puente de la Mora.</w:t>
      </w:r>
    </w:p>
    <w:p w14:paraId="6A193587" w14:textId="77777777" w:rsidR="00BB73B9" w:rsidRPr="002B3167" w:rsidRDefault="00BB73B9" w:rsidP="002B3167">
      <w:pPr>
        <w:spacing w:after="0" w:line="240" w:lineRule="auto"/>
        <w:ind w:left="567" w:right="567"/>
        <w:jc w:val="both"/>
        <w:rPr>
          <w:rFonts w:ascii="Palatino Linotype" w:eastAsia="MS Mincho" w:hAnsi="Palatino Linotype" w:cs="Arial"/>
          <w:i/>
          <w:sz w:val="20"/>
          <w:szCs w:val="24"/>
          <w:lang w:val="es-ES"/>
        </w:rPr>
      </w:pPr>
      <w:r w:rsidRPr="002B3167">
        <w:rPr>
          <w:rFonts w:ascii="Palatino Linotype" w:eastAsia="MS Mincho" w:hAnsi="Palatino Linotype" w:cs="Arial"/>
          <w:i/>
          <w:sz w:val="20"/>
          <w:szCs w:val="24"/>
          <w:lang w:val="es-ES"/>
        </w:rPr>
        <w:t>• RRA 0478/17. Secretaría de Relaciones Exteriores. 26 de abril de 2017. Por unanimidad. Comisionada Ponente Areli Cano Guadiana.”</w:t>
      </w:r>
    </w:p>
    <w:p w14:paraId="73273B50" w14:textId="77777777" w:rsidR="000411BE" w:rsidRPr="002B3167" w:rsidRDefault="000411BE" w:rsidP="002B3167">
      <w:pPr>
        <w:spacing w:after="0" w:line="360" w:lineRule="auto"/>
        <w:jc w:val="both"/>
        <w:rPr>
          <w:rFonts w:ascii="Palatino Linotype" w:eastAsia="MS Mincho" w:hAnsi="Palatino Linotype" w:cs="Arial"/>
          <w:sz w:val="24"/>
          <w:szCs w:val="24"/>
          <w:lang w:val="es-ES"/>
        </w:rPr>
      </w:pPr>
    </w:p>
    <w:p w14:paraId="56FF0F47"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 xml:space="preserve">De lo anterior, se desprende que la Clave Única de Registro de Población </w:t>
      </w:r>
      <w:r w:rsidRPr="002B3167">
        <w:rPr>
          <w:rFonts w:ascii="Palatino Linotype" w:eastAsia="MS Mincho" w:hAnsi="Palatino Linotype" w:cs="Arial"/>
          <w:b/>
          <w:sz w:val="24"/>
          <w:szCs w:val="24"/>
          <w:lang w:val="es-ES"/>
        </w:rPr>
        <w:t>CURP</w:t>
      </w:r>
      <w:r w:rsidRPr="002B3167">
        <w:rPr>
          <w:rFonts w:ascii="Palatino Linotype" w:eastAsia="MS Mincho" w:hAnsi="Palatino Linotype" w:cs="Arial"/>
          <w:sz w:val="24"/>
          <w:szCs w:val="24"/>
          <w:lang w:val="es-ES"/>
        </w:rPr>
        <w:t xml:space="preserve">, se encuentra vinculado al nombre de la persona, permitiendo identificar la edad, fecha de nacimiento, sexo, lugar de nacimiento, así como su </w:t>
      </w:r>
      <w:proofErr w:type="spellStart"/>
      <w:r w:rsidRPr="002B3167">
        <w:rPr>
          <w:rFonts w:ascii="Palatino Linotype" w:eastAsia="MS Mincho" w:hAnsi="Palatino Linotype" w:cs="Arial"/>
          <w:sz w:val="24"/>
          <w:szCs w:val="24"/>
          <w:lang w:val="es-ES"/>
        </w:rPr>
        <w:t>homoclave</w:t>
      </w:r>
      <w:proofErr w:type="spellEnd"/>
      <w:r w:rsidRPr="002B3167">
        <w:rPr>
          <w:rFonts w:ascii="Palatino Linotype" w:eastAsia="MS Mincho" w:hAnsi="Palatino Linotype" w:cs="Arial"/>
          <w:sz w:val="24"/>
          <w:szCs w:val="24"/>
          <w:lang w:val="es-ES"/>
        </w:rPr>
        <w:t xml:space="preserve">; datos que únicamente le atañen a un particular, por lo que ésta constituye un dato personal que </w:t>
      </w:r>
      <w:r w:rsidRPr="002B3167">
        <w:rPr>
          <w:rFonts w:ascii="Palatino Linotype" w:eastAsia="MS Mincho" w:hAnsi="Palatino Linotype" w:cs="Arial"/>
          <w:sz w:val="24"/>
          <w:szCs w:val="24"/>
          <w:lang w:val="es-ES"/>
        </w:rPr>
        <w:lastRenderedPageBreak/>
        <w:t>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1F9F701"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3D859D88"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 xml:space="preserve">Por cuanto hace a la </w:t>
      </w:r>
      <w:r w:rsidRPr="002B3167">
        <w:rPr>
          <w:rFonts w:ascii="Palatino Linotype" w:eastAsia="MS Mincho" w:hAnsi="Palatino Linotype" w:cs="Arial"/>
          <w:b/>
          <w:sz w:val="24"/>
          <w:szCs w:val="24"/>
          <w:lang w:val="es-ES"/>
        </w:rPr>
        <w:t>Clave de cualquier tipo de seguridad social</w:t>
      </w:r>
      <w:r w:rsidRPr="002B3167">
        <w:rPr>
          <w:rFonts w:ascii="Palatino Linotype" w:eastAsia="MS Mincho" w:hAnsi="Palatino Linotype" w:cs="Arial"/>
          <w:sz w:val="24"/>
          <w:szCs w:val="24"/>
          <w:lang w:val="es-ES"/>
        </w:rPr>
        <w:t xml:space="preserve"> (ISSEMYM, u otros),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49F93EC6"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79EA1FFF"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Por lo que hace a la firma y calificaciones,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25DA735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4886EA07"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 xml:space="preserve">Artículo 3. </w:t>
      </w:r>
      <w:r w:rsidRPr="002B3167">
        <w:rPr>
          <w:rFonts w:ascii="Palatino Linotype" w:eastAsia="MS Mincho" w:hAnsi="Palatino Linotype" w:cs="Arial"/>
          <w:i/>
          <w:szCs w:val="24"/>
          <w:lang w:val="es-ES"/>
        </w:rPr>
        <w:t>Para los efectos de la presente Ley se entenderá por:</w:t>
      </w:r>
    </w:p>
    <w:p w14:paraId="7ACCF531"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lastRenderedPageBreak/>
        <w:t>[…]</w:t>
      </w:r>
    </w:p>
    <w:p w14:paraId="23E75329"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IX. Datos personales:</w:t>
      </w:r>
      <w:r w:rsidRPr="002B3167">
        <w:rPr>
          <w:rFonts w:ascii="Palatino Linotype" w:eastAsia="MS Mincho" w:hAnsi="Palatino Linotype" w:cs="Arial"/>
          <w:i/>
          <w:szCs w:val="24"/>
          <w:lang w:val="es-ES"/>
        </w:rPr>
        <w:t xml:space="preserve"> La información concerniente a una persona, identificada o identificable según lo dispuesto por la Ley de Protección de Datos Personales del Estado de México;</w:t>
      </w:r>
    </w:p>
    <w:p w14:paraId="7C6E1732"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w:t>
      </w:r>
    </w:p>
    <w:p w14:paraId="267CC80F"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XX. Información clasificada:</w:t>
      </w:r>
      <w:r w:rsidRPr="002B3167">
        <w:rPr>
          <w:rFonts w:ascii="Palatino Linotype" w:eastAsia="MS Mincho" w:hAnsi="Palatino Linotype" w:cs="Arial"/>
          <w:i/>
          <w:szCs w:val="24"/>
          <w:lang w:val="es-ES"/>
        </w:rPr>
        <w:t xml:space="preserve"> Aquella considerada por la presente Ley como reservada o confidencial;</w:t>
      </w:r>
    </w:p>
    <w:p w14:paraId="1C13BAB2"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XXI. Información confidencial:</w:t>
      </w:r>
      <w:r w:rsidRPr="002B3167">
        <w:rPr>
          <w:rFonts w:ascii="Palatino Linotype" w:eastAsia="MS Mincho" w:hAnsi="Palatino Linotype" w:cs="Arial"/>
          <w:i/>
          <w:szCs w:val="24"/>
          <w:lang w:val="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BEE10F0"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w:t>
      </w:r>
    </w:p>
    <w:p w14:paraId="370C8B99"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XLV. Versión pública:</w:t>
      </w:r>
      <w:r w:rsidRPr="002B3167">
        <w:rPr>
          <w:rFonts w:ascii="Palatino Linotype" w:eastAsia="MS Mincho" w:hAnsi="Palatino Linotype" w:cs="Arial"/>
          <w:i/>
          <w:szCs w:val="24"/>
          <w:lang w:val="es-ES"/>
        </w:rPr>
        <w:t xml:space="preserve"> Documento en el que se elimine, suprime o borra la información clasificada como reservada o confidencial para permitir su acceso.</w:t>
      </w:r>
    </w:p>
    <w:p w14:paraId="77544033"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w:t>
      </w:r>
    </w:p>
    <w:p w14:paraId="762FD9A3"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p>
    <w:p w14:paraId="24BD3ED3"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Artículo 91.</w:t>
      </w:r>
      <w:r w:rsidRPr="002B3167">
        <w:rPr>
          <w:rFonts w:ascii="Palatino Linotype" w:eastAsia="MS Mincho" w:hAnsi="Palatino Linotype" w:cs="Arial"/>
          <w:i/>
          <w:szCs w:val="24"/>
          <w:lang w:val="es-ES"/>
        </w:rPr>
        <w:t xml:space="preserve"> El acceso a la información pública será restringido excepcionalmente, cuando ésta sea clasificada como reservada o confidencial.</w:t>
      </w:r>
    </w:p>
    <w:p w14:paraId="0B1FDAD4"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p>
    <w:p w14:paraId="601AB701"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Artículo 132.</w:t>
      </w:r>
      <w:r w:rsidRPr="002B3167">
        <w:rPr>
          <w:rFonts w:ascii="Palatino Linotype" w:eastAsia="MS Mincho" w:hAnsi="Palatino Linotype" w:cs="Arial"/>
          <w:i/>
          <w:szCs w:val="24"/>
          <w:lang w:val="es-ES"/>
        </w:rPr>
        <w:t xml:space="preserve"> La clasificación de la información se llevará a cabo en el momento en que:</w:t>
      </w:r>
    </w:p>
    <w:p w14:paraId="7BEB7FD8"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 Se reciba una solicitud de acceso a la información;</w:t>
      </w:r>
    </w:p>
    <w:p w14:paraId="1494838C"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II. Se determine mediante resolución de autoridad competente; o</w:t>
      </w:r>
    </w:p>
    <w:p w14:paraId="208751ED"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III. Se generen versiones públicas para dar cumplimiento a las obligaciones de transparencia previstas en esta Ley.</w:t>
      </w:r>
    </w:p>
    <w:p w14:paraId="025EB031"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w:t>
      </w:r>
    </w:p>
    <w:p w14:paraId="0599F908"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p>
    <w:p w14:paraId="7EF36858"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Artículo 143.</w:t>
      </w:r>
      <w:r w:rsidRPr="002B3167">
        <w:rPr>
          <w:rFonts w:ascii="Palatino Linotype" w:eastAsia="MS Mincho" w:hAnsi="Palatino Linotype" w:cs="Arial"/>
          <w:i/>
          <w:szCs w:val="24"/>
          <w:lang w:val="es-ES"/>
        </w:rPr>
        <w:t xml:space="preserve"> Para los efectos de esta Ley se considera información confidencial, la clasificada como tal, de manera permanente, por su naturaleza, cuando:</w:t>
      </w:r>
    </w:p>
    <w:p w14:paraId="5AF6F0E4"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 xml:space="preserve">I. Se refiera a la información privada y los datos personales concernientes a una persona física o </w:t>
      </w:r>
      <w:proofErr w:type="gramStart"/>
      <w:r w:rsidRPr="002B3167">
        <w:rPr>
          <w:rFonts w:ascii="Palatino Linotype" w:eastAsia="MS Mincho" w:hAnsi="Palatino Linotype" w:cs="Arial"/>
          <w:i/>
          <w:szCs w:val="24"/>
          <w:lang w:val="es-ES"/>
        </w:rPr>
        <w:t>jurídico</w:t>
      </w:r>
      <w:proofErr w:type="gramEnd"/>
      <w:r w:rsidRPr="002B3167">
        <w:rPr>
          <w:rFonts w:ascii="Palatino Linotype" w:eastAsia="MS Mincho" w:hAnsi="Palatino Linotype" w:cs="Arial"/>
          <w:i/>
          <w:szCs w:val="24"/>
          <w:lang w:val="es-ES"/>
        </w:rPr>
        <w:t xml:space="preserve"> colectiva identificada o identificable;</w:t>
      </w:r>
    </w:p>
    <w:p w14:paraId="4E845257"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II. Los secretos bancario, fiduciario, industrial, comercial, fiscal, bursátil y postal, cuya titularidad corresponda a particulares, sujetos de derecho internacional o a sujetos obligados cuando no involucren el ejercicio de recursos públicos; y</w:t>
      </w:r>
    </w:p>
    <w:p w14:paraId="4557A294"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III. La que presenten los particulares a los sujetos obligados, de conformidad con lo dispuesto por las leyes o los tratados internacionales.</w:t>
      </w:r>
    </w:p>
    <w:p w14:paraId="4E04F2D6"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La información confidencial no estará sujeta a temporalidad alguna y sólo podrán tener acceso a ella los titulares de la misma, sus representantes y los servidores públicos facultados para ello.</w:t>
      </w:r>
    </w:p>
    <w:p w14:paraId="2EE4EB3D"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lastRenderedPageBreak/>
        <w:t>No se considerará confidencial la información que se encuentre en los registros públicos o en fuentes de acceso público, ni tampoco la que sea considerada por la presente ley como información pública. [Sic]</w:t>
      </w:r>
    </w:p>
    <w:p w14:paraId="1F21416E"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59D7CA43"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6775A1C"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6BC8C1FB"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 xml:space="preserve">Es conveniente mencionar que </w:t>
      </w:r>
      <w:r w:rsidRPr="002B3167">
        <w:rPr>
          <w:rFonts w:ascii="Palatino Linotype" w:eastAsia="MS Mincho" w:hAnsi="Palatino Linotype" w:cs="Arial"/>
          <w:b/>
          <w:sz w:val="24"/>
          <w:szCs w:val="24"/>
          <w:lang w:val="es-ES"/>
        </w:rPr>
        <w:t>en el caso de dicha información aun siga en sustanciación, lo procedente sería clasificar la información como RESERVADA</w:t>
      </w:r>
      <w:r w:rsidRPr="002B3167">
        <w:rPr>
          <w:rFonts w:ascii="Palatino Linotype" w:eastAsia="MS Mincho" w:hAnsi="Palatino Linotype" w:cs="Arial"/>
          <w:sz w:val="24"/>
          <w:szCs w:val="24"/>
          <w:lang w:val="es-ES"/>
        </w:rPr>
        <w:t xml:space="preserve"> debido a que pudiera encontrarse en actividades de fiscalización, verificación, inspección, comprobación y auditoría sobre el cumplimiento de las Leyes, lo que actualiza lo previsto en los artículos 91 y artículo 140, fracción V, numeral 1, de la Ley de Transparencia estatal, en los que se estipula lo siguiente:</w:t>
      </w:r>
    </w:p>
    <w:p w14:paraId="024E1462" w14:textId="77777777" w:rsidR="002B3167" w:rsidRPr="002B3167" w:rsidRDefault="002B3167" w:rsidP="002B3167">
      <w:pPr>
        <w:spacing w:after="0" w:line="360" w:lineRule="auto"/>
        <w:jc w:val="both"/>
        <w:rPr>
          <w:rFonts w:ascii="Palatino Linotype" w:eastAsia="MS Mincho" w:hAnsi="Palatino Linotype" w:cs="Arial"/>
          <w:sz w:val="24"/>
          <w:szCs w:val="24"/>
          <w:lang w:val="es-ES"/>
        </w:rPr>
      </w:pPr>
    </w:p>
    <w:p w14:paraId="528AE082"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Artículo 91.</w:t>
      </w:r>
      <w:r w:rsidRPr="002B3167">
        <w:rPr>
          <w:rFonts w:ascii="Palatino Linotype" w:eastAsia="MS Mincho" w:hAnsi="Palatino Linotype" w:cs="Arial"/>
          <w:i/>
          <w:szCs w:val="24"/>
          <w:lang w:val="es-ES"/>
        </w:rPr>
        <w:t xml:space="preserve"> El acceso a la información pública será restringido excepcionalmente, cuando ésta sea clasificada como reservada o confidencial.</w:t>
      </w:r>
    </w:p>
    <w:p w14:paraId="34D3C447"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p>
    <w:p w14:paraId="3B1DA498" w14:textId="77777777" w:rsidR="00BB73B9" w:rsidRPr="002B3167" w:rsidRDefault="00BB73B9" w:rsidP="002B3167">
      <w:pPr>
        <w:spacing w:after="0" w:line="240" w:lineRule="auto"/>
        <w:ind w:left="567" w:right="567"/>
        <w:jc w:val="both"/>
        <w:rPr>
          <w:rFonts w:ascii="Palatino Linotype" w:hAnsi="Palatino Linotype" w:cs="Arial"/>
          <w:i/>
        </w:rPr>
      </w:pPr>
      <w:r w:rsidRPr="002B3167">
        <w:rPr>
          <w:rFonts w:ascii="Palatino Linotype" w:eastAsia="MS Mincho" w:hAnsi="Palatino Linotype" w:cs="Arial"/>
          <w:i/>
          <w:szCs w:val="24"/>
          <w:lang w:val="es-ES"/>
        </w:rPr>
        <w:t>“</w:t>
      </w:r>
      <w:r w:rsidRPr="002B3167">
        <w:rPr>
          <w:rFonts w:ascii="Palatino Linotype" w:hAnsi="Palatino Linotype" w:cs="Arial"/>
          <w:b/>
          <w:i/>
        </w:rPr>
        <w:t>Artículo 140.</w:t>
      </w:r>
      <w:r w:rsidRPr="002B3167">
        <w:rPr>
          <w:rFonts w:ascii="Palatino Linotype" w:hAnsi="Palatino Linotype" w:cs="Arial"/>
          <w:i/>
        </w:rPr>
        <w:t xml:space="preserve"> El acceso a la información pública será restringido excepcionalmente, cuando por razones de interés público, ésta sea clasificada como reservada, conforme a los criterios siguientes: </w:t>
      </w:r>
    </w:p>
    <w:p w14:paraId="7B403C06" w14:textId="77777777" w:rsidR="00BB73B9" w:rsidRPr="002B3167" w:rsidRDefault="00BB73B9" w:rsidP="002B3167">
      <w:pPr>
        <w:spacing w:after="0" w:line="240" w:lineRule="auto"/>
        <w:ind w:left="567" w:right="567"/>
        <w:jc w:val="both"/>
        <w:rPr>
          <w:rFonts w:ascii="Palatino Linotype" w:hAnsi="Palatino Linotype" w:cs="Arial"/>
          <w:i/>
        </w:rPr>
      </w:pPr>
      <w:r w:rsidRPr="002B3167">
        <w:rPr>
          <w:rFonts w:ascii="Palatino Linotype" w:hAnsi="Palatino Linotype" w:cs="Arial"/>
          <w:i/>
        </w:rPr>
        <w:lastRenderedPageBreak/>
        <w:t>…</w:t>
      </w:r>
    </w:p>
    <w:p w14:paraId="6A4BA617" w14:textId="77777777" w:rsidR="00BB73B9" w:rsidRPr="002B3167" w:rsidRDefault="00BB73B9" w:rsidP="002B3167">
      <w:pPr>
        <w:spacing w:after="0" w:line="240" w:lineRule="auto"/>
        <w:ind w:left="567" w:right="567"/>
        <w:jc w:val="both"/>
        <w:rPr>
          <w:rFonts w:ascii="Palatino Linotype" w:hAnsi="Palatino Linotype" w:cs="Arial"/>
          <w:i/>
        </w:rPr>
      </w:pPr>
      <w:r w:rsidRPr="002B3167">
        <w:rPr>
          <w:rFonts w:ascii="Palatino Linotype" w:hAnsi="Palatino Linotype" w:cs="Arial"/>
          <w:b/>
          <w:i/>
        </w:rPr>
        <w:t xml:space="preserve">VI. </w:t>
      </w:r>
      <w:r w:rsidRPr="002B3167">
        <w:rPr>
          <w:rFonts w:ascii="Palatino Linotype" w:hAnsi="Palatino Linotype" w:cs="Arial"/>
          <w:i/>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32FC08E" w14:textId="77777777" w:rsidR="00BB73B9" w:rsidRPr="002B3167" w:rsidRDefault="00BB73B9" w:rsidP="002B3167">
      <w:pPr>
        <w:spacing w:after="0" w:line="240" w:lineRule="auto"/>
        <w:ind w:left="567" w:right="567"/>
        <w:jc w:val="both"/>
        <w:rPr>
          <w:rFonts w:ascii="Palatino Linotype" w:hAnsi="Palatino Linotype" w:cs="Arial"/>
          <w:i/>
        </w:rPr>
      </w:pPr>
      <w:r w:rsidRPr="002B3167">
        <w:rPr>
          <w:rFonts w:ascii="Palatino Linotype" w:hAnsi="Palatino Linotype" w:cs="Arial"/>
          <w:i/>
        </w:rPr>
        <w:t xml:space="preserve">…; </w:t>
      </w:r>
    </w:p>
    <w:p w14:paraId="09FAFFA0" w14:textId="77777777" w:rsidR="00BB73B9" w:rsidRPr="002B3167" w:rsidRDefault="00BB73B9" w:rsidP="002B3167">
      <w:pPr>
        <w:spacing w:after="0" w:line="240" w:lineRule="auto"/>
        <w:ind w:left="567" w:right="567"/>
        <w:jc w:val="both"/>
        <w:rPr>
          <w:rFonts w:ascii="Palatino Linotype" w:hAnsi="Palatino Linotype" w:cs="Arial"/>
          <w:i/>
        </w:rPr>
      </w:pPr>
      <w:r w:rsidRPr="002B3167">
        <w:rPr>
          <w:rFonts w:ascii="Palatino Linotype" w:hAnsi="Palatino Linotype" w:cs="Arial"/>
          <w:b/>
          <w:i/>
        </w:rPr>
        <w:t xml:space="preserve">VIII. </w:t>
      </w:r>
      <w:r w:rsidRPr="002B3167">
        <w:rPr>
          <w:rFonts w:ascii="Palatino Linotype" w:hAnsi="Palatino Linotype" w:cs="Arial"/>
          <w:i/>
        </w:rPr>
        <w:t xml:space="preserve">Vulnere la conducción de los expedientes judiciales o de los procedimientos administrativos seguidos en forma de juicio, en tanto no hayan quedado firmes; </w:t>
      </w:r>
    </w:p>
    <w:p w14:paraId="7D2D504C"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w:t>
      </w:r>
    </w:p>
    <w:p w14:paraId="4E6E762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7EB6E05F"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Conforme a lo anterior, se puede corroborar que el procedimiento en cuestión, podría constituir un procedimiento administrativo seguido en forma de juicio; por lo que, la información solicitada podría actualizar una causal de clasificación, en su carácter de reservada.</w:t>
      </w:r>
    </w:p>
    <w:p w14:paraId="48CA9D8A"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200A88E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Por su parte, en los Lineamientos Generales en materia de clasificación y desclasificación de la información, así como para la elaboración de versiones públicas, se prevé lo siguiente:</w:t>
      </w:r>
    </w:p>
    <w:p w14:paraId="4F320018"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4C3A8930"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w:t>
      </w:r>
      <w:r w:rsidRPr="002B3167">
        <w:rPr>
          <w:rFonts w:ascii="Palatino Linotype" w:eastAsia="MS Mincho" w:hAnsi="Palatino Linotype" w:cs="Arial"/>
          <w:b/>
          <w:i/>
          <w:szCs w:val="24"/>
          <w:lang w:val="es-ES"/>
        </w:rPr>
        <w:t>Vigésimo sexto.</w:t>
      </w:r>
      <w:r w:rsidRPr="002B3167">
        <w:rPr>
          <w:rFonts w:ascii="Palatino Linotype" w:eastAsia="MS Mincho" w:hAnsi="Palatino Linotype" w:cs="Arial"/>
          <w:i/>
          <w:szCs w:val="24"/>
          <w:lang w:val="es-ES"/>
        </w:rPr>
        <w:t xml:space="preserve"> De conformidad con el artículo 113, fracción VII de la Ley General, podrá considerarse como información reservada, aquella que </w:t>
      </w:r>
      <w:r w:rsidRPr="002B3167">
        <w:rPr>
          <w:rFonts w:ascii="Palatino Linotype" w:eastAsia="MS Mincho" w:hAnsi="Palatino Linotype" w:cs="Arial"/>
          <w:i/>
          <w:szCs w:val="24"/>
          <w:u w:val="single"/>
          <w:lang w:val="es-ES"/>
        </w:rPr>
        <w:t>obstruya la prevención de delitos</w:t>
      </w:r>
      <w:r w:rsidRPr="002B3167">
        <w:rPr>
          <w:rFonts w:ascii="Palatino Linotype" w:eastAsia="MS Mincho" w:hAnsi="Palatino Linotype" w:cs="Arial"/>
          <w:i/>
          <w:szCs w:val="24"/>
          <w:lang w:val="es-ES"/>
        </w:rPr>
        <w:t xml:space="preserve"> al obstaculizar las acciones implementadas por las autoridades para evitar su comisión, o menoscabar o limitar la capacidad de las autoridades para evitar la comisión de delitos.</w:t>
      </w:r>
    </w:p>
    <w:p w14:paraId="7CADC290"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Para que se verifique el supuesto de reserva, cuando se cause un perjuicio a las actividades de persecución de los delitos, deben de actualizarse los siguientes elementos:</w:t>
      </w:r>
    </w:p>
    <w:p w14:paraId="310DFD22"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p>
    <w:p w14:paraId="00B4CDB5"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        La existencia de un proceso penal en sustanciación o una carpeta de investigación en trámite;</w:t>
      </w:r>
    </w:p>
    <w:p w14:paraId="33444FC1"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lastRenderedPageBreak/>
        <w:t>II.       Que se acredite el vínculo que existe entre la información solicitada y la carpeta de investigación, o el proceso penal, según sea el caso, y</w:t>
      </w:r>
    </w:p>
    <w:p w14:paraId="5EB45F07"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III.      Que la difusión de la información pueda impedir u obstruir las funciones que ejerce el Ministerio Público o su equivalente durante la etapa de investigación o ante los tribunales judiciales con motivo del ejercicio de la acción penal.</w:t>
      </w:r>
    </w:p>
    <w:p w14:paraId="48AE728F"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p>
    <w:p w14:paraId="676DC664"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b/>
          <w:i/>
          <w:szCs w:val="24"/>
          <w:lang w:val="es-ES"/>
        </w:rPr>
        <w:t>Vigésimo octavo.</w:t>
      </w:r>
      <w:r w:rsidRPr="002B3167">
        <w:rPr>
          <w:rFonts w:ascii="Palatino Linotype" w:eastAsia="MS Mincho" w:hAnsi="Palatino Linotype" w:cs="Arial"/>
          <w:i/>
          <w:szCs w:val="24"/>
          <w:lang w:val="es-ES"/>
        </w:rPr>
        <w:t xml:space="preserve"> De conformidad con el artículo 113, fracción IX de la Ley General, podrá considerarse como información reservada, aquella que </w:t>
      </w:r>
      <w:r w:rsidRPr="002B3167">
        <w:rPr>
          <w:rFonts w:ascii="Palatino Linotype" w:eastAsia="MS Mincho" w:hAnsi="Palatino Linotype" w:cs="Arial"/>
          <w:i/>
          <w:szCs w:val="24"/>
          <w:u w:val="single"/>
          <w:lang w:val="es-ES"/>
        </w:rPr>
        <w:t>obstruya los procedimientos para fincar responsabilidad a los servidores públicos,</w:t>
      </w:r>
      <w:r w:rsidRPr="002B3167">
        <w:rPr>
          <w:rFonts w:ascii="Palatino Linotype" w:eastAsia="MS Mincho" w:hAnsi="Palatino Linotype" w:cs="Arial"/>
          <w:i/>
          <w:szCs w:val="24"/>
          <w:lang w:val="es-ES"/>
        </w:rPr>
        <w:t xml:space="preserve"> en tanto no se haya dictado la resolución administrativa correspondiente; para lo cual, se deberán acreditar los siguientes supuestos:</w:t>
      </w:r>
    </w:p>
    <w:p w14:paraId="7960E07D"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        La existencia de un procedimiento de responsabilidad administrativa en trámite, y</w:t>
      </w:r>
    </w:p>
    <w:p w14:paraId="14910669" w14:textId="77777777" w:rsidR="00BB73B9" w:rsidRPr="002B3167" w:rsidRDefault="00BB73B9" w:rsidP="002B3167">
      <w:pPr>
        <w:spacing w:after="0" w:line="240" w:lineRule="auto"/>
        <w:ind w:left="567" w:right="567"/>
        <w:jc w:val="both"/>
        <w:rPr>
          <w:rFonts w:ascii="Palatino Linotype" w:eastAsia="MS Mincho" w:hAnsi="Palatino Linotype" w:cs="Arial"/>
          <w:i/>
          <w:szCs w:val="24"/>
          <w:lang w:val="es-ES"/>
        </w:rPr>
      </w:pPr>
      <w:r w:rsidRPr="002B3167">
        <w:rPr>
          <w:rFonts w:ascii="Palatino Linotype" w:eastAsia="MS Mincho" w:hAnsi="Palatino Linotype" w:cs="Arial"/>
          <w:i/>
          <w:szCs w:val="24"/>
          <w:lang w:val="es-ES"/>
        </w:rPr>
        <w:t>II.       Que la información se refiera a actuaciones, diligencias y constancias propias del procedimiento de responsabilidad.</w:t>
      </w:r>
    </w:p>
    <w:p w14:paraId="1AAFAC4F"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60721516"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 xml:space="preserve">Para los efectos de los Lineamientos citados, se considera como información </w:t>
      </w:r>
      <w:r w:rsidRPr="002B3167">
        <w:rPr>
          <w:rFonts w:ascii="Palatino Linotype" w:eastAsia="MS Mincho" w:hAnsi="Palatino Linotype" w:cs="Arial"/>
          <w:b/>
          <w:sz w:val="24"/>
          <w:szCs w:val="24"/>
          <w:lang w:val="es-ES"/>
        </w:rPr>
        <w:t>RESERVADA</w:t>
      </w:r>
      <w:r w:rsidRPr="002B3167">
        <w:rPr>
          <w:rFonts w:ascii="Palatino Linotype" w:eastAsia="MS Mincho" w:hAnsi="Palatino Linotype" w:cs="Arial"/>
          <w:sz w:val="24"/>
          <w:szCs w:val="24"/>
          <w:lang w:val="es-ES"/>
        </w:rPr>
        <w:t xml:space="preserve"> podrá clasificarse aquella que se encuentre en un procedimiento de responsabilidad administrativa y su publicidad obstruya la prevención de delitos o de fincar responsabilidades administrativas a servidores públicos.</w:t>
      </w:r>
    </w:p>
    <w:p w14:paraId="139FC449"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7339EF7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Por lo cual, para considerar que se actualiza dicha causal es necesario que se configuren los siguientes elementos:</w:t>
      </w:r>
    </w:p>
    <w:p w14:paraId="10A3DAD5"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790EDEF0" w14:textId="77777777" w:rsidR="00BB73B9" w:rsidRPr="002B3167" w:rsidRDefault="00BB73B9" w:rsidP="002B3167">
      <w:pPr>
        <w:spacing w:after="0" w:line="360" w:lineRule="auto"/>
        <w:ind w:left="567" w:right="567"/>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1) La existencia de un juicio o procedimiento administrativo materialmente jurisdiccional, que se encuentre en trámite, y</w:t>
      </w:r>
    </w:p>
    <w:p w14:paraId="4A8B9AEB" w14:textId="77777777" w:rsidR="00BB73B9" w:rsidRPr="002B3167" w:rsidRDefault="00BB73B9" w:rsidP="002B3167">
      <w:pPr>
        <w:spacing w:after="0" w:line="360" w:lineRule="auto"/>
        <w:ind w:left="567" w:right="567"/>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2) Que la información solicitada se refiera a actuaciones, diligencias o constancias propias del procedimiento.</w:t>
      </w:r>
    </w:p>
    <w:p w14:paraId="68C2FB6A"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1B340DBE"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lastRenderedPageBreak/>
        <w:t xml:space="preserve">Con base en lo expuesto, se advierte que la información susceptible de clasificarse como </w:t>
      </w:r>
      <w:r w:rsidRPr="002B3167">
        <w:rPr>
          <w:rFonts w:ascii="Palatino Linotype" w:eastAsia="MS Mincho" w:hAnsi="Palatino Linotype" w:cs="Arial"/>
          <w:b/>
          <w:sz w:val="24"/>
          <w:szCs w:val="24"/>
          <w:lang w:val="es-ES"/>
        </w:rPr>
        <w:t>RESERVADA</w:t>
      </w:r>
      <w:r w:rsidRPr="002B3167">
        <w:rPr>
          <w:rFonts w:ascii="Palatino Linotype" w:eastAsia="MS Mincho" w:hAnsi="Palatino Linotype" w:cs="Arial"/>
          <w:sz w:val="24"/>
          <w:szCs w:val="24"/>
          <w:lang w:val="es-ES"/>
        </w:rPr>
        <w:t xml:space="preserve"> bajo el supuesto aludido por el </w:t>
      </w:r>
      <w:r w:rsidRPr="002B3167">
        <w:rPr>
          <w:rFonts w:ascii="Palatino Linotype" w:eastAsia="MS Mincho" w:hAnsi="Palatino Linotype" w:cs="Arial"/>
          <w:b/>
          <w:sz w:val="24"/>
          <w:szCs w:val="24"/>
          <w:lang w:val="es-ES"/>
        </w:rPr>
        <w:t>Sujeto Obligado</w:t>
      </w:r>
      <w:r w:rsidRPr="002B3167">
        <w:rPr>
          <w:rFonts w:ascii="Palatino Linotype" w:eastAsia="MS Mincho" w:hAnsi="Palatino Linotype" w:cs="Arial"/>
          <w:sz w:val="24"/>
          <w:szCs w:val="24"/>
          <w:lang w:val="es-ES"/>
        </w:rPr>
        <w:t>, es aquella cuya difusión, obstruya la prevención de delitos o de fincar responsabilidades administrativas a servidores públicos, en tanto no hayan causado estado los procedimientos.</w:t>
      </w:r>
    </w:p>
    <w:p w14:paraId="36FFEBA5"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p>
    <w:p w14:paraId="12FFE692" w14:textId="77777777" w:rsidR="00BB73B9" w:rsidRPr="002B3167" w:rsidRDefault="00BB73B9" w:rsidP="002B3167">
      <w:pPr>
        <w:spacing w:after="0" w:line="360" w:lineRule="auto"/>
        <w:jc w:val="both"/>
        <w:rPr>
          <w:rFonts w:ascii="Palatino Linotype" w:eastAsia="MS Mincho" w:hAnsi="Palatino Linotype" w:cs="Arial"/>
          <w:sz w:val="24"/>
          <w:szCs w:val="24"/>
          <w:lang w:val="es-ES"/>
        </w:rPr>
      </w:pPr>
      <w:r w:rsidRPr="002B3167">
        <w:rPr>
          <w:rFonts w:ascii="Palatino Linotype" w:eastAsia="MS Mincho" w:hAnsi="Palatino Linotype" w:cs="Arial"/>
          <w:sz w:val="24"/>
          <w:szCs w:val="24"/>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77F1FAE" w14:textId="77777777" w:rsidR="004811AA" w:rsidRPr="002B3167" w:rsidRDefault="004811AA" w:rsidP="002B3167">
      <w:pPr>
        <w:pStyle w:val="Prrafodelista"/>
        <w:autoSpaceDE w:val="0"/>
        <w:autoSpaceDN w:val="0"/>
        <w:adjustRightInd w:val="0"/>
        <w:spacing w:line="360" w:lineRule="auto"/>
        <w:ind w:left="0"/>
        <w:jc w:val="both"/>
        <w:rPr>
          <w:rFonts w:ascii="Palatino Linotype" w:hAnsi="Palatino Linotype" w:cs="Arial"/>
          <w:b/>
        </w:rPr>
      </w:pPr>
    </w:p>
    <w:p w14:paraId="64979D08" w14:textId="0540309D" w:rsidR="006C4F44" w:rsidRPr="002B3167" w:rsidRDefault="006C4F44"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t xml:space="preserve">En mérito de lo expuesto en líneas anteriores, con fundamento en la fracción IV del artículo 186, de la Ley de Transparencia y Acceso a la Información Pública del Estado de México y Municipios, se </w:t>
      </w:r>
      <w:r w:rsidRPr="002B3167">
        <w:rPr>
          <w:rFonts w:ascii="Palatino Linotype" w:hAnsi="Palatino Linotype" w:cs="Arial"/>
          <w:b/>
          <w:sz w:val="24"/>
          <w:szCs w:val="24"/>
        </w:rPr>
        <w:t>ORDENA</w:t>
      </w:r>
      <w:r w:rsidRPr="002B3167">
        <w:rPr>
          <w:rFonts w:ascii="Palatino Linotype" w:hAnsi="Palatino Linotype" w:cs="Arial"/>
          <w:sz w:val="24"/>
          <w:szCs w:val="24"/>
        </w:rPr>
        <w:t xml:space="preserve"> al </w:t>
      </w:r>
      <w:r w:rsidRPr="002B3167">
        <w:rPr>
          <w:rFonts w:ascii="Palatino Linotype" w:hAnsi="Palatino Linotype" w:cs="Arial"/>
          <w:b/>
          <w:sz w:val="24"/>
          <w:szCs w:val="24"/>
        </w:rPr>
        <w:t>Sujeto Obligado</w:t>
      </w:r>
      <w:r w:rsidRPr="002B3167">
        <w:rPr>
          <w:rFonts w:ascii="Palatino Linotype" w:hAnsi="Palatino Linotype" w:cs="Arial"/>
          <w:sz w:val="24"/>
          <w:szCs w:val="24"/>
        </w:rPr>
        <w:t xml:space="preserve">, atienda la solicitud de información </w:t>
      </w:r>
      <w:r w:rsidR="00486595" w:rsidRPr="002B3167">
        <w:rPr>
          <w:rFonts w:ascii="Palatino Linotype" w:hAnsi="Palatino Linotype" w:cs="Arial"/>
          <w:b/>
          <w:sz w:val="24"/>
          <w:szCs w:val="24"/>
          <w:lang w:eastAsia="es-MX"/>
        </w:rPr>
        <w:t>00109/HRZUM/IP/2023</w:t>
      </w:r>
      <w:r w:rsidRPr="002B3167">
        <w:rPr>
          <w:rFonts w:ascii="Palatino Linotype" w:hAnsi="Palatino Linotype" w:cs="Arial"/>
          <w:b/>
          <w:sz w:val="24"/>
          <w:szCs w:val="24"/>
          <w:lang w:eastAsia="es-MX"/>
        </w:rPr>
        <w:t xml:space="preserve"> </w:t>
      </w:r>
      <w:r w:rsidRPr="002B3167">
        <w:rPr>
          <w:rFonts w:ascii="Palatino Linotype" w:hAnsi="Palatino Linotype" w:cs="Arial"/>
          <w:sz w:val="24"/>
          <w:szCs w:val="24"/>
        </w:rPr>
        <w:t>que ha sido materia del presente fallo.</w:t>
      </w:r>
    </w:p>
    <w:p w14:paraId="10DD182B" w14:textId="77777777" w:rsidR="00CA7C63" w:rsidRPr="002B3167" w:rsidRDefault="00CA7C63" w:rsidP="002B3167">
      <w:pPr>
        <w:autoSpaceDE w:val="0"/>
        <w:autoSpaceDN w:val="0"/>
        <w:adjustRightInd w:val="0"/>
        <w:spacing w:after="0" w:line="360" w:lineRule="auto"/>
        <w:jc w:val="both"/>
        <w:rPr>
          <w:rFonts w:ascii="Palatino Linotype" w:hAnsi="Palatino Linotype" w:cs="Arial"/>
          <w:sz w:val="24"/>
          <w:szCs w:val="24"/>
        </w:rPr>
      </w:pPr>
    </w:p>
    <w:p w14:paraId="15A827E7" w14:textId="06C67C18" w:rsidR="006C4F44" w:rsidRPr="002B3167" w:rsidRDefault="006C4F44" w:rsidP="002B3167">
      <w:pPr>
        <w:autoSpaceDE w:val="0"/>
        <w:autoSpaceDN w:val="0"/>
        <w:adjustRightInd w:val="0"/>
        <w:spacing w:after="0" w:line="360" w:lineRule="auto"/>
        <w:jc w:val="both"/>
        <w:rPr>
          <w:rFonts w:ascii="Palatino Linotype" w:hAnsi="Palatino Linotype" w:cs="Arial"/>
          <w:sz w:val="24"/>
          <w:szCs w:val="24"/>
        </w:rPr>
      </w:pPr>
      <w:r w:rsidRPr="002B3167">
        <w:rPr>
          <w:rFonts w:ascii="Palatino Linotype" w:hAnsi="Palatino Linotype" w:cs="Arial"/>
          <w:sz w:val="24"/>
          <w:szCs w:val="24"/>
        </w:rPr>
        <w:t>Por lo antes expuesto y fundado es de resolverse y,</w:t>
      </w:r>
    </w:p>
    <w:p w14:paraId="3FE6BC69" w14:textId="77777777" w:rsidR="006C4F44" w:rsidRPr="002B3167" w:rsidRDefault="006C4F44" w:rsidP="002B3167">
      <w:pPr>
        <w:spacing w:after="0" w:line="360" w:lineRule="auto"/>
        <w:ind w:left="426"/>
        <w:jc w:val="center"/>
        <w:rPr>
          <w:rFonts w:ascii="Palatino Linotype" w:eastAsia="Times New Roman" w:hAnsi="Palatino Linotype" w:cs="Times New Roman"/>
          <w:b/>
          <w:color w:val="000000"/>
          <w:sz w:val="24"/>
          <w:szCs w:val="24"/>
          <w:lang w:val="es-ES" w:eastAsia="es-ES"/>
        </w:rPr>
      </w:pPr>
      <w:r w:rsidRPr="002B3167">
        <w:rPr>
          <w:rFonts w:ascii="Palatino Linotype" w:eastAsia="Times New Roman" w:hAnsi="Palatino Linotype" w:cs="Times New Roman"/>
          <w:b/>
          <w:color w:val="000000"/>
          <w:sz w:val="24"/>
          <w:szCs w:val="24"/>
          <w:lang w:val="es-ES" w:eastAsia="es-ES"/>
        </w:rPr>
        <w:lastRenderedPageBreak/>
        <w:t>SE    RESUELVE</w:t>
      </w:r>
    </w:p>
    <w:p w14:paraId="0CF4DE60" w14:textId="77777777" w:rsidR="00CA7C63" w:rsidRPr="002B3167" w:rsidRDefault="00CA7C63" w:rsidP="002B3167">
      <w:pPr>
        <w:pStyle w:val="Sinespaciado"/>
        <w:spacing w:line="360" w:lineRule="auto"/>
        <w:jc w:val="both"/>
        <w:rPr>
          <w:rFonts w:ascii="Palatino Linotype" w:hAnsi="Palatino Linotype" w:cstheme="minorHAnsi"/>
          <w:b/>
          <w:lang w:val="es-ES_tradnl"/>
        </w:rPr>
      </w:pPr>
    </w:p>
    <w:p w14:paraId="7CEA43BB" w14:textId="58A2DCC4" w:rsidR="006C4F44" w:rsidRPr="002B3167" w:rsidRDefault="006C4F44" w:rsidP="002B3167">
      <w:pPr>
        <w:pStyle w:val="Sinespaciado"/>
        <w:spacing w:line="360" w:lineRule="auto"/>
        <w:jc w:val="both"/>
        <w:rPr>
          <w:rFonts w:ascii="Palatino Linotype" w:hAnsi="Palatino Linotype" w:cstheme="minorHAnsi"/>
        </w:rPr>
      </w:pPr>
      <w:r w:rsidRPr="002B3167">
        <w:rPr>
          <w:rFonts w:ascii="Palatino Linotype" w:hAnsi="Palatino Linotype" w:cstheme="minorHAnsi"/>
          <w:b/>
          <w:lang w:val="es-ES_tradnl"/>
        </w:rPr>
        <w:t>PRIMERO.</w:t>
      </w:r>
      <w:r w:rsidRPr="002B3167">
        <w:rPr>
          <w:rFonts w:ascii="Palatino Linotype" w:hAnsi="Palatino Linotype" w:cstheme="minorHAnsi"/>
        </w:rPr>
        <w:t xml:space="preserve"> Resultan fundadas las razones o motivos de inconformidad hechos valer por </w:t>
      </w:r>
      <w:r w:rsidR="00CA7C63" w:rsidRPr="002B3167">
        <w:rPr>
          <w:rFonts w:ascii="Palatino Linotype" w:hAnsi="Palatino Linotype" w:cstheme="minorHAnsi"/>
        </w:rPr>
        <w:t xml:space="preserve">la parte </w:t>
      </w:r>
      <w:r w:rsidR="00CA7C63" w:rsidRPr="002B3167">
        <w:rPr>
          <w:rFonts w:ascii="Palatino Linotype" w:hAnsi="Palatino Linotype" w:cstheme="minorHAnsi"/>
          <w:b/>
        </w:rPr>
        <w:t>Recurrente</w:t>
      </w:r>
      <w:r w:rsidRPr="002B3167">
        <w:rPr>
          <w:rFonts w:ascii="Palatino Linotype" w:hAnsi="Palatino Linotype" w:cstheme="minorHAnsi"/>
          <w:b/>
        </w:rPr>
        <w:t>,</w:t>
      </w:r>
      <w:r w:rsidRPr="002B3167">
        <w:rPr>
          <w:rFonts w:ascii="Palatino Linotype" w:hAnsi="Palatino Linotype" w:cstheme="minorHAnsi"/>
        </w:rPr>
        <w:t xml:space="preserve"> en términos del </w:t>
      </w:r>
      <w:r w:rsidRPr="002B3167">
        <w:rPr>
          <w:rFonts w:ascii="Palatino Linotype" w:hAnsi="Palatino Linotype" w:cstheme="minorHAnsi"/>
          <w:b/>
        </w:rPr>
        <w:t xml:space="preserve">Considerando CUARTO </w:t>
      </w:r>
      <w:r w:rsidRPr="002B3167">
        <w:rPr>
          <w:rFonts w:ascii="Palatino Linotype" w:hAnsi="Palatino Linotype" w:cstheme="minorHAnsi"/>
        </w:rPr>
        <w:t>de la presente resolución.</w:t>
      </w:r>
    </w:p>
    <w:p w14:paraId="1D338FA6" w14:textId="77777777" w:rsidR="00B316CC" w:rsidRPr="002B3167" w:rsidRDefault="00B316CC" w:rsidP="002B3167">
      <w:pPr>
        <w:pStyle w:val="Sinespaciado"/>
        <w:spacing w:line="360" w:lineRule="auto"/>
        <w:jc w:val="both"/>
        <w:rPr>
          <w:rFonts w:ascii="Palatino Linotype" w:hAnsi="Palatino Linotype" w:cstheme="minorHAnsi"/>
        </w:rPr>
      </w:pPr>
    </w:p>
    <w:p w14:paraId="28EEE1B0" w14:textId="1BEEF9C2" w:rsidR="00850CAA" w:rsidRPr="002B3167" w:rsidRDefault="00850CAA" w:rsidP="002B3167">
      <w:pPr>
        <w:pStyle w:val="Sinespaciado"/>
        <w:spacing w:line="360" w:lineRule="auto"/>
        <w:jc w:val="both"/>
        <w:rPr>
          <w:rFonts w:ascii="Palatino Linotype" w:hAnsi="Palatino Linotype" w:cs="Arial"/>
        </w:rPr>
      </w:pPr>
      <w:r w:rsidRPr="002B3167">
        <w:rPr>
          <w:rFonts w:ascii="Palatino Linotype" w:hAnsi="Palatino Linotype" w:cstheme="minorHAnsi"/>
          <w:b/>
        </w:rPr>
        <w:t xml:space="preserve">SEGUNDO. </w:t>
      </w:r>
      <w:r w:rsidRPr="002B3167">
        <w:rPr>
          <w:rFonts w:ascii="Palatino Linotype" w:hAnsi="Palatino Linotype"/>
          <w:color w:val="222222"/>
          <w:lang w:eastAsia="es-MX"/>
        </w:rPr>
        <w:t>Se</w:t>
      </w:r>
      <w:r w:rsidRPr="002B3167">
        <w:rPr>
          <w:rFonts w:ascii="Palatino Linotype" w:hAnsi="Palatino Linotype"/>
          <w:b/>
          <w:bCs/>
          <w:color w:val="222222"/>
          <w:lang w:eastAsia="es-MX"/>
        </w:rPr>
        <w:t xml:space="preserve"> ORDENA </w:t>
      </w:r>
      <w:r w:rsidRPr="002B3167">
        <w:rPr>
          <w:rFonts w:ascii="Palatino Linotype" w:hAnsi="Palatino Linotype"/>
          <w:color w:val="222222"/>
          <w:lang w:eastAsia="es-MX"/>
        </w:rPr>
        <w:t xml:space="preserve">al </w:t>
      </w:r>
      <w:r w:rsidR="00CA7C63" w:rsidRPr="002B3167">
        <w:rPr>
          <w:rFonts w:ascii="Palatino Linotype" w:hAnsi="Palatino Linotype"/>
          <w:b/>
          <w:color w:val="222222"/>
          <w:lang w:eastAsia="es-MX"/>
        </w:rPr>
        <w:t>Sujeto Obligado</w:t>
      </w:r>
      <w:r w:rsidR="00CA7C63" w:rsidRPr="002B3167">
        <w:rPr>
          <w:rFonts w:ascii="Palatino Linotype" w:hAnsi="Palatino Linotype"/>
          <w:color w:val="222222"/>
          <w:lang w:eastAsia="es-MX"/>
        </w:rPr>
        <w:t xml:space="preserve"> </w:t>
      </w:r>
      <w:r w:rsidRPr="002B3167">
        <w:rPr>
          <w:rFonts w:ascii="Palatino Linotype" w:hAnsi="Palatino Linotype"/>
          <w:color w:val="222222"/>
          <w:lang w:eastAsia="es-MX"/>
        </w:rPr>
        <w:t xml:space="preserve">atienda la solicitud de información número </w:t>
      </w:r>
      <w:r w:rsidR="00486595" w:rsidRPr="002B3167">
        <w:rPr>
          <w:rFonts w:ascii="Palatino Linotype" w:hAnsi="Palatino Linotype" w:cs="Arial"/>
          <w:b/>
          <w:lang w:eastAsia="es-MX"/>
        </w:rPr>
        <w:t>00109/HRZUM/IP/2023</w:t>
      </w:r>
      <w:r w:rsidRPr="002B3167">
        <w:rPr>
          <w:rFonts w:ascii="Palatino Linotype" w:hAnsi="Palatino Linotype"/>
          <w:b/>
          <w:color w:val="222222"/>
          <w:lang w:eastAsia="es-MX"/>
        </w:rPr>
        <w:t>,</w:t>
      </w:r>
      <w:r w:rsidRPr="002B3167">
        <w:rPr>
          <w:rFonts w:ascii="Palatino Linotype" w:hAnsi="Palatino Linotype"/>
          <w:color w:val="222222"/>
          <w:lang w:eastAsia="es-MX"/>
        </w:rPr>
        <w:t xml:space="preserve"> y en términos del Considerando </w:t>
      </w:r>
      <w:r w:rsidRPr="002B3167">
        <w:rPr>
          <w:rFonts w:ascii="Palatino Linotype" w:hAnsi="Palatino Linotype"/>
          <w:b/>
          <w:bCs/>
          <w:color w:val="222222"/>
          <w:lang w:eastAsia="es-MX"/>
        </w:rPr>
        <w:t xml:space="preserve">CUARTO </w:t>
      </w:r>
      <w:r w:rsidRPr="002B3167">
        <w:rPr>
          <w:rFonts w:ascii="Palatino Linotype" w:hAnsi="Palatino Linotype" w:cs="Arial"/>
        </w:rPr>
        <w:t>de la presente resolución haga entrega al</w:t>
      </w:r>
      <w:r w:rsidRPr="002B3167">
        <w:rPr>
          <w:rFonts w:ascii="Palatino Linotype" w:hAnsi="Palatino Linotype" w:cs="Arial"/>
          <w:b/>
        </w:rPr>
        <w:t xml:space="preserve"> </w:t>
      </w:r>
      <w:r w:rsidR="00CA7C63" w:rsidRPr="002B3167">
        <w:rPr>
          <w:rFonts w:ascii="Palatino Linotype" w:hAnsi="Palatino Linotype" w:cs="Arial"/>
          <w:b/>
        </w:rPr>
        <w:t>Recurrente</w:t>
      </w:r>
      <w:r w:rsidRPr="002B3167">
        <w:rPr>
          <w:rFonts w:ascii="Palatino Linotype" w:hAnsi="Palatino Linotype" w:cs="Arial"/>
        </w:rPr>
        <w:t xml:space="preserve">, en versión pública de ser procedente, a través del Sistema de Acceso a la Información Mexiquense </w:t>
      </w:r>
      <w:r w:rsidRPr="002B3167">
        <w:rPr>
          <w:rFonts w:ascii="Palatino Linotype" w:hAnsi="Palatino Linotype" w:cs="Arial"/>
          <w:b/>
        </w:rPr>
        <w:t>(SAIMEX)</w:t>
      </w:r>
      <w:r w:rsidRPr="002B3167">
        <w:rPr>
          <w:rFonts w:ascii="Palatino Linotype" w:hAnsi="Palatino Linotype" w:cs="Arial"/>
        </w:rPr>
        <w:t>, de</w:t>
      </w:r>
      <w:r w:rsidR="00CA7C63" w:rsidRPr="002B3167">
        <w:rPr>
          <w:rFonts w:ascii="Palatino Linotype" w:hAnsi="Palatino Linotype" w:cs="Arial"/>
        </w:rPr>
        <w:t>l soporte documental que se generó dentro del periodo en que la servidora pública referida en la solicitud, ocupo el cargo de Subdirectora de Personal, en que obre</w:t>
      </w:r>
      <w:r w:rsidRPr="002B3167">
        <w:rPr>
          <w:rFonts w:ascii="Palatino Linotype" w:hAnsi="Palatino Linotype" w:cs="Arial"/>
        </w:rPr>
        <w:t xml:space="preserve"> lo siguiente:</w:t>
      </w:r>
    </w:p>
    <w:p w14:paraId="5BDFD370" w14:textId="77777777" w:rsidR="00CA7C63" w:rsidRPr="002B3167" w:rsidRDefault="00CA7C63" w:rsidP="002B3167">
      <w:pPr>
        <w:pStyle w:val="Sinespaciado"/>
        <w:spacing w:line="360" w:lineRule="auto"/>
        <w:jc w:val="both"/>
        <w:rPr>
          <w:rFonts w:ascii="Palatino Linotype" w:hAnsi="Palatino Linotype" w:cs="Arial"/>
        </w:rPr>
      </w:pPr>
    </w:p>
    <w:p w14:paraId="541A78E4" w14:textId="55CCE08A" w:rsidR="00CA7C63" w:rsidRPr="002B3167" w:rsidRDefault="00CA7C63" w:rsidP="002B3167">
      <w:pPr>
        <w:pStyle w:val="Prrafodelista"/>
        <w:numPr>
          <w:ilvl w:val="0"/>
          <w:numId w:val="25"/>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Las altas de los nuevos servidores públicos que ingresa</w:t>
      </w:r>
      <w:r w:rsidR="000533E0" w:rsidRPr="002B3167">
        <w:rPr>
          <w:rFonts w:ascii="Palatino Linotype" w:hAnsi="Palatino Linotype" w:cs="Arial"/>
        </w:rPr>
        <w:t>ron</w:t>
      </w:r>
      <w:r w:rsidRPr="002B3167">
        <w:rPr>
          <w:rFonts w:ascii="Palatino Linotype" w:hAnsi="Palatino Linotype" w:cs="Arial"/>
        </w:rPr>
        <w:t>;</w:t>
      </w:r>
    </w:p>
    <w:p w14:paraId="169CB625" w14:textId="0395C75F" w:rsidR="00CA7C63" w:rsidRPr="002B3167" w:rsidRDefault="000533E0" w:rsidP="002B3167">
      <w:pPr>
        <w:pStyle w:val="Prrafodelista"/>
        <w:numPr>
          <w:ilvl w:val="0"/>
          <w:numId w:val="25"/>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Nombres de los servidores que causaron baja</w:t>
      </w:r>
      <w:r w:rsidR="00CA7C63" w:rsidRPr="002B3167">
        <w:rPr>
          <w:rFonts w:ascii="Palatino Linotype" w:hAnsi="Palatino Linotype" w:cs="Arial"/>
        </w:rPr>
        <w:t>;</w:t>
      </w:r>
    </w:p>
    <w:p w14:paraId="150471D3" w14:textId="66BBEFFF" w:rsidR="00CA7C63" w:rsidRPr="002B3167" w:rsidRDefault="000533E0" w:rsidP="002B3167">
      <w:pPr>
        <w:pStyle w:val="Prrafodelista"/>
        <w:numPr>
          <w:ilvl w:val="0"/>
          <w:numId w:val="25"/>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Remuneraciones</w:t>
      </w:r>
      <w:r w:rsidR="00CA7C63" w:rsidRPr="002B3167">
        <w:rPr>
          <w:rFonts w:ascii="Palatino Linotype" w:hAnsi="Palatino Linotype" w:cs="Arial"/>
        </w:rPr>
        <w:t>;</w:t>
      </w:r>
    </w:p>
    <w:p w14:paraId="668F70F6" w14:textId="59BBD6DF" w:rsidR="00CA7C63" w:rsidRPr="002B3167" w:rsidRDefault="000533E0" w:rsidP="002B3167">
      <w:pPr>
        <w:pStyle w:val="Prrafodelista"/>
        <w:numPr>
          <w:ilvl w:val="0"/>
          <w:numId w:val="25"/>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A</w:t>
      </w:r>
      <w:r w:rsidR="00CA7C63" w:rsidRPr="002B3167">
        <w:rPr>
          <w:rFonts w:ascii="Palatino Linotype" w:hAnsi="Palatino Linotype" w:cs="Arial"/>
        </w:rPr>
        <w:t>ctas administrativas</w:t>
      </w:r>
      <w:r w:rsidR="000411BE" w:rsidRPr="002B3167">
        <w:rPr>
          <w:rFonts w:ascii="Palatino Linotype" w:hAnsi="Palatino Linotype" w:cs="Arial"/>
        </w:rPr>
        <w:t xml:space="preserve"> de los expedientes concluidos que han causado estado con sanción condenatoria o de expedientes que se encuentren en trámite relacionadas con las excepciones del artículo 142 de la Ley de Transparencia Local</w:t>
      </w:r>
      <w:r w:rsidR="00CA7C63" w:rsidRPr="002B3167">
        <w:rPr>
          <w:rFonts w:ascii="Palatino Linotype" w:hAnsi="Palatino Linotype" w:cs="Arial"/>
        </w:rPr>
        <w:t>;</w:t>
      </w:r>
    </w:p>
    <w:p w14:paraId="27ED67E2" w14:textId="5A089C84" w:rsidR="00CA7C63" w:rsidRPr="002B3167" w:rsidRDefault="000533E0" w:rsidP="002B3167">
      <w:pPr>
        <w:pStyle w:val="Prrafodelista"/>
        <w:numPr>
          <w:ilvl w:val="0"/>
          <w:numId w:val="25"/>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 xml:space="preserve">Actividades </w:t>
      </w:r>
      <w:r w:rsidR="00CA7C63" w:rsidRPr="002B3167">
        <w:rPr>
          <w:rFonts w:ascii="Palatino Linotype" w:hAnsi="Palatino Linotype" w:cs="Arial"/>
        </w:rPr>
        <w:t>diarias;</w:t>
      </w:r>
    </w:p>
    <w:p w14:paraId="59B70CC3" w14:textId="7ADDE63D" w:rsidR="00CA7C63" w:rsidRPr="002B3167" w:rsidRDefault="00CB6A6B" w:rsidP="002B3167">
      <w:pPr>
        <w:pStyle w:val="Prrafodelista"/>
        <w:numPr>
          <w:ilvl w:val="0"/>
          <w:numId w:val="25"/>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lastRenderedPageBreak/>
        <w:t xml:space="preserve">Control </w:t>
      </w:r>
      <w:r w:rsidR="00CA7C63" w:rsidRPr="002B3167">
        <w:rPr>
          <w:rFonts w:ascii="Palatino Linotype" w:hAnsi="Palatino Linotype" w:cs="Arial"/>
        </w:rPr>
        <w:t>de asistencia al hospital</w:t>
      </w:r>
      <w:r w:rsidR="002F770E" w:rsidRPr="002B3167">
        <w:rPr>
          <w:rFonts w:ascii="Palatino Linotype" w:hAnsi="Palatino Linotype" w:cs="Arial"/>
        </w:rPr>
        <w:t xml:space="preserve"> o </w:t>
      </w:r>
      <w:r w:rsidR="004703CD" w:rsidRPr="002B3167">
        <w:rPr>
          <w:rFonts w:ascii="Palatino Linotype" w:hAnsi="Palatino Linotype" w:cs="Arial"/>
        </w:rPr>
        <w:t>en su caso, la autorización emitida por autoridad competente, para omitir la elaboración de listas de asistencia, para exceptuar el registro de asistencia de determinados servidores públicos</w:t>
      </w:r>
      <w:r w:rsidR="00CA7C63" w:rsidRPr="002B3167">
        <w:rPr>
          <w:rFonts w:ascii="Palatino Linotype" w:hAnsi="Palatino Linotype" w:cs="Arial"/>
        </w:rPr>
        <w:t xml:space="preserve">; y </w:t>
      </w:r>
    </w:p>
    <w:p w14:paraId="5E716F80" w14:textId="7E7A1214" w:rsidR="00CA7C63" w:rsidRPr="002B3167" w:rsidRDefault="00CB6A6B" w:rsidP="002B3167">
      <w:pPr>
        <w:pStyle w:val="Prrafodelista"/>
        <w:numPr>
          <w:ilvl w:val="0"/>
          <w:numId w:val="25"/>
        </w:numPr>
        <w:autoSpaceDE w:val="0"/>
        <w:autoSpaceDN w:val="0"/>
        <w:adjustRightInd w:val="0"/>
        <w:spacing w:line="360" w:lineRule="auto"/>
        <w:jc w:val="both"/>
        <w:rPr>
          <w:rFonts w:ascii="Palatino Linotype" w:hAnsi="Palatino Linotype" w:cs="Arial"/>
        </w:rPr>
      </w:pPr>
      <w:r w:rsidRPr="002B3167">
        <w:rPr>
          <w:rFonts w:ascii="Palatino Linotype" w:hAnsi="Palatino Linotype" w:cs="Arial"/>
        </w:rPr>
        <w:t>Justificantes de inasistencias</w:t>
      </w:r>
      <w:r w:rsidR="00CA7C63" w:rsidRPr="002B3167">
        <w:rPr>
          <w:rFonts w:ascii="Palatino Linotype" w:hAnsi="Palatino Linotype" w:cs="Arial"/>
        </w:rPr>
        <w:t>.</w:t>
      </w:r>
    </w:p>
    <w:p w14:paraId="6186C582" w14:textId="77777777" w:rsidR="00CA7C63" w:rsidRPr="002B3167" w:rsidRDefault="00CA7C63" w:rsidP="002B3167">
      <w:pPr>
        <w:pStyle w:val="Sinespaciado"/>
        <w:spacing w:line="360" w:lineRule="auto"/>
        <w:jc w:val="both"/>
        <w:rPr>
          <w:rFonts w:ascii="Palatino Linotype" w:hAnsi="Palatino Linotype" w:cs="Arial"/>
          <w:lang w:val="es-ES"/>
        </w:rPr>
      </w:pPr>
    </w:p>
    <w:p w14:paraId="1720225D" w14:textId="77777777" w:rsidR="000533E0" w:rsidRPr="002B3167" w:rsidRDefault="000533E0" w:rsidP="002B3167">
      <w:pPr>
        <w:spacing w:after="0" w:line="360" w:lineRule="auto"/>
        <w:jc w:val="both"/>
        <w:rPr>
          <w:rFonts w:ascii="Palatino Linotype" w:eastAsia="Times New Roman" w:hAnsi="Palatino Linotype" w:cs="Tahoma"/>
          <w:sz w:val="24"/>
          <w:szCs w:val="24"/>
          <w:lang w:eastAsia="es-ES"/>
        </w:rPr>
      </w:pPr>
      <w:r w:rsidRPr="002B3167">
        <w:rPr>
          <w:rFonts w:ascii="Palatino Linotype" w:eastAsia="Times New Roman" w:hAnsi="Palatino Linotype" w:cs="Tahoma"/>
          <w:sz w:val="24"/>
          <w:szCs w:val="24"/>
          <w:lang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BBD7A80" w14:textId="77777777" w:rsidR="002F770E" w:rsidRPr="002B3167" w:rsidRDefault="002F770E" w:rsidP="002B3167">
      <w:pPr>
        <w:spacing w:after="0" w:line="360" w:lineRule="auto"/>
        <w:jc w:val="both"/>
        <w:rPr>
          <w:rFonts w:ascii="Palatino Linotype" w:eastAsia="Times New Roman" w:hAnsi="Palatino Linotype" w:cs="Tahoma"/>
          <w:sz w:val="24"/>
          <w:szCs w:val="24"/>
          <w:lang w:eastAsia="es-ES"/>
        </w:rPr>
      </w:pPr>
    </w:p>
    <w:p w14:paraId="7F114535" w14:textId="7CA94E88" w:rsidR="002F770E" w:rsidRPr="002B3167" w:rsidRDefault="002F770E" w:rsidP="002B3167">
      <w:pPr>
        <w:spacing w:after="0" w:line="360" w:lineRule="auto"/>
        <w:jc w:val="both"/>
        <w:rPr>
          <w:rFonts w:ascii="Palatino Linotype" w:eastAsia="Times New Roman" w:hAnsi="Palatino Linotype" w:cs="Tahoma"/>
          <w:sz w:val="24"/>
          <w:szCs w:val="24"/>
          <w:lang w:eastAsia="es-ES"/>
        </w:rPr>
      </w:pPr>
      <w:r w:rsidRPr="002B3167">
        <w:rPr>
          <w:rFonts w:ascii="Palatino Linotype" w:eastAsia="Times New Roman" w:hAnsi="Palatino Linotype" w:cs="Tahoma"/>
          <w:sz w:val="24"/>
          <w:szCs w:val="24"/>
          <w:lang w:eastAsia="es-ES"/>
        </w:rPr>
        <w:t xml:space="preserve">En lo que corresponde al numeral </w:t>
      </w:r>
      <w:r w:rsidRPr="002B3167">
        <w:rPr>
          <w:rFonts w:ascii="Palatino Linotype" w:eastAsia="Times New Roman" w:hAnsi="Palatino Linotype" w:cs="Tahoma"/>
          <w:b/>
          <w:sz w:val="26"/>
          <w:szCs w:val="26"/>
          <w:lang w:eastAsia="es-ES"/>
        </w:rPr>
        <w:t>6</w:t>
      </w:r>
      <w:r w:rsidRPr="002B3167">
        <w:rPr>
          <w:rFonts w:ascii="Palatino Linotype" w:eastAsia="Times New Roman" w:hAnsi="Palatino Linotype" w:cs="Tahoma"/>
          <w:sz w:val="24"/>
          <w:szCs w:val="24"/>
          <w:lang w:eastAsia="es-ES"/>
        </w:rPr>
        <w:t xml:space="preserve">, </w:t>
      </w:r>
      <w:r w:rsidR="004703CD" w:rsidRPr="002B3167">
        <w:rPr>
          <w:rFonts w:ascii="Palatino Linotype" w:eastAsia="Times New Roman" w:hAnsi="Palatino Linotype" w:cs="Tahoma"/>
          <w:sz w:val="24"/>
          <w:szCs w:val="24"/>
          <w:lang w:eastAsia="es-ES"/>
        </w:rPr>
        <w:t>para el caso de que el Sujeto Obligado, no localice la información, deberá de emitir el Acuerdo de Inexistencia en términos de los artículos 49, fracciones II y XIII, 169 y 170, de la Ley de Transparencia y Acceso a la Información Pública del Estado de México y Municipios que al respecto emita su Comité de Transparencia.</w:t>
      </w:r>
    </w:p>
    <w:p w14:paraId="46D303C8" w14:textId="77777777" w:rsidR="000533E0" w:rsidRPr="002B3167" w:rsidRDefault="000533E0" w:rsidP="002B3167">
      <w:pPr>
        <w:spacing w:after="0" w:line="360" w:lineRule="auto"/>
        <w:jc w:val="both"/>
        <w:rPr>
          <w:rFonts w:ascii="Palatino Linotype" w:eastAsia="Times New Roman" w:hAnsi="Palatino Linotype" w:cs="Tahoma"/>
          <w:sz w:val="24"/>
          <w:szCs w:val="24"/>
          <w:lang w:eastAsia="es-ES"/>
        </w:rPr>
      </w:pPr>
    </w:p>
    <w:p w14:paraId="0DBDF7BB" w14:textId="2EF70F4A" w:rsidR="00E41D14" w:rsidRPr="002B3167" w:rsidRDefault="00E41D14" w:rsidP="002B3167">
      <w:pPr>
        <w:spacing w:after="0" w:line="360" w:lineRule="auto"/>
        <w:jc w:val="both"/>
        <w:rPr>
          <w:rFonts w:ascii="Palatino Linotype" w:eastAsia="Times New Roman" w:hAnsi="Palatino Linotype" w:cs="Tahoma"/>
          <w:sz w:val="24"/>
          <w:szCs w:val="24"/>
          <w:lang w:eastAsia="es-ES"/>
        </w:rPr>
      </w:pPr>
      <w:r w:rsidRPr="002B3167">
        <w:rPr>
          <w:rFonts w:ascii="Palatino Linotype" w:eastAsia="Times New Roman" w:hAnsi="Palatino Linotype" w:cs="Tahoma"/>
          <w:sz w:val="24"/>
          <w:szCs w:val="24"/>
          <w:lang w:eastAsia="es-ES"/>
        </w:rPr>
        <w:t xml:space="preserve">Relativo a los numerales </w:t>
      </w:r>
      <w:r w:rsidRPr="002B3167">
        <w:rPr>
          <w:rFonts w:ascii="Palatino Linotype" w:eastAsia="Times New Roman" w:hAnsi="Palatino Linotype" w:cs="Tahoma"/>
          <w:b/>
          <w:sz w:val="26"/>
          <w:szCs w:val="26"/>
          <w:lang w:eastAsia="es-ES"/>
        </w:rPr>
        <w:t>4, 5</w:t>
      </w:r>
      <w:r w:rsidRPr="002B3167">
        <w:rPr>
          <w:rFonts w:ascii="Palatino Linotype" w:eastAsia="Times New Roman" w:hAnsi="Palatino Linotype" w:cs="Tahoma"/>
          <w:sz w:val="24"/>
          <w:szCs w:val="24"/>
          <w:lang w:eastAsia="es-ES"/>
        </w:rPr>
        <w:t xml:space="preserve"> y </w:t>
      </w:r>
      <w:r w:rsidRPr="002B3167">
        <w:rPr>
          <w:rFonts w:ascii="Palatino Linotype" w:eastAsia="Times New Roman" w:hAnsi="Palatino Linotype" w:cs="Tahoma"/>
          <w:b/>
          <w:sz w:val="26"/>
          <w:szCs w:val="26"/>
          <w:lang w:eastAsia="es-ES"/>
        </w:rPr>
        <w:t>7</w:t>
      </w:r>
      <w:r w:rsidRPr="002B3167">
        <w:rPr>
          <w:rFonts w:ascii="Palatino Linotype" w:eastAsia="Times New Roman" w:hAnsi="Palatino Linotype" w:cs="Tahoma"/>
          <w:sz w:val="24"/>
          <w:szCs w:val="24"/>
          <w:lang w:eastAsia="es-ES"/>
        </w:rPr>
        <w:t>, una vez agotada la búsqueda exhaustiva y razonable se acredite no contar con información por no haber sido generada, bastara que el Sujeto Obligado lo haga del conocimiento en términos del artículo 19 párrafo segundo de la Ley de Transparencia Estatal.</w:t>
      </w:r>
    </w:p>
    <w:p w14:paraId="4BD56A98" w14:textId="77777777" w:rsidR="00E41D14" w:rsidRPr="002B3167" w:rsidRDefault="00E41D14" w:rsidP="002B3167">
      <w:pPr>
        <w:spacing w:after="0" w:line="360" w:lineRule="auto"/>
        <w:jc w:val="both"/>
        <w:rPr>
          <w:rFonts w:ascii="Palatino Linotype" w:eastAsia="Times New Roman" w:hAnsi="Palatino Linotype" w:cs="Tahoma"/>
          <w:sz w:val="24"/>
          <w:szCs w:val="24"/>
          <w:lang w:eastAsia="es-ES"/>
        </w:rPr>
      </w:pPr>
    </w:p>
    <w:p w14:paraId="2844D9C3" w14:textId="3E56EB1E" w:rsidR="000533E0" w:rsidRPr="002B3167" w:rsidRDefault="000533E0" w:rsidP="002B3167">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 w:eastAsia="es-ES"/>
        </w:rPr>
      </w:pPr>
      <w:r w:rsidRPr="002B3167">
        <w:rPr>
          <w:rFonts w:ascii="Palatino Linotype" w:hAnsi="Palatino Linotype" w:cs="Arial"/>
          <w:sz w:val="24"/>
          <w:szCs w:val="24"/>
          <w:lang w:val="es-ES_tradnl"/>
        </w:rPr>
        <w:lastRenderedPageBreak/>
        <w:t xml:space="preserve">Respecto del numeral </w:t>
      </w:r>
      <w:r w:rsidRPr="002B3167">
        <w:rPr>
          <w:rFonts w:ascii="Palatino Linotype" w:hAnsi="Palatino Linotype" w:cs="Arial"/>
          <w:b/>
          <w:sz w:val="26"/>
          <w:szCs w:val="26"/>
          <w:lang w:val="es-ES_tradnl"/>
        </w:rPr>
        <w:t>4</w:t>
      </w:r>
      <w:r w:rsidRPr="002B3167">
        <w:rPr>
          <w:rFonts w:ascii="Palatino Linotype" w:hAnsi="Palatino Linotype" w:cs="Arial"/>
          <w:sz w:val="24"/>
          <w:szCs w:val="24"/>
          <w:lang w:val="es-ES_tradnl"/>
        </w:rPr>
        <w:t xml:space="preserve">, para el caso en el que alguno de los documentos, se encuentre con procedimientos administrativos por faltas no graves y que no haya causado estado, deberá emitirse y hacer entrega al </w:t>
      </w:r>
      <w:r w:rsidRPr="002B3167">
        <w:rPr>
          <w:rFonts w:ascii="Palatino Linotype" w:hAnsi="Palatino Linotype" w:cs="Arial"/>
          <w:b/>
          <w:sz w:val="24"/>
          <w:szCs w:val="24"/>
          <w:lang w:val="es-ES_tradnl"/>
        </w:rPr>
        <w:t>Recurrente</w:t>
      </w:r>
      <w:r w:rsidRPr="002B3167">
        <w:rPr>
          <w:rFonts w:ascii="Palatino Linotype" w:hAnsi="Palatino Linotype" w:cs="Arial"/>
          <w:sz w:val="24"/>
          <w:szCs w:val="24"/>
          <w:lang w:val="es-ES_tradnl"/>
        </w:rPr>
        <w:t xml:space="preserve"> del Acuerdo de Clasificación respectivo en el que se funden y motiven las razones de su </w:t>
      </w:r>
      <w:r w:rsidRPr="002B3167">
        <w:rPr>
          <w:rFonts w:ascii="Palatino Linotype" w:hAnsi="Palatino Linotype" w:cs="Arial"/>
          <w:b/>
          <w:sz w:val="24"/>
          <w:szCs w:val="24"/>
          <w:lang w:val="es-ES_tradnl"/>
        </w:rPr>
        <w:t xml:space="preserve">RESERVA, </w:t>
      </w:r>
      <w:r w:rsidRPr="002B3167">
        <w:rPr>
          <w:rFonts w:ascii="Palatino Linotype" w:eastAsia="Palatino Linotype" w:hAnsi="Palatino Linotype" w:cs="Palatino Linotype"/>
          <w:color w:val="000000"/>
          <w:sz w:val="24"/>
          <w:szCs w:val="24"/>
          <w:lang w:val="es-ES" w:eastAsia="es-ES"/>
        </w:rPr>
        <w:t>en términos de los artículos 49 fracción VIII, 122, 128, 129, 132 fracción II, 135 y 140 de la citada Ley de Transparencia.</w:t>
      </w:r>
    </w:p>
    <w:p w14:paraId="170E2C7A" w14:textId="77777777" w:rsidR="00850CAA" w:rsidRPr="002B3167" w:rsidRDefault="00850CAA" w:rsidP="002B3167">
      <w:pPr>
        <w:pStyle w:val="Sinespaciado"/>
        <w:spacing w:line="360" w:lineRule="auto"/>
        <w:jc w:val="both"/>
        <w:rPr>
          <w:rFonts w:ascii="Palatino Linotype" w:hAnsi="Palatino Linotype" w:cs="Arial"/>
          <w:lang w:val="es-ES"/>
        </w:rPr>
      </w:pPr>
    </w:p>
    <w:p w14:paraId="40BD86A8" w14:textId="77777777" w:rsidR="000533E0" w:rsidRPr="002B3167" w:rsidRDefault="006C4F44" w:rsidP="002B3167">
      <w:pPr>
        <w:spacing w:after="0" w:line="360" w:lineRule="auto"/>
        <w:jc w:val="both"/>
        <w:rPr>
          <w:rFonts w:ascii="Palatino Linotype" w:eastAsia="Times New Roman" w:hAnsi="Palatino Linotype" w:cs="Tahoma"/>
          <w:sz w:val="24"/>
          <w:szCs w:val="24"/>
          <w:lang w:eastAsia="es-ES"/>
        </w:rPr>
      </w:pPr>
      <w:r w:rsidRPr="002B3167">
        <w:rPr>
          <w:rFonts w:ascii="Palatino Linotype" w:hAnsi="Palatino Linotype" w:cstheme="minorHAnsi"/>
          <w:b/>
        </w:rPr>
        <w:t xml:space="preserve">TERCERO. </w:t>
      </w:r>
      <w:r w:rsidR="000533E0" w:rsidRPr="002B3167">
        <w:rPr>
          <w:rFonts w:ascii="Palatino Linotype" w:eastAsia="Times New Roman" w:hAnsi="Palatino Linotype" w:cs="Tahoma"/>
          <w:b/>
          <w:sz w:val="24"/>
          <w:szCs w:val="24"/>
          <w:lang w:eastAsia="es-ES"/>
        </w:rPr>
        <w:t xml:space="preserve">NOTIFÍQUESE </w:t>
      </w:r>
      <w:r w:rsidR="000533E0" w:rsidRPr="002B3167">
        <w:rPr>
          <w:rFonts w:ascii="Palatino Linotype" w:eastAsia="Times New Roman" w:hAnsi="Palatino Linotype" w:cs="Tahoma"/>
          <w:sz w:val="24"/>
          <w:szCs w:val="24"/>
          <w:lang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EE1C06" w14:textId="77777777" w:rsidR="000A07D4" w:rsidRPr="002B3167" w:rsidRDefault="000A07D4" w:rsidP="002B3167">
      <w:pPr>
        <w:pStyle w:val="Sinespaciado"/>
        <w:spacing w:line="360" w:lineRule="auto"/>
        <w:jc w:val="both"/>
        <w:rPr>
          <w:rFonts w:ascii="Palatino Linotype" w:hAnsi="Palatino Linotype" w:cstheme="minorHAnsi"/>
        </w:rPr>
      </w:pPr>
    </w:p>
    <w:p w14:paraId="203FD2DB" w14:textId="78FEFC3C" w:rsidR="006C4F44" w:rsidRPr="002B3167" w:rsidRDefault="006C4F44" w:rsidP="002B3167">
      <w:pPr>
        <w:pStyle w:val="Sinespaciado"/>
        <w:spacing w:line="360" w:lineRule="auto"/>
        <w:jc w:val="both"/>
        <w:rPr>
          <w:rFonts w:ascii="Palatino Linotype" w:hAnsi="Palatino Linotype" w:cstheme="minorHAnsi"/>
        </w:rPr>
      </w:pPr>
      <w:r w:rsidRPr="002B3167">
        <w:rPr>
          <w:rFonts w:ascii="Palatino Linotype" w:hAnsi="Palatino Linotype" w:cstheme="minorHAnsi"/>
          <w:b/>
        </w:rPr>
        <w:t xml:space="preserve">CUARTO. Notifíquese </w:t>
      </w:r>
      <w:r w:rsidRPr="002B3167">
        <w:rPr>
          <w:rFonts w:ascii="Palatino Linotype" w:hAnsi="Palatino Linotype" w:cstheme="minorHAnsi"/>
        </w:rPr>
        <w:t>al</w:t>
      </w:r>
      <w:r w:rsidRPr="002B3167">
        <w:rPr>
          <w:rFonts w:ascii="Palatino Linotype" w:hAnsi="Palatino Linotype" w:cstheme="minorHAnsi"/>
          <w:b/>
        </w:rPr>
        <w:t xml:space="preserve"> </w:t>
      </w:r>
      <w:r w:rsidR="000533E0" w:rsidRPr="002B3167">
        <w:rPr>
          <w:rFonts w:ascii="Palatino Linotype" w:hAnsi="Palatino Linotype" w:cstheme="minorHAnsi"/>
          <w:b/>
        </w:rPr>
        <w:t>Recurrente</w:t>
      </w:r>
      <w:r w:rsidR="000533E0" w:rsidRPr="002B3167">
        <w:rPr>
          <w:rFonts w:ascii="Palatino Linotype" w:hAnsi="Palatino Linotype" w:cstheme="minorHAnsi"/>
        </w:rPr>
        <w:t xml:space="preserve"> </w:t>
      </w:r>
      <w:r w:rsidRPr="002B3167">
        <w:rPr>
          <w:rFonts w:ascii="Palatino Linotype" w:hAnsi="Palatino Linotype" w:cstheme="minorHAnsi"/>
        </w:rPr>
        <w:t>la presente resolución</w:t>
      </w:r>
      <w:r w:rsidR="00D76B2D" w:rsidRPr="002B3167">
        <w:rPr>
          <w:rFonts w:ascii="Palatino Linotype" w:hAnsi="Palatino Linotype" w:cstheme="minorHAnsi"/>
        </w:rPr>
        <w:t xml:space="preserve"> </w:t>
      </w:r>
      <w:r w:rsidR="00D76B2D" w:rsidRPr="002B3167">
        <w:rPr>
          <w:rFonts w:ascii="Palatino Linotype" w:hAnsi="Palatino Linotype"/>
          <w:color w:val="222222"/>
          <w:lang w:eastAsia="es-MX"/>
        </w:rPr>
        <w:t xml:space="preserve">vía Sistema de Acceso a la Información Mexiquense </w:t>
      </w:r>
      <w:r w:rsidR="00D76B2D" w:rsidRPr="002B3167">
        <w:rPr>
          <w:rFonts w:ascii="Palatino Linotype" w:hAnsi="Palatino Linotype"/>
          <w:b/>
          <w:bCs/>
          <w:color w:val="222222"/>
          <w:lang w:eastAsia="es-MX"/>
        </w:rPr>
        <w:t>(SAIMEX)</w:t>
      </w:r>
      <w:r w:rsidRPr="002B3167">
        <w:rPr>
          <w:rFonts w:ascii="Palatino Linotype" w:hAnsi="Palatino Linotype" w:cstheme="minorHAnsi"/>
        </w:rPr>
        <w:t xml:space="preserve"> y hágase de su conocimiento que en caso de considerar que le causa algún perjuicio, podrá promover el Juicio de Amparo en los términos de las leyes aplicables, de acuerdo a lo estipulado por el artículo 196, de la </w:t>
      </w:r>
      <w:r w:rsidRPr="002B3167">
        <w:rPr>
          <w:rFonts w:ascii="Palatino Linotype" w:hAnsi="Palatino Linotype" w:cstheme="minorHAnsi"/>
        </w:rPr>
        <w:lastRenderedPageBreak/>
        <w:t>Ley de Transparencia y Acceso a la Información Pública del Estado de México y Municipios.</w:t>
      </w:r>
    </w:p>
    <w:p w14:paraId="77D1E1DE" w14:textId="77777777" w:rsidR="00D0444B" w:rsidRPr="002B3167" w:rsidRDefault="00D0444B" w:rsidP="002B3167">
      <w:pPr>
        <w:pStyle w:val="Sinespaciado"/>
        <w:spacing w:line="360" w:lineRule="auto"/>
        <w:jc w:val="both"/>
        <w:rPr>
          <w:rFonts w:ascii="Palatino Linotype" w:hAnsi="Palatino Linotype" w:cstheme="minorHAnsi"/>
        </w:rPr>
      </w:pPr>
    </w:p>
    <w:p w14:paraId="4C67A664" w14:textId="269201CC" w:rsidR="006C4F44" w:rsidRPr="002B3167" w:rsidRDefault="000533E0" w:rsidP="002B3167">
      <w:pPr>
        <w:pStyle w:val="Sinespaciado"/>
        <w:spacing w:line="360" w:lineRule="auto"/>
        <w:jc w:val="both"/>
        <w:rPr>
          <w:rFonts w:ascii="Palatino Linotype" w:hAnsi="Palatino Linotype" w:cstheme="minorHAnsi"/>
        </w:rPr>
      </w:pPr>
      <w:r w:rsidRPr="002B3167">
        <w:rPr>
          <w:rFonts w:ascii="Palatino Linotype" w:hAnsi="Palatino Linotype" w:cstheme="minorHAnsi"/>
          <w:b/>
        </w:rPr>
        <w:t>QUINTO</w:t>
      </w:r>
      <w:r w:rsidR="006C4F44" w:rsidRPr="002B3167">
        <w:rPr>
          <w:rFonts w:ascii="Palatino Linotype" w:hAnsi="Palatino Linotype" w:cstheme="minorHAnsi"/>
          <w:b/>
        </w:rPr>
        <w:t>.</w:t>
      </w:r>
      <w:r w:rsidR="006C4F44" w:rsidRPr="002B3167">
        <w:rPr>
          <w:rFonts w:ascii="Palatino Linotype" w:hAnsi="Palatino Linotype" w:cstheme="minorHAnsi"/>
        </w:rPr>
        <w:t xml:space="preserve"> </w:t>
      </w:r>
      <w:r w:rsidR="006C4F44" w:rsidRPr="002B3167">
        <w:rPr>
          <w:rFonts w:ascii="Palatino Linotype" w:hAnsi="Palatino Linotype" w:cstheme="minorHAnsi"/>
          <w:b/>
          <w:color w:val="222222"/>
          <w:lang w:eastAsia="es-ES_tradnl"/>
        </w:rPr>
        <w:t xml:space="preserve">Hágase </w:t>
      </w:r>
      <w:r w:rsidR="006C4F44" w:rsidRPr="002B3167">
        <w:rPr>
          <w:rFonts w:ascii="Palatino Linotype" w:hAnsi="Palatino Linotype" w:cstheme="minorHAnsi"/>
          <w:color w:val="222222"/>
          <w:lang w:eastAsia="es-ES_tradnl"/>
        </w:rPr>
        <w:t>del conocimiento del</w:t>
      </w:r>
      <w:r w:rsidR="006C4F44" w:rsidRPr="002B3167">
        <w:rPr>
          <w:rFonts w:ascii="Palatino Linotype" w:hAnsi="Palatino Linotype" w:cstheme="minorHAnsi"/>
          <w:b/>
          <w:color w:val="222222"/>
          <w:lang w:eastAsia="es-ES_tradnl"/>
        </w:rPr>
        <w:t xml:space="preserve"> </w:t>
      </w:r>
      <w:r w:rsidRPr="002B3167">
        <w:rPr>
          <w:rFonts w:ascii="Palatino Linotype" w:hAnsi="Palatino Linotype" w:cstheme="minorHAnsi"/>
          <w:b/>
          <w:color w:val="222222"/>
          <w:lang w:eastAsia="es-ES_tradnl"/>
        </w:rPr>
        <w:t>Recurrente</w:t>
      </w:r>
      <w:r w:rsidRPr="002B3167">
        <w:rPr>
          <w:rFonts w:ascii="Palatino Linotype" w:hAnsi="Palatino Linotype" w:cstheme="minorHAnsi"/>
          <w:color w:val="222222"/>
          <w:lang w:eastAsia="es-ES_tradnl"/>
        </w:rPr>
        <w:t xml:space="preserve"> </w:t>
      </w:r>
      <w:r w:rsidR="006C4F44" w:rsidRPr="002B3167">
        <w:rPr>
          <w:rFonts w:ascii="Palatino Linotype" w:hAnsi="Palatino Linotype" w:cstheme="minorHAnsi"/>
          <w:color w:val="222222"/>
          <w:lang w:eastAsia="es-ES_tradnl"/>
        </w:rPr>
        <w:t xml:space="preserve">que la respuesta que dé el </w:t>
      </w:r>
      <w:r w:rsidRPr="002B3167">
        <w:rPr>
          <w:rFonts w:ascii="Palatino Linotype" w:hAnsi="Palatino Linotype" w:cstheme="minorHAnsi"/>
          <w:b/>
          <w:color w:val="222222"/>
          <w:lang w:eastAsia="es-ES_tradnl"/>
        </w:rPr>
        <w:t>Sujeto Obligado</w:t>
      </w:r>
      <w:r w:rsidRPr="002B3167">
        <w:rPr>
          <w:rFonts w:ascii="Palatino Linotype" w:hAnsi="Palatino Linotype" w:cstheme="minorHAnsi"/>
          <w:color w:val="222222"/>
          <w:lang w:eastAsia="es-ES_tradnl"/>
        </w:rPr>
        <w:t xml:space="preserve"> </w:t>
      </w:r>
      <w:r w:rsidR="006C4F44" w:rsidRPr="002B3167">
        <w:rPr>
          <w:rFonts w:ascii="Palatino Linotype" w:hAnsi="Palatino Linotype" w:cstheme="minorHAnsi"/>
          <w:color w:val="222222"/>
          <w:lang w:eastAsia="es-ES_tradnl"/>
        </w:rPr>
        <w:t xml:space="preserve">derivada de la presente resolución es susceptible de ser impugnada nuevamente, mediante recurso de revisión, ante el Instituto, en términos del artículo 179, último párrafo de la Ley </w:t>
      </w:r>
      <w:r w:rsidR="006C4F44" w:rsidRPr="002B3167">
        <w:rPr>
          <w:rFonts w:ascii="Palatino Linotype" w:hAnsi="Palatino Linotype" w:cstheme="minorHAnsi"/>
          <w:color w:val="222222"/>
          <w:lang w:eastAsia="es-MX"/>
        </w:rPr>
        <w:t>de Transparencia y Acceso a la Información Pública del Estado de México y Municipios.</w:t>
      </w:r>
    </w:p>
    <w:p w14:paraId="3F673028" w14:textId="77777777" w:rsidR="006C4F44" w:rsidRPr="002B3167" w:rsidRDefault="006C4F44" w:rsidP="002B3167">
      <w:pPr>
        <w:autoSpaceDE w:val="0"/>
        <w:autoSpaceDN w:val="0"/>
        <w:adjustRightInd w:val="0"/>
        <w:spacing w:after="0" w:line="360" w:lineRule="auto"/>
        <w:ind w:right="49"/>
        <w:jc w:val="both"/>
        <w:rPr>
          <w:rFonts w:ascii="Palatino Linotype" w:hAnsi="Palatino Linotype" w:cs="Arial"/>
          <w:sz w:val="24"/>
          <w:szCs w:val="24"/>
        </w:rPr>
      </w:pPr>
    </w:p>
    <w:p w14:paraId="74AF4299" w14:textId="38AFC3B5" w:rsidR="006C4F44" w:rsidRPr="002B3167" w:rsidRDefault="000533E0" w:rsidP="002B3167">
      <w:pPr>
        <w:spacing w:after="0" w:line="360" w:lineRule="auto"/>
        <w:jc w:val="both"/>
        <w:rPr>
          <w:rFonts w:ascii="Palatino Linotype" w:eastAsia="Calibri" w:hAnsi="Palatino Linotype" w:cs="Times New Roman"/>
          <w:sz w:val="24"/>
          <w:szCs w:val="24"/>
          <w:lang w:eastAsia="es-ES_tradnl"/>
        </w:rPr>
      </w:pPr>
      <w:r w:rsidRPr="002B3167">
        <w:rPr>
          <w:rFonts w:ascii="Palatino Linotype" w:eastAsia="Calibri" w:hAnsi="Palatino Linotype" w:cs="Times New Roman"/>
          <w:b/>
          <w:sz w:val="24"/>
          <w:szCs w:val="24"/>
          <w:lang w:eastAsia="es-ES_tradnl"/>
        </w:rPr>
        <w:t>SEXTO</w:t>
      </w:r>
      <w:r w:rsidR="006C4F44" w:rsidRPr="002B3167">
        <w:rPr>
          <w:rFonts w:ascii="Palatino Linotype" w:eastAsia="Calibri" w:hAnsi="Palatino Linotype" w:cs="Times New Roman"/>
          <w:b/>
          <w:sz w:val="24"/>
          <w:szCs w:val="24"/>
          <w:lang w:eastAsia="es-ES_tradnl"/>
        </w:rPr>
        <w:t>. -</w:t>
      </w:r>
      <w:r w:rsidR="006C4F44" w:rsidRPr="002B3167">
        <w:rPr>
          <w:rFonts w:ascii="Palatino Linotype" w:eastAsia="Calibri" w:hAnsi="Palatino Linotype" w:cs="Times New Roman"/>
          <w:sz w:val="24"/>
          <w:szCs w:val="24"/>
          <w:lang w:eastAsia="es-ES_tradnl"/>
        </w:rPr>
        <w:t xml:space="preserve"> Con fundamento en el artículo 198 de la Ley de Transparencia y Acceso a la Información Pública del Estado de México y Municipios, se apercibe al </w:t>
      </w:r>
      <w:r w:rsidRPr="002B3167">
        <w:rPr>
          <w:rFonts w:ascii="Palatino Linotype" w:eastAsia="Calibri" w:hAnsi="Palatino Linotype" w:cs="Times New Roman"/>
          <w:b/>
          <w:sz w:val="24"/>
          <w:szCs w:val="24"/>
          <w:lang w:eastAsia="es-ES_tradnl"/>
        </w:rPr>
        <w:t>Sujeto Obligado</w:t>
      </w:r>
      <w:r w:rsidRPr="002B3167">
        <w:rPr>
          <w:rFonts w:ascii="Palatino Linotype" w:eastAsia="Calibri" w:hAnsi="Palatino Linotype" w:cs="Times New Roman"/>
          <w:sz w:val="24"/>
          <w:szCs w:val="24"/>
          <w:lang w:eastAsia="es-ES_tradnl"/>
        </w:rPr>
        <w:t xml:space="preserve"> </w:t>
      </w:r>
      <w:r w:rsidR="006C4F44" w:rsidRPr="002B3167">
        <w:rPr>
          <w:rFonts w:ascii="Palatino Linotype" w:eastAsia="Calibri" w:hAnsi="Palatino Linotype" w:cs="Times New Roman"/>
          <w:sz w:val="24"/>
          <w:szCs w:val="24"/>
          <w:lang w:eastAsia="es-ES_tradnl"/>
        </w:rPr>
        <w:t>a que, en caso de negarse a cumplir la presente resolución o hacerlo de manera parcial se actuara de conformidad con lo previsto en los artículos 213, 214, 216 y 217 de dicha Ley.</w:t>
      </w:r>
    </w:p>
    <w:p w14:paraId="49F3CE92" w14:textId="77777777" w:rsidR="000533E0" w:rsidRPr="002B3167" w:rsidRDefault="000533E0" w:rsidP="002B3167">
      <w:pPr>
        <w:spacing w:after="0" w:line="360" w:lineRule="auto"/>
        <w:jc w:val="both"/>
        <w:rPr>
          <w:rFonts w:ascii="Palatino Linotype" w:eastAsia="Calibri" w:hAnsi="Palatino Linotype" w:cs="Times New Roman"/>
          <w:sz w:val="24"/>
          <w:szCs w:val="24"/>
          <w:lang w:eastAsia="es-ES_tradnl"/>
        </w:rPr>
      </w:pPr>
    </w:p>
    <w:p w14:paraId="087098EB" w14:textId="77777777" w:rsidR="002B3167" w:rsidRPr="002B3167" w:rsidRDefault="002B3167" w:rsidP="002B3167">
      <w:pPr>
        <w:spacing w:after="0" w:line="360" w:lineRule="auto"/>
        <w:jc w:val="both"/>
        <w:rPr>
          <w:rFonts w:ascii="Palatino Linotype" w:eastAsia="Calibri" w:hAnsi="Palatino Linotype" w:cs="Times New Roman"/>
          <w:sz w:val="24"/>
          <w:szCs w:val="24"/>
          <w:lang w:eastAsia="es-ES_tradnl"/>
        </w:rPr>
      </w:pPr>
    </w:p>
    <w:p w14:paraId="62A73461" w14:textId="77777777" w:rsidR="002B3167" w:rsidRPr="002B3167" w:rsidRDefault="002B3167" w:rsidP="002B3167">
      <w:pPr>
        <w:spacing w:after="0" w:line="360" w:lineRule="auto"/>
        <w:jc w:val="both"/>
        <w:rPr>
          <w:rFonts w:ascii="Palatino Linotype" w:eastAsia="Calibri" w:hAnsi="Palatino Linotype" w:cs="Times New Roman"/>
          <w:sz w:val="24"/>
          <w:szCs w:val="24"/>
          <w:lang w:eastAsia="es-ES_tradnl"/>
        </w:rPr>
      </w:pPr>
    </w:p>
    <w:p w14:paraId="4391693C" w14:textId="77777777" w:rsidR="002B3167" w:rsidRPr="002B3167" w:rsidRDefault="002B3167" w:rsidP="002B3167">
      <w:pPr>
        <w:spacing w:after="0" w:line="360" w:lineRule="auto"/>
        <w:jc w:val="both"/>
        <w:rPr>
          <w:rFonts w:ascii="Palatino Linotype" w:eastAsia="Calibri" w:hAnsi="Palatino Linotype" w:cs="Times New Roman"/>
          <w:sz w:val="24"/>
          <w:szCs w:val="24"/>
          <w:lang w:eastAsia="es-ES_tradnl"/>
        </w:rPr>
      </w:pPr>
    </w:p>
    <w:p w14:paraId="3C7F04F4" w14:textId="77777777" w:rsidR="002B3167" w:rsidRPr="002B3167" w:rsidRDefault="002B3167" w:rsidP="002B3167">
      <w:pPr>
        <w:spacing w:after="0" w:line="360" w:lineRule="auto"/>
        <w:jc w:val="both"/>
        <w:rPr>
          <w:rFonts w:ascii="Palatino Linotype" w:eastAsia="Calibri" w:hAnsi="Palatino Linotype" w:cs="Times New Roman"/>
          <w:sz w:val="24"/>
          <w:szCs w:val="24"/>
          <w:lang w:eastAsia="es-ES_tradnl"/>
        </w:rPr>
      </w:pPr>
    </w:p>
    <w:p w14:paraId="6FEDDC87" w14:textId="77777777" w:rsidR="002B3167" w:rsidRPr="002B3167" w:rsidRDefault="002B3167" w:rsidP="002B3167">
      <w:pPr>
        <w:spacing w:after="0" w:line="360" w:lineRule="auto"/>
        <w:jc w:val="both"/>
        <w:rPr>
          <w:rFonts w:ascii="Palatino Linotype" w:eastAsia="Calibri" w:hAnsi="Palatino Linotype" w:cs="Times New Roman"/>
          <w:sz w:val="24"/>
          <w:szCs w:val="24"/>
          <w:lang w:eastAsia="es-ES_tradnl"/>
        </w:rPr>
      </w:pPr>
    </w:p>
    <w:p w14:paraId="133229B9" w14:textId="77777777" w:rsidR="002B3167" w:rsidRPr="002B3167" w:rsidRDefault="002B3167" w:rsidP="002B3167">
      <w:pPr>
        <w:spacing w:after="0" w:line="360" w:lineRule="auto"/>
        <w:jc w:val="both"/>
        <w:rPr>
          <w:rFonts w:ascii="Palatino Linotype" w:eastAsia="Calibri" w:hAnsi="Palatino Linotype" w:cs="Times New Roman"/>
          <w:sz w:val="24"/>
          <w:szCs w:val="24"/>
          <w:lang w:eastAsia="es-ES_tradnl"/>
        </w:rPr>
      </w:pPr>
    </w:p>
    <w:p w14:paraId="0677494B" w14:textId="77777777" w:rsidR="002B3167" w:rsidRPr="002B3167" w:rsidRDefault="002B3167" w:rsidP="002B3167">
      <w:pPr>
        <w:spacing w:after="0" w:line="360" w:lineRule="auto"/>
        <w:jc w:val="both"/>
        <w:rPr>
          <w:rFonts w:ascii="Palatino Linotype" w:eastAsia="Calibri" w:hAnsi="Palatino Linotype" w:cs="Times New Roman"/>
          <w:sz w:val="24"/>
          <w:szCs w:val="24"/>
          <w:lang w:eastAsia="es-ES_tradnl"/>
        </w:rPr>
      </w:pPr>
    </w:p>
    <w:p w14:paraId="28BF3340" w14:textId="7BB89FD4" w:rsidR="002B3167" w:rsidRPr="002B3167" w:rsidRDefault="002B3167" w:rsidP="002B3167">
      <w:pPr>
        <w:spacing w:after="0" w:line="360" w:lineRule="auto"/>
        <w:jc w:val="both"/>
        <w:rPr>
          <w:rFonts w:ascii="Palatino Linotype" w:hAnsi="Palatino Linotype" w:cs="Arial"/>
          <w:sz w:val="24"/>
          <w:szCs w:val="24"/>
        </w:rPr>
      </w:pPr>
      <w:r w:rsidRPr="002B3167">
        <w:rPr>
          <w:rFonts w:ascii="Palatino Linotype" w:hAnsi="Palatino Linotype" w:cs="Arial"/>
          <w:sz w:val="24"/>
          <w:szCs w:val="24"/>
        </w:rPr>
        <w:lastRenderedPageBreak/>
        <w:t>ASÍ LO RESUELVE, POR UNANIMIDAD DE VOTOS EL PLENO DEL</w:t>
      </w:r>
      <w:r w:rsidRPr="002B316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2B3167">
        <w:rPr>
          <w:rFonts w:ascii="Palatino Linotype" w:hAnsi="Palatino Linotype" w:cs="Arial"/>
          <w:sz w:val="24"/>
          <w:szCs w:val="24"/>
        </w:rPr>
        <w:t>, CONFORMADO POR LOS COMISIONADOS JOSÉ MARTÍNEZ VILCHIS, MARÍA DEL ROSARIO MEJÍA AYALA (AUSENCIA JUSTIFICADA), SHARON CRISTINA MORALES MARTÍNEZ, LUIS GUSTAVO PARRA NORIEGA (EMITIENDO VOTO PARTICULAR) Y GUADALUPE RAMÍREZ PEÑA (AUSENCIA JUSTIFICADA), EN LA DÉCIMA SESIÓN ORDINARIA CELEBRADA EL VEINTIUNO DE MARZO DE DOS MIL VEINTICUATRO, ANTE EL SECRETARIO TÉCNICO DEL PLENO, ALEXIS TAPIA RAMÍREZ. --------------</w:t>
      </w:r>
      <w:r w:rsidR="0041446C">
        <w:rPr>
          <w:rFonts w:ascii="Palatino Linotype" w:hAnsi="Palatino Linotype" w:cs="Arial"/>
          <w:sz w:val="24"/>
          <w:szCs w:val="24"/>
        </w:rPr>
        <w:t>-----------------------------------------</w:t>
      </w:r>
      <w:r w:rsidRPr="002B3167">
        <w:rPr>
          <w:rFonts w:ascii="Palatino Linotype" w:hAnsi="Palatino Linotype" w:cs="Arial"/>
          <w:sz w:val="24"/>
          <w:szCs w:val="24"/>
        </w:rPr>
        <w:t>----------</w:t>
      </w:r>
      <w:r w:rsidR="005D32F6">
        <w:rPr>
          <w:rFonts w:ascii="Palatino Linotype" w:hAnsi="Palatino Linotype" w:cs="Arial"/>
          <w:sz w:val="24"/>
          <w:szCs w:val="24"/>
        </w:rPr>
        <w:t>-----------</w:t>
      </w:r>
    </w:p>
    <w:p w14:paraId="5F215137" w14:textId="77777777" w:rsidR="000533E0" w:rsidRDefault="000533E0"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4AAF2130"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3B98FA1E"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76C015E8"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42154A49"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45CFA6AA"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4A39A0EC"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1FDF5D6C"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570FA9FC"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0EF919C4"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055E394A"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0AC8917F" w14:textId="77777777" w:rsidR="002B3167" w:rsidRPr="002B3167" w:rsidRDefault="002B3167" w:rsidP="002B3167">
      <w:pPr>
        <w:pStyle w:val="Prrafodelista"/>
        <w:autoSpaceDE w:val="0"/>
        <w:autoSpaceDN w:val="0"/>
        <w:adjustRightInd w:val="0"/>
        <w:spacing w:line="360" w:lineRule="auto"/>
        <w:ind w:left="0"/>
        <w:jc w:val="both"/>
        <w:rPr>
          <w:rFonts w:ascii="Palatino Linotype" w:hAnsi="Palatino Linotype" w:cs="Arial"/>
        </w:rPr>
      </w:pPr>
      <w:r w:rsidRPr="002B3167">
        <w:rPr>
          <w:rFonts w:ascii="Palatino Linotype" w:hAnsi="Palatino Linotype" w:cs="Arial"/>
        </w:rPr>
        <w:t>-----------------------------------------------------------------------------------------------------------------</w:t>
      </w:r>
    </w:p>
    <w:p w14:paraId="1F76648C" w14:textId="53AE9E22" w:rsidR="00D76B2D" w:rsidRPr="00201B34" w:rsidRDefault="00D76B2D" w:rsidP="002B3167">
      <w:pPr>
        <w:pStyle w:val="Prrafodelista"/>
        <w:autoSpaceDE w:val="0"/>
        <w:autoSpaceDN w:val="0"/>
        <w:adjustRightInd w:val="0"/>
        <w:spacing w:line="360" w:lineRule="auto"/>
        <w:ind w:left="0"/>
        <w:jc w:val="both"/>
        <w:rPr>
          <w:rFonts w:ascii="Palatino Linotype" w:hAnsi="Palatino Linotype"/>
          <w:bCs/>
        </w:rPr>
      </w:pPr>
      <w:r w:rsidRPr="002B3167">
        <w:rPr>
          <w:rFonts w:ascii="Palatino Linotype" w:hAnsi="Palatino Linotype"/>
          <w:bCs/>
        </w:rPr>
        <w:t>CCR/</w:t>
      </w:r>
    </w:p>
    <w:p w14:paraId="5356B2F6" w14:textId="01487B96" w:rsidR="00904608" w:rsidRPr="00201B34" w:rsidRDefault="00904608" w:rsidP="002B3167">
      <w:pPr>
        <w:spacing w:after="0" w:line="360" w:lineRule="auto"/>
        <w:jc w:val="both"/>
        <w:rPr>
          <w:rFonts w:ascii="Palatino Linotype" w:hAnsi="Palatino Linotype" w:cs="Arial"/>
          <w:sz w:val="24"/>
          <w:szCs w:val="24"/>
        </w:rPr>
      </w:pPr>
    </w:p>
    <w:p w14:paraId="1BFC0F3A" w14:textId="77777777" w:rsidR="00D76B2D" w:rsidRPr="00201B34" w:rsidRDefault="00D76B2D" w:rsidP="002B3167">
      <w:pPr>
        <w:spacing w:after="0" w:line="360" w:lineRule="auto"/>
        <w:jc w:val="both"/>
        <w:rPr>
          <w:rFonts w:ascii="Palatino Linotype" w:hAnsi="Palatino Linotype" w:cs="Arial"/>
          <w:sz w:val="24"/>
          <w:szCs w:val="24"/>
        </w:rPr>
      </w:pPr>
    </w:p>
    <w:p w14:paraId="2FE0D8AC" w14:textId="77777777" w:rsidR="00D76B2D" w:rsidRPr="00201B34" w:rsidRDefault="00D76B2D" w:rsidP="002B3167">
      <w:pPr>
        <w:spacing w:after="0" w:line="360" w:lineRule="auto"/>
        <w:jc w:val="both"/>
        <w:rPr>
          <w:rFonts w:ascii="Palatino Linotype" w:hAnsi="Palatino Linotype" w:cs="Arial"/>
          <w:sz w:val="24"/>
          <w:szCs w:val="24"/>
        </w:rPr>
      </w:pPr>
    </w:p>
    <w:p w14:paraId="5FE50597" w14:textId="77777777" w:rsidR="00D76B2D" w:rsidRPr="00201B34" w:rsidRDefault="00D76B2D" w:rsidP="002B3167">
      <w:pPr>
        <w:spacing w:after="0" w:line="360" w:lineRule="auto"/>
        <w:jc w:val="both"/>
        <w:rPr>
          <w:rFonts w:ascii="Palatino Linotype" w:hAnsi="Palatino Linotype" w:cs="Arial"/>
          <w:sz w:val="24"/>
          <w:szCs w:val="24"/>
        </w:rPr>
      </w:pPr>
    </w:p>
    <w:p w14:paraId="70145A27" w14:textId="77777777" w:rsidR="00D76B2D" w:rsidRPr="00201B34" w:rsidRDefault="00D76B2D" w:rsidP="002B3167">
      <w:pPr>
        <w:spacing w:after="0" w:line="360" w:lineRule="auto"/>
        <w:jc w:val="both"/>
        <w:rPr>
          <w:rFonts w:ascii="Palatino Linotype" w:hAnsi="Palatino Linotype" w:cs="Arial"/>
          <w:sz w:val="24"/>
          <w:szCs w:val="24"/>
        </w:rPr>
      </w:pPr>
    </w:p>
    <w:p w14:paraId="57D38460" w14:textId="77777777" w:rsidR="00D76B2D" w:rsidRPr="00201B34" w:rsidRDefault="00D76B2D" w:rsidP="002B3167">
      <w:pPr>
        <w:spacing w:after="0" w:line="360" w:lineRule="auto"/>
        <w:jc w:val="both"/>
        <w:rPr>
          <w:rFonts w:ascii="Palatino Linotype" w:hAnsi="Palatino Linotype" w:cs="Arial"/>
          <w:sz w:val="24"/>
          <w:szCs w:val="24"/>
        </w:rPr>
      </w:pPr>
    </w:p>
    <w:p w14:paraId="688A3A9A" w14:textId="77777777" w:rsidR="00D76B2D" w:rsidRPr="00201B34" w:rsidRDefault="00D76B2D" w:rsidP="002B3167">
      <w:pPr>
        <w:spacing w:after="0" w:line="360" w:lineRule="auto"/>
        <w:jc w:val="both"/>
        <w:rPr>
          <w:rFonts w:ascii="Palatino Linotype" w:hAnsi="Palatino Linotype" w:cs="Arial"/>
          <w:sz w:val="24"/>
          <w:szCs w:val="24"/>
        </w:rPr>
      </w:pPr>
    </w:p>
    <w:p w14:paraId="19F71D15" w14:textId="77777777" w:rsidR="00D76B2D" w:rsidRPr="00201B34" w:rsidRDefault="00D76B2D" w:rsidP="002B3167">
      <w:pPr>
        <w:spacing w:after="0" w:line="360" w:lineRule="auto"/>
        <w:jc w:val="both"/>
        <w:rPr>
          <w:rFonts w:ascii="Palatino Linotype" w:hAnsi="Palatino Linotype" w:cs="Arial"/>
          <w:sz w:val="24"/>
          <w:szCs w:val="24"/>
        </w:rPr>
      </w:pPr>
    </w:p>
    <w:p w14:paraId="38238120" w14:textId="77777777" w:rsidR="00D76B2D" w:rsidRPr="00201B34" w:rsidRDefault="00D76B2D" w:rsidP="002B3167">
      <w:pPr>
        <w:spacing w:after="0" w:line="360" w:lineRule="auto"/>
        <w:jc w:val="both"/>
        <w:rPr>
          <w:rFonts w:ascii="Palatino Linotype" w:hAnsi="Palatino Linotype" w:cs="Arial"/>
          <w:sz w:val="24"/>
          <w:szCs w:val="24"/>
        </w:rPr>
      </w:pPr>
    </w:p>
    <w:p w14:paraId="451D81F1" w14:textId="77777777" w:rsidR="00D76B2D" w:rsidRPr="00201B34" w:rsidRDefault="00D76B2D" w:rsidP="002B3167">
      <w:pPr>
        <w:spacing w:after="0" w:line="360" w:lineRule="auto"/>
        <w:jc w:val="both"/>
        <w:rPr>
          <w:rFonts w:ascii="Palatino Linotype" w:hAnsi="Palatino Linotype" w:cs="Arial"/>
          <w:sz w:val="24"/>
          <w:szCs w:val="24"/>
        </w:rPr>
      </w:pPr>
    </w:p>
    <w:p w14:paraId="180EC1CF" w14:textId="77777777" w:rsidR="00D76B2D" w:rsidRPr="00201B34" w:rsidRDefault="00D76B2D" w:rsidP="002B3167">
      <w:pPr>
        <w:spacing w:after="0" w:line="360" w:lineRule="auto"/>
        <w:jc w:val="both"/>
        <w:rPr>
          <w:rFonts w:ascii="Palatino Linotype" w:hAnsi="Palatino Linotype" w:cs="Arial"/>
          <w:sz w:val="24"/>
          <w:szCs w:val="24"/>
        </w:rPr>
      </w:pPr>
    </w:p>
    <w:p w14:paraId="092DF214" w14:textId="77777777" w:rsidR="00D76B2D" w:rsidRPr="00201B34" w:rsidRDefault="00D76B2D" w:rsidP="002B3167">
      <w:pPr>
        <w:spacing w:after="0" w:line="360" w:lineRule="auto"/>
        <w:jc w:val="both"/>
        <w:rPr>
          <w:rFonts w:ascii="Palatino Linotype" w:hAnsi="Palatino Linotype" w:cs="Arial"/>
          <w:sz w:val="24"/>
          <w:szCs w:val="24"/>
        </w:rPr>
      </w:pPr>
    </w:p>
    <w:p w14:paraId="42AC8E81" w14:textId="77777777" w:rsidR="00D76B2D" w:rsidRPr="00201B34" w:rsidRDefault="00D76B2D" w:rsidP="002B3167">
      <w:pPr>
        <w:spacing w:after="0" w:line="360" w:lineRule="auto"/>
        <w:jc w:val="both"/>
        <w:rPr>
          <w:rFonts w:ascii="Palatino Linotype" w:hAnsi="Palatino Linotype" w:cs="Arial"/>
          <w:sz w:val="24"/>
          <w:szCs w:val="24"/>
        </w:rPr>
      </w:pPr>
    </w:p>
    <w:p w14:paraId="70E3CF44" w14:textId="77777777" w:rsidR="00D76B2D" w:rsidRPr="00201B34" w:rsidRDefault="00D76B2D" w:rsidP="002B3167">
      <w:pPr>
        <w:spacing w:after="0" w:line="360" w:lineRule="auto"/>
        <w:jc w:val="both"/>
        <w:rPr>
          <w:rFonts w:ascii="Palatino Linotype" w:hAnsi="Palatino Linotype" w:cs="Arial"/>
          <w:sz w:val="24"/>
          <w:szCs w:val="24"/>
        </w:rPr>
      </w:pPr>
    </w:p>
    <w:p w14:paraId="6E934CD3" w14:textId="77777777" w:rsidR="00D76B2D" w:rsidRPr="00201B34" w:rsidRDefault="00D76B2D" w:rsidP="002B3167">
      <w:pPr>
        <w:spacing w:after="0" w:line="360" w:lineRule="auto"/>
        <w:jc w:val="both"/>
        <w:rPr>
          <w:rFonts w:ascii="Palatino Linotype" w:hAnsi="Palatino Linotype" w:cs="Arial"/>
          <w:sz w:val="24"/>
          <w:szCs w:val="24"/>
        </w:rPr>
      </w:pPr>
    </w:p>
    <w:p w14:paraId="23F734DD" w14:textId="77777777" w:rsidR="00D76B2D" w:rsidRPr="00201B34" w:rsidRDefault="00D76B2D" w:rsidP="002B3167">
      <w:pPr>
        <w:spacing w:after="0" w:line="360" w:lineRule="auto"/>
        <w:jc w:val="both"/>
        <w:rPr>
          <w:rFonts w:ascii="Palatino Linotype" w:hAnsi="Palatino Linotype" w:cs="Arial"/>
          <w:sz w:val="24"/>
          <w:szCs w:val="24"/>
        </w:rPr>
      </w:pPr>
    </w:p>
    <w:p w14:paraId="5DB3BFA6" w14:textId="77777777" w:rsidR="00D76B2D" w:rsidRPr="00201B34" w:rsidRDefault="00D76B2D" w:rsidP="002B3167">
      <w:pPr>
        <w:spacing w:after="0" w:line="360" w:lineRule="auto"/>
        <w:jc w:val="both"/>
        <w:rPr>
          <w:rFonts w:ascii="Palatino Linotype" w:hAnsi="Palatino Linotype" w:cs="Arial"/>
          <w:sz w:val="24"/>
          <w:szCs w:val="24"/>
        </w:rPr>
      </w:pPr>
    </w:p>
    <w:p w14:paraId="3ACD21E1" w14:textId="77777777" w:rsidR="0097203B" w:rsidRPr="00201B34" w:rsidRDefault="0097203B" w:rsidP="002B3167">
      <w:pPr>
        <w:spacing w:after="0" w:line="360" w:lineRule="auto"/>
        <w:ind w:right="72"/>
        <w:jc w:val="both"/>
        <w:rPr>
          <w:rFonts w:ascii="Palatino Linotype" w:hAnsi="Palatino Linotype" w:cs="Arial"/>
          <w:sz w:val="24"/>
          <w:szCs w:val="24"/>
        </w:rPr>
      </w:pPr>
    </w:p>
    <w:sectPr w:rsidR="0097203B" w:rsidRPr="00201B34" w:rsidSect="00FB4AAD">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38D09" w14:textId="77777777" w:rsidR="009D4012" w:rsidRDefault="009D4012" w:rsidP="006168E4">
      <w:pPr>
        <w:spacing w:after="0" w:line="240" w:lineRule="auto"/>
      </w:pPr>
      <w:r>
        <w:separator/>
      </w:r>
    </w:p>
  </w:endnote>
  <w:endnote w:type="continuationSeparator" w:id="0">
    <w:p w14:paraId="4CE72C13" w14:textId="77777777" w:rsidR="009D4012" w:rsidRDefault="009D401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2F770E" w:rsidRPr="000B69FA" w:rsidRDefault="002F770E"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46FB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46FBE">
      <w:rPr>
        <w:rFonts w:ascii="Palatino Linotype" w:hAnsi="Palatino Linotype"/>
        <w:bCs/>
        <w:noProof/>
        <w:sz w:val="20"/>
      </w:rPr>
      <w:t>64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2F770E" w:rsidRPr="000B69FA" w:rsidRDefault="002F770E"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46FB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E46FBE">
      <w:rPr>
        <w:rFonts w:ascii="Palatino Linotype" w:hAnsi="Palatino Linotype"/>
        <w:bCs/>
        <w:noProof/>
        <w:sz w:val="20"/>
      </w:rPr>
      <w:t>64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6A011" w14:textId="77777777" w:rsidR="009D4012" w:rsidRDefault="009D4012" w:rsidP="006168E4">
      <w:pPr>
        <w:spacing w:after="0" w:line="240" w:lineRule="auto"/>
      </w:pPr>
      <w:r>
        <w:separator/>
      </w:r>
    </w:p>
  </w:footnote>
  <w:footnote w:type="continuationSeparator" w:id="0">
    <w:p w14:paraId="0ADE8A04" w14:textId="77777777" w:rsidR="009D4012" w:rsidRDefault="009D4012" w:rsidP="006168E4">
      <w:pPr>
        <w:spacing w:after="0" w:line="240" w:lineRule="auto"/>
      </w:pPr>
      <w:r>
        <w:continuationSeparator/>
      </w:r>
    </w:p>
  </w:footnote>
  <w:footnote w:id="1">
    <w:p w14:paraId="46AC6205" w14:textId="5188501E" w:rsidR="002F770E" w:rsidRPr="007316FD" w:rsidRDefault="002F770E" w:rsidP="007316FD">
      <w:pPr>
        <w:pStyle w:val="Textonotapie"/>
        <w:jc w:val="both"/>
        <w:rPr>
          <w:rFonts w:ascii="Palatino Linotype" w:hAnsi="Palatino Linotype"/>
          <w:lang w:val="es-419"/>
        </w:rPr>
      </w:pPr>
      <w:r w:rsidRPr="007316FD">
        <w:rPr>
          <w:rStyle w:val="Refdenotaalpie"/>
          <w:rFonts w:ascii="Palatino Linotype" w:hAnsi="Palatino Linotype"/>
        </w:rPr>
        <w:footnoteRef/>
      </w:r>
      <w:r w:rsidRPr="007316FD">
        <w:rPr>
          <w:rFonts w:ascii="Palatino Linotype" w:hAnsi="Palatino Linotype"/>
        </w:rPr>
        <w:t xml:space="preserve"> </w:t>
      </w:r>
      <w:r w:rsidRPr="007316FD">
        <w:rPr>
          <w:rFonts w:ascii="Palatino Linotype" w:hAnsi="Palatino Linotype"/>
          <w:lang w:val="es-419"/>
        </w:rPr>
        <w:t>Consulta realizada el once de marzo de dos mil veinticuatro a las 9:15 horas.</w:t>
      </w:r>
    </w:p>
  </w:footnote>
  <w:footnote w:id="2">
    <w:p w14:paraId="7E3D2968" w14:textId="77777777" w:rsidR="002F770E" w:rsidRDefault="002F770E" w:rsidP="00BB73B9">
      <w:pPr>
        <w:pStyle w:val="Textonotapie"/>
        <w:jc w:val="both"/>
      </w:pPr>
      <w:r>
        <w:rPr>
          <w:rStyle w:val="Refdenotaalpie"/>
        </w:rPr>
        <w:footnoteRef/>
      </w:r>
      <w:r>
        <w:t xml:space="preserve"> </w:t>
      </w:r>
      <w:r>
        <w:rPr>
          <w:rFonts w:ascii="Palatino Linotype" w:hAnsi="Palatino Linotype"/>
          <w:sz w:val="16"/>
          <w:szCs w:val="16"/>
        </w:rPr>
        <w:t>Registro</w:t>
      </w:r>
      <w:r>
        <w:t xml:space="preserve"> </w:t>
      </w:r>
      <w:r>
        <w:rPr>
          <w:rFonts w:ascii="Palatino Linotype" w:hAnsi="Palatino Linotype"/>
          <w:sz w:val="16"/>
          <w:szCs w:val="16"/>
        </w:rPr>
        <w:t>digital 2018460. I.10o.A.79 A (10a.). Tribunales Colegiados de Circuito. Décima Época. Semanario Judicial de la Federación y su Gaceta. Libro 60, Noviembre de 2018, Tomo III, página 2318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2F770E" w:rsidRDefault="002F770E">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2F770E" w14:paraId="17981A04" w14:textId="77777777" w:rsidTr="00E8450A">
      <w:trPr>
        <w:trHeight w:val="227"/>
      </w:trPr>
      <w:tc>
        <w:tcPr>
          <w:tcW w:w="5529" w:type="dxa"/>
          <w:hideMark/>
        </w:tcPr>
        <w:p w14:paraId="0E414BC5" w14:textId="19670DF2" w:rsidR="002F770E" w:rsidRDefault="002F770E"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23550D42" w:rsidR="002F770E" w:rsidRPr="00B4142F" w:rsidRDefault="002F770E"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04335/INFOEM/IP/RR/2023</w:t>
          </w:r>
        </w:p>
      </w:tc>
    </w:tr>
    <w:tr w:rsidR="002F770E" w14:paraId="637042F0" w14:textId="77777777" w:rsidTr="00E8450A">
      <w:trPr>
        <w:trHeight w:val="242"/>
      </w:trPr>
      <w:tc>
        <w:tcPr>
          <w:tcW w:w="5529" w:type="dxa"/>
          <w:hideMark/>
        </w:tcPr>
        <w:p w14:paraId="412AD568" w14:textId="582E7AD7" w:rsidR="002F770E" w:rsidRDefault="002F770E"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0B4B1EAC" w:rsidR="002F770E" w:rsidRPr="00F06FED" w:rsidRDefault="002F770E" w:rsidP="005677E3">
          <w:pPr>
            <w:spacing w:after="120" w:line="256" w:lineRule="auto"/>
            <w:ind w:left="639" w:right="214"/>
            <w:jc w:val="both"/>
            <w:rPr>
              <w:rFonts w:ascii="Palatino Linotype" w:hAnsi="Palatino Linotype" w:cs="Arial"/>
            </w:rPr>
          </w:pPr>
          <w:r>
            <w:rPr>
              <w:rFonts w:ascii="Palatino Linotype" w:hAnsi="Palatino Linotype" w:cs="Arial"/>
              <w:szCs w:val="20"/>
            </w:rPr>
            <w:t xml:space="preserve">Hospital Regional de Alta Especialidad de Zumpango   </w:t>
          </w:r>
        </w:p>
      </w:tc>
    </w:tr>
    <w:tr w:rsidR="002F770E" w14:paraId="21BFE746" w14:textId="77777777" w:rsidTr="00E8450A">
      <w:trPr>
        <w:trHeight w:val="342"/>
      </w:trPr>
      <w:tc>
        <w:tcPr>
          <w:tcW w:w="5529" w:type="dxa"/>
          <w:hideMark/>
        </w:tcPr>
        <w:p w14:paraId="64C4E314" w14:textId="58340D62" w:rsidR="002F770E" w:rsidRDefault="002F770E"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62A4510" w:rsidR="002F770E" w:rsidRDefault="002F770E"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5A183BF9" w14:textId="77777777" w:rsidR="002F770E" w:rsidRDefault="002F77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2F770E" w14:paraId="385FD437" w14:textId="77777777" w:rsidTr="00E8450A">
      <w:trPr>
        <w:trHeight w:val="227"/>
      </w:trPr>
      <w:tc>
        <w:tcPr>
          <w:tcW w:w="5529" w:type="dxa"/>
          <w:hideMark/>
        </w:tcPr>
        <w:p w14:paraId="272860E8" w14:textId="6340DBC0" w:rsidR="002F770E" w:rsidRDefault="002F770E"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084861E0" w:rsidR="002F770E" w:rsidRPr="00B4142F" w:rsidRDefault="002F770E"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04335/INFOEM/IP/RR/2023</w:t>
          </w:r>
        </w:p>
      </w:tc>
    </w:tr>
    <w:tr w:rsidR="002F770E" w14:paraId="33FC5097" w14:textId="77777777" w:rsidTr="00E8450A">
      <w:trPr>
        <w:trHeight w:val="196"/>
      </w:trPr>
      <w:tc>
        <w:tcPr>
          <w:tcW w:w="5529" w:type="dxa"/>
          <w:hideMark/>
        </w:tcPr>
        <w:p w14:paraId="4F5D01E5" w14:textId="77777777" w:rsidR="002F770E" w:rsidRDefault="002F770E"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28E2BB55" w:rsidR="002F770E" w:rsidRPr="00F06FED" w:rsidRDefault="00E46FBE" w:rsidP="007A3BB5">
          <w:pPr>
            <w:spacing w:after="120" w:line="256" w:lineRule="auto"/>
            <w:ind w:left="639" w:right="214"/>
            <w:jc w:val="both"/>
            <w:rPr>
              <w:rFonts w:ascii="Palatino Linotype" w:hAnsi="Palatino Linotype" w:cs="Arial"/>
            </w:rPr>
          </w:pPr>
          <w:r>
            <w:rPr>
              <w:rFonts w:ascii="Palatino Linotype" w:hAnsi="Palatino Linotype" w:cs="Arial"/>
            </w:rPr>
            <w:t>XXXXXXXXXXXXXXXXXXX</w:t>
          </w:r>
        </w:p>
      </w:tc>
    </w:tr>
    <w:tr w:rsidR="002F770E" w14:paraId="178280DE" w14:textId="77777777" w:rsidTr="00E8450A">
      <w:trPr>
        <w:trHeight w:val="242"/>
      </w:trPr>
      <w:tc>
        <w:tcPr>
          <w:tcW w:w="5529" w:type="dxa"/>
          <w:hideMark/>
        </w:tcPr>
        <w:p w14:paraId="71AC708B" w14:textId="77777777" w:rsidR="002F770E" w:rsidRDefault="002F770E"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1D80255" w:rsidR="002F770E" w:rsidRDefault="002F770E" w:rsidP="005677E3">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Hospital Regional de Alta Especialidad de Zumpango </w:t>
          </w:r>
        </w:p>
      </w:tc>
    </w:tr>
    <w:tr w:rsidR="002F770E" w14:paraId="0518978B" w14:textId="77777777" w:rsidTr="00E8450A">
      <w:trPr>
        <w:trHeight w:val="342"/>
      </w:trPr>
      <w:tc>
        <w:tcPr>
          <w:tcW w:w="5529" w:type="dxa"/>
          <w:hideMark/>
        </w:tcPr>
        <w:p w14:paraId="04968A43" w14:textId="0940D6BC" w:rsidR="002F770E" w:rsidRDefault="002F770E"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379E342A" w:rsidR="002F770E" w:rsidRDefault="002F770E"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4A3B5148" w:rsidR="002F770E" w:rsidRDefault="002F770E">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34674996">
          <wp:simplePos x="0" y="0"/>
          <wp:positionH relativeFrom="page">
            <wp:posOffset>29210</wp:posOffset>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2E00"/>
    <w:multiLevelType w:val="hybridMultilevel"/>
    <w:tmpl w:val="921471BC"/>
    <w:lvl w:ilvl="0" w:tplc="9724ECBC">
      <w:start w:val="1"/>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F5643"/>
    <w:multiLevelType w:val="hybridMultilevel"/>
    <w:tmpl w:val="FC54E500"/>
    <w:lvl w:ilvl="0" w:tplc="B57844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E7568"/>
    <w:multiLevelType w:val="hybridMultilevel"/>
    <w:tmpl w:val="6DC0CE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04A74"/>
    <w:multiLevelType w:val="hybridMultilevel"/>
    <w:tmpl w:val="751C491A"/>
    <w:lvl w:ilvl="0" w:tplc="0120A86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BDA3C98"/>
    <w:multiLevelType w:val="hybridMultilevel"/>
    <w:tmpl w:val="C012E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A5BCF"/>
    <w:multiLevelType w:val="hybridMultilevel"/>
    <w:tmpl w:val="ABA42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0F66AC"/>
    <w:multiLevelType w:val="hybridMultilevel"/>
    <w:tmpl w:val="DA50A948"/>
    <w:lvl w:ilvl="0" w:tplc="7E62054E">
      <w:start w:val="12"/>
      <w:numFmt w:val="bullet"/>
      <w:lvlText w:val="-"/>
      <w:lvlJc w:val="left"/>
      <w:pPr>
        <w:ind w:left="1211" w:hanging="360"/>
      </w:pPr>
      <w:rPr>
        <w:rFonts w:ascii="Palatino Linotype" w:eastAsiaTheme="minorHAnsi" w:hAnsi="Palatino Linotype" w:cs="Arial" w:hint="default"/>
        <w:b w:val="0"/>
        <w:sz w:val="22"/>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7" w15:restartNumberingAfterBreak="0">
    <w:nsid w:val="2C2416BF"/>
    <w:multiLevelType w:val="hybridMultilevel"/>
    <w:tmpl w:val="CAB07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7F76F5"/>
    <w:multiLevelType w:val="hybridMultilevel"/>
    <w:tmpl w:val="DF2E6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F409A0"/>
    <w:multiLevelType w:val="hybridMultilevel"/>
    <w:tmpl w:val="BB484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856D88"/>
    <w:multiLevelType w:val="hybridMultilevel"/>
    <w:tmpl w:val="A858B33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221C5B"/>
    <w:multiLevelType w:val="hybridMultilevel"/>
    <w:tmpl w:val="FBD82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474FD6"/>
    <w:multiLevelType w:val="hybridMultilevel"/>
    <w:tmpl w:val="9752CD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6F57C1"/>
    <w:multiLevelType w:val="hybridMultilevel"/>
    <w:tmpl w:val="81144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8D2420"/>
    <w:multiLevelType w:val="hybridMultilevel"/>
    <w:tmpl w:val="BB484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29114F"/>
    <w:multiLevelType w:val="hybridMultilevel"/>
    <w:tmpl w:val="752A2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631451A"/>
    <w:multiLevelType w:val="hybridMultilevel"/>
    <w:tmpl w:val="66B4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7E10206"/>
    <w:multiLevelType w:val="hybridMultilevel"/>
    <w:tmpl w:val="0382C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5A75A0"/>
    <w:multiLevelType w:val="hybridMultilevel"/>
    <w:tmpl w:val="BB484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A9372C"/>
    <w:multiLevelType w:val="hybridMultilevel"/>
    <w:tmpl w:val="08306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995737"/>
    <w:multiLevelType w:val="hybridMultilevel"/>
    <w:tmpl w:val="C526C0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FC4380"/>
    <w:multiLevelType w:val="hybridMultilevel"/>
    <w:tmpl w:val="5AA87916"/>
    <w:lvl w:ilvl="0" w:tplc="CC64B19C">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0"/>
  </w:num>
  <w:num w:numId="2">
    <w:abstractNumId w:val="11"/>
  </w:num>
  <w:num w:numId="3">
    <w:abstractNumId w:val="10"/>
  </w:num>
  <w:num w:numId="4">
    <w:abstractNumId w:val="2"/>
  </w:num>
  <w:num w:numId="5">
    <w:abstractNumId w:val="1"/>
  </w:num>
  <w:num w:numId="6">
    <w:abstractNumId w:val="6"/>
  </w:num>
  <w:num w:numId="7">
    <w:abstractNumId w:val="18"/>
  </w:num>
  <w:num w:numId="8">
    <w:abstractNumId w:val="3"/>
  </w:num>
  <w:num w:numId="9">
    <w:abstractNumId w:val="24"/>
  </w:num>
  <w:num w:numId="10">
    <w:abstractNumId w:val="21"/>
  </w:num>
  <w:num w:numId="11">
    <w:abstractNumId w:val="13"/>
  </w:num>
  <w:num w:numId="12">
    <w:abstractNumId w:val="17"/>
  </w:num>
  <w:num w:numId="13">
    <w:abstractNumId w:val="14"/>
  </w:num>
  <w:num w:numId="14">
    <w:abstractNumId w:val="5"/>
  </w:num>
  <w:num w:numId="15">
    <w:abstractNumId w:val="23"/>
  </w:num>
  <w:num w:numId="16">
    <w:abstractNumId w:val="7"/>
  </w:num>
  <w:num w:numId="17">
    <w:abstractNumId w:val="4"/>
  </w:num>
  <w:num w:numId="18">
    <w:abstractNumId w:val="9"/>
  </w:num>
  <w:num w:numId="19">
    <w:abstractNumId w:val="16"/>
  </w:num>
  <w:num w:numId="20">
    <w:abstractNumId w:val="12"/>
  </w:num>
  <w:num w:numId="21">
    <w:abstractNumId w:val="19"/>
  </w:num>
  <w:num w:numId="22">
    <w:abstractNumId w:val="0"/>
  </w:num>
  <w:num w:numId="23">
    <w:abstractNumId w:val="22"/>
  </w:num>
  <w:num w:numId="24">
    <w:abstractNumId w:val="8"/>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36A"/>
    <w:rsid w:val="0000045D"/>
    <w:rsid w:val="000026CF"/>
    <w:rsid w:val="00002FA5"/>
    <w:rsid w:val="000054EF"/>
    <w:rsid w:val="000056BB"/>
    <w:rsid w:val="00005B85"/>
    <w:rsid w:val="00011156"/>
    <w:rsid w:val="00011980"/>
    <w:rsid w:val="00012E56"/>
    <w:rsid w:val="0001366A"/>
    <w:rsid w:val="00013C75"/>
    <w:rsid w:val="000143F3"/>
    <w:rsid w:val="000171B7"/>
    <w:rsid w:val="00020E74"/>
    <w:rsid w:val="00022B41"/>
    <w:rsid w:val="000240C8"/>
    <w:rsid w:val="0002560B"/>
    <w:rsid w:val="000306A7"/>
    <w:rsid w:val="000315CA"/>
    <w:rsid w:val="00031B3B"/>
    <w:rsid w:val="00032896"/>
    <w:rsid w:val="000329BE"/>
    <w:rsid w:val="00032C91"/>
    <w:rsid w:val="00035B78"/>
    <w:rsid w:val="000411BE"/>
    <w:rsid w:val="0004186E"/>
    <w:rsid w:val="00044C7F"/>
    <w:rsid w:val="000451BE"/>
    <w:rsid w:val="00045379"/>
    <w:rsid w:val="000458B5"/>
    <w:rsid w:val="00045CB8"/>
    <w:rsid w:val="000508FA"/>
    <w:rsid w:val="0005171D"/>
    <w:rsid w:val="000533E0"/>
    <w:rsid w:val="00055224"/>
    <w:rsid w:val="00061821"/>
    <w:rsid w:val="000623F9"/>
    <w:rsid w:val="00063A10"/>
    <w:rsid w:val="00064EA6"/>
    <w:rsid w:val="000662F8"/>
    <w:rsid w:val="00066A12"/>
    <w:rsid w:val="00070E99"/>
    <w:rsid w:val="00073E78"/>
    <w:rsid w:val="00073FC2"/>
    <w:rsid w:val="00076AE0"/>
    <w:rsid w:val="0007756F"/>
    <w:rsid w:val="0008033D"/>
    <w:rsid w:val="0008151E"/>
    <w:rsid w:val="000821BF"/>
    <w:rsid w:val="00082920"/>
    <w:rsid w:val="00085007"/>
    <w:rsid w:val="0008548C"/>
    <w:rsid w:val="00086AF1"/>
    <w:rsid w:val="000873D5"/>
    <w:rsid w:val="00090174"/>
    <w:rsid w:val="00091552"/>
    <w:rsid w:val="00091C3A"/>
    <w:rsid w:val="000944B9"/>
    <w:rsid w:val="00095CD4"/>
    <w:rsid w:val="0009704F"/>
    <w:rsid w:val="000A07D4"/>
    <w:rsid w:val="000A18F1"/>
    <w:rsid w:val="000A2E75"/>
    <w:rsid w:val="000A3486"/>
    <w:rsid w:val="000A46DE"/>
    <w:rsid w:val="000A46EB"/>
    <w:rsid w:val="000A5195"/>
    <w:rsid w:val="000A535D"/>
    <w:rsid w:val="000A5980"/>
    <w:rsid w:val="000A79DA"/>
    <w:rsid w:val="000B03E0"/>
    <w:rsid w:val="000B4B51"/>
    <w:rsid w:val="000B5864"/>
    <w:rsid w:val="000B7158"/>
    <w:rsid w:val="000C0B33"/>
    <w:rsid w:val="000C0EA4"/>
    <w:rsid w:val="000C2602"/>
    <w:rsid w:val="000C5B8B"/>
    <w:rsid w:val="000D1A4E"/>
    <w:rsid w:val="000D1B55"/>
    <w:rsid w:val="000D3C75"/>
    <w:rsid w:val="000D4532"/>
    <w:rsid w:val="000D4A3A"/>
    <w:rsid w:val="000D5800"/>
    <w:rsid w:val="000D67B8"/>
    <w:rsid w:val="000D7523"/>
    <w:rsid w:val="000E0C4D"/>
    <w:rsid w:val="000E30C2"/>
    <w:rsid w:val="000E3AEA"/>
    <w:rsid w:val="000E616D"/>
    <w:rsid w:val="000E6545"/>
    <w:rsid w:val="000E686B"/>
    <w:rsid w:val="000F2A5E"/>
    <w:rsid w:val="000F2E5A"/>
    <w:rsid w:val="000F3F8D"/>
    <w:rsid w:val="00100C19"/>
    <w:rsid w:val="00101607"/>
    <w:rsid w:val="00103AB6"/>
    <w:rsid w:val="00104391"/>
    <w:rsid w:val="00105F17"/>
    <w:rsid w:val="00106372"/>
    <w:rsid w:val="00110AF8"/>
    <w:rsid w:val="00111DCD"/>
    <w:rsid w:val="00112C29"/>
    <w:rsid w:val="00114CF9"/>
    <w:rsid w:val="00115706"/>
    <w:rsid w:val="0012147B"/>
    <w:rsid w:val="001228AB"/>
    <w:rsid w:val="00124855"/>
    <w:rsid w:val="001254F5"/>
    <w:rsid w:val="00127033"/>
    <w:rsid w:val="00127C15"/>
    <w:rsid w:val="00131B01"/>
    <w:rsid w:val="001332CA"/>
    <w:rsid w:val="00136C13"/>
    <w:rsid w:val="00136FAD"/>
    <w:rsid w:val="00140557"/>
    <w:rsid w:val="001408A0"/>
    <w:rsid w:val="001439C9"/>
    <w:rsid w:val="00146F0A"/>
    <w:rsid w:val="001503F0"/>
    <w:rsid w:val="00152AB2"/>
    <w:rsid w:val="00152C2B"/>
    <w:rsid w:val="00157E00"/>
    <w:rsid w:val="00161FBE"/>
    <w:rsid w:val="0016613D"/>
    <w:rsid w:val="00166BE3"/>
    <w:rsid w:val="0016745C"/>
    <w:rsid w:val="001705AC"/>
    <w:rsid w:val="001710C0"/>
    <w:rsid w:val="001733A0"/>
    <w:rsid w:val="001738E1"/>
    <w:rsid w:val="00174754"/>
    <w:rsid w:val="00175897"/>
    <w:rsid w:val="00175B44"/>
    <w:rsid w:val="00180B9F"/>
    <w:rsid w:val="00181CC5"/>
    <w:rsid w:val="001829BE"/>
    <w:rsid w:val="00184E8E"/>
    <w:rsid w:val="001854E1"/>
    <w:rsid w:val="0018577F"/>
    <w:rsid w:val="00193784"/>
    <w:rsid w:val="00194676"/>
    <w:rsid w:val="00196DCE"/>
    <w:rsid w:val="00196FE9"/>
    <w:rsid w:val="001A02EC"/>
    <w:rsid w:val="001A09C5"/>
    <w:rsid w:val="001A1756"/>
    <w:rsid w:val="001A30F5"/>
    <w:rsid w:val="001A4643"/>
    <w:rsid w:val="001A4BAD"/>
    <w:rsid w:val="001A5630"/>
    <w:rsid w:val="001A577E"/>
    <w:rsid w:val="001A7484"/>
    <w:rsid w:val="001A7959"/>
    <w:rsid w:val="001A7C9B"/>
    <w:rsid w:val="001B05B9"/>
    <w:rsid w:val="001B0BFB"/>
    <w:rsid w:val="001B1A88"/>
    <w:rsid w:val="001B6914"/>
    <w:rsid w:val="001B6D05"/>
    <w:rsid w:val="001B7343"/>
    <w:rsid w:val="001B7B88"/>
    <w:rsid w:val="001B7FA2"/>
    <w:rsid w:val="001C1337"/>
    <w:rsid w:val="001C1CAF"/>
    <w:rsid w:val="001C3061"/>
    <w:rsid w:val="001C50EE"/>
    <w:rsid w:val="001C7319"/>
    <w:rsid w:val="001C7D63"/>
    <w:rsid w:val="001C7D87"/>
    <w:rsid w:val="001D23B4"/>
    <w:rsid w:val="001D27C1"/>
    <w:rsid w:val="001D3E87"/>
    <w:rsid w:val="001D49A2"/>
    <w:rsid w:val="001D5678"/>
    <w:rsid w:val="001D627A"/>
    <w:rsid w:val="001D6B60"/>
    <w:rsid w:val="001E0C3F"/>
    <w:rsid w:val="001E11BF"/>
    <w:rsid w:val="001E137E"/>
    <w:rsid w:val="001E3960"/>
    <w:rsid w:val="001E5168"/>
    <w:rsid w:val="001E58D8"/>
    <w:rsid w:val="001E78AA"/>
    <w:rsid w:val="001F2101"/>
    <w:rsid w:val="001F2360"/>
    <w:rsid w:val="001F3969"/>
    <w:rsid w:val="001F61DA"/>
    <w:rsid w:val="00201B34"/>
    <w:rsid w:val="002033E9"/>
    <w:rsid w:val="00204420"/>
    <w:rsid w:val="00205ACD"/>
    <w:rsid w:val="002075A5"/>
    <w:rsid w:val="00212A9D"/>
    <w:rsid w:val="00213077"/>
    <w:rsid w:val="0021501E"/>
    <w:rsid w:val="00215192"/>
    <w:rsid w:val="0021530C"/>
    <w:rsid w:val="002158F8"/>
    <w:rsid w:val="002205C0"/>
    <w:rsid w:val="00221889"/>
    <w:rsid w:val="002248AC"/>
    <w:rsid w:val="002269D3"/>
    <w:rsid w:val="00226AF5"/>
    <w:rsid w:val="0023373D"/>
    <w:rsid w:val="0023423C"/>
    <w:rsid w:val="002346D1"/>
    <w:rsid w:val="0023689F"/>
    <w:rsid w:val="002406B0"/>
    <w:rsid w:val="002420E3"/>
    <w:rsid w:val="002448CB"/>
    <w:rsid w:val="002525C7"/>
    <w:rsid w:val="002526E7"/>
    <w:rsid w:val="00254BA9"/>
    <w:rsid w:val="002577FE"/>
    <w:rsid w:val="00261125"/>
    <w:rsid w:val="00262E8F"/>
    <w:rsid w:val="002659E9"/>
    <w:rsid w:val="00266B85"/>
    <w:rsid w:val="00267074"/>
    <w:rsid w:val="00267244"/>
    <w:rsid w:val="002717B7"/>
    <w:rsid w:val="00273D0E"/>
    <w:rsid w:val="00274159"/>
    <w:rsid w:val="00274313"/>
    <w:rsid w:val="00274BE8"/>
    <w:rsid w:val="002765A6"/>
    <w:rsid w:val="00281774"/>
    <w:rsid w:val="00284441"/>
    <w:rsid w:val="0028588E"/>
    <w:rsid w:val="00286784"/>
    <w:rsid w:val="002907D5"/>
    <w:rsid w:val="00292BF6"/>
    <w:rsid w:val="00293AD0"/>
    <w:rsid w:val="0029431D"/>
    <w:rsid w:val="00294823"/>
    <w:rsid w:val="00295749"/>
    <w:rsid w:val="0029598B"/>
    <w:rsid w:val="002A0229"/>
    <w:rsid w:val="002A0ABA"/>
    <w:rsid w:val="002A2034"/>
    <w:rsid w:val="002A24F4"/>
    <w:rsid w:val="002A2B26"/>
    <w:rsid w:val="002A38BF"/>
    <w:rsid w:val="002A4319"/>
    <w:rsid w:val="002A5409"/>
    <w:rsid w:val="002A56AE"/>
    <w:rsid w:val="002A597E"/>
    <w:rsid w:val="002B113A"/>
    <w:rsid w:val="002B18B5"/>
    <w:rsid w:val="002B19E0"/>
    <w:rsid w:val="002B1A1F"/>
    <w:rsid w:val="002B3167"/>
    <w:rsid w:val="002B5DBD"/>
    <w:rsid w:val="002C07C4"/>
    <w:rsid w:val="002C1B76"/>
    <w:rsid w:val="002C72D2"/>
    <w:rsid w:val="002D08E3"/>
    <w:rsid w:val="002D30CB"/>
    <w:rsid w:val="002D310D"/>
    <w:rsid w:val="002D572F"/>
    <w:rsid w:val="002D5AE2"/>
    <w:rsid w:val="002E2D7B"/>
    <w:rsid w:val="002E5E6A"/>
    <w:rsid w:val="002E5E6B"/>
    <w:rsid w:val="002E7C65"/>
    <w:rsid w:val="002F0136"/>
    <w:rsid w:val="002F14AA"/>
    <w:rsid w:val="002F2198"/>
    <w:rsid w:val="002F231A"/>
    <w:rsid w:val="002F37BE"/>
    <w:rsid w:val="002F4577"/>
    <w:rsid w:val="002F6424"/>
    <w:rsid w:val="002F6600"/>
    <w:rsid w:val="002F7704"/>
    <w:rsid w:val="002F770E"/>
    <w:rsid w:val="00300D0B"/>
    <w:rsid w:val="00304D88"/>
    <w:rsid w:val="003054DF"/>
    <w:rsid w:val="003056A2"/>
    <w:rsid w:val="00305C6C"/>
    <w:rsid w:val="00306096"/>
    <w:rsid w:val="00307369"/>
    <w:rsid w:val="003107AB"/>
    <w:rsid w:val="003111C0"/>
    <w:rsid w:val="00315C28"/>
    <w:rsid w:val="0031645D"/>
    <w:rsid w:val="00317A04"/>
    <w:rsid w:val="00317A10"/>
    <w:rsid w:val="00320A67"/>
    <w:rsid w:val="00321565"/>
    <w:rsid w:val="0032173F"/>
    <w:rsid w:val="0032187D"/>
    <w:rsid w:val="00323CD2"/>
    <w:rsid w:val="00324E31"/>
    <w:rsid w:val="003272FB"/>
    <w:rsid w:val="003317CD"/>
    <w:rsid w:val="00337B83"/>
    <w:rsid w:val="0034179E"/>
    <w:rsid w:val="00341AC3"/>
    <w:rsid w:val="0034299B"/>
    <w:rsid w:val="003430A8"/>
    <w:rsid w:val="003443B2"/>
    <w:rsid w:val="00345B43"/>
    <w:rsid w:val="00350C79"/>
    <w:rsid w:val="003579A9"/>
    <w:rsid w:val="00361B9C"/>
    <w:rsid w:val="00365C45"/>
    <w:rsid w:val="00370209"/>
    <w:rsid w:val="00371031"/>
    <w:rsid w:val="0037150F"/>
    <w:rsid w:val="003736ED"/>
    <w:rsid w:val="00373E81"/>
    <w:rsid w:val="00374444"/>
    <w:rsid w:val="003756A4"/>
    <w:rsid w:val="00376114"/>
    <w:rsid w:val="00376CEC"/>
    <w:rsid w:val="00380758"/>
    <w:rsid w:val="003827B4"/>
    <w:rsid w:val="00383C82"/>
    <w:rsid w:val="003861E5"/>
    <w:rsid w:val="00386BBB"/>
    <w:rsid w:val="00386D84"/>
    <w:rsid w:val="0039245A"/>
    <w:rsid w:val="00394A1E"/>
    <w:rsid w:val="00396B64"/>
    <w:rsid w:val="003A241D"/>
    <w:rsid w:val="003A43CE"/>
    <w:rsid w:val="003A60CC"/>
    <w:rsid w:val="003A61F9"/>
    <w:rsid w:val="003A73D3"/>
    <w:rsid w:val="003B1A03"/>
    <w:rsid w:val="003B1C4E"/>
    <w:rsid w:val="003B1E88"/>
    <w:rsid w:val="003B5455"/>
    <w:rsid w:val="003B5FFE"/>
    <w:rsid w:val="003B63C0"/>
    <w:rsid w:val="003C2632"/>
    <w:rsid w:val="003C2A8E"/>
    <w:rsid w:val="003C7873"/>
    <w:rsid w:val="003C78F7"/>
    <w:rsid w:val="003D11E5"/>
    <w:rsid w:val="003D153C"/>
    <w:rsid w:val="003D305F"/>
    <w:rsid w:val="003E0BC5"/>
    <w:rsid w:val="003E16E1"/>
    <w:rsid w:val="003E2624"/>
    <w:rsid w:val="003E34C9"/>
    <w:rsid w:val="003E4B54"/>
    <w:rsid w:val="003F0DF5"/>
    <w:rsid w:val="003F332C"/>
    <w:rsid w:val="003F659A"/>
    <w:rsid w:val="00400E16"/>
    <w:rsid w:val="004012CF"/>
    <w:rsid w:val="004012E1"/>
    <w:rsid w:val="004020B1"/>
    <w:rsid w:val="00402448"/>
    <w:rsid w:val="004028F5"/>
    <w:rsid w:val="00402FF3"/>
    <w:rsid w:val="00404627"/>
    <w:rsid w:val="00405EAB"/>
    <w:rsid w:val="00406265"/>
    <w:rsid w:val="004069EB"/>
    <w:rsid w:val="004111DA"/>
    <w:rsid w:val="00413327"/>
    <w:rsid w:val="00413F1C"/>
    <w:rsid w:val="0041440A"/>
    <w:rsid w:val="0041446C"/>
    <w:rsid w:val="00421C61"/>
    <w:rsid w:val="00423213"/>
    <w:rsid w:val="0042416D"/>
    <w:rsid w:val="00426243"/>
    <w:rsid w:val="00433507"/>
    <w:rsid w:val="00437A0E"/>
    <w:rsid w:val="00443B76"/>
    <w:rsid w:val="0044504F"/>
    <w:rsid w:val="004460C0"/>
    <w:rsid w:val="004502F1"/>
    <w:rsid w:val="0045122F"/>
    <w:rsid w:val="004516AE"/>
    <w:rsid w:val="004516EB"/>
    <w:rsid w:val="004529B6"/>
    <w:rsid w:val="00453DBD"/>
    <w:rsid w:val="00454CE6"/>
    <w:rsid w:val="00457162"/>
    <w:rsid w:val="00457A9F"/>
    <w:rsid w:val="0046133D"/>
    <w:rsid w:val="00462881"/>
    <w:rsid w:val="00462B0D"/>
    <w:rsid w:val="004644A7"/>
    <w:rsid w:val="0046475C"/>
    <w:rsid w:val="00464805"/>
    <w:rsid w:val="0046688C"/>
    <w:rsid w:val="00466B1C"/>
    <w:rsid w:val="004702BF"/>
    <w:rsid w:val="004703CD"/>
    <w:rsid w:val="00470F88"/>
    <w:rsid w:val="00472649"/>
    <w:rsid w:val="004726B1"/>
    <w:rsid w:val="00472C71"/>
    <w:rsid w:val="0047555B"/>
    <w:rsid w:val="00475F48"/>
    <w:rsid w:val="0047718A"/>
    <w:rsid w:val="00477430"/>
    <w:rsid w:val="00477CC2"/>
    <w:rsid w:val="00480C13"/>
    <w:rsid w:val="004811AA"/>
    <w:rsid w:val="0048180A"/>
    <w:rsid w:val="00481833"/>
    <w:rsid w:val="00481C7A"/>
    <w:rsid w:val="004836B3"/>
    <w:rsid w:val="004849AC"/>
    <w:rsid w:val="00485906"/>
    <w:rsid w:val="00486595"/>
    <w:rsid w:val="004906C8"/>
    <w:rsid w:val="0049081A"/>
    <w:rsid w:val="0049459B"/>
    <w:rsid w:val="00495252"/>
    <w:rsid w:val="004964B5"/>
    <w:rsid w:val="0049675F"/>
    <w:rsid w:val="004967E2"/>
    <w:rsid w:val="0049785D"/>
    <w:rsid w:val="004A1436"/>
    <w:rsid w:val="004A290F"/>
    <w:rsid w:val="004A45B9"/>
    <w:rsid w:val="004A4D7F"/>
    <w:rsid w:val="004A5FFD"/>
    <w:rsid w:val="004A7195"/>
    <w:rsid w:val="004A7CE2"/>
    <w:rsid w:val="004B376D"/>
    <w:rsid w:val="004B5DEC"/>
    <w:rsid w:val="004B7F32"/>
    <w:rsid w:val="004C1DF1"/>
    <w:rsid w:val="004C4E77"/>
    <w:rsid w:val="004C74FD"/>
    <w:rsid w:val="004D08EB"/>
    <w:rsid w:val="004D6029"/>
    <w:rsid w:val="004E0166"/>
    <w:rsid w:val="004E0679"/>
    <w:rsid w:val="004E0B32"/>
    <w:rsid w:val="004E1B1C"/>
    <w:rsid w:val="004E2371"/>
    <w:rsid w:val="004E6BE9"/>
    <w:rsid w:val="004E79A4"/>
    <w:rsid w:val="004E7B2A"/>
    <w:rsid w:val="004F0879"/>
    <w:rsid w:val="004F26CF"/>
    <w:rsid w:val="004F4792"/>
    <w:rsid w:val="004F4DF1"/>
    <w:rsid w:val="00501C24"/>
    <w:rsid w:val="00502F50"/>
    <w:rsid w:val="00503655"/>
    <w:rsid w:val="00505759"/>
    <w:rsid w:val="00505784"/>
    <w:rsid w:val="0050578D"/>
    <w:rsid w:val="00505D17"/>
    <w:rsid w:val="0051107C"/>
    <w:rsid w:val="00514187"/>
    <w:rsid w:val="00515090"/>
    <w:rsid w:val="005174AB"/>
    <w:rsid w:val="00521A89"/>
    <w:rsid w:val="00521E57"/>
    <w:rsid w:val="005220ED"/>
    <w:rsid w:val="00523E4E"/>
    <w:rsid w:val="00525E83"/>
    <w:rsid w:val="00527EBC"/>
    <w:rsid w:val="005305EA"/>
    <w:rsid w:val="00530E3E"/>
    <w:rsid w:val="005311BB"/>
    <w:rsid w:val="0053590E"/>
    <w:rsid w:val="005371E7"/>
    <w:rsid w:val="00540538"/>
    <w:rsid w:val="00540745"/>
    <w:rsid w:val="00540C92"/>
    <w:rsid w:val="005478DE"/>
    <w:rsid w:val="00551621"/>
    <w:rsid w:val="005520FE"/>
    <w:rsid w:val="0055211D"/>
    <w:rsid w:val="00552FA7"/>
    <w:rsid w:val="00553E92"/>
    <w:rsid w:val="00554927"/>
    <w:rsid w:val="00556513"/>
    <w:rsid w:val="00560D4A"/>
    <w:rsid w:val="00562653"/>
    <w:rsid w:val="0056468F"/>
    <w:rsid w:val="00566E4B"/>
    <w:rsid w:val="005677E3"/>
    <w:rsid w:val="00567F9A"/>
    <w:rsid w:val="005705E2"/>
    <w:rsid w:val="005714B9"/>
    <w:rsid w:val="00571CA5"/>
    <w:rsid w:val="005722FD"/>
    <w:rsid w:val="005733EB"/>
    <w:rsid w:val="00575485"/>
    <w:rsid w:val="00577500"/>
    <w:rsid w:val="00580802"/>
    <w:rsid w:val="00581A22"/>
    <w:rsid w:val="00582F4C"/>
    <w:rsid w:val="005833A8"/>
    <w:rsid w:val="0058469F"/>
    <w:rsid w:val="0058661B"/>
    <w:rsid w:val="00591165"/>
    <w:rsid w:val="00593E91"/>
    <w:rsid w:val="00595600"/>
    <w:rsid w:val="00596DC4"/>
    <w:rsid w:val="00597589"/>
    <w:rsid w:val="005A0B49"/>
    <w:rsid w:val="005A52D9"/>
    <w:rsid w:val="005A5A6E"/>
    <w:rsid w:val="005A694B"/>
    <w:rsid w:val="005A6D57"/>
    <w:rsid w:val="005B00A4"/>
    <w:rsid w:val="005B0424"/>
    <w:rsid w:val="005B0683"/>
    <w:rsid w:val="005B1C46"/>
    <w:rsid w:val="005B2B98"/>
    <w:rsid w:val="005B2E7E"/>
    <w:rsid w:val="005B37EF"/>
    <w:rsid w:val="005B5B70"/>
    <w:rsid w:val="005B5F05"/>
    <w:rsid w:val="005B6680"/>
    <w:rsid w:val="005B77A6"/>
    <w:rsid w:val="005B79E7"/>
    <w:rsid w:val="005C0398"/>
    <w:rsid w:val="005C36D0"/>
    <w:rsid w:val="005C3CD1"/>
    <w:rsid w:val="005C3E35"/>
    <w:rsid w:val="005C40CB"/>
    <w:rsid w:val="005C4802"/>
    <w:rsid w:val="005C687E"/>
    <w:rsid w:val="005C6982"/>
    <w:rsid w:val="005D0901"/>
    <w:rsid w:val="005D16DD"/>
    <w:rsid w:val="005D2332"/>
    <w:rsid w:val="005D2B59"/>
    <w:rsid w:val="005D32F6"/>
    <w:rsid w:val="005D362F"/>
    <w:rsid w:val="005D370F"/>
    <w:rsid w:val="005D3E5E"/>
    <w:rsid w:val="005D5217"/>
    <w:rsid w:val="005D5E8C"/>
    <w:rsid w:val="005E4D7C"/>
    <w:rsid w:val="005E4EB4"/>
    <w:rsid w:val="005E54CA"/>
    <w:rsid w:val="005E6A46"/>
    <w:rsid w:val="005E7A49"/>
    <w:rsid w:val="005F048E"/>
    <w:rsid w:val="005F1408"/>
    <w:rsid w:val="005F19DB"/>
    <w:rsid w:val="005F1E0B"/>
    <w:rsid w:val="005F5305"/>
    <w:rsid w:val="005F57F0"/>
    <w:rsid w:val="005F7424"/>
    <w:rsid w:val="005F7D10"/>
    <w:rsid w:val="00600FB9"/>
    <w:rsid w:val="006010C7"/>
    <w:rsid w:val="00602223"/>
    <w:rsid w:val="0060225F"/>
    <w:rsid w:val="0060242C"/>
    <w:rsid w:val="00606FDA"/>
    <w:rsid w:val="0061042F"/>
    <w:rsid w:val="00612499"/>
    <w:rsid w:val="006168E4"/>
    <w:rsid w:val="00616943"/>
    <w:rsid w:val="00616B63"/>
    <w:rsid w:val="00617BD6"/>
    <w:rsid w:val="006214B9"/>
    <w:rsid w:val="00621940"/>
    <w:rsid w:val="00622E8B"/>
    <w:rsid w:val="0062421A"/>
    <w:rsid w:val="00624FE9"/>
    <w:rsid w:val="00625866"/>
    <w:rsid w:val="006300D6"/>
    <w:rsid w:val="00630382"/>
    <w:rsid w:val="0063255F"/>
    <w:rsid w:val="0063265C"/>
    <w:rsid w:val="00633079"/>
    <w:rsid w:val="006332DC"/>
    <w:rsid w:val="00635020"/>
    <w:rsid w:val="00635846"/>
    <w:rsid w:val="00637512"/>
    <w:rsid w:val="00640EE4"/>
    <w:rsid w:val="0064168D"/>
    <w:rsid w:val="00643161"/>
    <w:rsid w:val="00645EF0"/>
    <w:rsid w:val="006466F5"/>
    <w:rsid w:val="006468D6"/>
    <w:rsid w:val="0065145C"/>
    <w:rsid w:val="006529A5"/>
    <w:rsid w:val="0065437C"/>
    <w:rsid w:val="00655735"/>
    <w:rsid w:val="006602A5"/>
    <w:rsid w:val="00661404"/>
    <w:rsid w:val="00661753"/>
    <w:rsid w:val="00663439"/>
    <w:rsid w:val="006646AC"/>
    <w:rsid w:val="00664D5B"/>
    <w:rsid w:val="00671D7C"/>
    <w:rsid w:val="00672112"/>
    <w:rsid w:val="00676C2E"/>
    <w:rsid w:val="00681802"/>
    <w:rsid w:val="00682225"/>
    <w:rsid w:val="006822F4"/>
    <w:rsid w:val="006823E6"/>
    <w:rsid w:val="00682B6F"/>
    <w:rsid w:val="00683417"/>
    <w:rsid w:val="00683695"/>
    <w:rsid w:val="00684893"/>
    <w:rsid w:val="006848B7"/>
    <w:rsid w:val="00684CBE"/>
    <w:rsid w:val="00686FC2"/>
    <w:rsid w:val="006908EA"/>
    <w:rsid w:val="0069152A"/>
    <w:rsid w:val="00691843"/>
    <w:rsid w:val="0069391E"/>
    <w:rsid w:val="00697281"/>
    <w:rsid w:val="006A1653"/>
    <w:rsid w:val="006A2C7F"/>
    <w:rsid w:val="006B12A6"/>
    <w:rsid w:val="006B1953"/>
    <w:rsid w:val="006B1BF1"/>
    <w:rsid w:val="006B1C95"/>
    <w:rsid w:val="006B26E3"/>
    <w:rsid w:val="006B30C7"/>
    <w:rsid w:val="006B3302"/>
    <w:rsid w:val="006B37EA"/>
    <w:rsid w:val="006B6B85"/>
    <w:rsid w:val="006B6FBE"/>
    <w:rsid w:val="006B7444"/>
    <w:rsid w:val="006C0C3F"/>
    <w:rsid w:val="006C0CF5"/>
    <w:rsid w:val="006C1288"/>
    <w:rsid w:val="006C2103"/>
    <w:rsid w:val="006C2614"/>
    <w:rsid w:val="006C32EE"/>
    <w:rsid w:val="006C3831"/>
    <w:rsid w:val="006C4F44"/>
    <w:rsid w:val="006C6A05"/>
    <w:rsid w:val="006D23FC"/>
    <w:rsid w:val="006D3CD7"/>
    <w:rsid w:val="006D5719"/>
    <w:rsid w:val="006D5803"/>
    <w:rsid w:val="006E01D1"/>
    <w:rsid w:val="006E594D"/>
    <w:rsid w:val="006E5C99"/>
    <w:rsid w:val="006E6C93"/>
    <w:rsid w:val="006F1B61"/>
    <w:rsid w:val="006F1C68"/>
    <w:rsid w:val="006F1FC1"/>
    <w:rsid w:val="006F53A9"/>
    <w:rsid w:val="006F5A35"/>
    <w:rsid w:val="006F610D"/>
    <w:rsid w:val="006F6E0E"/>
    <w:rsid w:val="006F7CF7"/>
    <w:rsid w:val="00701033"/>
    <w:rsid w:val="007024E8"/>
    <w:rsid w:val="0070371E"/>
    <w:rsid w:val="00705F8F"/>
    <w:rsid w:val="007064F6"/>
    <w:rsid w:val="007078A3"/>
    <w:rsid w:val="00711536"/>
    <w:rsid w:val="007129C0"/>
    <w:rsid w:val="00713390"/>
    <w:rsid w:val="007142B5"/>
    <w:rsid w:val="00716BFE"/>
    <w:rsid w:val="00720774"/>
    <w:rsid w:val="007234D1"/>
    <w:rsid w:val="007250C4"/>
    <w:rsid w:val="00731428"/>
    <w:rsid w:val="0073157A"/>
    <w:rsid w:val="007316FD"/>
    <w:rsid w:val="00735209"/>
    <w:rsid w:val="007431AC"/>
    <w:rsid w:val="00744E29"/>
    <w:rsid w:val="00744EEF"/>
    <w:rsid w:val="00751095"/>
    <w:rsid w:val="007517D1"/>
    <w:rsid w:val="007524CA"/>
    <w:rsid w:val="00754CAE"/>
    <w:rsid w:val="00757559"/>
    <w:rsid w:val="0076092F"/>
    <w:rsid w:val="007643A6"/>
    <w:rsid w:val="007658D5"/>
    <w:rsid w:val="00772BA8"/>
    <w:rsid w:val="00774266"/>
    <w:rsid w:val="0078028A"/>
    <w:rsid w:val="007806CB"/>
    <w:rsid w:val="00781C64"/>
    <w:rsid w:val="00783C94"/>
    <w:rsid w:val="00783E6F"/>
    <w:rsid w:val="00784671"/>
    <w:rsid w:val="007848D7"/>
    <w:rsid w:val="007848FB"/>
    <w:rsid w:val="007851D5"/>
    <w:rsid w:val="00785698"/>
    <w:rsid w:val="0078693A"/>
    <w:rsid w:val="007906E0"/>
    <w:rsid w:val="00792B39"/>
    <w:rsid w:val="00792E0C"/>
    <w:rsid w:val="00794153"/>
    <w:rsid w:val="007947DA"/>
    <w:rsid w:val="0079486A"/>
    <w:rsid w:val="00794E74"/>
    <w:rsid w:val="00794F80"/>
    <w:rsid w:val="0079666D"/>
    <w:rsid w:val="00797B4F"/>
    <w:rsid w:val="007A139A"/>
    <w:rsid w:val="007A1C9E"/>
    <w:rsid w:val="007A200C"/>
    <w:rsid w:val="007A37D2"/>
    <w:rsid w:val="007A3BB5"/>
    <w:rsid w:val="007A5926"/>
    <w:rsid w:val="007A6C53"/>
    <w:rsid w:val="007B2C77"/>
    <w:rsid w:val="007B7A6F"/>
    <w:rsid w:val="007C2C6B"/>
    <w:rsid w:val="007C7FF1"/>
    <w:rsid w:val="007D0D01"/>
    <w:rsid w:val="007D15EF"/>
    <w:rsid w:val="007D1A27"/>
    <w:rsid w:val="007D1B24"/>
    <w:rsid w:val="007D1F15"/>
    <w:rsid w:val="007D25B1"/>
    <w:rsid w:val="007D2878"/>
    <w:rsid w:val="007D2EA0"/>
    <w:rsid w:val="007D300A"/>
    <w:rsid w:val="007D661B"/>
    <w:rsid w:val="007E1016"/>
    <w:rsid w:val="007E26F8"/>
    <w:rsid w:val="007E3895"/>
    <w:rsid w:val="007E3A35"/>
    <w:rsid w:val="007E5726"/>
    <w:rsid w:val="007E7BAB"/>
    <w:rsid w:val="007E7C17"/>
    <w:rsid w:val="007E7DCE"/>
    <w:rsid w:val="007F0560"/>
    <w:rsid w:val="007F0DF4"/>
    <w:rsid w:val="007F1347"/>
    <w:rsid w:val="007F1C99"/>
    <w:rsid w:val="007F20AC"/>
    <w:rsid w:val="007F43BD"/>
    <w:rsid w:val="007F4491"/>
    <w:rsid w:val="007F53D4"/>
    <w:rsid w:val="007F6C8E"/>
    <w:rsid w:val="00800927"/>
    <w:rsid w:val="008016F1"/>
    <w:rsid w:val="00802C56"/>
    <w:rsid w:val="0080421D"/>
    <w:rsid w:val="0080447F"/>
    <w:rsid w:val="00804BD9"/>
    <w:rsid w:val="00805270"/>
    <w:rsid w:val="00806148"/>
    <w:rsid w:val="00810382"/>
    <w:rsid w:val="008111EB"/>
    <w:rsid w:val="00811205"/>
    <w:rsid w:val="00811D16"/>
    <w:rsid w:val="00812C48"/>
    <w:rsid w:val="008146F9"/>
    <w:rsid w:val="00814D55"/>
    <w:rsid w:val="008230AE"/>
    <w:rsid w:val="00824DCD"/>
    <w:rsid w:val="00825A0D"/>
    <w:rsid w:val="00827B21"/>
    <w:rsid w:val="00831D3F"/>
    <w:rsid w:val="00832986"/>
    <w:rsid w:val="00833DB5"/>
    <w:rsid w:val="00835692"/>
    <w:rsid w:val="00835941"/>
    <w:rsid w:val="008419A8"/>
    <w:rsid w:val="008436AD"/>
    <w:rsid w:val="00844569"/>
    <w:rsid w:val="00846539"/>
    <w:rsid w:val="0084766D"/>
    <w:rsid w:val="008479F1"/>
    <w:rsid w:val="00847D23"/>
    <w:rsid w:val="00850CAA"/>
    <w:rsid w:val="00853FEE"/>
    <w:rsid w:val="00854887"/>
    <w:rsid w:val="00855544"/>
    <w:rsid w:val="00856D15"/>
    <w:rsid w:val="0086020D"/>
    <w:rsid w:val="008610C9"/>
    <w:rsid w:val="00862CE3"/>
    <w:rsid w:val="00863327"/>
    <w:rsid w:val="00864CC7"/>
    <w:rsid w:val="00867B2F"/>
    <w:rsid w:val="00870F44"/>
    <w:rsid w:val="00874015"/>
    <w:rsid w:val="00876A75"/>
    <w:rsid w:val="0087786C"/>
    <w:rsid w:val="00883587"/>
    <w:rsid w:val="00884054"/>
    <w:rsid w:val="00886712"/>
    <w:rsid w:val="008868B6"/>
    <w:rsid w:val="00891715"/>
    <w:rsid w:val="00893C5F"/>
    <w:rsid w:val="00894471"/>
    <w:rsid w:val="00895089"/>
    <w:rsid w:val="008951ED"/>
    <w:rsid w:val="008962CF"/>
    <w:rsid w:val="00896BBD"/>
    <w:rsid w:val="00897CD0"/>
    <w:rsid w:val="008A1129"/>
    <w:rsid w:val="008A322D"/>
    <w:rsid w:val="008A40E6"/>
    <w:rsid w:val="008A75BE"/>
    <w:rsid w:val="008B00BD"/>
    <w:rsid w:val="008B14D0"/>
    <w:rsid w:val="008B3844"/>
    <w:rsid w:val="008B5026"/>
    <w:rsid w:val="008B5E55"/>
    <w:rsid w:val="008C0691"/>
    <w:rsid w:val="008C2BCF"/>
    <w:rsid w:val="008C32A8"/>
    <w:rsid w:val="008C439A"/>
    <w:rsid w:val="008C55A3"/>
    <w:rsid w:val="008C5EC3"/>
    <w:rsid w:val="008C7155"/>
    <w:rsid w:val="008C7944"/>
    <w:rsid w:val="008D06E0"/>
    <w:rsid w:val="008D16DA"/>
    <w:rsid w:val="008D1DFF"/>
    <w:rsid w:val="008D29A7"/>
    <w:rsid w:val="008D2F5B"/>
    <w:rsid w:val="008D7675"/>
    <w:rsid w:val="008E5741"/>
    <w:rsid w:val="008E6375"/>
    <w:rsid w:val="008E7DB4"/>
    <w:rsid w:val="008F10A6"/>
    <w:rsid w:val="008F16D2"/>
    <w:rsid w:val="008F3674"/>
    <w:rsid w:val="008F4944"/>
    <w:rsid w:val="008F4C65"/>
    <w:rsid w:val="008F7726"/>
    <w:rsid w:val="0090155A"/>
    <w:rsid w:val="0090162D"/>
    <w:rsid w:val="009020E0"/>
    <w:rsid w:val="0090233A"/>
    <w:rsid w:val="00903376"/>
    <w:rsid w:val="00903410"/>
    <w:rsid w:val="00904608"/>
    <w:rsid w:val="00905422"/>
    <w:rsid w:val="00905FFC"/>
    <w:rsid w:val="00910B4E"/>
    <w:rsid w:val="009130C0"/>
    <w:rsid w:val="00913133"/>
    <w:rsid w:val="00913283"/>
    <w:rsid w:val="00913A03"/>
    <w:rsid w:val="0091508F"/>
    <w:rsid w:val="00915791"/>
    <w:rsid w:val="00916B04"/>
    <w:rsid w:val="00917869"/>
    <w:rsid w:val="0092113F"/>
    <w:rsid w:val="00921DB9"/>
    <w:rsid w:val="00922358"/>
    <w:rsid w:val="0092403D"/>
    <w:rsid w:val="00927C53"/>
    <w:rsid w:val="00932888"/>
    <w:rsid w:val="009331C2"/>
    <w:rsid w:val="009366E0"/>
    <w:rsid w:val="009402DB"/>
    <w:rsid w:val="0094160B"/>
    <w:rsid w:val="00942C16"/>
    <w:rsid w:val="00943DF1"/>
    <w:rsid w:val="00943F2E"/>
    <w:rsid w:val="00944898"/>
    <w:rsid w:val="009449B8"/>
    <w:rsid w:val="00944DC9"/>
    <w:rsid w:val="00946E7E"/>
    <w:rsid w:val="0094795E"/>
    <w:rsid w:val="00950DFE"/>
    <w:rsid w:val="00951D52"/>
    <w:rsid w:val="00952187"/>
    <w:rsid w:val="00954916"/>
    <w:rsid w:val="009549ED"/>
    <w:rsid w:val="009600E6"/>
    <w:rsid w:val="0096015A"/>
    <w:rsid w:val="00960A6D"/>
    <w:rsid w:val="00960A7F"/>
    <w:rsid w:val="009611E0"/>
    <w:rsid w:val="009634AB"/>
    <w:rsid w:val="00964573"/>
    <w:rsid w:val="00965FEE"/>
    <w:rsid w:val="0096643B"/>
    <w:rsid w:val="009706B5"/>
    <w:rsid w:val="00970CE3"/>
    <w:rsid w:val="009718BF"/>
    <w:rsid w:val="0097203B"/>
    <w:rsid w:val="00972BDF"/>
    <w:rsid w:val="00972C68"/>
    <w:rsid w:val="0097390F"/>
    <w:rsid w:val="009745ED"/>
    <w:rsid w:val="0098182D"/>
    <w:rsid w:val="00982D3B"/>
    <w:rsid w:val="00985AD2"/>
    <w:rsid w:val="00985C4C"/>
    <w:rsid w:val="0098704B"/>
    <w:rsid w:val="00990E17"/>
    <w:rsid w:val="00992091"/>
    <w:rsid w:val="00993821"/>
    <w:rsid w:val="009940F6"/>
    <w:rsid w:val="00994280"/>
    <w:rsid w:val="00994748"/>
    <w:rsid w:val="009970B5"/>
    <w:rsid w:val="009A0D0A"/>
    <w:rsid w:val="009A0FAE"/>
    <w:rsid w:val="009A2418"/>
    <w:rsid w:val="009A2DB0"/>
    <w:rsid w:val="009A573B"/>
    <w:rsid w:val="009A64BD"/>
    <w:rsid w:val="009A686F"/>
    <w:rsid w:val="009A6ACC"/>
    <w:rsid w:val="009B1636"/>
    <w:rsid w:val="009B1E24"/>
    <w:rsid w:val="009B33A8"/>
    <w:rsid w:val="009B3487"/>
    <w:rsid w:val="009B4510"/>
    <w:rsid w:val="009B5F5A"/>
    <w:rsid w:val="009B7163"/>
    <w:rsid w:val="009B7C61"/>
    <w:rsid w:val="009B7D7D"/>
    <w:rsid w:val="009C0DC9"/>
    <w:rsid w:val="009C3793"/>
    <w:rsid w:val="009C451F"/>
    <w:rsid w:val="009C5075"/>
    <w:rsid w:val="009C5E96"/>
    <w:rsid w:val="009C726D"/>
    <w:rsid w:val="009D3697"/>
    <w:rsid w:val="009D4012"/>
    <w:rsid w:val="009D5F9E"/>
    <w:rsid w:val="009E1411"/>
    <w:rsid w:val="009E32B5"/>
    <w:rsid w:val="009E52F2"/>
    <w:rsid w:val="009E5717"/>
    <w:rsid w:val="009F002C"/>
    <w:rsid w:val="009F01C0"/>
    <w:rsid w:val="009F1278"/>
    <w:rsid w:val="009F3C1F"/>
    <w:rsid w:val="009F3FCA"/>
    <w:rsid w:val="009F5DB2"/>
    <w:rsid w:val="009F614E"/>
    <w:rsid w:val="009F762B"/>
    <w:rsid w:val="00A0172D"/>
    <w:rsid w:val="00A02047"/>
    <w:rsid w:val="00A036BE"/>
    <w:rsid w:val="00A03C4B"/>
    <w:rsid w:val="00A04C52"/>
    <w:rsid w:val="00A0717F"/>
    <w:rsid w:val="00A07627"/>
    <w:rsid w:val="00A07AE6"/>
    <w:rsid w:val="00A10BCD"/>
    <w:rsid w:val="00A11AE6"/>
    <w:rsid w:val="00A12205"/>
    <w:rsid w:val="00A13595"/>
    <w:rsid w:val="00A20CAF"/>
    <w:rsid w:val="00A21876"/>
    <w:rsid w:val="00A30164"/>
    <w:rsid w:val="00A30C44"/>
    <w:rsid w:val="00A328AE"/>
    <w:rsid w:val="00A33AC7"/>
    <w:rsid w:val="00A347D8"/>
    <w:rsid w:val="00A36D20"/>
    <w:rsid w:val="00A3755D"/>
    <w:rsid w:val="00A4131E"/>
    <w:rsid w:val="00A41694"/>
    <w:rsid w:val="00A43501"/>
    <w:rsid w:val="00A453DC"/>
    <w:rsid w:val="00A469C4"/>
    <w:rsid w:val="00A46BDA"/>
    <w:rsid w:val="00A52D37"/>
    <w:rsid w:val="00A535E3"/>
    <w:rsid w:val="00A56C0D"/>
    <w:rsid w:val="00A570A7"/>
    <w:rsid w:val="00A57A25"/>
    <w:rsid w:val="00A57E92"/>
    <w:rsid w:val="00A61900"/>
    <w:rsid w:val="00A625E2"/>
    <w:rsid w:val="00A62AA3"/>
    <w:rsid w:val="00A62B55"/>
    <w:rsid w:val="00A64C80"/>
    <w:rsid w:val="00A67EF9"/>
    <w:rsid w:val="00A72465"/>
    <w:rsid w:val="00A80C92"/>
    <w:rsid w:val="00A8107F"/>
    <w:rsid w:val="00A81BCB"/>
    <w:rsid w:val="00A82461"/>
    <w:rsid w:val="00A840FB"/>
    <w:rsid w:val="00A84571"/>
    <w:rsid w:val="00A84CDC"/>
    <w:rsid w:val="00A851D8"/>
    <w:rsid w:val="00A8580D"/>
    <w:rsid w:val="00A85E37"/>
    <w:rsid w:val="00A860FD"/>
    <w:rsid w:val="00A86416"/>
    <w:rsid w:val="00A90202"/>
    <w:rsid w:val="00A908EE"/>
    <w:rsid w:val="00A9099E"/>
    <w:rsid w:val="00A91F54"/>
    <w:rsid w:val="00A9277F"/>
    <w:rsid w:val="00A940B5"/>
    <w:rsid w:val="00A95083"/>
    <w:rsid w:val="00A953BA"/>
    <w:rsid w:val="00A95A9B"/>
    <w:rsid w:val="00A96C9F"/>
    <w:rsid w:val="00A96E60"/>
    <w:rsid w:val="00A97D27"/>
    <w:rsid w:val="00AA12D0"/>
    <w:rsid w:val="00AA1687"/>
    <w:rsid w:val="00AA285C"/>
    <w:rsid w:val="00AA4325"/>
    <w:rsid w:val="00AA50AC"/>
    <w:rsid w:val="00AA5D62"/>
    <w:rsid w:val="00AB14BD"/>
    <w:rsid w:val="00AB1D6A"/>
    <w:rsid w:val="00AB3710"/>
    <w:rsid w:val="00AB4B0F"/>
    <w:rsid w:val="00AB4FA1"/>
    <w:rsid w:val="00AB6C3B"/>
    <w:rsid w:val="00AC0214"/>
    <w:rsid w:val="00AC0516"/>
    <w:rsid w:val="00AC0D96"/>
    <w:rsid w:val="00AC2A55"/>
    <w:rsid w:val="00AC48E0"/>
    <w:rsid w:val="00AC7A73"/>
    <w:rsid w:val="00AC7C82"/>
    <w:rsid w:val="00AD1553"/>
    <w:rsid w:val="00AD25F0"/>
    <w:rsid w:val="00AD2EBD"/>
    <w:rsid w:val="00AD461A"/>
    <w:rsid w:val="00AD6EAA"/>
    <w:rsid w:val="00AE008F"/>
    <w:rsid w:val="00AE04E8"/>
    <w:rsid w:val="00AE0D01"/>
    <w:rsid w:val="00AE2056"/>
    <w:rsid w:val="00AE43EE"/>
    <w:rsid w:val="00AE463F"/>
    <w:rsid w:val="00AE74E9"/>
    <w:rsid w:val="00AF12B2"/>
    <w:rsid w:val="00AF137B"/>
    <w:rsid w:val="00AF16C8"/>
    <w:rsid w:val="00AF1B7E"/>
    <w:rsid w:val="00AF54EF"/>
    <w:rsid w:val="00AF68F3"/>
    <w:rsid w:val="00AF74DA"/>
    <w:rsid w:val="00B00C72"/>
    <w:rsid w:val="00B01443"/>
    <w:rsid w:val="00B024D6"/>
    <w:rsid w:val="00B0499A"/>
    <w:rsid w:val="00B04CF0"/>
    <w:rsid w:val="00B070A2"/>
    <w:rsid w:val="00B10E49"/>
    <w:rsid w:val="00B11E08"/>
    <w:rsid w:val="00B145FA"/>
    <w:rsid w:val="00B17BB6"/>
    <w:rsid w:val="00B2037B"/>
    <w:rsid w:val="00B22AE7"/>
    <w:rsid w:val="00B23274"/>
    <w:rsid w:val="00B23AA2"/>
    <w:rsid w:val="00B2641B"/>
    <w:rsid w:val="00B272A6"/>
    <w:rsid w:val="00B30856"/>
    <w:rsid w:val="00B316CC"/>
    <w:rsid w:val="00B328B1"/>
    <w:rsid w:val="00B32CD3"/>
    <w:rsid w:val="00B332A6"/>
    <w:rsid w:val="00B34CA9"/>
    <w:rsid w:val="00B35797"/>
    <w:rsid w:val="00B35A93"/>
    <w:rsid w:val="00B3672D"/>
    <w:rsid w:val="00B3754A"/>
    <w:rsid w:val="00B40656"/>
    <w:rsid w:val="00B40F8A"/>
    <w:rsid w:val="00B4745C"/>
    <w:rsid w:val="00B50AAA"/>
    <w:rsid w:val="00B50E49"/>
    <w:rsid w:val="00B544D9"/>
    <w:rsid w:val="00B5641B"/>
    <w:rsid w:val="00B564E0"/>
    <w:rsid w:val="00B619AC"/>
    <w:rsid w:val="00B622D7"/>
    <w:rsid w:val="00B658D4"/>
    <w:rsid w:val="00B70133"/>
    <w:rsid w:val="00B7481A"/>
    <w:rsid w:val="00B75A2C"/>
    <w:rsid w:val="00B811BB"/>
    <w:rsid w:val="00B813AC"/>
    <w:rsid w:val="00B8287F"/>
    <w:rsid w:val="00B82CE7"/>
    <w:rsid w:val="00B8376C"/>
    <w:rsid w:val="00B84260"/>
    <w:rsid w:val="00B86811"/>
    <w:rsid w:val="00B8738D"/>
    <w:rsid w:val="00B91F0B"/>
    <w:rsid w:val="00B9223B"/>
    <w:rsid w:val="00B92D47"/>
    <w:rsid w:val="00B937E8"/>
    <w:rsid w:val="00B95838"/>
    <w:rsid w:val="00B961A5"/>
    <w:rsid w:val="00BA0CA5"/>
    <w:rsid w:val="00BA1753"/>
    <w:rsid w:val="00BA18D5"/>
    <w:rsid w:val="00BA1FC4"/>
    <w:rsid w:val="00BA49CC"/>
    <w:rsid w:val="00BA4D1F"/>
    <w:rsid w:val="00BA7AD1"/>
    <w:rsid w:val="00BB0B9D"/>
    <w:rsid w:val="00BB0F34"/>
    <w:rsid w:val="00BB1CC2"/>
    <w:rsid w:val="00BB2250"/>
    <w:rsid w:val="00BB4C07"/>
    <w:rsid w:val="00BB4F63"/>
    <w:rsid w:val="00BB73B9"/>
    <w:rsid w:val="00BB744D"/>
    <w:rsid w:val="00BB7708"/>
    <w:rsid w:val="00BC0FDD"/>
    <w:rsid w:val="00BC22E0"/>
    <w:rsid w:val="00BC4AA7"/>
    <w:rsid w:val="00BC5852"/>
    <w:rsid w:val="00BC6896"/>
    <w:rsid w:val="00BD293B"/>
    <w:rsid w:val="00BD5425"/>
    <w:rsid w:val="00BD6F2F"/>
    <w:rsid w:val="00BD705F"/>
    <w:rsid w:val="00BE28ED"/>
    <w:rsid w:val="00BE55D6"/>
    <w:rsid w:val="00BE61B8"/>
    <w:rsid w:val="00BF030A"/>
    <w:rsid w:val="00BF2EA1"/>
    <w:rsid w:val="00BF543F"/>
    <w:rsid w:val="00BF6902"/>
    <w:rsid w:val="00BF7421"/>
    <w:rsid w:val="00C01E2A"/>
    <w:rsid w:val="00C03CDC"/>
    <w:rsid w:val="00C03E7D"/>
    <w:rsid w:val="00C06E2B"/>
    <w:rsid w:val="00C07650"/>
    <w:rsid w:val="00C104DD"/>
    <w:rsid w:val="00C1331F"/>
    <w:rsid w:val="00C15275"/>
    <w:rsid w:val="00C15E31"/>
    <w:rsid w:val="00C16479"/>
    <w:rsid w:val="00C2058D"/>
    <w:rsid w:val="00C25084"/>
    <w:rsid w:val="00C250CB"/>
    <w:rsid w:val="00C261C7"/>
    <w:rsid w:val="00C2768B"/>
    <w:rsid w:val="00C3163A"/>
    <w:rsid w:val="00C316A8"/>
    <w:rsid w:val="00C337F9"/>
    <w:rsid w:val="00C3746F"/>
    <w:rsid w:val="00C3768A"/>
    <w:rsid w:val="00C37D9D"/>
    <w:rsid w:val="00C4139D"/>
    <w:rsid w:val="00C45438"/>
    <w:rsid w:val="00C45DE7"/>
    <w:rsid w:val="00C5122B"/>
    <w:rsid w:val="00C538D4"/>
    <w:rsid w:val="00C562FD"/>
    <w:rsid w:val="00C56C17"/>
    <w:rsid w:val="00C572A6"/>
    <w:rsid w:val="00C61118"/>
    <w:rsid w:val="00C65944"/>
    <w:rsid w:val="00C66829"/>
    <w:rsid w:val="00C71A4B"/>
    <w:rsid w:val="00C71CD1"/>
    <w:rsid w:val="00C72345"/>
    <w:rsid w:val="00C72E54"/>
    <w:rsid w:val="00C73143"/>
    <w:rsid w:val="00C73891"/>
    <w:rsid w:val="00C749D5"/>
    <w:rsid w:val="00C76C40"/>
    <w:rsid w:val="00C77685"/>
    <w:rsid w:val="00C77815"/>
    <w:rsid w:val="00C80ED6"/>
    <w:rsid w:val="00C82D1D"/>
    <w:rsid w:val="00C85259"/>
    <w:rsid w:val="00C85378"/>
    <w:rsid w:val="00C86808"/>
    <w:rsid w:val="00C87238"/>
    <w:rsid w:val="00C90157"/>
    <w:rsid w:val="00C9297C"/>
    <w:rsid w:val="00C92C1D"/>
    <w:rsid w:val="00C93891"/>
    <w:rsid w:val="00C961E8"/>
    <w:rsid w:val="00C967A3"/>
    <w:rsid w:val="00CA1C79"/>
    <w:rsid w:val="00CA30DB"/>
    <w:rsid w:val="00CA491B"/>
    <w:rsid w:val="00CA6D58"/>
    <w:rsid w:val="00CA6FDA"/>
    <w:rsid w:val="00CA7C63"/>
    <w:rsid w:val="00CB3B6F"/>
    <w:rsid w:val="00CB3D57"/>
    <w:rsid w:val="00CB6A6B"/>
    <w:rsid w:val="00CB6F8B"/>
    <w:rsid w:val="00CC0C5F"/>
    <w:rsid w:val="00CC24B0"/>
    <w:rsid w:val="00CC2788"/>
    <w:rsid w:val="00CC2F3D"/>
    <w:rsid w:val="00CC32B8"/>
    <w:rsid w:val="00CC4D94"/>
    <w:rsid w:val="00CC5FF3"/>
    <w:rsid w:val="00CD7178"/>
    <w:rsid w:val="00CE2ADF"/>
    <w:rsid w:val="00CE33FC"/>
    <w:rsid w:val="00CE3D4F"/>
    <w:rsid w:val="00CE4B84"/>
    <w:rsid w:val="00CE74B0"/>
    <w:rsid w:val="00CF00DE"/>
    <w:rsid w:val="00CF052D"/>
    <w:rsid w:val="00CF1D7D"/>
    <w:rsid w:val="00CF3998"/>
    <w:rsid w:val="00CF45D3"/>
    <w:rsid w:val="00CF4D04"/>
    <w:rsid w:val="00CF4E1C"/>
    <w:rsid w:val="00CF6B6C"/>
    <w:rsid w:val="00CF7B6B"/>
    <w:rsid w:val="00D0001C"/>
    <w:rsid w:val="00D00804"/>
    <w:rsid w:val="00D01094"/>
    <w:rsid w:val="00D01EA5"/>
    <w:rsid w:val="00D02978"/>
    <w:rsid w:val="00D03A57"/>
    <w:rsid w:val="00D042BB"/>
    <w:rsid w:val="00D0444B"/>
    <w:rsid w:val="00D06321"/>
    <w:rsid w:val="00D0676A"/>
    <w:rsid w:val="00D06CA0"/>
    <w:rsid w:val="00D07106"/>
    <w:rsid w:val="00D07E06"/>
    <w:rsid w:val="00D1014B"/>
    <w:rsid w:val="00D108E6"/>
    <w:rsid w:val="00D1312A"/>
    <w:rsid w:val="00D13159"/>
    <w:rsid w:val="00D13814"/>
    <w:rsid w:val="00D1388F"/>
    <w:rsid w:val="00D14BA9"/>
    <w:rsid w:val="00D16498"/>
    <w:rsid w:val="00D17789"/>
    <w:rsid w:val="00D21565"/>
    <w:rsid w:val="00D2737E"/>
    <w:rsid w:val="00D274A9"/>
    <w:rsid w:val="00D30750"/>
    <w:rsid w:val="00D3189A"/>
    <w:rsid w:val="00D32644"/>
    <w:rsid w:val="00D32880"/>
    <w:rsid w:val="00D33619"/>
    <w:rsid w:val="00D36D0F"/>
    <w:rsid w:val="00D40C02"/>
    <w:rsid w:val="00D4142D"/>
    <w:rsid w:val="00D427A6"/>
    <w:rsid w:val="00D42AFE"/>
    <w:rsid w:val="00D44A9E"/>
    <w:rsid w:val="00D46910"/>
    <w:rsid w:val="00D475A2"/>
    <w:rsid w:val="00D5015D"/>
    <w:rsid w:val="00D50567"/>
    <w:rsid w:val="00D52355"/>
    <w:rsid w:val="00D52AC7"/>
    <w:rsid w:val="00D531C4"/>
    <w:rsid w:val="00D53360"/>
    <w:rsid w:val="00D54CA9"/>
    <w:rsid w:val="00D563D9"/>
    <w:rsid w:val="00D566F2"/>
    <w:rsid w:val="00D6188C"/>
    <w:rsid w:val="00D61959"/>
    <w:rsid w:val="00D62F3F"/>
    <w:rsid w:val="00D6340F"/>
    <w:rsid w:val="00D64C38"/>
    <w:rsid w:val="00D6781D"/>
    <w:rsid w:val="00D67D98"/>
    <w:rsid w:val="00D72D16"/>
    <w:rsid w:val="00D7378D"/>
    <w:rsid w:val="00D73893"/>
    <w:rsid w:val="00D7412C"/>
    <w:rsid w:val="00D75521"/>
    <w:rsid w:val="00D75B88"/>
    <w:rsid w:val="00D76B2D"/>
    <w:rsid w:val="00D8195B"/>
    <w:rsid w:val="00D83503"/>
    <w:rsid w:val="00D84724"/>
    <w:rsid w:val="00D8554E"/>
    <w:rsid w:val="00D8619F"/>
    <w:rsid w:val="00D86764"/>
    <w:rsid w:val="00D872D8"/>
    <w:rsid w:val="00D87CE9"/>
    <w:rsid w:val="00D91F4E"/>
    <w:rsid w:val="00D93A67"/>
    <w:rsid w:val="00D93F28"/>
    <w:rsid w:val="00D96FC1"/>
    <w:rsid w:val="00DA2E2B"/>
    <w:rsid w:val="00DA3CBB"/>
    <w:rsid w:val="00DA3DE4"/>
    <w:rsid w:val="00DA69DE"/>
    <w:rsid w:val="00DB5C0A"/>
    <w:rsid w:val="00DB6DAF"/>
    <w:rsid w:val="00DB72E5"/>
    <w:rsid w:val="00DC0AF1"/>
    <w:rsid w:val="00DC2393"/>
    <w:rsid w:val="00DC25DB"/>
    <w:rsid w:val="00DC588B"/>
    <w:rsid w:val="00DC64BF"/>
    <w:rsid w:val="00DD0123"/>
    <w:rsid w:val="00DD13E2"/>
    <w:rsid w:val="00DD45AF"/>
    <w:rsid w:val="00DD47A2"/>
    <w:rsid w:val="00DD4938"/>
    <w:rsid w:val="00DD6B81"/>
    <w:rsid w:val="00DD6F1D"/>
    <w:rsid w:val="00DD7977"/>
    <w:rsid w:val="00DE34FF"/>
    <w:rsid w:val="00DE44AB"/>
    <w:rsid w:val="00DE757A"/>
    <w:rsid w:val="00DF003C"/>
    <w:rsid w:val="00DF00D4"/>
    <w:rsid w:val="00DF4501"/>
    <w:rsid w:val="00DF7233"/>
    <w:rsid w:val="00DF73DC"/>
    <w:rsid w:val="00DF78AE"/>
    <w:rsid w:val="00E0171F"/>
    <w:rsid w:val="00E02AC4"/>
    <w:rsid w:val="00E033F2"/>
    <w:rsid w:val="00E0462A"/>
    <w:rsid w:val="00E07AAA"/>
    <w:rsid w:val="00E07CC2"/>
    <w:rsid w:val="00E11E2E"/>
    <w:rsid w:val="00E125CA"/>
    <w:rsid w:val="00E138CC"/>
    <w:rsid w:val="00E14AC9"/>
    <w:rsid w:val="00E14B17"/>
    <w:rsid w:val="00E14EAE"/>
    <w:rsid w:val="00E15A9B"/>
    <w:rsid w:val="00E16394"/>
    <w:rsid w:val="00E22571"/>
    <w:rsid w:val="00E25156"/>
    <w:rsid w:val="00E25242"/>
    <w:rsid w:val="00E25AAC"/>
    <w:rsid w:val="00E2730D"/>
    <w:rsid w:val="00E279B9"/>
    <w:rsid w:val="00E30CA9"/>
    <w:rsid w:val="00E31807"/>
    <w:rsid w:val="00E3365C"/>
    <w:rsid w:val="00E33AAA"/>
    <w:rsid w:val="00E33C53"/>
    <w:rsid w:val="00E33CB8"/>
    <w:rsid w:val="00E33F0E"/>
    <w:rsid w:val="00E36C8F"/>
    <w:rsid w:val="00E371EC"/>
    <w:rsid w:val="00E37EB7"/>
    <w:rsid w:val="00E404C5"/>
    <w:rsid w:val="00E40A10"/>
    <w:rsid w:val="00E41D14"/>
    <w:rsid w:val="00E42206"/>
    <w:rsid w:val="00E42DA5"/>
    <w:rsid w:val="00E461E8"/>
    <w:rsid w:val="00E46FBE"/>
    <w:rsid w:val="00E51EF9"/>
    <w:rsid w:val="00E54816"/>
    <w:rsid w:val="00E5512E"/>
    <w:rsid w:val="00E55E60"/>
    <w:rsid w:val="00E56594"/>
    <w:rsid w:val="00E578DF"/>
    <w:rsid w:val="00E57D18"/>
    <w:rsid w:val="00E605C2"/>
    <w:rsid w:val="00E6129C"/>
    <w:rsid w:val="00E61E5F"/>
    <w:rsid w:val="00E644A0"/>
    <w:rsid w:val="00E67395"/>
    <w:rsid w:val="00E72707"/>
    <w:rsid w:val="00E72AE3"/>
    <w:rsid w:val="00E72FF8"/>
    <w:rsid w:val="00E7349C"/>
    <w:rsid w:val="00E73B51"/>
    <w:rsid w:val="00E751D0"/>
    <w:rsid w:val="00E75404"/>
    <w:rsid w:val="00E75790"/>
    <w:rsid w:val="00E80180"/>
    <w:rsid w:val="00E8129E"/>
    <w:rsid w:val="00E81A2B"/>
    <w:rsid w:val="00E81E42"/>
    <w:rsid w:val="00E83011"/>
    <w:rsid w:val="00E83A01"/>
    <w:rsid w:val="00E8450A"/>
    <w:rsid w:val="00E861BA"/>
    <w:rsid w:val="00E91EBF"/>
    <w:rsid w:val="00E97676"/>
    <w:rsid w:val="00EA06BD"/>
    <w:rsid w:val="00EA1CE1"/>
    <w:rsid w:val="00EA1F89"/>
    <w:rsid w:val="00EA4C60"/>
    <w:rsid w:val="00EA4CA5"/>
    <w:rsid w:val="00EB08A0"/>
    <w:rsid w:val="00EB0E2A"/>
    <w:rsid w:val="00EB117B"/>
    <w:rsid w:val="00EB1F5C"/>
    <w:rsid w:val="00EB40D6"/>
    <w:rsid w:val="00EB5CDD"/>
    <w:rsid w:val="00EB5F75"/>
    <w:rsid w:val="00EB6391"/>
    <w:rsid w:val="00EB7852"/>
    <w:rsid w:val="00EB79CD"/>
    <w:rsid w:val="00EC060D"/>
    <w:rsid w:val="00EC1508"/>
    <w:rsid w:val="00EC2525"/>
    <w:rsid w:val="00EC4F33"/>
    <w:rsid w:val="00EC5D16"/>
    <w:rsid w:val="00ED3DE9"/>
    <w:rsid w:val="00ED4B06"/>
    <w:rsid w:val="00EE0713"/>
    <w:rsid w:val="00EE07A6"/>
    <w:rsid w:val="00EE0F2E"/>
    <w:rsid w:val="00EE2A41"/>
    <w:rsid w:val="00EE4E10"/>
    <w:rsid w:val="00EE525B"/>
    <w:rsid w:val="00EE633C"/>
    <w:rsid w:val="00EF09FB"/>
    <w:rsid w:val="00EF0CFD"/>
    <w:rsid w:val="00EF0DE2"/>
    <w:rsid w:val="00EF4DFA"/>
    <w:rsid w:val="00EF5F08"/>
    <w:rsid w:val="00EF7736"/>
    <w:rsid w:val="00F02923"/>
    <w:rsid w:val="00F0351B"/>
    <w:rsid w:val="00F04089"/>
    <w:rsid w:val="00F06275"/>
    <w:rsid w:val="00F06472"/>
    <w:rsid w:val="00F123EC"/>
    <w:rsid w:val="00F16331"/>
    <w:rsid w:val="00F16803"/>
    <w:rsid w:val="00F22566"/>
    <w:rsid w:val="00F22963"/>
    <w:rsid w:val="00F30AEF"/>
    <w:rsid w:val="00F32406"/>
    <w:rsid w:val="00F329BD"/>
    <w:rsid w:val="00F378B2"/>
    <w:rsid w:val="00F403EA"/>
    <w:rsid w:val="00F40B51"/>
    <w:rsid w:val="00F40E4D"/>
    <w:rsid w:val="00F41DE4"/>
    <w:rsid w:val="00F41F3D"/>
    <w:rsid w:val="00F42499"/>
    <w:rsid w:val="00F42753"/>
    <w:rsid w:val="00F435E3"/>
    <w:rsid w:val="00F44DC5"/>
    <w:rsid w:val="00F46CE7"/>
    <w:rsid w:val="00F471AE"/>
    <w:rsid w:val="00F510DB"/>
    <w:rsid w:val="00F52FAE"/>
    <w:rsid w:val="00F548C1"/>
    <w:rsid w:val="00F55016"/>
    <w:rsid w:val="00F604E0"/>
    <w:rsid w:val="00F6232F"/>
    <w:rsid w:val="00F648E3"/>
    <w:rsid w:val="00F6501E"/>
    <w:rsid w:val="00F654FD"/>
    <w:rsid w:val="00F70615"/>
    <w:rsid w:val="00F72722"/>
    <w:rsid w:val="00F727B0"/>
    <w:rsid w:val="00F7598B"/>
    <w:rsid w:val="00F87ADD"/>
    <w:rsid w:val="00F914FD"/>
    <w:rsid w:val="00F9164E"/>
    <w:rsid w:val="00F92D2B"/>
    <w:rsid w:val="00F952BF"/>
    <w:rsid w:val="00F95515"/>
    <w:rsid w:val="00F9574E"/>
    <w:rsid w:val="00F974AA"/>
    <w:rsid w:val="00FA2545"/>
    <w:rsid w:val="00FA7CFC"/>
    <w:rsid w:val="00FB097C"/>
    <w:rsid w:val="00FB21C2"/>
    <w:rsid w:val="00FB36B1"/>
    <w:rsid w:val="00FB4AAD"/>
    <w:rsid w:val="00FB4AD8"/>
    <w:rsid w:val="00FB4E3D"/>
    <w:rsid w:val="00FB5A22"/>
    <w:rsid w:val="00FB5B57"/>
    <w:rsid w:val="00FB5F2A"/>
    <w:rsid w:val="00FB5FB6"/>
    <w:rsid w:val="00FC1407"/>
    <w:rsid w:val="00FC22E1"/>
    <w:rsid w:val="00FC2C8C"/>
    <w:rsid w:val="00FC3549"/>
    <w:rsid w:val="00FC4F9B"/>
    <w:rsid w:val="00FC59F0"/>
    <w:rsid w:val="00FD302E"/>
    <w:rsid w:val="00FD4599"/>
    <w:rsid w:val="00FD4784"/>
    <w:rsid w:val="00FD5753"/>
    <w:rsid w:val="00FD65FE"/>
    <w:rsid w:val="00FD6FD8"/>
    <w:rsid w:val="00FE00DA"/>
    <w:rsid w:val="00FE0FAF"/>
    <w:rsid w:val="00FE35B1"/>
    <w:rsid w:val="00FE3C36"/>
    <w:rsid w:val="00FE427F"/>
    <w:rsid w:val="00FE4D97"/>
    <w:rsid w:val="00FE72EA"/>
    <w:rsid w:val="00FF2475"/>
    <w:rsid w:val="00FF3477"/>
    <w:rsid w:val="00FF4138"/>
    <w:rsid w:val="00FF6DDE"/>
    <w:rsid w:val="00FF6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F6C781"/>
  <w15:chartTrackingRefBased/>
  <w15:docId w15:val="{24768176-6479-421C-90A5-B73B8ED5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paragraph" w:customStyle="1" w:styleId="j">
    <w:name w:val="j"/>
    <w:basedOn w:val="Normal"/>
    <w:rsid w:val="006E6C93"/>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3623106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06358870">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64072963">
      <w:bodyDiv w:val="1"/>
      <w:marLeft w:val="0"/>
      <w:marRight w:val="0"/>
      <w:marTop w:val="0"/>
      <w:marBottom w:val="0"/>
      <w:divBdr>
        <w:top w:val="none" w:sz="0" w:space="0" w:color="auto"/>
        <w:left w:val="none" w:sz="0" w:space="0" w:color="auto"/>
        <w:bottom w:val="none" w:sz="0" w:space="0" w:color="auto"/>
        <w:right w:val="none" w:sz="0" w:space="0" w:color="auto"/>
      </w:divBdr>
    </w:div>
    <w:div w:id="196453455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E5D6F-41BE-4070-80AE-2E3514A3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64</Pages>
  <Words>16916</Words>
  <Characters>93042</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27</cp:revision>
  <cp:lastPrinted>2018-12-04T20:35:00Z</cp:lastPrinted>
  <dcterms:created xsi:type="dcterms:W3CDTF">2024-03-07T21:06:00Z</dcterms:created>
  <dcterms:modified xsi:type="dcterms:W3CDTF">2024-04-08T16:58:00Z</dcterms:modified>
</cp:coreProperties>
</file>