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4ECB8" w14:textId="77777777" w:rsidR="00DA0359" w:rsidRPr="00B872C6" w:rsidRDefault="000879DB">
      <w:pPr>
        <w:spacing w:before="240" w:after="240" w:line="360" w:lineRule="auto"/>
        <w:jc w:val="both"/>
        <w:rPr>
          <w:rFonts w:ascii="Palatino Linotype" w:eastAsia="Palatino Linotype" w:hAnsi="Palatino Linotype" w:cs="Palatino Linotype"/>
        </w:rPr>
      </w:pPr>
      <w:bookmarkStart w:id="0" w:name="_GoBack"/>
      <w:bookmarkEnd w:id="0"/>
      <w:r w:rsidRPr="00B872C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y uno de enero de dos mil veinticuatro. </w:t>
      </w:r>
    </w:p>
    <w:p w14:paraId="049A3A85" w14:textId="5B7F7608"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VISTO</w:t>
      </w:r>
      <w:r w:rsidRPr="00B872C6">
        <w:rPr>
          <w:rFonts w:ascii="Palatino Linotype" w:eastAsia="Palatino Linotype" w:hAnsi="Palatino Linotype" w:cs="Palatino Linotype"/>
        </w:rPr>
        <w:t xml:space="preserve"> el expediente formado con motivo del recurso de revisión </w:t>
      </w:r>
      <w:r w:rsidRPr="00B872C6">
        <w:rPr>
          <w:rFonts w:ascii="Palatino Linotype" w:eastAsia="Palatino Linotype" w:hAnsi="Palatino Linotype" w:cs="Palatino Linotype"/>
          <w:b/>
        </w:rPr>
        <w:t>05209/INFOEM/IP/RR/2023</w:t>
      </w:r>
      <w:r w:rsidRPr="00B872C6">
        <w:rPr>
          <w:rFonts w:ascii="Palatino Linotype" w:eastAsia="Palatino Linotype" w:hAnsi="Palatino Linotype" w:cs="Palatino Linotype"/>
        </w:rPr>
        <w:t>, interpuesto por</w:t>
      </w:r>
      <w:r w:rsidRPr="00B872C6">
        <w:rPr>
          <w:rFonts w:ascii="Palatino Linotype" w:eastAsia="Palatino Linotype" w:hAnsi="Palatino Linotype" w:cs="Palatino Linotype"/>
          <w:b/>
        </w:rPr>
        <w:t xml:space="preserve"> un particular que no proporcionó su nombre</w:t>
      </w:r>
      <w:r w:rsidRPr="00B872C6">
        <w:rPr>
          <w:rFonts w:ascii="Palatino Linotype" w:eastAsia="Palatino Linotype" w:hAnsi="Palatino Linotype" w:cs="Palatino Linotype"/>
        </w:rPr>
        <w:t xml:space="preserve">, en lo sucesivo 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en contra de la respuesta a su solicitud de información con número de folio</w:t>
      </w:r>
      <w:r w:rsidRPr="00B872C6">
        <w:rPr>
          <w:rFonts w:ascii="Verdana" w:eastAsia="Verdana" w:hAnsi="Verdana" w:cs="Verdana"/>
          <w:b/>
        </w:rPr>
        <w:t> </w:t>
      </w:r>
      <w:r w:rsidRPr="00B872C6">
        <w:rPr>
          <w:rFonts w:ascii="Palatino Linotype" w:eastAsia="Palatino Linotype" w:hAnsi="Palatino Linotype" w:cs="Palatino Linotype"/>
          <w:b/>
        </w:rPr>
        <w:t xml:space="preserve">01539/ZINACANT/IP/2023, </w:t>
      </w:r>
      <w:r w:rsidRPr="00B872C6">
        <w:rPr>
          <w:rFonts w:ascii="Palatino Linotype" w:eastAsia="Palatino Linotype" w:hAnsi="Palatino Linotype" w:cs="Palatino Linotype"/>
        </w:rPr>
        <w:t xml:space="preserve">por parte del </w:t>
      </w:r>
      <w:r w:rsidRPr="00B872C6">
        <w:rPr>
          <w:rFonts w:ascii="Palatino Linotype" w:eastAsia="Palatino Linotype" w:hAnsi="Palatino Linotype" w:cs="Palatino Linotype"/>
          <w:b/>
        </w:rPr>
        <w:t xml:space="preserve">Ayuntamiento de Zinacantepec, </w:t>
      </w:r>
      <w:r w:rsidRPr="00B872C6">
        <w:rPr>
          <w:rFonts w:ascii="Palatino Linotype" w:eastAsia="Palatino Linotype" w:hAnsi="Palatino Linotype" w:cs="Palatino Linotype"/>
        </w:rPr>
        <w:t xml:space="preserve">en lo sucesivo el </w:t>
      </w:r>
      <w:r w:rsidRPr="00B872C6">
        <w:rPr>
          <w:rFonts w:ascii="Palatino Linotype" w:eastAsia="Palatino Linotype" w:hAnsi="Palatino Linotype" w:cs="Palatino Linotype"/>
          <w:b/>
        </w:rPr>
        <w:t xml:space="preserve">SUJETO OBLIGADO, </w:t>
      </w:r>
      <w:r w:rsidRPr="00B872C6">
        <w:rPr>
          <w:rFonts w:ascii="Palatino Linotype" w:eastAsia="Palatino Linotype" w:hAnsi="Palatino Linotype" w:cs="Palatino Linotype"/>
        </w:rPr>
        <w:t xml:space="preserve">se procede a dictar la presente resolución con base en los siguientes: </w:t>
      </w:r>
    </w:p>
    <w:p w14:paraId="2BC3B478" w14:textId="77777777" w:rsidR="00DA0359" w:rsidRPr="00B872C6" w:rsidRDefault="000879DB">
      <w:pPr>
        <w:spacing w:before="240" w:after="240" w:line="360" w:lineRule="auto"/>
        <w:jc w:val="center"/>
        <w:rPr>
          <w:rFonts w:ascii="Palatino Linotype" w:eastAsia="Palatino Linotype" w:hAnsi="Palatino Linotype" w:cs="Palatino Linotype"/>
          <w:b/>
        </w:rPr>
      </w:pPr>
      <w:r w:rsidRPr="00B872C6">
        <w:rPr>
          <w:rFonts w:ascii="Palatino Linotype" w:eastAsia="Palatino Linotype" w:hAnsi="Palatino Linotype" w:cs="Palatino Linotype"/>
          <w:b/>
        </w:rPr>
        <w:t>I. A N T E C E D E N T E S</w:t>
      </w:r>
    </w:p>
    <w:p w14:paraId="0DEF2342"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1. Solicitud de acceso a la información.</w:t>
      </w:r>
      <w:r w:rsidRPr="00B872C6">
        <w:rPr>
          <w:rFonts w:ascii="Palatino Linotype" w:eastAsia="Palatino Linotype" w:hAnsi="Palatino Linotype" w:cs="Palatino Linotype"/>
        </w:rPr>
        <w:t xml:space="preserve"> Con fecha </w:t>
      </w:r>
      <w:r w:rsidRPr="00B872C6">
        <w:rPr>
          <w:rFonts w:ascii="Palatino Linotype" w:eastAsia="Palatino Linotype" w:hAnsi="Palatino Linotype" w:cs="Palatino Linotype"/>
          <w:b/>
        </w:rPr>
        <w:t>veinticuatro de agosto del dos mil veintitrés,</w:t>
      </w:r>
      <w:r w:rsidRPr="00B872C6">
        <w:rPr>
          <w:rFonts w:ascii="Palatino Linotype" w:eastAsia="Palatino Linotype" w:hAnsi="Palatino Linotype" w:cs="Palatino Linotype"/>
        </w:rPr>
        <w:t xml:space="preserve"> la parte </w:t>
      </w:r>
      <w:r w:rsidRPr="00B872C6">
        <w:rPr>
          <w:rFonts w:ascii="Palatino Linotype" w:eastAsia="Palatino Linotype" w:hAnsi="Palatino Linotype" w:cs="Palatino Linotype"/>
          <w:b/>
        </w:rPr>
        <w:t xml:space="preserve">RECURRENTE </w:t>
      </w:r>
      <w:r w:rsidRPr="00B872C6">
        <w:rPr>
          <w:rFonts w:ascii="Palatino Linotype" w:eastAsia="Palatino Linotype" w:hAnsi="Palatino Linotype" w:cs="Palatino Linotype"/>
        </w:rPr>
        <w:t xml:space="preserve">presentó, a través del Sistema de Acceso a la Información Mexiquense, en lo subsecuente el </w:t>
      </w:r>
      <w:r w:rsidRPr="00B872C6">
        <w:rPr>
          <w:rFonts w:ascii="Palatino Linotype" w:eastAsia="Palatino Linotype" w:hAnsi="Palatino Linotype" w:cs="Palatino Linotype"/>
          <w:b/>
        </w:rPr>
        <w:t>SAIMEX,</w:t>
      </w:r>
      <w:r w:rsidRPr="00B872C6">
        <w:rPr>
          <w:rFonts w:ascii="Palatino Linotype" w:eastAsia="Palatino Linotype" w:hAnsi="Palatino Linotype" w:cs="Palatino Linotype"/>
        </w:rPr>
        <w:t xml:space="preserve"> ante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la solicitud de acceso a la información pública, a la que se le asignó el número</w:t>
      </w:r>
      <w:r w:rsidRPr="00B872C6">
        <w:rPr>
          <w:rFonts w:ascii="Palatino Linotype" w:eastAsia="Palatino Linotype" w:hAnsi="Palatino Linotype" w:cs="Palatino Linotype"/>
          <w:b/>
        </w:rPr>
        <w:t xml:space="preserve"> 01539/ZINACANT/IP/2023, </w:t>
      </w:r>
      <w:r w:rsidRPr="00B872C6">
        <w:rPr>
          <w:rFonts w:ascii="Palatino Linotype" w:eastAsia="Palatino Linotype" w:hAnsi="Palatino Linotype" w:cs="Palatino Linotype"/>
        </w:rPr>
        <w:t xml:space="preserve">mediante la cual requirió la información siguiente: </w:t>
      </w:r>
    </w:p>
    <w:p w14:paraId="2A284F47" w14:textId="77777777" w:rsidR="00DA0359" w:rsidRPr="00B872C6" w:rsidRDefault="000879DB">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B872C6">
        <w:rPr>
          <w:rFonts w:ascii="Palatino Linotype" w:eastAsia="Palatino Linotype" w:hAnsi="Palatino Linotype" w:cs="Palatino Linotype"/>
          <w:i/>
          <w:sz w:val="22"/>
          <w:szCs w:val="22"/>
        </w:rPr>
        <w:t>“SOLICITO LA CANCELACIÓN DE LA TRAKALOSA DE MONTERREY” (Sic)</w:t>
      </w:r>
    </w:p>
    <w:p w14:paraId="67762863" w14:textId="77777777" w:rsidR="00DA0359" w:rsidRPr="00B872C6" w:rsidRDefault="00DA0359">
      <w:pPr>
        <w:spacing w:before="240"/>
        <w:ind w:left="851" w:right="902"/>
        <w:jc w:val="both"/>
        <w:rPr>
          <w:rFonts w:ascii="Palatino Linotype" w:eastAsia="Palatino Linotype" w:hAnsi="Palatino Linotype" w:cs="Palatino Linotype"/>
          <w:i/>
          <w:sz w:val="22"/>
          <w:szCs w:val="22"/>
        </w:rPr>
      </w:pPr>
    </w:p>
    <w:p w14:paraId="3AF856C0"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Modalidad de Entrega:</w:t>
      </w:r>
      <w:r w:rsidRPr="00B872C6">
        <w:rPr>
          <w:rFonts w:ascii="Palatino Linotype" w:eastAsia="Palatino Linotype" w:hAnsi="Palatino Linotype" w:cs="Palatino Linotype"/>
        </w:rPr>
        <w:t xml:space="preserve"> A través de SAIMEX.</w:t>
      </w:r>
    </w:p>
    <w:p w14:paraId="6424D618" w14:textId="77777777" w:rsidR="00DA0359" w:rsidRPr="00B872C6" w:rsidRDefault="00DA0359">
      <w:pPr>
        <w:spacing w:line="360" w:lineRule="auto"/>
        <w:jc w:val="both"/>
        <w:rPr>
          <w:rFonts w:ascii="Palatino Linotype" w:eastAsia="Palatino Linotype" w:hAnsi="Palatino Linotype" w:cs="Palatino Linotype"/>
        </w:rPr>
      </w:pPr>
    </w:p>
    <w:p w14:paraId="74364875"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lastRenderedPageBreak/>
        <w:t xml:space="preserve">2. Respuesta. </w:t>
      </w:r>
      <w:r w:rsidRPr="00B872C6">
        <w:rPr>
          <w:rFonts w:ascii="Palatino Linotype" w:eastAsia="Palatino Linotype" w:hAnsi="Palatino Linotype" w:cs="Palatino Linotype"/>
        </w:rPr>
        <w:t xml:space="preserve">Con fecha </w:t>
      </w:r>
      <w:r w:rsidRPr="00B872C6">
        <w:rPr>
          <w:rFonts w:ascii="Palatino Linotype" w:eastAsia="Palatino Linotype" w:hAnsi="Palatino Linotype" w:cs="Palatino Linotype"/>
          <w:b/>
        </w:rPr>
        <w:t>primero de septiembre de dos mil veintitrés</w:t>
      </w:r>
      <w:r w:rsidRPr="00B872C6">
        <w:rPr>
          <w:rFonts w:ascii="Palatino Linotype" w:eastAsia="Palatino Linotype" w:hAnsi="Palatino Linotype" w:cs="Palatino Linotype"/>
        </w:rPr>
        <w:t xml:space="preserve">, el </w:t>
      </w:r>
      <w:r w:rsidRPr="00B872C6">
        <w:rPr>
          <w:rFonts w:ascii="Palatino Linotype" w:eastAsia="Palatino Linotype" w:hAnsi="Palatino Linotype" w:cs="Palatino Linotype"/>
          <w:b/>
        </w:rPr>
        <w:t xml:space="preserve">SUJETO OBLIGADO </w:t>
      </w:r>
      <w:r w:rsidRPr="00B872C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186A65D" w14:textId="77777777" w:rsidR="00DA0359" w:rsidRPr="00B872C6" w:rsidRDefault="000879DB">
      <w:pPr>
        <w:spacing w:line="360" w:lineRule="auto"/>
        <w:jc w:val="both"/>
        <w:rPr>
          <w:rFonts w:ascii="Palatino Linotype" w:eastAsia="Palatino Linotype" w:hAnsi="Palatino Linotype" w:cs="Palatino Linotype"/>
          <w:b/>
        </w:rPr>
      </w:pPr>
      <w:r w:rsidRPr="00B872C6">
        <w:rPr>
          <w:rFonts w:ascii="Palatino Linotype" w:eastAsia="Palatino Linotype" w:hAnsi="Palatino Linotype" w:cs="Palatino Linotype"/>
        </w:rPr>
        <w:t xml:space="preserve"> </w:t>
      </w:r>
    </w:p>
    <w:p w14:paraId="05A9335A" w14:textId="77777777" w:rsidR="00DA0359" w:rsidRPr="00B872C6" w:rsidRDefault="000879DB">
      <w:pPr>
        <w:ind w:left="851" w:right="902"/>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01539/ZINACANT/IP/2023, recibida a través del Sistema SAIMEX, en donde se solicita textualmente lo siguiente: “SOLICITO LA CANCELACIÓN DE LA TRAKALOSA DE MONTERREY.” (</w:t>
      </w:r>
      <w:proofErr w:type="gramStart"/>
      <w:r w:rsidRPr="00B872C6">
        <w:rPr>
          <w:rFonts w:ascii="Palatino Linotype" w:eastAsia="Palatino Linotype" w:hAnsi="Palatino Linotype" w:cs="Palatino Linotype"/>
          <w:i/>
          <w:sz w:val="22"/>
          <w:szCs w:val="22"/>
        </w:rPr>
        <w:t>sic</w:t>
      </w:r>
      <w:proofErr w:type="gramEnd"/>
      <w:r w:rsidRPr="00B872C6">
        <w:rPr>
          <w:rFonts w:ascii="Palatino Linotype" w:eastAsia="Palatino Linotype" w:hAnsi="Palatino Linotype" w:cs="Palatino Linotype"/>
          <w:i/>
          <w:sz w:val="22"/>
          <w:szCs w:val="22"/>
        </w:rPr>
        <w:t>). En apego a lo establecido su solicitud fue analizada y turnada al área poseedora de la información, en este caso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14:paraId="4723B6F2"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Cabe señalar que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fue omiso en adjuntar la respuesta de la Dirección de Administración, que menciona. </w:t>
      </w:r>
    </w:p>
    <w:p w14:paraId="402E450B"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3. Interposición del recurso de revisión. </w:t>
      </w:r>
      <w:r w:rsidRPr="00B872C6">
        <w:rPr>
          <w:rFonts w:ascii="Palatino Linotype" w:eastAsia="Palatino Linotype" w:hAnsi="Palatino Linotype" w:cs="Palatino Linotype"/>
        </w:rPr>
        <w:t xml:space="preserve">Inconforme con los términos de la respuesta emitida por parte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el </w:t>
      </w:r>
      <w:r w:rsidRPr="00B872C6">
        <w:rPr>
          <w:rFonts w:ascii="Palatino Linotype" w:eastAsia="Palatino Linotype" w:hAnsi="Palatino Linotype" w:cs="Palatino Linotype"/>
          <w:b/>
        </w:rPr>
        <w:t xml:space="preserve">primero de septiembre </w:t>
      </w:r>
      <w:r w:rsidRPr="00B872C6">
        <w:rPr>
          <w:rFonts w:ascii="Palatino Linotype" w:eastAsia="Palatino Linotype" w:hAnsi="Palatino Linotype" w:cs="Palatino Linotype"/>
          <w:b/>
        </w:rPr>
        <w:lastRenderedPageBreak/>
        <w:t>del dos mil veintitrés,</w:t>
      </w:r>
      <w:r w:rsidRPr="00B872C6">
        <w:rPr>
          <w:rFonts w:ascii="Palatino Linotype" w:eastAsia="Palatino Linotype" w:hAnsi="Palatino Linotype" w:cs="Palatino Linotype"/>
        </w:rPr>
        <w:t xml:space="preserve"> la parte recurrente interpuso el recurso de revisión a través de </w:t>
      </w:r>
      <w:r w:rsidRPr="00B872C6">
        <w:rPr>
          <w:rFonts w:ascii="Palatino Linotype" w:eastAsia="Palatino Linotype" w:hAnsi="Palatino Linotype" w:cs="Palatino Linotype"/>
          <w:b/>
        </w:rPr>
        <w:t xml:space="preserve">SAIMEX, </w:t>
      </w:r>
      <w:r w:rsidRPr="00B872C6">
        <w:rPr>
          <w:rFonts w:ascii="Palatino Linotype" w:eastAsia="Palatino Linotype" w:hAnsi="Palatino Linotype" w:cs="Palatino Linotype"/>
        </w:rPr>
        <w:t>en donde se manifestó de la siguiente manera:</w:t>
      </w:r>
    </w:p>
    <w:p w14:paraId="4A1B9CC0" w14:textId="77777777" w:rsidR="00DA0359" w:rsidRPr="00B872C6" w:rsidRDefault="000879DB">
      <w:pPr>
        <w:tabs>
          <w:tab w:val="left" w:pos="2745"/>
        </w:tabs>
        <w:spacing w:before="240" w:after="240" w:line="360" w:lineRule="auto"/>
        <w:jc w:val="both"/>
        <w:rPr>
          <w:rFonts w:ascii="Palatino Linotype" w:eastAsia="Palatino Linotype" w:hAnsi="Palatino Linotype" w:cs="Palatino Linotype"/>
          <w:b/>
        </w:rPr>
      </w:pPr>
      <w:r w:rsidRPr="00B872C6">
        <w:rPr>
          <w:rFonts w:ascii="Palatino Linotype" w:eastAsia="Palatino Linotype" w:hAnsi="Palatino Linotype" w:cs="Palatino Linotype"/>
          <w:b/>
        </w:rPr>
        <w:t xml:space="preserve">Acto impugnado: </w:t>
      </w:r>
      <w:r w:rsidRPr="00B872C6">
        <w:rPr>
          <w:rFonts w:ascii="Palatino Linotype" w:eastAsia="Palatino Linotype" w:hAnsi="Palatino Linotype" w:cs="Palatino Linotype"/>
          <w:b/>
        </w:rPr>
        <w:tab/>
      </w:r>
    </w:p>
    <w:p w14:paraId="20593EDA" w14:textId="77777777" w:rsidR="00DA0359" w:rsidRPr="00B872C6" w:rsidRDefault="000879DB">
      <w:pPr>
        <w:ind w:left="851" w:right="902"/>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“NO ENTREGA LA INFORMACION</w:t>
      </w:r>
      <w:proofErr w:type="gramStart"/>
      <w:r w:rsidRPr="00B872C6">
        <w:rPr>
          <w:rFonts w:ascii="Palatino Linotype" w:eastAsia="Palatino Linotype" w:hAnsi="Palatino Linotype" w:cs="Palatino Linotype"/>
          <w:i/>
          <w:sz w:val="22"/>
          <w:szCs w:val="22"/>
        </w:rPr>
        <w:t>”(</w:t>
      </w:r>
      <w:proofErr w:type="gramEnd"/>
      <w:r w:rsidRPr="00B872C6">
        <w:rPr>
          <w:rFonts w:ascii="Palatino Linotype" w:eastAsia="Palatino Linotype" w:hAnsi="Palatino Linotype" w:cs="Palatino Linotype"/>
          <w:i/>
          <w:sz w:val="22"/>
          <w:szCs w:val="22"/>
        </w:rPr>
        <w:t>Sic)</w:t>
      </w:r>
    </w:p>
    <w:p w14:paraId="1ACD0784" w14:textId="77777777" w:rsidR="00DA0359" w:rsidRPr="00B872C6" w:rsidRDefault="00DA0359">
      <w:pPr>
        <w:ind w:left="851" w:right="902"/>
        <w:jc w:val="both"/>
        <w:rPr>
          <w:rFonts w:ascii="Palatino Linotype" w:eastAsia="Palatino Linotype" w:hAnsi="Palatino Linotype" w:cs="Palatino Linotype"/>
          <w:i/>
          <w:sz w:val="22"/>
          <w:szCs w:val="22"/>
        </w:rPr>
      </w:pPr>
    </w:p>
    <w:p w14:paraId="46A61005"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Y Razones o motivos de inconformidad</w:t>
      </w:r>
      <w:r w:rsidRPr="00B872C6">
        <w:rPr>
          <w:rFonts w:ascii="Palatino Linotype" w:eastAsia="Palatino Linotype" w:hAnsi="Palatino Linotype" w:cs="Palatino Linotype"/>
        </w:rPr>
        <w:t>:</w:t>
      </w:r>
    </w:p>
    <w:p w14:paraId="6BC16B14" w14:textId="77777777" w:rsidR="00DA0359" w:rsidRPr="00B872C6" w:rsidRDefault="000879DB">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B872C6">
        <w:rPr>
          <w:rFonts w:ascii="Palatino Linotype" w:eastAsia="Palatino Linotype" w:hAnsi="Palatino Linotype" w:cs="Palatino Linotype"/>
          <w:i/>
          <w:sz w:val="22"/>
          <w:szCs w:val="22"/>
        </w:rPr>
        <w:t xml:space="preserve"> “NO HAY NADA</w:t>
      </w:r>
      <w:proofErr w:type="gramStart"/>
      <w:r w:rsidRPr="00B872C6">
        <w:rPr>
          <w:rFonts w:ascii="Palatino Linotype" w:eastAsia="Palatino Linotype" w:hAnsi="Palatino Linotype" w:cs="Palatino Linotype"/>
          <w:i/>
          <w:sz w:val="22"/>
          <w:szCs w:val="22"/>
        </w:rPr>
        <w:t>”(</w:t>
      </w:r>
      <w:proofErr w:type="gramEnd"/>
      <w:r w:rsidRPr="00B872C6">
        <w:rPr>
          <w:rFonts w:ascii="Palatino Linotype" w:eastAsia="Palatino Linotype" w:hAnsi="Palatino Linotype" w:cs="Palatino Linotype"/>
          <w:i/>
          <w:sz w:val="22"/>
          <w:szCs w:val="22"/>
        </w:rPr>
        <w:t>Sic)</w:t>
      </w:r>
    </w:p>
    <w:p w14:paraId="7635C13E" w14:textId="77777777" w:rsidR="00DA0359" w:rsidRPr="00B872C6" w:rsidRDefault="00DA0359">
      <w:pPr>
        <w:ind w:left="851" w:right="902"/>
        <w:jc w:val="both"/>
        <w:rPr>
          <w:rFonts w:ascii="Palatino Linotype" w:eastAsia="Palatino Linotype" w:hAnsi="Palatino Linotype" w:cs="Palatino Linotype"/>
          <w:i/>
          <w:sz w:val="22"/>
          <w:szCs w:val="22"/>
        </w:rPr>
      </w:pPr>
    </w:p>
    <w:p w14:paraId="074365C8" w14:textId="77777777" w:rsidR="00DA0359" w:rsidRPr="00B872C6" w:rsidRDefault="000879DB">
      <w:pPr>
        <w:spacing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4. Turno. </w:t>
      </w:r>
      <w:r w:rsidRPr="00B872C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872C6">
        <w:rPr>
          <w:rFonts w:ascii="Palatino Linotype" w:eastAsia="Palatino Linotype" w:hAnsi="Palatino Linotype" w:cs="Palatino Linotype"/>
          <w:b/>
        </w:rPr>
        <w:t xml:space="preserve">Guadalupe Ramírez Peña, </w:t>
      </w:r>
      <w:r w:rsidRPr="00B872C6">
        <w:rPr>
          <w:rFonts w:ascii="Palatino Linotype" w:eastAsia="Palatino Linotype" w:hAnsi="Palatino Linotype" w:cs="Palatino Linotype"/>
        </w:rPr>
        <w:t xml:space="preserve">a efecto de que analizara sobre su admisión o su </w:t>
      </w:r>
      <w:proofErr w:type="spellStart"/>
      <w:r w:rsidRPr="00B872C6">
        <w:rPr>
          <w:rFonts w:ascii="Palatino Linotype" w:eastAsia="Palatino Linotype" w:hAnsi="Palatino Linotype" w:cs="Palatino Linotype"/>
        </w:rPr>
        <w:t>desechamiento</w:t>
      </w:r>
      <w:proofErr w:type="spellEnd"/>
      <w:r w:rsidRPr="00B872C6">
        <w:rPr>
          <w:rFonts w:ascii="Palatino Linotype" w:eastAsia="Palatino Linotype" w:hAnsi="Palatino Linotype" w:cs="Palatino Linotype"/>
        </w:rPr>
        <w:t>.</w:t>
      </w:r>
    </w:p>
    <w:p w14:paraId="3FA45FAE" w14:textId="77777777" w:rsidR="00DA0359" w:rsidRPr="00B872C6" w:rsidRDefault="00DA0359">
      <w:pPr>
        <w:spacing w:line="360" w:lineRule="auto"/>
        <w:ind w:right="51"/>
        <w:jc w:val="both"/>
        <w:rPr>
          <w:rFonts w:ascii="Palatino Linotype" w:eastAsia="Palatino Linotype" w:hAnsi="Palatino Linotype" w:cs="Palatino Linotype"/>
        </w:rPr>
      </w:pPr>
    </w:p>
    <w:p w14:paraId="1FF76EA1" w14:textId="77777777" w:rsidR="00DA0359" w:rsidRPr="00B872C6" w:rsidRDefault="000879DB">
      <w:pPr>
        <w:spacing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5. Admisión del Recurso de revisión.</w:t>
      </w:r>
      <w:r w:rsidRPr="00B872C6">
        <w:rPr>
          <w:rFonts w:ascii="Palatino Linotype" w:eastAsia="Palatino Linotype" w:hAnsi="Palatino Linotype" w:cs="Palatino Linotype"/>
        </w:rPr>
        <w:t xml:space="preserve"> Con fecha</w:t>
      </w:r>
      <w:r w:rsidRPr="00B872C6">
        <w:rPr>
          <w:rFonts w:ascii="Palatino Linotype" w:eastAsia="Palatino Linotype" w:hAnsi="Palatino Linotype" w:cs="Palatino Linotype"/>
          <w:b/>
        </w:rPr>
        <w:t xml:space="preserve"> seis de septiembre de dos mil veintitrés, </w:t>
      </w:r>
      <w:r w:rsidRPr="00B872C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872C6">
        <w:rPr>
          <w:rFonts w:ascii="Palatino Linotype" w:eastAsia="Palatino Linotype" w:hAnsi="Palatino Linotype" w:cs="Palatino Linotype"/>
          <w:b/>
        </w:rPr>
        <w:t xml:space="preserve">SUJETO OBLIGADO </w:t>
      </w:r>
      <w:r w:rsidRPr="00B872C6">
        <w:rPr>
          <w:rFonts w:ascii="Palatino Linotype" w:eastAsia="Palatino Linotype" w:hAnsi="Palatino Linotype" w:cs="Palatino Linotype"/>
        </w:rPr>
        <w:t>presentara su informe justificado.</w:t>
      </w:r>
    </w:p>
    <w:p w14:paraId="725BD6D9" w14:textId="77777777" w:rsidR="00DA0359" w:rsidRPr="00B872C6" w:rsidRDefault="000879DB">
      <w:pPr>
        <w:spacing w:before="240" w:after="240" w:line="360" w:lineRule="auto"/>
        <w:jc w:val="both"/>
      </w:pPr>
      <w:r w:rsidRPr="00B872C6">
        <w:rPr>
          <w:rFonts w:ascii="Palatino Linotype" w:eastAsia="Palatino Linotype" w:hAnsi="Palatino Linotype" w:cs="Palatino Linotype"/>
          <w:b/>
        </w:rPr>
        <w:t>6. Manifestaciones</w:t>
      </w:r>
      <w:r w:rsidRPr="00B872C6">
        <w:rPr>
          <w:rFonts w:ascii="Palatino Linotype" w:eastAsia="Palatino Linotype" w:hAnsi="Palatino Linotype" w:cs="Palatino Linotype"/>
        </w:rPr>
        <w:t xml:space="preserve">. De las constancias que obran en el expediente electrónico del SAIMEX se desprende que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no rindió su informe justificado, </w:t>
      </w:r>
      <w:r w:rsidRPr="00B872C6">
        <w:rPr>
          <w:rFonts w:ascii="Palatino Linotype" w:eastAsia="Palatino Linotype" w:hAnsi="Palatino Linotype" w:cs="Palatino Linotype"/>
        </w:rPr>
        <w:lastRenderedPageBreak/>
        <w:t>del mismo modo la parte</w:t>
      </w:r>
      <w:r w:rsidRPr="00B872C6">
        <w:rPr>
          <w:rFonts w:ascii="Palatino Linotype" w:eastAsia="Palatino Linotype" w:hAnsi="Palatino Linotype" w:cs="Palatino Linotype"/>
          <w:b/>
        </w:rPr>
        <w:t xml:space="preserve"> RECURRENTE</w:t>
      </w:r>
      <w:r w:rsidRPr="00B872C6">
        <w:rPr>
          <w:rFonts w:ascii="Palatino Linotype" w:eastAsia="Palatino Linotype" w:hAnsi="Palatino Linotype" w:cs="Palatino Linotype"/>
        </w:rPr>
        <w:t xml:space="preserve"> omitió realizar manifestaciones, como se observa a continuación:</w:t>
      </w:r>
    </w:p>
    <w:p w14:paraId="484E4428" w14:textId="77777777" w:rsidR="00DA0359" w:rsidRPr="00B872C6" w:rsidRDefault="000879DB">
      <w:pPr>
        <w:spacing w:before="240" w:after="240" w:line="360" w:lineRule="auto"/>
        <w:jc w:val="both"/>
      </w:pPr>
      <w:r w:rsidRPr="00B872C6">
        <w:rPr>
          <w:noProof/>
          <w:lang w:val="es-MX"/>
        </w:rPr>
        <w:drawing>
          <wp:inline distT="0" distB="0" distL="0" distR="0" wp14:anchorId="06C7E2B4" wp14:editId="3D50BA21">
            <wp:extent cx="5612130" cy="1458595"/>
            <wp:effectExtent l="0" t="0" r="0" b="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458595"/>
                    </a:xfrm>
                    <a:prstGeom prst="rect">
                      <a:avLst/>
                    </a:prstGeom>
                    <a:ln/>
                  </pic:spPr>
                </pic:pic>
              </a:graphicData>
            </a:graphic>
          </wp:inline>
        </w:drawing>
      </w:r>
    </w:p>
    <w:p w14:paraId="7D99A026" w14:textId="77777777" w:rsidR="00DA0359" w:rsidRPr="00B872C6" w:rsidRDefault="000879DB">
      <w:pPr>
        <w:widowControl w:val="0"/>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8</w:t>
      </w:r>
      <w:r w:rsidRPr="00B872C6">
        <w:rPr>
          <w:rFonts w:ascii="Palatino Linotype" w:eastAsia="Palatino Linotype" w:hAnsi="Palatino Linotype" w:cs="Palatino Linotype"/>
        </w:rPr>
        <w:t xml:space="preserve">. </w:t>
      </w:r>
      <w:r w:rsidRPr="00B872C6">
        <w:rPr>
          <w:rFonts w:ascii="Palatino Linotype" w:eastAsia="Palatino Linotype" w:hAnsi="Palatino Linotype" w:cs="Palatino Linotype"/>
          <w:b/>
        </w:rPr>
        <w:t>Ampliación del plazo.</w:t>
      </w:r>
      <w:r w:rsidRPr="00B872C6">
        <w:rPr>
          <w:rFonts w:ascii="Palatino Linotype" w:eastAsia="Palatino Linotype" w:hAnsi="Palatino Linotype" w:cs="Palatino Linotype"/>
        </w:rPr>
        <w:t xml:space="preserve"> El veinticuatro de enero del dos mil veinticuatro, con fundamento en el artículo 181, párrafo tercero de la Ley de Transparencia y Acceso a la Información Pública del Estado de México y Municipios, se acordó la ampliación del plazo para su resolución.</w:t>
      </w:r>
    </w:p>
    <w:p w14:paraId="09A1C80C" w14:textId="77777777" w:rsidR="00DA0359" w:rsidRPr="00B872C6" w:rsidRDefault="00DA0359">
      <w:pPr>
        <w:widowControl w:val="0"/>
        <w:spacing w:line="360" w:lineRule="auto"/>
        <w:jc w:val="both"/>
        <w:rPr>
          <w:rFonts w:ascii="Palatino Linotype" w:eastAsia="Palatino Linotype" w:hAnsi="Palatino Linotype" w:cs="Palatino Linotype"/>
        </w:rPr>
      </w:pPr>
    </w:p>
    <w:p w14:paraId="1E8419C0" w14:textId="77777777" w:rsidR="00DA0359" w:rsidRPr="00B872C6" w:rsidRDefault="000879DB">
      <w:pPr>
        <w:widowControl w:val="0"/>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CDCA6BA" w14:textId="77777777" w:rsidR="00DA0359" w:rsidRPr="00B872C6" w:rsidRDefault="00DA0359">
      <w:pPr>
        <w:spacing w:line="360" w:lineRule="auto"/>
        <w:jc w:val="both"/>
        <w:rPr>
          <w:rFonts w:ascii="Palatino Linotype" w:eastAsia="Palatino Linotype" w:hAnsi="Palatino Linotype" w:cs="Palatino Linotype"/>
        </w:rPr>
      </w:pPr>
    </w:p>
    <w:p w14:paraId="47F50E74"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872C6">
        <w:rPr>
          <w:rFonts w:ascii="Palatino Linotype" w:eastAsia="Palatino Linotype" w:hAnsi="Palatino Linotype" w:cs="Palatino Linotype"/>
        </w:rPr>
        <w:lastRenderedPageBreak/>
        <w:t>órganos jurisdiccionales federales, aplicables también en procedimientos análogos, como el que nos ocupa.</w:t>
      </w:r>
    </w:p>
    <w:p w14:paraId="1F384CA9" w14:textId="77777777" w:rsidR="00DA0359" w:rsidRPr="00B872C6" w:rsidRDefault="00DA0359">
      <w:pPr>
        <w:spacing w:line="360" w:lineRule="auto"/>
        <w:jc w:val="both"/>
        <w:rPr>
          <w:rFonts w:ascii="Palatino Linotype" w:eastAsia="Palatino Linotype" w:hAnsi="Palatino Linotype" w:cs="Palatino Linotype"/>
        </w:rPr>
      </w:pPr>
    </w:p>
    <w:p w14:paraId="4DE1C509"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50DBB5" w14:textId="77777777" w:rsidR="00DA0359" w:rsidRPr="00B872C6" w:rsidRDefault="00DA0359">
      <w:pPr>
        <w:spacing w:line="360" w:lineRule="auto"/>
        <w:jc w:val="both"/>
        <w:rPr>
          <w:rFonts w:ascii="Palatino Linotype" w:eastAsia="Palatino Linotype" w:hAnsi="Palatino Linotype" w:cs="Palatino Linotype"/>
        </w:rPr>
      </w:pPr>
    </w:p>
    <w:p w14:paraId="5E09AF1B"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48F7E6B" w14:textId="77777777" w:rsidR="00DA0359" w:rsidRPr="00B872C6" w:rsidRDefault="00DA0359">
      <w:pPr>
        <w:spacing w:line="360" w:lineRule="auto"/>
        <w:jc w:val="both"/>
        <w:rPr>
          <w:rFonts w:ascii="Palatino Linotype" w:eastAsia="Palatino Linotype" w:hAnsi="Palatino Linotype" w:cs="Palatino Linotype"/>
        </w:rPr>
      </w:pPr>
    </w:p>
    <w:p w14:paraId="7FF1A004" w14:textId="77777777" w:rsidR="00DA0359" w:rsidRPr="00B872C6" w:rsidRDefault="000879DB">
      <w:pPr>
        <w:spacing w:line="360" w:lineRule="auto"/>
        <w:jc w:val="both"/>
        <w:rPr>
          <w:rFonts w:ascii="Palatino Linotype" w:eastAsia="Palatino Linotype" w:hAnsi="Palatino Linotype" w:cs="Palatino Linotype"/>
          <w:strike/>
        </w:rPr>
      </w:pPr>
      <w:r w:rsidRPr="00B872C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394AECA" w14:textId="77777777" w:rsidR="00DA0359" w:rsidRPr="00B872C6" w:rsidRDefault="00DA0359">
      <w:pPr>
        <w:spacing w:line="360" w:lineRule="auto"/>
        <w:jc w:val="both"/>
        <w:rPr>
          <w:rFonts w:ascii="Palatino Linotype" w:eastAsia="Palatino Linotype" w:hAnsi="Palatino Linotype" w:cs="Palatino Linotype"/>
        </w:rPr>
      </w:pPr>
    </w:p>
    <w:p w14:paraId="2A02669B" w14:textId="77777777" w:rsidR="00DA0359" w:rsidRPr="00B872C6" w:rsidRDefault="000879DB">
      <w:pPr>
        <w:numPr>
          <w:ilvl w:val="0"/>
          <w:numId w:val="4"/>
        </w:numPr>
        <w:spacing w:line="360" w:lineRule="auto"/>
        <w:ind w:left="850" w:hanging="357"/>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9271F73" w14:textId="77777777" w:rsidR="00DA0359" w:rsidRPr="00B872C6" w:rsidRDefault="00DA0359">
      <w:pPr>
        <w:spacing w:line="360" w:lineRule="auto"/>
        <w:ind w:left="850" w:hanging="357"/>
        <w:jc w:val="both"/>
        <w:rPr>
          <w:rFonts w:ascii="Palatino Linotype" w:eastAsia="Palatino Linotype" w:hAnsi="Palatino Linotype" w:cs="Palatino Linotype"/>
        </w:rPr>
      </w:pPr>
    </w:p>
    <w:p w14:paraId="2CEE6222" w14:textId="77777777" w:rsidR="00DA0359" w:rsidRPr="00B872C6" w:rsidRDefault="000879DB">
      <w:pPr>
        <w:numPr>
          <w:ilvl w:val="0"/>
          <w:numId w:val="4"/>
        </w:numPr>
        <w:spacing w:line="360" w:lineRule="auto"/>
        <w:ind w:left="850" w:hanging="357"/>
        <w:jc w:val="both"/>
        <w:rPr>
          <w:rFonts w:ascii="Palatino Linotype" w:eastAsia="Palatino Linotype" w:hAnsi="Palatino Linotype" w:cs="Palatino Linotype"/>
        </w:rPr>
      </w:pPr>
      <w:r w:rsidRPr="00B872C6">
        <w:rPr>
          <w:rFonts w:ascii="Palatino Linotype" w:eastAsia="Palatino Linotype" w:hAnsi="Palatino Linotype" w:cs="Palatino Linotype"/>
        </w:rPr>
        <w:t>Actividad Procesal del interesado. Acciones u omisiones del interesado.</w:t>
      </w:r>
    </w:p>
    <w:p w14:paraId="503786A5" w14:textId="77777777" w:rsidR="00DA0359" w:rsidRPr="00B872C6" w:rsidRDefault="00DA0359">
      <w:pPr>
        <w:spacing w:line="360" w:lineRule="auto"/>
        <w:ind w:left="850" w:hanging="357"/>
        <w:jc w:val="both"/>
        <w:rPr>
          <w:rFonts w:ascii="Palatino Linotype" w:eastAsia="Palatino Linotype" w:hAnsi="Palatino Linotype" w:cs="Palatino Linotype"/>
        </w:rPr>
      </w:pPr>
    </w:p>
    <w:p w14:paraId="7D354F0A" w14:textId="77777777" w:rsidR="00DA0359" w:rsidRPr="00B872C6" w:rsidRDefault="000879DB">
      <w:pPr>
        <w:numPr>
          <w:ilvl w:val="0"/>
          <w:numId w:val="4"/>
        </w:numPr>
        <w:spacing w:line="360" w:lineRule="auto"/>
        <w:ind w:left="850" w:hanging="357"/>
        <w:jc w:val="both"/>
        <w:rPr>
          <w:rFonts w:ascii="Palatino Linotype" w:eastAsia="Palatino Linotype" w:hAnsi="Palatino Linotype" w:cs="Palatino Linotype"/>
        </w:rPr>
      </w:pPr>
      <w:r w:rsidRPr="00B872C6">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01263071" w14:textId="77777777" w:rsidR="00DA0359" w:rsidRPr="00B872C6" w:rsidRDefault="00DA0359">
      <w:pPr>
        <w:spacing w:line="360" w:lineRule="auto"/>
        <w:ind w:left="850" w:hanging="357"/>
        <w:rPr>
          <w:rFonts w:ascii="Palatino Linotype" w:eastAsia="Palatino Linotype" w:hAnsi="Palatino Linotype" w:cs="Palatino Linotype"/>
        </w:rPr>
      </w:pPr>
    </w:p>
    <w:p w14:paraId="311D11A1" w14:textId="77777777" w:rsidR="00DA0359" w:rsidRPr="00B872C6" w:rsidRDefault="000879DB">
      <w:pPr>
        <w:spacing w:line="360" w:lineRule="auto"/>
        <w:ind w:left="850" w:hanging="357"/>
        <w:jc w:val="both"/>
        <w:rPr>
          <w:rFonts w:ascii="Palatino Linotype" w:eastAsia="Palatino Linotype" w:hAnsi="Palatino Linotype" w:cs="Palatino Linotype"/>
        </w:rPr>
      </w:pPr>
      <w:r w:rsidRPr="00B872C6">
        <w:rPr>
          <w:rFonts w:ascii="Palatino Linotype" w:eastAsia="Palatino Linotype" w:hAnsi="Palatino Linotype" w:cs="Palatino Linotype"/>
        </w:rPr>
        <w:t>d) La afectación generada en la situación jurídica de la persona involucrada en el proceso: Violación a sus derechos humanos.</w:t>
      </w:r>
    </w:p>
    <w:p w14:paraId="433A1845" w14:textId="77777777" w:rsidR="00DA0359" w:rsidRPr="00B872C6" w:rsidRDefault="00DA0359">
      <w:pPr>
        <w:spacing w:line="360" w:lineRule="auto"/>
        <w:jc w:val="both"/>
        <w:rPr>
          <w:rFonts w:ascii="Palatino Linotype" w:eastAsia="Palatino Linotype" w:hAnsi="Palatino Linotype" w:cs="Palatino Linotype"/>
        </w:rPr>
      </w:pPr>
    </w:p>
    <w:p w14:paraId="26C1D8AF"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A289FD" w14:textId="77777777" w:rsidR="00DA0359" w:rsidRPr="00B872C6" w:rsidRDefault="00DA0359">
      <w:pPr>
        <w:spacing w:line="360" w:lineRule="auto"/>
        <w:jc w:val="both"/>
        <w:rPr>
          <w:rFonts w:ascii="Palatino Linotype" w:eastAsia="Palatino Linotype" w:hAnsi="Palatino Linotype" w:cs="Palatino Linotype"/>
        </w:rPr>
      </w:pPr>
    </w:p>
    <w:p w14:paraId="779495A2" w14:textId="77777777" w:rsidR="00DA0359" w:rsidRPr="00B872C6" w:rsidRDefault="000879DB">
      <w:pPr>
        <w:spacing w:line="360" w:lineRule="auto"/>
        <w:jc w:val="both"/>
        <w:rPr>
          <w:rFonts w:ascii="Palatino Linotype" w:eastAsia="Palatino Linotype" w:hAnsi="Palatino Linotype" w:cs="Palatino Linotype"/>
          <w:b/>
        </w:rPr>
      </w:pPr>
      <w:r w:rsidRPr="00B872C6">
        <w:rPr>
          <w:rFonts w:ascii="Palatino Linotype" w:eastAsia="Palatino Linotype" w:hAnsi="Palatino Linotype" w:cs="Palatino Linotype"/>
        </w:rPr>
        <w:t>Argumento que encuentra sustento en la jurisprudencia P</w:t>
      </w:r>
      <w:proofErr w:type="gramStart"/>
      <w:r w:rsidRPr="00B872C6">
        <w:rPr>
          <w:rFonts w:ascii="Palatino Linotype" w:eastAsia="Palatino Linotype" w:hAnsi="Palatino Linotype" w:cs="Palatino Linotype"/>
        </w:rPr>
        <w:t>./</w:t>
      </w:r>
      <w:proofErr w:type="gramEnd"/>
      <w:r w:rsidRPr="00B872C6">
        <w:rPr>
          <w:rFonts w:ascii="Palatino Linotype" w:eastAsia="Palatino Linotype" w:hAnsi="Palatino Linotype" w:cs="Palatino Linotype"/>
        </w:rPr>
        <w:t xml:space="preserve">J. 32/92 emitida por el Pleno de la Suprema Corte de Justicia de la Nación de rubro </w:t>
      </w:r>
      <w:r w:rsidRPr="00B872C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872C6">
        <w:rPr>
          <w:rFonts w:ascii="Palatino Linotype" w:eastAsia="Palatino Linotype" w:hAnsi="Palatino Linotype" w:cs="Palatino Linotype"/>
        </w:rPr>
        <w:t>, visible en la Gaceta del Seminario Judicial de la Federación con el registro digital 205635.</w:t>
      </w:r>
    </w:p>
    <w:p w14:paraId="1A3D6941" w14:textId="77777777" w:rsidR="00DA0359" w:rsidRPr="00B872C6" w:rsidRDefault="00DA0359">
      <w:pPr>
        <w:spacing w:line="360" w:lineRule="auto"/>
        <w:jc w:val="both"/>
        <w:rPr>
          <w:rFonts w:ascii="Palatino Linotype" w:eastAsia="Palatino Linotype" w:hAnsi="Palatino Linotype" w:cs="Palatino Linotype"/>
        </w:rPr>
      </w:pPr>
    </w:p>
    <w:p w14:paraId="40FBB0C4"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B872C6">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B913FE" w14:textId="77777777" w:rsidR="00DA0359" w:rsidRPr="00B872C6" w:rsidRDefault="00DA0359">
      <w:pPr>
        <w:spacing w:line="360" w:lineRule="auto"/>
        <w:jc w:val="both"/>
        <w:rPr>
          <w:rFonts w:ascii="Palatino Linotype" w:eastAsia="Palatino Linotype" w:hAnsi="Palatino Linotype" w:cs="Palatino Linotype"/>
        </w:rPr>
      </w:pPr>
    </w:p>
    <w:p w14:paraId="6140A102"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6DAA3D" w14:textId="77777777" w:rsidR="00DA0359" w:rsidRPr="00B872C6" w:rsidRDefault="00DA0359">
      <w:pPr>
        <w:spacing w:line="360" w:lineRule="auto"/>
        <w:jc w:val="both"/>
        <w:rPr>
          <w:rFonts w:ascii="Palatino Linotype" w:eastAsia="Palatino Linotype" w:hAnsi="Palatino Linotype" w:cs="Palatino Linotype"/>
          <w:i/>
        </w:rPr>
      </w:pPr>
    </w:p>
    <w:p w14:paraId="152897D7"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i/>
        </w:rPr>
        <w:t>“PLAZO RAZONABLE PARA RESOLVER. DIMENSIÓN Y EFECTOS DE ESTE CONCEPTO CUANDO SE ADUCE EXCESIVA CARGA DE TRABAJO.”</w:t>
      </w:r>
      <w:r w:rsidRPr="00B872C6">
        <w:rPr>
          <w:rFonts w:ascii="Palatino Linotype" w:eastAsia="Palatino Linotype" w:hAnsi="Palatino Linotype" w:cs="Palatino Linotype"/>
        </w:rPr>
        <w:t xml:space="preserve"> consultable en el Seminario Judicial de la Federación y su gaceta, con el registro digital 2002351.</w:t>
      </w:r>
    </w:p>
    <w:p w14:paraId="5155D6FD" w14:textId="77777777" w:rsidR="00DA0359" w:rsidRPr="00B872C6" w:rsidRDefault="00DA0359">
      <w:pPr>
        <w:spacing w:line="360" w:lineRule="auto"/>
        <w:jc w:val="both"/>
        <w:rPr>
          <w:rFonts w:ascii="Palatino Linotype" w:eastAsia="Palatino Linotype" w:hAnsi="Palatino Linotype" w:cs="Palatino Linotype"/>
          <w:b/>
        </w:rPr>
      </w:pPr>
    </w:p>
    <w:p w14:paraId="6525977A"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i/>
        </w:rPr>
        <w:t>“PLAZO RAZONABLE PARA RESOLVER. CONCEPTO Y ELEMENTOS QUE LO INTEGRAN A LA LUZ DEL DERECHO INTERNACIONAL DE LOS DERECHOS HUMANOS.”</w:t>
      </w:r>
      <w:r w:rsidRPr="00B872C6">
        <w:rPr>
          <w:rFonts w:ascii="Palatino Linotype" w:eastAsia="Palatino Linotype" w:hAnsi="Palatino Linotype" w:cs="Palatino Linotype"/>
        </w:rPr>
        <w:t>, visible en el Seminario Judicial de la Federación y su gaceta, con el registro digital 2002350.</w:t>
      </w:r>
    </w:p>
    <w:p w14:paraId="6E310EEA" w14:textId="77777777" w:rsidR="00DA0359" w:rsidRPr="00B872C6" w:rsidRDefault="00DA0359">
      <w:pPr>
        <w:spacing w:line="360" w:lineRule="auto"/>
        <w:jc w:val="both"/>
        <w:rPr>
          <w:rFonts w:ascii="Palatino Linotype" w:eastAsia="Palatino Linotype" w:hAnsi="Palatino Linotype" w:cs="Palatino Linotype"/>
        </w:rPr>
      </w:pPr>
    </w:p>
    <w:p w14:paraId="6B1620EA"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AF99F3A" w14:textId="77777777" w:rsidR="00DA0359" w:rsidRPr="00B872C6" w:rsidRDefault="000879DB">
      <w:pPr>
        <w:widowControl w:val="0"/>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lastRenderedPageBreak/>
        <w:t xml:space="preserve">9. Cierre de instrucción. </w:t>
      </w:r>
      <w:r w:rsidRPr="00B872C6">
        <w:rPr>
          <w:rFonts w:ascii="Palatino Linotype" w:eastAsia="Palatino Linotype" w:hAnsi="Palatino Linotype" w:cs="Palatino Linotype"/>
        </w:rPr>
        <w:t>Una vez transcurrido el periodo otorgado a las partes para realizar sus manifestaciones y no habiendo documentos que integrar al expediente, el</w:t>
      </w:r>
      <w:r w:rsidRPr="00B872C6">
        <w:rPr>
          <w:rFonts w:ascii="Palatino Linotype" w:eastAsia="Palatino Linotype" w:hAnsi="Palatino Linotype" w:cs="Palatino Linotype"/>
          <w:b/>
        </w:rPr>
        <w:t xml:space="preserve"> veinticuatro de enero de dos mil veinticuatro</w:t>
      </w:r>
      <w:r w:rsidRPr="00B872C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55E5566"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EFF2862" w14:textId="77777777" w:rsidR="00DA0359" w:rsidRPr="00B872C6" w:rsidRDefault="000879DB">
      <w:pPr>
        <w:widowControl w:val="0"/>
        <w:spacing w:line="360" w:lineRule="auto"/>
        <w:jc w:val="center"/>
        <w:rPr>
          <w:rFonts w:ascii="Palatino Linotype" w:eastAsia="Palatino Linotype" w:hAnsi="Palatino Linotype" w:cs="Palatino Linotype"/>
          <w:b/>
        </w:rPr>
      </w:pPr>
      <w:r w:rsidRPr="00B872C6">
        <w:rPr>
          <w:rFonts w:ascii="Palatino Linotype" w:eastAsia="Palatino Linotype" w:hAnsi="Palatino Linotype" w:cs="Palatino Linotype"/>
          <w:b/>
        </w:rPr>
        <w:t>II. C O N S I D E R A N D O S</w:t>
      </w:r>
    </w:p>
    <w:p w14:paraId="4DBD1AE2" w14:textId="77777777" w:rsidR="00DA0359" w:rsidRPr="00B872C6" w:rsidRDefault="00DA0359">
      <w:pPr>
        <w:widowControl w:val="0"/>
        <w:spacing w:line="360" w:lineRule="auto"/>
        <w:jc w:val="center"/>
        <w:rPr>
          <w:rFonts w:ascii="Palatino Linotype" w:eastAsia="Palatino Linotype" w:hAnsi="Palatino Linotype" w:cs="Palatino Linotype"/>
          <w:b/>
        </w:rPr>
      </w:pPr>
    </w:p>
    <w:p w14:paraId="6ABD1D80"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Primero. Competencia.</w:t>
      </w:r>
      <w:r w:rsidRPr="00B872C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421A9B0"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lastRenderedPageBreak/>
        <w:t xml:space="preserve">Segundo. Oportunidad y </w:t>
      </w:r>
      <w:proofErr w:type="spellStart"/>
      <w:r w:rsidRPr="00B872C6">
        <w:rPr>
          <w:rFonts w:ascii="Palatino Linotype" w:eastAsia="Palatino Linotype" w:hAnsi="Palatino Linotype" w:cs="Palatino Linotype"/>
          <w:b/>
        </w:rPr>
        <w:t>Procedibilidad</w:t>
      </w:r>
      <w:proofErr w:type="spellEnd"/>
      <w:r w:rsidRPr="00B872C6">
        <w:rPr>
          <w:rFonts w:ascii="Palatino Linotype" w:eastAsia="Palatino Linotype" w:hAnsi="Palatino Linotype" w:cs="Palatino Linotype"/>
          <w:b/>
        </w:rPr>
        <w:t xml:space="preserve"> del Recurso de Revisión</w:t>
      </w:r>
      <w:r w:rsidRPr="00B872C6">
        <w:rPr>
          <w:rFonts w:ascii="Palatino Linotype" w:eastAsia="Palatino Linotype" w:hAnsi="Palatino Linotype" w:cs="Palatino Linotype"/>
        </w:rPr>
        <w:t xml:space="preserve">. Previo al estudio del fondo del asunto, se procede a analizar los requisitos de oportunidad y </w:t>
      </w:r>
      <w:proofErr w:type="spellStart"/>
      <w:r w:rsidRPr="00B872C6">
        <w:rPr>
          <w:rFonts w:ascii="Palatino Linotype" w:eastAsia="Palatino Linotype" w:hAnsi="Palatino Linotype" w:cs="Palatino Linotype"/>
        </w:rPr>
        <w:t>procedibilidad</w:t>
      </w:r>
      <w:proofErr w:type="spellEnd"/>
      <w:r w:rsidRPr="00B872C6">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A77BE3F"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proporcionó su respuesta a la solicitud de información el primero de septiembre del dos mil veintitrés y el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presentó su recurso de revisión el primero de septiembre del mismo año; esto es, el mismo día hábil en que tuvo conocimiento de la respuesta impugnada.</w:t>
      </w:r>
    </w:p>
    <w:p w14:paraId="6ECA53B8"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este sentido, al considerar la fecha en que se formuló la solicitud y la fecha en que respondió a esta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2FABC11"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w:t>
      </w:r>
      <w:r w:rsidRPr="00B872C6">
        <w:rPr>
          <w:rFonts w:ascii="Palatino Linotype" w:eastAsia="Palatino Linotype" w:hAnsi="Palatino Linotype" w:cs="Palatino Linotype"/>
        </w:rPr>
        <w:lastRenderedPageBreak/>
        <w:t>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80DCCB0" w14:textId="77777777" w:rsidR="00DA0359" w:rsidRPr="00B872C6" w:rsidRDefault="000879DB">
      <w:pPr>
        <w:spacing w:before="120" w:after="120"/>
        <w:ind w:left="851" w:right="902"/>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B872C6">
        <w:rPr>
          <w:rFonts w:ascii="Palatino Linotype" w:eastAsia="Palatino Linotype" w:hAnsi="Palatino Linotype" w:cs="Palatino Linotype"/>
          <w:i/>
          <w:sz w:val="22"/>
          <w:szCs w:val="22"/>
        </w:rPr>
        <w:t>.</w:t>
      </w:r>
    </w:p>
    <w:p w14:paraId="54726716" w14:textId="77777777" w:rsidR="00DA0359" w:rsidRPr="00B872C6" w:rsidRDefault="000879DB">
      <w:pPr>
        <w:spacing w:before="120" w:after="120"/>
        <w:ind w:left="851" w:right="902"/>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43E98717"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Al mismo tiempo, por cuanto hace a la </w:t>
      </w:r>
      <w:proofErr w:type="spellStart"/>
      <w:r w:rsidRPr="00B872C6">
        <w:rPr>
          <w:rFonts w:ascii="Palatino Linotype" w:eastAsia="Palatino Linotype" w:hAnsi="Palatino Linotype" w:cs="Palatino Linotype"/>
        </w:rPr>
        <w:t>procedibilidad</w:t>
      </w:r>
      <w:proofErr w:type="spellEnd"/>
      <w:r w:rsidRPr="00B872C6">
        <w:rPr>
          <w:rFonts w:ascii="Palatino Linotype" w:eastAsia="Palatino Linotype" w:hAnsi="Palatino Linotype" w:cs="Palatino Linotype"/>
        </w:rPr>
        <w:t xml:space="preserve"> del recurso de revisión, es de suma importancia señalar que 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0F05DDC" w14:textId="77777777" w:rsidR="00DA0359" w:rsidRPr="00B872C6" w:rsidRDefault="000879DB">
      <w:pPr>
        <w:ind w:left="567" w:right="474"/>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Las solicitudes anónimas</w:t>
      </w:r>
      <w:r w:rsidRPr="00B872C6">
        <w:rPr>
          <w:rFonts w:ascii="Palatino Linotype" w:eastAsia="Palatino Linotype" w:hAnsi="Palatino Linotype" w:cs="Palatino Linotype"/>
          <w:i/>
          <w:sz w:val="22"/>
          <w:szCs w:val="22"/>
        </w:rPr>
        <w:t xml:space="preserve">, con nombre incompleto o seudónimo </w:t>
      </w:r>
      <w:r w:rsidRPr="00B872C6">
        <w:rPr>
          <w:rFonts w:ascii="Palatino Linotype" w:eastAsia="Palatino Linotype" w:hAnsi="Palatino Linotype" w:cs="Palatino Linotype"/>
          <w:b/>
          <w:i/>
          <w:sz w:val="22"/>
          <w:szCs w:val="22"/>
        </w:rPr>
        <w:t>serán procedentes para su trámite por parte del sujeto obligado ante quien se presente</w:t>
      </w:r>
      <w:r w:rsidRPr="00B872C6">
        <w:rPr>
          <w:rFonts w:ascii="Palatino Linotype" w:eastAsia="Palatino Linotype" w:hAnsi="Palatino Linotype" w:cs="Palatino Linotype"/>
          <w:i/>
          <w:sz w:val="22"/>
          <w:szCs w:val="22"/>
        </w:rPr>
        <w:t>. No podrá requerirse información adicional con motivo del nombre proporcionado por el solicitante."(Sic)</w:t>
      </w:r>
    </w:p>
    <w:p w14:paraId="504DBF53"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lastRenderedPageBreak/>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1B1BD7A" w14:textId="77777777" w:rsidR="00DA0359" w:rsidRPr="00B872C6" w:rsidRDefault="000879DB">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B872C6">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2ABEC17F" w14:textId="77777777" w:rsidR="00DA0359" w:rsidRPr="00B872C6" w:rsidRDefault="000879DB">
      <w:pPr>
        <w:ind w:left="1276" w:right="1752"/>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 xml:space="preserve">Artículo 179. </w:t>
      </w:r>
      <w:r w:rsidRPr="00B872C6">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B872C6">
        <w:rPr>
          <w:rFonts w:ascii="Palatino Linotype" w:eastAsia="Palatino Linotype" w:hAnsi="Palatino Linotype" w:cs="Palatino Linotype"/>
          <w:i/>
        </w:rPr>
        <w:t>causas</w:t>
      </w:r>
      <w:r w:rsidRPr="00B872C6">
        <w:rPr>
          <w:rFonts w:ascii="Palatino Linotype" w:eastAsia="Palatino Linotype" w:hAnsi="Palatino Linotype" w:cs="Palatino Linotype"/>
          <w:i/>
          <w:sz w:val="22"/>
          <w:szCs w:val="22"/>
        </w:rPr>
        <w:t>:</w:t>
      </w:r>
    </w:p>
    <w:p w14:paraId="7311E63F" w14:textId="77777777" w:rsidR="00DA0359" w:rsidRPr="00B872C6" w:rsidRDefault="000879DB">
      <w:pPr>
        <w:ind w:left="1276" w:right="1752"/>
        <w:jc w:val="both"/>
        <w:rPr>
          <w:rFonts w:ascii="Palatino Linotype" w:eastAsia="Palatino Linotype" w:hAnsi="Palatino Linotype" w:cs="Palatino Linotype"/>
          <w:i/>
          <w:sz w:val="22"/>
          <w:szCs w:val="22"/>
        </w:rPr>
      </w:pPr>
      <w:r w:rsidRPr="00B872C6">
        <w:t>I</w:t>
      </w:r>
      <w:r w:rsidRPr="00B872C6">
        <w:rPr>
          <w:rFonts w:ascii="Palatino Linotype" w:eastAsia="Palatino Linotype" w:hAnsi="Palatino Linotype" w:cs="Palatino Linotype"/>
          <w:i/>
        </w:rPr>
        <w:t>. La negativa a la información solicitada</w:t>
      </w:r>
      <w:r w:rsidRPr="00B872C6">
        <w:rPr>
          <w:rFonts w:ascii="Palatino Linotype" w:eastAsia="Palatino Linotype" w:hAnsi="Palatino Linotype" w:cs="Palatino Linotype"/>
          <w:i/>
          <w:sz w:val="22"/>
          <w:szCs w:val="22"/>
        </w:rPr>
        <w:t>…” (Sic)</w:t>
      </w:r>
    </w:p>
    <w:p w14:paraId="10BAF92C"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Tercero. Materia de Revisión</w:t>
      </w:r>
      <w:r w:rsidRPr="00B872C6">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B872C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872C6">
        <w:rPr>
          <w:rFonts w:ascii="Palatino Linotype" w:eastAsia="Palatino Linotype" w:hAnsi="Palatino Linotype" w:cs="Palatino Linotype"/>
        </w:rPr>
        <w:t xml:space="preserve">de 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o en su defecto, en caso de ser procedente, ordenar la entrega de información.</w:t>
      </w:r>
    </w:p>
    <w:p w14:paraId="6FF5D13E"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Cuarto. Estudio de fondo del asunto. </w:t>
      </w:r>
      <w:r w:rsidRPr="00B872C6">
        <w:rPr>
          <w:rFonts w:ascii="Palatino Linotype" w:eastAsia="Palatino Linotype" w:hAnsi="Palatino Linotype" w:cs="Palatino Linotype"/>
        </w:rPr>
        <w:t xml:space="preserve">es conveniente analizar si la respuesta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w:t>
      </w:r>
      <w:r w:rsidRPr="00B872C6">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trascribe para un mejor entendimiento:</w:t>
      </w:r>
    </w:p>
    <w:p w14:paraId="44692392" w14:textId="77777777" w:rsidR="00DA0359" w:rsidRPr="00B872C6" w:rsidRDefault="000879DB">
      <w:pPr>
        <w:spacing w:before="240"/>
        <w:ind w:left="709" w:right="760"/>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Artículo 4.</w:t>
      </w:r>
      <w:r w:rsidRPr="00B872C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866F2F" w14:textId="77777777" w:rsidR="00DA0359" w:rsidRPr="00B872C6" w:rsidRDefault="000879DB">
      <w:pPr>
        <w:ind w:left="709" w:right="760"/>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872C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0641B12" w14:textId="77777777" w:rsidR="00DA0359" w:rsidRPr="00B872C6" w:rsidRDefault="000879DB">
      <w:pPr>
        <w:ind w:left="709" w:right="760"/>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872C6">
        <w:rPr>
          <w:rFonts w:ascii="Palatino Linotype" w:eastAsia="Palatino Linotype" w:hAnsi="Palatino Linotype" w:cs="Palatino Linotype"/>
          <w:i/>
          <w:sz w:val="22"/>
          <w:szCs w:val="22"/>
        </w:rPr>
        <w:t>.”(Sic)</w:t>
      </w:r>
    </w:p>
    <w:p w14:paraId="6B6F2F78"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37CF5B2" w14:textId="77777777" w:rsidR="00DA0359" w:rsidRPr="00B872C6" w:rsidRDefault="000879DB">
      <w:pPr>
        <w:ind w:left="567" w:right="758"/>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Artículo12.-</w:t>
      </w:r>
      <w:r w:rsidRPr="00B872C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BEA851C" w14:textId="77777777" w:rsidR="00DA0359" w:rsidRPr="00B872C6" w:rsidRDefault="000879DB">
      <w:pPr>
        <w:ind w:left="567" w:right="758"/>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B872C6">
        <w:rPr>
          <w:rFonts w:ascii="Palatino Linotype" w:eastAsia="Palatino Linotype" w:hAnsi="Palatino Linotype" w:cs="Palatino Linotype"/>
          <w:i/>
          <w:sz w:val="22"/>
          <w:szCs w:val="22"/>
        </w:rPr>
        <w:t xml:space="preserve">. </w:t>
      </w:r>
      <w:r w:rsidRPr="00B872C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F0135AD" w14:textId="77777777" w:rsidR="00DA0359" w:rsidRPr="00B872C6" w:rsidRDefault="00DA0359">
      <w:pPr>
        <w:spacing w:line="360" w:lineRule="auto"/>
        <w:ind w:right="-93"/>
        <w:jc w:val="both"/>
        <w:rPr>
          <w:rFonts w:ascii="Palatino Linotype" w:eastAsia="Palatino Linotype" w:hAnsi="Palatino Linotype" w:cs="Palatino Linotype"/>
        </w:rPr>
      </w:pPr>
    </w:p>
    <w:p w14:paraId="2C74F1A9" w14:textId="77777777" w:rsidR="00DA0359" w:rsidRPr="00B872C6" w:rsidRDefault="000879DB">
      <w:pPr>
        <w:spacing w:line="360" w:lineRule="auto"/>
        <w:ind w:right="-93"/>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1D67A2A2" w14:textId="77777777" w:rsidR="00DA0359" w:rsidRPr="00B872C6" w:rsidRDefault="00DA0359">
      <w:pPr>
        <w:spacing w:line="360" w:lineRule="auto"/>
        <w:jc w:val="both"/>
        <w:rPr>
          <w:rFonts w:ascii="Palatino Linotype" w:eastAsia="Palatino Linotype" w:hAnsi="Palatino Linotype" w:cs="Palatino Linotype"/>
        </w:rPr>
      </w:pPr>
    </w:p>
    <w:p w14:paraId="2BD6EA35"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6EE3C66C" w14:textId="77777777" w:rsidR="00DA0359" w:rsidRPr="00B872C6" w:rsidRDefault="000879DB">
      <w:pPr>
        <w:spacing w:line="360" w:lineRule="auto"/>
        <w:jc w:val="both"/>
        <w:rPr>
          <w:rFonts w:ascii="Palatino Linotype" w:eastAsia="Palatino Linotype" w:hAnsi="Palatino Linotype" w:cs="Palatino Linotype"/>
          <w:b/>
        </w:rPr>
      </w:pPr>
      <w:r w:rsidRPr="00B872C6">
        <w:rPr>
          <w:rFonts w:ascii="Palatino Linotype" w:eastAsia="Palatino Linotype" w:hAnsi="Palatino Linotype" w:cs="Palatino Linotype"/>
          <w:b/>
        </w:rPr>
        <w:t xml:space="preserve"> </w:t>
      </w:r>
    </w:p>
    <w:p w14:paraId="33400EE7" w14:textId="77777777" w:rsidR="00DA0359" w:rsidRPr="00B872C6" w:rsidRDefault="000879DB">
      <w:pPr>
        <w:ind w:left="851" w:right="90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No existe obligación de elaborar documentos ad hoc para atender las solicitudes de acceso a la información.</w:t>
      </w:r>
      <w:r w:rsidRPr="00B872C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B887C86" w14:textId="77777777" w:rsidR="00DA0359" w:rsidRPr="00B872C6" w:rsidRDefault="000879DB">
      <w:pPr>
        <w:ind w:left="851" w:right="90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Resoluciones: </w:t>
      </w:r>
    </w:p>
    <w:p w14:paraId="7E1DFAE4" w14:textId="77777777" w:rsidR="00DA0359" w:rsidRPr="00B872C6" w:rsidRDefault="000879DB">
      <w:pPr>
        <w:ind w:left="851" w:right="901"/>
        <w:jc w:val="both"/>
        <w:rPr>
          <w:rFonts w:ascii="Palatino Linotype" w:eastAsia="Palatino Linotype" w:hAnsi="Palatino Linotype" w:cs="Palatino Linotype"/>
          <w:i/>
          <w:sz w:val="22"/>
          <w:szCs w:val="22"/>
        </w:rPr>
      </w:pPr>
      <w:r w:rsidRPr="00B872C6">
        <w:rPr>
          <w:rFonts w:ascii="Noto Sans Symbols" w:eastAsia="Noto Sans Symbols" w:hAnsi="Noto Sans Symbols" w:cs="Noto Sans Symbols"/>
          <w:i/>
          <w:sz w:val="22"/>
          <w:szCs w:val="22"/>
        </w:rPr>
        <w:lastRenderedPageBreak/>
        <w:t>∙</w:t>
      </w:r>
      <w:r w:rsidRPr="00B872C6">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F2EF157" w14:textId="77777777" w:rsidR="00DA0359" w:rsidRPr="00B872C6" w:rsidRDefault="000879DB">
      <w:pPr>
        <w:ind w:left="851" w:right="901"/>
        <w:jc w:val="both"/>
        <w:rPr>
          <w:rFonts w:ascii="Palatino Linotype" w:eastAsia="Palatino Linotype" w:hAnsi="Palatino Linotype" w:cs="Palatino Linotype"/>
          <w:i/>
          <w:sz w:val="22"/>
          <w:szCs w:val="22"/>
        </w:rPr>
      </w:pPr>
      <w:r w:rsidRPr="00B872C6">
        <w:rPr>
          <w:rFonts w:ascii="Noto Sans Symbols" w:eastAsia="Noto Sans Symbols" w:hAnsi="Noto Sans Symbols" w:cs="Noto Sans Symbols"/>
          <w:i/>
          <w:sz w:val="22"/>
          <w:szCs w:val="22"/>
        </w:rPr>
        <w:t>∙</w:t>
      </w:r>
      <w:r w:rsidRPr="00B872C6">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6ED81D4" w14:textId="77777777" w:rsidR="00DA0359" w:rsidRPr="00B872C6" w:rsidRDefault="000879DB">
      <w:pPr>
        <w:ind w:left="851" w:right="901"/>
        <w:jc w:val="both"/>
        <w:rPr>
          <w:rFonts w:ascii="Palatino Linotype" w:eastAsia="Palatino Linotype" w:hAnsi="Palatino Linotype" w:cs="Palatino Linotype"/>
          <w:i/>
          <w:sz w:val="22"/>
          <w:szCs w:val="22"/>
        </w:rPr>
      </w:pPr>
      <w:r w:rsidRPr="00B872C6">
        <w:rPr>
          <w:rFonts w:ascii="Noto Sans Symbols" w:eastAsia="Noto Sans Symbols" w:hAnsi="Noto Sans Symbols" w:cs="Noto Sans Symbols"/>
          <w:i/>
          <w:sz w:val="22"/>
          <w:szCs w:val="22"/>
        </w:rPr>
        <w:t>∙</w:t>
      </w:r>
      <w:r w:rsidRPr="00B872C6">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09A7916" w14:textId="77777777" w:rsidR="00DA0359" w:rsidRPr="00B872C6" w:rsidRDefault="00DA0359">
      <w:pPr>
        <w:spacing w:line="360" w:lineRule="auto"/>
        <w:jc w:val="both"/>
        <w:rPr>
          <w:rFonts w:ascii="Palatino Linotype" w:eastAsia="Palatino Linotype" w:hAnsi="Palatino Linotype" w:cs="Palatino Linotype"/>
        </w:rPr>
      </w:pPr>
    </w:p>
    <w:p w14:paraId="4123F704" w14:textId="77777777" w:rsidR="00DA0359" w:rsidRPr="00B872C6" w:rsidRDefault="000879DB">
      <w:pPr>
        <w:spacing w:line="360" w:lineRule="auto"/>
        <w:jc w:val="both"/>
        <w:rPr>
          <w:rFonts w:ascii="Palatino Linotype" w:eastAsia="Palatino Linotype" w:hAnsi="Palatino Linotype" w:cs="Palatino Linotype"/>
          <w:strike/>
        </w:rPr>
      </w:pPr>
      <w:r w:rsidRPr="00B872C6">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1BC82CDF" w14:textId="77777777" w:rsidR="00DA0359" w:rsidRPr="00B872C6" w:rsidRDefault="00DA0359">
      <w:pPr>
        <w:spacing w:line="360" w:lineRule="auto"/>
        <w:jc w:val="both"/>
        <w:rPr>
          <w:rFonts w:ascii="Palatino Linotype" w:eastAsia="Palatino Linotype" w:hAnsi="Palatino Linotype" w:cs="Palatino Linotype"/>
        </w:rPr>
      </w:pPr>
    </w:p>
    <w:p w14:paraId="696E32D6" w14:textId="77777777" w:rsidR="00DA0359" w:rsidRPr="00B872C6" w:rsidRDefault="000879DB">
      <w:pPr>
        <w:spacing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A1350D" w14:textId="77777777" w:rsidR="00DA0359" w:rsidRPr="00B872C6" w:rsidRDefault="00DA0359">
      <w:pPr>
        <w:spacing w:line="360" w:lineRule="auto"/>
        <w:ind w:right="49"/>
        <w:jc w:val="both"/>
        <w:rPr>
          <w:rFonts w:ascii="Palatino Linotype" w:eastAsia="Palatino Linotype" w:hAnsi="Palatino Linotype" w:cs="Palatino Linotype"/>
        </w:rPr>
      </w:pPr>
    </w:p>
    <w:p w14:paraId="1A7D107D"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B872C6">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EE39F1" w14:textId="77777777" w:rsidR="00DA0359" w:rsidRPr="00B872C6" w:rsidRDefault="00DA0359">
      <w:pPr>
        <w:ind w:left="851" w:right="899"/>
        <w:jc w:val="both"/>
        <w:rPr>
          <w:rFonts w:ascii="Palatino Linotype" w:eastAsia="Palatino Linotype" w:hAnsi="Palatino Linotype" w:cs="Palatino Linotype"/>
          <w:i/>
          <w:sz w:val="22"/>
          <w:szCs w:val="22"/>
        </w:rPr>
      </w:pPr>
    </w:p>
    <w:p w14:paraId="3031A4AC" w14:textId="77777777" w:rsidR="00DA0359" w:rsidRPr="00B872C6" w:rsidRDefault="000879DB">
      <w:pPr>
        <w:ind w:left="851" w:right="89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 xml:space="preserve">Artículo 3. </w:t>
      </w:r>
      <w:r w:rsidRPr="00B872C6">
        <w:rPr>
          <w:rFonts w:ascii="Palatino Linotype" w:eastAsia="Palatino Linotype" w:hAnsi="Palatino Linotype" w:cs="Palatino Linotype"/>
          <w:i/>
          <w:sz w:val="22"/>
          <w:szCs w:val="22"/>
        </w:rPr>
        <w:t>Para los efectos de la presente Ley se entenderá por:</w:t>
      </w:r>
    </w:p>
    <w:p w14:paraId="7B873751" w14:textId="77777777" w:rsidR="00DA0359" w:rsidRPr="00B872C6" w:rsidRDefault="000879DB">
      <w:pPr>
        <w:ind w:left="851" w:right="89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p>
    <w:p w14:paraId="0D6220A8" w14:textId="77777777" w:rsidR="00DA0359" w:rsidRPr="00B872C6" w:rsidRDefault="000879DB">
      <w:pPr>
        <w:ind w:left="851" w:right="89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XI. Documento:</w:t>
      </w:r>
      <w:r w:rsidRPr="00B872C6">
        <w:rPr>
          <w:rFonts w:ascii="Palatino Linotype" w:eastAsia="Palatino Linotype" w:hAnsi="Palatino Linotype" w:cs="Palatino Linotype"/>
          <w:i/>
          <w:sz w:val="22"/>
          <w:szCs w:val="22"/>
        </w:rPr>
        <w:t xml:space="preserve"> Los expedientes, reportes, estudios, actas</w:t>
      </w:r>
      <w:r w:rsidRPr="00B872C6">
        <w:rPr>
          <w:rFonts w:ascii="Palatino Linotype" w:eastAsia="Palatino Linotype" w:hAnsi="Palatino Linotype" w:cs="Palatino Linotype"/>
          <w:b/>
          <w:i/>
          <w:sz w:val="22"/>
          <w:szCs w:val="22"/>
        </w:rPr>
        <w:t>,</w:t>
      </w:r>
      <w:r w:rsidRPr="00B872C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8B74D2" w14:textId="77777777" w:rsidR="00DA0359" w:rsidRPr="00B872C6" w:rsidRDefault="00DA0359">
      <w:pPr>
        <w:ind w:left="851" w:right="899"/>
        <w:jc w:val="both"/>
        <w:rPr>
          <w:rFonts w:ascii="Palatino Linotype" w:eastAsia="Palatino Linotype" w:hAnsi="Palatino Linotype" w:cs="Palatino Linotype"/>
          <w:sz w:val="22"/>
          <w:szCs w:val="22"/>
        </w:rPr>
      </w:pPr>
    </w:p>
    <w:p w14:paraId="690D6112"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51E600" w14:textId="77777777" w:rsidR="00DA0359" w:rsidRPr="00B872C6" w:rsidRDefault="00DA0359">
      <w:pPr>
        <w:ind w:left="851" w:right="899"/>
        <w:jc w:val="both"/>
        <w:rPr>
          <w:rFonts w:ascii="Palatino Linotype" w:eastAsia="Palatino Linotype" w:hAnsi="Palatino Linotype" w:cs="Palatino Linotype"/>
        </w:rPr>
      </w:pPr>
    </w:p>
    <w:p w14:paraId="7DF16E81" w14:textId="77777777" w:rsidR="00DA0359" w:rsidRPr="00B872C6" w:rsidRDefault="000879DB">
      <w:pPr>
        <w:ind w:left="851" w:right="899"/>
        <w:jc w:val="both"/>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sz w:val="22"/>
          <w:szCs w:val="22"/>
        </w:rPr>
        <w:t>“</w:t>
      </w:r>
      <w:r w:rsidRPr="00B872C6">
        <w:rPr>
          <w:rFonts w:ascii="Palatino Linotype" w:eastAsia="Palatino Linotype" w:hAnsi="Palatino Linotype" w:cs="Palatino Linotype"/>
          <w:b/>
          <w:i/>
          <w:sz w:val="22"/>
          <w:szCs w:val="22"/>
        </w:rPr>
        <w:t>CRITERIO 0002-11</w:t>
      </w:r>
    </w:p>
    <w:p w14:paraId="32294945" w14:textId="77777777" w:rsidR="00DA0359" w:rsidRPr="00B872C6" w:rsidRDefault="000879DB">
      <w:pPr>
        <w:ind w:left="851" w:right="89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872C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ECA006" w14:textId="77777777" w:rsidR="00DA0359" w:rsidRPr="00B872C6" w:rsidRDefault="000879DB">
      <w:pPr>
        <w:ind w:left="851" w:right="89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34C3FCB8" w14:textId="77777777" w:rsidR="00DA0359" w:rsidRPr="00B872C6" w:rsidRDefault="000879DB">
      <w:pPr>
        <w:ind w:left="851" w:right="89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DC2E01B" w14:textId="77777777" w:rsidR="00DA0359" w:rsidRPr="00B872C6" w:rsidRDefault="000879DB">
      <w:pPr>
        <w:ind w:left="851" w:right="899"/>
        <w:jc w:val="both"/>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81C4DAB" w14:textId="77777777" w:rsidR="00DA0359" w:rsidRPr="00B872C6" w:rsidRDefault="000879DB">
      <w:pPr>
        <w:ind w:left="851" w:right="899"/>
        <w:jc w:val="both"/>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10DC5524"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Zinacantepec, lo siguiente</w:t>
      </w:r>
    </w:p>
    <w:p w14:paraId="6FBB0C82" w14:textId="77777777" w:rsidR="00DA0359" w:rsidRPr="00B872C6" w:rsidRDefault="000879DB">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LA CANCELACIÓN DE LA TRAKALOSA DE MONTERREY.</w:t>
      </w:r>
    </w:p>
    <w:p w14:paraId="75DBCD89"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respuesta, el </w:t>
      </w:r>
      <w:r w:rsidRPr="00B872C6">
        <w:rPr>
          <w:rFonts w:ascii="Palatino Linotype" w:eastAsia="Palatino Linotype" w:hAnsi="Palatino Linotype" w:cs="Palatino Linotype"/>
          <w:b/>
        </w:rPr>
        <w:t xml:space="preserve">SUJETO OBLIGADO, </w:t>
      </w:r>
      <w:r w:rsidRPr="00B872C6">
        <w:rPr>
          <w:rFonts w:ascii="Palatino Linotype" w:eastAsia="Palatino Linotype" w:hAnsi="Palatino Linotype" w:cs="Palatino Linotype"/>
        </w:rPr>
        <w:t xml:space="preserve">a través de su Unidad de Transparencia informó que la solicitud fue analizada y turnada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w:t>
      </w:r>
    </w:p>
    <w:p w14:paraId="0C68F9C8"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t>La obligación de proporcionar información no comprende el procesamiento de la misma, ni el presentarla conforme al interés del solicitante; no estarán obligados a generarla, resumirla, efectuar cálculos o practicar investigaciones”.</w:t>
      </w:r>
    </w:p>
    <w:p w14:paraId="32432E9F"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t>Manifestando que anexaba la respuesta proporcionada por el área competente; sin embargo, esta fue omisa en adjuntar documento alguno a la respuesta.</w:t>
      </w:r>
    </w:p>
    <w:p w14:paraId="56604FBE"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rPr>
        <w:lastRenderedPageBreak/>
        <w:t xml:space="preserve">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al presentar el recurso de revisión que nos ocupa, se inconformó en lo medular por la negativa de la información solicitada. </w:t>
      </w:r>
    </w:p>
    <w:p w14:paraId="47E01EE3"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Ante la interposición del recurso de revisión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fue omiso en rendir su informe justificado. </w:t>
      </w:r>
    </w:p>
    <w:p w14:paraId="7C0DD5C2"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virtud de lo anterior, se determina que la información emitida por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revocar la respuesta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en razón de las consideraciones de derecho que a continuación se exponen:</w:t>
      </w:r>
    </w:p>
    <w:p w14:paraId="39CE77E0"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veinticuatro de agosto del año dos mil veintitrés, discernimiento que encuentra apoyado en los Criterios 1/2010 y 2/2010,  emitidos por el “Comité de Acceso a la Información y Protección de Datos personales” de la Suprema Corte de Justicia de la Nación, que disponen: </w:t>
      </w:r>
    </w:p>
    <w:p w14:paraId="40D9A4B7" w14:textId="77777777" w:rsidR="00DA0359" w:rsidRPr="00B872C6" w:rsidRDefault="00DA0359">
      <w:pPr>
        <w:spacing w:line="360" w:lineRule="auto"/>
        <w:jc w:val="both"/>
        <w:rPr>
          <w:rFonts w:ascii="Palatino Linotype" w:eastAsia="Palatino Linotype" w:hAnsi="Palatino Linotype" w:cs="Palatino Linotype"/>
        </w:rPr>
      </w:pPr>
    </w:p>
    <w:p w14:paraId="7890E03C"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rPr>
        <w:lastRenderedPageBreak/>
        <w:t xml:space="preserve"> </w:t>
      </w:r>
      <w:r w:rsidRPr="00B872C6">
        <w:rPr>
          <w:rFonts w:ascii="Palatino Linotype" w:eastAsia="Palatino Linotype" w:hAnsi="Palatino Linotype" w:cs="Palatino Linotype"/>
          <w:i/>
          <w:sz w:val="22"/>
          <w:szCs w:val="22"/>
        </w:rPr>
        <w:t>“Criterio 1/2010</w:t>
      </w:r>
    </w:p>
    <w:p w14:paraId="68F7633E"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75A72EB1"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29B72F18"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Clasificación de Información 69/2009-A. 30 de septiembre de 2009. Unanimidad de votos.”</w:t>
      </w:r>
    </w:p>
    <w:p w14:paraId="739669AE"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“Criterio 2/2010.</w:t>
      </w:r>
    </w:p>
    <w:p w14:paraId="6C6140BA"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69FD1DF9"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2E73C3C8"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Clasificación de Información 69/2009-A. 30 de septiembre de 2009. Unanimidad de votos.”(Sic)</w:t>
      </w:r>
    </w:p>
    <w:p w14:paraId="2A2A9FD5" w14:textId="77777777" w:rsidR="00DA0359" w:rsidRPr="00B872C6" w:rsidRDefault="00DA0359">
      <w:pPr>
        <w:spacing w:line="360" w:lineRule="auto"/>
        <w:jc w:val="both"/>
        <w:rPr>
          <w:rFonts w:ascii="Palatino Linotype" w:eastAsia="Palatino Linotype" w:hAnsi="Palatino Linotype" w:cs="Palatino Linotype"/>
        </w:rPr>
      </w:pPr>
    </w:p>
    <w:p w14:paraId="40426F7E"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Asimismo, se dable señalar que la información solicitada se deriva o se relaciona, con los procedimientos de licitación pública, ya que se trata de una obligación de transparencia que se debe pública en el IPOMEX (Información pública de oficio mexiquense), de la cual se debe generar expediente respectivo, entre la que podemos </w:t>
      </w:r>
      <w:r w:rsidRPr="00B872C6">
        <w:rPr>
          <w:rFonts w:ascii="Palatino Linotype" w:eastAsia="Palatino Linotype" w:hAnsi="Palatino Linotype" w:cs="Palatino Linotype"/>
        </w:rPr>
        <w:lastRenderedPageBreak/>
        <w:t>encontrar la siguiente conforme a lo señalado por el artículo 92, fracción XXIX, de la Ley de la Materia, que señala:</w:t>
      </w:r>
    </w:p>
    <w:p w14:paraId="4FBC08B1" w14:textId="77777777" w:rsidR="00DA0359" w:rsidRPr="00B872C6" w:rsidRDefault="00DA0359">
      <w:pPr>
        <w:ind w:left="992" w:right="1043"/>
        <w:jc w:val="both"/>
        <w:rPr>
          <w:rFonts w:ascii="Palatino Linotype" w:eastAsia="Palatino Linotype" w:hAnsi="Palatino Linotype" w:cs="Palatino Linotype"/>
          <w:i/>
          <w:sz w:val="22"/>
          <w:szCs w:val="22"/>
        </w:rPr>
      </w:pPr>
    </w:p>
    <w:p w14:paraId="7BA658EC"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37AE41C8"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XXIX. La información sobre los procesos y resultados sobre procedimientos de adjudicación directa, invitación restringida</w:t>
      </w:r>
      <w:r w:rsidRPr="00B872C6">
        <w:rPr>
          <w:rFonts w:ascii="Palatino Linotype" w:eastAsia="Palatino Linotype" w:hAnsi="Palatino Linotype" w:cs="Palatino Linotype"/>
          <w:b/>
          <w:i/>
          <w:sz w:val="22"/>
          <w:szCs w:val="22"/>
          <w:u w:val="single"/>
        </w:rPr>
        <w:t xml:space="preserve"> y licitación de cualquier naturaleza</w:t>
      </w:r>
      <w:r w:rsidRPr="00B872C6">
        <w:rPr>
          <w:rFonts w:ascii="Palatino Linotype" w:eastAsia="Palatino Linotype" w:hAnsi="Palatino Linotype" w:cs="Palatino Linotype"/>
          <w:b/>
          <w:i/>
          <w:sz w:val="22"/>
          <w:szCs w:val="22"/>
        </w:rPr>
        <w:t>, incluyendo la versión pública</w:t>
      </w:r>
      <w:r w:rsidRPr="00B872C6">
        <w:rPr>
          <w:rFonts w:ascii="Palatino Linotype" w:eastAsia="Palatino Linotype" w:hAnsi="Palatino Linotype" w:cs="Palatino Linotype"/>
          <w:i/>
          <w:sz w:val="22"/>
          <w:szCs w:val="22"/>
        </w:rPr>
        <w:t xml:space="preserve"> del </w:t>
      </w:r>
      <w:r w:rsidRPr="00B872C6">
        <w:rPr>
          <w:rFonts w:ascii="Palatino Linotype" w:eastAsia="Palatino Linotype" w:hAnsi="Palatino Linotype" w:cs="Palatino Linotype"/>
          <w:b/>
          <w:i/>
          <w:sz w:val="22"/>
          <w:szCs w:val="22"/>
        </w:rPr>
        <w:t>expediente respectivo y</w:t>
      </w:r>
      <w:r w:rsidRPr="00B872C6">
        <w:rPr>
          <w:rFonts w:ascii="Palatino Linotype" w:eastAsia="Palatino Linotype" w:hAnsi="Palatino Linotype" w:cs="Palatino Linotype"/>
          <w:b/>
          <w:i/>
          <w:sz w:val="22"/>
          <w:szCs w:val="22"/>
          <w:u w:val="single"/>
        </w:rPr>
        <w:t xml:space="preserve"> de los contratos celebrados</w:t>
      </w:r>
      <w:r w:rsidRPr="00B872C6">
        <w:rPr>
          <w:rFonts w:ascii="Palatino Linotype" w:eastAsia="Palatino Linotype" w:hAnsi="Palatino Linotype" w:cs="Palatino Linotype"/>
          <w:i/>
          <w:sz w:val="22"/>
          <w:szCs w:val="22"/>
        </w:rPr>
        <w:t xml:space="preserve">, que </w:t>
      </w:r>
      <w:r w:rsidRPr="00B872C6">
        <w:rPr>
          <w:rFonts w:ascii="Palatino Linotype" w:eastAsia="Palatino Linotype" w:hAnsi="Palatino Linotype" w:cs="Palatino Linotype"/>
          <w:b/>
          <w:i/>
          <w:sz w:val="22"/>
          <w:szCs w:val="22"/>
        </w:rPr>
        <w:t>deberán contener, por los menos</w:t>
      </w:r>
      <w:r w:rsidRPr="00B872C6">
        <w:rPr>
          <w:rFonts w:ascii="Palatino Linotype" w:eastAsia="Palatino Linotype" w:hAnsi="Palatino Linotype" w:cs="Palatino Linotype"/>
          <w:i/>
          <w:sz w:val="22"/>
          <w:szCs w:val="22"/>
        </w:rPr>
        <w:t xml:space="preserve">, lo siguiente: </w:t>
      </w:r>
    </w:p>
    <w:p w14:paraId="331E6CCD"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a) De licitaciones públicas o procedimientos de invitación restringida: </w:t>
      </w:r>
    </w:p>
    <w:p w14:paraId="3140B177"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19E4F687"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2) Los nombres de los participantes o invitados; </w:t>
      </w:r>
    </w:p>
    <w:p w14:paraId="7FD259C7"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3) El nombre del ganador y las razones que lo justifican; </w:t>
      </w:r>
    </w:p>
    <w:p w14:paraId="43CB2519"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4) El área solicitante y la responsable de su ejecución; </w:t>
      </w:r>
    </w:p>
    <w:p w14:paraId="635B0905"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5) Las convocatorias e invitaciones emitidas; </w:t>
      </w:r>
    </w:p>
    <w:p w14:paraId="3675F5F6"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6) Los dictámenes y fallo de adjudicación; </w:t>
      </w:r>
    </w:p>
    <w:p w14:paraId="66699C7B" w14:textId="77777777" w:rsidR="00DA0359" w:rsidRPr="00B872C6" w:rsidRDefault="000879DB">
      <w:pPr>
        <w:ind w:left="992" w:right="1043"/>
        <w:jc w:val="both"/>
        <w:rPr>
          <w:rFonts w:ascii="Palatino Linotype" w:eastAsia="Palatino Linotype" w:hAnsi="Palatino Linotype" w:cs="Palatino Linotype"/>
          <w:b/>
          <w:i/>
          <w:sz w:val="22"/>
          <w:szCs w:val="22"/>
          <w:u w:val="single"/>
        </w:rPr>
      </w:pPr>
      <w:r w:rsidRPr="00B872C6">
        <w:rPr>
          <w:rFonts w:ascii="Palatino Linotype" w:eastAsia="Palatino Linotype" w:hAnsi="Palatino Linotype" w:cs="Palatino Linotype"/>
          <w:b/>
          <w:i/>
          <w:sz w:val="22"/>
          <w:szCs w:val="22"/>
          <w:u w:val="single"/>
        </w:rPr>
        <w:t xml:space="preserve">7) El contrato y, en su caso, sus anexos; </w:t>
      </w:r>
    </w:p>
    <w:p w14:paraId="7CA50AC6"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29B43F1"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798A51AF"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4A6C9E4F" w14:textId="77777777" w:rsidR="00DA0359" w:rsidRPr="00B872C6" w:rsidRDefault="000879DB">
      <w:pPr>
        <w:ind w:left="992" w:right="1043"/>
        <w:jc w:val="both"/>
      </w:pPr>
      <w:r w:rsidRPr="00B872C6">
        <w:rPr>
          <w:rFonts w:ascii="Palatino Linotype" w:eastAsia="Palatino Linotype" w:hAnsi="Palatino Linotype" w:cs="Palatino Linotype"/>
          <w:i/>
          <w:sz w:val="22"/>
          <w:szCs w:val="22"/>
        </w:rPr>
        <w:t>11) Los convenios modificatorios que, en su caso, sean firmados, precisando el objeto y la fecha de celebración;</w:t>
      </w:r>
      <w:r w:rsidRPr="00B872C6">
        <w:t xml:space="preserve"> </w:t>
      </w:r>
    </w:p>
    <w:p w14:paraId="440220BB"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12) Los informes de avance físico y financiero sobre las obras o servicios contratados; </w:t>
      </w:r>
    </w:p>
    <w:p w14:paraId="20AE6C38"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13) El convenio de terminación; y </w:t>
      </w:r>
    </w:p>
    <w:p w14:paraId="5E7A625B"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14) El finiquito.</w:t>
      </w:r>
    </w:p>
    <w:p w14:paraId="181C17E0"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b) De las adjudicaciones directas: </w:t>
      </w:r>
    </w:p>
    <w:p w14:paraId="08CCA58D"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 La propuesta enviada por el participante; </w:t>
      </w:r>
    </w:p>
    <w:p w14:paraId="2DF7B60A"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lastRenderedPageBreak/>
        <w:t xml:space="preserve">2) Los motivos y fundamentos legales aplicados para llevarla a cabo; </w:t>
      </w:r>
    </w:p>
    <w:p w14:paraId="130F70BB"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3) La autorización del ejercicio de la opción; </w:t>
      </w:r>
    </w:p>
    <w:p w14:paraId="52647A44"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73B375B7"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5) El nombre de la persona física o jurídica colectiva adjudicada; </w:t>
      </w:r>
    </w:p>
    <w:p w14:paraId="46B7E6B7"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6) La unidad administrativa solicitante y la responsable de su ejecución; </w:t>
      </w:r>
    </w:p>
    <w:p w14:paraId="181AD06D"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57BAA62F"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2E8648F2"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9) Los informes de avance sobre las obras o servicios contratados; </w:t>
      </w:r>
    </w:p>
    <w:p w14:paraId="70A926A8"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10) El convenio de terminación; y </w:t>
      </w:r>
    </w:p>
    <w:p w14:paraId="243CE475"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11) El finiquito.” (Sic) </w:t>
      </w:r>
    </w:p>
    <w:p w14:paraId="4F1525DC" w14:textId="77777777" w:rsidR="00DA0359" w:rsidRPr="00B872C6" w:rsidRDefault="00DA0359">
      <w:pPr>
        <w:spacing w:line="360" w:lineRule="auto"/>
        <w:jc w:val="both"/>
        <w:rPr>
          <w:rFonts w:ascii="Palatino Linotype" w:eastAsia="Palatino Linotype" w:hAnsi="Palatino Linotype" w:cs="Palatino Linotype"/>
        </w:rPr>
      </w:pPr>
    </w:p>
    <w:p w14:paraId="795A3C17"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9">
        <w:r w:rsidRPr="00B872C6">
          <w:rPr>
            <w:rFonts w:ascii="Palatino Linotype" w:eastAsia="Palatino Linotype" w:hAnsi="Palatino Linotype" w:cs="Palatino Linotype"/>
            <w:u w:val="single"/>
          </w:rPr>
          <w:t>https://www.transparencia.ipn.mx/Apoyo/SIPOT/LTG_DOF28122020.pdf</w:t>
        </w:r>
      </w:hyperlink>
      <w:r w:rsidRPr="00B872C6">
        <w:rPr>
          <w:rFonts w:ascii="Palatino Linotype" w:eastAsia="Palatino Linotype" w:hAnsi="Palatino Linotype" w:cs="Palatino Linotype"/>
        </w:rPr>
        <w:t xml:space="preserve">) para publicar la información de los procedimientos </w:t>
      </w:r>
      <w:r w:rsidRPr="00B872C6">
        <w:t xml:space="preserve">de </w:t>
      </w:r>
      <w:r w:rsidRPr="00B872C6">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14:paraId="15C03006" w14:textId="77777777" w:rsidR="00DA0359" w:rsidRPr="00B872C6" w:rsidRDefault="00DA0359">
      <w:pPr>
        <w:spacing w:line="360" w:lineRule="auto"/>
        <w:jc w:val="both"/>
        <w:rPr>
          <w:rFonts w:ascii="Palatino Linotype" w:eastAsia="Palatino Linotype" w:hAnsi="Palatino Linotype" w:cs="Palatino Linotype"/>
        </w:rPr>
      </w:pPr>
    </w:p>
    <w:p w14:paraId="08FF1ECA"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3E4CDF3C" w14:textId="77777777" w:rsidR="00DA0359" w:rsidRPr="00B872C6" w:rsidRDefault="000879DB">
      <w:pPr>
        <w:ind w:left="851" w:right="851"/>
        <w:jc w:val="both"/>
        <w:rPr>
          <w:rFonts w:ascii="Palatino Linotype" w:eastAsia="Palatino Linotype" w:hAnsi="Palatino Linotype" w:cs="Palatino Linotype"/>
          <w:b/>
          <w:i/>
          <w:sz w:val="22"/>
          <w:szCs w:val="22"/>
          <w:u w:val="single"/>
        </w:rPr>
      </w:pPr>
      <w:r w:rsidRPr="00B872C6">
        <w:rPr>
          <w:rFonts w:ascii="Palatino Linotype" w:eastAsia="Palatino Linotype" w:hAnsi="Palatino Linotype" w:cs="Palatino Linotype"/>
          <w:b/>
          <w:i/>
          <w:sz w:val="22"/>
          <w:szCs w:val="22"/>
          <w:u w:val="single"/>
        </w:rPr>
        <w:t xml:space="preserve">a) De licitaciones públicas </w:t>
      </w:r>
      <w:r w:rsidRPr="00B872C6">
        <w:rPr>
          <w:rFonts w:ascii="Palatino Linotype" w:eastAsia="Palatino Linotype" w:hAnsi="Palatino Linotype" w:cs="Palatino Linotype"/>
          <w:i/>
          <w:sz w:val="22"/>
          <w:szCs w:val="22"/>
        </w:rPr>
        <w:t>o procedimientos de invitación restringida</w:t>
      </w:r>
      <w:r w:rsidRPr="00B872C6">
        <w:rPr>
          <w:rFonts w:ascii="Palatino Linotype" w:eastAsia="Palatino Linotype" w:hAnsi="Palatino Linotype" w:cs="Palatino Linotype"/>
          <w:b/>
          <w:i/>
          <w:sz w:val="22"/>
          <w:szCs w:val="22"/>
          <w:u w:val="single"/>
        </w:rPr>
        <w:t xml:space="preserve">: </w:t>
      </w:r>
    </w:p>
    <w:p w14:paraId="261CCEF3"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lastRenderedPageBreak/>
        <w:t xml:space="preserve">1. La convocatoria o invitación emitida, así como los fundamentos legales aplicados para llevarla a cabo; </w:t>
      </w:r>
    </w:p>
    <w:p w14:paraId="3A3C0510"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2. Los nombres de los participantes o invitados; </w:t>
      </w:r>
    </w:p>
    <w:p w14:paraId="2B9B06EA"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3. El nombre del ganador y las razones que lo justifican; </w:t>
      </w:r>
    </w:p>
    <w:p w14:paraId="7564F926"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4. El área solicitante y la responsable de su ejecución; </w:t>
      </w:r>
    </w:p>
    <w:p w14:paraId="3DB72536"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5. Las convocatorias e invitaciones emitidas; </w:t>
      </w:r>
    </w:p>
    <w:p w14:paraId="361B4C94"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6. Los dictámenes y fallo de adjudicación; </w:t>
      </w:r>
    </w:p>
    <w:p w14:paraId="505599F0" w14:textId="77777777" w:rsidR="00DA0359" w:rsidRPr="00B872C6" w:rsidRDefault="000879DB">
      <w:pPr>
        <w:ind w:left="851" w:right="851"/>
        <w:jc w:val="both"/>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t xml:space="preserve">7. El contrato y, en su caso, sus anexos; </w:t>
      </w:r>
    </w:p>
    <w:p w14:paraId="7EFF73A9"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290514AE"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42F71B79"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1CE5B6A5"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339C8892"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12. Los informes de avance físico y financiero sobre las obras o servicios contratados; </w:t>
      </w:r>
    </w:p>
    <w:p w14:paraId="17301E76"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13. El convenio de terminación; y </w:t>
      </w:r>
    </w:p>
    <w:p w14:paraId="2C0D4B0B"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14. El finiquito.</w:t>
      </w:r>
    </w:p>
    <w:p w14:paraId="1504A4FD"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b) De las adjudicaciones directas: </w:t>
      </w:r>
    </w:p>
    <w:p w14:paraId="6E3A3607"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 La propuesta enviada por el participante; </w:t>
      </w:r>
    </w:p>
    <w:p w14:paraId="4A37AC9E"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2. Los motivos y fundamentos legales aplicados para llevarla a cabo; </w:t>
      </w:r>
    </w:p>
    <w:p w14:paraId="54E60FD3"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3. La autorización del ejercicio de la opción; </w:t>
      </w:r>
    </w:p>
    <w:p w14:paraId="18F9F71C"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4. En su caso, las cotizaciones consideradas, especificando los nombres de los proveedores y los montos; </w:t>
      </w:r>
    </w:p>
    <w:p w14:paraId="48899E66"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5. El nombre de la persona física o moral adjudicada; </w:t>
      </w:r>
    </w:p>
    <w:p w14:paraId="628E95DB"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6. La unidad administrativa solicitante y la responsable de su ejecución; </w:t>
      </w:r>
    </w:p>
    <w:p w14:paraId="1317D47E"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143FA8C3"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93A0326"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9. Los informes de avance sobre las obras o servicios contratados; </w:t>
      </w:r>
    </w:p>
    <w:p w14:paraId="7197BF7D"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10. El convenio de terminación; y </w:t>
      </w:r>
    </w:p>
    <w:p w14:paraId="659A13D2"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11. El finiquito. </w:t>
      </w:r>
    </w:p>
    <w:p w14:paraId="62F75167"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w:t>
      </w:r>
      <w:r w:rsidRPr="00B872C6">
        <w:rPr>
          <w:rFonts w:ascii="Palatino Linotype" w:eastAsia="Palatino Linotype" w:hAnsi="Palatino Linotype" w:cs="Palatino Linotype"/>
          <w:i/>
          <w:sz w:val="22"/>
          <w:szCs w:val="22"/>
        </w:rPr>
        <w:lastRenderedPageBreak/>
        <w:t xml:space="preserve">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14:paraId="44FACEC2"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14:paraId="64DAC95B"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Licitación pública </w:t>
      </w:r>
    </w:p>
    <w:p w14:paraId="386BA2F1"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Invitación a cuando menos tres personas (restringida) </w:t>
      </w:r>
    </w:p>
    <w:p w14:paraId="1456CD32"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Adjudicación directa Para cada tipo de procedimiento se deberá especificar la materia: </w:t>
      </w:r>
    </w:p>
    <w:p w14:paraId="610AC23E"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Obra pública </w:t>
      </w:r>
    </w:p>
    <w:p w14:paraId="74CA9E82"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Servicios relacionados con obra pública </w:t>
      </w:r>
    </w:p>
    <w:p w14:paraId="1C2FE733"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Arrendamiento • Adquisición o </w:t>
      </w:r>
    </w:p>
    <w:p w14:paraId="74C560AC"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Servicios Y el carácter: </w:t>
      </w:r>
    </w:p>
    <w:p w14:paraId="531A9BD2"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Nacional </w:t>
      </w:r>
    </w:p>
    <w:p w14:paraId="3ED8B283"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 Internacional (en cualquier modalidad específica) </w:t>
      </w:r>
    </w:p>
    <w:p w14:paraId="1A4522A9"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14:paraId="694F636A"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25A5D84A"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Periodo de actualización: trimestral Conservar en el sitio de Internet: información vigente, es decir, los instrumentos jurídicos vigentes, contratos y convenios, aun </w:t>
      </w:r>
      <w:r w:rsidRPr="00B872C6">
        <w:rPr>
          <w:rFonts w:ascii="Palatino Linotype" w:eastAsia="Palatino Linotype" w:hAnsi="Palatino Linotype" w:cs="Palatino Linotype"/>
          <w:i/>
          <w:sz w:val="22"/>
          <w:szCs w:val="22"/>
        </w:rPr>
        <w:lastRenderedPageBreak/>
        <w:t xml:space="preserve">cuando éstos sean de ejercicios anteriores; la generada en el ejercicio en curso y la correspondiente a dos ejercicios anteriores. </w:t>
      </w:r>
    </w:p>
    <w:p w14:paraId="66674F3F"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Párrafo Modificado DOF 28/12/2020 </w:t>
      </w:r>
    </w:p>
    <w:p w14:paraId="2457FEDA"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Aplica a: todos los sujetos obligados” (Sic)</w:t>
      </w:r>
    </w:p>
    <w:p w14:paraId="5ED8B84D" w14:textId="77777777" w:rsidR="00DA0359" w:rsidRPr="00B872C6" w:rsidRDefault="00DA0359">
      <w:pPr>
        <w:pBdr>
          <w:top w:val="nil"/>
          <w:left w:val="nil"/>
          <w:bottom w:val="nil"/>
          <w:right w:val="nil"/>
          <w:between w:val="nil"/>
        </w:pBdr>
        <w:spacing w:line="360" w:lineRule="auto"/>
        <w:jc w:val="both"/>
        <w:rPr>
          <w:rFonts w:ascii="Palatino Linotype" w:eastAsia="Palatino Linotype" w:hAnsi="Palatino Linotype" w:cs="Palatino Linotype"/>
        </w:rPr>
      </w:pPr>
    </w:p>
    <w:p w14:paraId="3B234A46" w14:textId="77777777" w:rsidR="00DA0359" w:rsidRPr="00B872C6" w:rsidRDefault="000879DB">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También sobre los contratos, se trata de una obligación de transparencia en términos del artículo 92 previamente señalado fracción XXXII, que señala:</w:t>
      </w:r>
    </w:p>
    <w:p w14:paraId="53E53346" w14:textId="77777777" w:rsidR="00DA0359" w:rsidRPr="00B872C6" w:rsidRDefault="000879DB">
      <w:pPr>
        <w:ind w:left="851" w:right="8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14:paraId="1AECE816" w14:textId="77777777" w:rsidR="00DA0359" w:rsidRPr="00B872C6" w:rsidRDefault="00DA035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0D905DCD" w14:textId="77777777" w:rsidR="00DA0359" w:rsidRPr="00B872C6" w:rsidRDefault="000879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Que debe publicar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en su página oficial de la Información Pública de Oficio Mexiquense.</w:t>
      </w:r>
    </w:p>
    <w:p w14:paraId="766B31B9"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Precisado lo anterior, este Organismo Garante, procedió a la búsqueda de información que se relacione con lo solicitado en el presente asunto, localizándose que en el recurso de revisión </w:t>
      </w:r>
      <w:r w:rsidRPr="00B872C6">
        <w:rPr>
          <w:rFonts w:ascii="Palatino Linotype" w:eastAsia="Palatino Linotype" w:hAnsi="Palatino Linotype" w:cs="Palatino Linotype"/>
          <w:b/>
        </w:rPr>
        <w:t xml:space="preserve">05708/INFOEM/IP/RR/2023 </w:t>
      </w:r>
      <w:r w:rsidRPr="00B872C6">
        <w:rPr>
          <w:rFonts w:ascii="Palatino Linotype" w:eastAsia="Palatino Linotype" w:hAnsi="Palatino Linotype" w:cs="Palatino Linotype"/>
        </w:rPr>
        <w:t xml:space="preserve">relacionado con la solicitud número </w:t>
      </w:r>
      <w:r w:rsidRPr="00B872C6">
        <w:rPr>
          <w:rFonts w:ascii="Palatino Linotype" w:eastAsia="Palatino Linotype" w:hAnsi="Palatino Linotype" w:cs="Palatino Linotype"/>
          <w:b/>
        </w:rPr>
        <w:t xml:space="preserve">01248/ZINACANT/IP/2023, </w:t>
      </w:r>
      <w:r w:rsidRPr="00B872C6">
        <w:rPr>
          <w:rFonts w:ascii="Palatino Linotype" w:eastAsia="Palatino Linotype" w:hAnsi="Palatino Linotype" w:cs="Palatino Linotype"/>
        </w:rPr>
        <w:t xml:space="preserve">el Ayuntamiento de Zinacantepec a través de su Dirección de Administración hizo entrega de un contrato de servicios el cual se realizó mediante el procedimiento de licitación pública nacional presencial, de fecha 13 de julio del 2023; en donde el servicio contratado fue la presentación musical de la Banda </w:t>
      </w:r>
      <w:proofErr w:type="spellStart"/>
      <w:r w:rsidRPr="00B872C6">
        <w:rPr>
          <w:rFonts w:ascii="Palatino Linotype" w:eastAsia="Palatino Linotype" w:hAnsi="Palatino Linotype" w:cs="Palatino Linotype"/>
        </w:rPr>
        <w:t>Trakalosa</w:t>
      </w:r>
      <w:proofErr w:type="spellEnd"/>
      <w:r w:rsidRPr="00B872C6">
        <w:rPr>
          <w:rFonts w:ascii="Palatino Linotype" w:eastAsia="Palatino Linotype" w:hAnsi="Palatino Linotype" w:cs="Palatino Linotype"/>
        </w:rPr>
        <w:t xml:space="preserve"> por los eventos conmemorativos del Ayuntamiento de Zinacantepec, para el día 29 de agosto del año 2023, como se observa a continuación en las siguientes imágenes que se insertan de manera de ejemplo: </w:t>
      </w:r>
    </w:p>
    <w:p w14:paraId="095F8584"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lastRenderedPageBreak/>
        <w:drawing>
          <wp:inline distT="0" distB="0" distL="0" distR="0" wp14:anchorId="5D015A4E" wp14:editId="17F245C5">
            <wp:extent cx="5612130" cy="7291070"/>
            <wp:effectExtent l="0" t="0" r="0" b="0"/>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7291070"/>
                    </a:xfrm>
                    <a:prstGeom prst="rect">
                      <a:avLst/>
                    </a:prstGeom>
                    <a:ln/>
                  </pic:spPr>
                </pic:pic>
              </a:graphicData>
            </a:graphic>
          </wp:inline>
        </w:drawing>
      </w:r>
    </w:p>
    <w:p w14:paraId="3091BD72"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lastRenderedPageBreak/>
        <w:drawing>
          <wp:inline distT="0" distB="0" distL="0" distR="0" wp14:anchorId="446B4B77" wp14:editId="633AF735">
            <wp:extent cx="5619625" cy="3213100"/>
            <wp:effectExtent l="0" t="0" r="0" b="0"/>
            <wp:docPr id="2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9625" cy="3213100"/>
                    </a:xfrm>
                    <a:prstGeom prst="rect">
                      <a:avLst/>
                    </a:prstGeom>
                    <a:ln/>
                  </pic:spPr>
                </pic:pic>
              </a:graphicData>
            </a:graphic>
          </wp:inline>
        </w:drawing>
      </w:r>
    </w:p>
    <w:p w14:paraId="621D837F"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drawing>
          <wp:inline distT="0" distB="0" distL="0" distR="0" wp14:anchorId="682AAA6E" wp14:editId="47D939AB">
            <wp:extent cx="5631217" cy="1823762"/>
            <wp:effectExtent l="0" t="0" r="0" b="0"/>
            <wp:docPr id="2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31217" cy="1823762"/>
                    </a:xfrm>
                    <a:prstGeom prst="rect">
                      <a:avLst/>
                    </a:prstGeom>
                    <a:ln/>
                  </pic:spPr>
                </pic:pic>
              </a:graphicData>
            </a:graphic>
          </wp:inline>
        </w:drawing>
      </w:r>
    </w:p>
    <w:p w14:paraId="214A8B1C"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Asimismo, se localizó en la siguiente liga electrónica </w:t>
      </w:r>
      <w:hyperlink r:id="rId13">
        <w:r w:rsidRPr="00B872C6">
          <w:rPr>
            <w:rFonts w:ascii="Palatino Linotype" w:eastAsia="Palatino Linotype" w:hAnsi="Palatino Linotype" w:cs="Palatino Linotype"/>
            <w:u w:val="single"/>
          </w:rPr>
          <w:t>https://tolucalabellacd.com/2023/08/25/edomex/habitantes-zinacantepec-contra-festejos-203-aniversario-municipio-160494/</w:t>
        </w:r>
      </w:hyperlink>
      <w:r w:rsidRPr="00B872C6">
        <w:rPr>
          <w:rFonts w:ascii="Palatino Linotype" w:eastAsia="Palatino Linotype" w:hAnsi="Palatino Linotype" w:cs="Palatino Linotype"/>
        </w:rPr>
        <w:t xml:space="preserve">, un indicio en donde se había cancelado la presentación de la Banda </w:t>
      </w:r>
      <w:proofErr w:type="spellStart"/>
      <w:r w:rsidRPr="00B872C6">
        <w:rPr>
          <w:rFonts w:ascii="Palatino Linotype" w:eastAsia="Palatino Linotype" w:hAnsi="Palatino Linotype" w:cs="Palatino Linotype"/>
        </w:rPr>
        <w:t>Trakalosa</w:t>
      </w:r>
      <w:proofErr w:type="spellEnd"/>
      <w:r w:rsidRPr="00B872C6">
        <w:rPr>
          <w:rFonts w:ascii="Palatino Linotype" w:eastAsia="Palatino Linotype" w:hAnsi="Palatino Linotype" w:cs="Palatino Linotype"/>
        </w:rPr>
        <w:t xml:space="preserve"> en el Ayuntamiento de Zinacantepec, por problemas con la logística de la Banda y que en su lugar tocaría la Banda la Arrolladora Banda el Limón, el mismo 29 de agosto del año 2023 en la explanada </w:t>
      </w:r>
      <w:r w:rsidRPr="00B872C6">
        <w:rPr>
          <w:rFonts w:ascii="Palatino Linotype" w:eastAsia="Palatino Linotype" w:hAnsi="Palatino Linotype" w:cs="Palatino Linotype"/>
        </w:rPr>
        <w:lastRenderedPageBreak/>
        <w:t xml:space="preserve">del Jardín Constitución en el Centro del Municipio de Zinacantepec, como se observa a continuación: </w:t>
      </w:r>
    </w:p>
    <w:p w14:paraId="43C78132"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drawing>
          <wp:inline distT="0" distB="0" distL="0" distR="0" wp14:anchorId="73862AB0" wp14:editId="7D208C68">
            <wp:extent cx="5612130" cy="490093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4900930"/>
                    </a:xfrm>
                    <a:prstGeom prst="rect">
                      <a:avLst/>
                    </a:prstGeom>
                    <a:ln/>
                  </pic:spPr>
                </pic:pic>
              </a:graphicData>
            </a:graphic>
          </wp:inline>
        </w:drawing>
      </w:r>
      <w:r w:rsidRPr="00B872C6">
        <w:rPr>
          <w:rFonts w:ascii="Palatino Linotype" w:eastAsia="Palatino Linotype" w:hAnsi="Palatino Linotype" w:cs="Palatino Linotype"/>
        </w:rPr>
        <w:t xml:space="preserve">  </w:t>
      </w:r>
    </w:p>
    <w:p w14:paraId="57B434B4"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Con base a lo anterior, podemos concluir que hay un indicio de que la Banda </w:t>
      </w:r>
      <w:proofErr w:type="spellStart"/>
      <w:r w:rsidRPr="00B872C6">
        <w:rPr>
          <w:rFonts w:ascii="Palatino Linotype" w:eastAsia="Palatino Linotype" w:hAnsi="Palatino Linotype" w:cs="Palatino Linotype"/>
        </w:rPr>
        <w:t>Trakalosa</w:t>
      </w:r>
      <w:proofErr w:type="spellEnd"/>
      <w:r w:rsidRPr="00B872C6">
        <w:rPr>
          <w:rFonts w:ascii="Palatino Linotype" w:eastAsia="Palatino Linotype" w:hAnsi="Palatino Linotype" w:cs="Palatino Linotype"/>
        </w:rPr>
        <w:t xml:space="preserve"> de Monterrey, no se presentó el 29 de agosto del año 2023, sirve de sustento a lo anterior las siguientes tesis jurisprudenciales:</w:t>
      </w:r>
    </w:p>
    <w:p w14:paraId="3756B98E" w14:textId="77777777" w:rsidR="00DA0359" w:rsidRPr="00B872C6" w:rsidRDefault="00DA0359">
      <w:pPr>
        <w:pBdr>
          <w:top w:val="nil"/>
          <w:left w:val="nil"/>
          <w:bottom w:val="nil"/>
          <w:right w:val="nil"/>
          <w:between w:val="nil"/>
        </w:pBdr>
        <w:spacing w:line="360" w:lineRule="auto"/>
        <w:ind w:left="851" w:firstLine="707"/>
        <w:jc w:val="both"/>
        <w:rPr>
          <w:rFonts w:ascii="Palatino Linotype" w:eastAsia="Palatino Linotype" w:hAnsi="Palatino Linotype" w:cs="Palatino Linotype"/>
        </w:rPr>
      </w:pPr>
    </w:p>
    <w:p w14:paraId="15194019" w14:textId="77777777" w:rsidR="00DA0359" w:rsidRPr="00B872C6" w:rsidRDefault="000879DB">
      <w:pPr>
        <w:ind w:left="567" w:right="616"/>
        <w:jc w:val="center"/>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t>HECHOS NOTORIOS. CONCEPTOS GENERAL Y JURÍDICO</w:t>
      </w:r>
    </w:p>
    <w:p w14:paraId="04BCCBD0"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lastRenderedPageBreak/>
        <w:t xml:space="preserve">Conforme al artículo </w:t>
      </w:r>
      <w:hyperlink r:id="rId15">
        <w:r w:rsidRPr="00B872C6">
          <w:rPr>
            <w:rFonts w:ascii="Palatino Linotype" w:eastAsia="Palatino Linotype" w:hAnsi="Palatino Linotype" w:cs="Palatino Linotype"/>
            <w:b/>
            <w:i/>
            <w:sz w:val="22"/>
            <w:szCs w:val="22"/>
            <w:u w:val="single"/>
          </w:rPr>
          <w:t>88 del Código Federal de Procedimientos Civiles</w:t>
        </w:r>
      </w:hyperlink>
      <w:r w:rsidRPr="00B872C6">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B872C6">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B872C6">
        <w:rPr>
          <w:rFonts w:ascii="Palatino Linotype" w:eastAsia="Palatino Linotype" w:hAnsi="Palatino Linotype" w:cs="Palatino Linotype"/>
          <w:b/>
          <w:i/>
          <w:sz w:val="22"/>
          <w:szCs w:val="22"/>
        </w:rPr>
        <w:t>, a las vicisitudes de la vida pública actual o a circunstancias comúnmente conocidas en un determinado lugar</w:t>
      </w:r>
      <w:r w:rsidRPr="00B872C6">
        <w:rPr>
          <w:rFonts w:ascii="Palatino Linotype" w:eastAsia="Palatino Linotype" w:hAnsi="Palatino Linotype" w:cs="Palatino Linotype"/>
          <w:i/>
          <w:sz w:val="22"/>
          <w:szCs w:val="22"/>
        </w:rPr>
        <w:t xml:space="preserve">, </w:t>
      </w:r>
      <w:r w:rsidRPr="00B872C6">
        <w:rPr>
          <w:rFonts w:ascii="Palatino Linotype" w:eastAsia="Palatino Linotype" w:hAnsi="Palatino Linotype" w:cs="Palatino Linotype"/>
          <w:b/>
          <w:i/>
          <w:sz w:val="22"/>
          <w:szCs w:val="22"/>
        </w:rPr>
        <w:t>de modo que toda persona de ese medio esté en condiciones de saberlo</w:t>
      </w:r>
      <w:r w:rsidRPr="00B872C6">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9E39E09" w14:textId="77777777" w:rsidR="00DA0359" w:rsidRPr="00B872C6" w:rsidRDefault="00DA0359">
      <w:pPr>
        <w:ind w:left="567" w:right="616"/>
        <w:rPr>
          <w:rFonts w:ascii="Palatino Linotype" w:eastAsia="Palatino Linotype" w:hAnsi="Palatino Linotype" w:cs="Palatino Linotype"/>
          <w:i/>
          <w:sz w:val="22"/>
          <w:szCs w:val="22"/>
        </w:rPr>
      </w:pPr>
    </w:p>
    <w:p w14:paraId="0C32B74F"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10AF04BB"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255521CC" w14:textId="77777777" w:rsidR="00DA0359" w:rsidRPr="00B872C6" w:rsidRDefault="000879DB">
      <w:pPr>
        <w:ind w:left="567" w:right="616"/>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4DFE5ADD" w14:textId="77777777" w:rsidR="00DA0359" w:rsidRPr="00B872C6" w:rsidRDefault="00DA0359">
      <w:pPr>
        <w:ind w:left="567" w:right="616"/>
        <w:jc w:val="both"/>
        <w:rPr>
          <w:rFonts w:ascii="Palatino Linotype" w:eastAsia="Palatino Linotype" w:hAnsi="Palatino Linotype" w:cs="Palatino Linotype"/>
          <w:i/>
          <w:sz w:val="22"/>
          <w:szCs w:val="22"/>
        </w:rPr>
      </w:pPr>
    </w:p>
    <w:p w14:paraId="31F09C43" w14:textId="77777777" w:rsidR="00DA0359" w:rsidRPr="00B872C6" w:rsidRDefault="000879DB">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rPr>
      </w:pPr>
      <w:r w:rsidRPr="00B872C6">
        <w:rPr>
          <w:rFonts w:ascii="Palatino Linotype" w:eastAsia="Palatino Linotype" w:hAnsi="Palatino Linotype" w:cs="Palatino Linotype"/>
          <w:b/>
          <w:i/>
        </w:rPr>
        <w:t>PÁGINAS WEB O ELECTRÓNICAS. SU CONTENIDO ES UN HECHO NOTORIO Y SUSCEPTIBLE DE SER VALORADO EN UNA DECISIÓN JUDICIAL.</w:t>
      </w:r>
      <w:r w:rsidRPr="00B872C6">
        <w:t xml:space="preserve"> </w:t>
      </w:r>
      <w:r w:rsidRPr="00B872C6">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w:t>
      </w:r>
      <w:r w:rsidRPr="00B872C6">
        <w:rPr>
          <w:rFonts w:ascii="Palatino Linotype" w:eastAsia="Palatino Linotype" w:hAnsi="Palatino Linotype" w:cs="Palatino Linotype"/>
          <w:i/>
        </w:rPr>
        <w:lastRenderedPageBreak/>
        <w:t xml:space="preserve">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B872C6">
        <w:rPr>
          <w:rFonts w:ascii="Palatino Linotype" w:eastAsia="Palatino Linotype" w:hAnsi="Palatino Linotype" w:cs="Palatino Linotype"/>
          <w:i/>
        </w:rPr>
        <w:t>Mardygras</w:t>
      </w:r>
      <w:proofErr w:type="spellEnd"/>
      <w:r w:rsidRPr="00B872C6">
        <w:rPr>
          <w:rFonts w:ascii="Palatino Linotype" w:eastAsia="Palatino Linotype" w:hAnsi="Palatino Linotype" w:cs="Palatino Linotype"/>
          <w:i/>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B872C6">
        <w:rPr>
          <w:rFonts w:ascii="Palatino Linotype" w:eastAsia="Palatino Linotype" w:hAnsi="Palatino Linotype" w:cs="Palatino Linotype"/>
          <w:i/>
        </w:rPr>
        <w:t>Pag</w:t>
      </w:r>
      <w:proofErr w:type="spellEnd"/>
      <w:r w:rsidRPr="00B872C6">
        <w:rPr>
          <w:rFonts w:ascii="Palatino Linotype" w:eastAsia="Palatino Linotype" w:hAnsi="Palatino Linotype" w:cs="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w:t>
      </w:r>
      <w:r w:rsidRPr="00B872C6">
        <w:rPr>
          <w:rFonts w:ascii="Palatino Linotype" w:eastAsia="Palatino Linotype" w:hAnsi="Palatino Linotype" w:cs="Palatino Linotype"/>
          <w:i/>
        </w:rPr>
        <w:lastRenderedPageBreak/>
        <w:t>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76A79738"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Regresando con el contrato, antes referido, dentro del mismo se establecieron la cláusula séptima, octava y décimo tercera, en donde se estipuló lo siguiente:</w:t>
      </w:r>
    </w:p>
    <w:p w14:paraId="16613A3B"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drawing>
          <wp:inline distT="0" distB="0" distL="0" distR="0" wp14:anchorId="64B77654" wp14:editId="6D435ACA">
            <wp:extent cx="5612130" cy="604520"/>
            <wp:effectExtent l="0" t="0" r="0" b="0"/>
            <wp:docPr id="2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604520"/>
                    </a:xfrm>
                    <a:prstGeom prst="rect">
                      <a:avLst/>
                    </a:prstGeom>
                    <a:ln/>
                  </pic:spPr>
                </pic:pic>
              </a:graphicData>
            </a:graphic>
          </wp:inline>
        </w:drawing>
      </w:r>
    </w:p>
    <w:p w14:paraId="2B0398B7"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drawing>
          <wp:inline distT="0" distB="0" distL="0" distR="0" wp14:anchorId="4BFEF543" wp14:editId="0F13EB2D">
            <wp:extent cx="5619755" cy="2921154"/>
            <wp:effectExtent l="0" t="0" r="0" b="0"/>
            <wp:docPr id="2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619755" cy="2921154"/>
                    </a:xfrm>
                    <a:prstGeom prst="rect">
                      <a:avLst/>
                    </a:prstGeom>
                    <a:ln/>
                  </pic:spPr>
                </pic:pic>
              </a:graphicData>
            </a:graphic>
          </wp:inline>
        </w:drawing>
      </w:r>
    </w:p>
    <w:p w14:paraId="44066F8F"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lastRenderedPageBreak/>
        <w:drawing>
          <wp:inline distT="0" distB="0" distL="0" distR="0" wp14:anchorId="0A31DD0A" wp14:editId="35F98B3F">
            <wp:extent cx="5612130" cy="1205230"/>
            <wp:effectExtent l="0" t="0" r="0" b="0"/>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1205230"/>
                    </a:xfrm>
                    <a:prstGeom prst="rect">
                      <a:avLst/>
                    </a:prstGeom>
                    <a:ln/>
                  </pic:spPr>
                </pic:pic>
              </a:graphicData>
            </a:graphic>
          </wp:inline>
        </w:drawing>
      </w:r>
    </w:p>
    <w:p w14:paraId="45F29AF0"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noProof/>
          <w:lang w:val="es-MX"/>
        </w:rPr>
        <w:drawing>
          <wp:inline distT="0" distB="0" distL="0" distR="0" wp14:anchorId="415FB5B8" wp14:editId="0FCB38C7">
            <wp:extent cx="5612130" cy="1148715"/>
            <wp:effectExtent l="0" t="0" r="0" b="0"/>
            <wp:docPr id="2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2130" cy="1148715"/>
                    </a:xfrm>
                    <a:prstGeom prst="rect">
                      <a:avLst/>
                    </a:prstGeom>
                    <a:ln/>
                  </pic:spPr>
                </pic:pic>
              </a:graphicData>
            </a:graphic>
          </wp:inline>
        </w:drawing>
      </w:r>
    </w:p>
    <w:p w14:paraId="072EC8CD"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En donde se establece que el contrato de prestación de servicios por el evento musical, referido, podría ser:</w:t>
      </w:r>
    </w:p>
    <w:p w14:paraId="28DA0B42"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b/>
        </w:rPr>
        <w:t>Rescindido</w:t>
      </w:r>
      <w:r w:rsidRPr="00B872C6">
        <w:rPr>
          <w:rFonts w:ascii="Palatino Linotype" w:eastAsia="Palatino Linotype" w:hAnsi="Palatino Linotype" w:cs="Palatino Linotype"/>
        </w:rPr>
        <w:t>, ya sea porque el prestador del servicio no ejecute el cumplimiento de acuerdo con los datos y especificaciones convenidas y precisadas en el contrato, no realice la presentación de los servicios, ceda, traspase u subcontrate la totalidad o parte del contrato, sea declarado en concurso mercantil en quiebra o suspensión de pagos, cambie su nacionalidad mexicana por otra, se encuentre en situación de mora o adeudo, incumplimiento de sus obligaciones contratadas, siendo extranjero invoque la protección de su gobierno</w:t>
      </w:r>
    </w:p>
    <w:p w14:paraId="4FEEB1F3"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Darlo por terminado de manera anticipada, </w:t>
      </w:r>
      <w:r w:rsidRPr="00B872C6">
        <w:rPr>
          <w:rFonts w:ascii="Palatino Linotype" w:eastAsia="Palatino Linotype" w:hAnsi="Palatino Linotype" w:cs="Palatino Linotype"/>
        </w:rPr>
        <w:t>cuando se originen razones de interés general o bien, cuando por causas justificadas se extinga la necesidad de requerir los servicios originalmente contratado y por causas imputables al prestador del servicio.</w:t>
      </w:r>
    </w:p>
    <w:p w14:paraId="132DA25A"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b/>
        </w:rPr>
        <w:lastRenderedPageBreak/>
        <w:t>Terminación del Contrato</w:t>
      </w:r>
      <w:r w:rsidRPr="00B872C6">
        <w:rPr>
          <w:rFonts w:ascii="Palatino Linotype" w:eastAsia="Palatino Linotype" w:hAnsi="Palatino Linotype" w:cs="Palatino Linotype"/>
        </w:rPr>
        <w:t>, cuando se comprueben diferencias en la calidad del servicio suministrado.</w:t>
      </w:r>
    </w:p>
    <w:p w14:paraId="58BA1FD3"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los casos de rescisión y terminación anticipada, se debe notificar al prestador del servicio con diez días de anticipación. </w:t>
      </w:r>
    </w:p>
    <w:p w14:paraId="7763C647"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Con lo cual se acredita que la presentación de la Banda </w:t>
      </w:r>
      <w:proofErr w:type="spellStart"/>
      <w:r w:rsidRPr="00B872C6">
        <w:rPr>
          <w:rFonts w:ascii="Palatino Linotype" w:eastAsia="Palatino Linotype" w:hAnsi="Palatino Linotype" w:cs="Palatino Linotype"/>
        </w:rPr>
        <w:t>Trakalosa</w:t>
      </w:r>
      <w:proofErr w:type="spellEnd"/>
      <w:r w:rsidRPr="00B872C6">
        <w:rPr>
          <w:rFonts w:ascii="Palatino Linotype" w:eastAsia="Palatino Linotype" w:hAnsi="Palatino Linotype" w:cs="Palatino Linotype"/>
        </w:rPr>
        <w:t xml:space="preserve"> de Monterrey pactada para llevarse a cabo el 29 de agosto del año 2023, pudo haberse cancelado por parte del Ayuntamiento de Zinacantepec por causas imputables al prestador del servicio; sin embargo, si bien la Titular de la Unidad de Transparencia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en respuesta señaló que adjuntaba la respuesta de la Dirección de Administración, quien efectivamente es el área competente para conocer de la información solicitada</w:t>
      </w:r>
      <w:r w:rsidRPr="00B872C6">
        <w:rPr>
          <w:rFonts w:ascii="Palatino Linotype" w:eastAsia="Palatino Linotype" w:hAnsi="Palatino Linotype" w:cs="Palatino Linotype"/>
          <w:b/>
        </w:rPr>
        <w:t>,</w:t>
      </w:r>
      <w:r w:rsidRPr="00B872C6">
        <w:rPr>
          <w:rFonts w:ascii="Palatino Linotype" w:eastAsia="Palatino Linotype" w:hAnsi="Palatino Linotype" w:cs="Palatino Linotype"/>
        </w:rPr>
        <w:t xml:space="preserve"> en términos de lo señalado por el artículo 53 del Reglamento Orgánico Municipal de Zinacantepec 2022-2024, que señala:</w:t>
      </w:r>
    </w:p>
    <w:p w14:paraId="49BA8FD2" w14:textId="77777777" w:rsidR="00DA0359" w:rsidRPr="00B872C6" w:rsidRDefault="000879DB">
      <w:pPr>
        <w:widowControl w:val="0"/>
        <w:tabs>
          <w:tab w:val="left" w:pos="1276"/>
        </w:tabs>
        <w:ind w:left="851" w:right="902"/>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“Artículo 53. Además de las previstas en las disposiciones normativas y administrativas en la materia, la Dirección de Administración tiene las siguientes funciones y atribuciones:</w:t>
      </w:r>
      <w:r w:rsidRPr="00B872C6">
        <w:rPr>
          <w:rFonts w:ascii="Palatino Linotype" w:eastAsia="Palatino Linotype" w:hAnsi="Palatino Linotype" w:cs="Palatino Linotype"/>
          <w:i/>
          <w:sz w:val="22"/>
          <w:szCs w:val="22"/>
        </w:rPr>
        <w:br/>
        <w:t>I. Vigilar el cumplimiento de los lineamientos sobre los procesos de selección, adquisición y mantenimiento del mobiliario y recursos materiales, así como en el reclutamiento y selección de personal;</w:t>
      </w:r>
      <w:r w:rsidRPr="00B872C6">
        <w:rPr>
          <w:rFonts w:ascii="Palatino Linotype" w:eastAsia="Palatino Linotype" w:hAnsi="Palatino Linotype" w:cs="Palatino Linotype"/>
          <w:i/>
          <w:sz w:val="22"/>
          <w:szCs w:val="22"/>
        </w:rPr>
        <w:br/>
        <w:t>II. Mantener el resguardo y actualización del Archivo de personal del Ayuntamiento;</w:t>
      </w:r>
      <w:r w:rsidRPr="00B872C6">
        <w:rPr>
          <w:rFonts w:ascii="Palatino Linotype" w:eastAsia="Palatino Linotype" w:hAnsi="Palatino Linotype" w:cs="Palatino Linotype"/>
          <w:i/>
          <w:sz w:val="22"/>
          <w:szCs w:val="22"/>
        </w:rPr>
        <w:br/>
        <w:t>III. Promover la implantación de sistemas y procedimientos administrativos en la Dirección de Administración;</w:t>
      </w:r>
      <w:r w:rsidRPr="00B872C6">
        <w:rPr>
          <w:rFonts w:ascii="Palatino Linotype" w:eastAsia="Palatino Linotype" w:hAnsi="Palatino Linotype" w:cs="Palatino Linotype"/>
          <w:i/>
          <w:sz w:val="22"/>
          <w:szCs w:val="22"/>
        </w:rPr>
        <w:br/>
        <w:t>IV. Fijar políticas y estrategias para contribuir a conservar y mejorar el ambiente laboral;</w:t>
      </w:r>
      <w:r w:rsidRPr="00B872C6">
        <w:rPr>
          <w:rFonts w:ascii="Palatino Linotype" w:eastAsia="Palatino Linotype" w:hAnsi="Palatino Linotype" w:cs="Palatino Linotype"/>
          <w:i/>
          <w:sz w:val="22"/>
          <w:szCs w:val="22"/>
        </w:rPr>
        <w:br/>
        <w:t>V. Reclutar y asignar a las diversas áreas de la Administración Pública Municipal, el personal que se requiera para llevar a cabo sus objetivos;</w:t>
      </w:r>
      <w:r w:rsidRPr="00B872C6">
        <w:rPr>
          <w:rFonts w:ascii="Palatino Linotype" w:eastAsia="Palatino Linotype" w:hAnsi="Palatino Linotype" w:cs="Palatino Linotype"/>
          <w:i/>
          <w:sz w:val="22"/>
          <w:szCs w:val="22"/>
        </w:rPr>
        <w:br/>
      </w:r>
      <w:r w:rsidRPr="00B872C6">
        <w:rPr>
          <w:rFonts w:ascii="Palatino Linotype" w:eastAsia="Palatino Linotype" w:hAnsi="Palatino Linotype" w:cs="Palatino Linotype"/>
          <w:b/>
          <w:i/>
          <w:sz w:val="22"/>
          <w:szCs w:val="22"/>
        </w:rPr>
        <w:t xml:space="preserve">VI. </w:t>
      </w:r>
      <w:r w:rsidRPr="00B872C6">
        <w:rPr>
          <w:rFonts w:ascii="Palatino Linotype" w:eastAsia="Palatino Linotype" w:hAnsi="Palatino Linotype" w:cs="Palatino Linotype"/>
          <w:i/>
          <w:sz w:val="22"/>
          <w:szCs w:val="22"/>
        </w:rPr>
        <w:t xml:space="preserve">Desarrollar un registro para el control de asistencias, nombramientos, remociones, renuncias, licencias, cambios de adscripción, promociones, incapacidades, vacaciones, días no laborables, y demás días de inconsistencia en </w:t>
      </w:r>
      <w:r w:rsidRPr="00B872C6">
        <w:rPr>
          <w:rFonts w:ascii="Palatino Linotype" w:eastAsia="Palatino Linotype" w:hAnsi="Palatino Linotype" w:cs="Palatino Linotype"/>
          <w:i/>
          <w:sz w:val="22"/>
          <w:szCs w:val="22"/>
        </w:rPr>
        <w:lastRenderedPageBreak/>
        <w:t>los Servidores Públicos Municipales;</w:t>
      </w:r>
      <w:r w:rsidRPr="00B872C6">
        <w:rPr>
          <w:rFonts w:ascii="Palatino Linotype" w:eastAsia="Palatino Linotype" w:hAnsi="Palatino Linotype" w:cs="Palatino Linotype"/>
          <w:i/>
          <w:sz w:val="22"/>
          <w:szCs w:val="22"/>
        </w:rPr>
        <w:br/>
        <w:t>VII. Proveer de insumos, bienes y servicios generales que requieran las distintas áreas que conforman la Administración Pública Municipal, para su buen funcionamiento;</w:t>
      </w:r>
      <w:r w:rsidRPr="00B872C6">
        <w:rPr>
          <w:rFonts w:ascii="Palatino Linotype" w:eastAsia="Palatino Linotype" w:hAnsi="Palatino Linotype" w:cs="Palatino Linotype"/>
          <w:i/>
          <w:sz w:val="22"/>
          <w:szCs w:val="22"/>
        </w:rPr>
        <w:br/>
        <w:t>VIII. Diseñar políticas para el mantenimiento de los bienes muebles e inmuebles de las diferentes áreas de la Administración Pública Municipal;</w:t>
      </w:r>
      <w:r w:rsidRPr="00B872C6">
        <w:rPr>
          <w:rFonts w:ascii="Palatino Linotype" w:eastAsia="Palatino Linotype" w:hAnsi="Palatino Linotype" w:cs="Palatino Linotype"/>
          <w:i/>
          <w:sz w:val="22"/>
          <w:szCs w:val="22"/>
        </w:rPr>
        <w:br/>
        <w:t>IX. Evaluar programas, procesos y procedimientos para la elaboración y pago de nómina;</w:t>
      </w:r>
      <w:r w:rsidRPr="00B872C6">
        <w:rPr>
          <w:rFonts w:ascii="Palatino Linotype" w:eastAsia="Palatino Linotype" w:hAnsi="Palatino Linotype" w:cs="Palatino Linotype"/>
          <w:i/>
          <w:sz w:val="22"/>
          <w:szCs w:val="22"/>
        </w:rPr>
        <w:br/>
        <w:t>X. Implementar estrategias y políticas en los programas de profesionalización de los Servidores Públicos Municipales;</w:t>
      </w:r>
      <w:r w:rsidRPr="00B872C6">
        <w:rPr>
          <w:rFonts w:ascii="Palatino Linotype" w:eastAsia="Palatino Linotype" w:hAnsi="Palatino Linotype" w:cs="Palatino Linotype"/>
          <w:i/>
          <w:sz w:val="22"/>
          <w:szCs w:val="22"/>
        </w:rPr>
        <w:br/>
        <w:t>XI. Hacer más eficientes los recursos materiales del Municipio;</w:t>
      </w:r>
      <w:r w:rsidRPr="00B872C6">
        <w:rPr>
          <w:rFonts w:ascii="Palatino Linotype" w:eastAsia="Palatino Linotype" w:hAnsi="Palatino Linotype" w:cs="Palatino Linotype"/>
          <w:i/>
          <w:sz w:val="22"/>
          <w:szCs w:val="22"/>
        </w:rPr>
        <w:br/>
      </w:r>
      <w:r w:rsidRPr="00B872C6">
        <w:rPr>
          <w:rFonts w:ascii="Palatino Linotype" w:eastAsia="Palatino Linotype" w:hAnsi="Palatino Linotype" w:cs="Palatino Linotype"/>
          <w:b/>
          <w:i/>
          <w:sz w:val="22"/>
          <w:szCs w:val="22"/>
        </w:rPr>
        <w:t xml:space="preserve">XII. Llevar a cabo </w:t>
      </w:r>
      <w:r w:rsidRPr="00B872C6">
        <w:rPr>
          <w:rFonts w:ascii="Palatino Linotype" w:eastAsia="Palatino Linotype" w:hAnsi="Palatino Linotype" w:cs="Palatino Linotype"/>
          <w:i/>
          <w:sz w:val="22"/>
          <w:szCs w:val="22"/>
        </w:rPr>
        <w:t>las adquisiciones de bienes, arrendamiento de bienes muebles y</w:t>
      </w:r>
      <w:r w:rsidRPr="00B872C6">
        <w:rPr>
          <w:rFonts w:ascii="Palatino Linotype" w:eastAsia="Palatino Linotype" w:hAnsi="Palatino Linotype" w:cs="Palatino Linotype"/>
          <w:b/>
          <w:i/>
          <w:sz w:val="22"/>
          <w:szCs w:val="22"/>
        </w:rPr>
        <w:t xml:space="preserve"> la contratación de servicios que requieran las distintas áreas, ajustándose en su caso las disposiciones legales de la materia;</w:t>
      </w:r>
      <w:r w:rsidRPr="00B872C6">
        <w:rPr>
          <w:rFonts w:ascii="Palatino Linotype" w:eastAsia="Palatino Linotype" w:hAnsi="Palatino Linotype" w:cs="Palatino Linotype"/>
          <w:b/>
          <w:i/>
          <w:sz w:val="22"/>
          <w:szCs w:val="22"/>
        </w:rPr>
        <w:br/>
        <w:t xml:space="preserve">XIII. Programar, organizar, integrar, dirigir, controlar y ejecutar las licitaciones públicas, invitaciones restringidas y las adjudicaciones directas que se requieren para </w:t>
      </w:r>
      <w:r w:rsidRPr="00B872C6">
        <w:rPr>
          <w:rFonts w:ascii="Palatino Linotype" w:eastAsia="Palatino Linotype" w:hAnsi="Palatino Linotype" w:cs="Palatino Linotype"/>
          <w:i/>
          <w:sz w:val="22"/>
          <w:szCs w:val="22"/>
        </w:rPr>
        <w:t>la adquisición</w:t>
      </w:r>
      <w:r w:rsidRPr="00B872C6">
        <w:rPr>
          <w:rFonts w:ascii="Palatino Linotype" w:eastAsia="Palatino Linotype" w:hAnsi="Palatino Linotype" w:cs="Palatino Linotype"/>
          <w:b/>
          <w:i/>
          <w:sz w:val="22"/>
          <w:szCs w:val="22"/>
        </w:rPr>
        <w:t xml:space="preserve"> </w:t>
      </w:r>
      <w:r w:rsidRPr="00B872C6">
        <w:rPr>
          <w:rFonts w:ascii="Palatino Linotype" w:eastAsia="Palatino Linotype" w:hAnsi="Palatino Linotype" w:cs="Palatino Linotype"/>
          <w:i/>
          <w:sz w:val="22"/>
          <w:szCs w:val="22"/>
        </w:rPr>
        <w:t xml:space="preserve">y arrendamiento de bienes muebles y </w:t>
      </w:r>
      <w:r w:rsidRPr="00B872C6">
        <w:rPr>
          <w:rFonts w:ascii="Palatino Linotype" w:eastAsia="Palatino Linotype" w:hAnsi="Palatino Linotype" w:cs="Palatino Linotype"/>
          <w:b/>
          <w:i/>
          <w:sz w:val="22"/>
          <w:szCs w:val="22"/>
        </w:rPr>
        <w:t>la prestación de servicios que requieran las áreas que integran de acuerdo a los requisitos establecidos en las diversas disposiciones legales aplicables</w:t>
      </w: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i/>
          <w:sz w:val="22"/>
          <w:szCs w:val="22"/>
        </w:rPr>
        <w:br/>
        <w:t>XIV. Integrar el programa anual de adquisiciones en coordinación con las dependencias de la Administración Pública Municipal;</w:t>
      </w:r>
      <w:r w:rsidRPr="00B872C6">
        <w:rPr>
          <w:rFonts w:ascii="Palatino Linotype" w:eastAsia="Palatino Linotype" w:hAnsi="Palatino Linotype" w:cs="Palatino Linotype"/>
          <w:i/>
          <w:sz w:val="22"/>
          <w:szCs w:val="22"/>
        </w:rPr>
        <w:br/>
        <w:t>XV. Emitir los gafetes que acrediten a los servidores públicos de la Administración Municipal;</w:t>
      </w:r>
      <w:r w:rsidRPr="00B872C6">
        <w:rPr>
          <w:rFonts w:ascii="Palatino Linotype" w:eastAsia="Palatino Linotype" w:hAnsi="Palatino Linotype" w:cs="Palatino Linotype"/>
          <w:i/>
          <w:sz w:val="22"/>
          <w:szCs w:val="22"/>
        </w:rPr>
        <w:br/>
        <w:t>XVI. Establecer controles del estado físico y mantenimiento del parque vehicular oficial, así como del pago de sus obligaciones fiscales y administrativas;</w:t>
      </w:r>
      <w:r w:rsidRPr="00B872C6">
        <w:rPr>
          <w:rFonts w:ascii="Palatino Linotype" w:eastAsia="Palatino Linotype" w:hAnsi="Palatino Linotype" w:cs="Palatino Linotype"/>
          <w:i/>
          <w:sz w:val="22"/>
          <w:szCs w:val="22"/>
        </w:rPr>
        <w:br/>
        <w:t>XVII. Participar en las negociaciones socio- económicas con el Sindicato Único de los Trabajadores de los Poderes, Municipios e Instituciones Descentralizadas del Estado de México (S.U.T.E.Y.M.) y;</w:t>
      </w:r>
      <w:r w:rsidRPr="00B872C6">
        <w:rPr>
          <w:rFonts w:ascii="Palatino Linotype" w:eastAsia="Palatino Linotype" w:hAnsi="Palatino Linotype" w:cs="Palatino Linotype"/>
          <w:i/>
          <w:sz w:val="22"/>
          <w:szCs w:val="22"/>
        </w:rPr>
        <w:br/>
        <w:t>XVIII. Las demás que señalan las leyes, reglamentos y disposiciones jurídicas aplicables, o las que señale el Presidente Municipal.”(Sic)</w:t>
      </w:r>
    </w:p>
    <w:p w14:paraId="152C5936" w14:textId="77777777" w:rsidR="00DA0359" w:rsidRPr="00B872C6" w:rsidRDefault="00DA0359">
      <w:pPr>
        <w:spacing w:line="360" w:lineRule="auto"/>
        <w:jc w:val="both"/>
        <w:rPr>
          <w:rFonts w:ascii="Palatino Linotype" w:eastAsia="Palatino Linotype" w:hAnsi="Palatino Linotype" w:cs="Palatino Linotype"/>
        </w:rPr>
      </w:pPr>
    </w:p>
    <w:p w14:paraId="61673200"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Lo cierto es que fue omisa en anexar la respuesta de dicha Dirección, con lo cual se determina que la respuesta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careció de los principios de congruencia y exhaustividad, como refuerzo de lo anterior, resulta crucial el </w:t>
      </w:r>
      <w:r w:rsidRPr="00B872C6">
        <w:rPr>
          <w:rFonts w:ascii="Palatino Linotype" w:eastAsia="Palatino Linotype" w:hAnsi="Palatino Linotype" w:cs="Palatino Linotype"/>
        </w:rPr>
        <w:lastRenderedPageBreak/>
        <w:t>Criterio 02/17, emitido por el Pleno del Instituto Nacional de Transparencia y Acceso a la Información y Protección de Datos Personales, de título y texto siguientes:</w:t>
      </w:r>
    </w:p>
    <w:p w14:paraId="4EF60B7B" w14:textId="77777777" w:rsidR="00DA0359" w:rsidRPr="00B872C6" w:rsidRDefault="000879DB">
      <w:pPr>
        <w:spacing w:before="80" w:after="240"/>
        <w:ind w:left="567" w:right="900"/>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 xml:space="preserve">“Congruencia y exhaustividad. Sus alcances para garantizar el derecho de acceso a la información. </w:t>
      </w:r>
      <w:r w:rsidRPr="00B872C6">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872C6">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B872C6">
        <w:rPr>
          <w:rFonts w:ascii="Palatino Linotype" w:eastAsia="Palatino Linotype" w:hAnsi="Palatino Linotype" w:cs="Palatino Linotype"/>
          <w:i/>
          <w:sz w:val="22"/>
          <w:szCs w:val="22"/>
        </w:rPr>
        <w:t xml:space="preserve">; mientras que </w:t>
      </w:r>
      <w:r w:rsidRPr="00B872C6">
        <w:rPr>
          <w:rFonts w:ascii="Palatino Linotype" w:eastAsia="Palatino Linotype" w:hAnsi="Palatino Linotype" w:cs="Palatino Linotype"/>
          <w:b/>
          <w:i/>
          <w:sz w:val="22"/>
          <w:szCs w:val="22"/>
        </w:rPr>
        <w:t>la exhaustividad significa que dicha respuesta se refiera expresamente a cada uno de los puntos solicitados</w:t>
      </w:r>
      <w:r w:rsidRPr="00B872C6">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0235396" w14:textId="77777777" w:rsidR="00DA0359" w:rsidRPr="00B872C6" w:rsidRDefault="000879DB">
      <w:pPr>
        <w:spacing w:before="240" w:after="240"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Razones por las cuales lo precedente es ordenar una nueva búsqueda exhaustiva y razonable del documento en donde conste la cancelación del contrato relativo a la presentación del grupo musical referido en la solicitud, generada al veinticuatro de agosto del año dos mil veintitrés, de ser procedente en versión pública conforme a lo señalado en el considerando quinto del presente fallo. </w:t>
      </w:r>
    </w:p>
    <w:p w14:paraId="764A7C87" w14:textId="77777777" w:rsidR="00DA0359" w:rsidRPr="00B872C6" w:rsidRDefault="000879DB">
      <w:pPr>
        <w:spacing w:before="240" w:after="240" w:line="360" w:lineRule="auto"/>
        <w:ind w:right="40"/>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rPr>
        <w:t>Para el caso de que no haya generado la información que se ordena, bastará que así se lo haga saber de manera fundada y motivada en términos de lo señalado por el segundo párrafo del artículo 19 de la Ley en la materia.</w:t>
      </w:r>
    </w:p>
    <w:p w14:paraId="22983B7C" w14:textId="77777777"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Quinto. Versión Pública. </w:t>
      </w:r>
      <w:r w:rsidRPr="00B872C6">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B872C6">
        <w:rPr>
          <w:rFonts w:ascii="Palatino Linotype" w:eastAsia="Palatino Linotype" w:hAnsi="Palatino Linotype" w:cs="Palatino Linotype"/>
        </w:rPr>
        <w:lastRenderedPageBreak/>
        <w:t xml:space="preserve">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sin menoscabar el derecho a la protección de los datos personales de terceros.</w:t>
      </w:r>
    </w:p>
    <w:p w14:paraId="452EC203" w14:textId="77777777" w:rsidR="00DA0359" w:rsidRPr="00B872C6" w:rsidRDefault="000879DB">
      <w:pPr>
        <w:spacing w:after="240"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DD5CF3F" w14:textId="77777777" w:rsidR="00DA0359" w:rsidRPr="00B872C6" w:rsidRDefault="000879DB">
      <w:pPr>
        <w:ind w:left="993" w:right="1041"/>
        <w:jc w:val="both"/>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t xml:space="preserve"> “Artículo 3. Para los efectos de la presente Ley se entenderá por:</w:t>
      </w:r>
    </w:p>
    <w:p w14:paraId="7E7C7BC6"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IX. Datos personales:</w:t>
      </w:r>
      <w:r w:rsidRPr="00B872C6">
        <w:rPr>
          <w:rFonts w:ascii="Palatino Linotype" w:eastAsia="Palatino Linotype" w:hAnsi="Palatino Linotype" w:cs="Palatino Linotype"/>
          <w:i/>
          <w:sz w:val="22"/>
          <w:szCs w:val="22"/>
        </w:rPr>
        <w:t xml:space="preserve"> </w:t>
      </w:r>
      <w:r w:rsidRPr="00B872C6">
        <w:rPr>
          <w:rFonts w:ascii="Palatino Linotype" w:eastAsia="Palatino Linotype" w:hAnsi="Palatino Linotype" w:cs="Palatino Linotype"/>
          <w:b/>
          <w:i/>
          <w:sz w:val="22"/>
          <w:szCs w:val="22"/>
        </w:rPr>
        <w:t>La información concerniente a una persona, identificada o identificable</w:t>
      </w:r>
      <w:r w:rsidRPr="00B872C6">
        <w:rPr>
          <w:rFonts w:ascii="Palatino Linotype" w:eastAsia="Palatino Linotype" w:hAnsi="Palatino Linotype" w:cs="Palatino Linotype"/>
          <w:i/>
          <w:sz w:val="22"/>
          <w:szCs w:val="22"/>
        </w:rPr>
        <w:t xml:space="preserve"> según lo dispuesto por la Ley de Protección de Datos Personales del Estado de México;</w:t>
      </w:r>
    </w:p>
    <w:p w14:paraId="08A55D9C"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XX. Información clasificada:</w:t>
      </w:r>
      <w:r w:rsidRPr="00B872C6">
        <w:rPr>
          <w:rFonts w:ascii="Palatino Linotype" w:eastAsia="Palatino Linotype" w:hAnsi="Palatino Linotype" w:cs="Palatino Linotype"/>
          <w:i/>
          <w:sz w:val="22"/>
          <w:szCs w:val="22"/>
        </w:rPr>
        <w:t xml:space="preserve"> Aquella considerada por la presente Ley como reservada o confidencial;</w:t>
      </w:r>
    </w:p>
    <w:p w14:paraId="4B04D4C1"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XXXII. Protección de Datos Personales:</w:t>
      </w:r>
      <w:r w:rsidRPr="00B872C6">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362DAF7"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XLV. Versión pública</w:t>
      </w:r>
      <w:r w:rsidRPr="00B872C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276E9F4" w14:textId="77777777" w:rsidR="00DA0359" w:rsidRPr="00B872C6" w:rsidRDefault="00DA0359">
      <w:pPr>
        <w:ind w:left="993" w:right="1041"/>
        <w:jc w:val="both"/>
        <w:rPr>
          <w:rFonts w:ascii="Palatino Linotype" w:eastAsia="Palatino Linotype" w:hAnsi="Palatino Linotype" w:cs="Palatino Linotype"/>
          <w:i/>
          <w:sz w:val="22"/>
          <w:szCs w:val="22"/>
        </w:rPr>
      </w:pPr>
    </w:p>
    <w:p w14:paraId="36FA26A2"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“Artículo 6.</w:t>
      </w:r>
      <w:r w:rsidRPr="00B872C6">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5A8EB65" w14:textId="77777777" w:rsidR="00DA0359" w:rsidRPr="00B872C6" w:rsidRDefault="00DA0359">
      <w:pPr>
        <w:ind w:left="993" w:right="1041"/>
        <w:jc w:val="both"/>
        <w:rPr>
          <w:rFonts w:ascii="Palatino Linotype" w:eastAsia="Palatino Linotype" w:hAnsi="Palatino Linotype" w:cs="Palatino Linotype"/>
          <w:i/>
          <w:sz w:val="22"/>
          <w:szCs w:val="22"/>
        </w:rPr>
      </w:pPr>
    </w:p>
    <w:p w14:paraId="2C5B53AA" w14:textId="77777777" w:rsidR="00DA0359" w:rsidRPr="00B872C6" w:rsidRDefault="000879DB">
      <w:pPr>
        <w:ind w:left="993" w:right="1041"/>
        <w:jc w:val="both"/>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lastRenderedPageBreak/>
        <w:t>“Artículo 137.</w:t>
      </w:r>
      <w:r w:rsidRPr="00B872C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6A56FA8" w14:textId="77777777" w:rsidR="00DA0359" w:rsidRPr="00B872C6" w:rsidRDefault="00DA0359">
      <w:pPr>
        <w:ind w:left="993" w:right="1041"/>
        <w:jc w:val="both"/>
        <w:rPr>
          <w:rFonts w:ascii="Palatino Linotype" w:eastAsia="Palatino Linotype" w:hAnsi="Palatino Linotype" w:cs="Palatino Linotype"/>
          <w:b/>
          <w:i/>
          <w:sz w:val="22"/>
          <w:szCs w:val="22"/>
        </w:rPr>
      </w:pPr>
    </w:p>
    <w:p w14:paraId="53B96422"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“Artículo 143</w:t>
      </w:r>
      <w:r w:rsidRPr="00B872C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A435FF8"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I.</w:t>
      </w:r>
      <w:r w:rsidRPr="00B872C6">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5C56AFC"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1A620BD" w14:textId="77777777" w:rsidR="00DA0359" w:rsidRPr="00B872C6" w:rsidRDefault="000879DB">
      <w:pPr>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D42A84F" w14:textId="77777777" w:rsidR="00DA0359" w:rsidRPr="00B872C6" w:rsidRDefault="00DA0359">
      <w:pPr>
        <w:ind w:left="993" w:right="1041"/>
        <w:jc w:val="both"/>
        <w:rPr>
          <w:rFonts w:ascii="Palatino Linotype" w:eastAsia="Palatino Linotype" w:hAnsi="Palatino Linotype" w:cs="Palatino Linotype"/>
          <w:i/>
          <w:sz w:val="22"/>
          <w:szCs w:val="22"/>
        </w:rPr>
      </w:pPr>
    </w:p>
    <w:p w14:paraId="713FBAA2" w14:textId="77777777" w:rsidR="00DA0359" w:rsidRPr="00B872C6" w:rsidRDefault="000879DB">
      <w:pPr>
        <w:spacing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4E7D42F" w14:textId="77777777" w:rsidR="00DA0359" w:rsidRPr="00B872C6" w:rsidRDefault="00DA0359">
      <w:pPr>
        <w:spacing w:line="360" w:lineRule="auto"/>
        <w:ind w:right="51"/>
        <w:jc w:val="both"/>
        <w:rPr>
          <w:rFonts w:ascii="Palatino Linotype" w:eastAsia="Palatino Linotype" w:hAnsi="Palatino Linotype" w:cs="Palatino Linotype"/>
        </w:rPr>
      </w:pPr>
    </w:p>
    <w:p w14:paraId="3CC3E850" w14:textId="77777777" w:rsidR="00DA0359" w:rsidRPr="00B872C6" w:rsidRDefault="000879DB">
      <w:pPr>
        <w:spacing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2B42BB7" w14:textId="77777777" w:rsidR="00DA0359" w:rsidRPr="00B872C6" w:rsidRDefault="00DA0359">
      <w:pPr>
        <w:spacing w:line="360" w:lineRule="auto"/>
        <w:ind w:right="51"/>
        <w:jc w:val="both"/>
        <w:rPr>
          <w:rFonts w:ascii="Palatino Linotype" w:eastAsia="Palatino Linotype" w:hAnsi="Palatino Linotype" w:cs="Palatino Linotype"/>
        </w:rPr>
      </w:pPr>
    </w:p>
    <w:p w14:paraId="14FDDF7A" w14:textId="77777777" w:rsidR="00DA0359" w:rsidRPr="00B872C6" w:rsidRDefault="000879DB">
      <w:pPr>
        <w:spacing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A73168C" w14:textId="77777777" w:rsidR="00DA0359" w:rsidRPr="00B872C6" w:rsidRDefault="00DA0359">
      <w:pPr>
        <w:spacing w:line="360" w:lineRule="auto"/>
        <w:ind w:right="51"/>
        <w:jc w:val="both"/>
        <w:rPr>
          <w:rFonts w:ascii="Palatino Linotype" w:eastAsia="Palatino Linotype" w:hAnsi="Palatino Linotype" w:cs="Palatino Linotype"/>
        </w:rPr>
      </w:pPr>
    </w:p>
    <w:p w14:paraId="5C34E0C9"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“Artículo 49.</w:t>
      </w:r>
      <w:r w:rsidRPr="00B872C6">
        <w:rPr>
          <w:rFonts w:ascii="Palatino Linotype" w:eastAsia="Palatino Linotype" w:hAnsi="Palatino Linotype" w:cs="Palatino Linotype"/>
          <w:i/>
          <w:sz w:val="22"/>
          <w:szCs w:val="22"/>
        </w:rPr>
        <w:t xml:space="preserve"> </w:t>
      </w:r>
      <w:r w:rsidRPr="00B872C6">
        <w:rPr>
          <w:rFonts w:ascii="Palatino Linotype" w:eastAsia="Palatino Linotype" w:hAnsi="Palatino Linotype" w:cs="Palatino Linotype"/>
          <w:b/>
          <w:i/>
          <w:sz w:val="22"/>
          <w:szCs w:val="22"/>
        </w:rPr>
        <w:t>Los Comités de Transparencia</w:t>
      </w:r>
      <w:r w:rsidRPr="00B872C6">
        <w:rPr>
          <w:rFonts w:ascii="Palatino Linotype" w:eastAsia="Palatino Linotype" w:hAnsi="Palatino Linotype" w:cs="Palatino Linotype"/>
          <w:i/>
          <w:sz w:val="22"/>
          <w:szCs w:val="22"/>
        </w:rPr>
        <w:t xml:space="preserve"> tendrán las siguientes atribuciones:</w:t>
      </w:r>
    </w:p>
    <w:p w14:paraId="73A05662"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VIII. Aprobar, modificar o revocar la clasificación de la información</w:t>
      </w:r>
      <w:r w:rsidRPr="00B872C6">
        <w:rPr>
          <w:rFonts w:ascii="Palatino Linotype" w:eastAsia="Palatino Linotype" w:hAnsi="Palatino Linotype" w:cs="Palatino Linotype"/>
          <w:i/>
          <w:sz w:val="22"/>
          <w:szCs w:val="22"/>
        </w:rPr>
        <w:t>…”</w:t>
      </w:r>
    </w:p>
    <w:p w14:paraId="691EE5DC"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Artículo 53.</w:t>
      </w:r>
      <w:r w:rsidRPr="00B872C6">
        <w:rPr>
          <w:rFonts w:ascii="Palatino Linotype" w:eastAsia="Palatino Linotype" w:hAnsi="Palatino Linotype" w:cs="Palatino Linotype"/>
          <w:i/>
          <w:sz w:val="22"/>
          <w:szCs w:val="22"/>
        </w:rPr>
        <w:t xml:space="preserve"> Las </w:t>
      </w:r>
      <w:r w:rsidRPr="00B872C6">
        <w:rPr>
          <w:rFonts w:ascii="Palatino Linotype" w:eastAsia="Palatino Linotype" w:hAnsi="Palatino Linotype" w:cs="Palatino Linotype"/>
          <w:b/>
          <w:i/>
          <w:sz w:val="22"/>
          <w:szCs w:val="22"/>
        </w:rPr>
        <w:t>Unidades de Transparencia</w:t>
      </w:r>
      <w:r w:rsidRPr="00B872C6">
        <w:rPr>
          <w:rFonts w:ascii="Palatino Linotype" w:eastAsia="Palatino Linotype" w:hAnsi="Palatino Linotype" w:cs="Palatino Linotype"/>
          <w:i/>
          <w:sz w:val="22"/>
          <w:szCs w:val="22"/>
        </w:rPr>
        <w:t xml:space="preserve"> tendrán las siguientes </w:t>
      </w:r>
      <w:r w:rsidRPr="00B872C6">
        <w:rPr>
          <w:rFonts w:ascii="Palatino Linotype" w:eastAsia="Palatino Linotype" w:hAnsi="Palatino Linotype" w:cs="Palatino Linotype"/>
          <w:b/>
          <w:i/>
          <w:sz w:val="22"/>
          <w:szCs w:val="22"/>
        </w:rPr>
        <w:t>funciones</w:t>
      </w:r>
      <w:r w:rsidRPr="00B872C6">
        <w:rPr>
          <w:rFonts w:ascii="Palatino Linotype" w:eastAsia="Palatino Linotype" w:hAnsi="Palatino Linotype" w:cs="Palatino Linotype"/>
          <w:i/>
          <w:sz w:val="22"/>
          <w:szCs w:val="22"/>
        </w:rPr>
        <w:t>:</w:t>
      </w:r>
    </w:p>
    <w:p w14:paraId="6165174A"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X. Presentar ante el Comité, el proyecto de clasificación de información</w:t>
      </w:r>
      <w:r w:rsidRPr="00B872C6">
        <w:rPr>
          <w:rFonts w:ascii="Palatino Linotype" w:eastAsia="Palatino Linotype" w:hAnsi="Palatino Linotype" w:cs="Palatino Linotype"/>
          <w:i/>
          <w:sz w:val="22"/>
          <w:szCs w:val="22"/>
        </w:rPr>
        <w:t xml:space="preserve">…” </w:t>
      </w:r>
    </w:p>
    <w:p w14:paraId="7E3B6113"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“Artículo 59.</w:t>
      </w:r>
      <w:r w:rsidRPr="00B872C6">
        <w:rPr>
          <w:rFonts w:ascii="Palatino Linotype" w:eastAsia="Palatino Linotype" w:hAnsi="Palatino Linotype" w:cs="Palatino Linotype"/>
          <w:i/>
          <w:sz w:val="22"/>
          <w:szCs w:val="22"/>
        </w:rPr>
        <w:t xml:space="preserve"> Los </w:t>
      </w:r>
      <w:r w:rsidRPr="00B872C6">
        <w:rPr>
          <w:rFonts w:ascii="Palatino Linotype" w:eastAsia="Palatino Linotype" w:hAnsi="Palatino Linotype" w:cs="Palatino Linotype"/>
          <w:b/>
          <w:i/>
          <w:sz w:val="22"/>
          <w:szCs w:val="22"/>
        </w:rPr>
        <w:t>servidores públicos habilitados</w:t>
      </w:r>
      <w:r w:rsidRPr="00B872C6">
        <w:rPr>
          <w:rFonts w:ascii="Palatino Linotype" w:eastAsia="Palatino Linotype" w:hAnsi="Palatino Linotype" w:cs="Palatino Linotype"/>
          <w:i/>
          <w:sz w:val="22"/>
          <w:szCs w:val="22"/>
        </w:rPr>
        <w:t xml:space="preserve"> tendrán las </w:t>
      </w:r>
      <w:r w:rsidRPr="00B872C6">
        <w:rPr>
          <w:rFonts w:ascii="Palatino Linotype" w:eastAsia="Palatino Linotype" w:hAnsi="Palatino Linotype" w:cs="Palatino Linotype"/>
          <w:b/>
          <w:i/>
          <w:sz w:val="22"/>
          <w:szCs w:val="22"/>
        </w:rPr>
        <w:t>funciones</w:t>
      </w:r>
      <w:r w:rsidRPr="00B872C6">
        <w:rPr>
          <w:rFonts w:ascii="Palatino Linotype" w:eastAsia="Palatino Linotype" w:hAnsi="Palatino Linotype" w:cs="Palatino Linotype"/>
          <w:i/>
          <w:sz w:val="22"/>
          <w:szCs w:val="22"/>
        </w:rPr>
        <w:t xml:space="preserve"> siguientes:</w:t>
      </w:r>
    </w:p>
    <w:p w14:paraId="47080505" w14:textId="77777777" w:rsidR="00DA0359" w:rsidRPr="00B872C6" w:rsidRDefault="000879DB">
      <w:pPr>
        <w:ind w:left="992" w:right="1043"/>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872C6">
        <w:rPr>
          <w:rFonts w:ascii="Palatino Linotype" w:eastAsia="Palatino Linotype" w:hAnsi="Palatino Linotype" w:cs="Palatino Linotype"/>
          <w:i/>
          <w:sz w:val="22"/>
          <w:szCs w:val="22"/>
        </w:rPr>
        <w:t>, la cual tendrá los fundamentos y argumentos en que se basa dicha propuesta…” (Sic)</w:t>
      </w:r>
    </w:p>
    <w:p w14:paraId="19B5790B" w14:textId="77777777" w:rsidR="00DA0359" w:rsidRPr="00B872C6" w:rsidRDefault="00DA0359">
      <w:pPr>
        <w:ind w:left="992" w:right="1043"/>
        <w:jc w:val="both"/>
        <w:rPr>
          <w:rFonts w:ascii="Palatino Linotype" w:eastAsia="Palatino Linotype" w:hAnsi="Palatino Linotype" w:cs="Palatino Linotype"/>
          <w:i/>
          <w:sz w:val="22"/>
          <w:szCs w:val="22"/>
        </w:rPr>
      </w:pPr>
    </w:p>
    <w:p w14:paraId="61F167DF"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sidRPr="00B872C6">
        <w:rPr>
          <w:rFonts w:ascii="Palatino Linotype" w:eastAsia="Palatino Linotype" w:hAnsi="Palatino Linotype" w:cs="Palatino Linotype"/>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52ABDCB" w14:textId="77777777" w:rsidR="00DA0359" w:rsidRPr="00B872C6" w:rsidRDefault="00DA0359">
      <w:pPr>
        <w:spacing w:line="360" w:lineRule="auto"/>
        <w:jc w:val="both"/>
        <w:rPr>
          <w:rFonts w:ascii="Palatino Linotype" w:eastAsia="Palatino Linotype" w:hAnsi="Palatino Linotype" w:cs="Palatino Linotype"/>
        </w:rPr>
      </w:pPr>
    </w:p>
    <w:p w14:paraId="53BFB7D0"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CFB80B3" w14:textId="77777777" w:rsidR="00DA0359" w:rsidRPr="00B872C6" w:rsidRDefault="00DA0359">
      <w:pPr>
        <w:spacing w:line="360" w:lineRule="auto"/>
        <w:jc w:val="both"/>
        <w:rPr>
          <w:rFonts w:ascii="Palatino Linotype" w:eastAsia="Palatino Linotype" w:hAnsi="Palatino Linotype" w:cs="Palatino Linotype"/>
        </w:rPr>
      </w:pPr>
    </w:p>
    <w:p w14:paraId="57854092" w14:textId="77777777" w:rsidR="00DA0359" w:rsidRPr="00B872C6" w:rsidRDefault="000879DB">
      <w:pPr>
        <w:spacing w:after="240"/>
        <w:ind w:left="993" w:right="104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Artículo 149.</w:t>
      </w:r>
      <w:r w:rsidRPr="00B872C6">
        <w:rPr>
          <w:rFonts w:ascii="Palatino Linotype" w:eastAsia="Palatino Linotype" w:hAnsi="Palatino Linotype" w:cs="Palatino Linotype"/>
          <w:i/>
          <w:sz w:val="22"/>
          <w:szCs w:val="22"/>
        </w:rPr>
        <w:t xml:space="preserve"> El </w:t>
      </w:r>
      <w:r w:rsidRPr="00B872C6">
        <w:rPr>
          <w:rFonts w:ascii="Palatino Linotype" w:eastAsia="Palatino Linotype" w:hAnsi="Palatino Linotype" w:cs="Palatino Linotype"/>
          <w:b/>
          <w:i/>
          <w:sz w:val="22"/>
          <w:szCs w:val="22"/>
        </w:rPr>
        <w:t>acuerdo que clasifique la información como confidencial</w:t>
      </w:r>
      <w:r w:rsidRPr="00B872C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2E0B1075" w14:textId="77777777" w:rsidR="00DA0359" w:rsidRPr="00B872C6" w:rsidRDefault="00DA0359">
      <w:pPr>
        <w:spacing w:before="240" w:line="360" w:lineRule="auto"/>
        <w:ind w:right="51"/>
        <w:jc w:val="both"/>
        <w:rPr>
          <w:rFonts w:ascii="Palatino Linotype" w:eastAsia="Palatino Linotype" w:hAnsi="Palatino Linotype" w:cs="Palatino Linotype"/>
          <w:i/>
          <w:sz w:val="22"/>
          <w:szCs w:val="22"/>
        </w:rPr>
      </w:pPr>
    </w:p>
    <w:p w14:paraId="79833629" w14:textId="77777777" w:rsidR="00DA0359" w:rsidRPr="00B872C6" w:rsidRDefault="000879DB">
      <w:pPr>
        <w:spacing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Es decir,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9C1C50C" w14:textId="77777777" w:rsidR="00DA0359" w:rsidRPr="00B872C6" w:rsidRDefault="000879DB">
      <w:pPr>
        <w:spacing w:before="240" w:after="240"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lastRenderedPageBreak/>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w:t>
      </w:r>
    </w:p>
    <w:p w14:paraId="59B12477" w14:textId="77777777" w:rsidR="00DA0359" w:rsidRPr="00B872C6" w:rsidRDefault="000879DB">
      <w:pPr>
        <w:spacing w:before="240" w:after="240"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En razón de que el domicilio fiscal, de acuerdo a lo señalado en el artículo 2.21 del Código Civil del Estado de México, el domicilio de las personas morales, es aquel donde se halle su administración, o bien, las sucursales que operen en lugares distintos de donde radica la casa matriz. Además, respecto al domicilio fiscal, resulta necesario traer el artículo 10 del Código Fiscal de la Federación, que establece que tratándose de personas morales, el domicilio fiscal, corresponderá al local donde se encuentra la administración principal del negocio. 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14:paraId="7BD0D187" w14:textId="77777777" w:rsidR="00DA0359" w:rsidRPr="00B872C6" w:rsidRDefault="000879DB">
      <w:pPr>
        <w:spacing w:before="240" w:after="240" w:line="360" w:lineRule="auto"/>
        <w:ind w:right="50"/>
        <w:jc w:val="both"/>
        <w:rPr>
          <w:rFonts w:ascii="Palatino Linotype" w:eastAsia="Palatino Linotype" w:hAnsi="Palatino Linotype" w:cs="Palatino Linotype"/>
        </w:rPr>
      </w:pPr>
      <w:r w:rsidRPr="00B872C6">
        <w:rPr>
          <w:noProof/>
          <w:lang w:val="es-MX"/>
        </w:rPr>
        <w:lastRenderedPageBreak/>
        <w:drawing>
          <wp:inline distT="0" distB="0" distL="0" distR="0" wp14:anchorId="024DD11C" wp14:editId="7E5BD617">
            <wp:extent cx="5664200" cy="1257300"/>
            <wp:effectExtent l="0" t="0" r="0" b="0"/>
            <wp:docPr id="2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43210" t="71135" r="28792" b="14952"/>
                    <a:stretch>
                      <a:fillRect/>
                    </a:stretch>
                  </pic:blipFill>
                  <pic:spPr>
                    <a:xfrm>
                      <a:off x="0" y="0"/>
                      <a:ext cx="5664200" cy="1257300"/>
                    </a:xfrm>
                    <a:prstGeom prst="rect">
                      <a:avLst/>
                    </a:prstGeom>
                    <a:ln/>
                  </pic:spPr>
                </pic:pic>
              </a:graphicData>
            </a:graphic>
          </wp:inline>
        </w:drawing>
      </w:r>
    </w:p>
    <w:p w14:paraId="15032241" w14:textId="77777777" w:rsidR="00DA0359" w:rsidRPr="00B872C6" w:rsidRDefault="000879DB">
      <w:pPr>
        <w:spacing w:before="240" w:after="240"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t>Como se logra observar, es obligación de transparencia proporcionar el domicilio fiscal de los proveedores, por lo que, se considera que dicho dato, al corresponder a un local o al lugar donde realiza la persona moral sus actividades empresariales, es que guarda la naturaleza de público. De tal suerte que, tratándose de proveedores (jurídico-colectivas), el domicilio fiscal, no actualiza la causal de clasificación, establecida en el artículo 143, fracción I de la Ley de Transparencia y Acceso a la Información Pública del Estado de México y Municipios.</w:t>
      </w:r>
    </w:p>
    <w:p w14:paraId="3445D4FB" w14:textId="77777777" w:rsidR="00DA0359" w:rsidRPr="00B872C6" w:rsidRDefault="000879DB">
      <w:pPr>
        <w:spacing w:before="240" w:after="240"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60871F4" w14:textId="77777777" w:rsidR="00DA0359" w:rsidRPr="00B872C6" w:rsidRDefault="000879DB">
      <w:pPr>
        <w:spacing w:before="240" w:after="240" w:line="360" w:lineRule="auto"/>
        <w:ind w:right="50"/>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w:t>
      </w:r>
      <w:r w:rsidRPr="00B872C6">
        <w:rPr>
          <w:rFonts w:ascii="Palatino Linotype" w:eastAsia="Palatino Linotype" w:hAnsi="Palatino Linotype" w:cs="Palatino Linotype"/>
        </w:rPr>
        <w:lastRenderedPageBreak/>
        <w:t>registro federal de contribuyentes y domicilio fiscal, atento a que dicha información es la que puede generar certeza en los gobernados en que se está ejerciendo debidamente el presupuesto.</w:t>
      </w:r>
    </w:p>
    <w:p w14:paraId="3D089680" w14:textId="77777777" w:rsidR="00DA0359" w:rsidRPr="00B872C6" w:rsidRDefault="000879DB">
      <w:pPr>
        <w:pBdr>
          <w:top w:val="nil"/>
          <w:left w:val="nil"/>
          <w:bottom w:val="nil"/>
          <w:right w:val="nil"/>
          <w:between w:val="nil"/>
        </w:pBd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0D8285E5" w14:textId="77777777" w:rsidR="00DA0359" w:rsidRPr="00B872C6" w:rsidRDefault="00DA0359"/>
    <w:p w14:paraId="63574A0D" w14:textId="77777777" w:rsidR="00DA0359" w:rsidRPr="00B872C6" w:rsidRDefault="000879DB">
      <w:pPr>
        <w:pBdr>
          <w:top w:val="nil"/>
          <w:left w:val="nil"/>
          <w:bottom w:val="nil"/>
          <w:right w:val="nil"/>
          <w:between w:val="nil"/>
        </w:pBdr>
        <w:ind w:left="851" w:right="902"/>
        <w:jc w:val="both"/>
        <w:rPr>
          <w:sz w:val="22"/>
          <w:szCs w:val="22"/>
        </w:rPr>
      </w:pPr>
      <w:r w:rsidRPr="00B872C6">
        <w:rPr>
          <w:rFonts w:ascii="Palatino Linotype" w:eastAsia="Palatino Linotype" w:hAnsi="Palatino Linotype" w:cs="Palatino Linotype"/>
          <w:b/>
          <w:i/>
          <w:sz w:val="22"/>
          <w:szCs w:val="22"/>
        </w:rPr>
        <w:t xml:space="preserve">“Registro Federal de Contribuyentes (RFC) de personas físicas proveedoras o contratistas. </w:t>
      </w:r>
      <w:r w:rsidRPr="00B872C6">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6C0C6D7" w14:textId="77777777" w:rsidR="00DA0359" w:rsidRPr="00B872C6" w:rsidRDefault="00DA0359">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4C98F215" w14:textId="77777777" w:rsidR="00DA0359" w:rsidRPr="00B872C6" w:rsidRDefault="000879DB">
      <w:pPr>
        <w:pBdr>
          <w:top w:val="nil"/>
          <w:left w:val="nil"/>
          <w:bottom w:val="nil"/>
          <w:right w:val="nil"/>
          <w:between w:val="nil"/>
        </w:pBdr>
        <w:spacing w:line="360" w:lineRule="auto"/>
        <w:ind w:right="51"/>
        <w:jc w:val="both"/>
      </w:pPr>
      <w:r w:rsidRPr="00B872C6">
        <w:rPr>
          <w:rFonts w:ascii="Palatino Linotype" w:eastAsia="Palatino Linotype" w:hAnsi="Palatino Linotype" w:cs="Palatino Linotype"/>
        </w:rPr>
        <w:t xml:space="preserve">Relacionado con lo anterior, el </w:t>
      </w:r>
      <w:r w:rsidRPr="00B872C6">
        <w:rPr>
          <w:rFonts w:ascii="Palatino Linotype" w:eastAsia="Palatino Linotype" w:hAnsi="Palatino Linotype" w:cs="Palatino Linotype"/>
          <w:b/>
        </w:rPr>
        <w:t>nombre de las personas físicas</w:t>
      </w:r>
      <w:r w:rsidRPr="00B872C6">
        <w:rPr>
          <w:rFonts w:ascii="Palatino Linotype" w:eastAsia="Palatino Linotype" w:hAnsi="Palatino Linotype" w:cs="Palatino Linotype"/>
        </w:rPr>
        <w:t xml:space="preserve"> o los </w:t>
      </w:r>
      <w:r w:rsidRPr="00B872C6">
        <w:rPr>
          <w:rFonts w:ascii="Palatino Linotype" w:eastAsia="Palatino Linotype" w:hAnsi="Palatino Linotype" w:cs="Palatino Linotype"/>
          <w:b/>
        </w:rPr>
        <w:t>representantes legales de las personas morales</w:t>
      </w:r>
      <w:r w:rsidRPr="00B872C6">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w:t>
      </w:r>
      <w:r w:rsidRPr="00B872C6">
        <w:rPr>
          <w:rFonts w:ascii="Palatino Linotype" w:eastAsia="Palatino Linotype" w:hAnsi="Palatino Linotype" w:cs="Palatino Linotype"/>
        </w:rPr>
        <w:lastRenderedPageBreak/>
        <w:t>de licitación no conservan el carácter de confidencial y por tanto no deben ser testados.</w:t>
      </w:r>
    </w:p>
    <w:p w14:paraId="228BF083" w14:textId="77777777" w:rsidR="00DA0359" w:rsidRPr="00B872C6" w:rsidRDefault="00DA0359">
      <w:pPr>
        <w:spacing w:line="360" w:lineRule="auto"/>
      </w:pPr>
    </w:p>
    <w:p w14:paraId="6D96A61B" w14:textId="77777777" w:rsidR="00DA0359" w:rsidRPr="00B872C6" w:rsidRDefault="000879DB">
      <w:pPr>
        <w:pBdr>
          <w:top w:val="nil"/>
          <w:left w:val="nil"/>
          <w:bottom w:val="nil"/>
          <w:right w:val="nil"/>
          <w:between w:val="nil"/>
        </w:pBdr>
        <w:spacing w:line="360" w:lineRule="auto"/>
        <w:ind w:right="51"/>
        <w:jc w:val="both"/>
      </w:pPr>
      <w:r w:rsidRPr="00B872C6">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476F55D1" w14:textId="77777777" w:rsidR="00DA0359" w:rsidRPr="00B872C6" w:rsidRDefault="00DA0359"/>
    <w:p w14:paraId="153BFE15" w14:textId="77777777" w:rsidR="00DA0359" w:rsidRPr="00B872C6" w:rsidRDefault="000879DB">
      <w:pPr>
        <w:pBdr>
          <w:top w:val="nil"/>
          <w:left w:val="nil"/>
          <w:bottom w:val="nil"/>
          <w:right w:val="nil"/>
          <w:between w:val="nil"/>
        </w:pBdr>
        <w:ind w:left="851" w:right="902"/>
        <w:jc w:val="both"/>
        <w:rPr>
          <w:sz w:val="22"/>
          <w:szCs w:val="22"/>
        </w:rPr>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Artículo 23.</w:t>
      </w:r>
      <w:r w:rsidRPr="00B872C6">
        <w:rPr>
          <w:rFonts w:ascii="Palatino Linotype" w:eastAsia="Palatino Linotype" w:hAnsi="Palatino Linotype" w:cs="Palatino Linotype"/>
          <w:i/>
          <w:sz w:val="22"/>
          <w:szCs w:val="22"/>
        </w:rPr>
        <w:t xml:space="preserve"> (…)</w:t>
      </w:r>
    </w:p>
    <w:p w14:paraId="398F2639" w14:textId="77777777" w:rsidR="00DA0359" w:rsidRPr="00B872C6" w:rsidRDefault="000879DB">
      <w:pPr>
        <w:pBdr>
          <w:top w:val="nil"/>
          <w:left w:val="nil"/>
          <w:bottom w:val="nil"/>
          <w:right w:val="nil"/>
          <w:between w:val="nil"/>
        </w:pBdr>
        <w:ind w:left="851" w:right="902"/>
        <w:jc w:val="both"/>
        <w:rPr>
          <w:sz w:val="22"/>
          <w:szCs w:val="22"/>
        </w:rPr>
      </w:pPr>
      <w:r w:rsidRPr="00B872C6">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3BA3432" w14:textId="77777777" w:rsidR="00DA0359" w:rsidRPr="00B872C6" w:rsidRDefault="00DA0359"/>
    <w:p w14:paraId="597133AF" w14:textId="77777777" w:rsidR="00DA0359" w:rsidRPr="00B872C6" w:rsidRDefault="000879DB">
      <w:pPr>
        <w:pBdr>
          <w:top w:val="nil"/>
          <w:left w:val="nil"/>
          <w:bottom w:val="nil"/>
          <w:right w:val="nil"/>
          <w:between w:val="nil"/>
        </w:pBdr>
        <w:spacing w:line="360" w:lineRule="auto"/>
        <w:jc w:val="both"/>
      </w:pPr>
      <w:r w:rsidRPr="00B872C6">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66D8B263" w14:textId="77777777" w:rsidR="00DA0359" w:rsidRPr="00B872C6" w:rsidRDefault="00DA0359"/>
    <w:p w14:paraId="22407CCC" w14:textId="77777777" w:rsidR="00DA0359" w:rsidRPr="00B872C6" w:rsidRDefault="000879DB">
      <w:pPr>
        <w:pBdr>
          <w:top w:val="nil"/>
          <w:left w:val="nil"/>
          <w:bottom w:val="nil"/>
          <w:right w:val="nil"/>
          <w:between w:val="nil"/>
        </w:pBdr>
        <w:ind w:left="851" w:right="900"/>
        <w:jc w:val="both"/>
        <w:rPr>
          <w:sz w:val="22"/>
          <w:szCs w:val="22"/>
        </w:rPr>
      </w:pPr>
      <w:r w:rsidRPr="00B872C6">
        <w:rPr>
          <w:rFonts w:ascii="Palatino Linotype" w:eastAsia="Palatino Linotype" w:hAnsi="Palatino Linotype" w:cs="Palatino Linotype"/>
          <w:b/>
          <w:i/>
          <w:sz w:val="22"/>
          <w:szCs w:val="22"/>
        </w:rPr>
        <w:t>“Datos de identificación del representante o apoderado legal.</w:t>
      </w:r>
      <w:r w:rsidRPr="00B872C6">
        <w:rPr>
          <w:rFonts w:ascii="Palatino Linotype" w:eastAsia="Palatino Linotype" w:hAnsi="Palatino Linotype" w:cs="Palatino Linotype"/>
          <w:i/>
          <w:sz w:val="22"/>
          <w:szCs w:val="22"/>
        </w:rPr>
        <w:t xml:space="preserve"> </w:t>
      </w:r>
      <w:r w:rsidRPr="00B872C6">
        <w:rPr>
          <w:rFonts w:ascii="Palatino Linotype" w:eastAsia="Palatino Linotype" w:hAnsi="Palatino Linotype" w:cs="Palatino Linotype"/>
          <w:b/>
          <w:i/>
          <w:sz w:val="22"/>
          <w:szCs w:val="22"/>
        </w:rPr>
        <w:t xml:space="preserve">Naturaleza jurídica. </w:t>
      </w:r>
      <w:r w:rsidRPr="00B872C6">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B872C6">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B872C6">
        <w:rPr>
          <w:rFonts w:ascii="Palatino Linotype" w:eastAsia="Palatino Linotype" w:hAnsi="Palatino Linotype" w:cs="Palatino Linotype"/>
          <w:i/>
          <w:sz w:val="22"/>
          <w:szCs w:val="22"/>
        </w:rPr>
        <w:t>.”</w:t>
      </w:r>
    </w:p>
    <w:p w14:paraId="1F00691D" w14:textId="77777777" w:rsidR="00DA0359" w:rsidRPr="00B872C6" w:rsidRDefault="00DA0359"/>
    <w:p w14:paraId="6DCD508E" w14:textId="77777777" w:rsidR="00DA0359" w:rsidRPr="00B872C6" w:rsidRDefault="000879DB">
      <w:pPr>
        <w:pBdr>
          <w:top w:val="nil"/>
          <w:left w:val="nil"/>
          <w:bottom w:val="nil"/>
          <w:right w:val="nil"/>
          <w:between w:val="nil"/>
        </w:pBdr>
        <w:spacing w:line="360" w:lineRule="auto"/>
        <w:jc w:val="both"/>
      </w:pPr>
      <w:r w:rsidRPr="00B872C6">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78983B50" w14:textId="77777777" w:rsidR="00DA0359" w:rsidRPr="00B872C6" w:rsidRDefault="00DA0359">
      <w:pPr>
        <w:spacing w:before="240" w:line="360" w:lineRule="auto"/>
        <w:ind w:right="50"/>
        <w:jc w:val="both"/>
        <w:rPr>
          <w:rFonts w:ascii="Palatino Linotype" w:eastAsia="Palatino Linotype" w:hAnsi="Palatino Linotype" w:cs="Palatino Linotype"/>
        </w:rPr>
      </w:pPr>
    </w:p>
    <w:p w14:paraId="03286347"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lastRenderedPageBreak/>
        <w:t xml:space="preserve">Al respecto, se destaca que la versión pública que elabore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872C6">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872C6">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F754DF8" w14:textId="77777777" w:rsidR="00DA0359" w:rsidRPr="00B872C6" w:rsidRDefault="00DA0359">
      <w:pPr>
        <w:ind w:left="709" w:right="709"/>
        <w:jc w:val="both"/>
        <w:rPr>
          <w:rFonts w:ascii="Palatino Linotype" w:eastAsia="Palatino Linotype" w:hAnsi="Palatino Linotype" w:cs="Palatino Linotype"/>
          <w:b/>
          <w:i/>
          <w:sz w:val="22"/>
          <w:szCs w:val="22"/>
        </w:rPr>
      </w:pPr>
    </w:p>
    <w:p w14:paraId="123CFF43"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919617D"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i/>
          <w:sz w:val="22"/>
          <w:szCs w:val="22"/>
        </w:rPr>
        <w:t>“</w:t>
      </w:r>
      <w:r w:rsidRPr="00B872C6">
        <w:rPr>
          <w:rFonts w:ascii="Palatino Linotype" w:eastAsia="Palatino Linotype" w:hAnsi="Palatino Linotype" w:cs="Palatino Linotype"/>
          <w:b/>
          <w:i/>
          <w:sz w:val="22"/>
          <w:szCs w:val="22"/>
        </w:rPr>
        <w:t>Segundo.-</w:t>
      </w:r>
      <w:r w:rsidRPr="00B872C6">
        <w:rPr>
          <w:rFonts w:ascii="Palatino Linotype" w:eastAsia="Palatino Linotype" w:hAnsi="Palatino Linotype" w:cs="Palatino Linotype"/>
          <w:i/>
          <w:sz w:val="22"/>
          <w:szCs w:val="22"/>
        </w:rPr>
        <w:t xml:space="preserve"> Para efectos de los presentes Lineamientos Generales, se entenderá por:</w:t>
      </w:r>
    </w:p>
    <w:p w14:paraId="6DBDE26E"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XVIII.</w:t>
      </w:r>
      <w:r w:rsidRPr="00B872C6">
        <w:rPr>
          <w:rFonts w:ascii="Palatino Linotype" w:eastAsia="Palatino Linotype" w:hAnsi="Palatino Linotype" w:cs="Palatino Linotype"/>
          <w:i/>
          <w:sz w:val="22"/>
          <w:szCs w:val="22"/>
        </w:rPr>
        <w:t xml:space="preserve"> </w:t>
      </w:r>
      <w:r w:rsidRPr="00B872C6">
        <w:rPr>
          <w:rFonts w:ascii="Palatino Linotype" w:eastAsia="Palatino Linotype" w:hAnsi="Palatino Linotype" w:cs="Palatino Linotype"/>
          <w:b/>
          <w:i/>
          <w:sz w:val="22"/>
          <w:szCs w:val="22"/>
        </w:rPr>
        <w:t>Versión pública:</w:t>
      </w:r>
      <w:r w:rsidRPr="00B872C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872C6">
        <w:rPr>
          <w:rFonts w:ascii="Palatino Linotype" w:eastAsia="Palatino Linotype" w:hAnsi="Palatino Linotype" w:cs="Palatino Linotype"/>
          <w:b/>
          <w:i/>
          <w:sz w:val="22"/>
          <w:szCs w:val="22"/>
          <w:u w:val="single"/>
        </w:rPr>
        <w:t>fundando y motivando la</w:t>
      </w:r>
      <w:r w:rsidRPr="00B872C6">
        <w:rPr>
          <w:rFonts w:ascii="Palatino Linotype" w:eastAsia="Palatino Linotype" w:hAnsi="Palatino Linotype" w:cs="Palatino Linotype"/>
          <w:i/>
          <w:sz w:val="22"/>
          <w:szCs w:val="22"/>
        </w:rPr>
        <w:t xml:space="preserve"> reserva o </w:t>
      </w:r>
      <w:r w:rsidRPr="00B872C6">
        <w:rPr>
          <w:rFonts w:ascii="Palatino Linotype" w:eastAsia="Palatino Linotype" w:hAnsi="Palatino Linotype" w:cs="Palatino Linotype"/>
          <w:b/>
          <w:i/>
          <w:sz w:val="22"/>
          <w:szCs w:val="22"/>
          <w:u w:val="single"/>
        </w:rPr>
        <w:t>confidencialidad</w:t>
      </w:r>
      <w:r w:rsidRPr="00B872C6">
        <w:rPr>
          <w:rFonts w:ascii="Palatino Linotype" w:eastAsia="Palatino Linotype" w:hAnsi="Palatino Linotype" w:cs="Palatino Linotype"/>
          <w:i/>
          <w:sz w:val="22"/>
          <w:szCs w:val="22"/>
        </w:rPr>
        <w:t>, a través de la resolución que para tal efecto emita el Comité de Transparencia.</w:t>
      </w:r>
    </w:p>
    <w:p w14:paraId="28A496FD"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Cuarto.</w:t>
      </w:r>
      <w:r w:rsidRPr="00B872C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4139A8"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A4DC263"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lastRenderedPageBreak/>
        <w:t>Quinto.</w:t>
      </w:r>
      <w:r w:rsidRPr="00B872C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427406E"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w:t>
      </w:r>
    </w:p>
    <w:p w14:paraId="20DFAE74"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Séptimo.</w:t>
      </w:r>
      <w:r w:rsidRPr="00B872C6">
        <w:rPr>
          <w:rFonts w:ascii="Palatino Linotype" w:eastAsia="Palatino Linotype" w:hAnsi="Palatino Linotype" w:cs="Palatino Linotype"/>
          <w:i/>
          <w:sz w:val="22"/>
          <w:szCs w:val="22"/>
        </w:rPr>
        <w:t xml:space="preserve"> La clasificación de la información se llevará a cabo en el momento en que:</w:t>
      </w:r>
    </w:p>
    <w:p w14:paraId="40346099"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I.</w:t>
      </w:r>
      <w:r w:rsidRPr="00B872C6">
        <w:rPr>
          <w:rFonts w:ascii="Palatino Linotype" w:eastAsia="Palatino Linotype" w:hAnsi="Palatino Linotype" w:cs="Palatino Linotype"/>
          <w:i/>
          <w:sz w:val="22"/>
          <w:szCs w:val="22"/>
        </w:rPr>
        <w:t xml:space="preserve"> Se reciba una solicitud de acceso a la información;</w:t>
      </w:r>
    </w:p>
    <w:p w14:paraId="346A99DC" w14:textId="77777777" w:rsidR="00DA0359" w:rsidRPr="00B872C6" w:rsidRDefault="000879D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II.</w:t>
      </w:r>
      <w:r w:rsidRPr="00B872C6">
        <w:rPr>
          <w:rFonts w:ascii="Palatino Linotype" w:eastAsia="Palatino Linotype" w:hAnsi="Palatino Linotype" w:cs="Palatino Linotype"/>
          <w:i/>
          <w:sz w:val="22"/>
          <w:szCs w:val="22"/>
        </w:rPr>
        <w:t xml:space="preserve"> Se  determine mediante resolución del Comité de Transparencia, el órgano garante </w:t>
      </w:r>
    </w:p>
    <w:p w14:paraId="789D6350" w14:textId="77777777" w:rsidR="00DA0359" w:rsidRPr="00B872C6" w:rsidRDefault="000879DB">
      <w:pPr>
        <w:pBdr>
          <w:top w:val="nil"/>
          <w:left w:val="nil"/>
          <w:bottom w:val="nil"/>
          <w:right w:val="nil"/>
          <w:between w:val="nil"/>
        </w:pBdr>
        <w:ind w:left="709" w:right="709"/>
        <w:jc w:val="both"/>
      </w:pPr>
      <w:proofErr w:type="gramStart"/>
      <w:r w:rsidRPr="00B872C6">
        <w:rPr>
          <w:rFonts w:ascii="Palatino Linotype" w:eastAsia="Palatino Linotype" w:hAnsi="Palatino Linotype" w:cs="Palatino Linotype"/>
          <w:i/>
          <w:sz w:val="22"/>
          <w:szCs w:val="22"/>
        </w:rPr>
        <w:t>competente</w:t>
      </w:r>
      <w:proofErr w:type="gramEnd"/>
      <w:r w:rsidRPr="00B872C6">
        <w:rPr>
          <w:rFonts w:ascii="Palatino Linotype" w:eastAsia="Palatino Linotype" w:hAnsi="Palatino Linotype" w:cs="Palatino Linotype"/>
          <w:i/>
          <w:sz w:val="22"/>
          <w:szCs w:val="22"/>
        </w:rPr>
        <w:t>, o en cumplimiento a una sentencia del Poder Judicial; o</w:t>
      </w:r>
    </w:p>
    <w:p w14:paraId="48F7DE76"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III.</w:t>
      </w:r>
      <w:r w:rsidRPr="00B872C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81E2C02"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88B2C14"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Octavo.</w:t>
      </w:r>
      <w:r w:rsidRPr="00B872C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E26F5EC"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7B545D5" w14:textId="77777777" w:rsidR="00DA0359" w:rsidRPr="00B872C6" w:rsidRDefault="000879D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044FA30"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Noveno.</w:t>
      </w:r>
      <w:r w:rsidRPr="00B872C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3EB603"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b/>
          <w:i/>
          <w:sz w:val="22"/>
          <w:szCs w:val="22"/>
        </w:rPr>
        <w:t>Décimo.</w:t>
      </w:r>
      <w:r w:rsidRPr="00B872C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B872C6">
        <w:rPr>
          <w:rFonts w:ascii="Palatino Linotype" w:eastAsia="Palatino Linotype" w:hAnsi="Palatino Linotype" w:cs="Palatino Linotype"/>
          <w:i/>
          <w:sz w:val="22"/>
          <w:szCs w:val="22"/>
        </w:rPr>
        <w:lastRenderedPageBreak/>
        <w:t>información clasificada, en los términos de la Ley General de Archivos, Lineamientos para la Organización y Conservación de Archivos y demás normatividad aplicable.</w:t>
      </w:r>
    </w:p>
    <w:p w14:paraId="0DD9823D"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C66044C" w14:textId="77777777" w:rsidR="00DA0359" w:rsidRPr="00B872C6" w:rsidRDefault="000879D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Décimo primero.</w:t>
      </w:r>
      <w:r w:rsidRPr="00B872C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0BFC2E9" w14:textId="77777777" w:rsidR="00DA0359" w:rsidRPr="00B872C6" w:rsidRDefault="00DA0359">
      <w:pPr>
        <w:pBdr>
          <w:top w:val="nil"/>
          <w:left w:val="nil"/>
          <w:bottom w:val="nil"/>
          <w:right w:val="nil"/>
          <w:between w:val="nil"/>
        </w:pBdr>
        <w:ind w:right="709"/>
        <w:jc w:val="both"/>
      </w:pPr>
    </w:p>
    <w:p w14:paraId="77A51C50" w14:textId="77777777" w:rsidR="00DA0359" w:rsidRPr="00B872C6" w:rsidRDefault="000879DB">
      <w:pPr>
        <w:pBdr>
          <w:top w:val="nil"/>
          <w:left w:val="nil"/>
          <w:bottom w:val="nil"/>
          <w:right w:val="nil"/>
          <w:between w:val="nil"/>
        </w:pBdr>
        <w:ind w:left="709" w:right="709"/>
        <w:jc w:val="both"/>
      </w:pPr>
      <w:r w:rsidRPr="00B872C6">
        <w:rPr>
          <w:rFonts w:ascii="Palatino Linotype" w:eastAsia="Palatino Linotype" w:hAnsi="Palatino Linotype" w:cs="Palatino Linotype"/>
          <w:i/>
          <w:sz w:val="22"/>
          <w:szCs w:val="22"/>
        </w:rPr>
        <w:t>[…]</w:t>
      </w:r>
    </w:p>
    <w:p w14:paraId="143C27B2" w14:textId="77777777" w:rsidR="00DA0359" w:rsidRPr="00B872C6" w:rsidRDefault="000879DB">
      <w:pPr>
        <w:pBdr>
          <w:top w:val="nil"/>
          <w:left w:val="nil"/>
          <w:bottom w:val="nil"/>
          <w:right w:val="nil"/>
          <w:between w:val="nil"/>
        </w:pBdr>
        <w:ind w:left="709" w:right="709"/>
        <w:jc w:val="center"/>
      </w:pPr>
      <w:r w:rsidRPr="00B872C6">
        <w:rPr>
          <w:rFonts w:ascii="Palatino Linotype" w:eastAsia="Palatino Linotype" w:hAnsi="Palatino Linotype" w:cs="Palatino Linotype"/>
          <w:b/>
          <w:i/>
          <w:sz w:val="22"/>
          <w:szCs w:val="22"/>
        </w:rPr>
        <w:t>CAPÍTULO VIII</w:t>
      </w:r>
    </w:p>
    <w:p w14:paraId="62CB8A3D" w14:textId="77777777" w:rsidR="00DA0359" w:rsidRPr="00B872C6" w:rsidRDefault="000879DB">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B872C6">
        <w:rPr>
          <w:rFonts w:ascii="Palatino Linotype" w:eastAsia="Palatino Linotype" w:hAnsi="Palatino Linotype" w:cs="Palatino Linotype"/>
          <w:b/>
          <w:i/>
          <w:sz w:val="22"/>
          <w:szCs w:val="22"/>
        </w:rPr>
        <w:t>DE LOS ELEMENTOS PARA LA CLASIFICACIÓN</w:t>
      </w:r>
    </w:p>
    <w:p w14:paraId="3583374E"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Quincuagésimo</w:t>
      </w:r>
      <w:r w:rsidRPr="00B872C6">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5ED6975"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Quincuagésimo primero</w:t>
      </w:r>
      <w:r w:rsidRPr="00B872C6">
        <w:rPr>
          <w:rFonts w:ascii="Palatino Linotype" w:eastAsia="Palatino Linotype" w:hAnsi="Palatino Linotype" w:cs="Palatino Linotype"/>
          <w:i/>
          <w:sz w:val="22"/>
          <w:szCs w:val="22"/>
        </w:rPr>
        <w:t>. Toda acta del Comité de Transparencia deberá contener:</w:t>
      </w:r>
    </w:p>
    <w:p w14:paraId="7FF350DE"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I. El número de sesión y fecha; </w:t>
      </w:r>
    </w:p>
    <w:p w14:paraId="34724AA9"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 El nombre del área que solicitó la clasificación de información;</w:t>
      </w:r>
    </w:p>
    <w:p w14:paraId="1FA71288"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III. La fundamentación legal y motivación correspondiente;</w:t>
      </w:r>
    </w:p>
    <w:p w14:paraId="677EBCC7"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IV. La resolución o resoluciones aprobadas; y</w:t>
      </w:r>
    </w:p>
    <w:p w14:paraId="041D022D"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V. La rúbrica o firma digital de cada integrante del Comité de Transparencia. </w:t>
      </w:r>
    </w:p>
    <w:p w14:paraId="67E930B1"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7FDE6EA"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 Los motivos y razonamientos que sustenten la confirmación o modificación de la prueba de daño;</w:t>
      </w:r>
    </w:p>
    <w:p w14:paraId="62909F6F"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 Descripción de las partes o secciones reservadas, en caso de clasificación parcial;</w:t>
      </w:r>
    </w:p>
    <w:p w14:paraId="61414C0D"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III. El periodo por el que mantendrá su clasificación y fecha de expiración; y</w:t>
      </w:r>
    </w:p>
    <w:p w14:paraId="210F69B0"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IV. El nombre del titular y área encargada de realizar la versión pública del documento, en su caso.</w:t>
      </w:r>
    </w:p>
    <w:p w14:paraId="67564C0B"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74B02A4B"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5537975"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b/>
          <w:i/>
          <w:sz w:val="22"/>
          <w:szCs w:val="22"/>
        </w:rPr>
        <w:t>Quincuagésimo segundo</w:t>
      </w:r>
      <w:r w:rsidRPr="00B872C6">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B872C6">
        <w:rPr>
          <w:rFonts w:ascii="Palatino Linotype" w:eastAsia="Palatino Linotype" w:hAnsi="Palatino Linotype" w:cs="Palatino Linotype"/>
          <w:i/>
          <w:sz w:val="22"/>
          <w:szCs w:val="22"/>
        </w:rPr>
        <w:t>sobreposición</w:t>
      </w:r>
      <w:proofErr w:type="spellEnd"/>
      <w:r w:rsidRPr="00B872C6">
        <w:rPr>
          <w:rFonts w:ascii="Palatino Linotype" w:eastAsia="Palatino Linotype" w:hAnsi="Palatino Linotype" w:cs="Palatino Linotype"/>
          <w:i/>
          <w:sz w:val="22"/>
          <w:szCs w:val="22"/>
        </w:rPr>
        <w:t xml:space="preserve"> de contenido distinto al autorizado por el Comité.</w:t>
      </w:r>
    </w:p>
    <w:p w14:paraId="0E673AE0"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94A4DC9"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296EA85"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2AFA345"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III. Señalar las personas o instancias autorizadas a acceder a la información clasificada.</w:t>
      </w:r>
    </w:p>
    <w:p w14:paraId="77175552"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5312106" w14:textId="77777777" w:rsidR="00DA0359" w:rsidRPr="00B872C6" w:rsidRDefault="000879DB">
      <w:pPr>
        <w:pBdr>
          <w:top w:val="nil"/>
          <w:left w:val="nil"/>
          <w:bottom w:val="nil"/>
          <w:right w:val="nil"/>
          <w:between w:val="nil"/>
        </w:pBdr>
        <w:spacing w:after="160"/>
        <w:ind w:left="709" w:right="709"/>
        <w:jc w:val="both"/>
      </w:pPr>
      <w:r w:rsidRPr="00B872C6">
        <w:rPr>
          <w:rFonts w:ascii="Palatino Linotype" w:eastAsia="Palatino Linotype" w:hAnsi="Palatino Linotype" w:cs="Palatino Linotype"/>
          <w:b/>
          <w:i/>
          <w:sz w:val="22"/>
          <w:szCs w:val="22"/>
        </w:rPr>
        <w:t xml:space="preserve">Quincuagésimo tercero. </w:t>
      </w:r>
      <w:r w:rsidRPr="00B872C6">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B872C6">
        <w:rPr>
          <w:rFonts w:ascii="Palatino Linotype" w:eastAsia="Palatino Linotype" w:hAnsi="Palatino Linotype" w:cs="Palatino Linotype"/>
          <w:b/>
          <w:i/>
          <w:sz w:val="22"/>
          <w:szCs w:val="22"/>
          <w:u w:val="single"/>
        </w:rPr>
        <w:t>:</w:t>
      </w:r>
      <w:r w:rsidRPr="00B872C6">
        <w:rPr>
          <w:rFonts w:ascii="Palatino Linotype" w:eastAsia="Palatino Linotype" w:hAnsi="Palatino Linotype" w:cs="Palatino Linotype"/>
          <w:i/>
          <w:sz w:val="22"/>
          <w:szCs w:val="22"/>
        </w:rPr>
        <w:t>:</w:t>
      </w:r>
      <w:proofErr w:type="gramEnd"/>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B872C6" w:rsidRPr="00B872C6" w14:paraId="398D5665"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58CCD54B" w14:textId="77777777" w:rsidR="00DA0359" w:rsidRPr="00B872C6" w:rsidRDefault="00DA0359"/>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F9096"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AAB5F"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b/>
                <w:i/>
              </w:rPr>
              <w:t>Dónde:</w:t>
            </w:r>
          </w:p>
        </w:tc>
      </w:tr>
      <w:tr w:rsidR="00B872C6" w:rsidRPr="00B872C6" w14:paraId="206CD4A5"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383655"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94C52"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41BFEE"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Se anotará la fecha en la que el Comité de Transparencia confirmó la clasificación del documento o expediente, en su caso.</w:t>
            </w:r>
          </w:p>
        </w:tc>
      </w:tr>
      <w:tr w:rsidR="00B872C6" w:rsidRPr="00B872C6" w14:paraId="3FFBA4A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686DA"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0028F"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EE59E"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Se señalará el nombre del área del cual es titular quien clasifica.</w:t>
            </w:r>
          </w:p>
        </w:tc>
      </w:tr>
      <w:tr w:rsidR="00B872C6" w:rsidRPr="00B872C6" w14:paraId="349EDE7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E9A697"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8C09B"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1B44D"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 xml:space="preserve">Se indicarán las partes o páginas del documento que se clasifican como reservadas, o, en su caso, se </w:t>
            </w:r>
            <w:r w:rsidRPr="00B872C6">
              <w:rPr>
                <w:rFonts w:ascii="Palatino Linotype" w:eastAsia="Palatino Linotype" w:hAnsi="Palatino Linotype" w:cs="Palatino Linotype"/>
                <w:i/>
              </w:rPr>
              <w:lastRenderedPageBreak/>
              <w:t>precisará que se ha reservado el documento o expediente en su totalidad.</w:t>
            </w:r>
          </w:p>
        </w:tc>
      </w:tr>
      <w:tr w:rsidR="00B872C6" w:rsidRPr="00B872C6" w14:paraId="2C1830F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8612D"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4EA2B"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D83FE6"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B872C6" w:rsidRPr="00B872C6" w14:paraId="6365052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1A9E50"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83A35"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1DC03E"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Se señalará el nombre del ordenamiento, el o los artículos, fracción(es), párrafo(s) con base en los cuales se sustente la reserva.</w:t>
            </w:r>
          </w:p>
        </w:tc>
      </w:tr>
      <w:tr w:rsidR="00B872C6" w:rsidRPr="00B872C6" w14:paraId="2A30F57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849CE3"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38EE0"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CFC1F"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872C6" w:rsidRPr="00B872C6" w14:paraId="3282B35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4FB7E"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0EBE2"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63883"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Rúbrica autógrafa o firma digital de quien clasifica.</w:t>
            </w:r>
          </w:p>
        </w:tc>
      </w:tr>
      <w:tr w:rsidR="00B872C6" w:rsidRPr="00B872C6" w14:paraId="600C1B9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27ABFC"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DBB0A"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D35F6"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Se anotará la fecha en que se desclasifica el documento.</w:t>
            </w:r>
          </w:p>
        </w:tc>
      </w:tr>
      <w:tr w:rsidR="00B872C6" w:rsidRPr="00B872C6" w14:paraId="2FF0AB5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8A9DF5" w14:textId="77777777" w:rsidR="00DA0359" w:rsidRPr="00B872C6" w:rsidRDefault="00DA035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DAABC1" w14:textId="77777777" w:rsidR="00DA0359" w:rsidRPr="00B872C6" w:rsidRDefault="000879DB">
            <w:pPr>
              <w:pBdr>
                <w:top w:val="nil"/>
                <w:left w:val="nil"/>
                <w:bottom w:val="nil"/>
                <w:right w:val="nil"/>
                <w:between w:val="nil"/>
              </w:pBdr>
              <w:jc w:val="center"/>
            </w:pPr>
            <w:r w:rsidRPr="00B872C6">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FBC63C" w14:textId="77777777" w:rsidR="00DA0359" w:rsidRPr="00B872C6" w:rsidRDefault="000879DB">
            <w:pPr>
              <w:pBdr>
                <w:top w:val="nil"/>
                <w:left w:val="nil"/>
                <w:bottom w:val="nil"/>
                <w:right w:val="nil"/>
                <w:between w:val="nil"/>
              </w:pBdr>
              <w:jc w:val="both"/>
            </w:pPr>
            <w:r w:rsidRPr="00B872C6">
              <w:rPr>
                <w:rFonts w:ascii="Palatino Linotype" w:eastAsia="Palatino Linotype" w:hAnsi="Palatino Linotype" w:cs="Palatino Linotype"/>
                <w:i/>
              </w:rPr>
              <w:t>Rúbrica autógrafa o firma digital de quien desclasifica.</w:t>
            </w:r>
          </w:p>
        </w:tc>
      </w:tr>
      <w:tr w:rsidR="00B872C6" w:rsidRPr="00B872C6" w14:paraId="2CDAE13C"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9DD48" w14:textId="77777777" w:rsidR="00DA0359" w:rsidRPr="00B872C6" w:rsidRDefault="00DA0359">
            <w:pPr>
              <w:widowControl w:val="0"/>
              <w:pBdr>
                <w:top w:val="nil"/>
                <w:left w:val="nil"/>
                <w:bottom w:val="nil"/>
                <w:right w:val="nil"/>
                <w:between w:val="nil"/>
              </w:pBdr>
              <w:spacing w:line="276" w:lineRule="auto"/>
            </w:pPr>
          </w:p>
        </w:tc>
      </w:tr>
    </w:tbl>
    <w:p w14:paraId="63FF789C" w14:textId="77777777" w:rsidR="00DA0359" w:rsidRPr="00B872C6" w:rsidRDefault="000879D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AC2F341" w14:textId="77777777" w:rsidR="00DA0359" w:rsidRPr="00B872C6" w:rsidRDefault="000879DB">
      <w:pPr>
        <w:pBdr>
          <w:top w:val="nil"/>
          <w:left w:val="nil"/>
          <w:bottom w:val="nil"/>
          <w:right w:val="nil"/>
          <w:between w:val="nil"/>
        </w:pBdr>
        <w:spacing w:after="160"/>
        <w:ind w:left="709" w:right="709"/>
        <w:jc w:val="both"/>
      </w:pPr>
      <w:r w:rsidRPr="00B872C6">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B872C6">
        <w:rPr>
          <w:rFonts w:ascii="Palatino Linotype" w:eastAsia="Palatino Linotype" w:hAnsi="Palatino Linotype" w:cs="Palatino Linotype"/>
          <w:i/>
          <w:sz w:val="22"/>
          <w:szCs w:val="22"/>
        </w:rPr>
        <w:t>testado</w:t>
      </w:r>
      <w:proofErr w:type="spellEnd"/>
      <w:r w:rsidRPr="00B872C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03FAE4C0" w14:textId="77777777" w:rsidR="00DA0359" w:rsidRPr="00B872C6" w:rsidRDefault="00DA0359">
      <w:pPr>
        <w:jc w:val="both"/>
      </w:pPr>
    </w:p>
    <w:p w14:paraId="4B264EF3" w14:textId="77777777" w:rsidR="00DA0359" w:rsidRPr="00B872C6" w:rsidRDefault="00DA0359"/>
    <w:p w14:paraId="17AF98C5" w14:textId="77777777" w:rsidR="00DA0359" w:rsidRPr="00B872C6" w:rsidRDefault="000879DB">
      <w:pPr>
        <w:spacing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468484E6" w14:textId="77777777" w:rsidR="00DA0359" w:rsidRPr="00B872C6" w:rsidRDefault="00DA0359">
      <w:pPr>
        <w:spacing w:line="360" w:lineRule="auto"/>
        <w:jc w:val="both"/>
        <w:rPr>
          <w:rFonts w:ascii="Palatino Linotype" w:eastAsia="Palatino Linotype" w:hAnsi="Palatino Linotype" w:cs="Palatino Linotype"/>
        </w:rPr>
      </w:pPr>
    </w:p>
    <w:p w14:paraId="64EB4265" w14:textId="77777777" w:rsidR="00DA0359" w:rsidRPr="00B872C6" w:rsidRDefault="000879DB">
      <w:pPr>
        <w:shd w:val="clear" w:color="auto" w:fill="FFFFFF"/>
        <w:spacing w:line="360" w:lineRule="auto"/>
        <w:ind w:right="51"/>
        <w:jc w:val="both"/>
        <w:rPr>
          <w:rFonts w:ascii="Palatino Linotype" w:eastAsia="Palatino Linotype" w:hAnsi="Palatino Linotype" w:cs="Palatino Linotype"/>
        </w:rPr>
      </w:pPr>
      <w:r w:rsidRPr="00B872C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w:t>
      </w:r>
    </w:p>
    <w:p w14:paraId="305F0A8A" w14:textId="77777777"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9240E8C" w14:textId="77777777" w:rsidR="00DA0359" w:rsidRPr="00B872C6" w:rsidRDefault="00DA0359">
      <w:pPr>
        <w:spacing w:before="240" w:after="240" w:line="360" w:lineRule="auto"/>
        <w:jc w:val="both"/>
        <w:rPr>
          <w:rFonts w:ascii="Palatino Linotype" w:eastAsia="Palatino Linotype" w:hAnsi="Palatino Linotype" w:cs="Palatino Linotype"/>
        </w:rPr>
      </w:pPr>
    </w:p>
    <w:p w14:paraId="074EF677" w14:textId="77777777" w:rsidR="00DA0359" w:rsidRPr="00B872C6" w:rsidRDefault="000879DB">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872C6">
        <w:rPr>
          <w:rFonts w:ascii="Palatino Linotype" w:eastAsia="Palatino Linotype" w:hAnsi="Palatino Linotype" w:cs="Palatino Linotype"/>
          <w:b/>
        </w:rPr>
        <w:lastRenderedPageBreak/>
        <w:t>R E S U E L V E:</w:t>
      </w:r>
    </w:p>
    <w:p w14:paraId="7B51F264" w14:textId="624BD60A"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Primero. </w:t>
      </w:r>
      <w:r w:rsidRPr="00B872C6">
        <w:rPr>
          <w:rFonts w:ascii="Palatino Linotype" w:eastAsia="Palatino Linotype" w:hAnsi="Palatino Linotype" w:cs="Palatino Linotype"/>
        </w:rPr>
        <w:t xml:space="preserve">Resultan fundados los motivos de inconformidad hechos valer por el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en el Recurso de Revisión </w:t>
      </w:r>
      <w:r w:rsidRPr="00B872C6">
        <w:rPr>
          <w:rFonts w:ascii="Palatino Linotype" w:eastAsia="Palatino Linotype" w:hAnsi="Palatino Linotype" w:cs="Palatino Linotype"/>
          <w:b/>
        </w:rPr>
        <w:t xml:space="preserve">05209/INFOEM/IP/RR/2023; </w:t>
      </w:r>
      <w:r w:rsidRPr="00B872C6">
        <w:rPr>
          <w:rFonts w:ascii="Palatino Linotype" w:eastAsia="Palatino Linotype" w:hAnsi="Palatino Linotype" w:cs="Palatino Linotype"/>
        </w:rPr>
        <w:t xml:space="preserve">por lo que, en términos del considerando </w:t>
      </w:r>
      <w:r w:rsidRPr="00B872C6">
        <w:rPr>
          <w:rFonts w:ascii="Palatino Linotype" w:eastAsia="Palatino Linotype" w:hAnsi="Palatino Linotype" w:cs="Palatino Linotype"/>
          <w:b/>
        </w:rPr>
        <w:t xml:space="preserve">Cuarto </w:t>
      </w:r>
      <w:r w:rsidRPr="00B872C6">
        <w:rPr>
          <w:rFonts w:ascii="Palatino Linotype" w:eastAsia="Palatino Linotype" w:hAnsi="Palatino Linotype" w:cs="Palatino Linotype"/>
        </w:rPr>
        <w:t xml:space="preserve">de esta resolución, se </w:t>
      </w:r>
      <w:r w:rsidRPr="00B872C6">
        <w:rPr>
          <w:rFonts w:ascii="Palatino Linotype" w:eastAsia="Palatino Linotype" w:hAnsi="Palatino Linotype" w:cs="Palatino Linotype"/>
          <w:b/>
        </w:rPr>
        <w:t xml:space="preserve">REVOCA </w:t>
      </w:r>
      <w:r w:rsidRPr="00B872C6">
        <w:rPr>
          <w:rFonts w:ascii="Palatino Linotype" w:eastAsia="Palatino Linotype" w:hAnsi="Palatino Linotype" w:cs="Palatino Linotype"/>
        </w:rPr>
        <w:t xml:space="preserve">la respuesta emitida por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w:t>
      </w:r>
    </w:p>
    <w:p w14:paraId="11CCEB41" w14:textId="6E332BA2" w:rsidR="00DA0359" w:rsidRPr="00B872C6" w:rsidRDefault="000879DB">
      <w:pPr>
        <w:spacing w:before="240" w:after="240"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Segundo. </w:t>
      </w:r>
      <w:r w:rsidRPr="00B872C6">
        <w:rPr>
          <w:rFonts w:ascii="Palatino Linotype" w:eastAsia="Palatino Linotype" w:hAnsi="Palatino Linotype" w:cs="Palatino Linotype"/>
        </w:rPr>
        <w:t>Se</w:t>
      </w:r>
      <w:r w:rsidRPr="00B872C6">
        <w:rPr>
          <w:rFonts w:ascii="Palatino Linotype" w:eastAsia="Palatino Linotype" w:hAnsi="Palatino Linotype" w:cs="Palatino Linotype"/>
          <w:b/>
        </w:rPr>
        <w:t xml:space="preserve"> ORDENA </w:t>
      </w:r>
      <w:r w:rsidRPr="00B872C6">
        <w:rPr>
          <w:rFonts w:ascii="Palatino Linotype" w:eastAsia="Palatino Linotype" w:hAnsi="Palatino Linotype" w:cs="Palatino Linotype"/>
        </w:rPr>
        <w:t xml:space="preserve">al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a que,</w:t>
      </w:r>
      <w:r w:rsidRPr="00B872C6">
        <w:rPr>
          <w:rFonts w:ascii="Palatino Linotype" w:eastAsia="Palatino Linotype" w:hAnsi="Palatino Linotype" w:cs="Palatino Linotype"/>
          <w:b/>
        </w:rPr>
        <w:t xml:space="preserve"> </w:t>
      </w:r>
      <w:r w:rsidRPr="00B872C6">
        <w:rPr>
          <w:rFonts w:ascii="Palatino Linotype" w:eastAsia="Palatino Linotype" w:hAnsi="Palatino Linotype" w:cs="Palatino Linotype"/>
        </w:rPr>
        <w:t>en términos de los Considerandos Cuarto y Quinto, haga entrega vía SAIMEX, en versión pública de ser procedente, del documento o documentos en donde conste lo siguiente:</w:t>
      </w:r>
    </w:p>
    <w:p w14:paraId="7D69D914" w14:textId="77777777" w:rsidR="00DA0359" w:rsidRPr="00B872C6" w:rsidRDefault="000879D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72C6">
        <w:rPr>
          <w:rFonts w:ascii="Palatino Linotype" w:eastAsia="Palatino Linotype" w:hAnsi="Palatino Linotype" w:cs="Palatino Linotype"/>
        </w:rPr>
        <w:t>La cancelación del contrato relativo a la presentación del grupo musical referido en la solicitud, generada al veinticuatro de agosto del año dos mil veintitrés</w:t>
      </w:r>
      <w:r w:rsidRPr="00B872C6">
        <w:rPr>
          <w:rFonts w:ascii="Palatino Linotype" w:eastAsia="Palatino Linotype" w:hAnsi="Palatino Linotype" w:cs="Palatino Linotype"/>
          <w:b/>
        </w:rPr>
        <w:t xml:space="preserve">. </w:t>
      </w:r>
    </w:p>
    <w:p w14:paraId="4639F40A" w14:textId="77777777" w:rsidR="00B872C6" w:rsidRPr="00B872C6" w:rsidRDefault="00B872C6">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60B9C482" w14:textId="41C88F9B" w:rsidR="00DA0359" w:rsidRPr="00B872C6" w:rsidRDefault="000879DB">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B872C6">
        <w:rPr>
          <w:rFonts w:ascii="Palatino Linotype" w:eastAsia="Palatino Linotype" w:hAnsi="Palatino Linotype" w:cs="Palatino Linotype"/>
          <w:b/>
          <w:i/>
          <w:sz w:val="22"/>
          <w:szCs w:val="22"/>
        </w:rPr>
        <w:t>RECURRENTE</w:t>
      </w:r>
      <w:r w:rsidRPr="00B872C6">
        <w:rPr>
          <w:rFonts w:ascii="Palatino Linotype" w:eastAsia="Palatino Linotype" w:hAnsi="Palatino Linotype" w:cs="Palatino Linotype"/>
          <w:i/>
          <w:sz w:val="22"/>
          <w:szCs w:val="22"/>
        </w:rPr>
        <w:t>, mismo que igualmente hará de su conocimiento.</w:t>
      </w:r>
    </w:p>
    <w:p w14:paraId="51B48CF6" w14:textId="77777777" w:rsidR="00DA0359" w:rsidRPr="00B872C6" w:rsidRDefault="00DA0359">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0BE1BD98" w14:textId="77777777" w:rsidR="00B872C6" w:rsidRPr="00B872C6" w:rsidRDefault="00B872C6">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16909C20" w14:textId="38540F75" w:rsidR="00DA0359" w:rsidRPr="00B872C6" w:rsidRDefault="000879DB">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B872C6">
        <w:rPr>
          <w:rFonts w:ascii="Palatino Linotype" w:eastAsia="Palatino Linotype" w:hAnsi="Palatino Linotype" w:cs="Palatino Linotype"/>
          <w:i/>
          <w:sz w:val="22"/>
          <w:szCs w:val="22"/>
        </w:rPr>
        <w:t>Para el caso de que no haya generado la información que se ordena, bastará que así se lo haga saber de manera fundada y motivada en términos de lo señalado por el segundo párrafo del artículo 19 de la Ley en la materia.</w:t>
      </w:r>
    </w:p>
    <w:p w14:paraId="44C23A89" w14:textId="77777777" w:rsidR="00DA0359" w:rsidRPr="00B872C6" w:rsidRDefault="00DA0359">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6A4C7B79" w14:textId="694A3E21" w:rsidR="00DA0359" w:rsidRPr="00B872C6" w:rsidRDefault="000879DB">
      <w:pPr>
        <w:spacing w:line="360" w:lineRule="auto"/>
        <w:ind w:right="49"/>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Tercero. Notifíquese, </w:t>
      </w:r>
      <w:r w:rsidRPr="00B872C6">
        <w:rPr>
          <w:rFonts w:ascii="Palatino Linotype" w:eastAsia="Palatino Linotype" w:hAnsi="Palatino Linotype" w:cs="Palatino Linotype"/>
        </w:rPr>
        <w:t xml:space="preserve">vía </w:t>
      </w:r>
      <w:r w:rsidRPr="00B872C6">
        <w:rPr>
          <w:rFonts w:ascii="Palatino Linotype" w:eastAsia="Palatino Linotype" w:hAnsi="Palatino Linotype" w:cs="Palatino Linotype"/>
          <w:b/>
        </w:rPr>
        <w:t>SAIMEX</w:t>
      </w:r>
      <w:r w:rsidRPr="00B872C6">
        <w:rPr>
          <w:rFonts w:ascii="Palatino Linotype" w:eastAsia="Palatino Linotype" w:hAnsi="Palatino Linotype" w:cs="Palatino Linotype"/>
        </w:rPr>
        <w:t xml:space="preserve">, al Titular de la Unidad de Transparencia del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w:t>
      </w:r>
      <w:r w:rsidRPr="00B872C6">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7AECE1" w14:textId="3168290A" w:rsidR="00DA0359" w:rsidRPr="00B872C6" w:rsidRDefault="000879DB">
      <w:pPr>
        <w:spacing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 xml:space="preserve">Cuarto. </w:t>
      </w:r>
      <w:r w:rsidRPr="00B872C6">
        <w:rPr>
          <w:rFonts w:ascii="Palatino Linotype" w:eastAsia="Palatino Linotype" w:hAnsi="Palatino Linotype" w:cs="Palatino Linotype"/>
        </w:rPr>
        <w:t xml:space="preserve">Notifíquese, vía </w:t>
      </w:r>
      <w:r w:rsidRPr="00B872C6">
        <w:rPr>
          <w:rFonts w:ascii="Palatino Linotype" w:eastAsia="Palatino Linotype" w:hAnsi="Palatino Linotype" w:cs="Palatino Linotype"/>
          <w:b/>
        </w:rPr>
        <w:t>SAIMEX</w:t>
      </w:r>
      <w:r w:rsidRPr="00B872C6">
        <w:rPr>
          <w:rFonts w:ascii="Palatino Linotype" w:eastAsia="Palatino Linotype" w:hAnsi="Palatino Linotype" w:cs="Palatino Linotype"/>
        </w:rPr>
        <w:t xml:space="preserve">, a la parte </w:t>
      </w:r>
      <w:r w:rsidRPr="00B872C6">
        <w:rPr>
          <w:rFonts w:ascii="Palatino Linotype" w:eastAsia="Palatino Linotype" w:hAnsi="Palatino Linotype" w:cs="Palatino Linotype"/>
          <w:b/>
        </w:rPr>
        <w:t>RECURRENTE</w:t>
      </w:r>
      <w:r w:rsidRPr="00B872C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7DE42F1" w14:textId="553180D0" w:rsidR="00DA0359" w:rsidRPr="00B872C6" w:rsidRDefault="000879DB">
      <w:pPr>
        <w:spacing w:before="240" w:after="240" w:line="360" w:lineRule="auto"/>
        <w:jc w:val="both"/>
        <w:rPr>
          <w:rFonts w:ascii="Palatino Linotype" w:eastAsia="Palatino Linotype" w:hAnsi="Palatino Linotype" w:cs="Palatino Linotype"/>
        </w:rPr>
      </w:pPr>
      <w:r w:rsidRPr="00B872C6">
        <w:rPr>
          <w:rFonts w:ascii="Palatino Linotype" w:eastAsia="Palatino Linotype" w:hAnsi="Palatino Linotype" w:cs="Palatino Linotype"/>
          <w:b/>
        </w:rPr>
        <w:t>Quinto.</w:t>
      </w:r>
      <w:r w:rsidRPr="00B872C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872C6">
        <w:rPr>
          <w:rFonts w:ascii="Palatino Linotype" w:eastAsia="Palatino Linotype" w:hAnsi="Palatino Linotype" w:cs="Palatino Linotype"/>
          <w:b/>
        </w:rPr>
        <w:t>SUJETO OBLIGADO</w:t>
      </w:r>
      <w:r w:rsidRPr="00B872C6">
        <w:rPr>
          <w:rFonts w:ascii="Palatino Linotype" w:eastAsia="Palatino Linotype" w:hAnsi="Palatino Linotype" w:cs="Palatino Linotype"/>
        </w:rPr>
        <w:t xml:space="preserve"> de manera fundada y motivada, podrá solicitar una ampliación de plazo para el cumplimiento de la presente resolución.</w:t>
      </w:r>
    </w:p>
    <w:p w14:paraId="44BACACD" w14:textId="77777777" w:rsidR="00DA0359" w:rsidRDefault="000879DB">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B872C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w:t>
      </w:r>
      <w:r w:rsidRPr="00B872C6">
        <w:rPr>
          <w:rFonts w:ascii="Palatino Linotype" w:eastAsia="Palatino Linotype" w:hAnsi="Palatino Linotype" w:cs="Palatino Linotype"/>
        </w:rPr>
        <w:lastRenderedPageBreak/>
        <w:t>TREINTA Y UNO DE ENERO DE DOS MIL VEINTICUATRO, ANTE EL SECRETARIO TÉCNICO DEL PLENO ALEXIS TAPIA RAMÍREZ.</w:t>
      </w:r>
    </w:p>
    <w:p w14:paraId="75866B17" w14:textId="2F6C5748" w:rsidR="00F85405" w:rsidRDefault="00F854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6A5D2C09" wp14:editId="35387D87">
                <wp:simplePos x="0" y="0"/>
                <wp:positionH relativeFrom="column">
                  <wp:posOffset>208337</wp:posOffset>
                </wp:positionH>
                <wp:positionV relativeFrom="paragraph">
                  <wp:posOffset>256886</wp:posOffset>
                </wp:positionV>
                <wp:extent cx="5299363" cy="6213764"/>
                <wp:effectExtent l="38100" t="19050" r="53975" b="92075"/>
                <wp:wrapNone/>
                <wp:docPr id="1" name="Conector recto 1"/>
                <wp:cNvGraphicFramePr/>
                <a:graphic xmlns:a="http://schemas.openxmlformats.org/drawingml/2006/main">
                  <a:graphicData uri="http://schemas.microsoft.com/office/word/2010/wordprocessingShape">
                    <wps:wsp>
                      <wps:cNvCnPr/>
                      <wps:spPr>
                        <a:xfrm>
                          <a:off x="0" y="0"/>
                          <a:ext cx="5299363" cy="62137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68933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4pt,20.25pt" to="433.6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VVuwEAAMUDAAAOAAAAZHJzL2Uyb0RvYy54bWysU9uO0zAQfUfiHyy/01wKhY2a7kNX8IKg&#10;4vIBXmfcWPJNY9Omf8/YabMIkFZCvNixPefMnDOT7f1kDTsBRu1dz5tVzRk46Qftjj3//u39q3ec&#10;xSTcIIx30PMLRH6/e/liew4dtH70ZgBkROJidw49H1MKXVVFOYIVceUDOHpUHq1IdMRjNaA4E7s1&#10;VVvXm+rscQjoJcRItw/zI98VfqVAps9KRUjM9JxqS2XFsj7mtdptRXdEEUYtr2WIf6jCCu0o6UL1&#10;IJJgP1D/QWW1RB+9SivpbeWV0hKKBlLT1L+p+TqKAEULmRPDYlP8f7Ty0+mATA/UO86csNSiPTVK&#10;Jo8M88aa7NE5xI5C9+6A11MMB8yCJ4U27ySFTcXXy+IrTIlJunzT3t2tN2vOJL1t2mb9dvM6s1ZP&#10;8IAxfQBvWf7oudEuCxedOH2MaQ69hRAulzMXUL7SxUAONu4LKBJDKduCLmMEe4PsJGgAhJTgUhFE&#10;qUt0hiltzAKsnwde4zMUyogt4OZ58IIomb1LC9hq5/FvBGm6lazm+JsDs+5swaMfLqU1xRqalWLu&#10;da7zMP56LvCnv2/3EwAA//8DAFBLAwQUAAYACAAAACEAGlvyit4AAAAKAQAADwAAAGRycy9kb3du&#10;cmV2LnhtbEyPzU7DMBCE70i8g7VI3KhdF0Ib4lQICYkjDRw4OvGSH+K1FbtN+vaYEz2OZjTzTbFf&#10;7MhOOIXekYL1SgBDapzpqVXw+fF6twUWoiajR0eo4IwB9uX1VaFz42Y64KmKLUslFHKtoIvR55yH&#10;pkOrw8p5pOR9u8nqmOTUcjPpOZXbkUshMm51T2mh0x5fOmx+qqNV8DXVg3w7z166Iat2g0f5fkCl&#10;bm+W5ydgEZf4H4Y//IQOZWKq3ZFMYKOCjUzkUcG9eACW/G32uAFWp6BY7wTwsuCXF8pfAAAA//8D&#10;AFBLAQItABQABgAIAAAAIQC2gziS/gAAAOEBAAATAAAAAAAAAAAAAAAAAAAAAABbQ29udGVudF9U&#10;eXBlc10ueG1sUEsBAi0AFAAGAAgAAAAhADj9If/WAAAAlAEAAAsAAAAAAAAAAAAAAAAALwEAAF9y&#10;ZWxzLy5yZWxzUEsBAi0AFAAGAAgAAAAhADadBVW7AQAAxQMAAA4AAAAAAAAAAAAAAAAALgIAAGRy&#10;cy9lMm9Eb2MueG1sUEsBAi0AFAAGAAgAAAAhABpb8oreAAAACgEAAA8AAAAAAAAAAAAAAAAAFQQA&#10;AGRycy9kb3ducmV2LnhtbFBLBQYAAAAABAAEAPMAAAAgBQAAAAA=&#10;" strokecolor="#4f81bd [3204]" strokeweight="2pt">
                <v:shadow on="t" color="black" opacity="24903f" origin=",.5" offset="0,.55556mm"/>
              </v:line>
            </w:pict>
          </mc:Fallback>
        </mc:AlternateContent>
      </w:r>
    </w:p>
    <w:p w14:paraId="40C74BCA" w14:textId="77777777" w:rsidR="00F85405" w:rsidRDefault="00F85405">
      <w:pPr>
        <w:spacing w:before="240" w:after="240" w:line="360" w:lineRule="auto"/>
        <w:jc w:val="both"/>
        <w:rPr>
          <w:rFonts w:ascii="Palatino Linotype" w:eastAsia="Palatino Linotype" w:hAnsi="Palatino Linotype" w:cs="Palatino Linotype"/>
        </w:rPr>
      </w:pPr>
    </w:p>
    <w:p w14:paraId="38B356BB" w14:textId="77777777" w:rsidR="00F85405" w:rsidRDefault="00F85405">
      <w:pPr>
        <w:spacing w:before="240" w:after="240" w:line="360" w:lineRule="auto"/>
        <w:jc w:val="both"/>
        <w:rPr>
          <w:rFonts w:ascii="Palatino Linotype" w:eastAsia="Palatino Linotype" w:hAnsi="Palatino Linotype" w:cs="Palatino Linotype"/>
        </w:rPr>
      </w:pPr>
    </w:p>
    <w:p w14:paraId="53130F50" w14:textId="77777777" w:rsidR="00F85405" w:rsidRDefault="00F85405">
      <w:pPr>
        <w:spacing w:before="240" w:after="240" w:line="360" w:lineRule="auto"/>
        <w:jc w:val="both"/>
        <w:rPr>
          <w:rFonts w:ascii="Palatino Linotype" w:eastAsia="Palatino Linotype" w:hAnsi="Palatino Linotype" w:cs="Palatino Linotype"/>
        </w:rPr>
      </w:pPr>
    </w:p>
    <w:p w14:paraId="1D3F3F90" w14:textId="77777777" w:rsidR="00F85405" w:rsidRDefault="00F85405">
      <w:pPr>
        <w:spacing w:before="240" w:after="240" w:line="360" w:lineRule="auto"/>
        <w:jc w:val="both"/>
        <w:rPr>
          <w:rFonts w:ascii="Palatino Linotype" w:eastAsia="Palatino Linotype" w:hAnsi="Palatino Linotype" w:cs="Palatino Linotype"/>
        </w:rPr>
      </w:pPr>
    </w:p>
    <w:p w14:paraId="1E764670" w14:textId="77777777" w:rsidR="00F85405" w:rsidRDefault="00F85405">
      <w:pPr>
        <w:spacing w:before="240" w:after="240" w:line="360" w:lineRule="auto"/>
        <w:jc w:val="both"/>
        <w:rPr>
          <w:rFonts w:ascii="Palatino Linotype" w:eastAsia="Palatino Linotype" w:hAnsi="Palatino Linotype" w:cs="Palatino Linotype"/>
        </w:rPr>
      </w:pPr>
    </w:p>
    <w:p w14:paraId="3A790956" w14:textId="77777777" w:rsidR="00F85405" w:rsidRDefault="00F85405">
      <w:pPr>
        <w:spacing w:before="240" w:after="240" w:line="360" w:lineRule="auto"/>
        <w:jc w:val="both"/>
        <w:rPr>
          <w:rFonts w:ascii="Palatino Linotype" w:eastAsia="Palatino Linotype" w:hAnsi="Palatino Linotype" w:cs="Palatino Linotype"/>
        </w:rPr>
      </w:pPr>
    </w:p>
    <w:p w14:paraId="5067E921" w14:textId="77777777" w:rsidR="00F85405" w:rsidRDefault="00F85405">
      <w:pPr>
        <w:spacing w:before="240" w:after="240" w:line="360" w:lineRule="auto"/>
        <w:jc w:val="both"/>
        <w:rPr>
          <w:rFonts w:ascii="Palatino Linotype" w:eastAsia="Palatino Linotype" w:hAnsi="Palatino Linotype" w:cs="Palatino Linotype"/>
        </w:rPr>
      </w:pPr>
    </w:p>
    <w:p w14:paraId="3D677C5E" w14:textId="77777777" w:rsidR="00F85405" w:rsidRDefault="00F85405">
      <w:pPr>
        <w:spacing w:before="240" w:after="240" w:line="360" w:lineRule="auto"/>
        <w:jc w:val="both"/>
        <w:rPr>
          <w:rFonts w:ascii="Palatino Linotype" w:eastAsia="Palatino Linotype" w:hAnsi="Palatino Linotype" w:cs="Palatino Linotype"/>
        </w:rPr>
      </w:pPr>
    </w:p>
    <w:p w14:paraId="461AF2C5" w14:textId="77777777" w:rsidR="00F85405" w:rsidRDefault="00F85405">
      <w:pPr>
        <w:spacing w:before="240" w:after="240" w:line="360" w:lineRule="auto"/>
        <w:jc w:val="both"/>
        <w:rPr>
          <w:rFonts w:ascii="Palatino Linotype" w:eastAsia="Palatino Linotype" w:hAnsi="Palatino Linotype" w:cs="Palatino Linotype"/>
        </w:rPr>
      </w:pPr>
    </w:p>
    <w:p w14:paraId="12E05A7E" w14:textId="77777777" w:rsidR="00F85405" w:rsidRDefault="00F85405">
      <w:pPr>
        <w:spacing w:before="240" w:after="240" w:line="360" w:lineRule="auto"/>
        <w:jc w:val="both"/>
        <w:rPr>
          <w:rFonts w:ascii="Palatino Linotype" w:eastAsia="Palatino Linotype" w:hAnsi="Palatino Linotype" w:cs="Palatino Linotype"/>
        </w:rPr>
      </w:pPr>
    </w:p>
    <w:p w14:paraId="43FC4EF8" w14:textId="77777777" w:rsidR="00F85405" w:rsidRDefault="00F85405">
      <w:pPr>
        <w:spacing w:before="240" w:after="240" w:line="360" w:lineRule="auto"/>
        <w:jc w:val="both"/>
        <w:rPr>
          <w:rFonts w:ascii="Palatino Linotype" w:eastAsia="Palatino Linotype" w:hAnsi="Palatino Linotype" w:cs="Palatino Linotype"/>
        </w:rPr>
      </w:pPr>
    </w:p>
    <w:p w14:paraId="416E469A" w14:textId="77777777" w:rsidR="00F85405" w:rsidRDefault="00F85405">
      <w:pPr>
        <w:spacing w:before="240" w:after="240" w:line="360" w:lineRule="auto"/>
        <w:jc w:val="both"/>
        <w:rPr>
          <w:rFonts w:ascii="Palatino Linotype" w:eastAsia="Palatino Linotype" w:hAnsi="Palatino Linotype" w:cs="Palatino Linotype"/>
        </w:rPr>
      </w:pPr>
    </w:p>
    <w:p w14:paraId="3E9758DD" w14:textId="77777777" w:rsidR="00F85405" w:rsidRDefault="00F85405">
      <w:pPr>
        <w:spacing w:before="240" w:after="240" w:line="360" w:lineRule="auto"/>
        <w:jc w:val="both"/>
        <w:rPr>
          <w:rFonts w:ascii="Palatino Linotype" w:eastAsia="Palatino Linotype" w:hAnsi="Palatino Linotype" w:cs="Palatino Linotype"/>
        </w:rPr>
      </w:pPr>
    </w:p>
    <w:p w14:paraId="4F38E4BC" w14:textId="77777777" w:rsidR="00F85405" w:rsidRDefault="00F85405">
      <w:pPr>
        <w:spacing w:before="240" w:after="240" w:line="360" w:lineRule="auto"/>
        <w:jc w:val="both"/>
        <w:rPr>
          <w:rFonts w:ascii="Palatino Linotype" w:eastAsia="Palatino Linotype" w:hAnsi="Palatino Linotype" w:cs="Palatino Linotype"/>
        </w:rPr>
      </w:pPr>
    </w:p>
    <w:p w14:paraId="54ABE0F4" w14:textId="77777777" w:rsidR="00F85405" w:rsidRDefault="00F85405">
      <w:pPr>
        <w:spacing w:before="240" w:after="240" w:line="360" w:lineRule="auto"/>
        <w:jc w:val="both"/>
        <w:rPr>
          <w:rFonts w:ascii="Palatino Linotype" w:eastAsia="Palatino Linotype" w:hAnsi="Palatino Linotype" w:cs="Palatino Linotype"/>
        </w:rPr>
      </w:pPr>
    </w:p>
    <w:p w14:paraId="60E1D69E" w14:textId="77777777" w:rsidR="00F85405" w:rsidRDefault="00F85405">
      <w:pPr>
        <w:spacing w:before="240" w:after="240" w:line="360" w:lineRule="auto"/>
        <w:jc w:val="both"/>
        <w:rPr>
          <w:rFonts w:ascii="Palatino Linotype" w:eastAsia="Palatino Linotype" w:hAnsi="Palatino Linotype" w:cs="Palatino Linotype"/>
        </w:rPr>
      </w:pPr>
    </w:p>
    <w:p w14:paraId="52F34D67" w14:textId="77777777" w:rsidR="00F85405" w:rsidRDefault="00F85405">
      <w:pPr>
        <w:spacing w:before="240" w:after="240" w:line="360" w:lineRule="auto"/>
        <w:jc w:val="both"/>
        <w:rPr>
          <w:rFonts w:ascii="Palatino Linotype" w:eastAsia="Palatino Linotype" w:hAnsi="Palatino Linotype" w:cs="Palatino Linotype"/>
        </w:rPr>
      </w:pPr>
    </w:p>
    <w:p w14:paraId="5AED58BC" w14:textId="77777777" w:rsidR="00F85405" w:rsidRDefault="00F85405">
      <w:pPr>
        <w:spacing w:before="240" w:after="240" w:line="360" w:lineRule="auto"/>
        <w:jc w:val="both"/>
        <w:rPr>
          <w:rFonts w:ascii="Palatino Linotype" w:eastAsia="Palatino Linotype" w:hAnsi="Palatino Linotype" w:cs="Palatino Linotype"/>
        </w:rPr>
      </w:pPr>
    </w:p>
    <w:p w14:paraId="5E7208D9" w14:textId="77777777" w:rsidR="00F85405" w:rsidRDefault="00F85405">
      <w:pPr>
        <w:spacing w:before="240" w:after="240" w:line="360" w:lineRule="auto"/>
        <w:jc w:val="both"/>
        <w:rPr>
          <w:rFonts w:ascii="Palatino Linotype" w:eastAsia="Palatino Linotype" w:hAnsi="Palatino Linotype" w:cs="Palatino Linotype"/>
        </w:rPr>
      </w:pPr>
    </w:p>
    <w:p w14:paraId="57CA63E4" w14:textId="77777777" w:rsidR="00F85405" w:rsidRPr="00B872C6" w:rsidRDefault="00F85405">
      <w:pPr>
        <w:spacing w:before="240" w:after="240" w:line="360" w:lineRule="auto"/>
        <w:jc w:val="both"/>
        <w:rPr>
          <w:rFonts w:ascii="Palatino Linotype" w:eastAsia="Palatino Linotype" w:hAnsi="Palatino Linotype" w:cs="Palatino Linotype"/>
        </w:rPr>
      </w:pPr>
    </w:p>
    <w:p w14:paraId="4D02FD9A" w14:textId="77777777" w:rsidR="00DA0359" w:rsidRPr="00B872C6" w:rsidRDefault="00DA0359">
      <w:pPr>
        <w:spacing w:before="240" w:after="240" w:line="360" w:lineRule="auto"/>
        <w:jc w:val="both"/>
        <w:rPr>
          <w:rFonts w:ascii="Palatino Linotype" w:eastAsia="Palatino Linotype" w:hAnsi="Palatino Linotype" w:cs="Palatino Linotype"/>
        </w:rPr>
      </w:pPr>
    </w:p>
    <w:sectPr w:rsidR="00DA0359" w:rsidRPr="00B872C6">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71C05" w14:textId="77777777" w:rsidR="00BE5E15" w:rsidRDefault="00BE5E15">
      <w:r>
        <w:separator/>
      </w:r>
    </w:p>
  </w:endnote>
  <w:endnote w:type="continuationSeparator" w:id="0">
    <w:p w14:paraId="0462B3DD" w14:textId="77777777" w:rsidR="00BE5E15" w:rsidRDefault="00BE5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B39A4" w14:textId="77777777" w:rsidR="00DA0359" w:rsidRDefault="000879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545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545B">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74EF0232" w14:textId="77777777" w:rsidR="00DA0359" w:rsidRDefault="00DA035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10760" w14:textId="77777777" w:rsidR="00DA0359" w:rsidRDefault="000879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545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545B">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5C94B20F" w14:textId="77777777" w:rsidR="00DA0359" w:rsidRDefault="00DA035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7591E" w14:textId="77777777" w:rsidR="00BE5E15" w:rsidRDefault="00BE5E15">
      <w:r>
        <w:separator/>
      </w:r>
    </w:p>
  </w:footnote>
  <w:footnote w:type="continuationSeparator" w:id="0">
    <w:p w14:paraId="700A43BD" w14:textId="77777777" w:rsidR="00BE5E15" w:rsidRDefault="00BE5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949A9" w14:textId="77777777" w:rsidR="00DA0359" w:rsidRDefault="000879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7CA8F93" wp14:editId="10F2DA8A">
          <wp:simplePos x="0" y="0"/>
          <wp:positionH relativeFrom="column">
            <wp:posOffset>-1080131</wp:posOffset>
          </wp:positionH>
          <wp:positionV relativeFrom="paragraph">
            <wp:posOffset>-488311</wp:posOffset>
          </wp:positionV>
          <wp:extent cx="7809865" cy="10165715"/>
          <wp:effectExtent l="0" t="0" r="0" b="0"/>
          <wp:wrapNone/>
          <wp:docPr id="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DA0359" w14:paraId="3DCDB9CF" w14:textId="77777777">
      <w:tc>
        <w:tcPr>
          <w:tcW w:w="2489" w:type="dxa"/>
          <w:shd w:val="clear" w:color="auto" w:fill="auto"/>
        </w:tcPr>
        <w:p w14:paraId="4D5B8EB8" w14:textId="77777777" w:rsidR="00DA0359" w:rsidRDefault="00087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C7EF6C5" w14:textId="77777777" w:rsidR="00DA0359" w:rsidRDefault="000879D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05209/INFOEM/IP/RR/2023</w:t>
          </w:r>
        </w:p>
      </w:tc>
    </w:tr>
    <w:tr w:rsidR="00DA0359" w14:paraId="259424E7" w14:textId="77777777">
      <w:trPr>
        <w:trHeight w:val="228"/>
      </w:trPr>
      <w:tc>
        <w:tcPr>
          <w:tcW w:w="2489" w:type="dxa"/>
          <w:shd w:val="clear" w:color="auto" w:fill="auto"/>
          <w:vAlign w:val="center"/>
        </w:tcPr>
        <w:p w14:paraId="185E16AA" w14:textId="77777777" w:rsidR="00DA0359" w:rsidRDefault="00087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C9830C7" w14:textId="77777777" w:rsidR="00DA0359" w:rsidRDefault="000879DB">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DA0359" w14:paraId="11F2FFFE" w14:textId="77777777">
      <w:tc>
        <w:tcPr>
          <w:tcW w:w="2489" w:type="dxa"/>
          <w:shd w:val="clear" w:color="auto" w:fill="auto"/>
          <w:vAlign w:val="center"/>
        </w:tcPr>
        <w:p w14:paraId="3F5866E5" w14:textId="77777777" w:rsidR="00DA0359" w:rsidRDefault="000879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7022C7" w14:textId="77777777" w:rsidR="00DA0359" w:rsidRDefault="000879D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5362A1" w14:textId="77777777" w:rsidR="00DA0359" w:rsidRDefault="000879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EB4E7" w14:textId="77777777" w:rsidR="00DA0359" w:rsidRDefault="00DA0359">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DA0359" w14:paraId="2FFB044C" w14:textId="77777777">
      <w:tc>
        <w:tcPr>
          <w:tcW w:w="2551" w:type="dxa"/>
          <w:shd w:val="clear" w:color="auto" w:fill="auto"/>
          <w:vAlign w:val="center"/>
        </w:tcPr>
        <w:p w14:paraId="49BEC880" w14:textId="77777777" w:rsidR="00DA0359" w:rsidRDefault="00087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71EB463" w14:textId="77777777" w:rsidR="00DA0359" w:rsidRDefault="000879D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05209/INFOEM/IP/RR/2023</w:t>
          </w:r>
        </w:p>
      </w:tc>
    </w:tr>
    <w:tr w:rsidR="00DA0359" w14:paraId="3DA2B4A7" w14:textId="77777777">
      <w:trPr>
        <w:trHeight w:val="130"/>
      </w:trPr>
      <w:tc>
        <w:tcPr>
          <w:tcW w:w="2551" w:type="dxa"/>
          <w:shd w:val="clear" w:color="auto" w:fill="auto"/>
          <w:vAlign w:val="center"/>
        </w:tcPr>
        <w:p w14:paraId="4BE09247" w14:textId="77777777" w:rsidR="00DA0359" w:rsidRDefault="00087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1589041" w14:textId="77777777" w:rsidR="00DA0359" w:rsidRDefault="00DA0359">
          <w:pPr>
            <w:ind w:left="-45" w:right="-533"/>
            <w:jc w:val="both"/>
            <w:rPr>
              <w:rFonts w:ascii="Palatino Linotype" w:eastAsia="Palatino Linotype" w:hAnsi="Palatino Linotype" w:cs="Palatino Linotype"/>
              <w:b/>
              <w:sz w:val="22"/>
              <w:szCs w:val="22"/>
            </w:rPr>
          </w:pPr>
        </w:p>
      </w:tc>
    </w:tr>
    <w:tr w:rsidR="00DA0359" w14:paraId="4965C39A" w14:textId="77777777">
      <w:trPr>
        <w:trHeight w:val="228"/>
      </w:trPr>
      <w:tc>
        <w:tcPr>
          <w:tcW w:w="2551" w:type="dxa"/>
          <w:shd w:val="clear" w:color="auto" w:fill="auto"/>
          <w:vAlign w:val="center"/>
        </w:tcPr>
        <w:p w14:paraId="25F93680" w14:textId="77777777" w:rsidR="00DA0359" w:rsidRDefault="00087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4AC848B" w14:textId="77777777" w:rsidR="00DA0359" w:rsidRDefault="000879DB">
          <w:pPr>
            <w:ind w:left="-45" w:right="27"/>
            <w:jc w:val="both"/>
          </w:pPr>
          <w:r>
            <w:rPr>
              <w:rFonts w:ascii="Palatino Linotype" w:eastAsia="Palatino Linotype" w:hAnsi="Palatino Linotype" w:cs="Palatino Linotype"/>
              <w:b/>
              <w:sz w:val="22"/>
              <w:szCs w:val="22"/>
            </w:rPr>
            <w:t>Ayuntamiento de Zinacantepec.</w:t>
          </w:r>
        </w:p>
      </w:tc>
    </w:tr>
    <w:tr w:rsidR="00DA0359" w14:paraId="3939B14F" w14:textId="77777777">
      <w:tc>
        <w:tcPr>
          <w:tcW w:w="2551" w:type="dxa"/>
          <w:shd w:val="clear" w:color="auto" w:fill="auto"/>
          <w:vAlign w:val="center"/>
        </w:tcPr>
        <w:p w14:paraId="600DD57E" w14:textId="77777777" w:rsidR="00DA0359" w:rsidRDefault="00087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DC427DB" w14:textId="77777777" w:rsidR="00DA0359" w:rsidRDefault="000879D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53F8BD" w14:textId="77777777" w:rsidR="00DA0359" w:rsidRDefault="000879D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4FB69555" wp14:editId="2A8BB65F">
          <wp:simplePos x="0" y="0"/>
          <wp:positionH relativeFrom="column">
            <wp:posOffset>-1089656</wp:posOffset>
          </wp:positionH>
          <wp:positionV relativeFrom="paragraph">
            <wp:posOffset>-1169666</wp:posOffset>
          </wp:positionV>
          <wp:extent cx="7809865" cy="10165715"/>
          <wp:effectExtent l="0" t="0" r="0" b="0"/>
          <wp:wrapNone/>
          <wp:docPr id="2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203342"/>
    <w:multiLevelType w:val="multilevel"/>
    <w:tmpl w:val="39E8E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B2526D"/>
    <w:multiLevelType w:val="multilevel"/>
    <w:tmpl w:val="DC5EAB9C"/>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430E06"/>
    <w:multiLevelType w:val="multilevel"/>
    <w:tmpl w:val="48681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843DF1"/>
    <w:multiLevelType w:val="multilevel"/>
    <w:tmpl w:val="F8580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359"/>
    <w:rsid w:val="000879DB"/>
    <w:rsid w:val="00501B31"/>
    <w:rsid w:val="00B872C6"/>
    <w:rsid w:val="00BE5E15"/>
    <w:rsid w:val="00C8545B"/>
    <w:rsid w:val="00DA0359"/>
    <w:rsid w:val="00F854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324F"/>
  <w15:docId w15:val="{8EF27C26-925C-4E60-899F-E860940D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1A55EF"/>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lucalabellacd.com/2023/08/25/edomex/habitantes-zinacantepec-contra-festejos-203-aniversario-municipio-160494/"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transparencia.ipn.mx/Apoyo/SIPOT/LTG_DOF28122020.pdf"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iv0VXU631YGzq46xiHHR0FiSQ==">CgMxLjAyCGguZ2pkZ3hzMgloLjMwajB6bGwyCGgudHlqY3d0MgloLjJldDkycDA4AHIhMUdkLWVsUjk0WFpoOUt4WXdyeVl4MlBNY3RMdVByUzBo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12793</Words>
  <Characters>70364</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2024-02-02T16:05:00Z</cp:lastPrinted>
  <dcterms:created xsi:type="dcterms:W3CDTF">2024-02-07T20:03:00Z</dcterms:created>
  <dcterms:modified xsi:type="dcterms:W3CDTF">2024-02-07T20:03:00Z</dcterms:modified>
</cp:coreProperties>
</file>