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BBF6" w14:textId="32CF0183" w:rsidR="00C853D1" w:rsidRPr="00341CA1" w:rsidRDefault="00C853D1" w:rsidP="00F40D32">
      <w:pPr>
        <w:spacing w:after="0" w:line="360" w:lineRule="auto"/>
        <w:rPr>
          <w:rFonts w:eastAsia="Times New Roman" w:cs="Tahoma"/>
          <w:bCs/>
          <w:color w:val="auto"/>
          <w:sz w:val="24"/>
          <w:szCs w:val="24"/>
          <w:lang w:eastAsia="es-ES"/>
        </w:rPr>
      </w:pPr>
      <w:r w:rsidRPr="00341CA1">
        <w:rPr>
          <w:rFonts w:eastAsia="Calibri" w:cs="Tahoma"/>
          <w:bCs/>
          <w:color w:val="auto"/>
          <w:sz w:val="24"/>
          <w:szCs w:val="24"/>
        </w:rPr>
        <w:t xml:space="preserve">Resolución del Pleno del Instituto de Transparencia, Acceso a la Información Pública y </w:t>
      </w:r>
      <w:r w:rsidRPr="00341CA1">
        <w:rPr>
          <w:rFonts w:eastAsia="Times New Roman" w:cs="Tahoma"/>
          <w:bCs/>
          <w:color w:val="auto"/>
          <w:sz w:val="24"/>
          <w:szCs w:val="24"/>
          <w:lang w:eastAsia="es-ES"/>
        </w:rPr>
        <w:t xml:space="preserve">Protección de Datos Personales del Estado de México y Municipios, con domicilio en Metepec, Estado de México, de fecha </w:t>
      </w:r>
      <w:r w:rsidR="00DF5525" w:rsidRPr="00341CA1">
        <w:rPr>
          <w:rFonts w:eastAsia="Times New Roman" w:cs="Tahoma"/>
          <w:bCs/>
          <w:color w:val="auto"/>
          <w:sz w:val="24"/>
          <w:szCs w:val="24"/>
          <w:lang w:eastAsia="es-ES"/>
        </w:rPr>
        <w:t>seis de noviembre</w:t>
      </w:r>
      <w:r w:rsidR="00F40D32" w:rsidRPr="00341CA1">
        <w:rPr>
          <w:rFonts w:eastAsia="Times New Roman" w:cs="Tahoma"/>
          <w:bCs/>
          <w:color w:val="auto"/>
          <w:sz w:val="24"/>
          <w:szCs w:val="24"/>
          <w:lang w:eastAsia="es-ES"/>
        </w:rPr>
        <w:t xml:space="preserve"> de dos mil veinticuatro. </w:t>
      </w:r>
      <w:r w:rsidR="003E6F01" w:rsidRPr="00341CA1">
        <w:rPr>
          <w:rFonts w:eastAsia="Times New Roman" w:cs="Tahoma"/>
          <w:bCs/>
          <w:color w:val="auto"/>
          <w:sz w:val="24"/>
          <w:szCs w:val="24"/>
          <w:lang w:eastAsia="es-ES"/>
        </w:rPr>
        <w:t xml:space="preserve"> </w:t>
      </w:r>
    </w:p>
    <w:p w14:paraId="7C193E14" w14:textId="77777777" w:rsidR="0092599F" w:rsidRPr="00341CA1" w:rsidRDefault="0092599F" w:rsidP="00F40D32">
      <w:pPr>
        <w:spacing w:after="0" w:line="360" w:lineRule="auto"/>
        <w:rPr>
          <w:rFonts w:eastAsia="Times New Roman" w:cs="Tahoma"/>
          <w:b/>
          <w:bCs/>
          <w:color w:val="auto"/>
          <w:sz w:val="24"/>
          <w:szCs w:val="24"/>
          <w:lang w:eastAsia="es-ES"/>
        </w:rPr>
      </w:pPr>
    </w:p>
    <w:p w14:paraId="1066B8D1" w14:textId="33220599" w:rsidR="00C853D1" w:rsidRPr="00341CA1" w:rsidRDefault="00C853D1" w:rsidP="00F40D32">
      <w:pPr>
        <w:spacing w:after="0" w:line="360" w:lineRule="auto"/>
        <w:rPr>
          <w:rFonts w:eastAsia="Calibri" w:cs="Tahoma"/>
          <w:color w:val="auto"/>
          <w:sz w:val="24"/>
          <w:szCs w:val="24"/>
        </w:rPr>
      </w:pPr>
      <w:r w:rsidRPr="00341CA1">
        <w:rPr>
          <w:rFonts w:eastAsia="Times New Roman" w:cs="Tahoma"/>
          <w:b/>
          <w:bCs/>
          <w:color w:val="auto"/>
          <w:sz w:val="24"/>
          <w:szCs w:val="24"/>
          <w:lang w:eastAsia="es-ES"/>
        </w:rPr>
        <w:t>VISTO</w:t>
      </w:r>
      <w:r w:rsidRPr="00341CA1">
        <w:rPr>
          <w:rFonts w:eastAsia="Calibri" w:cs="Tahoma"/>
          <w:bCs/>
          <w:color w:val="auto"/>
          <w:sz w:val="24"/>
          <w:szCs w:val="24"/>
        </w:rPr>
        <w:t xml:space="preserve"> el expediente conformado con motivo del Recurso de Revisión </w:t>
      </w:r>
      <w:r w:rsidR="005071C1" w:rsidRPr="00341CA1">
        <w:rPr>
          <w:rFonts w:eastAsia="Calibri" w:cs="Tahoma"/>
          <w:b/>
          <w:color w:val="auto"/>
          <w:sz w:val="24"/>
          <w:szCs w:val="24"/>
        </w:rPr>
        <w:t>05684</w:t>
      </w:r>
      <w:r w:rsidR="00F40D32" w:rsidRPr="00341CA1">
        <w:rPr>
          <w:rFonts w:eastAsia="Calibri" w:cs="Tahoma"/>
          <w:b/>
          <w:color w:val="auto"/>
          <w:sz w:val="24"/>
          <w:szCs w:val="24"/>
        </w:rPr>
        <w:t>/INFOEM/IP/RR/202</w:t>
      </w:r>
      <w:r w:rsidR="005071C1" w:rsidRPr="00341CA1">
        <w:rPr>
          <w:rFonts w:eastAsia="Calibri" w:cs="Tahoma"/>
          <w:b/>
          <w:color w:val="auto"/>
          <w:sz w:val="24"/>
          <w:szCs w:val="24"/>
        </w:rPr>
        <w:t>4</w:t>
      </w:r>
      <w:r w:rsidRPr="00341CA1">
        <w:rPr>
          <w:rFonts w:eastAsia="Calibri" w:cs="Tahoma"/>
          <w:color w:val="auto"/>
          <w:sz w:val="24"/>
          <w:szCs w:val="24"/>
        </w:rPr>
        <w:t xml:space="preserve">, interpuesto por </w:t>
      </w:r>
      <w:r w:rsidR="005071C1" w:rsidRPr="00341CA1">
        <w:rPr>
          <w:rFonts w:eastAsia="Palatino Linotype" w:cs="Palatino Linotype"/>
          <w:b/>
          <w:color w:val="auto"/>
          <w:sz w:val="24"/>
          <w:szCs w:val="24"/>
        </w:rPr>
        <w:t>un particular que no proporcionó su nombre</w:t>
      </w:r>
      <w:r w:rsidR="005071C1" w:rsidRPr="00341CA1">
        <w:rPr>
          <w:rFonts w:eastAsia="Palatino Linotype" w:cs="Palatino Linotype"/>
          <w:color w:val="auto"/>
          <w:sz w:val="24"/>
          <w:szCs w:val="24"/>
        </w:rPr>
        <w:t xml:space="preserve">, en lo sucesivo la parte </w:t>
      </w:r>
      <w:r w:rsidR="005071C1" w:rsidRPr="00341CA1">
        <w:rPr>
          <w:rFonts w:eastAsia="Palatino Linotype" w:cs="Palatino Linotype"/>
          <w:b/>
          <w:color w:val="auto"/>
          <w:sz w:val="24"/>
          <w:szCs w:val="24"/>
        </w:rPr>
        <w:t>RECURRENTE,</w:t>
      </w:r>
      <w:r w:rsidRPr="00341CA1">
        <w:rPr>
          <w:rFonts w:eastAsia="Calibri" w:cs="Tahoma"/>
          <w:color w:val="auto"/>
          <w:sz w:val="24"/>
          <w:szCs w:val="24"/>
        </w:rPr>
        <w:t xml:space="preserve"> en contra de la respuesta del </w:t>
      </w:r>
      <w:r w:rsidR="005071C1" w:rsidRPr="00341CA1">
        <w:rPr>
          <w:rFonts w:eastAsia="Calibri" w:cs="Tahoma"/>
          <w:b/>
          <w:color w:val="auto"/>
          <w:sz w:val="24"/>
          <w:szCs w:val="24"/>
        </w:rPr>
        <w:t>SUJETO OBLIGADO</w:t>
      </w:r>
      <w:r w:rsidRPr="00341CA1">
        <w:rPr>
          <w:rFonts w:eastAsia="Calibri" w:cs="Tahoma"/>
          <w:color w:val="auto"/>
          <w:sz w:val="24"/>
          <w:szCs w:val="24"/>
        </w:rPr>
        <w:t xml:space="preserve">, </w:t>
      </w:r>
      <w:r w:rsidR="000F4364" w:rsidRPr="00341CA1">
        <w:rPr>
          <w:rFonts w:eastAsia="Calibri" w:cs="Tahoma"/>
          <w:color w:val="auto"/>
          <w:sz w:val="24"/>
          <w:szCs w:val="24"/>
        </w:rPr>
        <w:t>Poder Judicial</w:t>
      </w:r>
      <w:r w:rsidRPr="00341CA1">
        <w:rPr>
          <w:rFonts w:eastAsia="Calibri" w:cs="Tahoma"/>
          <w:color w:val="auto"/>
          <w:sz w:val="24"/>
          <w:szCs w:val="24"/>
        </w:rPr>
        <w:t xml:space="preserve">, a la solicitud de acceso a la información </w:t>
      </w:r>
      <w:r w:rsidR="005071C1" w:rsidRPr="00341CA1">
        <w:rPr>
          <w:rFonts w:eastAsia="Calibri" w:cs="Tahoma"/>
          <w:b/>
          <w:color w:val="auto"/>
          <w:sz w:val="24"/>
          <w:szCs w:val="24"/>
        </w:rPr>
        <w:t>00731/PJUDICI/IP/2024</w:t>
      </w:r>
      <w:r w:rsidRPr="00341CA1">
        <w:rPr>
          <w:rFonts w:eastAsia="Calibri" w:cs="Tahoma"/>
          <w:b/>
          <w:color w:val="auto"/>
          <w:sz w:val="24"/>
          <w:szCs w:val="24"/>
        </w:rPr>
        <w:t>,</w:t>
      </w:r>
      <w:r w:rsidRPr="00341CA1">
        <w:rPr>
          <w:rFonts w:eastAsia="Calibri" w:cs="Tahoma"/>
          <w:color w:val="auto"/>
          <w:sz w:val="24"/>
          <w:szCs w:val="24"/>
        </w:rPr>
        <w:t xml:space="preserve"> se emite la presente Resolución, con base en los Antecedentes y Considerandos que se exponen a continuación:</w:t>
      </w:r>
    </w:p>
    <w:p w14:paraId="4FCCF228" w14:textId="77777777" w:rsidR="00C853D1" w:rsidRPr="00341CA1" w:rsidRDefault="00C853D1" w:rsidP="00F40D32">
      <w:pPr>
        <w:spacing w:after="0" w:line="360" w:lineRule="auto"/>
        <w:rPr>
          <w:rFonts w:eastAsia="Calibri" w:cs="Tahoma"/>
          <w:color w:val="auto"/>
          <w:sz w:val="24"/>
          <w:szCs w:val="24"/>
        </w:rPr>
      </w:pPr>
    </w:p>
    <w:p w14:paraId="0472C645" w14:textId="77777777" w:rsidR="00C853D1" w:rsidRPr="00341CA1" w:rsidRDefault="00C853D1" w:rsidP="00F40D32">
      <w:pPr>
        <w:tabs>
          <w:tab w:val="center" w:pos="4522"/>
          <w:tab w:val="left" w:pos="7245"/>
        </w:tabs>
        <w:spacing w:after="0" w:line="360" w:lineRule="auto"/>
        <w:jc w:val="center"/>
        <w:rPr>
          <w:rFonts w:eastAsia="Calibri" w:cs="Tahoma"/>
          <w:b/>
          <w:color w:val="auto"/>
          <w:sz w:val="24"/>
          <w:szCs w:val="24"/>
        </w:rPr>
      </w:pPr>
      <w:r w:rsidRPr="00341CA1">
        <w:rPr>
          <w:rFonts w:eastAsia="Calibri" w:cs="Tahoma"/>
          <w:b/>
          <w:color w:val="auto"/>
          <w:sz w:val="24"/>
          <w:szCs w:val="24"/>
        </w:rPr>
        <w:t>A N T E C E D E N T E S:</w:t>
      </w:r>
    </w:p>
    <w:p w14:paraId="422D0175" w14:textId="77777777" w:rsidR="00C853D1" w:rsidRPr="00341CA1" w:rsidRDefault="00C853D1" w:rsidP="00F40D32">
      <w:pPr>
        <w:spacing w:after="0" w:line="360" w:lineRule="auto"/>
        <w:rPr>
          <w:color w:val="auto"/>
          <w:sz w:val="24"/>
          <w:szCs w:val="24"/>
        </w:rPr>
      </w:pPr>
    </w:p>
    <w:p w14:paraId="7D2D54E6" w14:textId="71D89EB3"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Solicitud de acceso a la información.</w:t>
      </w:r>
      <w:r w:rsidRPr="00341CA1">
        <w:rPr>
          <w:rFonts w:eastAsia="Palatino Linotype" w:cs="Palatino Linotype"/>
          <w:color w:val="auto"/>
          <w:sz w:val="24"/>
          <w:szCs w:val="24"/>
        </w:rPr>
        <w:t xml:space="preserve"> Con fecha </w:t>
      </w:r>
      <w:r w:rsidR="005071C1" w:rsidRPr="00341CA1">
        <w:rPr>
          <w:rFonts w:eastAsia="Palatino Linotype" w:cs="Palatino Linotype"/>
          <w:b/>
          <w:color w:val="auto"/>
          <w:sz w:val="24"/>
          <w:szCs w:val="24"/>
        </w:rPr>
        <w:t>seis de septiembre de dos mil veinticuatro</w:t>
      </w:r>
      <w:r w:rsidRPr="00341CA1">
        <w:rPr>
          <w:rFonts w:eastAsia="Palatino Linotype" w:cs="Palatino Linotype"/>
          <w:color w:val="auto"/>
          <w:sz w:val="24"/>
          <w:szCs w:val="24"/>
        </w:rPr>
        <w:t xml:space="preserve">, la parte </w:t>
      </w:r>
      <w:r w:rsidRPr="00341CA1">
        <w:rPr>
          <w:rFonts w:eastAsia="Palatino Linotype" w:cs="Palatino Linotype"/>
          <w:b/>
          <w:color w:val="auto"/>
          <w:sz w:val="24"/>
          <w:szCs w:val="24"/>
        </w:rPr>
        <w:t>RECURRENTE</w:t>
      </w:r>
      <w:r w:rsidRPr="00341CA1">
        <w:rPr>
          <w:rFonts w:eastAsia="Palatino Linotype" w:cs="Palatino Linotype"/>
          <w:color w:val="auto"/>
          <w:sz w:val="24"/>
          <w:szCs w:val="24"/>
        </w:rPr>
        <w:t xml:space="preserve"> formuló solicitud de acceso a información pública al</w:t>
      </w:r>
      <w:r w:rsidRPr="00341CA1">
        <w:rPr>
          <w:rFonts w:eastAsia="Palatino Linotype" w:cs="Palatino Linotype"/>
          <w:b/>
          <w:color w:val="auto"/>
          <w:sz w:val="24"/>
          <w:szCs w:val="24"/>
        </w:rPr>
        <w:t xml:space="preserve"> SUJETO OBLIGADO</w:t>
      </w:r>
      <w:r w:rsidRPr="00341CA1">
        <w:rPr>
          <w:rFonts w:eastAsia="Palatino Linotype" w:cs="Palatino Linotype"/>
          <w:color w:val="auto"/>
          <w:sz w:val="24"/>
          <w:szCs w:val="24"/>
        </w:rPr>
        <w:t xml:space="preserve"> a través del Sistema de Acceso a la Información Mexiquense, en adelante SAIMEX, en la que requirió lo siguiente: </w:t>
      </w:r>
    </w:p>
    <w:p w14:paraId="4F1EF3BD" w14:textId="77777777" w:rsidR="00F40D32" w:rsidRPr="00341CA1" w:rsidRDefault="00F40D32" w:rsidP="00F40D32">
      <w:pPr>
        <w:tabs>
          <w:tab w:val="left" w:pos="1530"/>
        </w:tabs>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ab/>
      </w:r>
    </w:p>
    <w:p w14:paraId="717980FC" w14:textId="0CA85A85" w:rsidR="00F40D32" w:rsidRPr="00341CA1" w:rsidRDefault="00F40D32" w:rsidP="00F40D32">
      <w:pPr>
        <w:spacing w:after="0"/>
        <w:ind w:left="567" w:right="560"/>
        <w:rPr>
          <w:rFonts w:eastAsia="Palatino Linotype" w:cs="Palatino Linotype"/>
          <w:i/>
          <w:color w:val="auto"/>
        </w:rPr>
      </w:pPr>
      <w:bookmarkStart w:id="0" w:name="_heading=h.30j0zll" w:colFirst="0" w:colLast="0"/>
      <w:bookmarkEnd w:id="0"/>
      <w:r w:rsidRPr="00341CA1">
        <w:rPr>
          <w:rFonts w:eastAsia="Palatino Linotype" w:cs="Palatino Linotype"/>
          <w:i/>
          <w:color w:val="auto"/>
        </w:rPr>
        <w:t>“</w:t>
      </w:r>
      <w:r w:rsidR="005071C1" w:rsidRPr="00341CA1">
        <w:rPr>
          <w:rFonts w:eastAsia="Palatino Linotype" w:cs="Palatino Linotype"/>
          <w:i/>
          <w:color w:val="auto"/>
        </w:rPr>
        <w:t xml:space="preserve">Solicito de la manera más atenta y cordial, la Sentencia Definitiva de fecha 21/05/2015 (veintiuno de mayo del dos mil quince) en su VERSIÓN PÚBLICA del expediente número </w:t>
      </w:r>
      <w:r w:rsidR="006370BA">
        <w:rPr>
          <w:rFonts w:eastAsia="Palatino Linotype" w:cs="Palatino Linotype"/>
          <w:i/>
          <w:color w:val="auto"/>
        </w:rPr>
        <w:t>XXX</w:t>
      </w:r>
      <w:r w:rsidR="005071C1" w:rsidRPr="00341CA1">
        <w:rPr>
          <w:rFonts w:eastAsia="Palatino Linotype" w:cs="Palatino Linotype"/>
          <w:i/>
          <w:color w:val="auto"/>
        </w:rPr>
        <w:t>/</w:t>
      </w:r>
      <w:r w:rsidR="006370BA">
        <w:rPr>
          <w:rFonts w:eastAsia="Palatino Linotype" w:cs="Palatino Linotype"/>
          <w:i/>
          <w:color w:val="auto"/>
        </w:rPr>
        <w:t>XXXX</w:t>
      </w:r>
      <w:r w:rsidR="005071C1" w:rsidRPr="00341CA1">
        <w:rPr>
          <w:rFonts w:eastAsia="Palatino Linotype" w:cs="Palatino Linotype"/>
          <w:i/>
          <w:color w:val="auto"/>
        </w:rPr>
        <w:t xml:space="preserve">, relativo al Juicio Ordinario Civil promovido por </w:t>
      </w:r>
      <w:r w:rsidR="006370BA">
        <w:rPr>
          <w:rFonts w:eastAsia="Palatino Linotype" w:cs="Palatino Linotype"/>
          <w:i/>
          <w:color w:val="auto"/>
        </w:rPr>
        <w:t>XXXXXXXXX XXXXXXX XXXXX</w:t>
      </w:r>
      <w:r w:rsidR="005071C1" w:rsidRPr="00341CA1">
        <w:rPr>
          <w:rFonts w:eastAsia="Palatino Linotype" w:cs="Palatino Linotype"/>
          <w:i/>
          <w:color w:val="auto"/>
        </w:rPr>
        <w:t xml:space="preserve"> en contra de </w:t>
      </w:r>
      <w:r w:rsidR="006370BA">
        <w:rPr>
          <w:rFonts w:eastAsia="Palatino Linotype" w:cs="Palatino Linotype"/>
          <w:i/>
          <w:color w:val="auto"/>
        </w:rPr>
        <w:t>XXXXXXXX</w:t>
      </w:r>
      <w:r w:rsidR="005071C1" w:rsidRPr="00341CA1">
        <w:rPr>
          <w:rFonts w:eastAsia="Palatino Linotype" w:cs="Palatino Linotype"/>
          <w:i/>
          <w:color w:val="auto"/>
        </w:rPr>
        <w:t xml:space="preserve"> </w:t>
      </w:r>
      <w:r w:rsidR="006370BA">
        <w:rPr>
          <w:rFonts w:eastAsia="Palatino Linotype" w:cs="Palatino Linotype"/>
          <w:i/>
          <w:color w:val="auto"/>
        </w:rPr>
        <w:t>XXXXXXX</w:t>
      </w:r>
      <w:r w:rsidR="005071C1" w:rsidRPr="00341CA1">
        <w:rPr>
          <w:rFonts w:eastAsia="Palatino Linotype" w:cs="Palatino Linotype"/>
          <w:i/>
          <w:color w:val="auto"/>
        </w:rPr>
        <w:t xml:space="preserve"> </w:t>
      </w:r>
      <w:r w:rsidR="006370BA">
        <w:rPr>
          <w:rFonts w:eastAsia="Palatino Linotype" w:cs="Palatino Linotype"/>
          <w:i/>
          <w:color w:val="auto"/>
        </w:rPr>
        <w:t>XXXXXX</w:t>
      </w:r>
      <w:r w:rsidR="005071C1" w:rsidRPr="00341CA1">
        <w:rPr>
          <w:rFonts w:eastAsia="Palatino Linotype" w:cs="Palatino Linotype"/>
          <w:i/>
          <w:color w:val="auto"/>
        </w:rPr>
        <w:t xml:space="preserve">, ante el Juzgado Séptimo Civil de Tlalnepantla con Residencia en Atizapán de Zaragoza, México, con relación al inmueble con domicilio en </w:t>
      </w:r>
      <w:r w:rsidR="006370BA">
        <w:rPr>
          <w:rFonts w:eastAsia="Palatino Linotype" w:cs="Palatino Linotype"/>
          <w:i/>
          <w:color w:val="auto"/>
        </w:rPr>
        <w:t>XXXXX XXXXXXXXX XXXXX XX</w:t>
      </w:r>
      <w:r w:rsidR="005071C1" w:rsidRPr="00341CA1">
        <w:rPr>
          <w:rFonts w:eastAsia="Palatino Linotype" w:cs="Palatino Linotype"/>
          <w:i/>
          <w:color w:val="auto"/>
        </w:rPr>
        <w:t xml:space="preserve">, </w:t>
      </w:r>
      <w:r w:rsidR="006370BA">
        <w:rPr>
          <w:rFonts w:eastAsia="Palatino Linotype" w:cs="Palatino Linotype"/>
          <w:i/>
          <w:color w:val="auto"/>
        </w:rPr>
        <w:t>XXXXXXX XXXXXX XXXXXXX</w:t>
      </w:r>
      <w:r w:rsidR="005071C1" w:rsidRPr="00341CA1">
        <w:rPr>
          <w:rFonts w:eastAsia="Palatino Linotype" w:cs="Palatino Linotype"/>
          <w:i/>
          <w:color w:val="auto"/>
        </w:rPr>
        <w:t xml:space="preserve">, código postal 52979, Municipio de Atizapán de Zaragoza, Estado de México. Inmueble con Escritura Pública número </w:t>
      </w:r>
      <w:proofErr w:type="gramStart"/>
      <w:r w:rsidR="006370BA">
        <w:rPr>
          <w:rFonts w:eastAsia="Palatino Linotype" w:cs="Palatino Linotype"/>
          <w:i/>
          <w:color w:val="auto"/>
        </w:rPr>
        <w:t>XX</w:t>
      </w:r>
      <w:r w:rsidR="005071C1" w:rsidRPr="00341CA1">
        <w:rPr>
          <w:rFonts w:eastAsia="Palatino Linotype" w:cs="Palatino Linotype"/>
          <w:i/>
          <w:color w:val="auto"/>
        </w:rPr>
        <w:t>,</w:t>
      </w:r>
      <w:r w:rsidR="006370BA">
        <w:rPr>
          <w:rFonts w:eastAsia="Palatino Linotype" w:cs="Palatino Linotype"/>
          <w:i/>
          <w:color w:val="auto"/>
        </w:rPr>
        <w:t>XXX</w:t>
      </w:r>
      <w:proofErr w:type="gramEnd"/>
      <w:r w:rsidR="005071C1" w:rsidRPr="00341CA1">
        <w:rPr>
          <w:rFonts w:eastAsia="Palatino Linotype" w:cs="Palatino Linotype"/>
          <w:i/>
          <w:color w:val="auto"/>
        </w:rPr>
        <w:t xml:space="preserve">, volumen especial número </w:t>
      </w:r>
      <w:r w:rsidR="006370BA">
        <w:rPr>
          <w:rFonts w:eastAsia="Palatino Linotype" w:cs="Palatino Linotype"/>
          <w:i/>
          <w:color w:val="auto"/>
        </w:rPr>
        <w:t>XXXXXXXXXXX XXXXXX</w:t>
      </w:r>
      <w:r w:rsidR="005071C1" w:rsidRPr="00341CA1">
        <w:rPr>
          <w:rFonts w:eastAsia="Palatino Linotype" w:cs="Palatino Linotype"/>
          <w:i/>
          <w:color w:val="auto"/>
        </w:rPr>
        <w:t xml:space="preserve">, de fecha </w:t>
      </w:r>
      <w:r w:rsidR="006370BA">
        <w:rPr>
          <w:rFonts w:eastAsia="Palatino Linotype" w:cs="Palatino Linotype"/>
          <w:i/>
          <w:color w:val="auto"/>
        </w:rPr>
        <w:t>X</w:t>
      </w:r>
      <w:r w:rsidR="005071C1" w:rsidRPr="00341CA1">
        <w:rPr>
          <w:rFonts w:eastAsia="Palatino Linotype" w:cs="Palatino Linotype"/>
          <w:i/>
          <w:color w:val="auto"/>
        </w:rPr>
        <w:t xml:space="preserve"> de </w:t>
      </w:r>
      <w:r w:rsidR="006370BA">
        <w:rPr>
          <w:rFonts w:eastAsia="Palatino Linotype" w:cs="Palatino Linotype"/>
          <w:i/>
          <w:color w:val="auto"/>
        </w:rPr>
        <w:t>XXXXXXX</w:t>
      </w:r>
      <w:r w:rsidR="005071C1" w:rsidRPr="00341CA1">
        <w:rPr>
          <w:rFonts w:eastAsia="Palatino Linotype" w:cs="Palatino Linotype"/>
          <w:i/>
          <w:color w:val="auto"/>
        </w:rPr>
        <w:t xml:space="preserve"> de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 xml:space="preserve">XXXXXXXXXXX </w:t>
      </w:r>
      <w:r w:rsidR="006370BA">
        <w:rPr>
          <w:rFonts w:eastAsia="Palatino Linotype" w:cs="Palatino Linotype"/>
          <w:i/>
          <w:color w:val="auto"/>
        </w:rPr>
        <w:lastRenderedPageBreak/>
        <w:t>XXXXXXX X XXXXX</w:t>
      </w:r>
      <w:r w:rsidR="005071C1" w:rsidRPr="00341CA1">
        <w:rPr>
          <w:rFonts w:eastAsia="Palatino Linotype" w:cs="Palatino Linotype"/>
          <w:i/>
          <w:color w:val="auto"/>
        </w:rPr>
        <w:t xml:space="preserve">, otorgada ante la fe del Licenciado Jorge Hernández Salguero Notario público número 18 (interino) del Estado de México, con antecedentes registrales; partida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XXXXX</w:t>
      </w:r>
      <w:r w:rsidR="005071C1" w:rsidRPr="00341CA1">
        <w:rPr>
          <w:rFonts w:eastAsia="Palatino Linotype" w:cs="Palatino Linotype"/>
          <w:i/>
          <w:color w:val="auto"/>
        </w:rPr>
        <w:t xml:space="preserve">, </w:t>
      </w:r>
      <w:r w:rsidR="006370BA">
        <w:rPr>
          <w:rFonts w:eastAsia="Palatino Linotype" w:cs="Palatino Linotype"/>
          <w:i/>
          <w:color w:val="auto"/>
        </w:rPr>
        <w:t>XXXX</w:t>
      </w:r>
      <w:r w:rsidR="005071C1" w:rsidRPr="00341CA1">
        <w:rPr>
          <w:rFonts w:eastAsia="Palatino Linotype" w:cs="Palatino Linotype"/>
          <w:i/>
          <w:color w:val="auto"/>
        </w:rPr>
        <w:t xml:space="preserve">), volumen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XXXXX</w:t>
      </w:r>
      <w:r w:rsidR="005071C1" w:rsidRPr="00341CA1">
        <w:rPr>
          <w:rFonts w:eastAsia="Palatino Linotype" w:cs="Palatino Linotype"/>
          <w:i/>
          <w:color w:val="auto"/>
        </w:rPr>
        <w:t xml:space="preserve">, </w:t>
      </w:r>
      <w:r w:rsidR="006370BA">
        <w:rPr>
          <w:rFonts w:eastAsia="Palatino Linotype" w:cs="Palatino Linotype"/>
          <w:i/>
          <w:color w:val="auto"/>
        </w:rPr>
        <w:t>XXXXX</w:t>
      </w:r>
      <w:r w:rsidR="005071C1" w:rsidRPr="00341CA1">
        <w:rPr>
          <w:rFonts w:eastAsia="Palatino Linotype" w:cs="Palatino Linotype"/>
          <w:i/>
          <w:color w:val="auto"/>
        </w:rPr>
        <w:t xml:space="preserve">, </w:t>
      </w:r>
      <w:r w:rsidR="006370BA">
        <w:rPr>
          <w:rFonts w:eastAsia="Palatino Linotype" w:cs="Palatino Linotype"/>
          <w:i/>
          <w:color w:val="auto"/>
        </w:rPr>
        <w:t>XXXX</w:t>
      </w:r>
      <w:r w:rsidR="005071C1" w:rsidRPr="00341CA1">
        <w:rPr>
          <w:rFonts w:eastAsia="Palatino Linotype" w:cs="Palatino Linotype"/>
          <w:i/>
          <w:color w:val="auto"/>
        </w:rPr>
        <w:t xml:space="preserve">), libro </w:t>
      </w:r>
      <w:r w:rsidR="006370BA">
        <w:rPr>
          <w:rFonts w:eastAsia="Palatino Linotype" w:cs="Palatino Linotype"/>
          <w:i/>
          <w:color w:val="auto"/>
        </w:rPr>
        <w:t>XXXXXXX</w:t>
      </w:r>
      <w:r w:rsidR="005071C1" w:rsidRPr="00341CA1">
        <w:rPr>
          <w:rFonts w:eastAsia="Palatino Linotype" w:cs="Palatino Linotype"/>
          <w:i/>
          <w:color w:val="auto"/>
        </w:rPr>
        <w:t xml:space="preserve">, sección </w:t>
      </w:r>
      <w:r w:rsidR="006370BA">
        <w:rPr>
          <w:rFonts w:eastAsia="Palatino Linotype" w:cs="Palatino Linotype"/>
          <w:i/>
          <w:color w:val="auto"/>
        </w:rPr>
        <w:t>XXXXXXX</w:t>
      </w:r>
      <w:r w:rsidR="005071C1" w:rsidRPr="00341CA1">
        <w:rPr>
          <w:rFonts w:eastAsia="Palatino Linotype" w:cs="Palatino Linotype"/>
          <w:i/>
          <w:color w:val="auto"/>
        </w:rPr>
        <w:t>, actualmente con Folio Real Electrónico (</w:t>
      </w:r>
      <w:r w:rsidR="006370BA">
        <w:rPr>
          <w:rFonts w:eastAsia="Palatino Linotype" w:cs="Palatino Linotype"/>
          <w:i/>
          <w:color w:val="auto"/>
        </w:rPr>
        <w:t>XXXXXXXX</w:t>
      </w:r>
      <w:r w:rsidR="005071C1" w:rsidRPr="00341CA1">
        <w:rPr>
          <w:rFonts w:eastAsia="Palatino Linotype" w:cs="Palatino Linotype"/>
          <w:i/>
          <w:color w:val="auto"/>
        </w:rPr>
        <w:t>) (</w:t>
      </w:r>
      <w:r w:rsidR="006370BA">
        <w:rPr>
          <w:rFonts w:eastAsia="Palatino Linotype" w:cs="Palatino Linotype"/>
          <w:i/>
          <w:color w:val="auto"/>
        </w:rPr>
        <w:t>XXXX</w:t>
      </w:r>
      <w:r w:rsidR="005071C1" w:rsidRPr="00341CA1">
        <w:rPr>
          <w:rFonts w:eastAsia="Palatino Linotype" w:cs="Palatino Linotype"/>
          <w:i/>
          <w:color w:val="auto"/>
        </w:rPr>
        <w:t xml:space="preserve">, </w:t>
      </w:r>
      <w:r w:rsidR="006370BA">
        <w:rPr>
          <w:rFonts w:eastAsia="Palatino Linotype" w:cs="Palatino Linotype"/>
          <w:i/>
          <w:color w:val="auto"/>
        </w:rPr>
        <w:t>XXXX</w:t>
      </w:r>
      <w:r w:rsidR="005071C1" w:rsidRPr="00341CA1">
        <w:rPr>
          <w:rFonts w:eastAsia="Palatino Linotype" w:cs="Palatino Linotype"/>
          <w:i/>
          <w:color w:val="auto"/>
        </w:rPr>
        <w:t xml:space="preserve">,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XXXX</w:t>
      </w:r>
      <w:r w:rsidR="005071C1" w:rsidRPr="00341CA1">
        <w:rPr>
          <w:rFonts w:eastAsia="Palatino Linotype" w:cs="Palatino Linotype"/>
          <w:i/>
          <w:color w:val="auto"/>
        </w:rPr>
        <w:t xml:space="preserve">, </w:t>
      </w:r>
      <w:r w:rsidR="006370BA">
        <w:rPr>
          <w:rFonts w:eastAsia="Palatino Linotype" w:cs="Palatino Linotype"/>
          <w:i/>
          <w:color w:val="auto"/>
        </w:rPr>
        <w:t>XXXXX</w:t>
      </w:r>
      <w:r w:rsidR="005071C1" w:rsidRPr="00341CA1">
        <w:rPr>
          <w:rFonts w:eastAsia="Palatino Linotype" w:cs="Palatino Linotype"/>
          <w:i/>
          <w:color w:val="auto"/>
        </w:rPr>
        <w:t xml:space="preserve">,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w:t>
      </w:r>
      <w:r w:rsidR="005071C1" w:rsidRPr="00341CA1">
        <w:rPr>
          <w:rFonts w:eastAsia="Palatino Linotype" w:cs="Palatino Linotype"/>
          <w:i/>
          <w:color w:val="auto"/>
        </w:rPr>
        <w:t xml:space="preserve">, </w:t>
      </w:r>
      <w:r w:rsidR="006370BA">
        <w:rPr>
          <w:rFonts w:eastAsia="Palatino Linotype" w:cs="Palatino Linotype"/>
          <w:i/>
          <w:color w:val="auto"/>
        </w:rPr>
        <w:t>XXXX</w:t>
      </w:r>
      <w:r w:rsidR="005071C1" w:rsidRPr="00341CA1">
        <w:rPr>
          <w:rFonts w:eastAsia="Palatino Linotype" w:cs="Palatino Linotype"/>
          <w:i/>
          <w:color w:val="auto"/>
        </w:rPr>
        <w:t>).</w:t>
      </w:r>
      <w:r w:rsidRPr="00341CA1">
        <w:rPr>
          <w:rFonts w:eastAsia="Palatino Linotype" w:cs="Palatino Linotype"/>
          <w:i/>
          <w:color w:val="auto"/>
        </w:rPr>
        <w:t>”</w:t>
      </w:r>
    </w:p>
    <w:p w14:paraId="5D562FE4" w14:textId="77777777" w:rsidR="00F40D32" w:rsidRPr="00341CA1" w:rsidRDefault="00F40D32" w:rsidP="00F40D32">
      <w:pPr>
        <w:spacing w:after="0"/>
        <w:ind w:left="567" w:right="560"/>
        <w:rPr>
          <w:rFonts w:eastAsia="Palatino Linotype" w:cs="Palatino Linotype"/>
          <w:i/>
          <w:color w:val="auto"/>
        </w:rPr>
      </w:pPr>
      <w:r w:rsidRPr="00341CA1">
        <w:rPr>
          <w:rFonts w:eastAsia="Palatino Linotype" w:cs="Palatino Linotype"/>
          <w:i/>
          <w:color w:val="auto"/>
        </w:rPr>
        <w:t xml:space="preserve"> </w:t>
      </w:r>
    </w:p>
    <w:p w14:paraId="4E7830D8" w14:textId="77777777" w:rsidR="00F40D32" w:rsidRPr="00341CA1" w:rsidRDefault="00F40D32" w:rsidP="00F40D32">
      <w:pPr>
        <w:spacing w:after="0" w:line="360" w:lineRule="auto"/>
        <w:ind w:right="49"/>
        <w:rPr>
          <w:rFonts w:eastAsia="Palatino Linotype" w:cs="Palatino Linotype"/>
          <w:color w:val="auto"/>
          <w:sz w:val="24"/>
          <w:szCs w:val="24"/>
        </w:rPr>
      </w:pPr>
      <w:r w:rsidRPr="00341CA1">
        <w:rPr>
          <w:rFonts w:eastAsia="Palatino Linotype" w:cs="Palatino Linotype"/>
          <w:b/>
          <w:color w:val="auto"/>
          <w:sz w:val="24"/>
          <w:szCs w:val="24"/>
        </w:rPr>
        <w:t>Modalidad elegida para la entrega de la información:</w:t>
      </w:r>
      <w:r w:rsidRPr="00341CA1">
        <w:rPr>
          <w:rFonts w:eastAsia="Palatino Linotype" w:cs="Palatino Linotype"/>
          <w:color w:val="auto"/>
          <w:sz w:val="24"/>
          <w:szCs w:val="24"/>
        </w:rPr>
        <w:t xml:space="preserve"> a través del Sistema de Acceso a la Información Mexiquense (SAIMEX). </w:t>
      </w:r>
    </w:p>
    <w:p w14:paraId="73F6A156" w14:textId="77777777" w:rsidR="00F40D32" w:rsidRPr="00341CA1" w:rsidRDefault="00F40D32" w:rsidP="00F40D32">
      <w:pPr>
        <w:spacing w:after="0" w:line="360" w:lineRule="auto"/>
        <w:ind w:right="49"/>
        <w:rPr>
          <w:rFonts w:eastAsia="Palatino Linotype" w:cs="Palatino Linotype"/>
          <w:color w:val="auto"/>
          <w:sz w:val="24"/>
          <w:szCs w:val="24"/>
        </w:rPr>
      </w:pPr>
    </w:p>
    <w:p w14:paraId="57985C66" w14:textId="6FC409F2"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 xml:space="preserve">Respuesta. </w:t>
      </w:r>
      <w:r w:rsidRPr="00341CA1">
        <w:rPr>
          <w:rFonts w:eastAsia="Palatino Linotype" w:cs="Palatino Linotype"/>
          <w:color w:val="auto"/>
          <w:sz w:val="24"/>
          <w:szCs w:val="24"/>
        </w:rPr>
        <w:t xml:space="preserve">En fecha </w:t>
      </w:r>
      <w:r w:rsidR="005071C1" w:rsidRPr="00341CA1">
        <w:rPr>
          <w:rFonts w:eastAsia="Palatino Linotype" w:cs="Palatino Linotype"/>
          <w:b/>
          <w:color w:val="auto"/>
          <w:sz w:val="24"/>
          <w:szCs w:val="24"/>
        </w:rPr>
        <w:t>once de septiembre de dos mil veinticuatro</w:t>
      </w:r>
      <w:r w:rsidRPr="00341CA1">
        <w:rPr>
          <w:rFonts w:eastAsia="Palatino Linotype" w:cs="Palatino Linotype"/>
          <w:color w:val="auto"/>
          <w:sz w:val="24"/>
          <w:szCs w:val="24"/>
        </w:rPr>
        <w:t xml:space="preserve">, el </w:t>
      </w:r>
      <w:r w:rsidRPr="00341CA1">
        <w:rPr>
          <w:rFonts w:eastAsia="Palatino Linotype" w:cs="Palatino Linotype"/>
          <w:b/>
          <w:color w:val="auto"/>
          <w:sz w:val="24"/>
          <w:szCs w:val="24"/>
        </w:rPr>
        <w:t xml:space="preserve">SUJETO OBLIGADO </w:t>
      </w:r>
      <w:r w:rsidRPr="00341CA1">
        <w:rPr>
          <w:rFonts w:eastAsia="Palatino Linotype" w:cs="Palatino Linotype"/>
          <w:color w:val="auto"/>
          <w:sz w:val="24"/>
          <w:szCs w:val="24"/>
        </w:rPr>
        <w:t xml:space="preserve">proporcionó respuesta a la solicitud de información, al tenor de lo siguiente: </w:t>
      </w:r>
    </w:p>
    <w:p w14:paraId="0B1D8E26"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0727CC0D" w14:textId="6F6BA55B" w:rsidR="00F40D32" w:rsidRPr="00341CA1" w:rsidRDefault="005071C1" w:rsidP="005071C1">
      <w:pPr>
        <w:pBdr>
          <w:top w:val="nil"/>
          <w:left w:val="nil"/>
          <w:bottom w:val="nil"/>
          <w:right w:val="nil"/>
          <w:between w:val="nil"/>
        </w:pBdr>
        <w:spacing w:after="0" w:line="240" w:lineRule="auto"/>
        <w:ind w:left="567" w:right="618"/>
        <w:contextualSpacing/>
        <w:rPr>
          <w:rFonts w:eastAsia="Palatino Linotype" w:cs="Palatino Linotype"/>
          <w:i/>
          <w:color w:val="auto"/>
          <w:szCs w:val="24"/>
        </w:rPr>
      </w:pPr>
      <w:r w:rsidRPr="00341CA1">
        <w:rPr>
          <w:rFonts w:eastAsia="Palatino Linotype" w:cs="Palatino Linotype"/>
          <w:i/>
          <w:color w:val="auto"/>
          <w:szCs w:val="24"/>
        </w:rPr>
        <w:t>“</w:t>
      </w:r>
      <w:r w:rsidR="00F40D32" w:rsidRPr="00341CA1">
        <w:rPr>
          <w:rFonts w:eastAsia="Palatino Linotype" w:cs="Palatino Linotype"/>
          <w:i/>
          <w:color w:val="auto"/>
          <w:szCs w:val="24"/>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roofErr w:type="gramStart"/>
      <w:r w:rsidRPr="00341CA1">
        <w:rPr>
          <w:rFonts w:eastAsia="Palatino Linotype" w:cs="Palatino Linotype"/>
          <w:i/>
          <w:color w:val="auto"/>
          <w:szCs w:val="24"/>
        </w:rPr>
        <w:t>…”(</w:t>
      </w:r>
      <w:proofErr w:type="gramEnd"/>
      <w:r w:rsidRPr="00341CA1">
        <w:rPr>
          <w:rFonts w:eastAsia="Palatino Linotype" w:cs="Palatino Linotype"/>
          <w:i/>
          <w:color w:val="auto"/>
          <w:szCs w:val="24"/>
        </w:rPr>
        <w:t>Sic)</w:t>
      </w:r>
    </w:p>
    <w:p w14:paraId="70FB1A24"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1CCBB0F8" w14:textId="1B04CFEF" w:rsidR="00F40D32" w:rsidRPr="00341CA1" w:rsidRDefault="005071C1" w:rsidP="00F40D32">
      <w:pPr>
        <w:pBdr>
          <w:top w:val="nil"/>
          <w:left w:val="nil"/>
          <w:bottom w:val="nil"/>
          <w:right w:val="nil"/>
          <w:between w:val="nil"/>
        </w:pBd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El </w:t>
      </w:r>
      <w:r w:rsidRPr="00341CA1">
        <w:rPr>
          <w:rFonts w:eastAsia="Palatino Linotype" w:cs="Palatino Linotype"/>
          <w:b/>
          <w:color w:val="auto"/>
          <w:sz w:val="24"/>
          <w:szCs w:val="24"/>
        </w:rPr>
        <w:t>SUJETO OBLIGADO</w:t>
      </w:r>
      <w:r w:rsidR="00F40D32" w:rsidRPr="00341CA1">
        <w:rPr>
          <w:rFonts w:eastAsia="Palatino Linotype" w:cs="Palatino Linotype"/>
          <w:color w:val="auto"/>
          <w:sz w:val="24"/>
          <w:szCs w:val="24"/>
        </w:rPr>
        <w:t xml:space="preserve"> adjuntó </w:t>
      </w:r>
      <w:r w:rsidRPr="00341CA1">
        <w:rPr>
          <w:rFonts w:eastAsia="Palatino Linotype" w:cs="Palatino Linotype"/>
          <w:color w:val="auto"/>
          <w:sz w:val="24"/>
          <w:szCs w:val="24"/>
        </w:rPr>
        <w:t>a su respuesta</w:t>
      </w:r>
      <w:r w:rsidR="00F40D32" w:rsidRPr="00341CA1">
        <w:rPr>
          <w:rFonts w:eastAsia="Palatino Linotype" w:cs="Palatino Linotype"/>
          <w:color w:val="auto"/>
          <w:sz w:val="24"/>
          <w:szCs w:val="24"/>
        </w:rPr>
        <w:t xml:space="preserve"> el documento que se describe a continuación: </w:t>
      </w:r>
    </w:p>
    <w:p w14:paraId="4D50CDF2"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73451C60" w14:textId="0FC75584" w:rsidR="008E5009" w:rsidRPr="00341CA1" w:rsidRDefault="005071C1" w:rsidP="005071C1">
      <w:pPr>
        <w:pBdr>
          <w:top w:val="nil"/>
          <w:left w:val="nil"/>
          <w:bottom w:val="nil"/>
          <w:right w:val="nil"/>
          <w:between w:val="nil"/>
        </w:pBdr>
        <w:spacing w:line="360" w:lineRule="auto"/>
        <w:ind w:right="49"/>
        <w:rPr>
          <w:color w:val="auto"/>
          <w:sz w:val="24"/>
          <w:szCs w:val="24"/>
        </w:rPr>
      </w:pPr>
      <w:r w:rsidRPr="00341CA1">
        <w:rPr>
          <w:rFonts w:eastAsia="Palatino Linotype" w:cs="Palatino Linotype"/>
          <w:color w:val="auto"/>
          <w:sz w:val="24"/>
          <w:szCs w:val="24"/>
        </w:rPr>
        <w:t>“</w:t>
      </w:r>
      <w:hyperlink r:id="rId8" w:tgtFrame="_blank" w:history="1">
        <w:r w:rsidRPr="00341CA1">
          <w:rPr>
            <w:rFonts w:eastAsia="Palatino Linotype" w:cs="Palatino Linotype"/>
            <w:color w:val="auto"/>
            <w:sz w:val="24"/>
            <w:szCs w:val="24"/>
          </w:rPr>
          <w:t>RESPUESTA 731-2024.pdf</w:t>
        </w:r>
      </w:hyperlink>
      <w:r w:rsidRPr="00341CA1">
        <w:rPr>
          <w:rFonts w:eastAsia="Palatino Linotype" w:cs="Palatino Linotype"/>
          <w:color w:val="auto"/>
          <w:sz w:val="24"/>
          <w:szCs w:val="24"/>
        </w:rPr>
        <w:t xml:space="preserve">”, </w:t>
      </w:r>
      <w:r w:rsidR="00C469AD" w:rsidRPr="00341CA1">
        <w:rPr>
          <w:color w:val="auto"/>
          <w:sz w:val="24"/>
          <w:szCs w:val="24"/>
        </w:rPr>
        <w:t>Oficio de fecha once de septiembre de dos mil veinticuatro</w:t>
      </w:r>
      <w:r w:rsidR="00F40D32" w:rsidRPr="00341CA1">
        <w:rPr>
          <w:color w:val="auto"/>
          <w:sz w:val="24"/>
          <w:szCs w:val="24"/>
        </w:rPr>
        <w:t xml:space="preserve">, signado electrónicamente por el Titular de la Unidad de Trasparencia, mediante el cual informa que, el ejercicio del derecho de acceso a la información no es la vía para acceder a expedientes jurisdiccionales en su versión íntegra, </w:t>
      </w:r>
      <w:r w:rsidR="008E5009" w:rsidRPr="00341CA1">
        <w:rPr>
          <w:color w:val="auto"/>
          <w:sz w:val="24"/>
          <w:szCs w:val="24"/>
        </w:rPr>
        <w:t xml:space="preserve">en razón de que el derecho de acceso a datos personales se encuentra regulado por la Ley de Protección de Datos Personales en Posesión de Sujetos Obligados del Estado de México y Municipios, y en términos de esta legislación, sólo el titular de los datos o su </w:t>
      </w:r>
      <w:r w:rsidR="008E5009" w:rsidRPr="00341CA1">
        <w:rPr>
          <w:color w:val="auto"/>
          <w:sz w:val="24"/>
          <w:szCs w:val="24"/>
        </w:rPr>
        <w:lastRenderedPageBreak/>
        <w:t>representante legal debidamente acreditado puede tener acceso a sus datos, por lo que a través del derecho de acceso a la información no es posible dar a conocer ni acceder a datos personales.</w:t>
      </w:r>
    </w:p>
    <w:p w14:paraId="1D2AE9C2" w14:textId="0EB17CDE" w:rsidR="008E5009" w:rsidRPr="00341CA1" w:rsidRDefault="008E5009" w:rsidP="005071C1">
      <w:pPr>
        <w:pBdr>
          <w:top w:val="nil"/>
          <w:left w:val="nil"/>
          <w:bottom w:val="nil"/>
          <w:right w:val="nil"/>
          <w:between w:val="nil"/>
        </w:pBdr>
        <w:spacing w:line="360" w:lineRule="auto"/>
        <w:ind w:right="49"/>
        <w:rPr>
          <w:color w:val="auto"/>
          <w:sz w:val="24"/>
          <w:szCs w:val="24"/>
        </w:rPr>
      </w:pPr>
      <w:r w:rsidRPr="00341CA1">
        <w:rPr>
          <w:color w:val="auto"/>
          <w:sz w:val="24"/>
          <w:szCs w:val="24"/>
        </w:rPr>
        <w:t>En ese sentido, indicó en ejercicio del principio de orientación, conforme a lo establecido por el Código Nacional de Procedimientos Penales, Código de Procedimientos Civiles, el Código Comercio y la Ley Federal del Trabajo; informó al solicitante si es persona autorizada en autos del expediente, podrá acceder a él a través del órgano jurisdiccional competente o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siguiente link https://www.sarcoem.org.mx/sarcoem/ciudadano/login.page</w:t>
      </w:r>
    </w:p>
    <w:p w14:paraId="36C3B728" w14:textId="4B8F6C7F" w:rsidR="008E5009" w:rsidRPr="00341CA1" w:rsidRDefault="00F40D32" w:rsidP="005071C1">
      <w:pPr>
        <w:pBdr>
          <w:top w:val="nil"/>
          <w:left w:val="nil"/>
          <w:bottom w:val="nil"/>
          <w:right w:val="nil"/>
          <w:between w:val="nil"/>
        </w:pBdr>
        <w:spacing w:line="360" w:lineRule="auto"/>
        <w:ind w:right="49"/>
        <w:rPr>
          <w:color w:val="auto"/>
          <w:sz w:val="24"/>
          <w:szCs w:val="24"/>
        </w:rPr>
      </w:pPr>
      <w:r w:rsidRPr="00341CA1">
        <w:rPr>
          <w:color w:val="auto"/>
          <w:sz w:val="24"/>
          <w:szCs w:val="24"/>
        </w:rPr>
        <w:t xml:space="preserve">Es por lo que, </w:t>
      </w:r>
      <w:r w:rsidR="008E5009" w:rsidRPr="00341CA1">
        <w:rPr>
          <w:color w:val="auto"/>
          <w:sz w:val="24"/>
          <w:szCs w:val="24"/>
        </w:rPr>
        <w:t xml:space="preserve">considero que no era factible </w:t>
      </w:r>
      <w:r w:rsidRPr="00341CA1">
        <w:rPr>
          <w:color w:val="auto"/>
          <w:sz w:val="24"/>
          <w:szCs w:val="24"/>
        </w:rPr>
        <w:t xml:space="preserve">proporcionar la información en los términos solicitados, ya que </w:t>
      </w:r>
      <w:r w:rsidR="008E5009" w:rsidRPr="00341CA1">
        <w:rPr>
          <w:color w:val="auto"/>
          <w:sz w:val="24"/>
          <w:szCs w:val="24"/>
        </w:rPr>
        <w:t>el nombre de las partes que interviene en el proceso, los cuales son datos personales que de conformidad con el artículo 143, fracción I de la Ley de Transparencia y Acceso a la Información Pública del Estado de México y Municipios, son información confidencial, por lo que el derecho de acceso a la información no es la vía para acceder a ellos.</w:t>
      </w:r>
    </w:p>
    <w:p w14:paraId="512EE077" w14:textId="54B5BB79"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 xml:space="preserve">Recurso de Revisión. </w:t>
      </w:r>
      <w:r w:rsidRPr="00341CA1">
        <w:rPr>
          <w:rFonts w:eastAsia="Palatino Linotype" w:cs="Palatino Linotype"/>
          <w:color w:val="auto"/>
          <w:sz w:val="24"/>
          <w:szCs w:val="24"/>
        </w:rPr>
        <w:t xml:space="preserve">En fecha </w:t>
      </w:r>
      <w:r w:rsidR="00C469AD" w:rsidRPr="00341CA1">
        <w:rPr>
          <w:rFonts w:eastAsia="Palatino Linotype" w:cs="Palatino Linotype"/>
          <w:b/>
          <w:color w:val="auto"/>
          <w:sz w:val="24"/>
          <w:szCs w:val="24"/>
        </w:rPr>
        <w:t>diecisiete de septiembre</w:t>
      </w:r>
      <w:r w:rsidRPr="00341CA1">
        <w:rPr>
          <w:rFonts w:eastAsia="Palatino Linotype" w:cs="Palatino Linotype"/>
          <w:b/>
          <w:color w:val="auto"/>
          <w:sz w:val="24"/>
          <w:szCs w:val="24"/>
        </w:rPr>
        <w:t xml:space="preserve"> de </w:t>
      </w:r>
      <w:r w:rsidR="00C469AD" w:rsidRPr="00341CA1">
        <w:rPr>
          <w:rFonts w:eastAsia="Palatino Linotype" w:cs="Palatino Linotype"/>
          <w:b/>
          <w:color w:val="auto"/>
          <w:sz w:val="24"/>
          <w:szCs w:val="24"/>
        </w:rPr>
        <w:t>dos mil veinticuatro</w:t>
      </w:r>
      <w:r w:rsidRPr="00341CA1">
        <w:rPr>
          <w:rFonts w:eastAsia="Palatino Linotype" w:cs="Palatino Linotype"/>
          <w:color w:val="auto"/>
          <w:sz w:val="24"/>
          <w:szCs w:val="24"/>
        </w:rPr>
        <w:t xml:space="preserve"> la persona Solicitante interpuso Recurso de Revisión a través del </w:t>
      </w:r>
      <w:r w:rsidRPr="00341CA1">
        <w:rPr>
          <w:rFonts w:eastAsia="Palatino Linotype" w:cs="Palatino Linotype"/>
          <w:b/>
          <w:color w:val="auto"/>
          <w:sz w:val="24"/>
          <w:szCs w:val="24"/>
        </w:rPr>
        <w:t>SAIMEX</w:t>
      </w:r>
      <w:r w:rsidRPr="00341CA1">
        <w:rPr>
          <w:rFonts w:eastAsia="Palatino Linotype" w:cs="Palatino Linotype"/>
          <w:color w:val="auto"/>
          <w:sz w:val="24"/>
          <w:szCs w:val="24"/>
        </w:rPr>
        <w:t>, a través del cual expresó lo siguiente:</w:t>
      </w:r>
    </w:p>
    <w:p w14:paraId="0E6615BE"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7D5CCBB3" w14:textId="79CEC549" w:rsidR="00F40D32" w:rsidRPr="00341CA1" w:rsidRDefault="00F40D32" w:rsidP="00F40D32">
      <w:pPr>
        <w:pBdr>
          <w:top w:val="nil"/>
          <w:left w:val="nil"/>
          <w:bottom w:val="nil"/>
          <w:right w:val="nil"/>
          <w:between w:val="nil"/>
        </w:pBdr>
        <w:tabs>
          <w:tab w:val="left" w:pos="1276"/>
        </w:tabs>
        <w:spacing w:after="0"/>
        <w:ind w:left="567" w:right="701"/>
        <w:rPr>
          <w:rFonts w:eastAsia="Palatino Linotype" w:cs="Palatino Linotype"/>
          <w:b/>
          <w:color w:val="auto"/>
          <w:sz w:val="24"/>
          <w:szCs w:val="24"/>
        </w:rPr>
      </w:pPr>
      <w:r w:rsidRPr="00341CA1">
        <w:rPr>
          <w:rFonts w:eastAsia="Palatino Linotype" w:cs="Palatino Linotype"/>
          <w:b/>
          <w:color w:val="auto"/>
          <w:sz w:val="24"/>
          <w:szCs w:val="24"/>
        </w:rPr>
        <w:t>Acto impugnado</w:t>
      </w:r>
      <w:r w:rsidRPr="00341CA1">
        <w:rPr>
          <w:rFonts w:eastAsia="Palatino Linotype" w:cs="Palatino Linotype"/>
          <w:b/>
          <w:i/>
          <w:color w:val="auto"/>
          <w:sz w:val="24"/>
          <w:szCs w:val="24"/>
        </w:rPr>
        <w:t xml:space="preserve">. </w:t>
      </w:r>
      <w:r w:rsidRPr="00341CA1">
        <w:rPr>
          <w:rFonts w:eastAsia="Palatino Linotype" w:cs="Palatino Linotype"/>
          <w:i/>
          <w:color w:val="auto"/>
          <w:sz w:val="24"/>
          <w:szCs w:val="24"/>
        </w:rPr>
        <w:t>“</w:t>
      </w:r>
      <w:r w:rsidR="00C469AD" w:rsidRPr="00341CA1">
        <w:rPr>
          <w:rFonts w:eastAsia="Palatino Linotype" w:cs="Palatino Linotype"/>
          <w:i/>
          <w:color w:val="auto"/>
          <w:sz w:val="24"/>
          <w:szCs w:val="24"/>
        </w:rPr>
        <w:t>Inconformidad</w:t>
      </w:r>
      <w:r w:rsidRPr="00341CA1">
        <w:rPr>
          <w:rFonts w:eastAsia="Palatino Linotype" w:cs="Palatino Linotype"/>
          <w:i/>
          <w:color w:val="auto"/>
          <w:sz w:val="24"/>
          <w:szCs w:val="24"/>
        </w:rPr>
        <w:t>”.</w:t>
      </w:r>
      <w:r w:rsidRPr="00341CA1">
        <w:rPr>
          <w:rFonts w:eastAsia="Palatino Linotype" w:cs="Palatino Linotype"/>
          <w:i/>
          <w:color w:val="auto"/>
        </w:rPr>
        <w:t xml:space="preserve"> </w:t>
      </w:r>
    </w:p>
    <w:p w14:paraId="6BFF7C46" w14:textId="77777777" w:rsidR="00F40D32" w:rsidRPr="00341CA1" w:rsidRDefault="00F40D32" w:rsidP="00F40D32">
      <w:pPr>
        <w:pBdr>
          <w:top w:val="nil"/>
          <w:left w:val="nil"/>
          <w:bottom w:val="nil"/>
          <w:right w:val="nil"/>
          <w:between w:val="nil"/>
        </w:pBdr>
        <w:tabs>
          <w:tab w:val="left" w:pos="1276"/>
        </w:tabs>
        <w:spacing w:after="0"/>
        <w:ind w:left="567" w:right="701"/>
        <w:rPr>
          <w:rFonts w:eastAsia="Palatino Linotype" w:cs="Palatino Linotype"/>
          <w:b/>
          <w:color w:val="auto"/>
          <w:sz w:val="24"/>
          <w:szCs w:val="24"/>
        </w:rPr>
      </w:pPr>
    </w:p>
    <w:p w14:paraId="434F7926" w14:textId="68B1B7BD" w:rsidR="00F40D32" w:rsidRPr="00341CA1" w:rsidRDefault="00F40D32" w:rsidP="005A2F3E">
      <w:pPr>
        <w:ind w:left="567"/>
        <w:rPr>
          <w:rFonts w:eastAsia="Palatino Linotype" w:cs="Palatino Linotype"/>
          <w:i/>
          <w:color w:val="auto"/>
          <w:sz w:val="24"/>
          <w:szCs w:val="24"/>
        </w:rPr>
      </w:pPr>
      <w:r w:rsidRPr="00341CA1">
        <w:rPr>
          <w:rFonts w:eastAsia="Palatino Linotype" w:cs="Palatino Linotype"/>
          <w:b/>
          <w:color w:val="auto"/>
          <w:sz w:val="24"/>
          <w:szCs w:val="24"/>
        </w:rPr>
        <w:lastRenderedPageBreak/>
        <w:t xml:space="preserve">Razones o motivos de la inconformidad: </w:t>
      </w:r>
      <w:r w:rsidR="00C469AD" w:rsidRPr="00341CA1">
        <w:rPr>
          <w:rFonts w:eastAsia="Palatino Linotype" w:cs="Palatino Linotype"/>
          <w:iCs/>
          <w:color w:val="auto"/>
        </w:rPr>
        <w:t>“</w:t>
      </w:r>
      <w:r w:rsidR="00C469AD" w:rsidRPr="00341CA1">
        <w:rPr>
          <w:rFonts w:eastAsia="Palatino Linotype" w:cs="Palatino Linotype"/>
          <w:i/>
          <w:color w:val="auto"/>
          <w:sz w:val="24"/>
          <w:szCs w:val="24"/>
        </w:rPr>
        <w:t xml:space="preserve">Leída la respuesta de mi solicitud, hago contestación con lo siguiente: Mi petición (de forma más respetuosa y cordial posible) es en sentido de solicitar a la autoridad correspondiente, poder ver la sentencia en VERSIÓN PÚBLICA del expediente </w:t>
      </w:r>
      <w:r w:rsidR="006370BA">
        <w:rPr>
          <w:rFonts w:eastAsia="Palatino Linotype" w:cs="Palatino Linotype"/>
          <w:i/>
          <w:color w:val="auto"/>
          <w:sz w:val="24"/>
          <w:szCs w:val="24"/>
        </w:rPr>
        <w:t>XXX</w:t>
      </w:r>
      <w:r w:rsidR="00C469AD" w:rsidRPr="00341CA1">
        <w:rPr>
          <w:rFonts w:eastAsia="Palatino Linotype" w:cs="Palatino Linotype"/>
          <w:i/>
          <w:color w:val="auto"/>
          <w:sz w:val="24"/>
          <w:szCs w:val="24"/>
        </w:rPr>
        <w:t>/</w:t>
      </w:r>
      <w:r w:rsidR="006370BA">
        <w:rPr>
          <w:rFonts w:eastAsia="Palatino Linotype" w:cs="Palatino Linotype"/>
          <w:i/>
          <w:color w:val="auto"/>
          <w:sz w:val="24"/>
          <w:szCs w:val="24"/>
        </w:rPr>
        <w:t>XXXX</w:t>
      </w:r>
      <w:r w:rsidR="00C469AD" w:rsidRPr="00341CA1">
        <w:rPr>
          <w:rFonts w:eastAsia="Palatino Linotype" w:cs="Palatino Linotype"/>
          <w:i/>
          <w:color w:val="auto"/>
          <w:sz w:val="24"/>
          <w:szCs w:val="24"/>
        </w:rPr>
        <w:t xml:space="preserve"> del Juzgado Séptimo Civil de Tlalnepantla con Residencia en Atizapán de Zaragoza, en caso de no estar digitalizada, ordenar digitalizarla en VERSIÓN PÚBLICA ya que esta no se encuentra en la página del Poder Judicial del Estado de México y de acuerdo al </w:t>
      </w:r>
      <w:proofErr w:type="spellStart"/>
      <w:r w:rsidR="00C469AD" w:rsidRPr="00341CA1">
        <w:rPr>
          <w:rFonts w:eastAsia="Palatino Linotype" w:cs="Palatino Linotype"/>
          <w:i/>
          <w:color w:val="auto"/>
          <w:sz w:val="24"/>
          <w:szCs w:val="24"/>
        </w:rPr>
        <w:t>articulo</w:t>
      </w:r>
      <w:proofErr w:type="spellEnd"/>
      <w:r w:rsidR="00C469AD" w:rsidRPr="00341CA1">
        <w:rPr>
          <w:rFonts w:eastAsia="Palatino Linotype" w:cs="Palatino Linotype"/>
          <w:i/>
          <w:color w:val="auto"/>
          <w:sz w:val="24"/>
          <w:szCs w:val="24"/>
        </w:rPr>
        <w:t xml:space="preserve"> 73, fracción II de la Ley General de Transparencia y Acceso a la Información Pública es mi derecho poder ver la sentencia en su versión publica antes mencionada y está se me permita verla. En este sentido de ideas, mi solicitud es poder ver la sentencia en su VERSIÓN PÚBLICA del expediente </w:t>
      </w:r>
      <w:r w:rsidR="006370BA">
        <w:rPr>
          <w:rFonts w:eastAsia="Palatino Linotype" w:cs="Palatino Linotype"/>
          <w:i/>
          <w:color w:val="auto"/>
          <w:sz w:val="24"/>
          <w:szCs w:val="24"/>
        </w:rPr>
        <w:t>XXX</w:t>
      </w:r>
      <w:r w:rsidR="00C469AD" w:rsidRPr="00341CA1">
        <w:rPr>
          <w:rFonts w:eastAsia="Palatino Linotype" w:cs="Palatino Linotype"/>
          <w:i/>
          <w:color w:val="auto"/>
          <w:sz w:val="24"/>
          <w:szCs w:val="24"/>
        </w:rPr>
        <w:t>/</w:t>
      </w:r>
      <w:r w:rsidR="006370BA">
        <w:rPr>
          <w:rFonts w:eastAsia="Palatino Linotype" w:cs="Palatino Linotype"/>
          <w:i/>
          <w:color w:val="auto"/>
          <w:sz w:val="24"/>
          <w:szCs w:val="24"/>
        </w:rPr>
        <w:t>XXXX</w:t>
      </w:r>
      <w:r w:rsidR="00C469AD" w:rsidRPr="00341CA1">
        <w:rPr>
          <w:rFonts w:eastAsia="Palatino Linotype" w:cs="Palatino Linotype"/>
          <w:i/>
          <w:color w:val="auto"/>
          <w:sz w:val="24"/>
          <w:szCs w:val="24"/>
        </w:rPr>
        <w:t xml:space="preserve"> del Juzgado Séptimo Civil de Tlalnepantla con Residencia en Atizapán de Zaragoza ya que es mi derecho y de todo ciudadano de acuerdo al </w:t>
      </w:r>
      <w:proofErr w:type="spellStart"/>
      <w:r w:rsidR="00C469AD" w:rsidRPr="00341CA1">
        <w:rPr>
          <w:rFonts w:eastAsia="Palatino Linotype" w:cs="Palatino Linotype"/>
          <w:i/>
          <w:color w:val="auto"/>
          <w:sz w:val="24"/>
          <w:szCs w:val="24"/>
        </w:rPr>
        <w:t>articulo</w:t>
      </w:r>
      <w:proofErr w:type="spellEnd"/>
      <w:r w:rsidR="00C469AD" w:rsidRPr="00341CA1">
        <w:rPr>
          <w:rFonts w:eastAsia="Palatino Linotype" w:cs="Palatino Linotype"/>
          <w:i/>
          <w:color w:val="auto"/>
          <w:sz w:val="24"/>
          <w:szCs w:val="24"/>
        </w:rPr>
        <w:t xml:space="preserve"> 73, fracción II de la Ley General de Transparencia y Acceso a la Información Pública.” (Sic)</w:t>
      </w:r>
    </w:p>
    <w:p w14:paraId="5AE77A0C" w14:textId="77777777" w:rsidR="00F40D32" w:rsidRPr="00341CA1" w:rsidRDefault="00F40D32" w:rsidP="00F40D32">
      <w:pPr>
        <w:pBdr>
          <w:top w:val="nil"/>
          <w:left w:val="nil"/>
          <w:bottom w:val="nil"/>
          <w:right w:val="nil"/>
          <w:between w:val="nil"/>
        </w:pBdr>
        <w:tabs>
          <w:tab w:val="left" w:pos="1276"/>
        </w:tabs>
        <w:spacing w:after="0" w:line="360" w:lineRule="auto"/>
        <w:ind w:right="701"/>
        <w:rPr>
          <w:rFonts w:eastAsia="Palatino Linotype" w:cs="Palatino Linotype"/>
          <w:color w:val="auto"/>
          <w:sz w:val="24"/>
          <w:szCs w:val="24"/>
        </w:rPr>
      </w:pPr>
    </w:p>
    <w:p w14:paraId="7D4216FE" w14:textId="267EB057"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Turno.</w:t>
      </w:r>
      <w:r w:rsidRPr="00341CA1">
        <w:rPr>
          <w:rFonts w:eastAsia="Palatino Linotype" w:cs="Palatino Linotype"/>
          <w:color w:val="auto"/>
          <w:sz w:val="24"/>
          <w:szCs w:val="24"/>
        </w:rPr>
        <w:t xml:space="preserve"> De conformidad con el artículo 185, fracción I de la Ley de Transparencia y Acceso a la Información Pública del Estado de México y Municipios, el recurso de revisión número </w:t>
      </w:r>
      <w:r w:rsidRPr="00341CA1">
        <w:rPr>
          <w:rFonts w:eastAsia="Palatino Linotype" w:cs="Palatino Linotype"/>
          <w:b/>
          <w:color w:val="auto"/>
          <w:sz w:val="24"/>
          <w:szCs w:val="24"/>
        </w:rPr>
        <w:t>0</w:t>
      </w:r>
      <w:r w:rsidR="00C469AD" w:rsidRPr="00341CA1">
        <w:rPr>
          <w:rFonts w:eastAsia="Palatino Linotype" w:cs="Palatino Linotype"/>
          <w:b/>
          <w:color w:val="auto"/>
          <w:sz w:val="24"/>
          <w:szCs w:val="24"/>
        </w:rPr>
        <w:t>5684/INFOEM/IP/RR/2024</w:t>
      </w:r>
      <w:r w:rsidRPr="00341CA1">
        <w:rPr>
          <w:rFonts w:eastAsia="Palatino Linotype" w:cs="Palatino Linotype"/>
          <w:color w:val="auto"/>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B78F90B"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1AF7150F" w14:textId="72A1225E"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Admisión del recurso de revisión</w:t>
      </w:r>
      <w:r w:rsidRPr="00341CA1">
        <w:rPr>
          <w:rFonts w:eastAsia="Palatino Linotype" w:cs="Palatino Linotype"/>
          <w:color w:val="auto"/>
          <w:sz w:val="24"/>
          <w:szCs w:val="24"/>
        </w:rPr>
        <w:t xml:space="preserve">: En fecha </w:t>
      </w:r>
      <w:r w:rsidR="00C469AD" w:rsidRPr="00341CA1">
        <w:rPr>
          <w:rFonts w:eastAsia="Palatino Linotype" w:cs="Palatino Linotype"/>
          <w:b/>
          <w:color w:val="auto"/>
          <w:sz w:val="24"/>
          <w:szCs w:val="24"/>
        </w:rPr>
        <w:t>veinte de septiembre de dos mil veinticuatro</w:t>
      </w:r>
      <w:r w:rsidRPr="00341CA1">
        <w:rPr>
          <w:rFonts w:eastAsia="Palatino Linotype" w:cs="Palatino Linotype"/>
          <w:color w:val="auto"/>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3EF8FE2" w14:textId="77777777" w:rsidR="00F40D32" w:rsidRPr="00341CA1" w:rsidRDefault="00F40D32" w:rsidP="00F40D32">
      <w:pPr>
        <w:pBdr>
          <w:top w:val="nil"/>
          <w:left w:val="nil"/>
          <w:bottom w:val="nil"/>
          <w:right w:val="nil"/>
          <w:between w:val="nil"/>
        </w:pBdr>
        <w:ind w:left="720"/>
        <w:rPr>
          <w:rFonts w:eastAsia="Palatino Linotype" w:cs="Palatino Linotype"/>
          <w:color w:val="auto"/>
          <w:sz w:val="24"/>
          <w:szCs w:val="24"/>
        </w:rPr>
      </w:pPr>
    </w:p>
    <w:p w14:paraId="75328891" w14:textId="6EFA0CCD" w:rsidR="008E0FB0" w:rsidRPr="00341CA1" w:rsidRDefault="008E0FB0" w:rsidP="008E0FB0">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lastRenderedPageBreak/>
        <w:t>Manifestaciones</w:t>
      </w:r>
      <w:r w:rsidRPr="00341CA1">
        <w:rPr>
          <w:rFonts w:eastAsia="Palatino Linotype" w:cs="Palatino Linotype"/>
          <w:color w:val="auto"/>
          <w:sz w:val="24"/>
          <w:szCs w:val="24"/>
        </w:rPr>
        <w:t xml:space="preserve">. De las constancias que obran en el expediente electrónico del SAIMEX se desprende que </w:t>
      </w:r>
      <w:r w:rsidRPr="00341CA1">
        <w:rPr>
          <w:rFonts w:eastAsia="Palatino Linotype" w:cs="Palatino Linotype"/>
          <w:b/>
          <w:color w:val="auto"/>
          <w:sz w:val="24"/>
          <w:szCs w:val="24"/>
        </w:rPr>
        <w:t>la parte RECURRENTE</w:t>
      </w:r>
      <w:r w:rsidRPr="00341CA1">
        <w:rPr>
          <w:rFonts w:eastAsia="Palatino Linotype" w:cs="Palatino Linotype"/>
          <w:color w:val="auto"/>
          <w:sz w:val="24"/>
          <w:szCs w:val="24"/>
        </w:rPr>
        <w:t xml:space="preserve"> omitió realizar manifestaciones. </w:t>
      </w:r>
    </w:p>
    <w:p w14:paraId="09CA1115" w14:textId="77777777" w:rsidR="008E0FB0" w:rsidRPr="00341CA1" w:rsidRDefault="008E0FB0" w:rsidP="008E0FB0">
      <w:pPr>
        <w:spacing w:after="240" w:line="360" w:lineRule="auto"/>
        <w:contextualSpacing/>
        <w:rPr>
          <w:rFonts w:eastAsia="Palatino Linotype" w:cs="Palatino Linotype"/>
          <w:color w:val="auto"/>
          <w:sz w:val="24"/>
          <w:szCs w:val="24"/>
        </w:rPr>
      </w:pPr>
      <w:bookmarkStart w:id="1" w:name="_heading=h.1fob9te" w:colFirst="0" w:colLast="0"/>
      <w:bookmarkEnd w:id="1"/>
    </w:p>
    <w:p w14:paraId="2EAE1AA3" w14:textId="5F65B559" w:rsidR="008E0FB0" w:rsidRPr="00341CA1" w:rsidRDefault="008E0FB0" w:rsidP="008E0FB0">
      <w:pPr>
        <w:spacing w:after="240" w:line="360" w:lineRule="auto"/>
        <w:contextualSpacing/>
        <w:rPr>
          <w:rFonts w:eastAsia="Palatino Linotype" w:cs="Palatino Linotype"/>
          <w:color w:val="auto"/>
          <w:sz w:val="24"/>
          <w:szCs w:val="24"/>
        </w:rPr>
      </w:pPr>
      <w:r w:rsidRPr="00341CA1">
        <w:rPr>
          <w:rFonts w:eastAsia="Palatino Linotype" w:cs="Palatino Linotype"/>
          <w:color w:val="auto"/>
          <w:sz w:val="24"/>
          <w:szCs w:val="24"/>
        </w:rPr>
        <w:t>En fecha dos de octubre de dos mil veinticuatro</w:t>
      </w:r>
      <w:r w:rsidRPr="00341CA1">
        <w:rPr>
          <w:rFonts w:eastAsia="Palatino Linotype" w:cs="Palatino Linotype"/>
          <w:b/>
          <w:color w:val="auto"/>
          <w:sz w:val="24"/>
          <w:szCs w:val="24"/>
        </w:rPr>
        <w:t xml:space="preserve">, </w:t>
      </w:r>
      <w:r w:rsidRPr="00341CA1">
        <w:rPr>
          <w:rFonts w:eastAsia="Palatino Linotype" w:cs="Palatino Linotype"/>
          <w:color w:val="auto"/>
          <w:sz w:val="24"/>
          <w:szCs w:val="24"/>
        </w:rPr>
        <w:t xml:space="preserve">el </w:t>
      </w:r>
      <w:r w:rsidRPr="00341CA1">
        <w:rPr>
          <w:rFonts w:eastAsia="Palatino Linotype" w:cs="Palatino Linotype"/>
          <w:b/>
          <w:color w:val="auto"/>
          <w:sz w:val="24"/>
          <w:szCs w:val="24"/>
        </w:rPr>
        <w:t xml:space="preserve">SUJETO OBLIGADO </w:t>
      </w:r>
      <w:r w:rsidRPr="00341CA1">
        <w:rPr>
          <w:rFonts w:eastAsia="Palatino Linotype" w:cs="Palatino Linotype"/>
          <w:color w:val="auto"/>
          <w:sz w:val="24"/>
          <w:szCs w:val="24"/>
        </w:rPr>
        <w:t>remitió, a través del SAIMEX, los siguientes archivos electrónicos:</w:t>
      </w:r>
    </w:p>
    <w:p w14:paraId="42AA7106" w14:textId="77777777" w:rsidR="008E0FB0" w:rsidRPr="00341CA1" w:rsidRDefault="008E0FB0" w:rsidP="008E0FB0">
      <w:pPr>
        <w:spacing w:after="240" w:line="360" w:lineRule="auto"/>
        <w:contextualSpacing/>
        <w:rPr>
          <w:rFonts w:eastAsia="Palatino Linotype" w:cs="Palatino Linotype"/>
          <w:color w:val="auto"/>
          <w:sz w:val="24"/>
          <w:szCs w:val="24"/>
        </w:rPr>
      </w:pPr>
    </w:p>
    <w:p w14:paraId="340D54CC" w14:textId="65D0F944" w:rsidR="009A48BF" w:rsidRPr="00341CA1" w:rsidRDefault="00C469AD" w:rsidP="008E0FB0">
      <w:pPr>
        <w:pBdr>
          <w:top w:val="nil"/>
          <w:left w:val="nil"/>
          <w:bottom w:val="nil"/>
          <w:right w:val="nil"/>
          <w:between w:val="nil"/>
        </w:pBdr>
        <w:spacing w:line="360" w:lineRule="auto"/>
        <w:ind w:right="49"/>
        <w:rPr>
          <w:rFonts w:eastAsia="Palatino Linotype" w:cs="Palatino Linotype"/>
          <w:color w:val="auto"/>
          <w:sz w:val="24"/>
          <w:szCs w:val="24"/>
        </w:rPr>
      </w:pPr>
      <w:r w:rsidRPr="00341CA1">
        <w:rPr>
          <w:rFonts w:eastAsia="Palatino Linotype" w:cs="Palatino Linotype"/>
          <w:color w:val="auto"/>
          <w:sz w:val="24"/>
          <w:szCs w:val="24"/>
        </w:rPr>
        <w:t>“</w:t>
      </w:r>
      <w:hyperlink r:id="rId9" w:history="1">
        <w:r w:rsidRPr="00341CA1">
          <w:rPr>
            <w:rFonts w:eastAsia="Palatino Linotype" w:cs="Palatino Linotype"/>
            <w:color w:val="auto"/>
            <w:sz w:val="24"/>
            <w:szCs w:val="24"/>
          </w:rPr>
          <w:t>02102024 Informe Justificado 05684-2024.pdf</w:t>
        </w:r>
      </w:hyperlink>
      <w:r w:rsidRPr="00341CA1">
        <w:rPr>
          <w:rFonts w:eastAsia="Palatino Linotype" w:cs="Palatino Linotype"/>
          <w:color w:val="auto"/>
          <w:sz w:val="24"/>
          <w:szCs w:val="24"/>
        </w:rPr>
        <w:t xml:space="preserve">”, </w:t>
      </w:r>
      <w:r w:rsidR="008E0FB0" w:rsidRPr="00341CA1">
        <w:rPr>
          <w:rFonts w:eastAsia="Palatino Linotype" w:cs="Palatino Linotype"/>
          <w:color w:val="auto"/>
          <w:sz w:val="24"/>
          <w:szCs w:val="24"/>
        </w:rPr>
        <w:t xml:space="preserve">el cual contiene el informe justificado del Poder Judicial por medio del cual en lo medular ratificó su respuesta primigenia. </w:t>
      </w:r>
    </w:p>
    <w:p w14:paraId="38C25CA4" w14:textId="57EBC97A" w:rsidR="008E0FB0" w:rsidRPr="00341CA1" w:rsidRDefault="008E0FB0" w:rsidP="008E0FB0">
      <w:pPr>
        <w:spacing w:after="240" w:line="360" w:lineRule="auto"/>
        <w:rPr>
          <w:rFonts w:eastAsia="Palatino Linotype" w:cs="Palatino Linotype"/>
          <w:color w:val="auto"/>
          <w:sz w:val="24"/>
          <w:szCs w:val="24"/>
        </w:rPr>
      </w:pPr>
      <w:r w:rsidRPr="00341CA1">
        <w:rPr>
          <w:rFonts w:eastAsia="Palatino Linotype" w:cs="Palatino Linotype"/>
          <w:color w:val="auto"/>
          <w:sz w:val="24"/>
          <w:szCs w:val="24"/>
        </w:rPr>
        <w:t xml:space="preserve">Documento que una vez analizado, se hizo del conocimiento de la parte </w:t>
      </w:r>
      <w:r w:rsidRPr="00341CA1">
        <w:rPr>
          <w:rFonts w:eastAsia="Palatino Linotype" w:cs="Palatino Linotype"/>
          <w:b/>
          <w:color w:val="auto"/>
          <w:sz w:val="24"/>
          <w:szCs w:val="24"/>
        </w:rPr>
        <w:t>RECURRENTE</w:t>
      </w:r>
      <w:r w:rsidRPr="00341CA1">
        <w:rPr>
          <w:rFonts w:eastAsia="Palatino Linotype" w:cs="Palatino Linotype"/>
          <w:color w:val="auto"/>
          <w:sz w:val="24"/>
          <w:szCs w:val="24"/>
        </w:rPr>
        <w:t xml:space="preserve"> a efecto de que manifestara lo que a su derecho estimara conveniente; sin embargo, fue omiso en ejercer dicha prerrogativa en el plazo establecido para tal efecto.</w:t>
      </w:r>
    </w:p>
    <w:p w14:paraId="22436760" w14:textId="464BC1B8" w:rsidR="00F40D32" w:rsidRPr="00341CA1"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auto"/>
          <w:sz w:val="24"/>
          <w:szCs w:val="24"/>
        </w:rPr>
      </w:pPr>
      <w:r w:rsidRPr="00341CA1">
        <w:rPr>
          <w:rFonts w:eastAsia="Palatino Linotype" w:cs="Palatino Linotype"/>
          <w:b/>
          <w:color w:val="auto"/>
          <w:sz w:val="24"/>
          <w:szCs w:val="24"/>
        </w:rPr>
        <w:t>Cierre de instrucción</w:t>
      </w:r>
      <w:r w:rsidRPr="00341CA1">
        <w:rPr>
          <w:rFonts w:eastAsia="Palatino Linotype" w:cs="Palatino Linotype"/>
          <w:color w:val="auto"/>
          <w:sz w:val="24"/>
          <w:szCs w:val="24"/>
        </w:rPr>
        <w:t xml:space="preserve">. En fecha </w:t>
      </w:r>
      <w:r w:rsidR="008E0FB0" w:rsidRPr="00341CA1">
        <w:rPr>
          <w:rFonts w:eastAsia="Palatino Linotype" w:cs="Palatino Linotype"/>
          <w:b/>
          <w:color w:val="auto"/>
          <w:sz w:val="24"/>
          <w:szCs w:val="24"/>
        </w:rPr>
        <w:t>veintitrés</w:t>
      </w:r>
      <w:r w:rsidR="00597E2F" w:rsidRPr="00341CA1">
        <w:rPr>
          <w:rFonts w:eastAsia="Palatino Linotype" w:cs="Palatino Linotype"/>
          <w:b/>
          <w:color w:val="auto"/>
          <w:sz w:val="24"/>
          <w:szCs w:val="24"/>
        </w:rPr>
        <w:t xml:space="preserve"> </w:t>
      </w:r>
      <w:r w:rsidR="008E0FB0" w:rsidRPr="00341CA1">
        <w:rPr>
          <w:rFonts w:eastAsia="Palatino Linotype" w:cs="Palatino Linotype"/>
          <w:b/>
          <w:color w:val="auto"/>
          <w:sz w:val="24"/>
          <w:szCs w:val="24"/>
        </w:rPr>
        <w:t>de octubre</w:t>
      </w:r>
      <w:r w:rsidRPr="00341CA1">
        <w:rPr>
          <w:rFonts w:eastAsia="Palatino Linotype" w:cs="Palatino Linotype"/>
          <w:b/>
          <w:color w:val="auto"/>
          <w:sz w:val="24"/>
          <w:szCs w:val="24"/>
        </w:rPr>
        <w:t xml:space="preserve"> de dos mil veinticuatro</w:t>
      </w:r>
      <w:r w:rsidRPr="00341CA1">
        <w:rPr>
          <w:rFonts w:eastAsia="Palatino Linotype" w:cs="Palatino Linotype"/>
          <w:color w:val="auto"/>
          <w:sz w:val="24"/>
          <w:szCs w:val="24"/>
        </w:rPr>
        <w:t>, la Comisionada Ponente determinó el cierre de instrucción en términos de la fracción VI del artículo 185 de la Ley de Transparencia y Acceso a la Información Pública del Estado de México y Municipios.</w:t>
      </w:r>
    </w:p>
    <w:p w14:paraId="0EE194C3" w14:textId="77777777" w:rsidR="00F40D32" w:rsidRPr="00341CA1" w:rsidRDefault="00F40D32" w:rsidP="00F40D32">
      <w:pPr>
        <w:pBdr>
          <w:top w:val="nil"/>
          <w:left w:val="nil"/>
          <w:bottom w:val="nil"/>
          <w:right w:val="nil"/>
          <w:between w:val="nil"/>
        </w:pBdr>
        <w:spacing w:after="0" w:line="360" w:lineRule="auto"/>
        <w:ind w:right="49"/>
        <w:rPr>
          <w:rFonts w:eastAsia="Palatino Linotype" w:cs="Palatino Linotype"/>
          <w:color w:val="auto"/>
          <w:sz w:val="24"/>
          <w:szCs w:val="24"/>
        </w:rPr>
      </w:pPr>
    </w:p>
    <w:p w14:paraId="264F2B95" w14:textId="0DC63687" w:rsidR="00C853D1" w:rsidRPr="00341CA1" w:rsidRDefault="00F40D32" w:rsidP="00F40D32">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Debido a que fue debidamente sustanciado el expediente electrónico y no existe diligencia pendiente de desahogo, se emite la Resolución que conforme a Derecho proceda, de acuerdo con los siguientes: </w:t>
      </w:r>
    </w:p>
    <w:p w14:paraId="12B6782F" w14:textId="77777777" w:rsidR="00F40D32" w:rsidRPr="00341CA1" w:rsidRDefault="00F40D32" w:rsidP="00F40D32">
      <w:pPr>
        <w:spacing w:after="0" w:line="360" w:lineRule="auto"/>
        <w:rPr>
          <w:rFonts w:eastAsia="Times New Roman" w:cs="Tahoma"/>
          <w:bCs/>
          <w:iCs/>
          <w:color w:val="auto"/>
          <w:sz w:val="24"/>
          <w:szCs w:val="24"/>
          <w:lang w:val="es-ES" w:eastAsia="es-ES"/>
        </w:rPr>
      </w:pPr>
    </w:p>
    <w:p w14:paraId="4647AD46" w14:textId="77777777" w:rsidR="00C853D1" w:rsidRPr="00341CA1" w:rsidRDefault="00C853D1" w:rsidP="00F40D32">
      <w:pPr>
        <w:spacing w:after="0" w:line="360" w:lineRule="auto"/>
        <w:jc w:val="center"/>
        <w:rPr>
          <w:rFonts w:eastAsia="Times New Roman" w:cs="Tahoma"/>
          <w:b/>
          <w:color w:val="auto"/>
          <w:sz w:val="24"/>
          <w:szCs w:val="24"/>
          <w:lang w:val="es-ES" w:eastAsia="es-ES"/>
        </w:rPr>
      </w:pPr>
      <w:r w:rsidRPr="00341CA1">
        <w:rPr>
          <w:rFonts w:eastAsia="Times New Roman" w:cs="Tahoma"/>
          <w:b/>
          <w:color w:val="auto"/>
          <w:sz w:val="24"/>
          <w:szCs w:val="24"/>
          <w:lang w:val="es-ES" w:eastAsia="es-ES"/>
        </w:rPr>
        <w:t>C O N S I D E R A N D O S:</w:t>
      </w:r>
    </w:p>
    <w:p w14:paraId="46CF2E78" w14:textId="77777777" w:rsidR="00C853D1" w:rsidRPr="00341CA1" w:rsidRDefault="00C853D1" w:rsidP="00F40D32">
      <w:pPr>
        <w:spacing w:after="0" w:line="360" w:lineRule="auto"/>
        <w:rPr>
          <w:b/>
          <w:color w:val="auto"/>
          <w:sz w:val="24"/>
          <w:szCs w:val="24"/>
        </w:rPr>
      </w:pPr>
    </w:p>
    <w:p w14:paraId="715A545B" w14:textId="77777777" w:rsidR="00597E2F" w:rsidRPr="00341CA1" w:rsidRDefault="00597E2F" w:rsidP="00597E2F">
      <w:pPr>
        <w:spacing w:after="0" w:line="360" w:lineRule="auto"/>
        <w:rPr>
          <w:rFonts w:eastAsia="Palatino Linotype" w:cs="Palatino Linotype"/>
          <w:color w:val="auto"/>
          <w:sz w:val="24"/>
        </w:rPr>
      </w:pPr>
      <w:r w:rsidRPr="00341CA1">
        <w:rPr>
          <w:rFonts w:eastAsia="Palatino Linotype" w:cs="Palatino Linotype"/>
          <w:b/>
          <w:color w:val="auto"/>
          <w:sz w:val="24"/>
        </w:rPr>
        <w:lastRenderedPageBreak/>
        <w:t xml:space="preserve">Primero. Competencia. </w:t>
      </w:r>
      <w:r w:rsidRPr="00341CA1">
        <w:rPr>
          <w:rFonts w:eastAsia="Palatino Linotype" w:cs="Palatino Linotype"/>
          <w:color w:val="auto"/>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163205E" w14:textId="77777777" w:rsidR="00597E2F" w:rsidRPr="00341CA1" w:rsidRDefault="00597E2F" w:rsidP="00597E2F">
      <w:pPr>
        <w:spacing w:after="0" w:line="360" w:lineRule="auto"/>
        <w:ind w:right="49"/>
        <w:rPr>
          <w:rFonts w:eastAsia="Palatino Linotype" w:cs="Palatino Linotype"/>
          <w:color w:val="auto"/>
          <w:sz w:val="24"/>
          <w:szCs w:val="24"/>
        </w:rPr>
      </w:pPr>
    </w:p>
    <w:p w14:paraId="42DD92FC"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b/>
          <w:color w:val="auto"/>
          <w:sz w:val="24"/>
          <w:szCs w:val="24"/>
        </w:rPr>
        <w:t>Segundo. Oportunidad y Procedibilidad del Recurso de Revisión.</w:t>
      </w:r>
      <w:r w:rsidRPr="00341CA1">
        <w:rPr>
          <w:rFonts w:eastAsia="Palatino Linotype" w:cs="Palatino Linotype"/>
          <w:color w:val="auto"/>
          <w:sz w:val="24"/>
          <w:szCs w:val="24"/>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495CA969" w14:textId="77777777" w:rsidR="00597E2F" w:rsidRPr="00341CA1" w:rsidRDefault="00597E2F" w:rsidP="00597E2F">
      <w:pPr>
        <w:spacing w:after="0" w:line="360" w:lineRule="auto"/>
        <w:ind w:right="49"/>
        <w:rPr>
          <w:rFonts w:eastAsia="Palatino Linotype" w:cs="Palatino Linotype"/>
          <w:color w:val="auto"/>
          <w:sz w:val="24"/>
          <w:szCs w:val="24"/>
        </w:rPr>
      </w:pPr>
    </w:p>
    <w:p w14:paraId="02DBEF26" w14:textId="1C0E2242" w:rsidR="00597E2F" w:rsidRPr="00341CA1" w:rsidRDefault="00597E2F" w:rsidP="00597E2F">
      <w:pPr>
        <w:spacing w:after="0" w:line="360" w:lineRule="auto"/>
        <w:ind w:right="49"/>
        <w:rPr>
          <w:rFonts w:eastAsia="Palatino Linotype" w:cs="Palatino Linotype"/>
          <w:b/>
          <w:color w:val="auto"/>
          <w:sz w:val="24"/>
          <w:szCs w:val="24"/>
        </w:rPr>
      </w:pPr>
      <w:r w:rsidRPr="00341CA1">
        <w:rPr>
          <w:rFonts w:eastAsia="Palatino Linotype" w:cs="Palatino Linotype"/>
          <w:color w:val="auto"/>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341CA1">
        <w:rPr>
          <w:rFonts w:eastAsia="Palatino Linotype" w:cs="Palatino Linotype"/>
          <w:b/>
          <w:color w:val="auto"/>
          <w:sz w:val="24"/>
          <w:szCs w:val="24"/>
        </w:rPr>
        <w:t>SUJETO OBLIGADO</w:t>
      </w:r>
      <w:r w:rsidRPr="00341CA1">
        <w:rPr>
          <w:rFonts w:eastAsia="Palatino Linotype" w:cs="Palatino Linotype"/>
          <w:color w:val="auto"/>
          <w:sz w:val="24"/>
          <w:szCs w:val="24"/>
        </w:rPr>
        <w:t xml:space="preserve"> remitió la respuesta a</w:t>
      </w:r>
      <w:r w:rsidR="000A3518" w:rsidRPr="00341CA1">
        <w:rPr>
          <w:rFonts w:eastAsia="Palatino Linotype" w:cs="Palatino Linotype"/>
          <w:color w:val="auto"/>
          <w:sz w:val="24"/>
          <w:szCs w:val="24"/>
        </w:rPr>
        <w:t xml:space="preserve"> la solicitud de información el </w:t>
      </w:r>
      <w:r w:rsidR="008E0FB0" w:rsidRPr="00341CA1">
        <w:rPr>
          <w:rFonts w:eastAsia="Palatino Linotype" w:cs="Palatino Linotype"/>
          <w:b/>
          <w:color w:val="auto"/>
          <w:sz w:val="24"/>
          <w:szCs w:val="24"/>
        </w:rPr>
        <w:t>once</w:t>
      </w:r>
      <w:r w:rsidR="000A3518" w:rsidRPr="00341CA1">
        <w:rPr>
          <w:rFonts w:eastAsia="Palatino Linotype" w:cs="Palatino Linotype"/>
          <w:b/>
          <w:color w:val="auto"/>
          <w:sz w:val="24"/>
          <w:szCs w:val="24"/>
        </w:rPr>
        <w:t xml:space="preserve"> </w:t>
      </w:r>
      <w:r w:rsidR="008E0FB0" w:rsidRPr="00341CA1">
        <w:rPr>
          <w:rFonts w:eastAsia="Palatino Linotype" w:cs="Palatino Linotype"/>
          <w:b/>
          <w:color w:val="auto"/>
          <w:sz w:val="24"/>
          <w:szCs w:val="24"/>
        </w:rPr>
        <w:t>de septiembre de dos mil veinticuatro</w:t>
      </w:r>
      <w:r w:rsidRPr="00341CA1">
        <w:rPr>
          <w:rFonts w:eastAsia="Palatino Linotype" w:cs="Palatino Linotype"/>
          <w:color w:val="auto"/>
          <w:sz w:val="24"/>
          <w:szCs w:val="24"/>
        </w:rPr>
        <w:t xml:space="preserve">, mientras que el recurso de revisión interpuesto por la parte </w:t>
      </w:r>
      <w:r w:rsidRPr="00341CA1">
        <w:rPr>
          <w:rFonts w:eastAsia="Palatino Linotype" w:cs="Palatino Linotype"/>
          <w:b/>
          <w:color w:val="auto"/>
          <w:sz w:val="24"/>
          <w:szCs w:val="24"/>
        </w:rPr>
        <w:t xml:space="preserve">RECURRENTE </w:t>
      </w:r>
      <w:r w:rsidRPr="00341CA1">
        <w:rPr>
          <w:rFonts w:eastAsia="Palatino Linotype" w:cs="Palatino Linotype"/>
          <w:color w:val="auto"/>
          <w:sz w:val="24"/>
          <w:szCs w:val="24"/>
        </w:rPr>
        <w:t xml:space="preserve">se tuvo </w:t>
      </w:r>
      <w:r w:rsidRPr="00341CA1">
        <w:rPr>
          <w:rFonts w:eastAsia="Palatino Linotype" w:cs="Palatino Linotype"/>
          <w:color w:val="auto"/>
          <w:sz w:val="24"/>
          <w:szCs w:val="24"/>
        </w:rPr>
        <w:lastRenderedPageBreak/>
        <w:t xml:space="preserve">por presentado </w:t>
      </w:r>
      <w:r w:rsidRPr="00341CA1">
        <w:rPr>
          <w:rFonts w:eastAsia="Palatino Linotype" w:cs="Palatino Linotype"/>
          <w:b/>
          <w:color w:val="auto"/>
          <w:sz w:val="24"/>
          <w:szCs w:val="24"/>
        </w:rPr>
        <w:t xml:space="preserve">el </w:t>
      </w:r>
      <w:r w:rsidR="008E0FB0" w:rsidRPr="00341CA1">
        <w:rPr>
          <w:rFonts w:eastAsia="Palatino Linotype" w:cs="Palatino Linotype"/>
          <w:b/>
          <w:color w:val="auto"/>
          <w:sz w:val="24"/>
          <w:szCs w:val="24"/>
        </w:rPr>
        <w:t>diecisiete de septiembre de dos mil veinticuatro</w:t>
      </w:r>
      <w:r w:rsidRPr="00341CA1">
        <w:rPr>
          <w:rFonts w:eastAsia="Palatino Linotype" w:cs="Palatino Linotype"/>
          <w:color w:val="auto"/>
          <w:sz w:val="24"/>
          <w:szCs w:val="24"/>
        </w:rPr>
        <w:t xml:space="preserve">, esto es al </w:t>
      </w:r>
      <w:r w:rsidR="00B54473" w:rsidRPr="00341CA1">
        <w:rPr>
          <w:rFonts w:eastAsia="Palatino Linotype" w:cs="Palatino Linotype"/>
          <w:color w:val="auto"/>
          <w:sz w:val="24"/>
          <w:szCs w:val="24"/>
        </w:rPr>
        <w:t>tercer</w:t>
      </w:r>
      <w:r w:rsidRPr="00341CA1">
        <w:rPr>
          <w:rFonts w:eastAsia="Palatino Linotype" w:cs="Palatino Linotype"/>
          <w:color w:val="auto"/>
          <w:sz w:val="24"/>
          <w:szCs w:val="24"/>
        </w:rPr>
        <w:t xml:space="preserve"> día hábil en que se tuvo por presentada la respuesta. </w:t>
      </w:r>
      <w:r w:rsidRPr="00341CA1">
        <w:rPr>
          <w:rFonts w:eastAsia="Palatino Linotype" w:cs="Palatino Linotype"/>
          <w:b/>
          <w:color w:val="auto"/>
          <w:sz w:val="24"/>
          <w:szCs w:val="24"/>
        </w:rPr>
        <w:t xml:space="preserve"> </w:t>
      </w:r>
    </w:p>
    <w:p w14:paraId="4A723BA7" w14:textId="77777777" w:rsidR="00597E2F" w:rsidRPr="00341CA1" w:rsidRDefault="00597E2F" w:rsidP="00597E2F">
      <w:pPr>
        <w:spacing w:after="0" w:line="360" w:lineRule="auto"/>
        <w:ind w:right="49"/>
        <w:rPr>
          <w:rFonts w:eastAsia="Palatino Linotype" w:cs="Palatino Linotype"/>
          <w:color w:val="auto"/>
          <w:sz w:val="24"/>
          <w:szCs w:val="24"/>
        </w:rPr>
      </w:pPr>
    </w:p>
    <w:p w14:paraId="1B674E03"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En este sentido, al considerar la fecha en que se formuló la solicitud y la fecha en que respondió a esta el </w:t>
      </w:r>
      <w:r w:rsidRPr="00341CA1">
        <w:rPr>
          <w:rFonts w:eastAsia="Palatino Linotype" w:cs="Palatino Linotype"/>
          <w:b/>
          <w:color w:val="auto"/>
          <w:sz w:val="24"/>
          <w:szCs w:val="24"/>
        </w:rPr>
        <w:t>SUJETO OBLIGADO</w:t>
      </w:r>
      <w:r w:rsidRPr="00341CA1">
        <w:rPr>
          <w:rFonts w:eastAsia="Palatino Linotype" w:cs="Palatino Linotype"/>
          <w:color w:val="auto"/>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6528997C" w14:textId="77777777" w:rsidR="00597E2F" w:rsidRPr="00341CA1" w:rsidRDefault="00597E2F" w:rsidP="00597E2F">
      <w:pPr>
        <w:spacing w:after="0" w:line="360" w:lineRule="auto"/>
        <w:ind w:right="49"/>
        <w:rPr>
          <w:rFonts w:eastAsia="Palatino Linotype" w:cs="Palatino Linotype"/>
          <w:color w:val="auto"/>
          <w:sz w:val="24"/>
          <w:szCs w:val="24"/>
        </w:rPr>
      </w:pPr>
    </w:p>
    <w:p w14:paraId="6195266D" w14:textId="77777777" w:rsidR="00597E2F" w:rsidRPr="00341CA1" w:rsidRDefault="00597E2F" w:rsidP="00597E2F">
      <w:pPr>
        <w:spacing w:after="0" w:line="360" w:lineRule="auto"/>
        <w:rPr>
          <w:rFonts w:eastAsia="Palatino Linotype" w:cs="Palatino Linotype"/>
          <w:color w:val="auto"/>
          <w:sz w:val="24"/>
          <w:szCs w:val="24"/>
        </w:rPr>
      </w:pPr>
      <w:r w:rsidRPr="00341CA1">
        <w:rPr>
          <w:rFonts w:eastAsia="Palatino Linotype" w:cs="Palatino Linotype"/>
          <w:color w:val="auto"/>
          <w:sz w:val="24"/>
          <w:szCs w:val="24"/>
        </w:rPr>
        <w:t>Es de suma importancia mencionar que, si bien la parte no proporcionó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1F01185" w14:textId="77777777" w:rsidR="00597E2F" w:rsidRPr="00341CA1" w:rsidRDefault="00597E2F" w:rsidP="00597E2F">
      <w:pPr>
        <w:spacing w:after="0" w:line="360" w:lineRule="auto"/>
        <w:rPr>
          <w:rFonts w:eastAsia="Palatino Linotype" w:cs="Palatino Linotype"/>
          <w:color w:val="auto"/>
          <w:sz w:val="24"/>
          <w:szCs w:val="24"/>
        </w:rPr>
      </w:pPr>
    </w:p>
    <w:p w14:paraId="61DCE0B3" w14:textId="77777777" w:rsidR="00597E2F" w:rsidRPr="00341CA1" w:rsidRDefault="00597E2F" w:rsidP="00597E2F">
      <w:pPr>
        <w:spacing w:after="0" w:line="276" w:lineRule="auto"/>
        <w:ind w:left="567" w:right="843"/>
        <w:rPr>
          <w:rFonts w:eastAsia="Palatino Linotype" w:cs="Palatino Linotype"/>
          <w:i/>
          <w:color w:val="auto"/>
          <w:szCs w:val="24"/>
        </w:rPr>
      </w:pPr>
      <w:r w:rsidRPr="00341CA1">
        <w:rPr>
          <w:rFonts w:eastAsia="Palatino Linotype" w:cs="Palatino Linotype"/>
          <w:i/>
          <w:color w:val="auto"/>
          <w:szCs w:val="24"/>
        </w:rPr>
        <w:t xml:space="preserve">"Las solicitudes </w:t>
      </w:r>
      <w:r w:rsidRPr="00341CA1">
        <w:rPr>
          <w:rFonts w:eastAsia="Palatino Linotype" w:cs="Palatino Linotype"/>
          <w:bCs/>
          <w:i/>
          <w:color w:val="auto"/>
          <w:szCs w:val="24"/>
        </w:rPr>
        <w:t>anónimas</w:t>
      </w:r>
      <w:r w:rsidRPr="00341CA1">
        <w:rPr>
          <w:rFonts w:eastAsia="Palatino Linotype" w:cs="Palatino Linotype"/>
          <w:i/>
          <w:color w:val="auto"/>
          <w:szCs w:val="24"/>
        </w:rPr>
        <w:t xml:space="preserve">, con nombre incompleto o </w:t>
      </w:r>
      <w:r w:rsidRPr="00341CA1">
        <w:rPr>
          <w:rFonts w:eastAsia="Palatino Linotype" w:cs="Palatino Linotype"/>
          <w:bCs/>
          <w:i/>
          <w:color w:val="auto"/>
          <w:szCs w:val="24"/>
        </w:rPr>
        <w:t>seudónimo</w:t>
      </w:r>
      <w:r w:rsidRPr="00341CA1">
        <w:rPr>
          <w:rFonts w:eastAsia="Palatino Linotype" w:cs="Palatino Linotype"/>
          <w:i/>
          <w:color w:val="auto"/>
          <w:szCs w:val="24"/>
        </w:rPr>
        <w:t xml:space="preserve"> serán procedentes para su trámite por parte del sujeto obligado ante quien se presente. No podrá requerirse información adicional con motivo del nombre proporcionado por el solicitante."</w:t>
      </w:r>
    </w:p>
    <w:p w14:paraId="71A51482" w14:textId="77777777" w:rsidR="00597E2F" w:rsidRPr="00341CA1" w:rsidRDefault="00597E2F" w:rsidP="00597E2F">
      <w:pPr>
        <w:spacing w:after="0" w:line="360" w:lineRule="auto"/>
        <w:ind w:left="567" w:right="843"/>
        <w:rPr>
          <w:rFonts w:eastAsia="Palatino Linotype" w:cs="Palatino Linotype"/>
          <w:i/>
          <w:color w:val="auto"/>
          <w:szCs w:val="24"/>
        </w:rPr>
      </w:pPr>
    </w:p>
    <w:p w14:paraId="6510A521"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341CA1">
        <w:rPr>
          <w:rFonts w:eastAsia="Palatino Linotype" w:cs="Palatino Linotype"/>
          <w:b/>
          <w:color w:val="auto"/>
          <w:sz w:val="24"/>
          <w:szCs w:val="24"/>
        </w:rPr>
        <w:t>SAIMEX</w:t>
      </w:r>
      <w:r w:rsidRPr="00341CA1">
        <w:rPr>
          <w:rFonts w:eastAsia="Palatino Linotype" w:cs="Palatino Linotype"/>
          <w:color w:val="auto"/>
          <w:sz w:val="24"/>
          <w:szCs w:val="24"/>
        </w:rPr>
        <w:t xml:space="preserve">.  </w:t>
      </w:r>
    </w:p>
    <w:p w14:paraId="4A9BBE07" w14:textId="77777777" w:rsidR="00597E2F" w:rsidRPr="00341CA1" w:rsidRDefault="00597E2F" w:rsidP="00597E2F">
      <w:pPr>
        <w:spacing w:after="0" w:line="360" w:lineRule="auto"/>
        <w:ind w:right="49"/>
        <w:rPr>
          <w:rFonts w:eastAsia="Palatino Linotype" w:cs="Palatino Linotype"/>
          <w:color w:val="auto"/>
          <w:sz w:val="24"/>
          <w:szCs w:val="24"/>
        </w:rPr>
      </w:pPr>
    </w:p>
    <w:p w14:paraId="53D5E09E" w14:textId="373E2F55"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lastRenderedPageBreak/>
        <w:t xml:space="preserve">Finalmente, resulta procedente la interposición del recurso de revisión al rubro anotado, toda vez que se actualiza la hipótesis de procedencia prevista en el artículo 179, fracción </w:t>
      </w:r>
      <w:r w:rsidR="00A8588E" w:rsidRPr="00341CA1">
        <w:rPr>
          <w:rFonts w:eastAsia="Palatino Linotype" w:cs="Palatino Linotype"/>
          <w:color w:val="auto"/>
          <w:sz w:val="24"/>
          <w:szCs w:val="24"/>
        </w:rPr>
        <w:t xml:space="preserve">I </w:t>
      </w:r>
      <w:r w:rsidRPr="00341CA1">
        <w:rPr>
          <w:rFonts w:eastAsia="Palatino Linotype" w:cs="Palatino Linotype"/>
          <w:color w:val="auto"/>
          <w:sz w:val="24"/>
          <w:szCs w:val="24"/>
        </w:rPr>
        <w:t>de la Ley de la materia, que a la letra dice:</w:t>
      </w:r>
    </w:p>
    <w:p w14:paraId="4F16F194" w14:textId="77777777" w:rsidR="00597E2F" w:rsidRPr="00341CA1" w:rsidRDefault="00597E2F" w:rsidP="00597E2F">
      <w:pPr>
        <w:spacing w:after="0" w:line="360" w:lineRule="auto"/>
        <w:ind w:right="49"/>
        <w:rPr>
          <w:rFonts w:eastAsia="Palatino Linotype" w:cs="Palatino Linotype"/>
          <w:color w:val="auto"/>
          <w:sz w:val="24"/>
          <w:szCs w:val="24"/>
        </w:rPr>
      </w:pPr>
    </w:p>
    <w:p w14:paraId="3E3E8EFC"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r w:rsidRPr="00341CA1">
        <w:rPr>
          <w:rFonts w:eastAsia="Palatino Linotype" w:cs="Palatino Linotype"/>
          <w:b/>
          <w:i/>
          <w:color w:val="auto"/>
        </w:rPr>
        <w:t>Artículo 179.</w:t>
      </w:r>
      <w:r w:rsidRPr="00341CA1">
        <w:rPr>
          <w:rFonts w:eastAsia="Palatino Linotype" w:cs="Palatino Linotype"/>
          <w:i/>
          <w:color w:val="auto"/>
        </w:rPr>
        <w:t xml:space="preserve"> El recurso de revisión es un medio de protección que la Ley otorga a los particulares, para hacer valer su derecho de acceso a la información pública, y procederá en contra de las siguientes causas:</w:t>
      </w:r>
    </w:p>
    <w:p w14:paraId="00B1A3C7" w14:textId="4BD42B1C" w:rsidR="00597E2F" w:rsidRPr="00341CA1" w:rsidRDefault="00B54473" w:rsidP="00EA67D6">
      <w:pPr>
        <w:pStyle w:val="Prrafodelista"/>
        <w:numPr>
          <w:ilvl w:val="0"/>
          <w:numId w:val="38"/>
        </w:numPr>
        <w:spacing w:line="276" w:lineRule="auto"/>
        <w:ind w:left="567" w:right="560"/>
        <w:rPr>
          <w:i/>
          <w:iCs/>
        </w:rPr>
      </w:pPr>
      <w:r w:rsidRPr="00341CA1">
        <w:rPr>
          <w:rFonts w:eastAsia="Palatino Linotype" w:cs="Palatino Linotype"/>
          <w:i/>
        </w:rPr>
        <w:t>La negativa de la información solicitada</w:t>
      </w:r>
      <w:r w:rsidR="00597E2F" w:rsidRPr="00341CA1">
        <w:rPr>
          <w:i/>
          <w:iCs/>
        </w:rPr>
        <w:t>…</w:t>
      </w:r>
      <w:r w:rsidRPr="00341CA1">
        <w:rPr>
          <w:i/>
          <w:iCs/>
        </w:rPr>
        <w:t>”</w:t>
      </w:r>
    </w:p>
    <w:p w14:paraId="39E4BB6C" w14:textId="77777777" w:rsidR="00597E2F" w:rsidRPr="00341CA1" w:rsidRDefault="00597E2F" w:rsidP="00597E2F">
      <w:pPr>
        <w:spacing w:after="0" w:line="276" w:lineRule="auto"/>
        <w:ind w:left="567" w:right="560"/>
        <w:rPr>
          <w:i/>
          <w:iCs/>
          <w:color w:val="auto"/>
        </w:rPr>
      </w:pPr>
    </w:p>
    <w:p w14:paraId="0DA246D8" w14:textId="15B35EC2" w:rsidR="00B54473" w:rsidRPr="00341CA1" w:rsidRDefault="00597E2F" w:rsidP="00B54473">
      <w:pPr>
        <w:spacing w:after="0" w:line="360" w:lineRule="auto"/>
        <w:ind w:right="49"/>
        <w:rPr>
          <w:rFonts w:eastAsia="Palatino Linotype" w:cs="Palatino Linotype"/>
          <w:color w:val="auto"/>
        </w:rPr>
      </w:pPr>
      <w:r w:rsidRPr="00341CA1">
        <w:rPr>
          <w:rFonts w:eastAsia="Palatino Linotype" w:cs="Palatino Linotype"/>
          <w:b/>
          <w:color w:val="auto"/>
          <w:sz w:val="24"/>
          <w:szCs w:val="24"/>
        </w:rPr>
        <w:t>Tercero. Materia de la revisión</w:t>
      </w:r>
      <w:r w:rsidRPr="00341CA1">
        <w:rPr>
          <w:rFonts w:eastAsia="Palatino Linotype" w:cs="Palatino Linotype"/>
          <w:color w:val="auto"/>
          <w:sz w:val="24"/>
          <w:szCs w:val="24"/>
        </w:rPr>
        <w:t xml:space="preserve">. </w:t>
      </w:r>
      <w:r w:rsidR="00B54473" w:rsidRPr="00341CA1">
        <w:rPr>
          <w:rFonts w:eastAsia="Palatino Linotype" w:cs="Palatino Linotype"/>
          <w:color w:val="auto"/>
          <w:sz w:val="24"/>
          <w:szCs w:val="24"/>
        </w:rPr>
        <w:t xml:space="preserve">De las constancias que integran el expediente electrónico se advierte que el tema sobre el que este Instituto se pronunciará será: </w:t>
      </w:r>
      <w:r w:rsidR="00B54473" w:rsidRPr="00341CA1">
        <w:rPr>
          <w:rFonts w:eastAsia="Palatino Linotype" w:cs="Palatino Linotype"/>
          <w:b/>
          <w:color w:val="auto"/>
          <w:sz w:val="24"/>
          <w:szCs w:val="24"/>
        </w:rPr>
        <w:t xml:space="preserve">verificar si la respuesta otorgada por el SUJETO OBLIGADO es adecuada y suficiente para satisfacer el derecho de acceso a la información pública </w:t>
      </w:r>
      <w:r w:rsidR="00B54473" w:rsidRPr="00341CA1">
        <w:rPr>
          <w:rFonts w:eastAsia="Palatino Linotype" w:cs="Palatino Linotype"/>
          <w:color w:val="auto"/>
          <w:sz w:val="24"/>
          <w:szCs w:val="24"/>
        </w:rPr>
        <w:t xml:space="preserve">de la </w:t>
      </w:r>
      <w:proofErr w:type="gramStart"/>
      <w:r w:rsidR="00B54473" w:rsidRPr="00341CA1">
        <w:rPr>
          <w:rFonts w:eastAsia="Palatino Linotype" w:cs="Palatino Linotype"/>
          <w:color w:val="auto"/>
          <w:sz w:val="24"/>
          <w:szCs w:val="24"/>
        </w:rPr>
        <w:t xml:space="preserve">parte  </w:t>
      </w:r>
      <w:r w:rsidR="00B54473" w:rsidRPr="00341CA1">
        <w:rPr>
          <w:rFonts w:eastAsia="Palatino Linotype" w:cs="Palatino Linotype"/>
          <w:b/>
          <w:color w:val="auto"/>
          <w:sz w:val="24"/>
          <w:szCs w:val="24"/>
        </w:rPr>
        <w:t>RECURRENTE</w:t>
      </w:r>
      <w:proofErr w:type="gramEnd"/>
      <w:r w:rsidR="00B54473" w:rsidRPr="00341CA1">
        <w:rPr>
          <w:rFonts w:eastAsia="Palatino Linotype" w:cs="Palatino Linotype"/>
          <w:color w:val="auto"/>
          <w:sz w:val="24"/>
          <w:szCs w:val="24"/>
        </w:rPr>
        <w:t>, o en su defecto, en caso de ser procedente, ordenar la entrega de información.</w:t>
      </w:r>
    </w:p>
    <w:p w14:paraId="1A8AE7B4" w14:textId="77777777" w:rsidR="00597E2F" w:rsidRPr="00341CA1" w:rsidRDefault="00597E2F" w:rsidP="00597E2F">
      <w:pPr>
        <w:spacing w:after="0" w:line="360" w:lineRule="auto"/>
        <w:ind w:right="49"/>
        <w:rPr>
          <w:rFonts w:eastAsia="Palatino Linotype" w:cs="Palatino Linotype"/>
          <w:color w:val="auto"/>
          <w:sz w:val="24"/>
          <w:szCs w:val="24"/>
        </w:rPr>
      </w:pPr>
    </w:p>
    <w:p w14:paraId="5DE7A5A7"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b/>
          <w:color w:val="auto"/>
          <w:sz w:val="24"/>
          <w:szCs w:val="24"/>
        </w:rPr>
        <w:t>Cuarto.</w:t>
      </w:r>
      <w:r w:rsidRPr="00341CA1">
        <w:rPr>
          <w:rFonts w:eastAsia="Palatino Linotype" w:cs="Palatino Linotype"/>
          <w:color w:val="auto"/>
          <w:sz w:val="24"/>
          <w:szCs w:val="24"/>
        </w:rPr>
        <w:t xml:space="preserve"> </w:t>
      </w:r>
      <w:r w:rsidRPr="00341CA1">
        <w:rPr>
          <w:rFonts w:eastAsia="Palatino Linotype" w:cs="Palatino Linotype"/>
          <w:b/>
          <w:color w:val="auto"/>
          <w:sz w:val="24"/>
          <w:szCs w:val="24"/>
        </w:rPr>
        <w:t>Estudio de fondo del asunto.</w:t>
      </w:r>
      <w:r w:rsidRPr="00341CA1">
        <w:rPr>
          <w:rFonts w:eastAsia="Palatino Linotype" w:cs="Palatino Linotype"/>
          <w:color w:val="auto"/>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ACAD987" w14:textId="77777777" w:rsidR="00597E2F" w:rsidRPr="00341CA1" w:rsidRDefault="00597E2F" w:rsidP="00597E2F">
      <w:pPr>
        <w:spacing w:after="0" w:line="276" w:lineRule="auto"/>
        <w:ind w:left="567" w:right="560"/>
        <w:rPr>
          <w:rFonts w:eastAsia="Palatino Linotype" w:cs="Palatino Linotype"/>
          <w:i/>
          <w:color w:val="auto"/>
        </w:rPr>
      </w:pPr>
    </w:p>
    <w:p w14:paraId="7307CC0F"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b/>
          <w:i/>
          <w:color w:val="auto"/>
        </w:rPr>
        <w:lastRenderedPageBreak/>
        <w:t>Artículo 1o.</w:t>
      </w:r>
      <w:r w:rsidRPr="00341CA1">
        <w:rPr>
          <w:rFonts w:eastAsia="Palatino Linotype" w:cs="Palatino Linotype"/>
          <w:i/>
          <w:color w:val="auto"/>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D2C4840"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Las normas relativas a los derechos humanos se interpretarán de conformidad con esta Constitución y con los tratados internacionales de la materia favoreciendo en todo tiempo a las personas la protección más amplia.</w:t>
      </w:r>
    </w:p>
    <w:p w14:paraId="76DC68D5"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0AEAC51"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p>
    <w:p w14:paraId="4815597F" w14:textId="77777777" w:rsidR="00597E2F" w:rsidRPr="00341CA1" w:rsidRDefault="00597E2F" w:rsidP="00597E2F">
      <w:pPr>
        <w:spacing w:after="0" w:line="276" w:lineRule="auto"/>
        <w:ind w:left="567" w:right="560"/>
        <w:rPr>
          <w:rFonts w:eastAsia="Palatino Linotype" w:cs="Palatino Linotype"/>
          <w:b/>
          <w:i/>
          <w:color w:val="auto"/>
        </w:rPr>
      </w:pPr>
      <w:r w:rsidRPr="00341CA1">
        <w:rPr>
          <w:rFonts w:eastAsia="Palatino Linotype" w:cs="Palatino Linotype"/>
          <w:b/>
          <w:i/>
          <w:color w:val="auto"/>
        </w:rPr>
        <w:t>“Artículo 6o.</w:t>
      </w:r>
    </w:p>
    <w:p w14:paraId="76172E35"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p>
    <w:p w14:paraId="7254A116"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A. Para el ejercicio del derecho de acceso a la información, la Federación y las entidades federativas, en el ámbito de sus respectivas competencias, se regirán por los siguientes principios y bases:</w:t>
      </w:r>
    </w:p>
    <w:p w14:paraId="33B4B052"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5DCFFD9"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 II. La información que se refiere a la vida privada y los datos personales será protegida en los términos y con las excepciones que fijen las leyes.</w:t>
      </w:r>
    </w:p>
    <w:p w14:paraId="7A4FFB4D"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 III. Toda persona, sin necesidad de acreditar interés alguno o justificar su utilización, tendrá acceso gratuito a la información pública, a sus datos personales o a la rectificación de éstos.</w:t>
      </w:r>
    </w:p>
    <w:p w14:paraId="6968A026"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lastRenderedPageBreak/>
        <w:t xml:space="preserve"> IV. Se establecerán mecanismos de acceso a la información y procedimientos de revisión expeditos que se sustanciarán ante los organismos autónomos especializados e imparciales que establece esta Constitución.</w:t>
      </w:r>
    </w:p>
    <w:p w14:paraId="6DD4B049"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37BE299"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 VI. Las leyes determinarán la manera en que los sujetos obligados deberán hacer pública la información relativa a los recursos públicos que entreguen a personas físicas o morales.</w:t>
      </w:r>
    </w:p>
    <w:p w14:paraId="12B0C7A6"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 VII. La inobservancia a las disposiciones en materia de acceso a la información pública será sancionada en los términos que dispongan las leyes. [...]</w:t>
      </w:r>
    </w:p>
    <w:p w14:paraId="22E7EA65" w14:textId="77777777" w:rsidR="00597E2F" w:rsidRPr="00341CA1" w:rsidRDefault="00597E2F" w:rsidP="00597E2F">
      <w:pPr>
        <w:spacing w:after="0" w:line="276" w:lineRule="auto"/>
        <w:ind w:left="567" w:right="560"/>
        <w:rPr>
          <w:rFonts w:eastAsia="Palatino Linotype" w:cs="Palatino Linotype"/>
          <w:i/>
          <w:color w:val="auto"/>
        </w:rPr>
      </w:pPr>
    </w:p>
    <w:p w14:paraId="3617FC49"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1363CF5" w14:textId="77777777" w:rsidR="00597E2F" w:rsidRPr="00341CA1" w:rsidRDefault="00597E2F" w:rsidP="00597E2F">
      <w:pPr>
        <w:spacing w:after="0" w:line="360" w:lineRule="auto"/>
        <w:ind w:right="49"/>
        <w:rPr>
          <w:rFonts w:eastAsia="Palatino Linotype" w:cs="Palatino Linotype"/>
          <w:color w:val="auto"/>
          <w:sz w:val="24"/>
          <w:szCs w:val="24"/>
        </w:rPr>
      </w:pPr>
    </w:p>
    <w:p w14:paraId="28CD64F0"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r w:rsidRPr="00341CA1">
        <w:rPr>
          <w:rFonts w:eastAsia="Palatino Linotype" w:cs="Palatino Linotype"/>
          <w:b/>
          <w:i/>
          <w:color w:val="auto"/>
        </w:rPr>
        <w:t>Artículo 4.</w:t>
      </w:r>
      <w:r w:rsidRPr="00341CA1">
        <w:rPr>
          <w:rFonts w:eastAsia="Palatino Linotype" w:cs="Palatino Linotype"/>
          <w:i/>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A60E2C"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341CA1">
        <w:rPr>
          <w:rFonts w:eastAsia="Palatino Linotype" w:cs="Palatino Linotype"/>
          <w:i/>
          <w:color w:val="auto"/>
        </w:rPr>
        <w:lastRenderedPageBreak/>
        <w:t>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7A96A8"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Los sujetos obligados deben poner en práctica, políticas y programas de acceso a la información que se apeguen a criterios de publicidad, veracidad, oportunidad, precisión y suficiencia en beneficio de los solicitantes.”</w:t>
      </w:r>
    </w:p>
    <w:p w14:paraId="1CF2A1B8" w14:textId="77777777" w:rsidR="00597E2F" w:rsidRPr="00341CA1" w:rsidRDefault="00597E2F" w:rsidP="00597E2F">
      <w:pPr>
        <w:spacing w:after="0" w:line="360" w:lineRule="auto"/>
        <w:ind w:left="567" w:right="560"/>
        <w:rPr>
          <w:rFonts w:eastAsia="Palatino Linotype" w:cs="Palatino Linotype"/>
          <w:i/>
          <w:color w:val="auto"/>
          <w:sz w:val="24"/>
          <w:szCs w:val="24"/>
        </w:rPr>
      </w:pPr>
    </w:p>
    <w:p w14:paraId="2332DEE5"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19DC2DE" w14:textId="77777777" w:rsidR="00597E2F" w:rsidRPr="00341CA1" w:rsidRDefault="00597E2F" w:rsidP="00597E2F">
      <w:pPr>
        <w:spacing w:after="0" w:line="360" w:lineRule="auto"/>
        <w:ind w:right="49"/>
        <w:rPr>
          <w:rFonts w:eastAsia="Palatino Linotype" w:cs="Palatino Linotype"/>
          <w:color w:val="auto"/>
          <w:sz w:val="24"/>
          <w:szCs w:val="24"/>
        </w:rPr>
      </w:pPr>
    </w:p>
    <w:p w14:paraId="4C49AA05"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r w:rsidRPr="00341CA1">
        <w:rPr>
          <w:rFonts w:eastAsia="Palatino Linotype" w:cs="Palatino Linotype"/>
          <w:b/>
          <w:i/>
          <w:color w:val="auto"/>
        </w:rPr>
        <w:t>Artículo 12.</w:t>
      </w:r>
      <w:r w:rsidRPr="00341CA1">
        <w:rPr>
          <w:rFonts w:eastAsia="Palatino Linotype" w:cs="Palatino Linotype"/>
          <w:i/>
          <w:color w:val="auto"/>
        </w:rPr>
        <w:t xml:space="preserve"> Quienes generen, recopilen, administren, manejen, procesen, archiven o conserven información pública serán responsables de la misma en los términos de las disposiciones jurídicas aplicables. </w:t>
      </w:r>
    </w:p>
    <w:p w14:paraId="410C66E5"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3D43A4F" w14:textId="77777777" w:rsidR="00597E2F" w:rsidRPr="00341CA1" w:rsidRDefault="00597E2F" w:rsidP="00597E2F">
      <w:pPr>
        <w:spacing w:after="0" w:line="360" w:lineRule="auto"/>
        <w:ind w:right="49"/>
        <w:rPr>
          <w:rFonts w:eastAsia="Palatino Linotype" w:cs="Palatino Linotype"/>
          <w:color w:val="auto"/>
          <w:sz w:val="24"/>
          <w:szCs w:val="24"/>
        </w:rPr>
      </w:pPr>
    </w:p>
    <w:p w14:paraId="4FCD9761"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w:t>
      </w:r>
      <w:r w:rsidRPr="00341CA1">
        <w:rPr>
          <w:rFonts w:eastAsia="Palatino Linotype" w:cs="Palatino Linotype"/>
          <w:color w:val="auto"/>
          <w:sz w:val="24"/>
          <w:szCs w:val="24"/>
        </w:rPr>
        <w:lastRenderedPageBreak/>
        <w:t>Transparencia, Acceso a la Información Pública y Protección de Datos Personales, el cual señala lo siguiente:</w:t>
      </w:r>
    </w:p>
    <w:p w14:paraId="1D35444C" w14:textId="77777777" w:rsidR="00597E2F" w:rsidRPr="00341CA1" w:rsidRDefault="00597E2F" w:rsidP="00597E2F">
      <w:pPr>
        <w:spacing w:after="0" w:line="360" w:lineRule="auto"/>
        <w:ind w:right="49"/>
        <w:rPr>
          <w:rFonts w:eastAsia="Palatino Linotype" w:cs="Palatino Linotype"/>
          <w:color w:val="auto"/>
          <w:sz w:val="24"/>
          <w:szCs w:val="24"/>
        </w:rPr>
      </w:pPr>
    </w:p>
    <w:p w14:paraId="09376381" w14:textId="1A00B316" w:rsidR="00597E2F" w:rsidRPr="00341CA1" w:rsidRDefault="00597E2F" w:rsidP="00A8588E">
      <w:pPr>
        <w:spacing w:after="0" w:line="276" w:lineRule="auto"/>
        <w:ind w:left="567" w:right="560"/>
        <w:rPr>
          <w:rFonts w:eastAsia="Palatino Linotype" w:cs="Palatino Linotype"/>
          <w:b/>
          <w:i/>
          <w:color w:val="auto"/>
        </w:rPr>
      </w:pPr>
      <w:r w:rsidRPr="00341CA1">
        <w:rPr>
          <w:rFonts w:eastAsia="Palatino Linotype" w:cs="Palatino Linotype"/>
          <w:b/>
          <w:i/>
          <w:color w:val="auto"/>
        </w:rPr>
        <w:t>Criterio 03/17</w:t>
      </w:r>
      <w:r w:rsidR="00A8588E" w:rsidRPr="00341CA1">
        <w:rPr>
          <w:rFonts w:eastAsia="Palatino Linotype" w:cs="Palatino Linotype"/>
          <w:b/>
          <w:i/>
          <w:color w:val="auto"/>
        </w:rPr>
        <w:t xml:space="preserve">. </w:t>
      </w:r>
      <w:r w:rsidRPr="00341CA1">
        <w:rPr>
          <w:rFonts w:eastAsia="Palatino Linotype" w:cs="Palatino Linotype"/>
          <w:b/>
          <w:i/>
          <w:color w:val="auto"/>
        </w:rPr>
        <w:t xml:space="preserve">NO EXISTE OBLIGACIÓN DE ELABORAR DOCUMENTOS AD HOC PARA ATENDER LAS SOLICITUDES DE ACCESO A LA INFORMACIÓN. </w:t>
      </w:r>
      <w:r w:rsidRPr="00341CA1">
        <w:rPr>
          <w:rFonts w:eastAsia="Palatino Linotype" w:cs="Palatino Linotype"/>
          <w:i/>
          <w:color w:val="auto"/>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w:t>
      </w:r>
      <w:r w:rsidR="00A8588E" w:rsidRPr="00341CA1">
        <w:rPr>
          <w:rFonts w:eastAsia="Palatino Linotype" w:cs="Palatino Linotype"/>
          <w:i/>
          <w:color w:val="auto"/>
        </w:rPr>
        <w:t>las solicitudes de información.</w:t>
      </w:r>
    </w:p>
    <w:p w14:paraId="2CF112D2" w14:textId="77777777" w:rsidR="00597E2F" w:rsidRPr="00341CA1" w:rsidRDefault="00597E2F" w:rsidP="00597E2F">
      <w:pPr>
        <w:spacing w:after="0" w:line="360" w:lineRule="auto"/>
        <w:ind w:left="567" w:right="560"/>
        <w:rPr>
          <w:rFonts w:eastAsia="Palatino Linotype" w:cs="Palatino Linotype"/>
          <w:b/>
          <w:i/>
          <w:color w:val="auto"/>
          <w:sz w:val="24"/>
          <w:szCs w:val="24"/>
        </w:rPr>
      </w:pPr>
    </w:p>
    <w:p w14:paraId="376BDCA7"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FCCEC1" w14:textId="77777777" w:rsidR="00597E2F" w:rsidRPr="00341CA1" w:rsidRDefault="00597E2F" w:rsidP="00597E2F">
      <w:pPr>
        <w:spacing w:after="0" w:line="360" w:lineRule="auto"/>
        <w:ind w:right="49"/>
        <w:rPr>
          <w:rFonts w:eastAsia="Palatino Linotype" w:cs="Palatino Linotype"/>
          <w:color w:val="auto"/>
          <w:sz w:val="24"/>
          <w:szCs w:val="24"/>
        </w:rPr>
      </w:pPr>
    </w:p>
    <w:p w14:paraId="6094A504"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8B81AA" w14:textId="77777777" w:rsidR="00597E2F" w:rsidRPr="00341CA1" w:rsidRDefault="00597E2F" w:rsidP="00597E2F">
      <w:pPr>
        <w:spacing w:after="0" w:line="360" w:lineRule="auto"/>
        <w:ind w:right="49"/>
        <w:rPr>
          <w:rFonts w:eastAsia="Palatino Linotype" w:cs="Palatino Linotype"/>
          <w:color w:val="auto"/>
          <w:sz w:val="24"/>
          <w:szCs w:val="24"/>
        </w:rPr>
      </w:pPr>
    </w:p>
    <w:p w14:paraId="1FFA3039"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C18CFE6" w14:textId="77777777" w:rsidR="00597E2F" w:rsidRPr="00341CA1" w:rsidRDefault="00597E2F" w:rsidP="00597E2F">
      <w:pPr>
        <w:spacing w:after="0" w:line="360" w:lineRule="auto"/>
        <w:ind w:right="49"/>
        <w:rPr>
          <w:rFonts w:eastAsia="Palatino Linotype" w:cs="Palatino Linotype"/>
          <w:color w:val="auto"/>
          <w:sz w:val="24"/>
          <w:szCs w:val="24"/>
        </w:rPr>
      </w:pPr>
    </w:p>
    <w:p w14:paraId="3EEC988D"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r w:rsidRPr="00341CA1">
        <w:rPr>
          <w:rFonts w:eastAsia="Palatino Linotype" w:cs="Palatino Linotype"/>
          <w:b/>
          <w:i/>
          <w:color w:val="auto"/>
        </w:rPr>
        <w:t>Artículo 3.</w:t>
      </w:r>
      <w:r w:rsidRPr="00341CA1">
        <w:rPr>
          <w:rFonts w:eastAsia="Palatino Linotype" w:cs="Palatino Linotype"/>
          <w:i/>
          <w:color w:val="auto"/>
        </w:rPr>
        <w:t xml:space="preserve"> Para los efectos de la presente Ley se entenderá por:</w:t>
      </w:r>
    </w:p>
    <w:p w14:paraId="15A52594"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w:t>
      </w:r>
    </w:p>
    <w:p w14:paraId="7B9F55C2"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b/>
          <w:i/>
          <w:color w:val="auto"/>
        </w:rPr>
        <w:t>XI. Documento:</w:t>
      </w:r>
      <w:r w:rsidRPr="00341CA1">
        <w:rPr>
          <w:rFonts w:eastAsia="Palatino Linotype" w:cs="Palatino Linotype"/>
          <w:i/>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AAA001E" w14:textId="77777777" w:rsidR="00597E2F" w:rsidRPr="00341CA1" w:rsidRDefault="00597E2F" w:rsidP="00597E2F">
      <w:pPr>
        <w:spacing w:after="0" w:line="360" w:lineRule="auto"/>
        <w:ind w:right="49"/>
        <w:rPr>
          <w:rFonts w:eastAsia="Palatino Linotype" w:cs="Palatino Linotype"/>
          <w:color w:val="auto"/>
          <w:sz w:val="24"/>
          <w:szCs w:val="24"/>
        </w:rPr>
      </w:pPr>
    </w:p>
    <w:p w14:paraId="56D3567D"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A9E037" w14:textId="77777777" w:rsidR="00597E2F" w:rsidRPr="00341CA1" w:rsidRDefault="00597E2F" w:rsidP="00597E2F">
      <w:pPr>
        <w:spacing w:after="0" w:line="360" w:lineRule="auto"/>
        <w:ind w:right="49"/>
        <w:rPr>
          <w:rFonts w:eastAsia="Palatino Linotype" w:cs="Palatino Linotype"/>
          <w:color w:val="auto"/>
          <w:sz w:val="24"/>
          <w:szCs w:val="24"/>
        </w:rPr>
      </w:pPr>
    </w:p>
    <w:p w14:paraId="040B598D" w14:textId="77777777" w:rsidR="00597E2F" w:rsidRPr="00341CA1" w:rsidRDefault="00597E2F" w:rsidP="00597E2F">
      <w:pPr>
        <w:spacing w:after="0" w:line="276" w:lineRule="auto"/>
        <w:ind w:left="567" w:right="560"/>
        <w:rPr>
          <w:rFonts w:eastAsia="Palatino Linotype" w:cs="Palatino Linotype"/>
          <w:b/>
          <w:i/>
          <w:color w:val="auto"/>
        </w:rPr>
      </w:pPr>
      <w:r w:rsidRPr="00341CA1">
        <w:rPr>
          <w:rFonts w:eastAsia="Palatino Linotype" w:cs="Palatino Linotype"/>
          <w:i/>
          <w:color w:val="auto"/>
        </w:rPr>
        <w:lastRenderedPageBreak/>
        <w:t>“</w:t>
      </w:r>
      <w:r w:rsidRPr="00341CA1">
        <w:rPr>
          <w:rFonts w:eastAsia="Palatino Linotype" w:cs="Palatino Linotype"/>
          <w:b/>
          <w:i/>
          <w:color w:val="auto"/>
        </w:rPr>
        <w:t>CRITERIO 0002-11</w:t>
      </w:r>
    </w:p>
    <w:p w14:paraId="42773935"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b/>
          <w:i/>
          <w:color w:val="auto"/>
        </w:rPr>
        <w:t>INFORMACIÓN PÚBLICA, CONCEPTO DE, EN MATERIA DE TRANSPARENCIA. INTERPRETACIÓN SISTEMÁTICA DE LOS ARTÍCULOS 2°, FRACCIÓN V, XV, Y XVI, 3°, 4°, 11 Y 41.</w:t>
      </w:r>
      <w:r w:rsidRPr="00341CA1">
        <w:rPr>
          <w:rFonts w:eastAsia="Palatino Linotype" w:cs="Palatino Linotype"/>
          <w:i/>
          <w:color w:val="auto"/>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DA8EED"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En </w:t>
      </w:r>
      <w:proofErr w:type="gramStart"/>
      <w:r w:rsidRPr="00341CA1">
        <w:rPr>
          <w:rFonts w:eastAsia="Palatino Linotype" w:cs="Palatino Linotype"/>
          <w:i/>
          <w:color w:val="auto"/>
        </w:rPr>
        <w:t>consecuencia</w:t>
      </w:r>
      <w:proofErr w:type="gramEnd"/>
      <w:r w:rsidRPr="00341CA1">
        <w:rPr>
          <w:rFonts w:eastAsia="Palatino Linotype" w:cs="Palatino Linotype"/>
          <w:i/>
          <w:color w:val="auto"/>
        </w:rPr>
        <w:t xml:space="preserve"> el acceso a la información se refiere a que se cumplan cualquiera de los siguientes tres supuestos:</w:t>
      </w:r>
    </w:p>
    <w:p w14:paraId="45AA10C9"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1)</w:t>
      </w:r>
      <w:r w:rsidRPr="00341CA1">
        <w:rPr>
          <w:rFonts w:eastAsia="Palatino Linotype" w:cs="Palatino Linotype"/>
          <w:i/>
          <w:color w:val="auto"/>
        </w:rPr>
        <w:tab/>
        <w:t xml:space="preserve">Que se trate de información registrada en cualquier soporte documental, </w:t>
      </w:r>
      <w:proofErr w:type="gramStart"/>
      <w:r w:rsidRPr="00341CA1">
        <w:rPr>
          <w:rFonts w:eastAsia="Palatino Linotype" w:cs="Palatino Linotype"/>
          <w:i/>
          <w:color w:val="auto"/>
        </w:rPr>
        <w:t>que</w:t>
      </w:r>
      <w:proofErr w:type="gramEnd"/>
      <w:r w:rsidRPr="00341CA1">
        <w:rPr>
          <w:rFonts w:eastAsia="Palatino Linotype" w:cs="Palatino Linotype"/>
          <w:i/>
          <w:color w:val="auto"/>
        </w:rPr>
        <w:t xml:space="preserve"> en ejercicio de las atribuciones conferidas, sea generada por los Sujetos Obligados;</w:t>
      </w:r>
    </w:p>
    <w:p w14:paraId="2852BE12"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2)</w:t>
      </w:r>
      <w:r w:rsidRPr="00341CA1">
        <w:rPr>
          <w:rFonts w:eastAsia="Palatino Linotype" w:cs="Palatino Linotype"/>
          <w:i/>
          <w:color w:val="auto"/>
        </w:rPr>
        <w:tab/>
        <w:t xml:space="preserve">Que se trate de información registrada en cualquier soporte documental, </w:t>
      </w:r>
      <w:proofErr w:type="gramStart"/>
      <w:r w:rsidRPr="00341CA1">
        <w:rPr>
          <w:rFonts w:eastAsia="Palatino Linotype" w:cs="Palatino Linotype"/>
          <w:i/>
          <w:color w:val="auto"/>
        </w:rPr>
        <w:t>que</w:t>
      </w:r>
      <w:proofErr w:type="gramEnd"/>
      <w:r w:rsidRPr="00341CA1">
        <w:rPr>
          <w:rFonts w:eastAsia="Palatino Linotype" w:cs="Palatino Linotype"/>
          <w:i/>
          <w:color w:val="auto"/>
        </w:rPr>
        <w:t xml:space="preserve"> en ejercicio de las atribuciones conferidas, sea administrada por los Sujetos Obligados, y</w:t>
      </w:r>
    </w:p>
    <w:p w14:paraId="09528438" w14:textId="77777777" w:rsidR="00597E2F" w:rsidRPr="00341CA1" w:rsidRDefault="00597E2F" w:rsidP="00597E2F">
      <w:pPr>
        <w:spacing w:after="0" w:line="276" w:lineRule="auto"/>
        <w:ind w:left="567" w:right="560"/>
        <w:rPr>
          <w:rFonts w:eastAsia="Palatino Linotype" w:cs="Palatino Linotype"/>
          <w:i/>
          <w:color w:val="auto"/>
        </w:rPr>
      </w:pPr>
      <w:r w:rsidRPr="00341CA1">
        <w:rPr>
          <w:rFonts w:eastAsia="Palatino Linotype" w:cs="Palatino Linotype"/>
          <w:i/>
          <w:color w:val="auto"/>
        </w:rPr>
        <w:t xml:space="preserve">3) Que se trate de información registrada en cualquier soporte documental, </w:t>
      </w:r>
      <w:proofErr w:type="gramStart"/>
      <w:r w:rsidRPr="00341CA1">
        <w:rPr>
          <w:rFonts w:eastAsia="Palatino Linotype" w:cs="Palatino Linotype"/>
          <w:i/>
          <w:color w:val="auto"/>
        </w:rPr>
        <w:t>que</w:t>
      </w:r>
      <w:proofErr w:type="gramEnd"/>
      <w:r w:rsidRPr="00341CA1">
        <w:rPr>
          <w:rFonts w:eastAsia="Palatino Linotype" w:cs="Palatino Linotype"/>
          <w:i/>
          <w:color w:val="auto"/>
        </w:rPr>
        <w:t xml:space="preserve"> en ejercicio de las atribuciones conferidas, se encuentre en posesión de los Sujetos Obligados.” </w:t>
      </w:r>
    </w:p>
    <w:p w14:paraId="3DA71D5A" w14:textId="77777777" w:rsidR="00597E2F" w:rsidRPr="00341CA1" w:rsidRDefault="00597E2F" w:rsidP="00597E2F">
      <w:pPr>
        <w:spacing w:after="0" w:line="360" w:lineRule="auto"/>
        <w:ind w:right="49"/>
        <w:rPr>
          <w:rFonts w:eastAsia="Palatino Linotype" w:cs="Palatino Linotype"/>
          <w:color w:val="auto"/>
          <w:sz w:val="24"/>
          <w:szCs w:val="24"/>
        </w:rPr>
      </w:pPr>
    </w:p>
    <w:p w14:paraId="4F1DEAB3" w14:textId="77777777" w:rsidR="00597E2F" w:rsidRPr="00341CA1" w:rsidRDefault="00597E2F" w:rsidP="00597E2F">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49C1A92C" w14:textId="77777777" w:rsidR="00597E2F" w:rsidRPr="00341CA1" w:rsidRDefault="00597E2F" w:rsidP="00597E2F">
      <w:pPr>
        <w:spacing w:after="0" w:line="360" w:lineRule="auto"/>
        <w:ind w:right="49"/>
        <w:rPr>
          <w:rFonts w:eastAsia="Palatino Linotype" w:cs="Palatino Linotype"/>
          <w:color w:val="auto"/>
          <w:sz w:val="24"/>
          <w:szCs w:val="24"/>
        </w:rPr>
      </w:pPr>
    </w:p>
    <w:p w14:paraId="587BEA86" w14:textId="593BC07E" w:rsidR="00A8588E" w:rsidRPr="00341CA1" w:rsidRDefault="00597E2F" w:rsidP="00B54473">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De las actuaciones que integran el expediente electrónico, se procede al análisis de los agravios hechos valer por el Recurrente, </w:t>
      </w:r>
      <w:r w:rsidR="00B54473" w:rsidRPr="00341CA1">
        <w:rPr>
          <w:rFonts w:eastAsia="Palatino Linotype" w:cs="Palatino Linotype"/>
          <w:color w:val="auto"/>
          <w:sz w:val="24"/>
          <w:szCs w:val="24"/>
        </w:rPr>
        <w:t>d</w:t>
      </w:r>
      <w:r w:rsidR="00A8588E" w:rsidRPr="00341CA1">
        <w:rPr>
          <w:rFonts w:eastAsia="Palatino Linotype" w:cs="Palatino Linotype"/>
          <w:color w:val="auto"/>
          <w:sz w:val="24"/>
          <w:szCs w:val="24"/>
        </w:rPr>
        <w:t xml:space="preserve">icho esto, es de recordar que la pretensión de la parte Solicitante es obtener la siguiente información: </w:t>
      </w:r>
    </w:p>
    <w:p w14:paraId="5FDFB61B" w14:textId="77777777" w:rsidR="00A8588E" w:rsidRPr="00341CA1" w:rsidRDefault="00A8588E" w:rsidP="00F40D32">
      <w:pPr>
        <w:spacing w:after="0" w:line="360" w:lineRule="auto"/>
        <w:rPr>
          <w:rFonts w:eastAsia="Times New Roman" w:cs="Tahoma"/>
          <w:iCs/>
          <w:color w:val="auto"/>
          <w:sz w:val="24"/>
          <w:szCs w:val="24"/>
          <w:lang w:val="es-ES" w:eastAsia="es-ES"/>
        </w:rPr>
      </w:pPr>
    </w:p>
    <w:p w14:paraId="0C3156B1" w14:textId="08D16AFD" w:rsidR="00B54473" w:rsidRPr="00341CA1" w:rsidRDefault="00B54473" w:rsidP="00B54473">
      <w:pPr>
        <w:pStyle w:val="Prrafodelista"/>
        <w:numPr>
          <w:ilvl w:val="0"/>
          <w:numId w:val="35"/>
        </w:numPr>
        <w:spacing w:line="360" w:lineRule="auto"/>
        <w:ind w:right="49"/>
        <w:rPr>
          <w:rFonts w:eastAsia="Palatino Linotype" w:cs="Palatino Linotype"/>
          <w:sz w:val="24"/>
        </w:rPr>
      </w:pPr>
      <w:r w:rsidRPr="00341CA1">
        <w:rPr>
          <w:rFonts w:eastAsia="Palatino Linotype" w:cs="Palatino Linotype"/>
          <w:sz w:val="24"/>
        </w:rPr>
        <w:t xml:space="preserve">La Sentencia Definitiva de fecha 21/05/2015 (veintiuno de mayo del dos mil quince) en su VERSIÓN PÚBLICA del expediente número </w:t>
      </w:r>
      <w:r w:rsidR="006370BA">
        <w:rPr>
          <w:rFonts w:eastAsia="Palatino Linotype" w:cs="Palatino Linotype"/>
          <w:sz w:val="24"/>
        </w:rPr>
        <w:t>XXX</w:t>
      </w:r>
      <w:r w:rsidRPr="00341CA1">
        <w:rPr>
          <w:rFonts w:eastAsia="Palatino Linotype" w:cs="Palatino Linotype"/>
          <w:sz w:val="24"/>
        </w:rPr>
        <w:t>/</w:t>
      </w:r>
      <w:r w:rsidR="006370BA">
        <w:rPr>
          <w:rFonts w:eastAsia="Palatino Linotype" w:cs="Palatino Linotype"/>
          <w:sz w:val="24"/>
        </w:rPr>
        <w:t>XXXX</w:t>
      </w:r>
      <w:r w:rsidRPr="00341CA1">
        <w:rPr>
          <w:rFonts w:eastAsia="Palatino Linotype" w:cs="Palatino Linotype"/>
          <w:sz w:val="24"/>
        </w:rPr>
        <w:t>, relativo al Juicio Ordinario Civil, relativo a las partes descritas en la solicitud de acceso a la información pública, ante el Juzgado Séptimo Civil de Tlalnepantla con Residencia en Atizapán de Zaragoza, México, con relación al inmueble descrito en la solicitud</w:t>
      </w:r>
    </w:p>
    <w:p w14:paraId="73A9C613" w14:textId="77777777" w:rsidR="00A8588E" w:rsidRPr="00341CA1" w:rsidRDefault="00A8588E" w:rsidP="00A8588E">
      <w:pPr>
        <w:pStyle w:val="Prrafodelista"/>
        <w:spacing w:line="360" w:lineRule="auto"/>
        <w:rPr>
          <w:rFonts w:cs="Tahoma"/>
          <w:iCs/>
          <w:lang w:val="es-ES"/>
        </w:rPr>
      </w:pPr>
    </w:p>
    <w:p w14:paraId="3B1D46C7" w14:textId="4A4A7305" w:rsidR="008E5009" w:rsidRPr="00341CA1" w:rsidRDefault="00A8588E" w:rsidP="008E5009">
      <w:pPr>
        <w:spacing w:after="0" w:line="360" w:lineRule="auto"/>
        <w:contextualSpacing/>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En respuesta, el </w:t>
      </w:r>
      <w:r w:rsidR="00B54473" w:rsidRPr="00341CA1">
        <w:rPr>
          <w:rFonts w:eastAsia="Times New Roman" w:cs="Tahoma"/>
          <w:b/>
          <w:bCs/>
          <w:iCs/>
          <w:color w:val="auto"/>
          <w:sz w:val="24"/>
          <w:szCs w:val="24"/>
          <w:lang w:eastAsia="es-ES"/>
        </w:rPr>
        <w:t>SUJETO OBLIGADO</w:t>
      </w:r>
      <w:r w:rsidR="00106F17" w:rsidRPr="00341CA1">
        <w:rPr>
          <w:rFonts w:eastAsia="Times New Roman" w:cs="Tahoma"/>
          <w:bCs/>
          <w:iCs/>
          <w:color w:val="auto"/>
          <w:sz w:val="24"/>
          <w:szCs w:val="24"/>
          <w:lang w:eastAsia="es-ES"/>
        </w:rPr>
        <w:t xml:space="preserve">, </w:t>
      </w:r>
      <w:r w:rsidR="00B54473" w:rsidRPr="00341CA1">
        <w:rPr>
          <w:rFonts w:eastAsia="Times New Roman" w:cs="Tahoma"/>
          <w:bCs/>
          <w:iCs/>
          <w:color w:val="auto"/>
          <w:sz w:val="24"/>
          <w:szCs w:val="24"/>
          <w:lang w:eastAsia="es-ES"/>
        </w:rPr>
        <w:t xml:space="preserve">informó </w:t>
      </w:r>
      <w:r w:rsidR="008E5009" w:rsidRPr="00341CA1">
        <w:rPr>
          <w:rFonts w:eastAsia="Times New Roman" w:cs="Tahoma"/>
          <w:bCs/>
          <w:iCs/>
          <w:color w:val="auto"/>
          <w:sz w:val="24"/>
          <w:szCs w:val="24"/>
          <w:lang w:eastAsia="es-ES"/>
        </w:rPr>
        <w:t>en lo medular que no era factible proporcionar la información en los términos solicitados, ya que el nombre de las partes que interviene en el proceso, los cuales son datos personales que de conformidad con el artículo 143, fracción I de la Ley de Transparencia y Acceso a la Información Pública del Estado de México y Municipios, son información confidencial, por lo que el derecho de acceso a la información no es la vía para acceder a ellos.</w:t>
      </w:r>
    </w:p>
    <w:p w14:paraId="252B635B" w14:textId="77777777" w:rsidR="008E5009" w:rsidRPr="00341CA1" w:rsidRDefault="008E5009" w:rsidP="008E5009">
      <w:pPr>
        <w:spacing w:after="0" w:line="360" w:lineRule="auto"/>
        <w:contextualSpacing/>
        <w:rPr>
          <w:rFonts w:eastAsia="Times New Roman" w:cs="Tahoma"/>
          <w:bCs/>
          <w:iCs/>
          <w:color w:val="auto"/>
          <w:sz w:val="24"/>
          <w:szCs w:val="24"/>
          <w:lang w:eastAsia="es-ES"/>
        </w:rPr>
      </w:pPr>
    </w:p>
    <w:p w14:paraId="6BC2FBC7" w14:textId="50415F16" w:rsidR="00106F17" w:rsidRPr="00341CA1" w:rsidRDefault="00106F17" w:rsidP="008E5009">
      <w:pPr>
        <w:spacing w:after="0" w:line="360" w:lineRule="auto"/>
        <w:contextualSpacing/>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Derivado de ello, la parte Solicitante se inconformó </w:t>
      </w:r>
      <w:r w:rsidR="00B54473" w:rsidRPr="00341CA1">
        <w:rPr>
          <w:rFonts w:eastAsia="Times New Roman" w:cs="Tahoma"/>
          <w:bCs/>
          <w:iCs/>
          <w:color w:val="auto"/>
          <w:sz w:val="24"/>
          <w:szCs w:val="24"/>
          <w:lang w:eastAsia="es-ES"/>
        </w:rPr>
        <w:t xml:space="preserve">en lo medular por la negativa de la información solicitada. </w:t>
      </w:r>
    </w:p>
    <w:p w14:paraId="0C8F5A0D" w14:textId="77777777" w:rsidR="008E5009" w:rsidRPr="00341CA1" w:rsidRDefault="008E5009" w:rsidP="008E5009">
      <w:pPr>
        <w:spacing w:after="0" w:line="360" w:lineRule="auto"/>
        <w:contextualSpacing/>
        <w:rPr>
          <w:rFonts w:eastAsia="Times New Roman" w:cs="Tahoma"/>
          <w:bCs/>
          <w:iCs/>
          <w:color w:val="auto"/>
          <w:sz w:val="24"/>
          <w:szCs w:val="24"/>
          <w:lang w:eastAsia="es-ES"/>
        </w:rPr>
      </w:pPr>
    </w:p>
    <w:p w14:paraId="49C9BAEB" w14:textId="1E02AAEE" w:rsidR="00F74C3E" w:rsidRPr="00341CA1" w:rsidRDefault="00106F17" w:rsidP="008E5009">
      <w:pPr>
        <w:spacing w:after="0" w:line="360" w:lineRule="auto"/>
        <w:contextualSpacing/>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En atención a ello, el </w:t>
      </w:r>
      <w:r w:rsidR="00C53072" w:rsidRPr="00341CA1">
        <w:rPr>
          <w:rFonts w:eastAsia="Times New Roman" w:cs="Tahoma"/>
          <w:bCs/>
          <w:iCs/>
          <w:color w:val="auto"/>
          <w:sz w:val="24"/>
          <w:szCs w:val="24"/>
          <w:lang w:eastAsia="es-ES"/>
        </w:rPr>
        <w:t xml:space="preserve">SUJETO OBLIGADO </w:t>
      </w:r>
      <w:r w:rsidRPr="00341CA1">
        <w:rPr>
          <w:rFonts w:eastAsia="Times New Roman" w:cs="Tahoma"/>
          <w:bCs/>
          <w:iCs/>
          <w:color w:val="auto"/>
          <w:sz w:val="24"/>
          <w:szCs w:val="24"/>
          <w:lang w:eastAsia="es-ES"/>
        </w:rPr>
        <w:t xml:space="preserve">mediante informe justificado </w:t>
      </w:r>
      <w:r w:rsidR="00C53072" w:rsidRPr="00341CA1">
        <w:rPr>
          <w:rFonts w:eastAsia="Times New Roman" w:cs="Tahoma"/>
          <w:bCs/>
          <w:iCs/>
          <w:color w:val="auto"/>
          <w:sz w:val="24"/>
          <w:szCs w:val="24"/>
          <w:lang w:eastAsia="es-ES"/>
        </w:rPr>
        <w:t xml:space="preserve">ratificó su respuesta primigenia. </w:t>
      </w:r>
    </w:p>
    <w:p w14:paraId="2206EFF0" w14:textId="77777777" w:rsidR="008E5009" w:rsidRPr="00341CA1" w:rsidRDefault="008E5009" w:rsidP="008E5009">
      <w:pPr>
        <w:spacing w:after="0" w:line="360" w:lineRule="auto"/>
        <w:ind w:right="616"/>
        <w:contextualSpacing/>
        <w:rPr>
          <w:rFonts w:eastAsia="Times New Roman" w:cs="Tahoma"/>
          <w:bCs/>
          <w:iCs/>
          <w:color w:val="auto"/>
          <w:sz w:val="24"/>
          <w:szCs w:val="24"/>
          <w:lang w:eastAsia="es-ES"/>
        </w:rPr>
      </w:pPr>
    </w:p>
    <w:p w14:paraId="18EC2036" w14:textId="16ADBBB6" w:rsidR="00B04582" w:rsidRPr="00341CA1" w:rsidRDefault="00197AEB" w:rsidP="008E5009">
      <w:pPr>
        <w:spacing w:after="0" w:line="360" w:lineRule="auto"/>
        <w:ind w:right="49"/>
        <w:contextualSpacing/>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Por otro lado, en lo que respecta al acceso a expedientes jurisdiccionales, el </w:t>
      </w:r>
      <w:r w:rsidR="00C53072" w:rsidRPr="00341CA1">
        <w:rPr>
          <w:rFonts w:eastAsia="Times New Roman" w:cs="Tahoma"/>
          <w:b/>
          <w:bCs/>
          <w:iCs/>
          <w:color w:val="auto"/>
          <w:sz w:val="24"/>
          <w:szCs w:val="24"/>
          <w:lang w:eastAsia="es-ES"/>
        </w:rPr>
        <w:t>SUJETO OBLIGADO</w:t>
      </w:r>
      <w:r w:rsidR="00C53072" w:rsidRPr="00341CA1">
        <w:rPr>
          <w:rFonts w:eastAsia="Times New Roman" w:cs="Tahoma"/>
          <w:bCs/>
          <w:iCs/>
          <w:color w:val="auto"/>
          <w:sz w:val="24"/>
          <w:szCs w:val="24"/>
          <w:lang w:eastAsia="es-ES"/>
        </w:rPr>
        <w:t xml:space="preserve"> </w:t>
      </w:r>
      <w:r w:rsidRPr="00341CA1">
        <w:rPr>
          <w:rFonts w:eastAsia="Times New Roman" w:cs="Tahoma"/>
          <w:bCs/>
          <w:iCs/>
          <w:color w:val="auto"/>
          <w:sz w:val="24"/>
          <w:szCs w:val="24"/>
          <w:lang w:eastAsia="es-ES"/>
        </w:rPr>
        <w:t xml:space="preserve">sostuvo que la información </w:t>
      </w:r>
      <w:r w:rsidR="00630576" w:rsidRPr="00341CA1">
        <w:rPr>
          <w:rFonts w:eastAsia="Times New Roman" w:cs="Tahoma"/>
          <w:bCs/>
          <w:iCs/>
          <w:color w:val="auto"/>
          <w:sz w:val="24"/>
          <w:szCs w:val="24"/>
          <w:lang w:eastAsia="es-ES"/>
        </w:rPr>
        <w:t>solicitada era confidencial</w:t>
      </w:r>
      <w:r w:rsidR="00755741" w:rsidRPr="00341CA1">
        <w:rPr>
          <w:rFonts w:eastAsia="Times New Roman" w:cs="Tahoma"/>
          <w:bCs/>
          <w:iCs/>
          <w:color w:val="auto"/>
          <w:sz w:val="24"/>
          <w:szCs w:val="24"/>
          <w:lang w:eastAsia="es-ES"/>
        </w:rPr>
        <w:t>,</w:t>
      </w:r>
      <w:r w:rsidRPr="00341CA1">
        <w:rPr>
          <w:rFonts w:eastAsia="Times New Roman" w:cs="Tahoma"/>
          <w:bCs/>
          <w:iCs/>
          <w:color w:val="auto"/>
          <w:sz w:val="24"/>
          <w:szCs w:val="24"/>
          <w:lang w:eastAsia="es-ES"/>
        </w:rPr>
        <w:t xml:space="preserve"> por lo que, no se podía p</w:t>
      </w:r>
      <w:r w:rsidR="00755741" w:rsidRPr="00341CA1">
        <w:rPr>
          <w:rFonts w:eastAsia="Times New Roman" w:cs="Tahoma"/>
          <w:bCs/>
          <w:iCs/>
          <w:color w:val="auto"/>
          <w:sz w:val="24"/>
          <w:szCs w:val="24"/>
          <w:lang w:eastAsia="es-ES"/>
        </w:rPr>
        <w:t xml:space="preserve">roporcionar la información en los términos solicitados, ya que se vulneraría la </w:t>
      </w:r>
      <w:r w:rsidR="00755741" w:rsidRPr="00341CA1">
        <w:rPr>
          <w:rFonts w:eastAsia="Times New Roman" w:cs="Tahoma"/>
          <w:bCs/>
          <w:iCs/>
          <w:color w:val="auto"/>
          <w:sz w:val="24"/>
          <w:szCs w:val="24"/>
          <w:lang w:eastAsia="es-ES"/>
        </w:rPr>
        <w:lastRenderedPageBreak/>
        <w:t>protección de datos personales</w:t>
      </w:r>
      <w:r w:rsidR="00630576" w:rsidRPr="00341CA1">
        <w:rPr>
          <w:rFonts w:eastAsia="Times New Roman" w:cs="Tahoma"/>
          <w:bCs/>
          <w:iCs/>
          <w:color w:val="auto"/>
          <w:sz w:val="24"/>
          <w:szCs w:val="24"/>
          <w:lang w:eastAsia="es-ES"/>
        </w:rPr>
        <w:t>; s</w:t>
      </w:r>
      <w:r w:rsidR="00300A5B" w:rsidRPr="00341CA1">
        <w:rPr>
          <w:rFonts w:eastAsia="Times New Roman" w:cs="Tahoma"/>
          <w:bCs/>
          <w:iCs/>
          <w:color w:val="auto"/>
          <w:sz w:val="24"/>
          <w:szCs w:val="24"/>
          <w:lang w:eastAsia="es-ES"/>
        </w:rPr>
        <w:t>obre</w:t>
      </w:r>
      <w:r w:rsidR="00B04582" w:rsidRPr="00341CA1">
        <w:rPr>
          <w:rFonts w:eastAsia="Times New Roman" w:cs="Tahoma"/>
          <w:iCs/>
          <w:color w:val="auto"/>
          <w:sz w:val="24"/>
          <w:szCs w:val="24"/>
          <w:lang w:eastAsia="es-ES"/>
        </w:rPr>
        <w:t xml:space="preserve"> el tema, el artículo 20 de la Ley de Transparencia y Acceso a la Información Pública del Estado de México y Municipios, establece que, </w:t>
      </w:r>
      <w:r w:rsidR="00B04582" w:rsidRPr="00341CA1">
        <w:rPr>
          <w:rFonts w:eastAsia="Times New Roman" w:cs="Tahoma"/>
          <w:b/>
          <w:iCs/>
          <w:color w:val="auto"/>
          <w:sz w:val="24"/>
          <w:szCs w:val="24"/>
          <w:lang w:eastAsia="es-ES"/>
        </w:rPr>
        <w:t>ante la negativa de acceso a la información o su inexistencia, el sujeto obligado deberá demostrar que encuentra en alguna de las excepciones establecidas en la normatividad aplicable.</w:t>
      </w:r>
    </w:p>
    <w:p w14:paraId="359C71C3" w14:textId="77777777" w:rsidR="00B04582" w:rsidRPr="00341CA1" w:rsidRDefault="00B04582" w:rsidP="00F40D32">
      <w:pPr>
        <w:spacing w:after="0" w:line="360" w:lineRule="auto"/>
        <w:rPr>
          <w:rFonts w:eastAsia="Times New Roman" w:cs="Tahoma"/>
          <w:bCs/>
          <w:iCs/>
          <w:color w:val="auto"/>
          <w:sz w:val="24"/>
          <w:szCs w:val="24"/>
          <w:lang w:eastAsia="es-ES"/>
        </w:rPr>
      </w:pPr>
    </w:p>
    <w:p w14:paraId="4DC51DE1" w14:textId="77777777" w:rsidR="00B04582" w:rsidRPr="00341CA1" w:rsidRDefault="00B04582"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En ese sentido, según Trujillo, Humberto (2019), en el “Diccionario de Transparencia y Acceso a la Información Pública” (p. 201), </w:t>
      </w:r>
      <w:r w:rsidRPr="00341CA1">
        <w:rPr>
          <w:rFonts w:eastAsia="Times New Roman" w:cs="Tahoma"/>
          <w:b/>
          <w:bCs/>
          <w:iCs/>
          <w:color w:val="auto"/>
          <w:sz w:val="24"/>
          <w:szCs w:val="24"/>
          <w:lang w:eastAsia="es-ES"/>
        </w:rPr>
        <w:t xml:space="preserve">la negativa de acceso a la información </w:t>
      </w:r>
      <w:r w:rsidRPr="00341CA1">
        <w:rPr>
          <w:rFonts w:eastAsia="Times New Roman" w:cs="Tahoma"/>
          <w:bCs/>
          <w:iCs/>
          <w:color w:val="auto"/>
          <w:sz w:val="24"/>
          <w:szCs w:val="24"/>
          <w:lang w:eastAsia="es-ES"/>
        </w:rPr>
        <w:t xml:space="preserve">ocurre cuanto de manera fundada y motivada, una autoridad la niega o la limita, por alguna de las siguientes razones: </w:t>
      </w:r>
    </w:p>
    <w:p w14:paraId="1E182AFD" w14:textId="77777777" w:rsidR="00B04582" w:rsidRPr="00341CA1" w:rsidRDefault="00B04582" w:rsidP="00F40D32">
      <w:pPr>
        <w:spacing w:after="0" w:line="360" w:lineRule="auto"/>
        <w:rPr>
          <w:rFonts w:eastAsia="Times New Roman" w:cs="Tahoma"/>
          <w:bCs/>
          <w:iCs/>
          <w:color w:val="auto"/>
          <w:sz w:val="24"/>
          <w:szCs w:val="24"/>
          <w:lang w:eastAsia="es-ES"/>
        </w:rPr>
      </w:pPr>
    </w:p>
    <w:p w14:paraId="51094522" w14:textId="5D807754" w:rsidR="00B04582" w:rsidRPr="00341CA1" w:rsidRDefault="00B04582" w:rsidP="00F40D32">
      <w:pPr>
        <w:numPr>
          <w:ilvl w:val="0"/>
          <w:numId w:val="23"/>
        </w:numPr>
        <w:spacing w:after="0" w:line="360" w:lineRule="auto"/>
        <w:rPr>
          <w:rFonts w:eastAsia="Times New Roman" w:cs="Tahoma"/>
          <w:b/>
          <w:bCs/>
          <w:iCs/>
          <w:color w:val="auto"/>
          <w:szCs w:val="24"/>
          <w:lang w:eastAsia="es-ES"/>
        </w:rPr>
      </w:pPr>
      <w:r w:rsidRPr="00341CA1">
        <w:rPr>
          <w:rFonts w:eastAsia="Times New Roman" w:cs="Tahoma"/>
          <w:b/>
          <w:bCs/>
          <w:iCs/>
          <w:color w:val="auto"/>
          <w:szCs w:val="24"/>
          <w:lang w:eastAsia="es-ES"/>
        </w:rPr>
        <w:t xml:space="preserve">La inexistencia de la información (p. 171): </w:t>
      </w:r>
      <w:r w:rsidRPr="00341CA1">
        <w:rPr>
          <w:rFonts w:eastAsia="Times New Roman" w:cs="Tahoma"/>
          <w:bCs/>
          <w:iCs/>
          <w:color w:val="auto"/>
          <w:szCs w:val="24"/>
          <w:lang w:eastAsia="es-ES"/>
        </w:rPr>
        <w:t>Sucede cuando la información solicitada no se encuentra en los archivos públicos o clasificados de los entes sujet</w:t>
      </w:r>
      <w:r w:rsidR="00755741" w:rsidRPr="00341CA1">
        <w:rPr>
          <w:rFonts w:eastAsia="Times New Roman" w:cs="Tahoma"/>
          <w:bCs/>
          <w:iCs/>
          <w:color w:val="auto"/>
          <w:szCs w:val="24"/>
          <w:lang w:eastAsia="es-ES"/>
        </w:rPr>
        <w:t>os a las Leyes de Transparencia.</w:t>
      </w:r>
    </w:p>
    <w:p w14:paraId="0CCBCB57" w14:textId="283262FF" w:rsidR="00B04582" w:rsidRPr="00341CA1" w:rsidRDefault="00B04582" w:rsidP="00F40D32">
      <w:pPr>
        <w:numPr>
          <w:ilvl w:val="0"/>
          <w:numId w:val="23"/>
        </w:numPr>
        <w:spacing w:after="0" w:line="360" w:lineRule="auto"/>
        <w:rPr>
          <w:rFonts w:eastAsia="Times New Roman" w:cs="Tahoma"/>
          <w:b/>
          <w:bCs/>
          <w:iCs/>
          <w:color w:val="auto"/>
          <w:szCs w:val="24"/>
          <w:lang w:eastAsia="es-ES"/>
        </w:rPr>
      </w:pPr>
      <w:r w:rsidRPr="00341CA1">
        <w:rPr>
          <w:rFonts w:eastAsia="Times New Roman" w:cs="Tahoma"/>
          <w:b/>
          <w:bCs/>
          <w:iCs/>
          <w:color w:val="auto"/>
          <w:szCs w:val="24"/>
          <w:lang w:eastAsia="es-ES"/>
        </w:rPr>
        <w:t xml:space="preserve">La incompetencia del Sujeto Obligado (p. 171): </w:t>
      </w:r>
      <w:r w:rsidRPr="00341CA1">
        <w:rPr>
          <w:rFonts w:eastAsia="Times New Roman" w:cs="Tahoma"/>
          <w:bCs/>
          <w:iCs/>
          <w:color w:val="auto"/>
          <w:szCs w:val="24"/>
          <w:lang w:eastAsia="es-ES"/>
        </w:rPr>
        <w:t>Ocurre cuando el Sujeto Obligado carece de atribuciones para poseer la información peticionada.</w:t>
      </w:r>
    </w:p>
    <w:p w14:paraId="01447CAF" w14:textId="77777777" w:rsidR="00B04582" w:rsidRPr="00341CA1" w:rsidRDefault="00B04582" w:rsidP="00F40D32">
      <w:pPr>
        <w:numPr>
          <w:ilvl w:val="0"/>
          <w:numId w:val="23"/>
        </w:numPr>
        <w:spacing w:after="0" w:line="360" w:lineRule="auto"/>
        <w:rPr>
          <w:rFonts w:eastAsia="Times New Roman" w:cs="Tahoma"/>
          <w:b/>
          <w:bCs/>
          <w:iCs/>
          <w:color w:val="auto"/>
          <w:szCs w:val="24"/>
          <w:lang w:eastAsia="es-ES"/>
        </w:rPr>
      </w:pPr>
      <w:r w:rsidRPr="00341CA1">
        <w:rPr>
          <w:rFonts w:eastAsia="Times New Roman" w:cs="Tahoma"/>
          <w:b/>
          <w:bCs/>
          <w:iCs/>
          <w:color w:val="auto"/>
          <w:szCs w:val="24"/>
          <w:lang w:eastAsia="es-ES"/>
        </w:rPr>
        <w:t xml:space="preserve">La clasificación de la información (p. 70): </w:t>
      </w:r>
      <w:r w:rsidRPr="00341CA1">
        <w:rPr>
          <w:rFonts w:eastAsia="Times New Roman" w:cs="Tahoma"/>
          <w:bCs/>
          <w:iCs/>
          <w:color w:val="auto"/>
          <w:szCs w:val="24"/>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3B700244" w14:textId="77777777" w:rsidR="00B04582" w:rsidRPr="00341CA1" w:rsidRDefault="00B04582" w:rsidP="00F40D32">
      <w:pPr>
        <w:spacing w:after="0" w:line="360" w:lineRule="auto"/>
        <w:rPr>
          <w:rFonts w:eastAsia="Times New Roman" w:cs="Tahoma"/>
          <w:iCs/>
          <w:color w:val="auto"/>
          <w:sz w:val="24"/>
          <w:szCs w:val="24"/>
          <w:lang w:eastAsia="es-ES"/>
        </w:rPr>
      </w:pPr>
    </w:p>
    <w:p w14:paraId="5313C97D" w14:textId="77777777" w:rsidR="00B04582" w:rsidRPr="00341CA1" w:rsidRDefault="00B04582" w:rsidP="00F40D32">
      <w:pPr>
        <w:spacing w:after="0" w:line="360" w:lineRule="auto"/>
        <w:rPr>
          <w:rFonts w:eastAsia="Times New Roman" w:cs="Tahoma"/>
          <w:bCs/>
          <w:iCs/>
          <w:color w:val="auto"/>
          <w:sz w:val="24"/>
          <w:szCs w:val="24"/>
          <w:lang w:val="es-ES" w:eastAsia="es-ES"/>
        </w:rPr>
      </w:pPr>
      <w:r w:rsidRPr="00341CA1">
        <w:rPr>
          <w:rFonts w:eastAsia="Times New Roman" w:cs="Tahoma"/>
          <w:iCs/>
          <w:color w:val="auto"/>
          <w:sz w:val="24"/>
          <w:szCs w:val="24"/>
          <w:lang w:eastAsia="es-ES"/>
        </w:rPr>
        <w:t>Conforme a lo anterior, es de señalar que l</w:t>
      </w:r>
      <w:r w:rsidRPr="00341CA1">
        <w:rPr>
          <w:rFonts w:eastAsia="Times New Roman" w:cs="Tahoma"/>
          <w:iCs/>
          <w:color w:val="auto"/>
          <w:sz w:val="24"/>
          <w:szCs w:val="24"/>
          <w:lang w:val="es-ES" w:eastAsia="es-ES"/>
        </w:rPr>
        <w:t xml:space="preserve">as </w:t>
      </w:r>
      <w:r w:rsidRPr="00341CA1">
        <w:rPr>
          <w:rFonts w:eastAsia="Times New Roman" w:cs="Tahoma"/>
          <w:bCs/>
          <w:iCs/>
          <w:color w:val="auto"/>
          <w:sz w:val="24"/>
          <w:szCs w:val="24"/>
          <w:lang w:val="es-ES" w:eastAsia="es-ES"/>
        </w:rPr>
        <w:t xml:space="preserve">excepciones al derecho de acceso a la información, consisten en que </w:t>
      </w:r>
      <w:r w:rsidRPr="00341CA1">
        <w:rPr>
          <w:rFonts w:eastAsia="Times New Roman" w:cs="Tahoma"/>
          <w:b/>
          <w:iCs/>
          <w:color w:val="auto"/>
          <w:sz w:val="24"/>
          <w:szCs w:val="24"/>
          <w:lang w:val="es-ES" w:eastAsia="es-ES"/>
        </w:rPr>
        <w:t>la documentación sea inexistente, obre en los archivos, pero se encuentre clasificada, o bien, el Sujeto Obligado sea incompetente</w:t>
      </w:r>
      <w:r w:rsidRPr="00341CA1">
        <w:rPr>
          <w:rFonts w:eastAsia="Times New Roman" w:cs="Tahoma"/>
          <w:bCs/>
          <w:iCs/>
          <w:color w:val="auto"/>
          <w:sz w:val="24"/>
          <w:szCs w:val="24"/>
          <w:lang w:val="es-ES" w:eastAsia="es-ES"/>
        </w:rPr>
        <w:t xml:space="preserve"> para contar con esta; esto es, la negativa de acceso a la información, recae cuando la </w:t>
      </w:r>
      <w:r w:rsidRPr="00341CA1">
        <w:rPr>
          <w:rFonts w:eastAsia="Times New Roman" w:cs="Tahoma"/>
          <w:bCs/>
          <w:iCs/>
          <w:color w:val="auto"/>
          <w:sz w:val="24"/>
          <w:szCs w:val="24"/>
          <w:lang w:val="es-ES" w:eastAsia="es-ES"/>
        </w:rPr>
        <w:lastRenderedPageBreak/>
        <w:t xml:space="preserve">documentación no se encuentre en los archivos del sujeto obligado, o bien exista, pero no pueda proporcionarse por contener datos </w:t>
      </w:r>
      <w:r w:rsidRPr="00341CA1">
        <w:rPr>
          <w:rFonts w:eastAsia="Times New Roman" w:cs="Tahoma"/>
          <w:b/>
          <w:bCs/>
          <w:iCs/>
          <w:color w:val="auto"/>
          <w:sz w:val="24"/>
          <w:szCs w:val="24"/>
          <w:lang w:val="es-ES" w:eastAsia="es-ES"/>
        </w:rPr>
        <w:t>confidenciales o reservados.</w:t>
      </w:r>
    </w:p>
    <w:p w14:paraId="39259D19" w14:textId="77777777" w:rsidR="00B04582" w:rsidRPr="00341CA1" w:rsidRDefault="00B04582" w:rsidP="00F40D32">
      <w:pPr>
        <w:spacing w:after="0" w:line="360" w:lineRule="auto"/>
        <w:rPr>
          <w:rFonts w:eastAsia="Times New Roman" w:cs="Tahoma"/>
          <w:bCs/>
          <w:iCs/>
          <w:color w:val="auto"/>
          <w:sz w:val="24"/>
          <w:szCs w:val="24"/>
          <w:lang w:val="es-ES" w:eastAsia="es-ES"/>
        </w:rPr>
      </w:pPr>
    </w:p>
    <w:p w14:paraId="73089601" w14:textId="722391C5" w:rsidR="00B04582" w:rsidRPr="00341CA1" w:rsidRDefault="00B04582" w:rsidP="00F40D32">
      <w:pPr>
        <w:spacing w:after="0" w:line="360" w:lineRule="auto"/>
        <w:rPr>
          <w:rFonts w:eastAsia="Times New Roman" w:cs="Tahoma"/>
          <w:iCs/>
          <w:color w:val="auto"/>
          <w:sz w:val="24"/>
          <w:szCs w:val="24"/>
          <w:lang w:val="es-ES" w:eastAsia="es-ES"/>
        </w:rPr>
      </w:pPr>
      <w:r w:rsidRPr="00341CA1">
        <w:rPr>
          <w:rFonts w:eastAsia="Times New Roman" w:cs="Tahoma"/>
          <w:bCs/>
          <w:iCs/>
          <w:color w:val="auto"/>
          <w:sz w:val="24"/>
          <w:szCs w:val="24"/>
          <w:lang w:val="es-ES" w:eastAsia="es-ES"/>
        </w:rPr>
        <w:t xml:space="preserve">En ese contexto, </w:t>
      </w:r>
      <w:r w:rsidR="00755741" w:rsidRPr="00341CA1">
        <w:rPr>
          <w:rFonts w:eastAsia="Times New Roman" w:cs="Tahoma"/>
          <w:bCs/>
          <w:iCs/>
          <w:color w:val="auto"/>
          <w:sz w:val="24"/>
          <w:szCs w:val="24"/>
          <w:lang w:val="es-ES" w:eastAsia="es-ES"/>
        </w:rPr>
        <w:t xml:space="preserve">en lo que respecta al pronunciamiento hecho valer por el </w:t>
      </w:r>
      <w:r w:rsidR="00C53072" w:rsidRPr="00341CA1">
        <w:rPr>
          <w:rFonts w:eastAsia="Times New Roman" w:cs="Tahoma"/>
          <w:b/>
          <w:bCs/>
          <w:iCs/>
          <w:color w:val="auto"/>
          <w:sz w:val="24"/>
          <w:szCs w:val="24"/>
          <w:lang w:val="es-ES" w:eastAsia="es-ES"/>
        </w:rPr>
        <w:t>SUJETO OBLIGADO</w:t>
      </w:r>
      <w:r w:rsidR="00755741" w:rsidRPr="00341CA1">
        <w:rPr>
          <w:rFonts w:eastAsia="Times New Roman" w:cs="Tahoma"/>
          <w:bCs/>
          <w:iCs/>
          <w:color w:val="auto"/>
          <w:sz w:val="24"/>
          <w:szCs w:val="24"/>
          <w:lang w:val="es-ES" w:eastAsia="es-ES"/>
        </w:rPr>
        <w:t xml:space="preserve"> relacionado con que la información era confidencial</w:t>
      </w:r>
      <w:r w:rsidRPr="00341CA1">
        <w:rPr>
          <w:rFonts w:eastAsia="Times New Roman" w:cs="Tahoma"/>
          <w:bCs/>
          <w:iCs/>
          <w:color w:val="auto"/>
          <w:sz w:val="24"/>
          <w:szCs w:val="24"/>
          <w:lang w:val="es-ES" w:eastAsia="es-ES"/>
        </w:rPr>
        <w:t>;</w:t>
      </w:r>
      <w:r w:rsidR="00755741" w:rsidRPr="00341CA1">
        <w:rPr>
          <w:rFonts w:eastAsia="Times New Roman" w:cs="Tahoma"/>
          <w:bCs/>
          <w:iCs/>
          <w:color w:val="auto"/>
          <w:sz w:val="24"/>
          <w:szCs w:val="24"/>
          <w:lang w:val="es-ES" w:eastAsia="es-ES"/>
        </w:rPr>
        <w:t xml:space="preserve"> es necesario mencionar que</w:t>
      </w:r>
      <w:r w:rsidRPr="00341CA1">
        <w:rPr>
          <w:rFonts w:eastAsia="Times New Roman" w:cs="Tahoma"/>
          <w:bCs/>
          <w:iCs/>
          <w:color w:val="auto"/>
          <w:sz w:val="24"/>
          <w:szCs w:val="24"/>
          <w:lang w:val="es-ES" w:eastAsia="es-ES"/>
        </w:rPr>
        <w:t xml:space="preserve">, </w:t>
      </w:r>
      <w:r w:rsidRPr="00341CA1">
        <w:rPr>
          <w:rFonts w:eastAsia="Times New Roman" w:cs="Tahoma"/>
          <w:iCs/>
          <w:color w:val="auto"/>
          <w:sz w:val="24"/>
          <w:szCs w:val="24"/>
          <w:lang w:eastAsia="es-ES"/>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341CA1">
        <w:rPr>
          <w:rFonts w:eastAsia="Times New Roman" w:cs="Tahoma"/>
          <w:b/>
          <w:iCs/>
          <w:color w:val="auto"/>
          <w:sz w:val="24"/>
          <w:szCs w:val="24"/>
          <w:lang w:eastAsia="es-ES"/>
        </w:rPr>
        <w:t xml:space="preserve">la clasificación </w:t>
      </w:r>
      <w:r w:rsidRPr="00341CA1">
        <w:rPr>
          <w:rFonts w:eastAsia="Times New Roman" w:cs="Tahoma"/>
          <w:iCs/>
          <w:color w:val="auto"/>
          <w:sz w:val="24"/>
          <w:szCs w:val="24"/>
          <w:lang w:eastAsia="es-ES"/>
        </w:rPr>
        <w:t>es e</w:t>
      </w:r>
      <w:r w:rsidR="00C53072" w:rsidRPr="00341CA1">
        <w:rPr>
          <w:rFonts w:eastAsia="Times New Roman" w:cs="Tahoma"/>
          <w:iCs/>
          <w:color w:val="auto"/>
          <w:sz w:val="24"/>
          <w:szCs w:val="24"/>
          <w:lang w:eastAsia="es-ES"/>
        </w:rPr>
        <w:t>l proceso mediante el cual los Sujetos O</w:t>
      </w:r>
      <w:r w:rsidRPr="00341CA1">
        <w:rPr>
          <w:rFonts w:eastAsia="Times New Roman" w:cs="Tahoma"/>
          <w:iCs/>
          <w:color w:val="auto"/>
          <w:sz w:val="24"/>
          <w:szCs w:val="24"/>
          <w:lang w:eastAsia="es-ES"/>
        </w:rPr>
        <w:t xml:space="preserve">bligados determinan que la información en su poder, actualiza alguno de los supuestos de reserva o confidencialidad. </w:t>
      </w:r>
      <w:r w:rsidRPr="00341CA1">
        <w:rPr>
          <w:rFonts w:eastAsia="Times New Roman" w:cs="Tahoma"/>
          <w:iCs/>
          <w:color w:val="auto"/>
          <w:sz w:val="24"/>
          <w:szCs w:val="24"/>
          <w:lang w:val="es-ES" w:eastAsia="es-ES"/>
        </w:rPr>
        <w:t>Además, que dichos entes deberán aplicar de manera restrictiva y limitada, las excepciones al derecho de acceso a la información, por lo que, tendrán que acreditar la procedencia.</w:t>
      </w:r>
    </w:p>
    <w:p w14:paraId="2B6FA0F8" w14:textId="77777777" w:rsidR="00B04582" w:rsidRPr="00341CA1" w:rsidRDefault="00B04582" w:rsidP="00F40D32">
      <w:pPr>
        <w:spacing w:after="0" w:line="360" w:lineRule="auto"/>
        <w:rPr>
          <w:rFonts w:eastAsia="Times New Roman" w:cs="Tahoma"/>
          <w:iCs/>
          <w:color w:val="auto"/>
          <w:sz w:val="24"/>
          <w:szCs w:val="24"/>
          <w:lang w:val="es-ES" w:eastAsia="es-ES"/>
        </w:rPr>
      </w:pPr>
    </w:p>
    <w:p w14:paraId="747F26A1" w14:textId="5B44C187" w:rsidR="00B04582" w:rsidRPr="00341CA1" w:rsidRDefault="00B04582" w:rsidP="00F40D32">
      <w:pPr>
        <w:spacing w:after="0" w:line="360" w:lineRule="auto"/>
        <w:rPr>
          <w:rFonts w:eastAsia="Times New Roman" w:cs="Tahoma"/>
          <w:iCs/>
          <w:color w:val="auto"/>
          <w:sz w:val="24"/>
          <w:szCs w:val="24"/>
          <w:lang w:val="es-ES" w:eastAsia="es-ES"/>
        </w:rPr>
      </w:pPr>
      <w:r w:rsidRPr="00341CA1">
        <w:rPr>
          <w:rFonts w:eastAsia="Times New Roman" w:cs="Tahoma"/>
          <w:iCs/>
          <w:color w:val="auto"/>
          <w:sz w:val="24"/>
          <w:szCs w:val="24"/>
          <w:lang w:val="es-ES" w:eastAsia="es-ES"/>
        </w:rPr>
        <w:t xml:space="preserve">Por lo cual, en los casos en que se niegue el acceso a la información, por actualizarse alguno de los supuestos de clasificación, una de las formalidades a la cuales </w:t>
      </w:r>
      <w:r w:rsidR="00755741" w:rsidRPr="00341CA1">
        <w:rPr>
          <w:rFonts w:eastAsia="Times New Roman" w:cs="Tahoma"/>
          <w:iCs/>
          <w:color w:val="auto"/>
          <w:sz w:val="24"/>
          <w:szCs w:val="24"/>
          <w:lang w:val="es-ES" w:eastAsia="es-ES"/>
        </w:rPr>
        <w:t>está</w:t>
      </w:r>
      <w:r w:rsidRPr="00341CA1">
        <w:rPr>
          <w:rFonts w:eastAsia="Times New Roman" w:cs="Tahoma"/>
          <w:iCs/>
          <w:color w:val="auto"/>
          <w:sz w:val="24"/>
          <w:szCs w:val="24"/>
          <w:lang w:val="es-ES" w:eastAsia="es-ES"/>
        </w:rPr>
        <w:t xml:space="preserve"> sujeto el procedimiento de acceso a la información pública, es que </w:t>
      </w:r>
      <w:r w:rsidRPr="00341CA1">
        <w:rPr>
          <w:rFonts w:eastAsia="Times New Roman" w:cs="Tahoma"/>
          <w:b/>
          <w:iCs/>
          <w:color w:val="auto"/>
          <w:sz w:val="24"/>
          <w:szCs w:val="24"/>
          <w:lang w:val="es-ES" w:eastAsia="es-ES"/>
        </w:rPr>
        <w:t xml:space="preserve">el Comité de Transparencia deberá confirmar, modificar o revocar la decisión; </w:t>
      </w:r>
      <w:r w:rsidRPr="00341CA1">
        <w:rPr>
          <w:rFonts w:eastAsia="Times New Roman" w:cs="Tahoma"/>
          <w:iCs/>
          <w:color w:val="auto"/>
          <w:sz w:val="24"/>
          <w:szCs w:val="24"/>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CF9D4D7" w14:textId="77777777" w:rsidR="00B04582" w:rsidRPr="00341CA1" w:rsidRDefault="00B04582" w:rsidP="00F40D32">
      <w:pPr>
        <w:spacing w:after="0" w:line="360" w:lineRule="auto"/>
        <w:rPr>
          <w:rFonts w:eastAsia="Times New Roman" w:cs="Tahoma"/>
          <w:iCs/>
          <w:color w:val="auto"/>
          <w:sz w:val="24"/>
          <w:szCs w:val="24"/>
          <w:lang w:val="es-ES" w:eastAsia="es-ES"/>
        </w:rPr>
      </w:pPr>
    </w:p>
    <w:p w14:paraId="27671ABE" w14:textId="77777777" w:rsidR="00B04582" w:rsidRPr="00341CA1" w:rsidRDefault="00B04582" w:rsidP="00F40D32">
      <w:pPr>
        <w:spacing w:after="0" w:line="360" w:lineRule="auto"/>
        <w:rPr>
          <w:rFonts w:eastAsia="Times New Roman" w:cs="Tahoma"/>
          <w:iCs/>
          <w:color w:val="auto"/>
          <w:sz w:val="24"/>
          <w:szCs w:val="24"/>
          <w:lang w:eastAsia="es-ES"/>
        </w:rPr>
      </w:pPr>
      <w:r w:rsidRPr="00341CA1">
        <w:rPr>
          <w:rFonts w:eastAsia="Times New Roman" w:cs="Tahoma"/>
          <w:iCs/>
          <w:color w:val="auto"/>
          <w:sz w:val="24"/>
          <w:szCs w:val="24"/>
          <w:lang w:val="es-ES" w:eastAsia="es-ES"/>
        </w:rPr>
        <w:lastRenderedPageBreak/>
        <w:t xml:space="preserve">En ese contexto, </w:t>
      </w:r>
      <w:r w:rsidRPr="00341CA1">
        <w:rPr>
          <w:rFonts w:eastAsia="Times New Roman" w:cs="Tahoma"/>
          <w:iCs/>
          <w:color w:val="auto"/>
          <w:sz w:val="24"/>
          <w:szCs w:val="24"/>
          <w:lang w:eastAsia="es-ES"/>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3979AE4F" w14:textId="77777777" w:rsidR="00B04582" w:rsidRPr="00341CA1" w:rsidRDefault="00B04582" w:rsidP="00F40D32">
      <w:pPr>
        <w:spacing w:after="0" w:line="360" w:lineRule="auto"/>
        <w:rPr>
          <w:rFonts w:eastAsia="Times New Roman" w:cs="Tahoma"/>
          <w:iCs/>
          <w:color w:val="auto"/>
          <w:sz w:val="24"/>
          <w:szCs w:val="24"/>
          <w:lang w:eastAsia="es-ES"/>
        </w:rPr>
      </w:pPr>
    </w:p>
    <w:p w14:paraId="0C20EAE3" w14:textId="77777777" w:rsidR="00B04582" w:rsidRPr="00341CA1" w:rsidRDefault="00B04582" w:rsidP="00F40D32">
      <w:pPr>
        <w:spacing w:after="0" w:line="360" w:lineRule="auto"/>
        <w:rPr>
          <w:rFonts w:eastAsia="Times New Roman" w:cs="Tahoma"/>
          <w:b/>
          <w:iCs/>
          <w:color w:val="auto"/>
          <w:sz w:val="24"/>
          <w:szCs w:val="24"/>
          <w:lang w:eastAsia="es-ES"/>
        </w:rPr>
      </w:pPr>
      <w:r w:rsidRPr="00341CA1">
        <w:rPr>
          <w:rFonts w:eastAsia="Times New Roman" w:cs="Tahoma"/>
          <w:iCs/>
          <w:color w:val="auto"/>
          <w:sz w:val="24"/>
          <w:szCs w:val="24"/>
          <w:lang w:eastAsia="es-ES"/>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65DFC64D" w14:textId="77777777" w:rsidR="00B04582" w:rsidRPr="00341CA1" w:rsidRDefault="00B04582" w:rsidP="00F40D32">
      <w:pPr>
        <w:spacing w:after="0" w:line="360" w:lineRule="auto"/>
        <w:rPr>
          <w:rFonts w:eastAsia="Times New Roman" w:cs="Tahoma"/>
          <w:iCs/>
          <w:color w:val="auto"/>
          <w:sz w:val="24"/>
          <w:szCs w:val="24"/>
          <w:lang w:val="es-ES" w:eastAsia="es-ES"/>
        </w:rPr>
      </w:pPr>
    </w:p>
    <w:p w14:paraId="54C76EE2" w14:textId="77777777" w:rsidR="00B04582" w:rsidRPr="00341CA1" w:rsidRDefault="00B04582" w:rsidP="00F40D32">
      <w:pPr>
        <w:spacing w:after="0" w:line="360" w:lineRule="auto"/>
        <w:rPr>
          <w:rFonts w:eastAsia="Times New Roman" w:cs="Tahoma"/>
          <w:b/>
          <w:bCs/>
          <w:iCs/>
          <w:color w:val="auto"/>
          <w:sz w:val="24"/>
          <w:szCs w:val="24"/>
          <w:lang w:eastAsia="es-ES"/>
        </w:rPr>
      </w:pPr>
      <w:r w:rsidRPr="00341CA1">
        <w:rPr>
          <w:rFonts w:eastAsia="Times New Roman" w:cs="Tahoma"/>
          <w:iCs/>
          <w:color w:val="auto"/>
          <w:sz w:val="24"/>
          <w:szCs w:val="24"/>
          <w:lang w:val="es-ES" w:eastAsia="es-ES"/>
        </w:rPr>
        <w:t xml:space="preserve">En ese contexto, </w:t>
      </w:r>
      <w:r w:rsidRPr="00341CA1">
        <w:rPr>
          <w:rFonts w:eastAsia="Times New Roman" w:cs="Tahoma"/>
          <w:bCs/>
          <w:iCs/>
          <w:color w:val="auto"/>
          <w:sz w:val="24"/>
          <w:szCs w:val="24"/>
          <w:lang w:eastAsia="es-ES"/>
        </w:rPr>
        <w:t>según Bonifaz, Leticia (2016), en la “</w:t>
      </w:r>
      <w:r w:rsidRPr="00341CA1">
        <w:rPr>
          <w:rFonts w:eastAsia="Times New Roman" w:cs="Tahoma"/>
          <w:bCs/>
          <w:i/>
          <w:iCs/>
          <w:color w:val="auto"/>
          <w:sz w:val="24"/>
          <w:szCs w:val="24"/>
          <w:lang w:eastAsia="es-ES"/>
        </w:rPr>
        <w:t>Ley General de Transparencia y Acceso a la Información Pública Comentada”</w:t>
      </w:r>
      <w:r w:rsidRPr="00341CA1">
        <w:rPr>
          <w:rFonts w:eastAsia="Times New Roman" w:cs="Tahoma"/>
          <w:bCs/>
          <w:iCs/>
          <w:color w:val="auto"/>
          <w:sz w:val="24"/>
          <w:szCs w:val="24"/>
          <w:lang w:eastAsia="es-ES"/>
        </w:rPr>
        <w:t xml:space="preserve"> (p. 342), la </w:t>
      </w:r>
      <w:r w:rsidRPr="00341CA1">
        <w:rPr>
          <w:rFonts w:eastAsia="Times New Roman" w:cs="Tahoma"/>
          <w:b/>
          <w:bCs/>
          <w:iCs/>
          <w:color w:val="auto"/>
          <w:sz w:val="24"/>
          <w:szCs w:val="24"/>
          <w:lang w:eastAsia="es-ES"/>
        </w:rPr>
        <w:t>clasificación de la información</w:t>
      </w:r>
      <w:r w:rsidRPr="00341CA1">
        <w:rPr>
          <w:rFonts w:eastAsia="Times New Roman" w:cs="Tahoma"/>
          <w:bCs/>
          <w:iCs/>
          <w:color w:val="auto"/>
          <w:sz w:val="24"/>
          <w:szCs w:val="24"/>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341CA1">
        <w:rPr>
          <w:rFonts w:eastAsia="Times New Roman" w:cs="Tahoma"/>
          <w:b/>
          <w:bCs/>
          <w:iCs/>
          <w:color w:val="auto"/>
          <w:sz w:val="24"/>
          <w:szCs w:val="24"/>
          <w:lang w:eastAsia="es-ES"/>
        </w:rPr>
        <w:t>de manera adecuada la negativa de información.</w:t>
      </w:r>
    </w:p>
    <w:p w14:paraId="01F5B80F" w14:textId="77777777" w:rsidR="00B04582" w:rsidRPr="00341CA1" w:rsidRDefault="00B04582" w:rsidP="00F40D32">
      <w:pPr>
        <w:spacing w:after="0" w:line="360" w:lineRule="auto"/>
        <w:rPr>
          <w:rFonts w:eastAsia="Times New Roman" w:cs="Tahoma"/>
          <w:bCs/>
          <w:iCs/>
          <w:color w:val="auto"/>
          <w:sz w:val="24"/>
          <w:szCs w:val="24"/>
          <w:lang w:eastAsia="es-ES"/>
        </w:rPr>
      </w:pPr>
    </w:p>
    <w:p w14:paraId="4AA2D6C3" w14:textId="77777777" w:rsidR="00B04582" w:rsidRPr="00341CA1" w:rsidRDefault="00B04582" w:rsidP="00F40D32">
      <w:pPr>
        <w:spacing w:after="0" w:line="360" w:lineRule="auto"/>
        <w:rPr>
          <w:rFonts w:eastAsia="Times New Roman" w:cs="Tahoma"/>
          <w:b/>
          <w:iCs/>
          <w:color w:val="auto"/>
          <w:sz w:val="24"/>
          <w:szCs w:val="24"/>
          <w:lang w:eastAsia="es-ES"/>
        </w:rPr>
      </w:pPr>
      <w:r w:rsidRPr="00341CA1">
        <w:rPr>
          <w:rFonts w:eastAsia="Times New Roman" w:cs="Tahoma"/>
          <w:bCs/>
          <w:iCs/>
          <w:color w:val="auto"/>
          <w:sz w:val="24"/>
          <w:szCs w:val="24"/>
          <w:lang w:eastAsia="es-ES"/>
        </w:rPr>
        <w:t>Además</w:t>
      </w:r>
      <w:r w:rsidRPr="00341CA1">
        <w:rPr>
          <w:rFonts w:eastAsia="Times New Roman" w:cs="Tahoma"/>
          <w:iCs/>
          <w:color w:val="auto"/>
          <w:sz w:val="24"/>
          <w:szCs w:val="24"/>
          <w:lang w:eastAsia="es-ES"/>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w:t>
      </w:r>
      <w:r w:rsidRPr="00341CA1">
        <w:rPr>
          <w:rFonts w:eastAsia="Times New Roman" w:cs="Tahoma"/>
          <w:iCs/>
          <w:color w:val="auto"/>
          <w:sz w:val="24"/>
          <w:szCs w:val="24"/>
          <w:lang w:eastAsia="es-ES"/>
        </w:rPr>
        <w:lastRenderedPageBreak/>
        <w:t xml:space="preserve">por lo que, la clasificación de información se llevará a cabo mediante un </w:t>
      </w:r>
      <w:r w:rsidRPr="00341CA1">
        <w:rPr>
          <w:rFonts w:eastAsia="Times New Roman" w:cs="Tahoma"/>
          <w:b/>
          <w:iCs/>
          <w:color w:val="auto"/>
          <w:sz w:val="24"/>
          <w:szCs w:val="24"/>
          <w:lang w:eastAsia="es-ES"/>
        </w:rPr>
        <w:t>análisis caso por caso.</w:t>
      </w:r>
    </w:p>
    <w:p w14:paraId="6415E356" w14:textId="77777777" w:rsidR="00B04582" w:rsidRPr="00341CA1" w:rsidRDefault="00B04582" w:rsidP="00F40D32">
      <w:pPr>
        <w:spacing w:after="0" w:line="360" w:lineRule="auto"/>
        <w:rPr>
          <w:rFonts w:eastAsia="Times New Roman" w:cs="Tahoma"/>
          <w:b/>
          <w:iCs/>
          <w:color w:val="auto"/>
          <w:sz w:val="24"/>
          <w:szCs w:val="24"/>
          <w:lang w:eastAsia="es-ES"/>
        </w:rPr>
      </w:pPr>
    </w:p>
    <w:p w14:paraId="36BF4BAF" w14:textId="77777777" w:rsidR="00B04582" w:rsidRPr="00341CA1" w:rsidRDefault="00B04582" w:rsidP="00F40D32">
      <w:pPr>
        <w:spacing w:after="0" w:line="360" w:lineRule="auto"/>
        <w:rPr>
          <w:rFonts w:eastAsia="Times New Roman" w:cs="Tahoma"/>
          <w:iCs/>
          <w:color w:val="auto"/>
          <w:sz w:val="24"/>
          <w:szCs w:val="24"/>
          <w:lang w:eastAsia="es-ES"/>
        </w:rPr>
      </w:pPr>
      <w:r w:rsidRPr="00341CA1">
        <w:rPr>
          <w:rFonts w:eastAsia="Times New Roman" w:cs="Tahoma"/>
          <w:iCs/>
          <w:color w:val="auto"/>
          <w:sz w:val="24"/>
          <w:szCs w:val="24"/>
          <w:lang w:eastAsia="es-ES"/>
        </w:rPr>
        <w:t xml:space="preserve">Sobre lo anterior, el artículo 131 de la Ley referida, así como el Quinto de los Lineamientos Generales, establecen que los sujetos obligados </w:t>
      </w:r>
      <w:r w:rsidRPr="00341CA1">
        <w:rPr>
          <w:rFonts w:eastAsia="Times New Roman" w:cs="Tahoma"/>
          <w:b/>
          <w:iCs/>
          <w:color w:val="auto"/>
          <w:sz w:val="24"/>
          <w:szCs w:val="24"/>
          <w:lang w:eastAsia="es-ES"/>
        </w:rPr>
        <w:t>deberán fundar y motivar</w:t>
      </w:r>
      <w:r w:rsidRPr="00341CA1">
        <w:rPr>
          <w:rFonts w:eastAsia="Times New Roman" w:cs="Tahoma"/>
          <w:iCs/>
          <w:color w:val="auto"/>
          <w:sz w:val="24"/>
          <w:szCs w:val="24"/>
          <w:lang w:eastAsia="es-ES"/>
        </w:rPr>
        <w:t xml:space="preserve"> debidamente la clasificación de la información.</w:t>
      </w:r>
    </w:p>
    <w:p w14:paraId="63C75290" w14:textId="77777777" w:rsidR="00B04582" w:rsidRPr="00341CA1" w:rsidRDefault="00B04582" w:rsidP="00F40D32">
      <w:pPr>
        <w:spacing w:after="0" w:line="360" w:lineRule="auto"/>
        <w:rPr>
          <w:rFonts w:eastAsia="Times New Roman" w:cs="Tahoma"/>
          <w:b/>
          <w:iCs/>
          <w:color w:val="auto"/>
          <w:sz w:val="24"/>
          <w:szCs w:val="24"/>
          <w:lang w:eastAsia="es-ES"/>
        </w:rPr>
      </w:pPr>
    </w:p>
    <w:p w14:paraId="40CF57E2" w14:textId="48479980" w:rsidR="00B04582" w:rsidRPr="00341CA1" w:rsidRDefault="00B04582" w:rsidP="00F40D32">
      <w:pPr>
        <w:spacing w:after="0" w:line="360" w:lineRule="auto"/>
        <w:rPr>
          <w:rFonts w:eastAsia="Times New Roman" w:cs="Tahoma"/>
          <w:bCs/>
          <w:iCs/>
          <w:color w:val="auto"/>
          <w:sz w:val="24"/>
          <w:szCs w:val="24"/>
          <w:lang w:eastAsia="es-ES"/>
        </w:rPr>
      </w:pPr>
      <w:r w:rsidRPr="00341CA1">
        <w:rPr>
          <w:rFonts w:eastAsia="Times New Roman" w:cs="Tahoma"/>
          <w:iCs/>
          <w:color w:val="auto"/>
          <w:sz w:val="24"/>
          <w:szCs w:val="24"/>
          <w:lang w:eastAsia="es-ES"/>
        </w:rPr>
        <w:t>Al respecto, e</w:t>
      </w:r>
      <w:r w:rsidRPr="00341CA1">
        <w:rPr>
          <w:rFonts w:eastAsia="Times New Roman" w:cs="Tahoma"/>
          <w:bCs/>
          <w:iCs/>
          <w:color w:val="auto"/>
          <w:sz w:val="24"/>
          <w:szCs w:val="24"/>
          <w:lang w:eastAsia="es-ES"/>
        </w:rPr>
        <w:t>l Octavo de los Lineamientos Generales, precisa lo siguiente:</w:t>
      </w:r>
    </w:p>
    <w:p w14:paraId="599C2BF3" w14:textId="77777777" w:rsidR="00C53072" w:rsidRPr="00341CA1" w:rsidRDefault="00C53072" w:rsidP="00F40D32">
      <w:pPr>
        <w:spacing w:after="0" w:line="360" w:lineRule="auto"/>
        <w:rPr>
          <w:rFonts w:eastAsia="Times New Roman" w:cs="Tahoma"/>
          <w:bCs/>
          <w:iCs/>
          <w:color w:val="auto"/>
          <w:sz w:val="24"/>
          <w:szCs w:val="24"/>
          <w:lang w:eastAsia="es-ES"/>
        </w:rPr>
      </w:pPr>
    </w:p>
    <w:p w14:paraId="47BBCBD8" w14:textId="75FA5B94" w:rsidR="00B04582" w:rsidRPr="00341CA1" w:rsidRDefault="00B04582" w:rsidP="00F40D32">
      <w:pPr>
        <w:numPr>
          <w:ilvl w:val="0"/>
          <w:numId w:val="24"/>
        </w:numPr>
        <w:spacing w:after="0" w:line="360" w:lineRule="auto"/>
        <w:rPr>
          <w:rFonts w:eastAsia="Times New Roman" w:cs="Tahoma"/>
          <w:bCs/>
          <w:iCs/>
          <w:color w:val="auto"/>
          <w:szCs w:val="24"/>
          <w:u w:val="single"/>
          <w:lang w:eastAsia="es-ES"/>
        </w:rPr>
      </w:pPr>
      <w:r w:rsidRPr="00341CA1">
        <w:rPr>
          <w:rFonts w:eastAsia="Times New Roman" w:cs="Tahoma"/>
          <w:b/>
          <w:bCs/>
          <w:iCs/>
          <w:color w:val="auto"/>
          <w:szCs w:val="24"/>
          <w:lang w:eastAsia="es-ES"/>
        </w:rPr>
        <w:t>Para fundar la clasificación</w:t>
      </w:r>
      <w:r w:rsidRPr="00341CA1">
        <w:rPr>
          <w:rFonts w:eastAsia="Times New Roman" w:cs="Tahoma"/>
          <w:bCs/>
          <w:iCs/>
          <w:color w:val="auto"/>
          <w:szCs w:val="24"/>
          <w:lang w:eastAsia="es-ES"/>
        </w:rPr>
        <w:t xml:space="preserve"> de la información se deberán </w:t>
      </w:r>
      <w:r w:rsidRPr="00341CA1">
        <w:rPr>
          <w:rFonts w:eastAsia="Times New Roman" w:cs="Tahoma"/>
          <w:bCs/>
          <w:iCs/>
          <w:color w:val="auto"/>
          <w:szCs w:val="24"/>
          <w:u w:val="single"/>
          <w:lang w:eastAsia="es-ES"/>
        </w:rPr>
        <w:t>señalar el artículo, fracción, inciso, párrafo o numeral de la Ley aplicable;</w:t>
      </w:r>
    </w:p>
    <w:p w14:paraId="0A8808FF" w14:textId="77777777" w:rsidR="00B04582" w:rsidRPr="00341CA1" w:rsidRDefault="00B04582" w:rsidP="00F40D32">
      <w:pPr>
        <w:numPr>
          <w:ilvl w:val="0"/>
          <w:numId w:val="24"/>
        </w:numPr>
        <w:spacing w:after="0" w:line="360" w:lineRule="auto"/>
        <w:rPr>
          <w:rFonts w:eastAsia="Times New Roman" w:cs="Tahoma"/>
          <w:bCs/>
          <w:iCs/>
          <w:color w:val="auto"/>
          <w:szCs w:val="24"/>
          <w:lang w:eastAsia="es-ES"/>
        </w:rPr>
      </w:pPr>
      <w:r w:rsidRPr="00341CA1">
        <w:rPr>
          <w:rFonts w:eastAsia="Times New Roman" w:cs="Tahoma"/>
          <w:b/>
          <w:bCs/>
          <w:iCs/>
          <w:color w:val="auto"/>
          <w:szCs w:val="24"/>
          <w:lang w:eastAsia="es-ES"/>
        </w:rPr>
        <w:t>Para motivar la clasificación</w:t>
      </w:r>
      <w:r w:rsidRPr="00341CA1">
        <w:rPr>
          <w:rFonts w:eastAsia="Times New Roman" w:cs="Tahoma"/>
          <w:bCs/>
          <w:iCs/>
          <w:color w:val="auto"/>
          <w:szCs w:val="24"/>
          <w:lang w:eastAsia="es-ES"/>
        </w:rPr>
        <w:t xml:space="preserve"> se deberán </w:t>
      </w:r>
      <w:r w:rsidRPr="00341CA1">
        <w:rPr>
          <w:rFonts w:eastAsia="Times New Roman" w:cs="Tahoma"/>
          <w:bCs/>
          <w:iCs/>
          <w:color w:val="auto"/>
          <w:szCs w:val="24"/>
          <w:u w:val="single"/>
          <w:lang w:eastAsia="es-ES"/>
        </w:rPr>
        <w:t>indicar las razones y circunstancias</w:t>
      </w:r>
      <w:r w:rsidRPr="00341CA1">
        <w:rPr>
          <w:rFonts w:eastAsia="Times New Roman" w:cs="Tahoma"/>
          <w:bCs/>
          <w:iCs/>
          <w:color w:val="auto"/>
          <w:szCs w:val="24"/>
          <w:lang w:eastAsia="es-ES"/>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1FCDC4DA" w14:textId="77777777" w:rsidR="00B04582" w:rsidRPr="00341CA1" w:rsidRDefault="00B04582" w:rsidP="00F40D32">
      <w:pPr>
        <w:spacing w:after="0" w:line="360" w:lineRule="auto"/>
        <w:rPr>
          <w:rFonts w:eastAsia="Times New Roman" w:cs="Tahoma"/>
          <w:bCs/>
          <w:iCs/>
          <w:color w:val="auto"/>
          <w:szCs w:val="24"/>
          <w:lang w:eastAsia="es-ES"/>
        </w:rPr>
      </w:pPr>
    </w:p>
    <w:p w14:paraId="5881B7FF" w14:textId="20983866" w:rsidR="00B04582" w:rsidRPr="00341CA1" w:rsidRDefault="00B04582" w:rsidP="00F40D32">
      <w:pPr>
        <w:spacing w:after="0" w:line="360" w:lineRule="auto"/>
        <w:rPr>
          <w:rFonts w:eastAsia="Times New Roman" w:cs="Tahoma"/>
          <w:iCs/>
          <w:color w:val="auto"/>
          <w:sz w:val="24"/>
          <w:szCs w:val="24"/>
          <w:lang w:eastAsia="es-ES"/>
        </w:rPr>
      </w:pPr>
      <w:r w:rsidRPr="00341CA1">
        <w:rPr>
          <w:rFonts w:eastAsia="Times New Roman" w:cs="Tahoma"/>
          <w:iCs/>
          <w:color w:val="auto"/>
          <w:sz w:val="24"/>
          <w:szCs w:val="24"/>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DD8911F" w14:textId="77777777" w:rsidR="00F306FA" w:rsidRPr="00341CA1" w:rsidRDefault="00F306FA" w:rsidP="00F40D32">
      <w:pPr>
        <w:spacing w:after="0" w:line="360" w:lineRule="auto"/>
        <w:rPr>
          <w:rFonts w:eastAsia="Times New Roman" w:cs="Tahoma"/>
          <w:iCs/>
          <w:color w:val="auto"/>
          <w:sz w:val="24"/>
          <w:szCs w:val="24"/>
          <w:lang w:eastAsia="es-ES"/>
        </w:rPr>
      </w:pPr>
    </w:p>
    <w:p w14:paraId="037C8A48" w14:textId="77777777" w:rsidR="00B04582" w:rsidRPr="00341CA1" w:rsidRDefault="00B04582" w:rsidP="00755741">
      <w:pPr>
        <w:spacing w:after="0" w:line="276" w:lineRule="auto"/>
        <w:ind w:left="567" w:right="567"/>
        <w:rPr>
          <w:rFonts w:eastAsia="Times New Roman" w:cs="Tahoma"/>
          <w:i/>
          <w:iCs/>
          <w:color w:val="auto"/>
          <w:szCs w:val="24"/>
          <w:lang w:eastAsia="es-ES"/>
        </w:rPr>
      </w:pPr>
      <w:r w:rsidRPr="00341CA1">
        <w:rPr>
          <w:rFonts w:eastAsia="Times New Roman" w:cs="Tahoma"/>
          <w:b/>
          <w:i/>
          <w:iCs/>
          <w:color w:val="auto"/>
          <w:szCs w:val="24"/>
          <w:lang w:eastAsia="es-ES"/>
        </w:rPr>
        <w:t xml:space="preserve">“FUNDAMENTACION Y MOTIVACION, CONCEPTO DE. </w:t>
      </w:r>
      <w:r w:rsidRPr="00341CA1">
        <w:rPr>
          <w:rFonts w:eastAsia="Times New Roman" w:cs="Tahoma"/>
          <w:i/>
          <w:iCs/>
          <w:color w:val="auto"/>
          <w:szCs w:val="24"/>
          <w:lang w:eastAsia="es-ES"/>
        </w:rPr>
        <w:t xml:space="preserve">La </w:t>
      </w:r>
      <w:r w:rsidRPr="00341CA1">
        <w:rPr>
          <w:rFonts w:eastAsia="Times New Roman" w:cs="Tahoma"/>
          <w:i/>
          <w:iCs/>
          <w:color w:val="auto"/>
          <w:szCs w:val="24"/>
          <w:u w:val="single"/>
          <w:lang w:eastAsia="es-ES"/>
        </w:rPr>
        <w:t>garantía de legalidad consagrada en el artículo 16 de nuestra Carta Magna</w:t>
      </w:r>
      <w:r w:rsidRPr="00341CA1">
        <w:rPr>
          <w:rFonts w:eastAsia="Times New Roman" w:cs="Tahoma"/>
          <w:i/>
          <w:iCs/>
          <w:color w:val="auto"/>
          <w:szCs w:val="24"/>
          <w:lang w:eastAsia="es-ES"/>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BD19B0F" w14:textId="77777777" w:rsidR="00B04582" w:rsidRPr="00341CA1" w:rsidRDefault="00B04582" w:rsidP="00F40D32">
      <w:pPr>
        <w:spacing w:after="0" w:line="360" w:lineRule="auto"/>
        <w:rPr>
          <w:rFonts w:eastAsia="Times New Roman" w:cs="Tahoma"/>
          <w:iCs/>
          <w:color w:val="auto"/>
          <w:sz w:val="24"/>
          <w:szCs w:val="24"/>
          <w:lang w:eastAsia="es-ES"/>
        </w:rPr>
      </w:pPr>
    </w:p>
    <w:p w14:paraId="1336836A" w14:textId="77777777" w:rsidR="00B04582" w:rsidRPr="00341CA1" w:rsidRDefault="00B04582" w:rsidP="00F40D32">
      <w:pPr>
        <w:spacing w:after="0" w:line="360" w:lineRule="auto"/>
        <w:rPr>
          <w:rFonts w:eastAsia="Times New Roman" w:cs="Tahoma"/>
          <w:iCs/>
          <w:color w:val="auto"/>
          <w:sz w:val="24"/>
          <w:szCs w:val="24"/>
          <w:lang w:eastAsia="es-ES"/>
        </w:rPr>
      </w:pPr>
      <w:r w:rsidRPr="00341CA1">
        <w:rPr>
          <w:rFonts w:eastAsia="Times New Roman" w:cs="Tahoma"/>
          <w:iCs/>
          <w:color w:val="auto"/>
          <w:sz w:val="24"/>
          <w:szCs w:val="24"/>
          <w:lang w:eastAsia="es-ES"/>
        </w:rPr>
        <w:t>Conforme a lo anterior, se advierte lo siguiente:</w:t>
      </w:r>
    </w:p>
    <w:p w14:paraId="2D5C41BD" w14:textId="77777777" w:rsidR="00B04582" w:rsidRPr="00341CA1" w:rsidRDefault="00B04582" w:rsidP="00F40D32">
      <w:pPr>
        <w:spacing w:after="0" w:line="360" w:lineRule="auto"/>
        <w:rPr>
          <w:rFonts w:eastAsia="Times New Roman" w:cs="Tahoma"/>
          <w:iCs/>
          <w:color w:val="auto"/>
          <w:sz w:val="24"/>
          <w:szCs w:val="24"/>
          <w:lang w:eastAsia="es-ES"/>
        </w:rPr>
      </w:pPr>
    </w:p>
    <w:p w14:paraId="4E9E7E72" w14:textId="5231323A" w:rsidR="00B04582" w:rsidRPr="00341CA1" w:rsidRDefault="00B04582" w:rsidP="00F40D32">
      <w:pPr>
        <w:numPr>
          <w:ilvl w:val="0"/>
          <w:numId w:val="25"/>
        </w:numPr>
        <w:spacing w:after="0" w:line="360" w:lineRule="auto"/>
        <w:rPr>
          <w:rFonts w:eastAsia="Times New Roman" w:cs="Tahoma"/>
          <w:b/>
          <w:iCs/>
          <w:color w:val="auto"/>
          <w:szCs w:val="24"/>
          <w:lang w:eastAsia="es-ES"/>
        </w:rPr>
      </w:pPr>
      <w:r w:rsidRPr="00341CA1">
        <w:rPr>
          <w:rFonts w:eastAsia="Times New Roman" w:cs="Tahoma"/>
          <w:b/>
          <w:iCs/>
          <w:color w:val="auto"/>
          <w:szCs w:val="24"/>
          <w:lang w:eastAsia="es-ES"/>
        </w:rPr>
        <w:t xml:space="preserve">Fundamentación: </w:t>
      </w:r>
      <w:r w:rsidRPr="00341CA1">
        <w:rPr>
          <w:rFonts w:eastAsia="Times New Roman" w:cs="Tahoma"/>
          <w:iCs/>
          <w:color w:val="auto"/>
          <w:szCs w:val="24"/>
          <w:lang w:eastAsia="es-ES"/>
        </w:rPr>
        <w:t>Obligación de la autoridad que emite un acto, para citar los preceptos legales, sustantivos y adjetivos, en que se apoye para la determinación tomada.</w:t>
      </w:r>
    </w:p>
    <w:p w14:paraId="3165C4B1" w14:textId="77777777" w:rsidR="00B04582" w:rsidRPr="00341CA1" w:rsidRDefault="00B04582" w:rsidP="00F40D32">
      <w:pPr>
        <w:numPr>
          <w:ilvl w:val="0"/>
          <w:numId w:val="25"/>
        </w:numPr>
        <w:spacing w:after="0" w:line="360" w:lineRule="auto"/>
        <w:rPr>
          <w:rFonts w:eastAsia="Times New Roman" w:cs="Tahoma"/>
          <w:b/>
          <w:iCs/>
          <w:color w:val="auto"/>
          <w:szCs w:val="24"/>
          <w:lang w:eastAsia="es-ES"/>
        </w:rPr>
      </w:pPr>
      <w:r w:rsidRPr="00341CA1">
        <w:rPr>
          <w:rFonts w:eastAsia="Times New Roman" w:cs="Tahoma"/>
          <w:b/>
          <w:iCs/>
          <w:color w:val="auto"/>
          <w:szCs w:val="24"/>
          <w:lang w:eastAsia="es-ES"/>
        </w:rPr>
        <w:t xml:space="preserve">Motivación: </w:t>
      </w:r>
      <w:r w:rsidRPr="00341CA1">
        <w:rPr>
          <w:rFonts w:eastAsia="Times New Roman" w:cs="Tahoma"/>
          <w:iCs/>
          <w:color w:val="auto"/>
          <w:szCs w:val="24"/>
          <w:lang w:eastAsia="es-ES"/>
        </w:rPr>
        <w:t>Razonamientos lógico-jurídicos sobre porque se consideró en el caso en concreto, que se ajusta a la hipótesis normativa.</w:t>
      </w:r>
    </w:p>
    <w:p w14:paraId="283775A5" w14:textId="77777777" w:rsidR="00B04582" w:rsidRPr="00341CA1" w:rsidRDefault="00B04582" w:rsidP="00F40D32">
      <w:pPr>
        <w:spacing w:after="0" w:line="360" w:lineRule="auto"/>
        <w:rPr>
          <w:rFonts w:eastAsia="Times New Roman" w:cs="Tahoma"/>
          <w:iCs/>
          <w:color w:val="auto"/>
          <w:sz w:val="24"/>
          <w:szCs w:val="24"/>
          <w:lang w:val="es-ES" w:eastAsia="es-ES"/>
        </w:rPr>
      </w:pPr>
    </w:p>
    <w:p w14:paraId="72A90F62" w14:textId="77777777" w:rsidR="00B04582" w:rsidRPr="00341CA1" w:rsidRDefault="00B04582" w:rsidP="00F40D32">
      <w:pPr>
        <w:spacing w:after="0" w:line="360" w:lineRule="auto"/>
        <w:rPr>
          <w:rFonts w:eastAsia="Times New Roman" w:cs="Tahoma"/>
          <w:iCs/>
          <w:color w:val="auto"/>
          <w:sz w:val="24"/>
          <w:szCs w:val="24"/>
          <w:lang w:val="es-ES" w:eastAsia="es-ES"/>
        </w:rPr>
      </w:pPr>
      <w:r w:rsidRPr="00341CA1">
        <w:rPr>
          <w:rFonts w:eastAsia="Times New Roman" w:cs="Tahoma"/>
          <w:iCs/>
          <w:color w:val="auto"/>
          <w:sz w:val="24"/>
          <w:szCs w:val="24"/>
          <w:lang w:val="es-ES" w:eastAsia="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5AC017A3" w14:textId="26F5238D" w:rsidR="00B04582" w:rsidRPr="00341CA1" w:rsidRDefault="00B04582" w:rsidP="00F40D32">
      <w:pPr>
        <w:spacing w:after="0" w:line="360" w:lineRule="auto"/>
        <w:rPr>
          <w:rFonts w:eastAsia="Times New Roman" w:cs="Tahoma"/>
          <w:bCs/>
          <w:iCs/>
          <w:color w:val="auto"/>
          <w:sz w:val="24"/>
          <w:szCs w:val="24"/>
          <w:lang w:val="es-ES" w:eastAsia="es-ES"/>
        </w:rPr>
      </w:pPr>
    </w:p>
    <w:p w14:paraId="2CA9537F" w14:textId="126FA7E2" w:rsidR="003025DE" w:rsidRPr="00341CA1" w:rsidRDefault="00B04582" w:rsidP="00F40D32">
      <w:pPr>
        <w:spacing w:after="0" w:line="360" w:lineRule="auto"/>
        <w:rPr>
          <w:rFonts w:eastAsia="Times New Roman" w:cs="Tahoma"/>
          <w:iCs/>
          <w:color w:val="auto"/>
          <w:sz w:val="24"/>
          <w:szCs w:val="24"/>
          <w:lang w:val="es-ES" w:eastAsia="es-ES"/>
        </w:rPr>
      </w:pPr>
      <w:r w:rsidRPr="00341CA1">
        <w:rPr>
          <w:rFonts w:eastAsia="Times New Roman" w:cs="Tahoma"/>
          <w:bCs/>
          <w:iCs/>
          <w:color w:val="auto"/>
          <w:sz w:val="24"/>
          <w:szCs w:val="24"/>
          <w:lang w:val="es-ES" w:eastAsia="es-ES"/>
        </w:rPr>
        <w:t>En ese contexto, es de señalar que</w:t>
      </w:r>
      <w:r w:rsidR="00D07CC0" w:rsidRPr="00341CA1">
        <w:rPr>
          <w:rFonts w:eastAsia="Times New Roman" w:cs="Tahoma"/>
          <w:bCs/>
          <w:iCs/>
          <w:color w:val="auto"/>
          <w:sz w:val="24"/>
          <w:szCs w:val="24"/>
          <w:lang w:val="es-ES" w:eastAsia="es-ES"/>
        </w:rPr>
        <w:t>,</w:t>
      </w:r>
      <w:r w:rsidR="003025DE" w:rsidRPr="00341CA1">
        <w:rPr>
          <w:rFonts w:eastAsia="Times New Roman" w:cs="Tahoma"/>
          <w:bCs/>
          <w:iCs/>
          <w:color w:val="auto"/>
          <w:sz w:val="24"/>
          <w:szCs w:val="24"/>
          <w:lang w:val="es-ES" w:eastAsia="es-ES"/>
        </w:rPr>
        <w:t xml:space="preserve"> el </w:t>
      </w:r>
      <w:r w:rsidR="003025DE" w:rsidRPr="00341CA1">
        <w:rPr>
          <w:rFonts w:eastAsia="Calibri" w:cs="Tahoma"/>
          <w:color w:val="auto"/>
          <w:sz w:val="24"/>
          <w:szCs w:val="24"/>
        </w:rPr>
        <w:t>Poder Judicial</w:t>
      </w:r>
      <w:r w:rsidR="00D07CC0" w:rsidRPr="00341CA1">
        <w:rPr>
          <w:rFonts w:eastAsia="Calibri" w:cs="Tahoma"/>
          <w:color w:val="auto"/>
          <w:sz w:val="24"/>
          <w:szCs w:val="24"/>
        </w:rPr>
        <w:t xml:space="preserve"> </w:t>
      </w:r>
      <w:r w:rsidR="00745282" w:rsidRPr="00341CA1">
        <w:rPr>
          <w:rFonts w:eastAsia="Calibri" w:cs="Tahoma"/>
          <w:color w:val="auto"/>
          <w:sz w:val="24"/>
          <w:szCs w:val="24"/>
        </w:rPr>
        <w:t xml:space="preserve">omitió dar cumplimiento a lo previsto en el artículo 168 de la </w:t>
      </w:r>
      <w:r w:rsidR="00745282" w:rsidRPr="00341CA1">
        <w:rPr>
          <w:rFonts w:eastAsia="Times New Roman" w:cs="Tahoma"/>
          <w:iCs/>
          <w:color w:val="auto"/>
          <w:sz w:val="24"/>
          <w:szCs w:val="24"/>
          <w:lang w:val="es-ES" w:eastAsia="es-ES"/>
        </w:rPr>
        <w:t>Ley de Transparencia y Acceso a la Información Pública del Estado de México y Municipios</w:t>
      </w:r>
      <w:r w:rsidR="007D49B6" w:rsidRPr="00341CA1">
        <w:rPr>
          <w:rFonts w:eastAsia="Times New Roman" w:cs="Tahoma"/>
          <w:iCs/>
          <w:color w:val="auto"/>
          <w:sz w:val="24"/>
          <w:szCs w:val="24"/>
          <w:lang w:val="es-ES" w:eastAsia="es-ES"/>
        </w:rPr>
        <w:t xml:space="preserve">, ya que el Comité de Transparencia no emitió el acuerdo por medio del cual </w:t>
      </w:r>
      <w:r w:rsidR="00D07CC0" w:rsidRPr="00341CA1">
        <w:rPr>
          <w:rFonts w:eastAsia="Times New Roman" w:cs="Tahoma"/>
          <w:iCs/>
          <w:color w:val="auto"/>
          <w:sz w:val="24"/>
          <w:szCs w:val="24"/>
          <w:lang w:val="es-ES" w:eastAsia="es-ES"/>
        </w:rPr>
        <w:t>confirmara</w:t>
      </w:r>
      <w:r w:rsidR="007D49B6" w:rsidRPr="00341CA1">
        <w:rPr>
          <w:rFonts w:eastAsia="Times New Roman" w:cs="Tahoma"/>
          <w:iCs/>
          <w:color w:val="auto"/>
          <w:sz w:val="24"/>
          <w:szCs w:val="24"/>
          <w:lang w:val="es-ES" w:eastAsia="es-ES"/>
        </w:rPr>
        <w:t xml:space="preserve"> </w:t>
      </w:r>
      <w:r w:rsidR="00051426" w:rsidRPr="00341CA1">
        <w:rPr>
          <w:rFonts w:eastAsia="Times New Roman" w:cs="Tahoma"/>
          <w:iCs/>
          <w:color w:val="auto"/>
          <w:sz w:val="24"/>
          <w:szCs w:val="24"/>
          <w:lang w:val="es-ES" w:eastAsia="es-ES"/>
        </w:rPr>
        <w:t xml:space="preserve">la clasificación de la información, pues </w:t>
      </w:r>
      <w:r w:rsidR="00051426" w:rsidRPr="00341CA1">
        <w:rPr>
          <w:rFonts w:eastAsia="Times New Roman" w:cs="Tahoma"/>
          <w:iCs/>
          <w:color w:val="auto"/>
          <w:sz w:val="24"/>
          <w:szCs w:val="24"/>
          <w:lang w:val="es-ES" w:eastAsia="es-ES"/>
        </w:rPr>
        <w:lastRenderedPageBreak/>
        <w:t xml:space="preserve">únicamente refirió que no podía entregar la información </w:t>
      </w:r>
      <w:r w:rsidR="000028C5" w:rsidRPr="00341CA1">
        <w:rPr>
          <w:rFonts w:eastAsia="Times New Roman" w:cs="Tahoma"/>
          <w:iCs/>
          <w:color w:val="auto"/>
          <w:sz w:val="24"/>
          <w:szCs w:val="24"/>
          <w:lang w:val="es-ES" w:eastAsia="es-ES"/>
        </w:rPr>
        <w:t xml:space="preserve">al ser </w:t>
      </w:r>
      <w:r w:rsidR="00044214" w:rsidRPr="00341CA1">
        <w:rPr>
          <w:rFonts w:eastAsia="Times New Roman" w:cs="Tahoma"/>
          <w:iCs/>
          <w:color w:val="auto"/>
          <w:sz w:val="24"/>
          <w:szCs w:val="24"/>
          <w:lang w:val="es-ES" w:eastAsia="es-ES"/>
        </w:rPr>
        <w:t xml:space="preserve">esta de naturaleza </w:t>
      </w:r>
      <w:r w:rsidR="00C65798" w:rsidRPr="00341CA1">
        <w:rPr>
          <w:rFonts w:eastAsia="Times New Roman" w:cs="Tahoma"/>
          <w:iCs/>
          <w:color w:val="auto"/>
          <w:sz w:val="24"/>
          <w:szCs w:val="24"/>
          <w:lang w:val="es-ES" w:eastAsia="es-ES"/>
        </w:rPr>
        <w:t>confidencial</w:t>
      </w:r>
      <w:r w:rsidR="00D94133" w:rsidRPr="00341CA1">
        <w:rPr>
          <w:rFonts w:eastAsia="Times New Roman" w:cs="Tahoma"/>
          <w:iCs/>
          <w:color w:val="auto"/>
          <w:sz w:val="24"/>
          <w:szCs w:val="24"/>
          <w:lang w:val="es-ES" w:eastAsia="es-ES"/>
        </w:rPr>
        <w:t xml:space="preserve">. </w:t>
      </w:r>
    </w:p>
    <w:p w14:paraId="2D8C3CDA" w14:textId="77777777" w:rsidR="003025DE" w:rsidRPr="00341CA1" w:rsidRDefault="003025DE" w:rsidP="00F40D32">
      <w:pPr>
        <w:spacing w:after="0" w:line="360" w:lineRule="auto"/>
        <w:rPr>
          <w:rFonts w:eastAsia="Times New Roman" w:cs="Tahoma"/>
          <w:bCs/>
          <w:iCs/>
          <w:color w:val="auto"/>
          <w:sz w:val="24"/>
          <w:szCs w:val="24"/>
          <w:lang w:val="es-ES" w:eastAsia="es-ES"/>
        </w:rPr>
      </w:pPr>
    </w:p>
    <w:p w14:paraId="28E747EA" w14:textId="78F00C1F" w:rsidR="00630576" w:rsidRPr="00341CA1" w:rsidRDefault="004250C8"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val="es-ES" w:eastAsia="es-ES"/>
        </w:rPr>
        <w:t>Ahora bien</w:t>
      </w:r>
      <w:r w:rsidR="00B01879" w:rsidRPr="00341CA1">
        <w:rPr>
          <w:rFonts w:eastAsia="Times New Roman" w:cs="Tahoma"/>
          <w:bCs/>
          <w:iCs/>
          <w:color w:val="auto"/>
          <w:sz w:val="24"/>
          <w:szCs w:val="24"/>
          <w:lang w:val="es-ES" w:eastAsia="es-ES"/>
        </w:rPr>
        <w:t>, y</w:t>
      </w:r>
      <w:r w:rsidRPr="00341CA1">
        <w:rPr>
          <w:rFonts w:eastAsia="Times New Roman" w:cs="Tahoma"/>
          <w:bCs/>
          <w:iCs/>
          <w:color w:val="auto"/>
          <w:sz w:val="24"/>
          <w:szCs w:val="24"/>
          <w:lang w:val="es-ES" w:eastAsia="es-ES"/>
        </w:rPr>
        <w:t xml:space="preserve"> sin menoscabo de lo anterior, </w:t>
      </w:r>
      <w:r w:rsidR="00630576" w:rsidRPr="00341CA1">
        <w:rPr>
          <w:rFonts w:eastAsia="Times New Roman" w:cs="Tahoma"/>
          <w:bCs/>
          <w:iCs/>
          <w:color w:val="auto"/>
          <w:sz w:val="24"/>
          <w:szCs w:val="24"/>
          <w:lang w:val="es-ES" w:eastAsia="es-ES"/>
        </w:rPr>
        <w:t xml:space="preserve">es de recordar </w:t>
      </w:r>
      <w:r w:rsidR="00DF4611" w:rsidRPr="00341CA1">
        <w:rPr>
          <w:rFonts w:eastAsia="Times New Roman" w:cs="Tahoma"/>
          <w:bCs/>
          <w:iCs/>
          <w:color w:val="auto"/>
          <w:sz w:val="24"/>
          <w:szCs w:val="24"/>
          <w:lang w:val="es-ES" w:eastAsia="es-ES"/>
        </w:rPr>
        <w:t xml:space="preserve">que la pretensión de </w:t>
      </w:r>
      <w:r w:rsidR="00E86E4E" w:rsidRPr="00341CA1">
        <w:rPr>
          <w:rFonts w:eastAsia="Times New Roman" w:cs="Tahoma"/>
          <w:bCs/>
          <w:iCs/>
          <w:color w:val="auto"/>
          <w:sz w:val="24"/>
          <w:szCs w:val="24"/>
          <w:lang w:val="es-ES" w:eastAsia="es-ES"/>
        </w:rPr>
        <w:t xml:space="preserve">la </w:t>
      </w:r>
      <w:r w:rsidR="00C65798" w:rsidRPr="00341CA1">
        <w:rPr>
          <w:rFonts w:eastAsia="Times New Roman" w:cs="Tahoma"/>
          <w:bCs/>
          <w:iCs/>
          <w:color w:val="auto"/>
          <w:sz w:val="24"/>
          <w:szCs w:val="24"/>
          <w:lang w:val="es-ES" w:eastAsia="es-ES"/>
        </w:rPr>
        <w:t xml:space="preserve">parte </w:t>
      </w:r>
      <w:r w:rsidR="00E86E4E" w:rsidRPr="00341CA1">
        <w:rPr>
          <w:rFonts w:eastAsia="Times New Roman" w:cs="Tahoma"/>
          <w:bCs/>
          <w:iCs/>
          <w:color w:val="auto"/>
          <w:sz w:val="24"/>
          <w:szCs w:val="24"/>
          <w:lang w:val="es-ES" w:eastAsia="es-ES"/>
        </w:rPr>
        <w:t>Recurrente</w:t>
      </w:r>
      <w:r w:rsidR="009C2849" w:rsidRPr="00341CA1">
        <w:rPr>
          <w:rFonts w:eastAsia="Times New Roman" w:cs="Tahoma"/>
          <w:bCs/>
          <w:iCs/>
          <w:color w:val="auto"/>
          <w:sz w:val="24"/>
          <w:szCs w:val="24"/>
          <w:lang w:val="es-ES" w:eastAsia="es-ES"/>
        </w:rPr>
        <w:t xml:space="preserve"> es acceder a información </w:t>
      </w:r>
      <w:r w:rsidR="00340603" w:rsidRPr="00341CA1">
        <w:rPr>
          <w:rFonts w:eastAsia="Times New Roman" w:cs="Tahoma"/>
          <w:bCs/>
          <w:iCs/>
          <w:color w:val="auto"/>
          <w:sz w:val="24"/>
          <w:szCs w:val="24"/>
          <w:lang w:val="es-ES" w:eastAsia="es-ES"/>
        </w:rPr>
        <w:t xml:space="preserve">respecto </w:t>
      </w:r>
      <w:r w:rsidR="00630576" w:rsidRPr="00341CA1">
        <w:rPr>
          <w:rFonts w:eastAsia="Times New Roman" w:cs="Tahoma"/>
          <w:bCs/>
          <w:iCs/>
          <w:color w:val="auto"/>
          <w:sz w:val="24"/>
          <w:szCs w:val="24"/>
          <w:lang w:val="es-ES" w:eastAsia="es-ES"/>
        </w:rPr>
        <w:t>a la existencia de</w:t>
      </w:r>
      <w:r w:rsidR="00C53072" w:rsidRPr="00341CA1">
        <w:rPr>
          <w:rFonts w:eastAsia="Times New Roman" w:cs="Tahoma"/>
          <w:bCs/>
          <w:iCs/>
          <w:color w:val="auto"/>
          <w:sz w:val="24"/>
          <w:szCs w:val="24"/>
          <w:lang w:val="es-ES" w:eastAsia="es-ES"/>
        </w:rPr>
        <w:t xml:space="preserve"> alguna sentencia definitiva</w:t>
      </w:r>
      <w:r w:rsidR="00C65798" w:rsidRPr="00341CA1">
        <w:rPr>
          <w:rFonts w:eastAsia="Times New Roman" w:cs="Tahoma"/>
          <w:bCs/>
          <w:iCs/>
          <w:color w:val="auto"/>
          <w:sz w:val="24"/>
          <w:szCs w:val="24"/>
          <w:lang w:val="es-ES" w:eastAsia="es-ES"/>
        </w:rPr>
        <w:t xml:space="preserve"> en donde la</w:t>
      </w:r>
      <w:r w:rsidR="00C53072" w:rsidRPr="00341CA1">
        <w:rPr>
          <w:rFonts w:eastAsia="Times New Roman" w:cs="Tahoma"/>
          <w:bCs/>
          <w:iCs/>
          <w:color w:val="auto"/>
          <w:sz w:val="24"/>
          <w:szCs w:val="24"/>
          <w:lang w:val="es-ES" w:eastAsia="es-ES"/>
        </w:rPr>
        <w:t>s</w:t>
      </w:r>
      <w:r w:rsidR="00C65798" w:rsidRPr="00341CA1">
        <w:rPr>
          <w:rFonts w:eastAsia="Times New Roman" w:cs="Tahoma"/>
          <w:bCs/>
          <w:iCs/>
          <w:color w:val="auto"/>
          <w:sz w:val="24"/>
          <w:szCs w:val="24"/>
          <w:lang w:val="es-ES" w:eastAsia="es-ES"/>
        </w:rPr>
        <w:t xml:space="preserve"> persona</w:t>
      </w:r>
      <w:r w:rsidR="00C53072" w:rsidRPr="00341CA1">
        <w:rPr>
          <w:rFonts w:eastAsia="Times New Roman" w:cs="Tahoma"/>
          <w:bCs/>
          <w:iCs/>
          <w:color w:val="auto"/>
          <w:sz w:val="24"/>
          <w:szCs w:val="24"/>
          <w:lang w:val="es-ES" w:eastAsia="es-ES"/>
        </w:rPr>
        <w:t>s</w:t>
      </w:r>
      <w:r w:rsidR="00C65798" w:rsidRPr="00341CA1">
        <w:rPr>
          <w:rFonts w:eastAsia="Times New Roman" w:cs="Tahoma"/>
          <w:bCs/>
          <w:iCs/>
          <w:color w:val="auto"/>
          <w:sz w:val="24"/>
          <w:szCs w:val="24"/>
          <w:lang w:val="es-ES" w:eastAsia="es-ES"/>
        </w:rPr>
        <w:t xml:space="preserve"> referida</w:t>
      </w:r>
      <w:r w:rsidR="00C53072" w:rsidRPr="00341CA1">
        <w:rPr>
          <w:rFonts w:eastAsia="Times New Roman" w:cs="Tahoma"/>
          <w:bCs/>
          <w:iCs/>
          <w:color w:val="auto"/>
          <w:sz w:val="24"/>
          <w:szCs w:val="24"/>
          <w:lang w:val="es-ES" w:eastAsia="es-ES"/>
        </w:rPr>
        <w:t>s</w:t>
      </w:r>
      <w:r w:rsidR="00C65798" w:rsidRPr="00341CA1">
        <w:rPr>
          <w:rFonts w:eastAsia="Times New Roman" w:cs="Tahoma"/>
          <w:bCs/>
          <w:iCs/>
          <w:color w:val="auto"/>
          <w:sz w:val="24"/>
          <w:szCs w:val="24"/>
          <w:lang w:val="es-ES" w:eastAsia="es-ES"/>
        </w:rPr>
        <w:t xml:space="preserve"> en la solicitud de la información haya sido parte del proceso</w:t>
      </w:r>
      <w:r w:rsidR="00630576" w:rsidRPr="00341CA1">
        <w:rPr>
          <w:rFonts w:eastAsia="Times New Roman" w:cs="Tahoma"/>
          <w:bCs/>
          <w:iCs/>
          <w:color w:val="auto"/>
          <w:sz w:val="24"/>
          <w:szCs w:val="24"/>
          <w:lang w:val="es-ES" w:eastAsia="es-ES"/>
        </w:rPr>
        <w:t xml:space="preserve">; </w:t>
      </w:r>
      <w:r w:rsidR="00630576" w:rsidRPr="00341CA1">
        <w:rPr>
          <w:rFonts w:eastAsia="Times New Roman" w:cs="Tahoma"/>
          <w:bCs/>
          <w:iCs/>
          <w:color w:val="auto"/>
          <w:sz w:val="24"/>
          <w:szCs w:val="24"/>
          <w:lang w:eastAsia="es-ES"/>
        </w:rPr>
        <w:t>por lo cual, es necesario analizar si se actualiza alguna causal de clasificación.</w:t>
      </w:r>
    </w:p>
    <w:p w14:paraId="02B58811" w14:textId="69641563" w:rsidR="00630576" w:rsidRPr="00341CA1" w:rsidRDefault="00630576" w:rsidP="00F40D32">
      <w:pPr>
        <w:spacing w:after="0" w:line="360" w:lineRule="auto"/>
        <w:rPr>
          <w:rFonts w:eastAsia="Times New Roman" w:cs="Tahoma"/>
          <w:bCs/>
          <w:iCs/>
          <w:color w:val="auto"/>
          <w:sz w:val="24"/>
          <w:szCs w:val="24"/>
          <w:lang w:val="es-ES" w:eastAsia="es-ES"/>
        </w:rPr>
      </w:pPr>
    </w:p>
    <w:p w14:paraId="4F226EF0" w14:textId="77777777"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En principio, es relevante señalar que la protección de los datos personales se encuentra prevista desde la Constitución Política de los Estados Unidos Mexicanos, que establece lo siguiente:</w:t>
      </w:r>
    </w:p>
    <w:p w14:paraId="7706BD0F" w14:textId="77777777" w:rsidR="007F7BFF" w:rsidRPr="00341CA1" w:rsidRDefault="007F7BFF" w:rsidP="00F40D32">
      <w:pPr>
        <w:spacing w:after="0" w:line="360" w:lineRule="auto"/>
        <w:rPr>
          <w:rFonts w:eastAsia="Times New Roman" w:cs="Tahoma"/>
          <w:bCs/>
          <w:iCs/>
          <w:color w:val="auto"/>
          <w:sz w:val="24"/>
          <w:szCs w:val="24"/>
          <w:lang w:eastAsia="es-ES"/>
        </w:rPr>
      </w:pPr>
    </w:p>
    <w:p w14:paraId="588FDA6A"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Cs/>
          <w:i/>
          <w:iCs/>
          <w:color w:val="auto"/>
          <w:lang w:eastAsia="es-ES"/>
        </w:rPr>
        <w:t>“</w:t>
      </w:r>
      <w:r w:rsidRPr="00341CA1">
        <w:rPr>
          <w:rFonts w:eastAsia="Times New Roman" w:cs="Tahoma"/>
          <w:b/>
          <w:bCs/>
          <w:i/>
          <w:iCs/>
          <w:color w:val="auto"/>
          <w:lang w:eastAsia="es-ES"/>
        </w:rPr>
        <w:t>Artículo 6.</w:t>
      </w:r>
      <w:r w:rsidRPr="00341CA1">
        <w:rPr>
          <w:rFonts w:eastAsia="Times New Roman" w:cs="Tahoma"/>
          <w:bCs/>
          <w:i/>
          <w:iCs/>
          <w:color w:val="auto"/>
          <w:lang w:eastAsia="es-E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21BAF8FD"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p>
    <w:p w14:paraId="1CEECBA4"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
          <w:bCs/>
          <w:i/>
          <w:iCs/>
          <w:color w:val="auto"/>
          <w:lang w:eastAsia="es-ES"/>
        </w:rPr>
        <w:t>A.</w:t>
      </w:r>
      <w:r w:rsidRPr="00341CA1">
        <w:rPr>
          <w:rFonts w:eastAsia="Times New Roman" w:cs="Tahoma"/>
          <w:bCs/>
          <w:i/>
          <w:iCs/>
          <w:color w:val="auto"/>
          <w:lang w:eastAsia="es-ES"/>
        </w:rPr>
        <w:t xml:space="preserve"> Para el ejercicio del derecho de acceso a la información, la Federación, los Estados y el Distrito Federal, en el ámbito de sus respectivas competencias, se regirán por los siguientes principios y bases:</w:t>
      </w:r>
    </w:p>
    <w:p w14:paraId="1007223B"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Cs/>
          <w:i/>
          <w:iCs/>
          <w:color w:val="auto"/>
          <w:lang w:eastAsia="es-ES"/>
        </w:rPr>
        <w:t>…</w:t>
      </w:r>
    </w:p>
    <w:p w14:paraId="7CB8E821"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
          <w:bCs/>
          <w:i/>
          <w:iCs/>
          <w:color w:val="auto"/>
          <w:lang w:eastAsia="es-ES"/>
        </w:rPr>
        <w:t>II. La información que se refiere a la vida privada y los datos personales será protegida en los términos y con las excepciones que fijen las leyes.</w:t>
      </w:r>
    </w:p>
    <w:p w14:paraId="5CAE2AC1"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Cs/>
          <w:i/>
          <w:iCs/>
          <w:color w:val="auto"/>
          <w:lang w:eastAsia="es-ES"/>
        </w:rPr>
        <w:t>…</w:t>
      </w:r>
    </w:p>
    <w:p w14:paraId="20AB1631" w14:textId="77777777"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
          <w:bCs/>
          <w:i/>
          <w:iCs/>
          <w:color w:val="auto"/>
          <w:lang w:eastAsia="es-ES"/>
        </w:rPr>
        <w:t>Artículo 16.</w:t>
      </w:r>
      <w:r w:rsidRPr="00341CA1">
        <w:rPr>
          <w:rFonts w:eastAsia="Times New Roman" w:cs="Tahoma"/>
          <w:bCs/>
          <w:i/>
          <w:iCs/>
          <w:color w:val="auto"/>
          <w:lang w:eastAsia="es-ES"/>
        </w:rPr>
        <w:t xml:space="preserve"> …</w:t>
      </w:r>
    </w:p>
    <w:p w14:paraId="4C4B86AD" w14:textId="5D31E82E" w:rsidR="007F7BFF" w:rsidRPr="00341CA1" w:rsidRDefault="007F7BFF" w:rsidP="00C53072">
      <w:pPr>
        <w:spacing w:after="0" w:line="240" w:lineRule="auto"/>
        <w:ind w:left="567" w:right="567"/>
        <w:contextualSpacing/>
        <w:rPr>
          <w:rFonts w:eastAsia="Times New Roman" w:cs="Tahoma"/>
          <w:bCs/>
          <w:i/>
          <w:iCs/>
          <w:color w:val="auto"/>
          <w:lang w:eastAsia="es-ES"/>
        </w:rPr>
      </w:pPr>
      <w:r w:rsidRPr="00341CA1">
        <w:rPr>
          <w:rFonts w:eastAsia="Times New Roman" w:cs="Tahoma"/>
          <w:b/>
          <w:bCs/>
          <w:i/>
          <w:iCs/>
          <w:color w:val="auto"/>
          <w:lang w:eastAsia="es-ES"/>
        </w:rPr>
        <w:t>Toda persona tiene derecho a la protección de sus datos personales</w:t>
      </w:r>
      <w:r w:rsidRPr="00341CA1">
        <w:rPr>
          <w:rFonts w:eastAsia="Times New Roman" w:cs="Tahoma"/>
          <w:bCs/>
          <w:i/>
          <w:iCs/>
          <w:color w:val="auto"/>
          <w:lang w:eastAsia="es-E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roofErr w:type="gramStart"/>
      <w:r w:rsidR="00C53072" w:rsidRPr="00341CA1">
        <w:rPr>
          <w:rFonts w:eastAsia="Times New Roman" w:cs="Tahoma"/>
          <w:bCs/>
          <w:i/>
          <w:iCs/>
          <w:color w:val="auto"/>
          <w:lang w:eastAsia="es-ES"/>
        </w:rPr>
        <w:t>…</w:t>
      </w:r>
      <w:r w:rsidRPr="00341CA1">
        <w:rPr>
          <w:rFonts w:eastAsia="Times New Roman" w:cs="Tahoma"/>
          <w:bCs/>
          <w:i/>
          <w:iCs/>
          <w:color w:val="auto"/>
          <w:lang w:eastAsia="es-ES"/>
        </w:rPr>
        <w:t>”</w:t>
      </w:r>
      <w:r w:rsidR="00C53072" w:rsidRPr="00341CA1">
        <w:rPr>
          <w:rFonts w:eastAsia="Times New Roman" w:cs="Tahoma"/>
          <w:bCs/>
          <w:i/>
          <w:iCs/>
          <w:color w:val="auto"/>
          <w:lang w:eastAsia="es-ES"/>
        </w:rPr>
        <w:t>(</w:t>
      </w:r>
      <w:proofErr w:type="gramEnd"/>
      <w:r w:rsidR="00C53072" w:rsidRPr="00341CA1">
        <w:rPr>
          <w:rFonts w:eastAsia="Times New Roman" w:cs="Tahoma"/>
          <w:bCs/>
          <w:i/>
          <w:iCs/>
          <w:color w:val="auto"/>
          <w:lang w:eastAsia="es-ES"/>
        </w:rPr>
        <w:t>Sic)</w:t>
      </w:r>
    </w:p>
    <w:p w14:paraId="087A89E5" w14:textId="77777777" w:rsidR="007F7BFF" w:rsidRPr="00341CA1" w:rsidRDefault="007F7BFF" w:rsidP="00C65798">
      <w:pPr>
        <w:spacing w:after="0" w:line="276" w:lineRule="auto"/>
        <w:rPr>
          <w:rFonts w:eastAsia="Times New Roman" w:cs="Tahoma"/>
          <w:bCs/>
          <w:iCs/>
          <w:color w:val="auto"/>
          <w:szCs w:val="24"/>
          <w:lang w:eastAsia="es-ES"/>
        </w:rPr>
      </w:pPr>
    </w:p>
    <w:p w14:paraId="6008D102" w14:textId="42B4E1DC"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De la misma manera, el artículo 5° p</w:t>
      </w:r>
      <w:r w:rsidR="00141D9D" w:rsidRPr="00341CA1">
        <w:rPr>
          <w:rFonts w:eastAsia="Times New Roman" w:cs="Tahoma"/>
          <w:bCs/>
          <w:iCs/>
          <w:color w:val="auto"/>
          <w:sz w:val="24"/>
          <w:szCs w:val="24"/>
          <w:lang w:eastAsia="es-ES"/>
        </w:rPr>
        <w:t>árrafo primero, vigésimo sexto</w:t>
      </w:r>
      <w:r w:rsidRPr="00341CA1">
        <w:rPr>
          <w:rFonts w:eastAsia="Times New Roman" w:cs="Tahoma"/>
          <w:bCs/>
          <w:iCs/>
          <w:color w:val="auto"/>
          <w:sz w:val="24"/>
          <w:szCs w:val="24"/>
          <w:lang w:eastAsia="es-ES"/>
        </w:rPr>
        <w:t xml:space="preserve">, </w:t>
      </w:r>
      <w:r w:rsidR="00141D9D" w:rsidRPr="00341CA1">
        <w:rPr>
          <w:rFonts w:eastAsia="Times New Roman" w:cs="Tahoma"/>
          <w:bCs/>
          <w:iCs/>
          <w:color w:val="auto"/>
          <w:sz w:val="24"/>
          <w:szCs w:val="24"/>
          <w:lang w:eastAsia="es-ES"/>
        </w:rPr>
        <w:t>trigésimo cuarto</w:t>
      </w:r>
      <w:r w:rsidRPr="00341CA1">
        <w:rPr>
          <w:rFonts w:eastAsia="Times New Roman" w:cs="Tahoma"/>
          <w:bCs/>
          <w:iCs/>
          <w:color w:val="auto"/>
          <w:sz w:val="24"/>
          <w:szCs w:val="24"/>
          <w:lang w:eastAsia="es-ES"/>
        </w:rPr>
        <w:t xml:space="preserve"> y trigésimo</w:t>
      </w:r>
      <w:r w:rsidR="00141D9D" w:rsidRPr="00341CA1">
        <w:rPr>
          <w:rFonts w:eastAsia="Times New Roman" w:cs="Tahoma"/>
          <w:bCs/>
          <w:iCs/>
          <w:color w:val="auto"/>
          <w:sz w:val="24"/>
          <w:szCs w:val="24"/>
          <w:lang w:eastAsia="es-ES"/>
        </w:rPr>
        <w:t xml:space="preserve"> quinto</w:t>
      </w:r>
      <w:r w:rsidRPr="00341CA1">
        <w:rPr>
          <w:rFonts w:eastAsia="Times New Roman" w:cs="Tahoma"/>
          <w:bCs/>
          <w:iCs/>
          <w:color w:val="auto"/>
          <w:sz w:val="24"/>
          <w:szCs w:val="24"/>
          <w:lang w:eastAsia="es-ES"/>
        </w:rPr>
        <w:t>, de la Constitución Política del Estado Libre y Soberano de México, precisa lo siguiente:</w:t>
      </w:r>
    </w:p>
    <w:p w14:paraId="4D472A1E" w14:textId="77777777" w:rsidR="007F7BFF" w:rsidRPr="00341CA1" w:rsidRDefault="007F7BFF" w:rsidP="00C65798">
      <w:pPr>
        <w:spacing w:after="0" w:line="276" w:lineRule="auto"/>
        <w:rPr>
          <w:rFonts w:eastAsia="Times New Roman" w:cs="Tahoma"/>
          <w:bCs/>
          <w:iCs/>
          <w:color w:val="auto"/>
          <w:sz w:val="24"/>
          <w:szCs w:val="24"/>
          <w:lang w:eastAsia="es-ES"/>
        </w:rPr>
      </w:pPr>
    </w:p>
    <w:p w14:paraId="3E27AC6C"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
          <w:bCs/>
          <w:i/>
          <w:iCs/>
          <w:color w:val="auto"/>
          <w:szCs w:val="24"/>
          <w:lang w:eastAsia="es-ES"/>
        </w:rPr>
        <w:t>“Artículo 5.-</w:t>
      </w:r>
      <w:r w:rsidRPr="00341CA1">
        <w:rPr>
          <w:rFonts w:eastAsia="Times New Roman" w:cs="Tahoma"/>
          <w:bCs/>
          <w:iCs/>
          <w:color w:val="auto"/>
          <w:szCs w:val="24"/>
          <w:lang w:eastAsia="es-ES"/>
        </w:rPr>
        <w:t xml:space="preserve"> </w:t>
      </w:r>
      <w:r w:rsidRPr="00341CA1">
        <w:rPr>
          <w:rFonts w:eastAsia="Times New Roman" w:cs="Tahoma"/>
          <w:bCs/>
          <w:i/>
          <w:iCs/>
          <w:color w:val="auto"/>
          <w:szCs w:val="24"/>
          <w:lang w:eastAsia="es-ES"/>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w:t>
      </w:r>
      <w:r w:rsidRPr="00341CA1">
        <w:rPr>
          <w:rFonts w:eastAsia="Times New Roman" w:cs="Tahoma"/>
          <w:b/>
          <w:bCs/>
          <w:i/>
          <w:iCs/>
          <w:color w:val="auto"/>
          <w:szCs w:val="24"/>
          <w:lang w:eastAsia="es-ES"/>
        </w:rPr>
        <w:t>por lo que gozarán de las garantías para su protección</w:t>
      </w:r>
      <w:r w:rsidRPr="00341CA1">
        <w:rPr>
          <w:rFonts w:eastAsia="Times New Roman" w:cs="Tahoma"/>
          <w:bCs/>
          <w:i/>
          <w:iCs/>
          <w:color w:val="auto"/>
          <w:szCs w:val="24"/>
          <w:lang w:eastAsia="es-ES"/>
        </w:rPr>
        <w:t>, las cuales no podrán restringirse ni suspenderse salvo en los casos y bajo las condiciones que la Constitución Política de los Estados Unidos Mexicanos establece.</w:t>
      </w:r>
    </w:p>
    <w:p w14:paraId="130E77D0"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w:t>
      </w:r>
    </w:p>
    <w:p w14:paraId="2D173277"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6DF7D924"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w:t>
      </w:r>
    </w:p>
    <w:p w14:paraId="58523915"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64AFF8"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p>
    <w:p w14:paraId="62BFB906"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Este derecho se regirá por los principios y bases siguientes:</w:t>
      </w:r>
    </w:p>
    <w:p w14:paraId="702A05A6" w14:textId="77777777" w:rsidR="007F7BFF" w:rsidRPr="00341CA1" w:rsidRDefault="007F7BFF"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w:t>
      </w:r>
    </w:p>
    <w:p w14:paraId="69757286" w14:textId="194F81EB" w:rsidR="007F7BFF" w:rsidRPr="00341CA1" w:rsidRDefault="00141D9D" w:rsidP="00C53072">
      <w:pPr>
        <w:spacing w:after="0" w:line="240" w:lineRule="auto"/>
        <w:ind w:left="567" w:right="567"/>
        <w:contextualSpacing/>
        <w:rPr>
          <w:rFonts w:eastAsia="Times New Roman" w:cs="Tahoma"/>
          <w:bCs/>
          <w:i/>
          <w:iCs/>
          <w:color w:val="auto"/>
          <w:szCs w:val="24"/>
          <w:lang w:eastAsia="es-ES"/>
        </w:rPr>
      </w:pPr>
      <w:r w:rsidRPr="00341CA1">
        <w:rPr>
          <w:rFonts w:eastAsia="Times New Roman" w:cs="Tahoma"/>
          <w:bCs/>
          <w:i/>
          <w:iCs/>
          <w:color w:val="auto"/>
          <w:szCs w:val="24"/>
          <w:lang w:eastAsia="es-ES"/>
        </w:rPr>
        <w:t>II. La información referente a la intimidad de la vida privada y la imagen de las personas será protegida a través de un marco jurídico rígido de tratamiento y manejo de datos personales, con las excepciones que establezca la ley reglamentaria</w:t>
      </w:r>
      <w:r w:rsidR="007F7BFF" w:rsidRPr="00341CA1">
        <w:rPr>
          <w:rFonts w:eastAsia="Times New Roman" w:cs="Tahoma"/>
          <w:bCs/>
          <w:i/>
          <w:iCs/>
          <w:color w:val="auto"/>
          <w:szCs w:val="24"/>
          <w:lang w:eastAsia="es-ES"/>
        </w:rPr>
        <w:t>…”</w:t>
      </w:r>
    </w:p>
    <w:p w14:paraId="59B779B6" w14:textId="77777777" w:rsidR="007F7BFF" w:rsidRPr="00341CA1" w:rsidRDefault="007F7BFF" w:rsidP="00C53072">
      <w:pPr>
        <w:spacing w:after="0" w:line="240" w:lineRule="auto"/>
        <w:contextualSpacing/>
        <w:rPr>
          <w:rFonts w:eastAsia="Times New Roman" w:cs="Tahoma"/>
          <w:bCs/>
          <w:iCs/>
          <w:color w:val="auto"/>
          <w:szCs w:val="24"/>
          <w:lang w:eastAsia="es-ES"/>
        </w:rPr>
      </w:pPr>
    </w:p>
    <w:p w14:paraId="6EC51EB2" w14:textId="6B8A08B4"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w:t>
      </w:r>
      <w:r w:rsidR="00C65798" w:rsidRPr="00341CA1">
        <w:rPr>
          <w:rFonts w:eastAsia="Times New Roman" w:cs="Tahoma"/>
          <w:bCs/>
          <w:iCs/>
          <w:color w:val="auto"/>
          <w:sz w:val="24"/>
          <w:szCs w:val="24"/>
          <w:lang w:eastAsia="es-ES"/>
        </w:rPr>
        <w:t>,</w:t>
      </w:r>
      <w:r w:rsidRPr="00341CA1">
        <w:rPr>
          <w:rFonts w:eastAsia="Times New Roman" w:cs="Tahoma"/>
          <w:bCs/>
          <w:iCs/>
          <w:color w:val="auto"/>
          <w:sz w:val="24"/>
          <w:szCs w:val="24"/>
          <w:lang w:eastAsia="es-ES"/>
        </w:rPr>
        <w:t xml:space="preserve"> toda persona tiene derecho a la protección de sus datos personales.</w:t>
      </w:r>
    </w:p>
    <w:p w14:paraId="1B377BDE" w14:textId="77777777" w:rsidR="007F7BFF" w:rsidRPr="00341CA1" w:rsidRDefault="007F7BFF" w:rsidP="00F40D32">
      <w:pPr>
        <w:spacing w:after="0" w:line="360" w:lineRule="auto"/>
        <w:rPr>
          <w:rFonts w:eastAsia="Times New Roman" w:cs="Tahoma"/>
          <w:bCs/>
          <w:iCs/>
          <w:color w:val="auto"/>
          <w:sz w:val="24"/>
          <w:szCs w:val="24"/>
          <w:lang w:eastAsia="es-ES"/>
        </w:rPr>
      </w:pPr>
    </w:p>
    <w:p w14:paraId="3A97A806" w14:textId="77777777"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lastRenderedPageBreak/>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6715C6BE" w14:textId="77777777" w:rsidR="007F7BFF" w:rsidRPr="00341CA1" w:rsidRDefault="007F7BFF" w:rsidP="00F40D32">
      <w:pPr>
        <w:spacing w:after="0" w:line="360" w:lineRule="auto"/>
        <w:rPr>
          <w:rFonts w:eastAsia="Times New Roman" w:cs="Tahoma"/>
          <w:bCs/>
          <w:iCs/>
          <w:color w:val="auto"/>
          <w:sz w:val="24"/>
          <w:szCs w:val="24"/>
          <w:lang w:eastAsia="es-ES"/>
        </w:rPr>
      </w:pPr>
    </w:p>
    <w:p w14:paraId="49765BB0" w14:textId="77777777"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En concordancia de lo anterior, el artículo 116 y 120 de la Ley General de Transparencia, prevé:</w:t>
      </w:r>
    </w:p>
    <w:p w14:paraId="5CA841A8" w14:textId="77777777" w:rsidR="007F7BFF" w:rsidRPr="00341CA1" w:rsidRDefault="007F7BFF" w:rsidP="00F40D32">
      <w:pPr>
        <w:spacing w:after="0" w:line="360" w:lineRule="auto"/>
        <w:rPr>
          <w:rFonts w:eastAsia="Times New Roman" w:cs="Tahoma"/>
          <w:bCs/>
          <w:iCs/>
          <w:color w:val="auto"/>
          <w:sz w:val="24"/>
          <w:szCs w:val="24"/>
          <w:lang w:eastAsia="es-ES"/>
        </w:rPr>
      </w:pPr>
    </w:p>
    <w:p w14:paraId="3DEBB840"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
          <w:bCs/>
          <w:i/>
          <w:iCs/>
          <w:color w:val="auto"/>
          <w:szCs w:val="24"/>
          <w:lang w:eastAsia="es-ES"/>
        </w:rPr>
        <w:t>“Artículo 116.</w:t>
      </w:r>
      <w:r w:rsidRPr="00341CA1">
        <w:rPr>
          <w:rFonts w:eastAsia="Times New Roman" w:cs="Tahoma"/>
          <w:bCs/>
          <w:i/>
          <w:iCs/>
          <w:color w:val="auto"/>
          <w:szCs w:val="24"/>
          <w:lang w:eastAsia="es-ES"/>
        </w:rPr>
        <w:t xml:space="preserve"> Se considera información confidencial la que contiene datos personales concernientes a una persona identificada o identificable.</w:t>
      </w:r>
    </w:p>
    <w:p w14:paraId="17085082"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w:t>
      </w:r>
    </w:p>
    <w:p w14:paraId="35055C3A"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
          <w:bCs/>
          <w:i/>
          <w:iCs/>
          <w:color w:val="auto"/>
          <w:szCs w:val="24"/>
          <w:lang w:eastAsia="es-ES"/>
        </w:rPr>
        <w:t>Artículo 120.</w:t>
      </w:r>
      <w:r w:rsidRPr="00341CA1">
        <w:rPr>
          <w:rFonts w:eastAsia="Times New Roman" w:cs="Tahoma"/>
          <w:bCs/>
          <w:i/>
          <w:iCs/>
          <w:color w:val="auto"/>
          <w:szCs w:val="24"/>
          <w:lang w:eastAsia="es-ES"/>
        </w:rPr>
        <w:t xml:space="preserve"> Para que los sujetos obligados puedan permitir el acceso a información confidencial requieren obtener el consentimiento de los particulares titulares de la información. </w:t>
      </w:r>
    </w:p>
    <w:p w14:paraId="29AFDE1C" w14:textId="77777777" w:rsidR="007F7BFF" w:rsidRPr="00341CA1" w:rsidRDefault="007F7BFF" w:rsidP="00C65798">
      <w:pPr>
        <w:spacing w:after="0" w:line="276" w:lineRule="auto"/>
        <w:ind w:left="567" w:right="567"/>
        <w:rPr>
          <w:rFonts w:eastAsia="Times New Roman" w:cs="Tahoma"/>
          <w:bCs/>
          <w:i/>
          <w:iCs/>
          <w:color w:val="auto"/>
          <w:szCs w:val="24"/>
          <w:lang w:eastAsia="es-ES"/>
        </w:rPr>
      </w:pPr>
    </w:p>
    <w:p w14:paraId="5AE8A51F"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No se requerirá el consentimiento del titular de la información confidencial cuando: </w:t>
      </w:r>
    </w:p>
    <w:p w14:paraId="49E26309" w14:textId="77777777" w:rsidR="007F7BFF" w:rsidRPr="00341CA1" w:rsidRDefault="007F7BFF" w:rsidP="00C65798">
      <w:pPr>
        <w:spacing w:after="0" w:line="276" w:lineRule="auto"/>
        <w:ind w:left="567" w:right="567"/>
        <w:rPr>
          <w:rFonts w:eastAsia="Times New Roman" w:cs="Tahoma"/>
          <w:bCs/>
          <w:i/>
          <w:iCs/>
          <w:color w:val="auto"/>
          <w:szCs w:val="24"/>
          <w:lang w:eastAsia="es-ES"/>
        </w:rPr>
      </w:pPr>
    </w:p>
    <w:p w14:paraId="0CFE2AC9"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 La información se encuentre en registros públicos o fuentes de acceso público; </w:t>
      </w:r>
    </w:p>
    <w:p w14:paraId="0DBC24AF"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II. Por ley tenga el carácter de pública; </w:t>
      </w:r>
    </w:p>
    <w:p w14:paraId="05D801E1"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III. Exista una orden judicial; </w:t>
      </w:r>
    </w:p>
    <w:p w14:paraId="4ACCBFF9"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IV. Por razones de seguridad nacional y salubridad general, o para proteger los derechos de terceros, se requiera su publicación, o </w:t>
      </w:r>
    </w:p>
    <w:p w14:paraId="5235DB15" w14:textId="491CB4B0"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V. Cuando se transmita entre sujetos obligados y entre éstos y los sujetos de derecho internacional, en términos de los tratados y los acuerdos interinstitucionales, siempre y cuando la información se utilice para el ejercicio de f</w:t>
      </w:r>
      <w:r w:rsidR="00141D9D" w:rsidRPr="00341CA1">
        <w:rPr>
          <w:rFonts w:eastAsia="Times New Roman" w:cs="Tahoma"/>
          <w:bCs/>
          <w:i/>
          <w:iCs/>
          <w:color w:val="auto"/>
          <w:szCs w:val="24"/>
          <w:lang w:eastAsia="es-ES"/>
        </w:rPr>
        <w:t>acultades propias de los mismos</w:t>
      </w:r>
      <w:r w:rsidRPr="00341CA1">
        <w:rPr>
          <w:rFonts w:eastAsia="Times New Roman" w:cs="Tahoma"/>
          <w:bCs/>
          <w:i/>
          <w:iCs/>
          <w:color w:val="auto"/>
          <w:szCs w:val="24"/>
          <w:lang w:eastAsia="es-ES"/>
        </w:rPr>
        <w:t>…”</w:t>
      </w:r>
    </w:p>
    <w:p w14:paraId="7722A65E" w14:textId="77777777" w:rsidR="007F7BFF" w:rsidRPr="00341CA1" w:rsidRDefault="007F7BFF" w:rsidP="00F40D32">
      <w:pPr>
        <w:spacing w:after="0" w:line="360" w:lineRule="auto"/>
        <w:rPr>
          <w:rFonts w:eastAsia="Times New Roman" w:cs="Tahoma"/>
          <w:bCs/>
          <w:iCs/>
          <w:color w:val="auto"/>
          <w:sz w:val="24"/>
          <w:szCs w:val="24"/>
          <w:lang w:eastAsia="es-ES"/>
        </w:rPr>
      </w:pPr>
    </w:p>
    <w:p w14:paraId="706AF449" w14:textId="667B57CB" w:rsidR="007F7BFF" w:rsidRPr="00341CA1" w:rsidRDefault="007F7BFF"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Situación que retoma de manera similar la Ley Estatal de Transparencia, en los artículos 143, fracción I, 147 y 148, que señalan:</w:t>
      </w:r>
    </w:p>
    <w:p w14:paraId="5C8DE3DB" w14:textId="77777777" w:rsidR="00920CD4" w:rsidRPr="00341CA1" w:rsidRDefault="00920CD4" w:rsidP="00F40D32">
      <w:pPr>
        <w:spacing w:after="0" w:line="360" w:lineRule="auto"/>
        <w:rPr>
          <w:rFonts w:eastAsia="Times New Roman" w:cs="Tahoma"/>
          <w:bCs/>
          <w:iCs/>
          <w:color w:val="auto"/>
          <w:sz w:val="24"/>
          <w:szCs w:val="24"/>
          <w:lang w:eastAsia="es-ES"/>
        </w:rPr>
      </w:pPr>
    </w:p>
    <w:p w14:paraId="522A947F" w14:textId="77777777" w:rsidR="007F7BFF" w:rsidRPr="00341CA1" w:rsidRDefault="007F7BFF" w:rsidP="00C65798">
      <w:pPr>
        <w:spacing w:after="0" w:line="276" w:lineRule="auto"/>
        <w:ind w:left="567" w:right="567"/>
        <w:rPr>
          <w:rFonts w:eastAsia="Times New Roman" w:cs="Tahoma"/>
          <w:b/>
          <w:bCs/>
          <w:i/>
          <w:iCs/>
          <w:color w:val="auto"/>
          <w:szCs w:val="24"/>
          <w:lang w:eastAsia="es-ES"/>
        </w:rPr>
      </w:pPr>
      <w:r w:rsidRPr="00341CA1">
        <w:rPr>
          <w:rFonts w:eastAsia="Times New Roman" w:cs="Tahoma"/>
          <w:b/>
          <w:bCs/>
          <w:i/>
          <w:iCs/>
          <w:color w:val="auto"/>
          <w:szCs w:val="24"/>
          <w:lang w:eastAsia="es-ES"/>
        </w:rPr>
        <w:t xml:space="preserve">“Artículo 143. </w:t>
      </w:r>
      <w:r w:rsidRPr="00341CA1">
        <w:rPr>
          <w:rFonts w:eastAsia="Times New Roman" w:cs="Tahoma"/>
          <w:bCs/>
          <w:i/>
          <w:iCs/>
          <w:color w:val="auto"/>
          <w:szCs w:val="24"/>
          <w:lang w:eastAsia="es-ES"/>
        </w:rPr>
        <w:t>Para los efectos de esta Ley se considera información confidencial, la clasificada como tal, de manera permanente, por su naturaleza, cuando:</w:t>
      </w:r>
      <w:r w:rsidRPr="00341CA1">
        <w:rPr>
          <w:rFonts w:eastAsia="Times New Roman" w:cs="Tahoma"/>
          <w:b/>
          <w:bCs/>
          <w:i/>
          <w:iCs/>
          <w:color w:val="auto"/>
          <w:szCs w:val="24"/>
          <w:lang w:eastAsia="es-ES"/>
        </w:rPr>
        <w:t xml:space="preserve"> </w:t>
      </w:r>
    </w:p>
    <w:p w14:paraId="468FAF44" w14:textId="77777777" w:rsidR="007F7BFF" w:rsidRPr="00341CA1" w:rsidRDefault="007F7BFF" w:rsidP="00C65798">
      <w:pPr>
        <w:spacing w:after="0" w:line="276" w:lineRule="auto"/>
        <w:ind w:left="567" w:right="567"/>
        <w:rPr>
          <w:rFonts w:eastAsia="Times New Roman" w:cs="Tahoma"/>
          <w:b/>
          <w:bCs/>
          <w:i/>
          <w:iCs/>
          <w:color w:val="auto"/>
          <w:szCs w:val="24"/>
          <w:lang w:eastAsia="es-ES"/>
        </w:rPr>
      </w:pPr>
    </w:p>
    <w:p w14:paraId="1143A975"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I. Se refiera a la información privada y los datos personales concernientes a una persona física o jurídica colectiva identificada o identificable;</w:t>
      </w:r>
    </w:p>
    <w:p w14:paraId="6BC8BA9A"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w:t>
      </w:r>
    </w:p>
    <w:p w14:paraId="0EABA2A1"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
          <w:bCs/>
          <w:i/>
          <w:iCs/>
          <w:color w:val="auto"/>
          <w:szCs w:val="24"/>
          <w:lang w:eastAsia="es-ES"/>
        </w:rPr>
        <w:t>Artículo 147.</w:t>
      </w:r>
      <w:r w:rsidRPr="00341CA1">
        <w:rPr>
          <w:rFonts w:eastAsia="Times New Roman" w:cs="Tahoma"/>
          <w:bCs/>
          <w:i/>
          <w:iCs/>
          <w:color w:val="auto"/>
          <w:szCs w:val="24"/>
          <w:lang w:eastAsia="es-ES"/>
        </w:rPr>
        <w:t xml:space="preserve"> Para que los sujetos obligados puedan permitir el acceso a información confidencial requieren obtener el consentimiento de los particulares titulares de la información. </w:t>
      </w:r>
    </w:p>
    <w:p w14:paraId="698AB78D" w14:textId="77777777" w:rsidR="007F7BFF" w:rsidRPr="00341CA1" w:rsidRDefault="007F7BFF" w:rsidP="00C65798">
      <w:pPr>
        <w:spacing w:after="0" w:line="276" w:lineRule="auto"/>
        <w:ind w:left="567" w:right="567"/>
        <w:rPr>
          <w:rFonts w:eastAsia="Times New Roman" w:cs="Tahoma"/>
          <w:bCs/>
          <w:i/>
          <w:iCs/>
          <w:color w:val="auto"/>
          <w:szCs w:val="24"/>
          <w:lang w:eastAsia="es-ES"/>
        </w:rPr>
      </w:pPr>
    </w:p>
    <w:p w14:paraId="09B09DDA"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
          <w:bCs/>
          <w:i/>
          <w:iCs/>
          <w:color w:val="auto"/>
          <w:szCs w:val="24"/>
          <w:lang w:eastAsia="es-ES"/>
        </w:rPr>
        <w:t xml:space="preserve">Artículo 148. </w:t>
      </w:r>
      <w:r w:rsidRPr="00341CA1">
        <w:rPr>
          <w:rFonts w:eastAsia="Times New Roman" w:cs="Tahoma"/>
          <w:bCs/>
          <w:i/>
          <w:iCs/>
          <w:color w:val="auto"/>
          <w:szCs w:val="24"/>
          <w:lang w:eastAsia="es-ES"/>
        </w:rPr>
        <w:t xml:space="preserve">No se requerirá el consentimiento del titular de la información confidencial cuando: </w:t>
      </w:r>
    </w:p>
    <w:p w14:paraId="57A470D0" w14:textId="77777777" w:rsidR="007F7BFF" w:rsidRPr="00341CA1" w:rsidRDefault="007F7BFF" w:rsidP="00C65798">
      <w:pPr>
        <w:spacing w:after="0" w:line="276" w:lineRule="auto"/>
        <w:ind w:left="567" w:right="567"/>
        <w:rPr>
          <w:rFonts w:eastAsia="Times New Roman" w:cs="Tahoma"/>
          <w:bCs/>
          <w:i/>
          <w:iCs/>
          <w:color w:val="auto"/>
          <w:szCs w:val="24"/>
          <w:lang w:eastAsia="es-ES"/>
        </w:rPr>
      </w:pPr>
    </w:p>
    <w:p w14:paraId="5A88B361"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 La información se encuentre en registros públicos o fuentes de acceso público; </w:t>
      </w:r>
    </w:p>
    <w:p w14:paraId="6769C923" w14:textId="19FD1C52"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II. Por Ley tenga el carácter de pública;</w:t>
      </w:r>
      <w:r w:rsidR="00C65798" w:rsidRPr="00341CA1">
        <w:rPr>
          <w:rFonts w:eastAsia="Times New Roman" w:cs="Tahoma"/>
          <w:bCs/>
          <w:i/>
          <w:iCs/>
          <w:color w:val="auto"/>
          <w:szCs w:val="24"/>
          <w:lang w:eastAsia="es-ES"/>
        </w:rPr>
        <w:t xml:space="preserve"> </w:t>
      </w:r>
    </w:p>
    <w:p w14:paraId="605621D3"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III. Exista una orden judicial; </w:t>
      </w:r>
    </w:p>
    <w:p w14:paraId="635C7AE2" w14:textId="77777777"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 xml:space="preserve">IV. Por razones de seguridad pública, o para proteger los derechos de terceros, se requiera su publicación; o </w:t>
      </w:r>
    </w:p>
    <w:p w14:paraId="3EFA9AEF" w14:textId="3E6FFC34" w:rsidR="007F7BFF" w:rsidRPr="00341CA1" w:rsidRDefault="007F7BFF" w:rsidP="00C65798">
      <w:pPr>
        <w:spacing w:after="0" w:line="276" w:lineRule="auto"/>
        <w:ind w:left="567" w:right="567"/>
        <w:rPr>
          <w:rFonts w:eastAsia="Times New Roman" w:cs="Tahoma"/>
          <w:bCs/>
          <w:i/>
          <w:iCs/>
          <w:color w:val="auto"/>
          <w:szCs w:val="24"/>
          <w:lang w:eastAsia="es-ES"/>
        </w:rPr>
      </w:pPr>
      <w:r w:rsidRPr="00341CA1">
        <w:rPr>
          <w:rFonts w:eastAsia="Times New Roman" w:cs="Tahoma"/>
          <w:bCs/>
          <w:i/>
          <w:iCs/>
          <w:color w:val="auto"/>
          <w:szCs w:val="24"/>
          <w:lang w:eastAsia="es-ES"/>
        </w:rPr>
        <w:t>V. Cuando se transmita entre sujetos obligados y entre éstos y los sujetos de derecho internacional, en términos de los tratados y los acuerdos interinstitucionales, siempre y cuando la información se utilice para el ejercicio de f</w:t>
      </w:r>
      <w:r w:rsidR="00141D9D" w:rsidRPr="00341CA1">
        <w:rPr>
          <w:rFonts w:eastAsia="Times New Roman" w:cs="Tahoma"/>
          <w:bCs/>
          <w:i/>
          <w:iCs/>
          <w:color w:val="auto"/>
          <w:szCs w:val="24"/>
          <w:lang w:eastAsia="es-ES"/>
        </w:rPr>
        <w:t>acultades propias de los mismos</w:t>
      </w:r>
      <w:r w:rsidRPr="00341CA1">
        <w:rPr>
          <w:rFonts w:eastAsia="Times New Roman" w:cs="Tahoma"/>
          <w:bCs/>
          <w:i/>
          <w:iCs/>
          <w:color w:val="auto"/>
          <w:szCs w:val="24"/>
          <w:lang w:eastAsia="es-ES"/>
        </w:rPr>
        <w:t>…”</w:t>
      </w:r>
    </w:p>
    <w:p w14:paraId="2F1685BD" w14:textId="77777777" w:rsidR="007F7BFF" w:rsidRPr="00341CA1" w:rsidRDefault="007F7BFF" w:rsidP="00F40D32">
      <w:pPr>
        <w:spacing w:after="0" w:line="360" w:lineRule="auto"/>
        <w:rPr>
          <w:rFonts w:eastAsia="Times New Roman" w:cs="Tahoma"/>
          <w:bCs/>
          <w:iCs/>
          <w:color w:val="auto"/>
          <w:sz w:val="24"/>
          <w:szCs w:val="24"/>
          <w:lang w:eastAsia="es-ES"/>
        </w:rPr>
      </w:pPr>
    </w:p>
    <w:p w14:paraId="0E155F02" w14:textId="77777777" w:rsidR="007F7BFF" w:rsidRPr="00341CA1" w:rsidRDefault="007F7BF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64EA7DCE" w14:textId="77777777" w:rsidR="007F7BFF" w:rsidRPr="00341CA1" w:rsidRDefault="007F7BFF" w:rsidP="00F40D32">
      <w:pPr>
        <w:spacing w:after="0" w:line="360" w:lineRule="auto"/>
        <w:rPr>
          <w:rFonts w:eastAsia="Times New Roman" w:cs="Tahoma"/>
          <w:bCs/>
          <w:iCs/>
          <w:color w:val="auto"/>
          <w:sz w:val="24"/>
          <w:szCs w:val="24"/>
          <w:lang w:val="es-ES" w:eastAsia="es-ES"/>
        </w:rPr>
      </w:pPr>
    </w:p>
    <w:p w14:paraId="12E93CE1" w14:textId="77777777" w:rsidR="007F7BFF" w:rsidRPr="00341CA1" w:rsidRDefault="007F7BF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lastRenderedPageBreak/>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w:t>
      </w:r>
      <w:proofErr w:type="spellStart"/>
      <w:r w:rsidRPr="00341CA1">
        <w:rPr>
          <w:rFonts w:eastAsia="Times New Roman" w:cs="Tahoma"/>
          <w:bCs/>
          <w:iCs/>
          <w:color w:val="auto"/>
          <w:sz w:val="24"/>
          <w:szCs w:val="24"/>
          <w:lang w:val="es-ES" w:eastAsia="es-ES"/>
        </w:rPr>
        <w:t>ii</w:t>
      </w:r>
      <w:proofErr w:type="spellEnd"/>
      <w:r w:rsidRPr="00341CA1">
        <w:rPr>
          <w:rFonts w:eastAsia="Times New Roman" w:cs="Tahoma"/>
          <w:bCs/>
          <w:iCs/>
          <w:color w:val="auto"/>
          <w:sz w:val="24"/>
          <w:szCs w:val="24"/>
          <w:lang w:val="es-ES" w:eastAsia="es-ES"/>
        </w:rPr>
        <w:t xml:space="preserve">) por ley tenga el carácter de pública, </w:t>
      </w:r>
      <w:proofErr w:type="spellStart"/>
      <w:r w:rsidRPr="00341CA1">
        <w:rPr>
          <w:rFonts w:eastAsia="Times New Roman" w:cs="Tahoma"/>
          <w:bCs/>
          <w:iCs/>
          <w:color w:val="auto"/>
          <w:sz w:val="24"/>
          <w:szCs w:val="24"/>
          <w:lang w:val="es-ES" w:eastAsia="es-ES"/>
        </w:rPr>
        <w:t>iii</w:t>
      </w:r>
      <w:proofErr w:type="spellEnd"/>
      <w:r w:rsidRPr="00341CA1">
        <w:rPr>
          <w:rFonts w:eastAsia="Times New Roman" w:cs="Tahoma"/>
          <w:bCs/>
          <w:iCs/>
          <w:color w:val="auto"/>
          <w:sz w:val="24"/>
          <w:szCs w:val="24"/>
          <w:lang w:val="es-ES" w:eastAsia="es-ES"/>
        </w:rPr>
        <w:t xml:space="preserve">) exista una orden judicial, </w:t>
      </w:r>
      <w:proofErr w:type="spellStart"/>
      <w:r w:rsidRPr="00341CA1">
        <w:rPr>
          <w:rFonts w:eastAsia="Times New Roman" w:cs="Tahoma"/>
          <w:bCs/>
          <w:iCs/>
          <w:color w:val="auto"/>
          <w:sz w:val="24"/>
          <w:szCs w:val="24"/>
          <w:lang w:val="es-ES" w:eastAsia="es-ES"/>
        </w:rPr>
        <w:t>iv</w:t>
      </w:r>
      <w:proofErr w:type="spellEnd"/>
      <w:r w:rsidRPr="00341CA1">
        <w:rPr>
          <w:rFonts w:eastAsia="Times New Roman" w:cs="Tahoma"/>
          <w:bCs/>
          <w:iCs/>
          <w:color w:val="auto"/>
          <w:sz w:val="24"/>
          <w:szCs w:val="24"/>
          <w:lang w:val="es-ES" w:eastAsia="es-ES"/>
        </w:rPr>
        <w:t>) por razones de seguridad nacional y salubridad general o v) para proteger los derechos de terceros o cuando se transmita entre sujetos obligados en términos de los tratados y los acuerdos interinstitucionales.</w:t>
      </w:r>
    </w:p>
    <w:p w14:paraId="18D12C94" w14:textId="77777777" w:rsidR="007F7BFF" w:rsidRPr="00341CA1" w:rsidRDefault="007F7BFF" w:rsidP="00F40D32">
      <w:pPr>
        <w:spacing w:after="0" w:line="360" w:lineRule="auto"/>
        <w:rPr>
          <w:rFonts w:eastAsia="Times New Roman" w:cs="Tahoma"/>
          <w:bCs/>
          <w:iCs/>
          <w:color w:val="auto"/>
          <w:sz w:val="24"/>
          <w:szCs w:val="24"/>
          <w:lang w:val="es-ES" w:eastAsia="es-ES"/>
        </w:rPr>
      </w:pPr>
    </w:p>
    <w:p w14:paraId="2BA7DD05" w14:textId="77777777" w:rsidR="007F7BFF" w:rsidRPr="00341CA1" w:rsidRDefault="007F7BF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0766CAE3" w14:textId="77777777" w:rsidR="007F7BFF" w:rsidRPr="00341CA1" w:rsidRDefault="007F7BFF" w:rsidP="00F40D32">
      <w:pPr>
        <w:spacing w:after="0" w:line="360" w:lineRule="auto"/>
        <w:rPr>
          <w:rFonts w:eastAsia="Times New Roman" w:cs="Tahoma"/>
          <w:b/>
          <w:bCs/>
          <w:iCs/>
          <w:color w:val="auto"/>
          <w:sz w:val="24"/>
          <w:szCs w:val="24"/>
          <w:lang w:eastAsia="es-ES"/>
        </w:rPr>
      </w:pPr>
    </w:p>
    <w:p w14:paraId="0D820D35" w14:textId="77777777" w:rsidR="007F7BFF" w:rsidRPr="00341CA1" w:rsidRDefault="007F7BF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51415A35" w14:textId="77777777" w:rsidR="007F7BFF" w:rsidRPr="00341CA1" w:rsidRDefault="007F7BFF" w:rsidP="00F40D32">
      <w:pPr>
        <w:spacing w:after="0" w:line="360" w:lineRule="auto"/>
        <w:rPr>
          <w:rFonts w:eastAsia="Times New Roman" w:cs="Tahoma"/>
          <w:bCs/>
          <w:iCs/>
          <w:color w:val="auto"/>
          <w:sz w:val="24"/>
          <w:szCs w:val="24"/>
          <w:lang w:val="es-ES" w:eastAsia="es-ES"/>
        </w:rPr>
      </w:pPr>
    </w:p>
    <w:p w14:paraId="532E86AF" w14:textId="77777777" w:rsidR="007F7BFF" w:rsidRPr="00341CA1" w:rsidRDefault="007F7BFF" w:rsidP="00F40D32">
      <w:pPr>
        <w:numPr>
          <w:ilvl w:val="0"/>
          <w:numId w:val="27"/>
        </w:numPr>
        <w:spacing w:after="0" w:line="360" w:lineRule="auto"/>
        <w:rPr>
          <w:rFonts w:eastAsia="Times New Roman" w:cs="Tahoma"/>
          <w:bCs/>
          <w:iCs/>
          <w:color w:val="auto"/>
          <w:szCs w:val="24"/>
          <w:lang w:val="es-ES" w:eastAsia="es-ES"/>
        </w:rPr>
      </w:pPr>
      <w:r w:rsidRPr="00341CA1">
        <w:rPr>
          <w:rFonts w:eastAsia="Times New Roman" w:cs="Tahoma"/>
          <w:bCs/>
          <w:iCs/>
          <w:color w:val="auto"/>
          <w:szCs w:val="24"/>
          <w:lang w:val="es-ES" w:eastAsia="es-ES"/>
        </w:rPr>
        <w:t xml:space="preserve">Se trate de datos personales, esto es, información concerniente a una persona física y que ésta sea identificada o identificable o bien, sea aquella que refiera aspectos de la vida privada o íntima de las personas. </w:t>
      </w:r>
    </w:p>
    <w:p w14:paraId="3AF1C2D6" w14:textId="77777777" w:rsidR="007F7BFF" w:rsidRPr="00341CA1" w:rsidRDefault="007F7BFF" w:rsidP="00F40D32">
      <w:pPr>
        <w:spacing w:after="0" w:line="360" w:lineRule="auto"/>
        <w:rPr>
          <w:rFonts w:eastAsia="Times New Roman" w:cs="Tahoma"/>
          <w:bCs/>
          <w:iCs/>
          <w:color w:val="auto"/>
          <w:szCs w:val="24"/>
          <w:lang w:val="es-ES" w:eastAsia="es-ES"/>
        </w:rPr>
      </w:pPr>
    </w:p>
    <w:p w14:paraId="67CC6EB8" w14:textId="77777777" w:rsidR="007F7BFF" w:rsidRPr="00341CA1" w:rsidRDefault="007F7BFF" w:rsidP="00F40D32">
      <w:pPr>
        <w:numPr>
          <w:ilvl w:val="0"/>
          <w:numId w:val="27"/>
        </w:numPr>
        <w:spacing w:after="0" w:line="360" w:lineRule="auto"/>
        <w:rPr>
          <w:rFonts w:eastAsia="Times New Roman" w:cs="Tahoma"/>
          <w:bCs/>
          <w:iCs/>
          <w:color w:val="auto"/>
          <w:szCs w:val="24"/>
          <w:lang w:val="es-ES" w:eastAsia="es-ES"/>
        </w:rPr>
      </w:pPr>
      <w:r w:rsidRPr="00341CA1">
        <w:rPr>
          <w:rFonts w:eastAsia="Times New Roman" w:cs="Tahoma"/>
          <w:bCs/>
          <w:iCs/>
          <w:color w:val="auto"/>
          <w:szCs w:val="24"/>
          <w:lang w:val="es-ES" w:eastAsia="es-ES"/>
        </w:rPr>
        <w:t xml:space="preserve">Para la difusión de los datos, se requiera el consentimiento del titular. </w:t>
      </w:r>
    </w:p>
    <w:p w14:paraId="28C08706" w14:textId="77777777" w:rsidR="007F7BFF" w:rsidRPr="00341CA1" w:rsidRDefault="007F7BFF" w:rsidP="00F40D32">
      <w:pPr>
        <w:spacing w:after="0" w:line="360" w:lineRule="auto"/>
        <w:rPr>
          <w:rFonts w:eastAsia="Times New Roman" w:cs="Tahoma"/>
          <w:bCs/>
          <w:iCs/>
          <w:color w:val="auto"/>
          <w:sz w:val="24"/>
          <w:szCs w:val="24"/>
          <w:lang w:eastAsia="es-ES"/>
        </w:rPr>
      </w:pPr>
    </w:p>
    <w:p w14:paraId="7D08C685" w14:textId="77777777" w:rsidR="007F7BFF" w:rsidRPr="00341CA1" w:rsidRDefault="007F7BF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En ese orden de ideas, el artículo 4°, fracción IX, de la Ley General de Protección de Datos Personales en Posesión de Sujetos Obligados y 4°, fracción XI, de la Ley de </w:t>
      </w:r>
      <w:r w:rsidRPr="00341CA1">
        <w:rPr>
          <w:rFonts w:eastAsia="Times New Roman" w:cs="Tahoma"/>
          <w:bCs/>
          <w:iCs/>
          <w:color w:val="auto"/>
          <w:sz w:val="24"/>
          <w:szCs w:val="24"/>
          <w:lang w:val="es-ES" w:eastAsia="es-ES"/>
        </w:rPr>
        <w:lastRenderedPageBreak/>
        <w:t xml:space="preserve">Protección de Datos Personales en Posesión de Sujetos Obligados del Estado de México y Municipios, establece que los </w:t>
      </w:r>
      <w:r w:rsidRPr="00341CA1">
        <w:rPr>
          <w:rFonts w:eastAsia="Times New Roman" w:cs="Tahoma"/>
          <w:b/>
          <w:iCs/>
          <w:color w:val="auto"/>
          <w:sz w:val="24"/>
          <w:szCs w:val="24"/>
          <w:lang w:val="es-ES" w:eastAsia="es-ES"/>
        </w:rPr>
        <w:t>datos personales corresponden a la información concerniente a una persona física identificada o identificable</w:t>
      </w:r>
      <w:r w:rsidRPr="00341CA1">
        <w:rPr>
          <w:rFonts w:eastAsia="Times New Roman" w:cs="Tahoma"/>
          <w:bCs/>
          <w:iCs/>
          <w:color w:val="auto"/>
          <w:sz w:val="24"/>
          <w:szCs w:val="24"/>
          <w:lang w:val="es-ES" w:eastAsia="es-ES"/>
        </w:rPr>
        <w:t>.</w:t>
      </w:r>
    </w:p>
    <w:p w14:paraId="045F13AD" w14:textId="77777777" w:rsidR="006177DE" w:rsidRPr="00341CA1" w:rsidRDefault="006177DE" w:rsidP="00F40D32">
      <w:pPr>
        <w:spacing w:after="0" w:line="360" w:lineRule="auto"/>
        <w:rPr>
          <w:rFonts w:eastAsia="Times New Roman" w:cs="Tahoma"/>
          <w:bCs/>
          <w:iCs/>
          <w:color w:val="auto"/>
          <w:sz w:val="24"/>
          <w:szCs w:val="24"/>
          <w:lang w:val="es-ES" w:eastAsia="es-ES"/>
        </w:rPr>
      </w:pPr>
    </w:p>
    <w:p w14:paraId="1A8D8D34" w14:textId="2658FC84" w:rsidR="002F18C5" w:rsidRPr="00341CA1" w:rsidRDefault="00D36B32"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Por otra parte, </w:t>
      </w:r>
      <w:r w:rsidR="00CA66FB" w:rsidRPr="00341CA1">
        <w:rPr>
          <w:rFonts w:eastAsia="Times New Roman" w:cs="Tahoma"/>
          <w:bCs/>
          <w:iCs/>
          <w:color w:val="auto"/>
          <w:sz w:val="24"/>
          <w:szCs w:val="24"/>
          <w:lang w:val="es-ES" w:eastAsia="es-ES"/>
        </w:rPr>
        <w:t xml:space="preserve">la definición de un </w:t>
      </w:r>
      <w:r w:rsidR="00C32EDE" w:rsidRPr="00341CA1">
        <w:rPr>
          <w:rFonts w:eastAsia="Times New Roman" w:cs="Tahoma"/>
          <w:bCs/>
          <w:iCs/>
          <w:color w:val="auto"/>
          <w:sz w:val="24"/>
          <w:szCs w:val="24"/>
          <w:lang w:val="es-ES" w:eastAsia="es-ES"/>
        </w:rPr>
        <w:t>d</w:t>
      </w:r>
      <w:r w:rsidRPr="00341CA1">
        <w:rPr>
          <w:rFonts w:eastAsia="Times New Roman" w:cs="Tahoma"/>
          <w:bCs/>
          <w:iCs/>
          <w:color w:val="auto"/>
          <w:sz w:val="24"/>
          <w:szCs w:val="24"/>
          <w:lang w:val="es-ES" w:eastAsia="es-ES"/>
        </w:rPr>
        <w:t xml:space="preserve">ato </w:t>
      </w:r>
      <w:r w:rsidR="00C32EDE" w:rsidRPr="00341CA1">
        <w:rPr>
          <w:rFonts w:eastAsia="Times New Roman" w:cs="Tahoma"/>
          <w:bCs/>
          <w:iCs/>
          <w:color w:val="auto"/>
          <w:sz w:val="24"/>
          <w:szCs w:val="24"/>
          <w:lang w:val="es-ES" w:eastAsia="es-ES"/>
        </w:rPr>
        <w:t>p</w:t>
      </w:r>
      <w:r w:rsidRPr="00341CA1">
        <w:rPr>
          <w:rFonts w:eastAsia="Times New Roman" w:cs="Tahoma"/>
          <w:bCs/>
          <w:iCs/>
          <w:color w:val="auto"/>
          <w:sz w:val="24"/>
          <w:szCs w:val="24"/>
          <w:lang w:val="es-ES" w:eastAsia="es-ES"/>
        </w:rPr>
        <w:t>ersonal</w:t>
      </w:r>
      <w:r w:rsidR="002132D0" w:rsidRPr="00341CA1">
        <w:rPr>
          <w:rFonts w:eastAsia="Times New Roman" w:cs="Tahoma"/>
          <w:bCs/>
          <w:iCs/>
          <w:color w:val="auto"/>
          <w:sz w:val="24"/>
          <w:szCs w:val="24"/>
          <w:lang w:val="es-ES" w:eastAsia="es-ES"/>
        </w:rPr>
        <w:t>, en palabras de D</w:t>
      </w:r>
      <w:r w:rsidR="002132D0" w:rsidRPr="00341CA1">
        <w:rPr>
          <w:rFonts w:eastAsia="Times New Roman" w:cs="Tahoma"/>
          <w:bCs/>
          <w:iCs/>
          <w:color w:val="auto"/>
          <w:sz w:val="24"/>
          <w:szCs w:val="24"/>
          <w:lang w:eastAsia="es-ES"/>
        </w:rPr>
        <w:t xml:space="preserve">avara, Isabel; Barco, Gregorio, Barco; y Cervantes, Alexis (2019), en el </w:t>
      </w:r>
      <w:r w:rsidR="002132D0" w:rsidRPr="00341CA1">
        <w:rPr>
          <w:rFonts w:eastAsia="Times New Roman" w:cs="Tahoma"/>
          <w:bCs/>
          <w:iCs/>
          <w:color w:val="auto"/>
          <w:szCs w:val="24"/>
          <w:lang w:eastAsia="es-ES"/>
        </w:rPr>
        <w:t>“</w:t>
      </w:r>
      <w:r w:rsidR="002132D0" w:rsidRPr="00341CA1">
        <w:rPr>
          <w:rFonts w:eastAsia="Times New Roman" w:cs="Tahoma"/>
          <w:bCs/>
          <w:i/>
          <w:iCs/>
          <w:color w:val="auto"/>
          <w:szCs w:val="24"/>
          <w:lang w:eastAsia="es-ES"/>
        </w:rPr>
        <w:t>Diccionario de Protección de Datos Personales Conceptos Fundamentales”</w:t>
      </w:r>
      <w:r w:rsidR="002132D0" w:rsidRPr="00341CA1">
        <w:rPr>
          <w:rFonts w:eastAsia="Times New Roman" w:cs="Tahoma"/>
          <w:bCs/>
          <w:iCs/>
          <w:color w:val="auto"/>
          <w:sz w:val="24"/>
          <w:szCs w:val="24"/>
          <w:lang w:eastAsia="es-ES"/>
        </w:rPr>
        <w:t xml:space="preserve"> (p. </w:t>
      </w:r>
      <w:r w:rsidR="00CA66FB" w:rsidRPr="00341CA1">
        <w:rPr>
          <w:rFonts w:eastAsia="Times New Roman" w:cs="Tahoma"/>
          <w:bCs/>
          <w:iCs/>
          <w:color w:val="auto"/>
          <w:sz w:val="24"/>
          <w:szCs w:val="24"/>
          <w:lang w:eastAsia="es-ES"/>
        </w:rPr>
        <w:t>211</w:t>
      </w:r>
      <w:r w:rsidR="002132D0" w:rsidRPr="00341CA1">
        <w:rPr>
          <w:rFonts w:eastAsia="Times New Roman" w:cs="Tahoma"/>
          <w:bCs/>
          <w:iCs/>
          <w:color w:val="auto"/>
          <w:sz w:val="24"/>
          <w:szCs w:val="24"/>
          <w:lang w:eastAsia="es-ES"/>
        </w:rPr>
        <w:t>),</w:t>
      </w:r>
      <w:r w:rsidR="00C32EDE" w:rsidRPr="00341CA1">
        <w:rPr>
          <w:rFonts w:eastAsia="Times New Roman" w:cs="Tahoma"/>
          <w:bCs/>
          <w:iCs/>
          <w:color w:val="auto"/>
          <w:sz w:val="24"/>
          <w:szCs w:val="24"/>
          <w:lang w:eastAsia="es-ES"/>
        </w:rPr>
        <w:t xml:space="preserve"> consta de cuatro elementos, a saber: </w:t>
      </w:r>
      <w:r w:rsidR="0059585A" w:rsidRPr="00341CA1">
        <w:rPr>
          <w:rFonts w:eastAsia="Times New Roman" w:cs="Tahoma"/>
          <w:bCs/>
          <w:iCs/>
          <w:color w:val="auto"/>
          <w:sz w:val="24"/>
          <w:szCs w:val="24"/>
          <w:lang w:eastAsia="es-ES"/>
        </w:rPr>
        <w:t>a) que se refiera a cualquier tipo de información, b) que concierna a una persona</w:t>
      </w:r>
      <w:r w:rsidR="00F63581" w:rsidRPr="00341CA1">
        <w:rPr>
          <w:rFonts w:eastAsia="Times New Roman" w:cs="Tahoma"/>
          <w:bCs/>
          <w:iCs/>
          <w:color w:val="auto"/>
          <w:sz w:val="24"/>
          <w:szCs w:val="24"/>
          <w:lang w:eastAsia="es-ES"/>
        </w:rPr>
        <w:t xml:space="preserve">, c) que se refiera a una persona física y </w:t>
      </w:r>
      <w:r w:rsidR="003F1D4C" w:rsidRPr="00341CA1">
        <w:rPr>
          <w:rFonts w:eastAsia="Times New Roman" w:cs="Tahoma"/>
          <w:bCs/>
          <w:iCs/>
          <w:color w:val="auto"/>
          <w:sz w:val="24"/>
          <w:szCs w:val="24"/>
          <w:lang w:eastAsia="es-ES"/>
        </w:rPr>
        <w:t xml:space="preserve">d) que toda esta información lo haga identificada o identificable. </w:t>
      </w:r>
    </w:p>
    <w:p w14:paraId="091C78EC" w14:textId="77777777" w:rsidR="007D1F52" w:rsidRPr="00341CA1" w:rsidRDefault="007D1F52" w:rsidP="00F40D32">
      <w:pPr>
        <w:spacing w:after="0" w:line="360" w:lineRule="auto"/>
        <w:rPr>
          <w:rFonts w:eastAsia="Times New Roman" w:cs="Tahoma"/>
          <w:bCs/>
          <w:iCs/>
          <w:color w:val="auto"/>
          <w:sz w:val="24"/>
          <w:szCs w:val="24"/>
          <w:lang w:val="es-ES" w:eastAsia="es-ES"/>
        </w:rPr>
      </w:pPr>
    </w:p>
    <w:p w14:paraId="61E0086B" w14:textId="4A6B2C10" w:rsidR="00625320" w:rsidRPr="00341CA1" w:rsidRDefault="00625320" w:rsidP="00F40D32">
      <w:pPr>
        <w:spacing w:after="0" w:line="360" w:lineRule="auto"/>
        <w:rPr>
          <w:rFonts w:eastAsia="Calibri" w:cs="Tahoma"/>
          <w:color w:val="auto"/>
          <w:sz w:val="24"/>
          <w:szCs w:val="24"/>
          <w:lang w:val="es-ES"/>
        </w:rPr>
      </w:pPr>
      <w:r w:rsidRPr="00341CA1">
        <w:rPr>
          <w:rFonts w:eastAsia="Calibri" w:cs="Tahoma"/>
          <w:color w:val="auto"/>
          <w:sz w:val="24"/>
          <w:szCs w:val="24"/>
          <w:lang w:val="es-ES"/>
        </w:rPr>
        <w:t>Así, se puede desprender que la información que dé cuenta respecto a que una persona es actor o demandado (homologo), de un procedimiento administrativo seguido en forma de juicio o jurisdiccional, en cualquier materia, corresponde a un dato personal que afecta su esfera privada.</w:t>
      </w:r>
    </w:p>
    <w:p w14:paraId="7844595B" w14:textId="77777777" w:rsidR="00F306FA" w:rsidRPr="00341CA1" w:rsidRDefault="00F306FA" w:rsidP="00F40D32">
      <w:pPr>
        <w:spacing w:after="0" w:line="360" w:lineRule="auto"/>
        <w:rPr>
          <w:rFonts w:eastAsia="Calibri" w:cs="Tahoma"/>
          <w:color w:val="auto"/>
          <w:sz w:val="24"/>
          <w:szCs w:val="24"/>
          <w:lang w:val="es-ES"/>
        </w:rPr>
      </w:pPr>
    </w:p>
    <w:p w14:paraId="0707477D" w14:textId="39285E2A" w:rsidR="003025DE" w:rsidRPr="00341CA1" w:rsidRDefault="00A45087"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Al respecto, el segundo párrafo del artículo 17, de la Constitución Política de los Estados Unidos Mexicanos dispone que, </w:t>
      </w:r>
      <w:r w:rsidR="00DB35F9" w:rsidRPr="00341CA1">
        <w:rPr>
          <w:rFonts w:eastAsia="Times New Roman" w:cs="Tahoma"/>
          <w:bCs/>
          <w:iCs/>
          <w:color w:val="auto"/>
          <w:sz w:val="24"/>
          <w:szCs w:val="24"/>
          <w:lang w:val="es-ES" w:eastAsia="es-ES"/>
        </w:rPr>
        <w:t xml:space="preserve">toda persona tiene derecho a que se le administre justicia </w:t>
      </w:r>
      <w:r w:rsidR="00873CDE" w:rsidRPr="00341CA1">
        <w:rPr>
          <w:rFonts w:eastAsia="Times New Roman" w:cs="Tahoma"/>
          <w:bCs/>
          <w:iCs/>
          <w:color w:val="auto"/>
          <w:sz w:val="24"/>
          <w:szCs w:val="24"/>
          <w:lang w:val="es-ES" w:eastAsia="es-ES"/>
        </w:rPr>
        <w:t>por tribunales que estarán expeditos para impartirla en los plazos y términos que fijen las leyes</w:t>
      </w:r>
      <w:r w:rsidR="00E23964" w:rsidRPr="00341CA1">
        <w:rPr>
          <w:rFonts w:eastAsia="Times New Roman" w:cs="Tahoma"/>
          <w:bCs/>
          <w:iCs/>
          <w:color w:val="auto"/>
          <w:sz w:val="24"/>
          <w:szCs w:val="24"/>
          <w:lang w:val="es-ES" w:eastAsia="es-ES"/>
        </w:rPr>
        <w:t xml:space="preserve">, emitiendo sus resoluciones de manera pronta, completa e imparcial. </w:t>
      </w:r>
    </w:p>
    <w:p w14:paraId="2A1F6AEA" w14:textId="77777777" w:rsidR="00EF22D0" w:rsidRPr="00341CA1" w:rsidRDefault="00EF22D0" w:rsidP="00F40D32">
      <w:pPr>
        <w:spacing w:after="0" w:line="360" w:lineRule="auto"/>
        <w:rPr>
          <w:rFonts w:eastAsia="Times New Roman" w:cs="Tahoma"/>
          <w:bCs/>
          <w:iCs/>
          <w:color w:val="auto"/>
          <w:sz w:val="24"/>
          <w:szCs w:val="24"/>
          <w:lang w:val="es-ES" w:eastAsia="es-ES"/>
        </w:rPr>
      </w:pPr>
    </w:p>
    <w:p w14:paraId="7DD30257" w14:textId="054561FA" w:rsidR="003025DE" w:rsidRPr="00341CA1" w:rsidRDefault="00EA701B" w:rsidP="00F40D32">
      <w:pPr>
        <w:spacing w:after="0" w:line="360" w:lineRule="auto"/>
        <w:rPr>
          <w:bCs/>
          <w:color w:val="auto"/>
          <w:sz w:val="24"/>
          <w:szCs w:val="24"/>
        </w:rPr>
      </w:pPr>
      <w:r w:rsidRPr="00341CA1">
        <w:rPr>
          <w:rFonts w:eastAsia="Times New Roman" w:cs="Tahoma"/>
          <w:bCs/>
          <w:iCs/>
          <w:color w:val="auto"/>
          <w:sz w:val="24"/>
          <w:szCs w:val="24"/>
          <w:lang w:val="es-ES" w:eastAsia="es-ES"/>
        </w:rPr>
        <w:t>Además</w:t>
      </w:r>
      <w:r w:rsidR="00814CAB" w:rsidRPr="00341CA1">
        <w:rPr>
          <w:color w:val="auto"/>
          <w:sz w:val="24"/>
          <w:szCs w:val="24"/>
        </w:rPr>
        <w:t xml:space="preserve">, es oportuno traer el estudio </w:t>
      </w:r>
      <w:r w:rsidR="00D83EA5" w:rsidRPr="00341CA1">
        <w:rPr>
          <w:color w:val="auto"/>
          <w:sz w:val="24"/>
          <w:szCs w:val="24"/>
        </w:rPr>
        <w:t>la</w:t>
      </w:r>
      <w:r w:rsidR="00027981" w:rsidRPr="00341CA1">
        <w:rPr>
          <w:color w:val="auto"/>
          <w:sz w:val="24"/>
          <w:szCs w:val="24"/>
        </w:rPr>
        <w:t xml:space="preserve"> Tesis: I.9o.C.27 K</w:t>
      </w:r>
      <w:r w:rsidR="00FF4FB7" w:rsidRPr="00341CA1">
        <w:rPr>
          <w:color w:val="auto"/>
          <w:sz w:val="24"/>
          <w:szCs w:val="24"/>
        </w:rPr>
        <w:t xml:space="preserve">, </w:t>
      </w:r>
      <w:r w:rsidR="00F56EC2" w:rsidRPr="00341CA1">
        <w:rPr>
          <w:color w:val="auto"/>
          <w:sz w:val="24"/>
          <w:szCs w:val="24"/>
        </w:rPr>
        <w:t xml:space="preserve">Novena Época, </w:t>
      </w:r>
      <w:r w:rsidR="00FF4FB7" w:rsidRPr="00341CA1">
        <w:rPr>
          <w:color w:val="auto"/>
          <w:sz w:val="24"/>
          <w:szCs w:val="24"/>
        </w:rPr>
        <w:t xml:space="preserve">con número de registro 182261, del </w:t>
      </w:r>
      <w:r w:rsidR="00FF4FB7" w:rsidRPr="00341CA1">
        <w:rPr>
          <w:rFonts w:eastAsia="Times New Roman" w:cs="Tahoma"/>
          <w:bCs/>
          <w:iCs/>
          <w:color w:val="auto"/>
          <w:sz w:val="24"/>
          <w:szCs w:val="24"/>
          <w:lang w:val="es-ES" w:eastAsia="es-ES"/>
        </w:rPr>
        <w:t>Noveno Tribunal Colegiado en Materia Civil del Primer Circuito</w:t>
      </w:r>
      <w:r w:rsidR="00814CAB" w:rsidRPr="00341CA1">
        <w:rPr>
          <w:rFonts w:eastAsia="Times New Roman" w:cs="Tahoma"/>
          <w:bCs/>
          <w:iCs/>
          <w:color w:val="auto"/>
          <w:sz w:val="24"/>
          <w:szCs w:val="24"/>
          <w:lang w:val="es-ES" w:eastAsia="es-ES"/>
        </w:rPr>
        <w:t xml:space="preserve">, </w:t>
      </w:r>
      <w:r w:rsidR="005B5A9D" w:rsidRPr="00341CA1">
        <w:rPr>
          <w:rFonts w:eastAsia="Times New Roman" w:cs="Tahoma"/>
          <w:bCs/>
          <w:iCs/>
          <w:color w:val="auto"/>
          <w:sz w:val="24"/>
          <w:szCs w:val="24"/>
          <w:lang w:val="es-ES" w:eastAsia="es-ES"/>
        </w:rPr>
        <w:t xml:space="preserve">en la cual se dispone que </w:t>
      </w:r>
      <w:r w:rsidR="002B39B0" w:rsidRPr="00341CA1">
        <w:rPr>
          <w:rFonts w:eastAsia="Times New Roman" w:cs="Tahoma"/>
          <w:bCs/>
          <w:iCs/>
          <w:color w:val="auto"/>
          <w:sz w:val="24"/>
          <w:szCs w:val="24"/>
          <w:lang w:val="es-ES" w:eastAsia="es-ES"/>
        </w:rPr>
        <w:t xml:space="preserve">a </w:t>
      </w:r>
      <w:r w:rsidR="00612796" w:rsidRPr="00341CA1">
        <w:rPr>
          <w:rFonts w:eastAsia="Times New Roman" w:cs="Tahoma"/>
          <w:bCs/>
          <w:iCs/>
          <w:color w:val="auto"/>
          <w:sz w:val="24"/>
          <w:szCs w:val="24"/>
          <w:lang w:val="es-ES" w:eastAsia="es-ES"/>
        </w:rPr>
        <w:t>diferencia de los actos administrativos</w:t>
      </w:r>
      <w:r w:rsidR="004D3675" w:rsidRPr="00341CA1">
        <w:rPr>
          <w:rFonts w:eastAsia="Times New Roman" w:cs="Tahoma"/>
          <w:bCs/>
          <w:iCs/>
          <w:color w:val="auto"/>
          <w:sz w:val="24"/>
          <w:szCs w:val="24"/>
          <w:lang w:val="es-ES" w:eastAsia="es-ES"/>
        </w:rPr>
        <w:t xml:space="preserve"> que </w:t>
      </w:r>
      <w:r w:rsidR="00612796" w:rsidRPr="00341CA1">
        <w:rPr>
          <w:color w:val="auto"/>
          <w:sz w:val="24"/>
          <w:szCs w:val="24"/>
        </w:rPr>
        <w:t xml:space="preserve">son </w:t>
      </w:r>
      <w:r w:rsidR="00612796" w:rsidRPr="00341CA1">
        <w:rPr>
          <w:color w:val="auto"/>
          <w:sz w:val="24"/>
          <w:szCs w:val="24"/>
        </w:rPr>
        <w:lastRenderedPageBreak/>
        <w:t>dictados en forma unilateral por la autoridad y no siempre se tramitan mediante un procedimiento</w:t>
      </w:r>
      <w:r w:rsidR="004D3675" w:rsidRPr="00341CA1">
        <w:rPr>
          <w:color w:val="auto"/>
          <w:sz w:val="24"/>
          <w:szCs w:val="24"/>
        </w:rPr>
        <w:t xml:space="preserve">, los actos en el ámbito </w:t>
      </w:r>
      <w:r w:rsidR="00295883" w:rsidRPr="00341CA1">
        <w:rPr>
          <w:rFonts w:eastAsia="Times New Roman" w:cs="Tahoma"/>
          <w:bCs/>
          <w:iCs/>
          <w:color w:val="auto"/>
          <w:sz w:val="24"/>
          <w:szCs w:val="24"/>
          <w:lang w:val="es-ES" w:eastAsia="es-ES"/>
        </w:rPr>
        <w:t xml:space="preserve">jurisdiccional la autoridad es sólo mediadora en la controversia suscitada entre los particulares, y el procedimiento se lleva a cabo a través de una serie de </w:t>
      </w:r>
      <w:r w:rsidR="00295883" w:rsidRPr="00341CA1">
        <w:rPr>
          <w:rFonts w:eastAsia="Times New Roman" w:cs="Tahoma"/>
          <w:b/>
          <w:iCs/>
          <w:color w:val="auto"/>
          <w:sz w:val="24"/>
          <w:szCs w:val="24"/>
          <w:lang w:val="es-ES" w:eastAsia="es-ES"/>
        </w:rPr>
        <w:t>actos concatenados que son provocados por las propias partes en el proceso</w:t>
      </w:r>
      <w:r w:rsidR="00BC54EA" w:rsidRPr="00341CA1">
        <w:rPr>
          <w:rFonts w:eastAsia="Times New Roman" w:cs="Tahoma"/>
          <w:b/>
          <w:iCs/>
          <w:color w:val="auto"/>
          <w:sz w:val="24"/>
          <w:szCs w:val="24"/>
          <w:lang w:val="es-ES" w:eastAsia="es-ES"/>
        </w:rPr>
        <w:t xml:space="preserve">, </w:t>
      </w:r>
      <w:r w:rsidRPr="00341CA1">
        <w:rPr>
          <w:rFonts w:eastAsia="Times New Roman" w:cs="Tahoma"/>
          <w:bCs/>
          <w:iCs/>
          <w:color w:val="auto"/>
          <w:sz w:val="24"/>
          <w:szCs w:val="24"/>
          <w:lang w:val="es-ES" w:eastAsia="es-ES"/>
        </w:rPr>
        <w:t>tal como se muestra a continuación:</w:t>
      </w:r>
    </w:p>
    <w:p w14:paraId="51CC546A" w14:textId="77777777" w:rsidR="00EA701B" w:rsidRPr="00341CA1" w:rsidRDefault="00EA701B" w:rsidP="00F40D32">
      <w:pPr>
        <w:spacing w:after="0" w:line="360" w:lineRule="auto"/>
        <w:ind w:left="567" w:right="567"/>
        <w:rPr>
          <w:rFonts w:eastAsia="Times New Roman" w:cs="Tahoma"/>
          <w:b/>
          <w:bCs/>
          <w:i/>
          <w:color w:val="auto"/>
          <w:sz w:val="24"/>
          <w:szCs w:val="24"/>
          <w:lang w:val="es-ES" w:eastAsia="es-ES"/>
        </w:rPr>
      </w:pPr>
    </w:p>
    <w:p w14:paraId="69ED7098" w14:textId="0A46013A" w:rsidR="00F56EC2" w:rsidRPr="00341CA1" w:rsidRDefault="00EA701B" w:rsidP="00141D9D">
      <w:pPr>
        <w:spacing w:after="0" w:line="240" w:lineRule="auto"/>
        <w:ind w:left="567" w:right="567"/>
        <w:contextualSpacing/>
        <w:rPr>
          <w:rFonts w:eastAsia="Times New Roman" w:cs="Tahoma"/>
          <w:bCs/>
          <w:i/>
          <w:color w:val="auto"/>
          <w:szCs w:val="24"/>
          <w:lang w:val="es-ES" w:eastAsia="es-ES"/>
        </w:rPr>
      </w:pPr>
      <w:r w:rsidRPr="00341CA1">
        <w:rPr>
          <w:rFonts w:eastAsia="Times New Roman" w:cs="Tahoma"/>
          <w:b/>
          <w:bCs/>
          <w:i/>
          <w:color w:val="auto"/>
          <w:szCs w:val="24"/>
          <w:lang w:val="es-ES" w:eastAsia="es-ES"/>
        </w:rPr>
        <w:t>“</w:t>
      </w:r>
      <w:r w:rsidR="00F56EC2" w:rsidRPr="00341CA1">
        <w:rPr>
          <w:rFonts w:eastAsia="Times New Roman" w:cs="Tahoma"/>
          <w:b/>
          <w:bCs/>
          <w:i/>
          <w:color w:val="auto"/>
          <w:szCs w:val="24"/>
          <w:lang w:val="es-ES" w:eastAsia="es-ES"/>
        </w:rPr>
        <w:t>ACTOS ADMINISTRATIVOS Y JURISDICCIONALES. SUS DIFERENCIAS.</w:t>
      </w:r>
      <w:r w:rsidRPr="00341CA1">
        <w:rPr>
          <w:rFonts w:eastAsia="Times New Roman" w:cs="Tahoma"/>
          <w:b/>
          <w:bCs/>
          <w:i/>
          <w:color w:val="auto"/>
          <w:szCs w:val="24"/>
          <w:lang w:val="es-ES" w:eastAsia="es-ES"/>
        </w:rPr>
        <w:t xml:space="preserve"> </w:t>
      </w:r>
      <w:r w:rsidR="00F56EC2" w:rsidRPr="00341CA1">
        <w:rPr>
          <w:rFonts w:eastAsia="Times New Roman" w:cs="Tahoma"/>
          <w:bCs/>
          <w:i/>
          <w:color w:val="auto"/>
          <w:szCs w:val="24"/>
          <w:lang w:val="es-ES" w:eastAsia="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00F56EC2" w:rsidRPr="00341CA1">
        <w:rPr>
          <w:rFonts w:eastAsia="Times New Roman" w:cs="Tahoma"/>
          <w:b/>
          <w:i/>
          <w:color w:val="auto"/>
          <w:szCs w:val="24"/>
          <w:lang w:val="es-ES" w:eastAsia="es-ES"/>
        </w:rPr>
        <w:t>en el ámbito jurisdiccional la autoridad es sólo mediadora en la controversia suscitada entre los particulares, y el procedimiento se lleva a cabo a través de una serie de actos concatenados que son provocados por las propias partes en el proceso</w:t>
      </w:r>
      <w:r w:rsidR="00F56EC2" w:rsidRPr="00341CA1">
        <w:rPr>
          <w:rFonts w:eastAsia="Times New Roman" w:cs="Tahoma"/>
          <w:bCs/>
          <w:i/>
          <w:color w:val="auto"/>
          <w:szCs w:val="24"/>
          <w:lang w:val="es-ES" w:eastAsia="es-ES"/>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r w:rsidR="00141D9D" w:rsidRPr="00341CA1">
        <w:rPr>
          <w:rFonts w:eastAsia="Times New Roman" w:cs="Tahoma"/>
          <w:bCs/>
          <w:i/>
          <w:color w:val="auto"/>
          <w:szCs w:val="24"/>
          <w:lang w:val="es-ES" w:eastAsia="es-ES"/>
        </w:rPr>
        <w:t>”</w:t>
      </w:r>
    </w:p>
    <w:p w14:paraId="55055567" w14:textId="77777777" w:rsidR="00F56EC2" w:rsidRPr="00341CA1" w:rsidRDefault="00F56EC2" w:rsidP="00F40D32">
      <w:pPr>
        <w:spacing w:after="0" w:line="360" w:lineRule="auto"/>
        <w:rPr>
          <w:rFonts w:eastAsia="Times New Roman" w:cs="Tahoma"/>
          <w:bCs/>
          <w:iCs/>
          <w:color w:val="auto"/>
          <w:sz w:val="24"/>
          <w:szCs w:val="24"/>
          <w:lang w:val="es-ES" w:eastAsia="es-ES"/>
        </w:rPr>
      </w:pPr>
    </w:p>
    <w:p w14:paraId="0C86440C" w14:textId="3210FCB2" w:rsidR="00920CD4" w:rsidRPr="00341CA1" w:rsidRDefault="007375C5"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Conforme a lo anterior, </w:t>
      </w:r>
      <w:r w:rsidR="00C70CF6" w:rsidRPr="00341CA1">
        <w:rPr>
          <w:rFonts w:eastAsia="Times New Roman" w:cs="Tahoma"/>
          <w:bCs/>
          <w:iCs/>
          <w:color w:val="auto"/>
          <w:sz w:val="24"/>
          <w:szCs w:val="24"/>
          <w:lang w:val="es-ES" w:eastAsia="es-ES"/>
        </w:rPr>
        <w:t>a</w:t>
      </w:r>
      <w:r w:rsidR="00266416" w:rsidRPr="00341CA1">
        <w:rPr>
          <w:rFonts w:cs="Tahoma"/>
          <w:iCs/>
          <w:color w:val="auto"/>
          <w:sz w:val="24"/>
          <w:szCs w:val="24"/>
          <w:lang w:val="es-ES"/>
        </w:rPr>
        <w:t>l identificar a las partes</w:t>
      </w:r>
      <w:r w:rsidR="00C65798" w:rsidRPr="00341CA1">
        <w:rPr>
          <w:rFonts w:cs="Tahoma"/>
          <w:iCs/>
          <w:color w:val="auto"/>
          <w:sz w:val="24"/>
          <w:szCs w:val="24"/>
          <w:lang w:val="es-ES"/>
        </w:rPr>
        <w:t>,</w:t>
      </w:r>
      <w:r w:rsidR="00266416" w:rsidRPr="00341CA1">
        <w:rPr>
          <w:rFonts w:cs="Tahoma"/>
          <w:iCs/>
          <w:color w:val="auto"/>
          <w:sz w:val="24"/>
          <w:szCs w:val="24"/>
          <w:lang w:val="es-ES"/>
        </w:rPr>
        <w:t xml:space="preserve"> </w:t>
      </w:r>
      <w:r w:rsidR="00EA701B" w:rsidRPr="00341CA1">
        <w:rPr>
          <w:rFonts w:cs="Tahoma"/>
          <w:iCs/>
          <w:color w:val="auto"/>
          <w:sz w:val="24"/>
          <w:szCs w:val="24"/>
          <w:lang w:val="es-ES"/>
        </w:rPr>
        <w:t xml:space="preserve">la parte </w:t>
      </w:r>
      <w:r w:rsidR="001437DD" w:rsidRPr="00341CA1">
        <w:rPr>
          <w:rFonts w:cs="Tahoma"/>
          <w:b/>
          <w:iCs/>
          <w:color w:val="auto"/>
          <w:sz w:val="24"/>
          <w:szCs w:val="24"/>
          <w:lang w:val="es-ES"/>
        </w:rPr>
        <w:t>RECURRENTE</w:t>
      </w:r>
      <w:r w:rsidR="00C65798" w:rsidRPr="00341CA1">
        <w:rPr>
          <w:rFonts w:cs="Tahoma"/>
          <w:iCs/>
          <w:color w:val="auto"/>
          <w:sz w:val="24"/>
          <w:szCs w:val="24"/>
          <w:lang w:val="es-ES"/>
        </w:rPr>
        <w:t xml:space="preserve"> </w:t>
      </w:r>
      <w:r w:rsidR="00266416" w:rsidRPr="00341CA1">
        <w:rPr>
          <w:rFonts w:cs="Tahoma"/>
          <w:iCs/>
          <w:color w:val="auto"/>
          <w:sz w:val="24"/>
          <w:szCs w:val="24"/>
          <w:lang w:val="es-ES"/>
        </w:rPr>
        <w:t xml:space="preserve">pretende acceder a información </w:t>
      </w:r>
      <w:r w:rsidR="007132F9" w:rsidRPr="00341CA1">
        <w:rPr>
          <w:rFonts w:cs="Tahoma"/>
          <w:iCs/>
          <w:color w:val="auto"/>
          <w:sz w:val="24"/>
          <w:szCs w:val="24"/>
          <w:lang w:val="es-ES"/>
        </w:rPr>
        <w:t xml:space="preserve">de índole </w:t>
      </w:r>
      <w:r w:rsidR="00266416" w:rsidRPr="00341CA1">
        <w:rPr>
          <w:rFonts w:cs="Tahoma"/>
          <w:iCs/>
          <w:color w:val="auto"/>
          <w:sz w:val="24"/>
          <w:szCs w:val="24"/>
          <w:lang w:val="es-ES"/>
        </w:rPr>
        <w:t xml:space="preserve">privada, pues </w:t>
      </w:r>
      <w:r w:rsidR="007132F9" w:rsidRPr="00341CA1">
        <w:rPr>
          <w:rFonts w:cs="Tahoma"/>
          <w:iCs/>
          <w:color w:val="auto"/>
          <w:sz w:val="24"/>
          <w:szCs w:val="24"/>
          <w:lang w:val="es-ES"/>
        </w:rPr>
        <w:t xml:space="preserve">la información de su </w:t>
      </w:r>
      <w:r w:rsidR="00723034" w:rsidRPr="00341CA1">
        <w:rPr>
          <w:rFonts w:cs="Tahoma"/>
          <w:iCs/>
          <w:color w:val="auto"/>
          <w:sz w:val="24"/>
          <w:szCs w:val="24"/>
          <w:lang w:val="es-ES"/>
        </w:rPr>
        <w:t>interés</w:t>
      </w:r>
      <w:r w:rsidR="007132F9" w:rsidRPr="00341CA1">
        <w:rPr>
          <w:rFonts w:cs="Tahoma"/>
          <w:iCs/>
          <w:color w:val="auto"/>
          <w:sz w:val="24"/>
          <w:szCs w:val="24"/>
          <w:lang w:val="es-ES"/>
        </w:rPr>
        <w:t xml:space="preserve"> </w:t>
      </w:r>
      <w:r w:rsidR="00266416" w:rsidRPr="00341CA1">
        <w:rPr>
          <w:rFonts w:cs="Tahoma"/>
          <w:iCs/>
          <w:color w:val="auto"/>
          <w:sz w:val="24"/>
          <w:szCs w:val="24"/>
          <w:lang w:val="es-ES"/>
        </w:rPr>
        <w:t xml:space="preserve">se refiere a la vida </w:t>
      </w:r>
      <w:r w:rsidR="00EA701B" w:rsidRPr="00341CA1">
        <w:rPr>
          <w:rFonts w:cs="Tahoma"/>
          <w:iCs/>
          <w:color w:val="auto"/>
          <w:sz w:val="24"/>
          <w:szCs w:val="24"/>
          <w:lang w:val="es-ES"/>
        </w:rPr>
        <w:t>íntima</w:t>
      </w:r>
      <w:r w:rsidR="00266416" w:rsidRPr="00341CA1">
        <w:rPr>
          <w:rFonts w:cs="Tahoma"/>
          <w:iCs/>
          <w:color w:val="auto"/>
          <w:sz w:val="24"/>
          <w:szCs w:val="24"/>
          <w:lang w:val="es-ES"/>
        </w:rPr>
        <w:t xml:space="preserve"> </w:t>
      </w:r>
      <w:r w:rsidR="00EA701B" w:rsidRPr="00341CA1">
        <w:rPr>
          <w:rFonts w:cs="Tahoma"/>
          <w:iCs/>
          <w:color w:val="auto"/>
          <w:sz w:val="24"/>
          <w:szCs w:val="24"/>
          <w:lang w:val="es-ES"/>
        </w:rPr>
        <w:t>de particulares</w:t>
      </w:r>
      <w:r w:rsidR="00C222FD" w:rsidRPr="00341CA1">
        <w:rPr>
          <w:rFonts w:cs="Tahoma"/>
          <w:iCs/>
          <w:color w:val="auto"/>
          <w:sz w:val="24"/>
          <w:szCs w:val="24"/>
          <w:lang w:val="es-ES"/>
        </w:rPr>
        <w:t xml:space="preserve">, de tal suerte que, </w:t>
      </w:r>
      <w:r w:rsidR="0067776C" w:rsidRPr="00341CA1">
        <w:rPr>
          <w:rFonts w:eastAsia="Times New Roman" w:cs="Tahoma"/>
          <w:bCs/>
          <w:iCs/>
          <w:color w:val="auto"/>
          <w:sz w:val="24"/>
          <w:szCs w:val="24"/>
          <w:lang w:val="es-ES" w:eastAsia="es-ES"/>
        </w:rPr>
        <w:t xml:space="preserve">pronunciarse sobre </w:t>
      </w:r>
      <w:r w:rsidR="00EA701B" w:rsidRPr="00341CA1">
        <w:rPr>
          <w:rFonts w:eastAsia="Times New Roman" w:cs="Tahoma"/>
          <w:bCs/>
          <w:iCs/>
          <w:color w:val="auto"/>
          <w:sz w:val="24"/>
          <w:szCs w:val="24"/>
          <w:lang w:val="es-ES" w:eastAsia="es-ES"/>
        </w:rPr>
        <w:t>la existencia de juicios en donde las personas señaladas sean parte, daría cuenta de que son actores o demandados (homólogos) en un juicio, lo cual únicamente refiere a la esfera privada e íntima de estos.</w:t>
      </w:r>
    </w:p>
    <w:p w14:paraId="50BB0397" w14:textId="77777777" w:rsidR="001437DD" w:rsidRPr="00341CA1" w:rsidRDefault="001437DD" w:rsidP="00F40D32">
      <w:pPr>
        <w:spacing w:after="0" w:line="360" w:lineRule="auto"/>
        <w:rPr>
          <w:rFonts w:eastAsia="Times New Roman" w:cs="Tahoma"/>
          <w:bCs/>
          <w:iCs/>
          <w:color w:val="auto"/>
          <w:sz w:val="24"/>
          <w:szCs w:val="24"/>
          <w:lang w:val="es-ES" w:eastAsia="es-ES"/>
        </w:rPr>
      </w:pPr>
    </w:p>
    <w:p w14:paraId="589A08AF" w14:textId="222CE5AC" w:rsidR="00FA7201" w:rsidRPr="00341CA1" w:rsidRDefault="00EA701B" w:rsidP="00F40D32">
      <w:pPr>
        <w:spacing w:line="360" w:lineRule="auto"/>
        <w:ind w:right="-28"/>
        <w:contextualSpacing/>
        <w:rPr>
          <w:rFonts w:eastAsia="Calibri" w:cs="Tahoma"/>
          <w:bCs/>
          <w:color w:val="auto"/>
          <w:sz w:val="24"/>
          <w:szCs w:val="24"/>
          <w:lang w:val="es-ES"/>
        </w:rPr>
      </w:pPr>
      <w:r w:rsidRPr="00341CA1">
        <w:rPr>
          <w:rFonts w:eastAsia="Calibri" w:cs="Tahoma"/>
          <w:bCs/>
          <w:color w:val="auto"/>
          <w:sz w:val="24"/>
          <w:szCs w:val="24"/>
          <w:lang w:val="es-ES"/>
        </w:rPr>
        <w:t xml:space="preserve">Sobre el tema, </w:t>
      </w:r>
      <w:r w:rsidR="00FA7201" w:rsidRPr="00341CA1">
        <w:rPr>
          <w:rFonts w:eastAsia="Calibri" w:cs="Tahoma"/>
          <w:bCs/>
          <w:color w:val="auto"/>
          <w:sz w:val="24"/>
          <w:szCs w:val="24"/>
          <w:lang w:val="es-ES"/>
        </w:rPr>
        <w:t>el artículo 12 de la Declaración Universal de los Derechos Humanos</w:t>
      </w:r>
      <w:r w:rsidR="00FA7201" w:rsidRPr="00341CA1">
        <w:rPr>
          <w:rFonts w:eastAsia="Calibri" w:cs="Tahoma"/>
          <w:bCs/>
          <w:i/>
          <w:color w:val="auto"/>
          <w:sz w:val="24"/>
          <w:szCs w:val="24"/>
          <w:lang w:val="es-ES"/>
        </w:rPr>
        <w:t xml:space="preserve"> </w:t>
      </w:r>
      <w:r w:rsidR="00FA7201" w:rsidRPr="00341CA1">
        <w:rPr>
          <w:rFonts w:eastAsia="Calibri" w:cs="Tahoma"/>
          <w:bCs/>
          <w:color w:val="auto"/>
          <w:sz w:val="24"/>
          <w:szCs w:val="24"/>
          <w:lang w:val="es-ES"/>
        </w:rPr>
        <w:t xml:space="preserve">prevé que nadie será objeto de injerencias arbitrarias </w:t>
      </w:r>
      <w:r w:rsidR="00FA7201" w:rsidRPr="00341CA1">
        <w:rPr>
          <w:rFonts w:eastAsia="Calibri" w:cs="Tahoma"/>
          <w:b/>
          <w:bCs/>
          <w:color w:val="auto"/>
          <w:sz w:val="24"/>
          <w:szCs w:val="24"/>
          <w:lang w:val="es-ES"/>
        </w:rPr>
        <w:t>en su vida privada, su familia, su domicilio o su correspondencia</w:t>
      </w:r>
      <w:r w:rsidR="00FA7201" w:rsidRPr="00341CA1">
        <w:rPr>
          <w:rFonts w:eastAsia="Calibri" w:cs="Tahoma"/>
          <w:bCs/>
          <w:color w:val="auto"/>
          <w:sz w:val="24"/>
          <w:szCs w:val="24"/>
          <w:lang w:val="es-ES"/>
        </w:rPr>
        <w:t>, ni de ataques a su honra o a su reputación. Toda persona tiene derecho a la protección de la ley contra tales injerencias o ataques.</w:t>
      </w:r>
    </w:p>
    <w:p w14:paraId="252A9D06" w14:textId="284BF44C" w:rsidR="00723034" w:rsidRPr="00341CA1" w:rsidRDefault="00723034" w:rsidP="00F40D32">
      <w:pPr>
        <w:spacing w:after="0" w:line="360" w:lineRule="auto"/>
        <w:rPr>
          <w:rFonts w:eastAsia="Times New Roman" w:cs="Tahoma"/>
          <w:bCs/>
          <w:iCs/>
          <w:color w:val="auto"/>
          <w:sz w:val="24"/>
          <w:szCs w:val="24"/>
          <w:lang w:val="es-ES" w:eastAsia="es-ES"/>
        </w:rPr>
      </w:pPr>
    </w:p>
    <w:p w14:paraId="142BE4E2" w14:textId="77777777" w:rsidR="00E04DDD" w:rsidRPr="00341CA1" w:rsidRDefault="00E04DDD"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2F869EC" w14:textId="77777777" w:rsidR="00E04DDD" w:rsidRPr="00341CA1" w:rsidRDefault="00E04DDD" w:rsidP="00F40D32">
      <w:pPr>
        <w:spacing w:after="0" w:line="360" w:lineRule="auto"/>
        <w:rPr>
          <w:rFonts w:eastAsia="Times New Roman" w:cs="Tahoma"/>
          <w:bCs/>
          <w:iCs/>
          <w:color w:val="auto"/>
          <w:sz w:val="24"/>
          <w:szCs w:val="24"/>
          <w:lang w:val="es-ES" w:eastAsia="es-ES"/>
        </w:rPr>
      </w:pPr>
    </w:p>
    <w:p w14:paraId="3F0468F0" w14:textId="77777777" w:rsidR="00E04DDD" w:rsidRPr="00341CA1" w:rsidRDefault="00E04DDD"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73A8FBD" w14:textId="77777777" w:rsidR="00E04DDD" w:rsidRPr="00341CA1" w:rsidRDefault="00E04DDD" w:rsidP="00F40D32">
      <w:pPr>
        <w:spacing w:after="0" w:line="360" w:lineRule="auto"/>
        <w:rPr>
          <w:rFonts w:eastAsia="Times New Roman" w:cs="Tahoma"/>
          <w:bCs/>
          <w:iCs/>
          <w:color w:val="auto"/>
          <w:sz w:val="24"/>
          <w:szCs w:val="24"/>
          <w:lang w:val="es-ES" w:eastAsia="es-ES"/>
        </w:rPr>
      </w:pPr>
    </w:p>
    <w:p w14:paraId="0CA90341" w14:textId="77777777" w:rsidR="00E04DDD" w:rsidRPr="00341CA1" w:rsidRDefault="00E04DDD"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eastAsia="es-ES"/>
        </w:rPr>
        <w:t>Abona a lo anterior,</w:t>
      </w:r>
      <w:r w:rsidRPr="00341CA1">
        <w:rPr>
          <w:rFonts w:eastAsia="Times New Roman" w:cs="Tahoma"/>
          <w:bCs/>
          <w:iCs/>
          <w:color w:val="auto"/>
          <w:sz w:val="24"/>
          <w:szCs w:val="24"/>
          <w:lang w:val="es-ES" w:eastAsia="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4AEE93ED" w14:textId="77777777" w:rsidR="00E04DDD" w:rsidRPr="00341CA1" w:rsidRDefault="00E04DDD" w:rsidP="00F40D32">
      <w:pPr>
        <w:spacing w:after="0" w:line="360" w:lineRule="auto"/>
        <w:rPr>
          <w:rFonts w:eastAsia="Times New Roman" w:cs="Tahoma"/>
          <w:bCs/>
          <w:iCs/>
          <w:color w:val="auto"/>
          <w:sz w:val="24"/>
          <w:szCs w:val="24"/>
          <w:lang w:val="es-ES" w:eastAsia="es-ES"/>
        </w:rPr>
      </w:pPr>
    </w:p>
    <w:p w14:paraId="3DADD798" w14:textId="77777777" w:rsidR="00E04DDD" w:rsidRPr="00341CA1" w:rsidRDefault="00E04DDD" w:rsidP="001437DD">
      <w:pPr>
        <w:spacing w:after="0" w:line="240" w:lineRule="auto"/>
        <w:ind w:left="567" w:right="567"/>
        <w:contextualSpacing/>
        <w:rPr>
          <w:rFonts w:eastAsia="Times New Roman" w:cs="Tahoma"/>
          <w:bCs/>
          <w:i/>
          <w:iCs/>
          <w:color w:val="auto"/>
          <w:szCs w:val="24"/>
          <w:lang w:val="es-ES" w:eastAsia="es-ES"/>
        </w:rPr>
      </w:pPr>
      <w:r w:rsidRPr="00341CA1">
        <w:rPr>
          <w:rFonts w:eastAsia="Times New Roman" w:cs="Tahoma"/>
          <w:bCs/>
          <w:i/>
          <w:iCs/>
          <w:color w:val="auto"/>
          <w:szCs w:val="24"/>
          <w:lang w:val="es-ES" w:eastAsia="es-ES"/>
        </w:rPr>
        <w:lastRenderedPageBreak/>
        <w:t>“</w:t>
      </w:r>
      <w:r w:rsidRPr="00341CA1">
        <w:rPr>
          <w:rFonts w:eastAsia="Times New Roman" w:cs="Tahoma"/>
          <w:b/>
          <w:bCs/>
          <w:i/>
          <w:iCs/>
          <w:color w:val="auto"/>
          <w:szCs w:val="24"/>
          <w:lang w:val="es-ES" w:eastAsia="es-ES"/>
        </w:rPr>
        <w:t xml:space="preserve">DERECHO A LA VIDA PRIVADA. SU CONTENIDO GENERAL Y LA IMPORTANCIA DE NO DESCONTEXTUALIZAR LAS REFERENCIAS A LA MISMA. </w:t>
      </w:r>
      <w:r w:rsidRPr="00341CA1">
        <w:rPr>
          <w:rFonts w:eastAsia="Times New Roman" w:cs="Tahoma"/>
          <w:bCs/>
          <w:i/>
          <w:iCs/>
          <w:color w:val="auto"/>
          <w:szCs w:val="24"/>
          <w:lang w:val="es-ES" w:eastAsia="es-ES"/>
        </w:rPr>
        <w:t xml:space="preserve">La Suprema Corte de Justicia de la Nación se ha referido en varias tesis a los </w:t>
      </w:r>
      <w:r w:rsidRPr="00341CA1">
        <w:rPr>
          <w:rFonts w:eastAsia="Times New Roman" w:cs="Tahoma"/>
          <w:bCs/>
          <w:i/>
          <w:iCs/>
          <w:color w:val="auto"/>
          <w:szCs w:val="24"/>
          <w:u w:val="single"/>
          <w:lang w:val="es-ES" w:eastAsia="es-ES"/>
        </w:rPr>
        <w:t>rasgos característicos de la noción de lo ‘privado’</w:t>
      </w:r>
      <w:r w:rsidRPr="00341CA1">
        <w:rPr>
          <w:rFonts w:eastAsia="Times New Roman" w:cs="Tahoma"/>
          <w:bCs/>
          <w:i/>
          <w:iCs/>
          <w:color w:val="auto"/>
          <w:szCs w:val="24"/>
          <w:lang w:val="es-ES" w:eastAsia="es-ES"/>
        </w:rPr>
        <w:t xml:space="preserve">. Así, lo ha relacionado con: lo que no constituye vida pública; </w:t>
      </w:r>
      <w:r w:rsidRPr="00341CA1">
        <w:rPr>
          <w:rFonts w:eastAsia="Times New Roman" w:cs="Tahoma"/>
          <w:bCs/>
          <w:i/>
          <w:iCs/>
          <w:color w:val="auto"/>
          <w:szCs w:val="24"/>
          <w:u w:val="single"/>
          <w:lang w:val="es-ES" w:eastAsia="es-ES"/>
        </w:rPr>
        <w:t>el ámbito reservado frente a la acción y el conocimiento de los demás</w:t>
      </w:r>
      <w:r w:rsidRPr="00341CA1">
        <w:rPr>
          <w:rFonts w:eastAsia="Times New Roman" w:cs="Tahoma"/>
          <w:bCs/>
          <w:i/>
          <w:iCs/>
          <w:color w:val="auto"/>
          <w:szCs w:val="24"/>
          <w:lang w:val="es-ES" w:eastAsia="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341CA1">
        <w:rPr>
          <w:rFonts w:eastAsia="Times New Roman" w:cs="Tahoma"/>
          <w:b/>
          <w:bCs/>
          <w:i/>
          <w:iCs/>
          <w:color w:val="auto"/>
          <w:szCs w:val="24"/>
          <w:lang w:val="es-ES" w:eastAsia="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341CA1">
        <w:rPr>
          <w:rFonts w:eastAsia="Times New Roman" w:cs="Tahoma"/>
          <w:bCs/>
          <w:i/>
          <w:iCs/>
          <w:color w:val="auto"/>
          <w:szCs w:val="24"/>
          <w:lang w:val="es-ES" w:eastAsia="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341CA1">
        <w:rPr>
          <w:rFonts w:eastAsia="Times New Roman" w:cs="Tahoma"/>
          <w:b/>
          <w:bCs/>
          <w:i/>
          <w:iCs/>
          <w:color w:val="auto"/>
          <w:szCs w:val="24"/>
          <w:lang w:val="es-ES" w:eastAsia="es-ES"/>
        </w:rPr>
        <w:t>En un sentido amplio, entonces, la protección constitucional de la vida privada implica poder conducir parte de la vida de uno protegido de la mirada y las injerencias de los demás</w:t>
      </w:r>
      <w:r w:rsidRPr="00341CA1">
        <w:rPr>
          <w:rFonts w:eastAsia="Times New Roman" w:cs="Tahoma"/>
          <w:bCs/>
          <w:i/>
          <w:iCs/>
          <w:color w:val="auto"/>
          <w:szCs w:val="24"/>
          <w:lang w:val="es-ES" w:eastAsia="es-ES"/>
        </w:rPr>
        <w:t xml:space="preserve">, y guarda conexiones de variado tipo con pretensiones más concretas que los textos </w:t>
      </w:r>
      <w:r w:rsidRPr="00341CA1">
        <w:rPr>
          <w:rFonts w:eastAsia="Times New Roman" w:cs="Tahoma"/>
          <w:bCs/>
          <w:i/>
          <w:iCs/>
          <w:color w:val="auto"/>
          <w:szCs w:val="24"/>
          <w:lang w:val="es-ES" w:eastAsia="es-ES"/>
        </w:rPr>
        <w:lastRenderedPageBreak/>
        <w:t>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134BCA8" w14:textId="77777777" w:rsidR="00E04DDD" w:rsidRPr="00341CA1" w:rsidRDefault="00E04DDD" w:rsidP="00F40D32">
      <w:pPr>
        <w:spacing w:after="0" w:line="360" w:lineRule="auto"/>
        <w:rPr>
          <w:rFonts w:eastAsia="Times New Roman" w:cs="Tahoma"/>
          <w:bCs/>
          <w:iCs/>
          <w:color w:val="auto"/>
          <w:sz w:val="24"/>
          <w:szCs w:val="24"/>
          <w:lang w:val="es-ES" w:eastAsia="es-ES"/>
        </w:rPr>
      </w:pPr>
    </w:p>
    <w:p w14:paraId="4A757AC4" w14:textId="15ED38DC" w:rsidR="00E04DDD" w:rsidRPr="00341CA1" w:rsidRDefault="00E04DDD" w:rsidP="00F40D32">
      <w:pPr>
        <w:spacing w:after="0" w:line="360" w:lineRule="auto"/>
        <w:rPr>
          <w:rFonts w:eastAsia="Times New Roman" w:cs="Tahoma"/>
          <w:b/>
          <w:bCs/>
          <w:iCs/>
          <w:color w:val="auto"/>
          <w:sz w:val="24"/>
          <w:szCs w:val="24"/>
          <w:lang w:val="es-ES" w:eastAsia="es-ES"/>
        </w:rPr>
      </w:pPr>
      <w:r w:rsidRPr="00341CA1">
        <w:rPr>
          <w:rFonts w:eastAsia="Times New Roman" w:cs="Tahoma"/>
          <w:bCs/>
          <w:iCs/>
          <w:color w:val="auto"/>
          <w:sz w:val="24"/>
          <w:szCs w:val="24"/>
          <w:lang w:val="es-ES" w:eastAsia="es-ES"/>
        </w:rPr>
        <w:t xml:space="preserve">De conformidad con lo señalado, se colige que </w:t>
      </w:r>
      <w:r w:rsidRPr="00341CA1">
        <w:rPr>
          <w:rFonts w:eastAsia="Times New Roman" w:cs="Tahoma"/>
          <w:b/>
          <w:bCs/>
          <w:iCs/>
          <w:color w:val="auto"/>
          <w:sz w:val="24"/>
          <w:szCs w:val="24"/>
          <w:lang w:val="es-ES" w:eastAsia="es-ES"/>
        </w:rPr>
        <w:t>las actividades que realicen los particulares, dentro del ámbito privado, o dentro de la esfera particular, es información que debe protegerse, como lo es, la información relacionada con</w:t>
      </w:r>
      <w:r w:rsidR="00327EA3" w:rsidRPr="00341CA1">
        <w:rPr>
          <w:rFonts w:eastAsia="Times New Roman" w:cs="Tahoma"/>
          <w:b/>
          <w:bCs/>
          <w:iCs/>
          <w:color w:val="auto"/>
          <w:sz w:val="24"/>
          <w:szCs w:val="24"/>
          <w:lang w:val="es-ES" w:eastAsia="es-ES"/>
        </w:rPr>
        <w:t xml:space="preserve"> </w:t>
      </w:r>
      <w:r w:rsidR="00DE0B3B" w:rsidRPr="00341CA1">
        <w:rPr>
          <w:rFonts w:eastAsia="Times New Roman" w:cs="Tahoma"/>
          <w:b/>
          <w:bCs/>
          <w:iCs/>
          <w:color w:val="auto"/>
          <w:sz w:val="24"/>
          <w:szCs w:val="24"/>
          <w:lang w:val="es-ES" w:eastAsia="es-ES"/>
        </w:rPr>
        <w:t>una relación jurídica procesal</w:t>
      </w:r>
      <w:r w:rsidR="003A6198" w:rsidRPr="00341CA1">
        <w:rPr>
          <w:rFonts w:eastAsia="Times New Roman" w:cs="Tahoma"/>
          <w:b/>
          <w:bCs/>
          <w:iCs/>
          <w:color w:val="auto"/>
          <w:sz w:val="24"/>
          <w:szCs w:val="24"/>
          <w:lang w:val="es-ES" w:eastAsia="es-ES"/>
        </w:rPr>
        <w:t xml:space="preserve"> entre particulares.</w:t>
      </w:r>
    </w:p>
    <w:p w14:paraId="2F751532" w14:textId="77777777" w:rsidR="00F306FA" w:rsidRPr="00341CA1" w:rsidRDefault="00F306FA" w:rsidP="00F40D32">
      <w:pPr>
        <w:spacing w:after="0" w:line="360" w:lineRule="auto"/>
        <w:rPr>
          <w:rFonts w:eastAsia="Times New Roman" w:cs="Tahoma"/>
          <w:b/>
          <w:bCs/>
          <w:iCs/>
          <w:color w:val="auto"/>
          <w:sz w:val="24"/>
          <w:szCs w:val="24"/>
          <w:lang w:val="es-ES" w:eastAsia="es-ES"/>
        </w:rPr>
      </w:pPr>
    </w:p>
    <w:p w14:paraId="1BD89CEC" w14:textId="49F43290" w:rsidR="00EA701B" w:rsidRPr="00341CA1" w:rsidRDefault="00EA701B"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En el presente caso, </w:t>
      </w:r>
      <w:r w:rsidR="00C65798" w:rsidRPr="00341CA1">
        <w:rPr>
          <w:rFonts w:eastAsia="Times New Roman" w:cs="Tahoma"/>
          <w:bCs/>
          <w:iCs/>
          <w:color w:val="auto"/>
          <w:sz w:val="24"/>
          <w:szCs w:val="24"/>
          <w:lang w:eastAsia="es-ES"/>
        </w:rPr>
        <w:t xml:space="preserve">señalar </w:t>
      </w:r>
      <w:r w:rsidR="001437DD" w:rsidRPr="00341CA1">
        <w:rPr>
          <w:rFonts w:eastAsia="Times New Roman" w:cs="Tahoma"/>
          <w:bCs/>
          <w:iCs/>
          <w:color w:val="auto"/>
          <w:sz w:val="24"/>
          <w:szCs w:val="24"/>
          <w:lang w:eastAsia="es-ES"/>
        </w:rPr>
        <w:t>la existencia de una sentencia definitiva,</w:t>
      </w:r>
      <w:r w:rsidR="00C65798" w:rsidRPr="00341CA1">
        <w:rPr>
          <w:rFonts w:eastAsia="Times New Roman" w:cs="Tahoma"/>
          <w:bCs/>
          <w:iCs/>
          <w:color w:val="auto"/>
          <w:sz w:val="24"/>
          <w:szCs w:val="24"/>
          <w:lang w:eastAsia="es-ES"/>
        </w:rPr>
        <w:t xml:space="preserve"> es </w:t>
      </w:r>
      <w:r w:rsidR="001437DD" w:rsidRPr="00341CA1">
        <w:rPr>
          <w:rFonts w:eastAsia="Times New Roman" w:cs="Tahoma"/>
          <w:bCs/>
          <w:iCs/>
          <w:color w:val="auto"/>
          <w:sz w:val="24"/>
          <w:szCs w:val="24"/>
          <w:lang w:eastAsia="es-ES"/>
        </w:rPr>
        <w:t>aludir</w:t>
      </w:r>
      <w:r w:rsidR="00C65798" w:rsidRPr="00341CA1">
        <w:rPr>
          <w:rFonts w:eastAsia="Times New Roman" w:cs="Tahoma"/>
          <w:bCs/>
          <w:iCs/>
          <w:color w:val="auto"/>
          <w:sz w:val="24"/>
          <w:szCs w:val="24"/>
          <w:lang w:eastAsia="es-ES"/>
        </w:rPr>
        <w:t xml:space="preserve"> la existencia un juicio en donde se encuentra</w:t>
      </w:r>
      <w:r w:rsidR="001437DD" w:rsidRPr="00341CA1">
        <w:rPr>
          <w:rFonts w:eastAsia="Times New Roman" w:cs="Tahoma"/>
          <w:bCs/>
          <w:iCs/>
          <w:color w:val="auto"/>
          <w:sz w:val="24"/>
          <w:szCs w:val="24"/>
          <w:lang w:eastAsia="es-ES"/>
        </w:rPr>
        <w:t>n</w:t>
      </w:r>
      <w:r w:rsidR="00C65798" w:rsidRPr="00341CA1">
        <w:rPr>
          <w:rFonts w:eastAsia="Times New Roman" w:cs="Tahoma"/>
          <w:bCs/>
          <w:iCs/>
          <w:color w:val="auto"/>
          <w:sz w:val="24"/>
          <w:szCs w:val="24"/>
          <w:lang w:eastAsia="es-ES"/>
        </w:rPr>
        <w:t xml:space="preserve"> involucrada</w:t>
      </w:r>
      <w:r w:rsidR="001437DD" w:rsidRPr="00341CA1">
        <w:rPr>
          <w:rFonts w:eastAsia="Times New Roman" w:cs="Tahoma"/>
          <w:bCs/>
          <w:iCs/>
          <w:color w:val="auto"/>
          <w:sz w:val="24"/>
          <w:szCs w:val="24"/>
          <w:lang w:eastAsia="es-ES"/>
        </w:rPr>
        <w:t>s</w:t>
      </w:r>
      <w:r w:rsidR="00C65798" w:rsidRPr="00341CA1">
        <w:rPr>
          <w:rFonts w:eastAsia="Times New Roman" w:cs="Tahoma"/>
          <w:bCs/>
          <w:iCs/>
          <w:color w:val="auto"/>
          <w:sz w:val="24"/>
          <w:szCs w:val="24"/>
          <w:lang w:eastAsia="es-ES"/>
        </w:rPr>
        <w:t xml:space="preserve"> la</w:t>
      </w:r>
      <w:r w:rsidR="001437DD" w:rsidRPr="00341CA1">
        <w:rPr>
          <w:rFonts w:eastAsia="Times New Roman" w:cs="Tahoma"/>
          <w:bCs/>
          <w:iCs/>
          <w:color w:val="auto"/>
          <w:sz w:val="24"/>
          <w:szCs w:val="24"/>
          <w:lang w:eastAsia="es-ES"/>
        </w:rPr>
        <w:t>s</w:t>
      </w:r>
      <w:r w:rsidR="00C65798" w:rsidRPr="00341CA1">
        <w:rPr>
          <w:rFonts w:eastAsia="Times New Roman" w:cs="Tahoma"/>
          <w:bCs/>
          <w:iCs/>
          <w:color w:val="auto"/>
          <w:sz w:val="24"/>
          <w:szCs w:val="24"/>
          <w:lang w:eastAsia="es-ES"/>
        </w:rPr>
        <w:t xml:space="preserve"> persona</w:t>
      </w:r>
      <w:r w:rsidR="001437DD" w:rsidRPr="00341CA1">
        <w:rPr>
          <w:rFonts w:eastAsia="Times New Roman" w:cs="Tahoma"/>
          <w:bCs/>
          <w:iCs/>
          <w:color w:val="auto"/>
          <w:sz w:val="24"/>
          <w:szCs w:val="24"/>
          <w:lang w:eastAsia="es-ES"/>
        </w:rPr>
        <w:t>s</w:t>
      </w:r>
      <w:r w:rsidR="00C65798" w:rsidRPr="00341CA1">
        <w:rPr>
          <w:rFonts w:eastAsia="Times New Roman" w:cs="Tahoma"/>
          <w:bCs/>
          <w:iCs/>
          <w:color w:val="auto"/>
          <w:sz w:val="24"/>
          <w:szCs w:val="24"/>
          <w:lang w:eastAsia="es-ES"/>
        </w:rPr>
        <w:t xml:space="preserve"> referida</w:t>
      </w:r>
      <w:r w:rsidR="001437DD" w:rsidRPr="00341CA1">
        <w:rPr>
          <w:rFonts w:eastAsia="Times New Roman" w:cs="Tahoma"/>
          <w:bCs/>
          <w:iCs/>
          <w:color w:val="auto"/>
          <w:sz w:val="24"/>
          <w:szCs w:val="24"/>
          <w:lang w:eastAsia="es-ES"/>
        </w:rPr>
        <w:t>s</w:t>
      </w:r>
      <w:r w:rsidR="00C65798" w:rsidRPr="00341CA1">
        <w:rPr>
          <w:rFonts w:eastAsia="Times New Roman" w:cs="Tahoma"/>
          <w:bCs/>
          <w:iCs/>
          <w:color w:val="auto"/>
          <w:sz w:val="24"/>
          <w:szCs w:val="24"/>
          <w:lang w:eastAsia="es-ES"/>
        </w:rPr>
        <w:t xml:space="preserve"> en la solicitud de información, lo cual</w:t>
      </w:r>
      <w:r w:rsidRPr="00341CA1">
        <w:rPr>
          <w:rFonts w:eastAsia="Times New Roman" w:cs="Tahoma"/>
          <w:bCs/>
          <w:iCs/>
          <w:color w:val="auto"/>
          <w:sz w:val="24"/>
          <w:szCs w:val="24"/>
          <w:lang w:eastAsia="es-ES"/>
        </w:rPr>
        <w:t xml:space="preserve">, iría en contra del derecho a la vida privada, pues daría cuenta de la decisión personal; es decir, </w:t>
      </w:r>
      <w:r w:rsidRPr="00341CA1">
        <w:rPr>
          <w:rFonts w:eastAsia="Times New Roman" w:cs="Tahoma"/>
          <w:b/>
          <w:bCs/>
          <w:iCs/>
          <w:color w:val="auto"/>
          <w:sz w:val="24"/>
          <w:szCs w:val="24"/>
          <w:u w:val="single"/>
          <w:lang w:eastAsia="es-ES"/>
        </w:rPr>
        <w:t xml:space="preserve">un acto de voluntad </w:t>
      </w:r>
      <w:r w:rsidR="00235F6E" w:rsidRPr="00341CA1">
        <w:rPr>
          <w:rFonts w:eastAsia="Times New Roman" w:cs="Tahoma"/>
          <w:b/>
          <w:bCs/>
          <w:iCs/>
          <w:color w:val="auto"/>
          <w:sz w:val="24"/>
          <w:szCs w:val="24"/>
          <w:u w:val="single"/>
          <w:lang w:eastAsia="es-ES"/>
        </w:rPr>
        <w:t>para iniciar</w:t>
      </w:r>
      <w:r w:rsidR="001437DD" w:rsidRPr="00341CA1">
        <w:rPr>
          <w:rFonts w:eastAsia="Times New Roman" w:cs="Tahoma"/>
          <w:b/>
          <w:bCs/>
          <w:iCs/>
          <w:color w:val="auto"/>
          <w:sz w:val="24"/>
          <w:szCs w:val="24"/>
          <w:u w:val="single"/>
          <w:lang w:eastAsia="es-ES"/>
        </w:rPr>
        <w:t xml:space="preserve"> un juicio o procedimiento judicial</w:t>
      </w:r>
      <w:r w:rsidR="00235F6E" w:rsidRPr="00341CA1">
        <w:rPr>
          <w:rFonts w:eastAsia="Times New Roman" w:cs="Tahoma"/>
          <w:b/>
          <w:bCs/>
          <w:iCs/>
          <w:color w:val="auto"/>
          <w:sz w:val="24"/>
          <w:szCs w:val="24"/>
          <w:u w:val="single"/>
          <w:lang w:eastAsia="es-ES"/>
        </w:rPr>
        <w:t>,</w:t>
      </w:r>
      <w:r w:rsidR="00235F6E" w:rsidRPr="00341CA1">
        <w:rPr>
          <w:rFonts w:eastAsia="Times New Roman" w:cs="Tahoma"/>
          <w:bCs/>
          <w:iCs/>
          <w:color w:val="auto"/>
          <w:sz w:val="24"/>
          <w:szCs w:val="24"/>
          <w:lang w:eastAsia="es-ES"/>
        </w:rPr>
        <w:t xml:space="preserve"> lo cual constituye cuestiones de carácter estrictamente íntimo.</w:t>
      </w:r>
    </w:p>
    <w:p w14:paraId="6008BE55" w14:textId="0AFD42B2" w:rsidR="00EA701B" w:rsidRPr="00341CA1" w:rsidRDefault="00235F6E"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Por otra parte, </w:t>
      </w:r>
      <w:r w:rsidR="009D7017" w:rsidRPr="00341CA1">
        <w:rPr>
          <w:rFonts w:eastAsia="Times New Roman" w:cs="Tahoma"/>
          <w:b/>
          <w:bCs/>
          <w:iCs/>
          <w:color w:val="auto"/>
          <w:sz w:val="24"/>
          <w:szCs w:val="24"/>
          <w:u w:val="single"/>
          <w:lang w:eastAsia="es-ES"/>
        </w:rPr>
        <w:t xml:space="preserve">el </w:t>
      </w:r>
      <w:r w:rsidRPr="00341CA1">
        <w:rPr>
          <w:rFonts w:eastAsia="Times New Roman" w:cs="Tahoma"/>
          <w:b/>
          <w:bCs/>
          <w:iCs/>
          <w:color w:val="auto"/>
          <w:sz w:val="24"/>
          <w:szCs w:val="24"/>
          <w:u w:val="single"/>
          <w:lang w:eastAsia="es-ES"/>
        </w:rPr>
        <w:t xml:space="preserve">precisar si existe o no un juicio en donde </w:t>
      </w:r>
      <w:r w:rsidR="009D7017" w:rsidRPr="00341CA1">
        <w:rPr>
          <w:rFonts w:eastAsia="Times New Roman" w:cs="Tahoma"/>
          <w:b/>
          <w:bCs/>
          <w:iCs/>
          <w:color w:val="auto"/>
          <w:sz w:val="24"/>
          <w:szCs w:val="24"/>
          <w:u w:val="single"/>
          <w:lang w:eastAsia="es-ES"/>
        </w:rPr>
        <w:t>la persona señalada en</w:t>
      </w:r>
      <w:r w:rsidR="00747532" w:rsidRPr="00341CA1">
        <w:rPr>
          <w:rFonts w:eastAsia="Times New Roman" w:cs="Tahoma"/>
          <w:b/>
          <w:bCs/>
          <w:iCs/>
          <w:color w:val="auto"/>
          <w:sz w:val="24"/>
          <w:szCs w:val="24"/>
          <w:u w:val="single"/>
          <w:lang w:eastAsia="es-ES"/>
        </w:rPr>
        <w:t xml:space="preserve"> la solicitud de información como</w:t>
      </w:r>
      <w:r w:rsidR="009D7017" w:rsidRPr="00341CA1">
        <w:rPr>
          <w:rFonts w:eastAsia="Times New Roman" w:cs="Tahoma"/>
          <w:b/>
          <w:bCs/>
          <w:iCs/>
          <w:color w:val="auto"/>
          <w:sz w:val="24"/>
          <w:szCs w:val="24"/>
          <w:u w:val="single"/>
          <w:lang w:eastAsia="es-ES"/>
        </w:rPr>
        <w:t xml:space="preserve"> demandada</w:t>
      </w:r>
      <w:r w:rsidR="00747532" w:rsidRPr="00341CA1">
        <w:rPr>
          <w:rFonts w:eastAsia="Times New Roman" w:cs="Tahoma"/>
          <w:b/>
          <w:bCs/>
          <w:iCs/>
          <w:color w:val="auto"/>
          <w:sz w:val="24"/>
          <w:szCs w:val="24"/>
          <w:u w:val="single"/>
          <w:lang w:eastAsia="es-ES"/>
        </w:rPr>
        <w:t>,</w:t>
      </w:r>
      <w:r w:rsidR="009D7017" w:rsidRPr="00341CA1">
        <w:rPr>
          <w:rFonts w:eastAsia="Times New Roman" w:cs="Tahoma"/>
          <w:bCs/>
          <w:iCs/>
          <w:color w:val="auto"/>
          <w:sz w:val="24"/>
          <w:szCs w:val="24"/>
          <w:lang w:eastAsia="es-ES"/>
        </w:rPr>
        <w:t xml:space="preserve"> </w:t>
      </w:r>
      <w:r w:rsidRPr="00341CA1">
        <w:rPr>
          <w:rFonts w:eastAsia="Times New Roman" w:cs="Tahoma"/>
          <w:bCs/>
          <w:iCs/>
          <w:color w:val="auto"/>
          <w:sz w:val="24"/>
          <w:szCs w:val="24"/>
          <w:lang w:eastAsia="es-ES"/>
        </w:rPr>
        <w:t>iría en contra del derecho a la vida privada, pues daría a conocer que</w:t>
      </w:r>
      <w:r w:rsidR="009D7017" w:rsidRPr="00341CA1">
        <w:rPr>
          <w:rFonts w:eastAsia="Times New Roman" w:cs="Tahoma"/>
          <w:bCs/>
          <w:iCs/>
          <w:color w:val="auto"/>
          <w:sz w:val="24"/>
          <w:szCs w:val="24"/>
          <w:lang w:eastAsia="es-ES"/>
        </w:rPr>
        <w:t xml:space="preserve"> a</w:t>
      </w:r>
      <w:r w:rsidRPr="00341CA1">
        <w:rPr>
          <w:rFonts w:eastAsia="Times New Roman" w:cs="Tahoma"/>
          <w:bCs/>
          <w:iCs/>
          <w:color w:val="auto"/>
          <w:sz w:val="24"/>
          <w:szCs w:val="24"/>
          <w:lang w:eastAsia="es-ES"/>
        </w:rPr>
        <w:t xml:space="preserve"> dicha persona </w:t>
      </w:r>
      <w:r w:rsidR="009D7017" w:rsidRPr="00341CA1">
        <w:rPr>
          <w:rFonts w:eastAsia="Times New Roman" w:cs="Tahoma"/>
          <w:bCs/>
          <w:iCs/>
          <w:color w:val="auto"/>
          <w:sz w:val="24"/>
          <w:szCs w:val="24"/>
          <w:lang w:eastAsia="es-ES"/>
        </w:rPr>
        <w:t>se le inicio un juicio en</w:t>
      </w:r>
      <w:r w:rsidRPr="00341CA1">
        <w:rPr>
          <w:rFonts w:eastAsia="Times New Roman" w:cs="Tahoma"/>
          <w:bCs/>
          <w:iCs/>
          <w:color w:val="auto"/>
          <w:sz w:val="24"/>
          <w:szCs w:val="24"/>
          <w:lang w:eastAsia="es-ES"/>
        </w:rPr>
        <w:t xml:space="preserve"> </w:t>
      </w:r>
      <w:r w:rsidR="00747532" w:rsidRPr="00341CA1">
        <w:rPr>
          <w:rFonts w:eastAsia="Times New Roman" w:cs="Tahoma"/>
          <w:bCs/>
          <w:iCs/>
          <w:color w:val="auto"/>
          <w:sz w:val="24"/>
          <w:szCs w:val="24"/>
          <w:lang w:eastAsia="es-ES"/>
        </w:rPr>
        <w:t xml:space="preserve">su </w:t>
      </w:r>
      <w:r w:rsidRPr="00341CA1">
        <w:rPr>
          <w:rFonts w:eastAsia="Times New Roman" w:cs="Tahoma"/>
          <w:bCs/>
          <w:iCs/>
          <w:color w:val="auto"/>
          <w:sz w:val="24"/>
          <w:szCs w:val="24"/>
          <w:lang w:eastAsia="es-ES"/>
        </w:rPr>
        <w:t xml:space="preserve">contra, lo cual ocasionaría una percepción negativa de esta y daría a conocer la decisión personal de defenderse en dicho procedimiento jurisdiccional. </w:t>
      </w:r>
    </w:p>
    <w:p w14:paraId="30F45DBD" w14:textId="77777777" w:rsidR="00B07D8C" w:rsidRPr="00341CA1" w:rsidRDefault="00B07D8C" w:rsidP="00F40D32">
      <w:pPr>
        <w:spacing w:after="0" w:line="360" w:lineRule="auto"/>
        <w:rPr>
          <w:rFonts w:eastAsia="Times New Roman" w:cs="Tahoma"/>
          <w:bCs/>
          <w:iCs/>
          <w:color w:val="auto"/>
          <w:sz w:val="24"/>
          <w:szCs w:val="24"/>
          <w:lang w:eastAsia="es-ES"/>
        </w:rPr>
      </w:pPr>
    </w:p>
    <w:p w14:paraId="144F51FF" w14:textId="77777777" w:rsidR="00B07D8C" w:rsidRPr="00341CA1" w:rsidRDefault="00B07D8C" w:rsidP="00B07D8C">
      <w:pPr>
        <w:spacing w:line="360" w:lineRule="auto"/>
        <w:rPr>
          <w:rFonts w:cs="Tahoma"/>
          <w:bCs/>
          <w:iCs/>
          <w:color w:val="auto"/>
          <w:sz w:val="24"/>
          <w:szCs w:val="24"/>
        </w:rPr>
      </w:pPr>
      <w:r w:rsidRPr="00341CA1">
        <w:rPr>
          <w:rFonts w:cs="Tahoma"/>
          <w:bCs/>
          <w:iCs/>
          <w:color w:val="auto"/>
          <w:sz w:val="24"/>
          <w:szCs w:val="24"/>
        </w:rPr>
        <w:t xml:space="preserve">Además, proporcionar la información requerida, relacionada con el nombre de las personas, se estaría vinculando una situación jurídica de las personas identificadas en </w:t>
      </w:r>
      <w:r w:rsidRPr="00341CA1">
        <w:rPr>
          <w:rFonts w:cs="Tahoma"/>
          <w:bCs/>
          <w:iCs/>
          <w:color w:val="auto"/>
          <w:sz w:val="24"/>
          <w:szCs w:val="24"/>
        </w:rPr>
        <w:lastRenderedPageBreak/>
        <w:t>el requerimiento como participantes de un juicio de cualquier naturaleza, así como, el estado procesal del mismo.</w:t>
      </w:r>
    </w:p>
    <w:p w14:paraId="17F39409" w14:textId="77777777" w:rsidR="00E04DDD" w:rsidRPr="00341CA1" w:rsidRDefault="00E04DDD"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3C662339" w14:textId="77777777" w:rsidR="00E04DDD" w:rsidRPr="00341CA1" w:rsidRDefault="00E04DDD" w:rsidP="00F40D32">
      <w:pPr>
        <w:spacing w:after="0" w:line="360" w:lineRule="auto"/>
        <w:rPr>
          <w:rFonts w:eastAsia="Times New Roman" w:cs="Tahoma"/>
          <w:b/>
          <w:bCs/>
          <w:iCs/>
          <w:color w:val="auto"/>
          <w:sz w:val="24"/>
          <w:szCs w:val="24"/>
          <w:lang w:eastAsia="es-ES"/>
        </w:rPr>
      </w:pPr>
    </w:p>
    <w:p w14:paraId="356213D4" w14:textId="77777777" w:rsidR="00E04DDD" w:rsidRPr="00341CA1" w:rsidRDefault="00E04DDD" w:rsidP="00747532">
      <w:pPr>
        <w:spacing w:after="0" w:line="240" w:lineRule="auto"/>
        <w:ind w:left="567" w:right="567"/>
        <w:contextualSpacing/>
        <w:rPr>
          <w:rFonts w:eastAsia="Times New Roman" w:cs="Tahoma"/>
          <w:bCs/>
          <w:i/>
          <w:iCs/>
          <w:color w:val="auto"/>
          <w:szCs w:val="24"/>
          <w:lang w:val="es-ES" w:eastAsia="es-ES"/>
        </w:rPr>
      </w:pPr>
      <w:r w:rsidRPr="00341CA1">
        <w:rPr>
          <w:rFonts w:eastAsia="Times New Roman" w:cs="Tahoma"/>
          <w:b/>
          <w:bCs/>
          <w:i/>
          <w:iCs/>
          <w:color w:val="auto"/>
          <w:szCs w:val="24"/>
          <w:lang w:val="es-ES" w:eastAsia="es-ES"/>
        </w:rPr>
        <w:t xml:space="preserve">“DERECHO A LA PRIVACIDAD O INTIMIDAD. ESTÁ PROTEGIDO POR EL ARTÍCULO 16, PRIMER PÁRRAFO, DE LA CONSTITUCIÓN POLÍTICA DE LOS ESTADOS UNIDOS MEXICANOS. </w:t>
      </w:r>
      <w:r w:rsidRPr="00341CA1">
        <w:rPr>
          <w:rFonts w:eastAsia="Times New Roman" w:cs="Tahoma"/>
          <w:bCs/>
          <w:i/>
          <w:iCs/>
          <w:color w:val="auto"/>
          <w:szCs w:val="24"/>
          <w:lang w:val="es-ES" w:eastAsia="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0E9F88DB" w14:textId="77777777" w:rsidR="00E04DDD" w:rsidRPr="00341CA1" w:rsidRDefault="00E04DDD" w:rsidP="00F40D32">
      <w:pPr>
        <w:spacing w:after="0" w:line="360" w:lineRule="auto"/>
        <w:rPr>
          <w:rFonts w:eastAsia="Times New Roman" w:cs="Tahoma"/>
          <w:bCs/>
          <w:iCs/>
          <w:color w:val="auto"/>
          <w:sz w:val="24"/>
          <w:szCs w:val="24"/>
          <w:lang w:eastAsia="es-ES"/>
        </w:rPr>
      </w:pPr>
    </w:p>
    <w:p w14:paraId="1951EF0F" w14:textId="77777777" w:rsidR="00E04DDD" w:rsidRPr="00341CA1" w:rsidRDefault="00E04DDD"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5B4B78FD" w14:textId="77777777" w:rsidR="00E04DDD" w:rsidRPr="00341CA1" w:rsidRDefault="00E04DDD"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lastRenderedPageBreak/>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796D5A3F" w14:textId="77777777" w:rsidR="00E04DDD" w:rsidRPr="00341CA1" w:rsidRDefault="00E04DDD" w:rsidP="00F40D32">
      <w:pPr>
        <w:spacing w:after="0" w:line="360" w:lineRule="auto"/>
        <w:rPr>
          <w:rFonts w:eastAsia="Times New Roman" w:cs="Tahoma"/>
          <w:bCs/>
          <w:iCs/>
          <w:color w:val="auto"/>
          <w:sz w:val="24"/>
          <w:szCs w:val="24"/>
          <w:lang w:eastAsia="es-ES"/>
        </w:rPr>
      </w:pPr>
    </w:p>
    <w:p w14:paraId="5CBEC3CC" w14:textId="77777777" w:rsidR="00B07D8C" w:rsidRPr="00341CA1" w:rsidRDefault="00E04DDD" w:rsidP="00B07D8C">
      <w:pPr>
        <w:spacing w:line="360" w:lineRule="auto"/>
        <w:rPr>
          <w:rFonts w:cs="Tahoma"/>
          <w:b/>
          <w:bCs/>
          <w:iCs/>
          <w:color w:val="auto"/>
          <w:sz w:val="24"/>
          <w:szCs w:val="24"/>
          <w:lang w:val="es-ES"/>
        </w:rPr>
      </w:pPr>
      <w:r w:rsidRPr="00341CA1">
        <w:rPr>
          <w:rFonts w:eastAsia="Times New Roman" w:cs="Tahoma"/>
          <w:bCs/>
          <w:iCs/>
          <w:color w:val="auto"/>
          <w:sz w:val="24"/>
          <w:szCs w:val="24"/>
          <w:lang w:eastAsia="es-ES"/>
        </w:rPr>
        <w:t xml:space="preserve">Por lo tanto, se considera que pronunciarse sobre la existencia o no </w:t>
      </w:r>
      <w:r w:rsidR="00235F6E" w:rsidRPr="00341CA1">
        <w:rPr>
          <w:rFonts w:eastAsia="Times New Roman" w:cs="Tahoma"/>
          <w:bCs/>
          <w:iCs/>
          <w:color w:val="auto"/>
          <w:sz w:val="24"/>
          <w:szCs w:val="24"/>
          <w:lang w:eastAsia="es-ES"/>
        </w:rPr>
        <w:t>de juicios</w:t>
      </w:r>
      <w:r w:rsidR="00EA67D6" w:rsidRPr="00341CA1">
        <w:rPr>
          <w:rFonts w:eastAsia="Times New Roman" w:cs="Tahoma"/>
          <w:bCs/>
          <w:iCs/>
          <w:color w:val="auto"/>
          <w:sz w:val="24"/>
          <w:szCs w:val="24"/>
          <w:lang w:eastAsia="es-ES"/>
        </w:rPr>
        <w:t>, o en el presente caso, de una sentencia definitiva</w:t>
      </w:r>
      <w:r w:rsidR="00B413E0" w:rsidRPr="00341CA1">
        <w:rPr>
          <w:rFonts w:eastAsia="Times New Roman" w:cs="Tahoma"/>
          <w:bCs/>
          <w:iCs/>
          <w:color w:val="auto"/>
          <w:sz w:val="24"/>
          <w:szCs w:val="24"/>
          <w:lang w:eastAsia="es-ES"/>
        </w:rPr>
        <w:t xml:space="preserve">, </w:t>
      </w:r>
      <w:r w:rsidR="00B07D8C" w:rsidRPr="00341CA1">
        <w:rPr>
          <w:rFonts w:cs="Tahoma"/>
          <w:bCs/>
          <w:iCs/>
          <w:color w:val="auto"/>
          <w:sz w:val="24"/>
          <w:szCs w:val="24"/>
        </w:rPr>
        <w:t xml:space="preserve">en donde la parte actora o contraparte sea una de las personas señaladas en la solicitud, </w:t>
      </w:r>
      <w:r w:rsidR="00B07D8C" w:rsidRPr="00341CA1">
        <w:rPr>
          <w:rFonts w:cs="Tahoma"/>
          <w:bCs/>
          <w:iCs/>
          <w:color w:val="auto"/>
          <w:sz w:val="24"/>
          <w:szCs w:val="24"/>
          <w:lang w:val="es-ES"/>
        </w:rPr>
        <w:t>implicaría revelar un aspecto de la vida privada que vincula a las personas de la que se requiere información con procedimientos jurisdiccionales,</w:t>
      </w:r>
      <w:r w:rsidR="00B07D8C" w:rsidRPr="00341CA1">
        <w:rPr>
          <w:rFonts w:cs="Tahoma"/>
          <w:b/>
          <w:bCs/>
          <w:iCs/>
          <w:color w:val="auto"/>
          <w:sz w:val="24"/>
          <w:szCs w:val="24"/>
          <w:lang w:val="es-ES"/>
        </w:rPr>
        <w:t xml:space="preserve"> </w:t>
      </w:r>
      <w:r w:rsidR="00B07D8C" w:rsidRPr="00341CA1">
        <w:rPr>
          <w:rFonts w:cs="Tahoma"/>
          <w:bCs/>
          <w:iCs/>
          <w:color w:val="auto"/>
          <w:sz w:val="24"/>
          <w:szCs w:val="24"/>
          <w:lang w:val="es-ES"/>
        </w:rPr>
        <w:t>es decir,</w:t>
      </w:r>
      <w:r w:rsidR="00B07D8C" w:rsidRPr="00341CA1">
        <w:rPr>
          <w:rFonts w:cs="Tahoma"/>
          <w:b/>
          <w:bCs/>
          <w:iCs/>
          <w:color w:val="auto"/>
          <w:sz w:val="24"/>
          <w:szCs w:val="24"/>
          <w:lang w:val="es-ES"/>
        </w:rPr>
        <w:t xml:space="preserve"> reflejaría una situación jurídica concreta del particular identificado, al dar cuenta de la decisión personal de iniciar un procedimiento o defenderse de este, o bien, actuar en este, lo cual afecta su intimidad.</w:t>
      </w:r>
    </w:p>
    <w:p w14:paraId="7246FBD6" w14:textId="15851D2E" w:rsidR="00B413E0" w:rsidRPr="00341CA1" w:rsidRDefault="00B413E0"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Lo anterior, toda vez que dar a conocer la existencia de algún juicio, en donde se haga </w:t>
      </w:r>
      <w:r w:rsidR="009D7017" w:rsidRPr="00341CA1">
        <w:rPr>
          <w:rFonts w:eastAsia="Times New Roman" w:cs="Tahoma"/>
          <w:bCs/>
          <w:iCs/>
          <w:color w:val="auto"/>
          <w:sz w:val="24"/>
          <w:szCs w:val="24"/>
          <w:lang w:val="es-ES" w:eastAsia="es-ES"/>
        </w:rPr>
        <w:t xml:space="preserve">identificable a la parte actora, </w:t>
      </w:r>
      <w:r w:rsidRPr="00341CA1">
        <w:rPr>
          <w:rFonts w:eastAsia="Times New Roman" w:cs="Tahoma"/>
          <w:bCs/>
          <w:iCs/>
          <w:color w:val="auto"/>
          <w:sz w:val="24"/>
          <w:szCs w:val="24"/>
          <w:lang w:val="es-ES" w:eastAsia="es-ES"/>
        </w:rPr>
        <w:t>contraparte</w:t>
      </w:r>
      <w:r w:rsidR="009D7017" w:rsidRPr="00341CA1">
        <w:rPr>
          <w:rFonts w:eastAsia="Times New Roman" w:cs="Tahoma"/>
          <w:bCs/>
          <w:iCs/>
          <w:color w:val="auto"/>
          <w:sz w:val="24"/>
          <w:szCs w:val="24"/>
          <w:lang w:val="es-ES" w:eastAsia="es-ES"/>
        </w:rPr>
        <w:t xml:space="preserve"> o a los participantes dentro del procedimiento</w:t>
      </w:r>
      <w:r w:rsidRPr="00341CA1">
        <w:rPr>
          <w:rFonts w:eastAsia="Times New Roman" w:cs="Tahoma"/>
          <w:bCs/>
          <w:iCs/>
          <w:color w:val="auto"/>
          <w:sz w:val="24"/>
          <w:szCs w:val="24"/>
          <w:lang w:val="es-ES" w:eastAsia="es-ES"/>
        </w:rPr>
        <w:t>,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728556B8" w14:textId="77777777" w:rsidR="00E04DDD" w:rsidRPr="00341CA1" w:rsidRDefault="00E04DDD" w:rsidP="00F40D32">
      <w:pPr>
        <w:spacing w:after="0" w:line="360" w:lineRule="auto"/>
        <w:rPr>
          <w:rFonts w:eastAsia="Times New Roman" w:cs="Tahoma"/>
          <w:bCs/>
          <w:iCs/>
          <w:color w:val="auto"/>
          <w:sz w:val="24"/>
          <w:szCs w:val="24"/>
          <w:lang w:eastAsia="es-ES"/>
        </w:rPr>
      </w:pPr>
    </w:p>
    <w:p w14:paraId="338BED98" w14:textId="4B4AA420" w:rsidR="00B413E0" w:rsidRPr="00341CA1" w:rsidRDefault="00B413E0"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Razón por la cual, se consid</w:t>
      </w:r>
      <w:r w:rsidR="009D7017" w:rsidRPr="00341CA1">
        <w:rPr>
          <w:rFonts w:eastAsia="Times New Roman" w:cs="Tahoma"/>
          <w:bCs/>
          <w:iCs/>
          <w:color w:val="auto"/>
          <w:sz w:val="24"/>
          <w:szCs w:val="24"/>
          <w:lang w:val="es-ES" w:eastAsia="es-ES"/>
        </w:rPr>
        <w:t xml:space="preserve">era que el </w:t>
      </w:r>
      <w:r w:rsidR="00EA67D6" w:rsidRPr="00341CA1">
        <w:rPr>
          <w:rFonts w:eastAsia="Times New Roman" w:cs="Tahoma"/>
          <w:b/>
          <w:bCs/>
          <w:iCs/>
          <w:color w:val="auto"/>
          <w:sz w:val="24"/>
          <w:szCs w:val="24"/>
          <w:lang w:val="es-ES" w:eastAsia="es-ES"/>
        </w:rPr>
        <w:t>SUJETO OBLIGADO</w:t>
      </w:r>
      <w:r w:rsidR="00EA67D6" w:rsidRPr="00341CA1">
        <w:rPr>
          <w:rFonts w:eastAsia="Times New Roman" w:cs="Tahoma"/>
          <w:bCs/>
          <w:iCs/>
          <w:color w:val="auto"/>
          <w:sz w:val="24"/>
          <w:szCs w:val="24"/>
          <w:lang w:val="es-ES" w:eastAsia="es-ES"/>
        </w:rPr>
        <w:t xml:space="preserve"> </w:t>
      </w:r>
      <w:r w:rsidR="009D7017" w:rsidRPr="00341CA1">
        <w:rPr>
          <w:rFonts w:eastAsia="Times New Roman" w:cs="Tahoma"/>
          <w:bCs/>
          <w:iCs/>
          <w:color w:val="auto"/>
          <w:sz w:val="24"/>
          <w:szCs w:val="24"/>
          <w:lang w:val="es-ES" w:eastAsia="es-ES"/>
        </w:rPr>
        <w:t>deb</w:t>
      </w:r>
      <w:r w:rsidR="00B07D8C" w:rsidRPr="00341CA1">
        <w:rPr>
          <w:rFonts w:eastAsia="Times New Roman" w:cs="Tahoma"/>
          <w:bCs/>
          <w:iCs/>
          <w:color w:val="auto"/>
          <w:sz w:val="24"/>
          <w:szCs w:val="24"/>
          <w:lang w:val="es-ES" w:eastAsia="es-ES"/>
        </w:rPr>
        <w:t>ió</w:t>
      </w:r>
      <w:r w:rsidRPr="00341CA1">
        <w:rPr>
          <w:rFonts w:eastAsia="Times New Roman" w:cs="Tahoma"/>
          <w:bCs/>
          <w:iCs/>
          <w:color w:val="auto"/>
          <w:sz w:val="24"/>
          <w:szCs w:val="24"/>
          <w:lang w:val="es-ES" w:eastAsia="es-ES"/>
        </w:rPr>
        <w:t xml:space="preserve"> de clasificar el pronunciamiento, sobre la información requerida, en términos de lo previsto en el </w:t>
      </w:r>
      <w:r w:rsidRPr="00341CA1">
        <w:rPr>
          <w:rFonts w:eastAsia="Times New Roman" w:cs="Tahoma"/>
          <w:bCs/>
          <w:iCs/>
          <w:color w:val="auto"/>
          <w:sz w:val="24"/>
          <w:szCs w:val="24"/>
          <w:lang w:val="es-ES" w:eastAsia="es-ES"/>
        </w:rPr>
        <w:lastRenderedPageBreak/>
        <w:t>artículo 143, fracción I, de la Ley de Transparencia y Acceso a la Información Pública del</w:t>
      </w:r>
      <w:r w:rsidR="009D7017" w:rsidRPr="00341CA1">
        <w:rPr>
          <w:rFonts w:eastAsia="Times New Roman" w:cs="Tahoma"/>
          <w:bCs/>
          <w:iCs/>
          <w:color w:val="auto"/>
          <w:sz w:val="24"/>
          <w:szCs w:val="24"/>
          <w:lang w:val="es-ES" w:eastAsia="es-ES"/>
        </w:rPr>
        <w:t xml:space="preserve"> Estado de México y Municipios </w:t>
      </w:r>
      <w:r w:rsidRPr="00341CA1">
        <w:rPr>
          <w:rFonts w:eastAsia="Times New Roman" w:cs="Tahoma"/>
          <w:bCs/>
          <w:iCs/>
          <w:color w:val="auto"/>
          <w:sz w:val="24"/>
          <w:szCs w:val="24"/>
          <w:lang w:val="es-ES" w:eastAsia="es-ES"/>
        </w:rPr>
        <w:t xml:space="preserve">y no solamente precisar que estaba impedido a proporcionar la </w:t>
      </w:r>
      <w:r w:rsidR="009D7017" w:rsidRPr="00341CA1">
        <w:rPr>
          <w:rFonts w:eastAsia="Times New Roman" w:cs="Tahoma"/>
          <w:bCs/>
          <w:iCs/>
          <w:color w:val="auto"/>
          <w:sz w:val="24"/>
          <w:szCs w:val="24"/>
          <w:lang w:val="es-ES" w:eastAsia="es-ES"/>
        </w:rPr>
        <w:t>información al ser confidencial</w:t>
      </w:r>
      <w:r w:rsidR="00B07D8C" w:rsidRPr="00341CA1">
        <w:rPr>
          <w:rFonts w:eastAsia="Times New Roman" w:cs="Tahoma"/>
          <w:bCs/>
          <w:iCs/>
          <w:color w:val="auto"/>
          <w:sz w:val="24"/>
          <w:szCs w:val="24"/>
          <w:lang w:val="es-ES" w:eastAsia="es-ES"/>
        </w:rPr>
        <w:t xml:space="preserve">. </w:t>
      </w:r>
    </w:p>
    <w:p w14:paraId="09873C2A" w14:textId="77777777" w:rsidR="00B07D8C" w:rsidRPr="00341CA1" w:rsidRDefault="00B07D8C" w:rsidP="00F40D32">
      <w:pPr>
        <w:spacing w:after="0" w:line="360" w:lineRule="auto"/>
        <w:rPr>
          <w:rFonts w:eastAsia="Times New Roman" w:cs="Tahoma"/>
          <w:bCs/>
          <w:iCs/>
          <w:color w:val="auto"/>
          <w:sz w:val="24"/>
          <w:szCs w:val="24"/>
          <w:lang w:val="es-ES" w:eastAsia="es-ES"/>
        </w:rPr>
      </w:pPr>
    </w:p>
    <w:p w14:paraId="5BAE5AB3" w14:textId="24DF3356" w:rsidR="0051439D" w:rsidRPr="00341CA1" w:rsidRDefault="0099358F" w:rsidP="00F40D32">
      <w:pPr>
        <w:spacing w:after="0" w:line="360" w:lineRule="auto"/>
        <w:rPr>
          <w:rFonts w:eastAsia="Times New Roman" w:cs="Tahoma"/>
          <w:bCs/>
          <w:iCs/>
          <w:color w:val="auto"/>
          <w:sz w:val="24"/>
          <w:szCs w:val="24"/>
          <w:lang w:val="es-ES" w:eastAsia="es-ES"/>
        </w:rPr>
      </w:pPr>
      <w:r w:rsidRPr="00341CA1">
        <w:rPr>
          <w:rFonts w:eastAsia="Times New Roman" w:cs="Tahoma"/>
          <w:bCs/>
          <w:iCs/>
          <w:color w:val="auto"/>
          <w:sz w:val="24"/>
          <w:szCs w:val="24"/>
          <w:lang w:val="es-ES" w:eastAsia="es-ES"/>
        </w:rPr>
        <w:t xml:space="preserve">Para lo cual </w:t>
      </w:r>
      <w:r w:rsidR="0051439D" w:rsidRPr="00341CA1">
        <w:rPr>
          <w:rFonts w:eastAsia="Times New Roman" w:cs="Tahoma"/>
          <w:bCs/>
          <w:iCs/>
          <w:color w:val="auto"/>
          <w:sz w:val="24"/>
          <w:szCs w:val="24"/>
          <w:lang w:eastAsia="es-ES"/>
        </w:rPr>
        <w:t xml:space="preserve">debe traerse a colación lo dispuesto en el artículo 168 de la Ley de Transparencia y Acceso a la Información Pública del Estado de México y Municipios, que </w:t>
      </w:r>
      <w:r w:rsidR="00EA67D6" w:rsidRPr="00341CA1">
        <w:rPr>
          <w:rFonts w:eastAsia="Times New Roman" w:cs="Tahoma"/>
          <w:bCs/>
          <w:iCs/>
          <w:color w:val="auto"/>
          <w:sz w:val="24"/>
          <w:szCs w:val="24"/>
          <w:lang w:eastAsia="es-ES"/>
        </w:rPr>
        <w:t>precisa que en caso de que los Sujetos O</w:t>
      </w:r>
      <w:r w:rsidR="0051439D" w:rsidRPr="00341CA1">
        <w:rPr>
          <w:rFonts w:eastAsia="Times New Roman" w:cs="Tahoma"/>
          <w:bCs/>
          <w:iCs/>
          <w:color w:val="auto"/>
          <w:sz w:val="24"/>
          <w:szCs w:val="24"/>
          <w:lang w:eastAsia="es-ES"/>
        </w:rPr>
        <w:t>bligados consideren que los documentos o la información requerida deban ser clasificados, el área deberá remitir la solicitud, así como un escrito en el que funde y motive dicha situación al Comité de Transparencia, mismo que deberá resolver para:</w:t>
      </w:r>
    </w:p>
    <w:p w14:paraId="4ADA678F" w14:textId="77777777" w:rsidR="0051439D" w:rsidRPr="00341CA1" w:rsidRDefault="0051439D" w:rsidP="00F40D32">
      <w:pPr>
        <w:spacing w:after="0" w:line="360" w:lineRule="auto"/>
        <w:rPr>
          <w:rFonts w:eastAsia="Times New Roman" w:cs="Tahoma"/>
          <w:bCs/>
          <w:iCs/>
          <w:color w:val="auto"/>
          <w:sz w:val="24"/>
          <w:szCs w:val="24"/>
          <w:lang w:eastAsia="es-ES"/>
        </w:rPr>
      </w:pPr>
    </w:p>
    <w:p w14:paraId="68DCEA7E" w14:textId="1EE7A79A" w:rsidR="0051439D" w:rsidRPr="00341CA1" w:rsidRDefault="0051439D" w:rsidP="009D7017">
      <w:pPr>
        <w:numPr>
          <w:ilvl w:val="0"/>
          <w:numId w:val="28"/>
        </w:numPr>
        <w:spacing w:after="0" w:line="276" w:lineRule="auto"/>
        <w:rPr>
          <w:rFonts w:eastAsia="Times New Roman" w:cs="Tahoma"/>
          <w:bCs/>
          <w:iCs/>
          <w:color w:val="auto"/>
          <w:szCs w:val="24"/>
          <w:lang w:eastAsia="es-ES"/>
        </w:rPr>
      </w:pPr>
      <w:r w:rsidRPr="00341CA1">
        <w:rPr>
          <w:rFonts w:eastAsia="Times New Roman" w:cs="Tahoma"/>
          <w:bCs/>
          <w:iCs/>
          <w:color w:val="auto"/>
          <w:szCs w:val="24"/>
          <w:lang w:eastAsia="es-ES"/>
        </w:rPr>
        <w:t>Confirmar la clasificación;</w:t>
      </w:r>
    </w:p>
    <w:p w14:paraId="3468AABF" w14:textId="16868379" w:rsidR="0051439D" w:rsidRPr="00341CA1" w:rsidRDefault="0051439D" w:rsidP="009D7017">
      <w:pPr>
        <w:numPr>
          <w:ilvl w:val="0"/>
          <w:numId w:val="28"/>
        </w:numPr>
        <w:spacing w:after="0" w:line="276" w:lineRule="auto"/>
        <w:rPr>
          <w:rFonts w:eastAsia="Times New Roman" w:cs="Tahoma"/>
          <w:bCs/>
          <w:iCs/>
          <w:color w:val="auto"/>
          <w:szCs w:val="24"/>
          <w:lang w:eastAsia="es-ES"/>
        </w:rPr>
      </w:pPr>
      <w:r w:rsidRPr="00341CA1">
        <w:rPr>
          <w:rFonts w:eastAsia="Times New Roman" w:cs="Tahoma"/>
          <w:bCs/>
          <w:iCs/>
          <w:color w:val="auto"/>
          <w:szCs w:val="24"/>
          <w:lang w:eastAsia="es-ES"/>
        </w:rPr>
        <w:t>Modificar la clasificación y, otorgar total o parcialmente el acceso a la información, o</w:t>
      </w:r>
    </w:p>
    <w:p w14:paraId="2E6B21C0" w14:textId="77777777" w:rsidR="0051439D" w:rsidRPr="00341CA1" w:rsidRDefault="0051439D" w:rsidP="009D7017">
      <w:pPr>
        <w:numPr>
          <w:ilvl w:val="0"/>
          <w:numId w:val="28"/>
        </w:numPr>
        <w:spacing w:after="0" w:line="276" w:lineRule="auto"/>
        <w:rPr>
          <w:rFonts w:eastAsia="Times New Roman" w:cs="Tahoma"/>
          <w:bCs/>
          <w:iCs/>
          <w:color w:val="auto"/>
          <w:szCs w:val="24"/>
          <w:lang w:eastAsia="es-ES"/>
        </w:rPr>
      </w:pPr>
      <w:r w:rsidRPr="00341CA1">
        <w:rPr>
          <w:rFonts w:eastAsia="Times New Roman" w:cs="Tahoma"/>
          <w:bCs/>
          <w:iCs/>
          <w:color w:val="auto"/>
          <w:szCs w:val="24"/>
          <w:lang w:eastAsia="es-ES"/>
        </w:rPr>
        <w:t>Revocar la clasificación y conceder el acceso a la información.</w:t>
      </w:r>
    </w:p>
    <w:p w14:paraId="5EFA9DB6" w14:textId="77777777" w:rsidR="0051439D" w:rsidRPr="00341CA1" w:rsidRDefault="0051439D" w:rsidP="00F40D32">
      <w:pPr>
        <w:spacing w:after="0" w:line="360" w:lineRule="auto"/>
        <w:rPr>
          <w:rFonts w:eastAsia="Times New Roman" w:cs="Tahoma"/>
          <w:bCs/>
          <w:iCs/>
          <w:color w:val="auto"/>
          <w:sz w:val="24"/>
          <w:szCs w:val="24"/>
          <w:lang w:eastAsia="es-ES"/>
        </w:rPr>
      </w:pPr>
    </w:p>
    <w:p w14:paraId="4F813C96" w14:textId="1A56295C" w:rsidR="0051439D" w:rsidRPr="00341CA1" w:rsidRDefault="0051439D"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Para motivar la confirmación de la clasificación de la información, se deberán señalar las razones, motivos o circunstancias especiales que llevaron al </w:t>
      </w:r>
      <w:r w:rsidR="00EA67D6" w:rsidRPr="00341CA1">
        <w:rPr>
          <w:rFonts w:eastAsia="Times New Roman" w:cs="Tahoma"/>
          <w:b/>
          <w:bCs/>
          <w:iCs/>
          <w:color w:val="auto"/>
          <w:sz w:val="24"/>
          <w:szCs w:val="24"/>
          <w:lang w:eastAsia="es-ES"/>
        </w:rPr>
        <w:t>SUJETO OBLIGADO</w:t>
      </w:r>
      <w:r w:rsidRPr="00341CA1">
        <w:rPr>
          <w:rFonts w:eastAsia="Times New Roman" w:cs="Tahoma"/>
          <w:bCs/>
          <w:iCs/>
          <w:color w:val="auto"/>
          <w:sz w:val="24"/>
          <w:szCs w:val="24"/>
          <w:lang w:eastAsia="es-ES"/>
        </w:rPr>
        <w:t xml:space="preserve"> a concluir que el caso particular se ajusta al supuesto previsto por la norma legal invocada como fundamento, lo que en el presente caso sucedió. </w:t>
      </w:r>
    </w:p>
    <w:p w14:paraId="39BAEC6A" w14:textId="77777777" w:rsidR="00F306FA" w:rsidRPr="00341CA1" w:rsidRDefault="00F306FA" w:rsidP="00F40D32">
      <w:pPr>
        <w:spacing w:after="0" w:line="360" w:lineRule="auto"/>
        <w:rPr>
          <w:rFonts w:eastAsia="Times New Roman" w:cs="Tahoma"/>
          <w:bCs/>
          <w:iCs/>
          <w:color w:val="auto"/>
          <w:sz w:val="24"/>
          <w:szCs w:val="24"/>
          <w:lang w:eastAsia="es-ES"/>
        </w:rPr>
      </w:pPr>
    </w:p>
    <w:p w14:paraId="530C82C3" w14:textId="39C539D1" w:rsidR="00F306FA" w:rsidRPr="00341CA1" w:rsidRDefault="00F306FA"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Por último, no pasa desapercibido mencionar que, si bien, en el presente caso, la parte solicitante requirió </w:t>
      </w:r>
      <w:r w:rsidR="00EA67D6" w:rsidRPr="00341CA1">
        <w:rPr>
          <w:rFonts w:eastAsia="Times New Roman" w:cs="Tahoma"/>
          <w:b/>
          <w:bCs/>
          <w:iCs/>
          <w:color w:val="auto"/>
          <w:sz w:val="24"/>
          <w:szCs w:val="24"/>
          <w:lang w:eastAsia="es-ES"/>
        </w:rPr>
        <w:t>una sentencia definitiva</w:t>
      </w:r>
      <w:r w:rsidRPr="00341CA1">
        <w:rPr>
          <w:rFonts w:eastAsia="Times New Roman" w:cs="Tahoma"/>
          <w:bCs/>
          <w:iCs/>
          <w:color w:val="auto"/>
          <w:sz w:val="24"/>
          <w:szCs w:val="24"/>
          <w:lang w:eastAsia="es-ES"/>
        </w:rPr>
        <w:t xml:space="preserve">, información que de conformidad con el artículo 96 de la Ley de Transparencia y Acceso a la Información Pública del Estado de México y Municipio, corresponde a obligaciones de transparencia específicas, como se puede observar: </w:t>
      </w:r>
    </w:p>
    <w:p w14:paraId="7387CAD5" w14:textId="77777777" w:rsidR="00F306FA" w:rsidRPr="00341CA1" w:rsidRDefault="00F306FA" w:rsidP="00F306FA">
      <w:pPr>
        <w:spacing w:after="0" w:line="276" w:lineRule="auto"/>
        <w:ind w:left="567" w:right="616"/>
        <w:rPr>
          <w:i/>
          <w:color w:val="auto"/>
        </w:rPr>
      </w:pPr>
      <w:r w:rsidRPr="00341CA1">
        <w:rPr>
          <w:b/>
          <w:i/>
          <w:color w:val="auto"/>
        </w:rPr>
        <w:lastRenderedPageBreak/>
        <w:t>Artículo 96.</w:t>
      </w:r>
      <w:r w:rsidRPr="00341CA1">
        <w:rPr>
          <w:i/>
          <w:color w:val="auto"/>
        </w:rPr>
        <w:t xml:space="preserve">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14:paraId="4CBDB0D9" w14:textId="77777777" w:rsidR="00F306FA" w:rsidRPr="00341CA1" w:rsidRDefault="00F306FA" w:rsidP="00F306FA">
      <w:pPr>
        <w:spacing w:after="0" w:line="276" w:lineRule="auto"/>
        <w:ind w:left="567" w:right="616"/>
        <w:rPr>
          <w:i/>
          <w:color w:val="auto"/>
        </w:rPr>
      </w:pPr>
    </w:p>
    <w:p w14:paraId="0BD2048B" w14:textId="77777777" w:rsidR="00F306FA" w:rsidRPr="00341CA1" w:rsidRDefault="00F306FA" w:rsidP="00F306FA">
      <w:pPr>
        <w:spacing w:after="0" w:line="276" w:lineRule="auto"/>
        <w:ind w:left="567" w:right="616"/>
        <w:rPr>
          <w:i/>
          <w:color w:val="auto"/>
        </w:rPr>
      </w:pPr>
      <w:r w:rsidRPr="00341CA1">
        <w:rPr>
          <w:i/>
          <w:color w:val="auto"/>
        </w:rPr>
        <w:t xml:space="preserve">I. Las tesis y ejecutorias publicadas en el Boletín Judicial del Tribunal Superior de Justicia del Estado de México y en la Gaceta del Tribunal de Justicia Administrativa del Estado de México, incluyendo tesis jurisprudenciales y aisladas; </w:t>
      </w:r>
    </w:p>
    <w:p w14:paraId="2436642D" w14:textId="13050F28" w:rsidR="00F306FA" w:rsidRPr="00341CA1" w:rsidRDefault="00F306FA" w:rsidP="00F306FA">
      <w:pPr>
        <w:spacing w:after="0" w:line="276" w:lineRule="auto"/>
        <w:ind w:left="567" w:right="616"/>
        <w:rPr>
          <w:b/>
          <w:i/>
          <w:color w:val="auto"/>
          <w:u w:val="single"/>
        </w:rPr>
      </w:pPr>
      <w:r w:rsidRPr="00341CA1">
        <w:rPr>
          <w:b/>
          <w:i/>
          <w:color w:val="auto"/>
          <w:u w:val="single"/>
        </w:rPr>
        <w:t xml:space="preserve">II. Las versiones públicas de las sentencias que sean de interés público; </w:t>
      </w:r>
    </w:p>
    <w:p w14:paraId="40ABE35F" w14:textId="77777777" w:rsidR="00F306FA" w:rsidRPr="00341CA1" w:rsidRDefault="00F306FA" w:rsidP="00F306FA">
      <w:pPr>
        <w:spacing w:after="0" w:line="276" w:lineRule="auto"/>
        <w:ind w:left="567" w:right="616"/>
        <w:rPr>
          <w:i/>
          <w:color w:val="auto"/>
        </w:rPr>
      </w:pPr>
      <w:r w:rsidRPr="00341CA1">
        <w:rPr>
          <w:i/>
          <w:color w:val="auto"/>
        </w:rPr>
        <w:t xml:space="preserve">III. Las versiones estenográficas, taquigráficas, magnetofónicas, video gráficas, electrónicas o de cualquier otra naturaleza, de las sesiones públicas de cualquiera de sus órganos; </w:t>
      </w:r>
    </w:p>
    <w:p w14:paraId="44233006" w14:textId="1D3E9273" w:rsidR="00F306FA" w:rsidRPr="00341CA1" w:rsidRDefault="00F306FA" w:rsidP="00F306FA">
      <w:pPr>
        <w:spacing w:after="0" w:line="276" w:lineRule="auto"/>
        <w:ind w:left="567" w:right="616"/>
        <w:rPr>
          <w:i/>
          <w:color w:val="auto"/>
        </w:rPr>
      </w:pPr>
      <w:r w:rsidRPr="00341CA1">
        <w:rPr>
          <w:i/>
          <w:color w:val="auto"/>
        </w:rPr>
        <w:t xml:space="preserve">IV. La relacionada con los procesos por medio de los cuales fueron designados los jueces y magistrados, según corresponda; </w:t>
      </w:r>
    </w:p>
    <w:p w14:paraId="60479C25" w14:textId="77777777" w:rsidR="00F306FA" w:rsidRPr="00341CA1" w:rsidRDefault="00F306FA" w:rsidP="00F306FA">
      <w:pPr>
        <w:spacing w:after="0" w:line="276" w:lineRule="auto"/>
        <w:ind w:left="567" w:right="616"/>
        <w:rPr>
          <w:i/>
          <w:color w:val="auto"/>
        </w:rPr>
      </w:pPr>
      <w:r w:rsidRPr="00341CA1">
        <w:rPr>
          <w:i/>
          <w:color w:val="auto"/>
        </w:rPr>
        <w:t xml:space="preserve">V. La lista de acuerdos que diariamente se publiquen; </w:t>
      </w:r>
    </w:p>
    <w:p w14:paraId="0484FE94" w14:textId="363E2044" w:rsidR="00F306FA" w:rsidRPr="00341CA1" w:rsidRDefault="00F306FA" w:rsidP="00F306FA">
      <w:pPr>
        <w:spacing w:after="0" w:line="276" w:lineRule="auto"/>
        <w:ind w:left="567" w:right="616"/>
        <w:rPr>
          <w:i/>
          <w:color w:val="auto"/>
        </w:rPr>
      </w:pPr>
      <w:r w:rsidRPr="00341CA1">
        <w:rPr>
          <w:i/>
          <w:color w:val="auto"/>
        </w:rPr>
        <w:t xml:space="preserve">VI. Las convocatorias a concursos para ocupar cargos jurisdiccionales y los resultados finales de los mismos, así como los procesos de ratificación de los funcionarios judiciales; y </w:t>
      </w:r>
    </w:p>
    <w:p w14:paraId="0AA0B93B" w14:textId="7D271B19" w:rsidR="00F306FA" w:rsidRPr="00341CA1" w:rsidRDefault="00F306FA" w:rsidP="00F306FA">
      <w:pPr>
        <w:spacing w:after="0" w:line="276" w:lineRule="auto"/>
        <w:ind w:left="567" w:right="616"/>
        <w:rPr>
          <w:i/>
          <w:color w:val="auto"/>
        </w:rPr>
      </w:pPr>
      <w:r w:rsidRPr="00341CA1">
        <w:rPr>
          <w:i/>
          <w:color w:val="auto"/>
        </w:rPr>
        <w:t>VII. Los perfiles y formas de evaluación del personal judicial y administrativo.</w:t>
      </w:r>
    </w:p>
    <w:p w14:paraId="7512BEE0" w14:textId="77777777" w:rsidR="00F306FA" w:rsidRPr="00341CA1" w:rsidRDefault="00F306FA" w:rsidP="00F40D32">
      <w:pPr>
        <w:spacing w:after="0" w:line="360" w:lineRule="auto"/>
        <w:rPr>
          <w:rFonts w:eastAsia="Times New Roman" w:cs="Tahoma"/>
          <w:bCs/>
          <w:iCs/>
          <w:color w:val="auto"/>
          <w:sz w:val="24"/>
          <w:szCs w:val="24"/>
          <w:lang w:eastAsia="es-ES"/>
        </w:rPr>
      </w:pPr>
    </w:p>
    <w:p w14:paraId="6B31906B" w14:textId="25457A91" w:rsidR="00F306FA" w:rsidRPr="00341CA1" w:rsidRDefault="00F306FA" w:rsidP="00F40D32">
      <w:pPr>
        <w:spacing w:after="0" w:line="360" w:lineRule="auto"/>
        <w:rPr>
          <w:rFonts w:eastAsia="Times New Roman" w:cs="Tahoma"/>
          <w:bCs/>
          <w:iCs/>
          <w:color w:val="auto"/>
          <w:sz w:val="24"/>
          <w:szCs w:val="24"/>
          <w:lang w:eastAsia="es-ES"/>
        </w:rPr>
      </w:pPr>
      <w:r w:rsidRPr="00341CA1">
        <w:rPr>
          <w:rFonts w:eastAsia="Times New Roman" w:cs="Tahoma"/>
          <w:bCs/>
          <w:iCs/>
          <w:color w:val="auto"/>
          <w:sz w:val="24"/>
          <w:szCs w:val="24"/>
          <w:lang w:eastAsia="es-ES"/>
        </w:rPr>
        <w:t xml:space="preserve">También lo es que, ese precepto normativo, sólo opera cuando no se han hecho identificables a las partes, siendo </w:t>
      </w:r>
      <w:proofErr w:type="gramStart"/>
      <w:r w:rsidRPr="00341CA1">
        <w:rPr>
          <w:rFonts w:eastAsia="Times New Roman" w:cs="Tahoma"/>
          <w:bCs/>
          <w:iCs/>
          <w:color w:val="auto"/>
          <w:sz w:val="24"/>
          <w:szCs w:val="24"/>
          <w:lang w:eastAsia="es-ES"/>
        </w:rPr>
        <w:t>que</w:t>
      </w:r>
      <w:proofErr w:type="gramEnd"/>
      <w:r w:rsidRPr="00341CA1">
        <w:rPr>
          <w:rFonts w:eastAsia="Times New Roman" w:cs="Tahoma"/>
          <w:bCs/>
          <w:iCs/>
          <w:color w:val="auto"/>
          <w:sz w:val="24"/>
          <w:szCs w:val="24"/>
          <w:lang w:eastAsia="es-ES"/>
        </w:rPr>
        <w:t xml:space="preserve"> en el presente caso, debido a que, la parte </w:t>
      </w:r>
      <w:r w:rsidR="00EA67D6" w:rsidRPr="00341CA1">
        <w:rPr>
          <w:rFonts w:eastAsia="Times New Roman" w:cs="Tahoma"/>
          <w:b/>
          <w:bCs/>
          <w:iCs/>
          <w:color w:val="auto"/>
          <w:sz w:val="24"/>
          <w:szCs w:val="24"/>
          <w:lang w:eastAsia="es-ES"/>
        </w:rPr>
        <w:t>RECURRENTE</w:t>
      </w:r>
      <w:r w:rsidRPr="00341CA1">
        <w:rPr>
          <w:rFonts w:eastAsia="Times New Roman" w:cs="Tahoma"/>
          <w:bCs/>
          <w:iCs/>
          <w:color w:val="auto"/>
          <w:sz w:val="24"/>
          <w:szCs w:val="24"/>
          <w:lang w:eastAsia="es-ES"/>
        </w:rPr>
        <w:t xml:space="preserve"> requiere </w:t>
      </w:r>
      <w:r w:rsidR="00EA67D6" w:rsidRPr="00341CA1">
        <w:rPr>
          <w:rFonts w:eastAsia="Times New Roman" w:cs="Tahoma"/>
          <w:bCs/>
          <w:iCs/>
          <w:color w:val="auto"/>
          <w:sz w:val="24"/>
          <w:szCs w:val="24"/>
          <w:lang w:eastAsia="es-ES"/>
        </w:rPr>
        <w:t>a</w:t>
      </w:r>
      <w:r w:rsidRPr="00341CA1">
        <w:rPr>
          <w:rFonts w:eastAsia="Times New Roman" w:cs="Tahoma"/>
          <w:bCs/>
          <w:iCs/>
          <w:color w:val="auto"/>
          <w:sz w:val="24"/>
          <w:szCs w:val="24"/>
          <w:lang w:eastAsia="es-ES"/>
        </w:rPr>
        <w:t xml:space="preserve"> una </w:t>
      </w:r>
      <w:r w:rsidR="00EA67D6" w:rsidRPr="00341CA1">
        <w:rPr>
          <w:rFonts w:eastAsia="Times New Roman" w:cs="Tahoma"/>
          <w:bCs/>
          <w:iCs/>
          <w:color w:val="auto"/>
          <w:sz w:val="24"/>
          <w:szCs w:val="24"/>
          <w:lang w:eastAsia="es-ES"/>
        </w:rPr>
        <w:t xml:space="preserve">parte actora y demandada </w:t>
      </w:r>
      <w:r w:rsidRPr="00341CA1">
        <w:rPr>
          <w:rFonts w:eastAsia="Times New Roman" w:cs="Tahoma"/>
          <w:bCs/>
          <w:iCs/>
          <w:color w:val="auto"/>
          <w:sz w:val="24"/>
          <w:szCs w:val="24"/>
          <w:lang w:eastAsia="es-ES"/>
        </w:rPr>
        <w:t xml:space="preserve">en específico, la entrega de información aun siendo en versión pública, vulneraría su privacidad. </w:t>
      </w:r>
    </w:p>
    <w:p w14:paraId="2BFE2ECB" w14:textId="77777777" w:rsidR="0051439D" w:rsidRPr="00341CA1" w:rsidRDefault="0051439D" w:rsidP="00F40D32">
      <w:pPr>
        <w:spacing w:after="0" w:line="360" w:lineRule="auto"/>
        <w:rPr>
          <w:rFonts w:eastAsia="Times New Roman" w:cs="Tahoma"/>
          <w:bCs/>
          <w:iCs/>
          <w:color w:val="auto"/>
          <w:sz w:val="24"/>
          <w:szCs w:val="24"/>
          <w:lang w:eastAsia="es-ES"/>
        </w:rPr>
      </w:pPr>
    </w:p>
    <w:p w14:paraId="4522E5E9" w14:textId="3840C55D" w:rsidR="009D7017" w:rsidRPr="00341CA1" w:rsidRDefault="00F306FA" w:rsidP="00F40D32">
      <w:pPr>
        <w:spacing w:after="0" w:line="360" w:lineRule="auto"/>
        <w:rPr>
          <w:rFonts w:eastAsia="Times New Roman" w:cs="Tahoma"/>
          <w:b/>
          <w:bCs/>
          <w:iCs/>
          <w:color w:val="auto"/>
          <w:sz w:val="24"/>
          <w:szCs w:val="24"/>
          <w:lang w:eastAsia="es-ES"/>
        </w:rPr>
      </w:pPr>
      <w:r w:rsidRPr="00341CA1">
        <w:rPr>
          <w:rFonts w:eastAsia="Times New Roman" w:cs="Tahoma"/>
          <w:bCs/>
          <w:iCs/>
          <w:color w:val="auto"/>
          <w:sz w:val="24"/>
          <w:szCs w:val="24"/>
          <w:lang w:val="es-ES" w:eastAsia="es-ES"/>
        </w:rPr>
        <w:t>Dicho lo anterior</w:t>
      </w:r>
      <w:r w:rsidR="0051439D" w:rsidRPr="00341CA1">
        <w:rPr>
          <w:rFonts w:eastAsia="Times New Roman" w:cs="Tahoma"/>
          <w:bCs/>
          <w:iCs/>
          <w:color w:val="auto"/>
          <w:sz w:val="24"/>
          <w:szCs w:val="24"/>
          <w:lang w:val="es-ES" w:eastAsia="es-ES"/>
        </w:rPr>
        <w:t xml:space="preserve">, se considera que, para atender el requerimiento de información, el </w:t>
      </w:r>
      <w:r w:rsidR="00EA67D6" w:rsidRPr="00341CA1">
        <w:rPr>
          <w:rFonts w:eastAsia="Times New Roman" w:cs="Tahoma"/>
          <w:b/>
          <w:bCs/>
          <w:iCs/>
          <w:color w:val="auto"/>
          <w:sz w:val="24"/>
          <w:szCs w:val="24"/>
          <w:lang w:val="es-ES" w:eastAsia="es-ES"/>
        </w:rPr>
        <w:t>SUJETO OBLIGADO</w:t>
      </w:r>
      <w:r w:rsidR="00EA67D6" w:rsidRPr="00341CA1">
        <w:rPr>
          <w:rFonts w:eastAsia="Times New Roman" w:cs="Tahoma"/>
          <w:bCs/>
          <w:iCs/>
          <w:color w:val="auto"/>
          <w:sz w:val="24"/>
          <w:szCs w:val="24"/>
          <w:lang w:val="es-ES" w:eastAsia="es-ES"/>
        </w:rPr>
        <w:t xml:space="preserve"> </w:t>
      </w:r>
      <w:r w:rsidR="0051439D" w:rsidRPr="00341CA1">
        <w:rPr>
          <w:rFonts w:eastAsia="Times New Roman" w:cs="Tahoma"/>
          <w:bCs/>
          <w:iCs/>
          <w:color w:val="auto"/>
          <w:sz w:val="24"/>
          <w:szCs w:val="24"/>
          <w:lang w:val="es-ES" w:eastAsia="es-ES"/>
        </w:rPr>
        <w:t xml:space="preserve">deberá seguir el procedimiento establecido en el artículo 168 de la Ley </w:t>
      </w:r>
      <w:r w:rsidR="0051439D" w:rsidRPr="00341CA1">
        <w:rPr>
          <w:rFonts w:eastAsia="Times New Roman" w:cs="Tahoma"/>
          <w:bCs/>
          <w:iCs/>
          <w:color w:val="auto"/>
          <w:sz w:val="24"/>
          <w:szCs w:val="24"/>
          <w:lang w:eastAsia="es-ES"/>
        </w:rPr>
        <w:t>de Transparencia y Acceso a la Información Pública del Estado de México y Municipios y</w:t>
      </w:r>
      <w:r w:rsidR="009D7017" w:rsidRPr="00341CA1">
        <w:rPr>
          <w:rFonts w:eastAsia="Times New Roman" w:cs="Tahoma"/>
          <w:bCs/>
          <w:iCs/>
          <w:color w:val="auto"/>
          <w:sz w:val="24"/>
          <w:szCs w:val="24"/>
          <w:lang w:eastAsia="es-ES"/>
        </w:rPr>
        <w:t>,</w:t>
      </w:r>
      <w:r w:rsidR="0051439D" w:rsidRPr="00341CA1">
        <w:rPr>
          <w:rFonts w:eastAsia="Times New Roman" w:cs="Tahoma"/>
          <w:bCs/>
          <w:iCs/>
          <w:color w:val="auto"/>
          <w:sz w:val="24"/>
          <w:szCs w:val="24"/>
          <w:lang w:eastAsia="es-ES"/>
        </w:rPr>
        <w:t xml:space="preserve"> proporcionar el </w:t>
      </w:r>
      <w:r w:rsidR="0051439D" w:rsidRPr="00341CA1">
        <w:rPr>
          <w:rFonts w:eastAsia="Times New Roman" w:cs="Tahoma"/>
          <w:b/>
          <w:bCs/>
          <w:iCs/>
          <w:color w:val="auto"/>
          <w:sz w:val="24"/>
          <w:szCs w:val="24"/>
          <w:lang w:eastAsia="es-ES"/>
        </w:rPr>
        <w:t xml:space="preserve">Acuerdo emitido por el Comité </w:t>
      </w:r>
      <w:r w:rsidR="009D7017" w:rsidRPr="00341CA1">
        <w:rPr>
          <w:rFonts w:eastAsia="Times New Roman" w:cs="Tahoma"/>
          <w:b/>
          <w:bCs/>
          <w:iCs/>
          <w:color w:val="auto"/>
          <w:sz w:val="24"/>
          <w:szCs w:val="24"/>
          <w:lang w:eastAsia="es-ES"/>
        </w:rPr>
        <w:t>de Transparencia, donde confirme</w:t>
      </w:r>
      <w:r w:rsidR="0051439D" w:rsidRPr="00341CA1">
        <w:rPr>
          <w:rFonts w:eastAsia="Times New Roman" w:cs="Tahoma"/>
          <w:b/>
          <w:bCs/>
          <w:iCs/>
          <w:color w:val="auto"/>
          <w:sz w:val="24"/>
          <w:szCs w:val="24"/>
          <w:lang w:eastAsia="es-ES"/>
        </w:rPr>
        <w:t xml:space="preserve"> la clasificación del pronunciamiento en </w:t>
      </w:r>
      <w:r w:rsidR="00B413E0" w:rsidRPr="00341CA1">
        <w:rPr>
          <w:rFonts w:eastAsia="Times New Roman" w:cs="Tahoma"/>
          <w:b/>
          <w:bCs/>
          <w:iCs/>
          <w:color w:val="auto"/>
          <w:sz w:val="24"/>
          <w:szCs w:val="24"/>
          <w:lang w:eastAsia="es-ES"/>
        </w:rPr>
        <w:t xml:space="preserve">sentido afirmativo o </w:t>
      </w:r>
      <w:r w:rsidR="00B413E0" w:rsidRPr="00341CA1">
        <w:rPr>
          <w:rFonts w:eastAsia="Times New Roman" w:cs="Tahoma"/>
          <w:b/>
          <w:bCs/>
          <w:iCs/>
          <w:color w:val="auto"/>
          <w:sz w:val="24"/>
          <w:szCs w:val="24"/>
          <w:lang w:eastAsia="es-ES"/>
        </w:rPr>
        <w:lastRenderedPageBreak/>
        <w:t>negativo sobre</w:t>
      </w:r>
      <w:r w:rsidR="0051439D" w:rsidRPr="00341CA1">
        <w:rPr>
          <w:rFonts w:eastAsia="Times New Roman" w:cs="Tahoma"/>
          <w:b/>
          <w:bCs/>
          <w:iCs/>
          <w:color w:val="auto"/>
          <w:sz w:val="24"/>
          <w:szCs w:val="24"/>
          <w:lang w:eastAsia="es-ES"/>
        </w:rPr>
        <w:t xml:space="preserve"> la existencia</w:t>
      </w:r>
      <w:r w:rsidR="00E52E64" w:rsidRPr="00341CA1">
        <w:rPr>
          <w:rFonts w:eastAsia="Times New Roman" w:cs="Tahoma"/>
          <w:b/>
          <w:bCs/>
          <w:iCs/>
          <w:color w:val="auto"/>
          <w:sz w:val="24"/>
          <w:szCs w:val="24"/>
          <w:lang w:eastAsia="es-ES"/>
        </w:rPr>
        <w:t xml:space="preserve"> </w:t>
      </w:r>
      <w:r w:rsidR="00B413E0" w:rsidRPr="00341CA1">
        <w:rPr>
          <w:rFonts w:eastAsia="Times New Roman" w:cs="Tahoma"/>
          <w:b/>
          <w:bCs/>
          <w:iCs/>
          <w:color w:val="auto"/>
          <w:sz w:val="24"/>
          <w:szCs w:val="24"/>
          <w:lang w:eastAsia="es-ES"/>
        </w:rPr>
        <w:t xml:space="preserve">de </w:t>
      </w:r>
      <w:r w:rsidR="00EA67D6" w:rsidRPr="00341CA1">
        <w:rPr>
          <w:rFonts w:eastAsia="Times New Roman" w:cs="Tahoma"/>
          <w:b/>
          <w:bCs/>
          <w:iCs/>
          <w:color w:val="auto"/>
          <w:sz w:val="24"/>
          <w:szCs w:val="24"/>
          <w:lang w:eastAsia="es-ES"/>
        </w:rPr>
        <w:t xml:space="preserve">alguna sentencia definitiva </w:t>
      </w:r>
      <w:r w:rsidR="009D7017" w:rsidRPr="00341CA1">
        <w:rPr>
          <w:rFonts w:eastAsia="Times New Roman" w:cs="Tahoma"/>
          <w:b/>
          <w:bCs/>
          <w:iCs/>
          <w:color w:val="auto"/>
          <w:sz w:val="24"/>
          <w:szCs w:val="24"/>
          <w:lang w:eastAsia="es-ES"/>
        </w:rPr>
        <w:t>en donde sea</w:t>
      </w:r>
      <w:r w:rsidR="00EA67D6" w:rsidRPr="00341CA1">
        <w:rPr>
          <w:rFonts w:eastAsia="Times New Roman" w:cs="Tahoma"/>
          <w:b/>
          <w:bCs/>
          <w:iCs/>
          <w:color w:val="auto"/>
          <w:sz w:val="24"/>
          <w:szCs w:val="24"/>
          <w:lang w:eastAsia="es-ES"/>
        </w:rPr>
        <w:t>n</w:t>
      </w:r>
      <w:r w:rsidR="009D7017" w:rsidRPr="00341CA1">
        <w:rPr>
          <w:rFonts w:eastAsia="Times New Roman" w:cs="Tahoma"/>
          <w:b/>
          <w:bCs/>
          <w:iCs/>
          <w:color w:val="auto"/>
          <w:sz w:val="24"/>
          <w:szCs w:val="24"/>
          <w:lang w:eastAsia="es-ES"/>
        </w:rPr>
        <w:t xml:space="preserve"> parte</w:t>
      </w:r>
      <w:r w:rsidR="00EA67D6" w:rsidRPr="00341CA1">
        <w:rPr>
          <w:rFonts w:eastAsia="Times New Roman" w:cs="Tahoma"/>
          <w:b/>
          <w:bCs/>
          <w:iCs/>
          <w:color w:val="auto"/>
          <w:sz w:val="24"/>
          <w:szCs w:val="24"/>
          <w:lang w:eastAsia="es-ES"/>
        </w:rPr>
        <w:t>s</w:t>
      </w:r>
      <w:r w:rsidR="009D7017" w:rsidRPr="00341CA1">
        <w:rPr>
          <w:rFonts w:eastAsia="Times New Roman" w:cs="Tahoma"/>
          <w:b/>
          <w:bCs/>
          <w:iCs/>
          <w:color w:val="auto"/>
          <w:sz w:val="24"/>
          <w:szCs w:val="24"/>
          <w:lang w:eastAsia="es-ES"/>
        </w:rPr>
        <w:t xml:space="preserve"> la</w:t>
      </w:r>
      <w:r w:rsidR="00EA67D6" w:rsidRPr="00341CA1">
        <w:rPr>
          <w:rFonts w:eastAsia="Times New Roman" w:cs="Tahoma"/>
          <w:b/>
          <w:bCs/>
          <w:iCs/>
          <w:color w:val="auto"/>
          <w:sz w:val="24"/>
          <w:szCs w:val="24"/>
          <w:lang w:eastAsia="es-ES"/>
        </w:rPr>
        <w:t>s</w:t>
      </w:r>
      <w:r w:rsidR="009D7017" w:rsidRPr="00341CA1">
        <w:rPr>
          <w:rFonts w:eastAsia="Times New Roman" w:cs="Tahoma"/>
          <w:b/>
          <w:bCs/>
          <w:iCs/>
          <w:color w:val="auto"/>
          <w:sz w:val="24"/>
          <w:szCs w:val="24"/>
          <w:lang w:eastAsia="es-ES"/>
        </w:rPr>
        <w:t xml:space="preserve"> persona</w:t>
      </w:r>
      <w:r w:rsidR="00EA67D6" w:rsidRPr="00341CA1">
        <w:rPr>
          <w:rFonts w:eastAsia="Times New Roman" w:cs="Tahoma"/>
          <w:b/>
          <w:bCs/>
          <w:iCs/>
          <w:color w:val="auto"/>
          <w:sz w:val="24"/>
          <w:szCs w:val="24"/>
          <w:lang w:eastAsia="es-ES"/>
        </w:rPr>
        <w:t>s</w:t>
      </w:r>
      <w:r w:rsidR="009D7017" w:rsidRPr="00341CA1">
        <w:rPr>
          <w:rFonts w:eastAsia="Times New Roman" w:cs="Tahoma"/>
          <w:b/>
          <w:bCs/>
          <w:iCs/>
          <w:color w:val="auto"/>
          <w:sz w:val="24"/>
          <w:szCs w:val="24"/>
          <w:lang w:eastAsia="es-ES"/>
        </w:rPr>
        <w:t xml:space="preserve"> referida</w:t>
      </w:r>
      <w:r w:rsidR="00EA67D6" w:rsidRPr="00341CA1">
        <w:rPr>
          <w:rFonts w:eastAsia="Times New Roman" w:cs="Tahoma"/>
          <w:b/>
          <w:bCs/>
          <w:iCs/>
          <w:color w:val="auto"/>
          <w:sz w:val="24"/>
          <w:szCs w:val="24"/>
          <w:lang w:eastAsia="es-ES"/>
        </w:rPr>
        <w:t>s</w:t>
      </w:r>
      <w:r w:rsidR="009D7017" w:rsidRPr="00341CA1">
        <w:rPr>
          <w:rFonts w:eastAsia="Times New Roman" w:cs="Tahoma"/>
          <w:b/>
          <w:bCs/>
          <w:iCs/>
          <w:color w:val="auto"/>
          <w:sz w:val="24"/>
          <w:szCs w:val="24"/>
          <w:lang w:eastAsia="es-ES"/>
        </w:rPr>
        <w:t xml:space="preserve"> en la solicitud de información. </w:t>
      </w:r>
    </w:p>
    <w:p w14:paraId="1D370BD3" w14:textId="77777777" w:rsidR="008E5009" w:rsidRPr="00341CA1" w:rsidRDefault="008E5009" w:rsidP="00F40D32">
      <w:pPr>
        <w:spacing w:after="0" w:line="360" w:lineRule="auto"/>
        <w:rPr>
          <w:rFonts w:eastAsia="Times New Roman" w:cs="Tahoma"/>
          <w:b/>
          <w:bCs/>
          <w:iCs/>
          <w:color w:val="auto"/>
          <w:sz w:val="24"/>
          <w:szCs w:val="24"/>
          <w:lang w:eastAsia="es-ES"/>
        </w:rPr>
      </w:pPr>
    </w:p>
    <w:p w14:paraId="7524E330" w14:textId="66E46328" w:rsidR="008E5009" w:rsidRPr="00341CA1" w:rsidRDefault="008E5009" w:rsidP="008E5009">
      <w:pPr>
        <w:spacing w:after="0" w:line="360" w:lineRule="auto"/>
        <w:ind w:right="49"/>
        <w:contextualSpacing/>
        <w:rPr>
          <w:rFonts w:eastAsia="Palatino Linotype" w:cs="Palatino Linotype"/>
          <w:color w:val="auto"/>
          <w:sz w:val="24"/>
          <w:szCs w:val="24"/>
        </w:rPr>
      </w:pPr>
      <w:r w:rsidRPr="00341CA1">
        <w:rPr>
          <w:rFonts w:eastAsia="Times New Roman" w:cs="Tahoma"/>
          <w:bCs/>
          <w:iCs/>
          <w:color w:val="auto"/>
          <w:sz w:val="24"/>
          <w:szCs w:val="24"/>
          <w:lang w:eastAsia="es-ES"/>
        </w:rPr>
        <w:t xml:space="preserve">Finalmente se dejan a salvo los derechos de la parte </w:t>
      </w:r>
      <w:r w:rsidRPr="00341CA1">
        <w:rPr>
          <w:rFonts w:eastAsia="Times New Roman" w:cs="Tahoma"/>
          <w:b/>
          <w:bCs/>
          <w:iCs/>
          <w:color w:val="auto"/>
          <w:sz w:val="24"/>
          <w:szCs w:val="24"/>
          <w:lang w:eastAsia="es-ES"/>
        </w:rPr>
        <w:t>RECURRENTE</w:t>
      </w:r>
      <w:r w:rsidRPr="00341CA1">
        <w:rPr>
          <w:rFonts w:eastAsia="Times New Roman" w:cs="Tahoma"/>
          <w:bCs/>
          <w:iCs/>
          <w:color w:val="auto"/>
          <w:sz w:val="24"/>
          <w:szCs w:val="24"/>
          <w:lang w:eastAsia="es-ES"/>
        </w:rPr>
        <w:t>, para que si es parte en el juicio que hace referencia en la solicitud de acceso a la información pública, puede acceder a la información a través de los derechos ARCO (derechos de Acceso, Rectificación, Cancelación y Oposición al tratamiento de datos personales</w:t>
      </w:r>
      <w:r w:rsidRPr="00341CA1">
        <w:rPr>
          <w:color w:val="auto"/>
        </w:rPr>
        <w:t xml:space="preserve">), </w:t>
      </w:r>
      <w:r w:rsidRPr="00341CA1">
        <w:rPr>
          <w:rFonts w:eastAsia="Times New Roman" w:cs="Tahoma"/>
          <w:bCs/>
          <w:iCs/>
          <w:color w:val="auto"/>
          <w:sz w:val="24"/>
          <w:szCs w:val="24"/>
          <w:lang w:eastAsia="es-ES"/>
        </w:rPr>
        <w:t>a través del sistema SARCOEM (</w:t>
      </w:r>
      <w:r w:rsidRPr="00341CA1">
        <w:rPr>
          <w:rFonts w:eastAsia="Palatino Linotype" w:cs="Palatino Linotype"/>
          <w:color w:val="auto"/>
          <w:sz w:val="24"/>
          <w:szCs w:val="24"/>
        </w:rPr>
        <w:t xml:space="preserve">Sistema de Acceso, Rectificación, Cancelación y Oposición del Estado de México) o bien </w:t>
      </w:r>
      <w:r w:rsidR="00073AC1" w:rsidRPr="00341CA1">
        <w:rPr>
          <w:rFonts w:eastAsia="Palatino Linotype" w:cs="Palatino Linotype"/>
          <w:color w:val="auto"/>
          <w:sz w:val="24"/>
          <w:szCs w:val="24"/>
        </w:rPr>
        <w:t xml:space="preserve">acudir directamente al Órgano Jurisdiccional que lleva el juicio. </w:t>
      </w:r>
    </w:p>
    <w:p w14:paraId="6C79A796" w14:textId="77777777" w:rsidR="00053649" w:rsidRPr="00341CA1" w:rsidRDefault="00053649" w:rsidP="00F40D32">
      <w:pPr>
        <w:spacing w:after="0" w:line="360" w:lineRule="auto"/>
        <w:rPr>
          <w:rFonts w:eastAsia="Times New Roman" w:cs="Tahoma"/>
          <w:b/>
          <w:bCs/>
          <w:iCs/>
          <w:color w:val="auto"/>
          <w:sz w:val="24"/>
          <w:szCs w:val="24"/>
          <w:lang w:eastAsia="es-ES"/>
        </w:rPr>
      </w:pPr>
    </w:p>
    <w:p w14:paraId="78CE82BF" w14:textId="32529112" w:rsidR="009D7017" w:rsidRPr="00341CA1" w:rsidRDefault="009D7017" w:rsidP="009D7017">
      <w:pPr>
        <w:spacing w:after="0" w:line="360" w:lineRule="auto"/>
        <w:ind w:right="49"/>
        <w:rPr>
          <w:rFonts w:eastAsia="Palatino Linotype" w:cs="Palatino Linotype"/>
          <w:color w:val="auto"/>
          <w:sz w:val="24"/>
        </w:rPr>
      </w:pPr>
      <w:r w:rsidRPr="00341CA1">
        <w:rPr>
          <w:rFonts w:eastAsia="Palatino Linotype" w:cs="Palatino Linotype"/>
          <w:color w:val="auto"/>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57AD34C" w14:textId="77777777" w:rsidR="009D7017" w:rsidRPr="00341CA1" w:rsidRDefault="009D7017" w:rsidP="00F40D32">
      <w:pPr>
        <w:spacing w:after="0" w:line="360" w:lineRule="auto"/>
        <w:ind w:right="-28"/>
        <w:jc w:val="center"/>
        <w:rPr>
          <w:b/>
          <w:bCs/>
          <w:color w:val="auto"/>
          <w:sz w:val="24"/>
          <w:szCs w:val="24"/>
        </w:rPr>
      </w:pPr>
    </w:p>
    <w:p w14:paraId="5C5F6794" w14:textId="77777777" w:rsidR="00C853D1" w:rsidRPr="00341CA1" w:rsidRDefault="00C853D1" w:rsidP="00F40D32">
      <w:pPr>
        <w:spacing w:after="0" w:line="360" w:lineRule="auto"/>
        <w:ind w:right="-28"/>
        <w:jc w:val="center"/>
        <w:rPr>
          <w:rFonts w:eastAsia="Calibri" w:cs="Tahoma"/>
          <w:b/>
          <w:bCs/>
          <w:color w:val="auto"/>
          <w:sz w:val="24"/>
          <w:szCs w:val="24"/>
        </w:rPr>
      </w:pPr>
      <w:r w:rsidRPr="00341CA1">
        <w:rPr>
          <w:rFonts w:eastAsia="Calibri" w:cs="Tahoma"/>
          <w:b/>
          <w:bCs/>
          <w:color w:val="auto"/>
          <w:sz w:val="24"/>
          <w:szCs w:val="24"/>
        </w:rPr>
        <w:t>R E S U E L V E:</w:t>
      </w:r>
    </w:p>
    <w:p w14:paraId="5315815D" w14:textId="77777777" w:rsidR="00C853D1" w:rsidRPr="00341CA1" w:rsidRDefault="00C853D1" w:rsidP="00F40D32">
      <w:pPr>
        <w:spacing w:after="0" w:line="360" w:lineRule="auto"/>
        <w:rPr>
          <w:color w:val="auto"/>
          <w:sz w:val="24"/>
          <w:szCs w:val="24"/>
          <w:lang w:val="es-ES" w:eastAsia="es-ES_tradnl"/>
        </w:rPr>
      </w:pPr>
    </w:p>
    <w:p w14:paraId="30961B84" w14:textId="4197FD28" w:rsidR="009D7017" w:rsidRPr="00341CA1" w:rsidRDefault="00F27BFB" w:rsidP="00F40D32">
      <w:pPr>
        <w:spacing w:after="0" w:line="360" w:lineRule="auto"/>
        <w:contextualSpacing/>
        <w:rPr>
          <w:rFonts w:cs="Tahoma"/>
          <w:bCs/>
          <w:color w:val="auto"/>
          <w:sz w:val="24"/>
          <w:szCs w:val="24"/>
        </w:rPr>
      </w:pPr>
      <w:r w:rsidRPr="00341CA1">
        <w:rPr>
          <w:rFonts w:cs="Tahoma"/>
          <w:b/>
          <w:bCs/>
          <w:color w:val="auto"/>
          <w:sz w:val="24"/>
          <w:szCs w:val="24"/>
        </w:rPr>
        <w:t>Primero</w:t>
      </w:r>
      <w:r w:rsidR="00782132" w:rsidRPr="00341CA1">
        <w:rPr>
          <w:rFonts w:cs="Tahoma"/>
          <w:b/>
          <w:bCs/>
          <w:color w:val="auto"/>
          <w:sz w:val="24"/>
          <w:szCs w:val="24"/>
        </w:rPr>
        <w:t xml:space="preserve">. </w:t>
      </w:r>
      <w:r w:rsidR="009D7017" w:rsidRPr="00341CA1">
        <w:rPr>
          <w:rFonts w:eastAsia="Palatino Linotype" w:cs="Palatino Linotype"/>
          <w:color w:val="auto"/>
          <w:sz w:val="24"/>
          <w:szCs w:val="24"/>
        </w:rPr>
        <w:t>Resultan</w:t>
      </w:r>
      <w:r w:rsidR="009D7017" w:rsidRPr="00341CA1">
        <w:rPr>
          <w:rFonts w:eastAsia="Palatino Linotype" w:cs="Palatino Linotype"/>
          <w:b/>
          <w:color w:val="auto"/>
          <w:sz w:val="24"/>
          <w:szCs w:val="24"/>
        </w:rPr>
        <w:t xml:space="preserve"> </w:t>
      </w:r>
      <w:r w:rsidR="00600346" w:rsidRPr="00341CA1">
        <w:rPr>
          <w:rFonts w:eastAsia="Palatino Linotype" w:cs="Palatino Linotype"/>
          <w:color w:val="auto"/>
          <w:sz w:val="24"/>
          <w:szCs w:val="24"/>
        </w:rPr>
        <w:t>parcialmente</w:t>
      </w:r>
      <w:r w:rsidR="00600346" w:rsidRPr="00341CA1">
        <w:rPr>
          <w:rFonts w:eastAsia="Palatino Linotype" w:cs="Palatino Linotype"/>
          <w:b/>
          <w:color w:val="auto"/>
          <w:sz w:val="24"/>
          <w:szCs w:val="24"/>
        </w:rPr>
        <w:t xml:space="preserve"> </w:t>
      </w:r>
      <w:r w:rsidR="009D7017" w:rsidRPr="00341CA1">
        <w:rPr>
          <w:rFonts w:eastAsia="Palatino Linotype" w:cs="Palatino Linotype"/>
          <w:b/>
          <w:color w:val="auto"/>
          <w:sz w:val="24"/>
          <w:szCs w:val="24"/>
        </w:rPr>
        <w:t>FUNDADOS</w:t>
      </w:r>
      <w:r w:rsidR="009D7017" w:rsidRPr="00341CA1">
        <w:rPr>
          <w:rFonts w:eastAsia="Palatino Linotype" w:cs="Palatino Linotype"/>
          <w:color w:val="auto"/>
          <w:sz w:val="24"/>
          <w:szCs w:val="24"/>
        </w:rPr>
        <w:t xml:space="preserve"> los motivos de inconformidad hechos valer por la parte </w:t>
      </w:r>
      <w:r w:rsidR="009D7017" w:rsidRPr="00341CA1">
        <w:rPr>
          <w:rFonts w:eastAsia="Palatino Linotype" w:cs="Palatino Linotype"/>
          <w:b/>
          <w:color w:val="auto"/>
          <w:sz w:val="24"/>
          <w:szCs w:val="24"/>
        </w:rPr>
        <w:t>RECURRENTE</w:t>
      </w:r>
      <w:r w:rsidR="009D7017" w:rsidRPr="00341CA1">
        <w:rPr>
          <w:rFonts w:eastAsia="Palatino Linotype" w:cs="Palatino Linotype"/>
          <w:color w:val="auto"/>
          <w:sz w:val="24"/>
          <w:szCs w:val="24"/>
        </w:rPr>
        <w:t xml:space="preserve"> en el Recurso de Revisión </w:t>
      </w:r>
      <w:r w:rsidR="00E06668" w:rsidRPr="00341CA1">
        <w:rPr>
          <w:rFonts w:eastAsia="Palatino Linotype" w:cs="Palatino Linotype"/>
          <w:b/>
          <w:color w:val="auto"/>
          <w:sz w:val="24"/>
          <w:szCs w:val="24"/>
        </w:rPr>
        <w:t>05684</w:t>
      </w:r>
      <w:r w:rsidR="009D7017" w:rsidRPr="00341CA1">
        <w:rPr>
          <w:rFonts w:eastAsia="Palatino Linotype" w:cs="Palatino Linotype"/>
          <w:b/>
          <w:color w:val="auto"/>
          <w:sz w:val="24"/>
          <w:szCs w:val="24"/>
        </w:rPr>
        <w:t>/INFOEM/IP/RR/202</w:t>
      </w:r>
      <w:r w:rsidR="00E06668" w:rsidRPr="00341CA1">
        <w:rPr>
          <w:rFonts w:eastAsia="Palatino Linotype" w:cs="Palatino Linotype"/>
          <w:b/>
          <w:color w:val="auto"/>
          <w:sz w:val="24"/>
          <w:szCs w:val="24"/>
        </w:rPr>
        <w:t>4</w:t>
      </w:r>
      <w:r w:rsidR="009D7017" w:rsidRPr="00341CA1">
        <w:rPr>
          <w:rFonts w:eastAsia="Palatino Linotype" w:cs="Palatino Linotype"/>
          <w:color w:val="auto"/>
          <w:sz w:val="24"/>
          <w:szCs w:val="24"/>
        </w:rPr>
        <w:t xml:space="preserve">, por lo que, en términos del </w:t>
      </w:r>
      <w:r w:rsidR="009D7017" w:rsidRPr="00341CA1">
        <w:rPr>
          <w:rFonts w:eastAsia="Palatino Linotype" w:cs="Palatino Linotype"/>
          <w:b/>
          <w:color w:val="auto"/>
          <w:sz w:val="24"/>
          <w:szCs w:val="24"/>
        </w:rPr>
        <w:t>Considerando Cuarto</w:t>
      </w:r>
      <w:r w:rsidR="009D7017" w:rsidRPr="00341CA1">
        <w:rPr>
          <w:rFonts w:eastAsia="Palatino Linotype" w:cs="Palatino Linotype"/>
          <w:color w:val="auto"/>
          <w:sz w:val="24"/>
          <w:szCs w:val="24"/>
        </w:rPr>
        <w:t xml:space="preserve"> de esta resolución, se </w:t>
      </w:r>
      <w:r w:rsidR="009D7017" w:rsidRPr="00341CA1">
        <w:rPr>
          <w:rFonts w:eastAsia="Palatino Linotype" w:cs="Palatino Linotype"/>
          <w:b/>
          <w:color w:val="auto"/>
          <w:sz w:val="24"/>
          <w:szCs w:val="24"/>
        </w:rPr>
        <w:t>MODIFICA</w:t>
      </w:r>
      <w:r w:rsidR="009D7017" w:rsidRPr="00341CA1">
        <w:rPr>
          <w:rFonts w:eastAsia="Palatino Linotype" w:cs="Palatino Linotype"/>
          <w:color w:val="auto"/>
          <w:sz w:val="24"/>
          <w:szCs w:val="24"/>
        </w:rPr>
        <w:t xml:space="preserve"> la respuesta emitida por el </w:t>
      </w:r>
      <w:r w:rsidR="009D7017" w:rsidRPr="00341CA1">
        <w:rPr>
          <w:rFonts w:eastAsia="Palatino Linotype" w:cs="Palatino Linotype"/>
          <w:b/>
          <w:color w:val="auto"/>
          <w:sz w:val="24"/>
          <w:szCs w:val="24"/>
        </w:rPr>
        <w:t>SUJETO OBLIGADO</w:t>
      </w:r>
      <w:r w:rsidR="009D7017" w:rsidRPr="00341CA1">
        <w:rPr>
          <w:rFonts w:eastAsia="Palatino Linotype" w:cs="Palatino Linotype"/>
          <w:color w:val="auto"/>
          <w:sz w:val="24"/>
          <w:szCs w:val="24"/>
        </w:rPr>
        <w:t>.</w:t>
      </w:r>
    </w:p>
    <w:p w14:paraId="4A6EB131" w14:textId="77777777" w:rsidR="00782132" w:rsidRPr="00341CA1" w:rsidRDefault="00782132" w:rsidP="00F40D32">
      <w:pPr>
        <w:spacing w:after="0" w:line="360" w:lineRule="auto"/>
        <w:contextualSpacing/>
        <w:rPr>
          <w:rFonts w:eastAsia="Calibri" w:cs="Tahoma"/>
          <w:bCs/>
          <w:color w:val="auto"/>
          <w:sz w:val="24"/>
          <w:szCs w:val="24"/>
        </w:rPr>
      </w:pPr>
    </w:p>
    <w:p w14:paraId="13908649" w14:textId="00ECC513" w:rsidR="00782132" w:rsidRPr="00341CA1" w:rsidRDefault="00F27BFB" w:rsidP="00F40D32">
      <w:pPr>
        <w:spacing w:after="0" w:line="360" w:lineRule="auto"/>
        <w:contextualSpacing/>
        <w:rPr>
          <w:rFonts w:cs="Tahoma"/>
          <w:color w:val="auto"/>
          <w:sz w:val="24"/>
          <w:szCs w:val="24"/>
        </w:rPr>
      </w:pPr>
      <w:r w:rsidRPr="00341CA1">
        <w:rPr>
          <w:rFonts w:cs="Tahoma"/>
          <w:b/>
          <w:bCs/>
          <w:color w:val="auto"/>
          <w:sz w:val="24"/>
          <w:szCs w:val="24"/>
        </w:rPr>
        <w:lastRenderedPageBreak/>
        <w:t>Segundo</w:t>
      </w:r>
      <w:r w:rsidR="00782132" w:rsidRPr="00341CA1">
        <w:rPr>
          <w:rFonts w:cs="Tahoma"/>
          <w:b/>
          <w:bCs/>
          <w:color w:val="auto"/>
          <w:sz w:val="24"/>
          <w:szCs w:val="24"/>
        </w:rPr>
        <w:t xml:space="preserve">. </w:t>
      </w:r>
      <w:r w:rsidR="00782132" w:rsidRPr="00341CA1">
        <w:rPr>
          <w:rFonts w:cs="Tahoma"/>
          <w:color w:val="auto"/>
          <w:sz w:val="24"/>
          <w:szCs w:val="24"/>
        </w:rPr>
        <w:t xml:space="preserve">Se </w:t>
      </w:r>
      <w:r w:rsidR="00782132" w:rsidRPr="00341CA1">
        <w:rPr>
          <w:rFonts w:cs="Tahoma"/>
          <w:b/>
          <w:color w:val="auto"/>
          <w:sz w:val="24"/>
          <w:szCs w:val="24"/>
        </w:rPr>
        <w:t xml:space="preserve">ORDENA </w:t>
      </w:r>
      <w:r w:rsidR="00782132" w:rsidRPr="00341CA1">
        <w:rPr>
          <w:rFonts w:cs="Tahoma"/>
          <w:bCs/>
          <w:color w:val="auto"/>
          <w:sz w:val="24"/>
          <w:szCs w:val="24"/>
        </w:rPr>
        <w:t xml:space="preserve">al </w:t>
      </w:r>
      <w:r w:rsidR="009D7017" w:rsidRPr="00341CA1">
        <w:rPr>
          <w:rFonts w:cs="Tahoma"/>
          <w:color w:val="auto"/>
          <w:sz w:val="24"/>
          <w:szCs w:val="24"/>
        </w:rPr>
        <w:t xml:space="preserve">Sujeto Obligado a </w:t>
      </w:r>
      <w:proofErr w:type="gramStart"/>
      <w:r w:rsidR="009D7017" w:rsidRPr="00341CA1">
        <w:rPr>
          <w:rFonts w:cs="Tahoma"/>
          <w:color w:val="auto"/>
          <w:sz w:val="24"/>
          <w:szCs w:val="24"/>
        </w:rPr>
        <w:t>que</w:t>
      </w:r>
      <w:proofErr w:type="gramEnd"/>
      <w:r w:rsidR="009D7017" w:rsidRPr="00341CA1">
        <w:rPr>
          <w:rFonts w:cs="Tahoma"/>
          <w:color w:val="auto"/>
          <w:sz w:val="24"/>
          <w:szCs w:val="24"/>
        </w:rPr>
        <w:t xml:space="preserve"> en términos del Considerando Cuarto, haga entrega,</w:t>
      </w:r>
      <w:r w:rsidR="00782132" w:rsidRPr="00341CA1">
        <w:rPr>
          <w:rFonts w:cs="Tahoma"/>
          <w:color w:val="auto"/>
          <w:sz w:val="24"/>
          <w:szCs w:val="24"/>
        </w:rPr>
        <w:t xml:space="preserve"> a través del Sistema de Acceso a la Información Mexiquense (SAIMEX), lo siguiente:</w:t>
      </w:r>
    </w:p>
    <w:p w14:paraId="5B051C95" w14:textId="77777777" w:rsidR="00682222" w:rsidRPr="00341CA1" w:rsidRDefault="00682222" w:rsidP="00F40D32">
      <w:pPr>
        <w:spacing w:after="0" w:line="360" w:lineRule="auto"/>
        <w:contextualSpacing/>
        <w:rPr>
          <w:rFonts w:cs="Tahoma"/>
          <w:color w:val="auto"/>
          <w:sz w:val="24"/>
          <w:szCs w:val="24"/>
        </w:rPr>
      </w:pPr>
    </w:p>
    <w:p w14:paraId="1A21EBF8" w14:textId="11F20A0A" w:rsidR="00B413E0" w:rsidRPr="00341CA1" w:rsidRDefault="0092349F" w:rsidP="00F40D32">
      <w:pPr>
        <w:pStyle w:val="Prrafodelista"/>
        <w:numPr>
          <w:ilvl w:val="0"/>
          <w:numId w:val="29"/>
        </w:numPr>
        <w:spacing w:line="360" w:lineRule="auto"/>
        <w:rPr>
          <w:rFonts w:cs="Tahoma"/>
          <w:iCs/>
          <w:sz w:val="24"/>
        </w:rPr>
      </w:pPr>
      <w:r w:rsidRPr="00341CA1">
        <w:rPr>
          <w:rFonts w:cs="Tahoma"/>
          <w:iCs/>
          <w:sz w:val="24"/>
        </w:rPr>
        <w:t xml:space="preserve">El </w:t>
      </w:r>
      <w:r w:rsidR="00B413E0" w:rsidRPr="00341CA1">
        <w:rPr>
          <w:rFonts w:cs="Tahoma"/>
          <w:iCs/>
          <w:sz w:val="24"/>
        </w:rPr>
        <w:t xml:space="preserve">Acuerdo emitido por el Comité de Transparencia, en donde de manera fundada y motivada, confirme la clasificación del pronunciamiento en sentido afirmativo o negativo, sobre la existencia </w:t>
      </w:r>
      <w:r w:rsidR="00E06668" w:rsidRPr="00341CA1">
        <w:rPr>
          <w:rFonts w:cs="Tahoma"/>
          <w:iCs/>
          <w:sz w:val="24"/>
        </w:rPr>
        <w:t>de alguna sentencia definitiva en donde sean partes las personas referidas en la solicitud de información</w:t>
      </w:r>
      <w:r w:rsidR="00B413E0" w:rsidRPr="00341CA1">
        <w:rPr>
          <w:rFonts w:cs="Tahoma"/>
          <w:iCs/>
          <w:sz w:val="24"/>
        </w:rPr>
        <w:t>, de conformidad con los artículos 49, fracción II, 132, fracción II, 143, fracción I, y 149 de la Ley de Transparencia y Acceso a la Información Pública del Estado de México y Municipios.</w:t>
      </w:r>
    </w:p>
    <w:p w14:paraId="3D322817" w14:textId="3043DFB1" w:rsidR="00F44852" w:rsidRPr="00341CA1" w:rsidRDefault="00F44852" w:rsidP="00F44852">
      <w:pPr>
        <w:spacing w:after="0" w:line="276" w:lineRule="auto"/>
        <w:ind w:left="567"/>
        <w:rPr>
          <w:rFonts w:eastAsia="Times New Roman" w:cs="Tahoma"/>
          <w:bCs/>
          <w:i/>
          <w:iCs/>
          <w:color w:val="auto"/>
          <w:szCs w:val="24"/>
          <w:lang w:val="es-ES" w:eastAsia="es-ES"/>
        </w:rPr>
      </w:pPr>
    </w:p>
    <w:p w14:paraId="2B334A24" w14:textId="101935D2" w:rsidR="009D7017" w:rsidRPr="00341CA1" w:rsidRDefault="009D7017" w:rsidP="00F44852">
      <w:pPr>
        <w:spacing w:after="0" w:line="360" w:lineRule="auto"/>
        <w:ind w:right="49"/>
        <w:rPr>
          <w:rFonts w:eastAsia="Palatino Linotype" w:cs="Palatino Linotype"/>
          <w:color w:val="auto"/>
          <w:sz w:val="24"/>
        </w:rPr>
      </w:pPr>
      <w:r w:rsidRPr="00341CA1">
        <w:rPr>
          <w:rFonts w:eastAsia="Palatino Linotype" w:cs="Palatino Linotype"/>
          <w:b/>
          <w:color w:val="auto"/>
          <w:sz w:val="24"/>
        </w:rPr>
        <w:t>Tercero.</w:t>
      </w:r>
      <w:r w:rsidRPr="00341CA1">
        <w:rPr>
          <w:rFonts w:eastAsia="Palatino Linotype" w:cs="Palatino Linotype"/>
          <w:color w:val="auto"/>
          <w:sz w:val="24"/>
        </w:rPr>
        <w:t xml:space="preserve"> </w:t>
      </w:r>
      <w:r w:rsidRPr="00341CA1">
        <w:rPr>
          <w:rFonts w:eastAsia="Palatino Linotype" w:cs="Palatino Linotype"/>
          <w:b/>
          <w:color w:val="auto"/>
          <w:sz w:val="24"/>
        </w:rPr>
        <w:t xml:space="preserve">Notifíquese </w:t>
      </w:r>
      <w:r w:rsidR="00E06668" w:rsidRPr="00341CA1">
        <w:rPr>
          <w:rFonts w:eastAsia="Palatino Linotype" w:cs="Palatino Linotype"/>
          <w:b/>
          <w:color w:val="auto"/>
          <w:sz w:val="24"/>
        </w:rPr>
        <w:t xml:space="preserve">vía SAIMEX, </w:t>
      </w:r>
      <w:r w:rsidRPr="00341CA1">
        <w:rPr>
          <w:rFonts w:eastAsia="Palatino Linotype" w:cs="Palatino Linotype"/>
          <w:color w:val="auto"/>
          <w:sz w:val="24"/>
        </w:rPr>
        <w:t>la presente resolución al T</w:t>
      </w:r>
      <w:r w:rsidRPr="00341CA1">
        <w:rPr>
          <w:rFonts w:eastAsia="Palatino Linotype" w:cs="Palatino Linotype"/>
          <w:b/>
          <w:color w:val="auto"/>
          <w:sz w:val="24"/>
        </w:rPr>
        <w:t xml:space="preserve">itular de la Unidad de Transparencia </w:t>
      </w:r>
      <w:r w:rsidRPr="00341CA1">
        <w:rPr>
          <w:rFonts w:eastAsia="Palatino Linotype" w:cs="Palatino Linotype"/>
          <w:color w:val="auto"/>
          <w:sz w:val="24"/>
        </w:rPr>
        <w:t xml:space="preserve">del </w:t>
      </w:r>
      <w:r w:rsidRPr="00341CA1">
        <w:rPr>
          <w:rFonts w:eastAsia="Palatino Linotype" w:cs="Palatino Linotype"/>
          <w:b/>
          <w:color w:val="auto"/>
          <w:sz w:val="24"/>
        </w:rPr>
        <w:t>SUJETO OBLIGADO</w:t>
      </w:r>
      <w:r w:rsidRPr="00341CA1">
        <w:rPr>
          <w:rFonts w:eastAsia="Palatino Linotype" w:cs="Palatino Linotype"/>
          <w:color w:val="auto"/>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1511AA81" w14:textId="77777777" w:rsidR="00F44852" w:rsidRPr="00341CA1" w:rsidRDefault="00F44852" w:rsidP="00F44852">
      <w:pPr>
        <w:spacing w:after="0" w:line="360" w:lineRule="auto"/>
        <w:ind w:right="49"/>
        <w:rPr>
          <w:rFonts w:eastAsia="Palatino Linotype" w:cs="Palatino Linotype"/>
          <w:color w:val="auto"/>
          <w:sz w:val="24"/>
        </w:rPr>
      </w:pPr>
    </w:p>
    <w:p w14:paraId="3A50BFC6" w14:textId="07E5B364" w:rsidR="00F306FA" w:rsidRPr="00341CA1" w:rsidRDefault="009D7017" w:rsidP="009D7017">
      <w:pPr>
        <w:spacing w:after="0" w:line="360" w:lineRule="auto"/>
        <w:ind w:right="49"/>
        <w:rPr>
          <w:rFonts w:eastAsia="Palatino Linotype" w:cs="Palatino Linotype"/>
          <w:color w:val="auto"/>
          <w:sz w:val="24"/>
          <w:szCs w:val="24"/>
        </w:rPr>
      </w:pPr>
      <w:r w:rsidRPr="00341CA1">
        <w:rPr>
          <w:rFonts w:eastAsia="Palatino Linotype" w:cs="Palatino Linotype"/>
          <w:b/>
          <w:color w:val="auto"/>
          <w:sz w:val="24"/>
          <w:szCs w:val="24"/>
        </w:rPr>
        <w:t>Cuarto.</w:t>
      </w:r>
      <w:r w:rsidRPr="00341CA1">
        <w:rPr>
          <w:rFonts w:eastAsia="Palatino Linotype" w:cs="Palatino Linotype"/>
          <w:color w:val="auto"/>
          <w:sz w:val="24"/>
          <w:szCs w:val="24"/>
        </w:rPr>
        <w:t xml:space="preserve"> </w:t>
      </w:r>
      <w:r w:rsidRPr="00341CA1">
        <w:rPr>
          <w:rFonts w:eastAsia="Palatino Linotype" w:cs="Palatino Linotype"/>
          <w:b/>
          <w:color w:val="auto"/>
          <w:sz w:val="24"/>
          <w:szCs w:val="24"/>
        </w:rPr>
        <w:t>Notifíquese vía SAIMEX</w:t>
      </w:r>
      <w:r w:rsidRPr="00341CA1">
        <w:rPr>
          <w:rFonts w:eastAsia="Palatino Linotype" w:cs="Palatino Linotype"/>
          <w:color w:val="auto"/>
          <w:sz w:val="24"/>
          <w:szCs w:val="24"/>
        </w:rPr>
        <w:t xml:space="preserve"> a la parte </w:t>
      </w:r>
      <w:r w:rsidRPr="00341CA1">
        <w:rPr>
          <w:rFonts w:eastAsia="Palatino Linotype" w:cs="Palatino Linotype"/>
          <w:b/>
          <w:color w:val="auto"/>
          <w:sz w:val="24"/>
          <w:szCs w:val="24"/>
        </w:rPr>
        <w:t xml:space="preserve">RECURRENTE </w:t>
      </w:r>
      <w:r w:rsidRPr="00341CA1">
        <w:rPr>
          <w:rFonts w:eastAsia="Palatino Linotype" w:cs="Palatino Linotype"/>
          <w:color w:val="auto"/>
          <w:sz w:val="24"/>
          <w:szCs w:val="24"/>
        </w:rPr>
        <w:t xml:space="preserve">la presente resolución, así como, que de conformidad con lo establecido en el artículo 196 de la Ley de </w:t>
      </w:r>
      <w:r w:rsidRPr="00341CA1">
        <w:rPr>
          <w:rFonts w:eastAsia="Palatino Linotype" w:cs="Palatino Linotype"/>
          <w:color w:val="auto"/>
          <w:sz w:val="24"/>
          <w:szCs w:val="24"/>
        </w:rPr>
        <w:lastRenderedPageBreak/>
        <w:t>Transparencia y Acceso a la Información Pública del Estado de México y Municipios, podrá impugnar la presente resolución vía Juicio de Amparo en los términos de las leyes aplicables</w:t>
      </w:r>
      <w:r w:rsidR="00F306FA" w:rsidRPr="00341CA1">
        <w:rPr>
          <w:rFonts w:eastAsia="Palatino Linotype" w:cs="Palatino Linotype"/>
          <w:color w:val="auto"/>
          <w:sz w:val="24"/>
          <w:szCs w:val="24"/>
        </w:rPr>
        <w:t xml:space="preserve"> o en su caso, interponer recurso de inconformidad de conformidad con el artículo 159 y 160, de la Ley General de Transparencia y Acceso a la Información Pública.</w:t>
      </w:r>
    </w:p>
    <w:p w14:paraId="27116CCD" w14:textId="77777777" w:rsidR="009D7017" w:rsidRPr="00341CA1" w:rsidRDefault="009D7017" w:rsidP="009D7017">
      <w:pPr>
        <w:spacing w:after="0" w:line="360" w:lineRule="auto"/>
        <w:ind w:right="49"/>
        <w:rPr>
          <w:rFonts w:eastAsia="Palatino Linotype" w:cs="Palatino Linotype"/>
          <w:color w:val="auto"/>
          <w:sz w:val="24"/>
          <w:szCs w:val="24"/>
        </w:rPr>
      </w:pPr>
    </w:p>
    <w:p w14:paraId="6287C684" w14:textId="77777777" w:rsidR="009D7017" w:rsidRPr="00341CA1" w:rsidRDefault="009D7017" w:rsidP="009D7017">
      <w:pPr>
        <w:spacing w:after="0" w:line="360" w:lineRule="auto"/>
        <w:ind w:right="49"/>
        <w:rPr>
          <w:rFonts w:eastAsia="Palatino Linotype" w:cs="Palatino Linotype"/>
          <w:color w:val="auto"/>
          <w:sz w:val="24"/>
          <w:szCs w:val="24"/>
        </w:rPr>
      </w:pPr>
      <w:r w:rsidRPr="00341CA1">
        <w:rPr>
          <w:rFonts w:eastAsia="Palatino Linotype" w:cs="Palatino Linotype"/>
          <w:b/>
          <w:color w:val="auto"/>
          <w:sz w:val="24"/>
          <w:szCs w:val="24"/>
        </w:rPr>
        <w:t>Quinto.</w:t>
      </w:r>
      <w:r w:rsidRPr="00341CA1">
        <w:rPr>
          <w:rFonts w:eastAsia="Palatino Linotype" w:cs="Palatino Linotype"/>
          <w:color w:val="auto"/>
          <w:sz w:val="24"/>
          <w:szCs w:val="24"/>
        </w:rPr>
        <w:t xml:space="preserve"> De conformidad con el artículo 198 de la Ley de Transparencia y Acceso a la Información Pública del Estado de México y Municipios, de considerarlo procedente, el </w:t>
      </w:r>
      <w:r w:rsidRPr="00341CA1">
        <w:rPr>
          <w:rFonts w:eastAsia="Palatino Linotype" w:cs="Palatino Linotype"/>
          <w:b/>
          <w:color w:val="auto"/>
          <w:sz w:val="24"/>
          <w:szCs w:val="24"/>
        </w:rPr>
        <w:t>SUJETO OBLIGADO</w:t>
      </w:r>
      <w:r w:rsidRPr="00341CA1">
        <w:rPr>
          <w:rFonts w:eastAsia="Palatino Linotype" w:cs="Palatino Linotype"/>
          <w:color w:val="auto"/>
          <w:sz w:val="24"/>
          <w:szCs w:val="24"/>
        </w:rPr>
        <w:t xml:space="preserve"> de manera fundada y motivada, podrá solicitar una ampliación de plazo para el cumplimiento de la presente resolución.</w:t>
      </w:r>
    </w:p>
    <w:p w14:paraId="42C8D564" w14:textId="6B79E5D0" w:rsidR="00782132" w:rsidRPr="00341CA1" w:rsidRDefault="00782132" w:rsidP="00F40D32">
      <w:pPr>
        <w:spacing w:after="0" w:line="360" w:lineRule="auto"/>
        <w:rPr>
          <w:rFonts w:eastAsia="Calibri" w:cs="Tahoma"/>
          <w:bCs/>
          <w:color w:val="auto"/>
          <w:sz w:val="24"/>
          <w:szCs w:val="24"/>
          <w:lang w:val="es-ES"/>
        </w:rPr>
      </w:pPr>
    </w:p>
    <w:p w14:paraId="26DB950F" w14:textId="7B9170B9" w:rsidR="009D7017" w:rsidRPr="00341CA1" w:rsidRDefault="009D7017" w:rsidP="009D7017">
      <w:pPr>
        <w:spacing w:after="0" w:line="360" w:lineRule="auto"/>
        <w:ind w:right="49"/>
        <w:rPr>
          <w:rFonts w:eastAsia="Palatino Linotype" w:cs="Palatino Linotype"/>
          <w:color w:val="auto"/>
          <w:sz w:val="24"/>
          <w:szCs w:val="24"/>
        </w:rPr>
      </w:pPr>
      <w:r w:rsidRPr="00341CA1">
        <w:rPr>
          <w:rFonts w:eastAsia="Palatino Linotype" w:cs="Palatino Linotype"/>
          <w:color w:val="auto"/>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53649" w:rsidRPr="00341CA1">
        <w:rPr>
          <w:rFonts w:eastAsia="Palatino Linotype" w:cs="Palatino Linotype"/>
          <w:color w:val="auto"/>
          <w:sz w:val="24"/>
          <w:szCs w:val="24"/>
        </w:rPr>
        <w:t xml:space="preserve">TRIGÉSIMA OCTAVA </w:t>
      </w:r>
      <w:r w:rsidRPr="00341CA1">
        <w:rPr>
          <w:rFonts w:eastAsia="Palatino Linotype" w:cs="Palatino Linotype"/>
          <w:color w:val="auto"/>
          <w:sz w:val="24"/>
          <w:szCs w:val="24"/>
        </w:rPr>
        <w:t xml:space="preserve">SESIÓN ORDINARIA CELEBRADA </w:t>
      </w:r>
      <w:r w:rsidR="00053649" w:rsidRPr="00341CA1">
        <w:rPr>
          <w:rFonts w:eastAsia="Palatino Linotype" w:cs="Palatino Linotype"/>
          <w:color w:val="auto"/>
          <w:sz w:val="24"/>
          <w:szCs w:val="24"/>
        </w:rPr>
        <w:t xml:space="preserve">EL </w:t>
      </w:r>
      <w:r w:rsidR="00DF5525" w:rsidRPr="00341CA1">
        <w:rPr>
          <w:rFonts w:eastAsia="Palatino Linotype" w:cs="Palatino Linotype"/>
          <w:color w:val="auto"/>
          <w:sz w:val="24"/>
          <w:szCs w:val="24"/>
        </w:rPr>
        <w:t>SEIS DE NOVIEMBRE</w:t>
      </w:r>
      <w:r w:rsidR="00053649" w:rsidRPr="00341CA1">
        <w:rPr>
          <w:rFonts w:eastAsia="Palatino Linotype" w:cs="Palatino Linotype"/>
          <w:color w:val="auto"/>
          <w:sz w:val="24"/>
          <w:szCs w:val="24"/>
        </w:rPr>
        <w:t xml:space="preserve"> </w:t>
      </w:r>
      <w:r w:rsidRPr="00341CA1">
        <w:rPr>
          <w:rFonts w:eastAsia="Palatino Linotype" w:cs="Palatino Linotype"/>
          <w:color w:val="auto"/>
          <w:sz w:val="24"/>
          <w:szCs w:val="24"/>
        </w:rPr>
        <w:t xml:space="preserve">DE DOS MIL VEINTICUATRO, ANTE EL SECRETARIO TÉCNICO DEL PLENO ALEXIS TAPIA RAMÍREZ. </w:t>
      </w:r>
    </w:p>
    <w:p w14:paraId="3A7BF8F4" w14:textId="12EE5B69" w:rsidR="00A6477D" w:rsidRPr="00341CA1" w:rsidRDefault="00A6477D" w:rsidP="00F306FA">
      <w:pPr>
        <w:spacing w:line="360" w:lineRule="auto"/>
        <w:jc w:val="left"/>
        <w:rPr>
          <w:rFonts w:eastAsia="Calibri" w:cs="Tahoma"/>
          <w:b/>
          <w:bCs/>
          <w:color w:val="auto"/>
          <w:sz w:val="24"/>
          <w:szCs w:val="24"/>
        </w:rPr>
      </w:pPr>
    </w:p>
    <w:p w14:paraId="5D3583DD" w14:textId="6910A261" w:rsidR="00341CA1" w:rsidRPr="00341CA1" w:rsidRDefault="00341CA1" w:rsidP="00F306FA">
      <w:pPr>
        <w:spacing w:line="360" w:lineRule="auto"/>
        <w:jc w:val="left"/>
        <w:rPr>
          <w:rFonts w:eastAsia="Calibri" w:cs="Tahoma"/>
          <w:b/>
          <w:bCs/>
          <w:color w:val="auto"/>
          <w:sz w:val="24"/>
          <w:szCs w:val="24"/>
        </w:rPr>
      </w:pPr>
    </w:p>
    <w:p w14:paraId="3E324F0F" w14:textId="2B0FDAE7" w:rsidR="00341CA1" w:rsidRPr="00341CA1" w:rsidRDefault="00341CA1" w:rsidP="00F306FA">
      <w:pPr>
        <w:spacing w:line="360" w:lineRule="auto"/>
        <w:jc w:val="left"/>
        <w:rPr>
          <w:rFonts w:eastAsia="Calibri" w:cs="Tahoma"/>
          <w:b/>
          <w:bCs/>
          <w:color w:val="auto"/>
          <w:sz w:val="24"/>
          <w:szCs w:val="24"/>
        </w:rPr>
      </w:pPr>
    </w:p>
    <w:p w14:paraId="1A4D8B57" w14:textId="2BE73DA8" w:rsidR="00341CA1" w:rsidRPr="00341CA1" w:rsidRDefault="00341CA1" w:rsidP="00F306FA">
      <w:pPr>
        <w:spacing w:line="360" w:lineRule="auto"/>
        <w:jc w:val="left"/>
        <w:rPr>
          <w:rFonts w:eastAsia="Calibri" w:cs="Tahoma"/>
          <w:b/>
          <w:bCs/>
          <w:color w:val="auto"/>
          <w:sz w:val="24"/>
          <w:szCs w:val="24"/>
        </w:rPr>
      </w:pPr>
    </w:p>
    <w:p w14:paraId="61352095" w14:textId="77777777" w:rsidR="00341CA1" w:rsidRPr="00341CA1" w:rsidRDefault="00341CA1" w:rsidP="00F306FA">
      <w:pPr>
        <w:spacing w:line="360" w:lineRule="auto"/>
        <w:jc w:val="left"/>
        <w:rPr>
          <w:rFonts w:eastAsia="Calibri" w:cs="Tahoma"/>
          <w:b/>
          <w:bCs/>
          <w:color w:val="auto"/>
          <w:sz w:val="24"/>
          <w:szCs w:val="24"/>
        </w:rPr>
      </w:pPr>
    </w:p>
    <w:sectPr w:rsidR="00341CA1" w:rsidRPr="00341CA1" w:rsidSect="0022679B">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10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FE41" w14:textId="77777777" w:rsidR="00AC0F82" w:rsidRDefault="00AC0F82" w:rsidP="00C853D1">
      <w:pPr>
        <w:spacing w:after="0" w:line="240" w:lineRule="auto"/>
      </w:pPr>
      <w:r>
        <w:separator/>
      </w:r>
    </w:p>
  </w:endnote>
  <w:endnote w:type="continuationSeparator" w:id="0">
    <w:p w14:paraId="0080B6D0" w14:textId="77777777" w:rsidR="00AC0F82" w:rsidRDefault="00AC0F82" w:rsidP="00C8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8E5009" w:rsidRDefault="008E50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3A5D">
              <w:rPr>
                <w:b/>
                <w:bCs/>
                <w:noProof/>
              </w:rPr>
              <w:t>38</w:t>
            </w:r>
            <w:r>
              <w:rPr>
                <w:b/>
                <w:bCs/>
                <w:sz w:val="24"/>
                <w:szCs w:val="24"/>
              </w:rPr>
              <w:fldChar w:fldCharType="end"/>
            </w:r>
          </w:p>
        </w:sdtContent>
      </w:sdt>
    </w:sdtContent>
  </w:sdt>
  <w:p w14:paraId="5F4318B3" w14:textId="77777777" w:rsidR="008E5009" w:rsidRDefault="008E50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8E5009" w:rsidRDefault="008E50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3A5D">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3A5D">
              <w:rPr>
                <w:b/>
                <w:bCs/>
                <w:noProof/>
              </w:rPr>
              <w:t>38</w:t>
            </w:r>
            <w:r>
              <w:rPr>
                <w:b/>
                <w:bCs/>
                <w:sz w:val="24"/>
                <w:szCs w:val="24"/>
              </w:rPr>
              <w:fldChar w:fldCharType="end"/>
            </w:r>
          </w:p>
        </w:sdtContent>
      </w:sdt>
    </w:sdtContent>
  </w:sdt>
  <w:p w14:paraId="3F35B7C0" w14:textId="77777777" w:rsidR="008E5009" w:rsidRDefault="008E50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8E5009" w:rsidRDefault="008E50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3A5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3A5D">
              <w:rPr>
                <w:b/>
                <w:bCs/>
                <w:noProof/>
              </w:rPr>
              <w:t>38</w:t>
            </w:r>
            <w:r>
              <w:rPr>
                <w:b/>
                <w:bCs/>
                <w:sz w:val="24"/>
                <w:szCs w:val="24"/>
              </w:rPr>
              <w:fldChar w:fldCharType="end"/>
            </w:r>
          </w:p>
        </w:sdtContent>
      </w:sdt>
    </w:sdtContent>
  </w:sdt>
  <w:p w14:paraId="1A7218CE" w14:textId="77777777" w:rsidR="008E5009" w:rsidRDefault="008E5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6DA5" w14:textId="77777777" w:rsidR="00AC0F82" w:rsidRDefault="00AC0F82" w:rsidP="00C853D1">
      <w:pPr>
        <w:spacing w:after="0" w:line="240" w:lineRule="auto"/>
      </w:pPr>
      <w:r>
        <w:separator/>
      </w:r>
    </w:p>
  </w:footnote>
  <w:footnote w:type="continuationSeparator" w:id="0">
    <w:p w14:paraId="12B5979B" w14:textId="77777777" w:rsidR="00AC0F82" w:rsidRDefault="00AC0F82" w:rsidP="00C8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8E5009" w14:paraId="282B3A75" w14:textId="77777777" w:rsidTr="002C59A0">
      <w:trPr>
        <w:trHeight w:val="141"/>
      </w:trPr>
      <w:tc>
        <w:tcPr>
          <w:tcW w:w="2404" w:type="dxa"/>
        </w:tcPr>
        <w:p w14:paraId="57F547E7"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8E5009" w:rsidRPr="00A8173F" w:rsidRDefault="008E5009" w:rsidP="002C59A0">
          <w:pPr>
            <w:tabs>
              <w:tab w:val="right" w:pos="8838"/>
            </w:tabs>
            <w:ind w:left="-28" w:right="683"/>
            <w:rPr>
              <w:rFonts w:eastAsia="Calibri" w:cs="Tahoma"/>
            </w:rPr>
          </w:pPr>
          <w:r w:rsidRPr="00A8173F">
            <w:rPr>
              <w:rFonts w:eastAsia="Calibri" w:cs="Tahoma"/>
              <w:lang w:val="es-MX"/>
            </w:rPr>
            <w:t>04196/INFOEM/IP/RR/2020</w:t>
          </w:r>
        </w:p>
      </w:tc>
    </w:tr>
    <w:tr w:rsidR="008E5009" w14:paraId="46AFE2B4" w14:textId="77777777" w:rsidTr="002C59A0">
      <w:trPr>
        <w:trHeight w:val="276"/>
      </w:trPr>
      <w:tc>
        <w:tcPr>
          <w:tcW w:w="2404" w:type="dxa"/>
        </w:tcPr>
        <w:p w14:paraId="1D6E5B2B"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8E5009" w:rsidRPr="00A8173F" w:rsidRDefault="008E5009" w:rsidP="002C59A0">
          <w:pPr>
            <w:tabs>
              <w:tab w:val="right" w:pos="8838"/>
            </w:tabs>
            <w:ind w:right="116"/>
            <w:rPr>
              <w:rFonts w:eastAsia="Calibri" w:cs="Tahoma"/>
              <w:lang w:val="es-MX"/>
            </w:rPr>
          </w:pPr>
          <w:r w:rsidRPr="00A8173F">
            <w:rPr>
              <w:rFonts w:eastAsia="Calibri" w:cs="Tahoma"/>
              <w:lang w:val="es-MX"/>
            </w:rPr>
            <w:t>Ayuntamiento de Chapultepec</w:t>
          </w:r>
        </w:p>
      </w:tc>
    </w:tr>
    <w:tr w:rsidR="008E5009" w14:paraId="1FA679E9" w14:textId="77777777" w:rsidTr="002C59A0">
      <w:trPr>
        <w:trHeight w:val="276"/>
      </w:trPr>
      <w:tc>
        <w:tcPr>
          <w:tcW w:w="2404" w:type="dxa"/>
        </w:tcPr>
        <w:p w14:paraId="6498FD30"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8E5009" w:rsidRPr="00A8173F" w:rsidRDefault="008E5009"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8E5009" w:rsidRDefault="00482D99">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3B3" w14:textId="04AF534A" w:rsidR="008E5009" w:rsidRPr="004A705D" w:rsidRDefault="00482D99">
    <w:pPr>
      <w:rPr>
        <w:sz w:val="18"/>
        <w:szCs w:val="18"/>
      </w:rPr>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64.85pt;margin-top:-128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521"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8E5009" w14:paraId="1E2FF18B" w14:textId="77777777" w:rsidTr="0022679B">
      <w:trPr>
        <w:trHeight w:val="141"/>
      </w:trPr>
      <w:tc>
        <w:tcPr>
          <w:tcW w:w="2404" w:type="dxa"/>
        </w:tcPr>
        <w:p w14:paraId="6B6D03E8" w14:textId="77777777" w:rsidR="008E5009" w:rsidRPr="001B5FB6" w:rsidRDefault="008E5009"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6834BE94" w:rsidR="008E5009" w:rsidRPr="00EF3BE8" w:rsidRDefault="008E5009" w:rsidP="00682222">
          <w:pPr>
            <w:tabs>
              <w:tab w:val="right" w:pos="8838"/>
            </w:tabs>
            <w:ind w:left="-28" w:right="454"/>
            <w:rPr>
              <w:rFonts w:eastAsia="Calibri" w:cs="Tahoma"/>
            </w:rPr>
          </w:pPr>
          <w:r>
            <w:rPr>
              <w:rFonts w:eastAsia="Calibri" w:cs="Tahoma"/>
              <w:lang w:val="es-MX"/>
            </w:rPr>
            <w:t>05684/INFOEM/IP/RR/2024</w:t>
          </w:r>
        </w:p>
      </w:tc>
    </w:tr>
    <w:tr w:rsidR="008E5009" w14:paraId="110906AA" w14:textId="77777777" w:rsidTr="0022679B">
      <w:trPr>
        <w:trHeight w:val="276"/>
      </w:trPr>
      <w:tc>
        <w:tcPr>
          <w:tcW w:w="2404" w:type="dxa"/>
        </w:tcPr>
        <w:p w14:paraId="3052339E"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6F24A38B" w:rsidR="008E5009" w:rsidRPr="00A8173F" w:rsidRDefault="008E5009" w:rsidP="00682222">
          <w:pPr>
            <w:tabs>
              <w:tab w:val="right" w:pos="8838"/>
            </w:tabs>
            <w:ind w:right="454"/>
            <w:rPr>
              <w:rFonts w:eastAsia="Calibri" w:cs="Tahoma"/>
              <w:lang w:val="es-MX"/>
            </w:rPr>
          </w:pPr>
          <w:r w:rsidRPr="00960179">
            <w:rPr>
              <w:rFonts w:eastAsia="Calibri" w:cs="Tahoma"/>
              <w:lang w:val="es-MX"/>
            </w:rPr>
            <w:t>Poder Judicial</w:t>
          </w:r>
        </w:p>
      </w:tc>
    </w:tr>
    <w:tr w:rsidR="008E5009" w14:paraId="065F2043" w14:textId="77777777" w:rsidTr="0022679B">
      <w:trPr>
        <w:trHeight w:val="276"/>
      </w:trPr>
      <w:tc>
        <w:tcPr>
          <w:tcW w:w="2404" w:type="dxa"/>
        </w:tcPr>
        <w:p w14:paraId="22514F66"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245FB2E7" w14:textId="6F83FC01" w:rsidR="008E5009" w:rsidRPr="00A8173F" w:rsidRDefault="008E5009" w:rsidP="00682222">
          <w:pPr>
            <w:tabs>
              <w:tab w:val="right" w:pos="8838"/>
            </w:tabs>
            <w:ind w:right="454"/>
            <w:rPr>
              <w:rFonts w:eastAsia="Calibri" w:cs="Tahoma"/>
              <w:lang w:val="es-MX"/>
            </w:rPr>
          </w:pPr>
          <w:r>
            <w:rPr>
              <w:rFonts w:eastAsia="Calibri" w:cs="Tahoma"/>
              <w:lang w:val="es-MX"/>
            </w:rPr>
            <w:t>Guadalupe Ramírez Peña</w:t>
          </w:r>
        </w:p>
      </w:tc>
    </w:tr>
  </w:tbl>
  <w:p w14:paraId="0A6563BD" w14:textId="2664D0E9" w:rsidR="008E5009" w:rsidRDefault="008E50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127"/>
      <w:gridCol w:w="6945"/>
    </w:tblGrid>
    <w:tr w:rsidR="008E5009" w:rsidRPr="005C106F" w14:paraId="5D26797B" w14:textId="77777777" w:rsidTr="002C59A0">
      <w:trPr>
        <w:trHeight w:val="1546"/>
      </w:trPr>
      <w:tc>
        <w:tcPr>
          <w:tcW w:w="2127" w:type="dxa"/>
          <w:shd w:val="clear" w:color="auto" w:fill="auto"/>
        </w:tcPr>
        <w:p w14:paraId="76E7DE43" w14:textId="77777777" w:rsidR="008E5009" w:rsidRPr="005C106F" w:rsidRDefault="008E5009"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554"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50"/>
          </w:tblGrid>
          <w:tr w:rsidR="008E5009" w14:paraId="5CB74832" w14:textId="77777777" w:rsidTr="00D320DD">
            <w:trPr>
              <w:trHeight w:val="141"/>
            </w:trPr>
            <w:tc>
              <w:tcPr>
                <w:tcW w:w="2404" w:type="dxa"/>
                <w:vAlign w:val="bottom"/>
              </w:tcPr>
              <w:p w14:paraId="38469831"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Recurso de Revisión:</w:t>
                </w:r>
              </w:p>
            </w:tc>
            <w:tc>
              <w:tcPr>
                <w:tcW w:w="4150" w:type="dxa"/>
              </w:tcPr>
              <w:p w14:paraId="0749605A" w14:textId="77777777" w:rsidR="008E5009" w:rsidRDefault="008E5009" w:rsidP="002C59A0">
                <w:pPr>
                  <w:tabs>
                    <w:tab w:val="right" w:pos="8838"/>
                  </w:tabs>
                  <w:ind w:left="-28" w:right="-107"/>
                  <w:rPr>
                    <w:rFonts w:eastAsia="Calibri" w:cs="Tahoma"/>
                    <w:lang w:val="es-MX"/>
                  </w:rPr>
                </w:pPr>
              </w:p>
              <w:p w14:paraId="25021A4A" w14:textId="5013A31D" w:rsidR="008E5009" w:rsidRPr="00EF3BE8" w:rsidRDefault="008E5009" w:rsidP="002C59A0">
                <w:pPr>
                  <w:tabs>
                    <w:tab w:val="right" w:pos="8838"/>
                  </w:tabs>
                  <w:ind w:left="-28" w:right="-107"/>
                  <w:rPr>
                    <w:rFonts w:eastAsia="Calibri" w:cs="Tahoma"/>
                  </w:rPr>
                </w:pPr>
                <w:r>
                  <w:rPr>
                    <w:rFonts w:eastAsia="Calibri" w:cs="Tahoma"/>
                    <w:lang w:val="es-MX"/>
                  </w:rPr>
                  <w:t>05684/INFOEM/IP/RR/2024</w:t>
                </w:r>
              </w:p>
            </w:tc>
          </w:tr>
          <w:tr w:rsidR="008E5009" w14:paraId="65D6C982" w14:textId="77777777" w:rsidTr="00D320DD">
            <w:trPr>
              <w:trHeight w:val="141"/>
            </w:trPr>
            <w:tc>
              <w:tcPr>
                <w:tcW w:w="2404" w:type="dxa"/>
              </w:tcPr>
              <w:p w14:paraId="7E5992A8"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Recurrente:</w:t>
                </w:r>
              </w:p>
            </w:tc>
            <w:tc>
              <w:tcPr>
                <w:tcW w:w="4150" w:type="dxa"/>
              </w:tcPr>
              <w:p w14:paraId="4D5C37D5" w14:textId="068D309B" w:rsidR="008E5009" w:rsidRPr="003405AF" w:rsidRDefault="008E5009" w:rsidP="002C59A0">
                <w:pPr>
                  <w:tabs>
                    <w:tab w:val="right" w:pos="8838"/>
                  </w:tabs>
                  <w:ind w:right="-107"/>
                  <w:rPr>
                    <w:rFonts w:eastAsia="Calibri" w:cs="Tahoma"/>
                    <w:lang w:val="es-MX"/>
                  </w:rPr>
                </w:pPr>
                <w:r>
                  <w:rPr>
                    <w:rFonts w:eastAsia="Calibri" w:cs="Tahoma"/>
                    <w:lang w:val="es-MX"/>
                  </w:rPr>
                  <w:t xml:space="preserve"> </w:t>
                </w:r>
              </w:p>
            </w:tc>
          </w:tr>
          <w:tr w:rsidR="008E5009" w14:paraId="40A995EA" w14:textId="77777777" w:rsidTr="00D320DD">
            <w:trPr>
              <w:trHeight w:val="276"/>
            </w:trPr>
            <w:tc>
              <w:tcPr>
                <w:tcW w:w="2404" w:type="dxa"/>
              </w:tcPr>
              <w:p w14:paraId="7BFD65FA"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Sujeto Obligado:</w:t>
                </w:r>
              </w:p>
            </w:tc>
            <w:tc>
              <w:tcPr>
                <w:tcW w:w="4150" w:type="dxa"/>
              </w:tcPr>
              <w:p w14:paraId="433E1B49" w14:textId="01A1AE7E" w:rsidR="008E5009" w:rsidRPr="00C853D1" w:rsidRDefault="008E5009" w:rsidP="002C59A0">
                <w:pPr>
                  <w:tabs>
                    <w:tab w:val="right" w:pos="8838"/>
                  </w:tabs>
                  <w:ind w:right="-107"/>
                  <w:rPr>
                    <w:rFonts w:eastAsia="Calibri" w:cs="Tahoma"/>
                    <w:lang w:val="es-MX"/>
                  </w:rPr>
                </w:pPr>
                <w:r>
                  <w:rPr>
                    <w:rFonts w:eastAsia="Calibri" w:cs="Tahoma"/>
                    <w:lang w:val="es-MX"/>
                  </w:rPr>
                  <w:t xml:space="preserve">Poder Judicial </w:t>
                </w:r>
              </w:p>
            </w:tc>
          </w:tr>
          <w:tr w:rsidR="008E5009" w14:paraId="386AB112" w14:textId="77777777" w:rsidTr="00D320DD">
            <w:trPr>
              <w:trHeight w:val="276"/>
            </w:trPr>
            <w:tc>
              <w:tcPr>
                <w:tcW w:w="2404" w:type="dxa"/>
              </w:tcPr>
              <w:p w14:paraId="44E8F60B" w14:textId="77777777" w:rsidR="008E5009" w:rsidRPr="001B5FB6" w:rsidRDefault="008E5009" w:rsidP="002C59A0">
                <w:pPr>
                  <w:tabs>
                    <w:tab w:val="right" w:pos="8838"/>
                  </w:tabs>
                  <w:ind w:right="-105"/>
                  <w:rPr>
                    <w:rFonts w:eastAsia="Calibri" w:cs="Tahoma"/>
                    <w:b/>
                    <w:lang w:val="es-MX"/>
                  </w:rPr>
                </w:pPr>
                <w:r w:rsidRPr="001B5FB6">
                  <w:rPr>
                    <w:rFonts w:eastAsia="Calibri" w:cs="Tahoma"/>
                    <w:b/>
                    <w:lang w:val="es-MX"/>
                  </w:rPr>
                  <w:t>Comisionado Ponente:</w:t>
                </w:r>
              </w:p>
            </w:tc>
            <w:tc>
              <w:tcPr>
                <w:tcW w:w="4150" w:type="dxa"/>
              </w:tcPr>
              <w:p w14:paraId="3833DB23" w14:textId="0C4F925C" w:rsidR="008E5009" w:rsidRPr="00A8173F" w:rsidRDefault="008E5009" w:rsidP="002C59A0">
                <w:pPr>
                  <w:tabs>
                    <w:tab w:val="right" w:pos="8838"/>
                  </w:tabs>
                  <w:ind w:right="-107"/>
                  <w:rPr>
                    <w:rFonts w:eastAsia="Calibri" w:cs="Tahoma"/>
                    <w:lang w:val="es-MX"/>
                  </w:rPr>
                </w:pPr>
                <w:r>
                  <w:rPr>
                    <w:rFonts w:eastAsia="Calibri" w:cs="Tahoma"/>
                    <w:lang w:val="es-MX"/>
                  </w:rPr>
                  <w:t xml:space="preserve">Guadalupe Ramírez Peña </w:t>
                </w:r>
              </w:p>
            </w:tc>
          </w:tr>
        </w:tbl>
        <w:p w14:paraId="7017D3D5" w14:textId="77777777" w:rsidR="008E5009" w:rsidRPr="005C106F" w:rsidRDefault="008E5009" w:rsidP="002C59A0">
          <w:pPr>
            <w:tabs>
              <w:tab w:val="right" w:pos="8838"/>
            </w:tabs>
            <w:ind w:left="-28"/>
            <w:rPr>
              <w:rFonts w:ascii="Arial" w:eastAsia="Calibri" w:hAnsi="Arial" w:cs="Arial"/>
              <w:b/>
            </w:rPr>
          </w:pPr>
        </w:p>
      </w:tc>
    </w:tr>
  </w:tbl>
  <w:p w14:paraId="280F3B20" w14:textId="77777777" w:rsidR="008E5009" w:rsidRDefault="00482D99">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63.35pt;margin-top:-127.6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2BF"/>
    <w:multiLevelType w:val="hybridMultilevel"/>
    <w:tmpl w:val="B93CCF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7243B"/>
    <w:multiLevelType w:val="hybridMultilevel"/>
    <w:tmpl w:val="35149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D0099"/>
    <w:multiLevelType w:val="hybridMultilevel"/>
    <w:tmpl w:val="33C0D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CC422F"/>
    <w:multiLevelType w:val="hybridMultilevel"/>
    <w:tmpl w:val="8EB6763C"/>
    <w:lvl w:ilvl="0" w:tplc="9EB06EB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68914F0"/>
    <w:multiLevelType w:val="hybridMultilevel"/>
    <w:tmpl w:val="DC46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B627DD0"/>
    <w:multiLevelType w:val="hybridMultilevel"/>
    <w:tmpl w:val="A61AD216"/>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3468F2"/>
    <w:multiLevelType w:val="hybridMultilevel"/>
    <w:tmpl w:val="D9727A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1746D79"/>
    <w:multiLevelType w:val="hybridMultilevel"/>
    <w:tmpl w:val="6B700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92CA3"/>
    <w:multiLevelType w:val="hybridMultilevel"/>
    <w:tmpl w:val="407C4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F929F8"/>
    <w:multiLevelType w:val="hybridMultilevel"/>
    <w:tmpl w:val="77AC61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6E0EE2"/>
    <w:multiLevelType w:val="hybridMultilevel"/>
    <w:tmpl w:val="78469DE6"/>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6043D4"/>
    <w:multiLevelType w:val="hybridMultilevel"/>
    <w:tmpl w:val="A0546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77883"/>
    <w:multiLevelType w:val="hybridMultilevel"/>
    <w:tmpl w:val="F7E802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6114E44"/>
    <w:multiLevelType w:val="hybridMultilevel"/>
    <w:tmpl w:val="9FCE3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69749C"/>
    <w:multiLevelType w:val="hybridMultilevel"/>
    <w:tmpl w:val="A9640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60DDA"/>
    <w:multiLevelType w:val="hybridMultilevel"/>
    <w:tmpl w:val="25825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EE2D28"/>
    <w:multiLevelType w:val="hybridMultilevel"/>
    <w:tmpl w:val="82D81098"/>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4ADA"/>
    <w:multiLevelType w:val="hybridMultilevel"/>
    <w:tmpl w:val="BAF60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480B7F"/>
    <w:multiLevelType w:val="hybridMultilevel"/>
    <w:tmpl w:val="AC0E0E06"/>
    <w:lvl w:ilvl="0" w:tplc="437EAEFC">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C313A0"/>
    <w:multiLevelType w:val="hybridMultilevel"/>
    <w:tmpl w:val="4454BA6C"/>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99A0C31"/>
    <w:multiLevelType w:val="hybridMultilevel"/>
    <w:tmpl w:val="2C32FF6E"/>
    <w:lvl w:ilvl="0" w:tplc="4B149DA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B7531FB"/>
    <w:multiLevelType w:val="hybridMultilevel"/>
    <w:tmpl w:val="AC0E0E06"/>
    <w:lvl w:ilvl="0" w:tplc="437EAEFC">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8E4E74"/>
    <w:multiLevelType w:val="hybridMultilevel"/>
    <w:tmpl w:val="EFD215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D92C0A"/>
    <w:multiLevelType w:val="hybridMultilevel"/>
    <w:tmpl w:val="70F4C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D14045"/>
    <w:multiLevelType w:val="hybridMultilevel"/>
    <w:tmpl w:val="AC34B5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8"/>
  </w:num>
  <w:num w:numId="5">
    <w:abstractNumId w:val="28"/>
  </w:num>
  <w:num w:numId="6">
    <w:abstractNumId w:val="2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4"/>
  </w:num>
  <w:num w:numId="10">
    <w:abstractNumId w:val="8"/>
  </w:num>
  <w:num w:numId="11">
    <w:abstractNumId w:val="24"/>
  </w:num>
  <w:num w:numId="12">
    <w:abstractNumId w:val="21"/>
  </w:num>
  <w:num w:numId="13">
    <w:abstractNumId w:val="35"/>
  </w:num>
  <w:num w:numId="14">
    <w:abstractNumId w:val="27"/>
  </w:num>
  <w:num w:numId="15">
    <w:abstractNumId w:val="23"/>
  </w:num>
  <w:num w:numId="16">
    <w:abstractNumId w:val="31"/>
  </w:num>
  <w:num w:numId="17">
    <w:abstractNumId w:val="20"/>
  </w:num>
  <w:num w:numId="18">
    <w:abstractNumId w:val="32"/>
  </w:num>
  <w:num w:numId="19">
    <w:abstractNumId w:val="12"/>
  </w:num>
  <w:num w:numId="20">
    <w:abstractNumId w:val="0"/>
  </w:num>
  <w:num w:numId="21">
    <w:abstractNumId w:val="29"/>
  </w:num>
  <w:num w:numId="22">
    <w:abstractNumId w:val="16"/>
  </w:num>
  <w:num w:numId="23">
    <w:abstractNumId w:val="4"/>
  </w:num>
  <w:num w:numId="24">
    <w:abstractNumId w:val="37"/>
  </w:num>
  <w:num w:numId="25">
    <w:abstractNumId w:val="5"/>
  </w:num>
  <w:num w:numId="26">
    <w:abstractNumId w:val="15"/>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26"/>
  </w:num>
  <w:num w:numId="30">
    <w:abstractNumId w:val="1"/>
  </w:num>
  <w:num w:numId="31">
    <w:abstractNumId w:val="10"/>
  </w:num>
  <w:num w:numId="32">
    <w:abstractNumId w:val="22"/>
  </w:num>
  <w:num w:numId="33">
    <w:abstractNumId w:val="36"/>
  </w:num>
  <w:num w:numId="34">
    <w:abstractNumId w:val="9"/>
  </w:num>
  <w:num w:numId="35">
    <w:abstractNumId w:val="13"/>
  </w:num>
  <w:num w:numId="36">
    <w:abstractNumId w:val="2"/>
  </w:num>
  <w:num w:numId="37">
    <w:abstractNumId w:val="19"/>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D1"/>
    <w:rsid w:val="00001F87"/>
    <w:rsid w:val="00002860"/>
    <w:rsid w:val="000028C5"/>
    <w:rsid w:val="00002E53"/>
    <w:rsid w:val="000039BC"/>
    <w:rsid w:val="000051F1"/>
    <w:rsid w:val="00007008"/>
    <w:rsid w:val="00007EB8"/>
    <w:rsid w:val="0001499A"/>
    <w:rsid w:val="00017D8C"/>
    <w:rsid w:val="000223B0"/>
    <w:rsid w:val="00025A15"/>
    <w:rsid w:val="000278B7"/>
    <w:rsid w:val="00027981"/>
    <w:rsid w:val="00027FA3"/>
    <w:rsid w:val="00030561"/>
    <w:rsid w:val="00032C7F"/>
    <w:rsid w:val="00044214"/>
    <w:rsid w:val="000477C6"/>
    <w:rsid w:val="00051426"/>
    <w:rsid w:val="00052A57"/>
    <w:rsid w:val="00053649"/>
    <w:rsid w:val="00062AAC"/>
    <w:rsid w:val="00062C8B"/>
    <w:rsid w:val="000705A9"/>
    <w:rsid w:val="000727F0"/>
    <w:rsid w:val="00072D6B"/>
    <w:rsid w:val="00073AC1"/>
    <w:rsid w:val="00075BF7"/>
    <w:rsid w:val="00081145"/>
    <w:rsid w:val="00091028"/>
    <w:rsid w:val="00092F8D"/>
    <w:rsid w:val="000939CD"/>
    <w:rsid w:val="00096694"/>
    <w:rsid w:val="000A2588"/>
    <w:rsid w:val="000A259F"/>
    <w:rsid w:val="000A3518"/>
    <w:rsid w:val="000A61A2"/>
    <w:rsid w:val="000A785D"/>
    <w:rsid w:val="000B0EAF"/>
    <w:rsid w:val="000B47AA"/>
    <w:rsid w:val="000B7029"/>
    <w:rsid w:val="000B7F8B"/>
    <w:rsid w:val="000C715C"/>
    <w:rsid w:val="000C7407"/>
    <w:rsid w:val="000D1A72"/>
    <w:rsid w:val="000D2522"/>
    <w:rsid w:val="000D45D9"/>
    <w:rsid w:val="000D59F5"/>
    <w:rsid w:val="000D69EB"/>
    <w:rsid w:val="000D6E68"/>
    <w:rsid w:val="000D73F7"/>
    <w:rsid w:val="000E28E6"/>
    <w:rsid w:val="000E4E10"/>
    <w:rsid w:val="000F05A6"/>
    <w:rsid w:val="000F123F"/>
    <w:rsid w:val="000F2A9A"/>
    <w:rsid w:val="000F3403"/>
    <w:rsid w:val="000F4364"/>
    <w:rsid w:val="000F45A1"/>
    <w:rsid w:val="00100001"/>
    <w:rsid w:val="001004CE"/>
    <w:rsid w:val="00100EB3"/>
    <w:rsid w:val="0010232F"/>
    <w:rsid w:val="0010413E"/>
    <w:rsid w:val="00105219"/>
    <w:rsid w:val="001059E3"/>
    <w:rsid w:val="00105EF9"/>
    <w:rsid w:val="00106F17"/>
    <w:rsid w:val="001105F1"/>
    <w:rsid w:val="00115309"/>
    <w:rsid w:val="001202DE"/>
    <w:rsid w:val="0012257C"/>
    <w:rsid w:val="001231A7"/>
    <w:rsid w:val="00134C39"/>
    <w:rsid w:val="00141D9D"/>
    <w:rsid w:val="00142455"/>
    <w:rsid w:val="001437DD"/>
    <w:rsid w:val="00146731"/>
    <w:rsid w:val="00152CB4"/>
    <w:rsid w:val="001561CC"/>
    <w:rsid w:val="001601CC"/>
    <w:rsid w:val="00161E74"/>
    <w:rsid w:val="00164599"/>
    <w:rsid w:val="00165B2A"/>
    <w:rsid w:val="001675D9"/>
    <w:rsid w:val="0017427D"/>
    <w:rsid w:val="00174F57"/>
    <w:rsid w:val="00175572"/>
    <w:rsid w:val="00180003"/>
    <w:rsid w:val="00182CB0"/>
    <w:rsid w:val="001830B7"/>
    <w:rsid w:val="001860CC"/>
    <w:rsid w:val="001900B4"/>
    <w:rsid w:val="00190EBA"/>
    <w:rsid w:val="001935D3"/>
    <w:rsid w:val="00194530"/>
    <w:rsid w:val="00194DD1"/>
    <w:rsid w:val="0019678D"/>
    <w:rsid w:val="00197AEB"/>
    <w:rsid w:val="001A0F6E"/>
    <w:rsid w:val="001A641F"/>
    <w:rsid w:val="001B062D"/>
    <w:rsid w:val="001B18B6"/>
    <w:rsid w:val="001B3B40"/>
    <w:rsid w:val="001B77BD"/>
    <w:rsid w:val="001C0D50"/>
    <w:rsid w:val="001C1007"/>
    <w:rsid w:val="001C3C7E"/>
    <w:rsid w:val="001C3D02"/>
    <w:rsid w:val="001C6764"/>
    <w:rsid w:val="001D02DD"/>
    <w:rsid w:val="001D1D57"/>
    <w:rsid w:val="001D37BB"/>
    <w:rsid w:val="001E386E"/>
    <w:rsid w:val="001E6D1F"/>
    <w:rsid w:val="001F7C51"/>
    <w:rsid w:val="00204AF1"/>
    <w:rsid w:val="002111A8"/>
    <w:rsid w:val="002132D0"/>
    <w:rsid w:val="00213776"/>
    <w:rsid w:val="00213D62"/>
    <w:rsid w:val="00220583"/>
    <w:rsid w:val="0022261D"/>
    <w:rsid w:val="00224FE4"/>
    <w:rsid w:val="0022679B"/>
    <w:rsid w:val="00230FCF"/>
    <w:rsid w:val="00235BA0"/>
    <w:rsid w:val="00235F6E"/>
    <w:rsid w:val="002402DE"/>
    <w:rsid w:val="002419E9"/>
    <w:rsid w:val="0024313A"/>
    <w:rsid w:val="0024421B"/>
    <w:rsid w:val="002456D2"/>
    <w:rsid w:val="00251261"/>
    <w:rsid w:val="00251A4C"/>
    <w:rsid w:val="00252EF3"/>
    <w:rsid w:val="0025433F"/>
    <w:rsid w:val="002557A7"/>
    <w:rsid w:val="00257056"/>
    <w:rsid w:val="00257F3B"/>
    <w:rsid w:val="00260AAA"/>
    <w:rsid w:val="00261807"/>
    <w:rsid w:val="00261BED"/>
    <w:rsid w:val="002634E5"/>
    <w:rsid w:val="00266416"/>
    <w:rsid w:val="00267D02"/>
    <w:rsid w:val="002718A0"/>
    <w:rsid w:val="00271D9C"/>
    <w:rsid w:val="00272886"/>
    <w:rsid w:val="00273E3B"/>
    <w:rsid w:val="00274490"/>
    <w:rsid w:val="0028305A"/>
    <w:rsid w:val="00291F2D"/>
    <w:rsid w:val="00295883"/>
    <w:rsid w:val="00296E2A"/>
    <w:rsid w:val="002A42F9"/>
    <w:rsid w:val="002B01ED"/>
    <w:rsid w:val="002B2F06"/>
    <w:rsid w:val="002B3565"/>
    <w:rsid w:val="002B39B0"/>
    <w:rsid w:val="002B3FDA"/>
    <w:rsid w:val="002B54AE"/>
    <w:rsid w:val="002B612A"/>
    <w:rsid w:val="002C25C3"/>
    <w:rsid w:val="002C514D"/>
    <w:rsid w:val="002C59A0"/>
    <w:rsid w:val="002C6390"/>
    <w:rsid w:val="002C7309"/>
    <w:rsid w:val="002D07D5"/>
    <w:rsid w:val="002D2E5D"/>
    <w:rsid w:val="002E0552"/>
    <w:rsid w:val="002E05D6"/>
    <w:rsid w:val="002E25E7"/>
    <w:rsid w:val="002E333F"/>
    <w:rsid w:val="002E33E8"/>
    <w:rsid w:val="002E5CED"/>
    <w:rsid w:val="002E77BA"/>
    <w:rsid w:val="002F18C5"/>
    <w:rsid w:val="002F7EAF"/>
    <w:rsid w:val="00300286"/>
    <w:rsid w:val="00300A5B"/>
    <w:rsid w:val="003025DE"/>
    <w:rsid w:val="00311288"/>
    <w:rsid w:val="003114A1"/>
    <w:rsid w:val="00311811"/>
    <w:rsid w:val="00311BBA"/>
    <w:rsid w:val="003160D6"/>
    <w:rsid w:val="00316C63"/>
    <w:rsid w:val="00320671"/>
    <w:rsid w:val="00320B93"/>
    <w:rsid w:val="003265A2"/>
    <w:rsid w:val="00327EA3"/>
    <w:rsid w:val="0033392A"/>
    <w:rsid w:val="00334B20"/>
    <w:rsid w:val="00335563"/>
    <w:rsid w:val="00336980"/>
    <w:rsid w:val="00337208"/>
    <w:rsid w:val="00337E33"/>
    <w:rsid w:val="00340262"/>
    <w:rsid w:val="00340603"/>
    <w:rsid w:val="0034130C"/>
    <w:rsid w:val="00341CA1"/>
    <w:rsid w:val="0034462A"/>
    <w:rsid w:val="00345528"/>
    <w:rsid w:val="00347C43"/>
    <w:rsid w:val="00350D55"/>
    <w:rsid w:val="00352188"/>
    <w:rsid w:val="003537E3"/>
    <w:rsid w:val="00355553"/>
    <w:rsid w:val="00360690"/>
    <w:rsid w:val="00362DE2"/>
    <w:rsid w:val="00363046"/>
    <w:rsid w:val="003647F7"/>
    <w:rsid w:val="00365075"/>
    <w:rsid w:val="00371DAE"/>
    <w:rsid w:val="00372BAB"/>
    <w:rsid w:val="00376559"/>
    <w:rsid w:val="00380368"/>
    <w:rsid w:val="00381FDE"/>
    <w:rsid w:val="003831F8"/>
    <w:rsid w:val="00384A4A"/>
    <w:rsid w:val="0038779D"/>
    <w:rsid w:val="00391189"/>
    <w:rsid w:val="00392400"/>
    <w:rsid w:val="00392421"/>
    <w:rsid w:val="003936D2"/>
    <w:rsid w:val="003955C4"/>
    <w:rsid w:val="003975AD"/>
    <w:rsid w:val="00397660"/>
    <w:rsid w:val="003A1702"/>
    <w:rsid w:val="003A1B84"/>
    <w:rsid w:val="003A6198"/>
    <w:rsid w:val="003B0BA2"/>
    <w:rsid w:val="003B16A9"/>
    <w:rsid w:val="003B2277"/>
    <w:rsid w:val="003B287D"/>
    <w:rsid w:val="003B46DC"/>
    <w:rsid w:val="003C2ED7"/>
    <w:rsid w:val="003C470A"/>
    <w:rsid w:val="003C5B59"/>
    <w:rsid w:val="003D15D4"/>
    <w:rsid w:val="003D30B4"/>
    <w:rsid w:val="003D4A58"/>
    <w:rsid w:val="003D589C"/>
    <w:rsid w:val="003D5E1B"/>
    <w:rsid w:val="003D7ED4"/>
    <w:rsid w:val="003E2FB0"/>
    <w:rsid w:val="003E3CAA"/>
    <w:rsid w:val="003E5EB3"/>
    <w:rsid w:val="003E6425"/>
    <w:rsid w:val="003E6F01"/>
    <w:rsid w:val="003E7060"/>
    <w:rsid w:val="003F0CE1"/>
    <w:rsid w:val="003F0E14"/>
    <w:rsid w:val="003F0F63"/>
    <w:rsid w:val="003F1D4C"/>
    <w:rsid w:val="003F4308"/>
    <w:rsid w:val="003F4323"/>
    <w:rsid w:val="003F4DE2"/>
    <w:rsid w:val="004059D0"/>
    <w:rsid w:val="004122A9"/>
    <w:rsid w:val="00415A15"/>
    <w:rsid w:val="00417EED"/>
    <w:rsid w:val="0042422A"/>
    <w:rsid w:val="004250C8"/>
    <w:rsid w:val="00425CB1"/>
    <w:rsid w:val="00430B0D"/>
    <w:rsid w:val="00432A91"/>
    <w:rsid w:val="00433CAA"/>
    <w:rsid w:val="00434BA3"/>
    <w:rsid w:val="004471D9"/>
    <w:rsid w:val="00450E6E"/>
    <w:rsid w:val="00451E2F"/>
    <w:rsid w:val="00452038"/>
    <w:rsid w:val="004542DC"/>
    <w:rsid w:val="004548CD"/>
    <w:rsid w:val="004573A0"/>
    <w:rsid w:val="00460EAD"/>
    <w:rsid w:val="004619E4"/>
    <w:rsid w:val="00462A63"/>
    <w:rsid w:val="004633F1"/>
    <w:rsid w:val="00463A70"/>
    <w:rsid w:val="00464242"/>
    <w:rsid w:val="00465EC8"/>
    <w:rsid w:val="00465F96"/>
    <w:rsid w:val="00466A44"/>
    <w:rsid w:val="004673C4"/>
    <w:rsid w:val="00467751"/>
    <w:rsid w:val="00470A7A"/>
    <w:rsid w:val="00470AF6"/>
    <w:rsid w:val="00471A6E"/>
    <w:rsid w:val="00474538"/>
    <w:rsid w:val="00474E4C"/>
    <w:rsid w:val="00476ED1"/>
    <w:rsid w:val="004829B9"/>
    <w:rsid w:val="00482BF9"/>
    <w:rsid w:val="0048648B"/>
    <w:rsid w:val="004877A1"/>
    <w:rsid w:val="0049061B"/>
    <w:rsid w:val="00491C3E"/>
    <w:rsid w:val="00494387"/>
    <w:rsid w:val="004949AC"/>
    <w:rsid w:val="00496426"/>
    <w:rsid w:val="00496948"/>
    <w:rsid w:val="004A1E88"/>
    <w:rsid w:val="004A27DB"/>
    <w:rsid w:val="004A528D"/>
    <w:rsid w:val="004B15BE"/>
    <w:rsid w:val="004B3A5D"/>
    <w:rsid w:val="004B720F"/>
    <w:rsid w:val="004B726A"/>
    <w:rsid w:val="004C1B53"/>
    <w:rsid w:val="004C34C6"/>
    <w:rsid w:val="004C3C1A"/>
    <w:rsid w:val="004C5BBE"/>
    <w:rsid w:val="004C710D"/>
    <w:rsid w:val="004D2468"/>
    <w:rsid w:val="004D3675"/>
    <w:rsid w:val="004D4220"/>
    <w:rsid w:val="004D66A3"/>
    <w:rsid w:val="004E1BF6"/>
    <w:rsid w:val="004E2875"/>
    <w:rsid w:val="004E5602"/>
    <w:rsid w:val="004E617D"/>
    <w:rsid w:val="004E6D06"/>
    <w:rsid w:val="004F4445"/>
    <w:rsid w:val="004F5573"/>
    <w:rsid w:val="004F6003"/>
    <w:rsid w:val="004F662C"/>
    <w:rsid w:val="004F736C"/>
    <w:rsid w:val="004F7666"/>
    <w:rsid w:val="00506685"/>
    <w:rsid w:val="00506F24"/>
    <w:rsid w:val="005071C1"/>
    <w:rsid w:val="00510D65"/>
    <w:rsid w:val="00510F61"/>
    <w:rsid w:val="00513F33"/>
    <w:rsid w:val="0051439D"/>
    <w:rsid w:val="00515CA2"/>
    <w:rsid w:val="00517B06"/>
    <w:rsid w:val="00520182"/>
    <w:rsid w:val="00522F3F"/>
    <w:rsid w:val="005230CF"/>
    <w:rsid w:val="005277CB"/>
    <w:rsid w:val="00530115"/>
    <w:rsid w:val="00530F1C"/>
    <w:rsid w:val="00533C3F"/>
    <w:rsid w:val="00534853"/>
    <w:rsid w:val="00534932"/>
    <w:rsid w:val="00536506"/>
    <w:rsid w:val="00536DA8"/>
    <w:rsid w:val="0054028E"/>
    <w:rsid w:val="00540994"/>
    <w:rsid w:val="00542140"/>
    <w:rsid w:val="00544569"/>
    <w:rsid w:val="00550D10"/>
    <w:rsid w:val="00551230"/>
    <w:rsid w:val="0055653C"/>
    <w:rsid w:val="005706CC"/>
    <w:rsid w:val="00571737"/>
    <w:rsid w:val="00571A6D"/>
    <w:rsid w:val="00572AAD"/>
    <w:rsid w:val="005747FF"/>
    <w:rsid w:val="00581915"/>
    <w:rsid w:val="0058284A"/>
    <w:rsid w:val="00583138"/>
    <w:rsid w:val="00585FC4"/>
    <w:rsid w:val="005861E7"/>
    <w:rsid w:val="00586FBB"/>
    <w:rsid w:val="00587FE6"/>
    <w:rsid w:val="00593E62"/>
    <w:rsid w:val="0059523B"/>
    <w:rsid w:val="0059585A"/>
    <w:rsid w:val="00596883"/>
    <w:rsid w:val="00597E2F"/>
    <w:rsid w:val="005A2982"/>
    <w:rsid w:val="005A2F3E"/>
    <w:rsid w:val="005B1CA2"/>
    <w:rsid w:val="005B2299"/>
    <w:rsid w:val="005B5A9D"/>
    <w:rsid w:val="005B6E22"/>
    <w:rsid w:val="005C40CA"/>
    <w:rsid w:val="005C6308"/>
    <w:rsid w:val="005C7219"/>
    <w:rsid w:val="005D0F1D"/>
    <w:rsid w:val="005D2E05"/>
    <w:rsid w:val="005D3368"/>
    <w:rsid w:val="005D7705"/>
    <w:rsid w:val="005E0A33"/>
    <w:rsid w:val="005E1588"/>
    <w:rsid w:val="005E5646"/>
    <w:rsid w:val="005F0AA5"/>
    <w:rsid w:val="005F0F77"/>
    <w:rsid w:val="005F251F"/>
    <w:rsid w:val="005F2BAD"/>
    <w:rsid w:val="005F461C"/>
    <w:rsid w:val="005F4E56"/>
    <w:rsid w:val="00600346"/>
    <w:rsid w:val="006026B5"/>
    <w:rsid w:val="00604FB9"/>
    <w:rsid w:val="0060621A"/>
    <w:rsid w:val="00606752"/>
    <w:rsid w:val="00606CE8"/>
    <w:rsid w:val="00607213"/>
    <w:rsid w:val="00607F00"/>
    <w:rsid w:val="0061081E"/>
    <w:rsid w:val="00612796"/>
    <w:rsid w:val="006134B9"/>
    <w:rsid w:val="0061403D"/>
    <w:rsid w:val="00614CDB"/>
    <w:rsid w:val="006177DE"/>
    <w:rsid w:val="00621E91"/>
    <w:rsid w:val="00625320"/>
    <w:rsid w:val="0062568E"/>
    <w:rsid w:val="00625925"/>
    <w:rsid w:val="00630576"/>
    <w:rsid w:val="00631373"/>
    <w:rsid w:val="00631FD1"/>
    <w:rsid w:val="0063438C"/>
    <w:rsid w:val="00635177"/>
    <w:rsid w:val="0063599F"/>
    <w:rsid w:val="00636974"/>
    <w:rsid w:val="006370BA"/>
    <w:rsid w:val="0064274F"/>
    <w:rsid w:val="006441E1"/>
    <w:rsid w:val="00644838"/>
    <w:rsid w:val="00644CE6"/>
    <w:rsid w:val="006473A8"/>
    <w:rsid w:val="006507ED"/>
    <w:rsid w:val="00650FD8"/>
    <w:rsid w:val="006510F8"/>
    <w:rsid w:val="00660363"/>
    <w:rsid w:val="00660E60"/>
    <w:rsid w:val="006631C9"/>
    <w:rsid w:val="006642B4"/>
    <w:rsid w:val="0066442E"/>
    <w:rsid w:val="0066472E"/>
    <w:rsid w:val="006703A5"/>
    <w:rsid w:val="006733E5"/>
    <w:rsid w:val="0067776C"/>
    <w:rsid w:val="00682222"/>
    <w:rsid w:val="00687641"/>
    <w:rsid w:val="006901C3"/>
    <w:rsid w:val="00690DE6"/>
    <w:rsid w:val="0069249E"/>
    <w:rsid w:val="00695E03"/>
    <w:rsid w:val="00696200"/>
    <w:rsid w:val="006A0781"/>
    <w:rsid w:val="006A0B45"/>
    <w:rsid w:val="006A4247"/>
    <w:rsid w:val="006A4E8D"/>
    <w:rsid w:val="006B06CA"/>
    <w:rsid w:val="006B5B3E"/>
    <w:rsid w:val="006C03ED"/>
    <w:rsid w:val="006D1782"/>
    <w:rsid w:val="006D4AB9"/>
    <w:rsid w:val="006D6F5A"/>
    <w:rsid w:val="006E035D"/>
    <w:rsid w:val="006E0643"/>
    <w:rsid w:val="006E283C"/>
    <w:rsid w:val="006E353E"/>
    <w:rsid w:val="006E5273"/>
    <w:rsid w:val="006F0351"/>
    <w:rsid w:val="006F0508"/>
    <w:rsid w:val="006F2C0F"/>
    <w:rsid w:val="006F3217"/>
    <w:rsid w:val="006F54CE"/>
    <w:rsid w:val="006F6104"/>
    <w:rsid w:val="00705E26"/>
    <w:rsid w:val="00706604"/>
    <w:rsid w:val="007132F9"/>
    <w:rsid w:val="007158A6"/>
    <w:rsid w:val="00721566"/>
    <w:rsid w:val="00723034"/>
    <w:rsid w:val="00723CF2"/>
    <w:rsid w:val="00724A49"/>
    <w:rsid w:val="0072621F"/>
    <w:rsid w:val="007268C8"/>
    <w:rsid w:val="00726A94"/>
    <w:rsid w:val="00727467"/>
    <w:rsid w:val="00732599"/>
    <w:rsid w:val="007359A2"/>
    <w:rsid w:val="007375C5"/>
    <w:rsid w:val="00740CD0"/>
    <w:rsid w:val="007411FC"/>
    <w:rsid w:val="007430FE"/>
    <w:rsid w:val="00743B72"/>
    <w:rsid w:val="00744439"/>
    <w:rsid w:val="00745282"/>
    <w:rsid w:val="00745AEC"/>
    <w:rsid w:val="007474FF"/>
    <w:rsid w:val="00747532"/>
    <w:rsid w:val="00750797"/>
    <w:rsid w:val="00752A6C"/>
    <w:rsid w:val="007550F6"/>
    <w:rsid w:val="00755741"/>
    <w:rsid w:val="0075605D"/>
    <w:rsid w:val="0076077F"/>
    <w:rsid w:val="00762999"/>
    <w:rsid w:val="00765CC0"/>
    <w:rsid w:val="00771336"/>
    <w:rsid w:val="00773273"/>
    <w:rsid w:val="007745CA"/>
    <w:rsid w:val="00777185"/>
    <w:rsid w:val="00777721"/>
    <w:rsid w:val="00781577"/>
    <w:rsid w:val="00782132"/>
    <w:rsid w:val="0079077D"/>
    <w:rsid w:val="00792748"/>
    <w:rsid w:val="00796FD4"/>
    <w:rsid w:val="007A0941"/>
    <w:rsid w:val="007A0978"/>
    <w:rsid w:val="007A0D0B"/>
    <w:rsid w:val="007A330E"/>
    <w:rsid w:val="007A50D8"/>
    <w:rsid w:val="007A5334"/>
    <w:rsid w:val="007A66D1"/>
    <w:rsid w:val="007B086F"/>
    <w:rsid w:val="007B18F1"/>
    <w:rsid w:val="007C7F7D"/>
    <w:rsid w:val="007D1F52"/>
    <w:rsid w:val="007D42C2"/>
    <w:rsid w:val="007D49B6"/>
    <w:rsid w:val="007D5DC6"/>
    <w:rsid w:val="007D61BA"/>
    <w:rsid w:val="007D779A"/>
    <w:rsid w:val="007D7AB9"/>
    <w:rsid w:val="007E2548"/>
    <w:rsid w:val="007E38E8"/>
    <w:rsid w:val="007E5D97"/>
    <w:rsid w:val="007E600B"/>
    <w:rsid w:val="007E6917"/>
    <w:rsid w:val="007F06F2"/>
    <w:rsid w:val="007F400F"/>
    <w:rsid w:val="007F771C"/>
    <w:rsid w:val="007F7BFF"/>
    <w:rsid w:val="007F7D92"/>
    <w:rsid w:val="008006C4"/>
    <w:rsid w:val="00800C47"/>
    <w:rsid w:val="00800FED"/>
    <w:rsid w:val="0080143E"/>
    <w:rsid w:val="00804053"/>
    <w:rsid w:val="00804248"/>
    <w:rsid w:val="00810184"/>
    <w:rsid w:val="00811434"/>
    <w:rsid w:val="00813903"/>
    <w:rsid w:val="00814CAB"/>
    <w:rsid w:val="0081663D"/>
    <w:rsid w:val="00820C1B"/>
    <w:rsid w:val="00820EC7"/>
    <w:rsid w:val="00823130"/>
    <w:rsid w:val="0082578E"/>
    <w:rsid w:val="008262C2"/>
    <w:rsid w:val="00827B0C"/>
    <w:rsid w:val="00827CE4"/>
    <w:rsid w:val="008309FD"/>
    <w:rsid w:val="008316CB"/>
    <w:rsid w:val="00831EAC"/>
    <w:rsid w:val="00834A0C"/>
    <w:rsid w:val="00836F1F"/>
    <w:rsid w:val="008402CE"/>
    <w:rsid w:val="00842168"/>
    <w:rsid w:val="00843AB9"/>
    <w:rsid w:val="00845AB7"/>
    <w:rsid w:val="008508E2"/>
    <w:rsid w:val="00850A5F"/>
    <w:rsid w:val="00852049"/>
    <w:rsid w:val="008538DF"/>
    <w:rsid w:val="00853ACB"/>
    <w:rsid w:val="00853F28"/>
    <w:rsid w:val="0085649B"/>
    <w:rsid w:val="00857F62"/>
    <w:rsid w:val="008644E3"/>
    <w:rsid w:val="00866B22"/>
    <w:rsid w:val="008702B3"/>
    <w:rsid w:val="00873CDE"/>
    <w:rsid w:val="00875107"/>
    <w:rsid w:val="00880F6A"/>
    <w:rsid w:val="00882159"/>
    <w:rsid w:val="00884387"/>
    <w:rsid w:val="00884AD3"/>
    <w:rsid w:val="00892595"/>
    <w:rsid w:val="008934EE"/>
    <w:rsid w:val="008949CD"/>
    <w:rsid w:val="00896B28"/>
    <w:rsid w:val="008977F6"/>
    <w:rsid w:val="00897AC3"/>
    <w:rsid w:val="00897D57"/>
    <w:rsid w:val="008A0978"/>
    <w:rsid w:val="008A1C22"/>
    <w:rsid w:val="008A34BD"/>
    <w:rsid w:val="008A34BF"/>
    <w:rsid w:val="008A43BA"/>
    <w:rsid w:val="008A6A42"/>
    <w:rsid w:val="008B0792"/>
    <w:rsid w:val="008B2FFC"/>
    <w:rsid w:val="008B42C1"/>
    <w:rsid w:val="008B4F02"/>
    <w:rsid w:val="008B5B74"/>
    <w:rsid w:val="008C1062"/>
    <w:rsid w:val="008C4F3D"/>
    <w:rsid w:val="008C5A8C"/>
    <w:rsid w:val="008C61BF"/>
    <w:rsid w:val="008D1382"/>
    <w:rsid w:val="008D4F4A"/>
    <w:rsid w:val="008E0FB0"/>
    <w:rsid w:val="008E3B00"/>
    <w:rsid w:val="008E5009"/>
    <w:rsid w:val="008E55E6"/>
    <w:rsid w:val="008E702E"/>
    <w:rsid w:val="008F3C49"/>
    <w:rsid w:val="008F5FA0"/>
    <w:rsid w:val="008F619E"/>
    <w:rsid w:val="008F6ACD"/>
    <w:rsid w:val="0090136A"/>
    <w:rsid w:val="00904433"/>
    <w:rsid w:val="00904E6F"/>
    <w:rsid w:val="00910A70"/>
    <w:rsid w:val="00911857"/>
    <w:rsid w:val="009120D8"/>
    <w:rsid w:val="00912D87"/>
    <w:rsid w:val="009142E5"/>
    <w:rsid w:val="009144C6"/>
    <w:rsid w:val="0091790E"/>
    <w:rsid w:val="00920CD4"/>
    <w:rsid w:val="0092349F"/>
    <w:rsid w:val="009237C1"/>
    <w:rsid w:val="00925645"/>
    <w:rsid w:val="0092599F"/>
    <w:rsid w:val="009264DB"/>
    <w:rsid w:val="00927AEA"/>
    <w:rsid w:val="0093192E"/>
    <w:rsid w:val="00931FCD"/>
    <w:rsid w:val="0093249D"/>
    <w:rsid w:val="009328D4"/>
    <w:rsid w:val="009337A6"/>
    <w:rsid w:val="009366D5"/>
    <w:rsid w:val="009402FE"/>
    <w:rsid w:val="009418D2"/>
    <w:rsid w:val="00942065"/>
    <w:rsid w:val="009430B1"/>
    <w:rsid w:val="00943531"/>
    <w:rsid w:val="00943E54"/>
    <w:rsid w:val="00945FD4"/>
    <w:rsid w:val="009508A6"/>
    <w:rsid w:val="00951B5E"/>
    <w:rsid w:val="00951F34"/>
    <w:rsid w:val="00960179"/>
    <w:rsid w:val="0096288F"/>
    <w:rsid w:val="00963588"/>
    <w:rsid w:val="009650C0"/>
    <w:rsid w:val="009656D7"/>
    <w:rsid w:val="009723AC"/>
    <w:rsid w:val="0097775B"/>
    <w:rsid w:val="00977903"/>
    <w:rsid w:val="00977D0A"/>
    <w:rsid w:val="009873A6"/>
    <w:rsid w:val="009906FD"/>
    <w:rsid w:val="0099358F"/>
    <w:rsid w:val="00993F22"/>
    <w:rsid w:val="009953FC"/>
    <w:rsid w:val="009A48BF"/>
    <w:rsid w:val="009A57DD"/>
    <w:rsid w:val="009B2A82"/>
    <w:rsid w:val="009B31FE"/>
    <w:rsid w:val="009B3CF0"/>
    <w:rsid w:val="009B7004"/>
    <w:rsid w:val="009B772D"/>
    <w:rsid w:val="009C2849"/>
    <w:rsid w:val="009D6CD2"/>
    <w:rsid w:val="009D7017"/>
    <w:rsid w:val="009D771F"/>
    <w:rsid w:val="009D7F75"/>
    <w:rsid w:val="009E3B82"/>
    <w:rsid w:val="009E5AC3"/>
    <w:rsid w:val="009E6313"/>
    <w:rsid w:val="009F197F"/>
    <w:rsid w:val="009F508D"/>
    <w:rsid w:val="009F74FB"/>
    <w:rsid w:val="00A0114C"/>
    <w:rsid w:val="00A0499F"/>
    <w:rsid w:val="00A04D6A"/>
    <w:rsid w:val="00A05BA1"/>
    <w:rsid w:val="00A1044E"/>
    <w:rsid w:val="00A15501"/>
    <w:rsid w:val="00A159E8"/>
    <w:rsid w:val="00A17DFE"/>
    <w:rsid w:val="00A22D36"/>
    <w:rsid w:val="00A24235"/>
    <w:rsid w:val="00A26733"/>
    <w:rsid w:val="00A27233"/>
    <w:rsid w:val="00A304B1"/>
    <w:rsid w:val="00A330C7"/>
    <w:rsid w:val="00A3342E"/>
    <w:rsid w:val="00A449FC"/>
    <w:rsid w:val="00A45087"/>
    <w:rsid w:val="00A46802"/>
    <w:rsid w:val="00A477DA"/>
    <w:rsid w:val="00A47DC9"/>
    <w:rsid w:val="00A50618"/>
    <w:rsid w:val="00A50E5C"/>
    <w:rsid w:val="00A519CC"/>
    <w:rsid w:val="00A53F84"/>
    <w:rsid w:val="00A556D2"/>
    <w:rsid w:val="00A60037"/>
    <w:rsid w:val="00A6477D"/>
    <w:rsid w:val="00A7345F"/>
    <w:rsid w:val="00A760F1"/>
    <w:rsid w:val="00A775F3"/>
    <w:rsid w:val="00A8099E"/>
    <w:rsid w:val="00A82B69"/>
    <w:rsid w:val="00A8588E"/>
    <w:rsid w:val="00A912B9"/>
    <w:rsid w:val="00A91D47"/>
    <w:rsid w:val="00A92676"/>
    <w:rsid w:val="00A944F4"/>
    <w:rsid w:val="00AA1E45"/>
    <w:rsid w:val="00AA3654"/>
    <w:rsid w:val="00AA484B"/>
    <w:rsid w:val="00AA64FB"/>
    <w:rsid w:val="00AB0C45"/>
    <w:rsid w:val="00AB4D8D"/>
    <w:rsid w:val="00AB4F7D"/>
    <w:rsid w:val="00AC0F82"/>
    <w:rsid w:val="00AC3397"/>
    <w:rsid w:val="00AC4743"/>
    <w:rsid w:val="00AC5758"/>
    <w:rsid w:val="00AC6254"/>
    <w:rsid w:val="00AD394C"/>
    <w:rsid w:val="00AD4CDA"/>
    <w:rsid w:val="00AD546F"/>
    <w:rsid w:val="00AD5B92"/>
    <w:rsid w:val="00AE1BEB"/>
    <w:rsid w:val="00AE29CA"/>
    <w:rsid w:val="00AE3AE5"/>
    <w:rsid w:val="00AE6E01"/>
    <w:rsid w:val="00AF5CDA"/>
    <w:rsid w:val="00B01879"/>
    <w:rsid w:val="00B042A0"/>
    <w:rsid w:val="00B04582"/>
    <w:rsid w:val="00B051BA"/>
    <w:rsid w:val="00B07D8C"/>
    <w:rsid w:val="00B125A8"/>
    <w:rsid w:val="00B12B46"/>
    <w:rsid w:val="00B13C90"/>
    <w:rsid w:val="00B15379"/>
    <w:rsid w:val="00B20B03"/>
    <w:rsid w:val="00B259EB"/>
    <w:rsid w:val="00B25B74"/>
    <w:rsid w:val="00B265BF"/>
    <w:rsid w:val="00B30B2A"/>
    <w:rsid w:val="00B30D07"/>
    <w:rsid w:val="00B31157"/>
    <w:rsid w:val="00B332FC"/>
    <w:rsid w:val="00B33A5D"/>
    <w:rsid w:val="00B34AB0"/>
    <w:rsid w:val="00B37370"/>
    <w:rsid w:val="00B413E0"/>
    <w:rsid w:val="00B43451"/>
    <w:rsid w:val="00B476F1"/>
    <w:rsid w:val="00B50F7D"/>
    <w:rsid w:val="00B54473"/>
    <w:rsid w:val="00B561F9"/>
    <w:rsid w:val="00B57547"/>
    <w:rsid w:val="00B57EC4"/>
    <w:rsid w:val="00B606C3"/>
    <w:rsid w:val="00B65640"/>
    <w:rsid w:val="00B67B92"/>
    <w:rsid w:val="00B70C84"/>
    <w:rsid w:val="00B75DDD"/>
    <w:rsid w:val="00B8071B"/>
    <w:rsid w:val="00B808EE"/>
    <w:rsid w:val="00B81498"/>
    <w:rsid w:val="00B839EE"/>
    <w:rsid w:val="00B85DBE"/>
    <w:rsid w:val="00B86A34"/>
    <w:rsid w:val="00B935E7"/>
    <w:rsid w:val="00B967B3"/>
    <w:rsid w:val="00BA48D6"/>
    <w:rsid w:val="00BA75B1"/>
    <w:rsid w:val="00BA7960"/>
    <w:rsid w:val="00BB118C"/>
    <w:rsid w:val="00BB1C7F"/>
    <w:rsid w:val="00BB672D"/>
    <w:rsid w:val="00BB7365"/>
    <w:rsid w:val="00BC012A"/>
    <w:rsid w:val="00BC1ED6"/>
    <w:rsid w:val="00BC2DAE"/>
    <w:rsid w:val="00BC3F9C"/>
    <w:rsid w:val="00BC54EA"/>
    <w:rsid w:val="00BC6F77"/>
    <w:rsid w:val="00BD48B7"/>
    <w:rsid w:val="00BD4D9E"/>
    <w:rsid w:val="00BD691C"/>
    <w:rsid w:val="00BD6BDC"/>
    <w:rsid w:val="00BE0C4E"/>
    <w:rsid w:val="00BE2A2E"/>
    <w:rsid w:val="00BE5B32"/>
    <w:rsid w:val="00BF0782"/>
    <w:rsid w:val="00BF27F5"/>
    <w:rsid w:val="00BF548C"/>
    <w:rsid w:val="00BF7714"/>
    <w:rsid w:val="00BF77FC"/>
    <w:rsid w:val="00C00FE4"/>
    <w:rsid w:val="00C02CEE"/>
    <w:rsid w:val="00C04DBE"/>
    <w:rsid w:val="00C108B2"/>
    <w:rsid w:val="00C160F9"/>
    <w:rsid w:val="00C1639F"/>
    <w:rsid w:val="00C171B9"/>
    <w:rsid w:val="00C21871"/>
    <w:rsid w:val="00C21CEE"/>
    <w:rsid w:val="00C222FD"/>
    <w:rsid w:val="00C228A9"/>
    <w:rsid w:val="00C252B9"/>
    <w:rsid w:val="00C25F3E"/>
    <w:rsid w:val="00C26F66"/>
    <w:rsid w:val="00C32EDE"/>
    <w:rsid w:val="00C334F1"/>
    <w:rsid w:val="00C34EEB"/>
    <w:rsid w:val="00C35A21"/>
    <w:rsid w:val="00C44AC8"/>
    <w:rsid w:val="00C452FF"/>
    <w:rsid w:val="00C469AD"/>
    <w:rsid w:val="00C53072"/>
    <w:rsid w:val="00C546C5"/>
    <w:rsid w:val="00C65798"/>
    <w:rsid w:val="00C65F0F"/>
    <w:rsid w:val="00C70CF6"/>
    <w:rsid w:val="00C72970"/>
    <w:rsid w:val="00C72F8C"/>
    <w:rsid w:val="00C74988"/>
    <w:rsid w:val="00C84C2B"/>
    <w:rsid w:val="00C853D1"/>
    <w:rsid w:val="00C85A96"/>
    <w:rsid w:val="00CA0C1D"/>
    <w:rsid w:val="00CA1E5F"/>
    <w:rsid w:val="00CA2F84"/>
    <w:rsid w:val="00CA66FB"/>
    <w:rsid w:val="00CB2B7B"/>
    <w:rsid w:val="00CB5A9E"/>
    <w:rsid w:val="00CC12D9"/>
    <w:rsid w:val="00CC2EBD"/>
    <w:rsid w:val="00CC4563"/>
    <w:rsid w:val="00CC5561"/>
    <w:rsid w:val="00CC7111"/>
    <w:rsid w:val="00CC7EAC"/>
    <w:rsid w:val="00CD573E"/>
    <w:rsid w:val="00CE06BE"/>
    <w:rsid w:val="00CE0E89"/>
    <w:rsid w:val="00CE1403"/>
    <w:rsid w:val="00CE3B14"/>
    <w:rsid w:val="00CF1FCE"/>
    <w:rsid w:val="00CF38E2"/>
    <w:rsid w:val="00CF3F17"/>
    <w:rsid w:val="00CF5199"/>
    <w:rsid w:val="00CF75CB"/>
    <w:rsid w:val="00CF7911"/>
    <w:rsid w:val="00D02413"/>
    <w:rsid w:val="00D04493"/>
    <w:rsid w:val="00D060B7"/>
    <w:rsid w:val="00D069DF"/>
    <w:rsid w:val="00D07CC0"/>
    <w:rsid w:val="00D104DB"/>
    <w:rsid w:val="00D10BBE"/>
    <w:rsid w:val="00D114F9"/>
    <w:rsid w:val="00D11E84"/>
    <w:rsid w:val="00D121F9"/>
    <w:rsid w:val="00D13A19"/>
    <w:rsid w:val="00D15032"/>
    <w:rsid w:val="00D15A9C"/>
    <w:rsid w:val="00D16932"/>
    <w:rsid w:val="00D16C0D"/>
    <w:rsid w:val="00D2245B"/>
    <w:rsid w:val="00D237F3"/>
    <w:rsid w:val="00D2535A"/>
    <w:rsid w:val="00D30C0E"/>
    <w:rsid w:val="00D320DD"/>
    <w:rsid w:val="00D349C8"/>
    <w:rsid w:val="00D36B32"/>
    <w:rsid w:val="00D43062"/>
    <w:rsid w:val="00D5012F"/>
    <w:rsid w:val="00D53A0C"/>
    <w:rsid w:val="00D553B2"/>
    <w:rsid w:val="00D57B6B"/>
    <w:rsid w:val="00D603BF"/>
    <w:rsid w:val="00D612E7"/>
    <w:rsid w:val="00D617C8"/>
    <w:rsid w:val="00D62C6E"/>
    <w:rsid w:val="00D63966"/>
    <w:rsid w:val="00D6407D"/>
    <w:rsid w:val="00D70E4F"/>
    <w:rsid w:val="00D727A5"/>
    <w:rsid w:val="00D733EF"/>
    <w:rsid w:val="00D75131"/>
    <w:rsid w:val="00D752D2"/>
    <w:rsid w:val="00D76975"/>
    <w:rsid w:val="00D772C9"/>
    <w:rsid w:val="00D77542"/>
    <w:rsid w:val="00D83EA5"/>
    <w:rsid w:val="00D85C1F"/>
    <w:rsid w:val="00D87335"/>
    <w:rsid w:val="00D878C6"/>
    <w:rsid w:val="00D90E06"/>
    <w:rsid w:val="00D93EFD"/>
    <w:rsid w:val="00D94133"/>
    <w:rsid w:val="00D94C0C"/>
    <w:rsid w:val="00D96276"/>
    <w:rsid w:val="00DA3751"/>
    <w:rsid w:val="00DA4EBC"/>
    <w:rsid w:val="00DA5485"/>
    <w:rsid w:val="00DA7965"/>
    <w:rsid w:val="00DB0488"/>
    <w:rsid w:val="00DB10DD"/>
    <w:rsid w:val="00DB268E"/>
    <w:rsid w:val="00DB2789"/>
    <w:rsid w:val="00DB35F9"/>
    <w:rsid w:val="00DB4812"/>
    <w:rsid w:val="00DB6D27"/>
    <w:rsid w:val="00DB70E0"/>
    <w:rsid w:val="00DB7EC7"/>
    <w:rsid w:val="00DC6387"/>
    <w:rsid w:val="00DC66A2"/>
    <w:rsid w:val="00DD116F"/>
    <w:rsid w:val="00DD1FF5"/>
    <w:rsid w:val="00DD2536"/>
    <w:rsid w:val="00DD5573"/>
    <w:rsid w:val="00DD6442"/>
    <w:rsid w:val="00DD7D38"/>
    <w:rsid w:val="00DE031D"/>
    <w:rsid w:val="00DE0B3B"/>
    <w:rsid w:val="00DE6290"/>
    <w:rsid w:val="00DE65E3"/>
    <w:rsid w:val="00DF2DD7"/>
    <w:rsid w:val="00DF3BC9"/>
    <w:rsid w:val="00DF4611"/>
    <w:rsid w:val="00DF5525"/>
    <w:rsid w:val="00DF63B1"/>
    <w:rsid w:val="00E00C55"/>
    <w:rsid w:val="00E00CF7"/>
    <w:rsid w:val="00E010F7"/>
    <w:rsid w:val="00E0369E"/>
    <w:rsid w:val="00E04D30"/>
    <w:rsid w:val="00E04DDD"/>
    <w:rsid w:val="00E06552"/>
    <w:rsid w:val="00E06668"/>
    <w:rsid w:val="00E07480"/>
    <w:rsid w:val="00E160CE"/>
    <w:rsid w:val="00E23964"/>
    <w:rsid w:val="00E240BC"/>
    <w:rsid w:val="00E2462E"/>
    <w:rsid w:val="00E278F2"/>
    <w:rsid w:val="00E30E7E"/>
    <w:rsid w:val="00E317EA"/>
    <w:rsid w:val="00E32D11"/>
    <w:rsid w:val="00E33E03"/>
    <w:rsid w:val="00E378A7"/>
    <w:rsid w:val="00E41E5D"/>
    <w:rsid w:val="00E42502"/>
    <w:rsid w:val="00E42B43"/>
    <w:rsid w:val="00E45953"/>
    <w:rsid w:val="00E46DA8"/>
    <w:rsid w:val="00E472FC"/>
    <w:rsid w:val="00E52E64"/>
    <w:rsid w:val="00E5473E"/>
    <w:rsid w:val="00E560D3"/>
    <w:rsid w:val="00E566D9"/>
    <w:rsid w:val="00E61E5E"/>
    <w:rsid w:val="00E8346C"/>
    <w:rsid w:val="00E83494"/>
    <w:rsid w:val="00E83964"/>
    <w:rsid w:val="00E86E4E"/>
    <w:rsid w:val="00E87D8B"/>
    <w:rsid w:val="00E9045B"/>
    <w:rsid w:val="00E905D2"/>
    <w:rsid w:val="00E9186A"/>
    <w:rsid w:val="00E92B4A"/>
    <w:rsid w:val="00E93EDF"/>
    <w:rsid w:val="00E966F3"/>
    <w:rsid w:val="00E97929"/>
    <w:rsid w:val="00EA1004"/>
    <w:rsid w:val="00EA1A80"/>
    <w:rsid w:val="00EA2CF6"/>
    <w:rsid w:val="00EA30B1"/>
    <w:rsid w:val="00EA67D6"/>
    <w:rsid w:val="00EA701B"/>
    <w:rsid w:val="00EB051B"/>
    <w:rsid w:val="00EB0AEA"/>
    <w:rsid w:val="00EB1E57"/>
    <w:rsid w:val="00EB43DB"/>
    <w:rsid w:val="00EB4A38"/>
    <w:rsid w:val="00EC01B9"/>
    <w:rsid w:val="00EC023F"/>
    <w:rsid w:val="00EC2B04"/>
    <w:rsid w:val="00EC3AC9"/>
    <w:rsid w:val="00ED23EB"/>
    <w:rsid w:val="00EE23E5"/>
    <w:rsid w:val="00EE53C5"/>
    <w:rsid w:val="00EF0402"/>
    <w:rsid w:val="00EF0D39"/>
    <w:rsid w:val="00EF1835"/>
    <w:rsid w:val="00EF22D0"/>
    <w:rsid w:val="00EF3BE8"/>
    <w:rsid w:val="00EF639E"/>
    <w:rsid w:val="00F03666"/>
    <w:rsid w:val="00F05DDC"/>
    <w:rsid w:val="00F060A2"/>
    <w:rsid w:val="00F121AE"/>
    <w:rsid w:val="00F2115D"/>
    <w:rsid w:val="00F27BFB"/>
    <w:rsid w:val="00F306FA"/>
    <w:rsid w:val="00F31662"/>
    <w:rsid w:val="00F35A10"/>
    <w:rsid w:val="00F4029B"/>
    <w:rsid w:val="00F40D32"/>
    <w:rsid w:val="00F44120"/>
    <w:rsid w:val="00F44705"/>
    <w:rsid w:val="00F44852"/>
    <w:rsid w:val="00F516F1"/>
    <w:rsid w:val="00F54246"/>
    <w:rsid w:val="00F561D0"/>
    <w:rsid w:val="00F56EC2"/>
    <w:rsid w:val="00F63581"/>
    <w:rsid w:val="00F64B0B"/>
    <w:rsid w:val="00F6780F"/>
    <w:rsid w:val="00F71AF0"/>
    <w:rsid w:val="00F7369F"/>
    <w:rsid w:val="00F74C3E"/>
    <w:rsid w:val="00F762D3"/>
    <w:rsid w:val="00F81A9B"/>
    <w:rsid w:val="00F821C8"/>
    <w:rsid w:val="00F9148F"/>
    <w:rsid w:val="00F926A0"/>
    <w:rsid w:val="00FA3952"/>
    <w:rsid w:val="00FA5759"/>
    <w:rsid w:val="00FA7201"/>
    <w:rsid w:val="00FB0EAE"/>
    <w:rsid w:val="00FC4CB0"/>
    <w:rsid w:val="00FC6454"/>
    <w:rsid w:val="00FC6B3E"/>
    <w:rsid w:val="00FD1A44"/>
    <w:rsid w:val="00FD56AB"/>
    <w:rsid w:val="00FD7174"/>
    <w:rsid w:val="00FE3038"/>
    <w:rsid w:val="00FE53FE"/>
    <w:rsid w:val="00FE5E84"/>
    <w:rsid w:val="00FE7151"/>
    <w:rsid w:val="00FF4FB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1"/>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94530"/>
    <w:rPr>
      <w:rFonts w:ascii="Palatino Linotype" w:eastAsia="Times New Roman" w:hAnsi="Palatino Linotype"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4530"/>
    <w:pPr>
      <w:spacing w:after="0" w:line="240" w:lineRule="auto"/>
      <w:ind w:left="720"/>
      <w:contextualSpacing/>
    </w:pPr>
    <w:rPr>
      <w:rFonts w:eastAsia="Times New Roman" w:cs="Times New Roman"/>
      <w:color w:val="auto"/>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745">
      <w:bodyDiv w:val="1"/>
      <w:marLeft w:val="0"/>
      <w:marRight w:val="0"/>
      <w:marTop w:val="0"/>
      <w:marBottom w:val="0"/>
      <w:divBdr>
        <w:top w:val="none" w:sz="0" w:space="0" w:color="auto"/>
        <w:left w:val="none" w:sz="0" w:space="0" w:color="auto"/>
        <w:bottom w:val="none" w:sz="0" w:space="0" w:color="auto"/>
        <w:right w:val="none" w:sz="0" w:space="0" w:color="auto"/>
      </w:divBdr>
    </w:div>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22047306">
      <w:bodyDiv w:val="1"/>
      <w:marLeft w:val="0"/>
      <w:marRight w:val="0"/>
      <w:marTop w:val="0"/>
      <w:marBottom w:val="0"/>
      <w:divBdr>
        <w:top w:val="none" w:sz="0" w:space="0" w:color="auto"/>
        <w:left w:val="none" w:sz="0" w:space="0" w:color="auto"/>
        <w:bottom w:val="none" w:sz="0" w:space="0" w:color="auto"/>
        <w:right w:val="none" w:sz="0" w:space="0" w:color="auto"/>
      </w:divBdr>
    </w:div>
    <w:div w:id="355080558">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423455479">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8514">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9245">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334">
      <w:bodyDiv w:val="1"/>
      <w:marLeft w:val="0"/>
      <w:marRight w:val="0"/>
      <w:marTop w:val="0"/>
      <w:marBottom w:val="0"/>
      <w:divBdr>
        <w:top w:val="none" w:sz="0" w:space="0" w:color="auto"/>
        <w:left w:val="none" w:sz="0" w:space="0" w:color="auto"/>
        <w:bottom w:val="none" w:sz="0" w:space="0" w:color="auto"/>
        <w:right w:val="none" w:sz="0" w:space="0" w:color="auto"/>
      </w:divBdr>
    </w:div>
    <w:div w:id="1682008275">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20296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8372.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37272.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F724-B87A-4D0B-8C91-790679C4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10111</Words>
  <Characters>55613</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Maricela Villagómez Martínez</cp:lastModifiedBy>
  <cp:revision>2</cp:revision>
  <cp:lastPrinted>2024-10-25T20:59:00Z</cp:lastPrinted>
  <dcterms:created xsi:type="dcterms:W3CDTF">2024-11-21T19:23:00Z</dcterms:created>
  <dcterms:modified xsi:type="dcterms:W3CDTF">2024-11-21T19:23:00Z</dcterms:modified>
</cp:coreProperties>
</file>