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9020" w14:textId="77777777" w:rsidR="005C71B6" w:rsidRDefault="005C71B6">
      <w:pPr>
        <w:widowControl w:val="0"/>
        <w:pBdr>
          <w:top w:val="nil"/>
          <w:left w:val="nil"/>
          <w:bottom w:val="nil"/>
          <w:right w:val="nil"/>
          <w:between w:val="nil"/>
        </w:pBdr>
        <w:spacing w:line="276" w:lineRule="auto"/>
      </w:pPr>
    </w:p>
    <w:p w14:paraId="4C6EDBC3" w14:textId="77777777" w:rsidR="005C71B6" w:rsidRDefault="00A70426">
      <w:pPr>
        <w:spacing w:before="240" w:after="240" w:line="360" w:lineRule="auto"/>
        <w:ind w:right="-592"/>
        <w:jc w:val="both"/>
        <w:rPr>
          <w:rFonts w:ascii="Palatino Linotype" w:eastAsia="Palatino Linotype" w:hAnsi="Palatino Linotype" w:cs="Palatino Linotype"/>
          <w:sz w:val="24"/>
          <w:szCs w:val="24"/>
        </w:rPr>
      </w:pPr>
      <w:bookmarkStart w:id="0" w:name="_heading=h.gjdgxs" w:colFirst="0" w:colLast="0"/>
      <w:bookmarkEnd w:id="0"/>
      <w:r>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diecinueve (19) de septiembre de dos mil veinticuatro.</w:t>
      </w:r>
    </w:p>
    <w:p w14:paraId="53F1B443" w14:textId="65D67246" w:rsidR="005C71B6" w:rsidRDefault="00A70426">
      <w:pPr>
        <w:pBdr>
          <w:top w:val="nil"/>
          <w:left w:val="nil"/>
          <w:bottom w:val="nil"/>
          <w:right w:val="nil"/>
          <w:between w:val="nil"/>
        </w:pBdr>
        <w:tabs>
          <w:tab w:val="center" w:pos="4419"/>
          <w:tab w:val="right" w:pos="8838"/>
        </w:tabs>
        <w:spacing w:line="360" w:lineRule="auto"/>
        <w:ind w:right="-592"/>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VISTO </w:t>
      </w:r>
      <w:r>
        <w:rPr>
          <w:rFonts w:ascii="Palatino Linotype" w:eastAsia="Palatino Linotype" w:hAnsi="Palatino Linotype" w:cs="Palatino Linotype"/>
          <w:color w:val="000000"/>
          <w:sz w:val="24"/>
          <w:szCs w:val="24"/>
        </w:rPr>
        <w:t xml:space="preserve">el expediente electrónico formado con motivo del recurso de revisión </w:t>
      </w:r>
      <w:r>
        <w:rPr>
          <w:rFonts w:ascii="Palatino Linotype" w:eastAsia="Palatino Linotype" w:hAnsi="Palatino Linotype" w:cs="Palatino Linotype"/>
          <w:b/>
          <w:color w:val="000000"/>
          <w:sz w:val="24"/>
          <w:szCs w:val="24"/>
        </w:rPr>
        <w:t xml:space="preserve">04173/INFOEM/IP/RR/2024, </w:t>
      </w:r>
      <w:r>
        <w:rPr>
          <w:rFonts w:ascii="Palatino Linotype" w:eastAsia="Palatino Linotype" w:hAnsi="Palatino Linotype" w:cs="Palatino Linotype"/>
          <w:color w:val="000000"/>
          <w:sz w:val="24"/>
          <w:szCs w:val="24"/>
        </w:rPr>
        <w:t xml:space="preserve">promovido a través de la Plataforma Nacional de Transparencia </w:t>
      </w:r>
      <w:r>
        <w:rPr>
          <w:rFonts w:ascii="Palatino Linotype" w:eastAsia="Palatino Linotype" w:hAnsi="Palatino Linotype" w:cs="Palatino Linotype"/>
          <w:b/>
          <w:color w:val="000000"/>
          <w:sz w:val="24"/>
          <w:szCs w:val="24"/>
        </w:rPr>
        <w:t>(PNT)</w:t>
      </w:r>
      <w:r>
        <w:rPr>
          <w:rFonts w:ascii="Palatino Linotype" w:eastAsia="Palatino Linotype" w:hAnsi="Palatino Linotype" w:cs="Palatino Linotype"/>
          <w:color w:val="000000"/>
          <w:sz w:val="24"/>
          <w:szCs w:val="24"/>
        </w:rPr>
        <w:t>, vinculada al Sistema de Acceso a la Información Mexiquense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w:t>
      </w:r>
      <w:r w:rsidRPr="00772291">
        <w:rPr>
          <w:rFonts w:ascii="Palatino Linotype" w:eastAsia="Palatino Linotype" w:hAnsi="Palatino Linotype" w:cs="Palatino Linotype"/>
          <w:color w:val="000000"/>
          <w:sz w:val="24"/>
          <w:szCs w:val="24"/>
        </w:rPr>
        <w:t>por</w:t>
      </w:r>
      <w:r w:rsidRPr="00772291">
        <w:rPr>
          <w:rFonts w:ascii="Palatino Linotype" w:eastAsia="Palatino Linotype" w:hAnsi="Palatino Linotype" w:cs="Palatino Linotype"/>
          <w:sz w:val="24"/>
          <w:szCs w:val="24"/>
        </w:rPr>
        <w:t xml:space="preserve"> </w:t>
      </w:r>
      <w:r w:rsidR="005C7314">
        <w:rPr>
          <w:rFonts w:ascii="Palatino Linotype" w:eastAsia="Palatino Linotype" w:hAnsi="Palatino Linotype" w:cs="Palatino Linotype"/>
          <w:i/>
          <w:sz w:val="24"/>
          <w:szCs w:val="22"/>
        </w:rPr>
        <w:t>XXX XXX</w:t>
      </w:r>
      <w:r w:rsidRPr="00772291">
        <w:rPr>
          <w:rFonts w:ascii="Palatino Linotype" w:eastAsia="Palatino Linotype" w:hAnsi="Palatino Linotype" w:cs="Palatino Linotype"/>
          <w:color w:val="000000"/>
          <w:sz w:val="24"/>
          <w:szCs w:val="24"/>
        </w:rPr>
        <w:t>, a quien</w:t>
      </w:r>
      <w:r>
        <w:rPr>
          <w:rFonts w:ascii="Palatino Linotype" w:eastAsia="Palatino Linotype" w:hAnsi="Palatino Linotype" w:cs="Palatino Linotype"/>
          <w:color w:val="000000"/>
          <w:sz w:val="24"/>
          <w:szCs w:val="24"/>
        </w:rPr>
        <w:t xml:space="preserve"> en adelante se le reconocerá como </w:t>
      </w:r>
      <w:r>
        <w:rPr>
          <w:rFonts w:ascii="Palatino Linotype" w:eastAsia="Palatino Linotype" w:hAnsi="Palatino Linotype" w:cs="Palatino Linotype"/>
          <w:b/>
          <w:color w:val="000000"/>
          <w:sz w:val="24"/>
          <w:szCs w:val="24"/>
        </w:rPr>
        <w:t>EL</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en contra de la respuesta emitida por la </w:t>
      </w:r>
      <w:r>
        <w:rPr>
          <w:rFonts w:ascii="Palatino Linotype" w:eastAsia="Palatino Linotype" w:hAnsi="Palatino Linotype" w:cs="Palatino Linotype"/>
          <w:b/>
          <w:color w:val="000000"/>
          <w:sz w:val="24"/>
          <w:szCs w:val="24"/>
        </w:rPr>
        <w:t xml:space="preserve">Ayuntamiento de Texcoco, </w:t>
      </w:r>
      <w:r>
        <w:rPr>
          <w:rFonts w:ascii="Palatino Linotype" w:eastAsia="Palatino Linotype" w:hAnsi="Palatino Linotype" w:cs="Palatino Linotype"/>
          <w:color w:val="000000"/>
          <w:sz w:val="24"/>
          <w:szCs w:val="24"/>
        </w:rPr>
        <w:t xml:space="preserve">en cumplimiento a la solicitud de información </w:t>
      </w:r>
      <w:r>
        <w:rPr>
          <w:rFonts w:ascii="Palatino Linotype" w:eastAsia="Palatino Linotype" w:hAnsi="Palatino Linotype" w:cs="Palatino Linotype"/>
          <w:b/>
          <w:color w:val="000000"/>
          <w:sz w:val="24"/>
          <w:szCs w:val="24"/>
        </w:rPr>
        <w:t>00132/TEXCOCO/IP/2024</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lo sucesivo 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se procede a dictar la presente Resolución, con base en los siguientes:</w:t>
      </w:r>
    </w:p>
    <w:p w14:paraId="7A9D41CF" w14:textId="77777777" w:rsidR="005C71B6" w:rsidRDefault="00A70426">
      <w:pPr>
        <w:pStyle w:val="Ttulo1"/>
        <w:ind w:right="-592"/>
        <w:jc w:val="center"/>
        <w:rPr>
          <w:rFonts w:ascii="Palatino Linotype" w:eastAsia="Palatino Linotype" w:hAnsi="Palatino Linotype" w:cs="Palatino Linotype"/>
          <w:b/>
          <w:color w:val="000000"/>
          <w:sz w:val="24"/>
          <w:szCs w:val="24"/>
        </w:rPr>
      </w:pPr>
      <w:bookmarkStart w:id="1" w:name="_heading=h.30j0zll" w:colFirst="0" w:colLast="0"/>
      <w:bookmarkEnd w:id="1"/>
      <w:r>
        <w:rPr>
          <w:rFonts w:ascii="Palatino Linotype" w:eastAsia="Palatino Linotype" w:hAnsi="Palatino Linotype" w:cs="Palatino Linotype"/>
          <w:b/>
          <w:color w:val="000000"/>
          <w:sz w:val="24"/>
          <w:szCs w:val="24"/>
        </w:rPr>
        <w:t>A N T E C E D E N T E S</w:t>
      </w:r>
    </w:p>
    <w:p w14:paraId="7DF2895F" w14:textId="77777777" w:rsidR="005C71B6" w:rsidRDefault="005C71B6">
      <w:pPr>
        <w:ind w:right="-592"/>
        <w:rPr>
          <w:rFonts w:ascii="Palatino Linotype" w:eastAsia="Palatino Linotype" w:hAnsi="Palatino Linotype" w:cs="Palatino Linotype"/>
          <w:sz w:val="24"/>
          <w:szCs w:val="24"/>
        </w:rPr>
      </w:pPr>
    </w:p>
    <w:p w14:paraId="5C8D065C"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El día once junio dos mil veinticuatro</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se presentó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vía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la solicitud de información pública registrada con el número</w:t>
      </w:r>
      <w:r>
        <w:rPr>
          <w:rFonts w:ascii="Palatino Linotype" w:eastAsia="Palatino Linotype" w:hAnsi="Palatino Linotype" w:cs="Palatino Linotype"/>
          <w:b/>
          <w:color w:val="000000"/>
          <w:sz w:val="24"/>
          <w:szCs w:val="24"/>
        </w:rPr>
        <w:t xml:space="preserve"> 00132/TEXCOCO/IP/2024,</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en la que </w:t>
      </w:r>
      <w:r>
        <w:rPr>
          <w:rFonts w:ascii="Palatino Linotype" w:eastAsia="Palatino Linotype" w:hAnsi="Palatino Linotype" w:cs="Palatino Linotype"/>
          <w:color w:val="000000"/>
          <w:sz w:val="24"/>
          <w:szCs w:val="24"/>
        </w:rPr>
        <w:t xml:space="preserve"> se solicitó la siguiente información:</w:t>
      </w:r>
    </w:p>
    <w:p w14:paraId="2939D336" w14:textId="77777777" w:rsidR="005C71B6" w:rsidRDefault="005C71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2A6885A7" w14:textId="77777777" w:rsidR="005C71B6" w:rsidRDefault="00A70426">
      <w:pPr>
        <w:pBdr>
          <w:top w:val="nil"/>
          <w:left w:val="nil"/>
          <w:bottom w:val="nil"/>
          <w:right w:val="nil"/>
          <w:between w:val="nil"/>
        </w:pBdr>
        <w:ind w:left="425" w:right="25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“Les solicito de la manera más atenta y respetuosa, me indiquen, cuantas ambulancias les ha entregado el Gobierno del Estado de México desde el año 2015 hasta el año 2022, indicando la cantidad de ambulancias recibidas por año y si dichas ambulancias se encuentran funcionales.”</w:t>
      </w:r>
    </w:p>
    <w:p w14:paraId="06DC12A4" w14:textId="77777777" w:rsidR="005C71B6" w:rsidRDefault="005C71B6">
      <w:pPr>
        <w:pBdr>
          <w:top w:val="nil"/>
          <w:left w:val="nil"/>
          <w:bottom w:val="nil"/>
          <w:right w:val="nil"/>
          <w:between w:val="nil"/>
        </w:pBdr>
        <w:spacing w:line="360" w:lineRule="auto"/>
        <w:ind w:left="426" w:right="257"/>
        <w:jc w:val="both"/>
        <w:rPr>
          <w:rFonts w:ascii="Palatino Linotype" w:eastAsia="Palatino Linotype" w:hAnsi="Palatino Linotype" w:cs="Palatino Linotype"/>
          <w:i/>
          <w:color w:val="000000"/>
          <w:sz w:val="24"/>
          <w:szCs w:val="24"/>
        </w:rPr>
      </w:pPr>
    </w:p>
    <w:p w14:paraId="43C3CF2E" w14:textId="77777777" w:rsidR="00A12422" w:rsidRPr="00772291" w:rsidRDefault="00A12422" w:rsidP="0056199A">
      <w:pPr>
        <w:numPr>
          <w:ilvl w:val="0"/>
          <w:numId w:val="2"/>
        </w:numPr>
        <w:pBdr>
          <w:top w:val="nil"/>
          <w:left w:val="nil"/>
          <w:bottom w:val="nil"/>
          <w:right w:val="nil"/>
          <w:between w:val="nil"/>
        </w:pBdr>
        <w:spacing w:line="360" w:lineRule="auto"/>
        <w:ind w:left="709" w:right="257"/>
        <w:jc w:val="both"/>
        <w:rPr>
          <w:rFonts w:ascii="Palatino Linotype" w:eastAsia="Palatino Linotype" w:hAnsi="Palatino Linotype" w:cs="Palatino Linotype"/>
          <w:color w:val="000000"/>
          <w:sz w:val="24"/>
          <w:szCs w:val="24"/>
        </w:rPr>
      </w:pPr>
      <w:r w:rsidRPr="00772291">
        <w:rPr>
          <w:rFonts w:ascii="Palatino Linotype" w:eastAsia="Palatino Linotype" w:hAnsi="Palatino Linotype" w:cs="Palatino Linotype"/>
          <w:color w:val="000000"/>
          <w:sz w:val="24"/>
          <w:szCs w:val="24"/>
        </w:rPr>
        <w:lastRenderedPageBreak/>
        <w:t>Se anexó un archivo denominado</w:t>
      </w:r>
      <w:r w:rsidR="0056199A" w:rsidRPr="00772291">
        <w:rPr>
          <w:rFonts w:ascii="Palatino Linotype" w:eastAsia="Palatino Linotype" w:hAnsi="Palatino Linotype" w:cs="Palatino Linotype"/>
          <w:color w:val="000000"/>
          <w:sz w:val="24"/>
          <w:szCs w:val="24"/>
        </w:rPr>
        <w:t xml:space="preserve"> </w:t>
      </w:r>
      <w:r w:rsidR="0056199A" w:rsidRPr="00772291">
        <w:rPr>
          <w:rFonts w:ascii="Palatino Linotype" w:eastAsia="Palatino Linotype" w:hAnsi="Palatino Linotype" w:cs="Palatino Linotype"/>
          <w:b/>
          <w:color w:val="000000"/>
          <w:sz w:val="24"/>
          <w:szCs w:val="24"/>
        </w:rPr>
        <w:t>Archivo1718137530181.pdf,</w:t>
      </w:r>
      <w:r w:rsidR="0056199A" w:rsidRPr="00772291">
        <w:rPr>
          <w:rFonts w:ascii="Palatino Linotype" w:eastAsia="Palatino Linotype" w:hAnsi="Palatino Linotype" w:cs="Palatino Linotype"/>
          <w:color w:val="000000"/>
          <w:sz w:val="24"/>
          <w:szCs w:val="24"/>
        </w:rPr>
        <w:t xml:space="preserve"> cuyo contenido corresponde a la siguiente tabla:</w:t>
      </w:r>
    </w:p>
    <w:p w14:paraId="49EFFAFE" w14:textId="77777777" w:rsidR="0056199A" w:rsidRDefault="0056199A" w:rsidP="0056199A">
      <w:pPr>
        <w:pBdr>
          <w:top w:val="nil"/>
          <w:left w:val="nil"/>
          <w:bottom w:val="nil"/>
          <w:right w:val="nil"/>
          <w:between w:val="nil"/>
        </w:pBdr>
        <w:spacing w:line="360" w:lineRule="auto"/>
        <w:ind w:left="709" w:right="257"/>
        <w:jc w:val="both"/>
        <w:rPr>
          <w:rFonts w:ascii="Palatino Linotype" w:eastAsia="Palatino Linotype" w:hAnsi="Palatino Linotype" w:cs="Palatino Linotype"/>
          <w:color w:val="000000"/>
          <w:sz w:val="24"/>
          <w:szCs w:val="24"/>
        </w:rPr>
      </w:pPr>
      <w:r w:rsidRPr="0056199A">
        <w:rPr>
          <w:rFonts w:ascii="Palatino Linotype" w:eastAsia="Palatino Linotype" w:hAnsi="Palatino Linotype" w:cs="Palatino Linotype"/>
          <w:noProof/>
          <w:color w:val="000000"/>
          <w:sz w:val="24"/>
          <w:szCs w:val="24"/>
          <w:lang w:eastAsia="es-MX"/>
        </w:rPr>
        <w:drawing>
          <wp:inline distT="0" distB="0" distL="0" distR="0" wp14:anchorId="17F07809" wp14:editId="7F39A38B">
            <wp:extent cx="4777991" cy="1212988"/>
            <wp:effectExtent l="0" t="0" r="381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93312" cy="1216877"/>
                    </a:xfrm>
                    <a:prstGeom prst="rect">
                      <a:avLst/>
                    </a:prstGeom>
                  </pic:spPr>
                </pic:pic>
              </a:graphicData>
            </a:graphic>
          </wp:inline>
        </w:drawing>
      </w:r>
    </w:p>
    <w:p w14:paraId="167CAF9A" w14:textId="77777777" w:rsidR="005C71B6" w:rsidRDefault="00A70426">
      <w:pPr>
        <w:numPr>
          <w:ilvl w:val="0"/>
          <w:numId w:val="2"/>
        </w:numPr>
        <w:pBdr>
          <w:top w:val="nil"/>
          <w:left w:val="nil"/>
          <w:bottom w:val="nil"/>
          <w:right w:val="nil"/>
          <w:between w:val="nil"/>
        </w:pBdr>
        <w:spacing w:line="360" w:lineRule="auto"/>
        <w:ind w:left="709" w:right="25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Modalidad de entrega</w:t>
      </w:r>
      <w:r>
        <w:rPr>
          <w:rFonts w:ascii="Palatino Linotype" w:eastAsia="Palatino Linotype" w:hAnsi="Palatino Linotype" w:cs="Palatino Linotype"/>
          <w:color w:val="000000"/>
          <w:sz w:val="24"/>
          <w:szCs w:val="24"/>
        </w:rPr>
        <w:t>: Copias simples y correo electrónico</w:t>
      </w:r>
      <w:r>
        <w:rPr>
          <w:rFonts w:ascii="Palatino Linotype" w:eastAsia="Palatino Linotype" w:hAnsi="Palatino Linotype" w:cs="Palatino Linotype"/>
          <w:b/>
          <w:color w:val="000000"/>
          <w:sz w:val="24"/>
          <w:szCs w:val="24"/>
        </w:rPr>
        <w:t xml:space="preserve"> </w:t>
      </w:r>
    </w:p>
    <w:p w14:paraId="48696BCE" w14:textId="77777777" w:rsidR="005C71B6" w:rsidRDefault="00A70426">
      <w:pPr>
        <w:pBdr>
          <w:top w:val="nil"/>
          <w:left w:val="nil"/>
          <w:bottom w:val="nil"/>
          <w:right w:val="nil"/>
          <w:between w:val="nil"/>
        </w:pBdr>
        <w:spacing w:line="360" w:lineRule="auto"/>
        <w:ind w:left="709" w:right="-592"/>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p>
    <w:p w14:paraId="0F5994E8" w14:textId="77777777" w:rsidR="005C71B6" w:rsidRDefault="00A70426">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En fecha </w:t>
      </w:r>
      <w:r>
        <w:rPr>
          <w:rFonts w:ascii="Palatino Linotype" w:eastAsia="Palatino Linotype" w:hAnsi="Palatino Linotype" w:cs="Palatino Linotype"/>
          <w:b/>
          <w:color w:val="000000"/>
          <w:sz w:val="24"/>
          <w:szCs w:val="24"/>
        </w:rPr>
        <w:t xml:space="preserve">dos julio de dos mil veinticuatro, </w:t>
      </w: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emitió una respuesta a través de dos archivos electrónicos denominados </w:t>
      </w:r>
      <w:r>
        <w:rPr>
          <w:rFonts w:ascii="Palatino Linotype" w:eastAsia="Palatino Linotype" w:hAnsi="Palatino Linotype" w:cs="Palatino Linotype"/>
          <w:b/>
          <w:i/>
          <w:color w:val="000000"/>
          <w:sz w:val="24"/>
          <w:szCs w:val="24"/>
        </w:rPr>
        <w:t>SOLICITUD-0132-2024.pdf</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el que de manera sustancial contienen un escrito signado por el Titular de la Unidad de Transparencia a través del cual informa al particular que se anexa archivo en formato PDF con la información solicitada.</w:t>
      </w:r>
    </w:p>
    <w:p w14:paraId="7AB23E4D" w14:textId="77777777" w:rsidR="005C71B6" w:rsidRDefault="005C71B6">
      <w:pPr>
        <w:pBdr>
          <w:top w:val="nil"/>
          <w:left w:val="nil"/>
          <w:bottom w:val="nil"/>
          <w:right w:val="nil"/>
          <w:between w:val="nil"/>
        </w:pBdr>
        <w:spacing w:line="360" w:lineRule="auto"/>
        <w:ind w:right="-592"/>
        <w:jc w:val="both"/>
        <w:rPr>
          <w:rFonts w:ascii="Palatino Linotype" w:eastAsia="Palatino Linotype" w:hAnsi="Palatino Linotype" w:cs="Palatino Linotype"/>
          <w:i/>
          <w:color w:val="000000"/>
          <w:sz w:val="24"/>
          <w:szCs w:val="24"/>
        </w:rPr>
      </w:pPr>
    </w:p>
    <w:p w14:paraId="230D0EC1"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bookmarkStart w:id="2" w:name="_heading=h.1fob9te" w:colFirst="0" w:colLast="0"/>
      <w:bookmarkEnd w:id="2"/>
      <w:r>
        <w:rPr>
          <w:rFonts w:ascii="Palatino Linotype" w:eastAsia="Palatino Linotype" w:hAnsi="Palatino Linotype" w:cs="Palatino Linotype"/>
          <w:color w:val="000000"/>
          <w:sz w:val="24"/>
          <w:szCs w:val="24"/>
        </w:rPr>
        <w:t xml:space="preserve">Ante la respuesta emitida, el </w:t>
      </w:r>
      <w:r>
        <w:rPr>
          <w:rFonts w:ascii="Palatino Linotype" w:eastAsia="Palatino Linotype" w:hAnsi="Palatino Linotype" w:cs="Palatino Linotype"/>
          <w:b/>
          <w:color w:val="000000"/>
          <w:sz w:val="24"/>
          <w:szCs w:val="24"/>
        </w:rPr>
        <w:t>ocho de julio dos mil veinticuatro</w:t>
      </w:r>
      <w:r>
        <w:rPr>
          <w:rFonts w:ascii="Palatino Linotype" w:eastAsia="Palatino Linotype" w:hAnsi="Palatino Linotype" w:cs="Palatino Linotype"/>
          <w:color w:val="000000"/>
          <w:sz w:val="24"/>
          <w:szCs w:val="24"/>
        </w:rPr>
        <w:t>, el particular interpuso el recurso de revisión, señalando las siguientes razones o motivos de inconformidad:</w:t>
      </w:r>
    </w:p>
    <w:p w14:paraId="46FBC27A" w14:textId="77777777" w:rsidR="005C71B6" w:rsidRDefault="00A70426">
      <w:pPr>
        <w:numPr>
          <w:ilvl w:val="0"/>
          <w:numId w:val="1"/>
        </w:numPr>
        <w:pBdr>
          <w:top w:val="nil"/>
          <w:left w:val="nil"/>
          <w:bottom w:val="nil"/>
          <w:right w:val="nil"/>
          <w:between w:val="nil"/>
        </w:pBdr>
        <w:spacing w:line="360" w:lineRule="auto"/>
        <w:ind w:left="567" w:right="25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ACTO IMPUGNADO</w:t>
      </w:r>
    </w:p>
    <w:p w14:paraId="43609D49" w14:textId="77777777" w:rsidR="005C71B6" w:rsidRDefault="00A70426">
      <w:pPr>
        <w:ind w:left="567"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la respuesta realizada por el Ayuntamiento de Texcoco, anexan documento de fecha 01 de junio de 2024 identificado con nombre "SOLICITUD: 00132/TEXCOCO/IP/2024", en el cual mencionan "Se informa a continuación: Se anexa en archivo PDF la información solicitada", sin embargo no anexaron documento PDF con la información solicitada. Solicito se anexe el PDF correspondiente a lo solicitado. Anexo evidencia del oficio.” </w:t>
      </w:r>
    </w:p>
    <w:p w14:paraId="6C7EC0A0" w14:textId="77777777" w:rsidR="005C71B6" w:rsidRDefault="005C71B6">
      <w:pPr>
        <w:ind w:left="567" w:right="257"/>
        <w:jc w:val="both"/>
        <w:rPr>
          <w:rFonts w:ascii="Palatino Linotype" w:eastAsia="Palatino Linotype" w:hAnsi="Palatino Linotype" w:cs="Palatino Linotype"/>
          <w:i/>
          <w:color w:val="000000"/>
          <w:sz w:val="22"/>
          <w:szCs w:val="22"/>
        </w:rPr>
      </w:pPr>
    </w:p>
    <w:p w14:paraId="55B0A26D" w14:textId="77777777" w:rsidR="005C71B6" w:rsidRDefault="00A70426">
      <w:pPr>
        <w:numPr>
          <w:ilvl w:val="0"/>
          <w:numId w:val="2"/>
        </w:numPr>
        <w:pBdr>
          <w:top w:val="nil"/>
          <w:left w:val="nil"/>
          <w:bottom w:val="nil"/>
          <w:right w:val="nil"/>
          <w:between w:val="nil"/>
        </w:pBdr>
        <w:spacing w:line="360" w:lineRule="auto"/>
        <w:ind w:left="851" w:right="257" w:hanging="3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Se adjunta el archivo denominado </w:t>
      </w:r>
      <w:r>
        <w:rPr>
          <w:rFonts w:ascii="Palatino Linotype" w:eastAsia="Palatino Linotype" w:hAnsi="Palatino Linotype" w:cs="Palatino Linotype"/>
          <w:b/>
          <w:i/>
          <w:color w:val="000000"/>
          <w:sz w:val="22"/>
          <w:szCs w:val="22"/>
        </w:rPr>
        <w:t>Archivo1720455610698.pdf</w:t>
      </w:r>
      <w:r>
        <w:rPr>
          <w:rFonts w:ascii="Palatino Linotype" w:eastAsia="Palatino Linotype" w:hAnsi="Palatino Linotype" w:cs="Palatino Linotype"/>
          <w:color w:val="000000"/>
          <w:sz w:val="22"/>
          <w:szCs w:val="22"/>
        </w:rPr>
        <w:t xml:space="preserve">, cuyo contenido corresponde al escrito de respuesta, por lo que se omite su descripción reiterada. </w:t>
      </w:r>
    </w:p>
    <w:p w14:paraId="74540371" w14:textId="77777777" w:rsidR="005C71B6" w:rsidRDefault="005C71B6">
      <w:pPr>
        <w:ind w:left="567" w:right="-592"/>
        <w:jc w:val="both"/>
        <w:rPr>
          <w:rFonts w:ascii="Palatino Linotype" w:eastAsia="Palatino Linotype" w:hAnsi="Palatino Linotype" w:cs="Palatino Linotype"/>
          <w:i/>
          <w:color w:val="000000"/>
          <w:sz w:val="24"/>
          <w:szCs w:val="24"/>
        </w:rPr>
      </w:pPr>
    </w:p>
    <w:p w14:paraId="5614E9B4"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 xml:space="preserve">Se registró el Recurso de Revisión bajo el número de expediente al rubro indicado, y con fundamento en lo dispuesto por el artículo 185 fracción I de la Ley de Transparencia y Acceso a la Información Pública del Estado de México y Municipios, se </w:t>
      </w:r>
      <w:r>
        <w:rPr>
          <w:rFonts w:ascii="Palatino Linotype" w:eastAsia="Palatino Linotype" w:hAnsi="Palatino Linotype" w:cs="Palatino Linotype"/>
          <w:sz w:val="24"/>
          <w:szCs w:val="24"/>
        </w:rPr>
        <w:t>turna</w:t>
      </w:r>
      <w:r>
        <w:rPr>
          <w:rFonts w:ascii="Palatino Linotype" w:eastAsia="Palatino Linotype" w:hAnsi="Palatino Linotype" w:cs="Palatino Linotype"/>
          <w:color w:val="000000"/>
          <w:sz w:val="24"/>
          <w:szCs w:val="24"/>
        </w:rPr>
        <w:t xml:space="preserve"> a la </w:t>
      </w:r>
      <w:r>
        <w:rPr>
          <w:rFonts w:ascii="Palatino Linotype" w:eastAsia="Palatino Linotype" w:hAnsi="Palatino Linotype" w:cs="Palatino Linotype"/>
          <w:b/>
          <w:color w:val="000000"/>
          <w:sz w:val="24"/>
          <w:szCs w:val="24"/>
        </w:rPr>
        <w:t>Comisionada María del Rosario Mejía Ayala</w:t>
      </w:r>
      <w:r>
        <w:rPr>
          <w:rFonts w:ascii="Palatino Linotype" w:eastAsia="Palatino Linotype" w:hAnsi="Palatino Linotype" w:cs="Palatino Linotype"/>
          <w:color w:val="000000"/>
          <w:sz w:val="24"/>
          <w:szCs w:val="24"/>
        </w:rPr>
        <w:t>, con el objeto de su análisis.</w:t>
      </w:r>
    </w:p>
    <w:p w14:paraId="7B568EB4" w14:textId="77777777" w:rsidR="005C71B6" w:rsidRDefault="005C71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42AD9A4F"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w:t>
      </w:r>
      <w:r>
        <w:rPr>
          <w:rFonts w:ascii="Palatino Linotype" w:eastAsia="Palatino Linotype" w:hAnsi="Palatino Linotype" w:cs="Palatino Linotype"/>
          <w:b/>
          <w:color w:val="000000"/>
          <w:sz w:val="24"/>
          <w:szCs w:val="24"/>
        </w:rPr>
        <w:t xml:space="preserve">acuerdo de admisión </w:t>
      </w:r>
      <w:r>
        <w:rPr>
          <w:rFonts w:ascii="Palatino Linotype" w:eastAsia="Palatino Linotype" w:hAnsi="Palatino Linotype" w:cs="Palatino Linotype"/>
          <w:color w:val="000000"/>
          <w:sz w:val="24"/>
          <w:szCs w:val="24"/>
        </w:rPr>
        <w:t xml:space="preserve">de fecha </w:t>
      </w:r>
      <w:r>
        <w:rPr>
          <w:rFonts w:ascii="Palatino Linotype" w:eastAsia="Palatino Linotype" w:hAnsi="Palatino Linotype" w:cs="Palatino Linotype"/>
          <w:b/>
          <w:color w:val="000000"/>
          <w:sz w:val="24"/>
          <w:szCs w:val="24"/>
        </w:rPr>
        <w:t>nueve de julio de dos mil veinticuatro</w:t>
      </w:r>
      <w:r>
        <w:rPr>
          <w:rFonts w:ascii="Palatino Linotype" w:eastAsia="Palatino Linotype" w:hAnsi="Palatino Linotype" w:cs="Palatino Linotype"/>
          <w:color w:val="000000"/>
          <w:sz w:val="24"/>
          <w:szCs w:val="24"/>
        </w:rPr>
        <w:t xml:space="preserve">, puso a disposición de las partes el expediente electrónico vía SAIMEX a efecto de que en un plazo máximo de siete días </w:t>
      </w:r>
      <w:r>
        <w:rPr>
          <w:rFonts w:ascii="Palatino Linotype" w:eastAsia="Palatino Linotype" w:hAnsi="Palatino Linotype" w:cs="Palatino Linotype"/>
          <w:sz w:val="24"/>
          <w:szCs w:val="24"/>
        </w:rPr>
        <w:t>manifestara</w:t>
      </w:r>
      <w:r>
        <w:rPr>
          <w:rFonts w:ascii="Palatino Linotype" w:eastAsia="Palatino Linotype" w:hAnsi="Palatino Linotype" w:cs="Palatino Linotype"/>
          <w:color w:val="000000"/>
          <w:sz w:val="24"/>
          <w:szCs w:val="24"/>
        </w:rPr>
        <w:t xml:space="preserve"> lo que a su derecho conviniera, </w:t>
      </w:r>
      <w:r>
        <w:rPr>
          <w:rFonts w:ascii="Palatino Linotype" w:eastAsia="Palatino Linotype" w:hAnsi="Palatino Linotype" w:cs="Palatino Linotype"/>
          <w:sz w:val="24"/>
          <w:szCs w:val="24"/>
        </w:rPr>
        <w:t>ofreciera</w:t>
      </w:r>
      <w:r>
        <w:rPr>
          <w:rFonts w:ascii="Palatino Linotype" w:eastAsia="Palatino Linotype" w:hAnsi="Palatino Linotype" w:cs="Palatino Linotype"/>
          <w:color w:val="000000"/>
          <w:sz w:val="24"/>
          <w:szCs w:val="24"/>
        </w:rPr>
        <w:t xml:space="preserve"> pruebas y alegatos según corresponda al caso concreto, de esta forma para que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sz w:val="24"/>
          <w:szCs w:val="24"/>
        </w:rPr>
        <w:t>presentará</w:t>
      </w:r>
      <w:r>
        <w:rPr>
          <w:rFonts w:ascii="Palatino Linotype" w:eastAsia="Palatino Linotype" w:hAnsi="Palatino Linotype" w:cs="Palatino Linotype"/>
          <w:color w:val="000000"/>
          <w:sz w:val="24"/>
          <w:szCs w:val="24"/>
        </w:rPr>
        <w:t xml:space="preserve"> el Informe Justificado procedente.</w:t>
      </w:r>
    </w:p>
    <w:p w14:paraId="1905998D" w14:textId="77777777" w:rsidR="005C71B6" w:rsidRDefault="005C71B6">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14:paraId="06E06954"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fue omiso en rendir </w:t>
      </w:r>
      <w:r>
        <w:rPr>
          <w:rFonts w:ascii="Palatino Linotype" w:eastAsia="Palatino Linotype" w:hAnsi="Palatino Linotype" w:cs="Palatino Linotype"/>
          <w:sz w:val="24"/>
          <w:szCs w:val="24"/>
        </w:rPr>
        <w:t>el</w:t>
      </w:r>
      <w:r>
        <w:rPr>
          <w:rFonts w:ascii="Palatino Linotype" w:eastAsia="Palatino Linotype" w:hAnsi="Palatino Linotype" w:cs="Palatino Linotype"/>
          <w:color w:val="000000"/>
          <w:sz w:val="24"/>
          <w:szCs w:val="24"/>
        </w:rPr>
        <w:t xml:space="preserve"> informe justificado. Por su parte el particular también dejó de realizar manifestaciones que a su derecho conviniera y asistiera.</w:t>
      </w:r>
    </w:p>
    <w:p w14:paraId="6A356A58" w14:textId="77777777" w:rsidR="005C71B6" w:rsidRDefault="005C71B6">
      <w:pPr>
        <w:pBdr>
          <w:top w:val="nil"/>
          <w:left w:val="nil"/>
          <w:bottom w:val="nil"/>
          <w:right w:val="nil"/>
          <w:between w:val="nil"/>
        </w:pBdr>
        <w:spacing w:line="360" w:lineRule="auto"/>
        <w:ind w:left="720" w:right="-592"/>
        <w:rPr>
          <w:rFonts w:ascii="Palatino Linotype" w:eastAsia="Palatino Linotype" w:hAnsi="Palatino Linotype" w:cs="Palatino Linotype"/>
          <w:color w:val="000000"/>
          <w:sz w:val="24"/>
          <w:szCs w:val="24"/>
        </w:rPr>
      </w:pPr>
    </w:p>
    <w:p w14:paraId="1E3D9FF7" w14:textId="77777777" w:rsidR="005C71B6" w:rsidRDefault="00A70426">
      <w:pPr>
        <w:numPr>
          <w:ilvl w:val="0"/>
          <w:numId w:val="2"/>
        </w:num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Ampliación para resolver y cierre de instrucción</w:t>
      </w:r>
    </w:p>
    <w:p w14:paraId="3D2E9315"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 xml:space="preserve">Este organismo garante no pasa por alto justificar, que la dilación en la resolución del presente asunto encuentra justificación en el alto número de recursos de revisión recibidos se ha incrementado el número de medios de impugnación que deben resolverse por este </w:t>
      </w:r>
      <w:r>
        <w:rPr>
          <w:rFonts w:ascii="Palatino Linotype" w:eastAsia="Palatino Linotype" w:hAnsi="Palatino Linotype" w:cs="Palatino Linotype"/>
          <w:color w:val="000000"/>
          <w:sz w:val="24"/>
          <w:szCs w:val="24"/>
        </w:rPr>
        <w:lastRenderedPageBreak/>
        <w:t>Instituto, circunstancia atípica que ha rebasado las capacidades técnicas y humanas del personal encargado de la proyección de las resoluciones a dichos medios de impugnación.</w:t>
      </w:r>
    </w:p>
    <w:p w14:paraId="3ECD69FD" w14:textId="77777777" w:rsidR="005C71B6" w:rsidRDefault="005C71B6">
      <w:pPr>
        <w:spacing w:line="360" w:lineRule="auto"/>
        <w:ind w:right="-592"/>
        <w:jc w:val="both"/>
        <w:rPr>
          <w:rFonts w:ascii="Palatino Linotype" w:eastAsia="Palatino Linotype" w:hAnsi="Palatino Linotype" w:cs="Palatino Linotype"/>
          <w:sz w:val="24"/>
          <w:szCs w:val="24"/>
        </w:rPr>
      </w:pPr>
    </w:p>
    <w:p w14:paraId="6967F52F"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43609F4" w14:textId="77777777" w:rsidR="005C71B6" w:rsidRDefault="005C71B6">
      <w:pPr>
        <w:spacing w:line="360" w:lineRule="auto"/>
        <w:ind w:left="720" w:right="-592"/>
        <w:rPr>
          <w:rFonts w:ascii="Palatino Linotype" w:eastAsia="Palatino Linotype" w:hAnsi="Palatino Linotype" w:cs="Palatino Linotype"/>
          <w:sz w:val="24"/>
          <w:szCs w:val="24"/>
        </w:rPr>
      </w:pPr>
    </w:p>
    <w:p w14:paraId="3828B57A"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CC6C903" w14:textId="77777777" w:rsidR="005C71B6" w:rsidRDefault="005C71B6">
      <w:pPr>
        <w:spacing w:line="360" w:lineRule="auto"/>
        <w:ind w:left="720" w:right="-592"/>
        <w:rPr>
          <w:rFonts w:ascii="Palatino Linotype" w:eastAsia="Palatino Linotype" w:hAnsi="Palatino Linotype" w:cs="Palatino Linotype"/>
          <w:sz w:val="24"/>
          <w:szCs w:val="24"/>
        </w:rPr>
      </w:pPr>
    </w:p>
    <w:p w14:paraId="411A3AB4"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64AD13A" w14:textId="77777777" w:rsidR="005C71B6" w:rsidRDefault="005C71B6">
      <w:pPr>
        <w:spacing w:line="360" w:lineRule="auto"/>
        <w:ind w:left="720" w:right="-592"/>
        <w:rPr>
          <w:rFonts w:ascii="Palatino Linotype" w:eastAsia="Palatino Linotype" w:hAnsi="Palatino Linotype" w:cs="Palatino Linotype"/>
          <w:sz w:val="24"/>
          <w:szCs w:val="24"/>
        </w:rPr>
      </w:pPr>
    </w:p>
    <w:p w14:paraId="1F495CA3"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lastRenderedPageBreak/>
        <w:t xml:space="preserve">Por ello, excepcionalmente, si un asunto es resuelto con posterioridad a los plazos señalados por la norma debe analizarse la razonabilidad de dicha dilación atendiendo a los siguientes criterios:   </w:t>
      </w:r>
    </w:p>
    <w:p w14:paraId="5C73A664" w14:textId="77777777" w:rsidR="005C71B6" w:rsidRDefault="00A70426">
      <w:pPr>
        <w:numPr>
          <w:ilvl w:val="0"/>
          <w:numId w:val="4"/>
        </w:numPr>
        <w:spacing w:line="360" w:lineRule="auto"/>
        <w:ind w:right="11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Complejidad del asunto: La complejidad de la prueba, la pluralidad de sujetos procesales, el tiempo transcurrido, las características y contexto del recurso. </w:t>
      </w:r>
    </w:p>
    <w:p w14:paraId="5BC3279D" w14:textId="77777777" w:rsidR="005C71B6" w:rsidRDefault="00A70426">
      <w:pPr>
        <w:numPr>
          <w:ilvl w:val="0"/>
          <w:numId w:val="4"/>
        </w:numPr>
        <w:spacing w:line="360" w:lineRule="auto"/>
        <w:ind w:right="11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Actividad Procesal del interesado. Acciones u omisiones del interesado.</w:t>
      </w:r>
    </w:p>
    <w:p w14:paraId="68D39157" w14:textId="77777777" w:rsidR="005C71B6" w:rsidRDefault="00A70426">
      <w:pPr>
        <w:numPr>
          <w:ilvl w:val="0"/>
          <w:numId w:val="4"/>
        </w:numPr>
        <w:spacing w:line="360" w:lineRule="auto"/>
        <w:ind w:right="11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14:paraId="177BB89C" w14:textId="77777777" w:rsidR="005C71B6" w:rsidRDefault="00A70426">
      <w:pPr>
        <w:spacing w:line="360" w:lineRule="auto"/>
        <w:ind w:left="851" w:right="115"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0065F1C5" w14:textId="77777777" w:rsidR="005C71B6" w:rsidRDefault="005C71B6">
      <w:pPr>
        <w:spacing w:line="360" w:lineRule="auto"/>
        <w:ind w:left="851" w:right="-592" w:hanging="284"/>
        <w:jc w:val="both"/>
        <w:rPr>
          <w:rFonts w:ascii="Palatino Linotype" w:eastAsia="Palatino Linotype" w:hAnsi="Palatino Linotype" w:cs="Palatino Linotype"/>
          <w:sz w:val="24"/>
          <w:szCs w:val="24"/>
        </w:rPr>
      </w:pPr>
    </w:p>
    <w:p w14:paraId="61F8D5C6"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22E0A83" w14:textId="77777777" w:rsidR="005C71B6" w:rsidRDefault="005C71B6">
      <w:pPr>
        <w:spacing w:line="360" w:lineRule="auto"/>
        <w:ind w:right="-592"/>
        <w:jc w:val="both"/>
        <w:rPr>
          <w:rFonts w:ascii="Palatino Linotype" w:eastAsia="Palatino Linotype" w:hAnsi="Palatino Linotype" w:cs="Palatino Linotype"/>
          <w:sz w:val="24"/>
          <w:szCs w:val="24"/>
        </w:rPr>
      </w:pPr>
    </w:p>
    <w:p w14:paraId="5B5615EF" w14:textId="77777777" w:rsidR="005C71B6" w:rsidRDefault="00A70426">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w:t>
      </w:r>
      <w:r>
        <w:rPr>
          <w:rFonts w:ascii="Palatino Linotype" w:eastAsia="Palatino Linotype" w:hAnsi="Palatino Linotype" w:cs="Palatino Linotype"/>
          <w:sz w:val="24"/>
          <w:szCs w:val="24"/>
        </w:rPr>
        <w:t>del rubro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i/>
          <w:color w:val="000000"/>
          <w:sz w:val="24"/>
          <w:szCs w:val="24"/>
        </w:rPr>
        <w:t xml:space="preserve">“TÉRMINOS PROCESALES. PARA DETERMINAR SI UN FUNCIONARIO JUDICIAL ACTUÓ </w:t>
      </w:r>
      <w:r>
        <w:rPr>
          <w:rFonts w:ascii="Palatino Linotype" w:eastAsia="Palatino Linotype" w:hAnsi="Palatino Linotype" w:cs="Palatino Linotype"/>
          <w:color w:val="000000"/>
          <w:sz w:val="24"/>
          <w:szCs w:val="24"/>
        </w:rPr>
        <w:t>INDEBIDAMENTE</w:t>
      </w:r>
      <w:r>
        <w:rPr>
          <w:rFonts w:ascii="Palatino Linotype" w:eastAsia="Palatino Linotype" w:hAnsi="Palatino Linotype" w:cs="Palatino Linotype"/>
          <w:i/>
          <w:color w:val="000000"/>
          <w:sz w:val="24"/>
          <w:szCs w:val="24"/>
        </w:rPr>
        <w:t xml:space="preserve"> POR NO RESPETARLOS SE DEBE ATENDER AL PRESUPUESTO QUE CONSIDERÓ EL </w:t>
      </w:r>
      <w:r>
        <w:rPr>
          <w:rFonts w:ascii="Palatino Linotype" w:eastAsia="Palatino Linotype" w:hAnsi="Palatino Linotype" w:cs="Palatino Linotype"/>
          <w:i/>
          <w:color w:val="000000"/>
          <w:sz w:val="24"/>
          <w:szCs w:val="24"/>
        </w:rPr>
        <w:lastRenderedPageBreak/>
        <w:t>LEGISLADOR AL FIJARLOS Y LAS CARACTERÍSTICAS DEL CASO.”</w:t>
      </w:r>
      <w:r>
        <w:rPr>
          <w:rFonts w:ascii="Palatino Linotype" w:eastAsia="Palatino Linotype" w:hAnsi="Palatino Linotype" w:cs="Palatino Linotype"/>
          <w:color w:val="000000"/>
          <w:sz w:val="24"/>
          <w:szCs w:val="24"/>
        </w:rPr>
        <w:t xml:space="preserve">, visible en la Gaceta del </w:t>
      </w:r>
      <w:r>
        <w:rPr>
          <w:rFonts w:ascii="Palatino Linotype" w:eastAsia="Palatino Linotype" w:hAnsi="Palatino Linotype" w:cs="Palatino Linotype"/>
          <w:sz w:val="24"/>
          <w:szCs w:val="24"/>
        </w:rPr>
        <w:t>Semanario</w:t>
      </w:r>
      <w:r>
        <w:rPr>
          <w:rFonts w:ascii="Palatino Linotype" w:eastAsia="Palatino Linotype" w:hAnsi="Palatino Linotype" w:cs="Palatino Linotype"/>
          <w:color w:val="000000"/>
          <w:sz w:val="24"/>
          <w:szCs w:val="24"/>
        </w:rPr>
        <w:t xml:space="preserve"> Judicial de la Federación con el registro digital 205635.</w:t>
      </w:r>
    </w:p>
    <w:p w14:paraId="10946392" w14:textId="77777777" w:rsidR="005C71B6" w:rsidRDefault="005C71B6">
      <w:pPr>
        <w:spacing w:line="360" w:lineRule="auto"/>
        <w:ind w:right="-592"/>
        <w:jc w:val="both"/>
        <w:rPr>
          <w:rFonts w:ascii="Palatino Linotype" w:eastAsia="Palatino Linotype" w:hAnsi="Palatino Linotype" w:cs="Palatino Linotype"/>
          <w:sz w:val="24"/>
          <w:szCs w:val="24"/>
        </w:rPr>
      </w:pPr>
    </w:p>
    <w:p w14:paraId="27BC812D"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5B46A7A" w14:textId="77777777" w:rsidR="005C71B6" w:rsidRDefault="005C71B6">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14:paraId="7565769A"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5083D932" w14:textId="77777777" w:rsidR="005C71B6" w:rsidRDefault="005C71B6">
      <w:pPr>
        <w:spacing w:line="360" w:lineRule="auto"/>
        <w:ind w:right="-592"/>
        <w:jc w:val="both"/>
        <w:rPr>
          <w:rFonts w:ascii="Palatino Linotype" w:eastAsia="Palatino Linotype" w:hAnsi="Palatino Linotype" w:cs="Palatino Linotype"/>
          <w:sz w:val="24"/>
          <w:szCs w:val="24"/>
        </w:rPr>
      </w:pPr>
    </w:p>
    <w:p w14:paraId="6D3038B1"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6DFBBCDC" w14:textId="77777777" w:rsidR="005C71B6" w:rsidRDefault="00A70426">
      <w:pPr>
        <w:ind w:left="709"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 “PLAZO RAZONABLE PARA RESOLVER. DIMENSIÓN Y EFECTOS DE ESTE CONCEPTO CUANDO SE ADUCE EXCESIVA CARGA DE TRABAJO.” consultable en el Semanario Judicial de la Federación y su gaceta, con el registro digital 2002351.</w:t>
      </w:r>
    </w:p>
    <w:p w14:paraId="6D8926C0" w14:textId="77777777" w:rsidR="005C71B6" w:rsidRDefault="005C71B6">
      <w:pPr>
        <w:ind w:left="709" w:right="257"/>
        <w:jc w:val="both"/>
        <w:rPr>
          <w:rFonts w:ascii="Palatino Linotype" w:eastAsia="Palatino Linotype" w:hAnsi="Palatino Linotype" w:cs="Palatino Linotype"/>
          <w:b/>
          <w:i/>
          <w:sz w:val="22"/>
          <w:szCs w:val="22"/>
        </w:rPr>
      </w:pPr>
    </w:p>
    <w:p w14:paraId="41A08411" w14:textId="77777777" w:rsidR="005C71B6" w:rsidRDefault="00A70426">
      <w:pPr>
        <w:ind w:left="709"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 visible en el Semanario Judicial de la Federación y su gaceta, con el registro digital 2002350.”</w:t>
      </w:r>
    </w:p>
    <w:p w14:paraId="45F764CE" w14:textId="77777777" w:rsidR="005C71B6" w:rsidRDefault="005C71B6">
      <w:pPr>
        <w:pBdr>
          <w:top w:val="nil"/>
          <w:left w:val="nil"/>
          <w:bottom w:val="nil"/>
          <w:right w:val="nil"/>
          <w:between w:val="nil"/>
        </w:pBdr>
        <w:ind w:left="720" w:right="-592"/>
        <w:rPr>
          <w:rFonts w:ascii="Palatino Linotype" w:eastAsia="Palatino Linotype" w:hAnsi="Palatino Linotype" w:cs="Palatino Linotype"/>
          <w:sz w:val="24"/>
          <w:szCs w:val="24"/>
        </w:rPr>
      </w:pPr>
    </w:p>
    <w:p w14:paraId="3EE30A81" w14:textId="77777777" w:rsidR="005C71B6" w:rsidRDefault="005C71B6">
      <w:pPr>
        <w:pBdr>
          <w:top w:val="nil"/>
          <w:left w:val="nil"/>
          <w:bottom w:val="nil"/>
          <w:right w:val="nil"/>
          <w:between w:val="nil"/>
        </w:pBdr>
        <w:ind w:left="720" w:right="-592"/>
        <w:rPr>
          <w:rFonts w:ascii="Palatino Linotype" w:eastAsia="Palatino Linotype" w:hAnsi="Palatino Linotype" w:cs="Palatino Linotype"/>
          <w:sz w:val="24"/>
          <w:szCs w:val="24"/>
        </w:rPr>
      </w:pPr>
    </w:p>
    <w:p w14:paraId="2716BE46" w14:textId="77777777" w:rsidR="005C71B6" w:rsidRDefault="00A70426">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Una vez transcurrido el plazo decretado con anterioridad, en fecha </w:t>
      </w:r>
      <w:r>
        <w:rPr>
          <w:rFonts w:ascii="Palatino Linotype" w:eastAsia="Palatino Linotype" w:hAnsi="Palatino Linotype" w:cs="Palatino Linotype"/>
          <w:b/>
          <w:color w:val="000000"/>
          <w:sz w:val="24"/>
          <w:szCs w:val="24"/>
        </w:rPr>
        <w:t>once de septiembre de dos mil veinticuatro</w:t>
      </w:r>
      <w:r>
        <w:rPr>
          <w:rFonts w:ascii="Palatino Linotype" w:eastAsia="Palatino Linotype" w:hAnsi="Palatino Linotype" w:cs="Palatino Linotype"/>
          <w:color w:val="000000"/>
          <w:sz w:val="24"/>
          <w:szCs w:val="24"/>
        </w:rPr>
        <w:t xml:space="preserve"> se decretó el cierre de instrucción y al no existir diligencias por realizar y se </w:t>
      </w:r>
      <w:r>
        <w:rPr>
          <w:rFonts w:ascii="Palatino Linotype" w:eastAsia="Palatino Linotype" w:hAnsi="Palatino Linotype" w:cs="Palatino Linotype"/>
          <w:sz w:val="24"/>
          <w:szCs w:val="24"/>
        </w:rPr>
        <w:t>turna</w:t>
      </w:r>
      <w:r>
        <w:rPr>
          <w:rFonts w:ascii="Palatino Linotype" w:eastAsia="Palatino Linotype" w:hAnsi="Palatino Linotype" w:cs="Palatino Linotype"/>
          <w:color w:val="000000"/>
          <w:sz w:val="24"/>
          <w:szCs w:val="24"/>
        </w:rPr>
        <w:t xml:space="preserve"> el expediente a resolución correspondiente, por lo que: </w:t>
      </w:r>
      <w:r>
        <w:rPr>
          <w:rFonts w:ascii="Palatino Linotype" w:eastAsia="Palatino Linotype" w:hAnsi="Palatino Linotype" w:cs="Palatino Linotype"/>
          <w:sz w:val="24"/>
          <w:szCs w:val="24"/>
        </w:rPr>
        <w:t>–</w:t>
      </w:r>
    </w:p>
    <w:p w14:paraId="2E8E3AE1" w14:textId="77777777" w:rsidR="005C71B6" w:rsidRDefault="005C71B6">
      <w:pPr>
        <w:pStyle w:val="Ttulo1"/>
        <w:ind w:right="-592"/>
        <w:jc w:val="center"/>
        <w:rPr>
          <w:rFonts w:ascii="Palatino Linotype" w:eastAsia="Palatino Linotype" w:hAnsi="Palatino Linotype" w:cs="Palatino Linotype"/>
          <w:b/>
          <w:color w:val="000000"/>
          <w:sz w:val="24"/>
          <w:szCs w:val="24"/>
        </w:rPr>
      </w:pPr>
      <w:bookmarkStart w:id="3" w:name="_heading=h.o1dmp8bfekwy" w:colFirst="0" w:colLast="0"/>
      <w:bookmarkEnd w:id="3"/>
    </w:p>
    <w:p w14:paraId="21758D1A" w14:textId="77777777" w:rsidR="005C71B6" w:rsidRDefault="00A70426">
      <w:pPr>
        <w:pStyle w:val="Ttulo1"/>
        <w:ind w:right="-592"/>
        <w:jc w:val="center"/>
        <w:rPr>
          <w:rFonts w:ascii="Palatino Linotype" w:eastAsia="Palatino Linotype" w:hAnsi="Palatino Linotype" w:cs="Palatino Linotype"/>
          <w:b/>
          <w:color w:val="000000"/>
          <w:sz w:val="24"/>
          <w:szCs w:val="24"/>
        </w:rPr>
      </w:pPr>
      <w:bookmarkStart w:id="4" w:name="_heading=h.3znysh7" w:colFirst="0" w:colLast="0"/>
      <w:bookmarkEnd w:id="4"/>
      <w:r>
        <w:rPr>
          <w:rFonts w:ascii="Palatino Linotype" w:eastAsia="Palatino Linotype" w:hAnsi="Palatino Linotype" w:cs="Palatino Linotype"/>
          <w:b/>
          <w:color w:val="000000"/>
          <w:sz w:val="24"/>
          <w:szCs w:val="24"/>
        </w:rPr>
        <w:t xml:space="preserve">C O N S I D E R A N D O </w:t>
      </w:r>
    </w:p>
    <w:p w14:paraId="35B2DD3C" w14:textId="77777777" w:rsidR="005C71B6" w:rsidRDefault="005C71B6">
      <w:pPr>
        <w:ind w:right="-592"/>
        <w:rPr>
          <w:rFonts w:ascii="Palatino Linotype" w:eastAsia="Palatino Linotype" w:hAnsi="Palatino Linotype" w:cs="Palatino Linotype"/>
          <w:sz w:val="24"/>
          <w:szCs w:val="24"/>
        </w:rPr>
      </w:pPr>
    </w:p>
    <w:p w14:paraId="29DE28E1" w14:textId="77777777" w:rsidR="005C71B6" w:rsidRDefault="00A70426">
      <w:pPr>
        <w:pStyle w:val="Ttulo2"/>
        <w:ind w:right="-592"/>
        <w:rPr>
          <w:rFonts w:ascii="Palatino Linotype" w:eastAsia="Palatino Linotype" w:hAnsi="Palatino Linotype" w:cs="Palatino Linotype"/>
          <w:b/>
          <w:color w:val="000000"/>
          <w:sz w:val="24"/>
          <w:szCs w:val="24"/>
        </w:rPr>
      </w:pPr>
      <w:bookmarkStart w:id="5" w:name="_heading=h.2et92p0" w:colFirst="0" w:colLast="0"/>
      <w:bookmarkEnd w:id="5"/>
      <w:r>
        <w:rPr>
          <w:rFonts w:ascii="Palatino Linotype" w:eastAsia="Palatino Linotype" w:hAnsi="Palatino Linotype" w:cs="Palatino Linotype"/>
          <w:b/>
          <w:color w:val="000000"/>
          <w:sz w:val="24"/>
          <w:szCs w:val="24"/>
        </w:rPr>
        <w:t>PRIMERO. De la competencia</w:t>
      </w:r>
    </w:p>
    <w:p w14:paraId="4AD310A9"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w:t>
      </w:r>
      <w:r>
        <w:rPr>
          <w:rFonts w:ascii="Palatino Linotype" w:eastAsia="Palatino Linotype" w:hAnsi="Palatino Linotype" w:cs="Palatino Linotype"/>
          <w:color w:val="000000"/>
          <w:sz w:val="24"/>
          <w:szCs w:val="24"/>
        </w:rPr>
        <w:lastRenderedPageBreak/>
        <w:t>y 11 del Reglamento Interior del Instituto de Transparencia, Acceso a la Información Pública y Protección de Datos Personales del Estado de México y Municipios.</w:t>
      </w:r>
    </w:p>
    <w:p w14:paraId="1E3303D4" w14:textId="77777777" w:rsidR="005C71B6" w:rsidRDefault="005C71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2626AD17" w14:textId="77777777" w:rsidR="005C71B6" w:rsidRDefault="00A70426">
      <w:pPr>
        <w:pStyle w:val="Ttulo2"/>
        <w:ind w:right="-592"/>
        <w:rPr>
          <w:rFonts w:ascii="Palatino Linotype" w:eastAsia="Palatino Linotype" w:hAnsi="Palatino Linotype" w:cs="Palatino Linotype"/>
          <w:b/>
          <w:color w:val="000000"/>
          <w:sz w:val="24"/>
          <w:szCs w:val="24"/>
        </w:rPr>
      </w:pPr>
      <w:bookmarkStart w:id="6" w:name="_heading=h.tyjcwt" w:colFirst="0" w:colLast="0"/>
      <w:bookmarkEnd w:id="6"/>
      <w:r>
        <w:rPr>
          <w:rFonts w:ascii="Palatino Linotype" w:eastAsia="Palatino Linotype" w:hAnsi="Palatino Linotype" w:cs="Palatino Linotype"/>
          <w:b/>
          <w:color w:val="000000"/>
          <w:sz w:val="24"/>
          <w:szCs w:val="24"/>
        </w:rPr>
        <w:t>SEGUNDO. De la oportunidad y procedencia.</w:t>
      </w:r>
    </w:p>
    <w:p w14:paraId="34CB135D"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la Recurrente ante otra instancia.</w:t>
      </w:r>
    </w:p>
    <w:p w14:paraId="6DB29F9D" w14:textId="77777777" w:rsidR="005C71B6" w:rsidRDefault="005C71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78A23927"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 xml:space="preserve">Por otra parte, de la revisión al expediente electrónico del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se desprende que la parte solicitante, en ejercicio de su derecho de acceso a la información pública en el expediente que se revisa, tanto en la solicitud de información como en el recurso de revisión </w:t>
      </w:r>
      <w:r>
        <w:rPr>
          <w:rFonts w:ascii="Palatino Linotype" w:eastAsia="Palatino Linotype" w:hAnsi="Palatino Linotype" w:cs="Palatino Linotype"/>
          <w:b/>
          <w:color w:val="000000"/>
          <w:sz w:val="24"/>
          <w:szCs w:val="24"/>
        </w:rPr>
        <w:t>no proporcionó ningún nombre para ser identificado, ni se tiene certeza de su identidad</w:t>
      </w:r>
      <w:r>
        <w:rPr>
          <w:rFonts w:ascii="Palatino Linotype" w:eastAsia="Palatino Linotype" w:hAnsi="Palatino Linotype" w:cs="Palatino Linotype"/>
          <w:color w:val="000000"/>
          <w:sz w:val="24"/>
          <w:szCs w:val="24"/>
        </w:rPr>
        <w:t>; sin embargo, es importante señalar también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02777566" w14:textId="77777777" w:rsidR="005C71B6" w:rsidRDefault="005C71B6">
      <w:pPr>
        <w:pBdr>
          <w:top w:val="nil"/>
          <w:left w:val="nil"/>
          <w:bottom w:val="nil"/>
          <w:right w:val="nil"/>
          <w:between w:val="nil"/>
        </w:pBdr>
        <w:tabs>
          <w:tab w:val="left" w:pos="426"/>
        </w:tabs>
        <w:ind w:right="-592"/>
        <w:rPr>
          <w:rFonts w:ascii="Palatino Linotype" w:eastAsia="Palatino Linotype" w:hAnsi="Palatino Linotype" w:cs="Palatino Linotype"/>
          <w:color w:val="000000"/>
          <w:sz w:val="24"/>
          <w:szCs w:val="24"/>
        </w:rPr>
      </w:pPr>
    </w:p>
    <w:p w14:paraId="3BDF70A5"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 xml:space="preserve">Esto es así, ya que de conformidad con los artículos 6, Apartado A, fracciones III y IV de la Constitución Política de los Estados Unidos Mexicanos y 5, párrafos vigésimo, vigésimo primero y vigésimo segundo, fracciones IV y V, de la Constitución Política del </w:t>
      </w:r>
      <w:r>
        <w:rPr>
          <w:rFonts w:ascii="Palatino Linotype" w:eastAsia="Palatino Linotype" w:hAnsi="Palatino Linotype" w:cs="Palatino Linotype"/>
          <w:color w:val="000000"/>
          <w:sz w:val="24"/>
          <w:szCs w:val="24"/>
        </w:rPr>
        <w:lastRenderedPageBreak/>
        <w:t>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05F13254" w14:textId="77777777" w:rsidR="005C71B6" w:rsidRDefault="005C71B6">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14:paraId="11247678"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EE184AE" w14:textId="77777777" w:rsidR="005C71B6" w:rsidRDefault="005C71B6">
      <w:pPr>
        <w:pBdr>
          <w:top w:val="nil"/>
          <w:left w:val="nil"/>
          <w:bottom w:val="nil"/>
          <w:right w:val="nil"/>
          <w:between w:val="nil"/>
        </w:pBdr>
        <w:tabs>
          <w:tab w:val="left" w:pos="426"/>
        </w:tabs>
        <w:ind w:right="-592"/>
        <w:rPr>
          <w:rFonts w:ascii="Palatino Linotype" w:eastAsia="Palatino Linotype" w:hAnsi="Palatino Linotype" w:cs="Palatino Linotype"/>
          <w:color w:val="000000"/>
          <w:sz w:val="24"/>
          <w:szCs w:val="24"/>
        </w:rPr>
      </w:pPr>
    </w:p>
    <w:p w14:paraId="6CABCBB1"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15B24641" w14:textId="77777777" w:rsidR="005C71B6" w:rsidRDefault="005C71B6">
      <w:pPr>
        <w:pBdr>
          <w:top w:val="nil"/>
          <w:left w:val="nil"/>
          <w:bottom w:val="nil"/>
          <w:right w:val="nil"/>
          <w:between w:val="nil"/>
        </w:pBdr>
        <w:tabs>
          <w:tab w:val="left" w:pos="426"/>
        </w:tabs>
        <w:ind w:right="-592"/>
        <w:rPr>
          <w:rFonts w:ascii="Palatino Linotype" w:eastAsia="Palatino Linotype" w:hAnsi="Palatino Linotype" w:cs="Palatino Linotype"/>
          <w:color w:val="000000"/>
          <w:sz w:val="24"/>
          <w:szCs w:val="24"/>
        </w:rPr>
      </w:pPr>
    </w:p>
    <w:p w14:paraId="733DF650"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 xml:space="preserve">Por lo que el nombre del </w:t>
      </w:r>
      <w:r>
        <w:rPr>
          <w:rFonts w:ascii="Palatino Linotype" w:eastAsia="Palatino Linotype" w:hAnsi="Palatino Linotype" w:cs="Palatino Linotype"/>
          <w:b/>
          <w:color w:val="000000"/>
          <w:sz w:val="24"/>
          <w:szCs w:val="24"/>
        </w:rPr>
        <w:t>SOLICITANTE</w:t>
      </w:r>
      <w:r>
        <w:rPr>
          <w:rFonts w:ascii="Palatino Linotype" w:eastAsia="Palatino Linotype" w:hAnsi="Palatino Linotype" w:cs="Palatino Linotype"/>
          <w:color w:val="000000"/>
          <w:sz w:val="24"/>
          <w:szCs w:val="24"/>
        </w:rPr>
        <w:t xml:space="preserve"> y subsecuente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no puede ser considerado un requisito indispensable de procedibilidad del recurso de revisión que </w:t>
      </w:r>
      <w:r>
        <w:rPr>
          <w:rFonts w:ascii="Palatino Linotype" w:eastAsia="Palatino Linotype" w:hAnsi="Palatino Linotype" w:cs="Palatino Linotype"/>
          <w:color w:val="000000"/>
          <w:sz w:val="24"/>
          <w:szCs w:val="24"/>
        </w:rPr>
        <w:lastRenderedPageBreak/>
        <w:t xml:space="preserve">nos ocupa, ya que el acceso a la información no está condicionado a acreditar algún interés ya sea jurídico o legítimo, </w:t>
      </w:r>
      <w:r>
        <w:rPr>
          <w:rFonts w:ascii="Palatino Linotype" w:eastAsia="Palatino Linotype" w:hAnsi="Palatino Linotype" w:cs="Palatino Linotype"/>
          <w:i/>
          <w:color w:val="000000"/>
          <w:sz w:val="24"/>
          <w:szCs w:val="24"/>
        </w:rPr>
        <w:t>máxime</w:t>
      </w:r>
      <w:r>
        <w:rPr>
          <w:rFonts w:ascii="Palatino Linotype" w:eastAsia="Palatino Linotype" w:hAnsi="Palatino Linotype" w:cs="Palatino Linotype"/>
          <w:color w:val="000000"/>
          <w:sz w:val="24"/>
          <w:szCs w:val="24"/>
        </w:rPr>
        <w:t xml:space="preserve"> que es un elemento subsanable por este Órgano Resolutor.</w:t>
      </w:r>
    </w:p>
    <w:p w14:paraId="2B1F5EF0" w14:textId="77777777" w:rsidR="005C71B6" w:rsidRDefault="005C71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6D89EB09"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Finalmente, el escrito contiene las formalidades previstas por el artículo 180 último párrafo de la citada Ley de la materia, por lo que es procedente que este Instituto conozca y resuelva el presente recurso.</w:t>
      </w:r>
    </w:p>
    <w:p w14:paraId="5F0AADE8" w14:textId="77777777" w:rsidR="005C71B6" w:rsidRDefault="005C71B6">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14:paraId="37BE7E04" w14:textId="77777777" w:rsidR="005C71B6" w:rsidRDefault="00A70426">
      <w:pPr>
        <w:pStyle w:val="Ttulo1"/>
        <w:ind w:right="-592"/>
        <w:rPr>
          <w:rFonts w:ascii="Palatino Linotype" w:eastAsia="Palatino Linotype" w:hAnsi="Palatino Linotype" w:cs="Palatino Linotype"/>
          <w:b/>
          <w:color w:val="000000"/>
          <w:sz w:val="24"/>
          <w:szCs w:val="24"/>
        </w:rPr>
      </w:pPr>
      <w:bookmarkStart w:id="7" w:name="_heading=h.3dy6vkm" w:colFirst="0" w:colLast="0"/>
      <w:bookmarkEnd w:id="7"/>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p>
    <w:p w14:paraId="21F5260A"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Se solicitó tener acceso, a la información que a continuación se simplifica:</w:t>
      </w:r>
    </w:p>
    <w:p w14:paraId="54C10527" w14:textId="77777777" w:rsidR="005C71B6" w:rsidRDefault="00A70426">
      <w:pPr>
        <w:numPr>
          <w:ilvl w:val="0"/>
          <w:numId w:val="5"/>
        </w:numPr>
        <w:pBdr>
          <w:top w:val="nil"/>
          <w:left w:val="nil"/>
          <w:bottom w:val="nil"/>
          <w:right w:val="nil"/>
          <w:between w:val="nil"/>
        </w:pBdr>
        <w:ind w:left="993" w:right="25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Número de ambulancias entregadas por el Gobierno del Estado de México de los años 2015 a 2022, disgregado por año; y</w:t>
      </w:r>
    </w:p>
    <w:p w14:paraId="0BEF99DD" w14:textId="77777777" w:rsidR="005C71B6" w:rsidRDefault="005C71B6">
      <w:pPr>
        <w:pBdr>
          <w:top w:val="nil"/>
          <w:left w:val="nil"/>
          <w:bottom w:val="nil"/>
          <w:right w:val="nil"/>
          <w:between w:val="nil"/>
        </w:pBdr>
        <w:ind w:left="993" w:right="257"/>
        <w:jc w:val="both"/>
        <w:rPr>
          <w:rFonts w:ascii="Palatino Linotype" w:eastAsia="Palatino Linotype" w:hAnsi="Palatino Linotype" w:cs="Palatino Linotype"/>
          <w:b/>
          <w:color w:val="000000"/>
          <w:sz w:val="22"/>
          <w:szCs w:val="22"/>
        </w:rPr>
      </w:pPr>
    </w:p>
    <w:p w14:paraId="01EE6DF5" w14:textId="77777777" w:rsidR="005C71B6" w:rsidRDefault="00A70426">
      <w:pPr>
        <w:numPr>
          <w:ilvl w:val="0"/>
          <w:numId w:val="5"/>
        </w:numPr>
        <w:pBdr>
          <w:top w:val="nil"/>
          <w:left w:val="nil"/>
          <w:bottom w:val="nil"/>
          <w:right w:val="nil"/>
          <w:between w:val="nil"/>
        </w:pBdr>
        <w:ind w:left="993" w:right="257"/>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2"/>
          <w:szCs w:val="22"/>
        </w:rPr>
        <w:t>Número de ambulancias funcionales a la fecha de la solicitud</w:t>
      </w:r>
      <w:r>
        <w:rPr>
          <w:rFonts w:ascii="Palatino Linotype" w:eastAsia="Palatino Linotype" w:hAnsi="Palatino Linotype" w:cs="Palatino Linotype"/>
          <w:b/>
          <w:color w:val="000000"/>
          <w:sz w:val="24"/>
          <w:szCs w:val="24"/>
        </w:rPr>
        <w:t>.</w:t>
      </w:r>
    </w:p>
    <w:p w14:paraId="32FD0C19" w14:textId="77777777" w:rsidR="005C71B6" w:rsidRDefault="005C71B6">
      <w:pPr>
        <w:pBdr>
          <w:top w:val="nil"/>
          <w:left w:val="nil"/>
          <w:bottom w:val="nil"/>
          <w:right w:val="nil"/>
          <w:between w:val="nil"/>
        </w:pBdr>
        <w:ind w:left="778" w:right="-592"/>
        <w:jc w:val="both"/>
        <w:rPr>
          <w:rFonts w:ascii="Palatino Linotype" w:eastAsia="Palatino Linotype" w:hAnsi="Palatino Linotype" w:cs="Palatino Linotype"/>
          <w:b/>
          <w:color w:val="000000"/>
          <w:sz w:val="24"/>
          <w:szCs w:val="24"/>
        </w:rPr>
      </w:pPr>
    </w:p>
    <w:p w14:paraId="30C5E87D"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 xml:space="preserve">En respuesta,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sz w:val="24"/>
          <w:szCs w:val="24"/>
        </w:rPr>
        <w:t>señaló</w:t>
      </w:r>
      <w:r>
        <w:rPr>
          <w:rFonts w:ascii="Palatino Linotype" w:eastAsia="Palatino Linotype" w:hAnsi="Palatino Linotype" w:cs="Palatino Linotype"/>
          <w:color w:val="000000"/>
          <w:sz w:val="24"/>
          <w:szCs w:val="24"/>
        </w:rPr>
        <w:t xml:space="preserve"> que se </w:t>
      </w:r>
      <w:r>
        <w:rPr>
          <w:rFonts w:ascii="Palatino Linotype" w:eastAsia="Palatino Linotype" w:hAnsi="Palatino Linotype" w:cs="Palatino Linotype"/>
          <w:sz w:val="24"/>
          <w:szCs w:val="24"/>
        </w:rPr>
        <w:t>remitió</w:t>
      </w:r>
      <w:r>
        <w:rPr>
          <w:rFonts w:ascii="Palatino Linotype" w:eastAsia="Palatino Linotype" w:hAnsi="Palatino Linotype" w:cs="Palatino Linotype"/>
          <w:color w:val="000000"/>
          <w:sz w:val="24"/>
          <w:szCs w:val="24"/>
        </w:rPr>
        <w:t xml:space="preserve"> la información en formato PDF. Inconforme con la respuesta, se interpuso recurso de revisión impugnando sustancialmente la entrega de información incompleta; toda vez que no se </w:t>
      </w:r>
      <w:r>
        <w:rPr>
          <w:rFonts w:ascii="Palatino Linotype" w:eastAsia="Palatino Linotype" w:hAnsi="Palatino Linotype" w:cs="Palatino Linotype"/>
          <w:sz w:val="24"/>
          <w:szCs w:val="24"/>
        </w:rPr>
        <w:t>advertía</w:t>
      </w:r>
      <w:r>
        <w:rPr>
          <w:rFonts w:ascii="Palatino Linotype" w:eastAsia="Palatino Linotype" w:hAnsi="Palatino Linotype" w:cs="Palatino Linotype"/>
          <w:color w:val="000000"/>
          <w:sz w:val="24"/>
          <w:szCs w:val="24"/>
        </w:rPr>
        <w:t xml:space="preserve"> el anexo que se adujo remitir.</w:t>
      </w:r>
    </w:p>
    <w:p w14:paraId="3374BFE1" w14:textId="77777777" w:rsidR="005C71B6" w:rsidRDefault="005C71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20F1E49F"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En dichas condiciones, la controversia a resolver en el presente proveído, corresponde a determinar si se actualiza la causal de procedencia prevista en el artículo 179, fracción I</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de la Ley de Transparencia y Acceso a la Información Pública del Estado de</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México</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Municipios; fracción que determina las hipótesis relativa a la  negativa de la </w:t>
      </w:r>
      <w:r>
        <w:rPr>
          <w:rFonts w:ascii="Palatino Linotype" w:eastAsia="Palatino Linotype" w:hAnsi="Palatino Linotype" w:cs="Palatino Linotype"/>
          <w:color w:val="000000"/>
          <w:sz w:val="24"/>
          <w:szCs w:val="24"/>
        </w:rPr>
        <w:lastRenderedPageBreak/>
        <w:t>entrega de la información; contexto del cual se dolió la Recurrente al momento de interponer su inconformidad. De modo tal que el presente recurso de revisión se abocará en determinar si el Sujeto Obligado con su respuesta ciertamente actualiza las causales de procedencia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señaladas. </w:t>
      </w:r>
    </w:p>
    <w:p w14:paraId="7ADC5EFB" w14:textId="77777777" w:rsidR="005C71B6" w:rsidRDefault="005C71B6">
      <w:pPr>
        <w:spacing w:line="360" w:lineRule="auto"/>
        <w:ind w:right="-592"/>
        <w:jc w:val="both"/>
        <w:rPr>
          <w:rFonts w:ascii="Palatino Linotype" w:eastAsia="Palatino Linotype" w:hAnsi="Palatino Linotype" w:cs="Palatino Linotype"/>
          <w:sz w:val="24"/>
          <w:szCs w:val="24"/>
        </w:rPr>
      </w:pPr>
    </w:p>
    <w:p w14:paraId="7334BE5D" w14:textId="77777777" w:rsidR="005C71B6" w:rsidRDefault="00A70426">
      <w:pPr>
        <w:pStyle w:val="Ttulo2"/>
        <w:spacing w:before="0" w:line="360" w:lineRule="auto"/>
        <w:ind w:right="-592"/>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CUARTA. Estudio de la controversia.</w:t>
      </w:r>
    </w:p>
    <w:p w14:paraId="4977E74D"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w:t>
      </w:r>
      <w:r>
        <w:rPr>
          <w:rFonts w:ascii="Palatino Linotype" w:eastAsia="Palatino Linotype" w:hAnsi="Palatino Linotype" w:cs="Palatino Linotype"/>
          <w:b/>
          <w:color w:val="000000"/>
          <w:sz w:val="24"/>
          <w:szCs w:val="24"/>
        </w:rPr>
        <w:t>deberán documentar todo acto que derive del ejercicio de sus facultades, competencias o funciones desde su origen la eventual publicidad y reutilización de la información que generen</w:t>
      </w:r>
      <w:r>
        <w:rPr>
          <w:rFonts w:ascii="Palatino Linotype" w:eastAsia="Palatino Linotype" w:hAnsi="Palatino Linotype" w:cs="Palatino Linotype"/>
          <w:color w:val="000000"/>
          <w:sz w:val="24"/>
          <w:szCs w:val="24"/>
        </w:rPr>
        <w:t>.</w:t>
      </w:r>
    </w:p>
    <w:p w14:paraId="17F15602" w14:textId="77777777" w:rsidR="005C71B6" w:rsidRDefault="005C71B6">
      <w:pPr>
        <w:spacing w:line="360" w:lineRule="auto"/>
        <w:ind w:right="-592"/>
        <w:jc w:val="both"/>
        <w:rPr>
          <w:rFonts w:ascii="Palatino Linotype" w:eastAsia="Palatino Linotype" w:hAnsi="Palatino Linotype" w:cs="Palatino Linotype"/>
          <w:sz w:val="24"/>
          <w:szCs w:val="24"/>
        </w:rPr>
      </w:pPr>
    </w:p>
    <w:p w14:paraId="207D46D2"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112B3B2" w14:textId="77777777" w:rsidR="005C71B6" w:rsidRDefault="005C71B6">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14:paraId="45845921"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015C19F0" w14:textId="77777777" w:rsidR="005C71B6" w:rsidRDefault="005C71B6">
      <w:pPr>
        <w:pBdr>
          <w:top w:val="nil"/>
          <w:left w:val="nil"/>
          <w:bottom w:val="nil"/>
          <w:right w:val="nil"/>
          <w:between w:val="nil"/>
        </w:pBdr>
        <w:spacing w:line="360" w:lineRule="auto"/>
        <w:ind w:left="720" w:right="-592"/>
        <w:jc w:val="both"/>
        <w:rPr>
          <w:rFonts w:ascii="Palatino Linotype" w:eastAsia="Palatino Linotype" w:hAnsi="Palatino Linotype" w:cs="Palatino Linotype"/>
          <w:sz w:val="24"/>
          <w:szCs w:val="24"/>
        </w:rPr>
      </w:pPr>
    </w:p>
    <w:p w14:paraId="455BCE0D" w14:textId="77777777" w:rsidR="005C71B6" w:rsidRDefault="005C71B6">
      <w:pPr>
        <w:pBdr>
          <w:top w:val="nil"/>
          <w:left w:val="nil"/>
          <w:bottom w:val="nil"/>
          <w:right w:val="nil"/>
          <w:between w:val="nil"/>
        </w:pBdr>
        <w:spacing w:line="360" w:lineRule="auto"/>
        <w:ind w:left="720" w:right="-592"/>
        <w:jc w:val="both"/>
        <w:rPr>
          <w:rFonts w:ascii="Palatino Linotype" w:eastAsia="Palatino Linotype" w:hAnsi="Palatino Linotype" w:cs="Palatino Linotype"/>
          <w:sz w:val="24"/>
          <w:szCs w:val="24"/>
        </w:rPr>
      </w:pPr>
    </w:p>
    <w:p w14:paraId="6DFC9599" w14:textId="77777777" w:rsidR="005C71B6" w:rsidRDefault="00A70426">
      <w:pPr>
        <w:numPr>
          <w:ilvl w:val="0"/>
          <w:numId w:val="6"/>
        </w:num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De la respuesta emitida</w:t>
      </w:r>
    </w:p>
    <w:p w14:paraId="0E0401D3" w14:textId="77777777" w:rsidR="005C71B6" w:rsidRDefault="00A70426">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Una vez mencionado lo anterior, es necesario de manera inicial recordar los motivos de inconformidad; los cuales versaron en la entrega de información incompleta porque en la respuesta emitida no se adjuntó el anexo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mencionó que se remitía; motivo de inconformidad que resulta procedente, toda vez que de las constancias que obran en el expediente electrónico en que se actúa, se advierte que ciertamente se omitió adjuntar dicha documental, contexto que pudo ser subsanado en calidad de informe justificado, sin embargo el Sujeto Obligado fue omiso en emitirlo.</w:t>
      </w:r>
    </w:p>
    <w:p w14:paraId="4AC6BD37" w14:textId="77777777" w:rsidR="005C71B6" w:rsidRDefault="005C71B6">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4"/>
          <w:szCs w:val="24"/>
        </w:rPr>
      </w:pPr>
    </w:p>
    <w:p w14:paraId="4555BE59"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lastRenderedPageBreak/>
        <w:t xml:space="preserve">Por otro lado, si bien es cierto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aduce remitir la información, no es motivo suficiente para concluir que asume que si cuenta con la información a efecto de ordenarla sin que medie análisis alguno o se contemple una salvedad para el caso de no contar con ella.</w:t>
      </w:r>
    </w:p>
    <w:p w14:paraId="05742E3C" w14:textId="77777777" w:rsidR="005C71B6" w:rsidRDefault="005C71B6">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4"/>
          <w:szCs w:val="24"/>
        </w:rPr>
      </w:pPr>
    </w:p>
    <w:p w14:paraId="551E555D"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Luego entonces, la solicitud no versó en conocer el número total de ambulancias con que cuenta el Ayuntamiento; sino únicamente aquellas que hayan sido entregadas específicamente por el Gobierno del Estado de México de los años 2015 a 2022, las cuales de existir, evidentemente debieron ser en carácter de donación.</w:t>
      </w:r>
    </w:p>
    <w:p w14:paraId="07BDB904" w14:textId="77777777" w:rsidR="005C71B6" w:rsidRDefault="005C71B6">
      <w:pPr>
        <w:pBdr>
          <w:top w:val="nil"/>
          <w:left w:val="nil"/>
          <w:bottom w:val="nil"/>
          <w:right w:val="nil"/>
          <w:between w:val="nil"/>
        </w:pBdr>
        <w:spacing w:line="360" w:lineRule="auto"/>
        <w:ind w:left="644" w:right="-592"/>
        <w:jc w:val="both"/>
        <w:rPr>
          <w:rFonts w:ascii="Palatino Linotype" w:eastAsia="Palatino Linotype" w:hAnsi="Palatino Linotype" w:cs="Palatino Linotype"/>
          <w:sz w:val="24"/>
          <w:szCs w:val="24"/>
        </w:rPr>
      </w:pPr>
    </w:p>
    <w:p w14:paraId="146F74F8"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 xml:space="preserve">Al respecto, la legislación sustantiva civil lo define en el artículo 7.610, como un contrato, por virtud del cual una persona llamada donante, transfiere, en forma gratuita, una parte de sus bienes presentes, a otra llamada donataria quien acepta dicha liberalidad. </w:t>
      </w:r>
    </w:p>
    <w:p w14:paraId="12E70F82" w14:textId="77777777" w:rsidR="005C71B6" w:rsidRDefault="005C71B6">
      <w:pPr>
        <w:spacing w:line="360" w:lineRule="auto"/>
        <w:ind w:right="-592"/>
        <w:rPr>
          <w:rFonts w:ascii="Palatino Linotype" w:eastAsia="Palatino Linotype" w:hAnsi="Palatino Linotype" w:cs="Palatino Linotype"/>
          <w:sz w:val="24"/>
          <w:szCs w:val="24"/>
        </w:rPr>
      </w:pPr>
    </w:p>
    <w:p w14:paraId="454AB7A8"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Se identifican 3 clases de donaciones, de conformidad al artículo 7.611 del referido código, la donación pura, condicional y con carga o remuneratoria, esta solo puede tener lugar entre personas vivas, puede ser verbal o escrita. Para efectos de determinar si la donación puede ser verbal u obligatoriamente debe existir documento soporte, estamos a lo contemplado en los artículos 7.618 y 7.619 que a la letra señalan:</w:t>
      </w:r>
    </w:p>
    <w:p w14:paraId="5E74822B" w14:textId="77777777" w:rsidR="005C71B6" w:rsidRDefault="00A70426">
      <w:pPr>
        <w:ind w:left="567" w:right="399"/>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Donación verbal</w:t>
      </w:r>
    </w:p>
    <w:p w14:paraId="36B2992B" w14:textId="77777777" w:rsidR="005C71B6" w:rsidRDefault="00A70426">
      <w:pPr>
        <w:ind w:left="567" w:right="399"/>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7.618. Sólo puede hacerse donación verbal de bienes muebles, cuyo valor no exceda de cien veces el valor diario de la Unidad de Medida y Actualización vigente, debe hacerse </w:t>
      </w:r>
      <w:r>
        <w:rPr>
          <w:rFonts w:ascii="Palatino Linotype" w:eastAsia="Palatino Linotype" w:hAnsi="Palatino Linotype" w:cs="Palatino Linotype"/>
          <w:i/>
          <w:sz w:val="22"/>
          <w:szCs w:val="22"/>
        </w:rPr>
        <w:lastRenderedPageBreak/>
        <w:t xml:space="preserve">por escrito. Si excede de la suma mencionada la donación deberá hacerse en escritura pública. </w:t>
      </w:r>
    </w:p>
    <w:p w14:paraId="7CAACF86" w14:textId="77777777" w:rsidR="005C71B6" w:rsidRDefault="005C71B6">
      <w:pPr>
        <w:ind w:left="567" w:right="399"/>
        <w:rPr>
          <w:rFonts w:ascii="Palatino Linotype" w:eastAsia="Palatino Linotype" w:hAnsi="Palatino Linotype" w:cs="Palatino Linotype"/>
          <w:i/>
          <w:sz w:val="22"/>
          <w:szCs w:val="22"/>
        </w:rPr>
      </w:pPr>
    </w:p>
    <w:p w14:paraId="3FE83DC4" w14:textId="77777777" w:rsidR="005C71B6" w:rsidRDefault="00A70426">
      <w:pPr>
        <w:ind w:left="567" w:right="399"/>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Donación que requiere forma escrita</w:t>
      </w:r>
    </w:p>
    <w:p w14:paraId="4B966C3B" w14:textId="77777777" w:rsidR="005C71B6" w:rsidRDefault="00A70426">
      <w:pPr>
        <w:ind w:left="567" w:right="399"/>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7.619. Si el valor de los muebles excede de la cantidad señalada en el artículo anterior, pero no excede de quinientas veces el valor diario de la Unidad de Medida y Actualización vigente, debe hacerse por escrito. Si excede de la suma mencionada la donación deberá hacerse en escritura pública.</w:t>
      </w:r>
    </w:p>
    <w:p w14:paraId="64C30014" w14:textId="77777777" w:rsidR="005C71B6" w:rsidRDefault="005C71B6">
      <w:pPr>
        <w:spacing w:line="360" w:lineRule="auto"/>
        <w:ind w:right="-592"/>
        <w:rPr>
          <w:rFonts w:ascii="Palatino Linotype" w:eastAsia="Palatino Linotype" w:hAnsi="Palatino Linotype" w:cs="Palatino Linotype"/>
          <w:i/>
          <w:sz w:val="24"/>
          <w:szCs w:val="24"/>
        </w:rPr>
      </w:pPr>
    </w:p>
    <w:p w14:paraId="27E6E7A4"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 xml:space="preserve">En este contexto, los sujetos obligados, se encuentran con la capacidad de signar contratos y convenios, a través de la persona designada para </w:t>
      </w:r>
      <w:r>
        <w:rPr>
          <w:rFonts w:ascii="Palatino Linotype" w:eastAsia="Palatino Linotype" w:hAnsi="Palatino Linotype" w:cs="Palatino Linotype"/>
          <w:sz w:val="24"/>
          <w:szCs w:val="24"/>
        </w:rPr>
        <w:t>estos</w:t>
      </w:r>
      <w:r>
        <w:rPr>
          <w:rFonts w:ascii="Palatino Linotype" w:eastAsia="Palatino Linotype" w:hAnsi="Palatino Linotype" w:cs="Palatino Linotype"/>
          <w:color w:val="000000"/>
          <w:sz w:val="24"/>
          <w:szCs w:val="24"/>
        </w:rPr>
        <w:t xml:space="preserve"> efectos, dichas donaciones </w:t>
      </w:r>
      <w:r>
        <w:rPr>
          <w:rFonts w:ascii="Palatino Linotype" w:eastAsia="Palatino Linotype" w:hAnsi="Palatino Linotype" w:cs="Palatino Linotype"/>
          <w:sz w:val="24"/>
          <w:szCs w:val="24"/>
        </w:rPr>
        <w:t>formarán</w:t>
      </w:r>
      <w:r>
        <w:rPr>
          <w:rFonts w:ascii="Palatino Linotype" w:eastAsia="Palatino Linotype" w:hAnsi="Palatino Linotype" w:cs="Palatino Linotype"/>
          <w:color w:val="000000"/>
          <w:sz w:val="24"/>
          <w:szCs w:val="24"/>
        </w:rPr>
        <w:t xml:space="preserve"> parte del patrimonio municipal, como lo prevé el artículo 43 del Bando Municipal del Ayuntamiento de Texcoco, a saber;</w:t>
      </w:r>
    </w:p>
    <w:p w14:paraId="60515964" w14:textId="77777777" w:rsidR="005C71B6" w:rsidRDefault="00A70426">
      <w:pPr>
        <w:pBdr>
          <w:top w:val="nil"/>
          <w:left w:val="nil"/>
          <w:bottom w:val="nil"/>
          <w:right w:val="nil"/>
          <w:between w:val="nil"/>
        </w:pBdr>
        <w:ind w:left="425"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i/>
          <w:color w:val="000000"/>
          <w:sz w:val="22"/>
          <w:szCs w:val="22"/>
        </w:rPr>
        <w:t xml:space="preserve">Artículo 43. Los ingresos que constituyen la Hacienda Pública Municipal, son los siguientes: </w:t>
      </w:r>
    </w:p>
    <w:p w14:paraId="2BDF30DD" w14:textId="77777777" w:rsidR="005C71B6" w:rsidRDefault="00A70426">
      <w:pPr>
        <w:pBdr>
          <w:top w:val="nil"/>
          <w:left w:val="nil"/>
          <w:bottom w:val="nil"/>
          <w:right w:val="nil"/>
          <w:between w:val="nil"/>
        </w:pBdr>
        <w:ind w:left="425"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Las contribuciones y demás ingresos determinados en la Ley de Ingresos de los Municipios, los que decrete la Legislatura y otros que por cualquier título legal reciba; II. Los capitales y créditos a favor del Municipio, así como los intereses y productos que generen los mismos; </w:t>
      </w:r>
    </w:p>
    <w:p w14:paraId="2C625877" w14:textId="77777777" w:rsidR="005C71B6" w:rsidRDefault="00A70426">
      <w:pPr>
        <w:pBdr>
          <w:top w:val="nil"/>
          <w:left w:val="nil"/>
          <w:bottom w:val="nil"/>
          <w:right w:val="nil"/>
          <w:between w:val="nil"/>
        </w:pBdr>
        <w:ind w:left="425"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Las rentas y productos de todos los bienes municipales, y </w:t>
      </w:r>
    </w:p>
    <w:p w14:paraId="53E8A053" w14:textId="77777777" w:rsidR="005C71B6" w:rsidRDefault="00A70426">
      <w:pPr>
        <w:pBdr>
          <w:top w:val="nil"/>
          <w:left w:val="nil"/>
          <w:bottom w:val="nil"/>
          <w:right w:val="nil"/>
          <w:between w:val="nil"/>
        </w:pBdr>
        <w:ind w:left="425" w:right="11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IV. Las donaciones, herencias y legados que reciba, y las participaciones que percibe el Municipio de acuerdo con las Leyes Federales y del Estado.”</w:t>
      </w:r>
    </w:p>
    <w:p w14:paraId="1E5B7ADA" w14:textId="77777777" w:rsidR="005C71B6" w:rsidRDefault="005C71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3684C9D9"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En ese sentido, la Hacienda Pública es el conjunto de recursos financieros y patrimoniales que gestiona el Ayuntamiento para cumplir con sus funciones y garantizar el bienestar de los habitantes del Municipio y, será administrada por la Tesorería Municipal de conformidad al Bando de referencia como se aprecia:</w:t>
      </w:r>
    </w:p>
    <w:p w14:paraId="1F405CB4" w14:textId="77777777" w:rsidR="005C71B6" w:rsidRDefault="00A70426">
      <w:pPr>
        <w:ind w:left="425"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34. La Tesorería Municipal es la dependencia administrativa facultada para gestionar, recaudar y administrar la Hacienda Pública Municipal por medio de las Direcciones de Ingresos y Egresos, apoyadas por las áreas de Contabilidad, Cuenta Pública y Fiscalización.”</w:t>
      </w:r>
    </w:p>
    <w:p w14:paraId="03313B30" w14:textId="77777777" w:rsidR="005C71B6" w:rsidRDefault="005C71B6">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14:paraId="12B85318"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En ese contexto, se advierte que las unidades administrativas citadas, pueden de manera enunciativa más no limitativa atender la solicitud de información.</w:t>
      </w:r>
    </w:p>
    <w:p w14:paraId="44586B1B" w14:textId="77777777" w:rsidR="005C71B6" w:rsidRDefault="005C71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0F11BBCF"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 xml:space="preserve">Señalado lo anterior, también resulta oportuno traer a contexto lo establecido en la fracción XXXVIII del artículo 92 de la Ley de Transparencia y Acceso a la Información Pública </w:t>
      </w:r>
      <w:r>
        <w:rPr>
          <w:rFonts w:ascii="Palatino Linotype" w:eastAsia="Palatino Linotype" w:hAnsi="Palatino Linotype" w:cs="Palatino Linotype"/>
          <w:sz w:val="24"/>
          <w:szCs w:val="24"/>
        </w:rPr>
        <w:t>del Estado</w:t>
      </w:r>
      <w:r>
        <w:rPr>
          <w:rFonts w:ascii="Palatino Linotype" w:eastAsia="Palatino Linotype" w:hAnsi="Palatino Linotype" w:cs="Palatino Linotype"/>
          <w:color w:val="000000"/>
          <w:sz w:val="24"/>
          <w:szCs w:val="24"/>
        </w:rPr>
        <w:t xml:space="preserve"> de México y Municipios; precepto que describe la información documental que el sujeto obligado debe poseer y en su caso generar, toda vez que dicha información debe ser </w:t>
      </w:r>
      <w:r>
        <w:rPr>
          <w:rFonts w:ascii="Palatino Linotype" w:eastAsia="Palatino Linotype" w:hAnsi="Palatino Linotype" w:cs="Palatino Linotype"/>
          <w:sz w:val="24"/>
          <w:szCs w:val="24"/>
        </w:rPr>
        <w:t>pública</w:t>
      </w:r>
      <w:r>
        <w:rPr>
          <w:rFonts w:ascii="Palatino Linotype" w:eastAsia="Palatino Linotype" w:hAnsi="Palatino Linotype" w:cs="Palatino Linotype"/>
          <w:color w:val="000000"/>
          <w:sz w:val="24"/>
          <w:szCs w:val="24"/>
        </w:rPr>
        <w:t xml:space="preserve"> y accesible de manera permanente a cualquier persona, así dicho artículo establece que el inventario de bienes muebles e inmuebles en posesión y propiedad de los sujetos obligados, constituye una obligación de transparencia, y por ende, estos deberán poner a disposición del público de manera permanente y actualizada de forma sencilla, precisa y entendible, en los respectivos medios electrónicos, como se advierte enseguida: </w:t>
      </w:r>
    </w:p>
    <w:p w14:paraId="365EB53D" w14:textId="77777777" w:rsidR="005C71B6" w:rsidRDefault="00A70426">
      <w:pPr>
        <w:widowControl w:val="0"/>
        <w:pBdr>
          <w:top w:val="nil"/>
          <w:left w:val="nil"/>
          <w:bottom w:val="nil"/>
          <w:right w:val="nil"/>
          <w:between w:val="nil"/>
        </w:pBdr>
        <w:spacing w:line="256" w:lineRule="auto"/>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92</w:t>
      </w:r>
      <w:r>
        <w:rPr>
          <w:rFonts w:ascii="Palatino Linotype" w:eastAsia="Palatino Linotype" w:hAnsi="Palatino Linotype" w:cs="Palatino Linotype"/>
          <w:i/>
          <w:color w:val="000000"/>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A5BB21C" w14:textId="77777777" w:rsidR="005C71B6" w:rsidRDefault="00A70426">
      <w:pPr>
        <w:widowControl w:val="0"/>
        <w:pBdr>
          <w:top w:val="nil"/>
          <w:left w:val="nil"/>
          <w:bottom w:val="nil"/>
          <w:right w:val="nil"/>
          <w:between w:val="nil"/>
        </w:pBdr>
        <w:spacing w:line="256" w:lineRule="auto"/>
        <w:ind w:left="644"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color w:val="000000"/>
          <w:sz w:val="22"/>
          <w:szCs w:val="22"/>
        </w:rPr>
        <w:t xml:space="preserve"> </w:t>
      </w:r>
    </w:p>
    <w:p w14:paraId="5ACCCAEA" w14:textId="77777777" w:rsidR="005C71B6" w:rsidRDefault="00A70426">
      <w:pPr>
        <w:widowControl w:val="0"/>
        <w:pBdr>
          <w:top w:val="nil"/>
          <w:left w:val="nil"/>
          <w:bottom w:val="nil"/>
          <w:right w:val="nil"/>
          <w:between w:val="nil"/>
        </w:pBdr>
        <w:spacing w:line="256" w:lineRule="auto"/>
        <w:ind w:left="644" w:right="25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XXXVIII. El inventario de bienes muebles </w:t>
      </w:r>
      <w:r>
        <w:rPr>
          <w:rFonts w:ascii="Palatino Linotype" w:eastAsia="Palatino Linotype" w:hAnsi="Palatino Linotype" w:cs="Palatino Linotype"/>
          <w:i/>
          <w:color w:val="000000"/>
          <w:sz w:val="22"/>
          <w:szCs w:val="22"/>
        </w:rPr>
        <w:t>e inmuebles</w:t>
      </w:r>
      <w:r>
        <w:rPr>
          <w:rFonts w:ascii="Palatino Linotype" w:eastAsia="Palatino Linotype" w:hAnsi="Palatino Linotype" w:cs="Palatino Linotype"/>
          <w:b/>
          <w:i/>
          <w:color w:val="000000"/>
          <w:sz w:val="22"/>
          <w:szCs w:val="22"/>
        </w:rPr>
        <w:t xml:space="preserve"> en posesión y propiedad;</w:t>
      </w:r>
    </w:p>
    <w:p w14:paraId="7D915EAD" w14:textId="77777777" w:rsidR="005C71B6" w:rsidRDefault="00A70426">
      <w:pPr>
        <w:widowControl w:val="0"/>
        <w:pBdr>
          <w:top w:val="nil"/>
          <w:left w:val="nil"/>
          <w:bottom w:val="nil"/>
          <w:right w:val="nil"/>
          <w:between w:val="nil"/>
        </w:pBdr>
        <w:spacing w:line="256" w:lineRule="auto"/>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CEA13B9" w14:textId="77777777" w:rsidR="005C71B6" w:rsidRDefault="00A70426">
      <w:pPr>
        <w:widowControl w:val="0"/>
        <w:pBdr>
          <w:top w:val="nil"/>
          <w:left w:val="nil"/>
          <w:bottom w:val="nil"/>
          <w:right w:val="nil"/>
          <w:between w:val="nil"/>
        </w:pBdr>
        <w:spacing w:line="256" w:lineRule="auto"/>
        <w:ind w:left="644" w:right="25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(Énfasis añadido) </w:t>
      </w:r>
    </w:p>
    <w:p w14:paraId="4B038A3B" w14:textId="77777777" w:rsidR="005C71B6" w:rsidRDefault="005C71B6">
      <w:pPr>
        <w:pBdr>
          <w:top w:val="nil"/>
          <w:left w:val="nil"/>
          <w:bottom w:val="nil"/>
          <w:right w:val="nil"/>
          <w:between w:val="nil"/>
        </w:pBdr>
        <w:ind w:left="644" w:right="-592"/>
        <w:rPr>
          <w:rFonts w:ascii="Palatino Linotype" w:eastAsia="Palatino Linotype" w:hAnsi="Palatino Linotype" w:cs="Palatino Linotype"/>
          <w:color w:val="000000"/>
          <w:sz w:val="24"/>
          <w:szCs w:val="24"/>
        </w:rPr>
      </w:pPr>
    </w:p>
    <w:p w14:paraId="61DAD418" w14:textId="77777777" w:rsidR="005C71B6" w:rsidRDefault="005C71B6">
      <w:pPr>
        <w:pBdr>
          <w:top w:val="nil"/>
          <w:left w:val="nil"/>
          <w:bottom w:val="nil"/>
          <w:right w:val="nil"/>
          <w:between w:val="nil"/>
        </w:pBdr>
        <w:ind w:left="644" w:right="-592"/>
        <w:rPr>
          <w:rFonts w:ascii="Palatino Linotype" w:eastAsia="Palatino Linotype" w:hAnsi="Palatino Linotype" w:cs="Palatino Linotype"/>
          <w:color w:val="000000"/>
          <w:sz w:val="24"/>
          <w:szCs w:val="24"/>
        </w:rPr>
      </w:pPr>
    </w:p>
    <w:p w14:paraId="230794AE"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lastRenderedPageBreak/>
        <w:t xml:space="preserve">Información que deberá ser publicada en atención a los </w:t>
      </w:r>
      <w:r>
        <w:rPr>
          <w:rFonts w:ascii="Palatino Linotype" w:eastAsia="Palatino Linotype" w:hAnsi="Palatino Linotype" w:cs="Palatino Linotype"/>
          <w:i/>
          <w:color w:val="000000"/>
          <w:sz w:val="24"/>
          <w:szCs w:val="24"/>
        </w:rPr>
        <w:t xml:space="preserve">“Lineamientos Técnicos Generales </w:t>
      </w:r>
      <w:r>
        <w:rPr>
          <w:rFonts w:ascii="Palatino Linotype" w:eastAsia="Palatino Linotype" w:hAnsi="Palatino Linotype" w:cs="Palatino Linotype"/>
          <w:color w:val="000000"/>
          <w:sz w:val="24"/>
          <w:szCs w:val="24"/>
        </w:rPr>
        <w:t>para</w:t>
      </w:r>
      <w:r>
        <w:rPr>
          <w:rFonts w:ascii="Palatino Linotype" w:eastAsia="Palatino Linotype" w:hAnsi="Palatino Linotype" w:cs="Palatino Linotype"/>
          <w:i/>
          <w:color w:val="000000"/>
          <w:sz w:val="24"/>
          <w:szCs w:val="24"/>
        </w:rPr>
        <w:t xml:space="preserve"> la Publicación, Homologación y Estandarización de la Información de las Obligaciones establecidas en el Título Quinto y en la Fracción IV, del artículo 31, de la Ley General de Transparencia y Acceso a la Información Pública, que deberán difundir los Sujetos Obligados en los Portales de Internet y en la Plataforma Nacional de Transparencia”</w:t>
      </w:r>
      <w:r>
        <w:rPr>
          <w:rFonts w:ascii="Palatino Linotype" w:eastAsia="Palatino Linotype" w:hAnsi="Palatino Linotype" w:cs="Palatino Linotype"/>
          <w:color w:val="000000"/>
          <w:sz w:val="24"/>
          <w:szCs w:val="24"/>
        </w:rPr>
        <w:t xml:space="preserve">, que en su </w:t>
      </w:r>
      <w:r>
        <w:rPr>
          <w:rFonts w:ascii="Palatino Linotype" w:eastAsia="Palatino Linotype" w:hAnsi="Palatino Linotype" w:cs="Palatino Linotype"/>
          <w:i/>
          <w:color w:val="000000"/>
          <w:sz w:val="24"/>
          <w:szCs w:val="24"/>
        </w:rPr>
        <w:t>“Anexo I”</w:t>
      </w:r>
      <w:r>
        <w:rPr>
          <w:rFonts w:ascii="Palatino Linotype" w:eastAsia="Palatino Linotype" w:hAnsi="Palatino Linotype" w:cs="Palatino Linotype"/>
          <w:color w:val="000000"/>
          <w:sz w:val="24"/>
          <w:szCs w:val="24"/>
        </w:rPr>
        <w:t xml:space="preserve">, relacionado con artículo 70, de la Ley General de Transparencia, de forma análoga prevé en su fracción XXXIV, el inventario de bienes muebles e inmuebles en posesión y propiedad; respecto de la cual define la forma y criterios en que deberá ser publicada por los Sujetos Obligados, que en lo que al presente estudio interesa establece en sus “Criterios sustantivos de contenido” la información siguiente: </w:t>
      </w:r>
    </w:p>
    <w:p w14:paraId="74DFA9A1"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XXXIV</w:t>
      </w:r>
      <w:r>
        <w:rPr>
          <w:rFonts w:ascii="Palatino Linotype" w:eastAsia="Palatino Linotype" w:hAnsi="Palatino Linotype" w:cs="Palatino Linotype"/>
          <w:i/>
          <w:color w:val="000000"/>
          <w:sz w:val="22"/>
          <w:szCs w:val="22"/>
        </w:rPr>
        <w:t xml:space="preserve">. El inventario de </w:t>
      </w:r>
      <w:r>
        <w:rPr>
          <w:rFonts w:ascii="Palatino Linotype" w:eastAsia="Palatino Linotype" w:hAnsi="Palatino Linotype" w:cs="Palatino Linotype"/>
          <w:b/>
          <w:i/>
          <w:color w:val="000000"/>
          <w:sz w:val="22"/>
          <w:szCs w:val="22"/>
        </w:rPr>
        <w:t>bienes muebles</w:t>
      </w:r>
      <w:r>
        <w:rPr>
          <w:rFonts w:ascii="Palatino Linotype" w:eastAsia="Palatino Linotype" w:hAnsi="Palatino Linotype" w:cs="Palatino Linotype"/>
          <w:i/>
          <w:color w:val="000000"/>
          <w:sz w:val="22"/>
          <w:szCs w:val="22"/>
        </w:rPr>
        <w:t xml:space="preserve"> e inmuebles en posesión y propiedad Todos los sujetos obligados publicarán el inventario de bienes muebles e inmuebles que utilicen, tengan a su cargo y/o les hayan sido asignados para el ejercicio de sus funciones; que destinen a un servicio público conforme a la normatividad aplicable o por cualquier concepto, </w:t>
      </w:r>
      <w:r>
        <w:rPr>
          <w:rFonts w:ascii="Palatino Linotype" w:eastAsia="Palatino Linotype" w:hAnsi="Palatino Linotype" w:cs="Palatino Linotype"/>
          <w:b/>
          <w:i/>
          <w:color w:val="000000"/>
          <w:sz w:val="22"/>
          <w:szCs w:val="22"/>
          <w:u w:val="single"/>
        </w:rPr>
        <w:t>tanto si son propiedad del sujeto obligado como que se encuentren en posesión de éstos</w:t>
      </w:r>
      <w:r>
        <w:rPr>
          <w:rFonts w:ascii="Palatino Linotype" w:eastAsia="Palatino Linotype" w:hAnsi="Palatino Linotype" w:cs="Palatino Linotype"/>
          <w:i/>
          <w:color w:val="000000"/>
          <w:sz w:val="22"/>
          <w:szCs w:val="22"/>
        </w:rPr>
        <w:t xml:space="preserve">. </w:t>
      </w:r>
    </w:p>
    <w:p w14:paraId="437B7E33"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73A535FA"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Respecto de los bienes muebles se registrará tanto el mobiliario y equipo –incluido el de cómputo– </w:t>
      </w:r>
      <w:r>
        <w:rPr>
          <w:rFonts w:ascii="Palatino Linotype" w:eastAsia="Palatino Linotype" w:hAnsi="Palatino Linotype" w:cs="Palatino Linotype"/>
          <w:b/>
          <w:i/>
          <w:color w:val="000000"/>
          <w:sz w:val="22"/>
          <w:szCs w:val="22"/>
          <w:u w:val="single"/>
        </w:rPr>
        <w:t>como los vehículos</w:t>
      </w:r>
      <w:r>
        <w:rPr>
          <w:rFonts w:ascii="Palatino Linotype" w:eastAsia="Palatino Linotype" w:hAnsi="Palatino Linotype" w:cs="Palatino Linotype"/>
          <w:b/>
          <w:i/>
          <w:color w:val="000000"/>
          <w:sz w:val="22"/>
          <w:szCs w:val="22"/>
        </w:rPr>
        <w:t xml:space="preserve"> y demás bienes muebles al servicio de los sujetos obligados, de conformidad con la Ley General de Contabilidad Gubernamental. </w:t>
      </w:r>
    </w:p>
    <w:p w14:paraId="2414B4A7"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496335D2"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inventario se organizará de conformidad con lo establecido en los Lineamientos para la elaboración del Catálogo de Bienes Inmuebles que permita la interrelación automática con el Clasificador por Objeto del Gasto y la Lista de Cuentas y en los Lineamientos mínimos relativos al diseño e integración del registro en los Libros Diario, Mayor e Inventarios y Balances (Registro Electrónico), y el Acuerdo por el que se determina la norma para establecer la estructura del formato de la relación de bienes que componen el patrimonio del ente público Asimismo, el inventario contará con algunos de los elementos establecidos en el Acuerdo por el cual se emiten las Normas y Procedimientos para la Integración y Actualización del </w:t>
      </w:r>
      <w:r>
        <w:rPr>
          <w:rFonts w:ascii="Palatino Linotype" w:eastAsia="Palatino Linotype" w:hAnsi="Palatino Linotype" w:cs="Palatino Linotype"/>
          <w:i/>
          <w:color w:val="000000"/>
          <w:sz w:val="22"/>
          <w:szCs w:val="22"/>
        </w:rPr>
        <w:lastRenderedPageBreak/>
        <w:t xml:space="preserve">Sistema de Información Inmobiliaria Federal y Paraestatal, así como en la Ley General de Contabilidad Gubernamental. </w:t>
      </w:r>
    </w:p>
    <w:p w14:paraId="7E149A3E"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776E3E5F"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También se registrarán los bienes muebles o inmuebles que, por su naturaleza sean inalienables e imprescriptibles, como pueden serlo los monumentos arqueológicos, históricos y artísticos de acuerdo con el registro auxiliar correspondiente. </w:t>
      </w:r>
    </w:p>
    <w:p w14:paraId="5B5BBA78"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690D8673"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Se incluirá un hipervínculo al Sistema de Información Inmobiliaria Federal y Paraestatal u homólogo de cada entidad federativa. Al ser éste un sistema de uso exclusivo de los sujetos obligados, la dependencia responsable de administrarlo deberá incluir una sección de consulta pública, contando para el desarrollo de la misma con un plazo no mayor de seis meses a partir de la entrada en vigor de estos Lineamientos. En caso de que algunos sujetos obligados no cuenten con un sistema como el aquí contemplado, considerarán incluir una nota fundamentada, motivada y actualizada al periodo que corresponda que así lo explique. En el inventario de bienes muebles de las instituciones de educación superior se harán públicas las colecciones y acervos de las mismas. </w:t>
      </w:r>
    </w:p>
    <w:p w14:paraId="46EBE974"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6367F4C2"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Adicionalmente se incluirá un inventario de altas, bajas y donaciones de bienes muebles e inmuebles, en caso de haberlas. También se dará a conocer el nombre del servidor(a) público(a) y/o toda persona que desempeñe un empleo, cargo o comisión y/o ejerza actos de autoridad, que funge como responsable inmobiliario, es decir, el encargado de la administración de los recursos materiales de las dependencias. En caso de que algún sujeto obligado utilice o tenga a su cargo bienes muebles o inmuebles sobre los cuales reportar su tenencia se encuentren reservados por motivos de Seguridad Nacional109, Seguridad Pública o de interés público, en la "Descripción del bien" o "Denominación del inmueble", según correspondas, se especificará en la descripción del bien la nota “bien número #”, indicando el número que se le asigne cronológicamente a cada bien, el cual no podrá ser el mismo para ningún otro del sujeto obligado por motivos de identificación única de éstos. A continuación, se registrará una nota en la que se especifique la fundamentación y motivación de la reserva de dicha información. </w:t>
      </w:r>
    </w:p>
    <w:p w14:paraId="2625ACB7"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0E5FB416"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resto de los datos requeridos acerca de tales bienes en los criterios pertenecientes a esta fracción serán considerados información pública, por lo que no estarán sujetos a reserva alguna. En el caso de los bienes inmuebles se protegerán el domicilio y/o los elementos que denoten su ubicación exacta. </w:t>
      </w:r>
    </w:p>
    <w:p w14:paraId="088C6E09"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0E661209"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Criterios sustantivos de contenido</w:t>
      </w:r>
      <w:r>
        <w:rPr>
          <w:rFonts w:ascii="Palatino Linotype" w:eastAsia="Palatino Linotype" w:hAnsi="Palatino Linotype" w:cs="Palatino Linotype"/>
          <w:i/>
          <w:color w:val="000000"/>
          <w:sz w:val="22"/>
          <w:szCs w:val="22"/>
        </w:rPr>
        <w:t xml:space="preserve"> </w:t>
      </w:r>
    </w:p>
    <w:p w14:paraId="7CCE90AC"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Los datos correspondientes a los bienes inmuebles son: </w:t>
      </w:r>
    </w:p>
    <w:p w14:paraId="1B911989"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288D6AC6"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Criterio 22</w:t>
      </w:r>
      <w:r>
        <w:rPr>
          <w:rFonts w:ascii="Palatino Linotype" w:eastAsia="Palatino Linotype" w:hAnsi="Palatino Linotype" w:cs="Palatino Linotype"/>
          <w:i/>
          <w:color w:val="000000"/>
          <w:sz w:val="22"/>
          <w:szCs w:val="22"/>
        </w:rPr>
        <w:t xml:space="preserve"> Ejercicio </w:t>
      </w:r>
    </w:p>
    <w:p w14:paraId="5445E4C7"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18667EA3"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Criterio 23</w:t>
      </w:r>
      <w:r>
        <w:rPr>
          <w:rFonts w:ascii="Palatino Linotype" w:eastAsia="Palatino Linotype" w:hAnsi="Palatino Linotype" w:cs="Palatino Linotype"/>
          <w:i/>
          <w:color w:val="000000"/>
          <w:sz w:val="22"/>
          <w:szCs w:val="22"/>
        </w:rPr>
        <w:t xml:space="preserve"> Periodo que se informa (fecha de inicio y fecha de término con el formato día/mes/año) </w:t>
      </w:r>
    </w:p>
    <w:p w14:paraId="2F14EC9C"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50C5FBC1"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Criterio 24</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Denominación del inmueble, en su caso</w:t>
      </w:r>
      <w:r>
        <w:rPr>
          <w:rFonts w:ascii="Palatino Linotype" w:eastAsia="Palatino Linotype" w:hAnsi="Palatino Linotype" w:cs="Palatino Linotype"/>
          <w:i/>
          <w:color w:val="000000"/>
          <w:sz w:val="22"/>
          <w:szCs w:val="22"/>
        </w:rPr>
        <w:t xml:space="preserve"> </w:t>
      </w:r>
    </w:p>
    <w:p w14:paraId="56580835"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0A3FC514"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25 Institución a cargo del inmueble </w:t>
      </w:r>
    </w:p>
    <w:p w14:paraId="4B78525A"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61FC287A"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Criterio 26</w:t>
      </w:r>
      <w:r>
        <w:rPr>
          <w:rFonts w:ascii="Palatino Linotype" w:eastAsia="Palatino Linotype" w:hAnsi="Palatino Linotype" w:cs="Palatino Linotype"/>
          <w:i/>
          <w:color w:val="000000"/>
          <w:sz w:val="22"/>
          <w:szCs w:val="22"/>
        </w:rPr>
        <w:t xml:space="preserve"> Domicilio del inmueble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 </w:t>
      </w:r>
    </w:p>
    <w:p w14:paraId="21A9ABBC"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u w:val="single"/>
        </w:rPr>
      </w:pPr>
    </w:p>
    <w:p w14:paraId="052E15DB"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Criterio 27</w:t>
      </w:r>
      <w:r>
        <w:rPr>
          <w:rFonts w:ascii="Palatino Linotype" w:eastAsia="Palatino Linotype" w:hAnsi="Palatino Linotype" w:cs="Palatino Linotype"/>
          <w:i/>
          <w:color w:val="000000"/>
          <w:sz w:val="22"/>
          <w:szCs w:val="22"/>
        </w:rPr>
        <w:t xml:space="preserve"> Domicilio en el extranjero. En caso de que el inmueble se ubique en otro país, se deberá incluir el domicilio el cual deberá incluir por lo menos: país, ciudad, calle y número </w:t>
      </w:r>
    </w:p>
    <w:p w14:paraId="54091BC5"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7C7B2AA8"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Criterio 2</w:t>
      </w:r>
      <w:r>
        <w:rPr>
          <w:rFonts w:ascii="Palatino Linotype" w:eastAsia="Palatino Linotype" w:hAnsi="Palatino Linotype" w:cs="Palatino Linotype"/>
          <w:i/>
          <w:color w:val="000000"/>
          <w:sz w:val="22"/>
          <w:szCs w:val="22"/>
        </w:rPr>
        <w:t xml:space="preserve">8 Naturaleza del inmueble (catálogo): Urbana/Rústica (de conformidad con el artículo 66, fracción IV, del Reglamento del Registro Público de la Propiedad Federal) </w:t>
      </w:r>
    </w:p>
    <w:p w14:paraId="1C2063EC"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21A61600"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Criterio 29</w:t>
      </w:r>
      <w:r>
        <w:rPr>
          <w:rFonts w:ascii="Palatino Linotype" w:eastAsia="Palatino Linotype" w:hAnsi="Palatino Linotype" w:cs="Palatino Linotype"/>
          <w:i/>
          <w:color w:val="000000"/>
          <w:sz w:val="22"/>
          <w:szCs w:val="22"/>
        </w:rPr>
        <w:t xml:space="preserve"> Carácter del monumento (catálogo): Arqueológico/Histórico/Artístico (para el caso de inmuebles que hayan sido declarados monumentos arqueológicos, históricos o artísticos </w:t>
      </w:r>
    </w:p>
    <w:p w14:paraId="7BA6B97D"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4626F927"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Criterio 30</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Tipo de inmueble</w:t>
      </w:r>
      <w:r>
        <w:rPr>
          <w:rFonts w:ascii="Palatino Linotype" w:eastAsia="Palatino Linotype" w:hAnsi="Palatino Linotype" w:cs="Palatino Linotype"/>
          <w:i/>
          <w:color w:val="000000"/>
          <w:sz w:val="22"/>
          <w:szCs w:val="22"/>
        </w:rPr>
        <w:t xml:space="preserve"> (catálogo): edificación/terreno/mixto </w:t>
      </w:r>
    </w:p>
    <w:p w14:paraId="60313A0A"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5B8C688C"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Criterio 31</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i/>
          <w:color w:val="000000"/>
          <w:sz w:val="22"/>
          <w:szCs w:val="22"/>
          <w:u w:val="single"/>
        </w:rPr>
        <w:t>Uso del inmueble</w:t>
      </w:r>
      <w:r>
        <w:rPr>
          <w:rFonts w:ascii="Palatino Linotype" w:eastAsia="Palatino Linotype" w:hAnsi="Palatino Linotype" w:cs="Palatino Linotype"/>
          <w:i/>
          <w:color w:val="000000"/>
          <w:sz w:val="22"/>
          <w:szCs w:val="22"/>
        </w:rPr>
        <w:t xml:space="preserve"> </w:t>
      </w:r>
    </w:p>
    <w:p w14:paraId="3493B7AC"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21FA2225"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Criterio 32</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u w:val="single"/>
        </w:rPr>
        <w:t xml:space="preserve">Operación que da origen a la propiedad o posesión del inmueble </w:t>
      </w:r>
    </w:p>
    <w:p w14:paraId="13FCA50F"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Criterio 33</w:t>
      </w:r>
      <w:r>
        <w:rPr>
          <w:rFonts w:ascii="Palatino Linotype" w:eastAsia="Palatino Linotype" w:hAnsi="Palatino Linotype" w:cs="Palatino Linotype"/>
          <w:i/>
          <w:color w:val="000000"/>
          <w:sz w:val="22"/>
          <w:szCs w:val="22"/>
        </w:rPr>
        <w:t xml:space="preserve"> Valor catastral o último avalúo del inmueble </w:t>
      </w:r>
    </w:p>
    <w:p w14:paraId="5E54EC17"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7AF21EAB"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Criterio 34</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u w:val="single"/>
        </w:rPr>
        <w:t>Título por el cual se acredite la propiedad o posesión del inmueble por parte del Gobierno Federal, las entidades federativas o los municipios, a la fecha de actualización de la información</w:t>
      </w:r>
      <w:r>
        <w:rPr>
          <w:rFonts w:ascii="Palatino Linotype" w:eastAsia="Palatino Linotype" w:hAnsi="Palatino Linotype" w:cs="Palatino Linotype"/>
          <w:i/>
          <w:color w:val="000000"/>
          <w:sz w:val="22"/>
          <w:szCs w:val="22"/>
        </w:rPr>
        <w:t xml:space="preserve"> </w:t>
      </w:r>
    </w:p>
    <w:p w14:paraId="358F910A"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5FBBFD7B"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35 Hipervínculo al Sistema de Información Inmobiliaria Federal y Paraestatal u homólogo de cada entidad federativa </w:t>
      </w:r>
    </w:p>
    <w:p w14:paraId="49F83126"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518253FF"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36 Área de adscripción del servidor público /o toda persona que desempeñe un empleo, cargo o comisión y/o ejerza actos de autoridad (de acuerdo con el catálogo de áreas o puestos que funge como responsable inmobiliario) </w:t>
      </w:r>
    </w:p>
    <w:p w14:paraId="0FDD4BA2"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37AB5234"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b/>
          <w:i/>
          <w:color w:val="000000"/>
          <w:sz w:val="22"/>
          <w:szCs w:val="22"/>
          <w:u w:val="single"/>
        </w:rPr>
        <w:t xml:space="preserve">Inventario semestral de altas practicadas a los bienes inmuebles especificando: </w:t>
      </w:r>
    </w:p>
    <w:p w14:paraId="427D7240"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6194E787"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37 Ejercicio </w:t>
      </w:r>
    </w:p>
    <w:p w14:paraId="2882FD90"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444636C8"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38 Periodo que se informa (fecha de inicio y fecha de término con el formato día/mes/año) </w:t>
      </w:r>
    </w:p>
    <w:p w14:paraId="54B07CB5"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11AD14BB"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39 Descripción del bien </w:t>
      </w:r>
    </w:p>
    <w:p w14:paraId="38010FC4"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1BC6B722"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40 Causa de alta </w:t>
      </w:r>
    </w:p>
    <w:p w14:paraId="316C6087"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25BFF855"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u w:val="single"/>
        </w:rPr>
      </w:pPr>
      <w:r>
        <w:rPr>
          <w:rFonts w:ascii="Palatino Linotype" w:eastAsia="Palatino Linotype" w:hAnsi="Palatino Linotype" w:cs="Palatino Linotype"/>
          <w:i/>
          <w:color w:val="000000"/>
          <w:sz w:val="22"/>
          <w:szCs w:val="22"/>
          <w:u w:val="single"/>
        </w:rPr>
        <w:t xml:space="preserve">Criterio 41 </w:t>
      </w:r>
      <w:r>
        <w:rPr>
          <w:rFonts w:ascii="Palatino Linotype" w:eastAsia="Palatino Linotype" w:hAnsi="Palatino Linotype" w:cs="Palatino Linotype"/>
          <w:b/>
          <w:i/>
          <w:color w:val="000000"/>
          <w:sz w:val="22"/>
          <w:szCs w:val="22"/>
          <w:u w:val="single"/>
        </w:rPr>
        <w:t>Fecha de alta con el formato día/mes/año</w:t>
      </w:r>
      <w:r>
        <w:rPr>
          <w:rFonts w:ascii="Palatino Linotype" w:eastAsia="Palatino Linotype" w:hAnsi="Palatino Linotype" w:cs="Palatino Linotype"/>
          <w:i/>
          <w:color w:val="000000"/>
          <w:sz w:val="22"/>
          <w:szCs w:val="22"/>
          <w:u w:val="single"/>
        </w:rPr>
        <w:t xml:space="preserve"> </w:t>
      </w:r>
    </w:p>
    <w:p w14:paraId="50A68DD3"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209BB34B"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42 Valor del bien a la fecha del alta </w:t>
      </w:r>
    </w:p>
    <w:p w14:paraId="1039FD58"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1BB8DC2F"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b/>
          <w:i/>
          <w:color w:val="000000"/>
          <w:sz w:val="22"/>
          <w:szCs w:val="22"/>
          <w:u w:val="single"/>
        </w:rPr>
        <w:t xml:space="preserve">Inventario semestral de bajas practicadas a los bienes inmuebles especificando: </w:t>
      </w:r>
    </w:p>
    <w:p w14:paraId="1DE3A7EE"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41AE196C"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43 Ejercicio </w:t>
      </w:r>
    </w:p>
    <w:p w14:paraId="4F121468"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03A5C143"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44 Periodo que se informa (fecha de inicio y fecha de término con el formato día/mes/año) </w:t>
      </w:r>
    </w:p>
    <w:p w14:paraId="08F3D4E6"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0D3B3FD1"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45 Descripción del bien </w:t>
      </w:r>
    </w:p>
    <w:p w14:paraId="350BFA9C"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279A09AA"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Criterio 46 Causa de baja </w:t>
      </w:r>
    </w:p>
    <w:p w14:paraId="5B71942D"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2F4E5EE3"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47 Fecha de baja con el formato día/mes/año </w:t>
      </w:r>
    </w:p>
    <w:p w14:paraId="6C9AEA74"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0E2142A1"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48 Valor del inmueble a la fecha de la baja </w:t>
      </w:r>
    </w:p>
    <w:p w14:paraId="2D05CFEA"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53060B0A"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b/>
          <w:i/>
          <w:color w:val="000000"/>
          <w:sz w:val="22"/>
          <w:szCs w:val="22"/>
          <w:u w:val="single"/>
        </w:rPr>
        <w:t xml:space="preserve">La información respecto de los bienes muebles e inmuebles donados es la siguiente: </w:t>
      </w:r>
    </w:p>
    <w:p w14:paraId="29E25FF7"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6C885EB2"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Criterio 49 Ejercicio </w:t>
      </w:r>
    </w:p>
    <w:p w14:paraId="46A5B5F2"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5E41D250"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50 Periodo que se informa (fecha de inicio y fecha de término con el formato día/mes/año) </w:t>
      </w:r>
    </w:p>
    <w:p w14:paraId="1E2E3941"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6E57458E"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Criterio 51 Descripción del bien </w:t>
      </w:r>
    </w:p>
    <w:p w14:paraId="25145BB6"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190F2A2A"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52 Actividades a las que se destinará el bien donado (catálogo): Educativas/Culturales/De salud/De investigación científica/De aplicación de nuevas tecnologías/De beneficencia/Prestación de servicios sociales/Ayuda humanitaria/Otra </w:t>
      </w:r>
    </w:p>
    <w:p w14:paraId="75D146F3"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789BD33B"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53 Personería jurídica del donatario (catálogo): Persona física/Persona moral </w:t>
      </w:r>
    </w:p>
    <w:p w14:paraId="0D03817D"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5A8B400C"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54 En caso de persona física: Nombre (nombre[s], primer apellido, segundo apellido) </w:t>
      </w:r>
    </w:p>
    <w:p w14:paraId="2B24E992"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42215E61"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55 Tipo de persona moral, en su caso. Por ejemplo: Entidad federativa, Municipio, Institución de salud, Beneficencia o asistencia, Educativa, Cultural, Prestadores de servicios sociales por encargo, Beneficiarios de algún servicio asistencial público, Comunidad agraria y ejido, Entidad que lo necesite para sus fines, Gobierno o institución extranjera, Organización internacional </w:t>
      </w:r>
    </w:p>
    <w:p w14:paraId="152E8F00"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56 Denominación o razón social del donatario113 </w:t>
      </w:r>
    </w:p>
    <w:p w14:paraId="3630ABB9"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04389EF1"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57 Valor de adquisición o valor de inventario del bien donado </w:t>
      </w:r>
    </w:p>
    <w:p w14:paraId="0B364903"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3C9BBA2D"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Criterio 58 Fecha de firma del contrato de donación, signado por la autoridad pública o representante legal de la institución donante, así como por el donatario114. En su caso, la fecha de publicación del Acuerdo presidencial en el DOF con el formato día/mes/año</w:t>
      </w:r>
    </w:p>
    <w:p w14:paraId="3D423221"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2F89F767"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Criterio 59 Hipervínculo al Acuerdo presidencial respectivo, en el caso de donaciones a gobiernos e instituciones extranjeros o a organizaciones internacionales para ayuda humanitaria o investigación científica</w:t>
      </w:r>
    </w:p>
    <w:p w14:paraId="5AE4F4F8"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1C96C409"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u w:val="single"/>
        </w:rPr>
        <w:t>Criterios adjetivos de actualización</w:t>
      </w:r>
      <w:r>
        <w:rPr>
          <w:rFonts w:ascii="Palatino Linotype" w:eastAsia="Palatino Linotype" w:hAnsi="Palatino Linotype" w:cs="Palatino Linotype"/>
          <w:i/>
          <w:color w:val="000000"/>
          <w:sz w:val="22"/>
          <w:szCs w:val="22"/>
        </w:rPr>
        <w:t xml:space="preserve">  </w:t>
      </w:r>
    </w:p>
    <w:p w14:paraId="5EEB3CFF"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018FF787"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60 Periodo de actualización de la información: semestral; en su caso, 30 días hábiles después de adquirir o dar de baja algún bien </w:t>
      </w:r>
    </w:p>
    <w:p w14:paraId="0B17B74F"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27E00D32"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61 La información deberá estar actualizada al periodo que corresponde de acuerdo con la Tabla de actualización y conservación de la información </w:t>
      </w:r>
    </w:p>
    <w:p w14:paraId="5966FEAF"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5F4554A7"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62 Conservar en el sitio de Internet y a través de la Plataforma Nacional la información de acuerdo con la Tabla de actualización y conservación de la información Criterios adjetivos de confiabilidad </w:t>
      </w:r>
    </w:p>
    <w:p w14:paraId="01CD815C"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43E84F1C"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63 Área(s) responsable(s) que genera(n), posee(n), publica(n) y/o actualiza(n) la información </w:t>
      </w:r>
    </w:p>
    <w:p w14:paraId="422FB0DA"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3AA07735"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64 Fecha de actualización de la información publicada con el formato día/mes/año </w:t>
      </w:r>
    </w:p>
    <w:p w14:paraId="390A0831"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50E914C5"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65 Fecha de validación de la información publicada con el formato día/mes/año </w:t>
      </w:r>
    </w:p>
    <w:p w14:paraId="18CEA2A9"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4A42DFBF"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66 Nota. Este criterio se cumple en caso de que sea necesario que el sujeto obligado incluya alguna aclaración relativa a la información publicada y/o explicación por la falta de información Criterios adjetivos de formato </w:t>
      </w:r>
    </w:p>
    <w:p w14:paraId="028E7EA1" w14:textId="77777777" w:rsidR="005C71B6" w:rsidRDefault="005C71B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p>
    <w:p w14:paraId="2F9C8A9B"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67 La información publicada se organiza mediante los formatos 34a al 34g, en los que se incluyen todos los campos especificados en los criterios sustantivos de contenido </w:t>
      </w:r>
    </w:p>
    <w:p w14:paraId="237E24EB" w14:textId="77777777" w:rsidR="005C71B6" w:rsidRDefault="00A70426">
      <w:pPr>
        <w:pBdr>
          <w:top w:val="nil"/>
          <w:left w:val="nil"/>
          <w:bottom w:val="nil"/>
          <w:right w:val="nil"/>
          <w:between w:val="nil"/>
        </w:pBdr>
        <w:ind w:left="644"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Criterio 68 El soporte de la información permite su reutilización</w:t>
      </w:r>
    </w:p>
    <w:p w14:paraId="395B163A" w14:textId="77777777" w:rsidR="005C71B6" w:rsidRDefault="005C71B6">
      <w:pPr>
        <w:pBdr>
          <w:top w:val="nil"/>
          <w:left w:val="nil"/>
          <w:bottom w:val="nil"/>
          <w:right w:val="nil"/>
          <w:between w:val="nil"/>
        </w:pBdr>
        <w:ind w:left="644" w:right="-592"/>
        <w:rPr>
          <w:rFonts w:ascii="Palatino Linotype" w:eastAsia="Palatino Linotype" w:hAnsi="Palatino Linotype" w:cs="Palatino Linotype"/>
          <w:sz w:val="24"/>
          <w:szCs w:val="24"/>
        </w:rPr>
      </w:pPr>
    </w:p>
    <w:p w14:paraId="76707427" w14:textId="77777777" w:rsidR="005C71B6" w:rsidRDefault="005C71B6">
      <w:pPr>
        <w:pBdr>
          <w:top w:val="nil"/>
          <w:left w:val="nil"/>
          <w:bottom w:val="nil"/>
          <w:right w:val="nil"/>
          <w:between w:val="nil"/>
        </w:pBdr>
        <w:ind w:left="644" w:right="-592"/>
        <w:rPr>
          <w:rFonts w:ascii="Palatino Linotype" w:eastAsia="Palatino Linotype" w:hAnsi="Palatino Linotype" w:cs="Palatino Linotype"/>
          <w:sz w:val="24"/>
          <w:szCs w:val="24"/>
        </w:rPr>
      </w:pPr>
    </w:p>
    <w:p w14:paraId="5324E824"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lastRenderedPageBreak/>
        <w:t xml:space="preserve">De los preceptos referidos con anterioridad, podemos advertir de la existencia de documentos específicos que pudieran colmar las pretensiones del Recurrente, ya que los sujetos obligados deberán publicar el inventario de bienes inmuebles que utilicen, tengan a su cargo y/o les hayan sido asignados para el ejercicio de sus funciones, en dicho inventario se deberá incluir un inventario de altas, bajas y </w:t>
      </w:r>
      <w:r>
        <w:rPr>
          <w:rFonts w:ascii="Palatino Linotype" w:eastAsia="Palatino Linotype" w:hAnsi="Palatino Linotype" w:cs="Palatino Linotype"/>
          <w:b/>
          <w:color w:val="000000"/>
          <w:sz w:val="24"/>
          <w:szCs w:val="24"/>
        </w:rPr>
        <w:t xml:space="preserve">donaciones de bienes muebles </w:t>
      </w:r>
      <w:r>
        <w:rPr>
          <w:rFonts w:ascii="Palatino Linotype" w:eastAsia="Palatino Linotype" w:hAnsi="Palatino Linotype" w:cs="Palatino Linotype"/>
          <w:color w:val="000000"/>
          <w:sz w:val="24"/>
          <w:szCs w:val="24"/>
        </w:rPr>
        <w:t>e inmuebles, en caso de haberlas, de  modo tal que detenta el soporte documental donde conste o se advierta el número; toda vez que se reitera fue el dato requerido, es decir información estadística, la cual con independencia de su naturaleza es pública de conformidad al Criterio 11/09 emitido por el Instituto Nacional de Transparencia, Acceso a la Información y Protección de Datos Personales (INAI)</w:t>
      </w:r>
    </w:p>
    <w:p w14:paraId="49EA7D2D" w14:textId="77777777" w:rsidR="005C71B6" w:rsidRDefault="00A70426">
      <w:pPr>
        <w:pBdr>
          <w:top w:val="nil"/>
          <w:left w:val="nil"/>
          <w:bottom w:val="nil"/>
          <w:right w:val="nil"/>
          <w:between w:val="nil"/>
        </w:pBdr>
        <w:ind w:left="425"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“La información estadística es de naturaleza pública, independientemente de la materia con la que se encuentre vinculada</w:t>
      </w:r>
      <w:r>
        <w:rPr>
          <w:rFonts w:ascii="Palatino Linotype" w:eastAsia="Palatino Linotype" w:hAnsi="Palatino Linotype" w:cs="Palatino Linotype"/>
          <w:i/>
          <w:color w:val="000000"/>
          <w:sz w:val="22"/>
          <w:szCs w:val="22"/>
        </w:rPr>
        <w:t>.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43D107DB" w14:textId="77777777" w:rsidR="005C71B6" w:rsidRDefault="00A70426">
      <w:pPr>
        <w:pBdr>
          <w:top w:val="nil"/>
          <w:left w:val="nil"/>
          <w:bottom w:val="nil"/>
          <w:right w:val="nil"/>
          <w:between w:val="nil"/>
        </w:pBdr>
        <w:spacing w:line="360" w:lineRule="auto"/>
        <w:ind w:right="-592"/>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color w:val="000000"/>
          <w:sz w:val="24"/>
          <w:szCs w:val="24"/>
        </w:rPr>
        <w:t xml:space="preserve"> </w:t>
      </w:r>
    </w:p>
    <w:p w14:paraId="45273499"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Asimismo como el año toda vez que tienen el deber de registrar la fecha de alta, lo anterior a colación de que se requirió la información disgregada por año.</w:t>
      </w:r>
    </w:p>
    <w:p w14:paraId="0C19BBD5" w14:textId="77777777" w:rsidR="005C71B6" w:rsidRDefault="005C71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5247A395"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lastRenderedPageBreak/>
        <w:t xml:space="preserve">Ahora bien, esta Ponencia Resolutora indagó respecto de indicios que pudieran obrar en fuentes de acceso público como son notas periodísticas o comunicados del propio Ayuntamiento, sin encontrar evidencia de entrega de ambulancias por parte del Gobierno del Estado de México. </w:t>
      </w:r>
    </w:p>
    <w:p w14:paraId="215B76BA"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 xml:space="preserve">Por lo que si luego de la búsqueda exhaustiva y razonable de la información no se </w:t>
      </w:r>
      <w:r>
        <w:rPr>
          <w:rFonts w:ascii="Palatino Linotype" w:eastAsia="Palatino Linotype" w:hAnsi="Palatino Linotype" w:cs="Palatino Linotype"/>
          <w:sz w:val="24"/>
          <w:szCs w:val="24"/>
        </w:rPr>
        <w:t>encontrará</w:t>
      </w:r>
      <w:r>
        <w:rPr>
          <w:rFonts w:ascii="Palatino Linotype" w:eastAsia="Palatino Linotype" w:hAnsi="Palatino Linotype" w:cs="Palatino Linotype"/>
          <w:color w:val="000000"/>
          <w:sz w:val="24"/>
          <w:szCs w:val="24"/>
        </w:rPr>
        <w:t xml:space="preserve"> dato estadístico alguno, bastará con que lo informe al solicitante al momento de dar cumplimiento a la presente Resolución en términos del artículo 19 párrafo segundo Ley de. Transparencia y Acceso a la Información Pública del Estado de México y Municipios, </w:t>
      </w:r>
      <w:r>
        <w:rPr>
          <w:rFonts w:ascii="Palatino Linotype" w:eastAsia="Palatino Linotype" w:hAnsi="Palatino Linotype" w:cs="Palatino Linotype"/>
          <w:i/>
          <w:color w:val="000000"/>
          <w:sz w:val="24"/>
          <w:szCs w:val="24"/>
        </w:rPr>
        <w:t>máxime</w:t>
      </w:r>
      <w:r>
        <w:rPr>
          <w:rFonts w:ascii="Palatino Linotype" w:eastAsia="Palatino Linotype" w:hAnsi="Palatino Linotype" w:cs="Palatino Linotype"/>
          <w:color w:val="000000"/>
          <w:sz w:val="24"/>
          <w:szCs w:val="24"/>
        </w:rPr>
        <w:t xml:space="preserve"> que tratándose de información estadística, la respuesta puede ser igual a cero y no es necesario declarar algún tipo de inexistencia, como se hace constar en el Criterio 18/13 también emitido por el Órgano Garante Nacional, a saber:</w:t>
      </w:r>
    </w:p>
    <w:p w14:paraId="4CE6911D" w14:textId="77777777" w:rsidR="005C71B6" w:rsidRDefault="00A70426">
      <w:pPr>
        <w:pBdr>
          <w:top w:val="nil"/>
          <w:left w:val="nil"/>
          <w:bottom w:val="nil"/>
          <w:right w:val="nil"/>
          <w:between w:val="nil"/>
        </w:pBdr>
        <w:ind w:left="425"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xml:space="preserve">“Respuesta igual a cero. </w:t>
      </w:r>
      <w:r>
        <w:rPr>
          <w:rFonts w:ascii="Palatino Linotype" w:eastAsia="Palatino Linotype" w:hAnsi="Palatino Linotype" w:cs="Palatino Linotype"/>
          <w:i/>
          <w:color w:val="000000"/>
          <w:sz w:val="22"/>
          <w:szCs w:val="22"/>
        </w:rPr>
        <w:t xml:space="preserve">No   es   necesario   declarar  formalmente   la inexistencia. En los casos en que </w:t>
      </w:r>
      <w:r>
        <w:rPr>
          <w:rFonts w:ascii="Palatino Linotype" w:eastAsia="Palatino Linotype" w:hAnsi="Palatino Linotype" w:cs="Palatino Linotype"/>
          <w:b/>
          <w:i/>
          <w:color w:val="000000"/>
          <w:sz w:val="22"/>
          <w:szCs w:val="22"/>
        </w:rPr>
        <w:t>se requiere un dato estadístico o numérico, y el resultado de la búsqueda de la información sea cero, éste deberá entenderse como un dato que constituye un elemento numérico que atiende la solicitud</w:t>
      </w:r>
      <w:r>
        <w:rPr>
          <w:rFonts w:ascii="Palatino Linotype" w:eastAsia="Palatino Linotype" w:hAnsi="Palatino Linotype" w:cs="Palatino Linotype"/>
          <w:i/>
          <w:color w:val="000000"/>
          <w:sz w:val="22"/>
          <w:szCs w:val="22"/>
        </w:rPr>
        <w:t xml:space="preserve">, y no como la inexistencia de la información solicitada. Por lo anterior, en términos del artículo 42 de la Ley Federal de Transparencia y Acceso a la Información Pública Gubernamental, el número cero es una respuesta válida cuando se solicita información cuantitativa, en virtud de que se trata de un valor en sí mismo.” </w:t>
      </w:r>
      <w:r>
        <w:rPr>
          <w:rFonts w:ascii="Palatino Linotype" w:eastAsia="Palatino Linotype" w:hAnsi="Palatino Linotype" w:cs="Palatino Linotype"/>
          <w:color w:val="000000"/>
          <w:sz w:val="22"/>
          <w:szCs w:val="22"/>
        </w:rPr>
        <w:t>Énfasis añadido</w:t>
      </w:r>
    </w:p>
    <w:p w14:paraId="4459F3AE" w14:textId="77777777" w:rsidR="005C71B6" w:rsidRDefault="005C71B6">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4"/>
          <w:szCs w:val="24"/>
        </w:rPr>
      </w:pPr>
    </w:p>
    <w:p w14:paraId="49E63480"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bookmarkStart w:id="8" w:name="_heading=h.1t3h5sf" w:colFirst="0" w:colLast="0"/>
      <w:bookmarkEnd w:id="8"/>
      <w:r>
        <w:rPr>
          <w:rFonts w:ascii="Palatino Linotype" w:eastAsia="Palatino Linotype" w:hAnsi="Palatino Linotype" w:cs="Palatino Linotype"/>
          <w:color w:val="000000"/>
          <w:sz w:val="24"/>
          <w:szCs w:val="24"/>
        </w:rPr>
        <w:t>Asimismo, deberá entregar el soporte documental donde conste o se advierta si se encuentran funcionales; toda vez que es obligación dentro del inventario de bienes muebles e inmuebles, realizar la descripción del mismo.</w:t>
      </w:r>
    </w:p>
    <w:p w14:paraId="1F78E79F" w14:textId="77777777" w:rsidR="005C71B6" w:rsidRDefault="005C71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14:paraId="7C5A7F6C"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lastRenderedPageBreak/>
        <w:t>En ese sentido el Secretario del Ayuntamiento, quien de acuerdo a la Ley Orgánica Municipal, tiene las siguientes atribuciones:</w:t>
      </w:r>
    </w:p>
    <w:p w14:paraId="36D74912" w14:textId="77777777" w:rsidR="005C71B6" w:rsidRDefault="005C71B6">
      <w:pPr>
        <w:spacing w:line="360" w:lineRule="auto"/>
        <w:ind w:right="-592"/>
        <w:jc w:val="both"/>
        <w:rPr>
          <w:rFonts w:ascii="Palatino Linotype" w:eastAsia="Palatino Linotype" w:hAnsi="Palatino Linotype" w:cs="Palatino Linotype"/>
          <w:sz w:val="24"/>
          <w:szCs w:val="24"/>
        </w:rPr>
      </w:pPr>
    </w:p>
    <w:p w14:paraId="7C1B14AC" w14:textId="77777777" w:rsidR="005C71B6" w:rsidRDefault="00A70426">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91.-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35F50239" w14:textId="77777777" w:rsidR="005C71B6" w:rsidRDefault="00A70426">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3630260" w14:textId="77777777" w:rsidR="005C71B6" w:rsidRDefault="00A70426">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 </w:t>
      </w:r>
      <w:r>
        <w:rPr>
          <w:rFonts w:ascii="Palatino Linotype" w:eastAsia="Palatino Linotype" w:hAnsi="Palatino Linotype" w:cs="Palatino Linotype"/>
          <w:b/>
          <w:i/>
          <w:sz w:val="22"/>
          <w:szCs w:val="22"/>
        </w:rPr>
        <w:t xml:space="preserve">Elaborar con la intervención del síndico el inventario general de los bienes muebles </w:t>
      </w:r>
      <w:r>
        <w:rPr>
          <w:rFonts w:ascii="Palatino Linotype" w:eastAsia="Palatino Linotype" w:hAnsi="Palatino Linotype" w:cs="Palatino Linotype"/>
          <w:i/>
          <w:sz w:val="22"/>
          <w:szCs w:val="22"/>
        </w:rPr>
        <w:t>e inmuebles</w:t>
      </w:r>
      <w:r>
        <w:rPr>
          <w:rFonts w:ascii="Palatino Linotype" w:eastAsia="Palatino Linotype" w:hAnsi="Palatino Linotype" w:cs="Palatino Linotype"/>
          <w:b/>
          <w:i/>
          <w:sz w:val="22"/>
          <w:szCs w:val="22"/>
        </w:rPr>
        <w:t xml:space="preserve"> municipales</w:t>
      </w:r>
      <w:r>
        <w:rPr>
          <w:rFonts w:ascii="Palatino Linotype" w:eastAsia="Palatino Linotype" w:hAnsi="Palatino Linotype" w:cs="Palatino Linotype"/>
          <w:i/>
          <w:sz w:val="22"/>
          <w:szCs w:val="22"/>
        </w:rPr>
        <w:t xml:space="preserve">, así como la integración del sistema de información inmobiliaria, que contemple los bienes del dominio público y privado, en un término que no exceda de un año contado a partir de la instalación del ayuntamiento y presentarlo al cabildo para su conocimiento y opinión. </w:t>
      </w:r>
      <w:r>
        <w:rPr>
          <w:rFonts w:ascii="Palatino Linotype" w:eastAsia="Palatino Linotype" w:hAnsi="Palatino Linotype" w:cs="Palatino Linotype"/>
          <w:b/>
          <w:i/>
          <w:sz w:val="22"/>
          <w:szCs w:val="22"/>
        </w:rPr>
        <w:t>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w:t>
      </w:r>
      <w:r>
        <w:rPr>
          <w:rFonts w:ascii="Palatino Linotype" w:eastAsia="Palatino Linotype" w:hAnsi="Palatino Linotype" w:cs="Palatino Linotype"/>
          <w:i/>
          <w:sz w:val="22"/>
          <w:szCs w:val="22"/>
        </w:rPr>
        <w:t xml:space="preserve"> </w:t>
      </w:r>
    </w:p>
    <w:p w14:paraId="585EE328" w14:textId="77777777" w:rsidR="005C71B6" w:rsidRDefault="00A70426">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XII. Integrar un sistema de información que contenga datos de los aspectos socio-económicos básicos del municipio; </w:t>
      </w:r>
    </w:p>
    <w:p w14:paraId="4B3D5DE8" w14:textId="77777777" w:rsidR="005C71B6" w:rsidRDefault="00A70426">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XIII. Ser responsable de la publicación de la Gaceta Municipal, así como de las publicaciones en los estrados de los Ayuntamientos; y </w:t>
      </w:r>
    </w:p>
    <w:p w14:paraId="0C486819" w14:textId="77777777" w:rsidR="005C71B6" w:rsidRDefault="00A70426">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XIV. Las demás que le confieran esta Ley y disposiciones aplicables.”</w:t>
      </w:r>
    </w:p>
    <w:p w14:paraId="50CE4040" w14:textId="77777777" w:rsidR="005C71B6" w:rsidRDefault="005C71B6">
      <w:pPr>
        <w:spacing w:line="360" w:lineRule="auto"/>
        <w:ind w:left="851" w:right="-592"/>
        <w:jc w:val="both"/>
        <w:rPr>
          <w:rFonts w:ascii="Palatino Linotype" w:eastAsia="Palatino Linotype" w:hAnsi="Palatino Linotype" w:cs="Palatino Linotype"/>
          <w:i/>
          <w:sz w:val="24"/>
          <w:szCs w:val="24"/>
        </w:rPr>
      </w:pPr>
    </w:p>
    <w:p w14:paraId="1383C7CC" w14:textId="77777777" w:rsidR="005C71B6" w:rsidRDefault="00A70426">
      <w:pPr>
        <w:numPr>
          <w:ilvl w:val="0"/>
          <w:numId w:val="3"/>
        </w:numPr>
        <w:spacing w:line="360" w:lineRule="auto"/>
        <w:ind w:left="0" w:right="-592" w:firstLine="0"/>
        <w:jc w:val="both"/>
        <w:rPr>
          <w:sz w:val="24"/>
          <w:szCs w:val="24"/>
        </w:rPr>
      </w:pPr>
      <w:r>
        <w:rPr>
          <w:rFonts w:ascii="Palatino Linotype" w:eastAsia="Palatino Linotype" w:hAnsi="Palatino Linotype" w:cs="Palatino Linotype"/>
          <w:sz w:val="24"/>
          <w:szCs w:val="24"/>
        </w:rPr>
        <w:t>A más de lo anterior, los sujetos obligados tienen el deber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sz w:val="24"/>
          <w:szCs w:val="24"/>
          <w:vertAlign w:val="superscript"/>
        </w:rPr>
        <w:footnoteReference w:id="1"/>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lastRenderedPageBreak/>
        <w:t>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 por lo que se insiste se deberá entregar el soporte documental de referencia en donde conste el dato estadístico del número de ambulancias que se encuentran funcionales.</w:t>
      </w:r>
    </w:p>
    <w:p w14:paraId="419489D8" w14:textId="77777777" w:rsidR="005C71B6" w:rsidRDefault="005C71B6">
      <w:pPr>
        <w:spacing w:line="360" w:lineRule="auto"/>
        <w:ind w:right="-592"/>
        <w:jc w:val="both"/>
        <w:rPr>
          <w:rFonts w:ascii="Palatino Linotype" w:eastAsia="Palatino Linotype" w:hAnsi="Palatino Linotype" w:cs="Palatino Linotype"/>
          <w:sz w:val="24"/>
          <w:szCs w:val="24"/>
        </w:rPr>
      </w:pPr>
    </w:p>
    <w:p w14:paraId="7A78E7CD" w14:textId="77777777" w:rsidR="005C71B6" w:rsidRDefault="00A70426">
      <w:pPr>
        <w:numPr>
          <w:ilvl w:val="0"/>
          <w:numId w:val="3"/>
        </w:numPr>
        <w:spacing w:line="360" w:lineRule="auto"/>
        <w:ind w:left="0" w:right="-592" w:firstLine="0"/>
        <w:jc w:val="both"/>
        <w:rPr>
          <w:sz w:val="24"/>
          <w:szCs w:val="24"/>
        </w:rPr>
      </w:pPr>
      <w:r>
        <w:rPr>
          <w:rFonts w:ascii="Palatino Linotype" w:eastAsia="Palatino Linotype" w:hAnsi="Palatino Linotype" w:cs="Palatino Linotype"/>
          <w:sz w:val="24"/>
          <w:szCs w:val="24"/>
        </w:rPr>
        <w:t xml:space="preserve">No pasando desapercibido que no existe certeza de que tengan ambulancias donadas por el Gobierno Estatal, por lo que para el rubro en comento deberá darse observancia a la salvedad referida con anterioridad. Finalmente no pasa desapercibido que una de las modalidades elegidas fue la de copias simples; al respecto resulta ocioso ordenar en esa modalidad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bajo el principio de rapidez y sencillez que rigen el derecho de acceso a la información ya que ello implicaría que informará al particular de los días y horarios en que deberá presentarse a recoger las copias, </w:t>
      </w:r>
      <w:r>
        <w:rPr>
          <w:rFonts w:ascii="Palatino Linotype" w:eastAsia="Palatino Linotype" w:hAnsi="Palatino Linotype" w:cs="Palatino Linotype"/>
          <w:i/>
          <w:sz w:val="24"/>
          <w:szCs w:val="24"/>
        </w:rPr>
        <w:t>máxime</w:t>
      </w:r>
      <w:r>
        <w:rPr>
          <w:rFonts w:ascii="Palatino Linotype" w:eastAsia="Palatino Linotype" w:hAnsi="Palatino Linotype" w:cs="Palatino Linotype"/>
          <w:sz w:val="24"/>
          <w:szCs w:val="24"/>
        </w:rPr>
        <w:t xml:space="preserve"> que el soporte documental que le sea entregado vía SAIMEX, puede ser reproducido por el particular de propia cuenta y hace las veces de copias simples.</w:t>
      </w:r>
    </w:p>
    <w:p w14:paraId="0B61967E" w14:textId="77777777" w:rsidR="005C71B6" w:rsidRDefault="005C71B6">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14:paraId="39D70C5B"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 xml:space="preserve">Con la determinación anterior quedará por colmado el derecho de acceso a la información del ahora Recurrente; toda vez que el Derecho que tutela este Órgano Garante </w:t>
      </w:r>
      <w:r>
        <w:rPr>
          <w:rFonts w:ascii="Palatino Linotype" w:eastAsia="Palatino Linotype" w:hAnsi="Palatino Linotype" w:cs="Palatino Linotype"/>
          <w:color w:val="000000"/>
          <w:sz w:val="24"/>
          <w:szCs w:val="24"/>
        </w:rPr>
        <w:lastRenderedPageBreak/>
        <w:t xml:space="preserve">corresponde a la  </w:t>
      </w:r>
      <w:r>
        <w:rPr>
          <w:rFonts w:ascii="Palatino Linotype" w:eastAsia="Palatino Linotype" w:hAnsi="Palatino Linotype" w:cs="Palatino Linotype"/>
          <w:i/>
          <w:color w:val="000000"/>
          <w:sz w:val="24"/>
          <w:szCs w:val="24"/>
        </w:rPr>
        <w:t>igualdad de oportunidades para recibir, buscar e impartir información</w:t>
      </w:r>
      <w:r>
        <w:rPr>
          <w:rFonts w:ascii="Palatino Linotype" w:eastAsia="Palatino Linotype" w:hAnsi="Palatino Linotype" w:cs="Palatino Linotype"/>
          <w:i/>
          <w:color w:val="000000"/>
          <w:sz w:val="24"/>
          <w:szCs w:val="24"/>
          <w:vertAlign w:val="superscript"/>
        </w:rPr>
        <w:footnoteReference w:id="2"/>
      </w:r>
      <w:r>
        <w:rPr>
          <w:rFonts w:ascii="Palatino Linotype" w:eastAsia="Palatino Linotype" w:hAnsi="Palatino Linotype" w:cs="Palatino Linotype"/>
          <w:i/>
          <w:color w:val="000000"/>
          <w:sz w:val="24"/>
          <w:szCs w:val="24"/>
        </w:rPr>
        <w:t xml:space="preserve"> en posesión de cualquier autoridad, entidad, órgano y organismo de los </w:t>
      </w:r>
      <w:r>
        <w:rPr>
          <w:rFonts w:ascii="Palatino Linotype" w:eastAsia="Palatino Linotype" w:hAnsi="Palatino Linotype" w:cs="Palatino Linotype"/>
          <w:color w:val="000000"/>
          <w:sz w:val="24"/>
          <w:szCs w:val="24"/>
        </w:rPr>
        <w:t>poderes</w:t>
      </w:r>
      <w:r>
        <w:rPr>
          <w:rFonts w:ascii="Palatino Linotype" w:eastAsia="Palatino Linotype" w:hAnsi="Palatino Linotype" w:cs="Palatino Linotype"/>
          <w:i/>
          <w:color w:val="000000"/>
          <w:sz w:val="24"/>
          <w:szCs w:val="24"/>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color w:val="000000"/>
          <w:sz w:val="24"/>
          <w:szCs w:val="24"/>
          <w:vertAlign w:val="superscript"/>
        </w:rPr>
        <w:footnoteReference w:id="3"/>
      </w:r>
      <w:r>
        <w:rPr>
          <w:rFonts w:ascii="Palatino Linotype" w:eastAsia="Palatino Linotype" w:hAnsi="Palatino Linotype" w:cs="Palatino Linotype"/>
          <w:i/>
          <w:color w:val="000000"/>
          <w:sz w:val="24"/>
          <w:szCs w:val="24"/>
        </w:rPr>
        <w:t xml:space="preserve"> </w:t>
      </w:r>
      <w:r>
        <w:rPr>
          <w:rFonts w:ascii="Palatino Linotype" w:eastAsia="Palatino Linotype" w:hAnsi="Palatino Linotype" w:cs="Palatino Linotype"/>
          <w:color w:val="000000"/>
          <w:sz w:val="24"/>
          <w:szCs w:val="24"/>
        </w:rPr>
        <w:t xml:space="preserve">que se constituye como una herramienta fundamental para </w:t>
      </w:r>
      <w:r>
        <w:rPr>
          <w:rFonts w:ascii="Palatino Linotype" w:eastAsia="Palatino Linotype" w:hAnsi="Palatino Linotype" w:cs="Palatino Linotype"/>
          <w:i/>
          <w:color w:val="000000"/>
          <w:sz w:val="24"/>
          <w:szCs w:val="24"/>
        </w:rPr>
        <w:t>ejercer control democrático de las gestiones estatales, de forma tal que puedan cuestionar, indagar y considerar si se está dando un adecuado cumplimiento de las funciones públicas,</w:t>
      </w:r>
      <w:r>
        <w:rPr>
          <w:rFonts w:ascii="Palatino Linotype" w:eastAsia="Palatino Linotype" w:hAnsi="Palatino Linotype" w:cs="Palatino Linotype"/>
          <w:i/>
          <w:color w:val="000000"/>
          <w:sz w:val="24"/>
          <w:szCs w:val="24"/>
          <w:vertAlign w:val="superscript"/>
        </w:rPr>
        <w:footnoteReference w:id="4"/>
      </w:r>
      <w:r>
        <w:rPr>
          <w:rFonts w:ascii="Palatino Linotype" w:eastAsia="Palatino Linotype" w:hAnsi="Palatino Linotype" w:cs="Palatino Linotype"/>
          <w:color w:val="000000"/>
          <w:sz w:val="24"/>
          <w:szCs w:val="24"/>
        </w:rPr>
        <w:t>fomentando</w:t>
      </w:r>
      <w:r>
        <w:rPr>
          <w:rFonts w:ascii="Palatino Linotype" w:eastAsia="Palatino Linotype" w:hAnsi="Palatino Linotype" w:cs="Palatino Linotype"/>
          <w:i/>
          <w:color w:val="000000"/>
          <w:sz w:val="24"/>
          <w:szCs w:val="24"/>
        </w:rPr>
        <w:t xml:space="preserve"> la transparencia de las actividades estatales y</w:t>
      </w:r>
      <w:r>
        <w:rPr>
          <w:rFonts w:ascii="Palatino Linotype" w:eastAsia="Palatino Linotype" w:hAnsi="Palatino Linotype" w:cs="Palatino Linotype"/>
          <w:color w:val="000000"/>
          <w:sz w:val="24"/>
          <w:szCs w:val="24"/>
        </w:rPr>
        <w:t xml:space="preserve"> promoviendo</w:t>
      </w:r>
      <w:r>
        <w:rPr>
          <w:rFonts w:ascii="Palatino Linotype" w:eastAsia="Palatino Linotype" w:hAnsi="Palatino Linotype" w:cs="Palatino Linotype"/>
          <w:i/>
          <w:color w:val="000000"/>
          <w:sz w:val="24"/>
          <w:szCs w:val="24"/>
        </w:rPr>
        <w:t xml:space="preserve"> la responsabilidad de los funcionarios sobre su gestión pública</w:t>
      </w:r>
      <w:r>
        <w:rPr>
          <w:rFonts w:ascii="Palatino Linotype" w:eastAsia="Palatino Linotype" w:hAnsi="Palatino Linotype" w:cs="Palatino Linotype"/>
          <w:i/>
          <w:color w:val="000000"/>
          <w:sz w:val="24"/>
          <w:szCs w:val="24"/>
          <w:vertAlign w:val="superscript"/>
        </w:rPr>
        <w:footnoteReference w:id="5"/>
      </w:r>
      <w:r>
        <w:rPr>
          <w:rFonts w:ascii="Palatino Linotype" w:eastAsia="Palatino Linotype" w:hAnsi="Palatino Linotype" w:cs="Palatino Linotype"/>
          <w:i/>
          <w:color w:val="000000"/>
          <w:sz w:val="24"/>
          <w:szCs w:val="24"/>
        </w:rPr>
        <w:t xml:space="preserve"> </w:t>
      </w:r>
      <w:r>
        <w:rPr>
          <w:rFonts w:ascii="Palatino Linotype" w:eastAsia="Palatino Linotype" w:hAnsi="Palatino Linotype" w:cs="Palatino Linotype"/>
          <w:color w:val="000000"/>
          <w:sz w:val="24"/>
          <w:szCs w:val="24"/>
        </w:rPr>
        <w:t>que permite</w:t>
      </w:r>
      <w:r>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r>
        <w:rPr>
          <w:rFonts w:ascii="Palatino Linotype" w:eastAsia="Palatino Linotype" w:hAnsi="Palatino Linotype" w:cs="Palatino Linotype"/>
          <w:i/>
          <w:color w:val="000000"/>
          <w:sz w:val="24"/>
          <w:szCs w:val="24"/>
          <w:vertAlign w:val="superscript"/>
        </w:rPr>
        <w:footnoteReference w:id="6"/>
      </w:r>
      <w:r>
        <w:rPr>
          <w:rFonts w:ascii="Palatino Linotype" w:eastAsia="Palatino Linotype" w:hAnsi="Palatino Linotype" w:cs="Palatino Linotype"/>
          <w:color w:val="000000"/>
          <w:sz w:val="24"/>
          <w:szCs w:val="24"/>
        </w:rPr>
        <w:t xml:space="preserve"> ” </w:t>
      </w:r>
    </w:p>
    <w:p w14:paraId="0A01DBD3" w14:textId="77777777" w:rsidR="005C71B6" w:rsidRDefault="005C71B6">
      <w:pPr>
        <w:pBdr>
          <w:top w:val="nil"/>
          <w:left w:val="nil"/>
          <w:bottom w:val="nil"/>
          <w:right w:val="nil"/>
          <w:between w:val="nil"/>
        </w:pBdr>
        <w:tabs>
          <w:tab w:val="left" w:pos="284"/>
        </w:tabs>
        <w:spacing w:line="360" w:lineRule="auto"/>
        <w:ind w:right="-592"/>
        <w:jc w:val="both"/>
        <w:rPr>
          <w:rFonts w:ascii="Palatino Linotype" w:eastAsia="Palatino Linotype" w:hAnsi="Palatino Linotype" w:cs="Palatino Linotype"/>
          <w:color w:val="000000"/>
          <w:sz w:val="24"/>
          <w:szCs w:val="24"/>
        </w:rPr>
      </w:pPr>
    </w:p>
    <w:p w14:paraId="045ADC30"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 xml:space="preserve">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w:t>
      </w:r>
      <w:r>
        <w:rPr>
          <w:rFonts w:ascii="Palatino Linotype" w:eastAsia="Palatino Linotype" w:hAnsi="Palatino Linotype" w:cs="Palatino Linotype"/>
          <w:color w:val="000000"/>
          <w:sz w:val="24"/>
          <w:szCs w:val="24"/>
        </w:rPr>
        <w:lastRenderedPageBreak/>
        <w:t>Soberano de México “Gaceta del Gobierno” el diecinueve de octubre de dos mil once, cuyo rubro y texto dispone:</w:t>
      </w:r>
    </w:p>
    <w:p w14:paraId="2CBDC932" w14:textId="77777777" w:rsidR="005C71B6" w:rsidRDefault="005C71B6">
      <w:pPr>
        <w:pBdr>
          <w:top w:val="nil"/>
          <w:left w:val="nil"/>
          <w:bottom w:val="nil"/>
          <w:right w:val="nil"/>
          <w:between w:val="nil"/>
        </w:pBdr>
        <w:spacing w:line="360" w:lineRule="auto"/>
        <w:ind w:left="720" w:right="-592"/>
        <w:rPr>
          <w:rFonts w:ascii="Palatino Linotype" w:eastAsia="Palatino Linotype" w:hAnsi="Palatino Linotype" w:cs="Palatino Linotype"/>
          <w:i/>
          <w:color w:val="000000"/>
          <w:sz w:val="24"/>
          <w:szCs w:val="24"/>
        </w:rPr>
      </w:pPr>
    </w:p>
    <w:p w14:paraId="07DC6001" w14:textId="77777777" w:rsidR="005C71B6" w:rsidRDefault="00A70426">
      <w:pPr>
        <w:spacing w:line="360" w:lineRule="auto"/>
        <w:ind w:left="426" w:right="25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“CRITERIO 0002-11</w:t>
      </w:r>
    </w:p>
    <w:p w14:paraId="2C5BBBDD" w14:textId="77777777" w:rsidR="005C71B6" w:rsidRDefault="00A70426">
      <w:pPr>
        <w:ind w:left="425"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642DB49" w14:textId="77777777" w:rsidR="005C71B6" w:rsidRDefault="00A70426">
      <w:pPr>
        <w:ind w:left="425"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consecuencia el acceso a la información se refiere a que se cumplan cualquiera de los siguientes tres supuestos:</w:t>
      </w:r>
    </w:p>
    <w:p w14:paraId="5DE35CBB" w14:textId="77777777" w:rsidR="005C71B6" w:rsidRDefault="00A70426">
      <w:pPr>
        <w:ind w:left="425"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generada por los Sujetos Obligados;</w:t>
      </w:r>
    </w:p>
    <w:p w14:paraId="76694A45" w14:textId="77777777" w:rsidR="005C71B6" w:rsidRDefault="00A70426">
      <w:pPr>
        <w:ind w:left="425"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administrada por los Sujetos Obligados, y</w:t>
      </w:r>
    </w:p>
    <w:p w14:paraId="40533F30" w14:textId="77777777" w:rsidR="005C71B6" w:rsidRDefault="00A70426">
      <w:pPr>
        <w:ind w:left="425"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 encuentre en posesión de los Sujetos Obligados.”</w:t>
      </w:r>
    </w:p>
    <w:p w14:paraId="54ABF3AC" w14:textId="77777777" w:rsidR="005C71B6" w:rsidRDefault="005C71B6">
      <w:pPr>
        <w:spacing w:line="360" w:lineRule="auto"/>
        <w:ind w:left="567" w:right="-592"/>
        <w:jc w:val="both"/>
        <w:rPr>
          <w:rFonts w:ascii="Palatino Linotype" w:eastAsia="Palatino Linotype" w:hAnsi="Palatino Linotype" w:cs="Palatino Linotype"/>
          <w:i/>
          <w:color w:val="000000"/>
          <w:sz w:val="24"/>
          <w:szCs w:val="24"/>
        </w:rPr>
      </w:pPr>
    </w:p>
    <w:p w14:paraId="63AFE227"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El derecho de acceso a la información encuentra su materia elemental en los documentos, y la Ley de Transparencia local  nos brinda el siguiente concepto, para darnos un mejor panorama:</w:t>
      </w:r>
    </w:p>
    <w:p w14:paraId="6D83D5BF" w14:textId="77777777" w:rsidR="005C71B6" w:rsidRDefault="00A70426">
      <w:pPr>
        <w:ind w:left="425"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XI. Documento: </w:t>
      </w:r>
      <w:r>
        <w:rPr>
          <w:rFonts w:ascii="Palatino Linotype" w:eastAsia="Palatino Linotype" w:hAnsi="Palatino Linotype" w:cs="Palatino Linotype"/>
          <w:i/>
          <w:color w:val="000000"/>
          <w:sz w:val="22"/>
          <w:szCs w:val="22"/>
        </w:rPr>
        <w:t xml:space="preserve">Los expedientes, reportes, estudios, actas, resoluciones, oficios, correspondencia, acuerdos, directivas, directrices, circulares, contratos, convenios, instructivos, notas, memorandos, estadísticas o bien, </w:t>
      </w:r>
      <w:r>
        <w:rPr>
          <w:rFonts w:ascii="Palatino Linotype" w:eastAsia="Palatino Linotype" w:hAnsi="Palatino Linotype" w:cs="Palatino Linotype"/>
          <w:b/>
          <w:i/>
          <w:color w:val="000000"/>
          <w:sz w:val="22"/>
          <w:szCs w:val="22"/>
        </w:rPr>
        <w:t>cualquier otro registro</w:t>
      </w:r>
      <w:r>
        <w:rPr>
          <w:rFonts w:ascii="Palatino Linotype" w:eastAsia="Palatino Linotype" w:hAnsi="Palatino Linotype" w:cs="Palatino Linotype"/>
          <w:i/>
          <w:color w:val="000000"/>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5ABE995" w14:textId="77777777" w:rsidR="005C71B6" w:rsidRDefault="005C71B6">
      <w:pPr>
        <w:ind w:left="425" w:right="-592"/>
        <w:jc w:val="both"/>
        <w:rPr>
          <w:rFonts w:ascii="Palatino Linotype" w:eastAsia="Palatino Linotype" w:hAnsi="Palatino Linotype" w:cs="Palatino Linotype"/>
          <w:i/>
          <w:color w:val="000000"/>
          <w:sz w:val="24"/>
          <w:szCs w:val="24"/>
        </w:rPr>
      </w:pPr>
    </w:p>
    <w:p w14:paraId="5F2CFA3B"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lastRenderedPageBreak/>
        <w:t xml:space="preserve">Es así que, todos los actos de autoridad que realicen los Sujetos Obligados </w:t>
      </w:r>
      <w:r>
        <w:rPr>
          <w:rFonts w:ascii="Palatino Linotype" w:eastAsia="Palatino Linotype" w:hAnsi="Palatino Linotype" w:cs="Palatino Linotype"/>
          <w:b/>
          <w:color w:val="000000"/>
          <w:sz w:val="24"/>
          <w:szCs w:val="24"/>
        </w:rPr>
        <w:t xml:space="preserve">deben estar </w:t>
      </w:r>
      <w:r>
        <w:rPr>
          <w:rFonts w:ascii="Palatino Linotype" w:eastAsia="Palatino Linotype" w:hAnsi="Palatino Linotype" w:cs="Palatino Linotype"/>
          <w:color w:val="000000"/>
          <w:sz w:val="24"/>
          <w:szCs w:val="24"/>
        </w:rPr>
        <w:t>documentados y, bajo el más alto estándar de transparencia deberán poner toda la información que se encuentre en su posesión, a disposición de los particulares que la soliciten.</w:t>
      </w:r>
    </w:p>
    <w:p w14:paraId="5B888213" w14:textId="77777777" w:rsidR="005C71B6" w:rsidRDefault="005C71B6">
      <w:pPr>
        <w:pBdr>
          <w:top w:val="nil"/>
          <w:left w:val="nil"/>
          <w:bottom w:val="nil"/>
          <w:right w:val="nil"/>
          <w:between w:val="nil"/>
        </w:pBdr>
        <w:tabs>
          <w:tab w:val="left" w:pos="284"/>
        </w:tabs>
        <w:spacing w:line="360" w:lineRule="auto"/>
        <w:ind w:right="-592"/>
        <w:jc w:val="both"/>
        <w:rPr>
          <w:rFonts w:ascii="Palatino Linotype" w:eastAsia="Palatino Linotype" w:hAnsi="Palatino Linotype" w:cs="Palatino Linotype"/>
          <w:color w:val="000000"/>
          <w:sz w:val="24"/>
          <w:szCs w:val="24"/>
        </w:rPr>
      </w:pPr>
    </w:p>
    <w:p w14:paraId="1EF2E82C"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Además, debemos tomar en cuenta los artículos 4 y 12 (antes transcrito), de la Ley de Transparencia y Acceso a la Información Pública del Estado de México y Municipios, los cuales establecen lo siguiente:</w:t>
      </w:r>
    </w:p>
    <w:p w14:paraId="67C1AE95" w14:textId="77777777" w:rsidR="005C71B6" w:rsidRDefault="00A70426">
      <w:pPr>
        <w:ind w:left="425"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“Artículo 4. </w:t>
      </w:r>
      <w:r>
        <w:rPr>
          <w:rFonts w:ascii="Palatino Linotype" w:eastAsia="Palatino Linotype" w:hAnsi="Palatino Linotype" w:cs="Palatino Linotype"/>
          <w:i/>
          <w:color w:val="000000"/>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0C5378BA" w14:textId="77777777" w:rsidR="005C71B6" w:rsidRDefault="00A70426">
      <w:pPr>
        <w:ind w:left="426"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Toda la información</w:t>
      </w:r>
      <w:r>
        <w:rPr>
          <w:rFonts w:ascii="Palatino Linotype" w:eastAsia="Palatino Linotype" w:hAnsi="Palatino Linotype" w:cs="Palatino Linotype"/>
          <w:i/>
          <w:color w:val="000000"/>
          <w:sz w:val="22"/>
          <w:szCs w:val="22"/>
        </w:rPr>
        <w:t xml:space="preserve"> generada, obtenida, adquirida, transformada, administrada o </w:t>
      </w:r>
      <w:r>
        <w:rPr>
          <w:rFonts w:ascii="Palatino Linotype" w:eastAsia="Palatino Linotype" w:hAnsi="Palatino Linotype" w:cs="Palatino Linotype"/>
          <w:b/>
          <w:i/>
          <w:color w:val="000000"/>
          <w:sz w:val="22"/>
          <w:szCs w:val="22"/>
        </w:rPr>
        <w:t>en posesión de los sujetos obligados es pública</w:t>
      </w:r>
      <w:r>
        <w:rPr>
          <w:rFonts w:ascii="Palatino Linotype" w:eastAsia="Palatino Linotype" w:hAnsi="Palatino Linotype" w:cs="Palatino Linotype"/>
          <w:i/>
          <w:color w:val="000000"/>
          <w:sz w:val="22"/>
          <w:szCs w:val="22"/>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94B2EF0" w14:textId="77777777" w:rsidR="005C71B6" w:rsidRDefault="00A70426">
      <w:pPr>
        <w:ind w:left="426"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5454B64E" w14:textId="77777777" w:rsidR="005C71B6" w:rsidRDefault="005C71B6">
      <w:pPr>
        <w:spacing w:line="360" w:lineRule="auto"/>
        <w:ind w:left="567" w:right="-592"/>
        <w:jc w:val="both"/>
        <w:rPr>
          <w:rFonts w:ascii="Palatino Linotype" w:eastAsia="Palatino Linotype" w:hAnsi="Palatino Linotype" w:cs="Palatino Linotype"/>
          <w:i/>
          <w:color w:val="000000"/>
          <w:sz w:val="24"/>
          <w:szCs w:val="24"/>
        </w:rPr>
      </w:pPr>
    </w:p>
    <w:p w14:paraId="50E2B7C2"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 xml:space="preserve">Es así que, por un lado se tiene la obligación de documentar todos los actos que se lleven a cabo en el ejercicio de sus funciones, atribuciones y competencias, mientras que por otro, se ven impuestos por la obligación de hacer pública toda aquella información que se </w:t>
      </w:r>
      <w:r>
        <w:rPr>
          <w:rFonts w:ascii="Palatino Linotype" w:eastAsia="Palatino Linotype" w:hAnsi="Palatino Linotype" w:cs="Palatino Linotype"/>
          <w:color w:val="000000"/>
          <w:sz w:val="24"/>
          <w:szCs w:val="24"/>
        </w:rPr>
        <w:lastRenderedPageBreak/>
        <w:t>encuentre en su posesión en estricto apego a los principios de eficacia</w:t>
      </w:r>
      <w:r>
        <w:rPr>
          <w:rFonts w:ascii="Palatino Linotype" w:eastAsia="Palatino Linotype" w:hAnsi="Palatino Linotype" w:cs="Palatino Linotype"/>
          <w:color w:val="000000"/>
          <w:sz w:val="24"/>
          <w:szCs w:val="24"/>
          <w:vertAlign w:val="superscript"/>
        </w:rPr>
        <w:footnoteReference w:id="7"/>
      </w:r>
      <w:r>
        <w:rPr>
          <w:rFonts w:ascii="Palatino Linotype" w:eastAsia="Palatino Linotype" w:hAnsi="Palatino Linotype" w:cs="Palatino Linotype"/>
          <w:color w:val="000000"/>
          <w:sz w:val="24"/>
          <w:szCs w:val="24"/>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24B07D1F" w14:textId="77777777" w:rsidR="005C71B6" w:rsidRDefault="005C71B6">
      <w:pPr>
        <w:spacing w:line="360" w:lineRule="auto"/>
        <w:ind w:right="-592"/>
        <w:jc w:val="both"/>
        <w:rPr>
          <w:rFonts w:ascii="Palatino Linotype" w:eastAsia="Palatino Linotype" w:hAnsi="Palatino Linotype" w:cs="Palatino Linotype"/>
          <w:color w:val="000000"/>
          <w:sz w:val="24"/>
          <w:szCs w:val="24"/>
        </w:rPr>
      </w:pPr>
    </w:p>
    <w:p w14:paraId="21BCDA77" w14:textId="77777777" w:rsidR="005C71B6" w:rsidRDefault="00A70426">
      <w:pPr>
        <w:numPr>
          <w:ilvl w:val="0"/>
          <w:numId w:val="3"/>
        </w:numPr>
        <w:pBdr>
          <w:top w:val="nil"/>
          <w:left w:val="nil"/>
          <w:bottom w:val="nil"/>
          <w:right w:val="nil"/>
          <w:between w:val="nil"/>
        </w:pBdr>
        <w:spacing w:line="360" w:lineRule="auto"/>
        <w:ind w:left="0" w:right="-592" w:firstLine="0"/>
        <w:jc w:val="both"/>
        <w:rPr>
          <w:color w:val="000000"/>
          <w:sz w:val="24"/>
          <w:szCs w:val="24"/>
        </w:rPr>
      </w:pPr>
      <w:r>
        <w:rPr>
          <w:rFonts w:ascii="Palatino Linotype" w:eastAsia="Palatino Linotype" w:hAnsi="Palatino Linotype" w:cs="Palatino Linotype"/>
          <w:color w:val="000000"/>
          <w:sz w:val="24"/>
          <w:szCs w:val="24"/>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6515D6A7" w14:textId="77777777" w:rsidR="005C71B6" w:rsidRDefault="00A70426">
      <w:pPr>
        <w:pBdr>
          <w:top w:val="nil"/>
          <w:left w:val="nil"/>
          <w:bottom w:val="nil"/>
          <w:right w:val="nil"/>
          <w:between w:val="nil"/>
        </w:pBdr>
        <w:tabs>
          <w:tab w:val="left" w:pos="851"/>
        </w:tabs>
        <w:ind w:left="425"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w:t>
      </w:r>
      <w:r>
        <w:rPr>
          <w:rFonts w:ascii="Palatino Linotype" w:eastAsia="Palatino Linotype" w:hAnsi="Palatino Linotype" w:cs="Palatino Linotype"/>
          <w:i/>
          <w:color w:val="000000"/>
          <w:sz w:val="22"/>
          <w:szCs w:val="22"/>
        </w:rPr>
        <w:lastRenderedPageBreak/>
        <w:t>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11D8B331" w14:textId="77777777" w:rsidR="0056199A" w:rsidRDefault="0056199A">
      <w:pPr>
        <w:pBdr>
          <w:top w:val="nil"/>
          <w:left w:val="nil"/>
          <w:bottom w:val="nil"/>
          <w:right w:val="nil"/>
          <w:between w:val="nil"/>
        </w:pBdr>
        <w:tabs>
          <w:tab w:val="left" w:pos="851"/>
        </w:tabs>
        <w:ind w:left="425" w:right="115"/>
        <w:jc w:val="both"/>
        <w:rPr>
          <w:rFonts w:ascii="Palatino Linotype" w:eastAsia="Palatino Linotype" w:hAnsi="Palatino Linotype" w:cs="Palatino Linotype"/>
          <w:i/>
          <w:color w:val="000000"/>
          <w:sz w:val="22"/>
          <w:szCs w:val="22"/>
        </w:rPr>
      </w:pPr>
    </w:p>
    <w:p w14:paraId="415F0F34" w14:textId="77777777" w:rsidR="0056199A" w:rsidRPr="00A62742" w:rsidRDefault="0056199A" w:rsidP="0056199A">
      <w:pPr>
        <w:numPr>
          <w:ilvl w:val="0"/>
          <w:numId w:val="3"/>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4"/>
          <w:szCs w:val="24"/>
        </w:rPr>
      </w:pPr>
      <w:r w:rsidRPr="00A62742">
        <w:rPr>
          <w:rFonts w:ascii="Palatino Linotype" w:eastAsia="Palatino Linotype" w:hAnsi="Palatino Linotype" w:cs="Palatino Linotype"/>
          <w:color w:val="000000"/>
          <w:sz w:val="24"/>
          <w:szCs w:val="24"/>
        </w:rPr>
        <w:t>Por</w:t>
      </w:r>
      <w:r w:rsidRPr="00A62742">
        <w:rPr>
          <w:rFonts w:ascii="Palatino Linotype" w:eastAsia="Palatino Linotype" w:hAnsi="Palatino Linotype" w:cs="Palatino Linotype"/>
          <w:color w:val="222222"/>
          <w:sz w:val="24"/>
          <w:szCs w:val="24"/>
        </w:rPr>
        <w:t xml:space="preserve"> lo anteriormente expuesto y fundado, este </w:t>
      </w:r>
      <w:r w:rsidRPr="00A62742">
        <w:rPr>
          <w:rFonts w:ascii="Palatino Linotype" w:eastAsia="Palatino Linotype" w:hAnsi="Palatino Linotype" w:cs="Palatino Linotype"/>
          <w:b/>
          <w:color w:val="222222"/>
          <w:sz w:val="24"/>
          <w:szCs w:val="24"/>
        </w:rPr>
        <w:t>ÓRGANO GARANTE</w:t>
      </w:r>
      <w:r w:rsidRPr="00A62742">
        <w:rPr>
          <w:rFonts w:ascii="Palatino Linotype" w:eastAsia="Palatino Linotype" w:hAnsi="Palatino Linotype" w:cs="Palatino Linotype"/>
          <w:color w:val="222222"/>
          <w:sz w:val="24"/>
          <w:szCs w:val="24"/>
        </w:rPr>
        <w:t xml:space="preserve"> emite los siguientes: </w:t>
      </w:r>
    </w:p>
    <w:p w14:paraId="76D724C4" w14:textId="77777777" w:rsidR="0056199A" w:rsidRDefault="0056199A">
      <w:pPr>
        <w:pBdr>
          <w:top w:val="nil"/>
          <w:left w:val="nil"/>
          <w:bottom w:val="nil"/>
          <w:right w:val="nil"/>
          <w:between w:val="nil"/>
        </w:pBdr>
        <w:tabs>
          <w:tab w:val="left" w:pos="851"/>
        </w:tabs>
        <w:ind w:left="425" w:right="115"/>
        <w:jc w:val="both"/>
        <w:rPr>
          <w:rFonts w:ascii="Palatino Linotype" w:eastAsia="Palatino Linotype" w:hAnsi="Palatino Linotype" w:cs="Palatino Linotype"/>
          <w:i/>
          <w:color w:val="000000"/>
          <w:sz w:val="22"/>
          <w:szCs w:val="22"/>
        </w:rPr>
      </w:pPr>
    </w:p>
    <w:p w14:paraId="36AA5C1B" w14:textId="77777777" w:rsidR="005C71B6" w:rsidRDefault="00A70426">
      <w:pPr>
        <w:pBdr>
          <w:top w:val="nil"/>
          <w:left w:val="nil"/>
          <w:bottom w:val="nil"/>
          <w:right w:val="nil"/>
          <w:between w:val="nil"/>
        </w:pBdr>
        <w:tabs>
          <w:tab w:val="left" w:pos="426"/>
        </w:tabs>
        <w:spacing w:line="360" w:lineRule="auto"/>
        <w:ind w:right="-592"/>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409C36AC" w14:textId="77777777" w:rsidR="005C71B6" w:rsidRDefault="005C71B6">
      <w:pPr>
        <w:pBdr>
          <w:top w:val="nil"/>
          <w:left w:val="nil"/>
          <w:bottom w:val="nil"/>
          <w:right w:val="nil"/>
          <w:between w:val="nil"/>
        </w:pBdr>
        <w:tabs>
          <w:tab w:val="left" w:pos="426"/>
        </w:tabs>
        <w:spacing w:line="360" w:lineRule="auto"/>
        <w:ind w:right="-592"/>
        <w:jc w:val="center"/>
        <w:rPr>
          <w:rFonts w:ascii="Palatino Linotype" w:eastAsia="Palatino Linotype" w:hAnsi="Palatino Linotype" w:cs="Palatino Linotype"/>
          <w:b/>
          <w:sz w:val="24"/>
          <w:szCs w:val="24"/>
        </w:rPr>
      </w:pPr>
    </w:p>
    <w:p w14:paraId="43EA4D89" w14:textId="77777777" w:rsidR="005C71B6" w:rsidRDefault="00A70426">
      <w:pPr>
        <w:spacing w:line="360" w:lineRule="auto"/>
        <w:ind w:right="-592"/>
        <w:jc w:val="both"/>
        <w:rPr>
          <w:rFonts w:ascii="Palatino Linotype" w:eastAsia="Palatino Linotype" w:hAnsi="Palatino Linotype" w:cs="Palatino Linotype"/>
          <w:sz w:val="24"/>
          <w:szCs w:val="24"/>
        </w:rPr>
      </w:pPr>
      <w:bookmarkStart w:id="9" w:name="_heading=h.4d34og8" w:colFirst="0" w:colLast="0"/>
      <w:bookmarkEnd w:id="9"/>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sz w:val="24"/>
          <w:szCs w:val="24"/>
        </w:rPr>
        <w:t>Resultan fundadas las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razones o motivos de inconformidad hechos valer en el Recurso de Revisión </w:t>
      </w:r>
      <w:r>
        <w:rPr>
          <w:rFonts w:ascii="Palatino Linotype" w:eastAsia="Palatino Linotype" w:hAnsi="Palatino Linotype" w:cs="Palatino Linotype"/>
          <w:b/>
          <w:sz w:val="24"/>
          <w:szCs w:val="24"/>
        </w:rPr>
        <w:t xml:space="preserve">04173/INFOEM/IP/RR/2024 </w:t>
      </w:r>
      <w:r>
        <w:rPr>
          <w:rFonts w:ascii="Palatino Linotype" w:eastAsia="Palatino Linotype" w:hAnsi="Palatino Linotype" w:cs="Palatino Linotype"/>
          <w:sz w:val="24"/>
          <w:szCs w:val="24"/>
        </w:rPr>
        <w:t>en términos del</w:t>
      </w:r>
      <w:r>
        <w:rPr>
          <w:rFonts w:ascii="Palatino Linotype" w:eastAsia="Palatino Linotype" w:hAnsi="Palatino Linotype" w:cs="Palatino Linotype"/>
          <w:b/>
          <w:sz w:val="24"/>
          <w:szCs w:val="24"/>
        </w:rPr>
        <w:t xml:space="preserve"> Considerando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Cuarto</w:t>
      </w:r>
      <w:r>
        <w:rPr>
          <w:rFonts w:ascii="Palatino Linotype" w:eastAsia="Palatino Linotype" w:hAnsi="Palatino Linotype" w:cs="Palatino Linotype"/>
          <w:sz w:val="24"/>
          <w:szCs w:val="24"/>
        </w:rPr>
        <w:t xml:space="preserve"> de la presente Resolución.</w:t>
      </w:r>
    </w:p>
    <w:p w14:paraId="0EAD4D93" w14:textId="77777777" w:rsidR="005C71B6" w:rsidRDefault="00A70426">
      <w:pPr>
        <w:spacing w:before="240" w:after="240" w:line="360" w:lineRule="auto"/>
        <w:ind w:right="-592"/>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SEGUNDO.</w:t>
      </w:r>
      <w:r>
        <w:rPr>
          <w:rFonts w:ascii="Palatino Linotype" w:eastAsia="Palatino Linotype" w:hAnsi="Palatino Linotype" w:cs="Palatino Linotype"/>
          <w:color w:val="2F5496"/>
          <w:sz w:val="24"/>
          <w:szCs w:val="24"/>
        </w:rPr>
        <w:t xml:space="preserve"> </w:t>
      </w:r>
      <w:r>
        <w:rPr>
          <w:rFonts w:ascii="Palatino Linotype" w:eastAsia="Palatino Linotype" w:hAnsi="Palatino Linotype" w:cs="Palatino Linotype"/>
          <w:sz w:val="24"/>
          <w:szCs w:val="24"/>
        </w:rPr>
        <w:t>Se</w:t>
      </w:r>
      <w:r>
        <w:rPr>
          <w:rFonts w:ascii="Palatino Linotype" w:eastAsia="Palatino Linotype" w:hAnsi="Palatino Linotype" w:cs="Palatino Linotype"/>
          <w:b/>
          <w:sz w:val="24"/>
          <w:szCs w:val="24"/>
        </w:rPr>
        <w:t xml:space="preserve"> REVOCA </w:t>
      </w:r>
      <w:r>
        <w:rPr>
          <w:rFonts w:ascii="Palatino Linotype" w:eastAsia="Palatino Linotype" w:hAnsi="Palatino Linotype" w:cs="Palatino Linotype"/>
          <w:sz w:val="24"/>
          <w:szCs w:val="24"/>
        </w:rPr>
        <w:t xml:space="preserve">la respuesta emitida por el </w:t>
      </w:r>
      <w:r>
        <w:rPr>
          <w:rFonts w:ascii="Palatino Linotype" w:eastAsia="Palatino Linotype" w:hAnsi="Palatino Linotype" w:cs="Palatino Linotype"/>
          <w:b/>
          <w:sz w:val="24"/>
          <w:szCs w:val="24"/>
        </w:rPr>
        <w:t>Ayuntamiento de Texcoco</w:t>
      </w:r>
      <w:r>
        <w:rPr>
          <w:rFonts w:ascii="Palatino Linotype" w:eastAsia="Palatino Linotype" w:hAnsi="Palatino Linotype" w:cs="Palatino Linotype"/>
          <w:sz w:val="24"/>
          <w:szCs w:val="24"/>
        </w:rPr>
        <w:t xml:space="preserve"> y se</w:t>
      </w:r>
      <w:r>
        <w:rPr>
          <w:rFonts w:ascii="Palatino Linotype" w:eastAsia="Palatino Linotype" w:hAnsi="Palatino Linotype" w:cs="Palatino Linotype"/>
          <w:b/>
          <w:sz w:val="24"/>
          <w:szCs w:val="24"/>
        </w:rPr>
        <w:t xml:space="preserve"> ORDENA </w:t>
      </w:r>
      <w:r>
        <w:rPr>
          <w:rFonts w:ascii="Palatino Linotype" w:eastAsia="Palatino Linotype" w:hAnsi="Palatino Linotype" w:cs="Palatino Linotype"/>
          <w:sz w:val="24"/>
          <w:szCs w:val="24"/>
        </w:rPr>
        <w:t xml:space="preserve">entregar vía Sistema de Accesos a la Información Mexiquense </w:t>
      </w:r>
      <w:r>
        <w:rPr>
          <w:rFonts w:ascii="Palatino Linotype" w:eastAsia="Palatino Linotype" w:hAnsi="Palatino Linotype" w:cs="Palatino Linotype"/>
          <w:b/>
          <w:sz w:val="24"/>
          <w:szCs w:val="24"/>
        </w:rPr>
        <w:t xml:space="preserve">(SAIMEX) </w:t>
      </w:r>
      <w:r>
        <w:rPr>
          <w:rFonts w:ascii="Palatino Linotype" w:eastAsia="Palatino Linotype" w:hAnsi="Palatino Linotype" w:cs="Palatino Linotype"/>
          <w:sz w:val="24"/>
          <w:szCs w:val="24"/>
        </w:rPr>
        <w:t>y</w:t>
      </w:r>
      <w:r>
        <w:rPr>
          <w:rFonts w:ascii="Palatino Linotype" w:eastAsia="Palatino Linotype" w:hAnsi="Palatino Linotype" w:cs="Palatino Linotype"/>
          <w:b/>
          <w:sz w:val="24"/>
          <w:szCs w:val="24"/>
        </w:rPr>
        <w:t xml:space="preserve"> correo electrónico</w:t>
      </w:r>
      <w:r>
        <w:rPr>
          <w:rFonts w:ascii="Palatino Linotype" w:eastAsia="Palatino Linotype" w:hAnsi="Palatino Linotype" w:cs="Palatino Linotype"/>
          <w:sz w:val="24"/>
          <w:szCs w:val="24"/>
        </w:rPr>
        <w:t>, el soporte documental donde conste o se advierta la siguiente información:</w:t>
      </w:r>
    </w:p>
    <w:p w14:paraId="2985BAD9" w14:textId="77777777" w:rsidR="005C71B6" w:rsidRDefault="00A70426">
      <w:pPr>
        <w:numPr>
          <w:ilvl w:val="0"/>
          <w:numId w:val="7"/>
        </w:numPr>
        <w:pBdr>
          <w:top w:val="nil"/>
          <w:left w:val="nil"/>
          <w:bottom w:val="nil"/>
          <w:right w:val="nil"/>
          <w:between w:val="nil"/>
        </w:pBdr>
        <w:ind w:right="-592"/>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Número de ambulancias entregadas por el Gobierno del Estado de México de los años 2015 a 2022, disgregado por año; y</w:t>
      </w:r>
    </w:p>
    <w:p w14:paraId="0A5DE463" w14:textId="77777777" w:rsidR="005C71B6" w:rsidRDefault="005C71B6">
      <w:pPr>
        <w:pBdr>
          <w:top w:val="nil"/>
          <w:left w:val="nil"/>
          <w:bottom w:val="nil"/>
          <w:right w:val="nil"/>
          <w:between w:val="nil"/>
        </w:pBdr>
        <w:ind w:left="720" w:right="-592"/>
        <w:jc w:val="both"/>
        <w:rPr>
          <w:rFonts w:ascii="Palatino Linotype" w:eastAsia="Palatino Linotype" w:hAnsi="Palatino Linotype" w:cs="Palatino Linotype"/>
          <w:b/>
          <w:color w:val="000000"/>
          <w:sz w:val="24"/>
          <w:szCs w:val="24"/>
        </w:rPr>
      </w:pPr>
    </w:p>
    <w:p w14:paraId="4F0F5D5D" w14:textId="77777777" w:rsidR="005C71B6" w:rsidRDefault="00A70426">
      <w:pPr>
        <w:numPr>
          <w:ilvl w:val="0"/>
          <w:numId w:val="7"/>
        </w:numPr>
        <w:pBdr>
          <w:top w:val="nil"/>
          <w:left w:val="nil"/>
          <w:bottom w:val="nil"/>
          <w:right w:val="nil"/>
          <w:between w:val="nil"/>
        </w:pBdr>
        <w:ind w:right="-592"/>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El número de  ambulancias entregadas por el Gobierno del Estado de México, que se encuentran funcionales al 11 de junio de 2024.</w:t>
      </w:r>
    </w:p>
    <w:p w14:paraId="1B7DA9DB" w14:textId="77777777" w:rsidR="005C71B6" w:rsidRDefault="005C71B6">
      <w:pPr>
        <w:pBdr>
          <w:top w:val="nil"/>
          <w:left w:val="nil"/>
          <w:bottom w:val="nil"/>
          <w:right w:val="nil"/>
          <w:between w:val="nil"/>
        </w:pBdr>
        <w:ind w:left="360" w:right="-592"/>
        <w:jc w:val="both"/>
        <w:rPr>
          <w:rFonts w:ascii="Palatino Linotype" w:eastAsia="Palatino Linotype" w:hAnsi="Palatino Linotype" w:cs="Palatino Linotype"/>
          <w:b/>
          <w:color w:val="000000"/>
          <w:sz w:val="24"/>
          <w:szCs w:val="24"/>
        </w:rPr>
      </w:pPr>
    </w:p>
    <w:p w14:paraId="3EE9EDB5" w14:textId="77777777" w:rsidR="005C71B6" w:rsidRDefault="00A70426">
      <w:pPr>
        <w:tabs>
          <w:tab w:val="left" w:pos="8080"/>
        </w:tabs>
        <w:spacing w:line="360" w:lineRule="auto"/>
        <w:ind w:right="-5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el caso de que la información que se ordena su entrega, no se haya generado, poseído o administrado, bastará con que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xml:space="preserve"> lo informe al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sz w:val="24"/>
          <w:szCs w:val="24"/>
        </w:rPr>
        <w:lastRenderedPageBreak/>
        <w:t>momento de dar cumplimiento a la presente Resolución, en términos del artículo 19 párrafo segundo de la Ley  de Transparencia y Acceso a la Información Pública del Estado de México y Municipios.</w:t>
      </w:r>
    </w:p>
    <w:p w14:paraId="2F51069B" w14:textId="77777777" w:rsidR="00772291" w:rsidRDefault="00772291">
      <w:pPr>
        <w:spacing w:line="360" w:lineRule="auto"/>
        <w:ind w:right="-592"/>
        <w:jc w:val="both"/>
        <w:rPr>
          <w:rFonts w:ascii="Palatino Linotype" w:eastAsia="Palatino Linotype" w:hAnsi="Palatino Linotype" w:cs="Palatino Linotype"/>
          <w:b/>
          <w:sz w:val="32"/>
          <w:szCs w:val="24"/>
        </w:rPr>
      </w:pPr>
    </w:p>
    <w:p w14:paraId="52773795" w14:textId="77777777" w:rsidR="005C71B6" w:rsidRDefault="00A70426">
      <w:pPr>
        <w:spacing w:line="360" w:lineRule="auto"/>
        <w:ind w:right="-592"/>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TERCERO. Notifíquese </w:t>
      </w:r>
      <w:r>
        <w:rPr>
          <w:rFonts w:ascii="Palatino Linotype" w:eastAsia="Palatino Linotype" w:hAnsi="Palatino Linotype" w:cs="Palatino Linotype"/>
          <w:sz w:val="24"/>
          <w:szCs w:val="24"/>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sz w:val="24"/>
          <w:szCs w:val="24"/>
        </w:rPr>
        <w:t>dé cumplimiento a lo ordenado dentro del plazo de diez días hábiles,</w:t>
      </w:r>
      <w:r>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29C2FB6" w14:textId="77777777" w:rsidR="005C71B6" w:rsidRDefault="005C71B6">
      <w:pPr>
        <w:spacing w:line="360" w:lineRule="auto"/>
        <w:ind w:right="-592"/>
        <w:jc w:val="both"/>
        <w:rPr>
          <w:rFonts w:ascii="Palatino Linotype" w:eastAsia="Palatino Linotype" w:hAnsi="Palatino Linotype" w:cs="Palatino Linotype"/>
          <w:sz w:val="24"/>
          <w:szCs w:val="24"/>
        </w:rPr>
      </w:pPr>
    </w:p>
    <w:p w14:paraId="7CDF381F" w14:textId="77777777" w:rsidR="005C71B6" w:rsidRDefault="00A70426">
      <w:pPr>
        <w:spacing w:line="360" w:lineRule="auto"/>
        <w:ind w:right="-592"/>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1A7909C1" w14:textId="77777777" w:rsidR="005C71B6" w:rsidRDefault="005C71B6">
      <w:pPr>
        <w:spacing w:line="360" w:lineRule="auto"/>
        <w:ind w:right="-592"/>
        <w:jc w:val="both"/>
        <w:rPr>
          <w:rFonts w:ascii="Palatino Linotype" w:eastAsia="Palatino Linotype" w:hAnsi="Palatino Linotype" w:cs="Palatino Linotype"/>
          <w:sz w:val="24"/>
          <w:szCs w:val="24"/>
        </w:rPr>
      </w:pPr>
    </w:p>
    <w:p w14:paraId="3077FAC5" w14:textId="77777777" w:rsidR="005C71B6" w:rsidRDefault="00A70426">
      <w:pPr>
        <w:tabs>
          <w:tab w:val="left" w:pos="8080"/>
        </w:tabs>
        <w:spacing w:line="360" w:lineRule="auto"/>
        <w:ind w:right="-592"/>
        <w:jc w:val="both"/>
        <w:rPr>
          <w:rFonts w:ascii="Palatino Linotype" w:eastAsia="Palatino Linotype" w:hAnsi="Palatino Linotype" w:cs="Palatino Linotype"/>
          <w:sz w:val="24"/>
          <w:szCs w:val="24"/>
        </w:rPr>
      </w:pPr>
      <w:bookmarkStart w:id="10" w:name="_heading=h.1ksv4uv" w:colFirst="0" w:colLast="0"/>
      <w:bookmarkEnd w:id="10"/>
      <w:r>
        <w:rPr>
          <w:rFonts w:ascii="Palatino Linotype" w:eastAsia="Palatino Linotype" w:hAnsi="Palatino Linotype" w:cs="Palatino Linotype"/>
          <w:b/>
          <w:sz w:val="24"/>
          <w:szCs w:val="24"/>
        </w:rPr>
        <w:t xml:space="preserve">QUINTO. </w:t>
      </w:r>
      <w:r>
        <w:rPr>
          <w:rFonts w:ascii="Palatino Linotype" w:eastAsia="Palatino Linotype" w:hAnsi="Palatino Linotype" w:cs="Palatino Linotype"/>
          <w:sz w:val="24"/>
          <w:szCs w:val="24"/>
        </w:rPr>
        <w:t xml:space="preserve">Notifíquese al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la presente Resolución, vía </w:t>
      </w:r>
      <w:r>
        <w:rPr>
          <w:rFonts w:ascii="Palatino Linotype" w:eastAsia="Palatino Linotype" w:hAnsi="Palatino Linotype" w:cs="Palatino Linotype"/>
          <w:b/>
          <w:sz w:val="24"/>
          <w:szCs w:val="24"/>
        </w:rPr>
        <w:t xml:space="preserve">SAIMEX </w:t>
      </w:r>
      <w:r>
        <w:rPr>
          <w:rFonts w:ascii="Palatino Linotype" w:eastAsia="Palatino Linotype" w:hAnsi="Palatino Linotype" w:cs="Palatino Linotype"/>
          <w:sz w:val="24"/>
          <w:szCs w:val="24"/>
        </w:rPr>
        <w:t xml:space="preserve">y </w:t>
      </w:r>
      <w:r>
        <w:rPr>
          <w:rFonts w:ascii="Palatino Linotype" w:eastAsia="Palatino Linotype" w:hAnsi="Palatino Linotype" w:cs="Palatino Linotype"/>
          <w:b/>
          <w:sz w:val="24"/>
          <w:szCs w:val="24"/>
        </w:rPr>
        <w:t>correo electrónico</w:t>
      </w:r>
      <w:r>
        <w:rPr>
          <w:rFonts w:ascii="Palatino Linotype" w:eastAsia="Palatino Linotype" w:hAnsi="Palatino Linotype" w:cs="Palatino Linotype"/>
          <w:sz w:val="24"/>
          <w:szCs w:val="24"/>
        </w:rPr>
        <w:t>.</w:t>
      </w:r>
    </w:p>
    <w:p w14:paraId="05DC2040" w14:textId="77777777" w:rsidR="005C71B6" w:rsidRDefault="005C71B6">
      <w:pPr>
        <w:tabs>
          <w:tab w:val="left" w:pos="8080"/>
        </w:tabs>
        <w:spacing w:line="360" w:lineRule="auto"/>
        <w:ind w:right="-592"/>
        <w:jc w:val="both"/>
        <w:rPr>
          <w:rFonts w:ascii="Palatino Linotype" w:eastAsia="Palatino Linotype" w:hAnsi="Palatino Linotype" w:cs="Palatino Linotype"/>
          <w:sz w:val="24"/>
          <w:szCs w:val="24"/>
        </w:rPr>
      </w:pPr>
      <w:bookmarkStart w:id="11" w:name="_heading=h.w2wtr4gui4nd" w:colFirst="0" w:colLast="0"/>
      <w:bookmarkEnd w:id="11"/>
    </w:p>
    <w:p w14:paraId="68CDF211" w14:textId="77777777" w:rsidR="005C71B6" w:rsidRDefault="00A70426">
      <w:pPr>
        <w:shd w:val="clear" w:color="auto" w:fill="FFFFFF"/>
        <w:spacing w:line="360" w:lineRule="auto"/>
        <w:ind w:right="-592"/>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SEXTO. </w:t>
      </w:r>
      <w:r>
        <w:rPr>
          <w:rFonts w:ascii="Palatino Linotype" w:eastAsia="Palatino Linotype" w:hAnsi="Palatino Linotype" w:cs="Palatino Linotype"/>
          <w:sz w:val="24"/>
          <w:szCs w:val="24"/>
        </w:rPr>
        <w:t>Se hace del conocimiento del</w:t>
      </w:r>
      <w:r>
        <w:rPr>
          <w:rFonts w:ascii="Palatino Linotype" w:eastAsia="Palatino Linotype" w:hAnsi="Palatino Linotype" w:cs="Palatino Linotype"/>
          <w:b/>
          <w:sz w:val="24"/>
          <w:szCs w:val="24"/>
        </w:rPr>
        <w:t xml:space="preserve"> RECURRENTE </w:t>
      </w:r>
      <w:r>
        <w:rPr>
          <w:rFonts w:ascii="Palatino Linotype" w:eastAsia="Palatino Linotype" w:hAnsi="Palatino Linotype" w:cs="Palatino Linotype"/>
          <w:sz w:val="24"/>
          <w:szCs w:val="24"/>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3FCC6692" w14:textId="77777777" w:rsidR="00830BB6" w:rsidRDefault="00830BB6">
      <w:pPr>
        <w:shd w:val="clear" w:color="auto" w:fill="FFFFFF"/>
        <w:spacing w:line="360" w:lineRule="auto"/>
        <w:ind w:right="-592"/>
        <w:jc w:val="both"/>
        <w:rPr>
          <w:rFonts w:ascii="Palatino Linotype" w:eastAsia="Palatino Linotype" w:hAnsi="Palatino Linotype" w:cs="Palatino Linotype"/>
          <w:sz w:val="24"/>
          <w:szCs w:val="24"/>
        </w:rPr>
      </w:pPr>
    </w:p>
    <w:p w14:paraId="1F87B433" w14:textId="77777777" w:rsidR="00830BB6" w:rsidRPr="00830BB6" w:rsidRDefault="00830BB6" w:rsidP="00A12922">
      <w:pPr>
        <w:spacing w:line="360" w:lineRule="auto"/>
        <w:ind w:right="-595"/>
        <w:jc w:val="both"/>
        <w:rPr>
          <w:rFonts w:ascii="Palatino Linotype" w:hAnsi="Palatino Linotype"/>
          <w:sz w:val="24"/>
        </w:rPr>
      </w:pPr>
      <w:r w:rsidRPr="00830BB6">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(AUSENCIA JUSTIFICADA) EN LA TRIGÉSIMA TERCERA SESIÓN ORDINARIA CELEBRADA EL DIECINUEVE (19) DE SEPTIEMBRE DE DOS MIL VEINTICUATRO, ANTE EL SECRETARIO TÉCNICO DEL PLENO ALEXIS TAPIA RAMÍREZ. </w:t>
      </w:r>
    </w:p>
    <w:p w14:paraId="3418D51B" w14:textId="77777777" w:rsidR="00830BB6" w:rsidRPr="00902BA4" w:rsidRDefault="00830BB6" w:rsidP="00830BB6">
      <w:pPr>
        <w:widowControl w:val="0"/>
        <w:autoSpaceDE w:val="0"/>
        <w:autoSpaceDN w:val="0"/>
        <w:adjustRightInd w:val="0"/>
        <w:spacing w:after="200" w:line="276" w:lineRule="auto"/>
        <w:ind w:left="-142" w:right="-234"/>
        <w:rPr>
          <w:rFonts w:ascii="Calibri" w:hAnsi="Calibri" w:cs="Calibri"/>
        </w:rPr>
      </w:pPr>
    </w:p>
    <w:p w14:paraId="37B438B6" w14:textId="77777777" w:rsidR="005C71B6" w:rsidRDefault="005C71B6">
      <w:pPr>
        <w:spacing w:before="240" w:after="240" w:line="360" w:lineRule="auto"/>
        <w:jc w:val="both"/>
        <w:rPr>
          <w:rFonts w:ascii="Palatino Linotype" w:eastAsia="Palatino Linotype" w:hAnsi="Palatino Linotype" w:cs="Palatino Linotype"/>
          <w:sz w:val="24"/>
          <w:szCs w:val="24"/>
        </w:rPr>
      </w:pPr>
    </w:p>
    <w:sectPr w:rsidR="005C71B6">
      <w:headerReference w:type="even" r:id="rId9"/>
      <w:headerReference w:type="default" r:id="rId10"/>
      <w:footerReference w:type="default" r:id="rId11"/>
      <w:headerReference w:type="first" r:id="rId12"/>
      <w:footerReference w:type="first" r:id="rId13"/>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FB7C" w14:textId="77777777" w:rsidR="004040EC" w:rsidRDefault="004040EC">
      <w:r>
        <w:separator/>
      </w:r>
    </w:p>
  </w:endnote>
  <w:endnote w:type="continuationSeparator" w:id="0">
    <w:p w14:paraId="0F286F2D" w14:textId="77777777" w:rsidR="004040EC" w:rsidRDefault="0040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C920" w14:textId="77777777" w:rsidR="005C71B6" w:rsidRDefault="005C71B6">
    <w:pPr>
      <w:pBdr>
        <w:top w:val="nil"/>
        <w:left w:val="nil"/>
        <w:bottom w:val="nil"/>
        <w:right w:val="nil"/>
        <w:between w:val="nil"/>
      </w:pBdr>
      <w:tabs>
        <w:tab w:val="center" w:pos="4419"/>
        <w:tab w:val="right" w:pos="8838"/>
      </w:tabs>
      <w:jc w:val="right"/>
      <w:rPr>
        <w:color w:val="000000"/>
      </w:rPr>
    </w:pPr>
  </w:p>
  <w:p w14:paraId="6CCBA358" w14:textId="77777777" w:rsidR="005C71B6" w:rsidRDefault="00A7042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72291">
      <w:rPr>
        <w:b/>
        <w:noProof/>
        <w:color w:val="000000"/>
        <w:sz w:val="24"/>
        <w:szCs w:val="24"/>
      </w:rPr>
      <w:t>32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72291">
      <w:rPr>
        <w:b/>
        <w:noProof/>
        <w:color w:val="000000"/>
        <w:sz w:val="24"/>
        <w:szCs w:val="24"/>
      </w:rPr>
      <w:t>32</w:t>
    </w:r>
    <w:r>
      <w:rPr>
        <w:b/>
        <w:color w:val="000000"/>
        <w:sz w:val="24"/>
        <w:szCs w:val="24"/>
      </w:rPr>
      <w:fldChar w:fldCharType="end"/>
    </w:r>
  </w:p>
  <w:p w14:paraId="5B465530" w14:textId="77777777" w:rsidR="005C71B6" w:rsidRDefault="005C71B6">
    <w:pPr>
      <w:pBdr>
        <w:top w:val="nil"/>
        <w:left w:val="nil"/>
        <w:bottom w:val="nil"/>
        <w:right w:val="nil"/>
        <w:between w:val="nil"/>
      </w:pBdr>
      <w:tabs>
        <w:tab w:val="center" w:pos="4419"/>
        <w:tab w:val="right" w:pos="8838"/>
      </w:tabs>
      <w:rPr>
        <w:color w:val="000000"/>
      </w:rPr>
    </w:pPr>
  </w:p>
  <w:p w14:paraId="343EF3C5" w14:textId="77777777" w:rsidR="005C71B6" w:rsidRDefault="005C71B6"/>
  <w:p w14:paraId="6E1AA488" w14:textId="77777777" w:rsidR="005C71B6" w:rsidRDefault="005C71B6"/>
  <w:p w14:paraId="0F26D8B1" w14:textId="77777777" w:rsidR="005C71B6" w:rsidRDefault="005C71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6CBF" w14:textId="77777777" w:rsidR="005C71B6" w:rsidRDefault="00A7042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7229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72291">
      <w:rPr>
        <w:b/>
        <w:noProof/>
        <w:color w:val="000000"/>
        <w:sz w:val="24"/>
        <w:szCs w:val="24"/>
      </w:rPr>
      <w:t>32</w:t>
    </w:r>
    <w:r>
      <w:rPr>
        <w:b/>
        <w:color w:val="000000"/>
        <w:sz w:val="24"/>
        <w:szCs w:val="24"/>
      </w:rPr>
      <w:fldChar w:fldCharType="end"/>
    </w:r>
  </w:p>
  <w:p w14:paraId="46A7CEED" w14:textId="77777777" w:rsidR="005C71B6" w:rsidRDefault="005C71B6">
    <w:pPr>
      <w:pBdr>
        <w:top w:val="nil"/>
        <w:left w:val="nil"/>
        <w:bottom w:val="nil"/>
        <w:right w:val="nil"/>
        <w:between w:val="nil"/>
      </w:pBdr>
      <w:tabs>
        <w:tab w:val="center" w:pos="4419"/>
        <w:tab w:val="right" w:pos="8838"/>
      </w:tabs>
      <w:rPr>
        <w:color w:val="000000"/>
      </w:rPr>
    </w:pPr>
  </w:p>
  <w:p w14:paraId="2EBA3762" w14:textId="77777777" w:rsidR="005C71B6" w:rsidRDefault="005C71B6"/>
  <w:p w14:paraId="38EB89E9" w14:textId="77777777" w:rsidR="005C71B6" w:rsidRDefault="005C71B6"/>
  <w:p w14:paraId="3F168B48" w14:textId="77777777" w:rsidR="005C71B6" w:rsidRDefault="005C71B6"/>
  <w:p w14:paraId="5EEA289D" w14:textId="77777777" w:rsidR="005C71B6" w:rsidRDefault="005C71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90A5" w14:textId="77777777" w:rsidR="004040EC" w:rsidRDefault="004040EC">
      <w:r>
        <w:separator/>
      </w:r>
    </w:p>
  </w:footnote>
  <w:footnote w:type="continuationSeparator" w:id="0">
    <w:p w14:paraId="0F79390E" w14:textId="77777777" w:rsidR="004040EC" w:rsidRDefault="004040EC">
      <w:r>
        <w:continuationSeparator/>
      </w:r>
    </w:p>
  </w:footnote>
  <w:footnote w:id="1">
    <w:p w14:paraId="1EAEEEBC" w14:textId="77777777" w:rsidR="005C71B6" w:rsidRDefault="00A70426">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Ley de Transparencia y Acceso a la Información Pública del Estado de México y Municipios. Artículo 9. …</w:t>
      </w:r>
    </w:p>
    <w:p w14:paraId="3809668F" w14:textId="77777777" w:rsidR="005C71B6" w:rsidRDefault="00A7042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II. Eficacia: Obligación del Instituto para tutelar, de manera efectiva, el derecho de acceso a la información;</w:t>
      </w:r>
    </w:p>
    <w:p w14:paraId="5BB041A2" w14:textId="77777777" w:rsidR="005C71B6" w:rsidRDefault="00A7042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footnote>
  <w:footnote w:id="2">
    <w:p w14:paraId="13D2BAD9" w14:textId="77777777" w:rsidR="005C71B6" w:rsidRDefault="00A70426">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3">
    <w:p w14:paraId="1656C5E4" w14:textId="77777777" w:rsidR="005C71B6" w:rsidRDefault="00A70426">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4">
    <w:p w14:paraId="19F27201" w14:textId="77777777" w:rsidR="005C71B6" w:rsidRDefault="00A70426">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5">
    <w:p w14:paraId="050C505B" w14:textId="77777777" w:rsidR="005C71B6" w:rsidRDefault="00A70426">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6">
    <w:p w14:paraId="44736B2E" w14:textId="77777777" w:rsidR="005C71B6" w:rsidRDefault="00A70426">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7">
    <w:p w14:paraId="1AE39F6D" w14:textId="77777777" w:rsidR="005C71B6" w:rsidRDefault="00A70426">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2967D8AA" w14:textId="77777777" w:rsidR="005C71B6" w:rsidRDefault="00A70426">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0FEFB0DA" w14:textId="77777777" w:rsidR="005C71B6" w:rsidRDefault="00A70426">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DD3B" w14:textId="77777777" w:rsidR="005C71B6" w:rsidRDefault="004040EC">
    <w:pPr>
      <w:pBdr>
        <w:top w:val="nil"/>
        <w:left w:val="nil"/>
        <w:bottom w:val="nil"/>
        <w:right w:val="nil"/>
        <w:between w:val="nil"/>
      </w:pBdr>
      <w:tabs>
        <w:tab w:val="center" w:pos="4419"/>
        <w:tab w:val="right" w:pos="8838"/>
      </w:tabs>
      <w:rPr>
        <w:color w:val="000000"/>
      </w:rPr>
    </w:pPr>
    <w:r>
      <w:rPr>
        <w:color w:val="000000"/>
      </w:rPr>
      <w:pict w14:anchorId="5F9FA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63.5pt;height:12in;z-index:-251658752;mso-position-horizontal:center;mso-position-horizontal-relative:margin;mso-position-vertical:center;mso-position-vertical-relative:margin">
          <v:imagedata r:id="rId1" o:title="image2"/>
          <w10:wrap anchorx="margin" anchory="margin"/>
        </v:shape>
      </w:pict>
    </w:r>
  </w:p>
  <w:p w14:paraId="59C9F52D" w14:textId="77777777" w:rsidR="005C71B6" w:rsidRDefault="005C71B6"/>
  <w:p w14:paraId="33CFA9E6" w14:textId="77777777" w:rsidR="005C71B6" w:rsidRDefault="005C71B6"/>
  <w:p w14:paraId="40B59B45" w14:textId="77777777" w:rsidR="005C71B6" w:rsidRDefault="005C71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96C1" w14:textId="77777777" w:rsidR="005C71B6" w:rsidRDefault="005C71B6">
    <w:pPr>
      <w:widowControl w:val="0"/>
      <w:pBdr>
        <w:top w:val="nil"/>
        <w:left w:val="nil"/>
        <w:bottom w:val="nil"/>
        <w:right w:val="nil"/>
        <w:between w:val="nil"/>
      </w:pBdr>
      <w:spacing w:line="276" w:lineRule="auto"/>
    </w:pPr>
  </w:p>
  <w:tbl>
    <w:tblPr>
      <w:tblStyle w:val="a"/>
      <w:tblW w:w="9356" w:type="dxa"/>
      <w:tblInd w:w="0" w:type="dxa"/>
      <w:tblLayout w:type="fixed"/>
      <w:tblLook w:val="0400" w:firstRow="0" w:lastRow="0" w:firstColumn="0" w:lastColumn="0" w:noHBand="0" w:noVBand="1"/>
    </w:tblPr>
    <w:tblGrid>
      <w:gridCol w:w="1843"/>
      <w:gridCol w:w="7513"/>
    </w:tblGrid>
    <w:tr w:rsidR="005C71B6" w14:paraId="4897C9F6" w14:textId="77777777">
      <w:trPr>
        <w:trHeight w:val="1435"/>
      </w:trPr>
      <w:tc>
        <w:tcPr>
          <w:tcW w:w="1843" w:type="dxa"/>
          <w:shd w:val="clear" w:color="auto" w:fill="auto"/>
        </w:tcPr>
        <w:p w14:paraId="778E4A2B" w14:textId="77777777" w:rsidR="005C71B6" w:rsidRDefault="00A70426">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28C04EBB" w14:textId="77777777" w:rsidR="005C71B6" w:rsidRDefault="005C71B6"/>
        <w:tbl>
          <w:tblPr>
            <w:tblStyle w:val="a0"/>
            <w:tblW w:w="7525" w:type="dxa"/>
            <w:tblInd w:w="879" w:type="dxa"/>
            <w:tblBorders>
              <w:top w:val="nil"/>
              <w:left w:val="nil"/>
              <w:bottom w:val="nil"/>
              <w:right w:val="nil"/>
              <w:insideH w:val="nil"/>
              <w:insideV w:val="nil"/>
            </w:tblBorders>
            <w:tblLayout w:type="fixed"/>
            <w:tblLook w:val="0400" w:firstRow="0" w:lastRow="0" w:firstColumn="0" w:lastColumn="0" w:noHBand="0" w:noVBand="1"/>
          </w:tblPr>
          <w:tblGrid>
            <w:gridCol w:w="2557"/>
            <w:gridCol w:w="4968"/>
          </w:tblGrid>
          <w:tr w:rsidR="005C71B6" w14:paraId="09666903" w14:textId="77777777">
            <w:trPr>
              <w:trHeight w:val="338"/>
            </w:trPr>
            <w:tc>
              <w:tcPr>
                <w:tcW w:w="2557" w:type="dxa"/>
              </w:tcPr>
              <w:p w14:paraId="74992031" w14:textId="77777777" w:rsidR="005C71B6" w:rsidRDefault="005C71B6">
                <w:pPr>
                  <w:tabs>
                    <w:tab w:val="right" w:pos="8838"/>
                  </w:tabs>
                  <w:ind w:right="-105"/>
                  <w:rPr>
                    <w:rFonts w:ascii="Palatino Linotype" w:eastAsia="Palatino Linotype" w:hAnsi="Palatino Linotype" w:cs="Palatino Linotype"/>
                    <w:b/>
                    <w:sz w:val="22"/>
                    <w:szCs w:val="22"/>
                  </w:rPr>
                </w:pPr>
              </w:p>
              <w:p w14:paraId="3174E3D9" w14:textId="77777777" w:rsidR="005C71B6" w:rsidRDefault="00A7042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69" w:type="dxa"/>
              </w:tcPr>
              <w:p w14:paraId="6C55D2F9" w14:textId="77777777" w:rsidR="005C71B6" w:rsidRDefault="005C71B6">
                <w:pPr>
                  <w:tabs>
                    <w:tab w:val="right" w:pos="8838"/>
                  </w:tabs>
                  <w:ind w:right="-105" w:hanging="101"/>
                  <w:jc w:val="both"/>
                  <w:rPr>
                    <w:rFonts w:ascii="Palatino Linotype" w:eastAsia="Palatino Linotype" w:hAnsi="Palatino Linotype" w:cs="Palatino Linotype"/>
                    <w:b/>
                    <w:sz w:val="22"/>
                    <w:szCs w:val="22"/>
                  </w:rPr>
                </w:pPr>
              </w:p>
              <w:p w14:paraId="338B7DD0" w14:textId="77777777" w:rsidR="005C71B6" w:rsidRDefault="00A70426">
                <w:pPr>
                  <w:tabs>
                    <w:tab w:val="right" w:pos="8838"/>
                  </w:tabs>
                  <w:ind w:right="-105" w:hanging="10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04173/INFOEM/IP/RR/2024</w:t>
                </w:r>
              </w:p>
            </w:tc>
          </w:tr>
          <w:tr w:rsidR="005C71B6" w14:paraId="70DC4D03" w14:textId="77777777">
            <w:trPr>
              <w:trHeight w:val="283"/>
            </w:trPr>
            <w:tc>
              <w:tcPr>
                <w:tcW w:w="2557" w:type="dxa"/>
              </w:tcPr>
              <w:p w14:paraId="38D74067" w14:textId="77777777" w:rsidR="005C71B6" w:rsidRDefault="00A70426">
                <w:pPr>
                  <w:tabs>
                    <w:tab w:val="right" w:pos="8838"/>
                  </w:tabs>
                  <w:ind w:right="-105"/>
                  <w:rPr>
                    <w:rFonts w:ascii="Palatino Linotype" w:eastAsia="Palatino Linotype" w:hAnsi="Palatino Linotype" w:cs="Palatino Linotype"/>
                    <w:b/>
                    <w:sz w:val="22"/>
                    <w:szCs w:val="22"/>
                  </w:rPr>
                </w:pPr>
                <w:bookmarkStart w:id="12" w:name="_heading=h.2s8eyo1" w:colFirst="0" w:colLast="0"/>
                <w:bookmarkEnd w:id="12"/>
                <w:r>
                  <w:rPr>
                    <w:rFonts w:ascii="Palatino Linotype" w:eastAsia="Palatino Linotype" w:hAnsi="Palatino Linotype" w:cs="Palatino Linotype"/>
                    <w:b/>
                    <w:sz w:val="22"/>
                    <w:szCs w:val="22"/>
                  </w:rPr>
                  <w:t>Sujeto Obligado:</w:t>
                </w:r>
              </w:p>
            </w:tc>
            <w:tc>
              <w:tcPr>
                <w:tcW w:w="4969" w:type="dxa"/>
              </w:tcPr>
              <w:p w14:paraId="34CE7E9E" w14:textId="77777777" w:rsidR="005C71B6" w:rsidRDefault="00A70426">
                <w:pPr>
                  <w:tabs>
                    <w:tab w:val="left" w:pos="2834"/>
                    <w:tab w:val="right" w:pos="8838"/>
                  </w:tabs>
                  <w:ind w:left="-113" w:right="131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Texcoco</w:t>
                </w:r>
              </w:p>
            </w:tc>
          </w:tr>
          <w:tr w:rsidR="005C71B6" w14:paraId="2237550E" w14:textId="77777777">
            <w:trPr>
              <w:trHeight w:val="283"/>
            </w:trPr>
            <w:tc>
              <w:tcPr>
                <w:tcW w:w="2557" w:type="dxa"/>
              </w:tcPr>
              <w:p w14:paraId="4E834F38" w14:textId="77777777" w:rsidR="005C71B6" w:rsidRDefault="00A7042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69" w:type="dxa"/>
              </w:tcPr>
              <w:p w14:paraId="1E82FD2C" w14:textId="77777777" w:rsidR="005C71B6" w:rsidRDefault="00A70426">
                <w:pPr>
                  <w:tabs>
                    <w:tab w:val="right" w:pos="8838"/>
                  </w:tabs>
                  <w:ind w:left="-11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3FC6CC48" w14:textId="77777777" w:rsidR="005C71B6" w:rsidRDefault="005C71B6">
          <w:pPr>
            <w:tabs>
              <w:tab w:val="right" w:pos="8838"/>
            </w:tabs>
            <w:ind w:left="-28"/>
            <w:jc w:val="both"/>
            <w:rPr>
              <w:rFonts w:ascii="Arial" w:eastAsia="Arial" w:hAnsi="Arial" w:cs="Arial"/>
              <w:b/>
              <w:sz w:val="22"/>
              <w:szCs w:val="22"/>
            </w:rPr>
          </w:pPr>
        </w:p>
      </w:tc>
    </w:tr>
  </w:tbl>
  <w:p w14:paraId="022BBA1D" w14:textId="77777777" w:rsidR="005C71B6" w:rsidRDefault="004040EC">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0A0E9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4.3pt;margin-top:-147.5pt;width:663.5pt;height:12in;z-index:-251659776;mso-position-horizontal:absolute;mso-position-horizontal-relative:margin;mso-position-vertical:absolute;mso-position-vertical-relative:margin">
          <v:imagedata r:id="rId1" o:title="image2"/>
          <w10:wrap anchorx="margin" anchory="margin"/>
        </v:shape>
      </w:pict>
    </w:r>
  </w:p>
  <w:p w14:paraId="628F928C" w14:textId="77777777" w:rsidR="005C71B6" w:rsidRDefault="005C71B6"/>
  <w:p w14:paraId="38F5DE8D" w14:textId="77777777" w:rsidR="005C71B6" w:rsidRDefault="005C71B6"/>
  <w:p w14:paraId="4B67A1F6" w14:textId="77777777" w:rsidR="005C71B6" w:rsidRDefault="005C71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C670" w14:textId="77777777" w:rsidR="005C71B6" w:rsidRDefault="005C71B6">
    <w:pPr>
      <w:widowControl w:val="0"/>
      <w:pBdr>
        <w:top w:val="nil"/>
        <w:left w:val="nil"/>
        <w:bottom w:val="nil"/>
        <w:right w:val="nil"/>
        <w:between w:val="nil"/>
      </w:pBdr>
      <w:spacing w:line="276" w:lineRule="auto"/>
    </w:pPr>
  </w:p>
  <w:tbl>
    <w:tblPr>
      <w:tblStyle w:val="a1"/>
      <w:tblW w:w="9498" w:type="dxa"/>
      <w:tblInd w:w="0" w:type="dxa"/>
      <w:tblLayout w:type="fixed"/>
      <w:tblLook w:val="0400" w:firstRow="0" w:lastRow="0" w:firstColumn="0" w:lastColumn="0" w:noHBand="0" w:noVBand="1"/>
    </w:tblPr>
    <w:tblGrid>
      <w:gridCol w:w="1560"/>
      <w:gridCol w:w="7938"/>
    </w:tblGrid>
    <w:tr w:rsidR="005C71B6" w14:paraId="093D9BCB" w14:textId="77777777">
      <w:trPr>
        <w:trHeight w:val="1435"/>
      </w:trPr>
      <w:tc>
        <w:tcPr>
          <w:tcW w:w="1560" w:type="dxa"/>
          <w:shd w:val="clear" w:color="auto" w:fill="auto"/>
        </w:tcPr>
        <w:p w14:paraId="469B6345" w14:textId="77777777" w:rsidR="005C71B6" w:rsidRDefault="005C71B6">
          <w:pPr>
            <w:tabs>
              <w:tab w:val="right" w:pos="4273"/>
            </w:tabs>
            <w:rPr>
              <w:rFonts w:ascii="Garamond" w:eastAsia="Garamond" w:hAnsi="Garamond" w:cs="Garamond"/>
              <w:sz w:val="22"/>
              <w:szCs w:val="22"/>
            </w:rPr>
          </w:pPr>
        </w:p>
      </w:tc>
      <w:tc>
        <w:tcPr>
          <w:tcW w:w="7938" w:type="dxa"/>
          <w:shd w:val="clear" w:color="auto" w:fill="auto"/>
        </w:tcPr>
        <w:p w14:paraId="523C2AD4" w14:textId="77777777" w:rsidR="005C71B6" w:rsidRDefault="005C71B6">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10740" w:type="dxa"/>
            <w:tblInd w:w="1449" w:type="dxa"/>
            <w:tblBorders>
              <w:top w:val="nil"/>
              <w:left w:val="nil"/>
              <w:bottom w:val="nil"/>
              <w:right w:val="nil"/>
              <w:insideH w:val="nil"/>
              <w:insideV w:val="nil"/>
            </w:tblBorders>
            <w:tblLayout w:type="fixed"/>
            <w:tblLook w:val="0400" w:firstRow="0" w:lastRow="0" w:firstColumn="0" w:lastColumn="0" w:noHBand="0" w:noVBand="1"/>
          </w:tblPr>
          <w:tblGrid>
            <w:gridCol w:w="2415"/>
            <w:gridCol w:w="4923"/>
            <w:gridCol w:w="3402"/>
          </w:tblGrid>
          <w:tr w:rsidR="005C71B6" w14:paraId="2B000A92" w14:textId="77777777">
            <w:trPr>
              <w:trHeight w:val="144"/>
            </w:trPr>
            <w:tc>
              <w:tcPr>
                <w:tcW w:w="2415" w:type="dxa"/>
              </w:tcPr>
              <w:p w14:paraId="6943DBE8" w14:textId="77777777" w:rsidR="005C71B6" w:rsidRDefault="00A70426">
                <w:pPr>
                  <w:tabs>
                    <w:tab w:val="right" w:pos="8838"/>
                  </w:tabs>
                  <w:ind w:left="-74" w:right="-105"/>
                  <w:rPr>
                    <w:rFonts w:ascii="Palatino Linotype" w:eastAsia="Palatino Linotype" w:hAnsi="Palatino Linotype" w:cs="Palatino Linotype"/>
                    <w:b/>
                    <w:sz w:val="22"/>
                    <w:szCs w:val="22"/>
                  </w:rPr>
                </w:pPr>
                <w:bookmarkStart w:id="13" w:name="_heading=h.17dp8vu" w:colFirst="0" w:colLast="0"/>
                <w:bookmarkEnd w:id="13"/>
                <w:r>
                  <w:rPr>
                    <w:rFonts w:ascii="Palatino Linotype" w:eastAsia="Palatino Linotype" w:hAnsi="Palatino Linotype" w:cs="Palatino Linotype"/>
                    <w:b/>
                    <w:sz w:val="22"/>
                    <w:szCs w:val="22"/>
                  </w:rPr>
                  <w:t>Recurso de Revisión:</w:t>
                </w:r>
              </w:p>
            </w:tc>
            <w:tc>
              <w:tcPr>
                <w:tcW w:w="4923" w:type="dxa"/>
              </w:tcPr>
              <w:p w14:paraId="6B584BC3" w14:textId="77777777" w:rsidR="005C71B6" w:rsidRDefault="00A70426">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04173/INFOEM/IP/RR/2024</w:t>
                </w:r>
              </w:p>
            </w:tc>
            <w:tc>
              <w:tcPr>
                <w:tcW w:w="3402" w:type="dxa"/>
              </w:tcPr>
              <w:p w14:paraId="355F7B0A" w14:textId="77777777" w:rsidR="005C71B6" w:rsidRDefault="005C71B6">
                <w:pPr>
                  <w:tabs>
                    <w:tab w:val="right" w:pos="8838"/>
                  </w:tabs>
                  <w:ind w:left="-74" w:right="-105"/>
                  <w:jc w:val="both"/>
                  <w:rPr>
                    <w:rFonts w:ascii="Palatino Linotype" w:eastAsia="Palatino Linotype" w:hAnsi="Palatino Linotype" w:cs="Palatino Linotype"/>
                    <w:sz w:val="22"/>
                    <w:szCs w:val="22"/>
                  </w:rPr>
                </w:pPr>
              </w:p>
            </w:tc>
          </w:tr>
          <w:tr w:rsidR="005C71B6" w14:paraId="1BFB76D1" w14:textId="77777777">
            <w:trPr>
              <w:trHeight w:val="144"/>
            </w:trPr>
            <w:tc>
              <w:tcPr>
                <w:tcW w:w="2415" w:type="dxa"/>
              </w:tcPr>
              <w:p w14:paraId="3BA25802" w14:textId="77777777" w:rsidR="005C71B6" w:rsidRDefault="00A70426">
                <w:pPr>
                  <w:tabs>
                    <w:tab w:val="right" w:pos="8838"/>
                  </w:tabs>
                  <w:ind w:left="-74" w:right="-105"/>
                  <w:rPr>
                    <w:rFonts w:ascii="Palatino Linotype" w:eastAsia="Palatino Linotype" w:hAnsi="Palatino Linotype" w:cs="Palatino Linotype"/>
                    <w:b/>
                    <w:sz w:val="22"/>
                    <w:szCs w:val="22"/>
                  </w:rPr>
                </w:pPr>
                <w:bookmarkStart w:id="14" w:name="_heading=h.3rdcrjn" w:colFirst="0" w:colLast="0"/>
                <w:bookmarkEnd w:id="14"/>
                <w:r>
                  <w:rPr>
                    <w:rFonts w:ascii="Palatino Linotype" w:eastAsia="Palatino Linotype" w:hAnsi="Palatino Linotype" w:cs="Palatino Linotype"/>
                    <w:b/>
                    <w:sz w:val="22"/>
                    <w:szCs w:val="22"/>
                  </w:rPr>
                  <w:t>Recurrente:</w:t>
                </w:r>
              </w:p>
            </w:tc>
            <w:tc>
              <w:tcPr>
                <w:tcW w:w="4923" w:type="dxa"/>
              </w:tcPr>
              <w:p w14:paraId="5E171DD1" w14:textId="771E69C0" w:rsidR="005C71B6" w:rsidRDefault="005C7314">
                <w:pPr>
                  <w:tabs>
                    <w:tab w:val="left" w:pos="3122"/>
                    <w:tab w:val="right" w:pos="8838"/>
                  </w:tabs>
                  <w:ind w:right="14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 XXX</w:t>
                </w:r>
                <w:r w:rsidR="00A12422">
                  <w:rPr>
                    <w:rFonts w:ascii="Palatino Linotype" w:eastAsia="Palatino Linotype" w:hAnsi="Palatino Linotype" w:cs="Palatino Linotype"/>
                    <w:sz w:val="22"/>
                    <w:szCs w:val="22"/>
                  </w:rPr>
                  <w:t xml:space="preserve"> </w:t>
                </w:r>
              </w:p>
            </w:tc>
            <w:tc>
              <w:tcPr>
                <w:tcW w:w="3402" w:type="dxa"/>
              </w:tcPr>
              <w:p w14:paraId="37DFB3A4" w14:textId="77777777" w:rsidR="005C71B6" w:rsidRDefault="005C71B6">
                <w:pPr>
                  <w:tabs>
                    <w:tab w:val="left" w:pos="3122"/>
                    <w:tab w:val="right" w:pos="8838"/>
                  </w:tabs>
                  <w:ind w:right="-105"/>
                  <w:jc w:val="both"/>
                  <w:rPr>
                    <w:rFonts w:ascii="Palatino Linotype" w:eastAsia="Palatino Linotype" w:hAnsi="Palatino Linotype" w:cs="Palatino Linotype"/>
                    <w:sz w:val="22"/>
                    <w:szCs w:val="22"/>
                  </w:rPr>
                </w:pPr>
              </w:p>
            </w:tc>
          </w:tr>
          <w:tr w:rsidR="005C71B6" w14:paraId="437052DC" w14:textId="77777777">
            <w:trPr>
              <w:trHeight w:val="283"/>
            </w:trPr>
            <w:tc>
              <w:tcPr>
                <w:tcW w:w="2415" w:type="dxa"/>
              </w:tcPr>
              <w:p w14:paraId="1909FA68" w14:textId="77777777" w:rsidR="005C71B6" w:rsidRDefault="00A7042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23" w:type="dxa"/>
              </w:tcPr>
              <w:p w14:paraId="2ED83063" w14:textId="77777777" w:rsidR="005C71B6" w:rsidRDefault="00A70426">
                <w:pPr>
                  <w:tabs>
                    <w:tab w:val="left" w:pos="2834"/>
                    <w:tab w:val="right" w:pos="8838"/>
                  </w:tabs>
                  <w:ind w:left="-3" w:right="131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Texcoco</w:t>
                </w:r>
              </w:p>
            </w:tc>
            <w:tc>
              <w:tcPr>
                <w:tcW w:w="3402" w:type="dxa"/>
              </w:tcPr>
              <w:p w14:paraId="36C5202E" w14:textId="77777777" w:rsidR="005C71B6" w:rsidRDefault="005C71B6">
                <w:pPr>
                  <w:tabs>
                    <w:tab w:val="left" w:pos="2834"/>
                    <w:tab w:val="right" w:pos="8838"/>
                  </w:tabs>
                  <w:ind w:left="-74" w:right="-105"/>
                  <w:jc w:val="both"/>
                  <w:rPr>
                    <w:rFonts w:ascii="Palatino Linotype" w:eastAsia="Palatino Linotype" w:hAnsi="Palatino Linotype" w:cs="Palatino Linotype"/>
                    <w:sz w:val="22"/>
                    <w:szCs w:val="22"/>
                  </w:rPr>
                </w:pPr>
              </w:p>
            </w:tc>
          </w:tr>
          <w:tr w:rsidR="005C71B6" w14:paraId="2B38FD40" w14:textId="77777777">
            <w:trPr>
              <w:trHeight w:val="283"/>
            </w:trPr>
            <w:tc>
              <w:tcPr>
                <w:tcW w:w="2415" w:type="dxa"/>
              </w:tcPr>
              <w:p w14:paraId="4727AD12" w14:textId="77777777" w:rsidR="005C71B6" w:rsidRDefault="00A7042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23" w:type="dxa"/>
              </w:tcPr>
              <w:p w14:paraId="58275BA3" w14:textId="77777777" w:rsidR="005C71B6" w:rsidRDefault="00A70426">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3402" w:type="dxa"/>
              </w:tcPr>
              <w:p w14:paraId="78F35CB8" w14:textId="77777777" w:rsidR="005C71B6" w:rsidRDefault="005C71B6">
                <w:pPr>
                  <w:tabs>
                    <w:tab w:val="right" w:pos="8838"/>
                  </w:tabs>
                  <w:ind w:left="-74" w:right="-105"/>
                  <w:jc w:val="both"/>
                  <w:rPr>
                    <w:rFonts w:ascii="Palatino Linotype" w:eastAsia="Palatino Linotype" w:hAnsi="Palatino Linotype" w:cs="Palatino Linotype"/>
                    <w:sz w:val="22"/>
                    <w:szCs w:val="22"/>
                  </w:rPr>
                </w:pPr>
              </w:p>
            </w:tc>
          </w:tr>
        </w:tbl>
        <w:p w14:paraId="44584436" w14:textId="77777777" w:rsidR="005C71B6" w:rsidRDefault="005C71B6">
          <w:pPr>
            <w:tabs>
              <w:tab w:val="right" w:pos="8838"/>
            </w:tabs>
            <w:ind w:left="-28"/>
            <w:jc w:val="both"/>
            <w:rPr>
              <w:rFonts w:ascii="Arial" w:eastAsia="Arial" w:hAnsi="Arial" w:cs="Arial"/>
              <w:b/>
              <w:sz w:val="22"/>
              <w:szCs w:val="22"/>
            </w:rPr>
          </w:pPr>
        </w:p>
      </w:tc>
    </w:tr>
  </w:tbl>
  <w:p w14:paraId="1B8E7BDD" w14:textId="77777777" w:rsidR="005C71B6" w:rsidRDefault="004040EC">
    <w:pPr>
      <w:pBdr>
        <w:top w:val="nil"/>
        <w:left w:val="nil"/>
        <w:bottom w:val="nil"/>
        <w:right w:val="nil"/>
        <w:between w:val="nil"/>
      </w:pBdr>
      <w:tabs>
        <w:tab w:val="center" w:pos="4419"/>
        <w:tab w:val="right" w:pos="8838"/>
        <w:tab w:val="center" w:pos="4522"/>
      </w:tabs>
      <w:rPr>
        <w:color w:val="000000"/>
      </w:rPr>
    </w:pPr>
    <w:r>
      <w:rPr>
        <w:color w:val="000000"/>
        <w:sz w:val="14"/>
        <w:szCs w:val="14"/>
      </w:rPr>
      <w:pict w14:anchorId="6C193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96.45pt;margin-top:-149.05pt;width:661.75pt;height:861.75pt;z-index:-251657728;mso-wrap-edited:f;mso-position-horizontal:absolute;mso-position-horizontal-relative:margin;mso-position-vertical:absolute;mso-position-vertical-relative:margin" o:allowincell="f">
          <v:imagedata r:id="rId1" o:title="marcaaguaINFOEM"/>
          <w10:wrap anchorx="margin" anchory="margin"/>
        </v:shape>
      </w:pict>
    </w:r>
  </w:p>
  <w:p w14:paraId="44327AD7" w14:textId="77777777" w:rsidR="005C71B6" w:rsidRDefault="005C71B6"/>
  <w:p w14:paraId="5F9F74BA" w14:textId="77777777" w:rsidR="005C71B6" w:rsidRDefault="005C71B6"/>
  <w:p w14:paraId="034DEF9F" w14:textId="77777777" w:rsidR="005C71B6" w:rsidRDefault="005C71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3F54"/>
    <w:multiLevelType w:val="multilevel"/>
    <w:tmpl w:val="80AA8A46"/>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96054E"/>
    <w:multiLevelType w:val="multilevel"/>
    <w:tmpl w:val="86AAA56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1123862"/>
    <w:multiLevelType w:val="multilevel"/>
    <w:tmpl w:val="A3F21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D632CC"/>
    <w:multiLevelType w:val="multilevel"/>
    <w:tmpl w:val="12F484B0"/>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B45561"/>
    <w:multiLevelType w:val="multilevel"/>
    <w:tmpl w:val="493E27E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15:restartNumberingAfterBreak="0">
    <w:nsid w:val="63DF1E82"/>
    <w:multiLevelType w:val="multilevel"/>
    <w:tmpl w:val="2FEAA86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6" w15:restartNumberingAfterBreak="0">
    <w:nsid w:val="67C2446F"/>
    <w:multiLevelType w:val="multilevel"/>
    <w:tmpl w:val="40A8C4BA"/>
    <w:lvl w:ilvl="0">
      <w:start w:val="1"/>
      <w:numFmt w:val="bullet"/>
      <w:lvlText w:val="⎯"/>
      <w:lvlJc w:val="left"/>
      <w:pPr>
        <w:ind w:left="1498" w:hanging="360"/>
      </w:pPr>
      <w:rPr>
        <w:rFonts w:ascii="Noto Sans Symbols" w:eastAsia="Noto Sans Symbols" w:hAnsi="Noto Sans Symbols" w:cs="Noto Sans Symbols"/>
      </w:rPr>
    </w:lvl>
    <w:lvl w:ilvl="1">
      <w:start w:val="1"/>
      <w:numFmt w:val="bullet"/>
      <w:lvlText w:val="o"/>
      <w:lvlJc w:val="left"/>
      <w:pPr>
        <w:ind w:left="2218" w:hanging="360"/>
      </w:pPr>
      <w:rPr>
        <w:rFonts w:ascii="Courier New" w:eastAsia="Courier New" w:hAnsi="Courier New" w:cs="Courier New"/>
      </w:rPr>
    </w:lvl>
    <w:lvl w:ilvl="2">
      <w:start w:val="1"/>
      <w:numFmt w:val="bullet"/>
      <w:lvlText w:val="▪"/>
      <w:lvlJc w:val="left"/>
      <w:pPr>
        <w:ind w:left="2938" w:hanging="360"/>
      </w:pPr>
      <w:rPr>
        <w:rFonts w:ascii="Noto Sans Symbols" w:eastAsia="Noto Sans Symbols" w:hAnsi="Noto Sans Symbols" w:cs="Noto Sans Symbols"/>
      </w:rPr>
    </w:lvl>
    <w:lvl w:ilvl="3">
      <w:start w:val="1"/>
      <w:numFmt w:val="bullet"/>
      <w:lvlText w:val="●"/>
      <w:lvlJc w:val="left"/>
      <w:pPr>
        <w:ind w:left="3658" w:hanging="360"/>
      </w:pPr>
      <w:rPr>
        <w:rFonts w:ascii="Noto Sans Symbols" w:eastAsia="Noto Sans Symbols" w:hAnsi="Noto Sans Symbols" w:cs="Noto Sans Symbols"/>
      </w:rPr>
    </w:lvl>
    <w:lvl w:ilvl="4">
      <w:start w:val="1"/>
      <w:numFmt w:val="bullet"/>
      <w:lvlText w:val="o"/>
      <w:lvlJc w:val="left"/>
      <w:pPr>
        <w:ind w:left="4378" w:hanging="360"/>
      </w:pPr>
      <w:rPr>
        <w:rFonts w:ascii="Courier New" w:eastAsia="Courier New" w:hAnsi="Courier New" w:cs="Courier New"/>
      </w:rPr>
    </w:lvl>
    <w:lvl w:ilvl="5">
      <w:start w:val="1"/>
      <w:numFmt w:val="bullet"/>
      <w:lvlText w:val="▪"/>
      <w:lvlJc w:val="left"/>
      <w:pPr>
        <w:ind w:left="5098" w:hanging="360"/>
      </w:pPr>
      <w:rPr>
        <w:rFonts w:ascii="Noto Sans Symbols" w:eastAsia="Noto Sans Symbols" w:hAnsi="Noto Sans Symbols" w:cs="Noto Sans Symbols"/>
      </w:rPr>
    </w:lvl>
    <w:lvl w:ilvl="6">
      <w:start w:val="1"/>
      <w:numFmt w:val="bullet"/>
      <w:lvlText w:val="●"/>
      <w:lvlJc w:val="left"/>
      <w:pPr>
        <w:ind w:left="5818" w:hanging="360"/>
      </w:pPr>
      <w:rPr>
        <w:rFonts w:ascii="Noto Sans Symbols" w:eastAsia="Noto Sans Symbols" w:hAnsi="Noto Sans Symbols" w:cs="Noto Sans Symbols"/>
      </w:rPr>
    </w:lvl>
    <w:lvl w:ilvl="7">
      <w:start w:val="1"/>
      <w:numFmt w:val="bullet"/>
      <w:lvlText w:val="o"/>
      <w:lvlJc w:val="left"/>
      <w:pPr>
        <w:ind w:left="6538" w:hanging="360"/>
      </w:pPr>
      <w:rPr>
        <w:rFonts w:ascii="Courier New" w:eastAsia="Courier New" w:hAnsi="Courier New" w:cs="Courier New"/>
      </w:rPr>
    </w:lvl>
    <w:lvl w:ilvl="8">
      <w:start w:val="1"/>
      <w:numFmt w:val="bullet"/>
      <w:lvlText w:val="▪"/>
      <w:lvlJc w:val="left"/>
      <w:pPr>
        <w:ind w:left="7258" w:hanging="360"/>
      </w:pPr>
      <w:rPr>
        <w:rFonts w:ascii="Noto Sans Symbols" w:eastAsia="Noto Sans Symbols" w:hAnsi="Noto Sans Symbols" w:cs="Noto Sans Symbols"/>
      </w:rPr>
    </w:lvl>
  </w:abstractNum>
  <w:abstractNum w:abstractNumId="7" w15:restartNumberingAfterBreak="0">
    <w:nsid w:val="718F57F9"/>
    <w:multiLevelType w:val="multilevel"/>
    <w:tmpl w:val="7C8A34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454044">
    <w:abstractNumId w:val="2"/>
  </w:num>
  <w:num w:numId="2" w16cid:durableId="530722626">
    <w:abstractNumId w:val="4"/>
  </w:num>
  <w:num w:numId="3" w16cid:durableId="1495023508">
    <w:abstractNumId w:val="0"/>
  </w:num>
  <w:num w:numId="4" w16cid:durableId="456608082">
    <w:abstractNumId w:val="1"/>
  </w:num>
  <w:num w:numId="5" w16cid:durableId="1694458562">
    <w:abstractNumId w:val="6"/>
  </w:num>
  <w:num w:numId="6" w16cid:durableId="735276707">
    <w:abstractNumId w:val="5"/>
  </w:num>
  <w:num w:numId="7" w16cid:durableId="686103861">
    <w:abstractNumId w:val="7"/>
  </w:num>
  <w:num w:numId="8" w16cid:durableId="1101797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1B6"/>
    <w:rsid w:val="004040EC"/>
    <w:rsid w:val="0056199A"/>
    <w:rsid w:val="005C71B6"/>
    <w:rsid w:val="005C7314"/>
    <w:rsid w:val="00675EEB"/>
    <w:rsid w:val="00772291"/>
    <w:rsid w:val="00830BB6"/>
    <w:rsid w:val="008968CA"/>
    <w:rsid w:val="00A12422"/>
    <w:rsid w:val="00A12922"/>
    <w:rsid w:val="00A70426"/>
    <w:rsid w:val="00D035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AE533"/>
  <w15:docId w15:val="{7109E1FA-1BA7-4848-8F31-41B7B2EC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D4E"/>
    <w:rPr>
      <w:lang w:eastAsia="es-ES"/>
    </w:rPr>
  </w:style>
  <w:style w:type="paragraph" w:styleId="Ttulo1">
    <w:name w:val="heading 1"/>
    <w:basedOn w:val="Normal"/>
    <w:next w:val="Normal"/>
    <w:link w:val="Ttulo1Car"/>
    <w:uiPriority w:val="9"/>
    <w:qFormat/>
    <w:rsid w:val="00CA2D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A2D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CA2D4E"/>
    <w:rPr>
      <w:rFonts w:asciiTheme="majorHAnsi" w:eastAsiaTheme="majorEastAsia" w:hAnsiTheme="majorHAnsi" w:cstheme="majorBidi"/>
      <w:color w:val="2E74B5" w:themeColor="accent1" w:themeShade="BF"/>
      <w:sz w:val="32"/>
      <w:szCs w:val="32"/>
      <w:lang w:val="es-MX" w:eastAsia="es-ES"/>
    </w:rPr>
  </w:style>
  <w:style w:type="character" w:customStyle="1" w:styleId="Ttulo2Car">
    <w:name w:val="Título 2 Car"/>
    <w:basedOn w:val="Fuentedeprrafopredeter"/>
    <w:link w:val="Ttulo2"/>
    <w:uiPriority w:val="9"/>
    <w:rsid w:val="00CA2D4E"/>
    <w:rPr>
      <w:rFonts w:asciiTheme="majorHAnsi" w:eastAsiaTheme="majorEastAsia" w:hAnsiTheme="majorHAnsi" w:cstheme="majorBidi"/>
      <w:color w:val="2E74B5" w:themeColor="accent1" w:themeShade="BF"/>
      <w:sz w:val="26"/>
      <w:szCs w:val="26"/>
      <w:lang w:val="es-MX"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A2D4E"/>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A2D4E"/>
    <w:rPr>
      <w:rFonts w:ascii="Calibri" w:eastAsia="Calibri" w:hAnsi="Calibri" w:cs="Times New Roman"/>
      <w:sz w:val="20"/>
      <w:szCs w:val="20"/>
      <w:lang w:val="es-MX"/>
    </w:rPr>
  </w:style>
  <w:style w:type="paragraph" w:styleId="Encabezado">
    <w:name w:val="header"/>
    <w:basedOn w:val="Normal"/>
    <w:link w:val="EncabezadoCar"/>
    <w:uiPriority w:val="99"/>
    <w:unhideWhenUsed/>
    <w:qFormat/>
    <w:rsid w:val="00CA2D4E"/>
    <w:pPr>
      <w:tabs>
        <w:tab w:val="center" w:pos="4419"/>
        <w:tab w:val="right" w:pos="8838"/>
      </w:tabs>
    </w:pPr>
  </w:style>
  <w:style w:type="character" w:customStyle="1" w:styleId="EncabezadoCar">
    <w:name w:val="Encabezado Car"/>
    <w:basedOn w:val="Fuentedeprrafopredeter"/>
    <w:link w:val="Encabezado"/>
    <w:uiPriority w:val="99"/>
    <w:qFormat/>
    <w:rsid w:val="00CA2D4E"/>
    <w:rPr>
      <w:rFonts w:ascii="Times New Roman" w:eastAsia="Times New Roman" w:hAnsi="Times New Roman" w:cs="Times New Roman"/>
      <w:sz w:val="20"/>
      <w:szCs w:val="20"/>
      <w:lang w:val="es-MX" w:eastAsia="es-ES"/>
    </w:rPr>
  </w:style>
  <w:style w:type="paragraph" w:styleId="Piedepgina">
    <w:name w:val="footer"/>
    <w:basedOn w:val="Normal"/>
    <w:link w:val="PiedepginaCar"/>
    <w:uiPriority w:val="99"/>
    <w:unhideWhenUsed/>
    <w:qFormat/>
    <w:rsid w:val="00CA2D4E"/>
    <w:pPr>
      <w:tabs>
        <w:tab w:val="center" w:pos="4419"/>
        <w:tab w:val="right" w:pos="8838"/>
      </w:tabs>
    </w:pPr>
  </w:style>
  <w:style w:type="character" w:customStyle="1" w:styleId="PiedepginaCar">
    <w:name w:val="Pie de página Car"/>
    <w:basedOn w:val="Fuentedeprrafopredeter"/>
    <w:link w:val="Piedepgina"/>
    <w:uiPriority w:val="99"/>
    <w:qFormat/>
    <w:rsid w:val="00CA2D4E"/>
    <w:rPr>
      <w:rFonts w:ascii="Times New Roman" w:eastAsia="Times New Roman" w:hAnsi="Times New Roman" w:cs="Times New Roman"/>
      <w:sz w:val="20"/>
      <w:szCs w:val="20"/>
      <w:lang w:val="es-MX"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CA2D4E"/>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CA2D4E"/>
    <w:rPr>
      <w:color w:val="0563C1" w:themeColor="hyperlink"/>
      <w:u w:val="single"/>
    </w:rPr>
  </w:style>
  <w:style w:type="table" w:styleId="Tablaconcuadrcula">
    <w:name w:val="Table Grid"/>
    <w:basedOn w:val="Tablanormal"/>
    <w:uiPriority w:val="39"/>
    <w:qFormat/>
    <w:rsid w:val="00CA2D4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A2D4E"/>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A2D4E"/>
    <w:rPr>
      <w:rFonts w:ascii="Century Gothic" w:eastAsia="Times New Roman" w:hAnsi="Century Gothic" w:cs="Times New Roman"/>
      <w:szCs w:val="24"/>
      <w:lang w:val="es-MX" w:eastAsia="es-ES"/>
    </w:rPr>
  </w:style>
  <w:style w:type="paragraph" w:customStyle="1" w:styleId="m1609377113336227858gmail-msonormal">
    <w:name w:val="m_1609377113336227858gmail-msonormal"/>
    <w:basedOn w:val="Normal"/>
    <w:rsid w:val="00CA2D4E"/>
    <w:pPr>
      <w:spacing w:before="100" w:beforeAutospacing="1" w:after="100" w:afterAutospacing="1"/>
    </w:pPr>
    <w:rPr>
      <w:sz w:val="24"/>
      <w:szCs w:val="24"/>
      <w:lang w:val="es-ES"/>
    </w:rPr>
  </w:style>
  <w:style w:type="paragraph" w:styleId="TDC1">
    <w:name w:val="toc 1"/>
    <w:basedOn w:val="Normal"/>
    <w:next w:val="Normal"/>
    <w:autoRedefine/>
    <w:uiPriority w:val="39"/>
    <w:semiHidden/>
    <w:unhideWhenUsed/>
    <w:rsid w:val="0001292A"/>
    <w:pPr>
      <w:spacing w:after="100"/>
    </w:pPr>
  </w:style>
  <w:style w:type="character" w:customStyle="1" w:styleId="TextonotapieCar1">
    <w:name w:val="Texto nota pie Car1"/>
    <w:basedOn w:val="Fuentedeprrafopredeter"/>
    <w:uiPriority w:val="99"/>
    <w:semiHidden/>
    <w:rsid w:val="00814BAF"/>
    <w:rPr>
      <w:rFonts w:ascii="Times New Roman" w:eastAsia="Times New Roman" w:hAnsi="Times New Roman" w:cs="Times New Roman"/>
      <w:sz w:val="20"/>
      <w:szCs w:val="20"/>
      <w:lang w:eastAsia="es-MX"/>
    </w:rPr>
  </w:style>
  <w:style w:type="paragraph" w:styleId="Textosinformato">
    <w:name w:val="Plain Text"/>
    <w:basedOn w:val="Normal"/>
    <w:link w:val="TextosinformatoCar"/>
    <w:rsid w:val="00744FC2"/>
    <w:rPr>
      <w:rFonts w:ascii="Courier New" w:hAnsi="Courier New"/>
      <w:lang w:val="x-none"/>
    </w:rPr>
  </w:style>
  <w:style w:type="character" w:customStyle="1" w:styleId="TextosinformatoCar">
    <w:name w:val="Texto sin formato Car"/>
    <w:basedOn w:val="Fuentedeprrafopredeter"/>
    <w:link w:val="Textosinformato"/>
    <w:rsid w:val="00744FC2"/>
    <w:rPr>
      <w:rFonts w:ascii="Courier New" w:eastAsia="Times New Roman" w:hAnsi="Courier New" w:cs="Times New Roman"/>
      <w:sz w:val="20"/>
      <w:szCs w:val="20"/>
      <w:lang w:val="x-none"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Bzl/ZcJ9dnBuUq9WHImnCiENUg==">CgMxLjAyCGguZ2pkZ3hzMgloLjMwajB6bGwyCWguMWZvYjl0ZTIOaC5vMWRtcDhiZmVrd3kyCWguM3pueXNoNzIJaC4yZXQ5MnAwMghoLnR5amN3dDIJaC4zZHk2dmttMgloLjF0M2g1c2YyCWguMXQzaDVzZjIJaC40ZDM0b2c4MgloLjFrc3Y0dXYyDmgudzJ3dHI0Z3VpNG5kMgloLjJzOGV5bzEyCWguMTdkcDh2dTIJaC4zcmRjcmpuOAByITFyM3NjM1k0RFREWmNJZGlZMGRaQUVVV2dpd0trQmot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7734</Words>
  <Characters>42543</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inf03m612@outlook.com</cp:lastModifiedBy>
  <cp:revision>10</cp:revision>
  <dcterms:created xsi:type="dcterms:W3CDTF">2024-09-17T23:37:00Z</dcterms:created>
  <dcterms:modified xsi:type="dcterms:W3CDTF">2024-10-08T19:19:00Z</dcterms:modified>
</cp:coreProperties>
</file>