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73B7" w14:textId="1B153CD8" w:rsidR="00CA2D4E" w:rsidRPr="00B97263" w:rsidRDefault="00CA2D4E" w:rsidP="00CA2D4E">
      <w:pPr>
        <w:spacing w:before="240" w:after="240" w:line="360" w:lineRule="auto"/>
        <w:jc w:val="both"/>
        <w:rPr>
          <w:rFonts w:ascii="Palatino Linotype" w:hAnsi="Palatino Linotype"/>
          <w:sz w:val="24"/>
          <w:szCs w:val="24"/>
        </w:rPr>
      </w:pPr>
      <w:r w:rsidRPr="00B97263">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AC5006">
        <w:rPr>
          <w:rFonts w:ascii="Palatino Linotype" w:hAnsi="Palatino Linotype"/>
          <w:sz w:val="24"/>
          <w:szCs w:val="24"/>
        </w:rPr>
        <w:t xml:space="preserve">fecha </w:t>
      </w:r>
      <w:r w:rsidR="00900102" w:rsidRPr="00B97263">
        <w:rPr>
          <w:rFonts w:ascii="Palatino Linotype" w:hAnsi="Palatino Linotype"/>
          <w:sz w:val="24"/>
          <w:szCs w:val="24"/>
        </w:rPr>
        <w:t>veinti</w:t>
      </w:r>
      <w:r w:rsidR="00C52D81" w:rsidRPr="00B97263">
        <w:rPr>
          <w:rFonts w:ascii="Palatino Linotype" w:hAnsi="Palatino Linotype"/>
          <w:sz w:val="24"/>
          <w:szCs w:val="24"/>
        </w:rPr>
        <w:t xml:space="preserve">ocho </w:t>
      </w:r>
      <w:r w:rsidR="00AC5006">
        <w:rPr>
          <w:rFonts w:ascii="Palatino Linotype" w:hAnsi="Palatino Linotype"/>
          <w:sz w:val="24"/>
          <w:szCs w:val="24"/>
        </w:rPr>
        <w:t xml:space="preserve">(28) </w:t>
      </w:r>
      <w:r w:rsidR="00C52D81" w:rsidRPr="00B97263">
        <w:rPr>
          <w:rFonts w:ascii="Palatino Linotype" w:hAnsi="Palatino Linotype"/>
          <w:sz w:val="24"/>
          <w:szCs w:val="24"/>
        </w:rPr>
        <w:t>de agosto</w:t>
      </w:r>
      <w:r w:rsidR="00900102" w:rsidRPr="00B97263">
        <w:rPr>
          <w:rFonts w:ascii="Palatino Linotype" w:hAnsi="Palatino Linotype"/>
          <w:sz w:val="24"/>
          <w:szCs w:val="24"/>
        </w:rPr>
        <w:t xml:space="preserve"> </w:t>
      </w:r>
      <w:r w:rsidR="00AC5006">
        <w:rPr>
          <w:rFonts w:ascii="Palatino Linotype" w:hAnsi="Palatino Linotype"/>
          <w:sz w:val="24"/>
          <w:szCs w:val="24"/>
        </w:rPr>
        <w:t>de dos mil veinticuatro.</w:t>
      </w:r>
    </w:p>
    <w:p w14:paraId="76590526" w14:textId="67C575B1" w:rsidR="00CA2D4E" w:rsidRPr="00B97263" w:rsidRDefault="00CA2D4E" w:rsidP="00CA2D4E">
      <w:pPr>
        <w:pStyle w:val="Encabezado"/>
        <w:spacing w:line="360" w:lineRule="auto"/>
        <w:jc w:val="both"/>
        <w:rPr>
          <w:rFonts w:ascii="Palatino Linotype" w:hAnsi="Palatino Linotype"/>
          <w:sz w:val="24"/>
          <w:szCs w:val="24"/>
        </w:rPr>
      </w:pPr>
      <w:r w:rsidRPr="00B97263">
        <w:rPr>
          <w:rFonts w:ascii="Palatino Linotype" w:hAnsi="Palatino Linotype"/>
          <w:b/>
          <w:sz w:val="24"/>
          <w:szCs w:val="24"/>
        </w:rPr>
        <w:t xml:space="preserve">VISTO </w:t>
      </w:r>
      <w:r w:rsidRPr="00B97263">
        <w:rPr>
          <w:rFonts w:ascii="Palatino Linotype" w:hAnsi="Palatino Linotype"/>
          <w:bCs/>
          <w:sz w:val="24"/>
          <w:szCs w:val="24"/>
        </w:rPr>
        <w:t>el e</w:t>
      </w:r>
      <w:r w:rsidRPr="00B97263">
        <w:rPr>
          <w:rFonts w:ascii="Palatino Linotype" w:hAnsi="Palatino Linotype"/>
          <w:sz w:val="24"/>
          <w:szCs w:val="24"/>
        </w:rPr>
        <w:t xml:space="preserve">xpediente electrónico formado con motivo del recurso de revisión </w:t>
      </w:r>
      <w:r w:rsidR="00C52D81" w:rsidRPr="00B97263">
        <w:rPr>
          <w:rFonts w:ascii="Palatino Linotype" w:hAnsi="Palatino Linotype" w:cs="Arial"/>
          <w:b/>
          <w:sz w:val="24"/>
          <w:szCs w:val="24"/>
        </w:rPr>
        <w:t>03073/INFOEM/ICR-37/IP/RR/2024</w:t>
      </w:r>
      <w:r w:rsidRPr="00B97263">
        <w:rPr>
          <w:rFonts w:ascii="Palatino Linotype" w:hAnsi="Palatino Linotype" w:cs="Arial"/>
          <w:b/>
          <w:bCs/>
          <w:sz w:val="24"/>
          <w:szCs w:val="24"/>
        </w:rPr>
        <w:t xml:space="preserve">, </w:t>
      </w:r>
      <w:r w:rsidR="00AC5006">
        <w:rPr>
          <w:rFonts w:ascii="Palatino Linotype" w:hAnsi="Palatino Linotype"/>
          <w:sz w:val="24"/>
          <w:szCs w:val="24"/>
        </w:rPr>
        <w:t xml:space="preserve">promovido por </w:t>
      </w:r>
      <w:r w:rsidR="00DF29F9">
        <w:rPr>
          <w:rFonts w:ascii="Palatino Linotype" w:eastAsia="Calibri" w:hAnsi="Palatino Linotype" w:cs="Tahoma"/>
          <w:sz w:val="22"/>
          <w:szCs w:val="22"/>
          <w:lang w:eastAsia="en-US"/>
        </w:rPr>
        <w:t xml:space="preserve">XXX </w:t>
      </w:r>
      <w:proofErr w:type="spellStart"/>
      <w:r w:rsidR="00DF29F9">
        <w:rPr>
          <w:rFonts w:ascii="Palatino Linotype" w:eastAsia="Calibri" w:hAnsi="Palatino Linotype" w:cs="Tahoma"/>
          <w:sz w:val="22"/>
          <w:szCs w:val="22"/>
          <w:lang w:eastAsia="en-US"/>
        </w:rPr>
        <w:t>XXX</w:t>
      </w:r>
      <w:proofErr w:type="spellEnd"/>
      <w:r w:rsidR="00D303DC">
        <w:rPr>
          <w:rFonts w:ascii="Palatino Linotype" w:eastAsia="Calibri" w:hAnsi="Palatino Linotype" w:cs="Tahoma"/>
          <w:sz w:val="22"/>
          <w:szCs w:val="22"/>
          <w:lang w:eastAsia="en-US"/>
        </w:rPr>
        <w:t>,</w:t>
      </w:r>
      <w:r w:rsidR="00B139D2" w:rsidRPr="00B97263">
        <w:rPr>
          <w:rFonts w:ascii="Palatino Linotype" w:hAnsi="Palatino Linotype"/>
          <w:sz w:val="24"/>
          <w:szCs w:val="24"/>
        </w:rPr>
        <w:t xml:space="preserve"> en adelante se le reconocerá como </w:t>
      </w:r>
      <w:r w:rsidR="00B139D2" w:rsidRPr="00B97263">
        <w:rPr>
          <w:rFonts w:ascii="Palatino Linotype" w:hAnsi="Palatino Linotype"/>
          <w:b/>
          <w:sz w:val="24"/>
          <w:szCs w:val="24"/>
        </w:rPr>
        <w:t>EL</w:t>
      </w:r>
      <w:r w:rsidRPr="00B97263">
        <w:rPr>
          <w:rFonts w:ascii="Palatino Linotype" w:hAnsi="Palatino Linotype"/>
          <w:sz w:val="24"/>
          <w:szCs w:val="24"/>
        </w:rPr>
        <w:t xml:space="preserve"> </w:t>
      </w:r>
      <w:r w:rsidRPr="00B97263">
        <w:rPr>
          <w:rFonts w:ascii="Palatino Linotype" w:hAnsi="Palatino Linotype"/>
          <w:b/>
          <w:sz w:val="24"/>
          <w:szCs w:val="24"/>
        </w:rPr>
        <w:t>RECURRENTE</w:t>
      </w:r>
      <w:r w:rsidRPr="00B97263">
        <w:rPr>
          <w:rFonts w:ascii="Palatino Linotype" w:hAnsi="Palatino Linotype" w:cs="Arial"/>
          <w:sz w:val="24"/>
          <w:szCs w:val="24"/>
        </w:rPr>
        <w:t xml:space="preserve">, en contra de la falta de respuesta del </w:t>
      </w:r>
      <w:r w:rsidR="00C52D81" w:rsidRPr="00B97263">
        <w:rPr>
          <w:rFonts w:ascii="Palatino Linotype" w:eastAsia="Calibri" w:hAnsi="Palatino Linotype" w:cs="Tahoma"/>
          <w:b/>
          <w:sz w:val="24"/>
          <w:szCs w:val="24"/>
          <w:lang w:eastAsia="en-US"/>
        </w:rPr>
        <w:t>Ayuntamiento de Apaxco</w:t>
      </w:r>
      <w:r w:rsidRPr="00B97263">
        <w:rPr>
          <w:rFonts w:ascii="Palatino Linotype" w:hAnsi="Palatino Linotype" w:cs="Arial"/>
          <w:sz w:val="24"/>
          <w:szCs w:val="24"/>
        </w:rPr>
        <w:t>,</w:t>
      </w:r>
      <w:r w:rsidRPr="00B97263">
        <w:rPr>
          <w:rFonts w:ascii="Palatino Linotype" w:hAnsi="Palatino Linotype"/>
          <w:b/>
          <w:sz w:val="24"/>
          <w:szCs w:val="24"/>
        </w:rPr>
        <w:t xml:space="preserve"> </w:t>
      </w:r>
      <w:r w:rsidRPr="00B97263">
        <w:rPr>
          <w:rFonts w:ascii="Palatino Linotype" w:hAnsi="Palatino Linotype"/>
          <w:sz w:val="24"/>
          <w:szCs w:val="24"/>
        </w:rPr>
        <w:t>en lo sucesivo el</w:t>
      </w:r>
      <w:r w:rsidRPr="00B97263">
        <w:rPr>
          <w:rFonts w:ascii="Palatino Linotype" w:hAnsi="Palatino Linotype"/>
          <w:b/>
          <w:sz w:val="24"/>
          <w:szCs w:val="24"/>
        </w:rPr>
        <w:t xml:space="preserve"> SUJETO OBLIGADO, </w:t>
      </w:r>
      <w:r w:rsidRPr="00B97263">
        <w:rPr>
          <w:rFonts w:ascii="Palatino Linotype" w:hAnsi="Palatino Linotype"/>
          <w:sz w:val="24"/>
          <w:szCs w:val="24"/>
        </w:rPr>
        <w:t>se procede a dictar la presente resolución, con base en los siguientes:</w:t>
      </w:r>
    </w:p>
    <w:p w14:paraId="5027828F" w14:textId="47FF28CA" w:rsidR="00CA2D4E" w:rsidRPr="00B97263" w:rsidRDefault="00CA2D4E" w:rsidP="00CA2D4E">
      <w:pPr>
        <w:pStyle w:val="Ttulo1"/>
        <w:jc w:val="center"/>
        <w:rPr>
          <w:rFonts w:ascii="Palatino Linotype" w:hAnsi="Palatino Linotype"/>
          <w:b/>
          <w:color w:val="auto"/>
          <w:sz w:val="24"/>
          <w:szCs w:val="24"/>
        </w:rPr>
      </w:pPr>
      <w:bookmarkStart w:id="0" w:name="_Toc87549671"/>
      <w:r w:rsidRPr="00B97263">
        <w:rPr>
          <w:rFonts w:ascii="Palatino Linotype" w:hAnsi="Palatino Linotype"/>
          <w:b/>
          <w:color w:val="auto"/>
          <w:sz w:val="24"/>
          <w:szCs w:val="24"/>
        </w:rPr>
        <w:t>A</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N</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T</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E</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C</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E</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D</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E</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N</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T</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E</w:t>
      </w:r>
      <w:r w:rsidR="00CC1CF1"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S</w:t>
      </w:r>
      <w:bookmarkEnd w:id="0"/>
    </w:p>
    <w:p w14:paraId="16C87641" w14:textId="77777777" w:rsidR="00CA2D4E" w:rsidRPr="00B97263" w:rsidRDefault="00CA2D4E" w:rsidP="00CA2D4E">
      <w:pPr>
        <w:rPr>
          <w:rFonts w:ascii="Palatino Linotype" w:hAnsi="Palatino Linotype"/>
          <w:sz w:val="24"/>
          <w:szCs w:val="24"/>
          <w:lang w:eastAsia="en-US"/>
        </w:rPr>
      </w:pPr>
    </w:p>
    <w:p w14:paraId="236D47F9" w14:textId="33DD7752" w:rsidR="00CA2D4E" w:rsidRPr="00B97263" w:rsidRDefault="00CA2D4E" w:rsidP="00CC1CF1">
      <w:pPr>
        <w:pStyle w:val="Prrafodelista"/>
        <w:numPr>
          <w:ilvl w:val="0"/>
          <w:numId w:val="2"/>
        </w:numPr>
        <w:tabs>
          <w:tab w:val="left" w:pos="426"/>
        </w:tabs>
        <w:spacing w:line="360" w:lineRule="auto"/>
        <w:ind w:left="0" w:firstLine="0"/>
        <w:jc w:val="both"/>
        <w:rPr>
          <w:rFonts w:ascii="Palatino Linotype" w:hAnsi="Palatino Linotype" w:cs="Arial"/>
          <w:sz w:val="24"/>
          <w:lang w:val="es-ES"/>
        </w:rPr>
      </w:pPr>
      <w:r w:rsidRPr="00B97263">
        <w:rPr>
          <w:rFonts w:ascii="Palatino Linotype" w:eastAsia="Calibri" w:hAnsi="Palatino Linotype" w:cs="Arial"/>
          <w:sz w:val="24"/>
          <w:lang w:val="es-ES"/>
        </w:rPr>
        <w:t xml:space="preserve">El </w:t>
      </w:r>
      <w:r w:rsidR="000A63C6" w:rsidRPr="00B97263">
        <w:rPr>
          <w:rFonts w:ascii="Palatino Linotype" w:eastAsia="Calibri" w:hAnsi="Palatino Linotype" w:cs="Arial"/>
          <w:sz w:val="24"/>
          <w:lang w:val="es-ES"/>
        </w:rPr>
        <w:t>treinta y uno de enero de dos mil veinticuatro</w:t>
      </w:r>
      <w:r w:rsidRPr="00B97263">
        <w:rPr>
          <w:rFonts w:ascii="Palatino Linotype" w:eastAsia="Calibri" w:hAnsi="Palatino Linotype" w:cs="Arial"/>
          <w:sz w:val="24"/>
          <w:lang w:val="es-ES"/>
        </w:rPr>
        <w:t>,</w:t>
      </w:r>
      <w:r w:rsidRPr="00B97263">
        <w:rPr>
          <w:rFonts w:ascii="Palatino Linotype" w:eastAsia="Calibri" w:hAnsi="Palatino Linotype"/>
          <w:sz w:val="24"/>
          <w:lang w:val="es-ES"/>
        </w:rPr>
        <w:t xml:space="preserve"> </w:t>
      </w:r>
      <w:r w:rsidRPr="00B97263">
        <w:rPr>
          <w:rFonts w:ascii="Palatino Linotype" w:eastAsia="Calibri" w:hAnsi="Palatino Linotype"/>
          <w:b/>
          <w:sz w:val="24"/>
          <w:lang w:val="es-ES"/>
        </w:rPr>
        <w:t xml:space="preserve">EL RECURRENTE </w:t>
      </w:r>
      <w:r w:rsidRPr="00B97263">
        <w:rPr>
          <w:rFonts w:ascii="Palatino Linotype" w:eastAsia="Calibri" w:hAnsi="Palatino Linotype"/>
          <w:bCs/>
          <w:sz w:val="24"/>
          <w:lang w:val="es-ES"/>
        </w:rPr>
        <w:t>presentó</w:t>
      </w:r>
      <w:r w:rsidRPr="00B97263">
        <w:rPr>
          <w:rFonts w:ascii="Palatino Linotype" w:hAnsi="Palatino Linotype"/>
          <w:b/>
          <w:sz w:val="24"/>
        </w:rPr>
        <w:t>,</w:t>
      </w:r>
      <w:r w:rsidRPr="00B97263">
        <w:rPr>
          <w:rFonts w:ascii="Palatino Linotype" w:eastAsia="Calibri" w:hAnsi="Palatino Linotype" w:cs="Arial"/>
          <w:sz w:val="24"/>
          <w:lang w:val="es-ES"/>
        </w:rPr>
        <w:t xml:space="preserve"> ante el </w:t>
      </w:r>
      <w:r w:rsidRPr="00B97263">
        <w:rPr>
          <w:rFonts w:ascii="Palatino Linotype" w:eastAsia="Calibri" w:hAnsi="Palatino Linotype" w:cs="Arial"/>
          <w:b/>
          <w:sz w:val="24"/>
          <w:lang w:val="es-ES"/>
        </w:rPr>
        <w:t>SUJETO OBLIGADO</w:t>
      </w:r>
      <w:r w:rsidRPr="00B97263">
        <w:rPr>
          <w:rFonts w:ascii="Palatino Linotype" w:eastAsia="Calibri" w:hAnsi="Palatino Linotype" w:cs="Arial"/>
          <w:sz w:val="24"/>
        </w:rPr>
        <w:t xml:space="preserve"> vía </w:t>
      </w:r>
      <w:r w:rsidR="00AD67A6" w:rsidRPr="00B97263">
        <w:rPr>
          <w:rFonts w:ascii="Palatino Linotype" w:eastAsia="Calibri" w:hAnsi="Palatino Linotype" w:cs="Arial"/>
          <w:sz w:val="24"/>
        </w:rPr>
        <w:t xml:space="preserve">PNT, vinculada al </w:t>
      </w:r>
      <w:r w:rsidRPr="00B97263">
        <w:rPr>
          <w:rFonts w:ascii="Palatino Linotype" w:eastAsia="Calibri" w:hAnsi="Palatino Linotype" w:cs="Arial"/>
          <w:sz w:val="24"/>
          <w:lang w:val="es-ES"/>
        </w:rPr>
        <w:t xml:space="preserve">Sistema de Acceso a la Información Mexiquense (SAIMEX), la solicitud de información pública registrada con el número </w:t>
      </w:r>
      <w:r w:rsidR="000A63C6" w:rsidRPr="00B97263">
        <w:rPr>
          <w:rFonts w:ascii="Palatino Linotype" w:eastAsia="Calibri" w:hAnsi="Palatino Linotype" w:cs="Arial"/>
          <w:b/>
          <w:bCs/>
          <w:sz w:val="24"/>
        </w:rPr>
        <w:t>00009/APAXCO/IP/2024</w:t>
      </w:r>
      <w:r w:rsidRPr="00B97263">
        <w:rPr>
          <w:rFonts w:ascii="Palatino Linotype" w:eastAsia="Calibri" w:hAnsi="Palatino Linotype" w:cs="Arial"/>
          <w:b/>
          <w:bCs/>
          <w:sz w:val="24"/>
        </w:rPr>
        <w:t>,</w:t>
      </w:r>
      <w:r w:rsidRPr="00B97263">
        <w:rPr>
          <w:rFonts w:ascii="Palatino Linotype" w:hAnsi="Palatino Linotype"/>
          <w:b/>
          <w:sz w:val="24"/>
          <w:lang w:val="es-ES"/>
        </w:rPr>
        <w:t xml:space="preserve"> </w:t>
      </w:r>
      <w:r w:rsidR="00AC5006">
        <w:rPr>
          <w:rFonts w:ascii="Palatino Linotype" w:eastAsia="Calibri" w:hAnsi="Palatino Linotype" w:cs="Arial"/>
          <w:sz w:val="24"/>
          <w:lang w:val="es-ES"/>
        </w:rPr>
        <w:t>en la que</w:t>
      </w:r>
      <w:r w:rsidRPr="00B97263">
        <w:rPr>
          <w:rFonts w:ascii="Palatino Linotype" w:eastAsia="Calibri" w:hAnsi="Palatino Linotype" w:cs="Arial"/>
          <w:sz w:val="24"/>
          <w:lang w:val="es-ES"/>
        </w:rPr>
        <w:t xml:space="preserve"> solicitó lo siguiente:</w:t>
      </w:r>
    </w:p>
    <w:p w14:paraId="63135551" w14:textId="1164463B" w:rsidR="00CA2D4E" w:rsidRPr="00B97263" w:rsidRDefault="00CA2D4E" w:rsidP="00CA2D4E">
      <w:pPr>
        <w:ind w:left="567" w:right="567"/>
        <w:jc w:val="both"/>
        <w:rPr>
          <w:rFonts w:ascii="Palatino Linotype" w:eastAsia="Calibri" w:hAnsi="Palatino Linotype" w:cs="Arial"/>
          <w:i/>
          <w:sz w:val="24"/>
          <w:szCs w:val="24"/>
          <w:lang w:val="es-ES"/>
        </w:rPr>
      </w:pPr>
      <w:r w:rsidRPr="00B97263">
        <w:rPr>
          <w:rFonts w:ascii="Palatino Linotype" w:eastAsia="Calibri" w:hAnsi="Palatino Linotype" w:cs="Arial"/>
          <w:i/>
          <w:sz w:val="24"/>
          <w:szCs w:val="24"/>
          <w:lang w:val="es-ES"/>
        </w:rPr>
        <w:t>“</w:t>
      </w:r>
      <w:r w:rsidR="00AD67A6" w:rsidRPr="00B97263">
        <w:rPr>
          <w:rFonts w:ascii="Palatino Linotype" w:hAnsi="Palatino Linotype"/>
          <w:i/>
          <w:sz w:val="24"/>
          <w:szCs w:val="24"/>
          <w:lang w:eastAsia="es-MX"/>
        </w:rPr>
        <w:t xml:space="preserve">1. Solícito conocer el número de policías municipales con el que cuenta el ayuntamiento, clasificado por áreas o departamentos. 2. El sueldo bruto y neto que reciben los policías según su categoría, así como un histórico del sueldo que ha recibido desde 2022 y en caso de que se contemple un aumento salarial, especificar el monto y él recuso con el que se estará pagando. 3. El gasto que ejerció el municipio en el periodo fiscal 2022 y 2023 para el pago de equipamiento policial, armamento, pago de patrullas (ya sea adquisición o renta), capacitación policial, desglosado por concepto de pago y especificar el número de policías beneficiados. "Ejemplo: Armamento: $25,000, con el que se benefició a 3 policías. "Uniformes: $54,000, que benefició a 2 policías" 4. El gasto que ejercerá el municipio en el periodo fiscal 2024 para el pago de equipamiento policial, armamento, pago de patrullas (ya sea adquisición o renta), capacitación policial, desglosado por concepto de pago y especificar el número de policías beneficiados. </w:t>
      </w:r>
      <w:r w:rsidR="00AD67A6" w:rsidRPr="00B97263">
        <w:rPr>
          <w:rFonts w:ascii="Palatino Linotype" w:hAnsi="Palatino Linotype"/>
          <w:i/>
          <w:sz w:val="24"/>
          <w:szCs w:val="24"/>
          <w:lang w:eastAsia="es-MX"/>
        </w:rPr>
        <w:lastRenderedPageBreak/>
        <w:t>"Ejemplo: Armamento: $25,000, con el que se benefició a 3 policías. "Uniformes: $54,000, que benefició a 2 policías" 5. Las incidencias delictivas presentadas en el municipio en los años 2022 y 2023 por histórico mensual de los siguientes delitos: abuso sexual, acoso sexual, homicidio culposo, homicidio doloso, lesiones, narcomenudeo, robo con violencia, robo sin violencia, robo a casa habitación, robo a negocio, robo de vehículos, secuestro, violación, violencia de género, violencia familiar. 6. El número de elementos incluidos en la Licencia Oficial Colectiva al corte de octubre de 2023, así mismo el número de elementos programados para ser incluidos durante el 2024 en la LOC. 7. Respecto a la carrera policial, el número de elementos que cuentan con Certificado Único Policial, así mismo el número de elementos que tienen el curso de formación inicial, el número de elementos que tienen el curso de competencias básicas y la última fecha en la que se realizó evaluación de desempeño, en este rubro solicito que se informe el promedio general de las evaluaciones en la corporación. 8. ¿Cuántos elementos estarán programados para acudir al curso de competencias básicas y formación inicial en el año 2024?</w:t>
      </w:r>
      <w:r w:rsidRPr="00B97263">
        <w:rPr>
          <w:rFonts w:ascii="Palatino Linotype" w:eastAsia="Calibri" w:hAnsi="Palatino Linotype" w:cs="Arial"/>
          <w:i/>
          <w:sz w:val="24"/>
          <w:szCs w:val="24"/>
          <w:lang w:val="es-ES"/>
        </w:rPr>
        <w:t xml:space="preserve">” </w:t>
      </w:r>
      <w:r w:rsidRPr="00B97263">
        <w:rPr>
          <w:rFonts w:ascii="Palatino Linotype" w:eastAsia="Calibri" w:hAnsi="Palatino Linotype" w:cs="Arial"/>
          <w:iCs/>
          <w:sz w:val="24"/>
          <w:szCs w:val="24"/>
          <w:lang w:val="es-ES"/>
        </w:rPr>
        <w:t>(Sic)</w:t>
      </w:r>
    </w:p>
    <w:p w14:paraId="77BCFBC9" w14:textId="77777777" w:rsidR="00CA2D4E" w:rsidRPr="00B97263" w:rsidRDefault="00CA2D4E" w:rsidP="00CA2D4E">
      <w:pPr>
        <w:ind w:left="567" w:right="567"/>
        <w:jc w:val="both"/>
        <w:rPr>
          <w:rFonts w:ascii="Palatino Linotype" w:eastAsia="Calibri" w:hAnsi="Palatino Linotype" w:cs="Arial"/>
          <w:i/>
          <w:sz w:val="24"/>
          <w:szCs w:val="24"/>
          <w:lang w:val="es-ES"/>
        </w:rPr>
      </w:pPr>
    </w:p>
    <w:p w14:paraId="2814356C" w14:textId="769F8AD5" w:rsidR="00CA2D4E" w:rsidRPr="00B97263" w:rsidRDefault="00CA2D4E" w:rsidP="00CC1CF1">
      <w:pPr>
        <w:pStyle w:val="Prrafodelista"/>
        <w:numPr>
          <w:ilvl w:val="0"/>
          <w:numId w:val="2"/>
        </w:numPr>
        <w:tabs>
          <w:tab w:val="left" w:pos="426"/>
        </w:tabs>
        <w:spacing w:line="360" w:lineRule="auto"/>
        <w:ind w:left="0" w:firstLine="0"/>
        <w:jc w:val="both"/>
        <w:rPr>
          <w:rFonts w:ascii="Palatino Linotype" w:hAnsi="Palatino Linotype" w:cs="Arial"/>
          <w:sz w:val="24"/>
          <w:lang w:val="es-ES"/>
        </w:rPr>
      </w:pPr>
      <w:r w:rsidRPr="00B97263">
        <w:rPr>
          <w:rFonts w:ascii="Palatino Linotype" w:hAnsi="Palatino Linotype" w:cs="Arial"/>
          <w:sz w:val="24"/>
          <w:lang w:val="es-ES"/>
        </w:rPr>
        <w:t>Señaló como modalidad de entrega de la información a través de</w:t>
      </w:r>
      <w:r w:rsidR="00AD67A6" w:rsidRPr="00B97263">
        <w:rPr>
          <w:rFonts w:ascii="Palatino Linotype" w:hAnsi="Palatino Linotype" w:cs="Arial"/>
          <w:sz w:val="24"/>
          <w:lang w:val="es-ES"/>
        </w:rPr>
        <w:t xml:space="preserve"> </w:t>
      </w:r>
      <w:r w:rsidRPr="00B97263">
        <w:rPr>
          <w:rFonts w:ascii="Palatino Linotype" w:hAnsi="Palatino Linotype" w:cs="Arial"/>
          <w:sz w:val="24"/>
          <w:lang w:val="es-ES"/>
        </w:rPr>
        <w:t>l</w:t>
      </w:r>
      <w:r w:rsidR="00AD67A6" w:rsidRPr="00B97263">
        <w:rPr>
          <w:rFonts w:ascii="Palatino Linotype" w:hAnsi="Palatino Linotype" w:cs="Arial"/>
          <w:sz w:val="24"/>
          <w:lang w:val="es-ES"/>
        </w:rPr>
        <w:t xml:space="preserve">a </w:t>
      </w:r>
      <w:r w:rsidR="00AD67A6" w:rsidRPr="00B97263">
        <w:rPr>
          <w:rFonts w:ascii="Palatino Linotype" w:hAnsi="Palatino Linotype" w:cs="Arial"/>
          <w:b/>
          <w:sz w:val="24"/>
          <w:lang w:val="es-ES"/>
        </w:rPr>
        <w:t>PNT</w:t>
      </w:r>
      <w:r w:rsidR="00AD67A6" w:rsidRPr="00B97263">
        <w:rPr>
          <w:rFonts w:ascii="Palatino Linotype" w:hAnsi="Palatino Linotype" w:cs="Arial"/>
          <w:sz w:val="24"/>
          <w:lang w:val="es-ES"/>
        </w:rPr>
        <w:t xml:space="preserve"> vinculada al</w:t>
      </w:r>
      <w:r w:rsidRPr="00B97263">
        <w:rPr>
          <w:rFonts w:ascii="Palatino Linotype" w:hAnsi="Palatino Linotype" w:cs="Arial"/>
          <w:sz w:val="24"/>
          <w:lang w:val="es-ES"/>
        </w:rPr>
        <w:t xml:space="preserve"> </w:t>
      </w:r>
      <w:r w:rsidRPr="00B97263">
        <w:rPr>
          <w:rFonts w:ascii="Palatino Linotype" w:hAnsi="Palatino Linotype" w:cs="Arial"/>
          <w:b/>
          <w:sz w:val="24"/>
          <w:lang w:val="es-ES"/>
        </w:rPr>
        <w:t>SAIMEX.</w:t>
      </w:r>
    </w:p>
    <w:p w14:paraId="2A523D30" w14:textId="77777777" w:rsidR="00CA2D4E" w:rsidRPr="00B97263" w:rsidRDefault="00CA2D4E" w:rsidP="00CC1CF1">
      <w:pPr>
        <w:pStyle w:val="Prrafodelista"/>
        <w:tabs>
          <w:tab w:val="left" w:pos="426"/>
        </w:tabs>
        <w:spacing w:line="360" w:lineRule="auto"/>
        <w:ind w:left="0"/>
        <w:jc w:val="both"/>
        <w:rPr>
          <w:rFonts w:ascii="Palatino Linotype" w:hAnsi="Palatino Linotype" w:cs="Arial"/>
          <w:sz w:val="24"/>
          <w:lang w:val="es-ES"/>
        </w:rPr>
      </w:pPr>
    </w:p>
    <w:p w14:paraId="101FDFC5" w14:textId="35817FAB" w:rsidR="00F64CE6" w:rsidRPr="00B97263" w:rsidRDefault="00AD67A6" w:rsidP="00FE335E">
      <w:pPr>
        <w:pStyle w:val="Prrafodelista"/>
        <w:numPr>
          <w:ilvl w:val="0"/>
          <w:numId w:val="2"/>
        </w:numPr>
        <w:tabs>
          <w:tab w:val="left" w:pos="426"/>
        </w:tabs>
        <w:spacing w:line="360" w:lineRule="auto"/>
        <w:ind w:left="0" w:firstLine="0"/>
        <w:jc w:val="both"/>
        <w:rPr>
          <w:rFonts w:ascii="Palatino Linotype" w:hAnsi="Palatino Linotype" w:cs="Arial"/>
          <w:sz w:val="24"/>
          <w:lang w:val="es-ES"/>
        </w:rPr>
      </w:pPr>
      <w:r w:rsidRPr="00B97263">
        <w:rPr>
          <w:rFonts w:ascii="Palatino Linotype" w:hAnsi="Palatino Linotype" w:cs="Arial"/>
          <w:sz w:val="24"/>
          <w:lang w:val="es-ES"/>
        </w:rPr>
        <w:t>Ante la falta de respuesta, e</w:t>
      </w:r>
      <w:r w:rsidR="00F64CE6" w:rsidRPr="00B97263">
        <w:rPr>
          <w:rFonts w:ascii="Palatino Linotype" w:hAnsi="Palatino Linotype" w:cs="Arial"/>
          <w:sz w:val="24"/>
          <w:lang w:val="es-ES"/>
        </w:rPr>
        <w:t xml:space="preserve">l </w:t>
      </w:r>
      <w:r w:rsidRPr="00B97263">
        <w:rPr>
          <w:rFonts w:ascii="Palatino Linotype" w:hAnsi="Palatino Linotype" w:cs="Arial"/>
          <w:sz w:val="24"/>
          <w:lang w:val="es-ES"/>
        </w:rPr>
        <w:t>diecinueve de mayo</w:t>
      </w:r>
      <w:r w:rsidR="00CC1CF1" w:rsidRPr="00B97263">
        <w:rPr>
          <w:rFonts w:ascii="Palatino Linotype" w:hAnsi="Palatino Linotype" w:cs="Arial"/>
          <w:sz w:val="24"/>
          <w:lang w:val="es-ES"/>
        </w:rPr>
        <w:t xml:space="preserve"> </w:t>
      </w:r>
      <w:r w:rsidRPr="00B97263">
        <w:rPr>
          <w:rFonts w:ascii="Palatino Linotype" w:hAnsi="Palatino Linotype" w:cs="Arial"/>
          <w:sz w:val="24"/>
          <w:lang w:val="es-ES"/>
        </w:rPr>
        <w:t>de dos mil veinticuatro</w:t>
      </w:r>
      <w:r w:rsidR="00F64CE6" w:rsidRPr="00B97263">
        <w:rPr>
          <w:rFonts w:ascii="Palatino Linotype" w:hAnsi="Palatino Linotype" w:cs="Arial"/>
          <w:sz w:val="24"/>
          <w:lang w:val="es-ES"/>
        </w:rPr>
        <w:t xml:space="preserve">, el </w:t>
      </w:r>
      <w:r w:rsidRPr="00B97263">
        <w:rPr>
          <w:rFonts w:ascii="Palatino Linotype" w:hAnsi="Palatino Linotype" w:cs="Arial"/>
          <w:sz w:val="24"/>
          <w:lang w:val="es-ES"/>
        </w:rPr>
        <w:t xml:space="preserve">particular interpuso Recurso de Revisión al tenor del siguiente </w:t>
      </w:r>
      <w:r w:rsidRPr="00B97263">
        <w:rPr>
          <w:rFonts w:ascii="Palatino Linotype" w:hAnsi="Palatino Linotype" w:cs="Arial"/>
          <w:b/>
          <w:sz w:val="24"/>
          <w:lang w:val="es-ES"/>
        </w:rPr>
        <w:t>acto impugnado</w:t>
      </w:r>
      <w:r w:rsidR="00F64CE6" w:rsidRPr="00B97263">
        <w:rPr>
          <w:rFonts w:ascii="Palatino Linotype" w:hAnsi="Palatino Linotype" w:cs="Arial"/>
          <w:sz w:val="24"/>
          <w:lang w:val="es-ES"/>
        </w:rPr>
        <w:t>:</w:t>
      </w:r>
    </w:p>
    <w:p w14:paraId="67B8F38F" w14:textId="1D23F10E" w:rsidR="00F64CE6" w:rsidRPr="00AC5006" w:rsidRDefault="00F64CE6" w:rsidP="00F64CE6">
      <w:pPr>
        <w:pStyle w:val="Prrafodelista"/>
        <w:spacing w:line="276" w:lineRule="auto"/>
        <w:ind w:left="567" w:right="567"/>
        <w:jc w:val="both"/>
        <w:rPr>
          <w:rFonts w:ascii="Palatino Linotype" w:hAnsi="Palatino Linotype" w:cs="Arial"/>
          <w:lang w:val="es-ES"/>
        </w:rPr>
      </w:pPr>
      <w:r w:rsidRPr="00AC5006">
        <w:rPr>
          <w:rFonts w:ascii="Palatino Linotype" w:hAnsi="Palatino Linotype" w:cs="Arial"/>
          <w:i/>
          <w:iCs/>
          <w:lang w:val="es-ES"/>
        </w:rPr>
        <w:t>“</w:t>
      </w:r>
      <w:r w:rsidR="00AD67A6" w:rsidRPr="00AC5006">
        <w:rPr>
          <w:rFonts w:ascii="Palatino Linotype" w:hAnsi="Palatino Linotype" w:cs="Arial"/>
          <w:i/>
          <w:iCs/>
        </w:rPr>
        <w:t>No hay respuesta del sujeto obligado</w:t>
      </w:r>
      <w:r w:rsidRPr="00AC5006">
        <w:rPr>
          <w:rFonts w:ascii="Palatino Linotype" w:hAnsi="Palatino Linotype" w:cs="Arial"/>
          <w:i/>
          <w:iCs/>
          <w:lang w:val="es-ES"/>
        </w:rPr>
        <w:t>”</w:t>
      </w:r>
      <w:r w:rsidRPr="00AC5006">
        <w:rPr>
          <w:rFonts w:ascii="Palatino Linotype" w:hAnsi="Palatino Linotype" w:cs="Arial"/>
          <w:lang w:val="es-ES"/>
        </w:rPr>
        <w:t xml:space="preserve"> (Sic)</w:t>
      </w:r>
    </w:p>
    <w:p w14:paraId="440B8F66" w14:textId="77777777" w:rsidR="00AD67A6" w:rsidRPr="00B97263" w:rsidRDefault="00AD67A6" w:rsidP="00AD67A6">
      <w:pPr>
        <w:pStyle w:val="Prrafodelista"/>
        <w:tabs>
          <w:tab w:val="left" w:pos="426"/>
        </w:tabs>
        <w:spacing w:before="240" w:after="240" w:line="360" w:lineRule="auto"/>
        <w:ind w:left="0"/>
        <w:jc w:val="both"/>
        <w:rPr>
          <w:rFonts w:ascii="Palatino Linotype" w:hAnsi="Palatino Linotype" w:cs="Arial"/>
          <w:i/>
          <w:sz w:val="24"/>
        </w:rPr>
      </w:pPr>
    </w:p>
    <w:p w14:paraId="2DB5D6BA" w14:textId="41E8F4EF" w:rsidR="00CA2D4E" w:rsidRPr="00B97263" w:rsidRDefault="00CA2D4E" w:rsidP="00CC1CF1">
      <w:pPr>
        <w:pStyle w:val="Prrafodelista"/>
        <w:numPr>
          <w:ilvl w:val="0"/>
          <w:numId w:val="2"/>
        </w:numPr>
        <w:tabs>
          <w:tab w:val="left" w:pos="426"/>
        </w:tabs>
        <w:spacing w:before="240" w:after="240" w:line="360" w:lineRule="auto"/>
        <w:ind w:left="0" w:firstLine="0"/>
        <w:jc w:val="both"/>
        <w:rPr>
          <w:rFonts w:ascii="Palatino Linotype" w:eastAsia="Calibri" w:hAnsi="Palatino Linotype" w:cs="Arial"/>
          <w:sz w:val="24"/>
          <w:lang w:val="es-AR"/>
        </w:rPr>
      </w:pPr>
      <w:r w:rsidRPr="00B97263">
        <w:rPr>
          <w:rFonts w:ascii="Palatino Linotype" w:hAnsi="Palatino Linotype" w:cs="Arial"/>
          <w:sz w:val="24"/>
          <w:lang w:val="es-ES"/>
        </w:rPr>
        <w:t xml:space="preserve">Se registró el recurso de revisión bajo el número de expediente </w:t>
      </w:r>
      <w:r w:rsidRPr="00B97263">
        <w:rPr>
          <w:rFonts w:ascii="Palatino Linotype" w:hAnsi="Palatino Linotype" w:cs="Arial"/>
          <w:bCs/>
          <w:sz w:val="24"/>
        </w:rPr>
        <w:t xml:space="preserve">al rubro indicado, asimismo con fundamento en lo dispuesto por el </w:t>
      </w:r>
      <w:r w:rsidRPr="00B97263">
        <w:rPr>
          <w:rFonts w:ascii="Palatino Linotype" w:eastAsia="Calibri" w:hAnsi="Palatino Linotype" w:cs="Arial"/>
          <w:sz w:val="24"/>
          <w:lang w:val="es-ES"/>
        </w:rPr>
        <w:t>artículo 185</w:t>
      </w:r>
      <w:r w:rsidR="00F64CE6" w:rsidRPr="00B97263">
        <w:rPr>
          <w:rFonts w:ascii="Palatino Linotype" w:eastAsia="Calibri" w:hAnsi="Palatino Linotype" w:cs="Arial"/>
          <w:sz w:val="24"/>
          <w:lang w:val="es-ES"/>
        </w:rPr>
        <w:t>,</w:t>
      </w:r>
      <w:r w:rsidRPr="00B97263">
        <w:rPr>
          <w:rFonts w:ascii="Palatino Linotype" w:eastAsia="Calibri" w:hAnsi="Palatino Linotype" w:cs="Arial"/>
          <w:sz w:val="24"/>
          <w:lang w:val="es-ES"/>
        </w:rPr>
        <w:t xml:space="preserve"> fracción I</w:t>
      </w:r>
      <w:r w:rsidR="00F64CE6" w:rsidRPr="00B97263">
        <w:rPr>
          <w:rFonts w:ascii="Palatino Linotype" w:eastAsia="Calibri" w:hAnsi="Palatino Linotype" w:cs="Arial"/>
          <w:sz w:val="24"/>
          <w:lang w:val="es-ES"/>
        </w:rPr>
        <w:t>,</w:t>
      </w:r>
      <w:r w:rsidRPr="00B97263">
        <w:rPr>
          <w:rFonts w:ascii="Palatino Linotype" w:eastAsia="Calibri" w:hAnsi="Palatino Linotype" w:cs="Arial"/>
          <w:sz w:val="24"/>
          <w:lang w:val="es-ES"/>
        </w:rPr>
        <w:t xml:space="preserve"> de la </w:t>
      </w:r>
      <w:r w:rsidRPr="00B97263">
        <w:rPr>
          <w:rFonts w:ascii="Palatino Linotype" w:eastAsia="Calibri" w:hAnsi="Palatino Linotype" w:cs="Arial"/>
          <w:b/>
          <w:sz w:val="24"/>
          <w:lang w:val="es-ES"/>
        </w:rPr>
        <w:t xml:space="preserve">Ley de Transparencia y Acceso a la Información Pública del Estado de México y Municipios </w:t>
      </w:r>
      <w:r w:rsidRPr="00B97263">
        <w:rPr>
          <w:rFonts w:ascii="Palatino Linotype" w:hAnsi="Palatino Linotype" w:cs="Arial"/>
          <w:sz w:val="24"/>
          <w:lang w:val="es-ES"/>
        </w:rPr>
        <w:t xml:space="preserve">se turnó a la </w:t>
      </w:r>
      <w:r w:rsidRPr="00B97263">
        <w:rPr>
          <w:rFonts w:ascii="Palatino Linotype" w:hAnsi="Palatino Linotype" w:cs="Arial"/>
          <w:b/>
          <w:sz w:val="24"/>
          <w:lang w:val="es-ES"/>
        </w:rPr>
        <w:t xml:space="preserve">Comisionada María del Rosario Mejía Ayala, </w:t>
      </w:r>
      <w:r w:rsidR="00AC5006">
        <w:rPr>
          <w:rFonts w:ascii="Palatino Linotype" w:hAnsi="Palatino Linotype" w:cs="Arial"/>
          <w:sz w:val="24"/>
          <w:lang w:val="es-ES"/>
        </w:rPr>
        <w:t>para</w:t>
      </w:r>
      <w:r w:rsidRPr="00B97263">
        <w:rPr>
          <w:rFonts w:ascii="Palatino Linotype" w:hAnsi="Palatino Linotype" w:cs="Arial"/>
          <w:sz w:val="24"/>
          <w:lang w:val="es-ES"/>
        </w:rPr>
        <w:t xml:space="preserve"> </w:t>
      </w:r>
      <w:r w:rsidRPr="00B97263">
        <w:rPr>
          <w:rFonts w:ascii="Palatino Linotype" w:hAnsi="Palatino Linotype" w:cs="Arial"/>
          <w:sz w:val="24"/>
        </w:rPr>
        <w:t>su análisis.</w:t>
      </w:r>
    </w:p>
    <w:p w14:paraId="433BA7B4" w14:textId="47783012" w:rsidR="000F3425" w:rsidRPr="00B97263" w:rsidRDefault="00CA2D4E" w:rsidP="00FE335E">
      <w:pPr>
        <w:pStyle w:val="Prrafodelista"/>
        <w:numPr>
          <w:ilvl w:val="0"/>
          <w:numId w:val="1"/>
        </w:numPr>
        <w:tabs>
          <w:tab w:val="left" w:pos="284"/>
          <w:tab w:val="left" w:pos="426"/>
        </w:tabs>
        <w:spacing w:before="240" w:after="240" w:line="360" w:lineRule="auto"/>
        <w:ind w:left="0" w:firstLine="0"/>
        <w:jc w:val="both"/>
        <w:rPr>
          <w:rFonts w:ascii="Palatino Linotype" w:eastAsiaTheme="minorEastAsia" w:hAnsi="Palatino Linotype"/>
          <w:i/>
          <w:color w:val="000000"/>
          <w:sz w:val="24"/>
          <w:lang w:val="es-ES_tradnl"/>
        </w:rPr>
      </w:pPr>
      <w:r w:rsidRPr="00B97263">
        <w:rPr>
          <w:rFonts w:ascii="Palatino Linotype" w:eastAsia="Calibri" w:hAnsi="Palatino Linotype" w:cs="Arial"/>
          <w:sz w:val="24"/>
          <w:lang w:val="es-ES"/>
        </w:rPr>
        <w:t xml:space="preserve">La Comisionada Ponente con fundamento en lo dispuesto por el artículo 185 fracción II de la ley de la materia, a través del acuerdo de admisión de </w:t>
      </w:r>
      <w:r w:rsidR="000D13A8" w:rsidRPr="00B97263">
        <w:rPr>
          <w:rFonts w:ascii="Palatino Linotype" w:eastAsia="Calibri" w:hAnsi="Palatino Linotype" w:cs="Arial"/>
          <w:sz w:val="24"/>
          <w:lang w:val="es-ES"/>
        </w:rPr>
        <w:t>veintiuno de</w:t>
      </w:r>
      <w:r w:rsidR="00E469EE" w:rsidRPr="00B97263">
        <w:rPr>
          <w:rFonts w:ascii="Palatino Linotype" w:eastAsia="Calibri" w:hAnsi="Palatino Linotype" w:cs="Arial"/>
          <w:sz w:val="24"/>
          <w:lang w:val="es-ES"/>
        </w:rPr>
        <w:t xml:space="preserve"> </w:t>
      </w:r>
      <w:r w:rsidR="000D13A8" w:rsidRPr="00B97263">
        <w:rPr>
          <w:rFonts w:ascii="Palatino Linotype" w:eastAsia="Calibri" w:hAnsi="Palatino Linotype" w:cs="Arial"/>
          <w:sz w:val="24"/>
          <w:lang w:val="es-ES"/>
        </w:rPr>
        <w:t xml:space="preserve">mayo de dos mil </w:t>
      </w:r>
      <w:r w:rsidR="000D13A8" w:rsidRPr="00B97263">
        <w:rPr>
          <w:rFonts w:ascii="Palatino Linotype" w:eastAsia="Calibri" w:hAnsi="Palatino Linotype" w:cs="Arial"/>
          <w:sz w:val="24"/>
          <w:lang w:val="es-ES"/>
        </w:rPr>
        <w:lastRenderedPageBreak/>
        <w:t>veinticuatro</w:t>
      </w:r>
      <w:r w:rsidRPr="00B97263">
        <w:rPr>
          <w:rFonts w:ascii="Palatino Linotype" w:eastAsia="Calibri" w:hAnsi="Palatino Linotype" w:cs="Arial"/>
          <w:sz w:val="24"/>
          <w:lang w:val="es-ES"/>
        </w:rPr>
        <w:t xml:space="preserve">, puso a disposición de las partes el expediente electrónico </w:t>
      </w:r>
      <w:r w:rsidRPr="00B97263">
        <w:rPr>
          <w:rFonts w:ascii="Palatino Linotype" w:eastAsia="Calibri" w:hAnsi="Palatino Linotype" w:cs="Arial"/>
          <w:sz w:val="24"/>
        </w:rPr>
        <w:t xml:space="preserve">vía </w:t>
      </w:r>
      <w:r w:rsidRPr="00B97263">
        <w:rPr>
          <w:rFonts w:ascii="Palatino Linotype" w:eastAsia="Calibri" w:hAnsi="Palatino Linotype" w:cs="Arial"/>
          <w:b/>
          <w:sz w:val="24"/>
          <w:lang w:val="es-ES"/>
        </w:rPr>
        <w:t xml:space="preserve">SAIMEX </w:t>
      </w:r>
      <w:r w:rsidRPr="00B97263">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Pr="00B97263">
        <w:rPr>
          <w:rFonts w:ascii="Palatino Linotype" w:eastAsia="Calibri" w:hAnsi="Palatino Linotype" w:cs="Arial"/>
          <w:b/>
          <w:sz w:val="24"/>
          <w:lang w:val="es-ES"/>
        </w:rPr>
        <w:t>SUJETO OBLIGADO</w:t>
      </w:r>
      <w:r w:rsidRPr="00B97263">
        <w:rPr>
          <w:rFonts w:ascii="Palatino Linotype" w:eastAsia="Calibri" w:hAnsi="Palatino Linotype" w:cs="Arial"/>
          <w:sz w:val="24"/>
          <w:lang w:val="es-ES"/>
        </w:rPr>
        <w:t xml:space="preserve"> presentara el informe justificado procedente.</w:t>
      </w:r>
    </w:p>
    <w:p w14:paraId="502B61A8" w14:textId="77777777" w:rsidR="000F3425" w:rsidRPr="00B97263" w:rsidRDefault="000F3425" w:rsidP="000F3425">
      <w:pPr>
        <w:pStyle w:val="Prrafodelista"/>
        <w:tabs>
          <w:tab w:val="left" w:pos="284"/>
          <w:tab w:val="left" w:pos="426"/>
        </w:tabs>
        <w:spacing w:before="240" w:after="240" w:line="360" w:lineRule="auto"/>
        <w:ind w:left="0"/>
        <w:jc w:val="both"/>
        <w:rPr>
          <w:rFonts w:ascii="Palatino Linotype" w:eastAsiaTheme="minorEastAsia" w:hAnsi="Palatino Linotype"/>
          <w:i/>
          <w:color w:val="000000"/>
          <w:sz w:val="24"/>
          <w:lang w:val="es-ES_tradnl"/>
        </w:rPr>
      </w:pPr>
    </w:p>
    <w:p w14:paraId="603CD633" w14:textId="680CDB44" w:rsidR="00E469EE" w:rsidRPr="00B97263" w:rsidRDefault="000D13A8" w:rsidP="000D13A8">
      <w:pPr>
        <w:pStyle w:val="Prrafodelista"/>
        <w:numPr>
          <w:ilvl w:val="0"/>
          <w:numId w:val="1"/>
        </w:numPr>
        <w:tabs>
          <w:tab w:val="left" w:pos="426"/>
        </w:tabs>
        <w:spacing w:line="360" w:lineRule="auto"/>
        <w:ind w:left="0" w:firstLine="0"/>
        <w:jc w:val="both"/>
        <w:rPr>
          <w:rFonts w:ascii="Palatino Linotype" w:hAnsi="Palatino Linotype"/>
          <w:color w:val="000000" w:themeColor="text1"/>
          <w:sz w:val="24"/>
        </w:rPr>
      </w:pPr>
      <w:r w:rsidRPr="00B97263">
        <w:rPr>
          <w:rFonts w:ascii="Palatino Linotype" w:eastAsiaTheme="minorEastAsia" w:hAnsi="Palatino Linotype"/>
          <w:color w:val="000000"/>
          <w:sz w:val="24"/>
          <w:lang w:val="es-ES_tradnl"/>
        </w:rPr>
        <w:t xml:space="preserve">El particular fue omiso en realizar manifestaciones que  a su derecho conviniera y asistiera. Por su parte el </w:t>
      </w:r>
      <w:r w:rsidRPr="00B97263">
        <w:rPr>
          <w:rFonts w:ascii="Palatino Linotype" w:eastAsiaTheme="minorEastAsia" w:hAnsi="Palatino Linotype"/>
          <w:b/>
          <w:color w:val="000000"/>
          <w:sz w:val="24"/>
          <w:lang w:val="es-ES_tradnl"/>
        </w:rPr>
        <w:t xml:space="preserve">SUJETO OBLIGADO </w:t>
      </w:r>
      <w:r w:rsidRPr="00B97263">
        <w:rPr>
          <w:rFonts w:ascii="Palatino Linotype" w:eastAsiaTheme="minorEastAsia" w:hAnsi="Palatino Linotype"/>
          <w:color w:val="000000"/>
          <w:sz w:val="24"/>
          <w:lang w:val="es-ES_tradnl"/>
        </w:rPr>
        <w:t>no rindió el informe justificado correspondiente.</w:t>
      </w:r>
    </w:p>
    <w:p w14:paraId="3C60DEE2" w14:textId="77777777" w:rsidR="000D13A8" w:rsidRPr="00B97263" w:rsidRDefault="000D13A8" w:rsidP="000D13A8">
      <w:pPr>
        <w:pStyle w:val="Prrafodelista"/>
        <w:rPr>
          <w:rFonts w:ascii="Palatino Linotype" w:hAnsi="Palatino Linotype"/>
          <w:color w:val="000000" w:themeColor="text1"/>
          <w:sz w:val="24"/>
        </w:rPr>
      </w:pPr>
    </w:p>
    <w:p w14:paraId="2BFBFE5A" w14:textId="212162B4" w:rsidR="00E469EE" w:rsidRPr="00B97263" w:rsidRDefault="00E469EE" w:rsidP="00E469EE">
      <w:pPr>
        <w:pStyle w:val="Prrafodelista"/>
        <w:numPr>
          <w:ilvl w:val="0"/>
          <w:numId w:val="2"/>
        </w:numPr>
        <w:tabs>
          <w:tab w:val="left" w:pos="426"/>
        </w:tabs>
        <w:spacing w:line="360" w:lineRule="auto"/>
        <w:ind w:left="0" w:firstLine="0"/>
        <w:jc w:val="both"/>
        <w:rPr>
          <w:rFonts w:ascii="Palatino Linotype" w:hAnsi="Palatino Linotype"/>
          <w:sz w:val="24"/>
        </w:rPr>
      </w:pPr>
      <w:r w:rsidRPr="00B97263">
        <w:rPr>
          <w:rFonts w:ascii="Palatino Linotype" w:hAnsi="Palatino Linotype"/>
          <w:sz w:val="24"/>
        </w:rPr>
        <w:t xml:space="preserve">El </w:t>
      </w:r>
      <w:r w:rsidR="000D13A8" w:rsidRPr="00B97263">
        <w:rPr>
          <w:rFonts w:ascii="Palatino Linotype" w:hAnsi="Palatino Linotype"/>
          <w:sz w:val="24"/>
        </w:rPr>
        <w:t>seis</w:t>
      </w:r>
      <w:r w:rsidR="004A40B0" w:rsidRPr="00B97263">
        <w:rPr>
          <w:rFonts w:ascii="Palatino Linotype" w:hAnsi="Palatino Linotype"/>
          <w:sz w:val="24"/>
        </w:rPr>
        <w:t xml:space="preserve"> de junio </w:t>
      </w:r>
      <w:r w:rsidRPr="00B97263">
        <w:rPr>
          <w:rFonts w:ascii="Palatino Linotype" w:hAnsi="Palatino Linotype"/>
          <w:sz w:val="24"/>
        </w:rPr>
        <w:t xml:space="preserve">de dos mil </w:t>
      </w:r>
      <w:r w:rsidR="00FE335E" w:rsidRPr="00B97263">
        <w:rPr>
          <w:rFonts w:ascii="Palatino Linotype" w:hAnsi="Palatino Linotype"/>
          <w:sz w:val="24"/>
        </w:rPr>
        <w:t>veinticuatro</w:t>
      </w:r>
      <w:r w:rsidRPr="00B97263">
        <w:rPr>
          <w:rFonts w:ascii="Palatino Linotype" w:hAnsi="Palatino Linotype"/>
          <w:sz w:val="24"/>
        </w:rPr>
        <w:t>, la Comisionada Ponente decretó el cierre de instrucción. Por lo que turnó la presente resolución para su aprobación.</w:t>
      </w:r>
    </w:p>
    <w:p w14:paraId="315828C1" w14:textId="77777777" w:rsidR="00014402" w:rsidRPr="00B97263" w:rsidRDefault="00014402" w:rsidP="00E469EE">
      <w:pPr>
        <w:rPr>
          <w:rFonts w:ascii="Palatino Linotype" w:eastAsia="Calibri" w:hAnsi="Palatino Linotype" w:cs="Arial"/>
          <w:sz w:val="24"/>
          <w:szCs w:val="24"/>
          <w:lang w:val="es-ES"/>
        </w:rPr>
      </w:pPr>
    </w:p>
    <w:p w14:paraId="2042B540" w14:textId="275B4E86" w:rsidR="00126444" w:rsidRPr="00B97263" w:rsidRDefault="00CA2D4E" w:rsidP="000F3425">
      <w:pPr>
        <w:pStyle w:val="Prrafodelista"/>
        <w:numPr>
          <w:ilvl w:val="0"/>
          <w:numId w:val="2"/>
        </w:numPr>
        <w:tabs>
          <w:tab w:val="left" w:pos="426"/>
        </w:tabs>
        <w:spacing w:line="360" w:lineRule="auto"/>
        <w:ind w:left="0" w:firstLine="0"/>
        <w:jc w:val="both"/>
        <w:rPr>
          <w:rFonts w:ascii="Palatino Linotype" w:hAnsi="Palatino Linotype" w:cs="Tahoma"/>
          <w:sz w:val="24"/>
        </w:rPr>
      </w:pPr>
      <w:r w:rsidRPr="00B97263">
        <w:rPr>
          <w:rFonts w:ascii="Palatino Linotype" w:hAnsi="Palatino Linotype" w:cs="Tahoma"/>
          <w:sz w:val="24"/>
        </w:rPr>
        <w:t>E</w:t>
      </w:r>
      <w:r w:rsidR="00126444" w:rsidRPr="00B97263">
        <w:rPr>
          <w:rFonts w:ascii="Palatino Linotype" w:hAnsi="Palatino Linotype" w:cs="Tahoma"/>
          <w:sz w:val="24"/>
        </w:rPr>
        <w:t>l</w:t>
      </w:r>
      <w:r w:rsidR="000D13A8" w:rsidRPr="00B97263">
        <w:rPr>
          <w:rFonts w:ascii="Palatino Linotype" w:hAnsi="Palatino Linotype" w:cs="Tahoma"/>
          <w:sz w:val="24"/>
        </w:rPr>
        <w:t xml:space="preserve"> diecisiete</w:t>
      </w:r>
      <w:r w:rsidR="004A40B0" w:rsidRPr="00B97263">
        <w:rPr>
          <w:rFonts w:ascii="Palatino Linotype" w:hAnsi="Palatino Linotype" w:cs="Tahoma"/>
          <w:sz w:val="24"/>
        </w:rPr>
        <w:t xml:space="preserve"> de junio </w:t>
      </w:r>
      <w:r w:rsidR="00494DFC" w:rsidRPr="00B97263">
        <w:rPr>
          <w:rFonts w:ascii="Palatino Linotype" w:hAnsi="Palatino Linotype" w:cs="Tahoma"/>
          <w:sz w:val="24"/>
        </w:rPr>
        <w:t xml:space="preserve">e dos mil </w:t>
      </w:r>
      <w:r w:rsidR="00FE335E" w:rsidRPr="00B97263">
        <w:rPr>
          <w:rFonts w:ascii="Palatino Linotype" w:hAnsi="Palatino Linotype" w:cs="Tahoma"/>
          <w:sz w:val="24"/>
        </w:rPr>
        <w:t>veinticuatro</w:t>
      </w:r>
      <w:r w:rsidR="00126444" w:rsidRPr="00B97263">
        <w:rPr>
          <w:rFonts w:ascii="Palatino Linotype" w:hAnsi="Palatino Linotype" w:cs="Tahoma"/>
          <w:sz w:val="24"/>
        </w:rPr>
        <w:t xml:space="preserve">, se notificó a las partes la resolución recaída al recurso de revisión </w:t>
      </w:r>
      <w:r w:rsidR="000D13A8" w:rsidRPr="00B97263">
        <w:rPr>
          <w:rFonts w:ascii="Palatino Linotype" w:hAnsi="Palatino Linotype" w:cs="Tahoma"/>
          <w:b/>
          <w:bCs/>
          <w:sz w:val="24"/>
        </w:rPr>
        <w:t>0307</w:t>
      </w:r>
      <w:r w:rsidR="004A40B0" w:rsidRPr="00B97263">
        <w:rPr>
          <w:rFonts w:ascii="Palatino Linotype" w:hAnsi="Palatino Linotype" w:cs="Tahoma"/>
          <w:b/>
          <w:bCs/>
          <w:sz w:val="24"/>
        </w:rPr>
        <w:t>3</w:t>
      </w:r>
      <w:r w:rsidR="00126444" w:rsidRPr="00B97263">
        <w:rPr>
          <w:rFonts w:ascii="Palatino Linotype" w:hAnsi="Palatino Linotype" w:cs="Tahoma"/>
          <w:b/>
          <w:bCs/>
          <w:sz w:val="24"/>
        </w:rPr>
        <w:t>/INFOEM/IP/RR/</w:t>
      </w:r>
      <w:r w:rsidR="007E6131" w:rsidRPr="00B97263">
        <w:rPr>
          <w:rFonts w:ascii="Palatino Linotype" w:hAnsi="Palatino Linotype" w:cs="Tahoma"/>
          <w:b/>
          <w:bCs/>
          <w:sz w:val="24"/>
        </w:rPr>
        <w:t>2022</w:t>
      </w:r>
      <w:r w:rsidR="00126444" w:rsidRPr="00B97263">
        <w:rPr>
          <w:rFonts w:ascii="Palatino Linotype" w:hAnsi="Palatino Linotype" w:cs="Tahoma"/>
          <w:sz w:val="24"/>
        </w:rPr>
        <w:t>, vía SAIMEX.</w:t>
      </w:r>
    </w:p>
    <w:p w14:paraId="16763043" w14:textId="77777777" w:rsidR="00126444" w:rsidRPr="00B97263" w:rsidRDefault="00126444" w:rsidP="000F3425">
      <w:pPr>
        <w:pStyle w:val="Prrafodelista"/>
        <w:tabs>
          <w:tab w:val="left" w:pos="426"/>
        </w:tabs>
        <w:spacing w:line="360" w:lineRule="auto"/>
        <w:ind w:left="0"/>
        <w:jc w:val="both"/>
        <w:rPr>
          <w:rFonts w:ascii="Palatino Linotype" w:hAnsi="Palatino Linotype" w:cs="Tahoma"/>
          <w:sz w:val="24"/>
        </w:rPr>
      </w:pPr>
    </w:p>
    <w:p w14:paraId="1E2033CE" w14:textId="67359C57" w:rsidR="00CA2D4E" w:rsidRPr="00B97263" w:rsidRDefault="000D13A8" w:rsidP="00FE335E">
      <w:pPr>
        <w:pStyle w:val="Prrafodelista"/>
        <w:numPr>
          <w:ilvl w:val="0"/>
          <w:numId w:val="2"/>
        </w:numPr>
        <w:tabs>
          <w:tab w:val="left" w:pos="426"/>
        </w:tabs>
        <w:spacing w:line="360" w:lineRule="auto"/>
        <w:ind w:left="0" w:firstLine="0"/>
        <w:jc w:val="both"/>
        <w:rPr>
          <w:rFonts w:ascii="Palatino Linotype" w:hAnsi="Palatino Linotype" w:cs="Tahoma"/>
          <w:sz w:val="24"/>
        </w:rPr>
      </w:pPr>
      <w:r w:rsidRPr="00B97263">
        <w:rPr>
          <w:rFonts w:ascii="Palatino Linotype" w:hAnsi="Palatino Linotype" w:cs="Tahoma"/>
          <w:sz w:val="24"/>
        </w:rPr>
        <w:t>Ante el incumplimiento de la Resolución notificada, e</w:t>
      </w:r>
      <w:r w:rsidR="00CA2D4E" w:rsidRPr="00B97263">
        <w:rPr>
          <w:rFonts w:ascii="Palatino Linotype" w:hAnsi="Palatino Linotype" w:cs="Tahoma"/>
          <w:sz w:val="24"/>
        </w:rPr>
        <w:t xml:space="preserve">l </w:t>
      </w:r>
      <w:r w:rsidR="00FE335E" w:rsidRPr="00B97263">
        <w:rPr>
          <w:rFonts w:ascii="Palatino Linotype" w:hAnsi="Palatino Linotype" w:cs="Tahoma"/>
          <w:sz w:val="24"/>
        </w:rPr>
        <w:t>dos</w:t>
      </w:r>
      <w:r w:rsidR="004A40B0" w:rsidRPr="00B97263">
        <w:rPr>
          <w:rFonts w:ascii="Palatino Linotype" w:hAnsi="Palatino Linotype" w:cs="Tahoma"/>
          <w:sz w:val="24"/>
        </w:rPr>
        <w:t xml:space="preserve"> de julio </w:t>
      </w:r>
      <w:r w:rsidR="00FE335E" w:rsidRPr="00B97263">
        <w:rPr>
          <w:rFonts w:ascii="Palatino Linotype" w:hAnsi="Palatino Linotype" w:cs="Tahoma"/>
          <w:sz w:val="24"/>
        </w:rPr>
        <w:t>de dos mil veinticuatro</w:t>
      </w:r>
      <w:r w:rsidR="00CA2D4E" w:rsidRPr="00B97263">
        <w:rPr>
          <w:rFonts w:ascii="Palatino Linotype" w:hAnsi="Palatino Linotype" w:cs="Tahoma"/>
          <w:sz w:val="24"/>
        </w:rPr>
        <w:t xml:space="preserve">, </w:t>
      </w:r>
      <w:r w:rsidR="00FE335E" w:rsidRPr="00B97263">
        <w:rPr>
          <w:rFonts w:ascii="Palatino Linotype" w:hAnsi="Palatino Linotype" w:cs="Tahoma"/>
          <w:sz w:val="24"/>
        </w:rPr>
        <w:t xml:space="preserve">la Dirección de Cumplimientos de este Instituto, </w:t>
      </w:r>
      <w:r w:rsidR="00CA2D4E" w:rsidRPr="00B97263">
        <w:rPr>
          <w:rFonts w:ascii="Palatino Linotype" w:hAnsi="Palatino Linotype" w:cs="Tahoma"/>
          <w:sz w:val="24"/>
        </w:rPr>
        <w:t>notificó el acuerdo de incumplimiento a la resolución emitida al recurso de revisión</w:t>
      </w:r>
      <w:r w:rsidR="007C00C5" w:rsidRPr="00B97263">
        <w:rPr>
          <w:rFonts w:ascii="Palatino Linotype" w:hAnsi="Palatino Linotype" w:cs="Tahoma"/>
          <w:sz w:val="24"/>
        </w:rPr>
        <w:t xml:space="preserve"> y </w:t>
      </w:r>
      <w:r w:rsidR="00FE335E" w:rsidRPr="00B97263">
        <w:rPr>
          <w:rFonts w:ascii="Palatino Linotype" w:hAnsi="Palatino Linotype" w:cs="Tahoma"/>
          <w:sz w:val="24"/>
        </w:rPr>
        <w:t>ordenó al Departamento de Medidas de Apremio de la Dirección de Cumplimientos de este Instituto, a efecto de que integre la calificación de la gravedad de la falta.</w:t>
      </w:r>
    </w:p>
    <w:p w14:paraId="54702872" w14:textId="77777777" w:rsidR="00CA2D4E" w:rsidRPr="00B97263" w:rsidRDefault="00CA2D4E" w:rsidP="000F3425">
      <w:pPr>
        <w:pStyle w:val="Prrafodelista"/>
        <w:tabs>
          <w:tab w:val="left" w:pos="426"/>
        </w:tabs>
        <w:spacing w:line="360" w:lineRule="auto"/>
        <w:ind w:left="0"/>
        <w:jc w:val="both"/>
        <w:rPr>
          <w:rFonts w:ascii="Palatino Linotype" w:hAnsi="Palatino Linotype" w:cs="Tahoma"/>
          <w:sz w:val="24"/>
        </w:rPr>
      </w:pPr>
    </w:p>
    <w:p w14:paraId="6DCC899C" w14:textId="43792F39" w:rsidR="00CA2D4E" w:rsidRPr="00B97263" w:rsidRDefault="00CA2D4E" w:rsidP="000F3425">
      <w:pPr>
        <w:pStyle w:val="Prrafodelista"/>
        <w:numPr>
          <w:ilvl w:val="0"/>
          <w:numId w:val="2"/>
        </w:numPr>
        <w:tabs>
          <w:tab w:val="left" w:pos="426"/>
        </w:tabs>
        <w:spacing w:line="360" w:lineRule="auto"/>
        <w:ind w:left="0" w:firstLine="0"/>
        <w:jc w:val="both"/>
        <w:rPr>
          <w:rFonts w:ascii="Palatino Linotype" w:hAnsi="Palatino Linotype" w:cs="Tahoma"/>
          <w:sz w:val="24"/>
        </w:rPr>
      </w:pPr>
      <w:r w:rsidRPr="00B97263">
        <w:rPr>
          <w:rFonts w:ascii="Palatino Linotype" w:hAnsi="Palatino Linotype" w:cs="Tahoma"/>
          <w:sz w:val="24"/>
        </w:rPr>
        <w:t xml:space="preserve">El </w:t>
      </w:r>
      <w:r w:rsidR="00FE335E" w:rsidRPr="00B97263">
        <w:rPr>
          <w:rFonts w:ascii="Palatino Linotype" w:hAnsi="Palatino Linotype" w:cs="Tahoma"/>
          <w:sz w:val="24"/>
        </w:rPr>
        <w:t xml:space="preserve">veintisiete </w:t>
      </w:r>
      <w:r w:rsidR="004A40B0" w:rsidRPr="00B97263">
        <w:rPr>
          <w:rFonts w:ascii="Palatino Linotype" w:hAnsi="Palatino Linotype" w:cs="Tahoma"/>
          <w:sz w:val="24"/>
        </w:rPr>
        <w:t xml:space="preserve">de julio </w:t>
      </w:r>
      <w:r w:rsidRPr="00B97263">
        <w:rPr>
          <w:rFonts w:ascii="Palatino Linotype" w:hAnsi="Palatino Linotype" w:cs="Tahoma"/>
          <w:sz w:val="24"/>
        </w:rPr>
        <w:t xml:space="preserve">de dos mil </w:t>
      </w:r>
      <w:r w:rsidR="00FE335E" w:rsidRPr="00B97263">
        <w:rPr>
          <w:rFonts w:ascii="Palatino Linotype" w:hAnsi="Palatino Linotype" w:cs="Tahoma"/>
          <w:sz w:val="24"/>
        </w:rPr>
        <w:t>veinticuatro</w:t>
      </w:r>
      <w:r w:rsidRPr="00B97263">
        <w:rPr>
          <w:rFonts w:ascii="Palatino Linotype" w:hAnsi="Palatino Linotype" w:cs="Tahoma"/>
          <w:sz w:val="24"/>
        </w:rPr>
        <w:t xml:space="preserve">, </w:t>
      </w:r>
      <w:r w:rsidRPr="00B97263">
        <w:rPr>
          <w:rFonts w:ascii="Palatino Linotype" w:hAnsi="Palatino Linotype"/>
          <w:sz w:val="24"/>
        </w:rPr>
        <w:t xml:space="preserve">el </w:t>
      </w:r>
      <w:r w:rsidR="00126444" w:rsidRPr="00B97263">
        <w:rPr>
          <w:rFonts w:ascii="Palatino Linotype" w:hAnsi="Palatino Linotype"/>
          <w:b/>
          <w:bCs/>
          <w:sz w:val="24"/>
        </w:rPr>
        <w:t>RECURRENTE</w:t>
      </w:r>
      <w:r w:rsidRPr="00B97263">
        <w:rPr>
          <w:rFonts w:ascii="Palatino Linotype" w:hAnsi="Palatino Linotype"/>
          <w:sz w:val="24"/>
        </w:rPr>
        <w:t xml:space="preserve"> interpuso </w:t>
      </w:r>
      <w:r w:rsidR="00126444" w:rsidRPr="00B97263">
        <w:rPr>
          <w:rFonts w:ascii="Palatino Linotype" w:hAnsi="Palatino Linotype"/>
          <w:sz w:val="24"/>
        </w:rPr>
        <w:t>un segundo recurso de revisión</w:t>
      </w:r>
      <w:r w:rsidR="00FE335E" w:rsidRPr="00B97263">
        <w:rPr>
          <w:rFonts w:ascii="Palatino Linotype" w:hAnsi="Palatino Linotype"/>
          <w:sz w:val="24"/>
        </w:rPr>
        <w:t xml:space="preserve"> en contra de la falta de respuesta</w:t>
      </w:r>
      <w:r w:rsidR="00126444" w:rsidRPr="00B97263">
        <w:rPr>
          <w:rFonts w:ascii="Palatino Linotype" w:hAnsi="Palatino Linotype"/>
          <w:sz w:val="24"/>
        </w:rPr>
        <w:t>, en el que señaló</w:t>
      </w:r>
      <w:r w:rsidRPr="00B97263">
        <w:rPr>
          <w:rFonts w:ascii="Palatino Linotype" w:hAnsi="Palatino Linotype"/>
          <w:sz w:val="24"/>
        </w:rPr>
        <w:t xml:space="preserve"> como </w:t>
      </w:r>
      <w:r w:rsidR="00126444" w:rsidRPr="00B97263">
        <w:rPr>
          <w:rFonts w:ascii="Palatino Linotype" w:hAnsi="Palatino Linotype"/>
          <w:b/>
          <w:bCs/>
          <w:sz w:val="24"/>
        </w:rPr>
        <w:t xml:space="preserve">Acto </w:t>
      </w:r>
      <w:r w:rsidR="00126444" w:rsidRPr="00B97263">
        <w:rPr>
          <w:rFonts w:ascii="Palatino Linotype" w:hAnsi="Palatino Linotype"/>
          <w:b/>
          <w:bCs/>
          <w:sz w:val="24"/>
        </w:rPr>
        <w:lastRenderedPageBreak/>
        <w:t>Impugnado</w:t>
      </w:r>
      <w:r w:rsidRPr="00B97263">
        <w:rPr>
          <w:rFonts w:ascii="Palatino Linotype" w:hAnsi="Palatino Linotype"/>
          <w:sz w:val="24"/>
        </w:rPr>
        <w:t xml:space="preserve"> y </w:t>
      </w:r>
      <w:r w:rsidR="00126444" w:rsidRPr="00B97263">
        <w:rPr>
          <w:rFonts w:ascii="Palatino Linotype" w:hAnsi="Palatino Linotype"/>
          <w:b/>
          <w:bCs/>
          <w:sz w:val="24"/>
        </w:rPr>
        <w:t>Razones o Motivos de la Inconformidad</w:t>
      </w:r>
      <w:r w:rsidRPr="00B97263">
        <w:rPr>
          <w:rFonts w:ascii="Palatino Linotype" w:hAnsi="Palatino Linotype"/>
          <w:sz w:val="24"/>
        </w:rPr>
        <w:t xml:space="preserve"> lo que a continuación se transcribe:</w:t>
      </w:r>
    </w:p>
    <w:p w14:paraId="474B8332" w14:textId="1D6FB376" w:rsidR="00CA2D4E" w:rsidRPr="00AC5006" w:rsidRDefault="00CA2D4E" w:rsidP="00AC5006">
      <w:pPr>
        <w:pStyle w:val="Prrafodelista"/>
        <w:numPr>
          <w:ilvl w:val="0"/>
          <w:numId w:val="3"/>
        </w:numPr>
        <w:ind w:right="1389"/>
        <w:jc w:val="both"/>
        <w:rPr>
          <w:rFonts w:ascii="Palatino Linotype" w:hAnsi="Palatino Linotype"/>
          <w:lang w:eastAsia="es-MX"/>
        </w:rPr>
      </w:pPr>
      <w:r w:rsidRPr="00AC5006">
        <w:rPr>
          <w:rFonts w:ascii="Palatino Linotype" w:hAnsi="Palatino Linotype" w:cs="Tahoma"/>
          <w:b/>
        </w:rPr>
        <w:t>Acto impugnado</w:t>
      </w:r>
      <w:r w:rsidRPr="00AC5006">
        <w:rPr>
          <w:rFonts w:ascii="Palatino Linotype" w:hAnsi="Palatino Linotype" w:cs="Tahoma"/>
        </w:rPr>
        <w:t xml:space="preserve"> “</w:t>
      </w:r>
      <w:r w:rsidR="00FE335E" w:rsidRPr="00AC5006">
        <w:rPr>
          <w:rFonts w:ascii="Palatino Linotype" w:hAnsi="Palatino Linotype"/>
          <w:i/>
          <w:lang w:eastAsia="es-MX"/>
        </w:rPr>
        <w:t>La falta de respuesta del sujeto obligado</w:t>
      </w:r>
      <w:r w:rsidRPr="00AC5006">
        <w:rPr>
          <w:rFonts w:ascii="Palatino Linotype" w:hAnsi="Palatino Linotype"/>
          <w:i/>
          <w:lang w:eastAsia="es-MX"/>
        </w:rPr>
        <w:t>”</w:t>
      </w:r>
    </w:p>
    <w:p w14:paraId="6F11590E" w14:textId="092FF211" w:rsidR="00CA2D4E" w:rsidRPr="00AC5006" w:rsidRDefault="00CA2D4E" w:rsidP="00AC5006">
      <w:pPr>
        <w:pStyle w:val="Prrafodelista"/>
        <w:numPr>
          <w:ilvl w:val="0"/>
          <w:numId w:val="3"/>
        </w:numPr>
        <w:ind w:right="1389"/>
        <w:jc w:val="both"/>
        <w:rPr>
          <w:rFonts w:ascii="Palatino Linotype" w:hAnsi="Palatino Linotype"/>
          <w:lang w:eastAsia="es-MX"/>
        </w:rPr>
      </w:pPr>
      <w:r w:rsidRPr="00AC5006">
        <w:rPr>
          <w:rFonts w:ascii="Palatino Linotype" w:hAnsi="Palatino Linotype"/>
          <w:b/>
          <w:lang w:eastAsia="es-MX"/>
        </w:rPr>
        <w:t>Razones o motivos de la inconformidad</w:t>
      </w:r>
      <w:r w:rsidRPr="00AC5006">
        <w:rPr>
          <w:rFonts w:ascii="Palatino Linotype" w:hAnsi="Palatino Linotype"/>
          <w:lang w:eastAsia="es-MX"/>
        </w:rPr>
        <w:t xml:space="preserve"> “</w:t>
      </w:r>
      <w:r w:rsidR="00FE335E" w:rsidRPr="00AC5006">
        <w:rPr>
          <w:rFonts w:ascii="Palatino Linotype" w:hAnsi="Palatino Linotype"/>
          <w:i/>
          <w:lang w:eastAsia="es-MX"/>
        </w:rPr>
        <w:t xml:space="preserve">el sujeto obligado denominado H. Ayuntamiento de </w:t>
      </w:r>
      <w:proofErr w:type="spellStart"/>
      <w:r w:rsidR="00FE335E" w:rsidRPr="00AC5006">
        <w:rPr>
          <w:rFonts w:ascii="Palatino Linotype" w:hAnsi="Palatino Linotype"/>
          <w:i/>
          <w:lang w:eastAsia="es-MX"/>
        </w:rPr>
        <w:t>apaxco</w:t>
      </w:r>
      <w:proofErr w:type="spellEnd"/>
      <w:r w:rsidR="00FE335E" w:rsidRPr="00AC5006">
        <w:rPr>
          <w:rFonts w:ascii="Palatino Linotype" w:hAnsi="Palatino Linotype"/>
          <w:i/>
          <w:lang w:eastAsia="es-MX"/>
        </w:rPr>
        <w:t xml:space="preserve"> no ha realizado la entrega de la </w:t>
      </w:r>
      <w:proofErr w:type="spellStart"/>
      <w:r w:rsidR="00FE335E" w:rsidRPr="00AC5006">
        <w:rPr>
          <w:rFonts w:ascii="Palatino Linotype" w:hAnsi="Palatino Linotype"/>
          <w:i/>
          <w:lang w:eastAsia="es-MX"/>
        </w:rPr>
        <w:t>iformacion</w:t>
      </w:r>
      <w:proofErr w:type="spellEnd"/>
      <w:r w:rsidR="00FE335E" w:rsidRPr="00AC5006">
        <w:rPr>
          <w:rFonts w:ascii="Palatino Linotype" w:hAnsi="Palatino Linotype"/>
          <w:i/>
          <w:lang w:eastAsia="es-MX"/>
        </w:rPr>
        <w:t xml:space="preserve"> solicitada</w:t>
      </w:r>
      <w:r w:rsidRPr="00AC5006">
        <w:rPr>
          <w:rFonts w:ascii="Palatino Linotype" w:hAnsi="Palatino Linotype"/>
          <w:lang w:eastAsia="es-MX"/>
        </w:rPr>
        <w:t>”</w:t>
      </w:r>
      <w:r w:rsidR="00126444" w:rsidRPr="00AC5006">
        <w:rPr>
          <w:rFonts w:ascii="Palatino Linotype" w:hAnsi="Palatino Linotype"/>
          <w:lang w:eastAsia="es-MX"/>
        </w:rPr>
        <w:t xml:space="preserve"> (Sic)</w:t>
      </w:r>
    </w:p>
    <w:p w14:paraId="5CC53FD7" w14:textId="26ADA917" w:rsidR="00126444" w:rsidRPr="00B97263" w:rsidRDefault="00126444" w:rsidP="00126444">
      <w:pPr>
        <w:pStyle w:val="Prrafodelista"/>
        <w:spacing w:before="240" w:after="240" w:line="360" w:lineRule="auto"/>
        <w:ind w:left="0"/>
        <w:jc w:val="both"/>
        <w:rPr>
          <w:rFonts w:ascii="Palatino Linotype" w:eastAsiaTheme="minorEastAsia" w:hAnsi="Palatino Linotype" w:cstheme="minorBidi"/>
          <w:i/>
          <w:color w:val="000000"/>
          <w:sz w:val="24"/>
          <w:lang w:val="es-ES_tradnl"/>
        </w:rPr>
      </w:pPr>
    </w:p>
    <w:p w14:paraId="07927077" w14:textId="4B7AB3D7" w:rsidR="00CA2D4E" w:rsidRPr="00443247" w:rsidRDefault="00126444" w:rsidP="000F3425">
      <w:pPr>
        <w:pStyle w:val="Prrafodelista"/>
        <w:numPr>
          <w:ilvl w:val="0"/>
          <w:numId w:val="2"/>
        </w:numPr>
        <w:tabs>
          <w:tab w:val="left" w:pos="426"/>
        </w:tabs>
        <w:spacing w:before="240" w:after="240" w:line="360" w:lineRule="auto"/>
        <w:ind w:left="0" w:firstLine="0"/>
        <w:jc w:val="both"/>
        <w:rPr>
          <w:rFonts w:ascii="Palatino Linotype" w:eastAsiaTheme="minorEastAsia" w:hAnsi="Palatino Linotype" w:cstheme="minorBidi"/>
          <w:i/>
          <w:color w:val="000000"/>
          <w:sz w:val="24"/>
          <w:lang w:val="es-ES_tradnl"/>
        </w:rPr>
      </w:pPr>
      <w:r w:rsidRPr="00B97263">
        <w:rPr>
          <w:rFonts w:ascii="Palatino Linotype" w:eastAsia="Calibri" w:hAnsi="Palatino Linotype" w:cs="Arial"/>
          <w:sz w:val="24"/>
          <w:lang w:val="es-ES_tradnl"/>
        </w:rPr>
        <w:t>L</w:t>
      </w:r>
      <w:r w:rsidR="00CA2D4E" w:rsidRPr="00B97263">
        <w:rPr>
          <w:rFonts w:ascii="Palatino Linotype" w:eastAsia="Calibri" w:hAnsi="Palatino Linotype" w:cs="Arial"/>
          <w:sz w:val="24"/>
          <w:lang w:val="es-ES"/>
        </w:rPr>
        <w:t>a Comisionada Ponente</w:t>
      </w:r>
      <w:r w:rsidRPr="00B97263">
        <w:rPr>
          <w:rFonts w:ascii="Palatino Linotype" w:eastAsia="Calibri" w:hAnsi="Palatino Linotype" w:cs="Arial"/>
          <w:sz w:val="24"/>
          <w:lang w:val="es-ES"/>
        </w:rPr>
        <w:t>,</w:t>
      </w:r>
      <w:r w:rsidR="00CA2D4E" w:rsidRPr="00B97263">
        <w:rPr>
          <w:rFonts w:ascii="Palatino Linotype" w:eastAsia="Calibri" w:hAnsi="Palatino Linotype" w:cs="Arial"/>
          <w:sz w:val="24"/>
          <w:lang w:val="es-ES"/>
        </w:rPr>
        <w:t xml:space="preserve"> con fundamento en lo dispuesto por el artículo 185</w:t>
      </w:r>
      <w:r w:rsidRPr="00B97263">
        <w:rPr>
          <w:rFonts w:ascii="Palatino Linotype" w:eastAsia="Calibri" w:hAnsi="Palatino Linotype" w:cs="Arial"/>
          <w:sz w:val="24"/>
          <w:lang w:val="es-ES"/>
        </w:rPr>
        <w:t>,</w:t>
      </w:r>
      <w:r w:rsidR="00CA2D4E" w:rsidRPr="00B97263">
        <w:rPr>
          <w:rFonts w:ascii="Palatino Linotype" w:eastAsia="Calibri" w:hAnsi="Palatino Linotype" w:cs="Arial"/>
          <w:sz w:val="24"/>
          <w:lang w:val="es-ES"/>
        </w:rPr>
        <w:t xml:space="preserve"> fracción II</w:t>
      </w:r>
      <w:r w:rsidRPr="00B97263">
        <w:rPr>
          <w:rFonts w:ascii="Palatino Linotype" w:eastAsia="Calibri" w:hAnsi="Palatino Linotype" w:cs="Arial"/>
          <w:sz w:val="24"/>
          <w:lang w:val="es-ES"/>
        </w:rPr>
        <w:t>,</w:t>
      </w:r>
      <w:r w:rsidR="00CA2D4E" w:rsidRPr="00B97263">
        <w:rPr>
          <w:rFonts w:ascii="Palatino Linotype" w:eastAsia="Calibri" w:hAnsi="Palatino Linotype" w:cs="Arial"/>
          <w:sz w:val="24"/>
          <w:lang w:val="es-ES"/>
        </w:rPr>
        <w:t xml:space="preserve"> de la ley de la materia, a través del acuerdo de admisión de </w:t>
      </w:r>
      <w:r w:rsidR="00FE335E" w:rsidRPr="00B97263">
        <w:rPr>
          <w:rFonts w:ascii="Palatino Linotype" w:eastAsia="Calibri" w:hAnsi="Palatino Linotype" w:cs="Arial"/>
          <w:sz w:val="24"/>
          <w:lang w:val="es-ES"/>
        </w:rPr>
        <w:t>ocho</w:t>
      </w:r>
      <w:r w:rsidR="004A40B0" w:rsidRPr="00B97263">
        <w:rPr>
          <w:rFonts w:ascii="Palatino Linotype" w:eastAsia="Calibri" w:hAnsi="Palatino Linotype" w:cs="Arial"/>
          <w:sz w:val="24"/>
          <w:lang w:val="es-ES"/>
        </w:rPr>
        <w:t xml:space="preserve"> de agosto </w:t>
      </w:r>
      <w:r w:rsidR="00CA2D4E" w:rsidRPr="00B97263">
        <w:rPr>
          <w:rFonts w:ascii="Palatino Linotype" w:eastAsia="Calibri" w:hAnsi="Palatino Linotype" w:cs="Arial"/>
          <w:sz w:val="24"/>
          <w:lang w:val="es-ES"/>
        </w:rPr>
        <w:t xml:space="preserve">de dos mil </w:t>
      </w:r>
      <w:r w:rsidR="00FE335E" w:rsidRPr="00B97263">
        <w:rPr>
          <w:rFonts w:ascii="Palatino Linotype" w:eastAsia="Calibri" w:hAnsi="Palatino Linotype" w:cs="Arial"/>
          <w:sz w:val="24"/>
          <w:lang w:val="es-ES"/>
        </w:rPr>
        <w:t>veinticuatro</w:t>
      </w:r>
      <w:r w:rsidR="00CA2D4E" w:rsidRPr="00B97263">
        <w:rPr>
          <w:rFonts w:ascii="Palatino Linotype" w:eastAsia="Calibri" w:hAnsi="Palatino Linotype" w:cs="Arial"/>
          <w:sz w:val="24"/>
          <w:lang w:val="es-ES"/>
        </w:rPr>
        <w:t xml:space="preserve">, puso a disposición de las partes el expediente electrónico </w:t>
      </w:r>
      <w:r w:rsidR="00CA2D4E" w:rsidRPr="00B97263">
        <w:rPr>
          <w:rFonts w:ascii="Palatino Linotype" w:eastAsia="Calibri" w:hAnsi="Palatino Linotype" w:cs="Arial"/>
          <w:sz w:val="24"/>
        </w:rPr>
        <w:t xml:space="preserve">vía </w:t>
      </w:r>
      <w:r w:rsidR="00CA2D4E" w:rsidRPr="00B97263">
        <w:rPr>
          <w:rFonts w:ascii="Palatino Linotype" w:eastAsia="Calibri" w:hAnsi="Palatino Linotype" w:cs="Arial"/>
          <w:b/>
          <w:sz w:val="24"/>
          <w:lang w:val="es-ES"/>
        </w:rPr>
        <w:t xml:space="preserve">SAIMEX </w:t>
      </w:r>
      <w:r w:rsidR="00CA2D4E" w:rsidRPr="00B97263">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CA2D4E" w:rsidRPr="00B97263">
        <w:rPr>
          <w:rFonts w:ascii="Palatino Linotype" w:eastAsia="Calibri" w:hAnsi="Palatino Linotype" w:cs="Arial"/>
          <w:b/>
          <w:sz w:val="24"/>
          <w:lang w:val="es-ES"/>
        </w:rPr>
        <w:t>SUJETO OBLIGADO</w:t>
      </w:r>
      <w:r w:rsidR="00CA2D4E" w:rsidRPr="00B97263">
        <w:rPr>
          <w:rFonts w:ascii="Palatino Linotype" w:eastAsia="Calibri" w:hAnsi="Palatino Linotype" w:cs="Arial"/>
          <w:sz w:val="24"/>
          <w:lang w:val="es-ES"/>
        </w:rPr>
        <w:t xml:space="preserve"> presentara el</w:t>
      </w:r>
      <w:r w:rsidR="00FE335E" w:rsidRPr="00B97263">
        <w:rPr>
          <w:rFonts w:ascii="Palatino Linotype" w:eastAsia="Calibri" w:hAnsi="Palatino Linotype" w:cs="Arial"/>
          <w:sz w:val="24"/>
          <w:lang w:val="es-ES"/>
        </w:rPr>
        <w:t xml:space="preserve"> informe justificado procedente; siendo omisas ambas partes.</w:t>
      </w:r>
    </w:p>
    <w:p w14:paraId="45845198" w14:textId="77777777" w:rsidR="00443247" w:rsidRPr="00B97263" w:rsidRDefault="00443247" w:rsidP="00443247">
      <w:pPr>
        <w:pStyle w:val="Prrafodelista"/>
        <w:tabs>
          <w:tab w:val="left" w:pos="426"/>
        </w:tabs>
        <w:spacing w:before="240" w:after="240" w:line="360" w:lineRule="auto"/>
        <w:ind w:left="0"/>
        <w:jc w:val="both"/>
        <w:rPr>
          <w:rFonts w:ascii="Palatino Linotype" w:eastAsiaTheme="minorEastAsia" w:hAnsi="Palatino Linotype" w:cstheme="minorBidi"/>
          <w:i/>
          <w:color w:val="000000"/>
          <w:sz w:val="24"/>
          <w:lang w:val="es-ES_tradnl"/>
        </w:rPr>
      </w:pPr>
    </w:p>
    <w:p w14:paraId="1887B1F4" w14:textId="6FF0D14E" w:rsidR="00CA2D4E" w:rsidRPr="00AC5006" w:rsidRDefault="0001292A" w:rsidP="000F3425">
      <w:pPr>
        <w:pStyle w:val="Prrafodelista"/>
        <w:numPr>
          <w:ilvl w:val="0"/>
          <w:numId w:val="2"/>
        </w:numPr>
        <w:tabs>
          <w:tab w:val="left" w:pos="426"/>
        </w:tabs>
        <w:spacing w:line="360" w:lineRule="auto"/>
        <w:ind w:left="0" w:firstLine="0"/>
        <w:jc w:val="both"/>
        <w:rPr>
          <w:rFonts w:ascii="Palatino Linotype" w:hAnsi="Palatino Linotype" w:cs="Tahoma"/>
          <w:sz w:val="24"/>
        </w:rPr>
      </w:pPr>
      <w:r w:rsidRPr="00B97263">
        <w:rPr>
          <w:rFonts w:ascii="Palatino Linotype" w:eastAsia="Calibri" w:hAnsi="Palatino Linotype" w:cs="Arial"/>
          <w:sz w:val="24"/>
          <w:lang w:val="es-ES"/>
        </w:rPr>
        <w:t xml:space="preserve">Finalmente, el </w:t>
      </w:r>
      <w:r w:rsidR="00FE335E" w:rsidRPr="00B97263">
        <w:rPr>
          <w:rFonts w:ascii="Palatino Linotype" w:eastAsia="Calibri" w:hAnsi="Palatino Linotype" w:cs="Arial"/>
          <w:sz w:val="24"/>
          <w:lang w:val="es-ES"/>
        </w:rPr>
        <w:t>veintidós</w:t>
      </w:r>
      <w:r w:rsidR="00494DFC" w:rsidRPr="00B97263">
        <w:rPr>
          <w:rFonts w:ascii="Palatino Linotype" w:eastAsia="Calibri" w:hAnsi="Palatino Linotype" w:cs="Arial"/>
          <w:sz w:val="24"/>
          <w:lang w:val="es-ES"/>
        </w:rPr>
        <w:t xml:space="preserve"> de </w:t>
      </w:r>
      <w:r w:rsidR="00FE335E" w:rsidRPr="00B97263">
        <w:rPr>
          <w:rFonts w:ascii="Palatino Linotype" w:eastAsia="Calibri" w:hAnsi="Palatino Linotype" w:cs="Arial"/>
          <w:sz w:val="24"/>
          <w:lang w:val="es-ES"/>
        </w:rPr>
        <w:t>agosto</w:t>
      </w:r>
      <w:r w:rsidR="00494DFC" w:rsidRPr="00B97263">
        <w:rPr>
          <w:rFonts w:ascii="Palatino Linotype" w:eastAsia="Calibri" w:hAnsi="Palatino Linotype" w:cs="Arial"/>
          <w:sz w:val="24"/>
          <w:lang w:val="es-ES"/>
        </w:rPr>
        <w:t xml:space="preserve"> </w:t>
      </w:r>
      <w:r w:rsidR="00CA2D4E" w:rsidRPr="00B97263">
        <w:rPr>
          <w:rFonts w:ascii="Palatino Linotype" w:eastAsia="Calibri" w:hAnsi="Palatino Linotype" w:cs="Arial"/>
          <w:sz w:val="24"/>
          <w:lang w:val="es-ES"/>
        </w:rPr>
        <w:t xml:space="preserve">de dos mil </w:t>
      </w:r>
      <w:r w:rsidR="00FE335E" w:rsidRPr="00B97263">
        <w:rPr>
          <w:rFonts w:ascii="Palatino Linotype" w:eastAsia="Calibri" w:hAnsi="Palatino Linotype" w:cs="Arial"/>
          <w:sz w:val="24"/>
          <w:lang w:val="es-ES"/>
        </w:rPr>
        <w:t>veinticuatro</w:t>
      </w:r>
      <w:r w:rsidR="00CA2D4E" w:rsidRPr="00B97263">
        <w:rPr>
          <w:rFonts w:ascii="Palatino Linotype" w:eastAsia="Calibri" w:hAnsi="Palatino Linotype" w:cs="Arial"/>
          <w:sz w:val="24"/>
          <w:lang w:val="es-ES"/>
        </w:rPr>
        <w:t>, la</w:t>
      </w:r>
      <w:r w:rsidR="00CA2D4E" w:rsidRPr="00B97263">
        <w:rPr>
          <w:rFonts w:ascii="Palatino Linotype" w:hAnsi="Palatino Linotype"/>
          <w:sz w:val="24"/>
        </w:rPr>
        <w:t xml:space="preserve"> Comisionada Ponente decretó el cierre </w:t>
      </w:r>
      <w:r w:rsidR="00126444" w:rsidRPr="00B97263">
        <w:rPr>
          <w:rFonts w:ascii="Palatino Linotype" w:hAnsi="Palatino Linotype"/>
          <w:sz w:val="24"/>
        </w:rPr>
        <w:t>del periodo de instrucción, por lo que ordenó turnar el expediente para su resolución, misma que ahora se pronuncia; y ---------------------</w:t>
      </w:r>
      <w:r w:rsidRPr="00B97263">
        <w:rPr>
          <w:rFonts w:ascii="Palatino Linotype" w:hAnsi="Palatino Linotype"/>
          <w:sz w:val="24"/>
        </w:rPr>
        <w:t>------</w:t>
      </w:r>
      <w:r w:rsidR="00AC5006">
        <w:rPr>
          <w:rFonts w:ascii="Palatino Linotype" w:hAnsi="Palatino Linotype"/>
          <w:sz w:val="24"/>
        </w:rPr>
        <w:t>---------------------------</w:t>
      </w:r>
    </w:p>
    <w:p w14:paraId="3886D7CF" w14:textId="77777777" w:rsidR="00AC5006" w:rsidRPr="00AC5006" w:rsidRDefault="00AC5006" w:rsidP="00AC5006">
      <w:pPr>
        <w:pStyle w:val="Prrafodelista"/>
        <w:rPr>
          <w:rFonts w:ascii="Palatino Linotype" w:hAnsi="Palatino Linotype" w:cs="Tahoma"/>
          <w:sz w:val="24"/>
        </w:rPr>
      </w:pPr>
    </w:p>
    <w:p w14:paraId="049A8FAF" w14:textId="77777777" w:rsidR="00AC5006" w:rsidRDefault="00AC5006" w:rsidP="00AC5006">
      <w:pPr>
        <w:pStyle w:val="Prrafodelista"/>
        <w:tabs>
          <w:tab w:val="left" w:pos="426"/>
        </w:tabs>
        <w:spacing w:line="360" w:lineRule="auto"/>
        <w:ind w:left="0"/>
        <w:jc w:val="both"/>
        <w:rPr>
          <w:rFonts w:ascii="Palatino Linotype" w:hAnsi="Palatino Linotype" w:cs="Tahoma"/>
          <w:sz w:val="24"/>
        </w:rPr>
      </w:pPr>
    </w:p>
    <w:p w14:paraId="26DFE887" w14:textId="77777777" w:rsidR="00AC5006" w:rsidRDefault="00AC5006" w:rsidP="00AC5006">
      <w:pPr>
        <w:pStyle w:val="Prrafodelista"/>
        <w:tabs>
          <w:tab w:val="left" w:pos="426"/>
        </w:tabs>
        <w:spacing w:line="360" w:lineRule="auto"/>
        <w:ind w:left="0"/>
        <w:jc w:val="both"/>
        <w:rPr>
          <w:rFonts w:ascii="Palatino Linotype" w:hAnsi="Palatino Linotype" w:cs="Tahoma"/>
          <w:sz w:val="24"/>
        </w:rPr>
      </w:pPr>
    </w:p>
    <w:p w14:paraId="03DE96CF" w14:textId="77777777" w:rsidR="00AC5006" w:rsidRDefault="00AC5006" w:rsidP="00AC5006">
      <w:pPr>
        <w:pStyle w:val="Prrafodelista"/>
        <w:tabs>
          <w:tab w:val="left" w:pos="426"/>
        </w:tabs>
        <w:spacing w:line="360" w:lineRule="auto"/>
        <w:ind w:left="0"/>
        <w:jc w:val="both"/>
        <w:rPr>
          <w:rFonts w:ascii="Palatino Linotype" w:hAnsi="Palatino Linotype" w:cs="Tahoma"/>
          <w:sz w:val="24"/>
        </w:rPr>
      </w:pPr>
    </w:p>
    <w:p w14:paraId="70933296" w14:textId="77777777" w:rsidR="00AC5006" w:rsidRPr="00B97263" w:rsidRDefault="00AC5006" w:rsidP="00AC5006">
      <w:pPr>
        <w:pStyle w:val="Prrafodelista"/>
        <w:tabs>
          <w:tab w:val="left" w:pos="426"/>
        </w:tabs>
        <w:spacing w:line="360" w:lineRule="auto"/>
        <w:ind w:left="0"/>
        <w:jc w:val="both"/>
        <w:rPr>
          <w:rFonts w:ascii="Palatino Linotype" w:hAnsi="Palatino Linotype" w:cs="Tahoma"/>
          <w:sz w:val="24"/>
        </w:rPr>
      </w:pPr>
    </w:p>
    <w:p w14:paraId="4E70991A" w14:textId="51F1F756" w:rsidR="00CA2D4E" w:rsidRDefault="00CA2D4E" w:rsidP="00CA2D4E">
      <w:pPr>
        <w:pStyle w:val="Ttulo1"/>
        <w:jc w:val="center"/>
        <w:rPr>
          <w:rFonts w:ascii="Palatino Linotype" w:hAnsi="Palatino Linotype"/>
          <w:b/>
          <w:color w:val="auto"/>
          <w:sz w:val="24"/>
          <w:szCs w:val="24"/>
        </w:rPr>
      </w:pPr>
      <w:bookmarkStart w:id="1" w:name="_Toc87549672"/>
      <w:r w:rsidRPr="00B97263">
        <w:rPr>
          <w:rFonts w:ascii="Palatino Linotype" w:hAnsi="Palatino Linotype"/>
          <w:b/>
          <w:color w:val="auto"/>
          <w:sz w:val="24"/>
          <w:szCs w:val="24"/>
        </w:rPr>
        <w:t>C</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O</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N</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S</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I</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D</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E</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R</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A</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N</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D</w:t>
      </w:r>
      <w:r w:rsidR="00126444" w:rsidRPr="00B97263">
        <w:rPr>
          <w:rFonts w:ascii="Palatino Linotype" w:hAnsi="Palatino Linotype"/>
          <w:b/>
          <w:color w:val="auto"/>
          <w:sz w:val="24"/>
          <w:szCs w:val="24"/>
        </w:rPr>
        <w:t xml:space="preserve"> </w:t>
      </w:r>
      <w:r w:rsidRPr="00B97263">
        <w:rPr>
          <w:rFonts w:ascii="Palatino Linotype" w:hAnsi="Palatino Linotype"/>
          <w:b/>
          <w:color w:val="auto"/>
          <w:sz w:val="24"/>
          <w:szCs w:val="24"/>
        </w:rPr>
        <w:t>O</w:t>
      </w:r>
      <w:bookmarkEnd w:id="1"/>
      <w:r w:rsidRPr="00B97263">
        <w:rPr>
          <w:rFonts w:ascii="Palatino Linotype" w:hAnsi="Palatino Linotype"/>
          <w:b/>
          <w:color w:val="auto"/>
          <w:sz w:val="24"/>
          <w:szCs w:val="24"/>
        </w:rPr>
        <w:t xml:space="preserve"> </w:t>
      </w:r>
    </w:p>
    <w:p w14:paraId="375E93E8" w14:textId="77777777" w:rsidR="00AC5006" w:rsidRPr="00AC5006" w:rsidRDefault="00AC5006" w:rsidP="00AC5006"/>
    <w:p w14:paraId="50AE4898" w14:textId="77777777" w:rsidR="00CA2D4E" w:rsidRPr="00B97263" w:rsidRDefault="00CA2D4E" w:rsidP="00CA2D4E">
      <w:pPr>
        <w:rPr>
          <w:rFonts w:ascii="Palatino Linotype" w:hAnsi="Palatino Linotype"/>
          <w:sz w:val="24"/>
          <w:szCs w:val="24"/>
        </w:rPr>
      </w:pPr>
    </w:p>
    <w:p w14:paraId="4923DA5E" w14:textId="77777777" w:rsidR="00CA2D4E" w:rsidRPr="00B97263" w:rsidRDefault="00CA2D4E" w:rsidP="00CA2D4E">
      <w:pPr>
        <w:pStyle w:val="Ttulo2"/>
        <w:rPr>
          <w:rFonts w:ascii="Palatino Linotype" w:hAnsi="Palatino Linotype"/>
          <w:b/>
          <w:color w:val="auto"/>
          <w:sz w:val="24"/>
          <w:szCs w:val="24"/>
        </w:rPr>
      </w:pPr>
      <w:bookmarkStart w:id="2" w:name="_Toc87549673"/>
      <w:r w:rsidRPr="00B97263">
        <w:rPr>
          <w:rFonts w:ascii="Palatino Linotype" w:hAnsi="Palatino Linotype"/>
          <w:b/>
          <w:color w:val="auto"/>
          <w:sz w:val="24"/>
          <w:szCs w:val="24"/>
        </w:rPr>
        <w:lastRenderedPageBreak/>
        <w:t>PRIMERO. De la competencia</w:t>
      </w:r>
      <w:bookmarkEnd w:id="2"/>
    </w:p>
    <w:p w14:paraId="7D180964" w14:textId="2C333D9D" w:rsidR="00014402" w:rsidRPr="00B97263" w:rsidRDefault="00014402" w:rsidP="000F3425">
      <w:pPr>
        <w:pStyle w:val="Prrafodelista"/>
        <w:numPr>
          <w:ilvl w:val="0"/>
          <w:numId w:val="2"/>
        </w:numPr>
        <w:tabs>
          <w:tab w:val="left" w:pos="426"/>
        </w:tabs>
        <w:spacing w:before="240" w:after="240" w:line="360" w:lineRule="auto"/>
        <w:ind w:left="0" w:firstLine="0"/>
        <w:jc w:val="both"/>
        <w:rPr>
          <w:rFonts w:ascii="Palatino Linotype" w:hAnsi="Palatino Linotype"/>
          <w:sz w:val="24"/>
        </w:rPr>
      </w:pPr>
      <w:r w:rsidRPr="00B97263">
        <w:rPr>
          <w:rFonts w:ascii="Palatino Linotype" w:hAnsi="Palatino Linotype"/>
          <w:sz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01292A" w:rsidRPr="00B97263">
        <w:rPr>
          <w:rFonts w:ascii="Palatino Linotype" w:hAnsi="Palatino Linotype"/>
          <w:sz w:val="24"/>
        </w:rPr>
        <w:t>trigésimo segundo, trigésimo tercero y trigésimo cuarto,</w:t>
      </w:r>
      <w:r w:rsidRPr="00B97263">
        <w:rPr>
          <w:rFonts w:ascii="Palatino Linotype" w:hAnsi="Palatino Linotype"/>
          <w:sz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8F2D342" w14:textId="77777777" w:rsidR="00CA2D4E" w:rsidRPr="00B97263" w:rsidRDefault="00CA2D4E" w:rsidP="00CA2D4E">
      <w:pPr>
        <w:pStyle w:val="Ttulo2"/>
        <w:rPr>
          <w:rFonts w:ascii="Palatino Linotype" w:hAnsi="Palatino Linotype"/>
          <w:b/>
          <w:color w:val="auto"/>
          <w:sz w:val="24"/>
          <w:szCs w:val="24"/>
        </w:rPr>
      </w:pPr>
      <w:bookmarkStart w:id="3" w:name="_Toc87549674"/>
      <w:r w:rsidRPr="00B97263">
        <w:rPr>
          <w:rFonts w:ascii="Palatino Linotype" w:hAnsi="Palatino Linotype"/>
          <w:b/>
          <w:color w:val="auto"/>
          <w:sz w:val="24"/>
          <w:szCs w:val="24"/>
        </w:rPr>
        <w:t>SEGUNDO. De la oportunidad y procedencia.</w:t>
      </w:r>
      <w:bookmarkEnd w:id="3"/>
    </w:p>
    <w:p w14:paraId="269F5B27" w14:textId="77777777" w:rsidR="00014402" w:rsidRPr="00B97263" w:rsidRDefault="00014402" w:rsidP="00014402">
      <w:pPr>
        <w:rPr>
          <w:rFonts w:ascii="Palatino Linotype" w:hAnsi="Palatino Linotype"/>
          <w:sz w:val="24"/>
          <w:szCs w:val="24"/>
        </w:rPr>
      </w:pPr>
    </w:p>
    <w:p w14:paraId="11DCA614" w14:textId="7B143D2E" w:rsidR="00CA2D4E" w:rsidRPr="00B97263" w:rsidRDefault="00CA2D4E" w:rsidP="000F3425">
      <w:pPr>
        <w:numPr>
          <w:ilvl w:val="0"/>
          <w:numId w:val="1"/>
        </w:numPr>
        <w:tabs>
          <w:tab w:val="left" w:pos="426"/>
        </w:tabs>
        <w:spacing w:before="240" w:after="240" w:line="360" w:lineRule="auto"/>
        <w:ind w:left="0" w:firstLine="0"/>
        <w:contextualSpacing/>
        <w:jc w:val="both"/>
        <w:rPr>
          <w:rFonts w:ascii="Palatino Linotype" w:hAnsi="Palatino Linotype" w:cs="Arial"/>
          <w:color w:val="000000"/>
          <w:sz w:val="24"/>
          <w:szCs w:val="24"/>
          <w:lang w:val="es-ES_tradnl"/>
        </w:rPr>
      </w:pPr>
      <w:r w:rsidRPr="00B97263">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B97263">
        <w:rPr>
          <w:rFonts w:ascii="Palatino Linotype" w:eastAsia="Calibri" w:hAnsi="Palatino Linotype" w:cs="Arial"/>
          <w:b/>
          <w:sz w:val="24"/>
          <w:szCs w:val="24"/>
          <w:lang w:val="es-ES"/>
        </w:rPr>
        <w:t>SUJETO OBLIGADO</w:t>
      </w:r>
      <w:r w:rsidRPr="00B97263">
        <w:rPr>
          <w:rFonts w:ascii="Palatino Linotype" w:eastAsia="Calibri" w:hAnsi="Palatino Linotype" w:cs="Arial"/>
          <w:sz w:val="24"/>
          <w:szCs w:val="24"/>
          <w:lang w:val="es-ES"/>
        </w:rPr>
        <w:t xml:space="preserve"> para entregar la respuesta a una solicitud de información pública, es de </w:t>
      </w:r>
      <w:r w:rsidR="001B6F4E" w:rsidRPr="00B97263">
        <w:rPr>
          <w:rFonts w:ascii="Palatino Linotype" w:eastAsia="Calibri" w:hAnsi="Palatino Linotype" w:cs="Arial"/>
          <w:sz w:val="24"/>
          <w:szCs w:val="24"/>
          <w:lang w:val="es-ES"/>
        </w:rPr>
        <w:t>15</w:t>
      </w:r>
      <w:r w:rsidRPr="00B97263">
        <w:rPr>
          <w:rFonts w:ascii="Palatino Linotype" w:eastAsia="Calibri" w:hAnsi="Palatino Linotype" w:cs="Arial"/>
          <w:sz w:val="24"/>
          <w:szCs w:val="24"/>
          <w:lang w:val="es-ES"/>
        </w:rPr>
        <w:t xml:space="preserv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58DC1186" w14:textId="77777777" w:rsidR="00CA2D4E" w:rsidRPr="00B97263" w:rsidRDefault="00CA2D4E" w:rsidP="000F3425">
      <w:pPr>
        <w:numPr>
          <w:ilvl w:val="0"/>
          <w:numId w:val="1"/>
        </w:numPr>
        <w:tabs>
          <w:tab w:val="left" w:pos="426"/>
        </w:tabs>
        <w:spacing w:before="240" w:after="240" w:line="360" w:lineRule="auto"/>
        <w:ind w:left="0" w:firstLine="0"/>
        <w:contextualSpacing/>
        <w:jc w:val="both"/>
        <w:rPr>
          <w:rFonts w:ascii="Palatino Linotype" w:hAnsi="Palatino Linotype" w:cs="Arial"/>
          <w:color w:val="000000"/>
          <w:sz w:val="24"/>
          <w:szCs w:val="24"/>
          <w:lang w:val="es-ES_tradnl"/>
        </w:rPr>
      </w:pPr>
      <w:r w:rsidRPr="00B97263">
        <w:rPr>
          <w:rFonts w:ascii="Palatino Linotype" w:eastAsia="Calibri" w:hAnsi="Palatino Linotype" w:cs="Arial"/>
          <w:sz w:val="24"/>
          <w:szCs w:val="24"/>
          <w:lang w:val="es-ES"/>
        </w:rPr>
        <w:t xml:space="preserve">Por ende, se constituye la figura jurídica de la </w:t>
      </w:r>
      <w:r w:rsidRPr="00B97263">
        <w:rPr>
          <w:rFonts w:ascii="Palatino Linotype" w:eastAsia="Calibri" w:hAnsi="Palatino Linotype" w:cs="Arial"/>
          <w:i/>
          <w:sz w:val="24"/>
          <w:szCs w:val="24"/>
          <w:lang w:val="es-ES"/>
        </w:rPr>
        <w:t>negativa ficta</w:t>
      </w:r>
      <w:r w:rsidRPr="00B97263">
        <w:rPr>
          <w:rFonts w:ascii="Palatino Linotype" w:eastAsia="Calibri" w:hAnsi="Palatino Linotype" w:cs="Arial"/>
          <w:sz w:val="24"/>
          <w:szCs w:val="24"/>
          <w:lang w:val="es-ES"/>
        </w:rPr>
        <w:t xml:space="preserve">, cuya esencia es atribuir un efecto negativo al silencio de la autoridad administrativa frente a las instancias y </w:t>
      </w:r>
      <w:r w:rsidRPr="00B97263">
        <w:rPr>
          <w:rFonts w:ascii="Palatino Linotype" w:eastAsia="Calibri" w:hAnsi="Palatino Linotype" w:cs="Arial"/>
          <w:sz w:val="24"/>
          <w:szCs w:val="24"/>
          <w:lang w:val="es-ES"/>
        </w:rPr>
        <w:lastRenderedPageBreak/>
        <w:t xml:space="preserve">solicitudes que hagan los particulares, lo cual encuentra sustento en lo que establece el artículo </w:t>
      </w:r>
      <w:r w:rsidRPr="00B97263">
        <w:rPr>
          <w:rFonts w:ascii="Palatino Linotype" w:eastAsia="Calibri" w:hAnsi="Palatino Linotype" w:cs="Arial"/>
          <w:b/>
          <w:sz w:val="24"/>
          <w:szCs w:val="24"/>
          <w:lang w:val="es-ES"/>
        </w:rPr>
        <w:t>178</w:t>
      </w:r>
      <w:r w:rsidRPr="00B97263">
        <w:rPr>
          <w:rFonts w:ascii="Palatino Linotype" w:eastAsia="Calibri" w:hAnsi="Palatino Linotype" w:cs="Arial"/>
          <w:sz w:val="24"/>
          <w:szCs w:val="24"/>
          <w:lang w:val="es-ES"/>
        </w:rPr>
        <w:t xml:space="preserve"> segundo párrafo de </w:t>
      </w:r>
      <w:r w:rsidRPr="00B97263">
        <w:rPr>
          <w:rFonts w:ascii="Palatino Linotype" w:eastAsia="Calibri" w:hAnsi="Palatino Linotype" w:cs="Arial"/>
          <w:b/>
          <w:sz w:val="24"/>
          <w:szCs w:val="24"/>
          <w:lang w:val="es-ES"/>
        </w:rPr>
        <w:t>Ley de Transparencia y Acceso a la Información Pública del Estado de México y Municipios</w:t>
      </w:r>
      <w:r w:rsidRPr="00B97263">
        <w:rPr>
          <w:rFonts w:ascii="Palatino Linotype" w:eastAsia="Calibri" w:hAnsi="Palatino Linotype"/>
          <w:color w:val="000000"/>
          <w:sz w:val="24"/>
          <w:szCs w:val="24"/>
          <w:shd w:val="clear" w:color="auto" w:fill="FFFFFF"/>
        </w:rPr>
        <w:t xml:space="preserve">, que dispone; ante la falta de respuesta del </w:t>
      </w:r>
      <w:r w:rsidRPr="00B97263">
        <w:rPr>
          <w:rFonts w:ascii="Palatino Linotype" w:eastAsia="Calibri" w:hAnsi="Palatino Linotype"/>
          <w:b/>
          <w:color w:val="000000"/>
          <w:sz w:val="24"/>
          <w:szCs w:val="24"/>
          <w:shd w:val="clear" w:color="auto" w:fill="FFFFFF"/>
        </w:rPr>
        <w:t>SUJETO OBLIGADO,</w:t>
      </w:r>
      <w:r w:rsidRPr="00B97263">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B97263">
        <w:rPr>
          <w:rFonts w:ascii="Palatino Linotype" w:eastAsia="Calibri" w:hAnsi="Palatino Linotype"/>
          <w:b/>
          <w:color w:val="000000"/>
          <w:sz w:val="24"/>
          <w:szCs w:val="24"/>
          <w:shd w:val="clear" w:color="auto" w:fill="FFFFFF"/>
        </w:rPr>
        <w:t xml:space="preserve">podrá ser interpuesto en cualquier momento. </w:t>
      </w:r>
    </w:p>
    <w:p w14:paraId="0D992DBB" w14:textId="77777777" w:rsidR="00CA2D4E" w:rsidRPr="00B97263" w:rsidRDefault="00CA2D4E" w:rsidP="000F3425">
      <w:pPr>
        <w:tabs>
          <w:tab w:val="left" w:pos="426"/>
        </w:tabs>
        <w:contextualSpacing/>
        <w:rPr>
          <w:rFonts w:ascii="Palatino Linotype" w:hAnsi="Palatino Linotype" w:cs="Arial"/>
          <w:color w:val="000000"/>
          <w:sz w:val="24"/>
          <w:szCs w:val="24"/>
          <w:lang w:val="es-ES_tradnl"/>
        </w:rPr>
      </w:pPr>
    </w:p>
    <w:p w14:paraId="487C0F90" w14:textId="670D1DE2" w:rsidR="00CA2D4E" w:rsidRPr="00B97263" w:rsidRDefault="00CA2D4E" w:rsidP="000F3425">
      <w:pPr>
        <w:numPr>
          <w:ilvl w:val="0"/>
          <w:numId w:val="1"/>
        </w:numPr>
        <w:tabs>
          <w:tab w:val="left" w:pos="426"/>
        </w:tabs>
        <w:spacing w:before="240" w:after="240" w:line="360" w:lineRule="auto"/>
        <w:ind w:left="0" w:firstLine="0"/>
        <w:contextualSpacing/>
        <w:jc w:val="both"/>
        <w:rPr>
          <w:rFonts w:ascii="Palatino Linotype" w:hAnsi="Palatino Linotype" w:cs="Arial"/>
          <w:color w:val="000000"/>
          <w:sz w:val="24"/>
          <w:szCs w:val="24"/>
          <w:lang w:val="es-ES_tradnl"/>
        </w:rPr>
      </w:pPr>
      <w:r w:rsidRPr="00B97263">
        <w:rPr>
          <w:rFonts w:ascii="Palatino Linotype" w:eastAsia="Calibri" w:hAnsi="Palatino Linotype" w:cs="Arial"/>
          <w:sz w:val="24"/>
          <w:szCs w:val="24"/>
          <w:lang w:val="es-ES"/>
        </w:rPr>
        <w:t xml:space="preserve">Por lo que, tratándose de la </w:t>
      </w:r>
      <w:r w:rsidRPr="00B97263">
        <w:rPr>
          <w:rFonts w:ascii="Palatino Linotype" w:eastAsia="Calibri" w:hAnsi="Palatino Linotype" w:cs="Arial"/>
          <w:i/>
          <w:sz w:val="24"/>
          <w:szCs w:val="24"/>
          <w:lang w:val="es-ES"/>
        </w:rPr>
        <w:t>negativa ficta</w:t>
      </w:r>
      <w:r w:rsidRPr="00B97263">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w:t>
      </w:r>
      <w:r w:rsidR="00FE335E" w:rsidRPr="00B97263">
        <w:rPr>
          <w:rFonts w:ascii="Palatino Linotype" w:eastAsia="Calibri" w:hAnsi="Palatino Linotype" w:cs="Arial"/>
          <w:sz w:val="24"/>
          <w:szCs w:val="24"/>
          <w:lang w:val="es-ES"/>
        </w:rPr>
        <w:t>veinticuatro</w:t>
      </w:r>
      <w:r w:rsidRPr="00B97263">
        <w:rPr>
          <w:rFonts w:ascii="Palatino Linotype" w:eastAsia="Calibri" w:hAnsi="Palatino Linotype" w:cs="Arial"/>
          <w:sz w:val="24"/>
          <w:szCs w:val="24"/>
          <w:lang w:val="es-ES"/>
        </w:rPr>
        <w:t xml:space="preserve"> de abril de dos mil quince, relativo a la interposición del recurso de revisión en cualquier tiempo cuando exista </w:t>
      </w:r>
      <w:r w:rsidRPr="00B97263">
        <w:rPr>
          <w:rFonts w:ascii="Palatino Linotype" w:eastAsia="Calibri" w:hAnsi="Palatino Linotype" w:cs="Arial"/>
          <w:i/>
          <w:sz w:val="24"/>
          <w:szCs w:val="24"/>
          <w:lang w:val="es-ES"/>
        </w:rPr>
        <w:t>negativa ficta</w:t>
      </w:r>
      <w:r w:rsidRPr="00B97263">
        <w:rPr>
          <w:rFonts w:ascii="Palatino Linotype" w:eastAsia="Calibri" w:hAnsi="Palatino Linotype" w:cs="Arial"/>
          <w:sz w:val="24"/>
          <w:szCs w:val="24"/>
          <w:lang w:val="es-ES"/>
        </w:rPr>
        <w:t>, que señala:</w:t>
      </w:r>
    </w:p>
    <w:p w14:paraId="5A6DDCBB" w14:textId="77777777" w:rsidR="00CA2D4E" w:rsidRPr="00AC5006" w:rsidRDefault="00CA2D4E" w:rsidP="00126444">
      <w:pPr>
        <w:tabs>
          <w:tab w:val="left" w:pos="284"/>
          <w:tab w:val="left" w:pos="7655"/>
        </w:tabs>
        <w:spacing w:before="240" w:after="240" w:line="276" w:lineRule="auto"/>
        <w:ind w:left="567" w:right="822"/>
        <w:jc w:val="center"/>
        <w:rPr>
          <w:rFonts w:ascii="Palatino Linotype" w:eastAsia="Calibri" w:hAnsi="Palatino Linotype" w:cs="Arial"/>
          <w:b/>
          <w:sz w:val="22"/>
          <w:szCs w:val="24"/>
          <w:lang w:val="es-ES"/>
        </w:rPr>
      </w:pPr>
      <w:r w:rsidRPr="00AC5006">
        <w:rPr>
          <w:rFonts w:ascii="Palatino Linotype" w:eastAsia="Calibri" w:hAnsi="Palatino Linotype" w:cs="Arial"/>
          <w:b/>
          <w:sz w:val="22"/>
          <w:szCs w:val="24"/>
          <w:lang w:val="es-ES"/>
        </w:rPr>
        <w:t>Criterio 0001-15</w:t>
      </w:r>
    </w:p>
    <w:p w14:paraId="43B9CE78" w14:textId="4C54D7B5" w:rsidR="00CA2D4E" w:rsidRDefault="00CA2D4E" w:rsidP="00126444">
      <w:pPr>
        <w:tabs>
          <w:tab w:val="left" w:pos="284"/>
          <w:tab w:val="left" w:pos="7655"/>
        </w:tabs>
        <w:spacing w:before="240" w:after="240" w:line="276" w:lineRule="auto"/>
        <w:ind w:left="567" w:right="822"/>
        <w:jc w:val="both"/>
        <w:rPr>
          <w:rFonts w:ascii="Palatino Linotype" w:eastAsia="Calibri" w:hAnsi="Palatino Linotype" w:cs="Arial"/>
          <w:i/>
          <w:sz w:val="22"/>
          <w:szCs w:val="24"/>
          <w:lang w:val="es-ES"/>
        </w:rPr>
      </w:pPr>
      <w:r w:rsidRPr="00AC5006">
        <w:rPr>
          <w:rFonts w:ascii="Palatino Linotype" w:eastAsia="Calibri" w:hAnsi="Palatino Linotype" w:cs="Arial"/>
          <w:b/>
          <w:i/>
          <w:sz w:val="22"/>
          <w:szCs w:val="24"/>
          <w:lang w:val="es-ES"/>
        </w:rPr>
        <w:t>NEGATIVA FICTA. PLAZO PARA INTERPONER EL RECURSO DE REVISIÓN TRATÁNDOSE DE.</w:t>
      </w:r>
      <w:r w:rsidRPr="00AC5006">
        <w:rPr>
          <w:rFonts w:ascii="Palatino Linotype" w:eastAsia="Calibri" w:hAnsi="Palatino Linotype" w:cs="Arial"/>
          <w:i/>
          <w:sz w:val="22"/>
          <w:szCs w:val="24"/>
          <w:lang w:val="es-ES"/>
        </w:rPr>
        <w:t xml:space="preserve"> </w:t>
      </w:r>
      <w:r w:rsidR="0001292A" w:rsidRPr="00AC5006">
        <w:rPr>
          <w:rFonts w:ascii="Palatino Linotype" w:eastAsia="Calibri" w:hAnsi="Palatino Linotype" w:cs="Arial"/>
          <w:i/>
          <w:sz w:val="22"/>
          <w:szCs w:val="24"/>
          <w:lang w:val="es-ES"/>
        </w:rPr>
        <w:t>“</w:t>
      </w:r>
      <w:r w:rsidRPr="00AC5006">
        <w:rPr>
          <w:rFonts w:ascii="Palatino Linotype" w:eastAsia="Calibri" w:hAnsi="Palatino Linotype" w:cs="Arial"/>
          <w:i/>
          <w:sz w:val="22"/>
          <w:szCs w:val="24"/>
          <w:lang w:val="es-ES"/>
        </w:rPr>
        <w:t xml:space="preserve">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w:t>
      </w:r>
      <w:r w:rsidRPr="00AC5006">
        <w:rPr>
          <w:rFonts w:ascii="Palatino Linotype" w:eastAsia="Calibri" w:hAnsi="Palatino Linotype" w:cs="Arial"/>
          <w:i/>
          <w:sz w:val="22"/>
          <w:szCs w:val="24"/>
          <w:lang w:val="es-ES"/>
        </w:rPr>
        <w:lastRenderedPageBreak/>
        <w:t>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r w:rsidR="00126444" w:rsidRPr="00AC5006">
        <w:rPr>
          <w:rFonts w:ascii="Palatino Linotype" w:eastAsia="Calibri" w:hAnsi="Palatino Linotype" w:cs="Arial"/>
          <w:i/>
          <w:sz w:val="22"/>
          <w:szCs w:val="24"/>
          <w:lang w:val="es-ES"/>
        </w:rPr>
        <w:t>”</w:t>
      </w:r>
    </w:p>
    <w:p w14:paraId="425CFB88" w14:textId="77777777" w:rsidR="00AC5006" w:rsidRPr="00AC5006" w:rsidRDefault="00AC5006" w:rsidP="00126444">
      <w:pPr>
        <w:tabs>
          <w:tab w:val="left" w:pos="284"/>
          <w:tab w:val="left" w:pos="7655"/>
        </w:tabs>
        <w:spacing w:before="240" w:after="240" w:line="276" w:lineRule="auto"/>
        <w:ind w:left="567" w:right="822"/>
        <w:jc w:val="both"/>
        <w:rPr>
          <w:rFonts w:ascii="Palatino Linotype" w:eastAsia="Calibri" w:hAnsi="Palatino Linotype" w:cs="Arial"/>
          <w:i/>
          <w:sz w:val="22"/>
          <w:szCs w:val="24"/>
          <w:lang w:val="es-ES"/>
        </w:rPr>
      </w:pPr>
    </w:p>
    <w:p w14:paraId="4A32B7F2" w14:textId="62167B77" w:rsidR="00CA2D4E" w:rsidRDefault="00CA2D4E" w:rsidP="000F3425">
      <w:pPr>
        <w:numPr>
          <w:ilvl w:val="0"/>
          <w:numId w:val="1"/>
        </w:numPr>
        <w:tabs>
          <w:tab w:val="left" w:pos="426"/>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B97263">
        <w:rPr>
          <w:rFonts w:ascii="Palatino Linotype" w:hAnsi="Palatino Linotype" w:cs="Arial"/>
          <w:color w:val="000000" w:themeColor="text1"/>
          <w:sz w:val="24"/>
          <w:szCs w:val="24"/>
          <w:lang w:val="es-ES" w:eastAsia="es-MX"/>
        </w:rPr>
        <w:t xml:space="preserve">Lo anterior, se explica porque la </w:t>
      </w:r>
      <w:r w:rsidRPr="00B97263">
        <w:rPr>
          <w:rFonts w:ascii="Palatino Linotype" w:hAnsi="Palatino Linotype" w:cs="Arial"/>
          <w:b/>
          <w:color w:val="000000" w:themeColor="text1"/>
          <w:sz w:val="24"/>
          <w:szCs w:val="24"/>
          <w:u w:val="single"/>
          <w:lang w:val="es-ES" w:eastAsia="es-MX"/>
        </w:rPr>
        <w:t>posible ausencia</w:t>
      </w:r>
      <w:r w:rsidRPr="00B97263">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w:t>
      </w:r>
      <w:r w:rsidR="0001292A" w:rsidRPr="00B97263">
        <w:rPr>
          <w:rFonts w:ascii="Palatino Linotype" w:hAnsi="Palatino Linotype" w:cs="Arial"/>
          <w:color w:val="000000" w:themeColor="text1"/>
          <w:sz w:val="24"/>
          <w:szCs w:val="24"/>
          <w:lang w:val="es-ES" w:eastAsia="es-MX"/>
        </w:rPr>
        <w:t>,</w:t>
      </w:r>
      <w:r w:rsidRPr="00B97263">
        <w:rPr>
          <w:rFonts w:ascii="Palatino Linotype" w:hAnsi="Palatino Linotype" w:cs="Arial"/>
          <w:color w:val="000000" w:themeColor="text1"/>
          <w:sz w:val="24"/>
          <w:szCs w:val="24"/>
          <w:lang w:val="es-ES" w:eastAsia="es-MX"/>
        </w:rPr>
        <w:t xml:space="preserve"> en tanto no se emita la respuesta a la que esté impuesto el </w:t>
      </w:r>
      <w:r w:rsidRPr="00B97263">
        <w:rPr>
          <w:rFonts w:ascii="Palatino Linotype" w:hAnsi="Palatino Linotype" w:cs="Arial"/>
          <w:b/>
          <w:color w:val="000000" w:themeColor="text1"/>
          <w:sz w:val="24"/>
          <w:szCs w:val="24"/>
          <w:lang w:val="es-ES" w:eastAsia="es-MX"/>
        </w:rPr>
        <w:t>SUJETO OBLIGADO</w:t>
      </w:r>
      <w:r w:rsidRPr="00B97263">
        <w:rPr>
          <w:rFonts w:ascii="Palatino Linotype" w:hAnsi="Palatino Linotype" w:cs="Arial"/>
          <w:color w:val="000000" w:themeColor="text1"/>
          <w:sz w:val="24"/>
          <w:szCs w:val="24"/>
          <w:lang w:val="es-ES" w:eastAsia="es-MX"/>
        </w:rPr>
        <w:t>.</w:t>
      </w:r>
    </w:p>
    <w:p w14:paraId="042A587E" w14:textId="77777777" w:rsidR="00AC5006" w:rsidRPr="00B97263" w:rsidRDefault="00AC5006" w:rsidP="00AC5006">
      <w:pPr>
        <w:tabs>
          <w:tab w:val="left" w:pos="426"/>
        </w:tabs>
        <w:spacing w:before="240" w:after="240" w:line="360" w:lineRule="auto"/>
        <w:contextualSpacing/>
        <w:jc w:val="both"/>
        <w:rPr>
          <w:rFonts w:ascii="Palatino Linotype" w:hAnsi="Palatino Linotype" w:cs="Arial"/>
          <w:color w:val="000000" w:themeColor="text1"/>
          <w:sz w:val="24"/>
          <w:szCs w:val="24"/>
          <w:lang w:val="es-ES" w:eastAsia="es-MX"/>
        </w:rPr>
      </w:pPr>
    </w:p>
    <w:p w14:paraId="02EE2DC5" w14:textId="2C7B4104" w:rsidR="00CA2D4E" w:rsidRPr="00B97263" w:rsidRDefault="00CA2D4E"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B97263">
        <w:rPr>
          <w:rFonts w:ascii="Palatino Linotype" w:eastAsia="Calibri" w:hAnsi="Palatino Linotype" w:cs="Arial"/>
          <w:sz w:val="24"/>
          <w:szCs w:val="24"/>
          <w:lang w:val="es-ES_tradnl"/>
        </w:rPr>
        <w:t xml:space="preserve">Por otra parte, de la revisión al expediente electrónico del </w:t>
      </w:r>
      <w:r w:rsidRPr="00B97263">
        <w:rPr>
          <w:rFonts w:ascii="Palatino Linotype" w:eastAsia="Calibri" w:hAnsi="Palatino Linotype" w:cs="Arial"/>
          <w:b/>
          <w:sz w:val="24"/>
          <w:szCs w:val="24"/>
          <w:lang w:val="es-ES_tradnl"/>
        </w:rPr>
        <w:t>SAIMEX</w:t>
      </w:r>
      <w:r w:rsidRPr="00B97263">
        <w:rPr>
          <w:rFonts w:ascii="Palatino Linotype" w:eastAsia="Calibri" w:hAnsi="Palatino Linotype" w:cs="Arial"/>
          <w:sz w:val="24"/>
          <w:szCs w:val="24"/>
          <w:lang w:val="es-ES_tradnl"/>
        </w:rPr>
        <w:t xml:space="preserve"> se desprende que la parte solicitante</w:t>
      </w:r>
      <w:r w:rsidR="00126444" w:rsidRPr="00B97263">
        <w:rPr>
          <w:rFonts w:ascii="Palatino Linotype" w:eastAsia="Calibri" w:hAnsi="Palatino Linotype" w:cs="Arial"/>
          <w:sz w:val="24"/>
          <w:szCs w:val="24"/>
          <w:lang w:val="es-ES_tradnl"/>
        </w:rPr>
        <w:t>,</w:t>
      </w:r>
      <w:r w:rsidRPr="00B97263">
        <w:rPr>
          <w:rFonts w:ascii="Palatino Linotype" w:eastAsia="Calibri" w:hAnsi="Palatino Linotype" w:cs="Arial"/>
          <w:sz w:val="24"/>
          <w:szCs w:val="24"/>
          <w:lang w:val="es-ES_tradnl"/>
        </w:rPr>
        <w:t xml:space="preserve"> en ejercicio de su derecho de acceso a la información pública en el expediente que se revisa, tanto en la solicitud de información como en el recurso de revisión </w:t>
      </w:r>
      <w:r w:rsidR="00126444" w:rsidRPr="00B97263">
        <w:rPr>
          <w:rFonts w:ascii="Palatino Linotype" w:eastAsia="Calibri" w:hAnsi="Palatino Linotype" w:cs="Arial"/>
          <w:b/>
          <w:bCs/>
          <w:sz w:val="24"/>
          <w:szCs w:val="24"/>
          <w:lang w:val="es-ES_tradnl"/>
        </w:rPr>
        <w:t>no proporcionó ningún nombre, seudónimo o carácter para ser identificado, ni se tiene certeza de su identidad</w:t>
      </w:r>
      <w:r w:rsidRPr="00B97263">
        <w:rPr>
          <w:rFonts w:ascii="Palatino Linotype" w:eastAsia="Calibri" w:hAnsi="Palatino Linotype" w:cs="Arial"/>
          <w:sz w:val="24"/>
          <w:szCs w:val="24"/>
          <w:lang w:val="es-ES_tradnl"/>
        </w:rPr>
        <w:t xml:space="preserve">; sin embargo, es importante señalar también que el nombre de los </w:t>
      </w:r>
      <w:r w:rsidR="00126444" w:rsidRPr="00B97263">
        <w:rPr>
          <w:rFonts w:ascii="Palatino Linotype" w:eastAsia="Calibri" w:hAnsi="Palatino Linotype" w:cs="Arial"/>
          <w:sz w:val="24"/>
          <w:szCs w:val="24"/>
          <w:lang w:val="es-ES_tradnl"/>
        </w:rPr>
        <w:t>Solicitantes y Recurrentes</w:t>
      </w:r>
      <w:r w:rsidRPr="00B97263">
        <w:rPr>
          <w:rFonts w:ascii="Palatino Linotype" w:eastAsia="Calibri" w:hAnsi="Palatino Linotype" w:cs="Arial"/>
          <w:sz w:val="24"/>
          <w:szCs w:val="24"/>
          <w:lang w:val="es-ES_tradnl"/>
        </w:rPr>
        <w:t xml:space="preserve"> no es </w:t>
      </w:r>
      <w:r w:rsidR="00126444" w:rsidRPr="00B97263">
        <w:rPr>
          <w:rFonts w:ascii="Palatino Linotype" w:eastAsia="Calibri" w:hAnsi="Palatino Linotype" w:cs="Arial"/>
          <w:sz w:val="24"/>
          <w:szCs w:val="24"/>
          <w:lang w:val="es-ES_tradnl"/>
        </w:rPr>
        <w:t xml:space="preserve">un </w:t>
      </w:r>
      <w:r w:rsidRPr="00B97263">
        <w:rPr>
          <w:rFonts w:ascii="Palatino Linotype" w:eastAsia="Calibri" w:hAnsi="Palatino Linotype" w:cs="Arial"/>
          <w:sz w:val="24"/>
          <w:szCs w:val="24"/>
          <w:lang w:val="es-ES_tradnl"/>
        </w:rPr>
        <w:t>requisito indispensable para la tramitación del acto procesal específico en materia de acceso a la información, ello en estricto apego al numeral 155</w:t>
      </w:r>
      <w:r w:rsidR="00126444" w:rsidRPr="00B97263">
        <w:rPr>
          <w:rFonts w:ascii="Palatino Linotype" w:eastAsia="Calibri" w:hAnsi="Palatino Linotype" w:cs="Arial"/>
          <w:sz w:val="24"/>
          <w:szCs w:val="24"/>
          <w:lang w:val="es-ES_tradnl"/>
        </w:rPr>
        <w:t>,</w:t>
      </w:r>
      <w:r w:rsidRPr="00B97263">
        <w:rPr>
          <w:rFonts w:ascii="Palatino Linotype" w:eastAsia="Calibri" w:hAnsi="Palatino Linotype" w:cs="Arial"/>
          <w:sz w:val="24"/>
          <w:szCs w:val="24"/>
          <w:lang w:val="es-ES_tradnl"/>
        </w:rPr>
        <w:t xml:space="preserve"> párrafo tercero</w:t>
      </w:r>
      <w:r w:rsidR="00126444" w:rsidRPr="00B97263">
        <w:rPr>
          <w:rFonts w:ascii="Palatino Linotype" w:eastAsia="Calibri" w:hAnsi="Palatino Linotype" w:cs="Arial"/>
          <w:sz w:val="24"/>
          <w:szCs w:val="24"/>
          <w:lang w:val="es-ES_tradnl"/>
        </w:rPr>
        <w:t>,</w:t>
      </w:r>
      <w:r w:rsidRPr="00B97263">
        <w:rPr>
          <w:rFonts w:ascii="Palatino Linotype" w:eastAsia="Calibri" w:hAnsi="Palatino Linotype" w:cs="Arial"/>
          <w:sz w:val="24"/>
          <w:szCs w:val="24"/>
          <w:lang w:val="es-ES_tradnl"/>
        </w:rPr>
        <w:t xml:space="preserve"> de la Ley de la materia, en concatenación con el 180 del mismo ordenamiento.</w:t>
      </w:r>
    </w:p>
    <w:p w14:paraId="065E9EA2" w14:textId="77777777" w:rsidR="00CA2D4E" w:rsidRPr="00B97263" w:rsidRDefault="00CA2D4E" w:rsidP="000F3425">
      <w:pPr>
        <w:pStyle w:val="Prrafodelista"/>
        <w:tabs>
          <w:tab w:val="left" w:pos="426"/>
        </w:tabs>
        <w:ind w:left="0"/>
        <w:rPr>
          <w:rFonts w:ascii="Palatino Linotype" w:eastAsia="Calibri" w:hAnsi="Palatino Linotype" w:cs="Arial"/>
          <w:sz w:val="24"/>
          <w:lang w:val="es-ES_tradnl"/>
        </w:rPr>
      </w:pPr>
    </w:p>
    <w:p w14:paraId="76F86BF1" w14:textId="154D6025" w:rsidR="00CA2D4E" w:rsidRDefault="00CA2D4E"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B97263">
        <w:rPr>
          <w:rFonts w:ascii="Palatino Linotype" w:eastAsia="Calibri" w:hAnsi="Palatino Linotype" w:cs="Arial"/>
          <w:sz w:val="24"/>
          <w:szCs w:val="24"/>
          <w:lang w:val="es-ES_tradnl"/>
        </w:rPr>
        <w:t xml:space="preserve">Esto es así, ya que de conformidad con los artículos 6, Apartado A, fracciones III y IV de la Constitución Política de los Estados Unidos Mexicanos y </w:t>
      </w:r>
      <w:r w:rsidRPr="00B97263">
        <w:rPr>
          <w:rFonts w:ascii="Palatino Linotype" w:eastAsia="Calibri" w:hAnsi="Palatino Linotype" w:cs="Arial"/>
          <w:bCs/>
          <w:sz w:val="24"/>
          <w:szCs w:val="24"/>
          <w:lang w:val="es-ES"/>
        </w:rPr>
        <w:t xml:space="preserve">5, párrafos vigésimo, vigésimo primero y vigésimo </w:t>
      </w:r>
      <w:r w:rsidR="00126444" w:rsidRPr="00B97263">
        <w:rPr>
          <w:rFonts w:ascii="Palatino Linotype" w:eastAsia="Calibri" w:hAnsi="Palatino Linotype" w:cs="Arial"/>
          <w:bCs/>
          <w:sz w:val="24"/>
          <w:szCs w:val="24"/>
          <w:lang w:val="es-ES"/>
        </w:rPr>
        <w:t>segundo,</w:t>
      </w:r>
      <w:r w:rsidRPr="00B97263">
        <w:rPr>
          <w:rFonts w:ascii="Palatino Linotype" w:eastAsia="Calibri" w:hAnsi="Palatino Linotype" w:cs="Arial"/>
          <w:bCs/>
          <w:sz w:val="24"/>
          <w:szCs w:val="24"/>
          <w:lang w:val="es-ES"/>
        </w:rPr>
        <w:t> fracciones IV y V</w:t>
      </w:r>
      <w:r w:rsidR="00126444" w:rsidRPr="00B97263">
        <w:rPr>
          <w:rFonts w:ascii="Palatino Linotype" w:eastAsia="Calibri" w:hAnsi="Palatino Linotype" w:cs="Arial"/>
          <w:bCs/>
          <w:sz w:val="24"/>
          <w:szCs w:val="24"/>
          <w:lang w:val="es-ES"/>
        </w:rPr>
        <w:t>,</w:t>
      </w:r>
      <w:r w:rsidRPr="00B97263">
        <w:rPr>
          <w:rFonts w:ascii="Palatino Linotype" w:eastAsia="Calibri" w:hAnsi="Palatino Linotype" w:cs="Arial"/>
          <w:bCs/>
          <w:sz w:val="24"/>
          <w:szCs w:val="24"/>
          <w:lang w:val="es-ES"/>
        </w:rPr>
        <w:t> </w:t>
      </w:r>
      <w:r w:rsidRPr="00B97263">
        <w:rPr>
          <w:rFonts w:ascii="Palatino Linotype" w:eastAsia="Calibri" w:hAnsi="Palatino Linotype" w:cs="Arial"/>
          <w:sz w:val="24"/>
          <w:szCs w:val="24"/>
          <w:lang w:val="es-ES_tradnl"/>
        </w:rPr>
        <w:t xml:space="preserve">de la Constitución Política del Estado Libre y Soberano de México, se establece que toda persona, sin necesidad de acreditar interés alguno o justificar su utilización, tendrá acceso gratuito a la información </w:t>
      </w:r>
      <w:r w:rsidRPr="00B97263">
        <w:rPr>
          <w:rFonts w:ascii="Palatino Linotype" w:eastAsia="Calibri" w:hAnsi="Palatino Linotype" w:cs="Arial"/>
          <w:sz w:val="24"/>
          <w:szCs w:val="24"/>
          <w:lang w:val="es-ES_tradnl"/>
        </w:rPr>
        <w:lastRenderedPageBreak/>
        <w:t>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67918335" w14:textId="77777777" w:rsidR="00AC5006" w:rsidRPr="00B97263" w:rsidRDefault="00AC5006" w:rsidP="00AC5006">
      <w:pPr>
        <w:tabs>
          <w:tab w:val="left" w:pos="426"/>
        </w:tabs>
        <w:spacing w:line="360" w:lineRule="auto"/>
        <w:contextualSpacing/>
        <w:jc w:val="both"/>
        <w:rPr>
          <w:rFonts w:ascii="Palatino Linotype" w:eastAsia="Calibri" w:hAnsi="Palatino Linotype" w:cs="Arial"/>
          <w:sz w:val="24"/>
          <w:szCs w:val="24"/>
          <w:lang w:val="es-ES_tradnl"/>
        </w:rPr>
      </w:pPr>
    </w:p>
    <w:p w14:paraId="68B69A2B" w14:textId="77777777" w:rsidR="00CA2D4E" w:rsidRPr="00B97263" w:rsidRDefault="00CA2D4E"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B97263">
        <w:rPr>
          <w:rFonts w:ascii="Palatino Linotype" w:eastAsia="Calibri" w:hAnsi="Palatino Linotype" w:cs="Arial"/>
          <w:sz w:val="24"/>
          <w:szCs w:val="24"/>
          <w:lang w:val="es-ES_tradnl"/>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0455882" w14:textId="77777777" w:rsidR="00CA2D4E" w:rsidRPr="00B97263" w:rsidRDefault="00CA2D4E" w:rsidP="000F3425">
      <w:pPr>
        <w:pStyle w:val="Prrafodelista"/>
        <w:tabs>
          <w:tab w:val="left" w:pos="426"/>
        </w:tabs>
        <w:ind w:left="0"/>
        <w:rPr>
          <w:rFonts w:ascii="Palatino Linotype" w:eastAsia="Calibri" w:hAnsi="Palatino Linotype" w:cs="Arial"/>
          <w:sz w:val="24"/>
          <w:lang w:val="es-ES_tradnl"/>
        </w:rPr>
      </w:pPr>
    </w:p>
    <w:p w14:paraId="3F615ADA" w14:textId="77777777" w:rsidR="00CA2D4E" w:rsidRPr="00B97263" w:rsidRDefault="00CA2D4E"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B97263">
        <w:rPr>
          <w:rFonts w:ascii="Palatino Linotype" w:eastAsia="Calibri" w:hAnsi="Palatino Linotype" w:cs="Arial"/>
          <w:sz w:val="24"/>
          <w:szCs w:val="24"/>
          <w:lang w:val="es-ES_tradnl"/>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14E73F0E" w14:textId="77777777" w:rsidR="00CA2D4E" w:rsidRPr="00B97263" w:rsidRDefault="00CA2D4E" w:rsidP="000F3425">
      <w:pPr>
        <w:pStyle w:val="Prrafodelista"/>
        <w:tabs>
          <w:tab w:val="left" w:pos="426"/>
        </w:tabs>
        <w:ind w:left="0"/>
        <w:rPr>
          <w:rFonts w:ascii="Palatino Linotype" w:eastAsia="Calibri" w:hAnsi="Palatino Linotype" w:cs="Arial"/>
          <w:sz w:val="24"/>
          <w:lang w:val="es-ES_tradnl"/>
        </w:rPr>
      </w:pPr>
    </w:p>
    <w:p w14:paraId="066AB81B" w14:textId="45BA17D3" w:rsidR="00CA2D4E" w:rsidRPr="00B97263" w:rsidRDefault="00CA2D4E" w:rsidP="000F3425">
      <w:pPr>
        <w:numPr>
          <w:ilvl w:val="0"/>
          <w:numId w:val="1"/>
        </w:numPr>
        <w:tabs>
          <w:tab w:val="left" w:pos="426"/>
        </w:tabs>
        <w:spacing w:line="360" w:lineRule="auto"/>
        <w:ind w:left="0" w:firstLine="0"/>
        <w:contextualSpacing/>
        <w:jc w:val="both"/>
        <w:rPr>
          <w:rFonts w:ascii="Palatino Linotype" w:eastAsia="Calibri" w:hAnsi="Palatino Linotype" w:cs="Arial"/>
          <w:sz w:val="24"/>
          <w:szCs w:val="24"/>
          <w:lang w:val="es-ES_tradnl"/>
        </w:rPr>
      </w:pPr>
      <w:r w:rsidRPr="00B97263">
        <w:rPr>
          <w:rFonts w:ascii="Palatino Linotype" w:eastAsia="Calibri" w:hAnsi="Palatino Linotype" w:cs="Arial"/>
          <w:sz w:val="24"/>
          <w:szCs w:val="24"/>
          <w:lang w:val="es-ES_tradnl"/>
        </w:rPr>
        <w:t xml:space="preserve">Por lo que el nombre del </w:t>
      </w:r>
      <w:r w:rsidR="00DA6A37" w:rsidRPr="00B97263">
        <w:rPr>
          <w:rFonts w:ascii="Palatino Linotype" w:eastAsia="Calibri" w:hAnsi="Palatino Linotype" w:cs="Arial"/>
          <w:b/>
          <w:bCs/>
          <w:sz w:val="24"/>
          <w:szCs w:val="24"/>
          <w:lang w:val="es-ES_tradnl"/>
        </w:rPr>
        <w:t>SOLICITANTE</w:t>
      </w:r>
      <w:r w:rsidR="00DA6A37" w:rsidRPr="00B97263">
        <w:rPr>
          <w:rFonts w:ascii="Palatino Linotype" w:eastAsia="Calibri" w:hAnsi="Palatino Linotype" w:cs="Arial"/>
          <w:sz w:val="24"/>
          <w:szCs w:val="24"/>
          <w:lang w:val="es-ES_tradnl"/>
        </w:rPr>
        <w:t xml:space="preserve"> y subsecuente </w:t>
      </w:r>
      <w:r w:rsidR="00DA6A37" w:rsidRPr="00B97263">
        <w:rPr>
          <w:rFonts w:ascii="Palatino Linotype" w:eastAsia="Calibri" w:hAnsi="Palatino Linotype" w:cs="Arial"/>
          <w:b/>
          <w:bCs/>
          <w:sz w:val="24"/>
          <w:szCs w:val="24"/>
          <w:lang w:val="es-ES_tradnl"/>
        </w:rPr>
        <w:t>RECURRENTE</w:t>
      </w:r>
      <w:r w:rsidRPr="00B97263">
        <w:rPr>
          <w:rFonts w:ascii="Palatino Linotype" w:eastAsia="Calibri" w:hAnsi="Palatino Linotype" w:cs="Arial"/>
          <w:sz w:val="24"/>
          <w:szCs w:val="24"/>
          <w:lang w:val="es-ES_tradnl"/>
        </w:rPr>
        <w:t xml:space="preserv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0B00DC7A" w14:textId="1A1DC578" w:rsidR="00CA2D4E" w:rsidRPr="00B97263" w:rsidRDefault="00CA2D4E" w:rsidP="000F3425">
      <w:pPr>
        <w:numPr>
          <w:ilvl w:val="0"/>
          <w:numId w:val="1"/>
        </w:numPr>
        <w:tabs>
          <w:tab w:val="left" w:pos="426"/>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B97263">
        <w:rPr>
          <w:rFonts w:ascii="Palatino Linotype" w:eastAsia="Calibri" w:hAnsi="Palatino Linotype" w:cs="Arial"/>
          <w:sz w:val="24"/>
          <w:szCs w:val="24"/>
          <w:lang w:val="es-ES_tradnl"/>
        </w:rPr>
        <w:t xml:space="preserve">Expuesto lo anterior, el escrito contiene las formalidades previstas por el artículo 180 último párrafo de la Ley de la materia actual, por lo que es procedente que este Instituto </w:t>
      </w:r>
      <w:r w:rsidRPr="00B97263">
        <w:rPr>
          <w:rFonts w:ascii="Palatino Linotype" w:eastAsia="Calibri" w:hAnsi="Palatino Linotype" w:cs="Arial"/>
          <w:sz w:val="24"/>
          <w:szCs w:val="24"/>
          <w:lang w:val="es-ES_tradnl"/>
        </w:rPr>
        <w:lastRenderedPageBreak/>
        <w:t>de Transparencia, Acceso a la Información Pública y Protección de Datos Personales del Estado de México y Municipios, conozca y resuelva el presente recurso.</w:t>
      </w:r>
    </w:p>
    <w:p w14:paraId="138B7D18" w14:textId="77777777" w:rsidR="0001292A" w:rsidRPr="00B97263" w:rsidRDefault="0001292A" w:rsidP="00014402">
      <w:pPr>
        <w:tabs>
          <w:tab w:val="left" w:pos="284"/>
        </w:tabs>
        <w:spacing w:before="240" w:after="240" w:line="360" w:lineRule="auto"/>
        <w:ind w:right="49"/>
        <w:contextualSpacing/>
        <w:jc w:val="both"/>
        <w:rPr>
          <w:rFonts w:ascii="Palatino Linotype" w:eastAsiaTheme="minorEastAsia" w:hAnsi="Palatino Linotype" w:cs="Arial"/>
          <w:b/>
          <w:sz w:val="24"/>
          <w:szCs w:val="24"/>
          <w:lang w:val="es-ES_tradnl"/>
        </w:rPr>
      </w:pPr>
    </w:p>
    <w:p w14:paraId="77B07B53" w14:textId="77777777" w:rsidR="00CA2D4E" w:rsidRPr="00B97263" w:rsidRDefault="00CA2D4E" w:rsidP="00CA2D4E">
      <w:pPr>
        <w:pStyle w:val="Ttulo1"/>
        <w:rPr>
          <w:rFonts w:ascii="Palatino Linotype" w:hAnsi="Palatino Linotype"/>
          <w:b/>
          <w:color w:val="auto"/>
          <w:sz w:val="24"/>
          <w:szCs w:val="24"/>
        </w:rPr>
      </w:pPr>
      <w:bookmarkStart w:id="4" w:name="_Toc87549675"/>
      <w:r w:rsidRPr="00B97263">
        <w:rPr>
          <w:rFonts w:ascii="Palatino Linotype" w:hAnsi="Palatino Linotype"/>
          <w:b/>
          <w:color w:val="auto"/>
          <w:sz w:val="24"/>
          <w:szCs w:val="24"/>
        </w:rPr>
        <w:t>TERCERO. De las causales del sobreseimiento</w:t>
      </w:r>
      <w:bookmarkEnd w:id="4"/>
      <w:r w:rsidRPr="00B97263">
        <w:rPr>
          <w:rFonts w:ascii="Palatino Linotype" w:hAnsi="Palatino Linotype"/>
          <w:b/>
          <w:color w:val="auto"/>
          <w:sz w:val="24"/>
          <w:szCs w:val="24"/>
        </w:rPr>
        <w:t xml:space="preserve"> </w:t>
      </w:r>
    </w:p>
    <w:p w14:paraId="11D90575" w14:textId="0B16F1AB" w:rsidR="00CA2D4E" w:rsidRPr="00B97263" w:rsidRDefault="00CA2D4E" w:rsidP="000F3425">
      <w:pPr>
        <w:pStyle w:val="Prrafodelista"/>
        <w:numPr>
          <w:ilvl w:val="0"/>
          <w:numId w:val="1"/>
        </w:numPr>
        <w:tabs>
          <w:tab w:val="left" w:pos="426"/>
        </w:tabs>
        <w:spacing w:line="360" w:lineRule="auto"/>
        <w:ind w:left="0" w:right="49" w:firstLine="0"/>
        <w:jc w:val="both"/>
        <w:rPr>
          <w:rFonts w:ascii="Palatino Linotype" w:hAnsi="Palatino Linotype" w:cs="Arial"/>
          <w:color w:val="000000"/>
          <w:sz w:val="24"/>
        </w:rPr>
      </w:pPr>
      <w:r w:rsidRPr="00B97263">
        <w:rPr>
          <w:rFonts w:ascii="Palatino Linotype" w:hAnsi="Palatino Linotype" w:cs="Arial"/>
          <w:color w:val="000000"/>
          <w:sz w:val="24"/>
        </w:rPr>
        <w:t xml:space="preserve">Tal y como se puede apreciar en el expediente electrónico que obra en el SAIMEX, el </w:t>
      </w:r>
      <w:r w:rsidR="00DA6A37" w:rsidRPr="00B97263">
        <w:rPr>
          <w:rFonts w:ascii="Palatino Linotype" w:hAnsi="Palatino Linotype" w:cs="Arial"/>
          <w:b/>
          <w:bCs/>
          <w:color w:val="000000"/>
          <w:sz w:val="24"/>
        </w:rPr>
        <w:t>SUJETO OBLIGADO</w:t>
      </w:r>
      <w:r w:rsidRPr="00B97263">
        <w:rPr>
          <w:rFonts w:ascii="Palatino Linotype" w:hAnsi="Palatino Linotype" w:cs="Arial"/>
          <w:color w:val="000000"/>
          <w:sz w:val="24"/>
        </w:rPr>
        <w:t xml:space="preserve"> fue omiso en atender la solicitud de información que formuló el particular, aún y cuando la Constitución Política de los Estados Unidos Mexicanos establece que “</w:t>
      </w:r>
      <w:r w:rsidR="00951EEC" w:rsidRPr="00B97263">
        <w:rPr>
          <w:rFonts w:ascii="Palatino Linotype" w:hAnsi="Palatino Linotype" w:cs="Arial"/>
          <w:color w:val="000000"/>
          <w:sz w:val="24"/>
        </w:rPr>
        <w:t>[t]</w:t>
      </w:r>
      <w:r w:rsidRPr="00B97263">
        <w:rPr>
          <w:rFonts w:ascii="Palatino Linotype" w:hAnsi="Palatino Linotype" w:cs="Helvetica"/>
          <w:i/>
          <w:sz w:val="24"/>
          <w:shd w:val="clear" w:color="auto" w:fill="FFFFFF"/>
        </w:rPr>
        <w:t>odas las autoridades, en el ámbito de sus competencias, tienen la obligación de promover, respetar, proteger y garantizar los derechos humanos de conformidad con los principios de universalidad, interdependencia, indivisibilidad y progresividad…”</w:t>
      </w:r>
      <w:r w:rsidRPr="00B97263">
        <w:rPr>
          <w:rStyle w:val="Refdenotaalpie"/>
          <w:rFonts w:ascii="Palatino Linotype" w:hAnsi="Palatino Linotype" w:cs="Helvetica"/>
          <w:i/>
          <w:sz w:val="24"/>
          <w:shd w:val="clear" w:color="auto" w:fill="FFFFFF"/>
        </w:rPr>
        <w:footnoteReference w:id="1"/>
      </w:r>
      <w:r w:rsidR="00951EEC" w:rsidRPr="00B97263">
        <w:rPr>
          <w:rFonts w:ascii="Palatino Linotype" w:hAnsi="Palatino Linotype" w:cs="Helvetica"/>
          <w:sz w:val="24"/>
          <w:shd w:val="clear" w:color="auto" w:fill="FFFFFF"/>
        </w:rPr>
        <w:t>;</w:t>
      </w:r>
      <w:r w:rsidRPr="00B97263">
        <w:rPr>
          <w:rFonts w:ascii="Palatino Linotype" w:hAnsi="Palatino Linotype" w:cs="Helvetica"/>
          <w:sz w:val="24"/>
          <w:shd w:val="clear" w:color="auto" w:fill="FFFFFF"/>
        </w:rPr>
        <w:t xml:space="preserve"> por lo tanto, como el mismo ordenamiento refiere que “</w:t>
      </w:r>
      <w:r w:rsidR="00951EEC" w:rsidRPr="00B97263">
        <w:rPr>
          <w:rFonts w:ascii="Palatino Linotype" w:hAnsi="Palatino Linotype" w:cs="Arial"/>
          <w:color w:val="000000"/>
          <w:sz w:val="24"/>
        </w:rPr>
        <w:t>[t]</w:t>
      </w:r>
      <w:r w:rsidRPr="00B97263">
        <w:rPr>
          <w:rFonts w:ascii="Palatino Linotype" w:hAnsi="Palatino Linotype"/>
          <w:i/>
          <w:sz w:val="24"/>
        </w:rPr>
        <w:t>oda persona tiene derecho al libre acceso a información plural y oportuna, así como a buscar, recibir y difundir información e ideas de toda índole por cualquier medio de expresión.”</w:t>
      </w:r>
      <w:r w:rsidRPr="00B97263">
        <w:rPr>
          <w:rStyle w:val="Refdenotaalpie"/>
          <w:rFonts w:ascii="Palatino Linotype" w:hAnsi="Palatino Linotype"/>
          <w:i/>
          <w:sz w:val="24"/>
        </w:rPr>
        <w:footnoteReference w:id="2"/>
      </w:r>
      <w:r w:rsidRPr="00B97263">
        <w:rPr>
          <w:rFonts w:ascii="Palatino Linotype" w:hAnsi="Palatino Linotype"/>
          <w:i/>
          <w:sz w:val="24"/>
        </w:rPr>
        <w:t xml:space="preserve">,  </w:t>
      </w:r>
      <w:r w:rsidRPr="00B97263">
        <w:rPr>
          <w:rFonts w:ascii="Palatino Linotype" w:hAnsi="Palatino Linotype"/>
          <w:sz w:val="24"/>
        </w:rPr>
        <w:t>se e</w:t>
      </w:r>
      <w:r w:rsidRPr="00B97263">
        <w:rPr>
          <w:rFonts w:ascii="Palatino Linotype" w:hAnsi="Palatino Linotype" w:cs="Helvetica"/>
          <w:sz w:val="24"/>
          <w:shd w:val="clear" w:color="auto" w:fill="FFFFFF"/>
        </w:rPr>
        <w:t xml:space="preserve">ntiende que el acceso a la información es un derecho, por lo tanto, todas las autoridades en el ámbito de su competencia se ven impuestas por la obligación de </w:t>
      </w:r>
      <w:r w:rsidRPr="00B97263">
        <w:rPr>
          <w:rFonts w:ascii="Palatino Linotype" w:hAnsi="Palatino Linotype" w:cs="Helvetica"/>
          <w:b/>
          <w:sz w:val="24"/>
          <w:shd w:val="clear" w:color="auto" w:fill="FFFFFF"/>
        </w:rPr>
        <w:t>promover, proteger, respetar y garantizar</w:t>
      </w:r>
      <w:r w:rsidRPr="00B97263">
        <w:rPr>
          <w:rFonts w:ascii="Palatino Linotype" w:hAnsi="Palatino Linotype" w:cs="Helvetica"/>
          <w:sz w:val="24"/>
          <w:shd w:val="clear" w:color="auto" w:fill="FFFFFF"/>
        </w:rPr>
        <w:t xml:space="preserve"> el libre acceso a la información.</w:t>
      </w:r>
    </w:p>
    <w:p w14:paraId="4DB302F0" w14:textId="77777777" w:rsidR="00CA2D4E" w:rsidRPr="00B97263" w:rsidRDefault="00CA2D4E" w:rsidP="000F3425">
      <w:pPr>
        <w:pStyle w:val="Prrafodelista"/>
        <w:tabs>
          <w:tab w:val="left" w:pos="426"/>
        </w:tabs>
        <w:spacing w:line="360" w:lineRule="auto"/>
        <w:ind w:left="0" w:right="49"/>
        <w:jc w:val="both"/>
        <w:rPr>
          <w:rFonts w:ascii="Palatino Linotype" w:hAnsi="Palatino Linotype" w:cs="Arial"/>
          <w:color w:val="000000"/>
          <w:sz w:val="24"/>
        </w:rPr>
      </w:pPr>
    </w:p>
    <w:p w14:paraId="67849C2F" w14:textId="1C469FC6" w:rsidR="00CA2D4E" w:rsidRPr="00B97263" w:rsidRDefault="00CA2D4E" w:rsidP="000F3425">
      <w:pPr>
        <w:pStyle w:val="Prrafodelista"/>
        <w:numPr>
          <w:ilvl w:val="0"/>
          <w:numId w:val="1"/>
        </w:numPr>
        <w:tabs>
          <w:tab w:val="left" w:pos="426"/>
        </w:tabs>
        <w:spacing w:line="360" w:lineRule="auto"/>
        <w:ind w:left="0" w:right="49" w:firstLine="0"/>
        <w:jc w:val="both"/>
        <w:rPr>
          <w:rFonts w:ascii="Palatino Linotype" w:hAnsi="Palatino Linotype" w:cs="Arial"/>
          <w:color w:val="000000"/>
          <w:sz w:val="24"/>
        </w:rPr>
      </w:pPr>
      <w:r w:rsidRPr="00B97263">
        <w:rPr>
          <w:rFonts w:ascii="Palatino Linotype" w:hAnsi="Palatino Linotype" w:cs="Helvetica"/>
          <w:sz w:val="24"/>
          <w:shd w:val="clear" w:color="auto" w:fill="FFFFFF"/>
        </w:rPr>
        <w:t xml:space="preserve">Es así, que la falta de respuesta a una solicitud implica una afectación directa al derecho humano que le asiste a la persona que solicita acceder a la información. En conclusión tenemos que la autoridad responsable al ser omiso en emitir respuesta </w:t>
      </w:r>
      <w:r w:rsidRPr="00B97263">
        <w:rPr>
          <w:rFonts w:ascii="Palatino Linotype" w:hAnsi="Palatino Linotype" w:cs="Helvetica"/>
          <w:b/>
          <w:sz w:val="24"/>
          <w:shd w:val="clear" w:color="auto" w:fill="FFFFFF"/>
        </w:rPr>
        <w:t>no promovió, protegió, respetó ni garantiz</w:t>
      </w:r>
      <w:r w:rsidR="00951EEC" w:rsidRPr="00B97263">
        <w:rPr>
          <w:rFonts w:ascii="Palatino Linotype" w:hAnsi="Palatino Linotype" w:cs="Helvetica"/>
          <w:b/>
          <w:sz w:val="24"/>
          <w:shd w:val="clear" w:color="auto" w:fill="FFFFFF"/>
        </w:rPr>
        <w:t>ó</w:t>
      </w:r>
      <w:r w:rsidRPr="00B97263">
        <w:rPr>
          <w:rFonts w:ascii="Palatino Linotype" w:hAnsi="Palatino Linotype" w:cs="Helvetica"/>
          <w:b/>
          <w:sz w:val="24"/>
          <w:shd w:val="clear" w:color="auto" w:fill="FFFFFF"/>
        </w:rPr>
        <w:t xml:space="preserve"> el derecho constitucional y convencionalmente reconocido de acceso a la información</w:t>
      </w:r>
      <w:r w:rsidRPr="00B97263">
        <w:rPr>
          <w:rFonts w:ascii="Palatino Linotype" w:hAnsi="Palatino Linotype" w:cs="Helvetica"/>
          <w:sz w:val="24"/>
          <w:shd w:val="clear" w:color="auto" w:fill="FFFFFF"/>
        </w:rPr>
        <w:t xml:space="preserve">, toda vez que no brindó lo </w:t>
      </w:r>
      <w:r w:rsidRPr="00B97263">
        <w:rPr>
          <w:rFonts w:ascii="Palatino Linotype" w:hAnsi="Palatino Linotype" w:cs="Helvetica"/>
          <w:sz w:val="24"/>
          <w:shd w:val="clear" w:color="auto" w:fill="FFFFFF"/>
        </w:rPr>
        <w:lastRenderedPageBreak/>
        <w:t xml:space="preserve">que le fue solicitado en el tiempo previamente establecido para tal efecto, provocando así que el particular deba de recurrir a </w:t>
      </w:r>
      <w:r w:rsidRPr="00B97263">
        <w:rPr>
          <w:rFonts w:ascii="Palatino Linotype" w:hAnsi="Palatino Linotype" w:cs="Helvetica"/>
          <w:i/>
          <w:sz w:val="24"/>
          <w:shd w:val="clear" w:color="auto" w:fill="FFFFFF"/>
        </w:rPr>
        <w:t>“la garantía secundaria mediante la cual se pretender reparar cualquier posible afectación al derecho de acceso a la información pública…”</w:t>
      </w:r>
      <w:r w:rsidRPr="00B97263">
        <w:rPr>
          <w:rStyle w:val="Refdenotaalpie"/>
          <w:rFonts w:ascii="Palatino Linotype" w:hAnsi="Palatino Linotype" w:cs="Helvetica"/>
          <w:i/>
          <w:sz w:val="24"/>
          <w:shd w:val="clear" w:color="auto" w:fill="FFFFFF"/>
        </w:rPr>
        <w:footnoteReference w:id="3"/>
      </w:r>
      <w:r w:rsidRPr="00B97263">
        <w:rPr>
          <w:rFonts w:ascii="Palatino Linotype" w:hAnsi="Palatino Linotype" w:cs="Helvetica"/>
          <w:i/>
          <w:sz w:val="24"/>
          <w:shd w:val="clear" w:color="auto" w:fill="FFFFFF"/>
        </w:rPr>
        <w:t xml:space="preserve"> </w:t>
      </w:r>
      <w:r w:rsidRPr="00B97263">
        <w:rPr>
          <w:rFonts w:ascii="Palatino Linotype" w:hAnsi="Palatino Linotype" w:cs="Helvetica"/>
          <w:sz w:val="24"/>
          <w:shd w:val="clear" w:color="auto" w:fill="FFFFFF"/>
        </w:rPr>
        <w:t xml:space="preserve">siendo el recurso de revisión, mismo que fue interpuesto por el particular, derivado de la falta de respuesta a la solicitud de información. </w:t>
      </w:r>
    </w:p>
    <w:p w14:paraId="65689F99" w14:textId="77777777" w:rsidR="00CA2D4E" w:rsidRPr="00B97263" w:rsidRDefault="00CA2D4E" w:rsidP="000F3425">
      <w:pPr>
        <w:pStyle w:val="Prrafodelista"/>
        <w:tabs>
          <w:tab w:val="left" w:pos="426"/>
        </w:tabs>
        <w:spacing w:line="360" w:lineRule="auto"/>
        <w:rPr>
          <w:rFonts w:ascii="Palatino Linotype" w:hAnsi="Palatino Linotype" w:cs="Arial"/>
          <w:color w:val="000000"/>
          <w:sz w:val="24"/>
        </w:rPr>
      </w:pPr>
    </w:p>
    <w:p w14:paraId="79BF9954" w14:textId="616EB239" w:rsidR="00CA2D4E" w:rsidRPr="00B97263" w:rsidRDefault="00CA2D4E" w:rsidP="000F3425">
      <w:pPr>
        <w:pStyle w:val="Prrafodelista"/>
        <w:numPr>
          <w:ilvl w:val="0"/>
          <w:numId w:val="1"/>
        </w:numPr>
        <w:tabs>
          <w:tab w:val="left" w:pos="426"/>
        </w:tabs>
        <w:spacing w:line="360" w:lineRule="auto"/>
        <w:ind w:left="0" w:right="49" w:firstLine="0"/>
        <w:jc w:val="both"/>
        <w:rPr>
          <w:rFonts w:ascii="Palatino Linotype" w:hAnsi="Palatino Linotype" w:cs="Arial"/>
          <w:color w:val="000000"/>
          <w:sz w:val="24"/>
        </w:rPr>
      </w:pPr>
      <w:r w:rsidRPr="00B97263">
        <w:rPr>
          <w:rFonts w:ascii="Palatino Linotype" w:hAnsi="Palatino Linotype" w:cs="Arial"/>
          <w:color w:val="000000"/>
          <w:sz w:val="24"/>
        </w:rPr>
        <w:t>Ahora bien, el artículo 192 de la Ley de Transparencia del Estado de México y Municipios establece las causales por la que puede ser sobreseído el recurso de revisión:</w:t>
      </w:r>
    </w:p>
    <w:p w14:paraId="71BA47FC" w14:textId="77777777" w:rsidR="00CA2D4E" w:rsidRPr="00AC5006" w:rsidRDefault="00CA2D4E" w:rsidP="00F24128">
      <w:pPr>
        <w:pStyle w:val="Prrafodelista"/>
        <w:spacing w:line="276" w:lineRule="auto"/>
        <w:ind w:left="851" w:right="822"/>
        <w:jc w:val="both"/>
        <w:rPr>
          <w:rFonts w:ascii="Palatino Linotype" w:hAnsi="Palatino Linotype" w:cs="Arial"/>
          <w:i/>
          <w:color w:val="000000"/>
        </w:rPr>
      </w:pPr>
      <w:r w:rsidRPr="00AC5006">
        <w:rPr>
          <w:rFonts w:ascii="Palatino Linotype" w:hAnsi="Palatino Linotype" w:cs="Arial"/>
          <w:color w:val="000000"/>
        </w:rPr>
        <w:t>“</w:t>
      </w:r>
      <w:r w:rsidRPr="00AC5006">
        <w:rPr>
          <w:rFonts w:ascii="Palatino Linotype" w:hAnsi="Palatino Linotype" w:cs="Arial"/>
          <w:b/>
          <w:bCs/>
          <w:i/>
          <w:color w:val="000000"/>
        </w:rPr>
        <w:t>Artículo 192.</w:t>
      </w:r>
      <w:r w:rsidRPr="00AC5006">
        <w:rPr>
          <w:rFonts w:ascii="Palatino Linotype" w:hAnsi="Palatino Linotype" w:cs="Arial"/>
          <w:i/>
          <w:color w:val="000000"/>
        </w:rPr>
        <w:t xml:space="preserve"> El recurso será sobreseído, en todo o en parte, cuando una vez admitido, se actualicen alguno de los siguientes supuestos:</w:t>
      </w:r>
    </w:p>
    <w:p w14:paraId="126887EF" w14:textId="77777777" w:rsidR="00CA2D4E" w:rsidRPr="00AC5006" w:rsidRDefault="00CA2D4E" w:rsidP="00F24128">
      <w:pPr>
        <w:pStyle w:val="Prrafodelista"/>
        <w:spacing w:line="276" w:lineRule="auto"/>
        <w:ind w:left="851" w:right="822"/>
        <w:rPr>
          <w:rFonts w:ascii="Palatino Linotype" w:hAnsi="Palatino Linotype" w:cs="Arial"/>
          <w:i/>
          <w:color w:val="000000"/>
        </w:rPr>
      </w:pPr>
      <w:r w:rsidRPr="00AC5006">
        <w:rPr>
          <w:rFonts w:ascii="Palatino Linotype" w:hAnsi="Palatino Linotype" w:cs="Arial"/>
          <w:b/>
          <w:bCs/>
          <w:i/>
          <w:color w:val="000000"/>
        </w:rPr>
        <w:t>I.</w:t>
      </w:r>
      <w:r w:rsidRPr="00AC5006">
        <w:rPr>
          <w:rFonts w:ascii="Palatino Linotype" w:hAnsi="Palatino Linotype" w:cs="Arial"/>
          <w:i/>
          <w:color w:val="000000"/>
        </w:rPr>
        <w:t xml:space="preserve"> El recurrente se desista expresamente del recurso; </w:t>
      </w:r>
    </w:p>
    <w:p w14:paraId="4F339931" w14:textId="77777777" w:rsidR="00CA2D4E" w:rsidRPr="00AC5006" w:rsidRDefault="00CA2D4E" w:rsidP="00F24128">
      <w:pPr>
        <w:pStyle w:val="Prrafodelista"/>
        <w:spacing w:line="276" w:lineRule="auto"/>
        <w:ind w:left="851" w:right="822"/>
        <w:rPr>
          <w:rFonts w:ascii="Palatino Linotype" w:hAnsi="Palatino Linotype" w:cs="Arial"/>
          <w:i/>
          <w:color w:val="000000"/>
        </w:rPr>
      </w:pPr>
      <w:r w:rsidRPr="00AC5006">
        <w:rPr>
          <w:rFonts w:ascii="Palatino Linotype" w:hAnsi="Palatino Linotype" w:cs="Arial"/>
          <w:b/>
          <w:bCs/>
          <w:i/>
          <w:color w:val="000000"/>
        </w:rPr>
        <w:t>II.</w:t>
      </w:r>
      <w:r w:rsidRPr="00AC5006">
        <w:rPr>
          <w:rFonts w:ascii="Palatino Linotype" w:hAnsi="Palatino Linotype" w:cs="Arial"/>
          <w:i/>
          <w:color w:val="000000"/>
        </w:rPr>
        <w:t xml:space="preserve"> El recurrente fallezca o, tratándose de personas jurídicas colectivas, se disuelva; </w:t>
      </w:r>
    </w:p>
    <w:p w14:paraId="0988BD94" w14:textId="77777777" w:rsidR="00CA2D4E" w:rsidRPr="00AC5006" w:rsidRDefault="00CA2D4E" w:rsidP="00F24128">
      <w:pPr>
        <w:pStyle w:val="Prrafodelista"/>
        <w:spacing w:line="276" w:lineRule="auto"/>
        <w:ind w:left="851" w:right="822"/>
        <w:rPr>
          <w:rFonts w:ascii="Palatino Linotype" w:hAnsi="Palatino Linotype" w:cs="Arial"/>
          <w:i/>
          <w:color w:val="000000"/>
        </w:rPr>
      </w:pPr>
      <w:r w:rsidRPr="00AC5006">
        <w:rPr>
          <w:rFonts w:ascii="Palatino Linotype" w:hAnsi="Palatino Linotype" w:cs="Arial"/>
          <w:b/>
          <w:bCs/>
          <w:i/>
          <w:color w:val="000000"/>
        </w:rPr>
        <w:t>III.</w:t>
      </w:r>
      <w:r w:rsidRPr="00AC5006">
        <w:rPr>
          <w:rFonts w:ascii="Palatino Linotype" w:hAnsi="Palatino Linotype" w:cs="Arial"/>
          <w:i/>
          <w:color w:val="000000"/>
        </w:rPr>
        <w:t xml:space="preserve"> El sujeto obligado responsable del acto lo modifique o revoque de tal manera que el recurso de revisión quede sin materia; </w:t>
      </w:r>
    </w:p>
    <w:p w14:paraId="5DDD82E6" w14:textId="77777777" w:rsidR="00CA2D4E" w:rsidRPr="00AC5006" w:rsidRDefault="00CA2D4E" w:rsidP="00F24128">
      <w:pPr>
        <w:pStyle w:val="Prrafodelista"/>
        <w:spacing w:line="276" w:lineRule="auto"/>
        <w:ind w:left="851" w:right="822"/>
        <w:rPr>
          <w:rFonts w:ascii="Palatino Linotype" w:hAnsi="Palatino Linotype" w:cs="Arial"/>
          <w:b/>
          <w:i/>
          <w:color w:val="000000"/>
        </w:rPr>
      </w:pPr>
      <w:r w:rsidRPr="00AC5006">
        <w:rPr>
          <w:rFonts w:ascii="Palatino Linotype" w:hAnsi="Palatino Linotype" w:cs="Arial"/>
          <w:b/>
          <w:i/>
          <w:color w:val="000000"/>
        </w:rPr>
        <w:t xml:space="preserve">IV. Admitido el recurso de revisión, aparezca alguna causal de improcedencia en los términos de la presente Ley; y </w:t>
      </w:r>
    </w:p>
    <w:p w14:paraId="15F38ADF" w14:textId="77777777" w:rsidR="00CA2D4E" w:rsidRPr="00AC5006" w:rsidRDefault="00CA2D4E" w:rsidP="00F24128">
      <w:pPr>
        <w:pStyle w:val="Prrafodelista"/>
        <w:spacing w:line="276" w:lineRule="auto"/>
        <w:ind w:left="851" w:right="822"/>
        <w:rPr>
          <w:rFonts w:ascii="Palatino Linotype" w:hAnsi="Palatino Linotype" w:cs="Arial"/>
          <w:i/>
          <w:color w:val="000000"/>
        </w:rPr>
      </w:pPr>
      <w:r w:rsidRPr="00AC5006">
        <w:rPr>
          <w:rFonts w:ascii="Palatino Linotype" w:hAnsi="Palatino Linotype" w:cs="Arial"/>
          <w:b/>
          <w:bCs/>
          <w:i/>
          <w:color w:val="000000"/>
        </w:rPr>
        <w:t>V.</w:t>
      </w:r>
      <w:r w:rsidRPr="00AC5006">
        <w:rPr>
          <w:rFonts w:ascii="Palatino Linotype" w:hAnsi="Palatino Linotype" w:cs="Arial"/>
          <w:i/>
          <w:color w:val="000000"/>
        </w:rPr>
        <w:t xml:space="preserve"> Cuando por cualquier motivo quede sin materia el recurso.”</w:t>
      </w:r>
    </w:p>
    <w:p w14:paraId="3B235445" w14:textId="77777777" w:rsidR="00CA2D4E" w:rsidRPr="00B97263" w:rsidRDefault="00CA2D4E" w:rsidP="00CA2D4E">
      <w:pPr>
        <w:pStyle w:val="Prrafodelista"/>
        <w:spacing w:line="360" w:lineRule="auto"/>
        <w:ind w:left="851" w:right="822"/>
        <w:rPr>
          <w:rFonts w:ascii="Palatino Linotype" w:hAnsi="Palatino Linotype" w:cs="Arial"/>
          <w:i/>
          <w:color w:val="000000"/>
          <w:sz w:val="24"/>
        </w:rPr>
      </w:pPr>
    </w:p>
    <w:p w14:paraId="5564AAF0" w14:textId="37E2B5DC" w:rsidR="00CA2D4E" w:rsidRPr="00B97263" w:rsidRDefault="00CA2D4E" w:rsidP="000F3425">
      <w:pPr>
        <w:pStyle w:val="Prrafodelista"/>
        <w:numPr>
          <w:ilvl w:val="0"/>
          <w:numId w:val="1"/>
        </w:numPr>
        <w:tabs>
          <w:tab w:val="left" w:pos="426"/>
        </w:tabs>
        <w:autoSpaceDE w:val="0"/>
        <w:autoSpaceDN w:val="0"/>
        <w:adjustRightInd w:val="0"/>
        <w:spacing w:before="120" w:after="120" w:line="360" w:lineRule="auto"/>
        <w:ind w:left="0" w:firstLine="0"/>
        <w:jc w:val="both"/>
        <w:rPr>
          <w:rFonts w:ascii="Palatino Linotype" w:hAnsi="Palatino Linotype" w:cs="Arial"/>
          <w:sz w:val="24"/>
        </w:rPr>
      </w:pPr>
      <w:r w:rsidRPr="00B97263">
        <w:rPr>
          <w:rFonts w:ascii="Palatino Linotype" w:hAnsi="Palatino Linotype" w:cs="Arial"/>
          <w:sz w:val="24"/>
        </w:rPr>
        <w:t>Es así que, el precepto legal establece que cuando admitido el recurso de revisión no actualice una causal de procedencia, será sobreseído en términos de la Ley; consecuentemente, es necesario traer a contexto el artículo 191, fracción III</w:t>
      </w:r>
      <w:r w:rsidR="00EA23B3" w:rsidRPr="00B97263">
        <w:rPr>
          <w:rFonts w:ascii="Palatino Linotype" w:hAnsi="Palatino Linotype" w:cs="Arial"/>
          <w:sz w:val="24"/>
        </w:rPr>
        <w:t>,</w:t>
      </w:r>
      <w:r w:rsidRPr="00B97263">
        <w:rPr>
          <w:rFonts w:ascii="Palatino Linotype" w:hAnsi="Palatino Linotype" w:cs="Arial"/>
          <w:sz w:val="24"/>
        </w:rPr>
        <w:t xml:space="preserve"> de la Ley en la materia, establece que el recurso de revisión será desechado por improcedente, cuando </w:t>
      </w:r>
      <w:r w:rsidRPr="00B97263">
        <w:rPr>
          <w:rFonts w:ascii="Palatino Linotype" w:hAnsi="Palatino Linotype" w:cs="Arial"/>
          <w:bCs/>
          <w:sz w:val="24"/>
          <w:lang w:val="es-ES"/>
        </w:rPr>
        <w:t>dicho medio no actualice alguno de los supuestos previstos en el diverso 179 de la presente Ley que establecen:</w:t>
      </w:r>
    </w:p>
    <w:p w14:paraId="730C5929" w14:textId="49EA0E4B" w:rsidR="00CA2D4E" w:rsidRPr="00AC5006" w:rsidRDefault="00F24128" w:rsidP="00F24128">
      <w:pPr>
        <w:pStyle w:val="Prrafodelista"/>
        <w:autoSpaceDE w:val="0"/>
        <w:autoSpaceDN w:val="0"/>
        <w:adjustRightInd w:val="0"/>
        <w:spacing w:before="120" w:after="120" w:line="276" w:lineRule="auto"/>
        <w:ind w:left="851" w:right="822"/>
        <w:rPr>
          <w:rFonts w:ascii="Palatino Linotype" w:hAnsi="Palatino Linotype" w:cs="Arial"/>
          <w:i/>
        </w:rPr>
      </w:pPr>
      <w:r w:rsidRPr="00AC5006">
        <w:rPr>
          <w:rFonts w:ascii="Palatino Linotype" w:hAnsi="Palatino Linotype" w:cs="Arial"/>
          <w:b/>
          <w:bCs/>
          <w:i/>
        </w:rPr>
        <w:t>“</w:t>
      </w:r>
      <w:r w:rsidR="00CA2D4E" w:rsidRPr="00AC5006">
        <w:rPr>
          <w:rFonts w:ascii="Palatino Linotype" w:hAnsi="Palatino Linotype" w:cs="Arial"/>
          <w:b/>
          <w:bCs/>
          <w:i/>
        </w:rPr>
        <w:t xml:space="preserve">Artículo 191. </w:t>
      </w:r>
      <w:r w:rsidR="00CA2D4E" w:rsidRPr="00AC5006">
        <w:rPr>
          <w:rFonts w:ascii="Palatino Linotype" w:hAnsi="Palatino Linotype" w:cs="Arial"/>
          <w:i/>
        </w:rPr>
        <w:t>El recurso será desechado por improcedente cuando:</w:t>
      </w:r>
    </w:p>
    <w:p w14:paraId="3BC5741A" w14:textId="77777777"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i/>
        </w:rPr>
      </w:pPr>
      <w:r w:rsidRPr="00AC5006">
        <w:rPr>
          <w:rFonts w:ascii="Palatino Linotype" w:hAnsi="Palatino Linotype" w:cs="Arial"/>
          <w:b/>
          <w:bCs/>
          <w:i/>
        </w:rPr>
        <w:lastRenderedPageBreak/>
        <w:t>I.</w:t>
      </w:r>
      <w:r w:rsidRPr="00AC5006">
        <w:rPr>
          <w:rFonts w:ascii="Palatino Linotype" w:hAnsi="Palatino Linotype" w:cs="Arial"/>
          <w:i/>
        </w:rPr>
        <w:t xml:space="preserve"> Sea extemporáneo por haber transcurrido el plazo establecido en la presente Ley, a partir de la respuesta; </w:t>
      </w:r>
    </w:p>
    <w:p w14:paraId="2103ED2D" w14:textId="77777777"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i/>
        </w:rPr>
      </w:pPr>
      <w:r w:rsidRPr="00AC5006">
        <w:rPr>
          <w:rFonts w:ascii="Palatino Linotype" w:hAnsi="Palatino Linotype" w:cs="Arial"/>
          <w:b/>
          <w:bCs/>
          <w:i/>
        </w:rPr>
        <w:t>II.</w:t>
      </w:r>
      <w:r w:rsidRPr="00AC5006">
        <w:rPr>
          <w:rFonts w:ascii="Palatino Linotype" w:hAnsi="Palatino Linotype" w:cs="Arial"/>
          <w:i/>
        </w:rPr>
        <w:t xml:space="preserve"> Se esté tramitando ante el Poder Judicial de la Federación algún recurso o medio de defensa interpuesto por el recurrente; </w:t>
      </w:r>
    </w:p>
    <w:p w14:paraId="2EAEA81F" w14:textId="77777777"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b/>
          <w:i/>
        </w:rPr>
      </w:pPr>
      <w:r w:rsidRPr="00AC5006">
        <w:rPr>
          <w:rFonts w:ascii="Palatino Linotype" w:hAnsi="Palatino Linotype" w:cs="Arial"/>
          <w:b/>
          <w:i/>
        </w:rPr>
        <w:t xml:space="preserve">III. No actualice alguno de los supuestos previstos en la presente Ley; </w:t>
      </w:r>
    </w:p>
    <w:p w14:paraId="7D747FC1" w14:textId="77777777"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i/>
        </w:rPr>
      </w:pPr>
      <w:r w:rsidRPr="00AC5006">
        <w:rPr>
          <w:rFonts w:ascii="Palatino Linotype" w:hAnsi="Palatino Linotype" w:cs="Arial"/>
          <w:b/>
          <w:bCs/>
          <w:i/>
        </w:rPr>
        <w:t>IV.</w:t>
      </w:r>
      <w:r w:rsidRPr="00AC5006">
        <w:rPr>
          <w:rFonts w:ascii="Palatino Linotype" w:hAnsi="Palatino Linotype" w:cs="Arial"/>
          <w:i/>
        </w:rPr>
        <w:t xml:space="preserve"> No se haya desahogado la prevención en los términos establecidos en la presente Ley; </w:t>
      </w:r>
    </w:p>
    <w:p w14:paraId="79560ECA" w14:textId="77777777"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i/>
        </w:rPr>
      </w:pPr>
      <w:r w:rsidRPr="00AC5006">
        <w:rPr>
          <w:rFonts w:ascii="Palatino Linotype" w:hAnsi="Palatino Linotype" w:cs="Arial"/>
          <w:b/>
          <w:bCs/>
          <w:i/>
        </w:rPr>
        <w:t>V.</w:t>
      </w:r>
      <w:r w:rsidRPr="00AC5006">
        <w:rPr>
          <w:rFonts w:ascii="Palatino Linotype" w:hAnsi="Palatino Linotype" w:cs="Arial"/>
          <w:i/>
        </w:rPr>
        <w:t xml:space="preserve"> Se impugne la veracidad de la información proporcionada; </w:t>
      </w:r>
    </w:p>
    <w:p w14:paraId="75824900" w14:textId="77777777"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i/>
        </w:rPr>
      </w:pPr>
      <w:r w:rsidRPr="00AC5006">
        <w:rPr>
          <w:rFonts w:ascii="Palatino Linotype" w:hAnsi="Palatino Linotype" w:cs="Arial"/>
          <w:b/>
          <w:bCs/>
          <w:i/>
        </w:rPr>
        <w:t>VI.</w:t>
      </w:r>
      <w:r w:rsidRPr="00AC5006">
        <w:rPr>
          <w:rFonts w:ascii="Palatino Linotype" w:hAnsi="Palatino Linotype" w:cs="Arial"/>
          <w:i/>
        </w:rPr>
        <w:t xml:space="preserve"> Se trate de una consulta, o trámite en específico; y </w:t>
      </w:r>
    </w:p>
    <w:p w14:paraId="22377B50" w14:textId="77777777"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rPr>
      </w:pPr>
      <w:r w:rsidRPr="00AC5006">
        <w:rPr>
          <w:rFonts w:ascii="Palatino Linotype" w:hAnsi="Palatino Linotype" w:cs="Arial"/>
          <w:b/>
          <w:bCs/>
          <w:i/>
        </w:rPr>
        <w:t>VII.</w:t>
      </w:r>
      <w:r w:rsidRPr="00AC5006">
        <w:rPr>
          <w:rFonts w:ascii="Palatino Linotype" w:hAnsi="Palatino Linotype" w:cs="Arial"/>
          <w:i/>
        </w:rPr>
        <w:t xml:space="preserve"> El recurrente amplíe su solicitud en el recurso de revisión, únicamente respecto de los nuevos contenidos.</w:t>
      </w:r>
    </w:p>
    <w:p w14:paraId="45827EB5"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rPr>
      </w:pPr>
    </w:p>
    <w:p w14:paraId="561C84BE" w14:textId="08F9BFDB"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bCs/>
          <w:i/>
        </w:rPr>
      </w:pPr>
      <w:r w:rsidRPr="00AC5006">
        <w:rPr>
          <w:rFonts w:ascii="Palatino Linotype" w:hAnsi="Palatino Linotype" w:cs="Arial"/>
          <w:b/>
          <w:bCs/>
          <w:i/>
        </w:rPr>
        <w:t xml:space="preserve">“Artículo 179. </w:t>
      </w:r>
      <w:r w:rsidRPr="00AC5006">
        <w:rPr>
          <w:rFonts w:ascii="Palatino Linotype" w:hAnsi="Palatino Linotype" w:cs="Arial"/>
          <w:bCs/>
          <w:i/>
        </w:rPr>
        <w:t xml:space="preserve">El recurso de revisión es un medio de protección que la Ley otorga a los particulares, para hacer valer su derecho de acceso a la información pública, y procederá en contra de las siguientes causas: </w:t>
      </w:r>
    </w:p>
    <w:p w14:paraId="1F1D3DA6"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I.</w:t>
      </w:r>
      <w:r w:rsidRPr="00AC5006">
        <w:rPr>
          <w:rFonts w:ascii="Palatino Linotype" w:hAnsi="Palatino Linotype" w:cs="Arial"/>
          <w:bCs/>
          <w:i/>
        </w:rPr>
        <w:t xml:space="preserve"> La negativa a la información solicitada; </w:t>
      </w:r>
    </w:p>
    <w:p w14:paraId="3FD2CDDD"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II.</w:t>
      </w:r>
      <w:r w:rsidRPr="00AC5006">
        <w:rPr>
          <w:rFonts w:ascii="Palatino Linotype" w:hAnsi="Palatino Linotype" w:cs="Arial"/>
          <w:bCs/>
          <w:i/>
        </w:rPr>
        <w:t xml:space="preserve"> La clasificación de la información; </w:t>
      </w:r>
    </w:p>
    <w:p w14:paraId="153078D8"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III.</w:t>
      </w:r>
      <w:r w:rsidRPr="00AC5006">
        <w:rPr>
          <w:rFonts w:ascii="Palatino Linotype" w:hAnsi="Palatino Linotype" w:cs="Arial"/>
          <w:bCs/>
          <w:i/>
        </w:rPr>
        <w:t xml:space="preserve"> La declaración de inexistencia de la información; </w:t>
      </w:r>
    </w:p>
    <w:p w14:paraId="7F98BCF9"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IV.</w:t>
      </w:r>
      <w:r w:rsidRPr="00AC5006">
        <w:rPr>
          <w:rFonts w:ascii="Palatino Linotype" w:hAnsi="Palatino Linotype" w:cs="Arial"/>
          <w:bCs/>
          <w:i/>
        </w:rPr>
        <w:t xml:space="preserve"> La declaración de incompetencia por el sujeto obligado; </w:t>
      </w:r>
    </w:p>
    <w:p w14:paraId="219699BD"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V.</w:t>
      </w:r>
      <w:r w:rsidRPr="00AC5006">
        <w:rPr>
          <w:rFonts w:ascii="Palatino Linotype" w:hAnsi="Palatino Linotype" w:cs="Arial"/>
          <w:bCs/>
          <w:i/>
        </w:rPr>
        <w:t xml:space="preserve"> La entrega de información incompleta; </w:t>
      </w:r>
    </w:p>
    <w:p w14:paraId="2994B61D"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VI.</w:t>
      </w:r>
      <w:r w:rsidRPr="00AC5006">
        <w:rPr>
          <w:rFonts w:ascii="Palatino Linotype" w:hAnsi="Palatino Linotype" w:cs="Arial"/>
          <w:bCs/>
          <w:i/>
        </w:rPr>
        <w:t xml:space="preserve"> La entrega de información que no corresponda con lo solicitado; </w:t>
      </w:r>
    </w:p>
    <w:p w14:paraId="491B30D4"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VII.</w:t>
      </w:r>
      <w:r w:rsidRPr="00AC5006">
        <w:rPr>
          <w:rFonts w:ascii="Palatino Linotype" w:hAnsi="Palatino Linotype" w:cs="Arial"/>
          <w:bCs/>
          <w:i/>
        </w:rPr>
        <w:t xml:space="preserve"> La falta de respuesta a una solicitud de acceso a la información; </w:t>
      </w:r>
    </w:p>
    <w:p w14:paraId="332D1AFE"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VIII.</w:t>
      </w:r>
      <w:r w:rsidRPr="00AC5006">
        <w:rPr>
          <w:rFonts w:ascii="Palatino Linotype" w:hAnsi="Palatino Linotype" w:cs="Arial"/>
          <w:bCs/>
          <w:i/>
        </w:rPr>
        <w:t xml:space="preserve"> La notificación, entrega o puesta a disposición de información en una modalidad o formato distinto al solicitado; </w:t>
      </w:r>
    </w:p>
    <w:p w14:paraId="64716447"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 xml:space="preserve">IX. </w:t>
      </w:r>
      <w:r w:rsidRPr="00AC5006">
        <w:rPr>
          <w:rFonts w:ascii="Palatino Linotype" w:hAnsi="Palatino Linotype" w:cs="Arial"/>
          <w:bCs/>
          <w:i/>
        </w:rPr>
        <w:t xml:space="preserve">La entrega o puesta a disposición de información en un formato incomprensible y/o no accesible para el solicitante; </w:t>
      </w:r>
    </w:p>
    <w:p w14:paraId="6D20E81C"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X.</w:t>
      </w:r>
      <w:r w:rsidRPr="00AC5006">
        <w:rPr>
          <w:rFonts w:ascii="Palatino Linotype" w:hAnsi="Palatino Linotype" w:cs="Arial"/>
          <w:bCs/>
          <w:i/>
        </w:rPr>
        <w:t xml:space="preserve"> Los costos o tiempos de entrega de la información; </w:t>
      </w:r>
    </w:p>
    <w:p w14:paraId="22755EBA"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XI.</w:t>
      </w:r>
      <w:r w:rsidRPr="00AC5006">
        <w:rPr>
          <w:rFonts w:ascii="Palatino Linotype" w:hAnsi="Palatino Linotype" w:cs="Arial"/>
          <w:bCs/>
          <w:i/>
        </w:rPr>
        <w:t xml:space="preserve"> La falta de trámite a una solicitud; </w:t>
      </w:r>
    </w:p>
    <w:p w14:paraId="0BBFD646"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XII.</w:t>
      </w:r>
      <w:r w:rsidRPr="00AC5006">
        <w:rPr>
          <w:rFonts w:ascii="Palatino Linotype" w:hAnsi="Palatino Linotype" w:cs="Arial"/>
          <w:bCs/>
          <w:i/>
        </w:rPr>
        <w:t xml:space="preserve"> La negativa a permitir la consulta directa de la información; </w:t>
      </w:r>
    </w:p>
    <w:p w14:paraId="598BE098"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bCs/>
          <w:i/>
        </w:rPr>
      </w:pPr>
      <w:r w:rsidRPr="00AC5006">
        <w:rPr>
          <w:rFonts w:ascii="Palatino Linotype" w:hAnsi="Palatino Linotype" w:cs="Arial"/>
          <w:b/>
          <w:i/>
        </w:rPr>
        <w:t>XIII.</w:t>
      </w:r>
      <w:r w:rsidRPr="00AC5006">
        <w:rPr>
          <w:rFonts w:ascii="Palatino Linotype" w:hAnsi="Palatino Linotype" w:cs="Arial"/>
          <w:bCs/>
          <w:i/>
        </w:rPr>
        <w:t xml:space="preserve"> La falta, deficiencia o insuficiencia de la fundamentación y/o motivación en la respuesta; y </w:t>
      </w:r>
    </w:p>
    <w:p w14:paraId="663404A7" w14:textId="77777777"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bCs/>
          <w:i/>
        </w:rPr>
      </w:pPr>
      <w:r w:rsidRPr="00AC5006">
        <w:rPr>
          <w:rFonts w:ascii="Palatino Linotype" w:hAnsi="Palatino Linotype" w:cs="Arial"/>
          <w:b/>
          <w:i/>
        </w:rPr>
        <w:t>XIV.</w:t>
      </w:r>
      <w:r w:rsidRPr="00AC5006">
        <w:rPr>
          <w:rFonts w:ascii="Palatino Linotype" w:hAnsi="Palatino Linotype" w:cs="Arial"/>
          <w:bCs/>
          <w:i/>
        </w:rPr>
        <w:t xml:space="preserve"> La orientación a un trámite específico.</w:t>
      </w:r>
    </w:p>
    <w:p w14:paraId="74A367E9" w14:textId="77777777" w:rsidR="00CA2D4E" w:rsidRPr="00AC5006" w:rsidRDefault="00CA2D4E" w:rsidP="00F24128">
      <w:pPr>
        <w:pStyle w:val="Prrafodelista"/>
        <w:autoSpaceDE w:val="0"/>
        <w:autoSpaceDN w:val="0"/>
        <w:adjustRightInd w:val="0"/>
        <w:spacing w:before="120" w:after="120" w:line="276" w:lineRule="auto"/>
        <w:ind w:left="851" w:right="822"/>
        <w:rPr>
          <w:rFonts w:ascii="Palatino Linotype" w:hAnsi="Palatino Linotype" w:cs="Arial"/>
          <w:bCs/>
          <w:i/>
        </w:rPr>
      </w:pPr>
      <w:r w:rsidRPr="00AC5006">
        <w:rPr>
          <w:rFonts w:ascii="Palatino Linotype" w:hAnsi="Palatino Linotype" w:cs="Arial"/>
          <w:bCs/>
          <w:i/>
        </w:rPr>
        <w:t>...”</w:t>
      </w:r>
    </w:p>
    <w:p w14:paraId="3BD64F67" w14:textId="77777777" w:rsidR="00CA2D4E" w:rsidRPr="00B97263" w:rsidRDefault="00CA2D4E" w:rsidP="00CA2D4E">
      <w:pPr>
        <w:pStyle w:val="Prrafodelista"/>
        <w:autoSpaceDE w:val="0"/>
        <w:autoSpaceDN w:val="0"/>
        <w:adjustRightInd w:val="0"/>
        <w:spacing w:before="120" w:after="120" w:line="360" w:lineRule="auto"/>
        <w:ind w:left="0"/>
        <w:jc w:val="both"/>
        <w:rPr>
          <w:rFonts w:ascii="Palatino Linotype" w:hAnsi="Palatino Linotype" w:cs="Arial"/>
          <w:sz w:val="24"/>
        </w:rPr>
      </w:pPr>
    </w:p>
    <w:p w14:paraId="27B102B4" w14:textId="24622450" w:rsidR="00CA2D4E" w:rsidRPr="00B97263" w:rsidRDefault="00CA2D4E" w:rsidP="00B97263">
      <w:pPr>
        <w:pStyle w:val="Prrafodelista"/>
        <w:numPr>
          <w:ilvl w:val="0"/>
          <w:numId w:val="1"/>
        </w:numPr>
        <w:tabs>
          <w:tab w:val="left" w:pos="426"/>
        </w:tabs>
        <w:autoSpaceDE w:val="0"/>
        <w:autoSpaceDN w:val="0"/>
        <w:adjustRightInd w:val="0"/>
        <w:spacing w:before="120" w:after="120" w:line="360" w:lineRule="auto"/>
        <w:ind w:left="0" w:firstLine="0"/>
        <w:jc w:val="both"/>
        <w:rPr>
          <w:rFonts w:ascii="Palatino Linotype" w:hAnsi="Palatino Linotype" w:cs="Arial"/>
          <w:sz w:val="24"/>
        </w:rPr>
      </w:pPr>
      <w:r w:rsidRPr="00B97263">
        <w:rPr>
          <w:rFonts w:ascii="Palatino Linotype" w:hAnsi="Palatino Linotype" w:cs="Arial"/>
          <w:sz w:val="24"/>
        </w:rPr>
        <w:lastRenderedPageBreak/>
        <w:t xml:space="preserve">Puntualizado lo anterior, es necesario precisar que en el presente recurso de revisión, se dictó una resolución en la </w:t>
      </w:r>
      <w:r w:rsidR="00B97263" w:rsidRPr="00B97263">
        <w:rPr>
          <w:rFonts w:ascii="Palatino Linotype" w:hAnsi="Palatino Linotype" w:cs="Arial"/>
          <w:sz w:val="24"/>
        </w:rPr>
        <w:t>Vigésima Primera Sesión Ordinaria celebrada el doce de junio de dos mil veinticuatro</w:t>
      </w:r>
      <w:r w:rsidR="004A40B0" w:rsidRPr="00B97263">
        <w:rPr>
          <w:rFonts w:ascii="Palatino Linotype" w:hAnsi="Palatino Linotype" w:cs="Arial"/>
          <w:sz w:val="24"/>
        </w:rPr>
        <w:t>,</w:t>
      </w:r>
      <w:r w:rsidRPr="00B97263">
        <w:rPr>
          <w:rFonts w:ascii="Palatino Linotype" w:hAnsi="Palatino Linotype" w:cs="Arial"/>
          <w:sz w:val="24"/>
        </w:rPr>
        <w:t xml:space="preserve"> en la que se determinó como causal de procedencia, la fracción VII, del artículo 179 de la Ley de Transparencia y Acceso a la Información Pública del Estado de México y Municipios, en la que se ordenó dar trámite a la solicitud de información</w:t>
      </w:r>
      <w:r w:rsidR="00951EEC" w:rsidRPr="00B97263">
        <w:rPr>
          <w:rFonts w:ascii="Palatino Linotype" w:hAnsi="Palatino Linotype" w:cs="Arial"/>
          <w:sz w:val="24"/>
        </w:rPr>
        <w:t>, tal como se reitera en las siguientes líneas</w:t>
      </w:r>
      <w:r w:rsidRPr="00B97263">
        <w:rPr>
          <w:rFonts w:ascii="Palatino Linotype" w:hAnsi="Palatino Linotype" w:cs="Arial"/>
          <w:sz w:val="24"/>
        </w:rPr>
        <w:t>:</w:t>
      </w:r>
    </w:p>
    <w:p w14:paraId="61F6725F" w14:textId="77777777" w:rsidR="00B97263" w:rsidRPr="00AC5006" w:rsidRDefault="00951EEC" w:rsidP="00B97263">
      <w:pPr>
        <w:pStyle w:val="Prrafodelista"/>
        <w:autoSpaceDE w:val="0"/>
        <w:autoSpaceDN w:val="0"/>
        <w:adjustRightInd w:val="0"/>
        <w:spacing w:before="120" w:after="120" w:line="276" w:lineRule="auto"/>
        <w:ind w:left="851" w:right="822"/>
        <w:jc w:val="both"/>
        <w:rPr>
          <w:rFonts w:ascii="Palatino Linotype" w:hAnsi="Palatino Linotype" w:cs="Arial"/>
          <w:i/>
          <w:lang w:val="es-ES_tradnl"/>
        </w:rPr>
      </w:pPr>
      <w:r w:rsidRPr="00AC5006">
        <w:rPr>
          <w:rFonts w:ascii="Palatino Linotype" w:hAnsi="Palatino Linotype" w:cs="Arial"/>
          <w:i/>
          <w:lang w:val="es-ES_tradnl"/>
        </w:rPr>
        <w:t>“</w:t>
      </w:r>
      <w:r w:rsidR="00B97263" w:rsidRPr="00AC5006">
        <w:rPr>
          <w:rFonts w:ascii="Palatino Linotype" w:hAnsi="Palatino Linotype" w:cs="Arial"/>
          <w:i/>
          <w:lang w:val="es-ES_tradnl"/>
        </w:rPr>
        <w:t xml:space="preserve">PRIMERO. Resultan fundadas las razones y motivos de inconformidad hechos valer en el recurso de revisión 03073/INFOEM/IP/RR/2024 en términos de los Considerandos Cuarto y Séptimo de la presente resolución. </w:t>
      </w:r>
    </w:p>
    <w:p w14:paraId="65239FC0" w14:textId="77777777" w:rsidR="00B97263" w:rsidRPr="00AC5006" w:rsidRDefault="00B97263" w:rsidP="00B97263">
      <w:pPr>
        <w:pStyle w:val="Prrafodelista"/>
        <w:autoSpaceDE w:val="0"/>
        <w:autoSpaceDN w:val="0"/>
        <w:adjustRightInd w:val="0"/>
        <w:spacing w:before="120" w:after="120" w:line="276" w:lineRule="auto"/>
        <w:ind w:left="851" w:right="822"/>
        <w:jc w:val="both"/>
        <w:rPr>
          <w:rFonts w:ascii="Palatino Linotype" w:hAnsi="Palatino Linotype" w:cs="Arial"/>
          <w:i/>
          <w:lang w:val="es-ES_tradnl"/>
        </w:rPr>
      </w:pPr>
    </w:p>
    <w:p w14:paraId="22B4832F" w14:textId="77777777" w:rsidR="00B97263" w:rsidRPr="00AC5006" w:rsidRDefault="00B97263" w:rsidP="00B97263">
      <w:pPr>
        <w:pStyle w:val="Prrafodelista"/>
        <w:autoSpaceDE w:val="0"/>
        <w:autoSpaceDN w:val="0"/>
        <w:adjustRightInd w:val="0"/>
        <w:spacing w:before="120" w:after="120" w:line="276" w:lineRule="auto"/>
        <w:ind w:left="851" w:right="822"/>
        <w:jc w:val="both"/>
        <w:rPr>
          <w:rFonts w:ascii="Palatino Linotype" w:hAnsi="Palatino Linotype" w:cs="Arial"/>
          <w:i/>
          <w:lang w:val="es-ES_tradnl"/>
        </w:rPr>
      </w:pPr>
      <w:r w:rsidRPr="00AC5006">
        <w:rPr>
          <w:rFonts w:ascii="Palatino Linotype" w:hAnsi="Palatino Linotype" w:cs="Arial"/>
          <w:i/>
          <w:lang w:val="es-ES_tradnl"/>
        </w:rPr>
        <w:t>SEGUNDO. Se ORDENA al Ayuntamiento de Apaxco dar atención a la solicitud de información  00009/APAXCO/IP/2024 y en su caso, entregar la información vía Sistema de Acceso a Información Mexiquense (SAIMEX).</w:t>
      </w:r>
    </w:p>
    <w:p w14:paraId="57CFE097" w14:textId="77777777" w:rsidR="00B97263" w:rsidRPr="00AC5006" w:rsidRDefault="00B97263" w:rsidP="00B97263">
      <w:pPr>
        <w:pStyle w:val="Prrafodelista"/>
        <w:autoSpaceDE w:val="0"/>
        <w:autoSpaceDN w:val="0"/>
        <w:adjustRightInd w:val="0"/>
        <w:spacing w:before="120" w:after="120" w:line="276" w:lineRule="auto"/>
        <w:ind w:left="851" w:right="822"/>
        <w:jc w:val="both"/>
        <w:rPr>
          <w:rFonts w:ascii="Palatino Linotype" w:hAnsi="Palatino Linotype" w:cs="Arial"/>
          <w:i/>
          <w:lang w:val="es-ES_tradnl"/>
        </w:rPr>
      </w:pPr>
      <w:r w:rsidRPr="00AC5006">
        <w:rPr>
          <w:rFonts w:ascii="Palatino Linotype" w:hAnsi="Palatino Linotype" w:cs="Arial"/>
          <w:i/>
          <w:lang w:val="es-ES_tradnl"/>
        </w:rPr>
        <w:t>…</w:t>
      </w:r>
    </w:p>
    <w:p w14:paraId="5856B7D8" w14:textId="2558475C" w:rsidR="00CA2D4E" w:rsidRPr="00AC5006" w:rsidRDefault="00B97263" w:rsidP="00B97263">
      <w:pPr>
        <w:pStyle w:val="Prrafodelista"/>
        <w:autoSpaceDE w:val="0"/>
        <w:autoSpaceDN w:val="0"/>
        <w:adjustRightInd w:val="0"/>
        <w:spacing w:before="120" w:after="120" w:line="276" w:lineRule="auto"/>
        <w:ind w:left="851" w:right="822"/>
        <w:jc w:val="both"/>
        <w:rPr>
          <w:rFonts w:ascii="Palatino Linotype" w:hAnsi="Palatino Linotype" w:cs="Arial"/>
          <w:lang w:val="es-ES_tradnl"/>
        </w:rPr>
      </w:pPr>
      <w:r w:rsidRPr="00AC5006">
        <w:rPr>
          <w:rFonts w:ascii="Palatino Linotype" w:hAnsi="Palatino Linotype" w:cs="Arial"/>
          <w:i/>
          <w:lang w:val="es-ES_tradnl"/>
        </w:rPr>
        <w:t>SEXTO. Hágase del conocimiento de EL RECURRENTE que la respuesta que dé el SUJETO OBLIGADO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r w:rsidR="00951EEC" w:rsidRPr="00AC5006">
        <w:rPr>
          <w:rFonts w:ascii="Palatino Linotype" w:hAnsi="Palatino Linotype" w:cs="Arial"/>
          <w:i/>
          <w:lang w:val="es-ES_tradnl"/>
        </w:rPr>
        <w:t>”</w:t>
      </w:r>
      <w:r w:rsidRPr="00AC5006">
        <w:rPr>
          <w:rFonts w:ascii="Palatino Linotype" w:hAnsi="Palatino Linotype" w:cs="Arial"/>
          <w:lang w:val="es-ES_tradnl"/>
        </w:rPr>
        <w:t xml:space="preserve"> </w:t>
      </w:r>
    </w:p>
    <w:p w14:paraId="406350B2" w14:textId="77777777" w:rsidR="00B97263" w:rsidRPr="00B97263" w:rsidRDefault="00B97263" w:rsidP="00B97263">
      <w:pPr>
        <w:pStyle w:val="Prrafodelista"/>
        <w:autoSpaceDE w:val="0"/>
        <w:autoSpaceDN w:val="0"/>
        <w:adjustRightInd w:val="0"/>
        <w:spacing w:before="120" w:after="120" w:line="276" w:lineRule="auto"/>
        <w:ind w:left="851" w:right="822"/>
        <w:jc w:val="both"/>
        <w:rPr>
          <w:rFonts w:ascii="Palatino Linotype" w:hAnsi="Palatino Linotype" w:cs="Arial"/>
          <w:sz w:val="24"/>
          <w:lang w:val="es-ES"/>
        </w:rPr>
      </w:pPr>
    </w:p>
    <w:p w14:paraId="1CA49CC0" w14:textId="44A3CDFC" w:rsidR="00CA2D4E" w:rsidRPr="00B97263" w:rsidRDefault="004A40B0" w:rsidP="000F3425">
      <w:pPr>
        <w:pStyle w:val="Prrafodelista"/>
        <w:numPr>
          <w:ilvl w:val="0"/>
          <w:numId w:val="1"/>
        </w:numPr>
        <w:tabs>
          <w:tab w:val="left" w:pos="426"/>
        </w:tabs>
        <w:autoSpaceDE w:val="0"/>
        <w:autoSpaceDN w:val="0"/>
        <w:adjustRightInd w:val="0"/>
        <w:spacing w:before="120" w:after="120" w:line="360" w:lineRule="auto"/>
        <w:ind w:left="0" w:firstLine="0"/>
        <w:jc w:val="both"/>
        <w:rPr>
          <w:rFonts w:ascii="Palatino Linotype" w:hAnsi="Palatino Linotype" w:cs="Arial"/>
          <w:sz w:val="24"/>
        </w:rPr>
      </w:pPr>
      <w:r w:rsidRPr="00B97263">
        <w:rPr>
          <w:rFonts w:ascii="Palatino Linotype" w:hAnsi="Palatino Linotype" w:cs="Arial"/>
          <w:sz w:val="24"/>
        </w:rPr>
        <w:t>Así las cosas</w:t>
      </w:r>
      <w:r w:rsidR="00CA2D4E" w:rsidRPr="00B97263">
        <w:rPr>
          <w:rFonts w:ascii="Palatino Linotype" w:hAnsi="Palatino Linotype" w:cs="Arial"/>
          <w:sz w:val="24"/>
        </w:rPr>
        <w:t xml:space="preserve">, como se advierte en el en el </w:t>
      </w:r>
      <w:r w:rsidR="00CA2D4E" w:rsidRPr="00B97263">
        <w:rPr>
          <w:rFonts w:ascii="Palatino Linotype" w:hAnsi="Palatino Linotype" w:cs="Arial"/>
          <w:b/>
          <w:bCs/>
          <w:sz w:val="24"/>
        </w:rPr>
        <w:t>Resolutivo SEXTO</w:t>
      </w:r>
      <w:r w:rsidR="00CA2D4E" w:rsidRPr="00B97263">
        <w:rPr>
          <w:rFonts w:ascii="Palatino Linotype" w:hAnsi="Palatino Linotype" w:cs="Arial"/>
          <w:sz w:val="24"/>
        </w:rPr>
        <w:t xml:space="preserve">, se hizo del conocimiento al </w:t>
      </w:r>
      <w:r w:rsidR="00EA23B3" w:rsidRPr="00B97263">
        <w:rPr>
          <w:rFonts w:ascii="Palatino Linotype" w:hAnsi="Palatino Linotype" w:cs="Arial"/>
          <w:b/>
          <w:bCs/>
          <w:sz w:val="24"/>
        </w:rPr>
        <w:t>RECURRENTE</w:t>
      </w:r>
      <w:r w:rsidR="00CA2D4E" w:rsidRPr="00B97263">
        <w:rPr>
          <w:rFonts w:ascii="Palatino Linotype" w:hAnsi="Palatino Linotype" w:cs="Arial"/>
          <w:sz w:val="24"/>
        </w:rPr>
        <w:t xml:space="preserve"> que tenía derecho a interponer nuevamente Recurso de Revisión ante este Instituto, por la respuesta emitida por el </w:t>
      </w:r>
      <w:r w:rsidR="00EA23B3" w:rsidRPr="00B97263">
        <w:rPr>
          <w:rFonts w:ascii="Palatino Linotype" w:hAnsi="Palatino Linotype" w:cs="Arial"/>
          <w:b/>
          <w:bCs/>
          <w:sz w:val="24"/>
        </w:rPr>
        <w:t>SUJETO OBLIGADO</w:t>
      </w:r>
      <w:r w:rsidR="00CA2D4E" w:rsidRPr="00B97263">
        <w:rPr>
          <w:rFonts w:ascii="Palatino Linotype" w:hAnsi="Palatino Linotype" w:cs="Arial"/>
          <w:sz w:val="24"/>
        </w:rPr>
        <w:t xml:space="preserve"> en cumplimiento a la resolución, tal y como lo contempla el último párrafo del artículo 179 de la Ley de Transparencia y Acceso a la Información Pública del Estado de México y Municipios:</w:t>
      </w:r>
    </w:p>
    <w:p w14:paraId="0C839158" w14:textId="77777777" w:rsidR="00CA2D4E" w:rsidRPr="00AC5006"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i/>
        </w:rPr>
      </w:pPr>
      <w:r w:rsidRPr="00AC5006">
        <w:rPr>
          <w:rFonts w:ascii="Palatino Linotype" w:hAnsi="Palatino Linotype" w:cs="Arial"/>
          <w:i/>
        </w:rPr>
        <w:t>“</w:t>
      </w:r>
      <w:r w:rsidRPr="00AC5006">
        <w:rPr>
          <w:rFonts w:ascii="Palatino Linotype" w:hAnsi="Palatino Linotype" w:cs="Arial"/>
          <w:b/>
          <w:bCs/>
          <w:i/>
        </w:rPr>
        <w:t>Artículo 179.</w:t>
      </w:r>
      <w:r w:rsidRPr="00AC5006">
        <w:rPr>
          <w:rFonts w:ascii="Palatino Linotype" w:hAnsi="Palatino Linotype" w:cs="Arial"/>
          <w:i/>
        </w:rPr>
        <w:t xml:space="preserve"> El recurso de revisión es un medio de protección que la Ley otorga a los particulares, para hacer valer su derecho de acceso a la información pública, y procederá en contra de las siguientes causas:</w:t>
      </w:r>
    </w:p>
    <w:p w14:paraId="2E6BA055" w14:textId="1331C440" w:rsidR="00CA2D4E" w:rsidRPr="00AC5006" w:rsidRDefault="00EA23B3" w:rsidP="00F24128">
      <w:pPr>
        <w:pStyle w:val="Prrafodelista"/>
        <w:autoSpaceDE w:val="0"/>
        <w:autoSpaceDN w:val="0"/>
        <w:adjustRightInd w:val="0"/>
        <w:spacing w:before="120" w:after="120" w:line="276" w:lineRule="auto"/>
        <w:ind w:left="851" w:right="822"/>
        <w:jc w:val="both"/>
        <w:rPr>
          <w:rFonts w:ascii="Palatino Linotype" w:hAnsi="Palatino Linotype" w:cs="Arial"/>
          <w:i/>
        </w:rPr>
      </w:pPr>
      <w:r w:rsidRPr="00AC5006">
        <w:rPr>
          <w:rFonts w:ascii="Palatino Linotype" w:hAnsi="Palatino Linotype" w:cs="Arial"/>
          <w:i/>
        </w:rPr>
        <w:lastRenderedPageBreak/>
        <w:t>(</w:t>
      </w:r>
      <w:r w:rsidR="00CA2D4E" w:rsidRPr="00AC5006">
        <w:rPr>
          <w:rFonts w:ascii="Palatino Linotype" w:hAnsi="Palatino Linotype" w:cs="Arial"/>
          <w:i/>
        </w:rPr>
        <w:t>…</w:t>
      </w:r>
      <w:r w:rsidRPr="00AC5006">
        <w:rPr>
          <w:rFonts w:ascii="Palatino Linotype" w:hAnsi="Palatino Linotype" w:cs="Arial"/>
          <w:i/>
        </w:rPr>
        <w:t>)</w:t>
      </w:r>
    </w:p>
    <w:p w14:paraId="71F29BAB" w14:textId="11B0A2D4" w:rsidR="00CA2D4E" w:rsidRDefault="00CA2D4E" w:rsidP="00F24128">
      <w:pPr>
        <w:pStyle w:val="Prrafodelista"/>
        <w:autoSpaceDE w:val="0"/>
        <w:autoSpaceDN w:val="0"/>
        <w:adjustRightInd w:val="0"/>
        <w:spacing w:before="120" w:after="120" w:line="276" w:lineRule="auto"/>
        <w:ind w:left="851" w:right="822"/>
        <w:jc w:val="both"/>
        <w:rPr>
          <w:rFonts w:ascii="Palatino Linotype" w:hAnsi="Palatino Linotype" w:cs="Arial"/>
        </w:rPr>
      </w:pPr>
      <w:r w:rsidRPr="00AC5006">
        <w:rPr>
          <w:rFonts w:ascii="Palatino Linotype" w:hAnsi="Palatino Linotype" w:cs="Arial"/>
          <w:b/>
          <w:i/>
        </w:rPr>
        <w:t>La respuesta que den los sujetos obligados derivada de la resolución a un recurso de revisión</w:t>
      </w:r>
      <w:r w:rsidRPr="00AC5006">
        <w:rPr>
          <w:rFonts w:ascii="Palatino Linotype" w:hAnsi="Palatino Linotype" w:cs="Arial"/>
          <w:i/>
        </w:rPr>
        <w:t xml:space="preserve"> que proceda por las causales señaladas en las fracciones IV, VII, IX, X, XI y XII es susceptible de ser impugnada de nueva cuenta, mediante recurso de revisión, ante el Instituto.”</w:t>
      </w:r>
      <w:r w:rsidR="00B97263" w:rsidRPr="00AC5006">
        <w:rPr>
          <w:rFonts w:ascii="Palatino Linotype" w:hAnsi="Palatino Linotype" w:cs="Arial"/>
          <w:i/>
        </w:rPr>
        <w:t xml:space="preserve"> </w:t>
      </w:r>
      <w:r w:rsidR="00B97263" w:rsidRPr="00AC5006">
        <w:rPr>
          <w:rFonts w:ascii="Palatino Linotype" w:hAnsi="Palatino Linotype" w:cs="Arial"/>
        </w:rPr>
        <w:t>Énfasis añadido</w:t>
      </w:r>
    </w:p>
    <w:p w14:paraId="064946C7" w14:textId="77777777" w:rsidR="00AC5006" w:rsidRDefault="00AC5006" w:rsidP="00F24128">
      <w:pPr>
        <w:pStyle w:val="Prrafodelista"/>
        <w:autoSpaceDE w:val="0"/>
        <w:autoSpaceDN w:val="0"/>
        <w:adjustRightInd w:val="0"/>
        <w:spacing w:before="120" w:after="120" w:line="276" w:lineRule="auto"/>
        <w:ind w:left="851" w:right="822"/>
        <w:jc w:val="both"/>
        <w:rPr>
          <w:rFonts w:ascii="Palatino Linotype" w:hAnsi="Palatino Linotype" w:cs="Arial"/>
        </w:rPr>
      </w:pPr>
    </w:p>
    <w:p w14:paraId="442D02AE" w14:textId="77777777" w:rsidR="00AC5006" w:rsidRPr="00AC5006" w:rsidRDefault="00AC5006" w:rsidP="00F24128">
      <w:pPr>
        <w:pStyle w:val="Prrafodelista"/>
        <w:autoSpaceDE w:val="0"/>
        <w:autoSpaceDN w:val="0"/>
        <w:adjustRightInd w:val="0"/>
        <w:spacing w:before="120" w:after="120" w:line="276" w:lineRule="auto"/>
        <w:ind w:left="851" w:right="822"/>
        <w:jc w:val="both"/>
        <w:rPr>
          <w:rFonts w:ascii="Palatino Linotype" w:hAnsi="Palatino Linotype" w:cs="Arial"/>
        </w:rPr>
      </w:pPr>
    </w:p>
    <w:p w14:paraId="684888E3" w14:textId="44BE956B" w:rsidR="00CA2D4E" w:rsidRPr="00B97263" w:rsidRDefault="00CA2D4E" w:rsidP="000F3425">
      <w:pPr>
        <w:pStyle w:val="Prrafodelista"/>
        <w:numPr>
          <w:ilvl w:val="0"/>
          <w:numId w:val="1"/>
        </w:numPr>
        <w:tabs>
          <w:tab w:val="left" w:pos="426"/>
        </w:tabs>
        <w:autoSpaceDE w:val="0"/>
        <w:autoSpaceDN w:val="0"/>
        <w:adjustRightInd w:val="0"/>
        <w:spacing w:before="120" w:after="120" w:line="360" w:lineRule="auto"/>
        <w:ind w:left="0" w:firstLine="0"/>
        <w:jc w:val="both"/>
        <w:rPr>
          <w:rFonts w:ascii="Palatino Linotype" w:hAnsi="Palatino Linotype" w:cs="Arial"/>
          <w:sz w:val="24"/>
        </w:rPr>
      </w:pPr>
      <w:r w:rsidRPr="00B97263">
        <w:rPr>
          <w:rFonts w:ascii="Palatino Linotype" w:hAnsi="Palatino Linotype" w:cs="Arial"/>
          <w:sz w:val="24"/>
        </w:rPr>
        <w:t xml:space="preserve">Como se advierte del precepto legal, únicamente se puede interponer recurso de revisión ante la respuesta del </w:t>
      </w:r>
      <w:r w:rsidR="00EA23B3" w:rsidRPr="00B97263">
        <w:rPr>
          <w:rFonts w:ascii="Palatino Linotype" w:hAnsi="Palatino Linotype" w:cs="Arial"/>
          <w:b/>
          <w:bCs/>
          <w:sz w:val="24"/>
        </w:rPr>
        <w:t>SUJETO OBLIGADO</w:t>
      </w:r>
      <w:r w:rsidR="00EA23B3" w:rsidRPr="00B97263">
        <w:rPr>
          <w:rFonts w:ascii="Palatino Linotype" w:hAnsi="Palatino Linotype" w:cs="Arial"/>
          <w:sz w:val="24"/>
        </w:rPr>
        <w:t xml:space="preserve"> </w:t>
      </w:r>
      <w:r w:rsidRPr="00B97263">
        <w:rPr>
          <w:rFonts w:ascii="Palatino Linotype" w:hAnsi="Palatino Linotype" w:cs="Arial"/>
          <w:sz w:val="24"/>
        </w:rPr>
        <w:t xml:space="preserve">en cumplimiento de la resolución dictada por el Pleno de este Instituto y que </w:t>
      </w:r>
      <w:r w:rsidRPr="00B97263">
        <w:rPr>
          <w:rFonts w:ascii="Palatino Linotype" w:hAnsi="Palatino Linotype" w:cs="Tahoma"/>
          <w:bCs/>
          <w:iCs/>
          <w:sz w:val="24"/>
          <w:lang w:val="es-ES"/>
        </w:rPr>
        <w:t xml:space="preserve">hayan derivado de un Medio de Impugnación en donde la causal de procedencia fuera alguna de las fracciones referidas en el último párrafo, del artículo 179 referido. </w:t>
      </w:r>
    </w:p>
    <w:p w14:paraId="41B853DE" w14:textId="77777777" w:rsidR="00CA2D4E" w:rsidRPr="00B97263" w:rsidRDefault="00CA2D4E" w:rsidP="000F3425">
      <w:pPr>
        <w:pStyle w:val="Prrafodelista"/>
        <w:tabs>
          <w:tab w:val="left" w:pos="426"/>
        </w:tabs>
        <w:autoSpaceDE w:val="0"/>
        <w:autoSpaceDN w:val="0"/>
        <w:adjustRightInd w:val="0"/>
        <w:spacing w:before="120" w:after="120" w:line="360" w:lineRule="auto"/>
        <w:ind w:left="0"/>
        <w:jc w:val="both"/>
        <w:rPr>
          <w:rFonts w:ascii="Palatino Linotype" w:hAnsi="Palatino Linotype" w:cs="Arial"/>
          <w:sz w:val="24"/>
        </w:rPr>
      </w:pPr>
    </w:p>
    <w:p w14:paraId="57764F9A" w14:textId="177FC504" w:rsidR="00CA2D4E" w:rsidRPr="00B97263" w:rsidRDefault="00CA2D4E" w:rsidP="000F3425">
      <w:pPr>
        <w:pStyle w:val="Prrafodelista"/>
        <w:numPr>
          <w:ilvl w:val="0"/>
          <w:numId w:val="1"/>
        </w:numPr>
        <w:tabs>
          <w:tab w:val="left" w:pos="426"/>
        </w:tabs>
        <w:autoSpaceDE w:val="0"/>
        <w:autoSpaceDN w:val="0"/>
        <w:adjustRightInd w:val="0"/>
        <w:spacing w:before="120" w:after="120" w:line="360" w:lineRule="auto"/>
        <w:ind w:left="0" w:firstLine="0"/>
        <w:jc w:val="both"/>
        <w:rPr>
          <w:rFonts w:ascii="Palatino Linotype" w:hAnsi="Palatino Linotype" w:cs="Arial"/>
          <w:sz w:val="24"/>
        </w:rPr>
      </w:pPr>
      <w:r w:rsidRPr="00B97263">
        <w:rPr>
          <w:rFonts w:ascii="Palatino Linotype" w:hAnsi="Palatino Linotype" w:cs="Tahoma"/>
          <w:bCs/>
          <w:iCs/>
          <w:sz w:val="24"/>
          <w:lang w:val="es-ES"/>
        </w:rPr>
        <w:t xml:space="preserve">En este caso, el </w:t>
      </w:r>
      <w:r w:rsidR="00EA23B3" w:rsidRPr="00B97263">
        <w:rPr>
          <w:rFonts w:ascii="Palatino Linotype" w:hAnsi="Palatino Linotype" w:cs="Arial"/>
          <w:b/>
          <w:bCs/>
          <w:sz w:val="24"/>
        </w:rPr>
        <w:t>SUJETO OBLIGADO</w:t>
      </w:r>
      <w:r w:rsidR="00EA23B3" w:rsidRPr="00B97263">
        <w:rPr>
          <w:rFonts w:ascii="Palatino Linotype" w:hAnsi="Palatino Linotype" w:cs="Arial"/>
          <w:sz w:val="24"/>
        </w:rPr>
        <w:t xml:space="preserve"> </w:t>
      </w:r>
      <w:r w:rsidRPr="00B97263">
        <w:rPr>
          <w:rFonts w:ascii="Palatino Linotype" w:hAnsi="Palatino Linotype" w:cs="Tahoma"/>
          <w:bCs/>
          <w:iCs/>
          <w:sz w:val="24"/>
          <w:lang w:val="es-ES"/>
        </w:rPr>
        <w:t>no emitió respuesta en cumplimiento a la resolución emitida en el recurso de revisión, por lo tanto, al interponerse el segundo recurso de revisión, no se configura ninguna causal de procedencia pues</w:t>
      </w:r>
      <w:r w:rsidR="00A545D7" w:rsidRPr="00B97263">
        <w:rPr>
          <w:rFonts w:ascii="Palatino Linotype" w:hAnsi="Palatino Linotype" w:cs="Tahoma"/>
          <w:bCs/>
          <w:iCs/>
          <w:sz w:val="24"/>
          <w:lang w:val="es-ES"/>
        </w:rPr>
        <w:t>,</w:t>
      </w:r>
      <w:r w:rsidRPr="00B97263">
        <w:rPr>
          <w:rFonts w:ascii="Palatino Linotype" w:hAnsi="Palatino Linotype" w:cs="Tahoma"/>
          <w:bCs/>
          <w:iCs/>
          <w:sz w:val="24"/>
          <w:lang w:val="es-ES"/>
        </w:rPr>
        <w:t xml:space="preserve"> como ya se señaló, el </w:t>
      </w:r>
      <w:r w:rsidR="00EA23B3" w:rsidRPr="00B97263">
        <w:rPr>
          <w:rFonts w:ascii="Palatino Linotype" w:hAnsi="Palatino Linotype" w:cs="Arial"/>
          <w:b/>
          <w:bCs/>
          <w:sz w:val="24"/>
        </w:rPr>
        <w:t>SUJETO OBLIGADO</w:t>
      </w:r>
      <w:r w:rsidRPr="00B97263">
        <w:rPr>
          <w:rFonts w:ascii="Palatino Linotype" w:hAnsi="Palatino Linotype" w:cs="Tahoma"/>
          <w:bCs/>
          <w:iCs/>
          <w:sz w:val="24"/>
          <w:lang w:val="es-ES"/>
        </w:rPr>
        <w:t xml:space="preserve"> no había emitido una respuesta de la cual se pudiera inconformar el </w:t>
      </w:r>
      <w:r w:rsidR="00EA23B3" w:rsidRPr="00B97263">
        <w:rPr>
          <w:rFonts w:ascii="Palatino Linotype" w:hAnsi="Palatino Linotype" w:cs="Tahoma"/>
          <w:b/>
          <w:iCs/>
          <w:sz w:val="24"/>
          <w:lang w:val="es-ES"/>
        </w:rPr>
        <w:t>RECURRENTE</w:t>
      </w:r>
      <w:r w:rsidRPr="00B97263">
        <w:rPr>
          <w:rFonts w:ascii="Palatino Linotype" w:hAnsi="Palatino Linotype" w:cs="Tahoma"/>
          <w:bCs/>
          <w:iCs/>
          <w:sz w:val="24"/>
          <w:lang w:val="es-ES"/>
        </w:rPr>
        <w:t xml:space="preserve">. </w:t>
      </w:r>
    </w:p>
    <w:p w14:paraId="5E4FF2D8" w14:textId="77777777" w:rsidR="00B97263" w:rsidRPr="00B97263" w:rsidRDefault="00B97263" w:rsidP="00B97263">
      <w:pPr>
        <w:pStyle w:val="Prrafodelista"/>
        <w:rPr>
          <w:rFonts w:ascii="Palatino Linotype" w:hAnsi="Palatino Linotype" w:cs="Arial"/>
          <w:sz w:val="24"/>
        </w:rPr>
      </w:pPr>
    </w:p>
    <w:p w14:paraId="0D3250BC" w14:textId="12E79C26" w:rsidR="00B97263" w:rsidRPr="00B97263" w:rsidRDefault="00B97263" w:rsidP="000F3425">
      <w:pPr>
        <w:pStyle w:val="Prrafodelista"/>
        <w:numPr>
          <w:ilvl w:val="0"/>
          <w:numId w:val="1"/>
        </w:numPr>
        <w:tabs>
          <w:tab w:val="left" w:pos="426"/>
        </w:tabs>
        <w:autoSpaceDE w:val="0"/>
        <w:autoSpaceDN w:val="0"/>
        <w:adjustRightInd w:val="0"/>
        <w:spacing w:before="120" w:after="120" w:line="360" w:lineRule="auto"/>
        <w:ind w:left="0" w:firstLine="0"/>
        <w:jc w:val="both"/>
        <w:rPr>
          <w:rFonts w:ascii="Palatino Linotype" w:hAnsi="Palatino Linotype" w:cs="Arial"/>
          <w:sz w:val="24"/>
        </w:rPr>
      </w:pPr>
      <w:r>
        <w:rPr>
          <w:rFonts w:ascii="Palatino Linotype" w:hAnsi="Palatino Linotype" w:cs="Arial"/>
          <w:sz w:val="24"/>
        </w:rPr>
        <w:t xml:space="preserve">Siendo procedente en el presente asunto que las áreas competentes de este Instituto, continúen el procedimiento correspondiente ante el incumplimiento del </w:t>
      </w:r>
      <w:r w:rsidRPr="00B97263">
        <w:rPr>
          <w:rFonts w:ascii="Palatino Linotype" w:hAnsi="Palatino Linotype" w:cs="Arial"/>
          <w:b/>
          <w:sz w:val="24"/>
        </w:rPr>
        <w:t>SUJETO OBLIGADO</w:t>
      </w:r>
      <w:r>
        <w:rPr>
          <w:rFonts w:ascii="Palatino Linotype" w:hAnsi="Palatino Linotype" w:cs="Arial"/>
          <w:sz w:val="24"/>
        </w:rPr>
        <w:t>. No obstante se dejan a salvo los derechos del particular para interponer nuevas solicitudes de información que colmen sus pretensiones, ante los sujetos obligados que considere.</w:t>
      </w:r>
    </w:p>
    <w:p w14:paraId="70D8AC9F" w14:textId="77777777" w:rsidR="00CA2D4E" w:rsidRPr="00B97263" w:rsidRDefault="00CA2D4E" w:rsidP="000F3425">
      <w:pPr>
        <w:pStyle w:val="Prrafodelista"/>
        <w:tabs>
          <w:tab w:val="left" w:pos="426"/>
        </w:tabs>
        <w:autoSpaceDE w:val="0"/>
        <w:autoSpaceDN w:val="0"/>
        <w:adjustRightInd w:val="0"/>
        <w:spacing w:before="120" w:after="120" w:line="360" w:lineRule="auto"/>
        <w:ind w:left="0"/>
        <w:jc w:val="both"/>
        <w:rPr>
          <w:rFonts w:ascii="Palatino Linotype" w:hAnsi="Palatino Linotype" w:cs="Arial"/>
          <w:sz w:val="24"/>
        </w:rPr>
      </w:pPr>
    </w:p>
    <w:p w14:paraId="43633C42" w14:textId="3B5ECAD3" w:rsidR="00CA2D4E" w:rsidRDefault="00CA2D4E" w:rsidP="000F3425">
      <w:pPr>
        <w:pStyle w:val="Prrafodelista"/>
        <w:numPr>
          <w:ilvl w:val="0"/>
          <w:numId w:val="1"/>
        </w:numPr>
        <w:tabs>
          <w:tab w:val="left" w:pos="426"/>
        </w:tabs>
        <w:spacing w:line="360" w:lineRule="auto"/>
        <w:ind w:left="0" w:firstLine="0"/>
        <w:jc w:val="both"/>
        <w:rPr>
          <w:rFonts w:ascii="Palatino Linotype" w:hAnsi="Palatino Linotype" w:cs="Arial"/>
          <w:sz w:val="24"/>
        </w:rPr>
      </w:pPr>
      <w:r w:rsidRPr="00B97263">
        <w:rPr>
          <w:rFonts w:ascii="Palatino Linotype" w:hAnsi="Palatino Linotype" w:cs="Arial"/>
          <w:sz w:val="24"/>
        </w:rPr>
        <w:lastRenderedPageBreak/>
        <w:t>Bajo esas consideraciones, el recurso de revisión actualiza la causal de sobreseimiento establecida en la fracción IV</w:t>
      </w:r>
      <w:r w:rsidR="00EA23B3" w:rsidRPr="00B97263">
        <w:rPr>
          <w:rFonts w:ascii="Palatino Linotype" w:hAnsi="Palatino Linotype" w:cs="Arial"/>
          <w:sz w:val="24"/>
        </w:rPr>
        <w:t>,</w:t>
      </w:r>
      <w:r w:rsidRPr="00B97263">
        <w:rPr>
          <w:rFonts w:ascii="Palatino Linotype" w:hAnsi="Palatino Linotype" w:cs="Arial"/>
          <w:sz w:val="24"/>
        </w:rPr>
        <w:t xml:space="preserve"> del artículo 192, en relación a la fracción III</w:t>
      </w:r>
      <w:r w:rsidR="00EA23B3" w:rsidRPr="00B97263">
        <w:rPr>
          <w:rFonts w:ascii="Palatino Linotype" w:hAnsi="Palatino Linotype" w:cs="Arial"/>
          <w:sz w:val="24"/>
        </w:rPr>
        <w:t>,</w:t>
      </w:r>
      <w:r w:rsidRPr="00B97263">
        <w:rPr>
          <w:rFonts w:ascii="Palatino Linotype" w:hAnsi="Palatino Linotype" w:cs="Arial"/>
          <w:sz w:val="24"/>
        </w:rPr>
        <w:t xml:space="preserve"> del artículo 191, ambos de la Ley de Transparencia y Acceso a la Información Pública del Estado de México y Municipios.</w:t>
      </w:r>
    </w:p>
    <w:p w14:paraId="0DCCA481" w14:textId="77777777" w:rsidR="00AC5006" w:rsidRPr="00B97263" w:rsidRDefault="00AC5006" w:rsidP="00AC5006">
      <w:pPr>
        <w:pStyle w:val="Prrafodelista"/>
        <w:tabs>
          <w:tab w:val="left" w:pos="426"/>
        </w:tabs>
        <w:spacing w:line="360" w:lineRule="auto"/>
        <w:ind w:left="0"/>
        <w:jc w:val="both"/>
        <w:rPr>
          <w:rFonts w:ascii="Palatino Linotype" w:hAnsi="Palatino Linotype" w:cs="Arial"/>
          <w:sz w:val="24"/>
        </w:rPr>
      </w:pPr>
    </w:p>
    <w:p w14:paraId="621072D7" w14:textId="77777777" w:rsidR="00B97263" w:rsidRPr="00B97263" w:rsidRDefault="00CA2D4E" w:rsidP="00B97263">
      <w:pPr>
        <w:pStyle w:val="Prrafodelista"/>
        <w:numPr>
          <w:ilvl w:val="0"/>
          <w:numId w:val="1"/>
        </w:numPr>
        <w:tabs>
          <w:tab w:val="left" w:pos="426"/>
        </w:tabs>
        <w:spacing w:line="360" w:lineRule="auto"/>
        <w:ind w:left="0" w:firstLine="0"/>
        <w:jc w:val="both"/>
        <w:rPr>
          <w:rFonts w:ascii="Palatino Linotype" w:hAnsi="Palatino Linotype"/>
          <w:b/>
          <w:sz w:val="24"/>
        </w:rPr>
      </w:pPr>
      <w:r w:rsidRPr="00B97263">
        <w:rPr>
          <w:rFonts w:ascii="Palatino Linotype" w:hAnsi="Palatino Linotype" w:cs="Arial"/>
          <w:color w:val="222222"/>
          <w:sz w:val="24"/>
          <w:lang w:eastAsia="es-MX"/>
        </w:rPr>
        <w:t xml:space="preserve">Por lo anteriormente expuesto y fundado, este </w:t>
      </w:r>
      <w:r w:rsidRPr="00B97263">
        <w:rPr>
          <w:rFonts w:ascii="Palatino Linotype" w:hAnsi="Palatino Linotype" w:cs="Arial"/>
          <w:b/>
          <w:bCs/>
          <w:color w:val="222222"/>
          <w:sz w:val="24"/>
          <w:lang w:eastAsia="es-MX"/>
        </w:rPr>
        <w:t>ÓRGANO GARANTE</w:t>
      </w:r>
      <w:r w:rsidRPr="00B97263">
        <w:rPr>
          <w:rFonts w:ascii="Palatino Linotype" w:hAnsi="Palatino Linotype" w:cs="Arial"/>
          <w:color w:val="222222"/>
          <w:sz w:val="24"/>
          <w:lang w:eastAsia="es-MX"/>
        </w:rPr>
        <w:t xml:space="preserve"> emite los siguientes:</w:t>
      </w:r>
      <w:r w:rsidR="00EA23B3" w:rsidRPr="00B97263">
        <w:rPr>
          <w:rFonts w:ascii="Palatino Linotype" w:hAnsi="Palatino Linotype" w:cs="Arial"/>
          <w:color w:val="222222"/>
          <w:sz w:val="24"/>
          <w:lang w:eastAsia="es-MX"/>
        </w:rPr>
        <w:t xml:space="preserve"> </w:t>
      </w:r>
      <w:bookmarkStart w:id="5" w:name="_Toc4061692"/>
      <w:bookmarkStart w:id="6" w:name="_Toc486525261"/>
      <w:bookmarkStart w:id="7" w:name="_Toc445745148"/>
      <w:bookmarkStart w:id="8" w:name="_Toc447699324"/>
      <w:bookmarkStart w:id="9" w:name="_Toc87549684"/>
    </w:p>
    <w:p w14:paraId="56C55E19" w14:textId="2C129D97" w:rsidR="00CA2D4E" w:rsidRPr="00B97263" w:rsidRDefault="00CA2D4E" w:rsidP="00B97263">
      <w:pPr>
        <w:pStyle w:val="Prrafodelista"/>
        <w:tabs>
          <w:tab w:val="left" w:pos="426"/>
        </w:tabs>
        <w:spacing w:line="360" w:lineRule="auto"/>
        <w:ind w:left="0"/>
        <w:jc w:val="center"/>
        <w:rPr>
          <w:rFonts w:ascii="Palatino Linotype" w:hAnsi="Palatino Linotype"/>
          <w:b/>
          <w:sz w:val="24"/>
        </w:rPr>
      </w:pPr>
      <w:r w:rsidRPr="00B97263">
        <w:rPr>
          <w:rFonts w:ascii="Palatino Linotype" w:hAnsi="Palatino Linotype"/>
          <w:b/>
          <w:sz w:val="24"/>
        </w:rPr>
        <w:t>R E S O L U T I V O S</w:t>
      </w:r>
      <w:bookmarkEnd w:id="5"/>
      <w:bookmarkEnd w:id="6"/>
      <w:bookmarkEnd w:id="7"/>
      <w:bookmarkEnd w:id="8"/>
      <w:bookmarkEnd w:id="9"/>
    </w:p>
    <w:p w14:paraId="003B096B" w14:textId="77777777" w:rsidR="00443247" w:rsidRDefault="00443247" w:rsidP="00CA2D4E">
      <w:pPr>
        <w:pStyle w:val="Prrafodelista"/>
        <w:widowControl w:val="0"/>
        <w:tabs>
          <w:tab w:val="left" w:pos="1701"/>
        </w:tabs>
        <w:autoSpaceDE w:val="0"/>
        <w:autoSpaceDN w:val="0"/>
        <w:adjustRightInd w:val="0"/>
        <w:spacing w:before="120" w:line="360" w:lineRule="auto"/>
        <w:ind w:left="0"/>
        <w:jc w:val="both"/>
        <w:rPr>
          <w:rFonts w:ascii="Palatino Linotype" w:hAnsi="Palatino Linotype" w:cs="Arial"/>
          <w:b/>
          <w:sz w:val="24"/>
        </w:rPr>
      </w:pPr>
      <w:bookmarkStart w:id="10" w:name="_Toc450120669"/>
      <w:bookmarkStart w:id="11" w:name="_Toc460947011"/>
    </w:p>
    <w:p w14:paraId="5ED9A447" w14:textId="7859CF72" w:rsidR="00CA2D4E" w:rsidRPr="00B97263" w:rsidRDefault="00CA2D4E" w:rsidP="00CA2D4E">
      <w:pPr>
        <w:pStyle w:val="Prrafodelista"/>
        <w:widowControl w:val="0"/>
        <w:tabs>
          <w:tab w:val="left" w:pos="1701"/>
        </w:tabs>
        <w:autoSpaceDE w:val="0"/>
        <w:autoSpaceDN w:val="0"/>
        <w:adjustRightInd w:val="0"/>
        <w:spacing w:before="120" w:line="360" w:lineRule="auto"/>
        <w:ind w:left="0"/>
        <w:jc w:val="both"/>
        <w:rPr>
          <w:rFonts w:ascii="Palatino Linotype" w:hAnsi="Palatino Linotype"/>
          <w:sz w:val="24"/>
        </w:rPr>
      </w:pPr>
      <w:r w:rsidRPr="00B97263">
        <w:rPr>
          <w:rFonts w:ascii="Palatino Linotype" w:hAnsi="Palatino Linotype" w:cs="Arial"/>
          <w:b/>
          <w:sz w:val="24"/>
        </w:rPr>
        <w:t xml:space="preserve">PRIMERO. </w:t>
      </w:r>
      <w:r w:rsidRPr="00B97263">
        <w:rPr>
          <w:rFonts w:ascii="Palatino Linotype" w:hAnsi="Palatino Linotype"/>
          <w:sz w:val="24"/>
        </w:rPr>
        <w:t xml:space="preserve">Se </w:t>
      </w:r>
      <w:r w:rsidRPr="00B97263">
        <w:rPr>
          <w:rFonts w:ascii="Palatino Linotype" w:hAnsi="Palatino Linotype"/>
          <w:b/>
          <w:sz w:val="24"/>
        </w:rPr>
        <w:t>SOBRESEE</w:t>
      </w:r>
      <w:r w:rsidRPr="00B97263">
        <w:rPr>
          <w:rFonts w:ascii="Palatino Linotype" w:hAnsi="Palatino Linotype"/>
          <w:sz w:val="24"/>
        </w:rPr>
        <w:t xml:space="preserve"> el </w:t>
      </w:r>
      <w:r w:rsidR="00B97263">
        <w:rPr>
          <w:rFonts w:ascii="Palatino Linotype" w:hAnsi="Palatino Linotype"/>
          <w:sz w:val="24"/>
        </w:rPr>
        <w:t>Recurso de R</w:t>
      </w:r>
      <w:r w:rsidRPr="00B97263">
        <w:rPr>
          <w:rFonts w:ascii="Palatino Linotype" w:hAnsi="Palatino Linotype"/>
          <w:sz w:val="24"/>
        </w:rPr>
        <w:t xml:space="preserve">evisión número </w:t>
      </w:r>
      <w:r w:rsidR="00C52D81" w:rsidRPr="00B97263">
        <w:rPr>
          <w:rFonts w:ascii="Palatino Linotype" w:hAnsi="Palatino Linotype"/>
          <w:b/>
          <w:sz w:val="24"/>
        </w:rPr>
        <w:t>03073/INFOEM/ICR-37/IP/RR/2024</w:t>
      </w:r>
      <w:r w:rsidRPr="00B97263">
        <w:rPr>
          <w:rFonts w:ascii="Palatino Linotype" w:hAnsi="Palatino Linotype"/>
          <w:b/>
          <w:sz w:val="24"/>
        </w:rPr>
        <w:t xml:space="preserve">, </w:t>
      </w:r>
      <w:r w:rsidRPr="00B97263">
        <w:rPr>
          <w:rFonts w:ascii="Palatino Linotype" w:hAnsi="Palatino Linotype"/>
          <w:sz w:val="24"/>
        </w:rPr>
        <w:t>conforme al artículo 192</w:t>
      </w:r>
      <w:r w:rsidR="00A545D7" w:rsidRPr="00B97263">
        <w:rPr>
          <w:rFonts w:ascii="Palatino Linotype" w:hAnsi="Palatino Linotype"/>
          <w:sz w:val="24"/>
        </w:rPr>
        <w:t>,</w:t>
      </w:r>
      <w:r w:rsidRPr="00B97263">
        <w:rPr>
          <w:rFonts w:ascii="Palatino Linotype" w:hAnsi="Palatino Linotype"/>
          <w:sz w:val="24"/>
        </w:rPr>
        <w:t xml:space="preserve"> fracción IV, en relación con la fracción III, del artículo 191 de la Ley de Transparencia y Acceso a la Información Pública del Estado de México y Municipios, en términos del </w:t>
      </w:r>
      <w:r w:rsidRPr="00B97263">
        <w:rPr>
          <w:rFonts w:ascii="Palatino Linotype" w:hAnsi="Palatino Linotype"/>
          <w:b/>
          <w:bCs/>
          <w:sz w:val="24"/>
        </w:rPr>
        <w:t>Considerando</w:t>
      </w:r>
      <w:r w:rsidRPr="00B97263">
        <w:rPr>
          <w:rFonts w:ascii="Palatino Linotype" w:hAnsi="Palatino Linotype"/>
          <w:sz w:val="24"/>
        </w:rPr>
        <w:t xml:space="preserve"> </w:t>
      </w:r>
      <w:r w:rsidRPr="00B97263">
        <w:rPr>
          <w:rFonts w:ascii="Palatino Linotype" w:hAnsi="Palatino Linotype"/>
          <w:b/>
          <w:sz w:val="24"/>
        </w:rPr>
        <w:t>TERCERO</w:t>
      </w:r>
      <w:r w:rsidRPr="00B97263">
        <w:rPr>
          <w:rFonts w:ascii="Palatino Linotype" w:hAnsi="Palatino Linotype"/>
          <w:sz w:val="24"/>
        </w:rPr>
        <w:t xml:space="preserve"> de la presente resolución.</w:t>
      </w:r>
    </w:p>
    <w:p w14:paraId="5E801ED1" w14:textId="4034249C" w:rsidR="00CA2D4E" w:rsidRPr="00B97263" w:rsidRDefault="00CA2D4E" w:rsidP="00CA2D4E">
      <w:pPr>
        <w:spacing w:before="240" w:after="360" w:line="360" w:lineRule="auto"/>
        <w:jc w:val="both"/>
        <w:rPr>
          <w:rStyle w:val="Ttulo2Car"/>
          <w:rFonts w:ascii="Palatino Linotype" w:hAnsi="Palatino Linotype"/>
          <w:b/>
          <w:color w:val="000000" w:themeColor="text1"/>
          <w:sz w:val="24"/>
          <w:szCs w:val="24"/>
        </w:rPr>
      </w:pPr>
      <w:bookmarkStart w:id="12" w:name="_Toc461648590"/>
      <w:bookmarkStart w:id="13" w:name="_Toc461648682"/>
      <w:bookmarkStart w:id="14" w:name="_Toc462228049"/>
      <w:bookmarkStart w:id="15" w:name="_Toc462228129"/>
      <w:bookmarkStart w:id="16" w:name="_Toc496099789"/>
      <w:bookmarkStart w:id="17" w:name="_Toc496100166"/>
      <w:bookmarkStart w:id="18" w:name="_Toc499756977"/>
      <w:bookmarkStart w:id="19" w:name="_Toc499757020"/>
      <w:bookmarkStart w:id="20" w:name="_Toc504377974"/>
      <w:r w:rsidRPr="00B97263">
        <w:rPr>
          <w:rFonts w:ascii="Palatino Linotype" w:hAnsi="Palatino Linotype" w:cs="Arial"/>
          <w:b/>
          <w:sz w:val="24"/>
          <w:szCs w:val="24"/>
        </w:rPr>
        <w:t>SEGUNDO.</w:t>
      </w:r>
      <w:bookmarkEnd w:id="12"/>
      <w:bookmarkEnd w:id="13"/>
      <w:bookmarkEnd w:id="14"/>
      <w:bookmarkEnd w:id="15"/>
      <w:bookmarkEnd w:id="16"/>
      <w:bookmarkEnd w:id="17"/>
      <w:bookmarkEnd w:id="18"/>
      <w:bookmarkEnd w:id="19"/>
      <w:bookmarkEnd w:id="20"/>
      <w:r w:rsidRPr="00B97263">
        <w:rPr>
          <w:rStyle w:val="Ttulo2Car"/>
          <w:rFonts w:ascii="Palatino Linotype" w:hAnsi="Palatino Linotype"/>
          <w:b/>
          <w:color w:val="000000" w:themeColor="text1"/>
          <w:sz w:val="24"/>
          <w:szCs w:val="24"/>
        </w:rPr>
        <w:t xml:space="preserve"> </w:t>
      </w:r>
      <w:r w:rsidRPr="00B97263">
        <w:rPr>
          <w:rFonts w:ascii="Palatino Linotype" w:eastAsia="MS Mincho" w:hAnsi="Palatino Linotype" w:cs="Arial"/>
          <w:b/>
          <w:bCs/>
          <w:color w:val="000000" w:themeColor="text1"/>
          <w:sz w:val="24"/>
          <w:szCs w:val="24"/>
          <w:shd w:val="clear" w:color="auto" w:fill="FFFFFF"/>
        </w:rPr>
        <w:t xml:space="preserve">Remítase </w:t>
      </w:r>
      <w:r w:rsidRPr="00B97263">
        <w:rPr>
          <w:rFonts w:ascii="Palatino Linotype" w:eastAsia="MS Mincho" w:hAnsi="Palatino Linotype"/>
          <w:color w:val="000000" w:themeColor="text1"/>
          <w:sz w:val="24"/>
          <w:szCs w:val="24"/>
          <w:shd w:val="clear" w:color="auto" w:fill="FFFFFF"/>
        </w:rPr>
        <w:t>al Titular de la Unidad de Transparencia del</w:t>
      </w:r>
      <w:r w:rsidRPr="00B97263">
        <w:rPr>
          <w:rFonts w:ascii="Palatino Linotype" w:eastAsia="MS Mincho" w:hAnsi="Palatino Linotype"/>
          <w:b/>
          <w:bCs/>
          <w:color w:val="000000" w:themeColor="text1"/>
          <w:sz w:val="24"/>
          <w:szCs w:val="24"/>
          <w:shd w:val="clear" w:color="auto" w:fill="FFFFFF"/>
        </w:rPr>
        <w:t xml:space="preserve"> SUJETO OBLIGADO</w:t>
      </w:r>
      <w:r w:rsidRPr="00B97263">
        <w:rPr>
          <w:rFonts w:ascii="Palatino Linotype" w:eastAsia="MS Mincho" w:hAnsi="Palatino Linotype"/>
          <w:color w:val="000000" w:themeColor="text1"/>
          <w:sz w:val="24"/>
          <w:szCs w:val="24"/>
          <w:shd w:val="clear" w:color="auto" w:fill="FFFFFF"/>
        </w:rPr>
        <w:t xml:space="preserve"> vía Sistema de Acceso a Información Mexiquense </w:t>
      </w:r>
      <w:r w:rsidR="00EA23B3" w:rsidRPr="00B97263">
        <w:rPr>
          <w:rFonts w:ascii="Palatino Linotype" w:eastAsia="MS Mincho" w:hAnsi="Palatino Linotype"/>
          <w:color w:val="000000" w:themeColor="text1"/>
          <w:sz w:val="24"/>
          <w:szCs w:val="24"/>
          <w:shd w:val="clear" w:color="auto" w:fill="FFFFFF"/>
        </w:rPr>
        <w:t>(</w:t>
      </w:r>
      <w:r w:rsidRPr="00B97263">
        <w:rPr>
          <w:rFonts w:ascii="Palatino Linotype" w:eastAsia="MS Mincho" w:hAnsi="Palatino Linotype"/>
          <w:color w:val="000000" w:themeColor="text1"/>
          <w:sz w:val="24"/>
          <w:szCs w:val="24"/>
          <w:shd w:val="clear" w:color="auto" w:fill="FFFFFF"/>
        </w:rPr>
        <w:t>SAIMEX</w:t>
      </w:r>
      <w:r w:rsidR="00EA23B3" w:rsidRPr="00B97263">
        <w:rPr>
          <w:rFonts w:ascii="Palatino Linotype" w:eastAsia="MS Mincho" w:hAnsi="Palatino Linotype"/>
          <w:color w:val="000000" w:themeColor="text1"/>
          <w:sz w:val="24"/>
          <w:szCs w:val="24"/>
          <w:shd w:val="clear" w:color="auto" w:fill="FFFFFF"/>
        </w:rPr>
        <w:t>)</w:t>
      </w:r>
      <w:r w:rsidRPr="00B97263">
        <w:rPr>
          <w:rFonts w:ascii="Palatino Linotype" w:eastAsia="MS Mincho" w:hAnsi="Palatino Linotype"/>
          <w:color w:val="000000" w:themeColor="text1"/>
          <w:sz w:val="24"/>
          <w:szCs w:val="24"/>
          <w:shd w:val="clear" w:color="auto" w:fill="FFFFFF"/>
        </w:rPr>
        <w:t>, la presente resolución</w:t>
      </w:r>
      <w:r w:rsidR="00B97263">
        <w:rPr>
          <w:rFonts w:ascii="Palatino Linotype" w:eastAsia="MS Mincho" w:hAnsi="Palatino Linotype"/>
          <w:color w:val="000000" w:themeColor="text1"/>
          <w:sz w:val="24"/>
          <w:szCs w:val="24"/>
          <w:shd w:val="clear" w:color="auto" w:fill="FFFFFF"/>
        </w:rPr>
        <w:t xml:space="preserve"> para su conocimiento</w:t>
      </w:r>
      <w:r w:rsidRPr="00B97263">
        <w:rPr>
          <w:rFonts w:ascii="Palatino Linotype" w:eastAsia="MS Mincho" w:hAnsi="Palatino Linotype"/>
          <w:color w:val="000000" w:themeColor="text1"/>
          <w:sz w:val="24"/>
          <w:szCs w:val="24"/>
          <w:shd w:val="clear" w:color="auto" w:fill="FFFFFF"/>
        </w:rPr>
        <w:t xml:space="preserve">. </w:t>
      </w:r>
    </w:p>
    <w:p w14:paraId="742B2EC2" w14:textId="4DEBE3DE" w:rsidR="00CA2D4E" w:rsidRPr="00B97263" w:rsidRDefault="00CA2D4E" w:rsidP="00CA2D4E">
      <w:pPr>
        <w:spacing w:line="360" w:lineRule="auto"/>
        <w:jc w:val="both"/>
        <w:rPr>
          <w:rFonts w:ascii="Palatino Linotype" w:hAnsi="Palatino Linotype"/>
          <w:sz w:val="24"/>
          <w:szCs w:val="24"/>
        </w:rPr>
      </w:pPr>
      <w:bookmarkStart w:id="21" w:name="_Toc460947013"/>
      <w:bookmarkEnd w:id="10"/>
      <w:bookmarkEnd w:id="11"/>
      <w:r w:rsidRPr="00B97263">
        <w:rPr>
          <w:rFonts w:ascii="Palatino Linotype" w:hAnsi="Palatino Linotype" w:cs="Arial"/>
          <w:b/>
          <w:sz w:val="24"/>
          <w:szCs w:val="24"/>
        </w:rPr>
        <w:t xml:space="preserve">TERCERO. </w:t>
      </w:r>
      <w:r w:rsidRPr="00B97263">
        <w:rPr>
          <w:rFonts w:ascii="Palatino Linotype" w:hAnsi="Palatino Linotype"/>
          <w:b/>
          <w:bCs/>
          <w:color w:val="222222"/>
          <w:sz w:val="24"/>
          <w:szCs w:val="24"/>
          <w:lang w:val="es-ES"/>
        </w:rPr>
        <w:t xml:space="preserve">Notifíquese </w:t>
      </w:r>
      <w:r w:rsidRPr="00B97263">
        <w:rPr>
          <w:rFonts w:ascii="Palatino Linotype" w:hAnsi="Palatino Linotype"/>
          <w:color w:val="222222"/>
          <w:sz w:val="24"/>
          <w:szCs w:val="24"/>
          <w:lang w:val="es-ES"/>
        </w:rPr>
        <w:t>a</w:t>
      </w:r>
      <w:r w:rsidRPr="00B97263">
        <w:rPr>
          <w:rFonts w:ascii="Palatino Linotype" w:hAnsi="Palatino Linotype"/>
          <w:sz w:val="24"/>
          <w:szCs w:val="24"/>
        </w:rPr>
        <w:t>l</w:t>
      </w:r>
      <w:r w:rsidRPr="00B97263">
        <w:rPr>
          <w:rFonts w:ascii="Palatino Linotype" w:hAnsi="Palatino Linotype"/>
          <w:b/>
          <w:sz w:val="24"/>
          <w:szCs w:val="24"/>
        </w:rPr>
        <w:t xml:space="preserve"> RECURRENTE </w:t>
      </w:r>
      <w:r w:rsidRPr="00B97263">
        <w:rPr>
          <w:rFonts w:ascii="Palatino Linotype" w:hAnsi="Palatino Linotype"/>
          <w:sz w:val="24"/>
          <w:szCs w:val="24"/>
        </w:rPr>
        <w:t xml:space="preserve">la presente </w:t>
      </w:r>
      <w:r w:rsidR="00B97263">
        <w:rPr>
          <w:rFonts w:ascii="Palatino Linotype" w:hAnsi="Palatino Linotype"/>
          <w:sz w:val="24"/>
          <w:szCs w:val="24"/>
        </w:rPr>
        <w:t>R</w:t>
      </w:r>
      <w:r w:rsidRPr="00B97263">
        <w:rPr>
          <w:rFonts w:ascii="Palatino Linotype" w:hAnsi="Palatino Linotype"/>
          <w:sz w:val="24"/>
          <w:szCs w:val="24"/>
        </w:rPr>
        <w:t>esolución</w:t>
      </w:r>
      <w:r w:rsidR="00D303DC">
        <w:rPr>
          <w:rFonts w:ascii="Palatino Linotype" w:hAnsi="Palatino Linotype"/>
          <w:sz w:val="24"/>
          <w:szCs w:val="24"/>
        </w:rPr>
        <w:t xml:space="preserve"> vía SAIMEX</w:t>
      </w:r>
      <w:r w:rsidRPr="00B97263">
        <w:rPr>
          <w:rFonts w:ascii="Palatino Linotype" w:hAnsi="Palatino Linotype"/>
          <w:sz w:val="24"/>
          <w:szCs w:val="24"/>
        </w:rPr>
        <w:t>.</w:t>
      </w:r>
    </w:p>
    <w:p w14:paraId="37ADCBD4" w14:textId="77777777" w:rsidR="00CA2D4E" w:rsidRPr="00B97263" w:rsidRDefault="00CA2D4E" w:rsidP="00CA2D4E">
      <w:pPr>
        <w:spacing w:line="360" w:lineRule="auto"/>
        <w:jc w:val="both"/>
        <w:rPr>
          <w:rFonts w:ascii="Palatino Linotype" w:hAnsi="Palatino Linotype"/>
          <w:sz w:val="24"/>
          <w:szCs w:val="24"/>
        </w:rPr>
      </w:pPr>
    </w:p>
    <w:bookmarkEnd w:id="21"/>
    <w:p w14:paraId="21714787" w14:textId="6A3554AC" w:rsidR="00CA2D4E" w:rsidRDefault="00CA2D4E" w:rsidP="00CA2D4E">
      <w:pPr>
        <w:spacing w:line="360" w:lineRule="auto"/>
        <w:jc w:val="both"/>
        <w:rPr>
          <w:rFonts w:ascii="Palatino Linotype" w:eastAsia="MS Mincho" w:hAnsi="Palatino Linotype"/>
          <w:sz w:val="24"/>
          <w:szCs w:val="24"/>
          <w:lang w:val="es-ES"/>
        </w:rPr>
      </w:pPr>
      <w:r w:rsidRPr="00B97263">
        <w:rPr>
          <w:rFonts w:ascii="Palatino Linotype" w:eastAsia="MS Mincho" w:hAnsi="Palatino Linotype"/>
          <w:b/>
          <w:sz w:val="24"/>
          <w:szCs w:val="24"/>
        </w:rPr>
        <w:t>CUARTO.</w:t>
      </w:r>
      <w:r w:rsidRPr="00B97263">
        <w:rPr>
          <w:rFonts w:ascii="Palatino Linotype" w:eastAsia="MS Mincho" w:hAnsi="Palatino Linotype"/>
          <w:sz w:val="24"/>
          <w:szCs w:val="24"/>
        </w:rPr>
        <w:t xml:space="preserve"> </w:t>
      </w:r>
      <w:r w:rsidRPr="00B97263">
        <w:rPr>
          <w:rFonts w:ascii="Palatino Linotype" w:eastAsia="MS Mincho" w:hAnsi="Palatino Linotype"/>
          <w:sz w:val="24"/>
          <w:szCs w:val="24"/>
          <w:lang w:val="es-ES"/>
        </w:rPr>
        <w:t>Se hace del conocimiento de</w:t>
      </w:r>
      <w:r w:rsidR="00EA23B3" w:rsidRPr="00B97263">
        <w:rPr>
          <w:rFonts w:ascii="Palatino Linotype" w:eastAsia="MS Mincho" w:hAnsi="Palatino Linotype"/>
          <w:sz w:val="24"/>
          <w:szCs w:val="24"/>
          <w:lang w:val="es-ES"/>
        </w:rPr>
        <w:t>l</w:t>
      </w:r>
      <w:r w:rsidRPr="00B97263">
        <w:rPr>
          <w:rFonts w:ascii="Palatino Linotype" w:eastAsia="MS Mincho" w:hAnsi="Palatino Linotype"/>
          <w:sz w:val="24"/>
          <w:szCs w:val="24"/>
          <w:lang w:val="es-ES"/>
        </w:rPr>
        <w:t xml:space="preserve"> </w:t>
      </w:r>
      <w:r w:rsidRPr="00B97263">
        <w:rPr>
          <w:rFonts w:ascii="Palatino Linotype" w:eastAsia="Calibri" w:hAnsi="Palatino Linotype" w:cs="Tahoma"/>
          <w:b/>
          <w:sz w:val="24"/>
          <w:szCs w:val="24"/>
          <w:lang w:eastAsia="en-US"/>
        </w:rPr>
        <w:t>RECURRENTE</w:t>
      </w:r>
      <w:r w:rsidRPr="00B97263">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w:t>
      </w:r>
      <w:r w:rsidR="00AC5006">
        <w:rPr>
          <w:rFonts w:ascii="Palatino Linotype" w:eastAsia="MS Mincho" w:hAnsi="Palatino Linotype"/>
          <w:sz w:val="24"/>
          <w:szCs w:val="24"/>
          <w:lang w:val="es-ES"/>
        </w:rPr>
        <w:lastRenderedPageBreak/>
        <w:t>algún perjuicio podrá impugnar</w:t>
      </w:r>
      <w:r w:rsidRPr="00B97263">
        <w:rPr>
          <w:rFonts w:ascii="Palatino Linotype" w:eastAsia="MS Mincho" w:hAnsi="Palatino Linotype"/>
          <w:sz w:val="24"/>
          <w:szCs w:val="24"/>
          <w:lang w:val="es-ES"/>
        </w:rPr>
        <w:t> </w:t>
      </w:r>
      <w:r w:rsidRPr="00B97263">
        <w:rPr>
          <w:rFonts w:ascii="Palatino Linotype" w:eastAsia="MS Mincho" w:hAnsi="Palatino Linotype"/>
          <w:bCs/>
          <w:sz w:val="24"/>
          <w:szCs w:val="24"/>
          <w:lang w:val="es-ES"/>
        </w:rPr>
        <w:t>vía juicio de amparo</w:t>
      </w:r>
      <w:r w:rsidRPr="00B97263">
        <w:rPr>
          <w:rFonts w:ascii="Palatino Linotype" w:eastAsia="MS Mincho" w:hAnsi="Palatino Linotype"/>
          <w:sz w:val="24"/>
          <w:szCs w:val="24"/>
          <w:lang w:val="es-ES"/>
        </w:rPr>
        <w:t> en los términos de las leyes aplicables.</w:t>
      </w:r>
      <w:bookmarkStart w:id="22" w:name="_Toc466371865"/>
      <w:bookmarkStart w:id="23" w:name="_Toc466377653"/>
    </w:p>
    <w:p w14:paraId="4641D1F1" w14:textId="77777777" w:rsidR="00C45896" w:rsidRPr="00B97263" w:rsidRDefault="00C45896" w:rsidP="00CA2D4E">
      <w:pPr>
        <w:spacing w:line="360" w:lineRule="auto"/>
        <w:jc w:val="both"/>
        <w:rPr>
          <w:rFonts w:ascii="Palatino Linotype" w:eastAsia="MS Mincho" w:hAnsi="Palatino Linotype"/>
          <w:sz w:val="24"/>
          <w:szCs w:val="24"/>
          <w:lang w:val="es-ES"/>
        </w:rPr>
      </w:pPr>
    </w:p>
    <w:bookmarkEnd w:id="22"/>
    <w:bookmarkEnd w:id="23"/>
    <w:p w14:paraId="0E3D9109" w14:textId="77777777" w:rsidR="004F0242" w:rsidRPr="004F0242" w:rsidRDefault="004F0242" w:rsidP="004F0242">
      <w:pPr>
        <w:spacing w:line="360" w:lineRule="auto"/>
        <w:ind w:firstLine="1"/>
        <w:jc w:val="both"/>
        <w:rPr>
          <w:rFonts w:ascii="Palatino Linotype" w:hAnsi="Palatino Linotype"/>
          <w:sz w:val="24"/>
        </w:rPr>
      </w:pPr>
      <w:r w:rsidRPr="004F0242">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(28) DE AGOSTO DE DOS MIL VEINTICUATRO, ANTE EL SECRETARIO TÉCNICO DEL PLENO ALEXIS TAPIA RAMÍREZ. </w:t>
      </w:r>
    </w:p>
    <w:p w14:paraId="0DD1C0DE" w14:textId="77777777" w:rsidR="00CA2D4E" w:rsidRPr="00B97263" w:rsidRDefault="00CA2D4E" w:rsidP="00CA2D4E">
      <w:pPr>
        <w:spacing w:before="240" w:after="240" w:line="360" w:lineRule="auto"/>
        <w:ind w:firstLine="1"/>
        <w:jc w:val="both"/>
        <w:rPr>
          <w:rFonts w:ascii="Palatino Linotype" w:hAnsi="Palatino Linotype"/>
          <w:sz w:val="24"/>
          <w:szCs w:val="24"/>
        </w:rPr>
      </w:pPr>
    </w:p>
    <w:p w14:paraId="441D7E7E" w14:textId="77777777" w:rsidR="00EA23B3" w:rsidRPr="00B97263" w:rsidRDefault="00EA23B3">
      <w:pPr>
        <w:rPr>
          <w:rFonts w:ascii="Palatino Linotype" w:hAnsi="Palatino Linotype"/>
          <w:sz w:val="24"/>
          <w:szCs w:val="24"/>
        </w:rPr>
      </w:pPr>
    </w:p>
    <w:sectPr w:rsidR="00EA23B3" w:rsidRPr="00B97263" w:rsidSect="00AC5006">
      <w:headerReference w:type="even" r:id="rId8"/>
      <w:headerReference w:type="default" r:id="rId9"/>
      <w:footerReference w:type="default" r:id="rId10"/>
      <w:headerReference w:type="first" r:id="rId11"/>
      <w:footerReference w:type="first" r:id="rId12"/>
      <w:pgSz w:w="12240" w:h="15840"/>
      <w:pgMar w:top="80" w:right="1183"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AB18" w14:textId="77777777" w:rsidR="00F34517" w:rsidRDefault="00F34517" w:rsidP="00CA2D4E">
      <w:r>
        <w:separator/>
      </w:r>
    </w:p>
  </w:endnote>
  <w:endnote w:type="continuationSeparator" w:id="0">
    <w:p w14:paraId="66989DD2" w14:textId="77777777" w:rsidR="00F34517" w:rsidRDefault="00F34517" w:rsidP="00CA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9613"/>
      <w:docPartObj>
        <w:docPartGallery w:val="AutoText"/>
      </w:docPartObj>
    </w:sdtPr>
    <w:sdtEndPr/>
    <w:sdtContent>
      <w:sdt>
        <w:sdtPr>
          <w:id w:val="743845464"/>
          <w:docPartObj>
            <w:docPartGallery w:val="AutoText"/>
          </w:docPartObj>
        </w:sdtPr>
        <w:sdtEndPr/>
        <w:sdtContent>
          <w:p w14:paraId="016E0330" w14:textId="77777777" w:rsidR="00FE335E" w:rsidRDefault="00FE335E">
            <w:pPr>
              <w:pStyle w:val="Piedepgina"/>
              <w:jc w:val="right"/>
            </w:pPr>
          </w:p>
          <w:p w14:paraId="747CF278" w14:textId="77777777" w:rsidR="00FE335E" w:rsidRDefault="00FE335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112C0">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112C0">
              <w:rPr>
                <w:b/>
                <w:bCs/>
                <w:noProof/>
              </w:rPr>
              <w:t>15</w:t>
            </w:r>
            <w:r>
              <w:rPr>
                <w:b/>
                <w:bCs/>
                <w:sz w:val="24"/>
                <w:szCs w:val="24"/>
              </w:rPr>
              <w:fldChar w:fldCharType="end"/>
            </w:r>
          </w:p>
        </w:sdtContent>
      </w:sdt>
    </w:sdtContent>
  </w:sdt>
  <w:p w14:paraId="786EE1F9" w14:textId="77777777" w:rsidR="00FE335E" w:rsidRDefault="00FE335E">
    <w:pPr>
      <w:pStyle w:val="Piedepgina"/>
    </w:pPr>
  </w:p>
  <w:p w14:paraId="50E006EA" w14:textId="77777777" w:rsidR="00FE335E" w:rsidRDefault="00FE335E"/>
  <w:p w14:paraId="3D7629C8" w14:textId="77777777" w:rsidR="00FE335E" w:rsidRDefault="00FE335E"/>
  <w:p w14:paraId="792DB146" w14:textId="77777777" w:rsidR="00FE335E" w:rsidRDefault="00FE33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72779"/>
      <w:docPartObj>
        <w:docPartGallery w:val="AutoText"/>
      </w:docPartObj>
    </w:sdtPr>
    <w:sdtEndPr/>
    <w:sdtContent>
      <w:sdt>
        <w:sdtPr>
          <w:id w:val="-869683373"/>
          <w:docPartObj>
            <w:docPartGallery w:val="AutoText"/>
          </w:docPartObj>
        </w:sdtPr>
        <w:sdtEndPr/>
        <w:sdtContent>
          <w:p w14:paraId="77588F01" w14:textId="77777777" w:rsidR="00FE335E" w:rsidRDefault="00FE335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112C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112C0">
              <w:rPr>
                <w:b/>
                <w:bCs/>
                <w:noProof/>
              </w:rPr>
              <w:t>15</w:t>
            </w:r>
            <w:r>
              <w:rPr>
                <w:b/>
                <w:bCs/>
                <w:sz w:val="24"/>
                <w:szCs w:val="24"/>
              </w:rPr>
              <w:fldChar w:fldCharType="end"/>
            </w:r>
          </w:p>
        </w:sdtContent>
      </w:sdt>
    </w:sdtContent>
  </w:sdt>
  <w:p w14:paraId="1B731A78" w14:textId="77777777" w:rsidR="00FE335E" w:rsidRDefault="00FE335E">
    <w:pPr>
      <w:pStyle w:val="Piedepgina"/>
    </w:pPr>
  </w:p>
  <w:p w14:paraId="29CB1FDF" w14:textId="77777777" w:rsidR="00FE335E" w:rsidRDefault="00FE335E"/>
  <w:p w14:paraId="70928347" w14:textId="77777777" w:rsidR="00FE335E" w:rsidRDefault="00FE335E"/>
  <w:p w14:paraId="3FC32FC2" w14:textId="77777777" w:rsidR="00FE335E" w:rsidRDefault="00FE335E"/>
  <w:p w14:paraId="48FACD1D" w14:textId="77777777" w:rsidR="00FE335E" w:rsidRDefault="00FE33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FA94" w14:textId="77777777" w:rsidR="00F34517" w:rsidRDefault="00F34517" w:rsidP="00CA2D4E">
      <w:r>
        <w:separator/>
      </w:r>
    </w:p>
  </w:footnote>
  <w:footnote w:type="continuationSeparator" w:id="0">
    <w:p w14:paraId="481E10A1" w14:textId="77777777" w:rsidR="00F34517" w:rsidRDefault="00F34517" w:rsidP="00CA2D4E">
      <w:r>
        <w:continuationSeparator/>
      </w:r>
    </w:p>
  </w:footnote>
  <w:footnote w:id="1">
    <w:p w14:paraId="6041A1AC" w14:textId="77777777" w:rsidR="00FE335E" w:rsidRDefault="00FE335E" w:rsidP="00CA2D4E">
      <w:pPr>
        <w:pStyle w:val="Textonotapie"/>
      </w:pPr>
      <w:r>
        <w:rPr>
          <w:rStyle w:val="Refdenotaalpie"/>
        </w:rPr>
        <w:footnoteRef/>
      </w:r>
      <w:r>
        <w:t xml:space="preserve"> Tercer párrafo, artículo 1º, Constitución Política de los Estados Unidos Mexicanos.</w:t>
      </w:r>
    </w:p>
  </w:footnote>
  <w:footnote w:id="2">
    <w:p w14:paraId="50E42FFB" w14:textId="77777777" w:rsidR="00FE335E" w:rsidRDefault="00FE335E" w:rsidP="00CA2D4E">
      <w:pPr>
        <w:pStyle w:val="Textonotapie"/>
      </w:pPr>
      <w:r>
        <w:rPr>
          <w:rStyle w:val="Refdenotaalpie"/>
        </w:rPr>
        <w:footnoteRef/>
      </w:r>
      <w:r>
        <w:t xml:space="preserve"> Segundo Párrafo, artículo 6º, Constitución Política de los Estados Unidos Mexicanos.</w:t>
      </w:r>
    </w:p>
  </w:footnote>
  <w:footnote w:id="3">
    <w:p w14:paraId="5D118A9F" w14:textId="77777777" w:rsidR="00FE335E" w:rsidRDefault="00FE335E" w:rsidP="00CA2D4E">
      <w:pPr>
        <w:pStyle w:val="Textonotapie"/>
      </w:pPr>
      <w:r>
        <w:rPr>
          <w:rStyle w:val="Refdenotaalpie"/>
        </w:rPr>
        <w:footnoteRef/>
      </w:r>
      <w:r>
        <w:t xml:space="preserve"> Artículo 176, Ley de Transparencia y Acceso a la Información Pública del Estado de México y Municipios.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CCF9" w14:textId="77777777" w:rsidR="00FE335E" w:rsidRDefault="00F34517">
    <w:pPr>
      <w:pStyle w:val="Encabezado"/>
    </w:pPr>
    <w:r>
      <w:rPr>
        <w:noProof/>
        <w:lang w:eastAsia="es-MX"/>
      </w:rPr>
      <w:pict w14:anchorId="2ED10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7" type="#_x0000_t75" alt="" style="position:absolute;margin-left:0;margin-top:0;width:663.5pt;height:12in;z-index:-251656192;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p w14:paraId="52291225" w14:textId="77777777" w:rsidR="00FE335E" w:rsidRDefault="00FE335E"/>
  <w:p w14:paraId="0CA9FD4C" w14:textId="77777777" w:rsidR="00FE335E" w:rsidRDefault="00FE335E"/>
  <w:p w14:paraId="7066F6A4" w14:textId="77777777" w:rsidR="00FE335E" w:rsidRDefault="00FE33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FE335E" w14:paraId="324E2362" w14:textId="77777777" w:rsidTr="00FE335E">
      <w:trPr>
        <w:trHeight w:val="1435"/>
      </w:trPr>
      <w:tc>
        <w:tcPr>
          <w:tcW w:w="1843" w:type="dxa"/>
          <w:shd w:val="clear" w:color="auto" w:fill="auto"/>
        </w:tcPr>
        <w:p w14:paraId="5985BDEC" w14:textId="27A8B67F" w:rsidR="00FE335E" w:rsidRDefault="00FE335E">
          <w:pPr>
            <w:tabs>
              <w:tab w:val="right" w:pos="4273"/>
            </w:tabs>
            <w:rPr>
              <w:rFonts w:ascii="Garamond" w:eastAsia="Calibri" w:hAnsi="Garamond"/>
              <w:sz w:val="16"/>
              <w:szCs w:val="16"/>
              <w:lang w:eastAsia="en-US"/>
            </w:rPr>
          </w:pPr>
        </w:p>
      </w:tc>
      <w:tc>
        <w:tcPr>
          <w:tcW w:w="7513" w:type="dxa"/>
          <w:shd w:val="clear" w:color="auto" w:fill="auto"/>
        </w:tcPr>
        <w:tbl>
          <w:tblPr>
            <w:tblStyle w:val="Tablaconcuadrcula"/>
            <w:tblW w:w="7526" w:type="dxa"/>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7"/>
            <w:gridCol w:w="4969"/>
          </w:tblGrid>
          <w:tr w:rsidR="00FE335E" w14:paraId="3E1D97F0" w14:textId="77777777" w:rsidTr="00900102">
            <w:trPr>
              <w:trHeight w:val="338"/>
            </w:trPr>
            <w:tc>
              <w:tcPr>
                <w:tcW w:w="2557" w:type="dxa"/>
              </w:tcPr>
              <w:p w14:paraId="1366433D" w14:textId="77777777" w:rsidR="00FE335E" w:rsidRDefault="00FE335E" w:rsidP="00B139D2">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969" w:type="dxa"/>
              </w:tcPr>
              <w:p w14:paraId="68F946CA" w14:textId="7EB056C8" w:rsidR="00FE335E" w:rsidRPr="00AC5006" w:rsidRDefault="00FE335E" w:rsidP="00E469EE">
                <w:pPr>
                  <w:tabs>
                    <w:tab w:val="right" w:pos="8838"/>
                  </w:tabs>
                  <w:ind w:right="-105" w:hanging="101"/>
                  <w:jc w:val="both"/>
                  <w:rPr>
                    <w:rFonts w:ascii="Palatino Linotype" w:eastAsia="Calibri" w:hAnsi="Palatino Linotype" w:cs="Tahoma"/>
                    <w:bCs/>
                    <w:sz w:val="22"/>
                    <w:szCs w:val="22"/>
                    <w:lang w:eastAsia="en-US"/>
                  </w:rPr>
                </w:pPr>
                <w:r w:rsidRPr="00AC5006">
                  <w:rPr>
                    <w:rFonts w:ascii="Palatino Linotype" w:hAnsi="Palatino Linotype" w:cs="Arial"/>
                    <w:sz w:val="22"/>
                    <w:szCs w:val="24"/>
                  </w:rPr>
                  <w:t>03073/INFOEM/ICR-37/IP/RR/2024</w:t>
                </w:r>
              </w:p>
            </w:tc>
          </w:tr>
          <w:tr w:rsidR="00FE335E" w14:paraId="0CB152B6" w14:textId="77777777" w:rsidTr="00900102">
            <w:trPr>
              <w:trHeight w:val="283"/>
            </w:trPr>
            <w:tc>
              <w:tcPr>
                <w:tcW w:w="2557" w:type="dxa"/>
              </w:tcPr>
              <w:p w14:paraId="105AA2E3" w14:textId="77777777" w:rsidR="00FE335E" w:rsidRDefault="00FE335E" w:rsidP="00B139D2">
                <w:pPr>
                  <w:tabs>
                    <w:tab w:val="right" w:pos="8838"/>
                  </w:tabs>
                  <w:ind w:right="-105"/>
                  <w:rPr>
                    <w:rFonts w:ascii="Palatino Linotype" w:eastAsia="Calibri" w:hAnsi="Palatino Linotype" w:cs="Tahoma"/>
                    <w:b/>
                    <w:sz w:val="22"/>
                    <w:szCs w:val="22"/>
                    <w:lang w:eastAsia="en-US"/>
                  </w:rPr>
                </w:pPr>
                <w:bookmarkStart w:id="24" w:name="_Hlk33010189"/>
                <w:r>
                  <w:rPr>
                    <w:rFonts w:ascii="Palatino Linotype" w:eastAsia="Calibri" w:hAnsi="Palatino Linotype" w:cs="Tahoma"/>
                    <w:b/>
                    <w:sz w:val="22"/>
                    <w:szCs w:val="22"/>
                    <w:lang w:eastAsia="en-US"/>
                  </w:rPr>
                  <w:t>Sujeto Obligado:</w:t>
                </w:r>
              </w:p>
            </w:tc>
            <w:tc>
              <w:tcPr>
                <w:tcW w:w="4969" w:type="dxa"/>
              </w:tcPr>
              <w:p w14:paraId="0027A9FF" w14:textId="0B1010CE" w:rsidR="00FE335E" w:rsidRPr="00AC5006" w:rsidRDefault="00FE335E" w:rsidP="00B139D2">
                <w:pPr>
                  <w:tabs>
                    <w:tab w:val="left" w:pos="2834"/>
                    <w:tab w:val="right" w:pos="8838"/>
                  </w:tabs>
                  <w:ind w:left="-113" w:right="1318"/>
                  <w:jc w:val="both"/>
                  <w:rPr>
                    <w:rFonts w:ascii="Palatino Linotype" w:eastAsia="Calibri" w:hAnsi="Palatino Linotype" w:cs="Tahoma"/>
                    <w:sz w:val="22"/>
                    <w:szCs w:val="22"/>
                    <w:lang w:eastAsia="en-US"/>
                  </w:rPr>
                </w:pPr>
                <w:r w:rsidRPr="00AC5006">
                  <w:rPr>
                    <w:rFonts w:ascii="Palatino Linotype" w:eastAsia="Calibri" w:hAnsi="Palatino Linotype" w:cs="Tahoma"/>
                    <w:sz w:val="22"/>
                    <w:szCs w:val="28"/>
                    <w:lang w:eastAsia="en-US"/>
                  </w:rPr>
                  <w:t>Ayuntamiento de Apaxco</w:t>
                </w:r>
              </w:p>
            </w:tc>
          </w:tr>
          <w:bookmarkEnd w:id="24"/>
          <w:tr w:rsidR="00FE335E" w14:paraId="4CD00416" w14:textId="77777777" w:rsidTr="00900102">
            <w:trPr>
              <w:trHeight w:val="283"/>
            </w:trPr>
            <w:tc>
              <w:tcPr>
                <w:tcW w:w="2557" w:type="dxa"/>
              </w:tcPr>
              <w:p w14:paraId="09BED701" w14:textId="77777777" w:rsidR="00FE335E" w:rsidRDefault="00FE335E" w:rsidP="00B139D2">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969" w:type="dxa"/>
              </w:tcPr>
              <w:p w14:paraId="794AFCC5" w14:textId="77777777" w:rsidR="00FE335E" w:rsidRPr="00AC5006" w:rsidRDefault="00FE335E" w:rsidP="00B139D2">
                <w:pPr>
                  <w:tabs>
                    <w:tab w:val="right" w:pos="8838"/>
                  </w:tabs>
                  <w:ind w:left="-113" w:right="-105"/>
                  <w:jc w:val="both"/>
                  <w:rPr>
                    <w:rFonts w:ascii="Palatino Linotype" w:eastAsia="Calibri" w:hAnsi="Palatino Linotype" w:cs="Tahoma"/>
                    <w:sz w:val="22"/>
                    <w:szCs w:val="22"/>
                    <w:lang w:eastAsia="en-US"/>
                  </w:rPr>
                </w:pPr>
                <w:r w:rsidRPr="00AC5006">
                  <w:rPr>
                    <w:rFonts w:ascii="Palatino Linotype" w:eastAsia="Calibri" w:hAnsi="Palatino Linotype" w:cs="Tahoma"/>
                    <w:sz w:val="22"/>
                    <w:szCs w:val="22"/>
                    <w:lang w:eastAsia="en-US"/>
                  </w:rPr>
                  <w:t>María del Rosario Mejía Ayala</w:t>
                </w:r>
              </w:p>
            </w:tc>
          </w:tr>
        </w:tbl>
        <w:p w14:paraId="63398FCA" w14:textId="77777777" w:rsidR="00FE335E" w:rsidRDefault="00FE335E">
          <w:pPr>
            <w:tabs>
              <w:tab w:val="right" w:pos="8838"/>
            </w:tabs>
            <w:ind w:left="-28"/>
            <w:jc w:val="both"/>
            <w:rPr>
              <w:rFonts w:ascii="Arial" w:eastAsia="Calibri" w:hAnsi="Arial" w:cs="Arial"/>
              <w:b/>
              <w:sz w:val="22"/>
              <w:szCs w:val="22"/>
              <w:lang w:eastAsia="en-US"/>
            </w:rPr>
          </w:pPr>
        </w:p>
      </w:tc>
    </w:tr>
  </w:tbl>
  <w:p w14:paraId="44E6C5BC" w14:textId="4223E50F" w:rsidR="00FE335E" w:rsidRDefault="00F34517" w:rsidP="00AC5006">
    <w:pPr>
      <w:pStyle w:val="Encabezado"/>
      <w:tabs>
        <w:tab w:val="clear" w:pos="4419"/>
        <w:tab w:val="clear" w:pos="8838"/>
        <w:tab w:val="left" w:pos="3627"/>
      </w:tabs>
    </w:pPr>
    <w:r>
      <w:rPr>
        <w:noProof/>
        <w:sz w:val="14"/>
        <w:lang w:eastAsia="es-MX"/>
      </w:rPr>
      <w:pict w14:anchorId="37747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6" type="#_x0000_t75" alt="" style="position:absolute;margin-left:-104.3pt;margin-top:-147.5pt;width:663.5pt;height:12in;z-index:-25165516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FE335E" w14:paraId="75DF34D0" w14:textId="77777777" w:rsidTr="00FE335E">
      <w:trPr>
        <w:trHeight w:val="1435"/>
      </w:trPr>
      <w:tc>
        <w:tcPr>
          <w:tcW w:w="1560" w:type="dxa"/>
          <w:shd w:val="clear" w:color="auto" w:fill="auto"/>
        </w:tcPr>
        <w:p w14:paraId="5D1F0DBD" w14:textId="77777777" w:rsidR="00FE335E" w:rsidRDefault="00FE335E">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740" w:type="dxa"/>
            <w:tblInd w:w="1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4923"/>
            <w:gridCol w:w="3402"/>
          </w:tblGrid>
          <w:tr w:rsidR="00FE335E" w14:paraId="4E42AE32" w14:textId="77777777" w:rsidTr="00BA4E57">
            <w:trPr>
              <w:trHeight w:val="144"/>
            </w:trPr>
            <w:tc>
              <w:tcPr>
                <w:tcW w:w="2415" w:type="dxa"/>
              </w:tcPr>
              <w:p w14:paraId="0B5EE820" w14:textId="77777777" w:rsidR="00FE335E" w:rsidRDefault="00FE335E" w:rsidP="00FE335E">
                <w:pPr>
                  <w:tabs>
                    <w:tab w:val="right" w:pos="8838"/>
                  </w:tabs>
                  <w:ind w:left="-74" w:right="-105"/>
                  <w:rPr>
                    <w:rFonts w:ascii="Palatino Linotype" w:eastAsia="Calibri" w:hAnsi="Palatino Linotype" w:cs="Tahoma"/>
                    <w:b/>
                    <w:sz w:val="22"/>
                    <w:szCs w:val="22"/>
                    <w:lang w:eastAsia="en-US"/>
                  </w:rPr>
                </w:pPr>
                <w:bookmarkStart w:id="25" w:name="_Hlk12526980"/>
                <w:r>
                  <w:rPr>
                    <w:rFonts w:ascii="Palatino Linotype" w:eastAsia="Calibri" w:hAnsi="Palatino Linotype" w:cs="Tahoma"/>
                    <w:b/>
                    <w:sz w:val="22"/>
                    <w:szCs w:val="22"/>
                    <w:lang w:eastAsia="en-US"/>
                  </w:rPr>
                  <w:t>Recurso de Revisión:</w:t>
                </w:r>
              </w:p>
            </w:tc>
            <w:tc>
              <w:tcPr>
                <w:tcW w:w="4923" w:type="dxa"/>
              </w:tcPr>
              <w:p w14:paraId="52FBCCA5" w14:textId="0B3E8E2E" w:rsidR="00FE335E" w:rsidRPr="00AC5006" w:rsidRDefault="00FE335E" w:rsidP="00E469EE">
                <w:pPr>
                  <w:tabs>
                    <w:tab w:val="right" w:pos="8838"/>
                  </w:tabs>
                  <w:ind w:left="-3" w:right="-105"/>
                  <w:jc w:val="both"/>
                  <w:rPr>
                    <w:rFonts w:ascii="Palatino Linotype" w:eastAsia="Calibri" w:hAnsi="Palatino Linotype" w:cs="Tahoma"/>
                    <w:sz w:val="22"/>
                    <w:szCs w:val="22"/>
                    <w:lang w:eastAsia="en-US"/>
                  </w:rPr>
                </w:pPr>
                <w:r w:rsidRPr="00AC5006">
                  <w:rPr>
                    <w:rFonts w:ascii="Palatino Linotype" w:hAnsi="Palatino Linotype" w:cs="Arial"/>
                    <w:sz w:val="22"/>
                    <w:szCs w:val="24"/>
                  </w:rPr>
                  <w:t>03073/INFOEM/ICR-37/IP/RR/2024</w:t>
                </w:r>
              </w:p>
            </w:tc>
            <w:tc>
              <w:tcPr>
                <w:tcW w:w="3402" w:type="dxa"/>
              </w:tcPr>
              <w:p w14:paraId="20E6B88D" w14:textId="77777777" w:rsidR="00FE335E" w:rsidRDefault="00FE335E">
                <w:pPr>
                  <w:tabs>
                    <w:tab w:val="right" w:pos="8838"/>
                  </w:tabs>
                  <w:ind w:left="-74" w:right="-105"/>
                  <w:jc w:val="both"/>
                  <w:rPr>
                    <w:rFonts w:ascii="Palatino Linotype" w:eastAsia="Calibri" w:hAnsi="Palatino Linotype" w:cs="Tahoma"/>
                    <w:bCs/>
                    <w:sz w:val="22"/>
                    <w:szCs w:val="22"/>
                    <w:lang w:eastAsia="en-US"/>
                  </w:rPr>
                </w:pPr>
              </w:p>
            </w:tc>
          </w:tr>
          <w:tr w:rsidR="00FE335E" w14:paraId="14B3052A" w14:textId="77777777" w:rsidTr="00BA4E57">
            <w:trPr>
              <w:trHeight w:val="144"/>
            </w:trPr>
            <w:tc>
              <w:tcPr>
                <w:tcW w:w="2415" w:type="dxa"/>
              </w:tcPr>
              <w:p w14:paraId="6F219E1C" w14:textId="77777777" w:rsidR="00FE335E" w:rsidRDefault="00FE335E" w:rsidP="00FE335E">
                <w:pPr>
                  <w:tabs>
                    <w:tab w:val="right" w:pos="8838"/>
                  </w:tabs>
                  <w:ind w:left="-74" w:right="-105"/>
                  <w:rPr>
                    <w:rFonts w:ascii="Palatino Linotype" w:eastAsia="Calibri" w:hAnsi="Palatino Linotype" w:cs="Tahoma"/>
                    <w:b/>
                    <w:sz w:val="22"/>
                    <w:szCs w:val="22"/>
                    <w:lang w:eastAsia="en-US"/>
                  </w:rPr>
                </w:pPr>
                <w:bookmarkStart w:id="26" w:name="_Hlk10641523"/>
                <w:bookmarkEnd w:id="25"/>
                <w:r>
                  <w:rPr>
                    <w:rFonts w:ascii="Palatino Linotype" w:eastAsia="Calibri" w:hAnsi="Palatino Linotype" w:cs="Tahoma"/>
                    <w:b/>
                    <w:sz w:val="22"/>
                    <w:szCs w:val="22"/>
                    <w:lang w:eastAsia="en-US"/>
                  </w:rPr>
                  <w:t>Recurrente:</w:t>
                </w:r>
              </w:p>
            </w:tc>
            <w:tc>
              <w:tcPr>
                <w:tcW w:w="4923" w:type="dxa"/>
              </w:tcPr>
              <w:p w14:paraId="77BB923A" w14:textId="46926A72" w:rsidR="00FE335E" w:rsidRPr="00AC5006" w:rsidRDefault="00DF29F9" w:rsidP="00FE335E">
                <w:pPr>
                  <w:tabs>
                    <w:tab w:val="left" w:pos="3122"/>
                    <w:tab w:val="right" w:pos="8838"/>
                  </w:tabs>
                  <w:ind w:right="1457"/>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3402" w:type="dxa"/>
              </w:tcPr>
              <w:p w14:paraId="71E5B739" w14:textId="77777777" w:rsidR="00FE335E" w:rsidRDefault="00FE335E" w:rsidP="00FE335E">
                <w:pPr>
                  <w:tabs>
                    <w:tab w:val="left" w:pos="3122"/>
                    <w:tab w:val="right" w:pos="8838"/>
                  </w:tabs>
                  <w:ind w:right="-105"/>
                  <w:jc w:val="both"/>
                  <w:rPr>
                    <w:rFonts w:ascii="Palatino Linotype" w:eastAsia="Calibri" w:hAnsi="Palatino Linotype" w:cs="Tahoma"/>
                    <w:sz w:val="22"/>
                    <w:szCs w:val="22"/>
                    <w:lang w:eastAsia="en-US"/>
                  </w:rPr>
                </w:pPr>
              </w:p>
            </w:tc>
          </w:tr>
          <w:bookmarkEnd w:id="26"/>
          <w:tr w:rsidR="00FE335E" w14:paraId="5880C76F" w14:textId="77777777" w:rsidTr="00BA4E57">
            <w:trPr>
              <w:trHeight w:val="283"/>
            </w:trPr>
            <w:tc>
              <w:tcPr>
                <w:tcW w:w="2415" w:type="dxa"/>
              </w:tcPr>
              <w:p w14:paraId="32D9CEB0" w14:textId="77777777" w:rsidR="00FE335E" w:rsidRDefault="00FE335E" w:rsidP="00FE335E">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923" w:type="dxa"/>
              </w:tcPr>
              <w:p w14:paraId="68DAF2C7" w14:textId="6E1C0C96" w:rsidR="00FE335E" w:rsidRPr="00AC5006" w:rsidRDefault="00FE335E" w:rsidP="00FE335E">
                <w:pPr>
                  <w:tabs>
                    <w:tab w:val="left" w:pos="2834"/>
                    <w:tab w:val="right" w:pos="8838"/>
                  </w:tabs>
                  <w:ind w:left="-3" w:right="1315"/>
                  <w:jc w:val="both"/>
                  <w:rPr>
                    <w:rFonts w:ascii="Palatino Linotype" w:eastAsia="Calibri" w:hAnsi="Palatino Linotype" w:cs="Tahoma"/>
                    <w:sz w:val="22"/>
                    <w:szCs w:val="22"/>
                    <w:lang w:eastAsia="en-US"/>
                  </w:rPr>
                </w:pPr>
                <w:r w:rsidRPr="00AC5006">
                  <w:rPr>
                    <w:rFonts w:ascii="Palatino Linotype" w:eastAsia="Calibri" w:hAnsi="Palatino Linotype" w:cs="Tahoma"/>
                    <w:sz w:val="22"/>
                    <w:szCs w:val="28"/>
                    <w:lang w:eastAsia="en-US"/>
                  </w:rPr>
                  <w:t>Ayuntamiento de Apaxco</w:t>
                </w:r>
              </w:p>
            </w:tc>
            <w:tc>
              <w:tcPr>
                <w:tcW w:w="3402" w:type="dxa"/>
              </w:tcPr>
              <w:p w14:paraId="32A0A904" w14:textId="77777777" w:rsidR="00FE335E" w:rsidRDefault="00FE335E">
                <w:pPr>
                  <w:tabs>
                    <w:tab w:val="left" w:pos="2834"/>
                    <w:tab w:val="right" w:pos="8838"/>
                  </w:tabs>
                  <w:ind w:left="-74" w:right="-105"/>
                  <w:jc w:val="both"/>
                  <w:rPr>
                    <w:rFonts w:ascii="Palatino Linotype" w:eastAsia="Calibri" w:hAnsi="Palatino Linotype" w:cs="Tahoma"/>
                    <w:sz w:val="22"/>
                    <w:szCs w:val="22"/>
                    <w:lang w:eastAsia="en-US"/>
                  </w:rPr>
                </w:pPr>
              </w:p>
            </w:tc>
          </w:tr>
          <w:tr w:rsidR="00FE335E" w14:paraId="1C0DC6E8" w14:textId="77777777" w:rsidTr="00BA4E57">
            <w:trPr>
              <w:trHeight w:val="283"/>
            </w:trPr>
            <w:tc>
              <w:tcPr>
                <w:tcW w:w="2415" w:type="dxa"/>
              </w:tcPr>
              <w:p w14:paraId="5F6FC404" w14:textId="77777777" w:rsidR="00FE335E" w:rsidRDefault="00FE335E" w:rsidP="00FE335E">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923" w:type="dxa"/>
              </w:tcPr>
              <w:p w14:paraId="5DBFAD5C" w14:textId="77777777" w:rsidR="00FE335E" w:rsidRPr="00AC5006" w:rsidRDefault="00FE335E" w:rsidP="00FE335E">
                <w:pPr>
                  <w:tabs>
                    <w:tab w:val="right" w:pos="8838"/>
                  </w:tabs>
                  <w:ind w:left="-3" w:right="-105"/>
                  <w:jc w:val="both"/>
                  <w:rPr>
                    <w:rFonts w:ascii="Palatino Linotype" w:eastAsia="Calibri" w:hAnsi="Palatino Linotype" w:cs="Tahoma"/>
                    <w:sz w:val="22"/>
                    <w:szCs w:val="22"/>
                    <w:lang w:eastAsia="en-US"/>
                  </w:rPr>
                </w:pPr>
                <w:r w:rsidRPr="00AC5006">
                  <w:rPr>
                    <w:rFonts w:ascii="Palatino Linotype" w:eastAsia="Calibri" w:hAnsi="Palatino Linotype" w:cs="Tahoma"/>
                    <w:sz w:val="22"/>
                    <w:szCs w:val="22"/>
                    <w:lang w:eastAsia="en-US"/>
                  </w:rPr>
                  <w:t>María del Rosario Mejía Ayala</w:t>
                </w:r>
              </w:p>
            </w:tc>
            <w:tc>
              <w:tcPr>
                <w:tcW w:w="3402" w:type="dxa"/>
              </w:tcPr>
              <w:p w14:paraId="1D6A8F72" w14:textId="77777777" w:rsidR="00FE335E" w:rsidRDefault="00FE335E">
                <w:pPr>
                  <w:tabs>
                    <w:tab w:val="right" w:pos="8838"/>
                  </w:tabs>
                  <w:ind w:left="-74" w:right="-105"/>
                  <w:jc w:val="both"/>
                  <w:rPr>
                    <w:rFonts w:ascii="Palatino Linotype" w:eastAsia="Calibri" w:hAnsi="Palatino Linotype" w:cs="Tahoma"/>
                    <w:sz w:val="22"/>
                    <w:szCs w:val="22"/>
                    <w:lang w:eastAsia="en-US"/>
                  </w:rPr>
                </w:pPr>
              </w:p>
            </w:tc>
          </w:tr>
        </w:tbl>
        <w:p w14:paraId="5794787D" w14:textId="77777777" w:rsidR="00FE335E" w:rsidRDefault="00FE335E">
          <w:pPr>
            <w:tabs>
              <w:tab w:val="right" w:pos="8838"/>
            </w:tabs>
            <w:ind w:left="-28"/>
            <w:jc w:val="both"/>
            <w:rPr>
              <w:rFonts w:ascii="Arial" w:eastAsia="Calibri" w:hAnsi="Arial" w:cs="Arial"/>
              <w:b/>
              <w:sz w:val="22"/>
              <w:szCs w:val="22"/>
              <w:lang w:eastAsia="en-US"/>
            </w:rPr>
          </w:pPr>
        </w:p>
      </w:tc>
    </w:tr>
  </w:tbl>
  <w:p w14:paraId="233F1935" w14:textId="5C7B98DA" w:rsidR="00FE335E" w:rsidRDefault="00F34517" w:rsidP="00AC5006">
    <w:pPr>
      <w:pStyle w:val="Encabezado"/>
      <w:tabs>
        <w:tab w:val="clear" w:pos="4419"/>
        <w:tab w:val="clear" w:pos="8838"/>
        <w:tab w:val="center" w:pos="4522"/>
      </w:tabs>
    </w:pPr>
    <w:r>
      <w:rPr>
        <w:noProof/>
        <w:sz w:val="14"/>
        <w:szCs w:val="22"/>
        <w:lang w:eastAsia="es-MX"/>
      </w:rPr>
      <w:pict w14:anchorId="2A8E2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88.3pt;margin-top:-130.1pt;width:661.75pt;height:861.75pt;z-index:-251657216;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55341"/>
    <w:multiLevelType w:val="hybridMultilevel"/>
    <w:tmpl w:val="45CE4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243D48"/>
    <w:multiLevelType w:val="hybridMultilevel"/>
    <w:tmpl w:val="61B6E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A5D436D0"/>
    <w:lvl w:ilvl="0" w:tplc="92BE0B36">
      <w:start w:val="1"/>
      <w:numFmt w:val="decimal"/>
      <w:lvlText w:val="%1."/>
      <w:lvlJc w:val="left"/>
      <w:pPr>
        <w:ind w:left="4613" w:hanging="360"/>
      </w:pPr>
      <w:rPr>
        <w:rFonts w:ascii="Palatino Linotype" w:hAnsi="Palatino Linotype" w:hint="default"/>
        <w:b/>
        <w:i w:val="0"/>
        <w:color w:val="auto"/>
        <w:sz w:val="24"/>
      </w:rPr>
    </w:lvl>
    <w:lvl w:ilvl="1" w:tplc="3B8CC832">
      <w:start w:val="1"/>
      <w:numFmt w:val="upperRoman"/>
      <w:lvlText w:val="%2."/>
      <w:lvlJc w:val="left"/>
      <w:pPr>
        <w:ind w:left="1800" w:hanging="720"/>
      </w:pPr>
      <w:rPr>
        <w:rFonts w:ascii="Palatino Linotype" w:hAnsi="Palatino Linotype" w:hint="default"/>
        <w:b/>
        <w:i w:val="0"/>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432C36A7"/>
    <w:multiLevelType w:val="hybridMultilevel"/>
    <w:tmpl w:val="A75E58C2"/>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DD1377"/>
    <w:multiLevelType w:val="hybridMultilevel"/>
    <w:tmpl w:val="7C4E4BBE"/>
    <w:lvl w:ilvl="0" w:tplc="B6264EA6">
      <w:start w:val="2"/>
      <w:numFmt w:val="lowerLetter"/>
      <w:lvlText w:val="%1)"/>
      <w:lvlJc w:val="left"/>
      <w:pPr>
        <w:ind w:left="720" w:hanging="360"/>
      </w:pPr>
      <w:rPr>
        <w:rFonts w:eastAsiaTheme="majorEastAsia" w:cstheme="majorBid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2350022">
    <w:abstractNumId w:val="2"/>
  </w:num>
  <w:num w:numId="2" w16cid:durableId="1111584076">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16cid:durableId="1094982528">
    <w:abstractNumId w:val="0"/>
  </w:num>
  <w:num w:numId="4" w16cid:durableId="63453323">
    <w:abstractNumId w:val="1"/>
  </w:num>
  <w:num w:numId="5" w16cid:durableId="1446196829">
    <w:abstractNumId w:val="3"/>
  </w:num>
  <w:num w:numId="6" w16cid:durableId="1602487540">
    <w:abstractNumId w:val="4"/>
  </w:num>
  <w:num w:numId="7" w16cid:durableId="162936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4E"/>
    <w:rsid w:val="00007A3C"/>
    <w:rsid w:val="0001292A"/>
    <w:rsid w:val="00014402"/>
    <w:rsid w:val="000A63C6"/>
    <w:rsid w:val="000D13A8"/>
    <w:rsid w:val="000E49EA"/>
    <w:rsid w:val="000F3425"/>
    <w:rsid w:val="00126444"/>
    <w:rsid w:val="001B6F4E"/>
    <w:rsid w:val="002067E5"/>
    <w:rsid w:val="00214EBE"/>
    <w:rsid w:val="002150A1"/>
    <w:rsid w:val="00357AC1"/>
    <w:rsid w:val="00357C2F"/>
    <w:rsid w:val="00443247"/>
    <w:rsid w:val="00494DFC"/>
    <w:rsid w:val="004A40B0"/>
    <w:rsid w:val="004F0242"/>
    <w:rsid w:val="00501E48"/>
    <w:rsid w:val="00527885"/>
    <w:rsid w:val="00532EF4"/>
    <w:rsid w:val="005375E5"/>
    <w:rsid w:val="0056647B"/>
    <w:rsid w:val="0074193C"/>
    <w:rsid w:val="0076643E"/>
    <w:rsid w:val="007C00C5"/>
    <w:rsid w:val="007E6131"/>
    <w:rsid w:val="00900102"/>
    <w:rsid w:val="00951EEC"/>
    <w:rsid w:val="00A545D7"/>
    <w:rsid w:val="00AC1271"/>
    <w:rsid w:val="00AC5006"/>
    <w:rsid w:val="00AD67A6"/>
    <w:rsid w:val="00B112C0"/>
    <w:rsid w:val="00B139D2"/>
    <w:rsid w:val="00B97263"/>
    <w:rsid w:val="00BA263D"/>
    <w:rsid w:val="00BA4E57"/>
    <w:rsid w:val="00BC1BC7"/>
    <w:rsid w:val="00C45896"/>
    <w:rsid w:val="00C52D81"/>
    <w:rsid w:val="00CA2D4E"/>
    <w:rsid w:val="00CC1CF1"/>
    <w:rsid w:val="00D03D6C"/>
    <w:rsid w:val="00D2145C"/>
    <w:rsid w:val="00D303DC"/>
    <w:rsid w:val="00D52147"/>
    <w:rsid w:val="00D729D1"/>
    <w:rsid w:val="00DA6A37"/>
    <w:rsid w:val="00DB700A"/>
    <w:rsid w:val="00DF29F9"/>
    <w:rsid w:val="00DF515C"/>
    <w:rsid w:val="00E07B3C"/>
    <w:rsid w:val="00E23C24"/>
    <w:rsid w:val="00E469EE"/>
    <w:rsid w:val="00EA23B3"/>
    <w:rsid w:val="00EE11E7"/>
    <w:rsid w:val="00F15733"/>
    <w:rsid w:val="00F24128"/>
    <w:rsid w:val="00F34517"/>
    <w:rsid w:val="00F64CE6"/>
    <w:rsid w:val="00FE3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1F58"/>
  <w15:chartTrackingRefBased/>
  <w15:docId w15:val="{577834FF-4E7A-4AA9-BD11-6CFBF18E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4E"/>
    <w:pPr>
      <w:spacing w:after="0" w:line="240" w:lineRule="auto"/>
    </w:pPr>
    <w:rPr>
      <w:rFonts w:ascii="Times New Roman" w:eastAsia="Times New Roman" w:hAnsi="Times New Roman" w:cs="Times New Roman"/>
      <w:sz w:val="20"/>
      <w:szCs w:val="20"/>
      <w:lang w:val="es-MX"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styleId="Referenciasutil">
    <w:name w:val="Subtle Reference"/>
    <w:basedOn w:val="Fuentedeprrafopredeter"/>
    <w:uiPriority w:val="31"/>
    <w:qFormat/>
    <w:rsid w:val="00AC500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6609">
      <w:bodyDiv w:val="1"/>
      <w:marLeft w:val="0"/>
      <w:marRight w:val="0"/>
      <w:marTop w:val="0"/>
      <w:marBottom w:val="0"/>
      <w:divBdr>
        <w:top w:val="none" w:sz="0" w:space="0" w:color="auto"/>
        <w:left w:val="none" w:sz="0" w:space="0" w:color="auto"/>
        <w:bottom w:val="none" w:sz="0" w:space="0" w:color="auto"/>
        <w:right w:val="none" w:sz="0" w:space="0" w:color="auto"/>
      </w:divBdr>
    </w:div>
    <w:div w:id="256255397">
      <w:bodyDiv w:val="1"/>
      <w:marLeft w:val="0"/>
      <w:marRight w:val="0"/>
      <w:marTop w:val="0"/>
      <w:marBottom w:val="0"/>
      <w:divBdr>
        <w:top w:val="none" w:sz="0" w:space="0" w:color="auto"/>
        <w:left w:val="none" w:sz="0" w:space="0" w:color="auto"/>
        <w:bottom w:val="none" w:sz="0" w:space="0" w:color="auto"/>
        <w:right w:val="none" w:sz="0" w:space="0" w:color="auto"/>
      </w:divBdr>
    </w:div>
    <w:div w:id="1162770631">
      <w:bodyDiv w:val="1"/>
      <w:marLeft w:val="0"/>
      <w:marRight w:val="0"/>
      <w:marTop w:val="0"/>
      <w:marBottom w:val="0"/>
      <w:divBdr>
        <w:top w:val="none" w:sz="0" w:space="0" w:color="auto"/>
        <w:left w:val="none" w:sz="0" w:space="0" w:color="auto"/>
        <w:bottom w:val="none" w:sz="0" w:space="0" w:color="auto"/>
        <w:right w:val="none" w:sz="0" w:space="0" w:color="auto"/>
      </w:divBdr>
    </w:div>
    <w:div w:id="1508327769">
      <w:bodyDiv w:val="1"/>
      <w:marLeft w:val="0"/>
      <w:marRight w:val="0"/>
      <w:marTop w:val="0"/>
      <w:marBottom w:val="0"/>
      <w:divBdr>
        <w:top w:val="none" w:sz="0" w:space="0" w:color="auto"/>
        <w:left w:val="none" w:sz="0" w:space="0" w:color="auto"/>
        <w:bottom w:val="none" w:sz="0" w:space="0" w:color="auto"/>
        <w:right w:val="none" w:sz="0" w:space="0" w:color="auto"/>
      </w:divBdr>
    </w:div>
    <w:div w:id="16303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7999A-4FF8-4B76-B8A4-B4F708C3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3691</Words>
  <Characters>20303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14</cp:revision>
  <cp:lastPrinted>2024-08-29T21:21:00Z</cp:lastPrinted>
  <dcterms:created xsi:type="dcterms:W3CDTF">2024-08-22T19:51:00Z</dcterms:created>
  <dcterms:modified xsi:type="dcterms:W3CDTF">2024-09-03T20:21:00Z</dcterms:modified>
</cp:coreProperties>
</file>