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D1" w:rsidRDefault="00C53FD1">
      <w:pPr>
        <w:widowControl w:val="0"/>
        <w:pBdr>
          <w:top w:val="nil"/>
          <w:left w:val="nil"/>
          <w:bottom w:val="nil"/>
          <w:right w:val="nil"/>
          <w:between w:val="nil"/>
        </w:pBdr>
        <w:spacing w:line="276" w:lineRule="auto"/>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3B74E8">
        <w:rPr>
          <w:rFonts w:ascii="Palatino Linotype" w:eastAsia="Palatino Linotype" w:hAnsi="Palatino Linotype" w:cs="Palatino Linotype"/>
          <w:sz w:val="22"/>
          <w:szCs w:val="22"/>
        </w:rPr>
        <w:t xml:space="preserve">Protección de Datos Personales del Estado de México y Municipios, con domicilio en Metepec, Estado de México, de fecha cuatro de diciembre de dos mil veinticuatro. </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b/>
          <w:color w:val="000000"/>
          <w:sz w:val="22"/>
          <w:szCs w:val="22"/>
        </w:rPr>
        <w:t xml:space="preserve">VISTO </w:t>
      </w:r>
      <w:r w:rsidRPr="003B74E8">
        <w:rPr>
          <w:rFonts w:ascii="Palatino Linotype" w:eastAsia="Palatino Linotype" w:hAnsi="Palatino Linotype" w:cs="Palatino Linotype"/>
          <w:color w:val="000000"/>
          <w:sz w:val="22"/>
          <w:szCs w:val="22"/>
        </w:rPr>
        <w:t xml:space="preserve">el expediente conformado con motivo de los Recursos de Revisión  </w:t>
      </w:r>
      <w:r w:rsidRPr="00CB66BD">
        <w:rPr>
          <w:rFonts w:ascii="Palatino Linotype" w:eastAsia="Palatino Linotype" w:hAnsi="Palatino Linotype" w:cs="Palatino Linotype"/>
          <w:b/>
          <w:sz w:val="22"/>
          <w:szCs w:val="22"/>
        </w:rPr>
        <w:t>07041/INFOEM/IP/RR/2024</w:t>
      </w:r>
      <w:r w:rsidRPr="00CB66BD">
        <w:rPr>
          <w:rFonts w:ascii="Palatino Linotype" w:eastAsia="Palatino Linotype" w:hAnsi="Palatino Linotype" w:cs="Palatino Linotype"/>
          <w:b/>
          <w:color w:val="000000"/>
          <w:sz w:val="22"/>
          <w:szCs w:val="22"/>
        </w:rPr>
        <w:t xml:space="preserve">, </w:t>
      </w:r>
      <w:r w:rsidRPr="00CB66BD">
        <w:rPr>
          <w:rFonts w:ascii="Palatino Linotype" w:eastAsia="Palatino Linotype" w:hAnsi="Palatino Linotype" w:cs="Palatino Linotype"/>
          <w:b/>
          <w:sz w:val="22"/>
          <w:szCs w:val="22"/>
        </w:rPr>
        <w:t xml:space="preserve">07095/INFOEM/IP/RR/2024 </w:t>
      </w:r>
      <w:r w:rsidRPr="00CB66BD">
        <w:rPr>
          <w:rFonts w:ascii="Palatino Linotype" w:eastAsia="Palatino Linotype" w:hAnsi="Palatino Linotype" w:cs="Palatino Linotype"/>
          <w:b/>
          <w:color w:val="000000"/>
          <w:sz w:val="22"/>
          <w:szCs w:val="22"/>
        </w:rPr>
        <w:t xml:space="preserve">y </w:t>
      </w:r>
      <w:r w:rsidRPr="00CB66BD">
        <w:rPr>
          <w:rFonts w:ascii="Palatino Linotype" w:eastAsia="Palatino Linotype" w:hAnsi="Palatino Linotype" w:cs="Palatino Linotype"/>
          <w:b/>
          <w:sz w:val="22"/>
          <w:szCs w:val="22"/>
        </w:rPr>
        <w:t>07096/INFOEM/IP/RR/2024</w:t>
      </w:r>
      <w:r w:rsidRPr="003B74E8">
        <w:rPr>
          <w:rFonts w:ascii="Palatino Linotype" w:eastAsia="Palatino Linotype" w:hAnsi="Palatino Linotype" w:cs="Palatino Linotype"/>
          <w:sz w:val="22"/>
          <w:szCs w:val="22"/>
        </w:rPr>
        <w:t xml:space="preserve"> </w:t>
      </w:r>
      <w:r w:rsidRPr="003B74E8">
        <w:rPr>
          <w:rFonts w:ascii="Palatino Linotype" w:eastAsia="Palatino Linotype" w:hAnsi="Palatino Linotype" w:cs="Palatino Linotype"/>
          <w:color w:val="000000"/>
          <w:sz w:val="22"/>
          <w:szCs w:val="22"/>
        </w:rPr>
        <w:t xml:space="preserve">interpuesto por la persona </w:t>
      </w:r>
      <w:r w:rsidRPr="003B74E8">
        <w:rPr>
          <w:rFonts w:ascii="Palatino Linotype" w:eastAsia="Palatino Linotype" w:hAnsi="Palatino Linotype" w:cs="Palatino Linotype"/>
          <w:color w:val="0D0D0D"/>
          <w:sz w:val="22"/>
          <w:szCs w:val="22"/>
        </w:rPr>
        <w:t>Recurrente o Particular</w:t>
      </w:r>
      <w:r w:rsidRPr="003B74E8">
        <w:rPr>
          <w:rFonts w:ascii="Palatino Linotype" w:eastAsia="Palatino Linotype" w:hAnsi="Palatino Linotype" w:cs="Palatino Linotype"/>
          <w:color w:val="000000"/>
          <w:sz w:val="22"/>
          <w:szCs w:val="22"/>
        </w:rPr>
        <w:t xml:space="preserve">, en contra de la respuesta del Sujeto Obligado, </w:t>
      </w:r>
      <w:r w:rsidRPr="00CB66BD">
        <w:rPr>
          <w:rFonts w:ascii="Palatino Linotype" w:eastAsia="Palatino Linotype" w:hAnsi="Palatino Linotype" w:cs="Palatino Linotype"/>
          <w:b/>
          <w:sz w:val="22"/>
          <w:szCs w:val="22"/>
        </w:rPr>
        <w:t>Instituto Municipal de Cultura Física y Deporte de Toluca</w:t>
      </w:r>
      <w:r w:rsidRPr="00CB66BD">
        <w:rPr>
          <w:rFonts w:ascii="Palatino Linotype" w:eastAsia="Palatino Linotype" w:hAnsi="Palatino Linotype" w:cs="Palatino Linotype"/>
          <w:b/>
          <w:color w:val="000000"/>
          <w:sz w:val="22"/>
          <w:szCs w:val="22"/>
        </w:rPr>
        <w:t>,</w:t>
      </w:r>
      <w:r w:rsidRPr="003B74E8">
        <w:rPr>
          <w:rFonts w:ascii="Palatino Linotype" w:eastAsia="Palatino Linotype" w:hAnsi="Palatino Linotype" w:cs="Palatino Linotype"/>
          <w:color w:val="000000"/>
          <w:sz w:val="22"/>
          <w:szCs w:val="22"/>
        </w:rPr>
        <w:t xml:space="preserve"> a las solicitudes de acceso a la información pública 00037/IMCUFIDETOLUCA/IP/2024, 00038/IMCUFIDETOLUCA/IP/2024 y 00039/IMCUFIDETOLUCA/IP/2024,</w:t>
      </w:r>
      <w:r w:rsidRPr="003B74E8">
        <w:t xml:space="preserve"> </w:t>
      </w:r>
      <w:r w:rsidRPr="003B74E8">
        <w:rPr>
          <w:rFonts w:ascii="Palatino Linotype" w:eastAsia="Palatino Linotype" w:hAnsi="Palatino Linotype" w:cs="Palatino Linotype"/>
          <w:color w:val="000000"/>
          <w:sz w:val="22"/>
          <w:szCs w:val="22"/>
        </w:rPr>
        <w:t>se emite la presente Resolución, con base en los Antecedentes y Considerandos que a continuación se exponen:</w:t>
      </w:r>
    </w:p>
    <w:p w:rsidR="00C53FD1" w:rsidRPr="003B74E8" w:rsidRDefault="00C53FD1">
      <w:pPr>
        <w:tabs>
          <w:tab w:val="left" w:pos="2835"/>
        </w:tabs>
        <w:spacing w:line="360" w:lineRule="auto"/>
        <w:ind w:right="-93"/>
        <w:jc w:val="both"/>
        <w:rPr>
          <w:rFonts w:ascii="Palatino Linotype" w:eastAsia="Palatino Linotype" w:hAnsi="Palatino Linotype" w:cs="Palatino Linotype"/>
          <w:sz w:val="22"/>
          <w:szCs w:val="22"/>
        </w:rPr>
      </w:pPr>
    </w:p>
    <w:p w:rsidR="00C53FD1" w:rsidRPr="003B74E8" w:rsidRDefault="003B74E8">
      <w:pPr>
        <w:spacing w:line="360" w:lineRule="auto"/>
        <w:ind w:right="-93"/>
        <w:jc w:val="center"/>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A N T E C E D E N T E S</w:t>
      </w:r>
    </w:p>
    <w:p w:rsidR="00C53FD1" w:rsidRPr="003B74E8" w:rsidRDefault="00C53FD1">
      <w:pPr>
        <w:spacing w:line="360" w:lineRule="auto"/>
        <w:ind w:right="-93"/>
        <w:jc w:val="both"/>
        <w:rPr>
          <w:rFonts w:ascii="Palatino Linotype" w:eastAsia="Palatino Linotype" w:hAnsi="Palatino Linotype" w:cs="Palatino Linotype"/>
          <w:sz w:val="22"/>
          <w:szCs w:val="22"/>
        </w:rPr>
      </w:pPr>
    </w:p>
    <w:p w:rsidR="00C53FD1" w:rsidRPr="003B74E8" w:rsidRDefault="008C148F">
      <w:pPr>
        <w:tabs>
          <w:tab w:val="left" w:pos="567"/>
        </w:tabs>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I. Presentación</w:t>
      </w:r>
      <w:r w:rsidR="003B74E8" w:rsidRPr="003B74E8">
        <w:rPr>
          <w:rFonts w:ascii="Palatino Linotype" w:eastAsia="Palatino Linotype" w:hAnsi="Palatino Linotype" w:cs="Palatino Linotype"/>
          <w:b/>
          <w:sz w:val="22"/>
          <w:szCs w:val="22"/>
        </w:rPr>
        <w:t xml:space="preserve"> de la solicitud de información</w:t>
      </w:r>
    </w:p>
    <w:p w:rsidR="00C53FD1" w:rsidRPr="003B74E8" w:rsidRDefault="00C53FD1">
      <w:pPr>
        <w:tabs>
          <w:tab w:val="left" w:pos="567"/>
        </w:tabs>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00000"/>
          <w:sz w:val="22"/>
          <w:szCs w:val="22"/>
        </w:rPr>
        <w:t xml:space="preserve">Con fecha veintiuno de octubre de dos mil veinticuatro, el Particular presentó tres solicitudes de acceso a la información pública, a través del Sistema de Acceso a la Información Mexiquense (SAIMEX), ante el </w:t>
      </w:r>
      <w:r w:rsidRPr="003B74E8">
        <w:rPr>
          <w:rFonts w:ascii="Palatino Linotype" w:eastAsia="Palatino Linotype" w:hAnsi="Palatino Linotype" w:cs="Palatino Linotype"/>
          <w:sz w:val="22"/>
          <w:szCs w:val="22"/>
        </w:rPr>
        <w:t>Instituto Municipal de Cultura Física y Deporte de Toluca</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sz w:val="22"/>
          <w:szCs w:val="22"/>
        </w:rPr>
        <w:t>mediante la cual requirió:</w:t>
      </w:r>
    </w:p>
    <w:p w:rsidR="00C53FD1" w:rsidRPr="003B74E8" w:rsidRDefault="00C53FD1">
      <w:pPr>
        <w:tabs>
          <w:tab w:val="left" w:pos="567"/>
        </w:tabs>
        <w:spacing w:line="360" w:lineRule="auto"/>
        <w:ind w:right="-28"/>
        <w:jc w:val="both"/>
        <w:rPr>
          <w:rFonts w:ascii="Palatino Linotype" w:eastAsia="Palatino Linotype" w:hAnsi="Palatino Linotype" w:cs="Palatino Linotype"/>
          <w:sz w:val="16"/>
          <w:szCs w:val="16"/>
        </w:rPr>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3425"/>
        <w:gridCol w:w="5089"/>
      </w:tblGrid>
      <w:tr w:rsidR="00C53FD1" w:rsidRPr="003B74E8">
        <w:tc>
          <w:tcPr>
            <w:tcW w:w="520"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C53FD1">
            <w:pPr>
              <w:spacing w:line="360" w:lineRule="auto"/>
              <w:rPr>
                <w:rFonts w:ascii="Palatino Linotype" w:eastAsia="Palatino Linotype" w:hAnsi="Palatino Linotype" w:cs="Palatino Linotype"/>
                <w:sz w:val="16"/>
                <w:szCs w:val="16"/>
              </w:rPr>
            </w:pPr>
          </w:p>
        </w:tc>
        <w:tc>
          <w:tcPr>
            <w:tcW w:w="3425"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FOLIO DE SOLICITUD</w:t>
            </w:r>
          </w:p>
        </w:tc>
        <w:tc>
          <w:tcPr>
            <w:tcW w:w="5089"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DESCRIPCIÓN CLARA Y PRECISA DE LA INFORMACIÓN SOLICITADA</w:t>
            </w:r>
          </w:p>
        </w:tc>
      </w:tr>
      <w:tr w:rsidR="00C53FD1" w:rsidRPr="003B74E8">
        <w:tc>
          <w:tcPr>
            <w:tcW w:w="520"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lastRenderedPageBreak/>
              <w:t>1</w:t>
            </w:r>
          </w:p>
        </w:tc>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i/>
                <w:color w:val="000000"/>
              </w:rPr>
            </w:pPr>
            <w:r w:rsidRPr="003B74E8">
              <w:rPr>
                <w:rFonts w:ascii="Palatino Linotype" w:eastAsia="Palatino Linotype" w:hAnsi="Palatino Linotype" w:cs="Palatino Linotype"/>
                <w:b/>
              </w:rPr>
              <w:t>00037/IMCUFIDETOLUCA/IP/2024</w:t>
            </w:r>
          </w:p>
        </w:tc>
        <w:tc>
          <w:tcPr>
            <w:tcW w:w="5089"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i/>
              </w:rPr>
            </w:pPr>
            <w:r w:rsidRPr="003B74E8">
              <w:rPr>
                <w:rFonts w:ascii="Palatino Linotype" w:eastAsia="Palatino Linotype" w:hAnsi="Palatino Linotype" w:cs="Palatino Linotype"/>
                <w:i/>
                <w:color w:val="000000"/>
              </w:rPr>
              <w:t xml:space="preserve">“Se solicita el nombre, cargo, sueldo área de adscripción y antigüedad del personal que fue sindicalizados en esta administración y los oficios donde se determina la </w:t>
            </w:r>
            <w:r w:rsidR="000547D7" w:rsidRPr="003B74E8">
              <w:rPr>
                <w:rFonts w:ascii="Palatino Linotype" w:eastAsia="Palatino Linotype" w:hAnsi="Palatino Linotype" w:cs="Palatino Linotype"/>
                <w:i/>
                <w:color w:val="000000"/>
              </w:rPr>
              <w:t>sindicalización</w:t>
            </w:r>
            <w:r w:rsidRPr="003B74E8">
              <w:rPr>
                <w:rFonts w:ascii="Palatino Linotype" w:eastAsia="Palatino Linotype" w:hAnsi="Palatino Linotype" w:cs="Palatino Linotype"/>
                <w:i/>
                <w:color w:val="000000"/>
              </w:rPr>
              <w:t xml:space="preserve"> 2022” (Sic)</w:t>
            </w:r>
          </w:p>
        </w:tc>
      </w:tr>
      <w:tr w:rsidR="00C53FD1" w:rsidRPr="003B74E8">
        <w:tc>
          <w:tcPr>
            <w:tcW w:w="520"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2</w:t>
            </w:r>
          </w:p>
        </w:tc>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i/>
                <w:color w:val="000000"/>
              </w:rPr>
            </w:pPr>
            <w:r w:rsidRPr="003B74E8">
              <w:rPr>
                <w:rFonts w:ascii="Palatino Linotype" w:eastAsia="Palatino Linotype" w:hAnsi="Palatino Linotype" w:cs="Palatino Linotype"/>
                <w:b/>
              </w:rPr>
              <w:t>00038/IMCUFIDETOLUCA/IP/2024</w:t>
            </w:r>
          </w:p>
        </w:tc>
        <w:tc>
          <w:tcPr>
            <w:tcW w:w="5089"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i/>
                <w:color w:val="000000"/>
              </w:rPr>
            </w:pPr>
            <w:r w:rsidRPr="003B74E8">
              <w:rPr>
                <w:rFonts w:ascii="Palatino Linotype" w:eastAsia="Palatino Linotype" w:hAnsi="Palatino Linotype" w:cs="Palatino Linotype"/>
                <w:i/>
                <w:color w:val="000000"/>
              </w:rPr>
              <w:t xml:space="preserve">“Se solicita el nombre, cargo, sueldo área de adscripción y antigüedad del personal que fue sindicalizados en esta administración y los oficios donde se determina la </w:t>
            </w:r>
            <w:r w:rsidR="000547D7" w:rsidRPr="003B74E8">
              <w:rPr>
                <w:rFonts w:ascii="Palatino Linotype" w:eastAsia="Palatino Linotype" w:hAnsi="Palatino Linotype" w:cs="Palatino Linotype"/>
                <w:i/>
                <w:color w:val="000000"/>
              </w:rPr>
              <w:t>sindicalización</w:t>
            </w:r>
            <w:r w:rsidRPr="003B74E8">
              <w:rPr>
                <w:rFonts w:ascii="Palatino Linotype" w:eastAsia="Palatino Linotype" w:hAnsi="Palatino Linotype" w:cs="Palatino Linotype"/>
                <w:i/>
                <w:color w:val="000000"/>
              </w:rPr>
              <w:t xml:space="preserve"> 2023”(Sic)</w:t>
            </w:r>
          </w:p>
        </w:tc>
      </w:tr>
      <w:tr w:rsidR="00C53FD1" w:rsidRPr="003B74E8">
        <w:trPr>
          <w:trHeight w:val="255"/>
        </w:trPr>
        <w:tc>
          <w:tcPr>
            <w:tcW w:w="520"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3</w:t>
            </w:r>
          </w:p>
        </w:tc>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i/>
                <w:color w:val="000000"/>
              </w:rPr>
            </w:pPr>
            <w:r w:rsidRPr="003B74E8">
              <w:rPr>
                <w:rFonts w:ascii="Palatino Linotype" w:eastAsia="Palatino Linotype" w:hAnsi="Palatino Linotype" w:cs="Palatino Linotype"/>
                <w:b/>
              </w:rPr>
              <w:t>00039/IMCUFIDETOLUCA/IP/2024</w:t>
            </w:r>
          </w:p>
        </w:tc>
        <w:tc>
          <w:tcPr>
            <w:tcW w:w="5089"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1890"/>
              </w:tabs>
              <w:spacing w:line="360" w:lineRule="auto"/>
              <w:ind w:right="-28"/>
              <w:jc w:val="both"/>
              <w:rPr>
                <w:rFonts w:ascii="Palatino Linotype" w:eastAsia="Palatino Linotype" w:hAnsi="Palatino Linotype" w:cs="Palatino Linotype"/>
                <w:i/>
                <w:color w:val="000000"/>
              </w:rPr>
            </w:pPr>
            <w:r w:rsidRPr="003B74E8">
              <w:rPr>
                <w:rFonts w:ascii="Palatino Linotype" w:eastAsia="Palatino Linotype" w:hAnsi="Palatino Linotype" w:cs="Palatino Linotype"/>
                <w:i/>
                <w:color w:val="000000"/>
              </w:rPr>
              <w:t xml:space="preserve">“Se solicita el nombre, cargo, sueldo área de adscripción y antigüedad del personal que fue sindicalizados en esta administración y los oficios donde se determina la </w:t>
            </w:r>
            <w:r w:rsidR="000547D7" w:rsidRPr="003B74E8">
              <w:rPr>
                <w:rFonts w:ascii="Palatino Linotype" w:eastAsia="Palatino Linotype" w:hAnsi="Palatino Linotype" w:cs="Palatino Linotype"/>
                <w:i/>
                <w:color w:val="000000"/>
              </w:rPr>
              <w:t>sindicalización</w:t>
            </w:r>
            <w:r w:rsidRPr="003B74E8">
              <w:rPr>
                <w:rFonts w:ascii="Palatino Linotype" w:eastAsia="Palatino Linotype" w:hAnsi="Palatino Linotype" w:cs="Palatino Linotype"/>
                <w:i/>
                <w:color w:val="000000"/>
              </w:rPr>
              <w:t xml:space="preserve"> 2024” (Sic)</w:t>
            </w:r>
          </w:p>
        </w:tc>
      </w:tr>
    </w:tbl>
    <w:p w:rsidR="00C53FD1" w:rsidRPr="003B74E8" w:rsidRDefault="00C53FD1">
      <w:pPr>
        <w:spacing w:line="360" w:lineRule="auto"/>
        <w:ind w:right="567"/>
        <w:rPr>
          <w:rFonts w:ascii="Palatino Linotype" w:eastAsia="Palatino Linotype" w:hAnsi="Palatino Linotype" w:cs="Palatino Linotype"/>
          <w:b/>
          <w:sz w:val="22"/>
          <w:szCs w:val="22"/>
        </w:rPr>
      </w:pPr>
    </w:p>
    <w:p w:rsidR="00C53FD1" w:rsidRPr="003B74E8" w:rsidRDefault="008C148F">
      <w:pPr>
        <w:tabs>
          <w:tab w:val="left" w:pos="4667"/>
        </w:tabs>
        <w:spacing w:line="360" w:lineRule="auto"/>
        <w:jc w:val="both"/>
        <w:rPr>
          <w:rFonts w:ascii="Palatino Linotype" w:eastAsia="Palatino Linotype" w:hAnsi="Palatino Linotype" w:cs="Palatino Linotype"/>
          <w:i/>
          <w:sz w:val="22"/>
          <w:szCs w:val="22"/>
        </w:rPr>
      </w:pPr>
      <w:r w:rsidRPr="003B74E8">
        <w:rPr>
          <w:rFonts w:ascii="Palatino Linotype" w:eastAsia="Palatino Linotype" w:hAnsi="Palatino Linotype" w:cs="Palatino Linotype"/>
          <w:sz w:val="22"/>
          <w:szCs w:val="22"/>
        </w:rPr>
        <w:t xml:space="preserve">Es de señalar que en las tres solicitudes de acceso a la información la ahora Recurrente eligió como modalidad de entrega de la información </w:t>
      </w:r>
      <w:r w:rsidRPr="003B74E8">
        <w:rPr>
          <w:rFonts w:ascii="Palatino Linotype" w:eastAsia="Palatino Linotype" w:hAnsi="Palatino Linotype" w:cs="Palatino Linotype"/>
          <w:i/>
          <w:sz w:val="22"/>
          <w:szCs w:val="22"/>
        </w:rPr>
        <w:t>“A través del SAIMEX”.</w:t>
      </w:r>
    </w:p>
    <w:p w:rsidR="00C53FD1" w:rsidRPr="003B74E8" w:rsidRDefault="00C53FD1">
      <w:pPr>
        <w:spacing w:line="360" w:lineRule="auto"/>
        <w:jc w:val="both"/>
        <w:rPr>
          <w:rFonts w:ascii="Palatino Linotype" w:eastAsia="Palatino Linotype" w:hAnsi="Palatino Linotype" w:cs="Palatino Linotype"/>
          <w:b/>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II</w:t>
      </w:r>
      <w:r w:rsidR="003B74E8" w:rsidRPr="003B74E8">
        <w:rPr>
          <w:rFonts w:ascii="Palatino Linotype" w:eastAsia="Palatino Linotype" w:hAnsi="Palatino Linotype" w:cs="Palatino Linotype"/>
          <w:b/>
          <w:color w:val="000000"/>
          <w:sz w:val="22"/>
          <w:szCs w:val="22"/>
        </w:rPr>
        <w:t>. Respuesta del Sujeto Obligado</w:t>
      </w:r>
    </w:p>
    <w:p w:rsidR="00C53FD1" w:rsidRPr="003B74E8" w:rsidRDefault="00C53FD1">
      <w:pPr>
        <w:spacing w:line="360" w:lineRule="auto"/>
        <w:jc w:val="both"/>
        <w:rPr>
          <w:rFonts w:ascii="Palatino Linotype" w:eastAsia="Palatino Linotype" w:hAnsi="Palatino Linotype" w:cs="Palatino Linotype"/>
          <w:b/>
          <w:color w:val="000000"/>
          <w:sz w:val="22"/>
          <w:szCs w:val="22"/>
        </w:rPr>
      </w:pPr>
    </w:p>
    <w:p w:rsidR="00C53FD1" w:rsidRPr="003B74E8" w:rsidRDefault="008C148F">
      <w:pPr>
        <w:tabs>
          <w:tab w:val="left" w:pos="567"/>
        </w:tabs>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Con fecha veintiuno de octubre de dos mil veinticuatro, el Sujeto Obligado notificó la respuesta a las tres solicitudes de acceso a la información, a través del Sistema de Acceso a la Información Mexiquense (SAIMEX), en los mismos términos, en los que medularmente manifestó: </w:t>
      </w:r>
    </w:p>
    <w:p w:rsidR="00C53FD1" w:rsidRPr="003B74E8" w:rsidRDefault="00C53FD1">
      <w:pPr>
        <w:spacing w:line="360" w:lineRule="auto"/>
        <w:ind w:right="-28"/>
        <w:jc w:val="both"/>
        <w:rPr>
          <w:rFonts w:ascii="Palatino Linotype" w:eastAsia="Palatino Linotype" w:hAnsi="Palatino Linotype" w:cs="Palatino Linotype"/>
          <w:sz w:val="22"/>
          <w:szCs w:val="22"/>
        </w:rPr>
      </w:pP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5"/>
        <w:gridCol w:w="5647"/>
      </w:tblGrid>
      <w:tr w:rsidR="00C53FD1" w:rsidRPr="003B74E8">
        <w:tc>
          <w:tcPr>
            <w:tcW w:w="3425"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FOLIO DE SOLICITUD</w:t>
            </w:r>
          </w:p>
        </w:tc>
        <w:tc>
          <w:tcPr>
            <w:tcW w:w="5647"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center"/>
              <w:rPr>
                <w:rFonts w:ascii="Palatino Linotype" w:eastAsia="Palatino Linotype" w:hAnsi="Palatino Linotype" w:cs="Palatino Linotype"/>
                <w:b/>
              </w:rPr>
            </w:pPr>
            <w:r w:rsidRPr="003B74E8">
              <w:rPr>
                <w:rFonts w:ascii="Palatino Linotype" w:eastAsia="Palatino Linotype" w:hAnsi="Palatino Linotype" w:cs="Palatino Linotype"/>
                <w:b/>
              </w:rPr>
              <w:t>RESPUESTA</w:t>
            </w:r>
          </w:p>
        </w:tc>
      </w:tr>
      <w:tr w:rsidR="00C53FD1" w:rsidRPr="003B74E8">
        <w:trPr>
          <w:trHeight w:val="345"/>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00037/IMCUFIDETOLUCA/IP/2024</w:t>
            </w:r>
          </w:p>
        </w:tc>
        <w:tc>
          <w:tcPr>
            <w:tcW w:w="5647" w:type="dxa"/>
            <w:vMerge w:val="restart"/>
            <w:tcBorders>
              <w:top w:val="single" w:sz="4" w:space="0" w:color="000000"/>
              <w:left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El Sujeto Obligado adjuntó la digitalización de los siguientes documentos: </w:t>
            </w:r>
          </w:p>
          <w:p w:rsidR="00C53FD1" w:rsidRPr="003B74E8" w:rsidRDefault="00C53FD1">
            <w:pPr>
              <w:tabs>
                <w:tab w:val="left" w:pos="567"/>
              </w:tabs>
              <w:spacing w:line="360" w:lineRule="auto"/>
              <w:ind w:right="-28"/>
              <w:jc w:val="both"/>
              <w:rPr>
                <w:rFonts w:ascii="Palatino Linotype" w:eastAsia="Palatino Linotype" w:hAnsi="Palatino Linotype" w:cs="Palatino Linotype"/>
              </w:rPr>
            </w:pPr>
          </w:p>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i) Oficios con números IMCUFIDET/UT/55/2024, IMCUFIDET/UT/56/2024, IMCUFIDET/UT/57/2024, de las mismas fechas de recepción, suscritos por el Titular de la Unidad de Transparencia, por medio de los cuales remitió los diversos IMCUFIDET/CAF/0377/2024, IMCUFIDET/CAF/0378/2024 y IMCUFIDET/CAF/0379/2024. </w:t>
            </w:r>
          </w:p>
          <w:p w:rsidR="00C53FD1" w:rsidRPr="003B74E8" w:rsidRDefault="00C53FD1">
            <w:pPr>
              <w:tabs>
                <w:tab w:val="left" w:pos="567"/>
              </w:tabs>
              <w:spacing w:line="360" w:lineRule="auto"/>
              <w:ind w:right="-28"/>
              <w:jc w:val="both"/>
              <w:rPr>
                <w:rFonts w:ascii="Palatino Linotype" w:eastAsia="Palatino Linotype" w:hAnsi="Palatino Linotype" w:cs="Palatino Linotype"/>
              </w:rPr>
            </w:pPr>
          </w:p>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ii) Oficios con números IMCUFIDET/CAF/0377/2024, IMCUFIDET/CAF/0378/2024 y IMCUFIDET/CAF/0379/2024 de las mismas fechas de recepción, signados por el Coordinador de Administración y Finanzas y dirigidos al Titular de la Unidad de Transparencia en los siguientes términos: </w:t>
            </w:r>
          </w:p>
          <w:p w:rsidR="00C53FD1" w:rsidRPr="003B74E8" w:rsidRDefault="00C53FD1">
            <w:pPr>
              <w:tabs>
                <w:tab w:val="left" w:pos="567"/>
              </w:tabs>
              <w:spacing w:line="360" w:lineRule="auto"/>
              <w:ind w:right="-28"/>
              <w:jc w:val="both"/>
              <w:rPr>
                <w:rFonts w:ascii="Palatino Linotype" w:eastAsia="Palatino Linotype" w:hAnsi="Palatino Linotype" w:cs="Palatino Linotype"/>
              </w:rPr>
            </w:pP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i/>
              </w:rPr>
            </w:pPr>
            <w:r w:rsidRPr="003B74E8">
              <w:rPr>
                <w:rFonts w:ascii="Palatino Linotype" w:eastAsia="Palatino Linotype" w:hAnsi="Palatino Linotype" w:cs="Palatino Linotype"/>
                <w:i/>
              </w:rPr>
              <w:t>“…</w:t>
            </w: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i/>
                <w:u w:val="single"/>
              </w:rPr>
            </w:pPr>
            <w:r w:rsidRPr="003B74E8">
              <w:rPr>
                <w:rFonts w:ascii="Palatino Linotype" w:eastAsia="Palatino Linotype" w:hAnsi="Palatino Linotype" w:cs="Palatino Linotype"/>
                <w:i/>
              </w:rPr>
              <w:t xml:space="preserve">Derivado de la solicitud antes señalada, le informo que, </w:t>
            </w:r>
            <w:r w:rsidRPr="003B74E8">
              <w:rPr>
                <w:rFonts w:ascii="Palatino Linotype" w:eastAsia="Palatino Linotype" w:hAnsi="Palatino Linotype" w:cs="Palatino Linotype"/>
                <w:i/>
                <w:u w:val="single"/>
              </w:rPr>
              <w:t>a la fecha NO se cuenta con movimientos de personal, ni información respecto a servidores públicos que hayan sido sindicalizados dentro del Instituto Municipal de Cultura Física y Deporte de Toluca durante el ejercicio fiscal requerido.</w:t>
            </w: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rPr>
            </w:pPr>
            <w:r w:rsidRPr="003B74E8">
              <w:rPr>
                <w:rFonts w:ascii="Palatino Linotype" w:eastAsia="Palatino Linotype" w:hAnsi="Palatino Linotype" w:cs="Palatino Linotype"/>
                <w:i/>
              </w:rPr>
              <w:t>…”</w:t>
            </w:r>
            <w:r w:rsidRPr="003B74E8">
              <w:rPr>
                <w:rFonts w:ascii="Palatino Linotype" w:eastAsia="Palatino Linotype" w:hAnsi="Palatino Linotype" w:cs="Palatino Linotype"/>
              </w:rPr>
              <w:t xml:space="preserve"> </w:t>
            </w:r>
          </w:p>
        </w:tc>
      </w:tr>
      <w:tr w:rsidR="00C53FD1" w:rsidRPr="003B74E8">
        <w:trPr>
          <w:trHeight w:val="300"/>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00038/IMCUFIDETOLUCA/IP/2024</w:t>
            </w:r>
          </w:p>
        </w:tc>
        <w:tc>
          <w:tcPr>
            <w:tcW w:w="5647" w:type="dxa"/>
            <w:vMerge/>
            <w:tcBorders>
              <w:top w:val="single" w:sz="4" w:space="0" w:color="000000"/>
              <w:left w:val="single" w:sz="4" w:space="0" w:color="000000"/>
              <w:right w:val="single" w:sz="4" w:space="0" w:color="000000"/>
            </w:tcBorders>
          </w:tcPr>
          <w:p w:rsidR="00C53FD1" w:rsidRPr="003B74E8" w:rsidRDefault="00C53FD1">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C53FD1" w:rsidRPr="003B74E8">
        <w:trPr>
          <w:trHeight w:val="325"/>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lastRenderedPageBreak/>
              <w:t>00039/IMCUFIDETOLUCA/IP/2024</w:t>
            </w:r>
          </w:p>
        </w:tc>
        <w:tc>
          <w:tcPr>
            <w:tcW w:w="5647" w:type="dxa"/>
            <w:vMerge/>
            <w:tcBorders>
              <w:top w:val="single" w:sz="4" w:space="0" w:color="000000"/>
              <w:left w:val="single" w:sz="4" w:space="0" w:color="000000"/>
              <w:right w:val="single" w:sz="4" w:space="0" w:color="000000"/>
            </w:tcBorders>
          </w:tcPr>
          <w:p w:rsidR="00C53FD1" w:rsidRPr="003B74E8" w:rsidRDefault="00C53FD1">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bl>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III. Interpo</w:t>
      </w:r>
      <w:r w:rsidR="003B74E8" w:rsidRPr="003B74E8">
        <w:rPr>
          <w:rFonts w:ascii="Palatino Linotype" w:eastAsia="Palatino Linotype" w:hAnsi="Palatino Linotype" w:cs="Palatino Linotype"/>
          <w:b/>
          <w:color w:val="000000"/>
          <w:sz w:val="22"/>
          <w:szCs w:val="22"/>
        </w:rPr>
        <w:t>sición del Recurso de Revisión</w:t>
      </w:r>
    </w:p>
    <w:p w:rsidR="00C53FD1" w:rsidRPr="003B74E8" w:rsidRDefault="00C53FD1">
      <w:pPr>
        <w:spacing w:line="360" w:lineRule="auto"/>
        <w:jc w:val="both"/>
        <w:rPr>
          <w:rFonts w:ascii="Palatino Linotype" w:eastAsia="Palatino Linotype" w:hAnsi="Palatino Linotype" w:cs="Palatino Linotype"/>
          <w:b/>
          <w:color w:val="000000"/>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lastRenderedPageBreak/>
        <w:t>Con fechas cuatro y  seis de noviembre de dos mil veinticuatro, se recibieron en este Instituto, a través del Sistema de Acceso a la Información Mexiquense (SAIMEX), tres Recursos de Revisión interpuestos por el Particular, ante el Sujeto Obligado a las solicitudes de acceso a la información con números 00037/IMCUFIDETOLUCA/IP/2024, 00038/IMCUFIDETOLUCA/IP/2024 y 00039/IMCUFIDETOLUCA/IP/2024, conforme a lo siguiente:</w:t>
      </w:r>
    </w:p>
    <w:p w:rsidR="00C53FD1" w:rsidRPr="003B74E8" w:rsidRDefault="00C53FD1">
      <w:pPr>
        <w:spacing w:line="360" w:lineRule="auto"/>
        <w:ind w:left="567" w:right="567"/>
        <w:jc w:val="both"/>
        <w:rPr>
          <w:rFonts w:ascii="Palatino Linotype" w:eastAsia="Palatino Linotype" w:hAnsi="Palatino Linotype" w:cs="Palatino Linotype"/>
          <w:b/>
        </w:rPr>
      </w:pPr>
    </w:p>
    <w:p w:rsidR="00C53FD1" w:rsidRPr="003B74E8" w:rsidRDefault="008C148F">
      <w:pPr>
        <w:spacing w:line="360" w:lineRule="auto"/>
        <w:ind w:left="567" w:right="567"/>
        <w:rPr>
          <w:rFonts w:ascii="Palatino Linotype" w:eastAsia="Palatino Linotype" w:hAnsi="Palatino Linotype" w:cs="Palatino Linotype"/>
          <w:b/>
        </w:rPr>
      </w:pPr>
      <w:bookmarkStart w:id="0" w:name="_heading=h.gjdgxs" w:colFirst="0" w:colLast="0"/>
      <w:bookmarkEnd w:id="0"/>
      <w:r w:rsidRPr="003B74E8">
        <w:rPr>
          <w:rFonts w:ascii="Palatino Linotype" w:eastAsia="Palatino Linotype" w:hAnsi="Palatino Linotype" w:cs="Palatino Linotype"/>
          <w:b/>
        </w:rPr>
        <w:t>Solicitud con número de folio 00037/IMCUFIDETOLUCA/IP/2024 referente al Medio de Impugnación 07096/INFOEM/IP/RR/2024.</w:t>
      </w:r>
    </w:p>
    <w:p w:rsidR="00C53FD1" w:rsidRPr="003B74E8" w:rsidRDefault="008C148F">
      <w:pPr>
        <w:spacing w:line="360" w:lineRule="auto"/>
        <w:ind w:left="567" w:right="567"/>
        <w:rPr>
          <w:rFonts w:ascii="Palatino Linotype" w:eastAsia="Palatino Linotype" w:hAnsi="Palatino Linotype" w:cs="Palatino Linotype"/>
          <w:b/>
          <w:i/>
        </w:rPr>
      </w:pPr>
      <w:r w:rsidRPr="003B74E8">
        <w:rPr>
          <w:rFonts w:ascii="Palatino Linotype" w:eastAsia="Palatino Linotype" w:hAnsi="Palatino Linotype" w:cs="Palatino Linotype"/>
          <w:b/>
          <w:i/>
        </w:rPr>
        <w:t xml:space="preserve"> “ACTO IMPUGNADO</w:t>
      </w:r>
    </w:p>
    <w:p w:rsidR="00C53FD1" w:rsidRPr="003B74E8" w:rsidRDefault="008C148F">
      <w:pPr>
        <w:spacing w:line="360" w:lineRule="auto"/>
        <w:ind w:left="567" w:right="567"/>
        <w:rPr>
          <w:rFonts w:ascii="Palatino Linotype" w:eastAsia="Palatino Linotype" w:hAnsi="Palatino Linotype" w:cs="Palatino Linotype"/>
          <w:b/>
          <w:i/>
        </w:rPr>
      </w:pPr>
      <w:proofErr w:type="gramStart"/>
      <w:r w:rsidRPr="003B74E8">
        <w:rPr>
          <w:rFonts w:ascii="Palatino Linotype" w:eastAsia="Palatino Linotype" w:hAnsi="Palatino Linotype" w:cs="Palatino Linotype"/>
          <w:i/>
        </w:rPr>
        <w:t>no</w:t>
      </w:r>
      <w:proofErr w:type="gramEnd"/>
      <w:r w:rsidRPr="003B74E8">
        <w:rPr>
          <w:rFonts w:ascii="Palatino Linotype" w:eastAsia="Palatino Linotype" w:hAnsi="Palatino Linotype" w:cs="Palatino Linotype"/>
          <w:i/>
        </w:rPr>
        <w:t xml:space="preserve"> entrega nada” (Sic.)</w:t>
      </w:r>
    </w:p>
    <w:p w:rsidR="00C53FD1" w:rsidRPr="003B74E8" w:rsidRDefault="008C148F">
      <w:pPr>
        <w:tabs>
          <w:tab w:val="left" w:pos="4667"/>
        </w:tabs>
        <w:spacing w:line="360" w:lineRule="auto"/>
        <w:ind w:left="567" w:right="567"/>
        <w:rPr>
          <w:rFonts w:ascii="Palatino Linotype" w:eastAsia="Palatino Linotype" w:hAnsi="Palatino Linotype" w:cs="Palatino Linotype"/>
          <w:b/>
          <w:i/>
        </w:rPr>
      </w:pPr>
      <w:r w:rsidRPr="003B74E8">
        <w:rPr>
          <w:rFonts w:ascii="Palatino Linotype" w:eastAsia="Palatino Linotype" w:hAnsi="Palatino Linotype" w:cs="Palatino Linotype"/>
          <w:b/>
          <w:i/>
        </w:rPr>
        <w:t xml:space="preserve"> “RAZONES O MOTIVOS DE LA INCONFORMIDAD</w:t>
      </w:r>
    </w:p>
    <w:p w:rsidR="00C53FD1" w:rsidRPr="003B74E8" w:rsidRDefault="008C148F">
      <w:pPr>
        <w:tabs>
          <w:tab w:val="left" w:pos="4667"/>
        </w:tabs>
        <w:spacing w:line="360" w:lineRule="auto"/>
        <w:ind w:left="567" w:right="567"/>
        <w:rPr>
          <w:rFonts w:ascii="Palatino Linotype" w:eastAsia="Palatino Linotype" w:hAnsi="Palatino Linotype" w:cs="Palatino Linotype"/>
          <w:b/>
          <w:i/>
        </w:rPr>
      </w:pPr>
      <w:proofErr w:type="gramStart"/>
      <w:r w:rsidRPr="003B74E8">
        <w:rPr>
          <w:rFonts w:ascii="Palatino Linotype" w:eastAsia="Palatino Linotype" w:hAnsi="Palatino Linotype" w:cs="Palatino Linotype"/>
          <w:i/>
        </w:rPr>
        <w:t>la</w:t>
      </w:r>
      <w:proofErr w:type="gramEnd"/>
      <w:r w:rsidRPr="003B74E8">
        <w:rPr>
          <w:rFonts w:ascii="Palatino Linotype" w:eastAsia="Palatino Linotype" w:hAnsi="Palatino Linotype" w:cs="Palatino Linotype"/>
          <w:i/>
        </w:rPr>
        <w:t xml:space="preserve"> respuesta de la unidad de transparencia” (Sic.)</w:t>
      </w:r>
    </w:p>
    <w:p w:rsidR="00C53FD1" w:rsidRPr="003B74E8" w:rsidRDefault="00C53FD1">
      <w:pPr>
        <w:spacing w:line="360" w:lineRule="auto"/>
        <w:ind w:left="567" w:right="567"/>
        <w:rPr>
          <w:rFonts w:ascii="Palatino Linotype" w:eastAsia="Palatino Linotype" w:hAnsi="Palatino Linotype" w:cs="Palatino Linotype"/>
          <w:b/>
        </w:rPr>
      </w:pPr>
    </w:p>
    <w:p w:rsidR="00C53FD1" w:rsidRPr="003B74E8" w:rsidRDefault="008C148F">
      <w:pPr>
        <w:spacing w:line="360" w:lineRule="auto"/>
        <w:ind w:left="567" w:right="567"/>
        <w:rPr>
          <w:rFonts w:ascii="Palatino Linotype" w:eastAsia="Palatino Linotype" w:hAnsi="Palatino Linotype" w:cs="Palatino Linotype"/>
          <w:b/>
        </w:rPr>
      </w:pPr>
      <w:r w:rsidRPr="003B74E8">
        <w:rPr>
          <w:rFonts w:ascii="Palatino Linotype" w:eastAsia="Palatino Linotype" w:hAnsi="Palatino Linotype" w:cs="Palatino Linotype"/>
          <w:b/>
        </w:rPr>
        <w:t>Solicitud con número de folio 00038/IMCUFIDETOLUCA/IP/2024 referente al Medio de Impugnación 07095/INFOEM/IP/RR/2024.</w:t>
      </w:r>
    </w:p>
    <w:p w:rsidR="00C53FD1" w:rsidRPr="003B74E8" w:rsidRDefault="008C148F">
      <w:pPr>
        <w:spacing w:line="360" w:lineRule="auto"/>
        <w:ind w:left="567" w:right="567"/>
        <w:rPr>
          <w:rFonts w:ascii="Palatino Linotype" w:eastAsia="Palatino Linotype" w:hAnsi="Palatino Linotype" w:cs="Palatino Linotype"/>
          <w:b/>
        </w:rPr>
      </w:pPr>
      <w:r w:rsidRPr="003B74E8">
        <w:rPr>
          <w:rFonts w:ascii="Palatino Linotype" w:eastAsia="Palatino Linotype" w:hAnsi="Palatino Linotype" w:cs="Palatino Linotype"/>
          <w:b/>
          <w:i/>
        </w:rPr>
        <w:t>“ACTO IMPUGNADO</w:t>
      </w:r>
    </w:p>
    <w:p w:rsidR="00C53FD1" w:rsidRPr="003B74E8" w:rsidRDefault="008C148F">
      <w:pPr>
        <w:tabs>
          <w:tab w:val="left" w:pos="4667"/>
        </w:tabs>
        <w:spacing w:line="360" w:lineRule="auto"/>
        <w:ind w:left="567" w:right="567"/>
        <w:jc w:val="both"/>
        <w:rPr>
          <w:rFonts w:ascii="Palatino Linotype" w:eastAsia="Palatino Linotype" w:hAnsi="Palatino Linotype" w:cs="Palatino Linotype"/>
          <w:i/>
        </w:rPr>
      </w:pPr>
      <w:proofErr w:type="gramStart"/>
      <w:r w:rsidRPr="003B74E8">
        <w:rPr>
          <w:rFonts w:ascii="Palatino Linotype" w:eastAsia="Palatino Linotype" w:hAnsi="Palatino Linotype" w:cs="Palatino Linotype"/>
          <w:i/>
        </w:rPr>
        <w:t>no</w:t>
      </w:r>
      <w:proofErr w:type="gramEnd"/>
      <w:r w:rsidRPr="003B74E8">
        <w:rPr>
          <w:rFonts w:ascii="Palatino Linotype" w:eastAsia="Palatino Linotype" w:hAnsi="Palatino Linotype" w:cs="Palatino Linotype"/>
          <w:i/>
        </w:rPr>
        <w:t xml:space="preserve"> atiende la solicitud” (Sic.)</w:t>
      </w:r>
    </w:p>
    <w:p w:rsidR="00C53FD1" w:rsidRPr="003B74E8" w:rsidRDefault="00C53FD1">
      <w:pPr>
        <w:tabs>
          <w:tab w:val="left" w:pos="4667"/>
        </w:tabs>
        <w:spacing w:line="360" w:lineRule="auto"/>
        <w:ind w:left="567" w:right="567"/>
        <w:jc w:val="both"/>
        <w:rPr>
          <w:rFonts w:ascii="Palatino Linotype" w:eastAsia="Palatino Linotype" w:hAnsi="Palatino Linotype" w:cs="Palatino Linotype"/>
          <w:i/>
        </w:rPr>
      </w:pPr>
    </w:p>
    <w:p w:rsidR="00C53FD1" w:rsidRPr="003B74E8" w:rsidRDefault="008C148F">
      <w:pPr>
        <w:tabs>
          <w:tab w:val="left" w:pos="4667"/>
        </w:tabs>
        <w:spacing w:line="360" w:lineRule="auto"/>
        <w:ind w:left="567" w:right="567"/>
        <w:rPr>
          <w:rFonts w:ascii="Palatino Linotype" w:eastAsia="Palatino Linotype" w:hAnsi="Palatino Linotype" w:cs="Palatino Linotype"/>
          <w:b/>
          <w:i/>
        </w:rPr>
      </w:pPr>
      <w:r w:rsidRPr="003B74E8">
        <w:rPr>
          <w:rFonts w:ascii="Palatino Linotype" w:eastAsia="Palatino Linotype" w:hAnsi="Palatino Linotype" w:cs="Palatino Linotype"/>
          <w:b/>
          <w:i/>
        </w:rPr>
        <w:t xml:space="preserve"> “RAZONES O MOTIVOS DE LA INCONFORMIDAD</w:t>
      </w:r>
    </w:p>
    <w:p w:rsidR="00C53FD1" w:rsidRPr="003B74E8" w:rsidRDefault="008C148F">
      <w:pPr>
        <w:tabs>
          <w:tab w:val="left" w:pos="4667"/>
        </w:tabs>
        <w:spacing w:line="360" w:lineRule="auto"/>
        <w:ind w:left="567" w:right="567"/>
        <w:jc w:val="both"/>
        <w:rPr>
          <w:rFonts w:ascii="Palatino Linotype" w:eastAsia="Palatino Linotype" w:hAnsi="Palatino Linotype" w:cs="Palatino Linotype"/>
          <w:i/>
        </w:rPr>
      </w:pPr>
      <w:proofErr w:type="gramStart"/>
      <w:r w:rsidRPr="003B74E8">
        <w:rPr>
          <w:rFonts w:ascii="Palatino Linotype" w:eastAsia="Palatino Linotype" w:hAnsi="Palatino Linotype" w:cs="Palatino Linotype"/>
          <w:i/>
        </w:rPr>
        <w:t>no</w:t>
      </w:r>
      <w:proofErr w:type="gramEnd"/>
      <w:r w:rsidRPr="003B74E8">
        <w:rPr>
          <w:rFonts w:ascii="Palatino Linotype" w:eastAsia="Palatino Linotype" w:hAnsi="Palatino Linotype" w:cs="Palatino Linotype"/>
          <w:i/>
        </w:rPr>
        <w:t xml:space="preserve"> </w:t>
      </w:r>
      <w:r w:rsidR="000547D7" w:rsidRPr="003B74E8">
        <w:rPr>
          <w:rFonts w:ascii="Palatino Linotype" w:eastAsia="Palatino Linotype" w:hAnsi="Palatino Linotype" w:cs="Palatino Linotype"/>
          <w:i/>
        </w:rPr>
        <w:t>atiende</w:t>
      </w:r>
      <w:r w:rsidRPr="003B74E8">
        <w:rPr>
          <w:rFonts w:ascii="Palatino Linotype" w:eastAsia="Palatino Linotype" w:hAnsi="Palatino Linotype" w:cs="Palatino Linotype"/>
          <w:i/>
        </w:rPr>
        <w:t xml:space="preserve"> la solicitud” (Sic.)</w:t>
      </w:r>
    </w:p>
    <w:p w:rsidR="00C53FD1" w:rsidRPr="003B74E8" w:rsidRDefault="00C53FD1">
      <w:pPr>
        <w:spacing w:line="360" w:lineRule="auto"/>
        <w:ind w:left="567" w:right="567"/>
        <w:rPr>
          <w:rFonts w:ascii="Palatino Linotype" w:eastAsia="Palatino Linotype" w:hAnsi="Palatino Linotype" w:cs="Palatino Linotype"/>
          <w:b/>
        </w:rPr>
      </w:pPr>
    </w:p>
    <w:p w:rsidR="00C53FD1" w:rsidRPr="003B74E8" w:rsidRDefault="008C148F">
      <w:pPr>
        <w:spacing w:line="360" w:lineRule="auto"/>
        <w:ind w:left="567" w:right="567"/>
        <w:rPr>
          <w:rFonts w:ascii="Palatino Linotype" w:eastAsia="Palatino Linotype" w:hAnsi="Palatino Linotype" w:cs="Palatino Linotype"/>
          <w:b/>
        </w:rPr>
      </w:pPr>
      <w:r w:rsidRPr="003B74E8">
        <w:rPr>
          <w:rFonts w:ascii="Palatino Linotype" w:eastAsia="Palatino Linotype" w:hAnsi="Palatino Linotype" w:cs="Palatino Linotype"/>
          <w:b/>
        </w:rPr>
        <w:t xml:space="preserve">Solicitud con número de folio 00039/IMCUFIDETOLUCA/IP/2024 referente al Medio de Impugnación </w:t>
      </w:r>
      <w:r w:rsidRPr="003B74E8">
        <w:rPr>
          <w:rFonts w:ascii="Palatino Linotype" w:eastAsia="Palatino Linotype" w:hAnsi="Palatino Linotype" w:cs="Palatino Linotype"/>
          <w:b/>
        </w:rPr>
        <w:tab/>
        <w:t>07041/INFOEM/IP/RR/2024.</w:t>
      </w:r>
    </w:p>
    <w:p w:rsidR="00C53FD1" w:rsidRPr="003B74E8" w:rsidRDefault="008C148F">
      <w:pPr>
        <w:spacing w:line="360" w:lineRule="auto"/>
        <w:ind w:left="567" w:right="567"/>
        <w:rPr>
          <w:rFonts w:ascii="Palatino Linotype" w:eastAsia="Palatino Linotype" w:hAnsi="Palatino Linotype" w:cs="Palatino Linotype"/>
          <w:b/>
          <w:i/>
        </w:rPr>
      </w:pPr>
      <w:r w:rsidRPr="003B74E8">
        <w:rPr>
          <w:rFonts w:ascii="Palatino Linotype" w:eastAsia="Palatino Linotype" w:hAnsi="Palatino Linotype" w:cs="Palatino Linotype"/>
          <w:b/>
          <w:i/>
        </w:rPr>
        <w:t xml:space="preserve"> “ACTO IMPUGNADO</w:t>
      </w:r>
    </w:p>
    <w:p w:rsidR="00C53FD1" w:rsidRPr="003B74E8" w:rsidRDefault="008C148F">
      <w:pPr>
        <w:tabs>
          <w:tab w:val="left" w:pos="4667"/>
        </w:tabs>
        <w:spacing w:line="360" w:lineRule="auto"/>
        <w:ind w:left="567" w:right="567"/>
        <w:jc w:val="both"/>
        <w:rPr>
          <w:rFonts w:ascii="Palatino Linotype" w:eastAsia="Palatino Linotype" w:hAnsi="Palatino Linotype" w:cs="Palatino Linotype"/>
          <w:i/>
        </w:rPr>
      </w:pPr>
      <w:proofErr w:type="gramStart"/>
      <w:r w:rsidRPr="003B74E8">
        <w:rPr>
          <w:rFonts w:ascii="Palatino Linotype" w:eastAsia="Palatino Linotype" w:hAnsi="Palatino Linotype" w:cs="Palatino Linotype"/>
          <w:i/>
        </w:rPr>
        <w:t>no</w:t>
      </w:r>
      <w:proofErr w:type="gramEnd"/>
      <w:r w:rsidRPr="003B74E8">
        <w:rPr>
          <w:rFonts w:ascii="Palatino Linotype" w:eastAsia="Palatino Linotype" w:hAnsi="Palatino Linotype" w:cs="Palatino Linotype"/>
          <w:i/>
        </w:rPr>
        <w:t xml:space="preserve"> atiende mi petición” (Sic.)</w:t>
      </w:r>
    </w:p>
    <w:p w:rsidR="00C53FD1" w:rsidRPr="003B74E8" w:rsidRDefault="00C53FD1">
      <w:pPr>
        <w:tabs>
          <w:tab w:val="left" w:pos="4667"/>
        </w:tabs>
        <w:spacing w:line="360" w:lineRule="auto"/>
        <w:ind w:left="567" w:right="567"/>
        <w:jc w:val="both"/>
        <w:rPr>
          <w:rFonts w:ascii="Palatino Linotype" w:eastAsia="Palatino Linotype" w:hAnsi="Palatino Linotype" w:cs="Palatino Linotype"/>
          <w:i/>
        </w:rPr>
      </w:pPr>
    </w:p>
    <w:p w:rsidR="00C53FD1" w:rsidRPr="003B74E8" w:rsidRDefault="008C148F">
      <w:pPr>
        <w:tabs>
          <w:tab w:val="left" w:pos="4667"/>
        </w:tabs>
        <w:spacing w:line="360" w:lineRule="auto"/>
        <w:ind w:right="567"/>
        <w:rPr>
          <w:rFonts w:ascii="Palatino Linotype" w:eastAsia="Palatino Linotype" w:hAnsi="Palatino Linotype" w:cs="Palatino Linotype"/>
          <w:b/>
          <w:i/>
        </w:rPr>
      </w:pPr>
      <w:r w:rsidRPr="003B74E8">
        <w:rPr>
          <w:rFonts w:ascii="Palatino Linotype" w:eastAsia="Palatino Linotype" w:hAnsi="Palatino Linotype" w:cs="Palatino Linotype"/>
          <w:i/>
        </w:rPr>
        <w:lastRenderedPageBreak/>
        <w:t xml:space="preserve">           </w:t>
      </w:r>
      <w:r w:rsidRPr="003B74E8">
        <w:rPr>
          <w:rFonts w:ascii="Palatino Linotype" w:eastAsia="Palatino Linotype" w:hAnsi="Palatino Linotype" w:cs="Palatino Linotype"/>
          <w:b/>
          <w:i/>
        </w:rPr>
        <w:t>“RAZONES O MOTIVOS DE LA INCONFORMIDAD</w:t>
      </w:r>
    </w:p>
    <w:p w:rsidR="00C53FD1" w:rsidRPr="003B74E8" w:rsidRDefault="008C148F">
      <w:pPr>
        <w:tabs>
          <w:tab w:val="left" w:pos="4667"/>
        </w:tabs>
        <w:spacing w:line="360" w:lineRule="auto"/>
        <w:ind w:left="567" w:right="567"/>
        <w:jc w:val="both"/>
        <w:rPr>
          <w:rFonts w:ascii="Palatino Linotype" w:eastAsia="Palatino Linotype" w:hAnsi="Palatino Linotype" w:cs="Palatino Linotype"/>
          <w:i/>
        </w:rPr>
      </w:pPr>
      <w:r w:rsidRPr="003B74E8">
        <w:rPr>
          <w:rFonts w:ascii="Palatino Linotype" w:eastAsia="Palatino Linotype" w:hAnsi="Palatino Linotype" w:cs="Palatino Linotype"/>
          <w:i/>
        </w:rPr>
        <w:t xml:space="preserve">no es atendida la </w:t>
      </w:r>
      <w:r w:rsidR="000547D7" w:rsidRPr="003B74E8">
        <w:rPr>
          <w:rFonts w:ascii="Palatino Linotype" w:eastAsia="Palatino Linotype" w:hAnsi="Palatino Linotype" w:cs="Palatino Linotype"/>
          <w:i/>
        </w:rPr>
        <w:t>petición</w:t>
      </w:r>
      <w:bookmarkStart w:id="1" w:name="_GoBack"/>
      <w:bookmarkEnd w:id="1"/>
      <w:r w:rsidRPr="003B74E8">
        <w:rPr>
          <w:rFonts w:ascii="Palatino Linotype" w:eastAsia="Palatino Linotype" w:hAnsi="Palatino Linotype" w:cs="Palatino Linotype"/>
          <w:i/>
        </w:rPr>
        <w:t>” (Sic.)</w:t>
      </w:r>
    </w:p>
    <w:p w:rsidR="00C53FD1" w:rsidRPr="003B74E8" w:rsidRDefault="00C53FD1">
      <w:pPr>
        <w:tabs>
          <w:tab w:val="left" w:pos="4667"/>
        </w:tabs>
        <w:spacing w:line="360" w:lineRule="auto"/>
        <w:ind w:left="567" w:right="567"/>
        <w:jc w:val="both"/>
        <w:rPr>
          <w:rFonts w:ascii="Palatino Linotype" w:eastAsia="Palatino Linotype" w:hAnsi="Palatino Linotype" w:cs="Palatino Linotype"/>
          <w:i/>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IV. Trámite del Recurs</w:t>
      </w:r>
      <w:r w:rsidR="003B74E8" w:rsidRPr="003B74E8">
        <w:rPr>
          <w:rFonts w:ascii="Palatino Linotype" w:eastAsia="Palatino Linotype" w:hAnsi="Palatino Linotype" w:cs="Palatino Linotype"/>
          <w:b/>
          <w:color w:val="000000"/>
          <w:sz w:val="22"/>
          <w:szCs w:val="22"/>
        </w:rPr>
        <w:t>o de Revisión ante el Instituto</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b/>
          <w:color w:val="000000"/>
          <w:sz w:val="22"/>
          <w:szCs w:val="22"/>
        </w:rPr>
        <w:t xml:space="preserve">a) Turno del Medio de Impugnación. </w:t>
      </w:r>
      <w:r w:rsidRPr="003B74E8">
        <w:rPr>
          <w:rFonts w:ascii="Palatino Linotype" w:eastAsia="Palatino Linotype" w:hAnsi="Palatino Linotype" w:cs="Palatino Linotype"/>
          <w:color w:val="000000"/>
          <w:sz w:val="22"/>
          <w:szCs w:val="22"/>
        </w:rPr>
        <w:t xml:space="preserve">El cuatro y seis de noviembre de dos mil veinticuatro, el Sistema de Acceso a la Información Mexiquense (SAIMEX), asignó los números de expedientes </w:t>
      </w:r>
      <w:r w:rsidRPr="003B74E8">
        <w:rPr>
          <w:rFonts w:ascii="Palatino Linotype" w:eastAsia="Palatino Linotype" w:hAnsi="Palatino Linotype" w:cs="Palatino Linotype"/>
          <w:b/>
          <w:color w:val="000000"/>
          <w:sz w:val="22"/>
          <w:szCs w:val="22"/>
        </w:rPr>
        <w:t xml:space="preserve">07041/INFOEM/IP/RR/2024, 07095/INFOEM/IP/RR/2024 y 07096/INFOEM/IP/RR/2024, </w:t>
      </w:r>
      <w:r w:rsidRPr="003B74E8">
        <w:rPr>
          <w:rFonts w:ascii="Palatino Linotype" w:eastAsia="Palatino Linotype" w:hAnsi="Palatino Linotype" w:cs="Palatino Linotype"/>
          <w:color w:val="000000"/>
          <w:sz w:val="22"/>
          <w:szCs w:val="22"/>
        </w:rPr>
        <w:t>a los medios de impugnación que nos ocupan, con base en el sistema aprobado por el Pleno de este Órgano Garante y los turnó al Comisionado Ponente Luis Gustavo Parra Noriega, para los efectos del artículo 185, fracción I de la Ley de Transparencia y Acceso a la Información Pública del Estado de México y Municipios.</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b/>
          <w:color w:val="000000"/>
          <w:sz w:val="22"/>
          <w:szCs w:val="22"/>
        </w:rPr>
        <w:t xml:space="preserve">b) Admisión de los Recursos de Revisión. </w:t>
      </w:r>
      <w:r w:rsidRPr="003B74E8">
        <w:rPr>
          <w:rFonts w:ascii="Palatino Linotype" w:eastAsia="Palatino Linotype" w:hAnsi="Palatino Linotype" w:cs="Palatino Linotype"/>
          <w:color w:val="000000"/>
          <w:sz w:val="22"/>
          <w:szCs w:val="22"/>
        </w:rPr>
        <w:t xml:space="preserve">El siete, once y doce  de noviembre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el cual </w:t>
      </w:r>
      <w:r w:rsidRPr="003B74E8">
        <w:rPr>
          <w:rFonts w:ascii="Palatino Linotype" w:eastAsia="Palatino Linotype" w:hAnsi="Palatino Linotype" w:cs="Palatino Linotype"/>
          <w:b/>
          <w:color w:val="000000"/>
          <w:sz w:val="22"/>
          <w:szCs w:val="22"/>
        </w:rPr>
        <w:t>fue notificado a las partes los mismos días</w:t>
      </w:r>
      <w:r w:rsidRPr="003B74E8">
        <w:rPr>
          <w:rFonts w:ascii="Palatino Linotype" w:eastAsia="Palatino Linotype" w:hAnsi="Palatino Linotype" w:cs="Palatino Linotype"/>
          <w:color w:val="000000"/>
          <w:sz w:val="22"/>
          <w:szCs w:val="22"/>
        </w:rPr>
        <w:t>, a través del Sistema de Acceso a la Información Mexiquense (SAIMEX), en el que se les otorgó un plazo de siete días hábiles posteriores a la misma, para que manifestaran lo que a su derecho conviniera y formularan alegatos.</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b/>
          <w:color w:val="000000"/>
          <w:sz w:val="22"/>
          <w:szCs w:val="22"/>
        </w:rPr>
        <w:t>c)</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b/>
          <w:color w:val="000000"/>
          <w:sz w:val="22"/>
          <w:szCs w:val="22"/>
        </w:rPr>
        <w:t xml:space="preserve">Informe Justificado o Manifestaciones. </w:t>
      </w:r>
      <w:r w:rsidRPr="003B74E8">
        <w:rPr>
          <w:rFonts w:ascii="Palatino Linotype" w:eastAsia="Palatino Linotype" w:hAnsi="Palatino Linotype" w:cs="Palatino Linotype"/>
          <w:sz w:val="22"/>
          <w:szCs w:val="22"/>
        </w:rPr>
        <w:t>El once y veintiuno de noviembre de dos mil veinticuatro, el Sujeto Obligado remitió sus Informes Justificados, a través de Sistema de Acceso a la Información Mexiquense (SAIMEX), en los siguientes términos:</w:t>
      </w:r>
    </w:p>
    <w:p w:rsidR="00C53FD1" w:rsidRPr="003B74E8" w:rsidRDefault="00C53FD1">
      <w:pPr>
        <w:spacing w:line="360" w:lineRule="auto"/>
        <w:jc w:val="both"/>
        <w:rPr>
          <w:rFonts w:ascii="Palatino Linotype" w:eastAsia="Palatino Linotype" w:hAnsi="Palatino Linotype" w:cs="Palatino Linotype"/>
          <w:sz w:val="22"/>
          <w:szCs w:val="22"/>
        </w:rPr>
      </w:pP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5"/>
        <w:gridCol w:w="5647"/>
      </w:tblGrid>
      <w:tr w:rsidR="00C53FD1" w:rsidRPr="003B74E8">
        <w:tc>
          <w:tcPr>
            <w:tcW w:w="3425"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lastRenderedPageBreak/>
              <w:t>FOLIO DE SOLICITUD</w:t>
            </w:r>
          </w:p>
        </w:tc>
        <w:tc>
          <w:tcPr>
            <w:tcW w:w="5647" w:type="dxa"/>
            <w:tcBorders>
              <w:top w:val="single" w:sz="4" w:space="0" w:color="000000"/>
              <w:left w:val="single" w:sz="4" w:space="0" w:color="000000"/>
              <w:bottom w:val="single" w:sz="4" w:space="0" w:color="000000"/>
              <w:right w:val="single" w:sz="4" w:space="0" w:color="000000"/>
            </w:tcBorders>
            <w:shd w:val="clear" w:color="auto" w:fill="D0CECE"/>
          </w:tcPr>
          <w:p w:rsidR="00C53FD1" w:rsidRPr="003B74E8" w:rsidRDefault="008C148F">
            <w:pPr>
              <w:tabs>
                <w:tab w:val="left" w:pos="567"/>
              </w:tabs>
              <w:spacing w:line="360" w:lineRule="auto"/>
              <w:ind w:right="-28"/>
              <w:jc w:val="center"/>
              <w:rPr>
                <w:rFonts w:ascii="Palatino Linotype" w:eastAsia="Palatino Linotype" w:hAnsi="Palatino Linotype" w:cs="Palatino Linotype"/>
                <w:b/>
              </w:rPr>
            </w:pPr>
            <w:r w:rsidRPr="003B74E8">
              <w:rPr>
                <w:rFonts w:ascii="Palatino Linotype" w:eastAsia="Palatino Linotype" w:hAnsi="Palatino Linotype" w:cs="Palatino Linotype"/>
                <w:b/>
              </w:rPr>
              <w:t xml:space="preserve">INFORME JUSTIFICADO </w:t>
            </w:r>
          </w:p>
        </w:tc>
      </w:tr>
      <w:tr w:rsidR="00C53FD1" w:rsidRPr="003B74E8">
        <w:trPr>
          <w:trHeight w:val="345"/>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00037/IMCUFIDETOLUCA/IP/2024</w:t>
            </w:r>
          </w:p>
        </w:tc>
        <w:tc>
          <w:tcPr>
            <w:tcW w:w="5647" w:type="dxa"/>
            <w:vMerge w:val="restart"/>
            <w:tcBorders>
              <w:top w:val="single" w:sz="4" w:space="0" w:color="000000"/>
              <w:left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El Sujeto Obligado adjuntó la digitalización de los siguientes documentos:</w:t>
            </w:r>
          </w:p>
          <w:p w:rsidR="00C53FD1" w:rsidRPr="003B74E8" w:rsidRDefault="00C53FD1">
            <w:pPr>
              <w:tabs>
                <w:tab w:val="left" w:pos="567"/>
              </w:tabs>
              <w:spacing w:line="360" w:lineRule="auto"/>
              <w:ind w:right="-28"/>
              <w:jc w:val="both"/>
              <w:rPr>
                <w:rFonts w:ascii="Palatino Linotype" w:eastAsia="Palatino Linotype" w:hAnsi="Palatino Linotype" w:cs="Palatino Linotype"/>
              </w:rPr>
            </w:pPr>
          </w:p>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i) Oficios números IMCUFIDET/UT/75/2024, IMCUFIDET/UT/77/2024 y IMCUFIDET/UT/78/2024 del cinco y seis de noviembre de dos mil veinticuatro, suscritos por el Titular de la Unidad de Transparencia y dirigidos al Coordinador de Administración y Finanzas, por medio de los cuales se solicitó rendir los Informes Justificados en un periodo no mayor a tres días hábiles.  </w:t>
            </w:r>
          </w:p>
          <w:p w:rsidR="00C53FD1" w:rsidRPr="003B74E8" w:rsidRDefault="00C53FD1">
            <w:pPr>
              <w:tabs>
                <w:tab w:val="left" w:pos="567"/>
              </w:tabs>
              <w:spacing w:line="360" w:lineRule="auto"/>
              <w:ind w:right="-28"/>
              <w:jc w:val="both"/>
              <w:rPr>
                <w:rFonts w:ascii="Palatino Linotype" w:eastAsia="Palatino Linotype" w:hAnsi="Palatino Linotype" w:cs="Palatino Linotype"/>
              </w:rPr>
            </w:pPr>
          </w:p>
          <w:p w:rsidR="00C53FD1" w:rsidRPr="003B74E8" w:rsidRDefault="008C148F">
            <w:pPr>
              <w:tabs>
                <w:tab w:val="left" w:pos="567"/>
              </w:tabs>
              <w:spacing w:line="360" w:lineRule="auto"/>
              <w:ind w:right="-28"/>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ii) Oficios números IMCUFIDET/CAF/0392/2024, IMCUFIDET/CAF/0398/2024 y IMCUFIDET/CAF/0399/2024 del siete de noviembre de dos mil veinticuatro, signado por el Coordinador de Administración y Finanzas y dirigido al Titular de la Unidad de Transparencia, por medio del cual ratificó sus respuestas, de conformidad con lo siguiente: </w:t>
            </w:r>
          </w:p>
          <w:p w:rsidR="00C53FD1" w:rsidRPr="003B74E8" w:rsidRDefault="00C53FD1">
            <w:pPr>
              <w:tabs>
                <w:tab w:val="left" w:pos="567"/>
              </w:tabs>
              <w:spacing w:line="360" w:lineRule="auto"/>
              <w:ind w:left="567" w:right="567"/>
              <w:jc w:val="both"/>
              <w:rPr>
                <w:rFonts w:ascii="Palatino Linotype" w:eastAsia="Palatino Linotype" w:hAnsi="Palatino Linotype" w:cs="Palatino Linotype"/>
                <w:i/>
              </w:rPr>
            </w:pP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i/>
              </w:rPr>
            </w:pPr>
            <w:r w:rsidRPr="003B74E8">
              <w:rPr>
                <w:rFonts w:ascii="Palatino Linotype" w:eastAsia="Palatino Linotype" w:hAnsi="Palatino Linotype" w:cs="Palatino Linotype"/>
                <w:i/>
              </w:rPr>
              <w:t>“…</w:t>
            </w: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i/>
              </w:rPr>
            </w:pPr>
            <w:r w:rsidRPr="003B74E8">
              <w:rPr>
                <w:rFonts w:ascii="Palatino Linotype" w:eastAsia="Palatino Linotype" w:hAnsi="Palatino Linotype" w:cs="Palatino Linotype"/>
                <w:i/>
              </w:rPr>
              <w:t>Comentándole que, a la fecha de la solicitud NO se cuenta con movimientos de personal, ni información respecto a servidores públicos que hayan sido sindicalizados dentro del Instituto Municipal de Cultura Física y Deporte de Toluca durante el ejercicio fiscal requerido.</w:t>
            </w:r>
          </w:p>
          <w:p w:rsidR="00C53FD1" w:rsidRPr="003B74E8" w:rsidRDefault="008C148F">
            <w:pPr>
              <w:tabs>
                <w:tab w:val="left" w:pos="567"/>
              </w:tabs>
              <w:spacing w:line="360" w:lineRule="auto"/>
              <w:ind w:left="567" w:right="567"/>
              <w:jc w:val="both"/>
              <w:rPr>
                <w:rFonts w:ascii="Palatino Linotype" w:eastAsia="Palatino Linotype" w:hAnsi="Palatino Linotype" w:cs="Palatino Linotype"/>
                <w:i/>
              </w:rPr>
            </w:pPr>
            <w:r w:rsidRPr="003B74E8">
              <w:rPr>
                <w:rFonts w:ascii="Palatino Linotype" w:eastAsia="Palatino Linotype" w:hAnsi="Palatino Linotype" w:cs="Palatino Linotype"/>
                <w:i/>
              </w:rPr>
              <w:t>…”</w:t>
            </w:r>
          </w:p>
          <w:p w:rsidR="00C53FD1" w:rsidRPr="003B74E8" w:rsidRDefault="00C53FD1">
            <w:pPr>
              <w:tabs>
                <w:tab w:val="left" w:pos="567"/>
              </w:tabs>
              <w:spacing w:line="360" w:lineRule="auto"/>
              <w:ind w:right="567"/>
              <w:jc w:val="both"/>
              <w:rPr>
                <w:rFonts w:ascii="Palatino Linotype" w:eastAsia="Palatino Linotype" w:hAnsi="Palatino Linotype" w:cs="Palatino Linotype"/>
              </w:rPr>
            </w:pPr>
          </w:p>
          <w:p w:rsidR="00C53FD1" w:rsidRPr="003B74E8" w:rsidRDefault="008C148F">
            <w:pPr>
              <w:tabs>
                <w:tab w:val="left" w:pos="567"/>
              </w:tabs>
              <w:spacing w:line="360" w:lineRule="auto"/>
              <w:jc w:val="both"/>
              <w:rPr>
                <w:rFonts w:ascii="Palatino Linotype" w:eastAsia="Palatino Linotype" w:hAnsi="Palatino Linotype" w:cs="Palatino Linotype"/>
              </w:rPr>
            </w:pPr>
            <w:r w:rsidRPr="003B74E8">
              <w:rPr>
                <w:rFonts w:ascii="Palatino Linotype" w:eastAsia="Palatino Linotype" w:hAnsi="Palatino Linotype" w:cs="Palatino Linotype"/>
              </w:rPr>
              <w:t xml:space="preserve">iii) Oficios números IMCUFIDET/UT/79/2024, IMCUFIDET/UT/79/2024 y IMCUFIDET/UT/80/2024  del siete de noviembre de dos mil veinticuatro, signados por el Titular de la Unidad de Transparencia a través de los cuales remitió los Informes Justificados del Servidor Público Habilitado, en los que ratificó sus respuestas. </w:t>
            </w:r>
          </w:p>
          <w:p w:rsidR="00C53FD1" w:rsidRPr="003B74E8" w:rsidRDefault="00C53FD1">
            <w:pPr>
              <w:tabs>
                <w:tab w:val="left" w:pos="567"/>
              </w:tabs>
              <w:spacing w:line="360" w:lineRule="auto"/>
              <w:ind w:right="567"/>
              <w:jc w:val="both"/>
              <w:rPr>
                <w:rFonts w:ascii="Palatino Linotype" w:eastAsia="Palatino Linotype" w:hAnsi="Palatino Linotype" w:cs="Palatino Linotype"/>
              </w:rPr>
            </w:pPr>
          </w:p>
        </w:tc>
      </w:tr>
      <w:tr w:rsidR="00C53FD1" w:rsidRPr="003B74E8">
        <w:trPr>
          <w:trHeight w:val="345"/>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00038/IMCUFIDETOLUCA/IP/2024</w:t>
            </w:r>
          </w:p>
        </w:tc>
        <w:tc>
          <w:tcPr>
            <w:tcW w:w="5647" w:type="dxa"/>
            <w:vMerge/>
            <w:tcBorders>
              <w:top w:val="single" w:sz="4" w:space="0" w:color="000000"/>
              <w:left w:val="single" w:sz="4" w:space="0" w:color="000000"/>
              <w:right w:val="single" w:sz="4" w:space="0" w:color="000000"/>
            </w:tcBorders>
          </w:tcPr>
          <w:p w:rsidR="00C53FD1" w:rsidRPr="003B74E8" w:rsidRDefault="00C53FD1">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C53FD1" w:rsidRPr="003B74E8">
        <w:trPr>
          <w:trHeight w:val="300"/>
        </w:trPr>
        <w:tc>
          <w:tcPr>
            <w:tcW w:w="3425" w:type="dxa"/>
            <w:tcBorders>
              <w:top w:val="single" w:sz="4" w:space="0" w:color="000000"/>
              <w:left w:val="single" w:sz="4" w:space="0" w:color="000000"/>
              <w:bottom w:val="single" w:sz="4" w:space="0" w:color="000000"/>
              <w:right w:val="single" w:sz="4" w:space="0" w:color="000000"/>
            </w:tcBorders>
          </w:tcPr>
          <w:p w:rsidR="00C53FD1" w:rsidRPr="003B74E8" w:rsidRDefault="008C148F">
            <w:pPr>
              <w:tabs>
                <w:tab w:val="left" w:pos="567"/>
              </w:tabs>
              <w:spacing w:line="360" w:lineRule="auto"/>
              <w:ind w:right="-28"/>
              <w:jc w:val="both"/>
              <w:rPr>
                <w:rFonts w:ascii="Palatino Linotype" w:eastAsia="Palatino Linotype" w:hAnsi="Palatino Linotype" w:cs="Palatino Linotype"/>
                <w:b/>
              </w:rPr>
            </w:pPr>
            <w:r w:rsidRPr="003B74E8">
              <w:rPr>
                <w:rFonts w:ascii="Palatino Linotype" w:eastAsia="Palatino Linotype" w:hAnsi="Palatino Linotype" w:cs="Palatino Linotype"/>
                <w:b/>
              </w:rPr>
              <w:t>00039/IMCUFIDETOLUCA/IP/2024</w:t>
            </w:r>
          </w:p>
        </w:tc>
        <w:tc>
          <w:tcPr>
            <w:tcW w:w="5647" w:type="dxa"/>
            <w:vMerge/>
            <w:tcBorders>
              <w:top w:val="single" w:sz="4" w:space="0" w:color="000000"/>
              <w:left w:val="single" w:sz="4" w:space="0" w:color="000000"/>
              <w:right w:val="single" w:sz="4" w:space="0" w:color="000000"/>
            </w:tcBorders>
          </w:tcPr>
          <w:p w:rsidR="00C53FD1" w:rsidRPr="003B74E8" w:rsidRDefault="00C53FD1">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bl>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sz w:val="22"/>
          <w:szCs w:val="22"/>
        </w:rPr>
        <w:t>d) Acumulación de los asuntos.</w:t>
      </w:r>
      <w:r w:rsidRPr="003B74E8">
        <w:rPr>
          <w:rFonts w:ascii="Palatino Linotype" w:eastAsia="Palatino Linotype" w:hAnsi="Palatino Linotype" w:cs="Palatino Linotype"/>
          <w:sz w:val="22"/>
          <w:szCs w:val="22"/>
        </w:rPr>
        <w:t xml:space="preserve"> El veintiuno de noviembre de dos mil veinticuatro, el Pleno del Instituto de Transparencia, Acceso a la Información Pública y Protección de Datos Personales del Estado de México y Municipios, durante su Cuadragésima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 </w:t>
      </w:r>
      <w:r w:rsidRPr="003B74E8">
        <w:rPr>
          <w:rFonts w:ascii="Palatino Linotype" w:eastAsia="Palatino Linotype" w:hAnsi="Palatino Linotype" w:cs="Palatino Linotype"/>
          <w:b/>
          <w:color w:val="000000"/>
          <w:sz w:val="22"/>
          <w:szCs w:val="22"/>
        </w:rPr>
        <w:t xml:space="preserve">07095/INFOEM/IP/RR/2024 </w:t>
      </w:r>
      <w:r w:rsidRPr="003B74E8">
        <w:rPr>
          <w:rFonts w:ascii="Palatino Linotype" w:eastAsia="Palatino Linotype" w:hAnsi="Palatino Linotype" w:cs="Palatino Linotype"/>
          <w:color w:val="000000"/>
          <w:sz w:val="22"/>
          <w:szCs w:val="22"/>
        </w:rPr>
        <w:t xml:space="preserve">y </w:t>
      </w:r>
      <w:r w:rsidRPr="003B74E8">
        <w:rPr>
          <w:rFonts w:ascii="Palatino Linotype" w:eastAsia="Palatino Linotype" w:hAnsi="Palatino Linotype" w:cs="Palatino Linotype"/>
          <w:b/>
          <w:color w:val="000000"/>
          <w:sz w:val="22"/>
          <w:szCs w:val="22"/>
        </w:rPr>
        <w:t xml:space="preserve">07096/INFOEM/IP/RR/2024, </w:t>
      </w:r>
      <w:r w:rsidRPr="003B74E8">
        <w:rPr>
          <w:rFonts w:ascii="Palatino Linotype" w:eastAsia="Palatino Linotype" w:hAnsi="Palatino Linotype" w:cs="Palatino Linotype"/>
          <w:color w:val="000000"/>
          <w:sz w:val="22"/>
          <w:szCs w:val="22"/>
        </w:rPr>
        <w:t>al diverso</w:t>
      </w:r>
      <w:r w:rsidRPr="003B74E8">
        <w:rPr>
          <w:rFonts w:ascii="Palatino Linotype" w:eastAsia="Palatino Linotype" w:hAnsi="Palatino Linotype" w:cs="Palatino Linotype"/>
          <w:b/>
          <w:color w:val="000000"/>
          <w:sz w:val="22"/>
          <w:szCs w:val="22"/>
        </w:rPr>
        <w:t xml:space="preserve"> 07041/INFOEM/IP/RR/2024, </w:t>
      </w:r>
      <w:r w:rsidRPr="003B74E8">
        <w:rPr>
          <w:rFonts w:ascii="Palatino Linotype" w:eastAsia="Palatino Linotype" w:hAnsi="Palatino Linotype" w:cs="Palatino Linotype"/>
          <w:color w:val="000000"/>
          <w:sz w:val="22"/>
          <w:szCs w:val="22"/>
        </w:rPr>
        <w:t xml:space="preserve">por ser este último el más antiguo, sustanciado bajo el índice de esta Ponencia, al advertir conexidad entre estos, ya que fueron promovidos por la misma persona, en los que señaló como Sujeto Obligado a la Instituto Municipal de Cultura Física y Deporte de Toluca. </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b/>
          <w:sz w:val="22"/>
          <w:szCs w:val="22"/>
        </w:rPr>
        <w:t>e) Vista del Informe Justificado.</w:t>
      </w:r>
      <w:r w:rsidRPr="003B74E8">
        <w:rPr>
          <w:rFonts w:ascii="Palatino Linotype" w:eastAsia="Palatino Linotype" w:hAnsi="Palatino Linotype" w:cs="Palatino Linotype"/>
          <w:sz w:val="22"/>
          <w:szCs w:val="22"/>
        </w:rPr>
        <w:t xml:space="preserve"> El veinticinco de noviembre de dos mil veinticuatro, se dictó acuerdo mediante el cual se puso a la vista del Particular el Informe Justificado, entregado por el Sujeto Obligado, para robustecer su respuesta inicial, a través del Sistema de Acceso a la Información Mexiquense (SAIMEX). </w:t>
      </w:r>
      <w:r w:rsidRPr="003B74E8">
        <w:rPr>
          <w:rFonts w:ascii="Palatino Linotype" w:eastAsia="Palatino Linotype" w:hAnsi="Palatino Linotype" w:cs="Palatino Linotype"/>
          <w:b/>
          <w:sz w:val="22"/>
          <w:szCs w:val="22"/>
        </w:rPr>
        <w:t xml:space="preserve">Cabe señalar que el Recurrente fue omiso en realizar </w:t>
      </w:r>
      <w:r w:rsidRPr="003B74E8">
        <w:rPr>
          <w:rFonts w:ascii="Palatino Linotype" w:eastAsia="Palatino Linotype" w:hAnsi="Palatino Linotype" w:cs="Palatino Linotype"/>
          <w:b/>
          <w:sz w:val="22"/>
          <w:szCs w:val="22"/>
        </w:rPr>
        <w:lastRenderedPageBreak/>
        <w:t>alguna manifestación que a su</w:t>
      </w:r>
      <w:r w:rsidR="003B74E8" w:rsidRPr="003B74E8">
        <w:rPr>
          <w:rFonts w:ascii="Palatino Linotype" w:eastAsia="Palatino Linotype" w:hAnsi="Palatino Linotype" w:cs="Palatino Linotype"/>
          <w:b/>
          <w:sz w:val="22"/>
          <w:szCs w:val="22"/>
        </w:rPr>
        <w:t xml:space="preserve"> derecho conviniera y asistiera</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 xml:space="preserve">f) Cierre de instrucción. </w:t>
      </w:r>
      <w:r w:rsidRPr="003B74E8">
        <w:rPr>
          <w:rFonts w:ascii="Palatino Linotype" w:eastAsia="Palatino Linotype" w:hAnsi="Palatino Linotype" w:cs="Palatino Linotype"/>
          <w:sz w:val="22"/>
          <w:szCs w:val="22"/>
        </w:rPr>
        <w:t xml:space="preserve">El dos de diciembre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C53FD1" w:rsidRPr="003B74E8" w:rsidRDefault="00C53FD1">
      <w:pPr>
        <w:spacing w:line="360" w:lineRule="auto"/>
        <w:jc w:val="both"/>
        <w:rPr>
          <w:rFonts w:ascii="Palatino Linotype" w:eastAsia="Palatino Linotype" w:hAnsi="Palatino Linotype" w:cs="Palatino Linotype"/>
          <w:b/>
          <w:sz w:val="18"/>
          <w:szCs w:val="18"/>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center"/>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C O N S I D E R A N D O S</w:t>
      </w:r>
    </w:p>
    <w:p w:rsidR="00C53FD1" w:rsidRPr="003B74E8" w:rsidRDefault="00C53FD1">
      <w:pPr>
        <w:spacing w:line="360" w:lineRule="auto"/>
        <w:jc w:val="center"/>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color w:val="000000"/>
          <w:sz w:val="22"/>
          <w:szCs w:val="22"/>
        </w:rPr>
        <w:t>PRIMERO</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b/>
          <w:sz w:val="22"/>
          <w:szCs w:val="22"/>
        </w:rPr>
        <w:t>Competencia</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sidRPr="003B74E8">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w:t>
      </w:r>
      <w:r w:rsidRPr="003B74E8">
        <w:rPr>
          <w:rFonts w:ascii="Palatino Linotype" w:eastAsia="Palatino Linotype" w:hAnsi="Palatino Linotype" w:cs="Palatino Linotype"/>
          <w:sz w:val="22"/>
          <w:szCs w:val="22"/>
        </w:rPr>
        <w:lastRenderedPageBreak/>
        <w:t>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b/>
          <w:color w:val="000000"/>
          <w:sz w:val="22"/>
          <w:szCs w:val="22"/>
        </w:rPr>
        <w:t>SEGUNDO</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b/>
          <w:sz w:val="22"/>
          <w:szCs w:val="22"/>
        </w:rPr>
        <w:t>Causales de improcedencia y sobreseimiento</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3B74E8">
        <w:rPr>
          <w:rFonts w:ascii="Palatino Linotype" w:eastAsia="Palatino Linotype" w:hAnsi="Palatino Linotype" w:cs="Palatino Linotype"/>
          <w:i/>
          <w:sz w:val="22"/>
          <w:szCs w:val="22"/>
        </w:rPr>
        <w:t>litis</w:t>
      </w:r>
      <w:proofErr w:type="spellEnd"/>
      <w:r w:rsidRPr="003B74E8">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Causales de improcedencia</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En el presente caso, </w:t>
      </w:r>
      <w:r w:rsidRPr="003B74E8">
        <w:rPr>
          <w:rFonts w:ascii="Palatino Linotype" w:eastAsia="Palatino Linotype" w:hAnsi="Palatino Linotype" w:cs="Palatino Linotype"/>
          <w:b/>
          <w:color w:val="000000"/>
          <w:sz w:val="22"/>
          <w:szCs w:val="22"/>
        </w:rPr>
        <w:t>no se actualiza ninguna de las causales de improcedencia</w:t>
      </w:r>
      <w:r w:rsidRPr="003B74E8">
        <w:rPr>
          <w:rFonts w:ascii="Palatino Linotype" w:eastAsia="Palatino Linotype" w:hAnsi="Palatino Linotype" w:cs="Palatino Linotype"/>
          <w:color w:val="000000"/>
          <w:sz w:val="22"/>
          <w:szCs w:val="22"/>
        </w:rPr>
        <w:t xml:space="preserve"> establecidas en el ordenamiento jurídico previamente señalado, toda vez que: este Instituto no tiene conocimiento de que se encuentre en trámite algún medio de defensa presentado por la </w:t>
      </w:r>
      <w:r w:rsidRPr="003B74E8">
        <w:rPr>
          <w:rFonts w:ascii="Palatino Linotype" w:eastAsia="Palatino Linotype" w:hAnsi="Palatino Linotype" w:cs="Palatino Linotype"/>
          <w:color w:val="000000"/>
          <w:sz w:val="22"/>
          <w:szCs w:val="22"/>
        </w:rPr>
        <w:lastRenderedPageBreak/>
        <w:t>persona Recurrente ante otra instancia; no existió prevención alguna; la veracidad de la respuesta no formó parte del agravio; ni se realizó una consulta o ampliación a los alcances del requerimiento informativo.</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Asimismo, se actualiza la causal de procedencia del Recurso de Revisión señalada en el artículo 179, fracción III, de la Ley en cita, pues la persona Recurrente se inconformó con la </w:t>
      </w:r>
      <w:r w:rsidRPr="003B74E8">
        <w:rPr>
          <w:rFonts w:ascii="Palatino Linotype" w:eastAsia="Palatino Linotype" w:hAnsi="Palatino Linotype" w:cs="Palatino Linotype"/>
          <w:sz w:val="22"/>
          <w:szCs w:val="22"/>
        </w:rPr>
        <w:t xml:space="preserve">declaración de inexistencia de la información. </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D0D0D"/>
          <w:sz w:val="22"/>
          <w:szCs w:val="22"/>
        </w:rPr>
      </w:pPr>
      <w:r w:rsidRPr="003B74E8">
        <w:rPr>
          <w:rFonts w:ascii="Palatino Linotype" w:eastAsia="Palatino Linotype" w:hAnsi="Palatino Linotype" w:cs="Palatino Linotype"/>
          <w:b/>
          <w:color w:val="0D0D0D"/>
          <w:sz w:val="22"/>
          <w:szCs w:val="22"/>
        </w:rPr>
        <w:t>Causales de sobreseimiento</w:t>
      </w:r>
    </w:p>
    <w:p w:rsidR="00C53FD1" w:rsidRPr="003B74E8" w:rsidRDefault="00C53FD1">
      <w:pPr>
        <w:spacing w:line="360" w:lineRule="auto"/>
        <w:jc w:val="both"/>
        <w:rPr>
          <w:rFonts w:ascii="Palatino Linotype" w:eastAsia="Palatino Linotype" w:hAnsi="Palatino Linotype" w:cs="Palatino Linotype"/>
          <w:color w:val="0D0D0D"/>
          <w:sz w:val="22"/>
          <w:szCs w:val="22"/>
        </w:rPr>
      </w:pPr>
    </w:p>
    <w:p w:rsidR="00C53FD1" w:rsidRPr="003B74E8" w:rsidRDefault="008C148F">
      <w:pPr>
        <w:spacing w:line="360" w:lineRule="auto"/>
        <w:jc w:val="both"/>
        <w:rPr>
          <w:rFonts w:ascii="Palatino Linotype" w:eastAsia="Palatino Linotype" w:hAnsi="Palatino Linotype" w:cs="Palatino Linotype"/>
          <w:color w:val="0D0D0D"/>
          <w:sz w:val="22"/>
          <w:szCs w:val="22"/>
        </w:rPr>
      </w:pPr>
      <w:r w:rsidRPr="003B74E8">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C53FD1" w:rsidRPr="003B74E8" w:rsidRDefault="00C53FD1">
      <w:pPr>
        <w:spacing w:line="360" w:lineRule="auto"/>
        <w:jc w:val="both"/>
        <w:rPr>
          <w:rFonts w:ascii="Palatino Linotype" w:eastAsia="Palatino Linotype" w:hAnsi="Palatino Linotype" w:cs="Palatino Linotype"/>
          <w:color w:val="0D0D0D"/>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D0D0D"/>
          <w:sz w:val="22"/>
          <w:szCs w:val="22"/>
        </w:rPr>
        <w:t>Sobre el tema, e</w:t>
      </w:r>
      <w:r w:rsidRPr="003B74E8">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color w:val="0D0D0D"/>
          <w:sz w:val="22"/>
          <w:szCs w:val="22"/>
        </w:rPr>
      </w:pPr>
      <w:r w:rsidRPr="003B74E8">
        <w:rPr>
          <w:rFonts w:ascii="Palatino Linotype" w:eastAsia="Palatino Linotype" w:hAnsi="Palatino Linotype" w:cs="Palatino Linotype"/>
          <w:color w:val="0D0D0D"/>
          <w:sz w:val="22"/>
          <w:szCs w:val="22"/>
        </w:rPr>
        <w:t xml:space="preserve">Por tales motivos, se considera procedente entrar al fondo del presente asunto. </w:t>
      </w:r>
    </w:p>
    <w:p w:rsidR="00C53FD1" w:rsidRPr="003B74E8" w:rsidRDefault="00C53FD1">
      <w:pPr>
        <w:spacing w:line="360" w:lineRule="auto"/>
        <w:jc w:val="both"/>
        <w:rPr>
          <w:rFonts w:ascii="Palatino Linotype" w:eastAsia="Palatino Linotype" w:hAnsi="Palatino Linotype" w:cs="Palatino Linotype"/>
          <w:color w:val="0D0D0D"/>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 xml:space="preserve">TERCERO. Determinación de la Controversia </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lastRenderedPageBreak/>
        <w:t xml:space="preserve">Con el objetivo de ilustrar la controversia planteada, resulta conveniente precisar, que una vez realizado el estudio de las constancias que integran el expediente en el que se actúa, se desprende que el Particular requirió el nombre, cargo, sueldo, área de adscripción, antigüedad del personal que haya sido sindicalizado del primero de enero de dos mil veintidós al veintiuno de octubre de dos mil veinticuatro y los oficios donde se determinó la sindicalización. </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En respuesta, el Sujeto Obligado, precisó que no contaba con movimientos de personal, ni información respecto a servidores públicos que hayan sido sindicalizados durante los ejercicios fiscales referidos, es decir, del primero de enero de dos mil veintidós al veintiuno de octubre de dos mil veinticuatro; ante dicha circunstancia, el Particular se inconformó de la inexistencia, al precisar que no atendían lo solicitado, ni le entregaban lo peticionado, lo cual actualiza la causal de procedencia prevista en la fracción III, del artículo 179 de la Ley de Transparencia y Acceso a la Información Pública del Estado de México y Municipios</w:t>
      </w:r>
      <w:r w:rsidRPr="003B74E8">
        <w:rPr>
          <w:rFonts w:ascii="Palatino Linotype" w:eastAsia="Palatino Linotype" w:hAnsi="Palatino Linotype" w:cs="Palatino Linotype"/>
          <w:color w:val="0D0D0D"/>
          <w:sz w:val="22"/>
          <w:szCs w:val="22"/>
        </w:rPr>
        <w:t xml:space="preserve">. </w:t>
      </w:r>
      <w:r w:rsidRPr="003B74E8">
        <w:rPr>
          <w:rFonts w:ascii="Palatino Linotype" w:eastAsia="Palatino Linotype" w:hAnsi="Palatino Linotype" w:cs="Palatino Linotype"/>
          <w:color w:val="000000"/>
          <w:sz w:val="22"/>
          <w:szCs w:val="22"/>
        </w:rPr>
        <w:t xml:space="preserve">Así, las cosas, una vez admitido y notificado el Recurso de Revisión a las partes, el Sujeto Obligado ratificó su respuesta, mientras que la persona Recurrente fue omisa en emitir manifestaciones o alegatos. </w:t>
      </w:r>
    </w:p>
    <w:p w:rsidR="00C53FD1" w:rsidRPr="003B74E8" w:rsidRDefault="00C53FD1">
      <w:pPr>
        <w:spacing w:line="360" w:lineRule="auto"/>
        <w:ind w:right="-28"/>
        <w:jc w:val="both"/>
        <w:rPr>
          <w:rFonts w:ascii="Palatino Linotype" w:eastAsia="Palatino Linotype" w:hAnsi="Palatino Linotype" w:cs="Palatino Linotype"/>
          <w:sz w:val="22"/>
          <w:szCs w:val="22"/>
        </w:rPr>
      </w:pPr>
    </w:p>
    <w:p w:rsidR="00C53FD1" w:rsidRPr="003B74E8" w:rsidRDefault="008C148F">
      <w:pPr>
        <w:tabs>
          <w:tab w:val="left" w:pos="4962"/>
        </w:tabs>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Lo anterior, se desprende de las documentales que obran en el expediente de referencia, materia de la presente resolución, consistente en: la solicitud de acceso a la información y el escrito </w:t>
      </w:r>
      <w:proofErr w:type="spellStart"/>
      <w:r w:rsidRPr="003B74E8">
        <w:rPr>
          <w:rFonts w:ascii="Palatino Linotype" w:eastAsia="Palatino Linotype" w:hAnsi="Palatino Linotype" w:cs="Palatino Linotype"/>
          <w:color w:val="000000"/>
          <w:sz w:val="22"/>
          <w:szCs w:val="22"/>
        </w:rPr>
        <w:t>recursal</w:t>
      </w:r>
      <w:proofErr w:type="spellEnd"/>
      <w:r w:rsidRPr="003B74E8">
        <w:rPr>
          <w:rFonts w:ascii="Palatino Linotype" w:eastAsia="Palatino Linotype" w:hAnsi="Palatino Linotype" w:cs="Palatino Linotype"/>
          <w:color w:val="000000"/>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lastRenderedPageBreak/>
        <w:t>CUARTO. Marco normativo aplicable en materia de transparencia y acceso a la información pública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El artículo 18, que, los Sujetos Obligados deberán documentar todo acto que derive del ejercicio de sus facultades, competencias o funciones, considerando desde su origen la </w:t>
      </w:r>
      <w:r w:rsidRPr="003B74E8">
        <w:rPr>
          <w:rFonts w:ascii="Palatino Linotype" w:eastAsia="Palatino Linotype" w:hAnsi="Palatino Linotype" w:cs="Palatino Linotype"/>
          <w:sz w:val="22"/>
          <w:szCs w:val="22"/>
        </w:rPr>
        <w:lastRenderedPageBreak/>
        <w:t>eventual publicidad y reutilización de la información que generen.</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QUINTO. Estudio de Fondo</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w:t>
      </w:r>
      <w:r w:rsidRPr="003B74E8">
        <w:rPr>
          <w:rFonts w:ascii="Palatino Linotype" w:eastAsia="Palatino Linotype" w:hAnsi="Palatino Linotype" w:cs="Palatino Linotype"/>
          <w:color w:val="000000"/>
          <w:sz w:val="22"/>
          <w:szCs w:val="22"/>
        </w:rPr>
        <w:t xml:space="preserve">a la </w:t>
      </w:r>
      <w:r w:rsidRPr="003B74E8">
        <w:rPr>
          <w:rFonts w:ascii="Palatino Linotype" w:eastAsia="Palatino Linotype" w:hAnsi="Palatino Linotype" w:cs="Palatino Linotype"/>
          <w:sz w:val="22"/>
          <w:szCs w:val="22"/>
        </w:rPr>
        <w:t>declaración de inexistencia de la información, para lo cual, en principio es necesario contextualizar la solicitud de información.</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Sobre el tema, el Glosario de Términos Laborales, emitido por la Secretaría del Trabajo y Previsión Social, establece que la afiliación sindical (sindicalización) es el proceso de incorporación de un trabajador remunerado a un sindicado, el cual tiene la capacidad de negociar las condiciones laborales del trabajador frente al patrón.</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En ese orden de ideas, el artículo 87 de la Ley del Trabajo de los Servidores Públicos del Estado y Municipios, establece que los servidores públicos generales tendrán derecho a afiliarse al sindicato correspondiente.</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Sobre este punto, el artículo 108 de la Constitución Política de los Estados Unidos Mexicanos, con relación al diverso 130 de la Constitución Política del Estado Libre y Soberano de México, establecen que se considera como servidor público a toda persona que desempeñe un empleo, </w:t>
      </w:r>
      <w:r w:rsidRPr="003B74E8">
        <w:rPr>
          <w:rFonts w:ascii="Palatino Linotype" w:eastAsia="Palatino Linotype" w:hAnsi="Palatino Linotype" w:cs="Palatino Linotype"/>
          <w:color w:val="000000"/>
          <w:sz w:val="22"/>
          <w:szCs w:val="22"/>
        </w:rPr>
        <w:lastRenderedPageBreak/>
        <w:t>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tabs>
          <w:tab w:val="left" w:pos="4962"/>
        </w:tabs>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En ese sentido, el artículo 4°, fracción VI, de la Ley del Trabajo de los Servidores Públicos del Estado y Municipios, establece que </w:t>
      </w:r>
      <w:r w:rsidRPr="003B74E8">
        <w:rPr>
          <w:rFonts w:ascii="Palatino Linotype" w:eastAsia="Palatino Linotype" w:hAnsi="Palatino Linotype" w:cs="Palatino Linotype"/>
          <w:b/>
          <w:color w:val="000000"/>
          <w:sz w:val="22"/>
          <w:szCs w:val="22"/>
        </w:rPr>
        <w:t>un servidor público</w:t>
      </w:r>
      <w:r w:rsidRPr="003B74E8">
        <w:rPr>
          <w:rFonts w:ascii="Palatino Linotype" w:eastAsia="Palatino Linotype" w:hAnsi="Palatino Linotype" w:cs="Palatino Linotype"/>
          <w:color w:val="000000"/>
          <w:sz w:val="22"/>
          <w:szCs w:val="22"/>
        </w:rPr>
        <w:t xml:space="preserve"> es toda persona física que preste a una institución pública un trabajo personal subordinado de carácter material o intelectual, o de ambos géneros, mediante el pago de un sueldo.</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Además, conforme a los artículos 356 de la Ley Federal del Trabajo y 138 de la Ley del Trabajo de los Servidores Públicos del Estado de México y Municipios, un sindicato es una asociación de </w:t>
      </w:r>
      <w:r w:rsidRPr="003B74E8">
        <w:rPr>
          <w:rFonts w:ascii="Palatino Linotype" w:eastAsia="Palatino Linotype" w:hAnsi="Palatino Linotype" w:cs="Palatino Linotype"/>
          <w:b/>
          <w:color w:val="000000"/>
          <w:sz w:val="22"/>
          <w:szCs w:val="22"/>
        </w:rPr>
        <w:t>servidores públicos</w:t>
      </w:r>
      <w:r w:rsidRPr="003B74E8">
        <w:rPr>
          <w:rFonts w:ascii="Palatino Linotype" w:eastAsia="Palatino Linotype" w:hAnsi="Palatino Linotype" w:cs="Palatino Linotype"/>
          <w:color w:val="000000"/>
          <w:sz w:val="22"/>
          <w:szCs w:val="22"/>
        </w:rPr>
        <w:t xml:space="preserve"> generales, constituida para el estudio, mejoramiento y defensa de sus intereses comunes.</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Conforme a lo anterior, se logra vislumbrar que la pretensión del ahora Recurrente es obtener información de aquellos servidores públicos generales adscritos al Instituto Municipal de Cultura Física y Deporte de Toluca, que se hayan afiliado a un sindicado, del primero de enero de dos mil veintidós al veintiuno de octubre de dos mil veinticuatro; ya que si bien solicitó la información de todo el presente ejercicio fiscal, lo cierto es que la información del veintidós de octubre al treinta y uno de diciembre de dos mil veinticuatro, se trata de hechos futuros, que no habían acontecido a la fecha de presentación de la solicitud y por lo tanto, no se había generado dicha información.</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sz w:val="22"/>
          <w:szCs w:val="22"/>
        </w:rPr>
        <w:lastRenderedPageBreak/>
        <w:t xml:space="preserve">Ahora bien, respeto a los datos solicitados, resulta </w:t>
      </w:r>
      <w:r w:rsidRPr="003B74E8">
        <w:rPr>
          <w:rFonts w:ascii="Palatino Linotype" w:eastAsia="Palatino Linotype" w:hAnsi="Palatino Linotype" w:cs="Palatino Linotype"/>
          <w:color w:val="000000"/>
          <w:sz w:val="22"/>
          <w:szCs w:val="22"/>
        </w:rPr>
        <w:t xml:space="preserve">necesario traer a colación, el artículo 147 de la Constitución Política del Estado Libre y Soberano de México, que establece que los trabajadores al servicio del Estado, como los miembros de los Organismos Públicos Descentralizados de Carácter Municipal, recibirán una remuneración adecuada e irrenunciable por el desempeño de su empleo, cargo o comisión, que será determinada en el presupuesto de egresos que corresponda. </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Da la misma manera, el Anexo IV.5 Glosario de Términos, del Manual para la Planeación, Programación y Presupuesto de Egresos Municipal para el ejercicio fiscal dos mil veintitrés, establece que </w:t>
      </w:r>
      <w:r w:rsidRPr="003B74E8">
        <w:rPr>
          <w:rFonts w:ascii="Palatino Linotype" w:eastAsia="Palatino Linotype" w:hAnsi="Palatino Linotype" w:cs="Palatino Linotype"/>
          <w:b/>
          <w:color w:val="000000"/>
          <w:sz w:val="22"/>
          <w:szCs w:val="22"/>
        </w:rPr>
        <w:t>la remuneración es</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b/>
          <w:color w:val="000000"/>
          <w:sz w:val="22"/>
          <w:szCs w:val="22"/>
        </w:rPr>
        <w:t>la percepción de un trabajador o retribución monetaria que se da en pago por su servicio o actividad desarrollada.</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color w:val="000000"/>
          <w:sz w:val="22"/>
          <w:szCs w:val="22"/>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3B74E8">
        <w:rPr>
          <w:rFonts w:ascii="Palatino Linotype" w:eastAsia="Palatino Linotype" w:hAnsi="Palatino Linotype" w:cs="Palatino Linotype"/>
          <w:b/>
          <w:color w:val="000000"/>
          <w:sz w:val="22"/>
          <w:szCs w:val="22"/>
        </w:rPr>
        <w:t xml:space="preserve">las remuneraciones brutas y netas de todos los servidores públicos, que incluya todas las percepciones, entre las cuales, se encuentran los sueldos, prestaciones, gratificaciones, primas, comisiones, dietas, bonos, estímulos, ingresos, </w:t>
      </w:r>
      <w:r w:rsidRPr="003B74E8">
        <w:rPr>
          <w:rFonts w:ascii="Palatino Linotype" w:eastAsia="Palatino Linotype" w:hAnsi="Palatino Linotype" w:cs="Palatino Linotype"/>
          <w:b/>
          <w:color w:val="000000"/>
          <w:sz w:val="22"/>
          <w:szCs w:val="22"/>
          <w:u w:val="single"/>
        </w:rPr>
        <w:t>nombre y antigüedad</w:t>
      </w:r>
      <w:r w:rsidRPr="003B74E8">
        <w:rPr>
          <w:rFonts w:ascii="Palatino Linotype" w:eastAsia="Palatino Linotype" w:hAnsi="Palatino Linotype" w:cs="Palatino Linotype"/>
          <w:b/>
          <w:color w:val="000000"/>
          <w:sz w:val="22"/>
          <w:szCs w:val="22"/>
        </w:rPr>
        <w:t>, entre otros.</w:t>
      </w:r>
    </w:p>
    <w:p w:rsidR="00C53FD1" w:rsidRPr="003B74E8" w:rsidRDefault="00C53FD1">
      <w:pPr>
        <w:spacing w:line="360" w:lineRule="auto"/>
        <w:jc w:val="both"/>
        <w:rPr>
          <w:rFonts w:ascii="Palatino Linotype" w:eastAsia="Palatino Linotype" w:hAnsi="Palatino Linotype" w:cs="Palatino Linotype"/>
          <w:b/>
          <w:color w:val="000000"/>
          <w:sz w:val="22"/>
          <w:szCs w:val="22"/>
        </w:rPr>
      </w:pPr>
    </w:p>
    <w:p w:rsidR="00C53FD1" w:rsidRPr="003B74E8" w:rsidRDefault="008C148F">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color w:val="000000"/>
          <w:sz w:val="22"/>
          <w:szCs w:val="22"/>
        </w:rPr>
        <w:lastRenderedPageBreak/>
        <w:t xml:space="preserve">Además, el Anexo IV.2 Clasificación por objeto del gasto, del Manual para la Planeación, Programación y Presupuesto de Egresos Municipal para el ejercicio fiscal dos mil veintitrés, establece que los Presupuestos de Egresos Municipales, se tendrán que generar, conforme al “Clasificador por Objeto del Gasto”, el cual se conforma de diversos capítulos, entre los cuales, se encuentra el </w:t>
      </w:r>
      <w:r w:rsidRPr="003B74E8">
        <w:rPr>
          <w:rFonts w:ascii="Palatino Linotype" w:eastAsia="Palatino Linotype" w:hAnsi="Palatino Linotype" w:cs="Palatino Linotype"/>
          <w:b/>
          <w:color w:val="000000"/>
          <w:sz w:val="22"/>
          <w:szCs w:val="22"/>
        </w:rPr>
        <w:t>1000 Servicios Personales</w:t>
      </w:r>
      <w:r w:rsidRPr="003B74E8">
        <w:rPr>
          <w:rFonts w:ascii="Palatino Linotype" w:eastAsia="Palatino Linotype" w:hAnsi="Palatino Linotype" w:cs="Palatino Linotype"/>
          <w:color w:val="000000"/>
          <w:sz w:val="22"/>
          <w:szCs w:val="22"/>
        </w:rPr>
        <w:t>,</w:t>
      </w:r>
      <w:r w:rsidRPr="003B74E8">
        <w:rPr>
          <w:rFonts w:ascii="Palatino Linotype" w:eastAsia="Palatino Linotype" w:hAnsi="Palatino Linotype" w:cs="Palatino Linotype"/>
          <w:b/>
          <w:color w:val="000000"/>
          <w:sz w:val="22"/>
          <w:szCs w:val="22"/>
        </w:rPr>
        <w:t xml:space="preserve"> que agrupa las remuneraciones del personal al servicio de los entes públicos, tales como el sueldo, salarios, dietas, honorarios, prestaciones, obligaciones laborales, gratificaciones, entre otras.</w:t>
      </w:r>
    </w:p>
    <w:p w:rsidR="00C53FD1" w:rsidRPr="003B74E8" w:rsidRDefault="00C53FD1">
      <w:pPr>
        <w:tabs>
          <w:tab w:val="left" w:pos="1245"/>
        </w:tabs>
        <w:spacing w:line="360" w:lineRule="auto"/>
        <w:ind w:right="-28"/>
        <w:jc w:val="both"/>
        <w:rPr>
          <w:rFonts w:ascii="Palatino Linotype" w:eastAsia="Palatino Linotype" w:hAnsi="Palatino Linotype" w:cs="Palatino Linotype"/>
          <w:sz w:val="22"/>
          <w:szCs w:val="22"/>
        </w:rPr>
      </w:pPr>
    </w:p>
    <w:p w:rsidR="00C53FD1" w:rsidRPr="003B74E8" w:rsidRDefault="008C148F">
      <w:pPr>
        <w:spacing w:line="360" w:lineRule="auto"/>
        <w:ind w:right="-93"/>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color w:val="000000"/>
          <w:sz w:val="22"/>
          <w:szCs w:val="22"/>
        </w:rPr>
        <w:t>En ese orden de ideas, respecto a la nómina</w:t>
      </w:r>
      <w:r w:rsidRPr="003B74E8">
        <w:rPr>
          <w:rFonts w:ascii="Palatino Linotype" w:eastAsia="Palatino Linotype" w:hAnsi="Palatino Linotype" w:cs="Palatino Linotype"/>
          <w:b/>
          <w:color w:val="000000"/>
          <w:sz w:val="22"/>
          <w:szCs w:val="22"/>
        </w:rPr>
        <w:t xml:space="preserve">, </w:t>
      </w:r>
      <w:r w:rsidRPr="003B74E8">
        <w:rPr>
          <w:rFonts w:ascii="Palatino Linotype" w:eastAsia="Palatino Linotype" w:hAnsi="Palatino Linotype" w:cs="Palatino Linotype"/>
          <w:color w:val="000000"/>
          <w:sz w:val="22"/>
          <w:szCs w:val="22"/>
        </w:rPr>
        <w:t>el Glosario localizado en la página de Transparencia Presupuestaria de la Secretaría de Hacienda y Crédito Público (</w:t>
      </w:r>
      <w:hyperlink r:id="rId8">
        <w:r w:rsidRPr="003B74E8">
          <w:rPr>
            <w:rFonts w:ascii="Palatino Linotype" w:eastAsia="Palatino Linotype" w:hAnsi="Palatino Linotype" w:cs="Palatino Linotype"/>
            <w:color w:val="000000"/>
            <w:sz w:val="22"/>
            <w:szCs w:val="22"/>
            <w:u w:val="single"/>
          </w:rPr>
          <w:t>http://www.transparenciapresupuestaria.gob.mx/es/PTP/Glosario</w:t>
        </w:r>
      </w:hyperlink>
      <w:r w:rsidRPr="003B74E8">
        <w:rPr>
          <w:rFonts w:ascii="Palatino Linotype" w:eastAsia="Palatino Linotype" w:hAnsi="Palatino Linotype" w:cs="Palatino Linotype"/>
          <w:color w:val="000000"/>
          <w:sz w:val="22"/>
          <w:szCs w:val="22"/>
        </w:rPr>
        <w:t xml:space="preserve">, consultado el veinticinco de abril de dos mil veintitrés a las doce horas), establece que </w:t>
      </w:r>
      <w:r w:rsidRPr="003B74E8">
        <w:rPr>
          <w:rFonts w:ascii="Palatino Linotype" w:eastAsia="Palatino Linotype" w:hAnsi="Palatino Linotype" w:cs="Palatino Linotype"/>
          <w:b/>
          <w:color w:val="000000"/>
          <w:sz w:val="22"/>
          <w:szCs w:val="22"/>
        </w:rPr>
        <w:t>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rsidR="00C53FD1" w:rsidRPr="003B74E8" w:rsidRDefault="00C53FD1">
      <w:pPr>
        <w:spacing w:line="360" w:lineRule="auto"/>
        <w:ind w:right="-93"/>
        <w:jc w:val="both"/>
        <w:rPr>
          <w:rFonts w:ascii="Palatino Linotype" w:eastAsia="Palatino Linotype" w:hAnsi="Palatino Linotype" w:cs="Palatino Linotype"/>
          <w:b/>
          <w:color w:val="000000"/>
          <w:sz w:val="22"/>
          <w:szCs w:val="22"/>
        </w:rPr>
      </w:pPr>
    </w:p>
    <w:p w:rsidR="00C53FD1" w:rsidRPr="003B74E8" w:rsidRDefault="008C148F">
      <w:pPr>
        <w:spacing w:line="360" w:lineRule="auto"/>
        <w:ind w:right="-93"/>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color w:val="000000"/>
          <w:sz w:val="22"/>
          <w:szCs w:val="22"/>
        </w:rPr>
        <w:t>De la misma manera, el Glosario de términos más usuales en la Administración Pública Federal, emitido por la Secretaría de Hacienda y Crédito Público (</w:t>
      </w:r>
      <w:hyperlink r:id="rId9">
        <w:r w:rsidRPr="003B74E8">
          <w:rPr>
            <w:rFonts w:ascii="Palatino Linotype" w:eastAsia="Palatino Linotype" w:hAnsi="Palatino Linotype" w:cs="Palatino Linotype"/>
            <w:color w:val="000000"/>
            <w:sz w:val="22"/>
            <w:szCs w:val="22"/>
            <w:u w:val="single"/>
          </w:rPr>
          <w:t>http://www.apartados.hacienda.gob.mx/contabilidad/documentos/informe_cuenta/1998/cuenta_publica/Glosario/n.htm</w:t>
        </w:r>
      </w:hyperlink>
      <w:r w:rsidRPr="003B74E8">
        <w:rPr>
          <w:rFonts w:ascii="Palatino Linotype" w:eastAsia="Palatino Linotype" w:hAnsi="Palatino Linotype" w:cs="Palatino Linotype"/>
          <w:color w:val="000000"/>
          <w:sz w:val="22"/>
          <w:szCs w:val="22"/>
          <w:u w:val="single"/>
        </w:rPr>
        <w:t>)</w:t>
      </w:r>
      <w:r w:rsidRPr="003B74E8">
        <w:rPr>
          <w:rFonts w:ascii="Palatino Linotype" w:eastAsia="Palatino Linotype" w:hAnsi="Palatino Linotype" w:cs="Palatino Linotype"/>
          <w:color w:val="000000"/>
          <w:sz w:val="22"/>
          <w:szCs w:val="22"/>
        </w:rPr>
        <w:t xml:space="preserve">, establece que la </w:t>
      </w:r>
      <w:r w:rsidRPr="003B74E8">
        <w:rPr>
          <w:rFonts w:ascii="Palatino Linotype" w:eastAsia="Palatino Linotype" w:hAnsi="Palatino Linotype" w:cs="Palatino Linotype"/>
          <w:b/>
          <w:color w:val="000000"/>
          <w:sz w:val="22"/>
          <w:szCs w:val="22"/>
        </w:rPr>
        <w:t>nómina es un listado general de los trabajadores de una institución, en el cual se asientan las percepciones brutas, deducciones y alcance neto de las mismas.</w:t>
      </w:r>
    </w:p>
    <w:p w:rsidR="00C53FD1" w:rsidRPr="003B74E8" w:rsidRDefault="00C53FD1">
      <w:pPr>
        <w:spacing w:line="360" w:lineRule="auto"/>
        <w:ind w:right="-93"/>
        <w:jc w:val="both"/>
        <w:rPr>
          <w:rFonts w:ascii="Palatino Linotype" w:eastAsia="Palatino Linotype" w:hAnsi="Palatino Linotype" w:cs="Palatino Linotype"/>
          <w:color w:val="000000"/>
          <w:sz w:val="22"/>
          <w:szCs w:val="22"/>
        </w:rPr>
      </w:pPr>
    </w:p>
    <w:p w:rsidR="00C53FD1" w:rsidRPr="003B74E8" w:rsidRDefault="008C148F">
      <w:pPr>
        <w:spacing w:line="360" w:lineRule="auto"/>
        <w:ind w:right="-93"/>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Conforme a lo anterior, se puede advertir que la nómina se puede referir a lo siguiente:</w:t>
      </w:r>
    </w:p>
    <w:p w:rsidR="00C53FD1" w:rsidRPr="003B74E8" w:rsidRDefault="00C53FD1">
      <w:pPr>
        <w:spacing w:line="360" w:lineRule="auto"/>
        <w:ind w:right="-93"/>
        <w:jc w:val="both"/>
        <w:rPr>
          <w:rFonts w:ascii="Palatino Linotype" w:eastAsia="Palatino Linotype" w:hAnsi="Palatino Linotype" w:cs="Palatino Linotype"/>
          <w:color w:val="000000"/>
          <w:sz w:val="22"/>
          <w:szCs w:val="22"/>
        </w:rPr>
      </w:pPr>
    </w:p>
    <w:p w:rsidR="00C53FD1" w:rsidRPr="003B74E8" w:rsidRDefault="008C148F">
      <w:pPr>
        <w:numPr>
          <w:ilvl w:val="0"/>
          <w:numId w:val="1"/>
        </w:numPr>
        <w:spacing w:line="360" w:lineRule="auto"/>
        <w:ind w:right="-93"/>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lastRenderedPageBreak/>
        <w:t>Relación de trabajadores con las percepciones monetarias de cada uno.</w:t>
      </w:r>
    </w:p>
    <w:p w:rsidR="00C53FD1" w:rsidRPr="003B74E8" w:rsidRDefault="00C53FD1">
      <w:pPr>
        <w:spacing w:line="360" w:lineRule="auto"/>
        <w:ind w:left="720" w:right="-93"/>
        <w:jc w:val="both"/>
        <w:rPr>
          <w:rFonts w:ascii="Palatino Linotype" w:eastAsia="Palatino Linotype" w:hAnsi="Palatino Linotype" w:cs="Palatino Linotype"/>
          <w:b/>
          <w:color w:val="000000"/>
          <w:sz w:val="22"/>
          <w:szCs w:val="22"/>
        </w:rPr>
      </w:pPr>
    </w:p>
    <w:p w:rsidR="00C53FD1" w:rsidRPr="003B74E8" w:rsidRDefault="008C148F">
      <w:pPr>
        <w:numPr>
          <w:ilvl w:val="0"/>
          <w:numId w:val="1"/>
        </w:numPr>
        <w:spacing w:line="360" w:lineRule="auto"/>
        <w:ind w:right="-93"/>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Recibo individual que contiene las prestaciones y deducciones de un trabajador.</w:t>
      </w:r>
    </w:p>
    <w:p w:rsidR="00C53FD1" w:rsidRPr="003B74E8" w:rsidRDefault="00C53FD1">
      <w:pPr>
        <w:spacing w:line="360" w:lineRule="auto"/>
        <w:ind w:left="720"/>
        <w:rPr>
          <w:rFonts w:ascii="Palatino Linotype" w:eastAsia="Palatino Linotype" w:hAnsi="Palatino Linotype" w:cs="Palatino Linotype"/>
          <w:b/>
          <w:color w:val="000000"/>
          <w:sz w:val="22"/>
          <w:szCs w:val="22"/>
        </w:rPr>
      </w:pPr>
    </w:p>
    <w:p w:rsidR="00C53FD1" w:rsidRPr="003B74E8" w:rsidRDefault="008C148F">
      <w:pPr>
        <w:numPr>
          <w:ilvl w:val="0"/>
          <w:numId w:val="1"/>
        </w:numPr>
        <w:spacing w:line="360" w:lineRule="auto"/>
        <w:ind w:right="-93"/>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Listado general de los servidores públicos de una institución o dependencia, en el cual se asientan las percepciones brutas, deducciones y alcance neto de las mismas.</w:t>
      </w:r>
    </w:p>
    <w:p w:rsidR="00C53FD1" w:rsidRPr="003B74E8" w:rsidRDefault="00C53FD1">
      <w:pPr>
        <w:spacing w:line="360" w:lineRule="auto"/>
        <w:ind w:right="-93"/>
        <w:jc w:val="both"/>
        <w:rPr>
          <w:rFonts w:ascii="Palatino Linotype" w:eastAsia="Palatino Linotype" w:hAnsi="Palatino Linotype" w:cs="Palatino Linotype"/>
          <w:b/>
          <w:color w:val="000000"/>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00000"/>
          <w:sz w:val="22"/>
          <w:szCs w:val="22"/>
        </w:rPr>
        <w:t xml:space="preserve">Ahora bien, respecto </w:t>
      </w:r>
      <w:r w:rsidRPr="003B74E8">
        <w:rPr>
          <w:rFonts w:ascii="Palatino Linotype" w:eastAsia="Palatino Linotype" w:hAnsi="Palatino Linotype" w:cs="Palatino Linotype"/>
          <w:sz w:val="22"/>
          <w:szCs w:val="22"/>
        </w:rPr>
        <w:t xml:space="preserve">al nombre , cargo, área de adscripción y antigüedad de los servidores públicos sindicalizados; al respecto, es necesario traer a colación la Guía Técnica 9 “La Administración del Personal Municipal” (consultado en </w:t>
      </w:r>
      <w:hyperlink r:id="rId10">
        <w:r w:rsidRPr="003B74E8">
          <w:rPr>
            <w:rFonts w:ascii="Palatino Linotype" w:eastAsia="Palatino Linotype" w:hAnsi="Palatino Linotype" w:cs="Palatino Linotype"/>
            <w:color w:val="0563C1"/>
            <w:sz w:val="22"/>
            <w:szCs w:val="22"/>
            <w:u w:val="single"/>
          </w:rPr>
          <w:t>http://www.inafed.gob.mx/work/models/inafed/Resource/335/1/images/guia09_la_administracion_del_personal_municipal.pdf</w:t>
        </w:r>
      </w:hyperlink>
      <w:r w:rsidRPr="003B74E8">
        <w:rPr>
          <w:rFonts w:ascii="Palatino Linotype" w:eastAsia="Palatino Linotype" w:hAnsi="Palatino Linotype" w:cs="Palatino Linotype"/>
          <w:sz w:val="22"/>
          <w:szCs w:val="22"/>
        </w:rPr>
        <w:t>), que establece que son servidores públicos, son todas aquellas personas que prestan su trabajo al servicio del municipio, conformado por las autoridad, funcionarios (Directores y Jefes de Departamento) y empleados (puestos administrativos y técnicos).</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Además, el artículo 70, fracción VII, de la Ley General de Transparencia y Acceso a la Información Pública y el diverso 92, fracción VII, de la Ley de Transparencia y Acceso a la Información Pública del Estado de México y Municipios, establece como obligación común de transparencia, el Directorio de servidores públicos, el cual contiene diversos datos, entre los cuales se encuentra el nombre, cargo, área de adscripción y fecha de alta. </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Finalmente respecto a los oficios, cabe precisar que de conformidad con los artículos 6°, apartado A, de la Constitución Política de los Estados Unidos Mexicanos, 5° de la Constitución Política del Estado Libre y Soberano de México, 4° de la Ley General de Transparencia y </w:t>
      </w:r>
      <w:r w:rsidRPr="003B74E8">
        <w:rPr>
          <w:rFonts w:ascii="Palatino Linotype" w:eastAsia="Palatino Linotype" w:hAnsi="Palatino Linotype" w:cs="Palatino Linotype"/>
          <w:sz w:val="22"/>
          <w:szCs w:val="22"/>
        </w:rPr>
        <w:lastRenderedPageBreak/>
        <w:t>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Ahora bien, el artículo 18 de la Ley de Transparencia y Acceso a la Información Pública del Estado de México y Municipios, contempla que los sujetos obligados deberán documentar todo acto que derive del ejercicio de sus facultades, competencias o funciones.</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Conforme a lo anterior, se logra vislumbrar que la pretensión de la persona recurrente es obtener respecto a los servidores públicos que se afiliaron a un sindicado del primero de enero </w:t>
      </w:r>
      <w:r w:rsidRPr="003B74E8">
        <w:rPr>
          <w:rFonts w:ascii="Palatino Linotype" w:eastAsia="Palatino Linotype" w:hAnsi="Palatino Linotype" w:cs="Palatino Linotype"/>
          <w:color w:val="000000"/>
          <w:sz w:val="22"/>
          <w:szCs w:val="22"/>
        </w:rPr>
        <w:lastRenderedPageBreak/>
        <w:t>de dos mil veintidós al veintiuno de octubre de dos mil veinticuatro, el documento donde conste el nombre, cargo, sueldo, área de adscripción, antigüedad y oficio de afiliación.</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Ahora bien, de las constancias que obran en el expediente electrónico, se logra advertir que el Sujeto Obligado turno la solicitud de información a la Coordinador de Administración y Finanzas; por lo que, resulta necesario hacer referencia </w:t>
      </w:r>
      <w:r w:rsidRPr="003B74E8">
        <w:rPr>
          <w:rFonts w:ascii="Palatino Linotype" w:eastAsia="Palatino Linotype" w:hAnsi="Palatino Linotype" w:cs="Palatino Linotype"/>
          <w:b/>
          <w:sz w:val="22"/>
          <w:szCs w:val="22"/>
        </w:rPr>
        <w:t>al procedimiento de búsqueda que deben seguir los Sujetos Obligados para localizar la información</w:t>
      </w:r>
      <w:r w:rsidRPr="003B74E8">
        <w:rPr>
          <w:rFonts w:ascii="Palatino Linotype" w:eastAsia="Palatino Linotype" w:hAnsi="Palatino Linotype" w:cs="Palatino Linotype"/>
          <w:sz w:val="22"/>
          <w:szCs w:val="22"/>
        </w:rP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Así, a efecto de verificar que el Sujeto Obligado realizó el procedimiento de búsqueda antes descrito es necesario traer a coalición los artículos 8º, fracción II, inciso a, y 20, fracciones XVII, XXVI, XXVII y XXXV del Reglamento Interno del Instituto Municipal de Cultura Física y Deporte de Toluca para la Administración 2022-2024, los cuales establecen que el Sujeto Obligado para el ejercicio de sus atribuciones contará con una </w:t>
      </w:r>
      <w:r w:rsidRPr="003B74E8">
        <w:rPr>
          <w:rFonts w:ascii="Palatino Linotype" w:eastAsia="Palatino Linotype" w:hAnsi="Palatino Linotype" w:cs="Palatino Linotype"/>
          <w:b/>
          <w:sz w:val="22"/>
          <w:szCs w:val="22"/>
        </w:rPr>
        <w:t>Coordinación de Administración y Finanzas</w:t>
      </w:r>
      <w:r w:rsidRPr="003B74E8">
        <w:rPr>
          <w:rFonts w:ascii="Palatino Linotype" w:eastAsia="Palatino Linotype" w:hAnsi="Palatino Linotype" w:cs="Palatino Linotype"/>
          <w:sz w:val="22"/>
          <w:szCs w:val="22"/>
        </w:rPr>
        <w:t xml:space="preserve"> encargada de supervisar los movimientos de personal, tales como alta, baja, cambios de adscripción, supervisar la correcta elaboración de la nómina e implementar las medidas necesarias para su entrega  a las personas servidoras públicas e integrara, controlar y custodiar la información contenida en los archivos administrativos a su cargo. </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lastRenderedPageBreak/>
        <w:t>De tal circunstancia, se considera que el Sujeto Obligado turno la solicitud de información a el área con competencia, para conocer de lo peticionado, a saber, la Coordinación de Administración y Finanzas, encargadas de ver todas las cuestiones relacionadas con el movimiento y pago de remuneraciones del personal adscrito al Instituto Municipal de Cultura Física y Deporte de Toluca, por lo que, se considera que el Sujeto Obligado atendió lo establecido en el artículo 162 de la Ley de Transparencia y Acceso a la Información Pública del Estado de México y Municipios.</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Ahora bien, dicha dependencia precisó tanto en respuesta, como en Informe Justificado que no contaba con movimientos de personal, ni información respecto a servidores públicos que hayan sido afiliados durante los ejercicios fiscales requeridos, es decir del primero de enero de dos mil veintidós al veintiuno de octubre de dos mil veinticuatro, motivo por el cual no contaba con la información solicitada.   </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tabs>
          <w:tab w:val="left" w:pos="4962"/>
        </w:tabs>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D0D0D"/>
          <w:sz w:val="22"/>
          <w:szCs w:val="22"/>
        </w:rPr>
        <w:t xml:space="preserve">Así, se logra </w:t>
      </w:r>
      <w:r w:rsidRPr="003B74E8">
        <w:rPr>
          <w:rFonts w:ascii="Palatino Linotype" w:eastAsia="Palatino Linotype" w:hAnsi="Palatino Linotype" w:cs="Palatino Linotype"/>
          <w:sz w:val="22"/>
          <w:szCs w:val="22"/>
        </w:rPr>
        <w:t xml:space="preserve">observar que el área competente indicó las razones por las cuales la información era inexistente, a saber, que durante los ejercicios fiscales requeridos no se afilió ;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rsidR="00C53FD1" w:rsidRPr="003B74E8" w:rsidRDefault="00C53FD1">
      <w:pPr>
        <w:tabs>
          <w:tab w:val="left" w:pos="4962"/>
        </w:tabs>
        <w:spacing w:line="360" w:lineRule="auto"/>
        <w:jc w:val="both"/>
        <w:rPr>
          <w:rFonts w:ascii="Palatino Linotype" w:eastAsia="Palatino Linotype" w:hAnsi="Palatino Linotype" w:cs="Palatino Linotype"/>
          <w:sz w:val="22"/>
          <w:szCs w:val="22"/>
        </w:rPr>
      </w:pPr>
    </w:p>
    <w:p w:rsidR="00C53FD1" w:rsidRPr="003B74E8" w:rsidRDefault="008C148F">
      <w:pPr>
        <w:tabs>
          <w:tab w:val="left" w:pos="4962"/>
        </w:tabs>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Así, es posible concluir que la </w:t>
      </w:r>
      <w:r w:rsidRPr="003B74E8">
        <w:rPr>
          <w:rFonts w:ascii="Palatino Linotype" w:eastAsia="Palatino Linotype" w:hAnsi="Palatino Linotype" w:cs="Palatino Linotype"/>
          <w:b/>
          <w:sz w:val="22"/>
          <w:szCs w:val="22"/>
        </w:rPr>
        <w:t>inexistencia</w:t>
      </w:r>
      <w:r w:rsidRPr="003B74E8">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En ese contexto, el Sujeto Obligado precisó las razones por las cuales no contaba con lo peticionado, a saber, que durante el periodo requerido no se habían afiliado servidores públicos a un sindicato; además, este Instituto realizó una búsqueda en la página oficial, el Portal de Información Pública de Oficio Mexiquense y las cuentas oficiales de las redes sociales del Sujeto Obligado y no se advierte que exista la documentación peticionada. </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w:t>
      </w:r>
      <w:r w:rsidRPr="003B74E8">
        <w:rPr>
          <w:rFonts w:ascii="Palatino Linotype" w:eastAsia="Palatino Linotype" w:hAnsi="Palatino Linotype" w:cs="Palatino Linotype"/>
          <w:sz w:val="22"/>
          <w:szCs w:val="22"/>
        </w:rPr>
        <w:lastRenderedPageBreak/>
        <w:t>aplicables no se desprenda obligación alguna de contar con la información solicitada, ni se advierta algún otro elemento de convicción que apunto a su existencia.</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sz w:val="22"/>
          <w:szCs w:val="22"/>
        </w:rPr>
        <w:t xml:space="preserve">Al respecto, dicho criterio aplica al caso en concreto, ya que, no se localizó algún indicio de que obre en los archivos de la Coordinación de Administración y Finanzas, la información solicitada por el Recurrente; por lo cual, se considera que el Sujeto Obligado desde respuesta se pronunció de todos los integrantes de Cabildo y señaló las razones por las cuales no contaba con lo requerido, lo cual da como resultado que el agravio sea </w:t>
      </w:r>
      <w:r w:rsidRPr="003B74E8">
        <w:rPr>
          <w:rFonts w:ascii="Palatino Linotype" w:eastAsia="Palatino Linotype" w:hAnsi="Palatino Linotype" w:cs="Palatino Linotype"/>
          <w:b/>
          <w:sz w:val="22"/>
          <w:szCs w:val="22"/>
        </w:rPr>
        <w:t>INFUNDADO.</w:t>
      </w:r>
    </w:p>
    <w:p w:rsidR="00C53FD1" w:rsidRPr="003B74E8" w:rsidRDefault="00C53FD1">
      <w:pPr>
        <w:spacing w:line="360" w:lineRule="auto"/>
        <w:jc w:val="both"/>
        <w:rPr>
          <w:rFonts w:ascii="Palatino Linotype" w:eastAsia="Palatino Linotype" w:hAnsi="Palatino Linotype" w:cs="Palatino Linotype"/>
          <w:color w:val="000000"/>
          <w:sz w:val="22"/>
          <w:szCs w:val="22"/>
        </w:rPr>
      </w:pPr>
    </w:p>
    <w:p w:rsidR="00C53FD1" w:rsidRPr="003B74E8" w:rsidRDefault="003B74E8">
      <w:pPr>
        <w:spacing w:line="360" w:lineRule="auto"/>
        <w:jc w:val="both"/>
        <w:rPr>
          <w:rFonts w:ascii="Palatino Linotype" w:eastAsia="Palatino Linotype" w:hAnsi="Palatino Linotype" w:cs="Palatino Linotype"/>
          <w:b/>
          <w:color w:val="000000"/>
          <w:sz w:val="22"/>
          <w:szCs w:val="22"/>
        </w:rPr>
      </w:pPr>
      <w:r w:rsidRPr="003B74E8">
        <w:rPr>
          <w:rFonts w:ascii="Palatino Linotype" w:eastAsia="Palatino Linotype" w:hAnsi="Palatino Linotype" w:cs="Palatino Linotype"/>
          <w:b/>
          <w:color w:val="000000"/>
          <w:sz w:val="22"/>
          <w:szCs w:val="22"/>
        </w:rPr>
        <w:t>SEXTO. Decisión</w:t>
      </w:r>
    </w:p>
    <w:p w:rsidR="00C53FD1" w:rsidRPr="003B74E8" w:rsidRDefault="00C53FD1">
      <w:pPr>
        <w:spacing w:line="360" w:lineRule="auto"/>
        <w:jc w:val="both"/>
        <w:rPr>
          <w:rFonts w:ascii="Palatino Linotype" w:eastAsia="Palatino Linotype" w:hAnsi="Palatino Linotype" w:cs="Palatino Linotype"/>
          <w:b/>
          <w:color w:val="000000"/>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color w:val="000000"/>
          <w:sz w:val="22"/>
          <w:szCs w:val="22"/>
        </w:rPr>
        <w:t xml:space="preserve">Con fundamento en el artículo 186, fracción II, de la Ley de Transparencia y Acceso a la Información Pública del Estado de México y Municipios, este Instituto considera procedente </w:t>
      </w:r>
      <w:r w:rsidRPr="003B74E8">
        <w:rPr>
          <w:rFonts w:ascii="Palatino Linotype" w:eastAsia="Palatino Linotype" w:hAnsi="Palatino Linotype" w:cs="Palatino Linotype"/>
          <w:b/>
          <w:color w:val="000000"/>
          <w:sz w:val="22"/>
          <w:szCs w:val="22"/>
        </w:rPr>
        <w:t xml:space="preserve">CONFIRMAR </w:t>
      </w:r>
      <w:r w:rsidRPr="003B74E8">
        <w:rPr>
          <w:rFonts w:ascii="Palatino Linotype" w:eastAsia="Palatino Linotype" w:hAnsi="Palatino Linotype" w:cs="Palatino Linotype"/>
          <w:color w:val="000000"/>
          <w:sz w:val="22"/>
          <w:szCs w:val="22"/>
        </w:rPr>
        <w:t xml:space="preserve">la respuesta otorgada por el Sujeto Obligado. </w:t>
      </w:r>
    </w:p>
    <w:p w:rsidR="00C53FD1" w:rsidRPr="003B74E8" w:rsidRDefault="00C53FD1">
      <w:pPr>
        <w:spacing w:line="360" w:lineRule="auto"/>
        <w:ind w:right="-28"/>
        <w:jc w:val="both"/>
        <w:rPr>
          <w:rFonts w:ascii="Palatino Linotype" w:eastAsia="Palatino Linotype" w:hAnsi="Palatino Linotype" w:cs="Palatino Linotype"/>
          <w:sz w:val="22"/>
          <w:szCs w:val="22"/>
        </w:rPr>
      </w:pPr>
    </w:p>
    <w:p w:rsidR="00C53FD1" w:rsidRPr="003B74E8" w:rsidRDefault="008C148F">
      <w:pPr>
        <w:spacing w:line="360" w:lineRule="auto"/>
        <w:ind w:right="-28"/>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Términos de la Resolución para conocimiento del Particular</w:t>
      </w:r>
    </w:p>
    <w:p w:rsidR="00C53FD1" w:rsidRPr="003B74E8" w:rsidRDefault="00C53FD1">
      <w:pPr>
        <w:spacing w:line="360" w:lineRule="auto"/>
        <w:ind w:right="-28"/>
        <w:jc w:val="both"/>
        <w:rPr>
          <w:rFonts w:ascii="Palatino Linotype" w:eastAsia="Palatino Linotype" w:hAnsi="Palatino Linotype" w:cs="Palatino Linotype"/>
          <w:sz w:val="22"/>
          <w:szCs w:val="22"/>
        </w:rPr>
      </w:pPr>
    </w:p>
    <w:p w:rsidR="00C53FD1" w:rsidRPr="003B74E8" w:rsidRDefault="008C148F">
      <w:pPr>
        <w:widowControl w:val="0"/>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00000"/>
          <w:sz w:val="22"/>
          <w:szCs w:val="22"/>
        </w:rPr>
        <w:t xml:space="preserve">Se le hace del conocimiento al Particular, que, en el presente caso, no se le da la razón, pues contrario a lo referido el Sujeto Obligado, en respuesta, </w:t>
      </w:r>
      <w:r w:rsidRPr="003B74E8">
        <w:rPr>
          <w:rFonts w:ascii="Palatino Linotype" w:eastAsia="Palatino Linotype" w:hAnsi="Palatino Linotype" w:cs="Palatino Linotype"/>
          <w:sz w:val="22"/>
          <w:szCs w:val="22"/>
        </w:rPr>
        <w:t>precisó las circunstancias por las cuales no contaba con la información solicitada</w:t>
      </w:r>
      <w:r w:rsidRPr="003B74E8">
        <w:rPr>
          <w:rFonts w:ascii="Palatino Linotype" w:eastAsia="Palatino Linotype" w:hAnsi="Palatino Linotype" w:cs="Palatino Linotype"/>
          <w:color w:val="000000"/>
          <w:sz w:val="22"/>
          <w:szCs w:val="22"/>
        </w:rPr>
        <w:t xml:space="preserve">. </w:t>
      </w:r>
      <w:r w:rsidRPr="003B74E8">
        <w:rPr>
          <w:rFonts w:ascii="Palatino Linotype" w:eastAsia="Palatino Linotype" w:hAnsi="Palatino Linotype" w:cs="Palatino Linotype"/>
          <w:sz w:val="22"/>
          <w:szCs w:val="22"/>
        </w:rPr>
        <w:t>La labor del Instituto, es apoyar a la población a acceder a la información pública y garantizar la protección de los datos personales.</w:t>
      </w:r>
    </w:p>
    <w:p w:rsidR="00C53FD1" w:rsidRPr="003B74E8" w:rsidRDefault="00C53FD1">
      <w:pPr>
        <w:widowControl w:val="0"/>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color w:val="000000"/>
          <w:sz w:val="22"/>
          <w:szCs w:val="22"/>
        </w:rPr>
        <w:t>Por</w:t>
      </w:r>
      <w:r w:rsidRPr="003B74E8">
        <w:rPr>
          <w:rFonts w:ascii="Palatino Linotype" w:eastAsia="Palatino Linotype" w:hAnsi="Palatino Linotype" w:cs="Palatino Linotype"/>
          <w:sz w:val="22"/>
          <w:szCs w:val="22"/>
        </w:rPr>
        <w:t xml:space="preserve"> lo expuesto y fundado, este Pleno:</w:t>
      </w:r>
    </w:p>
    <w:p w:rsidR="00C53FD1" w:rsidRPr="003B74E8" w:rsidRDefault="00C53FD1">
      <w:pPr>
        <w:spacing w:line="360" w:lineRule="auto"/>
        <w:jc w:val="both"/>
        <w:rPr>
          <w:rFonts w:ascii="Palatino Linotype" w:eastAsia="Palatino Linotype" w:hAnsi="Palatino Linotype" w:cs="Palatino Linotype"/>
          <w:sz w:val="22"/>
          <w:szCs w:val="22"/>
        </w:rPr>
      </w:pPr>
    </w:p>
    <w:p w:rsidR="00C53FD1" w:rsidRPr="003B74E8" w:rsidRDefault="008C148F">
      <w:pPr>
        <w:spacing w:line="360" w:lineRule="auto"/>
        <w:jc w:val="center"/>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R E S U E L V E</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color w:val="000000"/>
          <w:sz w:val="22"/>
          <w:szCs w:val="22"/>
        </w:rPr>
      </w:pPr>
      <w:r w:rsidRPr="003B74E8">
        <w:rPr>
          <w:rFonts w:ascii="Palatino Linotype" w:eastAsia="Palatino Linotype" w:hAnsi="Palatino Linotype" w:cs="Palatino Linotype"/>
          <w:b/>
          <w:color w:val="000000"/>
          <w:sz w:val="22"/>
          <w:szCs w:val="22"/>
        </w:rPr>
        <w:t>PRIMERO.</w:t>
      </w:r>
      <w:r w:rsidRPr="003B74E8">
        <w:rPr>
          <w:rFonts w:ascii="Palatino Linotype" w:eastAsia="Palatino Linotype" w:hAnsi="Palatino Linotype" w:cs="Palatino Linotype"/>
          <w:color w:val="000000"/>
          <w:sz w:val="22"/>
          <w:szCs w:val="22"/>
        </w:rPr>
        <w:t xml:space="preserve"> Se </w:t>
      </w:r>
      <w:r w:rsidRPr="003B74E8">
        <w:rPr>
          <w:rFonts w:ascii="Palatino Linotype" w:eastAsia="Palatino Linotype" w:hAnsi="Palatino Linotype" w:cs="Palatino Linotype"/>
          <w:b/>
          <w:color w:val="000000"/>
          <w:sz w:val="22"/>
          <w:szCs w:val="22"/>
        </w:rPr>
        <w:t xml:space="preserve">CONFIRMA </w:t>
      </w:r>
      <w:r w:rsidRPr="003B74E8">
        <w:rPr>
          <w:rFonts w:ascii="Palatino Linotype" w:eastAsia="Palatino Linotype" w:hAnsi="Palatino Linotype" w:cs="Palatino Linotype"/>
          <w:color w:val="000000"/>
          <w:sz w:val="22"/>
          <w:szCs w:val="22"/>
        </w:rPr>
        <w:t xml:space="preserve">la respuesta entregada por el Instituto Municipal de Cultura Física y Deporte de Toluca a las solicitudes de acceso a la información 00037/IMCUFIDETOLUCA/IP/2024, 00038/IMCUFIDETOLUCA/IP/2024 y 00039/IMCUFIDETOLUCA/IP/2024, por resultar </w:t>
      </w:r>
      <w:r w:rsidRPr="003B74E8">
        <w:rPr>
          <w:rFonts w:ascii="Palatino Linotype" w:eastAsia="Palatino Linotype" w:hAnsi="Palatino Linotype" w:cs="Palatino Linotype"/>
          <w:b/>
          <w:color w:val="000000"/>
          <w:sz w:val="22"/>
          <w:szCs w:val="22"/>
        </w:rPr>
        <w:t>INFUNDADAS</w:t>
      </w:r>
      <w:r w:rsidRPr="003B74E8">
        <w:rPr>
          <w:rFonts w:ascii="Palatino Linotype" w:eastAsia="Palatino Linotype" w:hAnsi="Palatino Linotype" w:cs="Palatino Linotype"/>
          <w:color w:val="000000"/>
          <w:sz w:val="22"/>
          <w:szCs w:val="22"/>
        </w:rPr>
        <w:t xml:space="preserve"> las razones o motivos de inconformidad hechas valer por el Recurrente, en términos de los Considerandos QUINTO y SEXTO de esta Resolución.</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 xml:space="preserve">SEGUNDO. NOTIFÍQUESE POR SAIMEX </w:t>
      </w:r>
      <w:r w:rsidRPr="003B74E8">
        <w:rPr>
          <w:rFonts w:ascii="Palatino Linotype" w:eastAsia="Palatino Linotype" w:hAnsi="Palatino Linotype" w:cs="Palatino Linotype"/>
          <w:sz w:val="22"/>
          <w:szCs w:val="22"/>
        </w:rPr>
        <w:t>la presente Resolución, al Titular de la Unidad de Transparencia del Sujeto Obligado.</w:t>
      </w:r>
    </w:p>
    <w:p w:rsidR="00C53FD1" w:rsidRPr="003B74E8" w:rsidRDefault="00C53FD1">
      <w:pPr>
        <w:spacing w:line="360" w:lineRule="auto"/>
        <w:jc w:val="both"/>
        <w:rPr>
          <w:rFonts w:ascii="Palatino Linotype" w:eastAsia="Palatino Linotype" w:hAnsi="Palatino Linotype" w:cs="Palatino Linotype"/>
          <w:b/>
          <w:i/>
          <w:sz w:val="22"/>
          <w:szCs w:val="22"/>
        </w:rPr>
      </w:pPr>
    </w:p>
    <w:p w:rsidR="00C53FD1" w:rsidRPr="003B74E8" w:rsidRDefault="008C148F">
      <w:pPr>
        <w:spacing w:line="360" w:lineRule="auto"/>
        <w:jc w:val="both"/>
        <w:rPr>
          <w:rFonts w:ascii="Palatino Linotype" w:eastAsia="Palatino Linotype" w:hAnsi="Palatino Linotype" w:cs="Palatino Linotype"/>
          <w:b/>
          <w:sz w:val="22"/>
          <w:szCs w:val="22"/>
        </w:rPr>
      </w:pPr>
      <w:r w:rsidRPr="003B74E8">
        <w:rPr>
          <w:rFonts w:ascii="Palatino Linotype" w:eastAsia="Palatino Linotype" w:hAnsi="Palatino Linotype" w:cs="Palatino Linotype"/>
          <w:b/>
          <w:sz w:val="22"/>
          <w:szCs w:val="22"/>
        </w:rPr>
        <w:t xml:space="preserve">TERCERO. NOTIFÍQUESE POR SAIMEX </w:t>
      </w:r>
      <w:r w:rsidRPr="003B74E8">
        <w:rPr>
          <w:rFonts w:ascii="Palatino Linotype" w:eastAsia="Palatino Linotype" w:hAnsi="Palatino Linotype" w:cs="Palatino Linotype"/>
          <w:sz w:val="22"/>
          <w:szCs w:val="22"/>
        </w:rPr>
        <w:t>a la persona Recurrente, la presente Resolución</w:t>
      </w:r>
      <w:r w:rsidRPr="003B74E8">
        <w:rPr>
          <w:rFonts w:ascii="Palatino Linotype" w:eastAsia="Palatino Linotype" w:hAnsi="Palatino Linotype" w:cs="Palatino Linotype"/>
          <w:color w:val="000000"/>
          <w:sz w:val="22"/>
          <w:szCs w:val="22"/>
        </w:rPr>
        <w:t>,</w:t>
      </w:r>
      <w:r w:rsidRPr="003B74E8">
        <w:rPr>
          <w:rFonts w:ascii="Palatino Linotype" w:eastAsia="Palatino Linotype" w:hAnsi="Palatino Linotype" w:cs="Palatino Linotype"/>
          <w:sz w:val="22"/>
          <w:szCs w:val="22"/>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C53FD1" w:rsidRPr="003B74E8" w:rsidRDefault="00C53FD1">
      <w:pPr>
        <w:spacing w:line="360" w:lineRule="auto"/>
        <w:jc w:val="both"/>
        <w:rPr>
          <w:rFonts w:ascii="Palatino Linotype" w:eastAsia="Palatino Linotype" w:hAnsi="Palatino Linotype" w:cs="Palatino Linotype"/>
          <w:b/>
          <w:sz w:val="22"/>
          <w:szCs w:val="22"/>
        </w:rPr>
      </w:pPr>
    </w:p>
    <w:p w:rsidR="00C53FD1" w:rsidRDefault="008C148F">
      <w:pPr>
        <w:spacing w:line="360" w:lineRule="auto"/>
        <w:jc w:val="both"/>
        <w:rPr>
          <w:rFonts w:ascii="Palatino Linotype" w:eastAsia="Palatino Linotype" w:hAnsi="Palatino Linotype" w:cs="Palatino Linotype"/>
          <w:sz w:val="22"/>
          <w:szCs w:val="22"/>
        </w:rPr>
      </w:pPr>
      <w:r w:rsidRPr="003B74E8">
        <w:rPr>
          <w:rFonts w:ascii="Palatino Linotype" w:eastAsia="Palatino Linotype" w:hAnsi="Palatino Linotype" w:cs="Palatino Linotype"/>
          <w:sz w:val="22"/>
          <w:szCs w:val="22"/>
        </w:rPr>
        <w:t xml:space="preserve">ASÍ LO RESUELVE, POR </w:t>
      </w:r>
      <w:r w:rsidRPr="003B74E8">
        <w:rPr>
          <w:rFonts w:ascii="Palatino Linotype" w:eastAsia="Palatino Linotype" w:hAnsi="Palatino Linotype" w:cs="Palatino Linotype"/>
          <w:b/>
          <w:sz w:val="22"/>
          <w:szCs w:val="22"/>
        </w:rPr>
        <w:t>UNANIMIDAD</w:t>
      </w:r>
      <w:r w:rsidRPr="003B74E8">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rsidR="00C53FD1" w:rsidRDefault="008C148F">
      <w:pPr>
        <w:spacing w:line="360" w:lineRule="auto"/>
        <w:rPr>
          <w:rFonts w:ascii="Palatino Linotype" w:eastAsia="Palatino Linotype" w:hAnsi="Palatino Linotype" w:cs="Palatino Linotype"/>
          <w:sz w:val="22"/>
          <w:szCs w:val="22"/>
        </w:rPr>
      </w:pPr>
      <w:r>
        <w:br w:type="page"/>
      </w:r>
    </w:p>
    <w:p w:rsidR="00C53FD1" w:rsidRDefault="00C53FD1">
      <w:pPr>
        <w:spacing w:line="360" w:lineRule="auto"/>
        <w:jc w:val="both"/>
        <w:rPr>
          <w:rFonts w:ascii="Palatino Linotype" w:eastAsia="Palatino Linotype" w:hAnsi="Palatino Linotype" w:cs="Palatino Linotype"/>
          <w:sz w:val="22"/>
          <w:szCs w:val="22"/>
        </w:rPr>
      </w:pPr>
    </w:p>
    <w:p w:rsidR="00C53FD1" w:rsidRDefault="00C53FD1">
      <w:pPr>
        <w:spacing w:line="360" w:lineRule="auto"/>
        <w:jc w:val="both"/>
        <w:rPr>
          <w:rFonts w:ascii="Palatino Linotype" w:eastAsia="Palatino Linotype" w:hAnsi="Palatino Linotype" w:cs="Palatino Linotype"/>
          <w:sz w:val="22"/>
          <w:szCs w:val="22"/>
        </w:rPr>
      </w:pPr>
    </w:p>
    <w:p w:rsidR="00C53FD1" w:rsidRDefault="00C53FD1">
      <w:pPr>
        <w:spacing w:line="360" w:lineRule="auto"/>
        <w:jc w:val="both"/>
        <w:rPr>
          <w:rFonts w:ascii="Palatino Linotype" w:eastAsia="Palatino Linotype" w:hAnsi="Palatino Linotype" w:cs="Palatino Linotype"/>
          <w:color w:val="000000"/>
          <w:sz w:val="22"/>
          <w:szCs w:val="22"/>
        </w:rPr>
      </w:pPr>
    </w:p>
    <w:sectPr w:rsidR="00C53FD1">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BE9" w:rsidRDefault="00607BE9">
      <w:r>
        <w:separator/>
      </w:r>
    </w:p>
  </w:endnote>
  <w:endnote w:type="continuationSeparator" w:id="0">
    <w:p w:rsidR="00607BE9" w:rsidRDefault="0060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D1" w:rsidRDefault="00C53FD1">
    <w:pPr>
      <w:pBdr>
        <w:top w:val="nil"/>
        <w:left w:val="nil"/>
        <w:bottom w:val="nil"/>
        <w:right w:val="nil"/>
        <w:between w:val="nil"/>
      </w:pBdr>
      <w:tabs>
        <w:tab w:val="center" w:pos="4419"/>
        <w:tab w:val="right" w:pos="8838"/>
      </w:tabs>
      <w:jc w:val="right"/>
      <w:rPr>
        <w:color w:val="000000"/>
        <w:sz w:val="26"/>
        <w:szCs w:val="26"/>
      </w:rPr>
    </w:pPr>
  </w:p>
  <w:p w:rsidR="00C53FD1" w:rsidRDefault="008C148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547D7">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47D7">
      <w:rPr>
        <w:b/>
        <w:noProof/>
        <w:color w:val="000000"/>
        <w:sz w:val="24"/>
        <w:szCs w:val="24"/>
      </w:rPr>
      <w:t>24</w:t>
    </w:r>
    <w:r>
      <w:rPr>
        <w:b/>
        <w:color w:val="000000"/>
        <w:sz w:val="24"/>
        <w:szCs w:val="24"/>
      </w:rPr>
      <w:fldChar w:fldCharType="end"/>
    </w:r>
  </w:p>
  <w:p w:rsidR="00C53FD1" w:rsidRDefault="00C53FD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D1" w:rsidRDefault="00C53FD1">
    <w:pPr>
      <w:pBdr>
        <w:top w:val="nil"/>
        <w:left w:val="nil"/>
        <w:bottom w:val="nil"/>
        <w:right w:val="nil"/>
        <w:between w:val="nil"/>
      </w:pBdr>
      <w:tabs>
        <w:tab w:val="center" w:pos="4419"/>
        <w:tab w:val="right" w:pos="8838"/>
      </w:tabs>
      <w:jc w:val="right"/>
      <w:rPr>
        <w:color w:val="000000"/>
      </w:rPr>
    </w:pPr>
  </w:p>
  <w:p w:rsidR="00C53FD1" w:rsidRDefault="008C148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547D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547D7">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BE9" w:rsidRDefault="00607BE9">
      <w:r>
        <w:separator/>
      </w:r>
    </w:p>
  </w:footnote>
  <w:footnote w:type="continuationSeparator" w:id="0">
    <w:p w:rsidR="00607BE9" w:rsidRDefault="0060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D1" w:rsidRDefault="00C53FD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2"/>
      <w:tblW w:w="9923" w:type="dxa"/>
      <w:tblInd w:w="0" w:type="dxa"/>
      <w:tblLayout w:type="fixed"/>
      <w:tblLook w:val="0400" w:firstRow="0" w:lastRow="0" w:firstColumn="0" w:lastColumn="0" w:noHBand="0" w:noVBand="1"/>
    </w:tblPr>
    <w:tblGrid>
      <w:gridCol w:w="2268"/>
      <w:gridCol w:w="7655"/>
    </w:tblGrid>
    <w:tr w:rsidR="00C53FD1">
      <w:trPr>
        <w:trHeight w:val="1412"/>
      </w:trPr>
      <w:tc>
        <w:tcPr>
          <w:tcW w:w="2268" w:type="dxa"/>
          <w:shd w:val="clear" w:color="auto" w:fill="auto"/>
        </w:tcPr>
        <w:p w:rsidR="00C53FD1" w:rsidRDefault="00C53FD1">
          <w:pPr>
            <w:tabs>
              <w:tab w:val="right" w:pos="4273"/>
            </w:tabs>
            <w:rPr>
              <w:rFonts w:ascii="Garamond" w:eastAsia="Garamond" w:hAnsi="Garamond" w:cs="Garamond"/>
              <w:sz w:val="16"/>
              <w:szCs w:val="16"/>
            </w:rPr>
          </w:pPr>
        </w:p>
      </w:tc>
      <w:tc>
        <w:tcPr>
          <w:tcW w:w="7655" w:type="dxa"/>
          <w:shd w:val="clear" w:color="auto" w:fill="auto"/>
        </w:tcPr>
        <w:p w:rsidR="00C53FD1" w:rsidRDefault="00C53FD1"/>
        <w:tbl>
          <w:tblPr>
            <w:tblStyle w:val="a3"/>
            <w:tblW w:w="68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4292"/>
          </w:tblGrid>
          <w:tr w:rsidR="00C53FD1">
            <w:trPr>
              <w:trHeight w:val="144"/>
            </w:trPr>
            <w:tc>
              <w:tcPr>
                <w:tcW w:w="2552" w:type="dxa"/>
              </w:tcPr>
              <w:p w:rsidR="00C53FD1" w:rsidRDefault="008C148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92" w:type="dxa"/>
              </w:tcPr>
              <w:p w:rsidR="00C53FD1" w:rsidRDefault="008C148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07041/INFOEM/IP/RR/2024 y acumulados</w:t>
                </w:r>
              </w:p>
            </w:tc>
          </w:tr>
          <w:tr w:rsidR="00C53FD1">
            <w:trPr>
              <w:trHeight w:val="144"/>
            </w:trPr>
            <w:tc>
              <w:tcPr>
                <w:tcW w:w="2552" w:type="dxa"/>
              </w:tcPr>
              <w:p w:rsidR="00C53FD1" w:rsidRDefault="008C148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2" w:type="dxa"/>
              </w:tcPr>
              <w:p w:rsidR="00C53FD1" w:rsidRDefault="008C148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Municipal de Cultura Física y Deporte de Toluca</w:t>
                </w:r>
              </w:p>
            </w:tc>
          </w:tr>
          <w:tr w:rsidR="00C53FD1">
            <w:trPr>
              <w:trHeight w:val="138"/>
            </w:trPr>
            <w:tc>
              <w:tcPr>
                <w:tcW w:w="2552" w:type="dxa"/>
              </w:tcPr>
              <w:p w:rsidR="00C53FD1" w:rsidRDefault="008C148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92" w:type="dxa"/>
              </w:tcPr>
              <w:p w:rsidR="00C53FD1" w:rsidRDefault="008C148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C53FD1" w:rsidRDefault="00C53FD1">
                <w:pPr>
                  <w:tabs>
                    <w:tab w:val="right" w:pos="8838"/>
                  </w:tabs>
                  <w:ind w:left="-108"/>
                  <w:jc w:val="both"/>
                  <w:rPr>
                    <w:rFonts w:ascii="Palatino Linotype" w:eastAsia="Palatino Linotype" w:hAnsi="Palatino Linotype" w:cs="Palatino Linotype"/>
                    <w:b/>
                    <w:sz w:val="22"/>
                    <w:szCs w:val="22"/>
                  </w:rPr>
                </w:pPr>
              </w:p>
            </w:tc>
          </w:tr>
        </w:tbl>
        <w:p w:rsidR="00C53FD1" w:rsidRDefault="00C53FD1">
          <w:pPr>
            <w:tabs>
              <w:tab w:val="right" w:pos="8838"/>
            </w:tabs>
            <w:ind w:left="-28"/>
            <w:jc w:val="both"/>
            <w:rPr>
              <w:rFonts w:ascii="Arial" w:eastAsia="Arial" w:hAnsi="Arial" w:cs="Arial"/>
              <w:b/>
              <w:sz w:val="22"/>
              <w:szCs w:val="22"/>
            </w:rPr>
          </w:pPr>
        </w:p>
      </w:tc>
    </w:tr>
  </w:tbl>
  <w:p w:rsidR="00C53FD1" w:rsidRDefault="00607BE9">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3.9pt;margin-top:-139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FD1" w:rsidRDefault="00607BE9">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63.85pt;margin-top:-134.3pt;width:663.5pt;height:12in;z-index:-251659264;mso-position-horizontal:absolute;mso-position-horizontal-relative:margin;mso-position-vertical:absolute;mso-position-vertical-relative:margin">
          <v:imagedata r:id="rId1" o:title="image2"/>
          <w10:wrap anchorx="margin" anchory="margin"/>
        </v:shape>
      </w:pict>
    </w:r>
  </w:p>
  <w:tbl>
    <w:tblPr>
      <w:tblStyle w:val="a4"/>
      <w:tblpPr w:leftFromText="141" w:rightFromText="141" w:vertAnchor="page" w:horzAnchor="margin" w:tblpY="556"/>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2405"/>
      <w:gridCol w:w="4683"/>
    </w:tblGrid>
    <w:tr w:rsidR="00C53FD1">
      <w:trPr>
        <w:trHeight w:val="466"/>
      </w:trPr>
      <w:tc>
        <w:tcPr>
          <w:tcW w:w="2410" w:type="dxa"/>
          <w:vAlign w:val="bottom"/>
        </w:tcPr>
        <w:p w:rsidR="00C53FD1" w:rsidRDefault="00C53FD1">
          <w:pPr>
            <w:tabs>
              <w:tab w:val="right" w:pos="8838"/>
            </w:tabs>
            <w:ind w:right="-105"/>
            <w:rPr>
              <w:rFonts w:ascii="Palatino Linotype" w:eastAsia="Palatino Linotype" w:hAnsi="Palatino Linotype" w:cs="Palatino Linotype"/>
              <w:b/>
              <w:sz w:val="22"/>
              <w:szCs w:val="22"/>
            </w:rPr>
          </w:pPr>
        </w:p>
      </w:tc>
      <w:tc>
        <w:tcPr>
          <w:tcW w:w="2405" w:type="dxa"/>
          <w:vAlign w:val="bottom"/>
        </w:tcPr>
        <w:p w:rsidR="00C53FD1" w:rsidRDefault="008C148F">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vAlign w:val="bottom"/>
        </w:tcPr>
        <w:p w:rsidR="00C53FD1" w:rsidRDefault="008C148F">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07041/INFOEM/IP/RR/2024 y acumulados</w:t>
          </w:r>
        </w:p>
      </w:tc>
    </w:tr>
    <w:tr w:rsidR="00C53FD1">
      <w:trPr>
        <w:trHeight w:val="119"/>
      </w:trPr>
      <w:tc>
        <w:tcPr>
          <w:tcW w:w="2410" w:type="dxa"/>
        </w:tcPr>
        <w:p w:rsidR="00C53FD1" w:rsidRDefault="00C53FD1">
          <w:pPr>
            <w:tabs>
              <w:tab w:val="right" w:pos="8838"/>
            </w:tabs>
            <w:ind w:right="-105"/>
            <w:rPr>
              <w:rFonts w:ascii="Palatino Linotype" w:eastAsia="Palatino Linotype" w:hAnsi="Palatino Linotype" w:cs="Palatino Linotype"/>
              <w:b/>
              <w:sz w:val="22"/>
              <w:szCs w:val="22"/>
            </w:rPr>
          </w:pPr>
        </w:p>
      </w:tc>
      <w:tc>
        <w:tcPr>
          <w:tcW w:w="2405" w:type="dxa"/>
        </w:tcPr>
        <w:p w:rsidR="00C53FD1" w:rsidRDefault="008C148F">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683" w:type="dxa"/>
        </w:tcPr>
        <w:p w:rsidR="00C53FD1" w:rsidRDefault="000C04B3">
          <w:pPr>
            <w:tabs>
              <w:tab w:val="right" w:pos="8838"/>
            </w:tabs>
            <w:spacing w:line="276" w:lineRule="auto"/>
            <w:ind w:right="171"/>
            <w:jc w:val="both"/>
            <w:rPr>
              <w:rFonts w:ascii="Palatino Linotype" w:eastAsia="Palatino Linotype" w:hAnsi="Palatino Linotype" w:cs="Palatino Linotype"/>
              <w:sz w:val="22"/>
              <w:szCs w:val="22"/>
            </w:rPr>
          </w:pPr>
          <w:r w:rsidRPr="000C04B3">
            <w:rPr>
              <w:rFonts w:ascii="Palatino Linotype" w:eastAsia="Palatino Linotype" w:hAnsi="Palatino Linotype" w:cs="Palatino Linotype"/>
              <w:sz w:val="22"/>
              <w:szCs w:val="22"/>
              <w:highlight w:val="black"/>
            </w:rPr>
            <w:t>XXXXXXXXXXXXXXXX</w:t>
          </w:r>
        </w:p>
      </w:tc>
    </w:tr>
    <w:tr w:rsidR="00C53FD1">
      <w:trPr>
        <w:trHeight w:val="234"/>
      </w:trPr>
      <w:tc>
        <w:tcPr>
          <w:tcW w:w="2410" w:type="dxa"/>
        </w:tcPr>
        <w:p w:rsidR="00C53FD1" w:rsidRDefault="00C53FD1">
          <w:pPr>
            <w:tabs>
              <w:tab w:val="right" w:pos="8838"/>
            </w:tabs>
            <w:ind w:right="-105"/>
            <w:rPr>
              <w:rFonts w:ascii="Palatino Linotype" w:eastAsia="Palatino Linotype" w:hAnsi="Palatino Linotype" w:cs="Palatino Linotype"/>
              <w:b/>
              <w:sz w:val="22"/>
              <w:szCs w:val="22"/>
            </w:rPr>
          </w:pPr>
        </w:p>
      </w:tc>
      <w:tc>
        <w:tcPr>
          <w:tcW w:w="2405" w:type="dxa"/>
        </w:tcPr>
        <w:p w:rsidR="00C53FD1" w:rsidRDefault="008C148F">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tcPr>
        <w:p w:rsidR="00C53FD1" w:rsidRDefault="008C148F">
          <w:pPr>
            <w:tabs>
              <w:tab w:val="right" w:pos="8838"/>
            </w:tabs>
            <w:spacing w:line="276" w:lineRule="auto"/>
            <w:ind w:right="3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Municipal de Cultura Física y Deporte de Toluca</w:t>
          </w:r>
        </w:p>
      </w:tc>
    </w:tr>
    <w:tr w:rsidR="00C53FD1">
      <w:trPr>
        <w:trHeight w:val="234"/>
      </w:trPr>
      <w:tc>
        <w:tcPr>
          <w:tcW w:w="2410" w:type="dxa"/>
        </w:tcPr>
        <w:p w:rsidR="00C53FD1" w:rsidRDefault="00C53FD1">
          <w:pPr>
            <w:tabs>
              <w:tab w:val="right" w:pos="8838"/>
            </w:tabs>
            <w:ind w:right="-105"/>
            <w:rPr>
              <w:rFonts w:ascii="Palatino Linotype" w:eastAsia="Palatino Linotype" w:hAnsi="Palatino Linotype" w:cs="Palatino Linotype"/>
              <w:b/>
              <w:sz w:val="22"/>
              <w:szCs w:val="22"/>
            </w:rPr>
          </w:pPr>
        </w:p>
      </w:tc>
      <w:tc>
        <w:tcPr>
          <w:tcW w:w="2405" w:type="dxa"/>
        </w:tcPr>
        <w:p w:rsidR="00C53FD1" w:rsidRDefault="008C148F">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tcPr>
        <w:p w:rsidR="00C53FD1" w:rsidRDefault="008C148F">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C53FD1" w:rsidRDefault="00C53F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D39A7"/>
    <w:multiLevelType w:val="multilevel"/>
    <w:tmpl w:val="1A00CE0C"/>
    <w:lvl w:ilvl="0">
      <w:start w:val="1"/>
      <w:numFmt w:val="lowerLetter"/>
      <w:pStyle w:val="Listaconvietas2"/>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D1"/>
    <w:rsid w:val="000547D7"/>
    <w:rsid w:val="000C04B3"/>
    <w:rsid w:val="001E2902"/>
    <w:rsid w:val="003B74E8"/>
    <w:rsid w:val="00607BE9"/>
    <w:rsid w:val="008C148F"/>
    <w:rsid w:val="00982718"/>
    <w:rsid w:val="00B4260B"/>
    <w:rsid w:val="00C53FD1"/>
    <w:rsid w:val="00CB66BD"/>
    <w:rsid w:val="00E76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E068E74-C6F0-4A4F-B50B-F88F560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afed.gob.mx/work/models/inafed/Resource/335/1/images/guia09_la_administracion_del_personal_municipal.pdf" TargetMode="External"/><Relationship Id="rId4" Type="http://schemas.openxmlformats.org/officeDocument/2006/relationships/settings" Target="settings.xml"/><Relationship Id="rId9" Type="http://schemas.openxmlformats.org/officeDocument/2006/relationships/hyperlink" Target="http://www.apartados.hacienda.gob.mx/contabilidad/documentos/informe_cuenta/1998/cuenta_publica/Glosario/n.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pX8q0H0vlfA27T6FzmqjDUxNg==">CgMxLjAyCGguZ2pkZ3hzMgloLjMwajB6bGw4AHIhMUtRaEhLVy1lOWlycF9VRXVpcDY5MkpVY21IUG1aNGxQ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5488</Words>
  <Characters>30189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5</cp:revision>
  <cp:lastPrinted>2024-12-05T23:24:00Z</cp:lastPrinted>
  <dcterms:created xsi:type="dcterms:W3CDTF">2024-12-05T23:23:00Z</dcterms:created>
  <dcterms:modified xsi:type="dcterms:W3CDTF">2025-02-04T20:38:00Z</dcterms:modified>
</cp:coreProperties>
</file>