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E72C1B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F52E1B">
        <w:rPr>
          <w:rFonts w:eastAsia="Palatino Linotype" w:cs="Palatino Linotype"/>
          <w:color w:val="000000"/>
          <w:szCs w:val="24"/>
        </w:rPr>
        <w:t xml:space="preserve"> </w:t>
      </w:r>
      <w:r w:rsidR="0048082B">
        <w:rPr>
          <w:rFonts w:eastAsia="Palatino Linotype" w:cs="Palatino Linotype"/>
          <w:color w:val="000000"/>
          <w:szCs w:val="24"/>
        </w:rPr>
        <w:t>veintiuno</w:t>
      </w:r>
      <w:r w:rsidR="001E2571">
        <w:rPr>
          <w:rFonts w:eastAsia="Palatino Linotype" w:cs="Palatino Linotype"/>
          <w:color w:val="000000"/>
          <w:szCs w:val="24"/>
        </w:rPr>
        <w:t xml:space="preserve"> de febrero</w:t>
      </w:r>
      <w:r w:rsidR="00F52E1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90662A9"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1E2571" w:rsidRPr="001E2571">
        <w:rPr>
          <w:rFonts w:eastAsia="Palatino Linotype" w:cs="Palatino Linotype"/>
          <w:b/>
          <w:color w:val="000000"/>
          <w:szCs w:val="24"/>
        </w:rPr>
        <w:t>04545/INFOEM/IP/RR/2023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1E2571">
        <w:rPr>
          <w:rFonts w:eastAsia="Palatino Linotype" w:cs="Palatino Linotype"/>
          <w:color w:val="000000"/>
          <w:szCs w:val="24"/>
        </w:rPr>
        <w:t xml:space="preserve"> la C.</w:t>
      </w:r>
      <w:r w:rsidR="00430C63" w:rsidRPr="00875B7E">
        <w:rPr>
          <w:rFonts w:eastAsia="Palatino Linotype" w:cs="Palatino Linotype"/>
          <w:color w:val="000000"/>
          <w:szCs w:val="24"/>
        </w:rPr>
        <w:t xml:space="preserve"> </w:t>
      </w:r>
      <w:r w:rsidR="00F310A3">
        <w:rPr>
          <w:rFonts w:eastAsia="Palatino Linotype" w:cs="Palatino Linotype"/>
          <w:b/>
          <w:bCs/>
          <w:color w:val="000000"/>
          <w:szCs w:val="24"/>
        </w:rPr>
        <w:t>XXXXXXXXXXXX</w:t>
      </w:r>
      <w:r w:rsidR="00B54BC7" w:rsidRPr="00875B7E">
        <w:rPr>
          <w:rFonts w:eastAsia="Palatino Linotype" w:cs="Palatino Linotype"/>
          <w:color w:val="000000"/>
          <w:szCs w:val="24"/>
        </w:rPr>
        <w:t xml:space="preserve">, en lo sucesivo </w:t>
      </w:r>
      <w:r w:rsidR="001E2571">
        <w:rPr>
          <w:rFonts w:eastAsia="Palatino Linotype" w:cs="Palatino Linotype"/>
          <w:color w:val="000000"/>
          <w:szCs w:val="24"/>
        </w:rPr>
        <w:t>la</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1E2571">
        <w:rPr>
          <w:rFonts w:eastAsia="Palatino Linotype" w:cs="Palatino Linotype"/>
          <w:color w:val="000000"/>
          <w:szCs w:val="24"/>
        </w:rPr>
        <w:t>l</w:t>
      </w:r>
      <w:r w:rsidRPr="00875B7E">
        <w:rPr>
          <w:rFonts w:eastAsia="Palatino Linotype" w:cs="Palatino Linotype"/>
          <w:color w:val="000000"/>
          <w:szCs w:val="24"/>
        </w:rPr>
        <w:t xml:space="preserve"> </w:t>
      </w:r>
      <w:r w:rsidR="001E2571" w:rsidRPr="001E2571">
        <w:rPr>
          <w:rFonts w:eastAsia="Palatino Linotype" w:cs="Palatino Linotype"/>
          <w:b/>
          <w:color w:val="000000"/>
          <w:szCs w:val="24"/>
        </w:rPr>
        <w:t>Ayuntamiento de Ixtapaluca</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4AFFC55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E2571">
        <w:rPr>
          <w:rFonts w:eastAsia="Palatino Linotype" w:cs="Palatino Linotype"/>
          <w:color w:val="000000"/>
          <w:szCs w:val="24"/>
        </w:rPr>
        <w:t>seis de julio</w:t>
      </w:r>
      <w:r w:rsidR="00222FC9">
        <w:rPr>
          <w:rFonts w:eastAsia="Palatino Linotype" w:cs="Palatino Linotype"/>
          <w:color w:val="000000"/>
          <w:szCs w:val="24"/>
        </w:rPr>
        <w:t xml:space="preserve"> </w:t>
      </w:r>
      <w:r w:rsidR="00AA6C98">
        <w:rPr>
          <w:rFonts w:eastAsia="Palatino Linotype" w:cs="Palatino Linotype"/>
          <w:color w:val="000000"/>
          <w:szCs w:val="24"/>
        </w:rPr>
        <w:t>de dos mil veintitrés</w:t>
      </w:r>
      <w:r w:rsidR="00B54BC7" w:rsidRPr="006922F5">
        <w:rPr>
          <w:rFonts w:eastAsia="Palatino Linotype" w:cs="Palatino Linotype"/>
          <w:color w:val="000000"/>
          <w:szCs w:val="24"/>
        </w:rPr>
        <w:t xml:space="preserve">, </w:t>
      </w:r>
      <w:r w:rsidR="001E2571" w:rsidRPr="001E2571">
        <w:rPr>
          <w:rFonts w:eastAsia="Palatino Linotype" w:cs="Palatino Linotype"/>
          <w:b/>
          <w:bCs/>
          <w:color w:val="000000"/>
          <w:szCs w:val="24"/>
        </w:rPr>
        <w:t>la</w:t>
      </w:r>
      <w:r w:rsidR="00A970D5" w:rsidRPr="001E2571">
        <w:rPr>
          <w:rFonts w:eastAsia="Palatino Linotype" w:cs="Palatino Linotype"/>
          <w:b/>
          <w:bCs/>
          <w:color w:val="000000"/>
          <w:szCs w:val="24"/>
        </w:rPr>
        <w:t xml:space="preserve"> Recurrente</w:t>
      </w:r>
      <w:r w:rsidR="00A970D5" w:rsidRPr="006922F5">
        <w:rPr>
          <w:rFonts w:eastAsia="Palatino Linotype" w:cs="Palatino Linotype"/>
          <w:color w:val="000000"/>
          <w:szCs w:val="24"/>
        </w:rPr>
        <w:t xml:space="preserve"> presentó mediante el Sistema de Acceso a la Información Mexiquense (SAIMEX), solicitud de información registrada con el número de expediente</w:t>
      </w:r>
      <w:r w:rsidR="00A970D5" w:rsidRPr="006922F5">
        <w:rPr>
          <w:rFonts w:eastAsia="Palatino Linotype" w:cs="Palatino Linotype"/>
          <w:b/>
          <w:color w:val="000000"/>
          <w:szCs w:val="24"/>
        </w:rPr>
        <w:t xml:space="preserve"> </w:t>
      </w:r>
      <w:r w:rsidR="001E2571" w:rsidRPr="001E2571">
        <w:rPr>
          <w:rFonts w:eastAsia="Palatino Linotype" w:cs="Palatino Linotype"/>
          <w:b/>
          <w:bCs/>
          <w:color w:val="000000"/>
          <w:szCs w:val="24"/>
        </w:rPr>
        <w:t>00335/IXTAPALU/IP/2023</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D6F169E" w:rsidR="00A970D5" w:rsidRPr="008E24B6" w:rsidRDefault="001E2571" w:rsidP="008E24B6">
      <w:pPr>
        <w:pStyle w:val="Fundamentos"/>
      </w:pPr>
      <w:r>
        <w:t>“</w:t>
      </w:r>
      <w:r w:rsidRPr="001E2571">
        <w:t>Solicito de la manera más atenta, informe respecto de lo siguiente: 1) Presupuesto que le fue asignado al ayuntamiento de Ixtapaluca para el ejercicio fiscal 2022, de conformidad al acuerdo de la Secretaría de la Mujer por el que se establecen los mecanismos para la operación de recursos para la mitigación de la alerta de violencia de género contra las mujeres por feminicidio. 2) ¿Cómo fue ejercido este presupuesto desglosado de conformidad a las actividades mencionadas en el artículo 21 del acuerdo en comento? Los rubros de dichas actividades son: fortalecimiento institucional, capacitación, medidas de atención, asistencia y reparación a víctimas; búsqueda y espacios públicos. 3) Del punto anterior, otorgar un informe cuantitativo o evaluación cualitativa de resultados. En su caso, favor de incluir datos de georreferenciación de los productos o servicios que fueron otorgados como parte de las actividades en referencia.</w:t>
      </w:r>
      <w:r>
        <w:t>”</w:t>
      </w:r>
      <w:r w:rsidR="00A970D5" w:rsidRPr="008E24B6">
        <w:t xml:space="preserve"> </w:t>
      </w:r>
      <w:r w:rsidR="00D7260C" w:rsidRPr="008E24B6">
        <w:t>(</w:t>
      </w:r>
      <w:r w:rsidR="00A970D5" w:rsidRPr="008E24B6">
        <w:t>Sic</w:t>
      </w:r>
      <w:r w:rsidR="00D7260C" w:rsidRPr="008E24B6">
        <w:t>)</w:t>
      </w:r>
      <w:bookmarkStart w:id="0" w:name="_GoBack"/>
      <w:bookmarkEnd w:id="0"/>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474DB373" w14:textId="77777777" w:rsidR="00430C63" w:rsidRDefault="00430C63" w:rsidP="006922F5">
      <w:pPr>
        <w:pBdr>
          <w:top w:val="nil"/>
          <w:left w:val="nil"/>
          <w:bottom w:val="nil"/>
          <w:right w:val="nil"/>
          <w:between w:val="nil"/>
        </w:pBdr>
        <w:contextualSpacing/>
        <w:rPr>
          <w:rFonts w:eastAsia="Palatino Linotype" w:cs="Palatino Linotype"/>
          <w:color w:val="000000"/>
          <w:szCs w:val="24"/>
        </w:rPr>
      </w:pPr>
    </w:p>
    <w:p w14:paraId="1AEDC68E" w14:textId="12CE92E9" w:rsidR="00A970D5" w:rsidRPr="006922F5" w:rsidRDefault="008E24B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BCAEF9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1C0790">
        <w:rPr>
          <w:rFonts w:eastAsia="Palatino Linotype" w:cs="Palatino Linotype"/>
          <w:color w:val="000000"/>
          <w:szCs w:val="24"/>
        </w:rPr>
        <w:t>diez de agosto</w:t>
      </w:r>
      <w:r w:rsidR="00AA6C98">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w:t>
      </w:r>
      <w:r w:rsidRPr="001C0790">
        <w:rPr>
          <w:rFonts w:eastAsia="Palatino Linotype" w:cs="Palatino Linotype"/>
          <w:b/>
          <w:bCs/>
          <w:color w:val="000000"/>
          <w:szCs w:val="24"/>
        </w:rPr>
        <w:t>el Sujeto Obligado</w:t>
      </w:r>
      <w:r w:rsidRPr="006922F5">
        <w:rPr>
          <w:rFonts w:eastAsia="Palatino Linotype" w:cs="Palatino Linotype"/>
          <w:color w:val="000000"/>
          <w:szCs w:val="24"/>
        </w:rPr>
        <w:t xml:space="preserve">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3F19F933" w14:textId="5374AA68" w:rsidR="001C0790" w:rsidRDefault="001C0790" w:rsidP="001C0790">
      <w:pPr>
        <w:pStyle w:val="Fundamentos"/>
        <w:jc w:val="right"/>
      </w:pPr>
      <w:r>
        <w:t xml:space="preserve">“Folio de la solicitud: </w:t>
      </w:r>
      <w:r w:rsidRPr="001C0790">
        <w:rPr>
          <w:b/>
          <w:bCs/>
        </w:rPr>
        <w:t>00335/IXTAPALU/IP/2023</w:t>
      </w:r>
    </w:p>
    <w:p w14:paraId="45CF5A69" w14:textId="77777777" w:rsidR="001C0790" w:rsidRDefault="001C0790" w:rsidP="001C0790">
      <w:pPr>
        <w:pStyle w:val="Fundamentos"/>
      </w:pPr>
    </w:p>
    <w:p w14:paraId="6279E341" w14:textId="63802319" w:rsidR="001C0790" w:rsidRDefault="001C0790" w:rsidP="001C0790">
      <w:pPr>
        <w:pStyle w:val="Fundamento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3F3171DD" w14:textId="77777777" w:rsidR="001C0790" w:rsidRDefault="001C0790" w:rsidP="001C0790">
      <w:pPr>
        <w:pStyle w:val="Fundamentos"/>
      </w:pPr>
    </w:p>
    <w:p w14:paraId="79102A9F" w14:textId="77777777" w:rsidR="001C0790" w:rsidRDefault="001C0790" w:rsidP="001C0790">
      <w:pPr>
        <w:pStyle w:val="Fundamentos"/>
      </w:pPr>
      <w:r>
        <w:t>EN RELACIÓN A LA SOLICITUD CON NÚMERO DE FOLIO 00335/IXTAPALU/IP/2023 ANEXO RESPUESTA</w:t>
      </w:r>
    </w:p>
    <w:p w14:paraId="3B324A08" w14:textId="77777777" w:rsidR="001C0790" w:rsidRDefault="001C0790" w:rsidP="001C0790">
      <w:pPr>
        <w:pStyle w:val="Fundamentos"/>
      </w:pPr>
    </w:p>
    <w:p w14:paraId="7C40192F" w14:textId="66EA0798" w:rsidR="001C0790" w:rsidRDefault="001C0790" w:rsidP="001C0790">
      <w:pPr>
        <w:pStyle w:val="Fundamentos"/>
      </w:pPr>
      <w:r>
        <w:t>ATENTAMENTE</w:t>
      </w:r>
    </w:p>
    <w:p w14:paraId="3FE4A9EF" w14:textId="6972E46C" w:rsidR="00A970D5" w:rsidRPr="00404754" w:rsidRDefault="001C0790" w:rsidP="001C0790">
      <w:pPr>
        <w:pStyle w:val="Fundamentos"/>
        <w:rPr>
          <w:lang w:val="es-MX"/>
        </w:rPr>
      </w:pPr>
      <w:r>
        <w:t>C. Alejandro Parra De la Rosa</w:t>
      </w:r>
      <w:r>
        <w:rPr>
          <w:lang w:val="es-MX"/>
        </w:rPr>
        <w:t>”</w:t>
      </w:r>
      <w:r w:rsidR="00A970D5" w:rsidRPr="00404754">
        <w:rPr>
          <w:lang w:val="es-MX"/>
        </w:rPr>
        <w:t xml:space="preserve"> (Sic)</w:t>
      </w:r>
    </w:p>
    <w:p w14:paraId="2EAB8352" w14:textId="3B77EF6C" w:rsidR="001107C4" w:rsidRPr="009279EC" w:rsidRDefault="001107C4" w:rsidP="006922F5">
      <w:pPr>
        <w:pBdr>
          <w:top w:val="nil"/>
          <w:left w:val="nil"/>
          <w:bottom w:val="nil"/>
          <w:right w:val="nil"/>
          <w:between w:val="nil"/>
        </w:pBdr>
        <w:contextualSpacing/>
        <w:rPr>
          <w:rFonts w:eastAsia="Palatino Linotype" w:cs="Palatino Linotype"/>
          <w:color w:val="000000"/>
          <w:sz w:val="22"/>
          <w:lang w:val="es-MX"/>
        </w:rPr>
      </w:pPr>
    </w:p>
    <w:p w14:paraId="0328E392" w14:textId="40D97D59"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222FC9">
        <w:rPr>
          <w:rFonts w:eastAsia="Palatino Linotype" w:cs="Palatino Linotype"/>
          <w:color w:val="000000"/>
          <w:szCs w:val="24"/>
        </w:rPr>
        <w:t xml:space="preserve">adjuntó a su respuesta </w:t>
      </w:r>
      <w:r w:rsidR="001C0790">
        <w:rPr>
          <w:rFonts w:eastAsia="Palatino Linotype" w:cs="Palatino Linotype"/>
          <w:color w:val="000000"/>
          <w:szCs w:val="24"/>
        </w:rPr>
        <w:t>los</w:t>
      </w:r>
      <w:r w:rsidR="00165CA1">
        <w:rPr>
          <w:rFonts w:eastAsia="Palatino Linotype" w:cs="Palatino Linotype"/>
          <w:color w:val="000000"/>
          <w:szCs w:val="24"/>
        </w:rPr>
        <w:t xml:space="preserve"> documento</w:t>
      </w:r>
      <w:r w:rsidR="001C0790">
        <w:rPr>
          <w:rFonts w:eastAsia="Palatino Linotype" w:cs="Palatino Linotype"/>
          <w:color w:val="000000"/>
          <w:szCs w:val="24"/>
        </w:rPr>
        <w:t>s</w:t>
      </w:r>
      <w:r w:rsidR="00165CA1">
        <w:rPr>
          <w:rFonts w:eastAsia="Palatino Linotype" w:cs="Palatino Linotype"/>
          <w:color w:val="000000"/>
          <w:szCs w:val="24"/>
        </w:rPr>
        <w:t xml:space="preserve"> denominado</w:t>
      </w:r>
      <w:r w:rsidR="001C0790">
        <w:rPr>
          <w:rFonts w:eastAsia="Palatino Linotype" w:cs="Palatino Linotype"/>
          <w:color w:val="000000"/>
          <w:szCs w:val="24"/>
        </w:rPr>
        <w:t>s</w:t>
      </w:r>
      <w:r w:rsidR="0029059D">
        <w:rPr>
          <w:rFonts w:eastAsia="Palatino Linotype" w:cs="Palatino Linotype"/>
          <w:color w:val="000000"/>
          <w:szCs w:val="24"/>
        </w:rPr>
        <w:t xml:space="preserve"> </w:t>
      </w:r>
      <w:r w:rsidR="001C0790">
        <w:rPr>
          <w:rFonts w:eastAsia="Palatino Linotype" w:cs="Palatino Linotype"/>
          <w:b/>
          <w:bCs/>
          <w:color w:val="000000"/>
          <w:szCs w:val="24"/>
        </w:rPr>
        <w:t>“</w:t>
      </w:r>
      <w:r w:rsidR="001C0790" w:rsidRPr="001C0790">
        <w:rPr>
          <w:rFonts w:eastAsia="Palatino Linotype" w:cs="Palatino Linotype"/>
          <w:b/>
          <w:bCs/>
          <w:color w:val="000000"/>
          <w:szCs w:val="24"/>
        </w:rPr>
        <w:t>Respuesta 335 Seguridad.pdf</w:t>
      </w:r>
      <w:r w:rsidR="001C0790">
        <w:rPr>
          <w:rFonts w:eastAsia="Palatino Linotype" w:cs="Palatino Linotype"/>
          <w:b/>
          <w:bCs/>
          <w:color w:val="000000"/>
          <w:szCs w:val="24"/>
        </w:rPr>
        <w:t>” y “</w:t>
      </w:r>
      <w:r w:rsidR="001C0790" w:rsidRPr="001C0790">
        <w:rPr>
          <w:rFonts w:eastAsia="Palatino Linotype" w:cs="Palatino Linotype"/>
          <w:b/>
          <w:bCs/>
          <w:color w:val="000000"/>
          <w:szCs w:val="24"/>
        </w:rPr>
        <w:t>Respuesta 335 Imisi.pdf</w:t>
      </w:r>
      <w:r w:rsidR="001C0790">
        <w:rPr>
          <w:rFonts w:eastAsia="Palatino Linotype" w:cs="Palatino Linotype"/>
          <w:b/>
          <w:bCs/>
          <w:color w:val="000000"/>
          <w:szCs w:val="24"/>
        </w:rPr>
        <w:t>”</w:t>
      </w:r>
      <w:r>
        <w:rPr>
          <w:rFonts w:eastAsia="Palatino Linotype" w:cs="Palatino Linotype"/>
          <w:color w:val="000000"/>
          <w:szCs w:val="24"/>
        </w:rPr>
        <w:t xml:space="preserve">, </w:t>
      </w:r>
      <w:r w:rsidR="001C0790">
        <w:rPr>
          <w:rFonts w:eastAsia="Palatino Linotype" w:cs="Palatino Linotype"/>
          <w:color w:val="000000"/>
          <w:szCs w:val="24"/>
        </w:rPr>
        <w:t>los</w:t>
      </w:r>
      <w:r w:rsidR="00165CA1">
        <w:rPr>
          <w:rFonts w:eastAsia="Palatino Linotype" w:cs="Palatino Linotype"/>
          <w:color w:val="000000"/>
          <w:szCs w:val="24"/>
        </w:rPr>
        <w:t xml:space="preserve"> cual</w:t>
      </w:r>
      <w:r w:rsidR="001C0790">
        <w:rPr>
          <w:rFonts w:eastAsia="Palatino Linotype" w:cs="Palatino Linotype"/>
          <w:color w:val="000000"/>
          <w:szCs w:val="24"/>
        </w:rPr>
        <w:t>es</w:t>
      </w:r>
      <w:r w:rsidR="00165CA1">
        <w:rPr>
          <w:rFonts w:eastAsia="Palatino Linotype" w:cs="Palatino Linotype"/>
          <w:color w:val="000000"/>
          <w:szCs w:val="24"/>
        </w:rPr>
        <w:t xml:space="preserve"> no se reproduce</w:t>
      </w:r>
      <w:r w:rsidR="001C0790">
        <w:rPr>
          <w:rFonts w:eastAsia="Palatino Linotype" w:cs="Palatino Linotype"/>
          <w:color w:val="000000"/>
          <w:szCs w:val="24"/>
        </w:rPr>
        <w:t>n</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6203C675" w:rsidR="00A970D5" w:rsidRPr="006922F5" w:rsidRDefault="008E24B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6B0F0B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w:t>
      </w:r>
      <w:r w:rsidR="00A06896" w:rsidRPr="00797C74">
        <w:rPr>
          <w:rFonts w:eastAsia="Palatino Linotype" w:cs="Palatino Linotype"/>
          <w:b/>
          <w:bCs/>
          <w:color w:val="000000"/>
          <w:szCs w:val="24"/>
        </w:rPr>
        <w:t xml:space="preserve">el Sujeto Obligado, </w:t>
      </w:r>
      <w:r w:rsidR="00EE3066" w:rsidRPr="00797C74">
        <w:rPr>
          <w:rFonts w:eastAsia="Palatino Linotype" w:cs="Palatino Linotype"/>
          <w:b/>
          <w:bCs/>
          <w:color w:val="000000"/>
          <w:szCs w:val="24"/>
        </w:rPr>
        <w:t>el</w:t>
      </w:r>
      <w:r w:rsidRPr="00797C74">
        <w:rPr>
          <w:rFonts w:eastAsia="Palatino Linotype" w:cs="Palatino Linotype"/>
          <w:b/>
          <w:bCs/>
          <w:color w:val="000000"/>
          <w:szCs w:val="24"/>
        </w:rPr>
        <w:t xml:space="preserve"> Recurrente</w:t>
      </w:r>
      <w:r w:rsidRPr="006922F5">
        <w:rPr>
          <w:rFonts w:eastAsia="Palatino Linotype" w:cs="Palatino Linotype"/>
          <w:color w:val="000000"/>
          <w:szCs w:val="24"/>
        </w:rPr>
        <w:t xml:space="preserve"> interpuso el presente recurso de revisión e</w:t>
      </w:r>
      <w:r w:rsidR="008B2951" w:rsidRPr="006922F5">
        <w:rPr>
          <w:rFonts w:eastAsia="Palatino Linotype" w:cs="Palatino Linotype"/>
          <w:color w:val="000000"/>
          <w:szCs w:val="24"/>
        </w:rPr>
        <w:t xml:space="preserve">l día </w:t>
      </w:r>
      <w:r w:rsidR="00797C74">
        <w:rPr>
          <w:rFonts w:eastAsia="Palatino Linotype" w:cs="Palatino Linotype"/>
          <w:color w:val="000000"/>
          <w:szCs w:val="24"/>
        </w:rPr>
        <w:t>catorce de agosto</w:t>
      </w:r>
      <w:r w:rsidR="00E05F1C">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w:t>
      </w:r>
      <w:r w:rsidRPr="006922F5">
        <w:rPr>
          <w:rFonts w:eastAsia="Palatino Linotype" w:cs="Palatino Linotype"/>
          <w:color w:val="000000"/>
          <w:szCs w:val="24"/>
        </w:rPr>
        <w:lastRenderedPageBreak/>
        <w:t xml:space="preserve">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797C74" w:rsidRPr="00797C74">
        <w:rPr>
          <w:rFonts w:eastAsia="Palatino Linotype" w:cs="Palatino Linotype"/>
          <w:b/>
          <w:color w:val="000000"/>
          <w:szCs w:val="24"/>
        </w:rPr>
        <w:t>04545/INFOEM/IP/RR/2023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279EC" w:rsidRDefault="00A970D5" w:rsidP="006922F5">
      <w:pPr>
        <w:pBdr>
          <w:top w:val="nil"/>
          <w:left w:val="nil"/>
          <w:bottom w:val="nil"/>
          <w:right w:val="nil"/>
          <w:between w:val="nil"/>
        </w:pBdr>
        <w:contextualSpacing/>
        <w:rPr>
          <w:rFonts w:eastAsia="Palatino Linotype" w:cs="Palatino Linotype"/>
          <w:color w:val="000000"/>
          <w:sz w:val="22"/>
        </w:rPr>
      </w:pPr>
    </w:p>
    <w:p w14:paraId="40A32B60" w14:textId="77777777" w:rsidR="00EE58CE" w:rsidRDefault="00A970D5" w:rsidP="00EE58CE">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85801B0" w:rsidR="00A970D5" w:rsidRPr="00F763E5" w:rsidRDefault="00797C74" w:rsidP="00F763E5">
      <w:pPr>
        <w:pStyle w:val="Fundamentos"/>
      </w:pPr>
      <w:r>
        <w:t>“</w:t>
      </w:r>
      <w:r w:rsidRPr="00797C74">
        <w:t xml:space="preserve">Con fundamento en los artículos 176, 178 y 179 Fracciones I, II, III, IV y V de la Ley de Transparencia y Acceso a la Información Pública del Estado de México y Municipios, </w:t>
      </w:r>
      <w:r w:rsidRPr="003A243A">
        <w:rPr>
          <w:b/>
          <w:bCs/>
        </w:rPr>
        <w:t>hago referencia que el Sujeto Obligado no corresponde a la información solicitada</w:t>
      </w:r>
      <w:r w:rsidRPr="00797C74">
        <w:t>.</w:t>
      </w:r>
      <w:r>
        <w:t>”</w:t>
      </w:r>
      <w:r w:rsidR="006A3D3F">
        <w:t xml:space="preserve"> </w:t>
      </w:r>
      <w:r w:rsidR="00A970D5" w:rsidRPr="00F763E5">
        <w:t>(Sic)</w:t>
      </w:r>
    </w:p>
    <w:p w14:paraId="3C40A441" w14:textId="77777777" w:rsidR="00A970D5" w:rsidRPr="006922F5" w:rsidRDefault="00A970D5" w:rsidP="00EE58CE">
      <w:pPr>
        <w:contextualSpacing/>
        <w:rPr>
          <w:rFonts w:eastAsia="Palatino Linotype" w:cs="Palatino Linotype"/>
          <w:iCs/>
          <w:szCs w:val="24"/>
        </w:rPr>
      </w:pPr>
    </w:p>
    <w:p w14:paraId="7F2BEDC1" w14:textId="77777777" w:rsidR="00EE58CE" w:rsidRDefault="00A970D5" w:rsidP="00EE58CE">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r w:rsidR="009279EC">
        <w:rPr>
          <w:rFonts w:eastAsia="Palatino Linotype" w:cs="Palatino Linotype"/>
        </w:rPr>
        <w:t xml:space="preserve"> </w:t>
      </w:r>
    </w:p>
    <w:p w14:paraId="223B530A" w14:textId="2F29FDAC" w:rsidR="006A3D3F" w:rsidRPr="006A3D3F" w:rsidRDefault="00797C74" w:rsidP="00797C74">
      <w:pPr>
        <w:pStyle w:val="Fundamentos"/>
      </w:pPr>
      <w:r>
        <w:t>“</w:t>
      </w:r>
      <w:r w:rsidRPr="00797C74">
        <w:t>Con fundamento en los artículos 176, 178 y 179 Fracciones I, II, III, IV y V de la Ley de Transparencia y Acceso a la Información Pública del Estado de México y Municipios, hago referencia que el Sujeto Obligado no corresponde a la información solicitada. Con fundamento y de conformidad al acuerdo de la Secretaría de la Mujer por el que se establecen los mecanismos para la operación de recursos para la mitigación de la alerta de violencia de género contra las mujeres por feminicidio. Artículo 21. Adjunto la liga del Acuerdo antes mencionado para su consulta y este en posibilidad de entregar la información correctamente. https://alertadegenero.edomex.gob.mx/sites/alertadegenero.edomex.gob.mx/files/files/feb252n.pdf</w:t>
      </w:r>
      <w:r>
        <w:t>”</w:t>
      </w:r>
      <w:r w:rsidR="00A970D5" w:rsidRPr="00F763E5">
        <w:t xml:space="preserve"> (Sic)</w:t>
      </w:r>
    </w:p>
    <w:p w14:paraId="58ED7814" w14:textId="77777777" w:rsidR="006A3D3F" w:rsidRPr="006922F5" w:rsidRDefault="006A3D3F" w:rsidP="00EE58CE">
      <w:pPr>
        <w:pBdr>
          <w:top w:val="nil"/>
          <w:left w:val="nil"/>
          <w:bottom w:val="nil"/>
          <w:right w:val="nil"/>
          <w:between w:val="nil"/>
        </w:pBdr>
        <w:contextualSpacing/>
        <w:rPr>
          <w:rFonts w:eastAsia="Palatino Linotype" w:cs="Palatino Linotype"/>
          <w:color w:val="000000"/>
          <w:szCs w:val="24"/>
        </w:rPr>
      </w:pPr>
    </w:p>
    <w:p w14:paraId="11D7F189" w14:textId="50A0F6B2" w:rsidR="00A970D5" w:rsidRPr="006922F5" w:rsidRDefault="008E24B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5B57020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CE5372">
        <w:rPr>
          <w:rFonts w:eastAsia="Palatino Linotype" w:cs="Palatino Linotype"/>
          <w:color w:val="000000"/>
          <w:szCs w:val="24"/>
        </w:rPr>
        <w:t>dieciocho de agosto</w:t>
      </w:r>
      <w:r w:rsidR="00EE58CE">
        <w:rPr>
          <w:rFonts w:eastAsia="Palatino Linotype" w:cs="Palatino Linotype"/>
          <w:color w:val="000000"/>
          <w:szCs w:val="24"/>
        </w:rPr>
        <w:t xml:space="preserv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r w:rsidR="006A3D3F">
        <w:rPr>
          <w:rFonts w:eastAsia="Palatino Linotype" w:cs="Palatino Linotype"/>
          <w:color w:val="000000"/>
          <w:szCs w:val="24"/>
        </w:rPr>
        <w:t xml:space="preserve"> </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616194D" w:rsidR="00A970D5" w:rsidRPr="006922F5" w:rsidRDefault="008E24B6" w:rsidP="006922F5">
      <w:pPr>
        <w:pStyle w:val="Ttulo2"/>
        <w:rPr>
          <w:rFonts w:eastAsia="Palatino Linotype"/>
        </w:rPr>
      </w:pPr>
      <w:r>
        <w:rPr>
          <w:rFonts w:eastAsia="Palatino Linotype"/>
        </w:rPr>
        <w:lastRenderedPageBreak/>
        <w:t>QUINTO</w:t>
      </w:r>
      <w:r w:rsidR="00A970D5" w:rsidRPr="006922F5">
        <w:rPr>
          <w:rFonts w:eastAsia="Palatino Linotype"/>
        </w:rPr>
        <w:t>. De la etapa de instrucción.</w:t>
      </w:r>
    </w:p>
    <w:p w14:paraId="134297B7" w14:textId="0821B82A" w:rsidR="00EB47A3" w:rsidRPr="006F65AC" w:rsidRDefault="00051FD0" w:rsidP="00EB47A3">
      <w:pPr>
        <w:pBdr>
          <w:top w:val="nil"/>
          <w:left w:val="nil"/>
          <w:bottom w:val="nil"/>
          <w:right w:val="nil"/>
          <w:between w:val="nil"/>
        </w:pBdr>
        <w:contextualSpacing/>
        <w:rPr>
          <w:rFonts w:eastAsia="Palatino Linotype" w:cs="Palatino Linotype"/>
          <w:color w:val="000000"/>
          <w:szCs w:val="24"/>
        </w:rPr>
      </w:pPr>
      <w:r w:rsidRPr="00051FD0">
        <w:rPr>
          <w:rFonts w:eastAsia="Palatino Linotype" w:cs="Palatino Linotype"/>
          <w:color w:val="000000"/>
          <w:szCs w:val="24"/>
        </w:rPr>
        <w:t>Una vez abierta la etapa de instrucción, se observa que en fecha</w:t>
      </w:r>
      <w:r>
        <w:rPr>
          <w:rFonts w:eastAsia="Palatino Linotype" w:cs="Palatino Linotype"/>
          <w:color w:val="000000"/>
          <w:szCs w:val="24"/>
        </w:rPr>
        <w:t xml:space="preserve"> </w:t>
      </w:r>
      <w:r w:rsidR="00CE5372">
        <w:rPr>
          <w:rFonts w:eastAsia="Palatino Linotype" w:cs="Palatino Linotype"/>
          <w:color w:val="000000"/>
          <w:szCs w:val="24"/>
        </w:rPr>
        <w:t>veintinueve de septiembre</w:t>
      </w:r>
      <w:r>
        <w:rPr>
          <w:rFonts w:eastAsia="Palatino Linotype" w:cs="Palatino Linotype"/>
          <w:color w:val="000000"/>
          <w:szCs w:val="24"/>
        </w:rPr>
        <w:t xml:space="preserve"> </w:t>
      </w:r>
      <w:r w:rsidRPr="00051FD0">
        <w:rPr>
          <w:rFonts w:eastAsia="Palatino Linotype" w:cs="Palatino Linotype"/>
          <w:color w:val="000000"/>
          <w:szCs w:val="24"/>
        </w:rPr>
        <w:t>de dos mil veintitrés, el Sujeto Obligado rindió su Informe Justificado, consistente en</w:t>
      </w:r>
      <w:r>
        <w:rPr>
          <w:rFonts w:eastAsia="Palatino Linotype" w:cs="Palatino Linotype"/>
          <w:color w:val="000000"/>
          <w:szCs w:val="24"/>
        </w:rPr>
        <w:t xml:space="preserve"> </w:t>
      </w:r>
      <w:r w:rsidR="00C15109">
        <w:rPr>
          <w:rFonts w:eastAsia="Palatino Linotype" w:cs="Palatino Linotype"/>
          <w:color w:val="000000"/>
          <w:szCs w:val="24"/>
        </w:rPr>
        <w:t>el</w:t>
      </w:r>
      <w:r>
        <w:rPr>
          <w:rFonts w:eastAsia="Palatino Linotype" w:cs="Palatino Linotype"/>
          <w:color w:val="000000"/>
          <w:szCs w:val="24"/>
        </w:rPr>
        <w:t xml:space="preserve"> </w:t>
      </w:r>
      <w:r w:rsidRPr="00051FD0">
        <w:rPr>
          <w:rFonts w:eastAsia="Palatino Linotype" w:cs="Palatino Linotype"/>
          <w:color w:val="000000"/>
          <w:szCs w:val="24"/>
        </w:rPr>
        <w:t>documento denominado</w:t>
      </w:r>
      <w:r>
        <w:rPr>
          <w:rFonts w:eastAsia="Palatino Linotype" w:cs="Palatino Linotype"/>
          <w:color w:val="000000"/>
          <w:szCs w:val="24"/>
        </w:rPr>
        <w:t xml:space="preserve"> </w:t>
      </w:r>
      <w:r w:rsidR="00CE5372">
        <w:rPr>
          <w:rFonts w:eastAsia="Palatino Linotype" w:cs="Palatino Linotype"/>
          <w:b/>
          <w:bCs/>
          <w:color w:val="000000"/>
          <w:szCs w:val="24"/>
        </w:rPr>
        <w:t>“</w:t>
      </w:r>
      <w:r w:rsidR="00CE5372" w:rsidRPr="00CE5372">
        <w:rPr>
          <w:rFonts w:eastAsia="Palatino Linotype" w:cs="Palatino Linotype"/>
          <w:b/>
          <w:bCs/>
          <w:color w:val="000000"/>
          <w:szCs w:val="24"/>
        </w:rPr>
        <w:t>RESPUESTA 335 FINANZAS.pdf</w:t>
      </w:r>
      <w:r w:rsidR="00CE5372">
        <w:rPr>
          <w:rFonts w:eastAsia="Palatino Linotype" w:cs="Palatino Linotype"/>
          <w:b/>
          <w:bCs/>
          <w:color w:val="000000"/>
          <w:szCs w:val="24"/>
        </w:rPr>
        <w:t>”</w:t>
      </w:r>
      <w:r w:rsidRPr="00051FD0">
        <w:rPr>
          <w:rFonts w:eastAsia="Palatino Linotype" w:cs="Palatino Linotype"/>
          <w:color w:val="000000"/>
          <w:szCs w:val="24"/>
        </w:rPr>
        <w:t>. Dicho documento fue puesto a la vista del</w:t>
      </w:r>
      <w:r>
        <w:rPr>
          <w:rFonts w:eastAsia="Palatino Linotype" w:cs="Palatino Linotype"/>
          <w:color w:val="000000"/>
          <w:szCs w:val="24"/>
        </w:rPr>
        <w:t xml:space="preserve"> </w:t>
      </w:r>
      <w:r w:rsidRPr="00051FD0">
        <w:rPr>
          <w:rFonts w:eastAsia="Palatino Linotype" w:cs="Palatino Linotype"/>
          <w:color w:val="000000"/>
          <w:szCs w:val="24"/>
        </w:rPr>
        <w:t>Recurrente mediante</w:t>
      </w:r>
      <w:r>
        <w:rPr>
          <w:rFonts w:eastAsia="Palatino Linotype" w:cs="Palatino Linotype"/>
          <w:color w:val="000000"/>
          <w:szCs w:val="24"/>
        </w:rPr>
        <w:t xml:space="preserve"> </w:t>
      </w:r>
      <w:r w:rsidRPr="00051FD0">
        <w:rPr>
          <w:rFonts w:eastAsia="Palatino Linotype" w:cs="Palatino Linotype"/>
          <w:color w:val="000000"/>
          <w:szCs w:val="24"/>
        </w:rPr>
        <w:t>acuerdo de fecha</w:t>
      </w:r>
      <w:r>
        <w:rPr>
          <w:rFonts w:eastAsia="Palatino Linotype" w:cs="Palatino Linotype"/>
          <w:color w:val="000000"/>
          <w:szCs w:val="24"/>
        </w:rPr>
        <w:t xml:space="preserve"> </w:t>
      </w:r>
      <w:r w:rsidR="00CE5372">
        <w:rPr>
          <w:rFonts w:eastAsia="Palatino Linotype" w:cs="Palatino Linotype"/>
          <w:color w:val="000000"/>
          <w:szCs w:val="24"/>
        </w:rPr>
        <w:t>seis de diciembre de dos mil veintitrés</w:t>
      </w:r>
      <w:r w:rsidRPr="00051FD0">
        <w:rPr>
          <w:rFonts w:eastAsia="Palatino Linotype" w:cs="Palatino Linotype"/>
          <w:color w:val="000000"/>
          <w:szCs w:val="24"/>
        </w:rPr>
        <w:t>, en términos de la fracción III del artículo 185 de la Ley de Transparencia y Acceso a la Información Pública del Estado de México y Municipios, otorgando a la particular un término de tres días para manifestar lo que a su derecho conviniera. Por otra parte, se observa que el</w:t>
      </w:r>
      <w:r w:rsidR="0092174E">
        <w:rPr>
          <w:rFonts w:eastAsia="Palatino Linotype" w:cs="Palatino Linotype"/>
          <w:color w:val="000000"/>
          <w:szCs w:val="24"/>
        </w:rPr>
        <w:t xml:space="preserve"> </w:t>
      </w:r>
      <w:r w:rsidRPr="00051FD0">
        <w:rPr>
          <w:rFonts w:eastAsia="Palatino Linotype" w:cs="Palatino Linotype"/>
          <w:color w:val="000000"/>
          <w:szCs w:val="24"/>
        </w:rPr>
        <w:t>Recurrente no emitió manifestaciones vertió alegatos o presentó pruebas que a su derecho conviniera, del mismo modo, no realizó pronunciamiento alguno respecto del Informe Justificado del Sujeto Obligado. El contenido del documento referido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2A341854" w14:textId="26DE6B2C" w:rsidR="00A914F3" w:rsidRPr="006922F5" w:rsidRDefault="00C15109" w:rsidP="006922F5">
      <w:pPr>
        <w:pStyle w:val="Ttulo2"/>
        <w:rPr>
          <w:rFonts w:eastAsiaTheme="minorHAnsi"/>
          <w:lang w:eastAsia="en-US"/>
        </w:rPr>
      </w:pPr>
      <w:r>
        <w:rPr>
          <w:rFonts w:eastAsiaTheme="minorHAnsi"/>
          <w:lang w:eastAsia="en-US"/>
        </w:rPr>
        <w:t>SEXTO</w:t>
      </w:r>
      <w:r w:rsidR="00A914F3" w:rsidRPr="006922F5">
        <w:rPr>
          <w:rFonts w:eastAsiaTheme="minorHAnsi"/>
          <w:lang w:eastAsia="en-US"/>
        </w:rPr>
        <w:t xml:space="preserve">. </w:t>
      </w:r>
      <w:r w:rsidR="007B7956" w:rsidRPr="006922F5">
        <w:rPr>
          <w:rFonts w:eastAsia="Palatino Linotype"/>
        </w:rPr>
        <w:t>Del cierre de instrucción.</w:t>
      </w:r>
    </w:p>
    <w:p w14:paraId="263884BF" w14:textId="2C340E73" w:rsidR="00B72838" w:rsidRPr="006922F5" w:rsidRDefault="00B72838" w:rsidP="00B7283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F336BE">
        <w:rPr>
          <w:rFonts w:eastAsia="Palatino Linotype" w:cs="Palatino Linotype"/>
          <w:color w:val="000000"/>
          <w:szCs w:val="24"/>
        </w:rPr>
        <w:t>catorce</w:t>
      </w:r>
      <w:r w:rsidR="00331F00">
        <w:rPr>
          <w:rFonts w:eastAsia="Palatino Linotype" w:cs="Palatino Linotype"/>
          <w:color w:val="000000"/>
          <w:szCs w:val="24"/>
        </w:rPr>
        <w:t xml:space="preserve"> de febrero de dos mil veinticuatro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6DC89436" w14:textId="77777777" w:rsidR="009A4D87" w:rsidRDefault="009A4D87" w:rsidP="006922F5">
      <w:pPr>
        <w:pBdr>
          <w:top w:val="nil"/>
          <w:left w:val="nil"/>
          <w:bottom w:val="nil"/>
          <w:right w:val="nil"/>
          <w:between w:val="nil"/>
        </w:pBdr>
        <w:contextualSpacing/>
        <w:rPr>
          <w:rFonts w:eastAsia="Palatino Linotype" w:cs="Palatino Linotype"/>
          <w:color w:val="000000"/>
          <w:szCs w:val="24"/>
        </w:rPr>
      </w:pPr>
    </w:p>
    <w:p w14:paraId="7E503336" w14:textId="7F7CE3A1" w:rsidR="00C15109" w:rsidRPr="006922F5" w:rsidRDefault="00C15109" w:rsidP="00C15109">
      <w:pPr>
        <w:pStyle w:val="Ttulo2"/>
        <w:rPr>
          <w:rFonts w:eastAsia="Palatino Linotype"/>
        </w:rPr>
      </w:pPr>
      <w:r w:rsidRPr="006922F5">
        <w:rPr>
          <w:rFonts w:eastAsia="Palatino Linotype"/>
        </w:rPr>
        <w:t>S</w:t>
      </w:r>
      <w:r>
        <w:rPr>
          <w:rFonts w:eastAsia="Palatino Linotype"/>
        </w:rPr>
        <w:t>ÉPTIMO</w:t>
      </w:r>
      <w:r w:rsidRPr="006922F5">
        <w:rPr>
          <w:rFonts w:eastAsia="Palatino Linotype"/>
        </w:rPr>
        <w:t xml:space="preserve">. </w:t>
      </w:r>
      <w:r w:rsidRPr="007B7956">
        <w:rPr>
          <w:rFonts w:eastAsia="Palatino Linotype"/>
        </w:rPr>
        <w:t>De la ampliación del término para resolver.</w:t>
      </w:r>
    </w:p>
    <w:p w14:paraId="65C9892A" w14:textId="367790C0" w:rsidR="00C15109" w:rsidRDefault="00C15109" w:rsidP="00C15109">
      <w:pPr>
        <w:rPr>
          <w:rFonts w:eastAsiaTheme="minorHAnsi" w:cstheme="minorBidi"/>
          <w:szCs w:val="24"/>
          <w:lang w:eastAsia="en-US"/>
        </w:rPr>
      </w:pPr>
      <w:r w:rsidRPr="006922F5">
        <w:rPr>
          <w:rFonts w:eastAsiaTheme="minorHAnsi" w:cstheme="minorBidi"/>
          <w:szCs w:val="24"/>
          <w:lang w:eastAsia="en-US"/>
        </w:rPr>
        <w:t xml:space="preserve">En </w:t>
      </w:r>
      <w:r>
        <w:rPr>
          <w:rFonts w:eastAsiaTheme="minorHAnsi" w:cstheme="minorBidi"/>
          <w:szCs w:val="24"/>
          <w:lang w:eastAsia="en-US"/>
        </w:rPr>
        <w:t xml:space="preserve">fecha </w:t>
      </w:r>
      <w:r w:rsidR="00331F00">
        <w:rPr>
          <w:rFonts w:eastAsiaTheme="minorHAnsi" w:cstheme="minorBidi"/>
          <w:szCs w:val="24"/>
          <w:lang w:eastAsia="en-US"/>
        </w:rPr>
        <w:t>seis de diciembre</w:t>
      </w:r>
      <w:r>
        <w:rPr>
          <w:rFonts w:eastAsiaTheme="minorHAnsi" w:cstheme="minorBidi"/>
          <w:szCs w:val="24"/>
          <w:lang w:eastAsia="en-US"/>
        </w:rPr>
        <w:t xml:space="preserve"> </w:t>
      </w:r>
      <w:r w:rsidRPr="006922F5">
        <w:rPr>
          <w:rFonts w:eastAsiaTheme="minorHAnsi" w:cstheme="minorBidi"/>
          <w:szCs w:val="24"/>
          <w:lang w:eastAsia="en-US"/>
        </w:rPr>
        <w:t>de dos mil veinti</w:t>
      </w:r>
      <w:r>
        <w:rPr>
          <w:rFonts w:eastAsiaTheme="minorHAnsi" w:cstheme="minorBidi"/>
          <w:szCs w:val="24"/>
          <w:lang w:eastAsia="en-US"/>
        </w:rPr>
        <w:t>trés</w:t>
      </w:r>
      <w:r w:rsidRPr="006922F5">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7F9FF57B" w14:textId="77777777" w:rsidR="00C15109" w:rsidRDefault="00C15109" w:rsidP="00C15109">
      <w:pPr>
        <w:rPr>
          <w:rFonts w:eastAsiaTheme="minorHAnsi" w:cstheme="minorBidi"/>
          <w:szCs w:val="24"/>
          <w:lang w:eastAsia="en-US"/>
        </w:rPr>
      </w:pPr>
    </w:p>
    <w:p w14:paraId="36997F19"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9ADAF09"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720B4A6"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CBF2FFB"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6DA06455"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35FAE7"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AE74AA8"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27E798"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73ECA6E1"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8CAFEE5"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7EA18C73" w14:textId="53B33428" w:rsidR="00C15109" w:rsidRPr="00D01A58" w:rsidRDefault="00C15109" w:rsidP="00346034">
      <w:pPr>
        <w:pStyle w:val="Prrafodelista"/>
        <w:numPr>
          <w:ilvl w:val="0"/>
          <w:numId w:val="19"/>
        </w:numPr>
        <w:pBdr>
          <w:top w:val="nil"/>
          <w:left w:val="nil"/>
          <w:bottom w:val="nil"/>
          <w:right w:val="nil"/>
          <w:between w:val="nil"/>
        </w:pBdr>
        <w:contextualSpacing/>
        <w:rPr>
          <w:rFonts w:eastAsiaTheme="minorHAnsi" w:cstheme="minorBidi"/>
          <w:lang w:eastAsia="en-US"/>
        </w:rPr>
      </w:pPr>
      <w:r w:rsidRPr="00D01A58">
        <w:rPr>
          <w:rFonts w:eastAsiaTheme="minorHAnsi" w:cstheme="minorBidi"/>
          <w:lang w:eastAsia="en-US"/>
        </w:rPr>
        <w:t>Complejidad del asunto: La complejidad de la prueba, la pluralidad de sujetos procesales, el tiempo transcurrido, las características y contexto del recurso.</w:t>
      </w:r>
    </w:p>
    <w:p w14:paraId="1696223F" w14:textId="1CE4C1EB" w:rsidR="00C15109" w:rsidRPr="00D01A58" w:rsidRDefault="00C15109" w:rsidP="00346034">
      <w:pPr>
        <w:pStyle w:val="Prrafodelista"/>
        <w:numPr>
          <w:ilvl w:val="0"/>
          <w:numId w:val="19"/>
        </w:numPr>
        <w:pBdr>
          <w:top w:val="nil"/>
          <w:left w:val="nil"/>
          <w:bottom w:val="nil"/>
          <w:right w:val="nil"/>
          <w:between w:val="nil"/>
        </w:pBdr>
        <w:contextualSpacing/>
        <w:rPr>
          <w:rFonts w:eastAsiaTheme="minorHAnsi" w:cstheme="minorBidi"/>
          <w:lang w:eastAsia="en-US"/>
        </w:rPr>
      </w:pPr>
      <w:r w:rsidRPr="00D01A58">
        <w:rPr>
          <w:rFonts w:eastAsiaTheme="minorHAnsi" w:cstheme="minorBidi"/>
          <w:lang w:eastAsia="en-US"/>
        </w:rPr>
        <w:t>Actividad Procesal del interesado: Acciones u omisiones del interesado.</w:t>
      </w:r>
    </w:p>
    <w:p w14:paraId="18AC9824" w14:textId="0EF0109E" w:rsidR="00C15109" w:rsidRPr="00D01A58" w:rsidRDefault="00C15109" w:rsidP="00346034">
      <w:pPr>
        <w:pStyle w:val="Prrafodelista"/>
        <w:numPr>
          <w:ilvl w:val="0"/>
          <w:numId w:val="19"/>
        </w:numPr>
        <w:pBdr>
          <w:top w:val="nil"/>
          <w:left w:val="nil"/>
          <w:bottom w:val="nil"/>
          <w:right w:val="nil"/>
          <w:between w:val="nil"/>
        </w:pBdr>
        <w:contextualSpacing/>
        <w:rPr>
          <w:rFonts w:eastAsiaTheme="minorHAnsi" w:cstheme="minorBidi"/>
          <w:lang w:eastAsia="en-US"/>
        </w:rPr>
      </w:pPr>
      <w:r w:rsidRPr="00D01A58">
        <w:rPr>
          <w:rFonts w:eastAsiaTheme="minorHAnsi" w:cstheme="minorBidi"/>
          <w:lang w:eastAsia="en-US"/>
        </w:rPr>
        <w:t>Conducta de la Autoridad: Las Acciones u omisiones realizadas en el procedimiento. Así como si la autoridad actuó con la debida diligencia.</w:t>
      </w:r>
    </w:p>
    <w:p w14:paraId="30555AF8" w14:textId="2ABA3260" w:rsidR="00C15109" w:rsidRPr="00D01A58" w:rsidRDefault="00C15109" w:rsidP="00346034">
      <w:pPr>
        <w:pStyle w:val="Prrafodelista"/>
        <w:numPr>
          <w:ilvl w:val="0"/>
          <w:numId w:val="19"/>
        </w:numPr>
        <w:pBdr>
          <w:top w:val="nil"/>
          <w:left w:val="nil"/>
          <w:bottom w:val="nil"/>
          <w:right w:val="nil"/>
          <w:between w:val="nil"/>
        </w:pBdr>
        <w:contextualSpacing/>
        <w:rPr>
          <w:rFonts w:eastAsiaTheme="minorHAnsi" w:cstheme="minorBidi"/>
          <w:lang w:eastAsia="en-US"/>
        </w:rPr>
      </w:pPr>
      <w:r w:rsidRPr="00D01A58">
        <w:rPr>
          <w:rFonts w:eastAsiaTheme="minorHAnsi" w:cstheme="minorBidi"/>
          <w:lang w:eastAsia="en-US"/>
        </w:rPr>
        <w:t>La afectación generada en la situación jurídica de la persona involucrada en el proceso: Violación a sus derechos humanos.</w:t>
      </w:r>
    </w:p>
    <w:p w14:paraId="558FB748"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0577212C"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404A8F"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2B7924EB" w14:textId="7A68861F"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Argumento que encuentra sustento en la jurisprudencia P</w:t>
      </w:r>
      <w:proofErr w:type="gramStart"/>
      <w:r w:rsidRPr="004926E7">
        <w:rPr>
          <w:rFonts w:eastAsiaTheme="minorHAnsi" w:cstheme="minorBidi"/>
          <w:szCs w:val="24"/>
          <w:lang w:eastAsia="en-US"/>
        </w:rPr>
        <w:t>./</w:t>
      </w:r>
      <w:proofErr w:type="gramEnd"/>
      <w:r w:rsidRPr="004926E7">
        <w:rPr>
          <w:rFonts w:eastAsiaTheme="minorHAnsi" w:cstheme="minorBidi"/>
          <w:szCs w:val="24"/>
          <w:lang w:eastAsia="en-US"/>
        </w:rPr>
        <w:t xml:space="preserve">J. 32/92 emitida por el Pleno de la Suprema Corte de </w:t>
      </w:r>
      <w:r w:rsidR="00D01A58">
        <w:rPr>
          <w:rFonts w:eastAsiaTheme="minorHAnsi" w:cstheme="minorBidi"/>
          <w:szCs w:val="24"/>
          <w:lang w:eastAsia="en-US"/>
        </w:rPr>
        <w:t>Justicia de la Nación de rubro «</w:t>
      </w:r>
      <w:r w:rsidRPr="004926E7">
        <w:rPr>
          <w:rFonts w:eastAsiaTheme="minorHAnsi" w:cstheme="minorBidi"/>
          <w:szCs w:val="24"/>
          <w:lang w:eastAsia="en-US"/>
        </w:rPr>
        <w:t xml:space="preserve">TÉRMINOS PROCESALES. PARA DETERMINAR SI UN FUNCIONARIO JUDICIAL ACTUÓ INDEBIDAMENTE POR NO RESPETARLOS SE DEBE ATENDER AL PRESUPUESTO QUE CONSIDERÓ EL LEGISLADOR AL FIJARLOS </w:t>
      </w:r>
      <w:r w:rsidR="00D01A58">
        <w:rPr>
          <w:rFonts w:eastAsiaTheme="minorHAnsi" w:cstheme="minorBidi"/>
          <w:szCs w:val="24"/>
          <w:lang w:eastAsia="en-US"/>
        </w:rPr>
        <w:t>Y LAS CARACTERÍSTICAS DEL CASO»</w:t>
      </w:r>
      <w:r w:rsidRPr="004926E7">
        <w:rPr>
          <w:rFonts w:eastAsiaTheme="minorHAnsi" w:cstheme="minorBidi"/>
          <w:szCs w:val="24"/>
          <w:lang w:eastAsia="en-US"/>
        </w:rPr>
        <w:t>, visible en la Gaceta del Seminario Judicial de la Federación con el registro digital 205635.</w:t>
      </w:r>
    </w:p>
    <w:p w14:paraId="618A2476"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13A127AA" w14:textId="77777777" w:rsidR="00D01A58"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1FA13FB6" w14:textId="77777777" w:rsidR="00D01A58" w:rsidRDefault="00D01A58" w:rsidP="00C15109">
      <w:pPr>
        <w:pBdr>
          <w:top w:val="nil"/>
          <w:left w:val="nil"/>
          <w:bottom w:val="nil"/>
          <w:right w:val="nil"/>
          <w:between w:val="nil"/>
        </w:pBdr>
        <w:contextualSpacing/>
        <w:rPr>
          <w:rFonts w:eastAsiaTheme="minorHAnsi" w:cstheme="minorBidi"/>
          <w:szCs w:val="24"/>
          <w:lang w:eastAsia="en-US"/>
        </w:rPr>
      </w:pPr>
    </w:p>
    <w:p w14:paraId="0BA59B96" w14:textId="287B5CBB"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6B4E7F5D"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3D7903A1" w14:textId="07B39B17" w:rsidR="00C15109" w:rsidRPr="004926E7" w:rsidRDefault="00D01A58" w:rsidP="00C15109">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C15109" w:rsidRPr="004926E7">
        <w:rPr>
          <w:rFonts w:eastAsiaTheme="minorHAnsi" w:cstheme="minorBidi"/>
          <w:szCs w:val="24"/>
          <w:lang w:eastAsia="en-US"/>
        </w:rPr>
        <w:t>PLAZO RAZONABLE PARA RESOLVER. DIMENSIÓN Y EFECTOS DE ESTE CONCEPTO CUANDO SE A</w:t>
      </w:r>
      <w:r>
        <w:rPr>
          <w:rFonts w:eastAsiaTheme="minorHAnsi" w:cstheme="minorBidi"/>
          <w:szCs w:val="24"/>
          <w:lang w:eastAsia="en-US"/>
        </w:rPr>
        <w:t>DUCE EXCESIVA CARGA DE TRABAJO»</w:t>
      </w:r>
      <w:r w:rsidR="00C15109" w:rsidRPr="004926E7">
        <w:rPr>
          <w:rFonts w:eastAsiaTheme="minorHAnsi" w:cstheme="minorBidi"/>
          <w:szCs w:val="24"/>
          <w:lang w:eastAsia="en-US"/>
        </w:rPr>
        <w:t xml:space="preserve"> consultable en el Seminario Judicial de la Federación y su gaceta, con el registro digital 2002351.</w:t>
      </w:r>
    </w:p>
    <w:p w14:paraId="668D003E"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4A4F32AC" w14:textId="7C34E0CE" w:rsidR="00C15109" w:rsidRPr="004926E7" w:rsidRDefault="00D01A58" w:rsidP="00C15109">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C15109" w:rsidRPr="004926E7">
        <w:rPr>
          <w:rFonts w:eastAsiaTheme="minorHAnsi" w:cstheme="minorBidi"/>
          <w:szCs w:val="24"/>
          <w:lang w:eastAsia="en-US"/>
        </w:rPr>
        <w:t>PLAZO RAZONABLE PARA RESOLVER. CONCEPTO Y ELEMENTOS QUE LO INTEGRAN A LA LUZ DEL DERECHO INTERN</w:t>
      </w:r>
      <w:r>
        <w:rPr>
          <w:rFonts w:eastAsiaTheme="minorHAnsi" w:cstheme="minorBidi"/>
          <w:szCs w:val="24"/>
          <w:lang w:eastAsia="en-US"/>
        </w:rPr>
        <w:t>ACIONAL DE LOS DERECHOS HUMANOS»</w:t>
      </w:r>
      <w:r w:rsidR="00C15109" w:rsidRPr="004926E7">
        <w:rPr>
          <w:rFonts w:eastAsiaTheme="minorHAnsi" w:cstheme="minorBidi"/>
          <w:szCs w:val="24"/>
          <w:lang w:eastAsia="en-US"/>
        </w:rPr>
        <w:t>, visible en el Seminario Judicial de la Federación y su gaceta, con el registro digital 2002350.</w:t>
      </w:r>
    </w:p>
    <w:p w14:paraId="5B57DCC1" w14:textId="77777777" w:rsidR="00C15109" w:rsidRPr="004926E7" w:rsidRDefault="00C15109" w:rsidP="00C15109">
      <w:pPr>
        <w:pBdr>
          <w:top w:val="nil"/>
          <w:left w:val="nil"/>
          <w:bottom w:val="nil"/>
          <w:right w:val="nil"/>
          <w:between w:val="nil"/>
        </w:pBdr>
        <w:contextualSpacing/>
        <w:rPr>
          <w:rFonts w:eastAsiaTheme="minorHAnsi" w:cstheme="minorBidi"/>
          <w:szCs w:val="24"/>
          <w:lang w:eastAsia="en-US"/>
        </w:rPr>
      </w:pPr>
    </w:p>
    <w:p w14:paraId="54BCC402" w14:textId="77777777" w:rsidR="00C15109" w:rsidRDefault="00C15109" w:rsidP="00C15109">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lastRenderedPageBreak/>
        <w:t>Por ello, este organismo garante comprometido con la tutela de los derechos humanos confiados señala que este exceso del plazo legal para resolver el presente asunto resulta de carácter excepcional.</w:t>
      </w:r>
    </w:p>
    <w:p w14:paraId="68B87025" w14:textId="77777777" w:rsidR="00C15109" w:rsidRPr="006922F5" w:rsidRDefault="00C15109" w:rsidP="00C15109">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91862F1"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D01A58">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D01A58">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6922F5">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E3DD021"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6D04F852" w14:textId="7764CB51" w:rsidR="00A970D5" w:rsidRPr="006922F5" w:rsidRDefault="00331F00" w:rsidP="006922F5">
      <w:pPr>
        <w:pStyle w:val="Ttulo2"/>
        <w:rPr>
          <w:rFonts w:eastAsia="Palatino Linotype"/>
        </w:rPr>
      </w:pPr>
      <w:r>
        <w:rPr>
          <w:rFonts w:eastAsia="Palatino Linotype"/>
        </w:rPr>
        <w:t>TERCERO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74B5A506" w:rsidR="00A970D5" w:rsidRPr="006922F5" w:rsidRDefault="00331F00" w:rsidP="006922F5">
      <w:pPr>
        <w:pStyle w:val="Ttulo2"/>
        <w:rPr>
          <w:rFonts w:eastAsia="Palatino Linotype"/>
        </w:rPr>
      </w:pPr>
      <w:r>
        <w:rPr>
          <w:rFonts w:eastAsia="Palatino Linotype"/>
        </w:rPr>
        <w:t>CUARTO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6922F5">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9ED88AA" w14:textId="4356B145" w:rsidR="00D75A12" w:rsidRDefault="00A970D5" w:rsidP="00C006C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D75A12">
        <w:rPr>
          <w:rFonts w:eastAsia="Palatino Linotype" w:cs="Palatino Linotype"/>
          <w:color w:val="000000"/>
          <w:szCs w:val="24"/>
        </w:rPr>
        <w:t>la</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D57F1A">
        <w:rPr>
          <w:rFonts w:eastAsia="Palatino Linotype" w:cs="Palatino Linotype"/>
          <w:color w:val="000000"/>
          <w:szCs w:val="24"/>
        </w:rPr>
        <w:t xml:space="preserve"> </w:t>
      </w:r>
      <w:r w:rsidR="00B7356B">
        <w:rPr>
          <w:rFonts w:eastAsia="Palatino Linotype" w:cs="Palatino Linotype"/>
          <w:color w:val="000000"/>
          <w:szCs w:val="24"/>
        </w:rPr>
        <w:t>a</w:t>
      </w:r>
      <w:r w:rsidR="00D57F1A">
        <w:rPr>
          <w:rFonts w:eastAsia="Palatino Linotype" w:cs="Palatino Linotype"/>
          <w:color w:val="000000"/>
          <w:szCs w:val="24"/>
        </w:rPr>
        <w:t>l Sujeto Obligado</w:t>
      </w:r>
      <w:r w:rsidR="00D75A12">
        <w:rPr>
          <w:rFonts w:eastAsia="Palatino Linotype" w:cs="Palatino Linotype"/>
          <w:color w:val="000000"/>
          <w:szCs w:val="24"/>
        </w:rPr>
        <w:t xml:space="preserve">, se le proporcionara, en relación al </w:t>
      </w:r>
      <w:r w:rsidR="00D75A12" w:rsidRPr="00D75A12">
        <w:rPr>
          <w:rFonts w:eastAsia="Palatino Linotype" w:cs="Palatino Linotype"/>
          <w:color w:val="000000"/>
          <w:szCs w:val="24"/>
        </w:rPr>
        <w:t>acuerdo de la Secretaría de la Mujer por el que se establecen los mecanismos para la operación de recursos para la mitigación de la alerta de violencia de género contra las mujeres por feminicidio</w:t>
      </w:r>
      <w:r w:rsidR="00D75A12">
        <w:rPr>
          <w:rFonts w:eastAsia="Palatino Linotype" w:cs="Palatino Linotype"/>
          <w:color w:val="000000"/>
          <w:szCs w:val="24"/>
        </w:rPr>
        <w:t>, el o los documentos en donde conste lo siguiente</w:t>
      </w:r>
      <w:r w:rsidR="00B11F81">
        <w:rPr>
          <w:rFonts w:eastAsia="Palatino Linotype" w:cs="Palatino Linotype"/>
          <w:color w:val="000000"/>
          <w:szCs w:val="24"/>
        </w:rPr>
        <w:t>:</w:t>
      </w:r>
    </w:p>
    <w:p w14:paraId="5892A8F7" w14:textId="77777777" w:rsidR="00B11F81" w:rsidRDefault="00B11F81" w:rsidP="00C006C6">
      <w:pPr>
        <w:pBdr>
          <w:top w:val="nil"/>
          <w:left w:val="nil"/>
          <w:bottom w:val="nil"/>
          <w:right w:val="nil"/>
          <w:between w:val="nil"/>
        </w:pBdr>
        <w:contextualSpacing/>
        <w:rPr>
          <w:rFonts w:eastAsia="Palatino Linotype" w:cs="Palatino Linotype"/>
          <w:color w:val="000000"/>
          <w:szCs w:val="24"/>
        </w:rPr>
      </w:pPr>
    </w:p>
    <w:p w14:paraId="364514B6" w14:textId="21F9FA4C" w:rsidR="003E6470" w:rsidRPr="00B11F81" w:rsidRDefault="00D75A12" w:rsidP="00346034">
      <w:pPr>
        <w:pStyle w:val="Prrafodelista"/>
        <w:numPr>
          <w:ilvl w:val="0"/>
          <w:numId w:val="20"/>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Presupuesto asignado en el ejercicio fiscal 2022</w:t>
      </w:r>
      <w:r w:rsidR="00B11F81" w:rsidRPr="00B11F81">
        <w:rPr>
          <w:rFonts w:eastAsia="Palatino Linotype" w:cs="Palatino Linotype"/>
          <w:color w:val="000000"/>
        </w:rPr>
        <w:t>.</w:t>
      </w:r>
    </w:p>
    <w:p w14:paraId="475EAA11" w14:textId="67FC2FAF" w:rsidR="00B11F81" w:rsidRPr="00B11F81" w:rsidRDefault="00D75A12" w:rsidP="00346034">
      <w:pPr>
        <w:pStyle w:val="Prrafodelista"/>
        <w:numPr>
          <w:ilvl w:val="0"/>
          <w:numId w:val="20"/>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Presupuesto e</w:t>
      </w:r>
      <w:r w:rsidRPr="00D75A12">
        <w:rPr>
          <w:rFonts w:eastAsia="Palatino Linotype" w:cs="Palatino Linotype"/>
          <w:color w:val="000000"/>
        </w:rPr>
        <w:t xml:space="preserve">jercido </w:t>
      </w:r>
      <w:r>
        <w:rPr>
          <w:rFonts w:eastAsia="Palatino Linotype" w:cs="Palatino Linotype"/>
          <w:color w:val="000000"/>
        </w:rPr>
        <w:t>conforme</w:t>
      </w:r>
      <w:r w:rsidRPr="00D75A12">
        <w:rPr>
          <w:rFonts w:eastAsia="Palatino Linotype" w:cs="Palatino Linotype"/>
          <w:color w:val="000000"/>
        </w:rPr>
        <w:t xml:space="preserve"> a las actividades mencionadas en el artículo 21 del acuerdo en comento</w:t>
      </w:r>
      <w:r w:rsidR="00B11F81" w:rsidRPr="00B11F81">
        <w:rPr>
          <w:rFonts w:eastAsia="Palatino Linotype" w:cs="Palatino Linotype"/>
          <w:color w:val="000000"/>
        </w:rPr>
        <w:t>.</w:t>
      </w:r>
    </w:p>
    <w:p w14:paraId="28FAEFB0" w14:textId="1D03B9EC" w:rsidR="00D75A12" w:rsidRDefault="00D75A12" w:rsidP="00346034">
      <w:pPr>
        <w:pStyle w:val="Prrafodelista"/>
        <w:numPr>
          <w:ilvl w:val="0"/>
          <w:numId w:val="20"/>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Informe de resultados obtenidos.</w:t>
      </w:r>
    </w:p>
    <w:p w14:paraId="18AB8989" w14:textId="33005785" w:rsidR="00B11F81" w:rsidRPr="00B11F81" w:rsidRDefault="00D75A12" w:rsidP="00346034">
      <w:pPr>
        <w:pStyle w:val="Prrafodelista"/>
        <w:numPr>
          <w:ilvl w:val="0"/>
          <w:numId w:val="20"/>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w:t>
      </w:r>
      <w:r w:rsidRPr="00D75A12">
        <w:rPr>
          <w:rFonts w:eastAsia="Palatino Linotype" w:cs="Palatino Linotype"/>
          <w:color w:val="000000"/>
        </w:rPr>
        <w:t>roductos o servicios otorgados</w:t>
      </w:r>
      <w:r>
        <w:rPr>
          <w:rFonts w:eastAsia="Palatino Linotype" w:cs="Palatino Linotype"/>
          <w:color w:val="000000"/>
        </w:rPr>
        <w:t>.</w:t>
      </w:r>
    </w:p>
    <w:p w14:paraId="74F80454" w14:textId="77777777" w:rsidR="003E6470" w:rsidRDefault="003E6470" w:rsidP="00C006C6">
      <w:pPr>
        <w:pBdr>
          <w:top w:val="nil"/>
          <w:left w:val="nil"/>
          <w:bottom w:val="nil"/>
          <w:right w:val="nil"/>
          <w:between w:val="nil"/>
        </w:pBdr>
        <w:contextualSpacing/>
        <w:rPr>
          <w:rFonts w:eastAsia="Palatino Linotype" w:cs="Palatino Linotype"/>
          <w:color w:val="000000"/>
          <w:szCs w:val="24"/>
        </w:rPr>
      </w:pPr>
    </w:p>
    <w:p w14:paraId="46A58DB1" w14:textId="11EECDF5"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D75A12">
        <w:rPr>
          <w:rFonts w:eastAsia="Palatino Linotype" w:cs="Palatino Linotype"/>
          <w:color w:val="000000"/>
          <w:szCs w:val="24"/>
        </w:rPr>
        <w:t xml:space="preserve"> los</w:t>
      </w:r>
      <w:r w:rsidR="00B11F81">
        <w:rPr>
          <w:rFonts w:eastAsia="Palatino Linotype" w:cs="Palatino Linotype"/>
          <w:color w:val="000000"/>
          <w:szCs w:val="24"/>
        </w:rPr>
        <w:t xml:space="preserve"> siguiente</w:t>
      </w:r>
      <w:r w:rsidR="00D75A12">
        <w:rPr>
          <w:rFonts w:eastAsia="Palatino Linotype" w:cs="Palatino Linotype"/>
          <w:color w:val="000000"/>
          <w:szCs w:val="24"/>
        </w:rPr>
        <w:t>s</w:t>
      </w:r>
      <w:r w:rsidR="00B11F81">
        <w:rPr>
          <w:rFonts w:eastAsia="Palatino Linotype" w:cs="Palatino Linotype"/>
          <w:color w:val="000000"/>
          <w:szCs w:val="24"/>
        </w:rPr>
        <w:t xml:space="preserve"> documento</w:t>
      </w:r>
      <w:r w:rsidR="00D75A12">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48959858" w14:textId="614EA62D" w:rsidR="00881260" w:rsidRPr="00143D2A" w:rsidRDefault="00D75A12" w:rsidP="00346034">
      <w:pPr>
        <w:pStyle w:val="Prrafodelista"/>
        <w:numPr>
          <w:ilvl w:val="0"/>
          <w:numId w:val="15"/>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b/>
          <w:bCs/>
          <w:color w:val="000000"/>
        </w:rPr>
        <w:t>“</w:t>
      </w:r>
      <w:r w:rsidRPr="00D75A12">
        <w:rPr>
          <w:rFonts w:eastAsia="Palatino Linotype" w:cs="Palatino Linotype"/>
          <w:b/>
          <w:bCs/>
          <w:color w:val="000000"/>
        </w:rPr>
        <w:t>Respuesta 335 Seguridad.pdf</w:t>
      </w:r>
      <w:r>
        <w:rPr>
          <w:rFonts w:eastAsia="Palatino Linotype" w:cs="Palatino Linotype"/>
          <w:color w:val="000000"/>
        </w:rPr>
        <w:t>”:</w:t>
      </w:r>
      <w:r w:rsidR="00B21861">
        <w:rPr>
          <w:rFonts w:eastAsia="Palatino Linotype" w:cs="Palatino Linotype"/>
          <w:color w:val="000000"/>
        </w:rPr>
        <w:t xml:space="preserve"> </w:t>
      </w:r>
      <w:r w:rsidR="00B21861" w:rsidRPr="006242FE">
        <w:rPr>
          <w:rFonts w:eastAsia="Palatino Linotype" w:cs="Palatino Linotype"/>
          <w:color w:val="000000"/>
        </w:rPr>
        <w:t xml:space="preserve">Oficio número </w:t>
      </w:r>
      <w:proofErr w:type="spellStart"/>
      <w:r>
        <w:rPr>
          <w:rFonts w:eastAsia="Palatino Linotype" w:cs="Palatino Linotype"/>
          <w:color w:val="000000"/>
        </w:rPr>
        <w:t>DGSyPCI</w:t>
      </w:r>
      <w:proofErr w:type="spellEnd"/>
      <w:r>
        <w:rPr>
          <w:rFonts w:eastAsia="Palatino Linotype" w:cs="Palatino Linotype"/>
          <w:color w:val="000000"/>
        </w:rPr>
        <w:t>/JUR/1621/2023</w:t>
      </w:r>
      <w:r w:rsidR="00EC426D">
        <w:rPr>
          <w:rFonts w:eastAsia="Palatino Linotype" w:cs="Palatino Linotype"/>
          <w:color w:val="000000"/>
        </w:rPr>
        <w:t xml:space="preserve"> emitido por </w:t>
      </w:r>
      <w:r w:rsidR="00143D2A">
        <w:rPr>
          <w:rFonts w:eastAsia="Palatino Linotype" w:cs="Palatino Linotype"/>
          <w:color w:val="000000"/>
        </w:rPr>
        <w:t>el Director General de Seguridad y Prevención Ciudadana</w:t>
      </w:r>
      <w:r w:rsidR="00EC426D">
        <w:rPr>
          <w:rFonts w:eastAsia="Palatino Linotype" w:cs="Palatino Linotype"/>
          <w:color w:val="000000"/>
        </w:rPr>
        <w:t xml:space="preserve">, mediante el cual hizo del conocimiento del </w:t>
      </w:r>
      <w:r w:rsidR="00143D2A">
        <w:rPr>
          <w:rFonts w:eastAsia="Palatino Linotype" w:cs="Palatino Linotype"/>
          <w:color w:val="000000"/>
        </w:rPr>
        <w:t xml:space="preserve">Titular de la Unidad de Transparencia, que la Institución encargada de otorgar y ejercer el presupuesto requerido, corresponde al Instituto </w:t>
      </w:r>
      <w:r w:rsidR="00143D2A">
        <w:rPr>
          <w:rFonts w:eastAsia="Palatino Linotype" w:cs="Palatino Linotype"/>
          <w:color w:val="000000"/>
        </w:rPr>
        <w:lastRenderedPageBreak/>
        <w:t>de la Mujer para la Igualdad Sustantiva, por lo cual, no es posible otorgar un informe cuantitativo de los resultados obtenidos en dicho recurso.</w:t>
      </w:r>
    </w:p>
    <w:p w14:paraId="3023D6A8" w14:textId="1275A51B" w:rsidR="00143D2A" w:rsidRPr="00143D2A" w:rsidRDefault="00143D2A" w:rsidP="00143D2A">
      <w:pPr>
        <w:pStyle w:val="Prrafodelista"/>
        <w:pBdr>
          <w:top w:val="nil"/>
          <w:left w:val="nil"/>
          <w:bottom w:val="nil"/>
          <w:right w:val="nil"/>
          <w:between w:val="nil"/>
        </w:pBdr>
        <w:contextualSpacing/>
        <w:rPr>
          <w:rFonts w:eastAsia="Palatino Linotype" w:cs="Palatino Linotype"/>
          <w:color w:val="000000"/>
          <w:lang w:val="es-MX"/>
        </w:rPr>
      </w:pPr>
    </w:p>
    <w:p w14:paraId="1B42CEAD" w14:textId="6BE4F9D7" w:rsidR="00143D2A" w:rsidRPr="00143D2A" w:rsidRDefault="00143D2A" w:rsidP="00346034">
      <w:pPr>
        <w:pStyle w:val="Prrafodelista"/>
        <w:numPr>
          <w:ilvl w:val="0"/>
          <w:numId w:val="15"/>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b/>
          <w:bCs/>
          <w:color w:val="000000"/>
        </w:rPr>
        <w:t>“</w:t>
      </w:r>
      <w:r w:rsidRPr="00143D2A">
        <w:rPr>
          <w:rFonts w:eastAsia="Palatino Linotype" w:cs="Palatino Linotype"/>
          <w:b/>
          <w:bCs/>
          <w:color w:val="000000"/>
        </w:rPr>
        <w:t>Respuesta 335 Imisi.pdf</w:t>
      </w:r>
      <w:r>
        <w:rPr>
          <w:rFonts w:eastAsia="Palatino Linotype" w:cs="Palatino Linotype"/>
          <w:b/>
          <w:bCs/>
          <w:color w:val="000000"/>
        </w:rPr>
        <w:t xml:space="preserve">”: </w:t>
      </w:r>
      <w:r w:rsidRPr="00143D2A">
        <w:rPr>
          <w:rFonts w:eastAsia="Palatino Linotype" w:cs="Palatino Linotype"/>
          <w:color w:val="000000"/>
        </w:rPr>
        <w:t xml:space="preserve">Oficio número </w:t>
      </w:r>
      <w:r>
        <w:rPr>
          <w:rFonts w:eastAsia="Palatino Linotype" w:cs="Palatino Linotype"/>
          <w:color w:val="000000"/>
        </w:rPr>
        <w:t>IXTA/IMISI/0635/2023, emitido por la Directora del Instituto de la Mujer para la Igualdad Sustantiva, a través del cual, informa al Titular de la Unidad de Transparencia, que anexa en copias simples la información solicitada.</w:t>
      </w:r>
    </w:p>
    <w:p w14:paraId="3D25A6CE" w14:textId="77777777" w:rsidR="00143D2A" w:rsidRPr="00143D2A" w:rsidRDefault="00143D2A" w:rsidP="00143D2A">
      <w:pPr>
        <w:pStyle w:val="Prrafodelista"/>
        <w:rPr>
          <w:rFonts w:eastAsia="Palatino Linotype" w:cs="Palatino Linotype"/>
          <w:color w:val="000000"/>
          <w:lang w:val="es-MX"/>
        </w:rPr>
      </w:pPr>
    </w:p>
    <w:p w14:paraId="730C6257" w14:textId="2326C30D" w:rsidR="00143D2A" w:rsidRPr="00143D2A" w:rsidRDefault="00143D2A" w:rsidP="00143D2A">
      <w:pPr>
        <w:pStyle w:val="Prrafodelista"/>
        <w:pBdr>
          <w:top w:val="nil"/>
          <w:left w:val="nil"/>
          <w:bottom w:val="nil"/>
          <w:right w:val="nil"/>
          <w:between w:val="nil"/>
        </w:pBdr>
        <w:contextualSpacing/>
        <w:rPr>
          <w:rFonts w:eastAsia="Palatino Linotype" w:cs="Palatino Linotype"/>
          <w:color w:val="000000"/>
          <w:lang w:val="es-MX"/>
        </w:rPr>
      </w:pPr>
      <w:r>
        <w:rPr>
          <w:rFonts w:eastAsia="Palatino Linotype" w:cs="Palatino Linotype"/>
          <w:color w:val="000000"/>
          <w:lang w:val="es-MX"/>
        </w:rPr>
        <w:t>Asimismo, remitió un total de 8 fojas que corresponden</w:t>
      </w:r>
      <w:r w:rsidR="007F4A5E">
        <w:rPr>
          <w:rFonts w:eastAsia="Palatino Linotype" w:cs="Palatino Linotype"/>
          <w:color w:val="000000"/>
          <w:lang w:val="es-MX"/>
        </w:rPr>
        <w:t xml:space="preserve"> a los formatos PbRM-02a (Calendarización de Metas de Actividad por Proyecto) en relación al programa presupuestario de Inclusión Económica para la Igualdad de Género a cargo de la Dependencia General de Desarrollo Social.</w:t>
      </w:r>
    </w:p>
    <w:p w14:paraId="2D1A9520" w14:textId="77777777" w:rsidR="00EC426D" w:rsidRDefault="00EC426D" w:rsidP="006922F5">
      <w:pPr>
        <w:pBdr>
          <w:top w:val="nil"/>
          <w:left w:val="nil"/>
          <w:bottom w:val="nil"/>
          <w:right w:val="nil"/>
          <w:between w:val="nil"/>
        </w:pBdr>
        <w:contextualSpacing/>
        <w:rPr>
          <w:rFonts w:eastAsia="Palatino Linotype" w:cs="Palatino Linotype"/>
          <w:color w:val="000000"/>
          <w:szCs w:val="24"/>
        </w:rPr>
      </w:pPr>
    </w:p>
    <w:p w14:paraId="6128DFF4" w14:textId="1D18595E"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7F4A5E">
        <w:rPr>
          <w:rFonts w:eastAsia="Palatino Linotype" w:cs="Palatino Linotype"/>
          <w:color w:val="000000"/>
          <w:szCs w:val="24"/>
        </w:rPr>
        <w:t xml:space="preserve"> y como razones o motivos de inconformidad, medularmente que, la entrega de la información no corresponde con lo solicitado, actualizando con ello, la hipótesis normativa establecida en la fracción VI del artículo 179 de la </w:t>
      </w:r>
      <w:r w:rsidR="007F4A5E" w:rsidRPr="007F4A5E">
        <w:rPr>
          <w:rFonts w:eastAsia="Palatino Linotype" w:cs="Palatino Linotype"/>
          <w:color w:val="000000"/>
          <w:szCs w:val="24"/>
        </w:rPr>
        <w:t>Ley de Transparencia local</w:t>
      </w:r>
      <w:r w:rsidR="007F4A5E">
        <w:rPr>
          <w:rFonts w:eastAsia="Palatino Linotype" w:cs="Palatino Linotype"/>
          <w:color w:val="000000"/>
          <w:szCs w:val="24"/>
        </w:rPr>
        <w:t>.</w:t>
      </w:r>
    </w:p>
    <w:p w14:paraId="3AC05501" w14:textId="77777777" w:rsidR="003D372B" w:rsidRDefault="003D372B" w:rsidP="006922F5">
      <w:pPr>
        <w:pBdr>
          <w:top w:val="nil"/>
          <w:left w:val="nil"/>
          <w:bottom w:val="nil"/>
          <w:right w:val="nil"/>
          <w:between w:val="nil"/>
        </w:pBdr>
        <w:contextualSpacing/>
        <w:rPr>
          <w:rFonts w:eastAsia="Palatino Linotype" w:cs="Palatino Linotype"/>
          <w:color w:val="000000"/>
          <w:szCs w:val="24"/>
        </w:rPr>
      </w:pPr>
    </w:p>
    <w:p w14:paraId="37D88EC6" w14:textId="6786F611" w:rsidR="009279EC" w:rsidRDefault="007F4A5E" w:rsidP="007F4A5E">
      <w:pPr>
        <w:contextualSpacing/>
      </w:pPr>
      <w:r w:rsidRPr="007F4A5E">
        <w:rPr>
          <w:rFonts w:eastAsia="Times New Roman"/>
        </w:rPr>
        <w:t xml:space="preserve">Se debe resaltar que, durante la etapa de instrucción en el presente procedimiento. el Sujeto Obligado rindió Informe Justificado ante este Órgano Garante en fecha </w:t>
      </w:r>
      <w:r>
        <w:rPr>
          <w:rFonts w:eastAsia="Times New Roman"/>
        </w:rPr>
        <w:t>veintinueve de septiembre</w:t>
      </w:r>
      <w:r w:rsidRPr="007F4A5E">
        <w:rPr>
          <w:rFonts w:eastAsia="Times New Roman"/>
        </w:rPr>
        <w:t xml:space="preserve"> de dos mil veintitrés, mediante la presentación del documento </w:t>
      </w:r>
      <w:r w:rsidRPr="007F4A5E">
        <w:rPr>
          <w:rFonts w:eastAsia="Times New Roman"/>
        </w:rPr>
        <w:lastRenderedPageBreak/>
        <w:t>denominado “RESPUESTA 335 FINANZAS.pdf”,</w:t>
      </w:r>
      <w:r>
        <w:rPr>
          <w:rFonts w:eastAsia="Times New Roman"/>
        </w:rPr>
        <w:t xml:space="preserve"> del cual se describe su contenido a continuación:</w:t>
      </w:r>
    </w:p>
    <w:p w14:paraId="24A953DD" w14:textId="77777777" w:rsidR="004834FE" w:rsidRDefault="004834FE" w:rsidP="006922F5">
      <w:pPr>
        <w:pBdr>
          <w:top w:val="nil"/>
          <w:left w:val="nil"/>
          <w:bottom w:val="nil"/>
          <w:right w:val="nil"/>
          <w:between w:val="nil"/>
        </w:pBdr>
        <w:contextualSpacing/>
      </w:pPr>
    </w:p>
    <w:p w14:paraId="63A34B51" w14:textId="4663C684" w:rsidR="002F2B54" w:rsidRDefault="007F4A5E" w:rsidP="00346034">
      <w:pPr>
        <w:pStyle w:val="Prrafodelista"/>
        <w:numPr>
          <w:ilvl w:val="0"/>
          <w:numId w:val="15"/>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b/>
          <w:bCs/>
          <w:color w:val="000000"/>
        </w:rPr>
        <w:t>“</w:t>
      </w:r>
      <w:r w:rsidRPr="007F4A5E">
        <w:rPr>
          <w:rFonts w:eastAsia="Palatino Linotype" w:cs="Palatino Linotype"/>
          <w:b/>
          <w:bCs/>
          <w:color w:val="000000"/>
        </w:rPr>
        <w:t>RESPUESTA 335 FINANZAS.pdf</w:t>
      </w:r>
      <w:r>
        <w:rPr>
          <w:rFonts w:eastAsia="Palatino Linotype" w:cs="Palatino Linotype"/>
          <w:color w:val="000000"/>
        </w:rPr>
        <w:t>”:</w:t>
      </w:r>
      <w:r w:rsidR="00DC4DA9">
        <w:rPr>
          <w:rFonts w:eastAsia="Palatino Linotype" w:cs="Palatino Linotype"/>
          <w:color w:val="000000"/>
        </w:rPr>
        <w:t xml:space="preserve"> </w:t>
      </w:r>
      <w:r w:rsidR="00F74C51">
        <w:rPr>
          <w:rFonts w:eastAsia="Palatino Linotype" w:cs="Palatino Linotype"/>
          <w:color w:val="000000"/>
        </w:rPr>
        <w:t xml:space="preserve">Oficio </w:t>
      </w:r>
      <w:r w:rsidR="00A15DA4">
        <w:rPr>
          <w:rFonts w:eastAsia="Palatino Linotype" w:cs="Palatino Linotype"/>
          <w:color w:val="000000"/>
        </w:rPr>
        <w:t>DAF/TES/0624/2023</w:t>
      </w:r>
      <w:r w:rsidR="00F74C51">
        <w:rPr>
          <w:rFonts w:eastAsia="Palatino Linotype" w:cs="Palatino Linotype"/>
          <w:color w:val="000000"/>
        </w:rPr>
        <w:t xml:space="preserve"> suscrito </w:t>
      </w:r>
      <w:r w:rsidR="00A15DA4">
        <w:rPr>
          <w:rFonts w:eastAsia="Palatino Linotype" w:cs="Palatino Linotype"/>
          <w:color w:val="000000"/>
        </w:rPr>
        <w:t>el Director de Administración y Finanzas,</w:t>
      </w:r>
      <w:r w:rsidR="00F74C51">
        <w:rPr>
          <w:rFonts w:eastAsia="Palatino Linotype" w:cs="Palatino Linotype"/>
          <w:color w:val="000000"/>
        </w:rPr>
        <w:t xml:space="preserve"> mediante el cual</w:t>
      </w:r>
      <w:r w:rsidR="00A15DA4">
        <w:rPr>
          <w:rFonts w:eastAsia="Palatino Linotype" w:cs="Palatino Linotype"/>
          <w:color w:val="000000"/>
        </w:rPr>
        <w:t xml:space="preserve"> comunica al Titular de la Unidad de Transparencia, que durante el ejercicio fiscal 2022, de conformidad con el A</w:t>
      </w:r>
      <w:r w:rsidR="00A15DA4" w:rsidRPr="00A15DA4">
        <w:rPr>
          <w:rFonts w:eastAsia="Palatino Linotype" w:cs="Palatino Linotype"/>
          <w:color w:val="000000"/>
        </w:rPr>
        <w:t xml:space="preserve">cuerdo de la Secretaría de la Mujer por el que se </w:t>
      </w:r>
      <w:r w:rsidR="00A15DA4">
        <w:rPr>
          <w:rFonts w:eastAsia="Palatino Linotype" w:cs="Palatino Linotype"/>
          <w:color w:val="000000"/>
        </w:rPr>
        <w:t>E</w:t>
      </w:r>
      <w:r w:rsidR="00A15DA4" w:rsidRPr="00A15DA4">
        <w:rPr>
          <w:rFonts w:eastAsia="Palatino Linotype" w:cs="Palatino Linotype"/>
          <w:color w:val="000000"/>
        </w:rPr>
        <w:t xml:space="preserve">stablecen los </w:t>
      </w:r>
      <w:r w:rsidR="00A15DA4">
        <w:rPr>
          <w:rFonts w:eastAsia="Palatino Linotype" w:cs="Palatino Linotype"/>
          <w:color w:val="000000"/>
        </w:rPr>
        <w:t>M</w:t>
      </w:r>
      <w:r w:rsidR="00A15DA4" w:rsidRPr="00A15DA4">
        <w:rPr>
          <w:rFonts w:eastAsia="Palatino Linotype" w:cs="Palatino Linotype"/>
          <w:color w:val="000000"/>
        </w:rPr>
        <w:t xml:space="preserve">ecanismos para la </w:t>
      </w:r>
      <w:r w:rsidR="00A15DA4">
        <w:rPr>
          <w:rFonts w:eastAsia="Palatino Linotype" w:cs="Palatino Linotype"/>
          <w:color w:val="000000"/>
        </w:rPr>
        <w:t>O</w:t>
      </w:r>
      <w:r w:rsidR="00A15DA4" w:rsidRPr="00A15DA4">
        <w:rPr>
          <w:rFonts w:eastAsia="Palatino Linotype" w:cs="Palatino Linotype"/>
          <w:color w:val="000000"/>
        </w:rPr>
        <w:t xml:space="preserve">peración de </w:t>
      </w:r>
      <w:r w:rsidR="00A15DA4">
        <w:rPr>
          <w:rFonts w:eastAsia="Palatino Linotype" w:cs="Palatino Linotype"/>
          <w:color w:val="000000"/>
        </w:rPr>
        <w:t>R</w:t>
      </w:r>
      <w:r w:rsidR="00A15DA4" w:rsidRPr="00A15DA4">
        <w:rPr>
          <w:rFonts w:eastAsia="Palatino Linotype" w:cs="Palatino Linotype"/>
          <w:color w:val="000000"/>
        </w:rPr>
        <w:t xml:space="preserve">ecursos para la </w:t>
      </w:r>
      <w:r w:rsidR="00A15DA4">
        <w:rPr>
          <w:rFonts w:eastAsia="Palatino Linotype" w:cs="Palatino Linotype"/>
          <w:color w:val="000000"/>
        </w:rPr>
        <w:t>M</w:t>
      </w:r>
      <w:r w:rsidR="00A15DA4" w:rsidRPr="00A15DA4">
        <w:rPr>
          <w:rFonts w:eastAsia="Palatino Linotype" w:cs="Palatino Linotype"/>
          <w:color w:val="000000"/>
        </w:rPr>
        <w:t xml:space="preserve">itigación de la </w:t>
      </w:r>
      <w:r w:rsidR="00A15DA4">
        <w:rPr>
          <w:rFonts w:eastAsia="Palatino Linotype" w:cs="Palatino Linotype"/>
          <w:color w:val="000000"/>
        </w:rPr>
        <w:t>A</w:t>
      </w:r>
      <w:r w:rsidR="00A15DA4" w:rsidRPr="00A15DA4">
        <w:rPr>
          <w:rFonts w:eastAsia="Palatino Linotype" w:cs="Palatino Linotype"/>
          <w:color w:val="000000"/>
        </w:rPr>
        <w:t xml:space="preserve">lerta de </w:t>
      </w:r>
      <w:r w:rsidR="00A15DA4">
        <w:rPr>
          <w:rFonts w:eastAsia="Palatino Linotype" w:cs="Palatino Linotype"/>
          <w:color w:val="000000"/>
        </w:rPr>
        <w:t>V</w:t>
      </w:r>
      <w:r w:rsidR="00A15DA4" w:rsidRPr="00A15DA4">
        <w:rPr>
          <w:rFonts w:eastAsia="Palatino Linotype" w:cs="Palatino Linotype"/>
          <w:color w:val="000000"/>
        </w:rPr>
        <w:t xml:space="preserve">iolencia de </w:t>
      </w:r>
      <w:r w:rsidR="00A15DA4">
        <w:rPr>
          <w:rFonts w:eastAsia="Palatino Linotype" w:cs="Palatino Linotype"/>
          <w:color w:val="000000"/>
        </w:rPr>
        <w:t>G</w:t>
      </w:r>
      <w:r w:rsidR="00A15DA4" w:rsidRPr="00A15DA4">
        <w:rPr>
          <w:rFonts w:eastAsia="Palatino Linotype" w:cs="Palatino Linotype"/>
          <w:color w:val="000000"/>
        </w:rPr>
        <w:t xml:space="preserve">énero </w:t>
      </w:r>
      <w:r w:rsidR="00A15DA4">
        <w:rPr>
          <w:rFonts w:eastAsia="Palatino Linotype" w:cs="Palatino Linotype"/>
          <w:color w:val="000000"/>
        </w:rPr>
        <w:t>C</w:t>
      </w:r>
      <w:r w:rsidR="00A15DA4" w:rsidRPr="00A15DA4">
        <w:rPr>
          <w:rFonts w:eastAsia="Palatino Linotype" w:cs="Palatino Linotype"/>
          <w:color w:val="000000"/>
        </w:rPr>
        <w:t xml:space="preserve">ontra las </w:t>
      </w:r>
      <w:r w:rsidR="00A15DA4">
        <w:rPr>
          <w:rFonts w:eastAsia="Palatino Linotype" w:cs="Palatino Linotype"/>
          <w:color w:val="000000"/>
        </w:rPr>
        <w:t>M</w:t>
      </w:r>
      <w:r w:rsidR="00A15DA4" w:rsidRPr="00A15DA4">
        <w:rPr>
          <w:rFonts w:eastAsia="Palatino Linotype" w:cs="Palatino Linotype"/>
          <w:color w:val="000000"/>
        </w:rPr>
        <w:t xml:space="preserve">ujeres por </w:t>
      </w:r>
      <w:r w:rsidR="00A15DA4">
        <w:rPr>
          <w:rFonts w:eastAsia="Palatino Linotype" w:cs="Palatino Linotype"/>
          <w:color w:val="000000"/>
        </w:rPr>
        <w:t>F</w:t>
      </w:r>
      <w:r w:rsidR="00A15DA4" w:rsidRPr="00A15DA4">
        <w:rPr>
          <w:rFonts w:eastAsia="Palatino Linotype" w:cs="Palatino Linotype"/>
          <w:color w:val="000000"/>
        </w:rPr>
        <w:t>eminicidio</w:t>
      </w:r>
      <w:r w:rsidR="00A15DA4">
        <w:rPr>
          <w:rFonts w:eastAsia="Palatino Linotype" w:cs="Palatino Linotype"/>
          <w:color w:val="000000"/>
        </w:rPr>
        <w:t xml:space="preserve">, </w:t>
      </w:r>
      <w:r w:rsidR="00A15DA4" w:rsidRPr="00A15DA4">
        <w:rPr>
          <w:rFonts w:eastAsia="Palatino Linotype" w:cs="Palatino Linotype"/>
          <w:b/>
          <w:bCs/>
          <w:color w:val="000000"/>
          <w:u w:val="single"/>
        </w:rPr>
        <w:t>el presupuesto asignado al Ayuntamiento de Ixtapaluca fue de $3,155,5287.09</w:t>
      </w:r>
      <w:r w:rsidR="00A15DA4">
        <w:rPr>
          <w:rFonts w:eastAsia="Palatino Linotype" w:cs="Palatino Linotype"/>
          <w:color w:val="000000"/>
        </w:rPr>
        <w:t>.</w:t>
      </w:r>
    </w:p>
    <w:p w14:paraId="30AA2BCB" w14:textId="77777777" w:rsidR="002F2B54" w:rsidRDefault="002F2B54" w:rsidP="002F2B54">
      <w:pPr>
        <w:pBdr>
          <w:top w:val="nil"/>
          <w:left w:val="nil"/>
          <w:bottom w:val="nil"/>
          <w:right w:val="nil"/>
          <w:between w:val="nil"/>
        </w:pBdr>
        <w:contextualSpacing/>
        <w:rPr>
          <w:rFonts w:eastAsia="Palatino Linotype" w:cs="Palatino Linotype"/>
          <w:color w:val="000000"/>
          <w:lang w:val="es-MX"/>
        </w:rPr>
      </w:pPr>
    </w:p>
    <w:p w14:paraId="64B9BA8A" w14:textId="0B4E812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2F02C3">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6922F5" w:rsidRDefault="00A970D5" w:rsidP="006922F5">
      <w:pPr>
        <w:pStyle w:val="Fundamentos"/>
      </w:pPr>
      <w:r w:rsidRPr="006922F5">
        <w:lastRenderedPageBreak/>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6922F5" w:rsidRDefault="00A970D5" w:rsidP="006922F5">
      <w:pPr>
        <w:pStyle w:val="Fundamentos"/>
      </w:pPr>
      <w:r w:rsidRPr="006922F5">
        <w:rPr>
          <w:b/>
          <w:bCs/>
        </w:rPr>
        <w:t>Artículo 5.</w:t>
      </w:r>
      <w:r w:rsidRPr="006922F5">
        <w:t xml:space="preserve"> </w:t>
      </w:r>
      <w:r w:rsidR="0047369A" w:rsidRPr="006922F5">
        <w:t>(</w:t>
      </w:r>
      <w:r w:rsidRPr="006922F5">
        <w:t>…</w:t>
      </w:r>
      <w:r w:rsidR="0047369A" w:rsidRPr="006922F5">
        <w:t>)</w:t>
      </w:r>
      <w:r w:rsidRPr="006922F5">
        <w:t xml:space="preserve"> </w:t>
      </w: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5DD91FED"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1265AA">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18A019DB" w:rsidR="00C82268" w:rsidRPr="006922F5" w:rsidRDefault="00C82268" w:rsidP="006922F5">
      <w:pPr>
        <w:pStyle w:val="Fundamentos"/>
      </w:pPr>
    </w:p>
    <w:p w14:paraId="5924BCD9" w14:textId="4EDDEE44" w:rsidR="001265AA" w:rsidRDefault="001265AA" w:rsidP="001265AA">
      <w:pPr>
        <w:pStyle w:val="Fundamentos"/>
      </w:pPr>
      <w:r>
        <w:t>IV. Los ayuntamientos y las dependencias, organismos, órganos y entidades de la administración</w:t>
      </w:r>
    </w:p>
    <w:p w14:paraId="79FD530B" w14:textId="37EEC3C5" w:rsidR="00C82268" w:rsidRPr="006922F5" w:rsidRDefault="001265AA" w:rsidP="001265AA">
      <w:pPr>
        <w:pStyle w:val="Fundamentos"/>
      </w:pPr>
      <w:proofErr w:type="gramStart"/>
      <w:r>
        <w:t>municipal</w:t>
      </w:r>
      <w:proofErr w:type="gramEnd"/>
      <w:r>
        <w:t>;</w:t>
      </w:r>
    </w:p>
    <w:p w14:paraId="0667CF00" w14:textId="06F32865" w:rsidR="00C82268" w:rsidRPr="006922F5" w:rsidRDefault="00D67D19"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6D29552" w14:textId="6DAAAC4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 así </w:t>
      </w:r>
      <w:r w:rsidR="00D574A2" w:rsidRPr="006922F5">
        <w:rPr>
          <w:rFonts w:eastAsia="Palatino Linotype" w:cs="Palatino Linotype"/>
          <w:color w:val="000000"/>
          <w:szCs w:val="24"/>
        </w:rPr>
        <w:t>como</w:t>
      </w:r>
      <w:r w:rsidRPr="006922F5">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286C416" w14:textId="5738C1D2" w:rsidR="009F36FB" w:rsidRDefault="006242FE" w:rsidP="006242FE">
      <w:pPr>
        <w:pBdr>
          <w:top w:val="nil"/>
          <w:left w:val="nil"/>
          <w:bottom w:val="nil"/>
          <w:right w:val="nil"/>
          <w:between w:val="nil"/>
        </w:pBdr>
        <w:contextualSpacing/>
        <w:rPr>
          <w:rFonts w:eastAsia="Palatino Linotype" w:cs="Palatino Linotype"/>
          <w:szCs w:val="24"/>
        </w:rPr>
      </w:pPr>
      <w:r w:rsidRPr="006922F5">
        <w:rPr>
          <w:rFonts w:eastAsia="Palatino Linotype" w:cs="Palatino Linotype"/>
          <w:szCs w:val="24"/>
        </w:rPr>
        <w:lastRenderedPageBreak/>
        <w:t xml:space="preserve">En segundo término, </w:t>
      </w:r>
      <w:r w:rsidR="00D67D19">
        <w:rPr>
          <w:rFonts w:eastAsia="Palatino Linotype" w:cs="Palatino Linotype"/>
          <w:szCs w:val="24"/>
        </w:rPr>
        <w:t>se estima conveniente la</w:t>
      </w:r>
      <w:r w:rsidR="009F36FB">
        <w:rPr>
          <w:rFonts w:eastAsia="Palatino Linotype" w:cs="Palatino Linotype"/>
          <w:szCs w:val="24"/>
        </w:rPr>
        <w:t xml:space="preserve"> elaboración del siguiente cuadro para verificar si la información remitida por el Sujeto Obligado colma las pretensiones del hoy Recurrente:</w:t>
      </w:r>
    </w:p>
    <w:p w14:paraId="1F903F22" w14:textId="77777777" w:rsidR="001265AA" w:rsidRDefault="001265AA" w:rsidP="006242FE">
      <w:pPr>
        <w:pBdr>
          <w:top w:val="nil"/>
          <w:left w:val="nil"/>
          <w:bottom w:val="nil"/>
          <w:right w:val="nil"/>
          <w:between w:val="nil"/>
        </w:pBdr>
        <w:contextualSpacing/>
        <w:rPr>
          <w:rFonts w:eastAsia="Palatino Linotype" w:cs="Palatino Linotype"/>
          <w:szCs w:val="24"/>
        </w:rPr>
      </w:pPr>
    </w:p>
    <w:tbl>
      <w:tblPr>
        <w:tblStyle w:val="Tablaconcuadrcula"/>
        <w:tblW w:w="0" w:type="auto"/>
        <w:tblLayout w:type="fixed"/>
        <w:tblLook w:val="04A0" w:firstRow="1" w:lastRow="0" w:firstColumn="1" w:lastColumn="0" w:noHBand="0" w:noVBand="1"/>
      </w:tblPr>
      <w:tblGrid>
        <w:gridCol w:w="3686"/>
        <w:gridCol w:w="3686"/>
        <w:gridCol w:w="1967"/>
      </w:tblGrid>
      <w:tr w:rsidR="009F36FB" w:rsidRPr="009F36FB" w14:paraId="39B3D564" w14:textId="77777777" w:rsidTr="00322AE5">
        <w:tc>
          <w:tcPr>
            <w:tcW w:w="3686" w:type="dxa"/>
            <w:shd w:val="clear" w:color="auto" w:fill="D9D9D9" w:themeFill="background1" w:themeFillShade="D9"/>
          </w:tcPr>
          <w:p w14:paraId="277B63BB" w14:textId="12E94D85" w:rsidR="009F36FB" w:rsidRPr="009F36FB" w:rsidRDefault="00322AE5" w:rsidP="009F36FB">
            <w:pPr>
              <w:spacing w:line="240" w:lineRule="auto"/>
              <w:contextualSpacing/>
              <w:jc w:val="center"/>
              <w:rPr>
                <w:rFonts w:eastAsia="Palatino Linotype" w:cs="Palatino Linotype"/>
                <w:b/>
                <w:sz w:val="20"/>
                <w:szCs w:val="20"/>
              </w:rPr>
            </w:pPr>
            <w:r w:rsidRPr="009F36FB">
              <w:rPr>
                <w:rFonts w:eastAsia="Palatino Linotype" w:cs="Palatino Linotype"/>
                <w:b/>
                <w:sz w:val="20"/>
                <w:szCs w:val="20"/>
              </w:rPr>
              <w:t>SOLICITUD</w:t>
            </w:r>
          </w:p>
        </w:tc>
        <w:tc>
          <w:tcPr>
            <w:tcW w:w="3686" w:type="dxa"/>
            <w:shd w:val="clear" w:color="auto" w:fill="D9D9D9" w:themeFill="background1" w:themeFillShade="D9"/>
          </w:tcPr>
          <w:p w14:paraId="43ADCB15" w14:textId="5164BF1A" w:rsidR="009F36FB" w:rsidRPr="009F36FB" w:rsidRDefault="00322AE5" w:rsidP="009F36FB">
            <w:pPr>
              <w:spacing w:line="240" w:lineRule="auto"/>
              <w:contextualSpacing/>
              <w:jc w:val="center"/>
              <w:rPr>
                <w:rFonts w:eastAsia="Palatino Linotype" w:cs="Palatino Linotype"/>
                <w:b/>
                <w:sz w:val="20"/>
                <w:szCs w:val="20"/>
              </w:rPr>
            </w:pPr>
            <w:r w:rsidRPr="009F36FB">
              <w:rPr>
                <w:rFonts w:eastAsia="Palatino Linotype" w:cs="Palatino Linotype"/>
                <w:b/>
                <w:sz w:val="20"/>
                <w:szCs w:val="20"/>
              </w:rPr>
              <w:t>RESPUESTA O INFORME</w:t>
            </w:r>
          </w:p>
        </w:tc>
        <w:tc>
          <w:tcPr>
            <w:tcW w:w="1967" w:type="dxa"/>
            <w:shd w:val="clear" w:color="auto" w:fill="D9D9D9" w:themeFill="background1" w:themeFillShade="D9"/>
          </w:tcPr>
          <w:p w14:paraId="7D54CFC6" w14:textId="54A23053" w:rsidR="009F36FB" w:rsidRPr="009F36FB" w:rsidRDefault="00322AE5" w:rsidP="009F36FB">
            <w:pPr>
              <w:spacing w:line="240" w:lineRule="auto"/>
              <w:contextualSpacing/>
              <w:jc w:val="center"/>
              <w:rPr>
                <w:rFonts w:eastAsia="Palatino Linotype" w:cs="Palatino Linotype"/>
                <w:b/>
                <w:sz w:val="20"/>
                <w:szCs w:val="20"/>
              </w:rPr>
            </w:pPr>
            <w:r w:rsidRPr="009F36FB">
              <w:rPr>
                <w:rFonts w:eastAsia="Palatino Linotype" w:cs="Palatino Linotype"/>
                <w:b/>
                <w:sz w:val="20"/>
                <w:szCs w:val="20"/>
              </w:rPr>
              <w:t>COLMA SÍ / NO</w:t>
            </w:r>
          </w:p>
        </w:tc>
      </w:tr>
      <w:tr w:rsidR="001265AA" w:rsidRPr="009F36FB" w14:paraId="22CD113B" w14:textId="77777777" w:rsidTr="001D02CD">
        <w:tc>
          <w:tcPr>
            <w:tcW w:w="9339" w:type="dxa"/>
            <w:gridSpan w:val="3"/>
            <w:shd w:val="clear" w:color="auto" w:fill="D9D9D9" w:themeFill="background1" w:themeFillShade="D9"/>
          </w:tcPr>
          <w:p w14:paraId="6367DE6E" w14:textId="79C533C7" w:rsidR="001265AA" w:rsidRPr="009F36FB" w:rsidRDefault="001265AA" w:rsidP="001265AA">
            <w:pPr>
              <w:spacing w:line="240" w:lineRule="auto"/>
              <w:contextualSpacing/>
              <w:jc w:val="left"/>
              <w:rPr>
                <w:rFonts w:eastAsia="Palatino Linotype" w:cs="Palatino Linotype"/>
                <w:b/>
                <w:sz w:val="20"/>
                <w:szCs w:val="20"/>
              </w:rPr>
            </w:pPr>
            <w:r>
              <w:rPr>
                <w:rFonts w:eastAsia="Palatino Linotype" w:cs="Palatino Linotype"/>
                <w:b/>
                <w:sz w:val="20"/>
                <w:szCs w:val="20"/>
              </w:rPr>
              <w:t>E</w:t>
            </w:r>
            <w:r w:rsidRPr="001265AA">
              <w:rPr>
                <w:rFonts w:eastAsia="Palatino Linotype" w:cs="Palatino Linotype"/>
                <w:b/>
                <w:sz w:val="20"/>
                <w:szCs w:val="20"/>
              </w:rPr>
              <w:t>n relación al acuerdo de la Secretaría de la Mujer por el que se establecen los mecanismos para la operación de recursos para la mitigación de la alerta de violencia de género contra las mujeres por feminicidio, el o los documentos en donde conste lo siguiente</w:t>
            </w:r>
            <w:r>
              <w:rPr>
                <w:rFonts w:eastAsia="Palatino Linotype" w:cs="Palatino Linotype"/>
                <w:b/>
                <w:sz w:val="20"/>
                <w:szCs w:val="20"/>
              </w:rPr>
              <w:t>:</w:t>
            </w:r>
          </w:p>
        </w:tc>
      </w:tr>
      <w:tr w:rsidR="001265AA" w:rsidRPr="009F36FB" w14:paraId="65D319B0" w14:textId="77777777" w:rsidTr="00322AE5">
        <w:tc>
          <w:tcPr>
            <w:tcW w:w="3686" w:type="dxa"/>
          </w:tcPr>
          <w:p w14:paraId="430E3DE9" w14:textId="5E9430A5" w:rsidR="001265AA" w:rsidRPr="009F36FB" w:rsidRDefault="001265AA" w:rsidP="001265AA">
            <w:pPr>
              <w:spacing w:line="240" w:lineRule="auto"/>
              <w:contextualSpacing/>
              <w:rPr>
                <w:rFonts w:eastAsia="Palatino Linotype" w:cs="Palatino Linotype"/>
                <w:sz w:val="20"/>
                <w:szCs w:val="20"/>
              </w:rPr>
            </w:pPr>
            <w:r w:rsidRPr="00CE0514">
              <w:rPr>
                <w:rFonts w:eastAsia="Palatino Linotype" w:cs="Palatino Linotype"/>
                <w:color w:val="000000"/>
              </w:rPr>
              <w:t>Presupuesto asignado en el ejercicio fiscal 2022.</w:t>
            </w:r>
          </w:p>
        </w:tc>
        <w:tc>
          <w:tcPr>
            <w:tcW w:w="3686" w:type="dxa"/>
          </w:tcPr>
          <w:p w14:paraId="1469F2A8" w14:textId="7BFD2B60" w:rsidR="001265AA" w:rsidRPr="009F36FB" w:rsidRDefault="004D21EC" w:rsidP="001265AA">
            <w:pPr>
              <w:spacing w:line="240" w:lineRule="auto"/>
              <w:contextualSpacing/>
              <w:rPr>
                <w:rFonts w:eastAsia="Palatino Linotype" w:cs="Palatino Linotype"/>
                <w:sz w:val="20"/>
                <w:szCs w:val="20"/>
              </w:rPr>
            </w:pPr>
            <w:r>
              <w:rPr>
                <w:rFonts w:eastAsia="Palatino Linotype" w:cs="Palatino Linotype"/>
                <w:sz w:val="20"/>
                <w:szCs w:val="20"/>
              </w:rPr>
              <w:t xml:space="preserve">Mediante informe justificado, </w:t>
            </w:r>
            <w:r w:rsidRPr="004D21EC">
              <w:rPr>
                <w:rFonts w:eastAsia="Palatino Linotype" w:cs="Palatino Linotype"/>
                <w:sz w:val="20"/>
                <w:szCs w:val="20"/>
              </w:rPr>
              <w:t xml:space="preserve">el Director de Administración y Finanzas </w:t>
            </w:r>
            <w:r>
              <w:rPr>
                <w:rFonts w:eastAsia="Palatino Linotype" w:cs="Palatino Linotype"/>
                <w:sz w:val="20"/>
                <w:szCs w:val="20"/>
              </w:rPr>
              <w:t>informó</w:t>
            </w:r>
            <w:r w:rsidRPr="004D21EC">
              <w:rPr>
                <w:rFonts w:eastAsia="Palatino Linotype" w:cs="Palatino Linotype"/>
                <w:sz w:val="20"/>
                <w:szCs w:val="20"/>
              </w:rPr>
              <w:t xml:space="preserve"> que durante el ejercicio fiscal 2022, de conformidad con el Acuerdo </w:t>
            </w:r>
            <w:r>
              <w:rPr>
                <w:rFonts w:eastAsia="Palatino Linotype" w:cs="Palatino Linotype"/>
                <w:sz w:val="20"/>
                <w:szCs w:val="20"/>
              </w:rPr>
              <w:t>referido</w:t>
            </w:r>
            <w:r w:rsidRPr="004D21EC">
              <w:rPr>
                <w:rFonts w:eastAsia="Palatino Linotype" w:cs="Palatino Linotype"/>
                <w:sz w:val="20"/>
                <w:szCs w:val="20"/>
              </w:rPr>
              <w:t>, el presupuesto asignado al Ayuntamiento de Ixtapaluca fue de $3</w:t>
            </w:r>
            <w:proofErr w:type="gramStart"/>
            <w:r w:rsidRPr="004D21EC">
              <w:rPr>
                <w:rFonts w:eastAsia="Palatino Linotype" w:cs="Palatino Linotype"/>
                <w:sz w:val="20"/>
                <w:szCs w:val="20"/>
              </w:rPr>
              <w:t>,155,5287.09</w:t>
            </w:r>
            <w:proofErr w:type="gramEnd"/>
            <w:r w:rsidRPr="004D21EC">
              <w:rPr>
                <w:rFonts w:eastAsia="Palatino Linotype" w:cs="Palatino Linotype"/>
                <w:sz w:val="20"/>
                <w:szCs w:val="20"/>
              </w:rPr>
              <w:t>.</w:t>
            </w:r>
          </w:p>
        </w:tc>
        <w:tc>
          <w:tcPr>
            <w:tcW w:w="1967" w:type="dxa"/>
            <w:vAlign w:val="center"/>
          </w:tcPr>
          <w:p w14:paraId="3F8ED6CC" w14:textId="324D71F8" w:rsidR="001265AA" w:rsidRPr="00322AE5" w:rsidRDefault="001265AA" w:rsidP="001265AA">
            <w:pPr>
              <w:spacing w:line="240" w:lineRule="auto"/>
              <w:contextualSpacing/>
              <w:jc w:val="center"/>
              <w:rPr>
                <w:rFonts w:eastAsia="Palatino Linotype" w:cs="Palatino Linotype"/>
                <w:b/>
                <w:sz w:val="20"/>
                <w:szCs w:val="20"/>
              </w:rPr>
            </w:pPr>
            <w:r w:rsidRPr="00322AE5">
              <w:rPr>
                <w:rFonts w:eastAsia="Palatino Linotype" w:cs="Palatino Linotype"/>
                <w:b/>
                <w:sz w:val="20"/>
                <w:szCs w:val="20"/>
              </w:rPr>
              <w:t>Sí</w:t>
            </w:r>
          </w:p>
        </w:tc>
      </w:tr>
      <w:tr w:rsidR="001265AA" w:rsidRPr="009F36FB" w14:paraId="1923C404" w14:textId="77777777" w:rsidTr="004D21EC">
        <w:tc>
          <w:tcPr>
            <w:tcW w:w="3686" w:type="dxa"/>
          </w:tcPr>
          <w:p w14:paraId="6E8D5D03" w14:textId="06475781" w:rsidR="001265AA" w:rsidRPr="009F36FB" w:rsidRDefault="001265AA" w:rsidP="001265AA">
            <w:pPr>
              <w:spacing w:line="240" w:lineRule="auto"/>
              <w:contextualSpacing/>
              <w:rPr>
                <w:rFonts w:eastAsia="Palatino Linotype" w:cs="Palatino Linotype"/>
                <w:sz w:val="20"/>
                <w:szCs w:val="20"/>
              </w:rPr>
            </w:pPr>
            <w:r w:rsidRPr="00CE0514">
              <w:rPr>
                <w:rFonts w:eastAsia="Palatino Linotype" w:cs="Palatino Linotype"/>
                <w:color w:val="000000"/>
              </w:rPr>
              <w:t>Presupuesto ejercido conforme a las actividades mencionadas en el artículo 21 del acuerdo en comento.</w:t>
            </w:r>
          </w:p>
        </w:tc>
        <w:tc>
          <w:tcPr>
            <w:tcW w:w="3686" w:type="dxa"/>
            <w:vAlign w:val="center"/>
          </w:tcPr>
          <w:p w14:paraId="40362165" w14:textId="15CFD831" w:rsidR="001265AA" w:rsidRPr="009F36FB" w:rsidRDefault="004D21EC" w:rsidP="001265AA">
            <w:pPr>
              <w:spacing w:line="240" w:lineRule="auto"/>
              <w:contextualSpacing/>
              <w:rPr>
                <w:rFonts w:eastAsia="Palatino Linotype" w:cs="Palatino Linotype"/>
                <w:sz w:val="20"/>
                <w:szCs w:val="20"/>
              </w:rPr>
            </w:pPr>
            <w:r>
              <w:rPr>
                <w:rFonts w:eastAsia="Palatino Linotype" w:cs="Palatino Linotype"/>
                <w:sz w:val="20"/>
                <w:szCs w:val="20"/>
              </w:rPr>
              <w:t>No se pronunció al respecto.</w:t>
            </w:r>
          </w:p>
        </w:tc>
        <w:tc>
          <w:tcPr>
            <w:tcW w:w="1967" w:type="dxa"/>
            <w:vAlign w:val="center"/>
          </w:tcPr>
          <w:p w14:paraId="77ABE958" w14:textId="318255E4" w:rsidR="001265AA" w:rsidRPr="00322AE5" w:rsidRDefault="004D21EC" w:rsidP="001265AA">
            <w:pPr>
              <w:spacing w:line="240" w:lineRule="auto"/>
              <w:contextualSpacing/>
              <w:jc w:val="center"/>
              <w:rPr>
                <w:rFonts w:eastAsia="Palatino Linotype" w:cs="Palatino Linotype"/>
                <w:b/>
                <w:sz w:val="20"/>
                <w:szCs w:val="20"/>
              </w:rPr>
            </w:pPr>
            <w:r>
              <w:rPr>
                <w:rFonts w:eastAsia="Palatino Linotype" w:cs="Palatino Linotype"/>
                <w:b/>
                <w:sz w:val="20"/>
                <w:szCs w:val="20"/>
              </w:rPr>
              <w:t>No</w:t>
            </w:r>
          </w:p>
        </w:tc>
      </w:tr>
      <w:tr w:rsidR="004D21EC" w:rsidRPr="009F36FB" w14:paraId="05920487" w14:textId="77777777" w:rsidTr="004D21EC">
        <w:trPr>
          <w:trHeight w:val="2106"/>
        </w:trPr>
        <w:tc>
          <w:tcPr>
            <w:tcW w:w="3686" w:type="dxa"/>
          </w:tcPr>
          <w:p w14:paraId="0C23886D" w14:textId="382E1DA9" w:rsidR="004D21EC" w:rsidRPr="009F36FB" w:rsidRDefault="004D21EC" w:rsidP="001265AA">
            <w:pPr>
              <w:spacing w:line="240" w:lineRule="auto"/>
              <w:contextualSpacing/>
              <w:rPr>
                <w:rFonts w:eastAsia="Palatino Linotype" w:cs="Palatino Linotype"/>
                <w:sz w:val="20"/>
                <w:szCs w:val="20"/>
              </w:rPr>
            </w:pPr>
            <w:r w:rsidRPr="00CE0514">
              <w:rPr>
                <w:rFonts w:eastAsia="Palatino Linotype" w:cs="Palatino Linotype"/>
                <w:color w:val="000000"/>
              </w:rPr>
              <w:t>Informe de resultados obtenidos.</w:t>
            </w:r>
          </w:p>
        </w:tc>
        <w:tc>
          <w:tcPr>
            <w:tcW w:w="3686" w:type="dxa"/>
            <w:vMerge w:val="restart"/>
            <w:vAlign w:val="center"/>
          </w:tcPr>
          <w:p w14:paraId="13DCC2C4" w14:textId="700DD7D1" w:rsidR="004D21EC" w:rsidRDefault="004D21EC" w:rsidP="001265AA">
            <w:pPr>
              <w:spacing w:line="240" w:lineRule="auto"/>
              <w:contextualSpacing/>
              <w:rPr>
                <w:rFonts w:eastAsia="Palatino Linotype" w:cs="Palatino Linotype"/>
                <w:sz w:val="20"/>
                <w:szCs w:val="20"/>
              </w:rPr>
            </w:pPr>
            <w:r>
              <w:rPr>
                <w:rFonts w:eastAsia="Palatino Linotype" w:cs="Palatino Linotype"/>
                <w:sz w:val="20"/>
                <w:szCs w:val="20"/>
              </w:rPr>
              <w:t>E</w:t>
            </w:r>
            <w:r w:rsidRPr="004D21EC">
              <w:rPr>
                <w:rFonts w:eastAsia="Palatino Linotype" w:cs="Palatino Linotype"/>
                <w:sz w:val="20"/>
                <w:szCs w:val="20"/>
              </w:rPr>
              <w:t xml:space="preserve">l Director General de Seguridad y Prevención Ciudadana, </w:t>
            </w:r>
            <w:r>
              <w:rPr>
                <w:rFonts w:eastAsia="Palatino Linotype" w:cs="Palatino Linotype"/>
                <w:sz w:val="20"/>
                <w:szCs w:val="20"/>
              </w:rPr>
              <w:t>refirió</w:t>
            </w:r>
            <w:r w:rsidRPr="004D21EC">
              <w:rPr>
                <w:rFonts w:eastAsia="Palatino Linotype" w:cs="Palatino Linotype"/>
                <w:sz w:val="20"/>
                <w:szCs w:val="20"/>
              </w:rPr>
              <w:t xml:space="preserve"> que la Institución encargada de otorgar y ejercer el presupuesto requerido, corresponde al Instituto de la Mujer para la Igualdad Sustantiva, por lo cual, no es posible otorgar un informe cuantitativo de los resultados obtenidos en dicho recurso</w:t>
            </w:r>
            <w:r>
              <w:rPr>
                <w:rFonts w:eastAsia="Palatino Linotype" w:cs="Palatino Linotype"/>
                <w:sz w:val="20"/>
                <w:szCs w:val="20"/>
              </w:rPr>
              <w:t>.</w:t>
            </w:r>
          </w:p>
          <w:p w14:paraId="0B280FB0" w14:textId="77777777" w:rsidR="004D21EC" w:rsidRDefault="004D21EC" w:rsidP="001265AA">
            <w:pPr>
              <w:spacing w:line="240" w:lineRule="auto"/>
              <w:contextualSpacing/>
              <w:rPr>
                <w:rFonts w:eastAsia="Palatino Linotype" w:cs="Palatino Linotype"/>
                <w:sz w:val="20"/>
                <w:szCs w:val="20"/>
              </w:rPr>
            </w:pPr>
          </w:p>
          <w:p w14:paraId="4A356F33" w14:textId="0196EB5C" w:rsidR="004D21EC" w:rsidRPr="009F36FB" w:rsidRDefault="004D21EC" w:rsidP="001265AA">
            <w:pPr>
              <w:spacing w:line="240" w:lineRule="auto"/>
              <w:contextualSpacing/>
              <w:rPr>
                <w:rFonts w:eastAsia="Palatino Linotype" w:cs="Palatino Linotype"/>
                <w:sz w:val="20"/>
                <w:szCs w:val="20"/>
              </w:rPr>
            </w:pPr>
            <w:r w:rsidRPr="004D21EC">
              <w:rPr>
                <w:rFonts w:eastAsia="Palatino Linotype" w:cs="Palatino Linotype"/>
                <w:sz w:val="20"/>
                <w:szCs w:val="20"/>
              </w:rPr>
              <w:t xml:space="preserve">Asimismo, </w:t>
            </w:r>
            <w:r>
              <w:rPr>
                <w:rFonts w:eastAsia="Palatino Linotype" w:cs="Palatino Linotype"/>
                <w:sz w:val="20"/>
                <w:szCs w:val="20"/>
              </w:rPr>
              <w:t xml:space="preserve">la Directora del Instituto de la Mujer </w:t>
            </w:r>
            <w:r w:rsidRPr="004D21EC">
              <w:rPr>
                <w:rFonts w:eastAsia="Palatino Linotype" w:cs="Palatino Linotype"/>
                <w:sz w:val="20"/>
                <w:szCs w:val="20"/>
              </w:rPr>
              <w:t xml:space="preserve">remitió </w:t>
            </w:r>
            <w:r>
              <w:rPr>
                <w:rFonts w:eastAsia="Palatino Linotype" w:cs="Palatino Linotype"/>
                <w:sz w:val="20"/>
                <w:szCs w:val="20"/>
              </w:rPr>
              <w:t xml:space="preserve">diversos </w:t>
            </w:r>
            <w:r w:rsidRPr="004D21EC">
              <w:rPr>
                <w:rFonts w:eastAsia="Palatino Linotype" w:cs="Palatino Linotype"/>
                <w:sz w:val="20"/>
                <w:szCs w:val="20"/>
              </w:rPr>
              <w:t>formatos PbRM-02a (Calendarización de Metas de Actividad por Proyecto) en relación al programa presupuestario de Inclusión Económica para la Igualdad de Género</w:t>
            </w:r>
            <w:r>
              <w:rPr>
                <w:rFonts w:eastAsia="Palatino Linotype" w:cs="Palatino Linotype"/>
                <w:sz w:val="20"/>
                <w:szCs w:val="20"/>
              </w:rPr>
              <w:t>.</w:t>
            </w:r>
          </w:p>
        </w:tc>
        <w:tc>
          <w:tcPr>
            <w:tcW w:w="1967" w:type="dxa"/>
            <w:vAlign w:val="center"/>
          </w:tcPr>
          <w:p w14:paraId="7EF7DACE" w14:textId="48F6CB2F" w:rsidR="004D21EC" w:rsidRPr="00322AE5" w:rsidRDefault="004D21EC" w:rsidP="001265AA">
            <w:pPr>
              <w:spacing w:line="240" w:lineRule="auto"/>
              <w:contextualSpacing/>
              <w:jc w:val="center"/>
              <w:rPr>
                <w:rFonts w:eastAsia="Palatino Linotype" w:cs="Palatino Linotype"/>
                <w:b/>
                <w:sz w:val="20"/>
                <w:szCs w:val="20"/>
              </w:rPr>
            </w:pPr>
            <w:r w:rsidRPr="00322AE5">
              <w:rPr>
                <w:rFonts w:eastAsia="Palatino Linotype" w:cs="Palatino Linotype"/>
                <w:b/>
                <w:sz w:val="20"/>
                <w:szCs w:val="20"/>
              </w:rPr>
              <w:t>No</w:t>
            </w:r>
          </w:p>
        </w:tc>
      </w:tr>
      <w:tr w:rsidR="004D21EC" w:rsidRPr="009F36FB" w14:paraId="0F9B1DBE" w14:textId="77777777" w:rsidTr="004D21EC">
        <w:tc>
          <w:tcPr>
            <w:tcW w:w="3686" w:type="dxa"/>
          </w:tcPr>
          <w:p w14:paraId="7096591F" w14:textId="6A0F9232" w:rsidR="004D21EC" w:rsidRPr="009F36FB" w:rsidRDefault="004D21EC" w:rsidP="001265AA">
            <w:pPr>
              <w:spacing w:line="240" w:lineRule="auto"/>
              <w:contextualSpacing/>
              <w:rPr>
                <w:rFonts w:eastAsia="Palatino Linotype" w:cs="Palatino Linotype"/>
                <w:sz w:val="20"/>
                <w:szCs w:val="20"/>
              </w:rPr>
            </w:pPr>
            <w:r w:rsidRPr="00CE0514">
              <w:rPr>
                <w:rFonts w:eastAsia="Palatino Linotype" w:cs="Palatino Linotype"/>
                <w:color w:val="000000"/>
              </w:rPr>
              <w:t>Productos o servicios otorgados.</w:t>
            </w:r>
          </w:p>
        </w:tc>
        <w:tc>
          <w:tcPr>
            <w:tcW w:w="3686" w:type="dxa"/>
            <w:vMerge/>
            <w:vAlign w:val="center"/>
          </w:tcPr>
          <w:p w14:paraId="52E5F5F8" w14:textId="763F6171" w:rsidR="004D21EC" w:rsidRDefault="004D21EC" w:rsidP="001265AA">
            <w:pPr>
              <w:spacing w:line="240" w:lineRule="auto"/>
              <w:contextualSpacing/>
              <w:rPr>
                <w:rFonts w:eastAsia="Palatino Linotype" w:cs="Palatino Linotype"/>
                <w:sz w:val="20"/>
                <w:szCs w:val="20"/>
              </w:rPr>
            </w:pPr>
          </w:p>
        </w:tc>
        <w:tc>
          <w:tcPr>
            <w:tcW w:w="1967" w:type="dxa"/>
            <w:vAlign w:val="center"/>
          </w:tcPr>
          <w:p w14:paraId="5B1A00BC" w14:textId="5C0D26F0" w:rsidR="004D21EC" w:rsidRPr="00322AE5" w:rsidRDefault="004D21EC" w:rsidP="001265AA">
            <w:pPr>
              <w:spacing w:line="240" w:lineRule="auto"/>
              <w:contextualSpacing/>
              <w:jc w:val="center"/>
              <w:rPr>
                <w:rFonts w:eastAsia="Palatino Linotype" w:cs="Palatino Linotype"/>
                <w:b/>
                <w:sz w:val="20"/>
                <w:szCs w:val="20"/>
              </w:rPr>
            </w:pPr>
            <w:r>
              <w:rPr>
                <w:rFonts w:eastAsia="Palatino Linotype" w:cs="Palatino Linotype"/>
                <w:b/>
                <w:sz w:val="20"/>
                <w:szCs w:val="20"/>
              </w:rPr>
              <w:t>No</w:t>
            </w:r>
          </w:p>
        </w:tc>
      </w:tr>
    </w:tbl>
    <w:p w14:paraId="571D296D" w14:textId="77777777" w:rsidR="009F36FB" w:rsidRDefault="009F36FB" w:rsidP="006242FE">
      <w:pPr>
        <w:pBdr>
          <w:top w:val="nil"/>
          <w:left w:val="nil"/>
          <w:bottom w:val="nil"/>
          <w:right w:val="nil"/>
          <w:between w:val="nil"/>
        </w:pBdr>
        <w:contextualSpacing/>
        <w:rPr>
          <w:rFonts w:eastAsia="Palatino Linotype" w:cs="Palatino Linotype"/>
          <w:szCs w:val="24"/>
        </w:rPr>
      </w:pPr>
    </w:p>
    <w:p w14:paraId="7A353A51" w14:textId="3E86DD76" w:rsidR="004D21EC" w:rsidRPr="004D21EC" w:rsidRDefault="004D21EC" w:rsidP="004D21EC">
      <w:pPr>
        <w:rPr>
          <w:rFonts w:eastAsia="Times New Roman" w:cs="Times New Roman"/>
          <w:szCs w:val="24"/>
          <w:lang w:val="es-MX"/>
        </w:rPr>
      </w:pPr>
      <w:r w:rsidRPr="004D21EC">
        <w:rPr>
          <w:rFonts w:eastAsia="Times New Roman" w:cs="Times New Roman"/>
          <w:szCs w:val="24"/>
          <w:lang w:val="es-MX"/>
        </w:rPr>
        <w:lastRenderedPageBreak/>
        <w:t xml:space="preserve">Del cuadro anterior, podemos concluir que </w:t>
      </w:r>
      <w:r w:rsidR="00BB5CAC">
        <w:rPr>
          <w:rFonts w:eastAsia="Times New Roman" w:cs="Times New Roman"/>
          <w:szCs w:val="24"/>
          <w:lang w:val="es-MX"/>
        </w:rPr>
        <w:t>únicamente fue</w:t>
      </w:r>
      <w:r w:rsidRPr="004D21EC">
        <w:rPr>
          <w:rFonts w:eastAsia="Times New Roman" w:cs="Times New Roman"/>
          <w:szCs w:val="24"/>
          <w:lang w:val="es-MX"/>
        </w:rPr>
        <w:t xml:space="preserve"> colmado </w:t>
      </w:r>
      <w:r w:rsidR="00BB5CAC">
        <w:rPr>
          <w:rFonts w:eastAsia="Times New Roman" w:cs="Times New Roman"/>
          <w:szCs w:val="24"/>
          <w:lang w:val="es-MX"/>
        </w:rPr>
        <w:t>el</w:t>
      </w:r>
      <w:r w:rsidRPr="004D21EC">
        <w:rPr>
          <w:rFonts w:eastAsia="Times New Roman" w:cs="Times New Roman"/>
          <w:szCs w:val="24"/>
          <w:lang w:val="es-MX"/>
        </w:rPr>
        <w:t xml:space="preserve"> punto 1 de la solicitud de información por parte del </w:t>
      </w:r>
      <w:r w:rsidRPr="004D21EC">
        <w:rPr>
          <w:rFonts w:eastAsia="Times New Roman" w:cs="Times New Roman"/>
          <w:b/>
          <w:szCs w:val="24"/>
          <w:lang w:val="es-MX"/>
        </w:rPr>
        <w:t>Sujeto Obligado</w:t>
      </w:r>
      <w:r w:rsidRPr="004D21EC">
        <w:rPr>
          <w:rFonts w:eastAsia="Times New Roman" w:cs="Times New Roman"/>
          <w:szCs w:val="24"/>
          <w:lang w:val="es-MX"/>
        </w:rPr>
        <w:t xml:space="preserve">, ello al remitir </w:t>
      </w:r>
      <w:r w:rsidR="00BB5CAC">
        <w:rPr>
          <w:rFonts w:eastAsia="Times New Roman" w:cs="Times New Roman"/>
          <w:szCs w:val="24"/>
          <w:lang w:val="es-MX"/>
        </w:rPr>
        <w:t>el</w:t>
      </w:r>
      <w:r w:rsidRPr="004D21EC">
        <w:rPr>
          <w:rFonts w:eastAsia="Times New Roman" w:cs="Times New Roman"/>
          <w:szCs w:val="24"/>
          <w:lang w:val="es-MX"/>
        </w:rPr>
        <w:t xml:space="preserve"> documento en donde consta </w:t>
      </w:r>
      <w:r w:rsidR="00BB5CAC">
        <w:rPr>
          <w:rFonts w:eastAsia="Times New Roman" w:cs="Times New Roman"/>
          <w:szCs w:val="24"/>
          <w:lang w:val="es-MX"/>
        </w:rPr>
        <w:t>el p</w:t>
      </w:r>
      <w:r w:rsidR="00BB5CAC" w:rsidRPr="00BB5CAC">
        <w:rPr>
          <w:rFonts w:eastAsia="Times New Roman" w:cs="Times New Roman"/>
          <w:szCs w:val="24"/>
          <w:lang w:val="es-MX"/>
        </w:rPr>
        <w:t>resupuesto asignado en el ejercicio fiscal 2022</w:t>
      </w:r>
      <w:r w:rsidR="00BB5CAC">
        <w:rPr>
          <w:rFonts w:eastAsia="Times New Roman" w:cs="Times New Roman"/>
          <w:szCs w:val="24"/>
          <w:lang w:val="es-MX"/>
        </w:rPr>
        <w:t>,</w:t>
      </w:r>
      <w:r w:rsidR="00BB5CAC" w:rsidRPr="00BB5CAC">
        <w:t xml:space="preserve"> </w:t>
      </w:r>
      <w:r w:rsidR="00BB5CAC" w:rsidRPr="00BB5CAC">
        <w:rPr>
          <w:rFonts w:eastAsia="Times New Roman" w:cs="Times New Roman"/>
          <w:szCs w:val="24"/>
          <w:lang w:val="es-MX"/>
        </w:rPr>
        <w:t>para la mitigación de la alerta de violencia de género contra las mujeres</w:t>
      </w:r>
      <w:r w:rsidR="00BB5CAC">
        <w:rPr>
          <w:rFonts w:eastAsia="Times New Roman" w:cs="Times New Roman"/>
          <w:szCs w:val="24"/>
          <w:lang w:val="es-MX"/>
        </w:rPr>
        <w:t xml:space="preserve"> relacionado con el acuerdo referido por el particular en la solicitud de acceso a la información.</w:t>
      </w:r>
    </w:p>
    <w:p w14:paraId="670B2332" w14:textId="77777777" w:rsidR="004D21EC" w:rsidRPr="004D21EC" w:rsidRDefault="004D21EC" w:rsidP="004D21EC">
      <w:pPr>
        <w:rPr>
          <w:rFonts w:eastAsia="Times New Roman" w:cs="Times New Roman"/>
          <w:szCs w:val="24"/>
          <w:lang w:val="es-MX"/>
        </w:rPr>
      </w:pPr>
    </w:p>
    <w:p w14:paraId="3152130D" w14:textId="77777777" w:rsidR="004D21EC" w:rsidRPr="004D21EC" w:rsidRDefault="004D21EC" w:rsidP="004D21EC">
      <w:pPr>
        <w:autoSpaceDE w:val="0"/>
        <w:autoSpaceDN w:val="0"/>
        <w:adjustRightInd w:val="0"/>
        <w:rPr>
          <w:rFonts w:eastAsia="Times New Roman" w:cs="Arial"/>
          <w:lang w:val="es-MX" w:eastAsia="en-US"/>
        </w:rPr>
      </w:pPr>
      <w:r w:rsidRPr="004D21EC">
        <w:rPr>
          <w:rFonts w:eastAsia="Times New Roman" w:cs="Arial"/>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4B1A40D" w14:textId="77777777" w:rsidR="004D21EC" w:rsidRPr="004D21EC" w:rsidRDefault="004D21EC" w:rsidP="004D21EC">
      <w:pPr>
        <w:spacing w:line="240" w:lineRule="auto"/>
        <w:jc w:val="left"/>
        <w:rPr>
          <w:rFonts w:ascii="Times New Roman" w:eastAsia="Times New Roman" w:hAnsi="Times New Roman" w:cs="Times New Roman"/>
          <w:szCs w:val="24"/>
          <w:lang w:val="es-MX" w:eastAsia="es-ES"/>
        </w:rPr>
      </w:pPr>
    </w:p>
    <w:p w14:paraId="1DEF67C2" w14:textId="77777777" w:rsidR="004D21EC" w:rsidRPr="004D21EC" w:rsidRDefault="004D21EC" w:rsidP="004D21EC">
      <w:pPr>
        <w:spacing w:line="240" w:lineRule="auto"/>
        <w:ind w:left="851" w:right="850"/>
        <w:rPr>
          <w:rFonts w:eastAsia="Times New Roman" w:cs="Times New Roman"/>
          <w:i/>
          <w:sz w:val="22"/>
          <w:lang w:val="es-MX" w:eastAsia="es-ES"/>
        </w:rPr>
      </w:pPr>
      <w:r w:rsidRPr="004D21EC">
        <w:rPr>
          <w:rFonts w:eastAsia="Times New Roman" w:cs="Times New Roman"/>
          <w:sz w:val="22"/>
          <w:lang w:val="es-MX" w:eastAsia="es-ES"/>
        </w:rPr>
        <w:t>“</w:t>
      </w:r>
      <w:r w:rsidRPr="004D21EC">
        <w:rPr>
          <w:rFonts w:eastAsia="Times New Roman" w:cs="Times New Roman"/>
          <w:b/>
          <w:i/>
          <w:sz w:val="22"/>
          <w:lang w:val="es-MX" w:eastAsia="es-ES"/>
        </w:rPr>
        <w:t>Artículo 12.</w:t>
      </w:r>
      <w:r w:rsidRPr="004D21EC">
        <w:rPr>
          <w:rFonts w:eastAsia="Times New Roman" w:cs="Times New Roman"/>
          <w:i/>
          <w:sz w:val="22"/>
          <w:lang w:val="es-MX" w:eastAsia="es-ES"/>
        </w:rPr>
        <w:t xml:space="preserve"> Quienes generen, recopilen, administren, manejen, procesen, archiven o conserven información pública serán responsables de la misma en los términos de las disposiciones jurídicas aplicables. </w:t>
      </w:r>
    </w:p>
    <w:p w14:paraId="046C3993" w14:textId="77777777" w:rsidR="004D21EC" w:rsidRPr="004D21EC" w:rsidRDefault="004D21EC" w:rsidP="004D21EC">
      <w:pPr>
        <w:spacing w:line="240" w:lineRule="auto"/>
        <w:ind w:left="851" w:right="850"/>
        <w:rPr>
          <w:rFonts w:eastAsia="Times New Roman" w:cs="Times New Roman"/>
          <w:i/>
          <w:sz w:val="22"/>
          <w:lang w:val="es-MX" w:eastAsia="es-ES"/>
        </w:rPr>
      </w:pPr>
    </w:p>
    <w:p w14:paraId="46E96371" w14:textId="77777777" w:rsidR="004D21EC" w:rsidRPr="004D21EC" w:rsidRDefault="004D21EC" w:rsidP="004D21EC">
      <w:pPr>
        <w:spacing w:line="240" w:lineRule="auto"/>
        <w:ind w:left="851" w:right="850"/>
        <w:rPr>
          <w:rFonts w:eastAsia="Times New Roman" w:cs="Times New Roman"/>
          <w:sz w:val="22"/>
          <w:lang w:val="es-MX" w:eastAsia="es-ES"/>
        </w:rPr>
      </w:pPr>
      <w:r w:rsidRPr="004D21EC">
        <w:rPr>
          <w:rFonts w:eastAsia="Times New Roman" w:cs="Times New Roman"/>
          <w:b/>
          <w:i/>
          <w:sz w:val="22"/>
          <w:u w:val="single"/>
          <w:lang w:val="es-MX" w:eastAsia="es-ES"/>
        </w:rPr>
        <w:t>Los sujetos obligados sólo proporcionarán la información pública que se les requiera y que obre en sus archivos</w:t>
      </w:r>
      <w:r w:rsidRPr="004D21EC">
        <w:rPr>
          <w:rFonts w:eastAsia="Times New Roman" w:cs="Times New Roman"/>
          <w:i/>
          <w:sz w:val="22"/>
          <w:lang w:val="es-MX" w:eastAsia="es-E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298B1E2" w14:textId="77777777" w:rsidR="004D21EC" w:rsidRPr="004D21EC" w:rsidRDefault="004D21EC" w:rsidP="004D21EC">
      <w:pPr>
        <w:autoSpaceDE w:val="0"/>
        <w:autoSpaceDN w:val="0"/>
        <w:adjustRightInd w:val="0"/>
        <w:rPr>
          <w:rFonts w:eastAsia="Times New Roman" w:cs="Arial"/>
          <w:lang w:val="es-MX" w:eastAsia="en-US"/>
        </w:rPr>
      </w:pPr>
    </w:p>
    <w:p w14:paraId="36ECD7AF" w14:textId="77777777" w:rsidR="004D21EC" w:rsidRPr="004D21EC" w:rsidRDefault="004D21EC" w:rsidP="004D21EC">
      <w:pPr>
        <w:spacing w:after="160"/>
        <w:rPr>
          <w:rFonts w:eastAsia="Times New Roman" w:cs="Arial"/>
          <w:szCs w:val="24"/>
          <w:lang w:eastAsia="en-US"/>
        </w:rPr>
      </w:pPr>
      <w:r w:rsidRPr="004D21EC">
        <w:rPr>
          <w:rFonts w:eastAsia="Times New Roman" w:cs="Arial"/>
          <w:szCs w:val="24"/>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371B3157" w14:textId="77777777" w:rsidR="004D21EC" w:rsidRPr="004D21EC" w:rsidRDefault="004D21EC" w:rsidP="004D21EC">
      <w:pPr>
        <w:rPr>
          <w:rFonts w:eastAsia="Times New Roman" w:cs="Arial"/>
          <w:szCs w:val="24"/>
          <w:lang w:eastAsia="en-US"/>
        </w:rPr>
      </w:pPr>
    </w:p>
    <w:p w14:paraId="29409C24" w14:textId="77777777" w:rsidR="004D21EC" w:rsidRPr="004D21EC" w:rsidRDefault="004D21EC" w:rsidP="004D21EC">
      <w:pPr>
        <w:spacing w:after="160"/>
        <w:rPr>
          <w:rFonts w:eastAsia="Times New Roman" w:cs="Arial"/>
          <w:szCs w:val="24"/>
          <w:lang w:eastAsia="en-US"/>
        </w:rPr>
      </w:pPr>
      <w:r w:rsidRPr="004D21EC">
        <w:rPr>
          <w:rFonts w:eastAsia="Times New Roman" w:cs="Arial"/>
          <w:color w:val="000000"/>
          <w:lang w:eastAsia="en-US"/>
        </w:rPr>
        <w:lastRenderedPageBreak/>
        <w:t xml:space="preserve">Sirve de sustento a lo anterior, el criterio 31/10 emitido por el entonces Instituto Federal de Acceso a la Información y Protección de Datos, ahora Instituto Nacional de Acceso a la Información y Protección de Datos, que enuncia lo siguiente: </w:t>
      </w:r>
    </w:p>
    <w:p w14:paraId="2EB2DA22" w14:textId="77777777" w:rsidR="004D21EC" w:rsidRPr="004D21EC" w:rsidRDefault="004D21EC" w:rsidP="004D21EC">
      <w:pPr>
        <w:spacing w:after="160" w:line="259" w:lineRule="auto"/>
        <w:ind w:left="851" w:right="1134"/>
        <w:rPr>
          <w:rFonts w:eastAsia="Times New Roman" w:cs="Arial"/>
          <w:i/>
          <w:sz w:val="22"/>
          <w:lang w:val="es-MX" w:eastAsia="en-US"/>
        </w:rPr>
      </w:pPr>
      <w:r w:rsidRPr="004D21EC">
        <w:rPr>
          <w:rFonts w:eastAsia="Times New Roman" w:cs="Arial"/>
          <w:b/>
          <w:i/>
          <w:sz w:val="22"/>
          <w:lang w:val="es-MX" w:eastAsia="en-US"/>
        </w:rPr>
        <w:t>El Instituto Federal de Acceso a la Información y Protección de Datos no cuenta con facultades para pronunciarse respecto de la veracidad de los documentos proporcionados por los sujetos obligados</w:t>
      </w:r>
      <w:r w:rsidRPr="004D21EC">
        <w:rPr>
          <w:rFonts w:eastAsia="Times New Roman" w:cs="Arial"/>
          <w:i/>
          <w:sz w:val="22"/>
          <w:lang w:val="es-MX" w:eastAsia="en-U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4D21EC">
        <w:rPr>
          <w:rFonts w:eastAsia="Times New Roman" w:cs="Arial"/>
          <w:i/>
          <w:sz w:val="22"/>
          <w:lang w:val="es-MX" w:eastAsia="en-US"/>
        </w:rPr>
        <w:t>Marván</w:t>
      </w:r>
      <w:proofErr w:type="spellEnd"/>
      <w:r w:rsidRPr="004D21EC">
        <w:rPr>
          <w:rFonts w:eastAsia="Times New Roman" w:cs="Arial"/>
          <w:i/>
          <w:sz w:val="22"/>
          <w:lang w:val="es-MX" w:eastAsia="en-US"/>
        </w:rPr>
        <w:t xml:space="preserve"> Laborde 2395/09 Secretaría de Economía - María </w:t>
      </w:r>
      <w:proofErr w:type="spellStart"/>
      <w:r w:rsidRPr="004D21EC">
        <w:rPr>
          <w:rFonts w:eastAsia="Times New Roman" w:cs="Arial"/>
          <w:i/>
          <w:sz w:val="22"/>
          <w:lang w:val="es-MX" w:eastAsia="en-US"/>
        </w:rPr>
        <w:t>Marván</w:t>
      </w:r>
      <w:proofErr w:type="spellEnd"/>
      <w:r w:rsidRPr="004D21EC">
        <w:rPr>
          <w:rFonts w:eastAsia="Times New Roman" w:cs="Arial"/>
          <w:i/>
          <w:sz w:val="22"/>
          <w:lang w:val="es-MX" w:eastAsia="en-US"/>
        </w:rPr>
        <w:t xml:space="preserve"> Laborde 0837/10 Administración Portuaria Integral de Veracruz, S.A. de C.V. – María </w:t>
      </w:r>
      <w:proofErr w:type="spellStart"/>
      <w:r w:rsidRPr="004D21EC">
        <w:rPr>
          <w:rFonts w:eastAsia="Times New Roman" w:cs="Arial"/>
          <w:i/>
          <w:sz w:val="22"/>
          <w:lang w:val="es-MX" w:eastAsia="en-US"/>
        </w:rPr>
        <w:t>Marván</w:t>
      </w:r>
      <w:proofErr w:type="spellEnd"/>
      <w:r w:rsidRPr="004D21EC">
        <w:rPr>
          <w:rFonts w:eastAsia="Times New Roman" w:cs="Arial"/>
          <w:i/>
          <w:sz w:val="22"/>
          <w:lang w:val="es-MX" w:eastAsia="en-US"/>
        </w:rPr>
        <w:t xml:space="preserve"> Laborde </w:t>
      </w:r>
    </w:p>
    <w:p w14:paraId="1E672804" w14:textId="77777777" w:rsidR="004D21EC" w:rsidRPr="004D21EC" w:rsidRDefault="004D21EC" w:rsidP="004D21EC">
      <w:pPr>
        <w:spacing w:after="160" w:line="259" w:lineRule="auto"/>
        <w:ind w:left="851" w:right="1134"/>
        <w:rPr>
          <w:rFonts w:eastAsia="Times New Roman" w:cs="Arial"/>
          <w:i/>
          <w:sz w:val="22"/>
          <w:lang w:val="es-MX" w:eastAsia="en-US"/>
        </w:rPr>
      </w:pPr>
      <w:r w:rsidRPr="004D21EC">
        <w:rPr>
          <w:rFonts w:eastAsia="Times New Roman" w:cs="Arial"/>
          <w:i/>
          <w:sz w:val="22"/>
          <w:lang w:val="es-MX" w:eastAsia="en-US"/>
        </w:rPr>
        <w:t>Criterio 31/10</w:t>
      </w:r>
    </w:p>
    <w:p w14:paraId="7676D6E0" w14:textId="77777777" w:rsidR="004D21EC" w:rsidRPr="004D21EC" w:rsidRDefault="004D21EC" w:rsidP="004D21EC">
      <w:pPr>
        <w:ind w:right="51"/>
        <w:rPr>
          <w:rFonts w:eastAsia="Times New Roman" w:cs="Arial"/>
          <w:szCs w:val="24"/>
          <w:lang w:val="es-MX" w:eastAsia="en-US"/>
        </w:rPr>
      </w:pPr>
    </w:p>
    <w:p w14:paraId="481E3CC5" w14:textId="1F476957" w:rsidR="004D21EC" w:rsidRPr="004D21EC" w:rsidRDefault="004D21EC" w:rsidP="004D21EC">
      <w:pPr>
        <w:ind w:right="51"/>
        <w:rPr>
          <w:rFonts w:eastAsia="Times New Roman" w:cs="Arial"/>
          <w:szCs w:val="24"/>
          <w:lang w:val="es-MX" w:eastAsia="en-US"/>
        </w:rPr>
      </w:pPr>
      <w:r w:rsidRPr="004D21EC">
        <w:rPr>
          <w:rFonts w:eastAsia="Times New Roman" w:cs="Arial"/>
          <w:szCs w:val="24"/>
          <w:lang w:val="es-MX" w:eastAsia="en-US"/>
        </w:rPr>
        <w:t>En ese sentido, se tienen por colmada la pretensión del hoy Recurrente respecto de</w:t>
      </w:r>
      <w:r w:rsidR="00384E05">
        <w:rPr>
          <w:rFonts w:eastAsia="Times New Roman" w:cs="Arial"/>
          <w:szCs w:val="24"/>
          <w:lang w:val="es-MX" w:eastAsia="en-US"/>
        </w:rPr>
        <w:t>l</w:t>
      </w:r>
      <w:r w:rsidRPr="004D21EC">
        <w:rPr>
          <w:rFonts w:eastAsia="Times New Roman" w:cs="Arial"/>
          <w:szCs w:val="24"/>
          <w:lang w:val="es-MX" w:eastAsia="en-US"/>
        </w:rPr>
        <w:t xml:space="preserve"> punto 1</w:t>
      </w:r>
      <w:r w:rsidR="00384E05">
        <w:rPr>
          <w:rFonts w:eastAsia="Times New Roman" w:cs="Arial"/>
          <w:szCs w:val="24"/>
          <w:lang w:val="es-MX" w:eastAsia="en-US"/>
        </w:rPr>
        <w:t xml:space="preserve"> </w:t>
      </w:r>
      <w:r w:rsidRPr="004D21EC">
        <w:rPr>
          <w:rFonts w:eastAsia="Times New Roman" w:cs="Arial"/>
          <w:szCs w:val="24"/>
          <w:lang w:val="es-MX" w:eastAsia="en-US"/>
        </w:rPr>
        <w:t>del presente apartado, una vez que el Sujeto Obligado ha remitido los documentos en donde consta la información requerida por el Recurrente.</w:t>
      </w:r>
    </w:p>
    <w:p w14:paraId="126BD786" w14:textId="77777777" w:rsidR="004D21EC" w:rsidRPr="004D21EC" w:rsidRDefault="004D21EC" w:rsidP="004D21EC">
      <w:pPr>
        <w:rPr>
          <w:rFonts w:eastAsia="Times New Roman" w:cs="Times New Roman"/>
          <w:szCs w:val="24"/>
          <w:lang w:val="es-MX"/>
        </w:rPr>
      </w:pPr>
    </w:p>
    <w:p w14:paraId="6348156A" w14:textId="77777777" w:rsidR="00254146" w:rsidRDefault="00254146" w:rsidP="004D21EC">
      <w:pPr>
        <w:rPr>
          <w:rFonts w:eastAsia="Times New Roman" w:cs="Arial"/>
          <w:szCs w:val="24"/>
          <w:lang w:val="es-MX" w:eastAsia="en-US"/>
        </w:rPr>
      </w:pPr>
    </w:p>
    <w:p w14:paraId="4E37E627" w14:textId="42E7D69C" w:rsidR="004D21EC" w:rsidRPr="004D21EC" w:rsidRDefault="004D21EC" w:rsidP="00254146">
      <w:pPr>
        <w:rPr>
          <w:rFonts w:eastAsia="Times New Roman" w:cs="Arial"/>
          <w:szCs w:val="24"/>
          <w:lang w:val="es-MX" w:eastAsia="en-US"/>
        </w:rPr>
      </w:pPr>
      <w:r w:rsidRPr="004D21EC">
        <w:rPr>
          <w:rFonts w:eastAsia="Times New Roman" w:cs="Arial"/>
          <w:szCs w:val="24"/>
          <w:lang w:val="es-MX" w:eastAsia="en-US"/>
        </w:rPr>
        <w:lastRenderedPageBreak/>
        <w:t>Ahora bien, respecto a</w:t>
      </w:r>
      <w:r w:rsidR="00254146">
        <w:rPr>
          <w:rFonts w:eastAsia="Times New Roman" w:cs="Arial"/>
          <w:szCs w:val="24"/>
          <w:lang w:val="es-MX" w:eastAsia="en-US"/>
        </w:rPr>
        <w:t xml:space="preserve"> los</w:t>
      </w:r>
      <w:r w:rsidRPr="004D21EC">
        <w:rPr>
          <w:rFonts w:eastAsia="Times New Roman" w:cs="Arial"/>
          <w:szCs w:val="24"/>
          <w:lang w:val="es-MX" w:eastAsia="en-US"/>
        </w:rPr>
        <w:t xml:space="preserve"> requerimiento</w:t>
      </w:r>
      <w:r w:rsidR="00254146">
        <w:rPr>
          <w:rFonts w:eastAsia="Times New Roman" w:cs="Arial"/>
          <w:szCs w:val="24"/>
          <w:lang w:val="es-MX" w:eastAsia="en-US"/>
        </w:rPr>
        <w:t>s</w:t>
      </w:r>
      <w:r w:rsidRPr="004D21EC">
        <w:rPr>
          <w:rFonts w:eastAsia="Times New Roman" w:cs="Arial"/>
          <w:szCs w:val="24"/>
          <w:lang w:val="es-MX" w:eastAsia="en-US"/>
        </w:rPr>
        <w:t xml:space="preserve"> formulado</w:t>
      </w:r>
      <w:r w:rsidR="00254146">
        <w:rPr>
          <w:rFonts w:eastAsia="Times New Roman" w:cs="Arial"/>
          <w:szCs w:val="24"/>
          <w:lang w:val="es-MX" w:eastAsia="en-US"/>
        </w:rPr>
        <w:t>s</w:t>
      </w:r>
      <w:r w:rsidRPr="004D21EC">
        <w:rPr>
          <w:rFonts w:eastAsia="Times New Roman" w:cs="Arial"/>
          <w:szCs w:val="24"/>
          <w:lang w:val="es-MX" w:eastAsia="en-US"/>
        </w:rPr>
        <w:t xml:space="preserve"> </w:t>
      </w:r>
      <w:r w:rsidR="00254146">
        <w:rPr>
          <w:rFonts w:eastAsia="Times New Roman" w:cs="Arial"/>
          <w:szCs w:val="24"/>
          <w:lang w:val="es-MX" w:eastAsia="en-US"/>
        </w:rPr>
        <w:t xml:space="preserve">por el particular </w:t>
      </w:r>
      <w:r w:rsidRPr="004D21EC">
        <w:rPr>
          <w:rFonts w:eastAsia="Times New Roman" w:cs="Arial"/>
          <w:szCs w:val="24"/>
          <w:lang w:val="es-MX" w:eastAsia="en-US"/>
        </w:rPr>
        <w:t xml:space="preserve">en </w:t>
      </w:r>
      <w:r w:rsidR="00254146">
        <w:rPr>
          <w:rFonts w:eastAsia="Times New Roman" w:cs="Arial"/>
          <w:szCs w:val="24"/>
          <w:lang w:val="es-MX" w:eastAsia="en-US"/>
        </w:rPr>
        <w:t>los</w:t>
      </w:r>
      <w:r w:rsidRPr="004D21EC">
        <w:rPr>
          <w:rFonts w:eastAsia="Times New Roman" w:cs="Arial"/>
          <w:szCs w:val="24"/>
          <w:lang w:val="es-MX" w:eastAsia="en-US"/>
        </w:rPr>
        <w:t xml:space="preserve"> punto</w:t>
      </w:r>
      <w:r w:rsidR="00254146">
        <w:rPr>
          <w:rFonts w:eastAsia="Times New Roman" w:cs="Arial"/>
          <w:szCs w:val="24"/>
          <w:lang w:val="es-MX" w:eastAsia="en-US"/>
        </w:rPr>
        <w:t>s</w:t>
      </w:r>
      <w:r w:rsidRPr="004D21EC">
        <w:rPr>
          <w:rFonts w:eastAsia="Times New Roman" w:cs="Arial"/>
          <w:szCs w:val="24"/>
          <w:lang w:val="es-MX" w:eastAsia="en-US"/>
        </w:rPr>
        <w:t xml:space="preserve"> </w:t>
      </w:r>
      <w:r w:rsidR="00254146">
        <w:rPr>
          <w:rFonts w:eastAsia="Times New Roman" w:cs="Arial"/>
          <w:szCs w:val="24"/>
          <w:lang w:val="es-MX" w:eastAsia="en-US"/>
        </w:rPr>
        <w:t xml:space="preserve">2, 3 y </w:t>
      </w:r>
      <w:r w:rsidRPr="004D21EC">
        <w:rPr>
          <w:rFonts w:eastAsia="Times New Roman" w:cs="Arial"/>
          <w:szCs w:val="24"/>
          <w:lang w:val="es-MX" w:eastAsia="en-US"/>
        </w:rPr>
        <w:t xml:space="preserve">4 de la solicitud de información, correspondientes a la entrega de los documentos en donde conste </w:t>
      </w:r>
      <w:r w:rsidR="00254146">
        <w:rPr>
          <w:rFonts w:eastAsia="Times New Roman" w:cs="Arial"/>
          <w:szCs w:val="24"/>
          <w:lang w:val="es-MX" w:eastAsia="en-US"/>
        </w:rPr>
        <w:t>el p</w:t>
      </w:r>
      <w:r w:rsidR="00254146" w:rsidRPr="00254146">
        <w:rPr>
          <w:rFonts w:eastAsia="Times New Roman" w:cs="Arial"/>
          <w:szCs w:val="24"/>
          <w:lang w:val="es-MX" w:eastAsia="en-US"/>
        </w:rPr>
        <w:t>resupuesto ejercido</w:t>
      </w:r>
      <w:r w:rsidR="00254146">
        <w:rPr>
          <w:rFonts w:eastAsia="Times New Roman" w:cs="Arial"/>
          <w:szCs w:val="24"/>
          <w:lang w:val="es-MX" w:eastAsia="en-US"/>
        </w:rPr>
        <w:t>, i</w:t>
      </w:r>
      <w:r w:rsidR="00254146" w:rsidRPr="00254146">
        <w:rPr>
          <w:rFonts w:eastAsia="Times New Roman" w:cs="Arial"/>
          <w:szCs w:val="24"/>
          <w:lang w:val="es-MX" w:eastAsia="en-US"/>
        </w:rPr>
        <w:t>nforme de resultados obtenidos</w:t>
      </w:r>
      <w:r w:rsidR="00254146">
        <w:rPr>
          <w:rFonts w:eastAsia="Times New Roman" w:cs="Arial"/>
          <w:szCs w:val="24"/>
          <w:lang w:val="es-MX" w:eastAsia="en-US"/>
        </w:rPr>
        <w:t xml:space="preserve"> y p</w:t>
      </w:r>
      <w:r w:rsidR="00254146" w:rsidRPr="00254146">
        <w:rPr>
          <w:rFonts w:eastAsia="Times New Roman" w:cs="Arial"/>
          <w:szCs w:val="24"/>
          <w:lang w:val="es-MX" w:eastAsia="en-US"/>
        </w:rPr>
        <w:t>roductos o servicios otorgados</w:t>
      </w:r>
      <w:r w:rsidR="00254146">
        <w:rPr>
          <w:rFonts w:eastAsia="Times New Roman" w:cs="Arial"/>
          <w:szCs w:val="24"/>
          <w:lang w:val="es-MX" w:eastAsia="en-US"/>
        </w:rPr>
        <w:t xml:space="preserve">, </w:t>
      </w:r>
      <w:r w:rsidR="00254146" w:rsidRPr="00254146">
        <w:rPr>
          <w:rFonts w:eastAsia="Times New Roman" w:cs="Arial"/>
          <w:szCs w:val="24"/>
          <w:lang w:val="es-MX" w:eastAsia="en-US"/>
        </w:rPr>
        <w:t>en relación al acuerdo de la Secretaría de la Mujer por el que se establecen los mecanismos para la operación de recursos para la mitigación de la alerta de violencia de género contra las mujeres por feminicidio</w:t>
      </w:r>
      <w:r w:rsidRPr="004D21EC">
        <w:rPr>
          <w:rFonts w:eastAsia="Times New Roman" w:cs="Arial"/>
          <w:szCs w:val="24"/>
          <w:lang w:val="es-MX" w:eastAsia="en-US"/>
        </w:rPr>
        <w:t>;</w:t>
      </w:r>
      <w:r w:rsidRPr="004D21EC">
        <w:rPr>
          <w:rFonts w:ascii="Times New Roman" w:eastAsia="Times New Roman" w:hAnsi="Times New Roman" w:cs="Times New Roman"/>
          <w:szCs w:val="24"/>
          <w:lang w:val="es-ES" w:eastAsia="es-ES"/>
        </w:rPr>
        <w:t xml:space="preserve"> </w:t>
      </w:r>
      <w:r w:rsidR="00254146">
        <w:rPr>
          <w:rFonts w:eastAsia="Times New Roman" w:cs="Arial"/>
          <w:szCs w:val="24"/>
          <w:lang w:val="es-MX" w:eastAsia="en-US"/>
        </w:rPr>
        <w:t>no se tienen por atendidos</w:t>
      </w:r>
      <w:r w:rsidRPr="004D21EC">
        <w:rPr>
          <w:rFonts w:eastAsia="Times New Roman" w:cs="Arial"/>
          <w:szCs w:val="24"/>
          <w:lang w:val="es-MX" w:eastAsia="en-US"/>
        </w:rPr>
        <w:t>, ello en virtud de que</w:t>
      </w:r>
      <w:r w:rsidR="00254146">
        <w:rPr>
          <w:rFonts w:eastAsia="Times New Roman" w:cs="Arial"/>
          <w:szCs w:val="24"/>
          <w:lang w:val="es-MX" w:eastAsia="en-US"/>
        </w:rPr>
        <w:t xml:space="preserve"> el Sujeto Obligado</w:t>
      </w:r>
      <w:r w:rsidRPr="004D21EC">
        <w:rPr>
          <w:rFonts w:eastAsia="Times New Roman" w:cs="Arial"/>
          <w:szCs w:val="24"/>
          <w:lang w:val="es-MX" w:eastAsia="en-US"/>
        </w:rPr>
        <w:t xml:space="preserve"> únicamente </w:t>
      </w:r>
      <w:r w:rsidR="00254146">
        <w:rPr>
          <w:rFonts w:eastAsia="Times New Roman" w:cs="Arial"/>
          <w:szCs w:val="24"/>
          <w:lang w:val="es-MX" w:eastAsia="en-US"/>
        </w:rPr>
        <w:t xml:space="preserve">remitió </w:t>
      </w:r>
      <w:r w:rsidR="00254146" w:rsidRPr="00254146">
        <w:rPr>
          <w:rFonts w:eastAsia="Times New Roman" w:cs="Arial"/>
          <w:szCs w:val="24"/>
          <w:lang w:val="es-MX" w:eastAsia="en-US"/>
        </w:rPr>
        <w:t xml:space="preserve">diversos formatos </w:t>
      </w:r>
      <w:r w:rsidR="00254146">
        <w:rPr>
          <w:rFonts w:eastAsia="Times New Roman" w:cs="Arial"/>
          <w:szCs w:val="24"/>
          <w:lang w:val="es-MX" w:eastAsia="en-US"/>
        </w:rPr>
        <w:t>relacionados con la c</w:t>
      </w:r>
      <w:r w:rsidR="00254146" w:rsidRPr="00254146">
        <w:rPr>
          <w:rFonts w:eastAsia="Times New Roman" w:cs="Arial"/>
          <w:szCs w:val="24"/>
          <w:lang w:val="es-MX" w:eastAsia="en-US"/>
        </w:rPr>
        <w:t>alendarización de Metas de Actividad por Proyecto en relación al programa presupuestario de Inclusión Económica para la Igualdad de Género</w:t>
      </w:r>
      <w:r w:rsidR="00254146">
        <w:rPr>
          <w:rFonts w:eastAsia="Times New Roman" w:cs="Arial"/>
          <w:szCs w:val="24"/>
          <w:lang w:val="es-MX" w:eastAsia="en-US"/>
        </w:rPr>
        <w:t>, en los cuales, no se advierte la información en comento, y por lo tanto, no se relaciona con la solicitud de acce4so a la información.</w:t>
      </w:r>
    </w:p>
    <w:p w14:paraId="38C21E80" w14:textId="77777777" w:rsidR="004D21EC" w:rsidRDefault="004D21EC" w:rsidP="00F937E2">
      <w:pPr>
        <w:contextualSpacing/>
        <w:rPr>
          <w:rFonts w:eastAsia="Palatino Linotype" w:cs="Palatino Linotype"/>
          <w:szCs w:val="24"/>
          <w:highlight w:val="yellow"/>
        </w:rPr>
      </w:pPr>
    </w:p>
    <w:p w14:paraId="38F28517" w14:textId="0B939B86" w:rsidR="00F937E2" w:rsidRDefault="00DF3C43" w:rsidP="00F937E2">
      <w:pPr>
        <w:contextualSpacing/>
        <w:rPr>
          <w:rFonts w:eastAsia="Palatino Linotype" w:cs="Palatino Linotype"/>
          <w:szCs w:val="24"/>
        </w:rPr>
      </w:pPr>
      <w:r w:rsidRPr="00254146">
        <w:rPr>
          <w:rFonts w:eastAsia="Palatino Linotype" w:cs="Palatino Linotype"/>
          <w:szCs w:val="24"/>
        </w:rPr>
        <w:t xml:space="preserve">En ese sentido, tomando en cuenta la respuesta proporcionada </w:t>
      </w:r>
      <w:r w:rsidR="00F937E2" w:rsidRPr="00254146">
        <w:rPr>
          <w:rFonts w:eastAsia="Palatino Linotype" w:cs="Palatino Linotype"/>
          <w:szCs w:val="24"/>
        </w:rPr>
        <w:t xml:space="preserve">por </w:t>
      </w:r>
      <w:r w:rsidRPr="00254146">
        <w:rPr>
          <w:rFonts w:eastAsia="Palatino Linotype" w:cs="Palatino Linotype"/>
          <w:szCs w:val="24"/>
        </w:rPr>
        <w:t>el Sujeto Obligado</w:t>
      </w:r>
      <w:r w:rsidR="00F937E2" w:rsidRPr="00254146">
        <w:rPr>
          <w:rFonts w:eastAsia="Palatino Linotype" w:cs="Palatino Linotype"/>
          <w:szCs w:val="24"/>
        </w:rPr>
        <w:t>, es</w:t>
      </w:r>
      <w:r w:rsidR="00F937E2">
        <w:rPr>
          <w:rFonts w:eastAsia="Palatino Linotype" w:cs="Palatino Linotype"/>
          <w:szCs w:val="24"/>
        </w:rPr>
        <w:t xml:space="preserve"> pertinente traer a colación lo dispuesto en los artículos 4 y 12 de la Ley de Transparencia estatal, en lo que se dispone lo siguiente:</w:t>
      </w:r>
    </w:p>
    <w:p w14:paraId="4AE8A18A" w14:textId="77777777" w:rsidR="00F937E2" w:rsidRDefault="00F937E2" w:rsidP="00F937E2">
      <w:pPr>
        <w:contextualSpacing/>
        <w:rPr>
          <w:rFonts w:eastAsia="Palatino Linotype" w:cs="Palatino Linotype"/>
          <w:szCs w:val="24"/>
        </w:rPr>
      </w:pPr>
    </w:p>
    <w:p w14:paraId="598A1155" w14:textId="77777777" w:rsidR="00F937E2" w:rsidRPr="00AF5B98" w:rsidRDefault="00F937E2" w:rsidP="00F937E2">
      <w:pPr>
        <w:pStyle w:val="Fundamentos"/>
        <w:rPr>
          <w:lang w:val="es-MX"/>
        </w:rPr>
      </w:pPr>
      <w:r w:rsidRPr="00AF5B98">
        <w:rPr>
          <w:b/>
          <w:lang w:val="es-MX"/>
        </w:rPr>
        <w:t xml:space="preserve">Artículo 4. </w:t>
      </w:r>
      <w:r w:rsidRPr="00AF5B98">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20C7E0CB" w14:textId="77777777" w:rsidR="00F937E2" w:rsidRPr="00AF5B98" w:rsidRDefault="00F937E2" w:rsidP="00F937E2">
      <w:pPr>
        <w:pStyle w:val="Fundamentos"/>
        <w:rPr>
          <w:lang w:val="es-MX"/>
        </w:rPr>
      </w:pPr>
    </w:p>
    <w:p w14:paraId="2F078957" w14:textId="77777777" w:rsidR="00F937E2" w:rsidRPr="00AF5B98" w:rsidRDefault="00F937E2" w:rsidP="00F937E2">
      <w:pPr>
        <w:pStyle w:val="Fundamentos"/>
        <w:rPr>
          <w:lang w:val="es-MX"/>
        </w:rPr>
      </w:pPr>
      <w:r w:rsidRPr="00AF5B98">
        <w:rPr>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F2C8DEB" w14:textId="77777777" w:rsidR="00F937E2" w:rsidRPr="00AF5B98" w:rsidRDefault="00F937E2" w:rsidP="00F937E2">
      <w:pPr>
        <w:pStyle w:val="Fundamentos"/>
        <w:rPr>
          <w:lang w:val="es-MX"/>
        </w:rPr>
      </w:pPr>
    </w:p>
    <w:p w14:paraId="7B4D5CDD" w14:textId="77777777" w:rsidR="00F937E2" w:rsidRPr="00AF5B98" w:rsidRDefault="00F937E2" w:rsidP="00F937E2">
      <w:pPr>
        <w:pStyle w:val="Fundamentos"/>
        <w:rPr>
          <w:lang w:val="es-MX"/>
        </w:rPr>
      </w:pPr>
      <w:r w:rsidRPr="00AF5B98">
        <w:rPr>
          <w:lang w:val="es-MX"/>
        </w:rPr>
        <w:lastRenderedPageBreak/>
        <w:t>Los sujetos obligados deben poner en práctica, políticas y programas de acceso a la información que se apeguen a criterios de publicidad, veracidad, oportunidad, precisión y suficiencia en beneficio de los solicitantes.</w:t>
      </w:r>
    </w:p>
    <w:p w14:paraId="61F08B16" w14:textId="77777777" w:rsidR="00F937E2" w:rsidRDefault="00F937E2" w:rsidP="00F937E2">
      <w:pPr>
        <w:pStyle w:val="Fundamentos"/>
      </w:pPr>
    </w:p>
    <w:p w14:paraId="6414AE1F" w14:textId="77777777" w:rsidR="00F937E2" w:rsidRPr="00AF5B98" w:rsidRDefault="00F937E2" w:rsidP="00F937E2">
      <w:pPr>
        <w:pStyle w:val="Fundamentos"/>
        <w:rPr>
          <w:lang w:val="es-MX"/>
        </w:rPr>
      </w:pPr>
      <w:r w:rsidRPr="00AF5B98">
        <w:rPr>
          <w:b/>
          <w:lang w:val="es-MX"/>
        </w:rPr>
        <w:t xml:space="preserve">Artículo 12. </w:t>
      </w:r>
      <w:r w:rsidRPr="00AF5B98">
        <w:rPr>
          <w:lang w:val="es-MX"/>
        </w:rPr>
        <w:t>Quienes generen, recopilen, administren, manejen, procesen, archiven o conserven información pública serán responsables de la misma en los términos de las disposiciones jurídicas aplicables.</w:t>
      </w:r>
    </w:p>
    <w:p w14:paraId="0868C105" w14:textId="77777777" w:rsidR="00F937E2" w:rsidRPr="00AF5B98" w:rsidRDefault="00F937E2" w:rsidP="00F937E2">
      <w:pPr>
        <w:pStyle w:val="Fundamentos"/>
        <w:rPr>
          <w:lang w:val="es-MX"/>
        </w:rPr>
      </w:pPr>
    </w:p>
    <w:p w14:paraId="5BE0B4E7" w14:textId="5D237D06" w:rsidR="00F937E2" w:rsidRPr="00254146" w:rsidRDefault="00F937E2" w:rsidP="00254146">
      <w:pPr>
        <w:pStyle w:val="Fundamentos"/>
        <w:rPr>
          <w:lang w:val="es-MX"/>
        </w:rPr>
      </w:pPr>
      <w:r w:rsidRPr="00AF5B98">
        <w:rPr>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688E559" w14:textId="77777777" w:rsidR="00F937E2" w:rsidRDefault="00F937E2" w:rsidP="00F937E2">
      <w:pPr>
        <w:contextualSpacing/>
        <w:rPr>
          <w:rFonts w:eastAsia="Palatino Linotype" w:cs="Palatino Linotype"/>
          <w:szCs w:val="24"/>
          <w:lang w:val="es-MX"/>
        </w:rPr>
      </w:pPr>
      <w:r>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Pr>
          <w:rFonts w:eastAsia="Palatino Linotype" w:cs="Palatino Linotype"/>
          <w:b/>
          <w:szCs w:val="24"/>
        </w:rPr>
        <w:t>y que obre en sus archivos y en el estado en el que esta se encuentre</w:t>
      </w:r>
      <w:r>
        <w:rPr>
          <w:rFonts w:eastAsia="Palatino Linotype" w:cs="Palatino Linotype"/>
          <w:szCs w:val="24"/>
        </w:rPr>
        <w:t xml:space="preserve">, sin estar obligados a presentarla conforme al interés del solicitante ni a generarla, resumirla, efectuar cálculos o practicar investigaciones. </w:t>
      </w:r>
      <w:r>
        <w:rPr>
          <w:rFonts w:eastAsia="Palatino Linotype" w:cs="Palatino Linotype"/>
          <w:szCs w:val="24"/>
          <w:lang w:val="es-MX"/>
        </w:rPr>
        <w:t xml:space="preserve">Lo anterior implica que para satisfacer el derecho de acceso a la información </w:t>
      </w:r>
      <w:r w:rsidRPr="00AF5B98">
        <w:rPr>
          <w:rFonts w:eastAsia="Palatino Linotype" w:cs="Palatino Linotype"/>
          <w:b/>
          <w:szCs w:val="24"/>
          <w:lang w:val="es-MX"/>
        </w:rPr>
        <w:t>los sujetos obligados deberán entregar la información que hayan generado con anterioridad a las solicitudes de información</w:t>
      </w:r>
      <w:r>
        <w:rPr>
          <w:rFonts w:eastAsia="Palatino Linotype" w:cs="Palatino Linotype"/>
          <w:szCs w:val="24"/>
          <w:lang w:val="es-MX"/>
        </w:rPr>
        <w:t xml:space="preserve"> y que conste en algún documento, en el estado en el que ésta se encuentre en sus archivos.</w:t>
      </w:r>
    </w:p>
    <w:p w14:paraId="174CC9A0" w14:textId="77777777" w:rsidR="009C35B4" w:rsidRDefault="009C35B4" w:rsidP="00DF3C43">
      <w:pPr>
        <w:contextualSpacing/>
        <w:rPr>
          <w:rFonts w:eastAsia="Palatino Linotype" w:cs="Palatino Linotype"/>
          <w:szCs w:val="24"/>
        </w:rPr>
      </w:pPr>
    </w:p>
    <w:p w14:paraId="5B59CCCA" w14:textId="20C1CE1A" w:rsidR="00F937E2" w:rsidRDefault="00254146" w:rsidP="00DF3C43">
      <w:pPr>
        <w:contextualSpacing/>
        <w:rPr>
          <w:rFonts w:eastAsia="Palatino Linotype" w:cs="Palatino Linotype"/>
          <w:szCs w:val="24"/>
        </w:rPr>
      </w:pPr>
      <w:r>
        <w:rPr>
          <w:rFonts w:eastAsia="Times New Roman" w:cs="Arial"/>
          <w:szCs w:val="24"/>
          <w:lang w:val="es-ES" w:eastAsia="es-ES"/>
        </w:rPr>
        <w:t>En ese orden de ideas</w:t>
      </w:r>
      <w:r w:rsidRPr="004D21EC">
        <w:rPr>
          <w:rFonts w:eastAsia="Times New Roman" w:cs="Arial"/>
          <w:szCs w:val="24"/>
          <w:lang w:val="es-ES" w:eastAsia="es-ES"/>
        </w:rPr>
        <w:t xml:space="preserve">, es óbice mencionar que la información requerida estriba parcialmente en las obligaciones de transparencia común, lo anterior con fundamento </w:t>
      </w:r>
      <w:r w:rsidR="009C35B4">
        <w:rPr>
          <w:rFonts w:eastAsia="Palatino Linotype" w:cs="Palatino Linotype"/>
          <w:szCs w:val="24"/>
        </w:rPr>
        <w:t xml:space="preserve">en el artículo 92 fracciones XXV y </w:t>
      </w:r>
      <w:r w:rsidR="00772A1A">
        <w:rPr>
          <w:rFonts w:eastAsia="Palatino Linotype" w:cs="Palatino Linotype"/>
          <w:szCs w:val="24"/>
        </w:rPr>
        <w:t>XXXV de la Ley de la materia, que a la letra dispone lo siguiente:</w:t>
      </w:r>
    </w:p>
    <w:p w14:paraId="5BFADAF3" w14:textId="77777777" w:rsidR="00772A1A" w:rsidRDefault="00772A1A" w:rsidP="00DF3C43">
      <w:pPr>
        <w:contextualSpacing/>
        <w:rPr>
          <w:rFonts w:eastAsia="Palatino Linotype" w:cs="Palatino Linotype"/>
          <w:szCs w:val="24"/>
        </w:rPr>
      </w:pPr>
    </w:p>
    <w:p w14:paraId="5BB1DB7D" w14:textId="77777777" w:rsidR="00772A1A" w:rsidRPr="00772A1A" w:rsidRDefault="00772A1A" w:rsidP="00772A1A">
      <w:pPr>
        <w:pStyle w:val="Fundamentos"/>
        <w:rPr>
          <w:lang w:val="es-MX"/>
        </w:rPr>
      </w:pPr>
      <w:r w:rsidRPr="00772A1A">
        <w:rPr>
          <w:b/>
          <w:lang w:val="es-MX"/>
        </w:rPr>
        <w:lastRenderedPageBreak/>
        <w:t xml:space="preserve">Artículo 92. </w:t>
      </w:r>
      <w:r w:rsidRPr="00772A1A">
        <w:rPr>
          <w:b/>
          <w:u w:val="single"/>
          <w:lang w:val="es-MX"/>
        </w:rPr>
        <w:t>Los sujetos obligados deberán poner a disposición del público de manera permanente y actualizada</w:t>
      </w:r>
      <w:r w:rsidRPr="00772A1A">
        <w:rPr>
          <w:lang w:val="es-MX"/>
        </w:rPr>
        <w:t xml:space="preserve"> de forma sencilla, precisa y entendible, en los respectivos medios electrónicos, de acuerdo con sus facultades, atribuciones, funciones u objeto social, según corresponda, </w:t>
      </w:r>
      <w:r w:rsidRPr="00772A1A">
        <w:rPr>
          <w:b/>
          <w:u w:val="single"/>
          <w:lang w:val="es-MX"/>
        </w:rPr>
        <w:t>la información, por lo menos, de los temas, documentos y políticas que a continuación se señalan</w:t>
      </w:r>
      <w:r w:rsidRPr="00772A1A">
        <w:rPr>
          <w:lang w:val="es-MX"/>
        </w:rPr>
        <w:t>:</w:t>
      </w:r>
    </w:p>
    <w:p w14:paraId="41AE7405" w14:textId="78B13AF3" w:rsidR="00772A1A" w:rsidRDefault="00772A1A" w:rsidP="00772A1A">
      <w:pPr>
        <w:pStyle w:val="Fundamentos"/>
      </w:pPr>
      <w:r>
        <w:t>[…]</w:t>
      </w:r>
    </w:p>
    <w:p w14:paraId="1F12597F" w14:textId="28FC6830" w:rsidR="00F937E2" w:rsidRDefault="00772A1A" w:rsidP="00772A1A">
      <w:pPr>
        <w:pStyle w:val="Fundamentos"/>
      </w:pPr>
      <w:r w:rsidRPr="00772A1A">
        <w:t>XXV.</w:t>
      </w:r>
      <w:r w:rsidRPr="00772A1A">
        <w:tab/>
      </w:r>
      <w:r w:rsidRPr="00772A1A">
        <w:rPr>
          <w:b/>
          <w:u w:val="single"/>
        </w:rPr>
        <w:t>La información financiera sobre el presupuesto asignado</w:t>
      </w:r>
      <w:r w:rsidRPr="00772A1A">
        <w:t xml:space="preserve">, </w:t>
      </w:r>
      <w:r w:rsidRPr="00254146">
        <w:rPr>
          <w:b/>
          <w:bCs/>
          <w:u w:val="single"/>
        </w:rPr>
        <w:t>así como los informes del ejercicio trimestral del gasto</w:t>
      </w:r>
      <w:r w:rsidRPr="00772A1A">
        <w:t>, en términos de la Ley General de Contabilidad Gubernamental y demás disposiciones jurídicas aplicables;</w:t>
      </w:r>
    </w:p>
    <w:p w14:paraId="31827B1F" w14:textId="2A555594" w:rsidR="00772A1A" w:rsidRDefault="00772A1A" w:rsidP="00772A1A">
      <w:pPr>
        <w:pStyle w:val="Fundamentos"/>
      </w:pPr>
      <w:r>
        <w:t>[…]</w:t>
      </w:r>
    </w:p>
    <w:p w14:paraId="75BA1A8B" w14:textId="52C726A8" w:rsidR="00772A1A" w:rsidRDefault="00772A1A" w:rsidP="00772A1A">
      <w:pPr>
        <w:pStyle w:val="Fundamentos"/>
      </w:pPr>
      <w:r w:rsidRPr="00772A1A">
        <w:t>XXXV.</w:t>
      </w:r>
      <w:r w:rsidRPr="00772A1A">
        <w:tab/>
      </w:r>
      <w:r w:rsidRPr="00772A1A">
        <w:rPr>
          <w:b/>
          <w:u w:val="single"/>
        </w:rPr>
        <w:t>Informes de avances programáticos o presupuestales, balances generales y estado financiero</w:t>
      </w:r>
      <w:r w:rsidRPr="00772A1A">
        <w:t>;</w:t>
      </w:r>
    </w:p>
    <w:p w14:paraId="7B9B08B3" w14:textId="65D888BF" w:rsidR="00772A1A" w:rsidRDefault="00772A1A" w:rsidP="00772A1A">
      <w:pPr>
        <w:pStyle w:val="Fundamentos"/>
      </w:pPr>
      <w:r>
        <w:t>[…]</w:t>
      </w:r>
    </w:p>
    <w:p w14:paraId="1E001722" w14:textId="77777777" w:rsidR="00F937E2" w:rsidRDefault="00F937E2" w:rsidP="00DF3C43">
      <w:pPr>
        <w:contextualSpacing/>
        <w:rPr>
          <w:rFonts w:eastAsia="Palatino Linotype" w:cs="Palatino Linotype"/>
          <w:szCs w:val="24"/>
        </w:rPr>
      </w:pPr>
    </w:p>
    <w:p w14:paraId="04843D76" w14:textId="741D4E92" w:rsidR="00F937E2" w:rsidRDefault="00772A1A" w:rsidP="00DF3C43">
      <w:pPr>
        <w:contextualSpacing/>
        <w:rPr>
          <w:rFonts w:eastAsia="Palatino Linotype" w:cs="Palatino Linotype"/>
          <w:szCs w:val="24"/>
        </w:rPr>
      </w:pPr>
      <w:r>
        <w:rPr>
          <w:rFonts w:eastAsia="Palatino Linotype" w:cs="Palatino Linotype"/>
          <w:szCs w:val="24"/>
        </w:rPr>
        <w:t xml:space="preserve">De tal forma que la Ley de Transparencia estatal constriñe a todos los sujetos obligados a hacer pública en los respectivos medios electrónicos (en el caso del Estado de México, en el </w:t>
      </w:r>
      <w:r w:rsidR="009E4CF0">
        <w:rPr>
          <w:rFonts w:eastAsia="Palatino Linotype" w:cs="Palatino Linotype"/>
          <w:szCs w:val="24"/>
        </w:rPr>
        <w:t xml:space="preserve">portal de Información Pública de Oficio Mexiquense –IPOMEX–) </w:t>
      </w:r>
      <w:r>
        <w:rPr>
          <w:rFonts w:eastAsia="Palatino Linotype" w:cs="Palatino Linotype"/>
          <w:szCs w:val="24"/>
        </w:rPr>
        <w:t>la información financiera sobre el presupuesto asignado y los informas de avances programáticos o presupuestales, puesto que dicha información reviste de especial importancia para la correcta rendición de cuentas de los entes públicos.</w:t>
      </w:r>
    </w:p>
    <w:p w14:paraId="7635C81C" w14:textId="77777777" w:rsidR="00772A1A" w:rsidRDefault="00772A1A" w:rsidP="00DF3C43">
      <w:pPr>
        <w:contextualSpacing/>
        <w:rPr>
          <w:rFonts w:eastAsia="Palatino Linotype" w:cs="Palatino Linotype"/>
          <w:szCs w:val="24"/>
        </w:rPr>
      </w:pPr>
    </w:p>
    <w:p w14:paraId="084ACFBD" w14:textId="05AD3967" w:rsidR="00772A1A" w:rsidRDefault="009E4CF0" w:rsidP="00DF3C43">
      <w:pPr>
        <w:contextualSpacing/>
        <w:rPr>
          <w:rFonts w:eastAsia="Palatino Linotype" w:cs="Palatino Linotype"/>
          <w:szCs w:val="24"/>
        </w:rPr>
      </w:pPr>
      <w:r>
        <w:rPr>
          <w:rFonts w:eastAsia="Palatino Linotype" w:cs="Palatino Linotype"/>
          <w:szCs w:val="24"/>
        </w:rPr>
        <w:t xml:space="preserve">En consecuencia, se debe entender que el Sujeto Obligado, se encuentra constreñido a publicar su información financiera en medios electrónicos y que esta deberá cumplir con los requisitos establecidos en los artículos 11 y 92 de la Ley de Transparencia, por lo que es dable colegir que el Sujeto Obligado </w:t>
      </w:r>
      <w:r w:rsidR="00FD62E8">
        <w:rPr>
          <w:rFonts w:eastAsia="Palatino Linotype" w:cs="Palatino Linotype"/>
          <w:szCs w:val="24"/>
        </w:rPr>
        <w:t>publica la información financiera en los términos de los artículos referidos en su respectiva página de IPOMEX.</w:t>
      </w:r>
    </w:p>
    <w:p w14:paraId="168EACB4" w14:textId="77777777" w:rsidR="00254146" w:rsidRDefault="00254146" w:rsidP="00DF3C43">
      <w:pPr>
        <w:contextualSpacing/>
        <w:rPr>
          <w:rFonts w:eastAsia="Palatino Linotype" w:cs="Palatino Linotype"/>
          <w:szCs w:val="24"/>
        </w:rPr>
      </w:pPr>
    </w:p>
    <w:p w14:paraId="06439E2E" w14:textId="77777777" w:rsidR="00254146" w:rsidRPr="00254146" w:rsidRDefault="00254146" w:rsidP="00254146">
      <w:pPr>
        <w:contextualSpacing/>
        <w:rPr>
          <w:rFonts w:cs="Palatino Linotype"/>
          <w:szCs w:val="24"/>
        </w:rPr>
      </w:pPr>
      <w:r w:rsidRPr="00254146">
        <w:rPr>
          <w:rFonts w:cs="Palatino Linotype"/>
          <w:szCs w:val="24"/>
        </w:rPr>
        <w:t xml:space="preserve">Por otra parte, cabe hacer referencia a que en los </w:t>
      </w:r>
      <w:r w:rsidRPr="00254146">
        <w:rPr>
          <w:rFonts w:cs="Palatino Linotype"/>
          <w:b/>
          <w:bCs/>
          <w:szCs w:val="24"/>
        </w:rPr>
        <w:t xml:space="preserve">Lineamientos para la obtención y aplicación de recursos destinados a las acciones de coadyuvancia para las Declaratorias </w:t>
      </w:r>
      <w:r w:rsidRPr="00254146">
        <w:rPr>
          <w:rFonts w:cs="Palatino Linotype"/>
          <w:b/>
          <w:bCs/>
          <w:szCs w:val="24"/>
        </w:rPr>
        <w:lastRenderedPageBreak/>
        <w:t>de Alerta de Violencia de Género contra las mujeres en estados y municipios</w:t>
      </w:r>
      <w:r w:rsidRPr="00254146">
        <w:rPr>
          <w:rFonts w:cs="Palatino Linotype"/>
          <w:szCs w:val="24"/>
        </w:rPr>
        <w:t xml:space="preserve">, para el ejercicio fiscal, los cuales establecen los requisitos y mecanismos que deberán cumplir las entidades federativas con Declaratoria de Alerta de Violencia de Género para acceder al subsidio federal destinado en el Presupuesto de Egresos de la Federación, establece que la distribución de los recursos asignados se realizará, entre otras entidades federativas, en el Estado de México y que entre las obligaciones de las entidades federativas se encuentra la de </w:t>
      </w:r>
      <w:r w:rsidRPr="00254146">
        <w:rPr>
          <w:rFonts w:cs="Palatino Linotype"/>
          <w:b/>
          <w:bCs/>
          <w:szCs w:val="24"/>
          <w:u w:val="single"/>
        </w:rPr>
        <w:t>realizar los registros correspondientes en la contabilidad y en la cuenta pública local conforme sea devengado y ejercido el subsidio respectivo y reportar bimestralmente a la Comisión Nacional para Prevenir y Erradicar la Violencia contra las Mujeres (CONAVIM)</w:t>
      </w:r>
      <w:r w:rsidRPr="00254146">
        <w:rPr>
          <w:rFonts w:cs="Palatino Linotype"/>
          <w:szCs w:val="24"/>
        </w:rPr>
        <w:t xml:space="preserve"> </w:t>
      </w:r>
      <w:r w:rsidRPr="00254146">
        <w:rPr>
          <w:rFonts w:cs="Palatino Linotype"/>
          <w:b/>
          <w:bCs/>
          <w:szCs w:val="24"/>
          <w:u w:val="single"/>
        </w:rPr>
        <w:t>la información sobre el ejercicio, destino y resultados obtenidos con los recursos del subsidio</w:t>
      </w:r>
      <w:r w:rsidRPr="00254146">
        <w:rPr>
          <w:rFonts w:cs="Palatino Linotype"/>
          <w:szCs w:val="24"/>
        </w:rPr>
        <w:t>, así como la disponibilidad financiera y el presupuesto comprometido, devengado y ejercido, validado por la Secretaría de Finanzas o su equivalentes y soportado con la documentación correspondiente.</w:t>
      </w:r>
    </w:p>
    <w:p w14:paraId="6B180C6C" w14:textId="77777777" w:rsidR="00254146" w:rsidRPr="00254146" w:rsidRDefault="00254146" w:rsidP="00254146">
      <w:pPr>
        <w:contextualSpacing/>
        <w:rPr>
          <w:rFonts w:cs="Palatino Linotype"/>
          <w:szCs w:val="24"/>
        </w:rPr>
      </w:pPr>
    </w:p>
    <w:p w14:paraId="14A1708A" w14:textId="77777777" w:rsidR="00254146" w:rsidRPr="00254146" w:rsidRDefault="00254146" w:rsidP="00254146">
      <w:pPr>
        <w:contextualSpacing/>
        <w:rPr>
          <w:rFonts w:cs="Palatino Linotype"/>
          <w:szCs w:val="24"/>
        </w:rPr>
      </w:pPr>
      <w:r w:rsidRPr="00254146">
        <w:rPr>
          <w:rFonts w:cs="Palatino Linotype"/>
          <w:szCs w:val="24"/>
        </w:rPr>
        <w:t>Al respecto, se tiene que el Sujeto Obligado cuenta con un apartado en su página institucional</w:t>
      </w:r>
      <w:r w:rsidRPr="00254146">
        <w:rPr>
          <w:rFonts w:cs="Palatino Linotype"/>
          <w:szCs w:val="24"/>
          <w:vertAlign w:val="superscript"/>
        </w:rPr>
        <w:footnoteReference w:id="3"/>
      </w:r>
      <w:r w:rsidRPr="00254146">
        <w:rPr>
          <w:rFonts w:cs="Palatino Linotype"/>
          <w:szCs w:val="24"/>
        </w:rPr>
        <w:t xml:space="preserve"> relativo a las acciones de coadyuvancia para las declaratorias de Alerta de Violencia de Género contra las mujeres en el Estado y Municipios, en el que se informa que la Secretaría de las Mujeres participó en la obtención del subsidio Acciones de Coadyuvancia para las declaratorias de Alerta de Violencia de Género contra las mujeres en Estados y Municipios el pasado veinte de enero de dos mil veintitrés, ante la Comisión Nacional para Prevenir y Erradicar la Violencia contra las Mujeres (CONAVIM). Que esa comisión aprobó el proyecto AVGM/MEX/AC2/SM/120 con un monto de $1,000.000.00 </w:t>
      </w:r>
      <w:r w:rsidRPr="00254146">
        <w:rPr>
          <w:rFonts w:cs="Palatino Linotype"/>
          <w:szCs w:val="24"/>
        </w:rPr>
        <w:lastRenderedPageBreak/>
        <w:t>(un millón de pesos 00/100), con el objetivo principal de prevenir la violencia feminicida, mediante una estrategia a nivel adolescencia que informe y sensibilice en temas de: derechos humanos, perspectiva de género, empoderamiento de las mujeres, tipos y modalidades de violencia, violencia feminicida, con la finalidad de erradicar los estereotipos de género y lograr un cambio en la población de la entidad federativa; de igual forma se prevé el otorgar servicios de atención psicológica a modo de prevención mediante el fortalecimiento de los CEDEMAS+, atendiendo las nuevas masculinidades y reeducando a posibles agresores de mujeres.</w:t>
      </w:r>
    </w:p>
    <w:p w14:paraId="106727CA" w14:textId="77777777" w:rsidR="00254146" w:rsidRPr="00254146" w:rsidRDefault="00254146" w:rsidP="00254146">
      <w:pPr>
        <w:contextualSpacing/>
        <w:rPr>
          <w:rFonts w:cs="Palatino Linotype"/>
          <w:szCs w:val="24"/>
        </w:rPr>
      </w:pPr>
    </w:p>
    <w:p w14:paraId="606E3910" w14:textId="3B73EF38" w:rsidR="00254146" w:rsidRDefault="00254146" w:rsidP="00254146">
      <w:pPr>
        <w:contextualSpacing/>
        <w:rPr>
          <w:rFonts w:cs="Palatino Linotype"/>
          <w:szCs w:val="24"/>
        </w:rPr>
      </w:pPr>
      <w:r w:rsidRPr="00254146">
        <w:rPr>
          <w:rFonts w:cs="Palatino Linotype"/>
          <w:szCs w:val="24"/>
        </w:rPr>
        <w:t>Por lo anterior, en ese apartado se observa que se rindieron el primer, segundo y tercer informes bimestrales correspondientes al ejercicio 2023, por lo que se deduce que el Sujeto Obligado sí ha publicado información relativa al ejercicio del subsidio proporcionado por el gobierno federal para atender la declaratorias de Alerta de Violencia de Género en el Estado de México.</w:t>
      </w:r>
      <w:r>
        <w:rPr>
          <w:rFonts w:cs="Palatino Linotype"/>
          <w:szCs w:val="24"/>
        </w:rPr>
        <w:t xml:space="preserve"> </w:t>
      </w:r>
    </w:p>
    <w:p w14:paraId="1B70EF70" w14:textId="77777777" w:rsidR="00B15CE7" w:rsidRDefault="00B15CE7" w:rsidP="00254146">
      <w:pPr>
        <w:contextualSpacing/>
        <w:rPr>
          <w:rFonts w:cs="Palatino Linotype"/>
          <w:szCs w:val="24"/>
        </w:rPr>
      </w:pPr>
    </w:p>
    <w:p w14:paraId="7CEA6AAF" w14:textId="787629E6" w:rsidR="00B15CE7" w:rsidRPr="00B15CE7" w:rsidRDefault="00B15CE7" w:rsidP="00B15CE7">
      <w:pPr>
        <w:contextualSpacing/>
        <w:rPr>
          <w:rFonts w:eastAsia="Times New Roman" w:cs="Palatino Linotype"/>
          <w:lang w:val="es-MX"/>
        </w:rPr>
      </w:pPr>
      <w:r w:rsidRPr="00B15CE7">
        <w:rPr>
          <w:rFonts w:eastAsia="Times New Roman" w:cs="Palatino Linotype"/>
          <w:lang w:val="es-MX"/>
        </w:rPr>
        <w:t>Ahora bien, es menester subrayar que la Recurrente hace referencia</w:t>
      </w:r>
      <w:r>
        <w:rPr>
          <w:rFonts w:eastAsia="Times New Roman" w:cs="Palatino Linotype"/>
          <w:lang w:val="es-MX"/>
        </w:rPr>
        <w:t xml:space="preserve"> al</w:t>
      </w:r>
      <w:r w:rsidRPr="00B15CE7">
        <w:rPr>
          <w:rFonts w:eastAsia="Times New Roman" w:cs="Palatino Linotype"/>
          <w:lang w:val="es-MX"/>
        </w:rPr>
        <w:t xml:space="preserve"> </w:t>
      </w:r>
      <w:bookmarkStart w:id="1" w:name="_Hlk158215691"/>
      <w:r w:rsidRPr="00B15CE7">
        <w:rPr>
          <w:rFonts w:eastAsia="Times New Roman" w:cs="Palatino Linotype"/>
          <w:u w:val="single"/>
        </w:rPr>
        <w:t>Acuerdo de la Secretaría de la Mujer por el que se establecen los Mecanismos para la Operación de Recursos para la Mitigación de la Alerta de Violencia de Género Contra las Mujeres por Feminicidio; y la Alerta por Desaparición de Niñas, Adolescentes y Mujeres, para el Estado de México, para el Ejercicio Fiscal 2022</w:t>
      </w:r>
      <w:bookmarkEnd w:id="1"/>
      <w:r w:rsidRPr="00B15CE7">
        <w:rPr>
          <w:rFonts w:eastAsia="Times New Roman" w:cs="Palatino Linotype"/>
        </w:rPr>
        <w:t>.</w:t>
      </w:r>
      <w:r w:rsidRPr="00B15CE7">
        <w:rPr>
          <w:rFonts w:eastAsia="Times New Roman" w:cs="Palatino Linotype"/>
          <w:lang w:val="es-MX"/>
        </w:rPr>
        <w:t xml:space="preserve"> Al respecto, se debe señalar que la alerta de género es un mecanismo que tiene como objeto establecer medidas inmediatas y urgentes para atender la problemática de la violencia contra las mujeres, adolescentes y niñas </w:t>
      </w:r>
      <w:r w:rsidRPr="00B15CE7">
        <w:rPr>
          <w:rFonts w:eastAsia="Times New Roman" w:cs="Palatino Linotype"/>
          <w:b/>
          <w:bCs/>
          <w:lang w:val="es-MX"/>
        </w:rPr>
        <w:t>en los once municipios con mayores riesgos para ellas</w:t>
      </w:r>
      <w:r w:rsidRPr="00B15CE7">
        <w:rPr>
          <w:rFonts w:eastAsia="Times New Roman" w:cs="Palatino Linotype"/>
          <w:lang w:val="es-MX"/>
        </w:rPr>
        <w:t xml:space="preserve">, con el fin de que, de manera progresiva, se elaboren los protocolos de actuación, se implementen recursos y </w:t>
      </w:r>
      <w:r w:rsidRPr="00B15CE7">
        <w:rPr>
          <w:rFonts w:eastAsia="Times New Roman" w:cs="Palatino Linotype"/>
          <w:lang w:val="es-MX"/>
        </w:rPr>
        <w:lastRenderedPageBreak/>
        <w:t>se capacite a las y los servidores públicos que intervengan en su aplicación, para frenarla y erradicarla.</w:t>
      </w:r>
    </w:p>
    <w:p w14:paraId="480BB615" w14:textId="77777777" w:rsidR="00B15CE7" w:rsidRPr="00B15CE7" w:rsidRDefault="00B15CE7" w:rsidP="00B15CE7">
      <w:pPr>
        <w:rPr>
          <w:rFonts w:eastAsia="Times New Roman"/>
          <w:sz w:val="11"/>
          <w:szCs w:val="10"/>
          <w:lang w:val="es-MX"/>
        </w:rPr>
      </w:pPr>
    </w:p>
    <w:p w14:paraId="75BEF8F7" w14:textId="501C0F29" w:rsidR="00B15CE7" w:rsidRPr="00B15CE7" w:rsidRDefault="00B15CE7" w:rsidP="00B15CE7">
      <w:pPr>
        <w:rPr>
          <w:rFonts w:eastAsia="Times New Roman"/>
          <w:lang w:val="es-ES"/>
        </w:rPr>
      </w:pPr>
      <w:r w:rsidRPr="00B15CE7">
        <w:rPr>
          <w:rFonts w:eastAsia="Times New Roman"/>
          <w:lang w:val="es-ES"/>
        </w:rPr>
        <w:t xml:space="preserve">Así, para atender la alerta, </w:t>
      </w:r>
      <w:r w:rsidRPr="00B15CE7">
        <w:rPr>
          <w:rFonts w:eastAsia="Times New Roman"/>
          <w:b/>
          <w:bCs/>
          <w:lang w:val="es-ES"/>
        </w:rPr>
        <w:t>las autoridades</w:t>
      </w:r>
      <w:r w:rsidRPr="00B15CE7">
        <w:rPr>
          <w:rFonts w:eastAsia="Times New Roman"/>
          <w:lang w:val="es-ES"/>
        </w:rPr>
        <w:t xml:space="preserve"> del Gobierno del Estado de México y</w:t>
      </w:r>
      <w:r w:rsidRPr="00B15CE7">
        <w:rPr>
          <w:rFonts w:eastAsia="Times New Roman"/>
          <w:b/>
          <w:bCs/>
          <w:lang w:val="es-ES"/>
        </w:rPr>
        <w:t xml:space="preserve"> de los municipios considerados en el mecanismo deberán llevar a cabo todas las acciones necesarias para prevenir, atender, investigar, sancionar y erradicar la violencia de género contra las mujeres en la Entidad</w:t>
      </w:r>
      <w:r w:rsidRPr="00B15CE7">
        <w:rPr>
          <w:rFonts w:eastAsia="Times New Roman"/>
          <w:lang w:val="es-ES"/>
        </w:rPr>
        <w:t>, en el que establece lo siguiente:</w:t>
      </w:r>
    </w:p>
    <w:p w14:paraId="3A620D53" w14:textId="77777777" w:rsidR="00B15CE7" w:rsidRPr="00B15CE7" w:rsidRDefault="00B15CE7" w:rsidP="00B15CE7">
      <w:pPr>
        <w:rPr>
          <w:rFonts w:eastAsia="Times New Roman"/>
          <w:sz w:val="21"/>
          <w:szCs w:val="20"/>
          <w:lang w:val="es-ES"/>
        </w:rPr>
      </w:pPr>
    </w:p>
    <w:p w14:paraId="36BEA099" w14:textId="77777777" w:rsidR="00B15CE7" w:rsidRP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i/>
          <w:sz w:val="22"/>
          <w:szCs w:val="24"/>
          <w:lang w:eastAsia="es-ES"/>
        </w:rPr>
        <w:t xml:space="preserve">Que el Decreto del Ejecutivo del Estado para atender la Declaratoria de Alerta de Violencia de Género contra las Mujeres para el Estado de México tiene por objeto establecer las medidas inmediatas y urgentes para atender la problemática de la violencia contra las mujeres, niñas y adolescentes en los once municipios en los cuales se declaró la Alerta de Violencia de Género para que, de manera progresiva, se elaboren los protocolos de actuación, se implementen recursos y se capacite al personal del servicio público que intervengan en su aplicación. </w:t>
      </w:r>
    </w:p>
    <w:p w14:paraId="6884E456" w14:textId="77777777" w:rsidR="00B15CE7" w:rsidRDefault="00B15CE7" w:rsidP="00B15CE7">
      <w:pPr>
        <w:spacing w:line="240" w:lineRule="auto"/>
        <w:ind w:left="567" w:right="567"/>
        <w:rPr>
          <w:rFonts w:eastAsia="Times New Roman" w:cs="Times New Roman"/>
          <w:b/>
          <w:bCs/>
          <w:i/>
          <w:sz w:val="22"/>
          <w:szCs w:val="24"/>
          <w:lang w:eastAsia="es-ES"/>
        </w:rPr>
      </w:pPr>
    </w:p>
    <w:p w14:paraId="56C667BA" w14:textId="110842F0" w:rsidR="00B15CE7" w:rsidRPr="00B15CE7" w:rsidRDefault="00B15CE7" w:rsidP="00B15CE7">
      <w:pPr>
        <w:spacing w:line="240" w:lineRule="auto"/>
        <w:ind w:left="567" w:right="567"/>
        <w:rPr>
          <w:rFonts w:eastAsia="Times New Roman" w:cs="Times New Roman"/>
          <w:i/>
          <w:sz w:val="22"/>
          <w:szCs w:val="24"/>
          <w:lang w:val="es-MX" w:eastAsia="es-ES"/>
        </w:rPr>
      </w:pPr>
      <w:r w:rsidRPr="00B15CE7">
        <w:rPr>
          <w:rFonts w:eastAsia="Times New Roman" w:cs="Times New Roman"/>
          <w:b/>
          <w:bCs/>
          <w:i/>
          <w:sz w:val="22"/>
          <w:szCs w:val="24"/>
          <w:lang w:eastAsia="es-ES"/>
        </w:rPr>
        <w:t xml:space="preserve">Que los municipios que corresponden al Decreto de mérito: Chalco, Chimalhuacán, Cuautitlán Izcalli, Ecatepec de Morelos, </w:t>
      </w:r>
      <w:r w:rsidRPr="00B15CE7">
        <w:rPr>
          <w:rFonts w:eastAsia="Times New Roman" w:cs="Times New Roman"/>
          <w:b/>
          <w:bCs/>
          <w:i/>
          <w:sz w:val="22"/>
          <w:szCs w:val="24"/>
          <w:u w:val="single"/>
          <w:lang w:eastAsia="es-ES"/>
        </w:rPr>
        <w:t>Ixtapaluca</w:t>
      </w:r>
      <w:r w:rsidRPr="00B15CE7">
        <w:rPr>
          <w:rFonts w:eastAsia="Times New Roman" w:cs="Times New Roman"/>
          <w:b/>
          <w:bCs/>
          <w:i/>
          <w:sz w:val="22"/>
          <w:szCs w:val="24"/>
          <w:lang w:eastAsia="es-ES"/>
        </w:rPr>
        <w:t>, Naucalpan de Juárez, Nezahualcóyotl, Tlalnepantla de Baz, Toluca, Tultitlán y Valle de Chalco Solidaridad.</w:t>
      </w:r>
    </w:p>
    <w:p w14:paraId="148638DE" w14:textId="77777777" w:rsidR="00B15CE7" w:rsidRPr="00B15CE7" w:rsidRDefault="00B15CE7" w:rsidP="00B15CE7">
      <w:pPr>
        <w:rPr>
          <w:rFonts w:eastAsia="Times New Roman"/>
          <w:lang w:val="es-MX"/>
        </w:rPr>
      </w:pPr>
    </w:p>
    <w:p w14:paraId="7C405E82" w14:textId="4C8C6B67" w:rsidR="00B15CE7" w:rsidRPr="00B15CE7" w:rsidRDefault="00B15CE7" w:rsidP="00B15CE7">
      <w:pPr>
        <w:rPr>
          <w:rFonts w:eastAsia="Times New Roman"/>
          <w:lang w:val="es-ES"/>
        </w:rPr>
      </w:pPr>
      <w:r w:rsidRPr="00B15CE7">
        <w:rPr>
          <w:rFonts w:eastAsia="Times New Roman"/>
          <w:lang w:val="es-ES"/>
        </w:rPr>
        <w:t xml:space="preserve">Dicho acuerdo establece en sus artículos 1, 2 </w:t>
      </w:r>
      <w:proofErr w:type="gramStart"/>
      <w:r w:rsidRPr="00B15CE7">
        <w:rPr>
          <w:rFonts w:eastAsia="Times New Roman"/>
          <w:lang w:val="es-ES"/>
        </w:rPr>
        <w:t>fracción</w:t>
      </w:r>
      <w:proofErr w:type="gramEnd"/>
      <w:r w:rsidRPr="00B15CE7">
        <w:rPr>
          <w:rFonts w:eastAsia="Times New Roman"/>
          <w:lang w:val="es-ES"/>
        </w:rPr>
        <w:t xml:space="preserve"> VI</w:t>
      </w:r>
      <w:r>
        <w:rPr>
          <w:rFonts w:eastAsia="Times New Roman"/>
          <w:lang w:val="es-ES"/>
        </w:rPr>
        <w:t>II</w:t>
      </w:r>
      <w:r w:rsidRPr="00B15CE7">
        <w:rPr>
          <w:rFonts w:eastAsia="Times New Roman"/>
          <w:lang w:val="es-ES"/>
        </w:rPr>
        <w:t xml:space="preserve"> y </w:t>
      </w:r>
      <w:r>
        <w:rPr>
          <w:rFonts w:eastAsia="Times New Roman"/>
          <w:lang w:val="es-ES"/>
        </w:rPr>
        <w:t>21</w:t>
      </w:r>
      <w:r w:rsidRPr="00B15CE7">
        <w:rPr>
          <w:rFonts w:eastAsia="Times New Roman"/>
          <w:lang w:val="es-ES"/>
        </w:rPr>
        <w:t xml:space="preserve"> lo siguiente:</w:t>
      </w:r>
    </w:p>
    <w:p w14:paraId="4C769477" w14:textId="77777777" w:rsidR="00B15CE7" w:rsidRPr="00B15CE7" w:rsidRDefault="00B15CE7" w:rsidP="00B15CE7">
      <w:pPr>
        <w:rPr>
          <w:rFonts w:eastAsia="Times New Roman"/>
          <w:lang w:val="es-ES"/>
        </w:rPr>
      </w:pPr>
    </w:p>
    <w:p w14:paraId="7C2A8127" w14:textId="36601901" w:rsidR="00B15CE7" w:rsidRPr="00B15CE7" w:rsidRDefault="00B15CE7" w:rsidP="00B15CE7">
      <w:pPr>
        <w:spacing w:line="240" w:lineRule="auto"/>
        <w:ind w:left="567" w:right="567"/>
        <w:rPr>
          <w:rFonts w:eastAsia="Times New Roman" w:cs="Times New Roman"/>
          <w:i/>
          <w:sz w:val="22"/>
          <w:szCs w:val="24"/>
          <w:lang w:val="es-MX" w:eastAsia="es-ES"/>
        </w:rPr>
      </w:pPr>
      <w:r w:rsidRPr="00B15CE7">
        <w:rPr>
          <w:rFonts w:eastAsia="Times New Roman" w:cs="Times New Roman"/>
          <w:b/>
          <w:bCs/>
          <w:i/>
          <w:sz w:val="22"/>
          <w:szCs w:val="24"/>
          <w:lang w:eastAsia="es-ES"/>
        </w:rPr>
        <w:t xml:space="preserve">Artículo 1. </w:t>
      </w:r>
      <w:r w:rsidRPr="00B15CE7">
        <w:rPr>
          <w:rFonts w:eastAsia="Times New Roman" w:cs="Times New Roman"/>
          <w:i/>
          <w:sz w:val="22"/>
          <w:szCs w:val="24"/>
          <w:lang w:eastAsia="es-ES"/>
        </w:rPr>
        <w:t>El presente Acuerdo tiene por objeto establecer las disposiciones y los procedimientos generales que deberán observar los municipios y la Secretaría de la Mujer para ejercer de manera eficiente, eficaz y transparente, los recursos que destina el Estado para mitigar las Alertas de Violencia de Género por Feminicidio en once Municipios y Desaparición contra las Niñas, Adolescentes y Mujeres en siete Municipios.</w:t>
      </w:r>
    </w:p>
    <w:p w14:paraId="05A9B2E7" w14:textId="77777777" w:rsidR="00B15CE7" w:rsidRPr="00B15CE7" w:rsidRDefault="00B15CE7" w:rsidP="00B15CE7">
      <w:pPr>
        <w:spacing w:line="240" w:lineRule="auto"/>
        <w:ind w:left="567" w:right="567"/>
        <w:rPr>
          <w:rFonts w:eastAsia="Times New Roman" w:cs="Times New Roman"/>
          <w:i/>
          <w:sz w:val="22"/>
          <w:szCs w:val="24"/>
          <w:lang w:val="es-MX" w:eastAsia="es-ES"/>
        </w:rPr>
      </w:pPr>
    </w:p>
    <w:p w14:paraId="5A40F39A" w14:textId="7322E1DA" w:rsidR="00B15CE7" w:rsidRPr="00B15CE7" w:rsidRDefault="00B15CE7" w:rsidP="00B15CE7">
      <w:pPr>
        <w:spacing w:line="240" w:lineRule="auto"/>
        <w:ind w:left="567" w:right="567"/>
        <w:rPr>
          <w:rFonts w:eastAsia="Times New Roman" w:cs="Times New Roman"/>
          <w:i/>
          <w:sz w:val="22"/>
          <w:szCs w:val="24"/>
          <w:lang w:val="es-MX" w:eastAsia="es-ES"/>
        </w:rPr>
      </w:pPr>
      <w:proofErr w:type="spellStart"/>
      <w:r w:rsidRPr="00B15CE7">
        <w:rPr>
          <w:rFonts w:eastAsia="Times New Roman" w:cs="Times New Roman"/>
          <w:b/>
          <w:bCs/>
          <w:i/>
          <w:sz w:val="22"/>
          <w:szCs w:val="24"/>
          <w:lang w:val="es-MX" w:eastAsia="es-ES"/>
        </w:rPr>
        <w:t>Artículo</w:t>
      </w:r>
      <w:proofErr w:type="spellEnd"/>
      <w:r w:rsidRPr="00B15CE7">
        <w:rPr>
          <w:rFonts w:eastAsia="Times New Roman" w:cs="Times New Roman"/>
          <w:b/>
          <w:bCs/>
          <w:i/>
          <w:sz w:val="22"/>
          <w:szCs w:val="24"/>
          <w:lang w:val="es-MX" w:eastAsia="es-ES"/>
        </w:rPr>
        <w:t xml:space="preserve"> 2</w:t>
      </w:r>
      <w:r w:rsidRPr="00B15CE7">
        <w:rPr>
          <w:rFonts w:eastAsia="Times New Roman" w:cs="Times New Roman"/>
          <w:i/>
          <w:sz w:val="22"/>
          <w:szCs w:val="24"/>
          <w:lang w:val="es-MX" w:eastAsia="es-ES"/>
        </w:rPr>
        <w:t xml:space="preserve">. Para efectos del presente Acuerdo, se entenderá́ por: </w:t>
      </w:r>
    </w:p>
    <w:p w14:paraId="08CE30D1" w14:textId="77777777" w:rsidR="00B15CE7" w:rsidRPr="00B15CE7" w:rsidRDefault="00B15CE7" w:rsidP="00B15CE7">
      <w:pPr>
        <w:spacing w:line="240" w:lineRule="auto"/>
        <w:ind w:left="567" w:right="567"/>
        <w:rPr>
          <w:rFonts w:eastAsia="Times New Roman" w:cs="Times New Roman"/>
          <w:i/>
          <w:sz w:val="22"/>
          <w:szCs w:val="24"/>
          <w:lang w:val="es-MX" w:eastAsia="es-ES"/>
        </w:rPr>
      </w:pPr>
      <w:r w:rsidRPr="00B15CE7">
        <w:rPr>
          <w:rFonts w:eastAsia="Times New Roman" w:cs="Times New Roman"/>
          <w:i/>
          <w:sz w:val="22"/>
          <w:szCs w:val="24"/>
          <w:lang w:val="es-MX" w:eastAsia="es-ES"/>
        </w:rPr>
        <w:t>(…)</w:t>
      </w:r>
    </w:p>
    <w:p w14:paraId="7717777B" w14:textId="27829788" w:rsidR="00B15CE7" w:rsidRPr="00B15CE7" w:rsidRDefault="00B15CE7" w:rsidP="00B15CE7">
      <w:pPr>
        <w:spacing w:line="240" w:lineRule="auto"/>
        <w:ind w:left="567" w:right="567"/>
        <w:rPr>
          <w:rFonts w:eastAsia="Times New Roman" w:cs="Times New Roman"/>
          <w:b/>
          <w:bCs/>
          <w:i/>
          <w:sz w:val="22"/>
          <w:szCs w:val="24"/>
          <w:lang w:val="es-MX" w:eastAsia="es-ES"/>
        </w:rPr>
      </w:pPr>
      <w:r w:rsidRPr="00B15CE7">
        <w:rPr>
          <w:rFonts w:eastAsia="Times New Roman" w:cs="Times New Roman"/>
          <w:b/>
          <w:bCs/>
          <w:i/>
          <w:sz w:val="22"/>
          <w:szCs w:val="24"/>
          <w:lang w:eastAsia="es-ES"/>
        </w:rPr>
        <w:t>VIII. Municipios: A los municipios de Chalco, Chimalhuacán, Cuautitlán Izcalli, Ecatepec de Morelos, Ixtapaluca, Naucalpan de Juárez, Nezahualcóyotl, Tlalnepantla de Baz, Toluca, Tultitlán y Valle de Chalco Solidaridad;</w:t>
      </w:r>
      <w:r w:rsidRPr="00B15CE7">
        <w:rPr>
          <w:rFonts w:eastAsia="Times New Roman" w:cs="Times New Roman"/>
          <w:b/>
          <w:bCs/>
          <w:i/>
          <w:sz w:val="22"/>
          <w:szCs w:val="24"/>
          <w:lang w:val="es-MX" w:eastAsia="es-ES"/>
        </w:rPr>
        <w:t xml:space="preserve"> </w:t>
      </w:r>
      <w:r w:rsidRPr="00B15CE7">
        <w:rPr>
          <w:rFonts w:eastAsia="Times New Roman" w:cs="Times New Roman"/>
          <w:i/>
          <w:sz w:val="22"/>
          <w:szCs w:val="24"/>
          <w:lang w:val="es-MX" w:eastAsia="es-ES"/>
        </w:rPr>
        <w:t>(…)</w:t>
      </w:r>
    </w:p>
    <w:p w14:paraId="5A4FB0C7" w14:textId="77777777" w:rsidR="00B15CE7" w:rsidRPr="00B15CE7" w:rsidRDefault="00B15CE7" w:rsidP="00B15CE7">
      <w:pPr>
        <w:spacing w:line="240" w:lineRule="auto"/>
        <w:ind w:left="567" w:right="567"/>
        <w:rPr>
          <w:rFonts w:eastAsia="Times New Roman" w:cs="Times New Roman"/>
          <w:i/>
          <w:sz w:val="22"/>
          <w:szCs w:val="24"/>
          <w:lang w:val="es-MX" w:eastAsia="es-ES"/>
        </w:rPr>
      </w:pPr>
    </w:p>
    <w:p w14:paraId="401C2D0A" w14:textId="77777777" w:rsid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b/>
          <w:bCs/>
          <w:i/>
          <w:sz w:val="22"/>
          <w:szCs w:val="24"/>
          <w:lang w:eastAsia="es-ES"/>
        </w:rPr>
        <w:t xml:space="preserve">Artículo 21. </w:t>
      </w:r>
      <w:r w:rsidRPr="00B15CE7">
        <w:rPr>
          <w:rFonts w:eastAsia="Times New Roman" w:cs="Times New Roman"/>
          <w:i/>
          <w:sz w:val="22"/>
          <w:szCs w:val="24"/>
          <w:lang w:eastAsia="es-ES"/>
        </w:rPr>
        <w:t>El recurso podrá ser destinado por los Municipios para las actividades siguientes:</w:t>
      </w:r>
    </w:p>
    <w:p w14:paraId="45934CC3" w14:textId="77777777" w:rsidR="00B15CE7" w:rsidRDefault="00B15CE7" w:rsidP="00B15CE7">
      <w:pPr>
        <w:spacing w:line="240" w:lineRule="auto"/>
        <w:ind w:left="567" w:right="567"/>
        <w:rPr>
          <w:rFonts w:eastAsia="Times New Roman" w:cs="Times New Roman"/>
          <w:i/>
          <w:sz w:val="22"/>
          <w:szCs w:val="24"/>
          <w:lang w:eastAsia="es-ES"/>
        </w:rPr>
      </w:pPr>
    </w:p>
    <w:p w14:paraId="4951983D" w14:textId="77777777" w:rsidR="00B15CE7" w:rsidRPr="00B15CE7" w:rsidRDefault="00B15CE7" w:rsidP="00B15CE7">
      <w:pPr>
        <w:spacing w:line="240" w:lineRule="auto"/>
        <w:ind w:left="567" w:right="567"/>
        <w:rPr>
          <w:rFonts w:eastAsia="Times New Roman" w:cs="Times New Roman"/>
          <w:b/>
          <w:bCs/>
          <w:i/>
          <w:sz w:val="22"/>
          <w:szCs w:val="24"/>
          <w:lang w:eastAsia="es-ES"/>
        </w:rPr>
      </w:pPr>
      <w:r w:rsidRPr="00B15CE7">
        <w:rPr>
          <w:rFonts w:eastAsia="Times New Roman" w:cs="Times New Roman"/>
          <w:b/>
          <w:bCs/>
          <w:i/>
          <w:sz w:val="22"/>
          <w:szCs w:val="24"/>
          <w:lang w:eastAsia="es-ES"/>
        </w:rPr>
        <w:t xml:space="preserve"> I. Fortalecimiento Institucional </w:t>
      </w:r>
    </w:p>
    <w:p w14:paraId="735A2A67" w14:textId="77777777" w:rsid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i/>
          <w:sz w:val="22"/>
          <w:szCs w:val="24"/>
          <w:lang w:eastAsia="es-ES"/>
        </w:rPr>
        <w:t xml:space="preserve">Mejoramiento de infraestructura, modernización tecnológica y equipamiento de las instalaciones, así como recursos materiales destinados para la atención de niñas, adolescentes y mujeres en situación de violencia de género. </w:t>
      </w:r>
    </w:p>
    <w:p w14:paraId="26750A70" w14:textId="77777777" w:rsidR="00B15CE7" w:rsidRDefault="00B15CE7" w:rsidP="00B15CE7">
      <w:pPr>
        <w:spacing w:line="240" w:lineRule="auto"/>
        <w:ind w:left="567" w:right="567"/>
        <w:rPr>
          <w:rFonts w:eastAsia="Times New Roman" w:cs="Times New Roman"/>
          <w:i/>
          <w:sz w:val="22"/>
          <w:szCs w:val="24"/>
          <w:lang w:eastAsia="es-ES"/>
        </w:rPr>
      </w:pPr>
    </w:p>
    <w:p w14:paraId="1C6BB968" w14:textId="77777777" w:rsidR="00B15CE7" w:rsidRPr="00B15CE7" w:rsidRDefault="00B15CE7" w:rsidP="00B15CE7">
      <w:pPr>
        <w:spacing w:line="240" w:lineRule="auto"/>
        <w:ind w:left="567" w:right="567"/>
        <w:rPr>
          <w:rFonts w:eastAsia="Times New Roman" w:cs="Times New Roman"/>
          <w:b/>
          <w:bCs/>
          <w:i/>
          <w:sz w:val="22"/>
          <w:szCs w:val="24"/>
          <w:lang w:eastAsia="es-ES"/>
        </w:rPr>
      </w:pPr>
      <w:r w:rsidRPr="00B15CE7">
        <w:rPr>
          <w:rFonts w:eastAsia="Times New Roman" w:cs="Times New Roman"/>
          <w:b/>
          <w:bCs/>
          <w:i/>
          <w:sz w:val="22"/>
          <w:szCs w:val="24"/>
          <w:lang w:eastAsia="es-ES"/>
        </w:rPr>
        <w:t xml:space="preserve">II. Capacitación </w:t>
      </w:r>
    </w:p>
    <w:p w14:paraId="3E3DAF50" w14:textId="6BB47F28" w:rsidR="00B15CE7" w:rsidRDefault="00B15CE7" w:rsidP="00B15CE7">
      <w:pPr>
        <w:spacing w:line="240" w:lineRule="auto"/>
        <w:ind w:left="567" w:right="567"/>
        <w:rPr>
          <w:rFonts w:eastAsia="Times New Roman" w:cs="Times New Roman"/>
          <w:i/>
          <w:sz w:val="22"/>
          <w:szCs w:val="24"/>
          <w:lang w:val="es-MX" w:eastAsia="es-ES"/>
        </w:rPr>
      </w:pPr>
      <w:r w:rsidRPr="00B15CE7">
        <w:rPr>
          <w:rFonts w:eastAsia="Times New Roman" w:cs="Times New Roman"/>
          <w:i/>
          <w:sz w:val="22"/>
          <w:szCs w:val="24"/>
          <w:lang w:eastAsia="es-ES"/>
        </w:rPr>
        <w:t>Propiciar la superación individual y colectiva a través de la adquisición de servicios especializados en el diseño, desarrollo e implementación de programas teóricos-prácticos, capacitaciones, foros, talleres, cursos, certificaciones y diplomados, destinados a perfeccionar conocimientos y habilidades del personal de servicio público en temas de género, violencia de género, derechos humanos, masculinidades positivas, protocolos y búsqueda de personas desaparecidas, contención emocional y demás temas derivados de las alertas.</w:t>
      </w:r>
    </w:p>
    <w:p w14:paraId="6119BF6C" w14:textId="77777777" w:rsidR="00B15CE7" w:rsidRDefault="00B15CE7" w:rsidP="00B15CE7">
      <w:pPr>
        <w:spacing w:line="240" w:lineRule="auto"/>
        <w:ind w:left="567" w:right="567"/>
        <w:rPr>
          <w:rFonts w:eastAsia="Times New Roman" w:cs="Times New Roman"/>
          <w:i/>
          <w:sz w:val="22"/>
          <w:szCs w:val="24"/>
          <w:lang w:val="es-MX" w:eastAsia="es-ES"/>
        </w:rPr>
      </w:pPr>
    </w:p>
    <w:p w14:paraId="53BFD7C1" w14:textId="77777777" w:rsidR="00B15CE7" w:rsidRPr="00B15CE7" w:rsidRDefault="00B15CE7" w:rsidP="00B15CE7">
      <w:pPr>
        <w:spacing w:line="240" w:lineRule="auto"/>
        <w:ind w:left="567" w:right="567"/>
        <w:rPr>
          <w:rFonts w:eastAsia="Times New Roman" w:cs="Times New Roman"/>
          <w:b/>
          <w:bCs/>
          <w:i/>
          <w:sz w:val="22"/>
          <w:szCs w:val="24"/>
          <w:lang w:eastAsia="es-ES"/>
        </w:rPr>
      </w:pPr>
      <w:r w:rsidRPr="00B15CE7">
        <w:rPr>
          <w:rFonts w:eastAsia="Times New Roman" w:cs="Times New Roman"/>
          <w:b/>
          <w:bCs/>
          <w:i/>
          <w:sz w:val="22"/>
          <w:szCs w:val="24"/>
          <w:lang w:eastAsia="es-ES"/>
        </w:rPr>
        <w:t xml:space="preserve">III. Medidas de atención, asistencia y reparación a víctimas </w:t>
      </w:r>
    </w:p>
    <w:p w14:paraId="7910A125" w14:textId="77777777" w:rsid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i/>
          <w:sz w:val="22"/>
          <w:szCs w:val="24"/>
          <w:lang w:eastAsia="es-ES"/>
        </w:rPr>
        <w:t xml:space="preserve">Generar mecanismos que permitan el acceso a la justicia a la población que, por su condición sociodemográfica, razones de género y/o discapacidad se encuentren en situación de rezago, a través de la adecuación de los edificios públicos, la instalación de programas itinerantes de atención multidisciplinaria y actividades de proximidad por conducto de Unidades Móviles. </w:t>
      </w:r>
    </w:p>
    <w:p w14:paraId="258F2945" w14:textId="77777777" w:rsidR="00B15CE7" w:rsidRDefault="00B15CE7" w:rsidP="00B15CE7">
      <w:pPr>
        <w:spacing w:line="240" w:lineRule="auto"/>
        <w:ind w:left="567" w:right="567"/>
        <w:rPr>
          <w:rFonts w:eastAsia="Times New Roman" w:cs="Times New Roman"/>
          <w:i/>
          <w:sz w:val="22"/>
          <w:szCs w:val="24"/>
          <w:lang w:eastAsia="es-ES"/>
        </w:rPr>
      </w:pPr>
    </w:p>
    <w:p w14:paraId="27FB2761" w14:textId="77777777" w:rsidR="00B15CE7" w:rsidRPr="00B15CE7" w:rsidRDefault="00B15CE7" w:rsidP="00B15CE7">
      <w:pPr>
        <w:spacing w:line="240" w:lineRule="auto"/>
        <w:ind w:left="567" w:right="567"/>
        <w:rPr>
          <w:rFonts w:eastAsia="Times New Roman" w:cs="Times New Roman"/>
          <w:b/>
          <w:bCs/>
          <w:i/>
          <w:sz w:val="22"/>
          <w:szCs w:val="24"/>
          <w:lang w:eastAsia="es-ES"/>
        </w:rPr>
      </w:pPr>
      <w:r w:rsidRPr="00B15CE7">
        <w:rPr>
          <w:rFonts w:eastAsia="Times New Roman" w:cs="Times New Roman"/>
          <w:b/>
          <w:bCs/>
          <w:i/>
          <w:sz w:val="22"/>
          <w:szCs w:val="24"/>
          <w:lang w:eastAsia="es-ES"/>
        </w:rPr>
        <w:t xml:space="preserve">IV. Búsqueda </w:t>
      </w:r>
    </w:p>
    <w:p w14:paraId="6B922DC4" w14:textId="77777777" w:rsid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i/>
          <w:sz w:val="22"/>
          <w:szCs w:val="24"/>
          <w:lang w:eastAsia="es-ES"/>
        </w:rPr>
        <w:t xml:space="preserve">Adquisición de Servicios Profesionales para adiestramiento y equipamiento de personal de servicio público integrante de la Policía de Género y Células de Búsqueda para el uso adecuado de herramientas y tecnología adquirida para la Búsqueda y Localización de personas desaparecidas. Toda adquisición de recursos materiales, para los efectos de este apartado deberá ser sometida a consenso del Comité Técnico. </w:t>
      </w:r>
    </w:p>
    <w:p w14:paraId="32CDD6AD" w14:textId="77777777" w:rsidR="00B15CE7" w:rsidRDefault="00B15CE7" w:rsidP="00B15CE7">
      <w:pPr>
        <w:spacing w:line="240" w:lineRule="auto"/>
        <w:ind w:left="567" w:right="567"/>
        <w:rPr>
          <w:rFonts w:eastAsia="Times New Roman" w:cs="Times New Roman"/>
          <w:i/>
          <w:sz w:val="22"/>
          <w:szCs w:val="24"/>
          <w:lang w:eastAsia="es-ES"/>
        </w:rPr>
      </w:pPr>
    </w:p>
    <w:p w14:paraId="3D6A4F0D" w14:textId="77777777" w:rsidR="00B15CE7" w:rsidRPr="00B15CE7" w:rsidRDefault="00B15CE7" w:rsidP="00B15CE7">
      <w:pPr>
        <w:spacing w:line="240" w:lineRule="auto"/>
        <w:ind w:left="567" w:right="567"/>
        <w:rPr>
          <w:rFonts w:eastAsia="Times New Roman" w:cs="Times New Roman"/>
          <w:b/>
          <w:bCs/>
          <w:i/>
          <w:sz w:val="22"/>
          <w:szCs w:val="24"/>
          <w:lang w:eastAsia="es-ES"/>
        </w:rPr>
      </w:pPr>
      <w:r w:rsidRPr="00B15CE7">
        <w:rPr>
          <w:rFonts w:eastAsia="Times New Roman" w:cs="Times New Roman"/>
          <w:b/>
          <w:bCs/>
          <w:i/>
          <w:sz w:val="22"/>
          <w:szCs w:val="24"/>
          <w:lang w:eastAsia="es-ES"/>
        </w:rPr>
        <w:t xml:space="preserve">V. Espacios Públicos </w:t>
      </w:r>
    </w:p>
    <w:p w14:paraId="469B743C" w14:textId="77777777" w:rsidR="00B15CE7" w:rsidRDefault="00B15CE7" w:rsidP="00B15CE7">
      <w:pPr>
        <w:spacing w:line="240" w:lineRule="auto"/>
        <w:ind w:left="567" w:right="567"/>
        <w:rPr>
          <w:rFonts w:eastAsia="Times New Roman" w:cs="Times New Roman"/>
          <w:i/>
          <w:sz w:val="22"/>
          <w:szCs w:val="24"/>
          <w:lang w:eastAsia="es-ES"/>
        </w:rPr>
      </w:pPr>
      <w:r w:rsidRPr="00B15CE7">
        <w:rPr>
          <w:rFonts w:eastAsia="Times New Roman" w:cs="Times New Roman"/>
          <w:i/>
          <w:sz w:val="22"/>
          <w:szCs w:val="24"/>
          <w:lang w:eastAsia="es-ES"/>
        </w:rPr>
        <w:t xml:space="preserve">Identificar los lugares públicos de conformidad a la georreferenciación estatal y municipal, a efecto de invertir de manera focalizada en su recuperación, rehabilitación y adecuación con el objeto de conformar espacios seguros para la población a través de labores de proximidad policial, adquisición e implementación de equipos de iluminación, videograbación y alarmas vecinales. </w:t>
      </w:r>
    </w:p>
    <w:p w14:paraId="729BF7C5" w14:textId="77777777" w:rsidR="00B15CE7" w:rsidRDefault="00B15CE7" w:rsidP="00B15CE7">
      <w:pPr>
        <w:spacing w:line="240" w:lineRule="auto"/>
        <w:ind w:left="567" w:right="567"/>
        <w:rPr>
          <w:rFonts w:eastAsia="Times New Roman" w:cs="Times New Roman"/>
          <w:i/>
          <w:sz w:val="22"/>
          <w:szCs w:val="24"/>
          <w:lang w:eastAsia="es-ES"/>
        </w:rPr>
      </w:pPr>
    </w:p>
    <w:p w14:paraId="191D0F1C" w14:textId="77777777" w:rsidR="00B15CE7" w:rsidRPr="00B15CE7" w:rsidRDefault="00B15CE7" w:rsidP="00B15CE7">
      <w:pPr>
        <w:rPr>
          <w:rFonts w:eastAsia="Times New Roman"/>
          <w:lang w:val="es-ES"/>
        </w:rPr>
      </w:pPr>
    </w:p>
    <w:p w14:paraId="0AD96683" w14:textId="68FFD00F" w:rsidR="00B15CE7" w:rsidRPr="00B15CE7" w:rsidRDefault="00B15CE7" w:rsidP="00B15CE7">
      <w:pPr>
        <w:rPr>
          <w:rFonts w:eastAsia="Times New Roman"/>
          <w:lang w:val="es-ES"/>
        </w:rPr>
      </w:pPr>
      <w:r w:rsidRPr="00B15CE7">
        <w:rPr>
          <w:rFonts w:eastAsia="Times New Roman"/>
          <w:lang w:val="es-ES"/>
        </w:rPr>
        <w:lastRenderedPageBreak/>
        <w:t>Así, como puede observarse, en el Estado de México se emitió una declaratoria de alerta de género</w:t>
      </w:r>
      <w:r>
        <w:rPr>
          <w:rFonts w:eastAsia="Times New Roman"/>
          <w:lang w:val="es-ES"/>
        </w:rPr>
        <w:t xml:space="preserve"> en la que </w:t>
      </w:r>
      <w:r w:rsidRPr="00B15CE7">
        <w:rPr>
          <w:rFonts w:eastAsia="Times New Roman"/>
          <w:lang w:val="es-ES"/>
        </w:rPr>
        <w:t>se consideró a once municipios, a saber, los municipios de Chalco, Chimalhuacán, Cuautitlán Izcalli, Ecatepec de Morelos, Ixtapaluca, Naucalpan de Juárez, Nezahualcóyotl, Tlalnepantla de Baz, Toluca, Tultitlán y Valle de Chalco Solidaridad, a efecto de que sus autoridades competentes proporcionaran atención inmediata a los delitos contra las mujeres vinculados a la violencia de género</w:t>
      </w:r>
      <w:r>
        <w:rPr>
          <w:rFonts w:eastAsia="Times New Roman"/>
          <w:lang w:val="es-ES"/>
        </w:rPr>
        <w:t>.</w:t>
      </w:r>
    </w:p>
    <w:p w14:paraId="513E720D" w14:textId="77777777" w:rsidR="00B15CE7" w:rsidRPr="00B15CE7" w:rsidRDefault="00B15CE7" w:rsidP="00B15CE7">
      <w:pPr>
        <w:rPr>
          <w:rFonts w:eastAsia="Times New Roman"/>
          <w:lang w:val="es-ES"/>
        </w:rPr>
      </w:pPr>
    </w:p>
    <w:p w14:paraId="076D91B4" w14:textId="7A3B91A9" w:rsidR="00B15CE7" w:rsidRDefault="00B15CE7" w:rsidP="00B15CE7">
      <w:pPr>
        <w:rPr>
          <w:rFonts w:eastAsia="Times New Roman" w:cs="Times New Roman"/>
          <w:szCs w:val="24"/>
          <w:highlight w:val="yellow"/>
          <w:lang w:val="es-MX"/>
        </w:rPr>
      </w:pPr>
      <w:r w:rsidRPr="00B15CE7">
        <w:rPr>
          <w:rFonts w:eastAsia="Times New Roman"/>
          <w:lang w:val="es-ES"/>
        </w:rPr>
        <w:t xml:space="preserve">En ese sentido, se tiene que </w:t>
      </w:r>
      <w:r w:rsidRPr="00B15CE7">
        <w:rPr>
          <w:rFonts w:eastAsia="Times New Roman"/>
          <w:b/>
          <w:bCs/>
          <w:lang w:val="es-ES"/>
        </w:rPr>
        <w:t>el Sujeto Obligado fue contemplado dentro de los municipios alertados</w:t>
      </w:r>
      <w:r w:rsidRPr="00B15CE7">
        <w:rPr>
          <w:rFonts w:eastAsia="Times New Roman"/>
          <w:lang w:val="es-ES"/>
        </w:rPr>
        <w:t>, por lo que puede colegirse que está obligado a contar con la información relativa a los puntos relacionados con la información derivada de la alerta de género</w:t>
      </w:r>
      <w:r>
        <w:rPr>
          <w:rFonts w:eastAsia="Times New Roman"/>
          <w:lang w:val="es-ES"/>
        </w:rPr>
        <w:t>.</w:t>
      </w:r>
      <w:r w:rsidRPr="00B15CE7">
        <w:rPr>
          <w:rFonts w:eastAsia="Times New Roman" w:cs="Times New Roman"/>
          <w:szCs w:val="24"/>
          <w:highlight w:val="yellow"/>
          <w:lang w:val="es-MX"/>
        </w:rPr>
        <w:t xml:space="preserve"> </w:t>
      </w:r>
    </w:p>
    <w:p w14:paraId="457D7D45" w14:textId="77777777" w:rsidR="00B15CE7" w:rsidRDefault="00B15CE7" w:rsidP="00B15CE7">
      <w:pPr>
        <w:rPr>
          <w:rFonts w:eastAsia="Times New Roman" w:cs="Times New Roman"/>
          <w:szCs w:val="24"/>
          <w:highlight w:val="yellow"/>
          <w:lang w:val="es-MX"/>
        </w:rPr>
      </w:pPr>
    </w:p>
    <w:p w14:paraId="243A5C18" w14:textId="05CF9401" w:rsidR="00B15CE7" w:rsidRPr="004D21EC" w:rsidRDefault="00B15CE7" w:rsidP="00B15CE7">
      <w:pPr>
        <w:rPr>
          <w:rFonts w:eastAsia="Times New Roman" w:cs="Arial"/>
          <w:szCs w:val="24"/>
          <w:lang w:val="es-ES" w:eastAsia="es-ES"/>
        </w:rPr>
      </w:pPr>
      <w:r w:rsidRPr="004D21EC">
        <w:rPr>
          <w:rFonts w:eastAsia="Times New Roman" w:cs="Times New Roman"/>
          <w:szCs w:val="24"/>
          <w:lang w:val="es-MX"/>
        </w:rPr>
        <w:t xml:space="preserve">Bajo este contexto, en términos de los numerales </w:t>
      </w:r>
      <w:r w:rsidRPr="004D21EC">
        <w:rPr>
          <w:rFonts w:eastAsia="Times New Roman" w:cs="Arial"/>
          <w:szCs w:val="24"/>
          <w:lang w:val="es-ES" w:eastAsia="es-ES"/>
        </w:rPr>
        <w:t xml:space="preserve">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DEBD32B" w14:textId="77777777" w:rsidR="00B15CE7" w:rsidRPr="004D21EC" w:rsidRDefault="00B15CE7" w:rsidP="00B15CE7">
      <w:pPr>
        <w:rPr>
          <w:rFonts w:eastAsia="Times New Roman" w:cs="Arial"/>
          <w:szCs w:val="24"/>
          <w:lang w:val="es-MX" w:eastAsia="en-US"/>
        </w:rPr>
      </w:pPr>
    </w:p>
    <w:p w14:paraId="0B10F948" w14:textId="77777777" w:rsidR="00B15CE7" w:rsidRPr="004D21EC" w:rsidRDefault="00B15CE7" w:rsidP="00B15CE7">
      <w:pPr>
        <w:spacing w:line="240" w:lineRule="auto"/>
        <w:ind w:left="851" w:right="851"/>
        <w:rPr>
          <w:rFonts w:eastAsia="Times New Roman" w:cs="Arial"/>
          <w:i/>
          <w:sz w:val="22"/>
          <w:lang w:val="es-MX" w:eastAsia="en-US"/>
        </w:rPr>
      </w:pPr>
      <w:r w:rsidRPr="004D21EC">
        <w:rPr>
          <w:rFonts w:eastAsia="Times New Roman" w:cs="Arial"/>
          <w:i/>
          <w:sz w:val="22"/>
          <w:lang w:val="es-MX" w:eastAsia="en-US"/>
        </w:rPr>
        <w:t>“</w:t>
      </w:r>
      <w:r w:rsidRPr="004D21EC">
        <w:rPr>
          <w:rFonts w:eastAsia="Times New Roman" w:cs="Arial"/>
          <w:b/>
          <w:bCs/>
          <w:i/>
          <w:sz w:val="22"/>
          <w:lang w:val="es-MX" w:eastAsia="en-US"/>
        </w:rPr>
        <w:t>Artículo 18</w:t>
      </w:r>
      <w:r w:rsidRPr="004D21EC">
        <w:rPr>
          <w:rFonts w:eastAsia="Times New Roman" w:cs="Arial"/>
          <w:i/>
          <w:sz w:val="22"/>
          <w:lang w:val="es-MX" w:eastAsia="en-US"/>
        </w:rPr>
        <w:t xml:space="preserve">. Los sujetos obligados deberán documentar todo acto que derive del ejercicio de sus facultades, competencias o funciones, considerando desde su origen la eventual publicidad y reutilización de la información que generen. </w:t>
      </w:r>
    </w:p>
    <w:p w14:paraId="2537FEEC" w14:textId="77777777" w:rsidR="00B15CE7" w:rsidRPr="004D21EC" w:rsidRDefault="00B15CE7" w:rsidP="00B15CE7">
      <w:pPr>
        <w:spacing w:line="240" w:lineRule="auto"/>
        <w:ind w:left="851" w:right="851"/>
        <w:rPr>
          <w:rFonts w:eastAsia="Times New Roman" w:cs="Arial"/>
          <w:i/>
          <w:sz w:val="22"/>
          <w:lang w:val="es-MX" w:eastAsia="en-US"/>
        </w:rPr>
      </w:pPr>
    </w:p>
    <w:p w14:paraId="703B6D50" w14:textId="77777777" w:rsidR="00B15CE7" w:rsidRPr="004D21EC" w:rsidRDefault="00B15CE7" w:rsidP="00B15CE7">
      <w:pPr>
        <w:spacing w:line="240" w:lineRule="auto"/>
        <w:ind w:left="851" w:right="851"/>
        <w:rPr>
          <w:rFonts w:eastAsia="Times New Roman" w:cs="Arial"/>
          <w:i/>
          <w:sz w:val="22"/>
          <w:lang w:val="es-MX" w:eastAsia="en-US"/>
        </w:rPr>
      </w:pPr>
      <w:r w:rsidRPr="004D21EC">
        <w:rPr>
          <w:rFonts w:eastAsia="Times New Roman" w:cs="Arial"/>
          <w:b/>
          <w:bCs/>
          <w:i/>
          <w:sz w:val="22"/>
          <w:lang w:val="es-MX" w:eastAsia="en-US"/>
        </w:rPr>
        <w:t>Artículo 19</w:t>
      </w:r>
      <w:r w:rsidRPr="004D21EC">
        <w:rPr>
          <w:rFonts w:eastAsia="Times New Roman" w:cs="Arial"/>
          <w:i/>
          <w:sz w:val="22"/>
          <w:lang w:val="es-MX" w:eastAsia="en-US"/>
        </w:rPr>
        <w:t xml:space="preserve">. Se presume que la información debe existir si se refiere a las facultades, competencias y funciones que los ordenamientos jurídicos aplicables otorgan a los sujetos obligados. </w:t>
      </w:r>
    </w:p>
    <w:p w14:paraId="32DD7E24" w14:textId="77777777" w:rsidR="00B15CE7" w:rsidRPr="004D21EC" w:rsidRDefault="00B15CE7" w:rsidP="00B15CE7">
      <w:pPr>
        <w:spacing w:line="240" w:lineRule="auto"/>
        <w:ind w:left="851" w:right="851"/>
        <w:rPr>
          <w:rFonts w:eastAsia="Times New Roman" w:cs="Arial"/>
          <w:i/>
          <w:sz w:val="22"/>
          <w:lang w:val="es-MX" w:eastAsia="en-US"/>
        </w:rPr>
      </w:pPr>
    </w:p>
    <w:p w14:paraId="763CEA17" w14:textId="77777777" w:rsidR="00B15CE7" w:rsidRPr="004D21EC" w:rsidRDefault="00B15CE7" w:rsidP="00B15CE7">
      <w:pPr>
        <w:spacing w:line="240" w:lineRule="auto"/>
        <w:ind w:left="851" w:right="851"/>
        <w:rPr>
          <w:rFonts w:eastAsia="Times New Roman" w:cs="Arial"/>
          <w:i/>
          <w:sz w:val="22"/>
          <w:lang w:val="es-MX" w:eastAsia="en-US"/>
        </w:rPr>
      </w:pPr>
      <w:r w:rsidRPr="004D21EC">
        <w:rPr>
          <w:rFonts w:eastAsia="Times New Roman" w:cs="Arial"/>
          <w:i/>
          <w:sz w:val="22"/>
          <w:lang w:val="es-MX" w:eastAsia="en-US"/>
        </w:rPr>
        <w:t xml:space="preserve">En los casos en que ciertas facultades, competencias o funciones no se hayan ejercido, se debe motivar la respuesta en función de las causas que motiven tal circunstancia. </w:t>
      </w:r>
    </w:p>
    <w:p w14:paraId="19ED6B58" w14:textId="77777777" w:rsidR="00B15CE7" w:rsidRPr="004D21EC" w:rsidRDefault="00B15CE7" w:rsidP="00B15CE7">
      <w:pPr>
        <w:spacing w:line="240" w:lineRule="auto"/>
        <w:ind w:left="851" w:right="851"/>
        <w:rPr>
          <w:rFonts w:eastAsia="Times New Roman" w:cs="Arial"/>
          <w:b/>
          <w:bCs/>
          <w:i/>
          <w:szCs w:val="24"/>
          <w:lang w:val="es-MX" w:eastAsia="en-US"/>
        </w:rPr>
      </w:pPr>
      <w:r w:rsidRPr="004D21EC">
        <w:rPr>
          <w:rFonts w:eastAsia="Times New Roman" w:cs="Arial"/>
          <w:i/>
          <w:sz w:val="22"/>
          <w:lang w:val="es-MX" w:eastAsia="en-US"/>
        </w:rPr>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4D21EC">
        <w:rPr>
          <w:rFonts w:eastAsia="Times New Roman" w:cs="Arial"/>
          <w:b/>
          <w:bCs/>
          <w:i/>
          <w:sz w:val="22"/>
          <w:lang w:val="es-MX" w:eastAsia="en-US"/>
        </w:rPr>
        <w:t>(Sic)</w:t>
      </w:r>
    </w:p>
    <w:p w14:paraId="3D7C432A" w14:textId="77777777" w:rsidR="00254146" w:rsidRDefault="00254146" w:rsidP="00DF3C43">
      <w:pPr>
        <w:contextualSpacing/>
        <w:rPr>
          <w:rFonts w:eastAsia="Palatino Linotype" w:cs="Palatino Linotype"/>
          <w:szCs w:val="24"/>
        </w:rPr>
      </w:pPr>
    </w:p>
    <w:p w14:paraId="411FCAE9" w14:textId="77777777" w:rsidR="00FD62E8" w:rsidRDefault="00FD62E8" w:rsidP="00DF3C43">
      <w:pPr>
        <w:contextualSpacing/>
        <w:rPr>
          <w:rFonts w:eastAsia="Palatino Linotype" w:cs="Palatino Linotype"/>
          <w:szCs w:val="24"/>
        </w:rPr>
      </w:pPr>
    </w:p>
    <w:p w14:paraId="1AE293DF" w14:textId="189FB68F" w:rsidR="00346034" w:rsidRDefault="00FD62E8" w:rsidP="00346034">
      <w:pPr>
        <w:pBdr>
          <w:top w:val="nil"/>
          <w:left w:val="nil"/>
          <w:bottom w:val="nil"/>
          <w:right w:val="nil"/>
          <w:between w:val="nil"/>
        </w:pBdr>
        <w:contextualSpacing/>
        <w:rPr>
          <w:rFonts w:eastAsia="Palatino Linotype" w:cs="Palatino Linotype"/>
          <w:color w:val="000000"/>
          <w:szCs w:val="24"/>
        </w:rPr>
      </w:pPr>
      <w:r w:rsidRPr="00B15CE7">
        <w:rPr>
          <w:rFonts w:eastAsia="Palatino Linotype" w:cs="Palatino Linotype"/>
          <w:szCs w:val="24"/>
        </w:rPr>
        <w:t>En conclusión, para colmar a plenitud las pretensiones del Recurrente, se deberá hacer</w:t>
      </w:r>
      <w:r>
        <w:rPr>
          <w:rFonts w:eastAsia="Palatino Linotype" w:cs="Palatino Linotype"/>
          <w:szCs w:val="24"/>
        </w:rPr>
        <w:t xml:space="preserve"> entrega</w:t>
      </w:r>
      <w:r w:rsidR="00346034">
        <w:rPr>
          <w:rFonts w:eastAsia="Palatino Linotype" w:cs="Palatino Linotype"/>
          <w:color w:val="000000"/>
          <w:szCs w:val="24"/>
        </w:rPr>
        <w:t xml:space="preserve">, </w:t>
      </w:r>
      <w:bookmarkStart w:id="2" w:name="_Hlk158215972"/>
      <w:r w:rsidR="00346034">
        <w:rPr>
          <w:rFonts w:eastAsia="Palatino Linotype" w:cs="Palatino Linotype"/>
          <w:color w:val="000000"/>
          <w:szCs w:val="24"/>
        </w:rPr>
        <w:t xml:space="preserve">en relación al </w:t>
      </w:r>
      <w:r w:rsidR="00346034" w:rsidRPr="00346034">
        <w:rPr>
          <w:rFonts w:eastAsia="Palatino Linotype" w:cs="Palatino Linotype"/>
          <w:color w:val="000000"/>
          <w:szCs w:val="24"/>
        </w:rPr>
        <w:t>Acuerdo de la Secretaría de la Mujer por el que se establecen los Mecanismos para la Operación de Recursos para la Mitigación de la Alerta de Violencia de Género Contra las Mujeres por Feminicidio; y la Alerta por Desaparición de Niñas, Adolescentes y Mujeres, para el Estado de México, para el Ejercicio Fiscal 2022</w:t>
      </w:r>
      <w:r w:rsidR="00346034">
        <w:rPr>
          <w:rFonts w:eastAsia="Palatino Linotype" w:cs="Palatino Linotype"/>
          <w:color w:val="000000"/>
          <w:szCs w:val="24"/>
        </w:rPr>
        <w:t>, el o los documentos en donde conste lo siguiente:</w:t>
      </w:r>
    </w:p>
    <w:p w14:paraId="014F9D52" w14:textId="77777777" w:rsidR="00346034" w:rsidRDefault="00346034" w:rsidP="00346034">
      <w:pPr>
        <w:pBdr>
          <w:top w:val="nil"/>
          <w:left w:val="nil"/>
          <w:bottom w:val="nil"/>
          <w:right w:val="nil"/>
          <w:between w:val="nil"/>
        </w:pBdr>
        <w:contextualSpacing/>
        <w:rPr>
          <w:rFonts w:eastAsia="Palatino Linotype" w:cs="Palatino Linotype"/>
          <w:color w:val="000000"/>
          <w:szCs w:val="24"/>
        </w:rPr>
      </w:pPr>
    </w:p>
    <w:p w14:paraId="178C2E41" w14:textId="31F42ECC" w:rsidR="00346034" w:rsidRPr="00B11F81" w:rsidRDefault="00346034" w:rsidP="00346034">
      <w:pPr>
        <w:pStyle w:val="Prrafodelista"/>
        <w:numPr>
          <w:ilvl w:val="0"/>
          <w:numId w:val="2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Presupuesto e</w:t>
      </w:r>
      <w:r w:rsidRPr="00D75A12">
        <w:rPr>
          <w:rFonts w:eastAsia="Palatino Linotype" w:cs="Palatino Linotype"/>
          <w:color w:val="000000"/>
        </w:rPr>
        <w:t xml:space="preserve">jercido </w:t>
      </w:r>
      <w:r>
        <w:rPr>
          <w:rFonts w:eastAsia="Palatino Linotype" w:cs="Palatino Linotype"/>
          <w:color w:val="000000"/>
        </w:rPr>
        <w:t>conforme</w:t>
      </w:r>
      <w:r w:rsidRPr="00D75A12">
        <w:rPr>
          <w:rFonts w:eastAsia="Palatino Linotype" w:cs="Palatino Linotype"/>
          <w:color w:val="000000"/>
        </w:rPr>
        <w:t xml:space="preserve"> a las actividades mencionadas en el artículo 21 del acuerdo </w:t>
      </w:r>
      <w:r>
        <w:rPr>
          <w:rFonts w:eastAsia="Palatino Linotype" w:cs="Palatino Linotype"/>
          <w:color w:val="000000"/>
        </w:rPr>
        <w:t>referido en donde se advierta los p</w:t>
      </w:r>
      <w:r w:rsidRPr="00346034">
        <w:rPr>
          <w:rFonts w:eastAsia="Palatino Linotype" w:cs="Palatino Linotype"/>
          <w:color w:val="000000"/>
        </w:rPr>
        <w:t>roductos o servicios otorgados</w:t>
      </w:r>
      <w:r>
        <w:rPr>
          <w:rFonts w:eastAsia="Palatino Linotype" w:cs="Palatino Linotype"/>
          <w:color w:val="000000"/>
        </w:rPr>
        <w:t xml:space="preserve"> al mayor grado de desagregación posible.</w:t>
      </w:r>
    </w:p>
    <w:p w14:paraId="77D72AFB" w14:textId="494310DB" w:rsidR="00346034" w:rsidRDefault="00346034" w:rsidP="00346034">
      <w:pPr>
        <w:pStyle w:val="Prrafodelista"/>
        <w:numPr>
          <w:ilvl w:val="0"/>
          <w:numId w:val="21"/>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Informe de resultados obtenidos</w:t>
      </w:r>
      <w:r w:rsidRPr="00346034">
        <w:t xml:space="preserve"> </w:t>
      </w:r>
      <w:r w:rsidRPr="00346034">
        <w:rPr>
          <w:rFonts w:eastAsia="Palatino Linotype" w:cs="Palatino Linotype"/>
          <w:color w:val="000000"/>
        </w:rPr>
        <w:t>con los recursos del subsidio</w:t>
      </w:r>
      <w:r>
        <w:rPr>
          <w:rFonts w:eastAsia="Palatino Linotype" w:cs="Palatino Linotype"/>
          <w:color w:val="000000"/>
        </w:rPr>
        <w:t>.</w:t>
      </w:r>
    </w:p>
    <w:bookmarkEnd w:id="2"/>
    <w:p w14:paraId="0C4B2ACC" w14:textId="77777777" w:rsidR="006242FE" w:rsidRDefault="006242FE" w:rsidP="006242FE">
      <w:pPr>
        <w:pBdr>
          <w:top w:val="nil"/>
          <w:left w:val="nil"/>
          <w:bottom w:val="nil"/>
          <w:right w:val="nil"/>
          <w:between w:val="nil"/>
        </w:pBdr>
        <w:contextualSpacing/>
      </w:pPr>
    </w:p>
    <w:p w14:paraId="6431EA37" w14:textId="5646CCC9" w:rsidR="006242FE" w:rsidRPr="004926E7" w:rsidRDefault="006242FE" w:rsidP="006242FE">
      <w:pPr>
        <w:pBdr>
          <w:top w:val="nil"/>
          <w:left w:val="nil"/>
          <w:bottom w:val="nil"/>
          <w:right w:val="nil"/>
          <w:between w:val="nil"/>
        </w:pBdr>
        <w:rPr>
          <w:rFonts w:eastAsia="Palatino Linotype" w:cs="Palatino Linotype"/>
          <w:color w:val="000000"/>
          <w:szCs w:val="24"/>
        </w:rPr>
      </w:pPr>
      <w:r w:rsidRPr="004926E7">
        <w:rPr>
          <w:rFonts w:eastAsia="Palatino Linotype" w:cs="Palatino Linotype"/>
          <w:color w:val="000000"/>
          <w:szCs w:val="24"/>
        </w:rPr>
        <w:t xml:space="preserve">En mérito de lo expuesto en líneas anteriores, este Instituto considera que los motivos de inconformidad planteados por la Recurrente resultan fundados en el recurso de revisión que es materia de esta resolución; por ello </w:t>
      </w:r>
      <w:r w:rsidRPr="004926E7">
        <w:rPr>
          <w:rFonts w:eastAsia="Palatino Linotype" w:cs="Palatino Linotype"/>
          <w:b/>
          <w:color w:val="000000"/>
          <w:szCs w:val="24"/>
        </w:rPr>
        <w:t>con fundamento en la</w:t>
      </w:r>
      <w:r w:rsidR="00331F00">
        <w:rPr>
          <w:rFonts w:eastAsia="Palatino Linotype" w:cs="Palatino Linotype"/>
          <w:b/>
          <w:color w:val="000000"/>
          <w:szCs w:val="24"/>
        </w:rPr>
        <w:t xml:space="preserve"> primera</w:t>
      </w:r>
      <w:r w:rsidRPr="004926E7">
        <w:rPr>
          <w:rFonts w:eastAsia="Palatino Linotype" w:cs="Palatino Linotype"/>
          <w:b/>
          <w:color w:val="000000"/>
          <w:szCs w:val="24"/>
        </w:rPr>
        <w:t xml:space="preserve"> hipótesis de la fracción III del artículo 186 </w:t>
      </w:r>
      <w:r w:rsidRPr="004926E7">
        <w:rPr>
          <w:rFonts w:eastAsia="Palatino Linotype" w:cs="Palatino Linotype"/>
          <w:color w:val="000000"/>
          <w:szCs w:val="24"/>
        </w:rPr>
        <w:t xml:space="preserve">de la Ley de Transparencia y Acceso a la Información Pública del Estado de México y Municipios, se </w:t>
      </w:r>
      <w:r w:rsidR="00331F00">
        <w:rPr>
          <w:rFonts w:eastAsia="Palatino Linotype" w:cs="Palatino Linotype"/>
          <w:b/>
          <w:color w:val="000000"/>
          <w:szCs w:val="24"/>
        </w:rPr>
        <w:t>REVOCA</w:t>
      </w:r>
      <w:r w:rsidRPr="004926E7">
        <w:rPr>
          <w:rFonts w:eastAsia="Palatino Linotype" w:cs="Palatino Linotype"/>
          <w:b/>
          <w:color w:val="000000"/>
          <w:szCs w:val="24"/>
        </w:rPr>
        <w:t xml:space="preserve"> </w:t>
      </w:r>
      <w:r w:rsidRPr="004926E7">
        <w:rPr>
          <w:rFonts w:eastAsia="Palatino Linotype" w:cs="Palatino Linotype"/>
          <w:color w:val="000000"/>
          <w:szCs w:val="24"/>
        </w:rPr>
        <w:t>la respuesta a la solicitud de información número</w:t>
      </w:r>
      <w:r w:rsidRPr="004926E7">
        <w:rPr>
          <w:rFonts w:eastAsia="Palatino Linotype" w:cs="Palatino Linotype"/>
          <w:b/>
          <w:color w:val="000000"/>
          <w:szCs w:val="24"/>
        </w:rPr>
        <w:t xml:space="preserve"> </w:t>
      </w:r>
      <w:r w:rsidR="00346034" w:rsidRPr="00346034">
        <w:rPr>
          <w:rFonts w:eastAsia="Palatino Linotype" w:cs="Palatino Linotype"/>
          <w:b/>
          <w:bCs/>
          <w:color w:val="000000"/>
          <w:szCs w:val="24"/>
        </w:rPr>
        <w:t>00335/IXTAPALU/IP/2023</w:t>
      </w:r>
      <w:r w:rsidRPr="004926E7">
        <w:rPr>
          <w:rFonts w:eastAsia="Palatino Linotype" w:cs="Palatino Linotype"/>
          <w:color w:val="000000"/>
          <w:szCs w:val="24"/>
        </w:rPr>
        <w:t>, que ha sido materia del presente estudio.</w:t>
      </w:r>
    </w:p>
    <w:p w14:paraId="69F32548" w14:textId="77777777" w:rsidR="006242FE" w:rsidRPr="004926E7" w:rsidRDefault="006242FE" w:rsidP="006242FE"/>
    <w:p w14:paraId="2FEA36A4" w14:textId="77777777" w:rsidR="006242FE" w:rsidRPr="004926E7" w:rsidRDefault="006242FE" w:rsidP="006242FE">
      <w:pPr>
        <w:pBdr>
          <w:top w:val="nil"/>
          <w:left w:val="nil"/>
          <w:bottom w:val="nil"/>
          <w:right w:val="nil"/>
          <w:between w:val="nil"/>
        </w:pBdr>
        <w:rPr>
          <w:rFonts w:eastAsia="Palatino Linotype" w:cs="Palatino Linotype"/>
          <w:color w:val="000000"/>
          <w:szCs w:val="24"/>
        </w:rPr>
      </w:pPr>
      <w:r w:rsidRPr="004926E7">
        <w:rPr>
          <w:rFonts w:eastAsia="Palatino Linotype" w:cs="Palatino Linotype"/>
          <w:color w:val="000000"/>
          <w:szCs w:val="24"/>
        </w:rPr>
        <w:t>Por lo antes expuesto y fundado es de resolverse y,</w:t>
      </w:r>
    </w:p>
    <w:p w14:paraId="473EF23E" w14:textId="77777777" w:rsidR="006242FE" w:rsidRDefault="006242FE" w:rsidP="006242FE">
      <w:pPr>
        <w:pBdr>
          <w:top w:val="nil"/>
          <w:left w:val="nil"/>
          <w:bottom w:val="nil"/>
          <w:right w:val="nil"/>
          <w:between w:val="nil"/>
        </w:pBdr>
        <w:rPr>
          <w:rFonts w:eastAsia="Palatino Linotype" w:cs="Palatino Linotype"/>
          <w:color w:val="000000"/>
          <w:szCs w:val="24"/>
        </w:rPr>
      </w:pPr>
    </w:p>
    <w:p w14:paraId="54E004FF" w14:textId="77777777" w:rsidR="006242FE" w:rsidRPr="004926E7" w:rsidRDefault="006242FE" w:rsidP="006242FE">
      <w:pPr>
        <w:pStyle w:val="Ttulo1"/>
        <w:rPr>
          <w:rFonts w:eastAsia="Palatino Linotype"/>
        </w:rPr>
      </w:pPr>
      <w:r w:rsidRPr="004926E7">
        <w:rPr>
          <w:rFonts w:eastAsia="Palatino Linotype"/>
        </w:rPr>
        <w:t>S E    R E S U E L V E</w:t>
      </w:r>
    </w:p>
    <w:p w14:paraId="312C87A0" w14:textId="77777777" w:rsidR="006242FE" w:rsidRPr="00751EAA" w:rsidRDefault="006242FE" w:rsidP="006242FE">
      <w:pPr>
        <w:pBdr>
          <w:top w:val="nil"/>
          <w:left w:val="nil"/>
          <w:bottom w:val="nil"/>
          <w:right w:val="nil"/>
          <w:between w:val="nil"/>
        </w:pBdr>
        <w:rPr>
          <w:rFonts w:eastAsia="Palatino Linotype" w:cs="Palatino Linotype"/>
          <w:b/>
          <w:color w:val="000000"/>
          <w:szCs w:val="24"/>
        </w:rPr>
      </w:pPr>
    </w:p>
    <w:p w14:paraId="145BC890" w14:textId="252FAECA" w:rsidR="006242FE" w:rsidRPr="00751EAA" w:rsidRDefault="006242FE" w:rsidP="006242FE">
      <w:pPr>
        <w:pBdr>
          <w:top w:val="nil"/>
          <w:left w:val="nil"/>
          <w:bottom w:val="nil"/>
          <w:right w:val="nil"/>
          <w:between w:val="nil"/>
        </w:pBdr>
        <w:rPr>
          <w:rFonts w:eastAsia="Palatino Linotype" w:cs="Palatino Linotype"/>
          <w:color w:val="000000"/>
          <w:szCs w:val="24"/>
        </w:rPr>
      </w:pPr>
      <w:r w:rsidRPr="00751EAA">
        <w:rPr>
          <w:rFonts w:eastAsia="Palatino Linotype" w:cs="Palatino Linotype"/>
          <w:b/>
          <w:bCs/>
          <w:color w:val="000000" w:themeColor="text1"/>
          <w:szCs w:val="24"/>
        </w:rPr>
        <w:t>PRIMERO.</w:t>
      </w:r>
      <w:r w:rsidRPr="00751EAA">
        <w:rPr>
          <w:rFonts w:eastAsia="Palatino Linotype" w:cs="Palatino Linotype"/>
          <w:color w:val="000000" w:themeColor="text1"/>
          <w:szCs w:val="24"/>
        </w:rPr>
        <w:t xml:space="preserve"> Se </w:t>
      </w:r>
      <w:r w:rsidR="00331F00">
        <w:rPr>
          <w:rFonts w:eastAsia="Palatino Linotype" w:cs="Palatino Linotype"/>
          <w:b/>
          <w:bCs/>
          <w:color w:val="000000" w:themeColor="text1"/>
          <w:szCs w:val="24"/>
        </w:rPr>
        <w:t>REVOCA</w:t>
      </w:r>
      <w:r w:rsidRPr="00751EAA">
        <w:rPr>
          <w:rFonts w:eastAsia="Palatino Linotype" w:cs="Palatino Linotype"/>
          <w:color w:val="000000" w:themeColor="text1"/>
          <w:szCs w:val="24"/>
        </w:rPr>
        <w:t xml:space="preserve"> la respuesta entregada por el Sujeto Obligado</w:t>
      </w:r>
      <w:r w:rsidRPr="00751EAA">
        <w:rPr>
          <w:rFonts w:eastAsia="Palatino Linotype" w:cs="Palatino Linotype"/>
          <w:b/>
          <w:bCs/>
          <w:color w:val="000000" w:themeColor="text1"/>
          <w:szCs w:val="24"/>
        </w:rPr>
        <w:t xml:space="preserve"> </w:t>
      </w:r>
      <w:r w:rsidRPr="00751EAA">
        <w:rPr>
          <w:rFonts w:eastAsia="Palatino Linotype" w:cs="Palatino Linotype"/>
          <w:color w:val="000000" w:themeColor="text1"/>
          <w:szCs w:val="24"/>
        </w:rPr>
        <w:t xml:space="preserve">a la solicitud de información número </w:t>
      </w:r>
      <w:r w:rsidR="00346034" w:rsidRPr="00346034">
        <w:rPr>
          <w:rFonts w:eastAsia="Palatino Linotype" w:cs="Palatino Linotype"/>
          <w:b/>
          <w:bCs/>
          <w:color w:val="000000"/>
          <w:szCs w:val="24"/>
        </w:rPr>
        <w:t>00335/IXTAPALU/IP/2023</w:t>
      </w:r>
      <w:r w:rsidRPr="00751EAA">
        <w:rPr>
          <w:rFonts w:eastAsia="Palatino Linotype" w:cs="Palatino Linotype"/>
          <w:color w:val="000000" w:themeColor="text1"/>
          <w:szCs w:val="24"/>
        </w:rPr>
        <w:t>, por resultar</w:t>
      </w:r>
      <w:r w:rsidR="00751EAA" w:rsidRPr="00751EAA">
        <w:rPr>
          <w:rFonts w:eastAsia="Palatino Linotype" w:cs="Palatino Linotype"/>
          <w:color w:val="000000" w:themeColor="text1"/>
          <w:szCs w:val="24"/>
        </w:rPr>
        <w:t xml:space="preserve"> </w:t>
      </w:r>
      <w:r w:rsidRPr="00751EAA">
        <w:rPr>
          <w:rFonts w:eastAsia="Palatino Linotype" w:cs="Palatino Linotype"/>
          <w:color w:val="000000" w:themeColor="text1"/>
          <w:szCs w:val="24"/>
        </w:rPr>
        <w:t>fundados los motivos de inconformidad argüidos por el Recurrente, en términos del</w:t>
      </w:r>
      <w:r w:rsidRPr="00751EAA">
        <w:rPr>
          <w:rFonts w:eastAsia="Palatino Linotype" w:cs="Palatino Linotype"/>
          <w:b/>
          <w:bCs/>
          <w:color w:val="000000" w:themeColor="text1"/>
          <w:szCs w:val="24"/>
        </w:rPr>
        <w:t xml:space="preserve"> Considerando </w:t>
      </w:r>
      <w:r w:rsidR="00331F00">
        <w:rPr>
          <w:rFonts w:eastAsia="Palatino Linotype" w:cs="Palatino Linotype"/>
          <w:b/>
          <w:bCs/>
          <w:color w:val="000000" w:themeColor="text1"/>
          <w:szCs w:val="24"/>
        </w:rPr>
        <w:t>CUARTO</w:t>
      </w:r>
      <w:r w:rsidRPr="00751EAA">
        <w:rPr>
          <w:rFonts w:eastAsia="Palatino Linotype" w:cs="Palatino Linotype"/>
          <w:b/>
          <w:bCs/>
          <w:color w:val="000000" w:themeColor="text1"/>
          <w:szCs w:val="24"/>
        </w:rPr>
        <w:t xml:space="preserve"> </w:t>
      </w:r>
      <w:r w:rsidRPr="00751EAA">
        <w:rPr>
          <w:rFonts w:eastAsia="Palatino Linotype" w:cs="Palatino Linotype"/>
          <w:color w:val="000000" w:themeColor="text1"/>
          <w:szCs w:val="24"/>
        </w:rPr>
        <w:t xml:space="preserve">de la presente resolución. </w:t>
      </w:r>
    </w:p>
    <w:p w14:paraId="202A0213" w14:textId="77777777" w:rsidR="006242FE" w:rsidRPr="00751EAA" w:rsidRDefault="006242FE" w:rsidP="006242FE">
      <w:pPr>
        <w:pBdr>
          <w:top w:val="nil"/>
          <w:left w:val="nil"/>
          <w:bottom w:val="nil"/>
          <w:right w:val="nil"/>
          <w:between w:val="nil"/>
        </w:pBdr>
        <w:rPr>
          <w:rFonts w:eastAsia="Palatino Linotype" w:cs="Palatino Linotype"/>
          <w:color w:val="000000"/>
          <w:szCs w:val="24"/>
        </w:rPr>
      </w:pPr>
    </w:p>
    <w:p w14:paraId="7B7DFF31" w14:textId="7E9AEAD0" w:rsidR="00346034" w:rsidRDefault="006242FE" w:rsidP="00346034">
      <w:pPr>
        <w:pBdr>
          <w:top w:val="nil"/>
          <w:left w:val="nil"/>
          <w:bottom w:val="nil"/>
          <w:right w:val="nil"/>
          <w:between w:val="nil"/>
        </w:pBdr>
        <w:contextualSpacing/>
        <w:rPr>
          <w:rFonts w:eastAsia="Palatino Linotype" w:cs="Palatino Linotype"/>
          <w:color w:val="000000"/>
          <w:szCs w:val="24"/>
        </w:rPr>
      </w:pPr>
      <w:r w:rsidRPr="00751EAA">
        <w:rPr>
          <w:rFonts w:eastAsia="Palatino Linotype" w:cs="Palatino Linotype"/>
          <w:b/>
          <w:color w:val="000000"/>
          <w:szCs w:val="24"/>
        </w:rPr>
        <w:t>SEGUNDO.</w:t>
      </w:r>
      <w:r w:rsidRPr="00751EAA">
        <w:rPr>
          <w:rFonts w:eastAsia="Palatino Linotype" w:cs="Palatino Linotype"/>
          <w:color w:val="000000"/>
          <w:szCs w:val="24"/>
        </w:rPr>
        <w:t xml:space="preserve"> Se </w:t>
      </w:r>
      <w:r w:rsidRPr="00751EAA">
        <w:rPr>
          <w:rFonts w:eastAsia="Palatino Linotype" w:cs="Palatino Linotype"/>
          <w:b/>
          <w:color w:val="000000"/>
          <w:szCs w:val="24"/>
        </w:rPr>
        <w:t>ORDENA</w:t>
      </w:r>
      <w:r w:rsidRPr="00751EAA">
        <w:rPr>
          <w:rFonts w:eastAsia="Palatino Linotype" w:cs="Palatino Linotype"/>
          <w:color w:val="000000"/>
          <w:szCs w:val="24"/>
        </w:rPr>
        <w:t xml:space="preserve"> al Sujeto Obligado que </w:t>
      </w:r>
      <w:r w:rsidR="00751EAA" w:rsidRPr="00751EAA">
        <w:rPr>
          <w:rFonts w:eastAsia="Palatino Linotype" w:cs="Palatino Linotype"/>
          <w:color w:val="000000"/>
          <w:szCs w:val="24"/>
        </w:rPr>
        <w:t xml:space="preserve">haga </w:t>
      </w:r>
      <w:r w:rsidRPr="00751EAA">
        <w:rPr>
          <w:rFonts w:eastAsia="Palatino Linotype" w:cs="Palatino Linotype"/>
          <w:color w:val="000000"/>
          <w:szCs w:val="24"/>
        </w:rPr>
        <w:t xml:space="preserve">entrega al Recurrente mediante el Sistema de Acceso a la </w:t>
      </w:r>
      <w:r w:rsidR="00FD62E8">
        <w:rPr>
          <w:rFonts w:eastAsia="Palatino Linotype" w:cs="Palatino Linotype"/>
          <w:color w:val="000000"/>
          <w:szCs w:val="24"/>
        </w:rPr>
        <w:t>Información Mexiquense (SAIMEX)</w:t>
      </w:r>
      <w:r w:rsidRPr="00751EAA">
        <w:rPr>
          <w:rFonts w:eastAsia="Palatino Linotype" w:cs="Palatino Linotype"/>
          <w:color w:val="000000"/>
          <w:szCs w:val="24"/>
        </w:rPr>
        <w:t xml:space="preserve"> y en términos del </w:t>
      </w:r>
      <w:r w:rsidRPr="00751EAA">
        <w:rPr>
          <w:rFonts w:eastAsia="Palatino Linotype" w:cs="Palatino Linotype"/>
          <w:b/>
          <w:color w:val="000000"/>
          <w:szCs w:val="24"/>
        </w:rPr>
        <w:t>Considerando</w:t>
      </w:r>
      <w:r w:rsidR="00751EAA" w:rsidRPr="00751EAA">
        <w:rPr>
          <w:rFonts w:eastAsia="Palatino Linotype" w:cs="Palatino Linotype"/>
          <w:b/>
          <w:color w:val="000000"/>
          <w:szCs w:val="24"/>
        </w:rPr>
        <w:t xml:space="preserve"> </w:t>
      </w:r>
      <w:r w:rsidR="00331F00">
        <w:rPr>
          <w:rFonts w:eastAsia="Palatino Linotype" w:cs="Palatino Linotype"/>
          <w:b/>
          <w:color w:val="000000"/>
          <w:szCs w:val="24"/>
        </w:rPr>
        <w:t>CUARTO</w:t>
      </w:r>
      <w:r w:rsidRPr="00751EAA">
        <w:rPr>
          <w:rFonts w:eastAsia="Palatino Linotype" w:cs="Palatino Linotype"/>
          <w:color w:val="000000"/>
          <w:szCs w:val="24"/>
        </w:rPr>
        <w:t xml:space="preserve">, </w:t>
      </w:r>
      <w:r w:rsidR="00346034" w:rsidRPr="00F974EC">
        <w:rPr>
          <w:rFonts w:eastAsia="Palatino Linotype" w:cs="Palatino Linotype"/>
          <w:color w:val="000000"/>
          <w:szCs w:val="24"/>
          <w:u w:val="single"/>
        </w:rPr>
        <w:t>en relación al Acuerdo de la Secretaría de la Mujer por el que se establecen los Mecanismos para la Operación de Recursos para la Mitigación de la Alerta de Violencia de Género Contra las Mujeres por Feminicidio; y la Alerta por Desaparición de Niñas, Adolescentes y Mujeres, para el Estado de México, para el Ejercicio Fiscal 2022</w:t>
      </w:r>
      <w:r w:rsidR="00346034">
        <w:rPr>
          <w:rFonts w:eastAsia="Palatino Linotype" w:cs="Palatino Linotype"/>
          <w:color w:val="000000"/>
          <w:szCs w:val="24"/>
        </w:rPr>
        <w:t>, del o los documentos en donde conste lo siguiente:</w:t>
      </w:r>
    </w:p>
    <w:p w14:paraId="2BB3E2CE" w14:textId="77777777" w:rsidR="00346034" w:rsidRDefault="00346034" w:rsidP="00346034">
      <w:pPr>
        <w:pBdr>
          <w:top w:val="nil"/>
          <w:left w:val="nil"/>
          <w:bottom w:val="nil"/>
          <w:right w:val="nil"/>
          <w:between w:val="nil"/>
        </w:pBdr>
        <w:contextualSpacing/>
        <w:rPr>
          <w:rFonts w:eastAsia="Palatino Linotype" w:cs="Palatino Linotype"/>
          <w:color w:val="000000"/>
          <w:szCs w:val="24"/>
        </w:rPr>
      </w:pPr>
    </w:p>
    <w:p w14:paraId="2F10B0CF" w14:textId="015561E2" w:rsidR="00346034" w:rsidRDefault="00346034" w:rsidP="00346034">
      <w:pPr>
        <w:pStyle w:val="Prrafodelista"/>
        <w:numPr>
          <w:ilvl w:val="0"/>
          <w:numId w:val="22"/>
        </w:numPr>
        <w:pBdr>
          <w:top w:val="nil"/>
          <w:left w:val="nil"/>
          <w:bottom w:val="nil"/>
          <w:right w:val="nil"/>
          <w:between w:val="nil"/>
        </w:pBdr>
        <w:ind w:left="567" w:right="567"/>
        <w:contextualSpacing/>
        <w:rPr>
          <w:rFonts w:eastAsia="Palatino Linotype" w:cs="Palatino Linotype"/>
          <w:i/>
          <w:iCs/>
          <w:color w:val="000000"/>
        </w:rPr>
      </w:pPr>
      <w:r w:rsidRPr="00346034">
        <w:rPr>
          <w:rFonts w:eastAsia="Palatino Linotype" w:cs="Palatino Linotype"/>
          <w:i/>
          <w:iCs/>
          <w:color w:val="000000"/>
        </w:rPr>
        <w:t>Presupuesto ejercido conforme a las actividades mencionadas en el artículo 21 del acuerdo referido</w:t>
      </w:r>
      <w:r w:rsidR="00F974EC">
        <w:rPr>
          <w:rFonts w:eastAsia="Palatino Linotype" w:cs="Palatino Linotype"/>
          <w:i/>
          <w:iCs/>
          <w:color w:val="000000"/>
        </w:rPr>
        <w:t>,</w:t>
      </w:r>
      <w:r w:rsidRPr="00346034">
        <w:rPr>
          <w:rFonts w:eastAsia="Palatino Linotype" w:cs="Palatino Linotype"/>
          <w:i/>
          <w:iCs/>
          <w:color w:val="000000"/>
        </w:rPr>
        <w:t xml:space="preserve"> en donde se advierta los productos o servicios otorgados al mayor grado de desagregación posible</w:t>
      </w:r>
      <w:r w:rsidR="008876D3">
        <w:rPr>
          <w:rFonts w:eastAsia="Palatino Linotype" w:cs="Palatino Linotype"/>
          <w:i/>
          <w:iCs/>
          <w:color w:val="000000"/>
        </w:rPr>
        <w:t xml:space="preserve"> en el año 2022.</w:t>
      </w:r>
    </w:p>
    <w:p w14:paraId="4BD5EC54" w14:textId="77777777" w:rsidR="00346034" w:rsidRPr="00346034" w:rsidRDefault="00346034" w:rsidP="00346034">
      <w:pPr>
        <w:pStyle w:val="Prrafodelista"/>
        <w:pBdr>
          <w:top w:val="nil"/>
          <w:left w:val="nil"/>
          <w:bottom w:val="nil"/>
          <w:right w:val="nil"/>
          <w:between w:val="nil"/>
        </w:pBdr>
        <w:ind w:left="567" w:right="567"/>
        <w:contextualSpacing/>
        <w:rPr>
          <w:rFonts w:eastAsia="Palatino Linotype" w:cs="Palatino Linotype"/>
          <w:i/>
          <w:iCs/>
          <w:color w:val="000000"/>
        </w:rPr>
      </w:pPr>
    </w:p>
    <w:p w14:paraId="2E5BC2FA" w14:textId="77CE8533" w:rsidR="00346034" w:rsidRDefault="00346034" w:rsidP="00346034">
      <w:pPr>
        <w:pStyle w:val="Prrafodelista"/>
        <w:numPr>
          <w:ilvl w:val="0"/>
          <w:numId w:val="22"/>
        </w:numPr>
        <w:pBdr>
          <w:top w:val="nil"/>
          <w:left w:val="nil"/>
          <w:bottom w:val="nil"/>
          <w:right w:val="nil"/>
          <w:between w:val="nil"/>
        </w:pBdr>
        <w:ind w:left="567" w:right="567"/>
        <w:contextualSpacing/>
        <w:rPr>
          <w:rFonts w:eastAsia="Palatino Linotype" w:cs="Palatino Linotype"/>
          <w:color w:val="000000"/>
        </w:rPr>
      </w:pPr>
      <w:r w:rsidRPr="00346034">
        <w:rPr>
          <w:rFonts w:eastAsia="Palatino Linotype" w:cs="Palatino Linotype"/>
          <w:i/>
          <w:iCs/>
          <w:color w:val="000000"/>
        </w:rPr>
        <w:t>Informe de resultados obtenidos</w:t>
      </w:r>
      <w:r w:rsidRPr="00346034">
        <w:rPr>
          <w:i/>
          <w:iCs/>
        </w:rPr>
        <w:t xml:space="preserve"> </w:t>
      </w:r>
      <w:r w:rsidRPr="00346034">
        <w:rPr>
          <w:rFonts w:eastAsia="Palatino Linotype" w:cs="Palatino Linotype"/>
          <w:i/>
          <w:iCs/>
          <w:color w:val="000000"/>
        </w:rPr>
        <w:t>con los recursos del subsidi</w:t>
      </w:r>
      <w:r w:rsidR="008876D3">
        <w:rPr>
          <w:rFonts w:eastAsia="Palatino Linotype" w:cs="Palatino Linotype"/>
          <w:i/>
          <w:iCs/>
          <w:color w:val="000000"/>
        </w:rPr>
        <w:t>o generados en el año 2022.</w:t>
      </w:r>
    </w:p>
    <w:p w14:paraId="225AD131" w14:textId="1153B921" w:rsidR="00FD62E8" w:rsidRPr="00346034" w:rsidRDefault="00FD62E8" w:rsidP="00346034">
      <w:pPr>
        <w:pBdr>
          <w:top w:val="nil"/>
          <w:left w:val="nil"/>
          <w:bottom w:val="nil"/>
          <w:right w:val="nil"/>
          <w:between w:val="nil"/>
        </w:pBdr>
        <w:ind w:left="567" w:right="567"/>
        <w:rPr>
          <w:rFonts w:eastAsia="Palatino Linotype" w:cs="Palatino Linotype"/>
          <w:b/>
          <w:color w:val="000000"/>
          <w:szCs w:val="24"/>
          <w:lang w:val="es-ES"/>
        </w:rPr>
      </w:pPr>
    </w:p>
    <w:p w14:paraId="3498B40E" w14:textId="77777777" w:rsidR="006242FE" w:rsidRPr="00751EAA" w:rsidRDefault="006242FE" w:rsidP="006242FE">
      <w:pPr>
        <w:pBdr>
          <w:top w:val="nil"/>
          <w:left w:val="nil"/>
          <w:bottom w:val="nil"/>
          <w:right w:val="nil"/>
          <w:between w:val="nil"/>
        </w:pBdr>
        <w:rPr>
          <w:rFonts w:eastAsia="Palatino Linotype" w:cs="Palatino Linotype"/>
          <w:color w:val="000000"/>
          <w:szCs w:val="24"/>
        </w:rPr>
      </w:pPr>
      <w:r w:rsidRPr="00751EAA">
        <w:rPr>
          <w:rFonts w:eastAsia="Palatino Linotype" w:cs="Palatino Linotype"/>
          <w:b/>
          <w:color w:val="000000"/>
          <w:szCs w:val="24"/>
        </w:rPr>
        <w:lastRenderedPageBreak/>
        <w:t>TERCERO. Notifíquese</w:t>
      </w:r>
      <w:r w:rsidRPr="00751EAA">
        <w:rPr>
          <w:rFonts w:eastAsia="Palatino Linotype" w:cs="Palatino Linotype"/>
          <w:b/>
          <w:i/>
          <w:color w:val="000000"/>
          <w:szCs w:val="24"/>
        </w:rPr>
        <w:t xml:space="preserve"> </w:t>
      </w:r>
      <w:r w:rsidRPr="00751EAA">
        <w:rPr>
          <w:rFonts w:eastAsia="Palatino Linotype" w:cs="Palatino Linotype"/>
          <w:color w:val="000000"/>
          <w:szCs w:val="24"/>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4057D3" w14:textId="77777777" w:rsidR="006242FE" w:rsidRPr="00751EAA" w:rsidRDefault="006242FE" w:rsidP="006242FE">
      <w:pPr>
        <w:pBdr>
          <w:top w:val="nil"/>
          <w:left w:val="nil"/>
          <w:bottom w:val="nil"/>
          <w:right w:val="nil"/>
          <w:between w:val="nil"/>
        </w:pBdr>
        <w:rPr>
          <w:rFonts w:eastAsia="Palatino Linotype" w:cs="Palatino Linotype"/>
          <w:b/>
          <w:color w:val="000000"/>
          <w:szCs w:val="24"/>
        </w:rPr>
      </w:pPr>
    </w:p>
    <w:p w14:paraId="7C761237" w14:textId="77777777" w:rsidR="006242FE" w:rsidRPr="00751EAA" w:rsidRDefault="006242FE" w:rsidP="006242FE">
      <w:pPr>
        <w:pBdr>
          <w:top w:val="nil"/>
          <w:left w:val="nil"/>
          <w:bottom w:val="nil"/>
          <w:right w:val="nil"/>
          <w:between w:val="nil"/>
        </w:pBdr>
        <w:rPr>
          <w:rFonts w:eastAsia="Palatino Linotype" w:cs="Palatino Linotype"/>
          <w:color w:val="000000"/>
          <w:szCs w:val="24"/>
        </w:rPr>
      </w:pPr>
      <w:r w:rsidRPr="00751EAA">
        <w:rPr>
          <w:rFonts w:eastAsia="Palatino Linotype" w:cs="Palatino Linotype"/>
          <w:b/>
          <w:color w:val="000000"/>
          <w:szCs w:val="24"/>
        </w:rPr>
        <w:t xml:space="preserve">CUARTO. </w:t>
      </w:r>
      <w:r w:rsidRPr="00751EAA">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8A5BCA5" w14:textId="77777777" w:rsidR="006242FE" w:rsidRPr="00751EAA" w:rsidRDefault="006242FE" w:rsidP="006242FE">
      <w:pPr>
        <w:pBdr>
          <w:top w:val="nil"/>
          <w:left w:val="nil"/>
          <w:bottom w:val="nil"/>
          <w:right w:val="nil"/>
          <w:between w:val="nil"/>
        </w:pBdr>
        <w:rPr>
          <w:rFonts w:eastAsia="Palatino Linotype" w:cs="Palatino Linotype"/>
          <w:b/>
          <w:color w:val="000000"/>
          <w:szCs w:val="24"/>
        </w:rPr>
      </w:pPr>
    </w:p>
    <w:p w14:paraId="6942D8BC" w14:textId="77777777" w:rsidR="006242FE" w:rsidRPr="00751EAA" w:rsidRDefault="006242FE" w:rsidP="006242FE">
      <w:pPr>
        <w:contextualSpacing/>
        <w:rPr>
          <w:rFonts w:eastAsia="Palatino Linotype" w:cs="Palatino Linotype"/>
          <w:color w:val="000000"/>
          <w:szCs w:val="24"/>
        </w:rPr>
      </w:pPr>
      <w:r w:rsidRPr="00751EAA">
        <w:rPr>
          <w:rFonts w:eastAsia="Palatino Linotype" w:cs="Palatino Linotype"/>
          <w:b/>
          <w:color w:val="000000"/>
          <w:szCs w:val="24"/>
        </w:rPr>
        <w:t xml:space="preserve">QUINTO. Notifíquese </w:t>
      </w:r>
      <w:r w:rsidRPr="00751EAA">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w:t>
      </w:r>
      <w:r w:rsidRPr="00751EAA">
        <w:rPr>
          <w:rFonts w:eastAsia="Palatino Linotype" w:cs="Palatino Linotype"/>
          <w:color w:val="000000"/>
          <w:szCs w:val="24"/>
          <w:highlight w:val="white"/>
        </w:rPr>
        <w:t xml:space="preserve"> de conformidad con lo establecido en el artículo 196 de la Ley de Transparencia y Acceso a la Información Pública del Estado de México y Municipios.</w:t>
      </w:r>
    </w:p>
    <w:p w14:paraId="7149165D" w14:textId="1BEBE573" w:rsidR="00B95178" w:rsidRPr="00751EAA" w:rsidRDefault="00B95178" w:rsidP="00D72B70">
      <w:pPr>
        <w:rPr>
          <w:szCs w:val="24"/>
        </w:rPr>
      </w:pPr>
    </w:p>
    <w:p w14:paraId="20573BFF" w14:textId="2BBCF1F7" w:rsidR="00A970D5" w:rsidRPr="006922F5" w:rsidRDefault="00861D35" w:rsidP="000C65DD">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 POR UNANIMIDAD</w:t>
      </w:r>
      <w:r w:rsidR="006922F5">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w:t>
      </w:r>
      <w:r w:rsidR="006922F5" w:rsidRPr="00346034">
        <w:rPr>
          <w:rFonts w:eastAsia="Palatino Linotype" w:cs="Palatino Linotype"/>
          <w:color w:val="000000"/>
          <w:szCs w:val="24"/>
        </w:rPr>
        <w:t>MARÍA DEL ROSARIO MEJÍA AYALA, SHARON CRISTINA MORALES MARTÍNEZ, LUIS GUSTAVO PARRA NORIEGA</w:t>
      </w:r>
      <w:r w:rsidR="00515003" w:rsidRPr="00346034">
        <w:rPr>
          <w:rFonts w:eastAsia="Palatino Linotype" w:cs="Palatino Linotype"/>
          <w:color w:val="000000"/>
          <w:szCs w:val="24"/>
        </w:rPr>
        <w:t xml:space="preserve"> </w:t>
      </w:r>
      <w:r w:rsidR="006922F5" w:rsidRPr="00346034">
        <w:rPr>
          <w:rFonts w:eastAsia="Palatino Linotype" w:cs="Palatino Linotype"/>
          <w:color w:val="000000"/>
          <w:szCs w:val="24"/>
        </w:rPr>
        <w:t xml:space="preserve">Y GUADALUPE RAMÍREZ PEÑA, EN LA </w:t>
      </w:r>
      <w:r w:rsidR="00346034" w:rsidRPr="00346034">
        <w:rPr>
          <w:rFonts w:eastAsia="Palatino Linotype" w:cs="Palatino Linotype"/>
          <w:color w:val="000000"/>
          <w:szCs w:val="24"/>
        </w:rPr>
        <w:t>SEXTA</w:t>
      </w:r>
      <w:r w:rsidR="00F52E1B" w:rsidRPr="00346034">
        <w:rPr>
          <w:rFonts w:eastAsia="Palatino Linotype" w:cs="Palatino Linotype"/>
          <w:color w:val="000000"/>
          <w:szCs w:val="24"/>
        </w:rPr>
        <w:t xml:space="preserve"> </w:t>
      </w:r>
      <w:r w:rsidR="006922F5" w:rsidRPr="00346034">
        <w:rPr>
          <w:rFonts w:eastAsia="Palatino Linotype" w:cs="Palatino Linotype"/>
          <w:color w:val="000000"/>
          <w:szCs w:val="24"/>
        </w:rPr>
        <w:t>SESIÓN ORDINARIA CELEBRADA EL</w:t>
      </w:r>
      <w:r w:rsidR="000D2E93" w:rsidRPr="00346034">
        <w:rPr>
          <w:rFonts w:eastAsia="Palatino Linotype" w:cs="Palatino Linotype"/>
          <w:color w:val="000000"/>
          <w:szCs w:val="24"/>
        </w:rPr>
        <w:t xml:space="preserve"> </w:t>
      </w:r>
      <w:r w:rsidR="0048082B">
        <w:rPr>
          <w:rFonts w:eastAsia="Palatino Linotype" w:cs="Palatino Linotype"/>
          <w:color w:val="000000"/>
          <w:szCs w:val="24"/>
        </w:rPr>
        <w:t>VEINTIUNO</w:t>
      </w:r>
      <w:r w:rsidR="00346034" w:rsidRPr="00346034">
        <w:rPr>
          <w:rFonts w:eastAsia="Palatino Linotype" w:cs="Palatino Linotype"/>
          <w:color w:val="000000"/>
          <w:szCs w:val="24"/>
        </w:rPr>
        <w:t xml:space="preserve"> DE FEBRERO</w:t>
      </w:r>
      <w:r w:rsidR="00697B3A" w:rsidRPr="00346034">
        <w:rPr>
          <w:rFonts w:eastAsia="Palatino Linotype" w:cs="Palatino Linotype"/>
          <w:color w:val="000000"/>
          <w:szCs w:val="24"/>
        </w:rPr>
        <w:t xml:space="preserve"> </w:t>
      </w:r>
      <w:r w:rsidR="002475C3" w:rsidRPr="00346034">
        <w:rPr>
          <w:rFonts w:eastAsia="Palatino Linotype" w:cs="Palatino Linotype"/>
          <w:color w:val="000000"/>
          <w:szCs w:val="24"/>
        </w:rPr>
        <w:t>DE DOS MIL VEINTI</w:t>
      </w:r>
      <w:r w:rsidR="00F52E1B" w:rsidRPr="00346034">
        <w:rPr>
          <w:rFonts w:eastAsia="Palatino Linotype" w:cs="Palatino Linotype"/>
          <w:color w:val="000000"/>
          <w:szCs w:val="24"/>
        </w:rPr>
        <w:t>CUATRO</w:t>
      </w:r>
      <w:r w:rsidR="006922F5">
        <w:rPr>
          <w:rFonts w:eastAsia="Palatino Linotype" w:cs="Palatino Linotype"/>
          <w:color w:val="000000"/>
          <w:szCs w:val="24"/>
        </w:rPr>
        <w:t>, ANTE EL SECRETARIO TÉCNICO DEL PLENO, ALEXIS TAPIA RAMÍREZ</w:t>
      </w:r>
      <w:r w:rsidR="00A970D5" w:rsidRPr="006922F5">
        <w:rPr>
          <w:rFonts w:eastAsia="Palatino Linotype" w:cs="Palatino Linotype"/>
          <w:color w:val="000000"/>
          <w:szCs w:val="24"/>
        </w:rPr>
        <w:t>.---------------------------</w:t>
      </w:r>
      <w:r w:rsidR="000C65DD">
        <w:rPr>
          <w:rFonts w:eastAsia="Palatino Linotype" w:cs="Palatino Linotype"/>
          <w:color w:val="000000"/>
          <w:szCs w:val="24"/>
        </w:rPr>
        <w:t>----------------------------------------------------------------</w:t>
      </w:r>
      <w:r w:rsidR="000C65DD">
        <w:rPr>
          <w:rFonts w:eastAsia="Times New Roman" w:cs="Times New Roman"/>
          <w:szCs w:val="24"/>
          <w:lang w:eastAsia="es-ES"/>
        </w:rPr>
        <w:t>-----------------------------------------------------------------</w:t>
      </w:r>
      <w:r w:rsidR="00751EAA">
        <w:rPr>
          <w:rFonts w:eastAsia="Times New Roman" w:cs="Times New Roman"/>
          <w:szCs w:val="24"/>
          <w:lang w:eastAsia="es-ES"/>
        </w:rPr>
        <w:t>------------------------------</w:t>
      </w:r>
      <w:r w:rsidR="00093F4C">
        <w:rPr>
          <w:rFonts w:eastAsia="Times New Roman" w:cs="Times New Roman"/>
          <w:szCs w:val="24"/>
          <w:lang w:eastAsia="es-ES"/>
        </w:rPr>
        <w:t>-----------------------------------------------------------------------------------------------------------------------------------------------------------------------------------------------------------------------------------------------------------------------------------------------------------------------------------------------------------------------------------------------------------------------------------------------------------------------------------------------------------------------------------------------------------------------------------------------------------------------------------------------------------------------------------------------------------------------------------------------------------------------------------------------------------------------------------------------------------------------------------------------------------------------------------------------------------------------------------------------------------------------------------------------------------------------------------------------------------------------------------------------------------------------------------------------------------------------------------------------------------------------------------------------------------------------------------------------------------------------------------------------------------------------------------------------------------------------------------------------------------------------------------------------------------------------------------------------------------------------</w:t>
      </w:r>
      <w:r w:rsidR="00F52E1B">
        <w:rPr>
          <w:rFonts w:eastAsia="Times New Roman" w:cs="Times New Roman"/>
          <w:szCs w:val="24"/>
          <w:lang w:eastAsia="es-ES"/>
        </w:rPr>
        <w:t>--------------------------------------</w:t>
      </w:r>
    </w:p>
    <w:p w14:paraId="4DA57669" w14:textId="794AA25E" w:rsidR="00A970D5" w:rsidRPr="004B7011" w:rsidRDefault="00A970D5" w:rsidP="00541319">
      <w:pPr>
        <w:pBdr>
          <w:top w:val="nil"/>
          <w:left w:val="nil"/>
          <w:bottom w:val="nil"/>
          <w:right w:val="nil"/>
          <w:between w:val="nil"/>
        </w:pBdr>
        <w:spacing w:line="276"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r w:rsidR="00346034">
        <w:rPr>
          <w:rFonts w:eastAsia="Palatino Linotype" w:cs="Palatino Linotype"/>
          <w:color w:val="000000"/>
          <w:sz w:val="20"/>
          <w:szCs w:val="20"/>
        </w:rPr>
        <w:t>EJDG</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1C8D1" w14:textId="77777777" w:rsidR="0094678A" w:rsidRDefault="0094678A" w:rsidP="00F2498E">
      <w:pPr>
        <w:spacing w:line="240" w:lineRule="auto"/>
      </w:pPr>
      <w:r>
        <w:separator/>
      </w:r>
    </w:p>
  </w:endnote>
  <w:endnote w:type="continuationSeparator" w:id="0">
    <w:p w14:paraId="0A8727A8" w14:textId="77777777" w:rsidR="0094678A" w:rsidRDefault="0094678A" w:rsidP="00F2498E">
      <w:pPr>
        <w:spacing w:line="240" w:lineRule="auto"/>
      </w:pPr>
      <w:r>
        <w:continuationSeparator/>
      </w:r>
    </w:p>
  </w:endnote>
  <w:endnote w:type="continuationNotice" w:id="1">
    <w:p w14:paraId="3C9545B1" w14:textId="77777777" w:rsidR="0094678A" w:rsidRDefault="009467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937E2" w:rsidRPr="00871A91" w:rsidRDefault="00F937E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310A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310A3">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937E2" w:rsidRPr="00871A91" w:rsidRDefault="00F937E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310A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310A3">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44445" w14:textId="77777777" w:rsidR="0094678A" w:rsidRDefault="0094678A" w:rsidP="00F2498E">
      <w:pPr>
        <w:spacing w:line="240" w:lineRule="auto"/>
      </w:pPr>
      <w:r>
        <w:separator/>
      </w:r>
    </w:p>
  </w:footnote>
  <w:footnote w:type="continuationSeparator" w:id="0">
    <w:p w14:paraId="2D76CAB5" w14:textId="77777777" w:rsidR="0094678A" w:rsidRDefault="0094678A" w:rsidP="00F2498E">
      <w:pPr>
        <w:spacing w:line="240" w:lineRule="auto"/>
      </w:pPr>
      <w:r>
        <w:continuationSeparator/>
      </w:r>
    </w:p>
  </w:footnote>
  <w:footnote w:type="continuationNotice" w:id="1">
    <w:p w14:paraId="0333A5D3" w14:textId="77777777" w:rsidR="0094678A" w:rsidRDefault="0094678A">
      <w:pPr>
        <w:spacing w:line="240" w:lineRule="auto"/>
      </w:pPr>
    </w:p>
  </w:footnote>
  <w:footnote w:id="2">
    <w:p w14:paraId="2348F3B8" w14:textId="77777777" w:rsidR="00F937E2" w:rsidRDefault="00F937E2"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F937E2" w:rsidRPr="0031280C" w:rsidRDefault="00F937E2"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F937E2" w:rsidRPr="0031280C" w:rsidRDefault="00F937E2"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F937E2" w:rsidRPr="0031280C" w:rsidRDefault="00F937E2"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F8FFBFE" w14:textId="77777777" w:rsidR="00254146" w:rsidRDefault="00254146" w:rsidP="00254146">
      <w:pPr>
        <w:pStyle w:val="Textonotapie"/>
      </w:pPr>
      <w:r>
        <w:rPr>
          <w:vertAlign w:val="superscript"/>
        </w:rPr>
        <w:footnoteRef/>
      </w:r>
      <w:r>
        <w:t xml:space="preserve"> Consultado el veintidós de enero de dos mil veinticuatro en </w:t>
      </w:r>
      <w:hyperlink r:id="rId3" w:history="1">
        <w:r w:rsidRPr="00AB1673">
          <w:rPr>
            <w:rStyle w:val="Hipervnculo"/>
          </w:rPr>
          <w:t>https://semujeres.edomex.gob.mx/conavim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937E2" w:rsidRDefault="00F310A3">
    <w:pPr>
      <w:pStyle w:val="Encabezado"/>
    </w:pPr>
    <w:r>
      <w:rPr>
        <w:noProof/>
        <w:lang w:val="es-MX" w:eastAsia="es-MX"/>
      </w:rPr>
      <w:pict w14:anchorId="5A65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937E2" w:rsidRPr="00B17577" w14:paraId="37B9EBDE" w14:textId="77777777" w:rsidTr="003938ED">
      <w:trPr>
        <w:trHeight w:val="227"/>
      </w:trPr>
      <w:tc>
        <w:tcPr>
          <w:tcW w:w="5103" w:type="dxa"/>
          <w:hideMark/>
        </w:tcPr>
        <w:p w14:paraId="4964FBC5" w14:textId="54CDA645" w:rsidR="00F937E2" w:rsidRPr="00096248" w:rsidRDefault="00F937E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9AE81F6" w:rsidR="00F937E2" w:rsidRPr="00096248" w:rsidRDefault="001E2571" w:rsidP="00011C4D">
          <w:pPr>
            <w:spacing w:after="120" w:line="240" w:lineRule="auto"/>
            <w:ind w:right="71"/>
            <w:jc w:val="right"/>
            <w:rPr>
              <w:rFonts w:cs="Arial"/>
              <w:b/>
              <w:szCs w:val="24"/>
            </w:rPr>
          </w:pPr>
          <w:r w:rsidRPr="001E2571">
            <w:rPr>
              <w:rFonts w:cs="Arial"/>
              <w:b/>
              <w:bCs/>
              <w:szCs w:val="24"/>
            </w:rPr>
            <w:t>04545/INFOEM/IP/RR/2023</w:t>
          </w:r>
        </w:p>
      </w:tc>
    </w:tr>
    <w:tr w:rsidR="00F937E2" w14:paraId="7591D3C9" w14:textId="77777777" w:rsidTr="003938ED">
      <w:trPr>
        <w:trHeight w:val="242"/>
      </w:trPr>
      <w:tc>
        <w:tcPr>
          <w:tcW w:w="5103" w:type="dxa"/>
          <w:hideMark/>
        </w:tcPr>
        <w:p w14:paraId="729A65A8" w14:textId="77777777" w:rsidR="00F937E2" w:rsidRPr="00096248" w:rsidRDefault="00F937E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A090E53" w:rsidR="00F937E2" w:rsidRPr="00096248" w:rsidRDefault="001E2571" w:rsidP="00011C4D">
          <w:pPr>
            <w:spacing w:after="120" w:line="240" w:lineRule="auto"/>
            <w:ind w:left="-81" w:right="71"/>
            <w:jc w:val="right"/>
            <w:rPr>
              <w:rFonts w:cs="Arial"/>
              <w:szCs w:val="24"/>
            </w:rPr>
          </w:pPr>
          <w:r w:rsidRPr="001E2571">
            <w:rPr>
              <w:rFonts w:cs="Arial"/>
              <w:szCs w:val="24"/>
            </w:rPr>
            <w:t>Ayuntamiento de Ixtapaluca</w:t>
          </w:r>
        </w:p>
      </w:tc>
    </w:tr>
    <w:tr w:rsidR="00F937E2" w:rsidRPr="00F63239" w14:paraId="037E914D" w14:textId="77777777" w:rsidTr="003938ED">
      <w:trPr>
        <w:trHeight w:val="342"/>
      </w:trPr>
      <w:tc>
        <w:tcPr>
          <w:tcW w:w="5103" w:type="dxa"/>
          <w:hideMark/>
        </w:tcPr>
        <w:p w14:paraId="7676B68F" w14:textId="64D69EAF" w:rsidR="00F937E2" w:rsidRPr="00096248" w:rsidRDefault="00F937E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937E2" w:rsidRDefault="00F937E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937E2" w:rsidRPr="00711916" w:rsidRDefault="00F937E2" w:rsidP="00011C4D">
          <w:pPr>
            <w:spacing w:after="120" w:line="240" w:lineRule="auto"/>
            <w:ind w:left="-486" w:right="71" w:firstLine="567"/>
            <w:jc w:val="right"/>
            <w:rPr>
              <w:rFonts w:cs="Arial"/>
              <w:sz w:val="2"/>
              <w:szCs w:val="2"/>
            </w:rPr>
          </w:pPr>
        </w:p>
      </w:tc>
    </w:tr>
  </w:tbl>
  <w:p w14:paraId="2998DBFD" w14:textId="25A9F426" w:rsidR="00F937E2" w:rsidRPr="00871A91" w:rsidRDefault="00F310A3">
    <w:pPr>
      <w:pStyle w:val="Encabezado"/>
      <w:rPr>
        <w:sz w:val="2"/>
      </w:rPr>
    </w:pPr>
    <w:r>
      <w:rPr>
        <w:noProof/>
        <w:lang w:val="es-MX" w:eastAsia="es-MX"/>
      </w:rPr>
      <w:pict w14:anchorId="30F6D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1pt;margin-top:-144.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937E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937E2" w14:paraId="0F9FE9B6" w14:textId="77777777" w:rsidTr="003938ED">
      <w:trPr>
        <w:trHeight w:val="227"/>
      </w:trPr>
      <w:tc>
        <w:tcPr>
          <w:tcW w:w="5103" w:type="dxa"/>
          <w:hideMark/>
        </w:tcPr>
        <w:p w14:paraId="6D1D9D71" w14:textId="11150E5A" w:rsidR="00F937E2" w:rsidRPr="00663A37" w:rsidRDefault="00F937E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70D1331" w:rsidR="00F937E2" w:rsidRPr="00C81ECD" w:rsidRDefault="001E2571" w:rsidP="00011C4D">
          <w:pPr>
            <w:spacing w:after="120" w:line="240" w:lineRule="auto"/>
            <w:ind w:left="-486" w:right="68" w:firstLine="558"/>
            <w:jc w:val="right"/>
            <w:rPr>
              <w:rFonts w:cs="Arial"/>
              <w:b/>
              <w:szCs w:val="24"/>
            </w:rPr>
          </w:pPr>
          <w:r w:rsidRPr="001E2571">
            <w:rPr>
              <w:rFonts w:cs="Arial"/>
              <w:b/>
              <w:bCs/>
              <w:szCs w:val="24"/>
            </w:rPr>
            <w:t>04545/INFOEM/IP/RR/2023</w:t>
          </w:r>
        </w:p>
      </w:tc>
    </w:tr>
    <w:tr w:rsidR="00F937E2" w:rsidRPr="001F57CD" w14:paraId="1377D264" w14:textId="77777777" w:rsidTr="003938ED">
      <w:trPr>
        <w:trHeight w:val="196"/>
      </w:trPr>
      <w:tc>
        <w:tcPr>
          <w:tcW w:w="5103" w:type="dxa"/>
          <w:hideMark/>
        </w:tcPr>
        <w:p w14:paraId="04D597A1" w14:textId="77777777" w:rsidR="00F937E2" w:rsidRPr="00663A37" w:rsidRDefault="00F937E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06C3EE9" w:rsidR="00F937E2" w:rsidRPr="00663A37" w:rsidRDefault="00F310A3" w:rsidP="00657695">
          <w:pPr>
            <w:spacing w:after="120" w:line="240" w:lineRule="auto"/>
            <w:ind w:right="68"/>
            <w:jc w:val="right"/>
            <w:rPr>
              <w:rFonts w:cs="Arial"/>
              <w:szCs w:val="24"/>
            </w:rPr>
          </w:pPr>
          <w:r>
            <w:rPr>
              <w:rFonts w:cs="Arial"/>
              <w:szCs w:val="24"/>
            </w:rPr>
            <w:t>XXXXXXXXXXXX</w:t>
          </w:r>
        </w:p>
      </w:tc>
    </w:tr>
    <w:tr w:rsidR="00F937E2" w14:paraId="4DC11993" w14:textId="77777777" w:rsidTr="003938ED">
      <w:trPr>
        <w:trHeight w:val="242"/>
      </w:trPr>
      <w:tc>
        <w:tcPr>
          <w:tcW w:w="5103" w:type="dxa"/>
          <w:hideMark/>
        </w:tcPr>
        <w:p w14:paraId="76CEF1B5" w14:textId="77777777" w:rsidR="00F937E2" w:rsidRPr="00663A37" w:rsidRDefault="00F937E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14ECA05" w:rsidR="00F937E2" w:rsidRPr="00663A37" w:rsidRDefault="001E2571" w:rsidP="00011C4D">
          <w:pPr>
            <w:spacing w:after="120" w:line="240" w:lineRule="auto"/>
            <w:ind w:left="-70" w:right="68"/>
            <w:jc w:val="right"/>
            <w:rPr>
              <w:rFonts w:cs="Arial"/>
              <w:szCs w:val="24"/>
            </w:rPr>
          </w:pPr>
          <w:r w:rsidRPr="001E2571">
            <w:rPr>
              <w:rFonts w:cs="Arial"/>
              <w:szCs w:val="24"/>
            </w:rPr>
            <w:t>Ayuntamiento de Ixtapaluca</w:t>
          </w:r>
        </w:p>
      </w:tc>
    </w:tr>
    <w:tr w:rsidR="00F937E2" w14:paraId="5C2B511D" w14:textId="77777777" w:rsidTr="003938ED">
      <w:trPr>
        <w:trHeight w:val="342"/>
      </w:trPr>
      <w:tc>
        <w:tcPr>
          <w:tcW w:w="5103" w:type="dxa"/>
          <w:hideMark/>
        </w:tcPr>
        <w:p w14:paraId="03FEF68C" w14:textId="45E91CF4" w:rsidR="00F937E2" w:rsidRPr="00663A37" w:rsidRDefault="00F937E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937E2" w:rsidRPr="00663A37" w:rsidRDefault="00F937E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937E2" w:rsidRPr="00871A91" w:rsidRDefault="00F310A3">
    <w:pPr>
      <w:pStyle w:val="Encabezado"/>
      <w:rPr>
        <w:sz w:val="2"/>
      </w:rPr>
    </w:pPr>
    <w:r>
      <w:rPr>
        <w:noProof/>
        <w:lang w:val="es-MX" w:eastAsia="es-MX"/>
      </w:rPr>
      <w:pict w14:anchorId="42E91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45pt;margin-top:-145.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937E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085F"/>
    <w:multiLevelType w:val="hybridMultilevel"/>
    <w:tmpl w:val="BE3C9792"/>
    <w:lvl w:ilvl="0" w:tplc="7A2E9E62">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A56E0"/>
    <w:multiLevelType w:val="hybridMultilevel"/>
    <w:tmpl w:val="4270478C"/>
    <w:lvl w:ilvl="0" w:tplc="657A8A0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8" w15:restartNumberingAfterBreak="0">
    <w:nsid w:val="38A9786D"/>
    <w:multiLevelType w:val="hybridMultilevel"/>
    <w:tmpl w:val="21FC2960"/>
    <w:lvl w:ilvl="0" w:tplc="D688A2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2751FA9"/>
    <w:multiLevelType w:val="hybridMultilevel"/>
    <w:tmpl w:val="21FC296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57FF287B"/>
    <w:multiLevelType w:val="hybridMultilevel"/>
    <w:tmpl w:val="21FC296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FB3F92"/>
    <w:multiLevelType w:val="multilevel"/>
    <w:tmpl w:val="A886BD2C"/>
    <w:styleLink w:val="Listaactual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C616A2"/>
    <w:multiLevelType w:val="multilevel"/>
    <w:tmpl w:val="6894508A"/>
    <w:styleLink w:val="Listaactual17"/>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2400BA"/>
    <w:multiLevelType w:val="multilevel"/>
    <w:tmpl w:val="5B740750"/>
    <w:styleLink w:val="Listaactual16"/>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4"/>
  </w:num>
  <w:num w:numId="4">
    <w:abstractNumId w:val="20"/>
  </w:num>
  <w:num w:numId="5">
    <w:abstractNumId w:val="2"/>
  </w:num>
  <w:num w:numId="6">
    <w:abstractNumId w:val="17"/>
  </w:num>
  <w:num w:numId="7">
    <w:abstractNumId w:val="3"/>
  </w:num>
  <w:num w:numId="8">
    <w:abstractNumId w:val="1"/>
  </w:num>
  <w:num w:numId="9">
    <w:abstractNumId w:val="6"/>
  </w:num>
  <w:num w:numId="10">
    <w:abstractNumId w:val="7"/>
  </w:num>
  <w:num w:numId="11">
    <w:abstractNumId w:val="21"/>
  </w:num>
  <w:num w:numId="12">
    <w:abstractNumId w:val="19"/>
  </w:num>
  <w:num w:numId="13">
    <w:abstractNumId w:val="9"/>
  </w:num>
  <w:num w:numId="14">
    <w:abstractNumId w:val="12"/>
  </w:num>
  <w:num w:numId="15">
    <w:abstractNumId w:val="0"/>
  </w:num>
  <w:num w:numId="16">
    <w:abstractNumId w:val="15"/>
  </w:num>
  <w:num w:numId="17">
    <w:abstractNumId w:val="18"/>
  </w:num>
  <w:num w:numId="18">
    <w:abstractNumId w:val="16"/>
  </w:num>
  <w:num w:numId="19">
    <w:abstractNumId w:val="5"/>
  </w:num>
  <w:num w:numId="20">
    <w:abstractNumId w:val="8"/>
  </w:num>
  <w:num w:numId="21">
    <w:abstractNumId w:val="11"/>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17DEA"/>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46EF2"/>
    <w:rsid w:val="00050D85"/>
    <w:rsid w:val="00050FF1"/>
    <w:rsid w:val="00051732"/>
    <w:rsid w:val="00051F5E"/>
    <w:rsid w:val="00051FD0"/>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3F4C"/>
    <w:rsid w:val="00094B23"/>
    <w:rsid w:val="00094FD7"/>
    <w:rsid w:val="000951B9"/>
    <w:rsid w:val="0009609D"/>
    <w:rsid w:val="00096248"/>
    <w:rsid w:val="000A00BB"/>
    <w:rsid w:val="000A110B"/>
    <w:rsid w:val="000A1D0D"/>
    <w:rsid w:val="000A1D2C"/>
    <w:rsid w:val="000A2CA6"/>
    <w:rsid w:val="000A2F65"/>
    <w:rsid w:val="000A3F41"/>
    <w:rsid w:val="000A4202"/>
    <w:rsid w:val="000A5890"/>
    <w:rsid w:val="000A5EA1"/>
    <w:rsid w:val="000A7D80"/>
    <w:rsid w:val="000B1F27"/>
    <w:rsid w:val="000B2390"/>
    <w:rsid w:val="000B28CF"/>
    <w:rsid w:val="000B4159"/>
    <w:rsid w:val="000B491D"/>
    <w:rsid w:val="000B51CE"/>
    <w:rsid w:val="000B5608"/>
    <w:rsid w:val="000B65C3"/>
    <w:rsid w:val="000C01A1"/>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265AA"/>
    <w:rsid w:val="00130C18"/>
    <w:rsid w:val="00131C40"/>
    <w:rsid w:val="00131C6C"/>
    <w:rsid w:val="00131F2D"/>
    <w:rsid w:val="001321ED"/>
    <w:rsid w:val="00133F26"/>
    <w:rsid w:val="001345FB"/>
    <w:rsid w:val="001360B8"/>
    <w:rsid w:val="0013657B"/>
    <w:rsid w:val="00136A94"/>
    <w:rsid w:val="0014092A"/>
    <w:rsid w:val="00141EAA"/>
    <w:rsid w:val="00142D35"/>
    <w:rsid w:val="00143916"/>
    <w:rsid w:val="00143D2A"/>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017A"/>
    <w:rsid w:val="00171192"/>
    <w:rsid w:val="00171AAD"/>
    <w:rsid w:val="00171BBC"/>
    <w:rsid w:val="00171F77"/>
    <w:rsid w:val="0017292D"/>
    <w:rsid w:val="00172A87"/>
    <w:rsid w:val="0017523B"/>
    <w:rsid w:val="00175B42"/>
    <w:rsid w:val="0017633C"/>
    <w:rsid w:val="00176522"/>
    <w:rsid w:val="001809A8"/>
    <w:rsid w:val="00181A9D"/>
    <w:rsid w:val="00181BE3"/>
    <w:rsid w:val="001823E3"/>
    <w:rsid w:val="00182FC0"/>
    <w:rsid w:val="00183990"/>
    <w:rsid w:val="00183F45"/>
    <w:rsid w:val="00184AEA"/>
    <w:rsid w:val="0018577B"/>
    <w:rsid w:val="00185C61"/>
    <w:rsid w:val="00190766"/>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790"/>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571"/>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2FC9"/>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51E99"/>
    <w:rsid w:val="00252443"/>
    <w:rsid w:val="002530AE"/>
    <w:rsid w:val="0025386E"/>
    <w:rsid w:val="00254146"/>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059D"/>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4651"/>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431"/>
    <w:rsid w:val="002C6B4C"/>
    <w:rsid w:val="002C7329"/>
    <w:rsid w:val="002C7EC4"/>
    <w:rsid w:val="002D15F2"/>
    <w:rsid w:val="002D2F05"/>
    <w:rsid w:val="002D2F64"/>
    <w:rsid w:val="002D4810"/>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02C3"/>
    <w:rsid w:val="002F2B54"/>
    <w:rsid w:val="002F368E"/>
    <w:rsid w:val="002F3AAF"/>
    <w:rsid w:val="002F40FF"/>
    <w:rsid w:val="002F5101"/>
    <w:rsid w:val="002F713F"/>
    <w:rsid w:val="002F799E"/>
    <w:rsid w:val="002F7D3E"/>
    <w:rsid w:val="00300919"/>
    <w:rsid w:val="00302BF3"/>
    <w:rsid w:val="00302D8C"/>
    <w:rsid w:val="00303F92"/>
    <w:rsid w:val="00304386"/>
    <w:rsid w:val="00304EE5"/>
    <w:rsid w:val="00305D70"/>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2AE5"/>
    <w:rsid w:val="00324F09"/>
    <w:rsid w:val="00325C6E"/>
    <w:rsid w:val="003265D6"/>
    <w:rsid w:val="003275F8"/>
    <w:rsid w:val="0033070B"/>
    <w:rsid w:val="00331513"/>
    <w:rsid w:val="00331F00"/>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034"/>
    <w:rsid w:val="00346373"/>
    <w:rsid w:val="003467CD"/>
    <w:rsid w:val="003471F0"/>
    <w:rsid w:val="003505B2"/>
    <w:rsid w:val="0035063B"/>
    <w:rsid w:val="00351AD5"/>
    <w:rsid w:val="00352677"/>
    <w:rsid w:val="0035393E"/>
    <w:rsid w:val="00355981"/>
    <w:rsid w:val="00360189"/>
    <w:rsid w:val="0036188D"/>
    <w:rsid w:val="00362013"/>
    <w:rsid w:val="00362136"/>
    <w:rsid w:val="003623F5"/>
    <w:rsid w:val="0036336C"/>
    <w:rsid w:val="003637A1"/>
    <w:rsid w:val="003647C3"/>
    <w:rsid w:val="00364C0A"/>
    <w:rsid w:val="0037112D"/>
    <w:rsid w:val="003713C2"/>
    <w:rsid w:val="0037172A"/>
    <w:rsid w:val="0037269A"/>
    <w:rsid w:val="0037526D"/>
    <w:rsid w:val="0037545E"/>
    <w:rsid w:val="00376405"/>
    <w:rsid w:val="00377A7E"/>
    <w:rsid w:val="0038157C"/>
    <w:rsid w:val="0038209B"/>
    <w:rsid w:val="003839F9"/>
    <w:rsid w:val="00384E05"/>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243A"/>
    <w:rsid w:val="003A36BD"/>
    <w:rsid w:val="003A3A32"/>
    <w:rsid w:val="003A4262"/>
    <w:rsid w:val="003A53BF"/>
    <w:rsid w:val="003A59A6"/>
    <w:rsid w:val="003A6D5C"/>
    <w:rsid w:val="003A7D55"/>
    <w:rsid w:val="003A7ED9"/>
    <w:rsid w:val="003B02EE"/>
    <w:rsid w:val="003B0DD6"/>
    <w:rsid w:val="003B10FB"/>
    <w:rsid w:val="003B1154"/>
    <w:rsid w:val="003B1752"/>
    <w:rsid w:val="003B279D"/>
    <w:rsid w:val="003B2AAD"/>
    <w:rsid w:val="003B2B83"/>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49CB"/>
    <w:rsid w:val="003E606D"/>
    <w:rsid w:val="003E6470"/>
    <w:rsid w:val="003E6C77"/>
    <w:rsid w:val="003E6E17"/>
    <w:rsid w:val="003E7594"/>
    <w:rsid w:val="003F07BC"/>
    <w:rsid w:val="003F2126"/>
    <w:rsid w:val="003F2491"/>
    <w:rsid w:val="003F308A"/>
    <w:rsid w:val="003F4582"/>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67"/>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E09"/>
    <w:rsid w:val="004728C4"/>
    <w:rsid w:val="00473538"/>
    <w:rsid w:val="0047369A"/>
    <w:rsid w:val="00473C7A"/>
    <w:rsid w:val="00474095"/>
    <w:rsid w:val="00474C35"/>
    <w:rsid w:val="004750A1"/>
    <w:rsid w:val="004769A4"/>
    <w:rsid w:val="00480212"/>
    <w:rsid w:val="0048082B"/>
    <w:rsid w:val="00480D99"/>
    <w:rsid w:val="00482C8B"/>
    <w:rsid w:val="00482D0F"/>
    <w:rsid w:val="004834FE"/>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62CD"/>
    <w:rsid w:val="00497395"/>
    <w:rsid w:val="004A0E7A"/>
    <w:rsid w:val="004A2091"/>
    <w:rsid w:val="004A212C"/>
    <w:rsid w:val="004A25F8"/>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80F"/>
    <w:rsid w:val="004C4BB7"/>
    <w:rsid w:val="004C6779"/>
    <w:rsid w:val="004C7D54"/>
    <w:rsid w:val="004D069A"/>
    <w:rsid w:val="004D0CC4"/>
    <w:rsid w:val="004D11A8"/>
    <w:rsid w:val="004D21EC"/>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5A73"/>
    <w:rsid w:val="004F60C9"/>
    <w:rsid w:val="004F662C"/>
    <w:rsid w:val="004F6671"/>
    <w:rsid w:val="004F78C4"/>
    <w:rsid w:val="00500E29"/>
    <w:rsid w:val="00501E92"/>
    <w:rsid w:val="005025C7"/>
    <w:rsid w:val="00504B42"/>
    <w:rsid w:val="00506DB2"/>
    <w:rsid w:val="00507EFE"/>
    <w:rsid w:val="0051074E"/>
    <w:rsid w:val="00510856"/>
    <w:rsid w:val="00510870"/>
    <w:rsid w:val="00511A14"/>
    <w:rsid w:val="00511AE4"/>
    <w:rsid w:val="00512A53"/>
    <w:rsid w:val="00513D8C"/>
    <w:rsid w:val="0051421A"/>
    <w:rsid w:val="005142CE"/>
    <w:rsid w:val="0051495F"/>
    <w:rsid w:val="005149AC"/>
    <w:rsid w:val="00514C55"/>
    <w:rsid w:val="00515003"/>
    <w:rsid w:val="005159EC"/>
    <w:rsid w:val="00515E8C"/>
    <w:rsid w:val="00516890"/>
    <w:rsid w:val="00516A4D"/>
    <w:rsid w:val="00517649"/>
    <w:rsid w:val="00520545"/>
    <w:rsid w:val="005205DF"/>
    <w:rsid w:val="00521628"/>
    <w:rsid w:val="0052214D"/>
    <w:rsid w:val="00523CE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523"/>
    <w:rsid w:val="00550ECE"/>
    <w:rsid w:val="005515F8"/>
    <w:rsid w:val="00553B9B"/>
    <w:rsid w:val="0055407F"/>
    <w:rsid w:val="005543AF"/>
    <w:rsid w:val="00554BD4"/>
    <w:rsid w:val="0055572B"/>
    <w:rsid w:val="00555CE3"/>
    <w:rsid w:val="0055603D"/>
    <w:rsid w:val="00556978"/>
    <w:rsid w:val="00557515"/>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374"/>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5434"/>
    <w:rsid w:val="005B6B79"/>
    <w:rsid w:val="005B6FFD"/>
    <w:rsid w:val="005B72D5"/>
    <w:rsid w:val="005C0894"/>
    <w:rsid w:val="005C16D1"/>
    <w:rsid w:val="005C196C"/>
    <w:rsid w:val="005C32BE"/>
    <w:rsid w:val="005C3DF3"/>
    <w:rsid w:val="005C44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7E9F"/>
    <w:rsid w:val="005F1439"/>
    <w:rsid w:val="005F21B0"/>
    <w:rsid w:val="005F30F1"/>
    <w:rsid w:val="005F3103"/>
    <w:rsid w:val="005F4D3D"/>
    <w:rsid w:val="005F5B10"/>
    <w:rsid w:val="005F6CAB"/>
    <w:rsid w:val="0060129A"/>
    <w:rsid w:val="0060244C"/>
    <w:rsid w:val="006055AB"/>
    <w:rsid w:val="00610A95"/>
    <w:rsid w:val="00613401"/>
    <w:rsid w:val="0061516D"/>
    <w:rsid w:val="00615B10"/>
    <w:rsid w:val="006168EB"/>
    <w:rsid w:val="00616DEB"/>
    <w:rsid w:val="00617415"/>
    <w:rsid w:val="00620DE2"/>
    <w:rsid w:val="006242FE"/>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695"/>
    <w:rsid w:val="006579A2"/>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009"/>
    <w:rsid w:val="00697B3A"/>
    <w:rsid w:val="006A04A9"/>
    <w:rsid w:val="006A3246"/>
    <w:rsid w:val="006A3A42"/>
    <w:rsid w:val="006A3D3F"/>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47B7F"/>
    <w:rsid w:val="007502BD"/>
    <w:rsid w:val="007514FB"/>
    <w:rsid w:val="00751EAA"/>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2A1A"/>
    <w:rsid w:val="007736ED"/>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81C"/>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97C74"/>
    <w:rsid w:val="007A0DC1"/>
    <w:rsid w:val="007A1512"/>
    <w:rsid w:val="007A19E0"/>
    <w:rsid w:val="007A1AB6"/>
    <w:rsid w:val="007A23F8"/>
    <w:rsid w:val="007A2D52"/>
    <w:rsid w:val="007A31AE"/>
    <w:rsid w:val="007A3FFF"/>
    <w:rsid w:val="007A414E"/>
    <w:rsid w:val="007A4C43"/>
    <w:rsid w:val="007A550A"/>
    <w:rsid w:val="007A5B2E"/>
    <w:rsid w:val="007A5C18"/>
    <w:rsid w:val="007A7B5A"/>
    <w:rsid w:val="007B13B0"/>
    <w:rsid w:val="007B28CF"/>
    <w:rsid w:val="007B3B67"/>
    <w:rsid w:val="007B3F26"/>
    <w:rsid w:val="007B4416"/>
    <w:rsid w:val="007B46BF"/>
    <w:rsid w:val="007B6DD8"/>
    <w:rsid w:val="007B7956"/>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4A5E"/>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62F"/>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260"/>
    <w:rsid w:val="00881947"/>
    <w:rsid w:val="00881D64"/>
    <w:rsid w:val="00882C01"/>
    <w:rsid w:val="00882CC7"/>
    <w:rsid w:val="00882E02"/>
    <w:rsid w:val="00883C16"/>
    <w:rsid w:val="008853EC"/>
    <w:rsid w:val="008857B0"/>
    <w:rsid w:val="00885B03"/>
    <w:rsid w:val="00885F19"/>
    <w:rsid w:val="00886866"/>
    <w:rsid w:val="00886880"/>
    <w:rsid w:val="00886B67"/>
    <w:rsid w:val="008876D3"/>
    <w:rsid w:val="00890A94"/>
    <w:rsid w:val="00891CFC"/>
    <w:rsid w:val="00891E79"/>
    <w:rsid w:val="008921AE"/>
    <w:rsid w:val="00895187"/>
    <w:rsid w:val="00895BD3"/>
    <w:rsid w:val="00896EDC"/>
    <w:rsid w:val="008A06D7"/>
    <w:rsid w:val="008A0C9F"/>
    <w:rsid w:val="008A14F6"/>
    <w:rsid w:val="008A1645"/>
    <w:rsid w:val="008A3E6F"/>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B68"/>
    <w:rsid w:val="008C0CAF"/>
    <w:rsid w:val="008C18C1"/>
    <w:rsid w:val="008C2BC9"/>
    <w:rsid w:val="008C3DC2"/>
    <w:rsid w:val="008C4229"/>
    <w:rsid w:val="008C442E"/>
    <w:rsid w:val="008C4943"/>
    <w:rsid w:val="008C5658"/>
    <w:rsid w:val="008C5DCA"/>
    <w:rsid w:val="008C6338"/>
    <w:rsid w:val="008C65B7"/>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753F"/>
    <w:rsid w:val="009118BA"/>
    <w:rsid w:val="00913E51"/>
    <w:rsid w:val="00914986"/>
    <w:rsid w:val="00914DFE"/>
    <w:rsid w:val="0091549C"/>
    <w:rsid w:val="0091614B"/>
    <w:rsid w:val="00916CEC"/>
    <w:rsid w:val="0091735D"/>
    <w:rsid w:val="009202C9"/>
    <w:rsid w:val="00921287"/>
    <w:rsid w:val="0092131F"/>
    <w:rsid w:val="00921595"/>
    <w:rsid w:val="0092174E"/>
    <w:rsid w:val="00925D59"/>
    <w:rsid w:val="00926716"/>
    <w:rsid w:val="009273A8"/>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8A"/>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B89"/>
    <w:rsid w:val="00970C38"/>
    <w:rsid w:val="00971614"/>
    <w:rsid w:val="00972340"/>
    <w:rsid w:val="009752FA"/>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887"/>
    <w:rsid w:val="009C21B4"/>
    <w:rsid w:val="009C3225"/>
    <w:rsid w:val="009C35B4"/>
    <w:rsid w:val="009C3CB8"/>
    <w:rsid w:val="009C3E2A"/>
    <w:rsid w:val="009C4284"/>
    <w:rsid w:val="009C5DC4"/>
    <w:rsid w:val="009C61A3"/>
    <w:rsid w:val="009C66AA"/>
    <w:rsid w:val="009C6B84"/>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4CF0"/>
    <w:rsid w:val="009E620D"/>
    <w:rsid w:val="009E7192"/>
    <w:rsid w:val="009E7F49"/>
    <w:rsid w:val="009F0B98"/>
    <w:rsid w:val="009F1641"/>
    <w:rsid w:val="009F1C46"/>
    <w:rsid w:val="009F1E25"/>
    <w:rsid w:val="009F2079"/>
    <w:rsid w:val="009F2592"/>
    <w:rsid w:val="009F36FB"/>
    <w:rsid w:val="009F3A97"/>
    <w:rsid w:val="009F4BE1"/>
    <w:rsid w:val="009F4FF4"/>
    <w:rsid w:val="009F5541"/>
    <w:rsid w:val="009F5C19"/>
    <w:rsid w:val="009F6493"/>
    <w:rsid w:val="009F69B5"/>
    <w:rsid w:val="009F6EA2"/>
    <w:rsid w:val="009F79AE"/>
    <w:rsid w:val="009F7F22"/>
    <w:rsid w:val="00A004D3"/>
    <w:rsid w:val="00A00FFB"/>
    <w:rsid w:val="00A04C7E"/>
    <w:rsid w:val="00A06896"/>
    <w:rsid w:val="00A0780B"/>
    <w:rsid w:val="00A07CA6"/>
    <w:rsid w:val="00A10FD5"/>
    <w:rsid w:val="00A12981"/>
    <w:rsid w:val="00A13ECD"/>
    <w:rsid w:val="00A14320"/>
    <w:rsid w:val="00A14E83"/>
    <w:rsid w:val="00A151A5"/>
    <w:rsid w:val="00A15263"/>
    <w:rsid w:val="00A159DE"/>
    <w:rsid w:val="00A15DA4"/>
    <w:rsid w:val="00A15E74"/>
    <w:rsid w:val="00A15FB5"/>
    <w:rsid w:val="00A164FB"/>
    <w:rsid w:val="00A16BEA"/>
    <w:rsid w:val="00A175E5"/>
    <w:rsid w:val="00A178C0"/>
    <w:rsid w:val="00A17EA1"/>
    <w:rsid w:val="00A17EDF"/>
    <w:rsid w:val="00A215DD"/>
    <w:rsid w:val="00A21746"/>
    <w:rsid w:val="00A22911"/>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1C0"/>
    <w:rsid w:val="00A65A26"/>
    <w:rsid w:val="00A67625"/>
    <w:rsid w:val="00A67EF4"/>
    <w:rsid w:val="00A73EF9"/>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175"/>
    <w:rsid w:val="00AA646A"/>
    <w:rsid w:val="00AA6C98"/>
    <w:rsid w:val="00AA7316"/>
    <w:rsid w:val="00AA78CE"/>
    <w:rsid w:val="00AA7F42"/>
    <w:rsid w:val="00AB0C12"/>
    <w:rsid w:val="00AB0FA7"/>
    <w:rsid w:val="00AB2605"/>
    <w:rsid w:val="00AB26D5"/>
    <w:rsid w:val="00AB3885"/>
    <w:rsid w:val="00AB49EA"/>
    <w:rsid w:val="00AB4F00"/>
    <w:rsid w:val="00AB58FD"/>
    <w:rsid w:val="00AB5F3B"/>
    <w:rsid w:val="00AC004D"/>
    <w:rsid w:val="00AC09F1"/>
    <w:rsid w:val="00AC2BD0"/>
    <w:rsid w:val="00AC38A9"/>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307F"/>
    <w:rsid w:val="00B04F50"/>
    <w:rsid w:val="00B05CA6"/>
    <w:rsid w:val="00B1073D"/>
    <w:rsid w:val="00B11CD7"/>
    <w:rsid w:val="00B11F81"/>
    <w:rsid w:val="00B1205D"/>
    <w:rsid w:val="00B128F0"/>
    <w:rsid w:val="00B13307"/>
    <w:rsid w:val="00B1367C"/>
    <w:rsid w:val="00B13B7B"/>
    <w:rsid w:val="00B15202"/>
    <w:rsid w:val="00B1553A"/>
    <w:rsid w:val="00B15CE7"/>
    <w:rsid w:val="00B17577"/>
    <w:rsid w:val="00B21861"/>
    <w:rsid w:val="00B21CD1"/>
    <w:rsid w:val="00B23256"/>
    <w:rsid w:val="00B24CF5"/>
    <w:rsid w:val="00B26507"/>
    <w:rsid w:val="00B269CE"/>
    <w:rsid w:val="00B27850"/>
    <w:rsid w:val="00B3055A"/>
    <w:rsid w:val="00B31920"/>
    <w:rsid w:val="00B31CD8"/>
    <w:rsid w:val="00B32535"/>
    <w:rsid w:val="00B3277B"/>
    <w:rsid w:val="00B32B21"/>
    <w:rsid w:val="00B367AA"/>
    <w:rsid w:val="00B36B86"/>
    <w:rsid w:val="00B37176"/>
    <w:rsid w:val="00B373AA"/>
    <w:rsid w:val="00B37787"/>
    <w:rsid w:val="00B40823"/>
    <w:rsid w:val="00B40DF9"/>
    <w:rsid w:val="00B41D08"/>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1B69"/>
    <w:rsid w:val="00B720DB"/>
    <w:rsid w:val="00B72838"/>
    <w:rsid w:val="00B7356B"/>
    <w:rsid w:val="00B737D4"/>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5CAC"/>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2068"/>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109"/>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16F"/>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3BB"/>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372"/>
    <w:rsid w:val="00CE56C5"/>
    <w:rsid w:val="00CE5C3A"/>
    <w:rsid w:val="00CE7E37"/>
    <w:rsid w:val="00CF0972"/>
    <w:rsid w:val="00CF0AE0"/>
    <w:rsid w:val="00CF120B"/>
    <w:rsid w:val="00CF31B4"/>
    <w:rsid w:val="00CF4606"/>
    <w:rsid w:val="00CF4CEF"/>
    <w:rsid w:val="00CF6431"/>
    <w:rsid w:val="00CF6592"/>
    <w:rsid w:val="00CF6E52"/>
    <w:rsid w:val="00D00B10"/>
    <w:rsid w:val="00D01A58"/>
    <w:rsid w:val="00D01DCF"/>
    <w:rsid w:val="00D01F15"/>
    <w:rsid w:val="00D02606"/>
    <w:rsid w:val="00D04514"/>
    <w:rsid w:val="00D05D6D"/>
    <w:rsid w:val="00D062B1"/>
    <w:rsid w:val="00D067C4"/>
    <w:rsid w:val="00D072F8"/>
    <w:rsid w:val="00D076D9"/>
    <w:rsid w:val="00D1139F"/>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67D19"/>
    <w:rsid w:val="00D70514"/>
    <w:rsid w:val="00D71305"/>
    <w:rsid w:val="00D718B8"/>
    <w:rsid w:val="00D71BF7"/>
    <w:rsid w:val="00D71CEC"/>
    <w:rsid w:val="00D7260C"/>
    <w:rsid w:val="00D72B70"/>
    <w:rsid w:val="00D731D0"/>
    <w:rsid w:val="00D738D2"/>
    <w:rsid w:val="00D73CDD"/>
    <w:rsid w:val="00D741C8"/>
    <w:rsid w:val="00D746F0"/>
    <w:rsid w:val="00D74E94"/>
    <w:rsid w:val="00D75395"/>
    <w:rsid w:val="00D75A12"/>
    <w:rsid w:val="00D76565"/>
    <w:rsid w:val="00D766B4"/>
    <w:rsid w:val="00D809E4"/>
    <w:rsid w:val="00D81B85"/>
    <w:rsid w:val="00D81EDD"/>
    <w:rsid w:val="00D8486E"/>
    <w:rsid w:val="00D84EA2"/>
    <w:rsid w:val="00D84F77"/>
    <w:rsid w:val="00D8663B"/>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257"/>
    <w:rsid w:val="00DC4957"/>
    <w:rsid w:val="00DC4AE2"/>
    <w:rsid w:val="00DC4DA9"/>
    <w:rsid w:val="00DC63B3"/>
    <w:rsid w:val="00DC6B6C"/>
    <w:rsid w:val="00DD2877"/>
    <w:rsid w:val="00DD2EDE"/>
    <w:rsid w:val="00DD3144"/>
    <w:rsid w:val="00DD38A3"/>
    <w:rsid w:val="00DD4E55"/>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46C"/>
    <w:rsid w:val="00DF383C"/>
    <w:rsid w:val="00DF3C43"/>
    <w:rsid w:val="00DF4465"/>
    <w:rsid w:val="00DF451B"/>
    <w:rsid w:val="00DF451C"/>
    <w:rsid w:val="00DF5D03"/>
    <w:rsid w:val="00DF6006"/>
    <w:rsid w:val="00DF6955"/>
    <w:rsid w:val="00DF7B01"/>
    <w:rsid w:val="00DF7E4B"/>
    <w:rsid w:val="00E00957"/>
    <w:rsid w:val="00E01DDD"/>
    <w:rsid w:val="00E0349F"/>
    <w:rsid w:val="00E0443E"/>
    <w:rsid w:val="00E0480A"/>
    <w:rsid w:val="00E05F1C"/>
    <w:rsid w:val="00E05FCE"/>
    <w:rsid w:val="00E076EA"/>
    <w:rsid w:val="00E0787C"/>
    <w:rsid w:val="00E120FC"/>
    <w:rsid w:val="00E12D07"/>
    <w:rsid w:val="00E14BA9"/>
    <w:rsid w:val="00E1701F"/>
    <w:rsid w:val="00E2168A"/>
    <w:rsid w:val="00E22FD4"/>
    <w:rsid w:val="00E23A0E"/>
    <w:rsid w:val="00E23EE3"/>
    <w:rsid w:val="00E245A1"/>
    <w:rsid w:val="00E24831"/>
    <w:rsid w:val="00E25228"/>
    <w:rsid w:val="00E27953"/>
    <w:rsid w:val="00E31001"/>
    <w:rsid w:val="00E314BF"/>
    <w:rsid w:val="00E31D22"/>
    <w:rsid w:val="00E34A4E"/>
    <w:rsid w:val="00E35198"/>
    <w:rsid w:val="00E359A5"/>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426D"/>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27C"/>
    <w:rsid w:val="00EE575C"/>
    <w:rsid w:val="00EE58CE"/>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10A3"/>
    <w:rsid w:val="00F3332A"/>
    <w:rsid w:val="00F336BE"/>
    <w:rsid w:val="00F34068"/>
    <w:rsid w:val="00F3421F"/>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2E1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C51"/>
    <w:rsid w:val="00F74FB9"/>
    <w:rsid w:val="00F763E5"/>
    <w:rsid w:val="00F775A3"/>
    <w:rsid w:val="00F77D38"/>
    <w:rsid w:val="00F809C6"/>
    <w:rsid w:val="00F81408"/>
    <w:rsid w:val="00F815F4"/>
    <w:rsid w:val="00F86C5F"/>
    <w:rsid w:val="00F86D62"/>
    <w:rsid w:val="00F874BB"/>
    <w:rsid w:val="00F90DA5"/>
    <w:rsid w:val="00F9118F"/>
    <w:rsid w:val="00F914C6"/>
    <w:rsid w:val="00F92B59"/>
    <w:rsid w:val="00F931A2"/>
    <w:rsid w:val="00F937E2"/>
    <w:rsid w:val="00F95F2A"/>
    <w:rsid w:val="00F97115"/>
    <w:rsid w:val="00F97289"/>
    <w:rsid w:val="00F974EC"/>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6231"/>
    <w:rsid w:val="00FC79E8"/>
    <w:rsid w:val="00FD0A58"/>
    <w:rsid w:val="00FD160B"/>
    <w:rsid w:val="00FD19B7"/>
    <w:rsid w:val="00FD295A"/>
    <w:rsid w:val="00FD39C9"/>
    <w:rsid w:val="00FD3CDC"/>
    <w:rsid w:val="00FD3F64"/>
    <w:rsid w:val="00FD4378"/>
    <w:rsid w:val="00FD508D"/>
    <w:rsid w:val="00FD57A1"/>
    <w:rsid w:val="00FD62E8"/>
    <w:rsid w:val="00FD72C2"/>
    <w:rsid w:val="00FD7D51"/>
    <w:rsid w:val="00FE0B52"/>
    <w:rsid w:val="00FE0E23"/>
    <w:rsid w:val="00FE10DF"/>
    <w:rsid w:val="00FE1867"/>
    <w:rsid w:val="00FE26EC"/>
    <w:rsid w:val="00FE2DFF"/>
    <w:rsid w:val="00FE30A0"/>
    <w:rsid w:val="00FE35A8"/>
    <w:rsid w:val="00FE4867"/>
    <w:rsid w:val="00FE599A"/>
    <w:rsid w:val="00FE663C"/>
    <w:rsid w:val="00FE76FD"/>
    <w:rsid w:val="00FF0847"/>
    <w:rsid w:val="00FF1B49"/>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34"/>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DC4DA9"/>
    <w:pPr>
      <w:numPr>
        <w:numId w:val="16"/>
      </w:numPr>
    </w:pPr>
  </w:style>
  <w:style w:type="numbering" w:customStyle="1" w:styleId="Listaactual16">
    <w:name w:val="Lista actual16"/>
    <w:uiPriority w:val="99"/>
    <w:rsid w:val="00B71B69"/>
    <w:pPr>
      <w:numPr>
        <w:numId w:val="17"/>
      </w:numPr>
    </w:pPr>
  </w:style>
  <w:style w:type="character" w:customStyle="1" w:styleId="Mencinsinresolver3">
    <w:name w:val="Mención sin resolver3"/>
    <w:basedOn w:val="Fuentedeprrafopredeter"/>
    <w:uiPriority w:val="99"/>
    <w:semiHidden/>
    <w:unhideWhenUsed/>
    <w:rsid w:val="00523CED"/>
    <w:rPr>
      <w:color w:val="605E5C"/>
      <w:shd w:val="clear" w:color="auto" w:fill="E1DFDD"/>
    </w:rPr>
  </w:style>
  <w:style w:type="numbering" w:customStyle="1" w:styleId="Listaactual17">
    <w:name w:val="Lista actual17"/>
    <w:uiPriority w:val="99"/>
    <w:rsid w:val="00B21861"/>
    <w:pPr>
      <w:numPr>
        <w:numId w:val="18"/>
      </w:numPr>
    </w:pPr>
  </w:style>
  <w:style w:type="paragraph" w:customStyle="1" w:styleId="Citas">
    <w:name w:val="Citas"/>
    <w:basedOn w:val="Normal"/>
    <w:qFormat/>
    <w:rsid w:val="004D21EC"/>
    <w:pPr>
      <w:spacing w:before="240" w:after="160"/>
      <w:ind w:left="851" w:right="851"/>
    </w:pPr>
    <w:rPr>
      <w:rFonts w:eastAsia="Times New Roman"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mujeres.edomex.gob.mx/conavim"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F295-647A-4696-874F-F11612F0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32</Pages>
  <Words>8149</Words>
  <Characters>44821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20</cp:revision>
  <cp:lastPrinted>2019-06-13T15:30:00Z</cp:lastPrinted>
  <dcterms:created xsi:type="dcterms:W3CDTF">2024-02-07T19:16:00Z</dcterms:created>
  <dcterms:modified xsi:type="dcterms:W3CDTF">2024-03-07T21:58:00Z</dcterms:modified>
</cp:coreProperties>
</file>