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4775F" w14:textId="77777777" w:rsidR="00F776E5" w:rsidRPr="00F22FA8" w:rsidRDefault="00395CBC">
      <w:pPr>
        <w:spacing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veinticinco de septiembre de dos mil veinticuatro. </w:t>
      </w:r>
    </w:p>
    <w:p w14:paraId="20D458EC" w14:textId="77777777" w:rsidR="00F776E5" w:rsidRPr="00F22FA8" w:rsidRDefault="00F776E5">
      <w:pPr>
        <w:spacing w:line="360" w:lineRule="auto"/>
        <w:jc w:val="both"/>
        <w:rPr>
          <w:rFonts w:ascii="Palatino Linotype" w:eastAsia="Palatino Linotype" w:hAnsi="Palatino Linotype" w:cs="Palatino Linotype"/>
          <w:sz w:val="22"/>
          <w:szCs w:val="22"/>
        </w:rPr>
      </w:pPr>
    </w:p>
    <w:p w14:paraId="0D640E4F" w14:textId="77777777" w:rsidR="00F776E5" w:rsidRPr="00F22FA8" w:rsidRDefault="00395CBC">
      <w:pPr>
        <w:spacing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b/>
          <w:sz w:val="22"/>
          <w:szCs w:val="22"/>
        </w:rPr>
        <w:t>Visto</w:t>
      </w:r>
      <w:r w:rsidRPr="00F22FA8">
        <w:rPr>
          <w:rFonts w:ascii="Palatino Linotype" w:eastAsia="Palatino Linotype" w:hAnsi="Palatino Linotype" w:cs="Palatino Linotype"/>
          <w:sz w:val="22"/>
          <w:szCs w:val="22"/>
        </w:rPr>
        <w:t xml:space="preserve"> el expediente relativo al recurso de revisión </w:t>
      </w:r>
      <w:r w:rsidRPr="00F22FA8">
        <w:rPr>
          <w:rFonts w:ascii="Palatino Linotype" w:eastAsia="Palatino Linotype" w:hAnsi="Palatino Linotype" w:cs="Palatino Linotype"/>
          <w:b/>
          <w:sz w:val="22"/>
          <w:szCs w:val="22"/>
        </w:rPr>
        <w:t>04139/INFOEM/IP/RR/2024</w:t>
      </w:r>
      <w:r w:rsidRPr="00F22FA8">
        <w:rPr>
          <w:rFonts w:ascii="Palatino Linotype" w:eastAsia="Palatino Linotype" w:hAnsi="Palatino Linotype" w:cs="Palatino Linotype"/>
          <w:sz w:val="22"/>
          <w:szCs w:val="22"/>
        </w:rPr>
        <w:t xml:space="preserve">, interpuesto por </w:t>
      </w:r>
      <w:r w:rsidRPr="00F22FA8">
        <w:rPr>
          <w:rFonts w:ascii="Palatino Linotype" w:eastAsia="Palatino Linotype" w:hAnsi="Palatino Linotype" w:cs="Palatino Linotype"/>
          <w:b/>
          <w:sz w:val="22"/>
          <w:szCs w:val="22"/>
        </w:rPr>
        <w:t xml:space="preserve">una persona usuaria del Sistema de Acceso a la Información Mexiquense, </w:t>
      </w:r>
      <w:r w:rsidRPr="00F22FA8">
        <w:rPr>
          <w:rFonts w:ascii="Palatino Linotype" w:eastAsia="Palatino Linotype" w:hAnsi="Palatino Linotype" w:cs="Palatino Linotype"/>
          <w:sz w:val="22"/>
          <w:szCs w:val="22"/>
        </w:rPr>
        <w:t>en lo sucesivo se le denominará la parte</w:t>
      </w:r>
      <w:r w:rsidRPr="00F22FA8">
        <w:rPr>
          <w:rFonts w:ascii="Palatino Linotype" w:eastAsia="Palatino Linotype" w:hAnsi="Palatino Linotype" w:cs="Palatino Linotype"/>
          <w:b/>
          <w:sz w:val="22"/>
          <w:szCs w:val="22"/>
        </w:rPr>
        <w:t xml:space="preserve"> Recurrente</w:t>
      </w:r>
      <w:r w:rsidRPr="00F22FA8">
        <w:rPr>
          <w:rFonts w:ascii="Palatino Linotype" w:eastAsia="Palatino Linotype" w:hAnsi="Palatino Linotype" w:cs="Palatino Linotype"/>
          <w:sz w:val="22"/>
          <w:szCs w:val="22"/>
        </w:rPr>
        <w:t>, en contra de la respuesta a su solicitud de información con número de folio</w:t>
      </w:r>
      <w:r w:rsidRPr="00F22FA8">
        <w:rPr>
          <w:rFonts w:ascii="Palatino Linotype" w:eastAsia="Palatino Linotype" w:hAnsi="Palatino Linotype" w:cs="Palatino Linotype"/>
          <w:b/>
          <w:sz w:val="22"/>
          <w:szCs w:val="22"/>
        </w:rPr>
        <w:t xml:space="preserve"> 00422/SMOV/IP/2024</w:t>
      </w:r>
      <w:r w:rsidRPr="00F22FA8">
        <w:rPr>
          <w:rFonts w:ascii="Palatino Linotype" w:eastAsia="Palatino Linotype" w:hAnsi="Palatino Linotype" w:cs="Palatino Linotype"/>
          <w:sz w:val="22"/>
          <w:szCs w:val="22"/>
        </w:rPr>
        <w:t xml:space="preserve">, por parte de la </w:t>
      </w:r>
      <w:r w:rsidRPr="00F22FA8">
        <w:rPr>
          <w:rFonts w:ascii="Palatino Linotype" w:eastAsia="Palatino Linotype" w:hAnsi="Palatino Linotype" w:cs="Palatino Linotype"/>
          <w:b/>
          <w:sz w:val="22"/>
          <w:szCs w:val="22"/>
        </w:rPr>
        <w:t xml:space="preserve">Secretaría de Movilidad, </w:t>
      </w:r>
      <w:r w:rsidRPr="00F22FA8">
        <w:rPr>
          <w:rFonts w:ascii="Palatino Linotype" w:eastAsia="Palatino Linotype" w:hAnsi="Palatino Linotype" w:cs="Palatino Linotype"/>
          <w:sz w:val="22"/>
          <w:szCs w:val="22"/>
        </w:rPr>
        <w:t xml:space="preserve">en lo sucesivo el </w:t>
      </w:r>
      <w:r w:rsidRPr="00F22FA8">
        <w:rPr>
          <w:rFonts w:ascii="Palatino Linotype" w:eastAsia="Palatino Linotype" w:hAnsi="Palatino Linotype" w:cs="Palatino Linotype"/>
          <w:b/>
          <w:sz w:val="22"/>
          <w:szCs w:val="22"/>
        </w:rPr>
        <w:t>Sujeto Obligado</w:t>
      </w:r>
      <w:r w:rsidRPr="00F22FA8">
        <w:rPr>
          <w:rFonts w:ascii="Palatino Linotype" w:eastAsia="Palatino Linotype" w:hAnsi="Palatino Linotype" w:cs="Palatino Linotype"/>
          <w:sz w:val="22"/>
          <w:szCs w:val="22"/>
        </w:rPr>
        <w:t>;</w:t>
      </w:r>
      <w:r w:rsidRPr="00F22FA8">
        <w:rPr>
          <w:rFonts w:ascii="Palatino Linotype" w:eastAsia="Palatino Linotype" w:hAnsi="Palatino Linotype" w:cs="Palatino Linotype"/>
          <w:b/>
          <w:sz w:val="22"/>
          <w:szCs w:val="22"/>
        </w:rPr>
        <w:t xml:space="preserve"> </w:t>
      </w:r>
      <w:r w:rsidRPr="00F22FA8">
        <w:rPr>
          <w:rFonts w:ascii="Palatino Linotype" w:eastAsia="Palatino Linotype" w:hAnsi="Palatino Linotype" w:cs="Palatino Linotype"/>
          <w:sz w:val="22"/>
          <w:szCs w:val="22"/>
        </w:rPr>
        <w:t>se procede a dictar la presente resolución, con base en los siguientes:</w:t>
      </w:r>
    </w:p>
    <w:p w14:paraId="5285A57E" w14:textId="77777777" w:rsidR="00F776E5" w:rsidRPr="00F22FA8" w:rsidRDefault="00395CBC">
      <w:pPr>
        <w:numPr>
          <w:ilvl w:val="0"/>
          <w:numId w:val="8"/>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sz w:val="22"/>
          <w:szCs w:val="22"/>
        </w:rPr>
      </w:pPr>
      <w:r w:rsidRPr="00F22FA8">
        <w:rPr>
          <w:rFonts w:ascii="Palatino Linotype" w:eastAsia="Palatino Linotype" w:hAnsi="Palatino Linotype" w:cs="Palatino Linotype"/>
          <w:b/>
          <w:sz w:val="22"/>
          <w:szCs w:val="22"/>
        </w:rPr>
        <w:t>A N T E C E D E N T E S:</w:t>
      </w:r>
    </w:p>
    <w:p w14:paraId="6C2AC6D6" w14:textId="77777777" w:rsidR="00F776E5" w:rsidRPr="00F22FA8" w:rsidRDefault="00F776E5">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401AE771" w14:textId="77777777" w:rsidR="00F776E5" w:rsidRPr="00F22FA8" w:rsidRDefault="00395CBC">
      <w:pPr>
        <w:numPr>
          <w:ilvl w:val="1"/>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sz w:val="22"/>
          <w:szCs w:val="22"/>
        </w:rPr>
      </w:pPr>
      <w:r w:rsidRPr="00F22FA8">
        <w:rPr>
          <w:rFonts w:ascii="Palatino Linotype" w:eastAsia="Palatino Linotype" w:hAnsi="Palatino Linotype" w:cs="Palatino Linotype"/>
          <w:b/>
          <w:sz w:val="22"/>
          <w:szCs w:val="22"/>
        </w:rPr>
        <w:t xml:space="preserve">Solicitud de acceso a la información. </w:t>
      </w:r>
      <w:r w:rsidRPr="00F22FA8">
        <w:rPr>
          <w:rFonts w:ascii="Palatino Linotype" w:eastAsia="Palatino Linotype" w:hAnsi="Palatino Linotype" w:cs="Palatino Linotype"/>
          <w:sz w:val="22"/>
          <w:szCs w:val="22"/>
        </w:rPr>
        <w:t xml:space="preserve">Con fecha </w:t>
      </w:r>
      <w:r w:rsidRPr="00F22FA8">
        <w:rPr>
          <w:rFonts w:ascii="Palatino Linotype" w:eastAsia="Palatino Linotype" w:hAnsi="Palatino Linotype" w:cs="Palatino Linotype"/>
          <w:b/>
          <w:sz w:val="22"/>
          <w:szCs w:val="22"/>
        </w:rPr>
        <w:t>trece de junio de dos mil veinticuatro</w:t>
      </w:r>
      <w:r w:rsidRPr="00F22FA8">
        <w:rPr>
          <w:rFonts w:ascii="Palatino Linotype" w:eastAsia="Palatino Linotype" w:hAnsi="Palatino Linotype" w:cs="Palatino Linotype"/>
          <w:sz w:val="22"/>
          <w:szCs w:val="22"/>
        </w:rPr>
        <w:t xml:space="preserve">, la parte </w:t>
      </w:r>
      <w:r w:rsidRPr="00F22FA8">
        <w:rPr>
          <w:rFonts w:ascii="Palatino Linotype" w:eastAsia="Palatino Linotype" w:hAnsi="Palatino Linotype" w:cs="Palatino Linotype"/>
          <w:b/>
          <w:sz w:val="22"/>
          <w:szCs w:val="22"/>
        </w:rPr>
        <w:t>Recurrente</w:t>
      </w:r>
      <w:r w:rsidRPr="00F22FA8">
        <w:rPr>
          <w:rFonts w:ascii="Palatino Linotype" w:eastAsia="Palatino Linotype" w:hAnsi="Palatino Linotype" w:cs="Palatino Linotype"/>
          <w:sz w:val="22"/>
          <w:szCs w:val="22"/>
        </w:rPr>
        <w:t xml:space="preserve"> formuló solicitud de acceso a información pública al </w:t>
      </w:r>
      <w:r w:rsidRPr="00F22FA8">
        <w:rPr>
          <w:rFonts w:ascii="Palatino Linotype" w:eastAsia="Palatino Linotype" w:hAnsi="Palatino Linotype" w:cs="Palatino Linotype"/>
          <w:b/>
          <w:sz w:val="22"/>
          <w:szCs w:val="22"/>
        </w:rPr>
        <w:t>Sujeto Obligado</w:t>
      </w:r>
      <w:r w:rsidRPr="00F22FA8">
        <w:rPr>
          <w:rFonts w:ascii="Palatino Linotype" w:eastAsia="Palatino Linotype" w:hAnsi="Palatino Linotype" w:cs="Palatino Linotype"/>
          <w:sz w:val="22"/>
          <w:szCs w:val="22"/>
        </w:rPr>
        <w:t xml:space="preserve"> a través del Sistema de Acceso a la Información Mexiquense, en adelante </w:t>
      </w:r>
      <w:r w:rsidRPr="00F22FA8">
        <w:rPr>
          <w:rFonts w:ascii="Palatino Linotype" w:eastAsia="Palatino Linotype" w:hAnsi="Palatino Linotype" w:cs="Palatino Linotype"/>
          <w:b/>
          <w:sz w:val="22"/>
          <w:szCs w:val="22"/>
        </w:rPr>
        <w:t>SAIMEX</w:t>
      </w:r>
      <w:r w:rsidRPr="00F22FA8">
        <w:rPr>
          <w:rFonts w:ascii="Palatino Linotype" w:eastAsia="Palatino Linotype" w:hAnsi="Palatino Linotype" w:cs="Palatino Linotype"/>
          <w:sz w:val="22"/>
          <w:szCs w:val="22"/>
        </w:rPr>
        <w:t>, requiriéndole lo siguiente:</w:t>
      </w:r>
    </w:p>
    <w:p w14:paraId="632DC2E0" w14:textId="77777777" w:rsidR="00F776E5" w:rsidRPr="00F22FA8" w:rsidRDefault="00F776E5">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6D99E9A2" w14:textId="77777777" w:rsidR="00F776E5" w:rsidRPr="00F22FA8" w:rsidRDefault="00395CBC">
      <w:pPr>
        <w:spacing w:line="276" w:lineRule="auto"/>
        <w:ind w:left="851" w:right="616"/>
        <w:jc w:val="both"/>
        <w:rPr>
          <w:rFonts w:ascii="Palatino Linotype" w:eastAsia="Palatino Linotype" w:hAnsi="Palatino Linotype" w:cs="Palatino Linotype"/>
          <w:i/>
          <w:sz w:val="22"/>
          <w:szCs w:val="22"/>
        </w:rPr>
      </w:pPr>
      <w:r w:rsidRPr="00F22FA8">
        <w:rPr>
          <w:rFonts w:ascii="Palatino Linotype" w:eastAsia="Palatino Linotype" w:hAnsi="Palatino Linotype" w:cs="Palatino Linotype"/>
          <w:i/>
          <w:sz w:val="22"/>
          <w:szCs w:val="22"/>
        </w:rPr>
        <w:t>“Se solicitan todas las actas de las Sesiones de Mejora Regulatoria y el avance de los acuerdos de los años 2022, 2023 y 2024.”</w:t>
      </w:r>
    </w:p>
    <w:p w14:paraId="44A4D906" w14:textId="77777777" w:rsidR="00F776E5" w:rsidRPr="00F22FA8" w:rsidRDefault="00F776E5">
      <w:pPr>
        <w:spacing w:line="360" w:lineRule="auto"/>
        <w:ind w:left="709" w:right="900"/>
        <w:jc w:val="both"/>
        <w:rPr>
          <w:rFonts w:ascii="Palatino Linotype" w:eastAsia="Palatino Linotype" w:hAnsi="Palatino Linotype" w:cs="Palatino Linotype"/>
          <w:b/>
          <w:i/>
          <w:sz w:val="22"/>
          <w:szCs w:val="22"/>
        </w:rPr>
      </w:pPr>
    </w:p>
    <w:p w14:paraId="032687AF" w14:textId="77777777" w:rsidR="00F776E5" w:rsidRPr="00F22FA8" w:rsidRDefault="00395CBC">
      <w:pPr>
        <w:spacing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b/>
          <w:sz w:val="22"/>
          <w:szCs w:val="22"/>
        </w:rPr>
        <w:t xml:space="preserve">Modalidad elegida para la entrega de la información: </w:t>
      </w:r>
      <w:r w:rsidRPr="00F22FA8">
        <w:rPr>
          <w:rFonts w:ascii="Palatino Linotype" w:eastAsia="Palatino Linotype" w:hAnsi="Palatino Linotype" w:cs="Palatino Linotype"/>
          <w:sz w:val="22"/>
          <w:szCs w:val="22"/>
        </w:rPr>
        <w:t xml:space="preserve">a través del Sistema de Acceso a la Información Mexiquense. </w:t>
      </w:r>
    </w:p>
    <w:p w14:paraId="78300981" w14:textId="77777777" w:rsidR="00F776E5" w:rsidRPr="00F22FA8" w:rsidRDefault="00F776E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5E99E43" w14:textId="77777777" w:rsidR="00F776E5" w:rsidRPr="00F22FA8" w:rsidRDefault="00395CBC">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b/>
          <w:sz w:val="22"/>
          <w:szCs w:val="22"/>
        </w:rPr>
        <w:t xml:space="preserve">Respuesta. </w:t>
      </w:r>
      <w:r w:rsidRPr="00F22FA8">
        <w:rPr>
          <w:rFonts w:ascii="Palatino Linotype" w:eastAsia="Palatino Linotype" w:hAnsi="Palatino Linotype" w:cs="Palatino Linotype"/>
          <w:sz w:val="22"/>
          <w:szCs w:val="22"/>
        </w:rPr>
        <w:t xml:space="preserve">Con fecha </w:t>
      </w:r>
      <w:r w:rsidRPr="00F22FA8">
        <w:rPr>
          <w:rFonts w:ascii="Palatino Linotype" w:eastAsia="Palatino Linotype" w:hAnsi="Palatino Linotype" w:cs="Palatino Linotype"/>
          <w:b/>
          <w:sz w:val="22"/>
          <w:szCs w:val="22"/>
        </w:rPr>
        <w:t>cuatro de julio de dos mil veinticuatro</w:t>
      </w:r>
      <w:r w:rsidRPr="00F22FA8">
        <w:rPr>
          <w:rFonts w:ascii="Palatino Linotype" w:eastAsia="Palatino Linotype" w:hAnsi="Palatino Linotype" w:cs="Palatino Linotype"/>
          <w:sz w:val="22"/>
          <w:szCs w:val="22"/>
        </w:rPr>
        <w:t xml:space="preserve">, el </w:t>
      </w:r>
      <w:r w:rsidRPr="00F22FA8">
        <w:rPr>
          <w:rFonts w:ascii="Palatino Linotype" w:eastAsia="Palatino Linotype" w:hAnsi="Palatino Linotype" w:cs="Palatino Linotype"/>
          <w:b/>
          <w:sz w:val="22"/>
          <w:szCs w:val="22"/>
        </w:rPr>
        <w:t>Sujeto Obligado</w:t>
      </w:r>
      <w:r w:rsidRPr="00F22FA8">
        <w:rPr>
          <w:rFonts w:ascii="Palatino Linotype" w:eastAsia="Palatino Linotype" w:hAnsi="Palatino Linotype" w:cs="Palatino Linotype"/>
          <w:sz w:val="22"/>
          <w:szCs w:val="22"/>
        </w:rPr>
        <w:t xml:space="preserve"> envió su respuesta a la solicitud de acceso a la información a través del SAIMEX, la cual versa como sigue: </w:t>
      </w:r>
    </w:p>
    <w:p w14:paraId="4E695F9C" w14:textId="77777777" w:rsidR="00F776E5" w:rsidRPr="00F22FA8" w:rsidRDefault="00F776E5">
      <w:pPr>
        <w:tabs>
          <w:tab w:val="left" w:pos="7371"/>
        </w:tabs>
        <w:spacing w:line="360" w:lineRule="auto"/>
        <w:ind w:left="567" w:right="616"/>
        <w:jc w:val="both"/>
        <w:rPr>
          <w:rFonts w:ascii="Palatino Linotype" w:eastAsia="Palatino Linotype" w:hAnsi="Palatino Linotype" w:cs="Palatino Linotype"/>
          <w:i/>
          <w:sz w:val="22"/>
          <w:szCs w:val="22"/>
        </w:rPr>
      </w:pPr>
      <w:bookmarkStart w:id="0" w:name="_heading=h.3znysh7" w:colFirst="0" w:colLast="0"/>
      <w:bookmarkEnd w:id="0"/>
    </w:p>
    <w:p w14:paraId="3B85B365" w14:textId="77777777" w:rsidR="00F776E5" w:rsidRPr="00F22FA8" w:rsidRDefault="00395CBC">
      <w:pPr>
        <w:spacing w:line="276" w:lineRule="auto"/>
        <w:ind w:left="851" w:right="616"/>
        <w:jc w:val="both"/>
        <w:rPr>
          <w:rFonts w:ascii="Palatino Linotype" w:eastAsia="Palatino Linotype" w:hAnsi="Palatino Linotype" w:cs="Palatino Linotype"/>
          <w:i/>
          <w:sz w:val="22"/>
          <w:szCs w:val="22"/>
        </w:rPr>
      </w:pPr>
      <w:r w:rsidRPr="00F22FA8">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3400DB9" w14:textId="77777777" w:rsidR="00F776E5" w:rsidRPr="00F22FA8" w:rsidRDefault="00395CBC">
      <w:pPr>
        <w:spacing w:line="276" w:lineRule="auto"/>
        <w:ind w:left="851" w:right="616"/>
        <w:jc w:val="both"/>
        <w:rPr>
          <w:rFonts w:ascii="Palatino Linotype" w:eastAsia="Palatino Linotype" w:hAnsi="Palatino Linotype" w:cs="Palatino Linotype"/>
          <w:i/>
          <w:sz w:val="22"/>
          <w:szCs w:val="22"/>
        </w:rPr>
      </w:pPr>
      <w:r w:rsidRPr="00F22FA8">
        <w:rPr>
          <w:rFonts w:ascii="Palatino Linotype" w:eastAsia="Palatino Linotype" w:hAnsi="Palatino Linotype" w:cs="Palatino Linotype"/>
          <w:i/>
          <w:sz w:val="22"/>
          <w:szCs w:val="22"/>
        </w:rPr>
        <w:t>SE ANEXA RFESPUESTA</w:t>
      </w:r>
    </w:p>
    <w:p w14:paraId="1B5B387E" w14:textId="77777777" w:rsidR="00F776E5" w:rsidRPr="00F22FA8" w:rsidRDefault="00395CBC">
      <w:pPr>
        <w:spacing w:line="276" w:lineRule="auto"/>
        <w:ind w:left="851" w:right="616"/>
        <w:jc w:val="both"/>
        <w:rPr>
          <w:rFonts w:ascii="Palatino Linotype" w:eastAsia="Palatino Linotype" w:hAnsi="Palatino Linotype" w:cs="Palatino Linotype"/>
          <w:i/>
          <w:sz w:val="22"/>
          <w:szCs w:val="22"/>
        </w:rPr>
      </w:pPr>
      <w:r w:rsidRPr="00F22FA8">
        <w:rPr>
          <w:rFonts w:ascii="Palatino Linotype" w:eastAsia="Palatino Linotype" w:hAnsi="Palatino Linotype" w:cs="Palatino Linotype"/>
          <w:i/>
          <w:sz w:val="22"/>
          <w:szCs w:val="22"/>
        </w:rPr>
        <w:t>ATENTAMENTE</w:t>
      </w:r>
    </w:p>
    <w:p w14:paraId="1592FBCA" w14:textId="77777777" w:rsidR="00F776E5" w:rsidRPr="00F22FA8" w:rsidRDefault="00395CBC">
      <w:pPr>
        <w:spacing w:line="276" w:lineRule="auto"/>
        <w:ind w:left="851" w:right="616"/>
        <w:jc w:val="both"/>
        <w:rPr>
          <w:rFonts w:ascii="Palatino Linotype" w:eastAsia="Palatino Linotype" w:hAnsi="Palatino Linotype" w:cs="Palatino Linotype"/>
          <w:i/>
          <w:sz w:val="22"/>
          <w:szCs w:val="22"/>
        </w:rPr>
      </w:pPr>
      <w:r w:rsidRPr="00F22FA8">
        <w:rPr>
          <w:rFonts w:ascii="Palatino Linotype" w:eastAsia="Palatino Linotype" w:hAnsi="Palatino Linotype" w:cs="Palatino Linotype"/>
          <w:i/>
          <w:sz w:val="22"/>
          <w:szCs w:val="22"/>
        </w:rPr>
        <w:t>Lic. Alejandro Hernández Aguilar.” (Sic)</w:t>
      </w:r>
    </w:p>
    <w:p w14:paraId="42D228D5" w14:textId="77777777" w:rsidR="00F776E5" w:rsidRPr="00F22FA8" w:rsidRDefault="00F776E5">
      <w:pPr>
        <w:spacing w:line="360" w:lineRule="auto"/>
        <w:ind w:left="851" w:right="616"/>
        <w:jc w:val="both"/>
        <w:rPr>
          <w:rFonts w:ascii="Palatino Linotype" w:eastAsia="Palatino Linotype" w:hAnsi="Palatino Linotype" w:cs="Palatino Linotype"/>
          <w:sz w:val="22"/>
          <w:szCs w:val="22"/>
        </w:rPr>
      </w:pPr>
    </w:p>
    <w:p w14:paraId="137552EA" w14:textId="77777777" w:rsidR="00F776E5" w:rsidRPr="00F22FA8" w:rsidRDefault="00395CBC">
      <w:pPr>
        <w:spacing w:line="360" w:lineRule="auto"/>
        <w:ind w:right="49"/>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t xml:space="preserve">Del mismo modo, el </w:t>
      </w:r>
      <w:r w:rsidRPr="00F22FA8">
        <w:rPr>
          <w:rFonts w:ascii="Palatino Linotype" w:eastAsia="Palatino Linotype" w:hAnsi="Palatino Linotype" w:cs="Palatino Linotype"/>
          <w:b/>
          <w:sz w:val="22"/>
          <w:szCs w:val="22"/>
        </w:rPr>
        <w:t>Sujeto Obligado</w:t>
      </w:r>
      <w:r w:rsidRPr="00F22FA8">
        <w:rPr>
          <w:rFonts w:ascii="Palatino Linotype" w:eastAsia="Palatino Linotype" w:hAnsi="Palatino Linotype" w:cs="Palatino Linotype"/>
          <w:sz w:val="22"/>
          <w:szCs w:val="22"/>
        </w:rPr>
        <w:t xml:space="preserve"> adjuntó a su respuesta el archivo electrónico denominado </w:t>
      </w:r>
      <w:r w:rsidRPr="00F22FA8">
        <w:rPr>
          <w:rFonts w:ascii="Palatino Linotype" w:eastAsia="Palatino Linotype" w:hAnsi="Palatino Linotype" w:cs="Palatino Linotype"/>
          <w:b/>
          <w:i/>
          <w:sz w:val="22"/>
          <w:szCs w:val="22"/>
        </w:rPr>
        <w:t xml:space="preserve">22000006S-0002.pdf, </w:t>
      </w:r>
      <w:r w:rsidRPr="00F22FA8">
        <w:rPr>
          <w:rFonts w:ascii="Palatino Linotype" w:eastAsia="Palatino Linotype" w:hAnsi="Palatino Linotype" w:cs="Palatino Linotype"/>
          <w:sz w:val="22"/>
          <w:szCs w:val="22"/>
        </w:rPr>
        <w:t>el cual contiene el</w:t>
      </w:r>
      <w:r w:rsidRPr="00F22FA8">
        <w:rPr>
          <w:rFonts w:ascii="Palatino Linotype" w:eastAsia="Palatino Linotype" w:hAnsi="Palatino Linotype" w:cs="Palatino Linotype"/>
          <w:b/>
          <w:i/>
          <w:sz w:val="22"/>
          <w:szCs w:val="22"/>
        </w:rPr>
        <w:t xml:space="preserve"> </w:t>
      </w:r>
      <w:r w:rsidRPr="00F22FA8">
        <w:rPr>
          <w:rFonts w:ascii="Palatino Linotype" w:eastAsia="Palatino Linotype" w:hAnsi="Palatino Linotype" w:cs="Palatino Linotype"/>
          <w:sz w:val="22"/>
          <w:szCs w:val="22"/>
        </w:rPr>
        <w:t xml:space="preserve">oficio número 220A00000000000/454/2024 de fecha cuatro de julio de dos mi veinticuatro, signado por el Coordinador de Control Técnico y Enlace de Mejora Regulatoria, mediante el cual informa a la Unidad de Transparencia la siguiente liga electrónica en donde el particular puede consultar dichas actas: </w:t>
      </w:r>
    </w:p>
    <w:p w14:paraId="16FAA531" w14:textId="77777777" w:rsidR="00F776E5" w:rsidRPr="00F22FA8" w:rsidRDefault="00395CBC">
      <w:pPr>
        <w:pBdr>
          <w:top w:val="nil"/>
          <w:left w:val="nil"/>
          <w:bottom w:val="nil"/>
          <w:right w:val="nil"/>
          <w:between w:val="nil"/>
        </w:pBdr>
        <w:spacing w:line="360" w:lineRule="auto"/>
        <w:ind w:right="49"/>
        <w:jc w:val="center"/>
        <w:rPr>
          <w:rFonts w:ascii="Palatino Linotype" w:eastAsia="Palatino Linotype" w:hAnsi="Palatino Linotype" w:cs="Palatino Linotype"/>
          <w:sz w:val="22"/>
          <w:szCs w:val="22"/>
        </w:rPr>
      </w:pPr>
      <w:r w:rsidRPr="00F22FA8">
        <w:rPr>
          <w:rFonts w:ascii="Palatino Linotype" w:eastAsia="Palatino Linotype" w:hAnsi="Palatino Linotype" w:cs="Palatino Linotype"/>
          <w:noProof/>
          <w:sz w:val="22"/>
          <w:szCs w:val="22"/>
          <w:lang w:val="es-MX" w:eastAsia="es-MX"/>
        </w:rPr>
        <w:drawing>
          <wp:inline distT="0" distB="0" distL="0" distR="0" wp14:anchorId="18D5D438" wp14:editId="5E3B24F6">
            <wp:extent cx="3791479" cy="314369"/>
            <wp:effectExtent l="0" t="0" r="0" b="0"/>
            <wp:docPr id="200992404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a:stretch>
                      <a:fillRect/>
                    </a:stretch>
                  </pic:blipFill>
                  <pic:spPr>
                    <a:xfrm>
                      <a:off x="0" y="0"/>
                      <a:ext cx="3791479" cy="314369"/>
                    </a:xfrm>
                    <a:prstGeom prst="rect">
                      <a:avLst/>
                    </a:prstGeom>
                    <a:ln/>
                  </pic:spPr>
                </pic:pic>
              </a:graphicData>
            </a:graphic>
          </wp:inline>
        </w:drawing>
      </w:r>
    </w:p>
    <w:p w14:paraId="289FF589" w14:textId="77777777" w:rsidR="00F776E5" w:rsidRPr="00F22FA8" w:rsidRDefault="00395CBC">
      <w:pPr>
        <w:pBdr>
          <w:top w:val="nil"/>
          <w:left w:val="nil"/>
          <w:bottom w:val="nil"/>
          <w:right w:val="nil"/>
          <w:between w:val="nil"/>
        </w:pBdr>
        <w:spacing w:line="360" w:lineRule="auto"/>
        <w:ind w:right="49"/>
        <w:jc w:val="both"/>
        <w:rPr>
          <w:rFonts w:ascii="Palatino Linotype" w:eastAsia="Palatino Linotype" w:hAnsi="Palatino Linotype" w:cs="Palatino Linotype"/>
          <w:b/>
          <w:i/>
          <w:sz w:val="22"/>
          <w:szCs w:val="22"/>
        </w:rPr>
      </w:pPr>
      <w:r w:rsidRPr="00F22FA8">
        <w:rPr>
          <w:rFonts w:ascii="Palatino Linotype" w:eastAsia="Palatino Linotype" w:hAnsi="Palatino Linotype" w:cs="Palatino Linotype"/>
          <w:sz w:val="22"/>
          <w:szCs w:val="22"/>
        </w:rPr>
        <w:t xml:space="preserve">Asimismo, precisó que al ingresar a la liga electrónica podrá ubicar que contienen dichas actas y el avance de los acuerdos del periodo 2022, 2023 y 2024. </w:t>
      </w:r>
    </w:p>
    <w:p w14:paraId="1B9B4D1B" w14:textId="77777777" w:rsidR="00F776E5" w:rsidRPr="00F22FA8" w:rsidRDefault="00F776E5">
      <w:pPr>
        <w:pBdr>
          <w:top w:val="nil"/>
          <w:left w:val="nil"/>
          <w:bottom w:val="nil"/>
          <w:right w:val="nil"/>
          <w:between w:val="nil"/>
        </w:pBdr>
        <w:spacing w:line="360" w:lineRule="auto"/>
        <w:ind w:left="720" w:right="49"/>
        <w:rPr>
          <w:rFonts w:ascii="Palatino Linotype" w:eastAsia="Palatino Linotype" w:hAnsi="Palatino Linotype" w:cs="Palatino Linotype"/>
          <w:b/>
          <w:i/>
          <w:sz w:val="22"/>
          <w:szCs w:val="22"/>
        </w:rPr>
      </w:pPr>
    </w:p>
    <w:p w14:paraId="2FE9D176" w14:textId="77777777" w:rsidR="00F776E5" w:rsidRPr="00F22FA8" w:rsidRDefault="00395CBC">
      <w:pPr>
        <w:numPr>
          <w:ilvl w:val="0"/>
          <w:numId w:val="1"/>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b/>
          <w:sz w:val="22"/>
          <w:szCs w:val="22"/>
        </w:rPr>
        <w:t xml:space="preserve">Interposición del recurso de revisión. </w:t>
      </w:r>
      <w:r w:rsidRPr="00F22FA8">
        <w:rPr>
          <w:rFonts w:ascii="Palatino Linotype" w:eastAsia="Palatino Linotype" w:hAnsi="Palatino Linotype" w:cs="Palatino Linotype"/>
          <w:sz w:val="22"/>
          <w:szCs w:val="22"/>
        </w:rPr>
        <w:t xml:space="preserve">Inconforme con la respuesta del </w:t>
      </w:r>
      <w:r w:rsidRPr="00F22FA8">
        <w:rPr>
          <w:rFonts w:ascii="Palatino Linotype" w:eastAsia="Palatino Linotype" w:hAnsi="Palatino Linotype" w:cs="Palatino Linotype"/>
          <w:b/>
          <w:sz w:val="22"/>
          <w:szCs w:val="22"/>
        </w:rPr>
        <w:t xml:space="preserve">Sujeto Obligado </w:t>
      </w:r>
      <w:r w:rsidRPr="00F22FA8">
        <w:rPr>
          <w:rFonts w:ascii="Palatino Linotype" w:eastAsia="Palatino Linotype" w:hAnsi="Palatino Linotype" w:cs="Palatino Linotype"/>
          <w:sz w:val="22"/>
          <w:szCs w:val="22"/>
        </w:rPr>
        <w:t>la parte</w:t>
      </w:r>
      <w:r w:rsidRPr="00F22FA8">
        <w:rPr>
          <w:rFonts w:ascii="Palatino Linotype" w:eastAsia="Palatino Linotype" w:hAnsi="Palatino Linotype" w:cs="Palatino Linotype"/>
          <w:b/>
          <w:sz w:val="22"/>
          <w:szCs w:val="22"/>
        </w:rPr>
        <w:t xml:space="preserve"> Recurrente</w:t>
      </w:r>
      <w:r w:rsidRPr="00F22FA8">
        <w:rPr>
          <w:rFonts w:ascii="Palatino Linotype" w:eastAsia="Palatino Linotype" w:hAnsi="Palatino Linotype" w:cs="Palatino Linotype"/>
          <w:sz w:val="22"/>
          <w:szCs w:val="22"/>
        </w:rPr>
        <w:t xml:space="preserve"> interpuso recurso de revisión a través del </w:t>
      </w:r>
      <w:r w:rsidRPr="00F22FA8">
        <w:rPr>
          <w:rFonts w:ascii="Palatino Linotype" w:eastAsia="Palatino Linotype" w:hAnsi="Palatino Linotype" w:cs="Palatino Linotype"/>
          <w:b/>
          <w:sz w:val="22"/>
          <w:szCs w:val="22"/>
        </w:rPr>
        <w:t>SAIMEX</w:t>
      </w:r>
      <w:r w:rsidRPr="00F22FA8">
        <w:rPr>
          <w:rFonts w:ascii="Palatino Linotype" w:eastAsia="Palatino Linotype" w:hAnsi="Palatino Linotype" w:cs="Palatino Linotype"/>
          <w:sz w:val="22"/>
          <w:szCs w:val="22"/>
        </w:rPr>
        <w:t xml:space="preserve"> en fecha </w:t>
      </w:r>
      <w:r w:rsidRPr="00F22FA8">
        <w:rPr>
          <w:rFonts w:ascii="Palatino Linotype" w:eastAsia="Palatino Linotype" w:hAnsi="Palatino Linotype" w:cs="Palatino Linotype"/>
          <w:b/>
          <w:sz w:val="22"/>
          <w:szCs w:val="22"/>
        </w:rPr>
        <w:t>cuatro de julio de dos mil veinticuatro</w:t>
      </w:r>
      <w:r w:rsidRPr="00F22FA8">
        <w:rPr>
          <w:rFonts w:ascii="Palatino Linotype" w:eastAsia="Palatino Linotype" w:hAnsi="Palatino Linotype" w:cs="Palatino Linotype"/>
          <w:sz w:val="22"/>
          <w:szCs w:val="22"/>
        </w:rPr>
        <w:t>, a través del cual expresó lo siguiente:</w:t>
      </w:r>
    </w:p>
    <w:p w14:paraId="38156EBD" w14:textId="77777777" w:rsidR="00F776E5" w:rsidRPr="00F22FA8" w:rsidRDefault="00F776E5">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p>
    <w:p w14:paraId="29461E74" w14:textId="77777777" w:rsidR="00F776E5" w:rsidRPr="00F22FA8" w:rsidRDefault="00395CBC">
      <w:pPr>
        <w:spacing w:line="360" w:lineRule="auto"/>
        <w:ind w:left="567"/>
        <w:jc w:val="both"/>
        <w:rPr>
          <w:rFonts w:ascii="Palatino Linotype" w:eastAsia="Palatino Linotype" w:hAnsi="Palatino Linotype" w:cs="Palatino Linotype"/>
          <w:b/>
          <w:sz w:val="22"/>
          <w:szCs w:val="22"/>
        </w:rPr>
      </w:pPr>
      <w:r w:rsidRPr="00F22FA8">
        <w:rPr>
          <w:rFonts w:ascii="Palatino Linotype" w:eastAsia="Palatino Linotype" w:hAnsi="Palatino Linotype" w:cs="Palatino Linotype"/>
          <w:b/>
          <w:sz w:val="22"/>
          <w:szCs w:val="22"/>
        </w:rPr>
        <w:t xml:space="preserve">Acto impugnado. </w:t>
      </w:r>
    </w:p>
    <w:p w14:paraId="020B2129" w14:textId="77777777" w:rsidR="00F776E5" w:rsidRPr="00F22FA8" w:rsidRDefault="00395CBC">
      <w:pPr>
        <w:spacing w:line="360" w:lineRule="auto"/>
        <w:ind w:left="851" w:right="616"/>
        <w:jc w:val="both"/>
        <w:rPr>
          <w:rFonts w:ascii="Palatino Linotype" w:eastAsia="Palatino Linotype" w:hAnsi="Palatino Linotype" w:cs="Palatino Linotype"/>
          <w:i/>
          <w:sz w:val="22"/>
          <w:szCs w:val="22"/>
        </w:rPr>
      </w:pPr>
      <w:r w:rsidRPr="00F22FA8">
        <w:rPr>
          <w:rFonts w:ascii="Palatino Linotype" w:eastAsia="Palatino Linotype" w:hAnsi="Palatino Linotype" w:cs="Palatino Linotype"/>
          <w:i/>
          <w:sz w:val="22"/>
          <w:szCs w:val="22"/>
        </w:rPr>
        <w:t>“NO ES ACCESIBLE LA INFORMACIÓN EL LINK NO ABRE Y SE NETREGO FUERA DEL PLAZO”</w:t>
      </w:r>
    </w:p>
    <w:p w14:paraId="0003CD48" w14:textId="77777777" w:rsidR="00F776E5" w:rsidRPr="00F22FA8" w:rsidRDefault="00F776E5">
      <w:pPr>
        <w:spacing w:line="360" w:lineRule="auto"/>
        <w:ind w:left="567"/>
        <w:rPr>
          <w:rFonts w:ascii="Palatino Linotype" w:eastAsia="Palatino Linotype" w:hAnsi="Palatino Linotype" w:cs="Palatino Linotype"/>
          <w:sz w:val="22"/>
          <w:szCs w:val="22"/>
        </w:rPr>
      </w:pPr>
    </w:p>
    <w:p w14:paraId="2CE6FD28" w14:textId="77777777" w:rsidR="00F776E5" w:rsidRPr="00F22FA8" w:rsidRDefault="00395CBC">
      <w:pPr>
        <w:pBdr>
          <w:top w:val="nil"/>
          <w:left w:val="nil"/>
          <w:bottom w:val="nil"/>
          <w:right w:val="nil"/>
          <w:between w:val="nil"/>
        </w:pBdr>
        <w:spacing w:line="360" w:lineRule="auto"/>
        <w:ind w:left="567"/>
        <w:jc w:val="both"/>
        <w:rPr>
          <w:rFonts w:ascii="Palatino Linotype" w:eastAsia="Palatino Linotype" w:hAnsi="Palatino Linotype" w:cs="Palatino Linotype"/>
          <w:b/>
          <w:sz w:val="22"/>
          <w:szCs w:val="22"/>
        </w:rPr>
      </w:pPr>
      <w:r w:rsidRPr="00F22FA8">
        <w:rPr>
          <w:rFonts w:ascii="Palatino Linotype" w:eastAsia="Palatino Linotype" w:hAnsi="Palatino Linotype" w:cs="Palatino Linotype"/>
          <w:b/>
          <w:sz w:val="22"/>
          <w:szCs w:val="22"/>
        </w:rPr>
        <w:t xml:space="preserve">Motivos de inconformidad. </w:t>
      </w:r>
    </w:p>
    <w:p w14:paraId="348AA245" w14:textId="77777777" w:rsidR="00F776E5" w:rsidRPr="00F22FA8" w:rsidRDefault="00395CBC">
      <w:pPr>
        <w:pBdr>
          <w:top w:val="nil"/>
          <w:left w:val="nil"/>
          <w:bottom w:val="nil"/>
          <w:right w:val="nil"/>
          <w:between w:val="nil"/>
        </w:pBdr>
        <w:spacing w:line="360" w:lineRule="auto"/>
        <w:ind w:left="851" w:right="616"/>
        <w:jc w:val="both"/>
        <w:rPr>
          <w:rFonts w:ascii="Palatino Linotype" w:eastAsia="Palatino Linotype" w:hAnsi="Palatino Linotype" w:cs="Palatino Linotype"/>
          <w:b/>
          <w:i/>
          <w:sz w:val="22"/>
          <w:szCs w:val="22"/>
          <w:u w:val="single"/>
        </w:rPr>
      </w:pPr>
      <w:r w:rsidRPr="00F22FA8">
        <w:rPr>
          <w:rFonts w:ascii="Palatino Linotype" w:eastAsia="Palatino Linotype" w:hAnsi="Palatino Linotype" w:cs="Palatino Linotype"/>
          <w:i/>
          <w:sz w:val="22"/>
          <w:szCs w:val="22"/>
        </w:rPr>
        <w:lastRenderedPageBreak/>
        <w:t>“NO ES ACCESIBLE LA INFORMACIÓN EL LINK NO ABRE Y SE NETREGO FUERA DEL PLAZO”</w:t>
      </w:r>
    </w:p>
    <w:p w14:paraId="458009B5" w14:textId="77777777" w:rsidR="00F776E5" w:rsidRPr="00F22FA8" w:rsidRDefault="00F776E5">
      <w:pPr>
        <w:pBdr>
          <w:top w:val="nil"/>
          <w:left w:val="nil"/>
          <w:bottom w:val="nil"/>
          <w:right w:val="nil"/>
          <w:between w:val="nil"/>
        </w:pBdr>
        <w:spacing w:line="360" w:lineRule="auto"/>
        <w:ind w:left="567"/>
        <w:jc w:val="both"/>
        <w:rPr>
          <w:rFonts w:ascii="Palatino Linotype" w:eastAsia="Palatino Linotype" w:hAnsi="Palatino Linotype" w:cs="Palatino Linotype"/>
          <w:i/>
          <w:sz w:val="22"/>
          <w:szCs w:val="22"/>
        </w:rPr>
      </w:pPr>
    </w:p>
    <w:p w14:paraId="5C013A05" w14:textId="77777777" w:rsidR="00F776E5" w:rsidRPr="00F22FA8" w:rsidRDefault="00395CBC">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b/>
          <w:sz w:val="22"/>
          <w:szCs w:val="22"/>
        </w:rPr>
        <w:t xml:space="preserve">Turno. </w:t>
      </w:r>
      <w:r w:rsidRPr="00F22FA8">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F22FA8">
        <w:rPr>
          <w:rFonts w:ascii="Palatino Linotype" w:eastAsia="Palatino Linotype" w:hAnsi="Palatino Linotype" w:cs="Palatino Linotype"/>
          <w:b/>
          <w:sz w:val="22"/>
          <w:szCs w:val="22"/>
        </w:rPr>
        <w:t>04139/INFOEM/IP/RR/2024</w:t>
      </w:r>
      <w:r w:rsidRPr="00F22FA8">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F22FA8">
        <w:rPr>
          <w:rFonts w:ascii="Palatino Linotype" w:eastAsia="Palatino Linotype" w:hAnsi="Palatino Linotype" w:cs="Palatino Linotype"/>
          <w:b/>
          <w:sz w:val="22"/>
          <w:szCs w:val="22"/>
        </w:rPr>
        <w:t>Guadalupe Ramírez Peña</w:t>
      </w:r>
      <w:r w:rsidRPr="00F22FA8">
        <w:rPr>
          <w:rFonts w:ascii="Palatino Linotype" w:eastAsia="Palatino Linotype" w:hAnsi="Palatino Linotype" w:cs="Palatino Linotype"/>
          <w:sz w:val="22"/>
          <w:szCs w:val="22"/>
        </w:rPr>
        <w:t>, para su análisis, estudio, elaboración del proyecto y presentación ante el Pleno de este Instituto.</w:t>
      </w:r>
    </w:p>
    <w:p w14:paraId="361BC6C8" w14:textId="77777777" w:rsidR="00F776E5" w:rsidRPr="00F22FA8" w:rsidRDefault="00F776E5">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62A5AEE3" w14:textId="77777777" w:rsidR="00F776E5" w:rsidRPr="00F22FA8" w:rsidRDefault="00395CBC">
      <w:pPr>
        <w:numPr>
          <w:ilvl w:val="0"/>
          <w:numId w:val="5"/>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bookmarkStart w:id="1" w:name="_heading=h.gjdgxs" w:colFirst="0" w:colLast="0"/>
      <w:bookmarkEnd w:id="1"/>
      <w:r w:rsidRPr="00F22FA8">
        <w:rPr>
          <w:rFonts w:ascii="Palatino Linotype" w:eastAsia="Palatino Linotype" w:hAnsi="Palatino Linotype" w:cs="Palatino Linotype"/>
          <w:b/>
          <w:sz w:val="22"/>
          <w:szCs w:val="22"/>
        </w:rPr>
        <w:t xml:space="preserve">Admisión del recurso de revisión: </w:t>
      </w:r>
      <w:r w:rsidRPr="00F22FA8">
        <w:rPr>
          <w:rFonts w:ascii="Palatino Linotype" w:eastAsia="Palatino Linotype" w:hAnsi="Palatino Linotype" w:cs="Palatino Linotype"/>
          <w:sz w:val="22"/>
          <w:szCs w:val="22"/>
        </w:rPr>
        <w:t xml:space="preserve">En fecha </w:t>
      </w:r>
      <w:r w:rsidRPr="00F22FA8">
        <w:rPr>
          <w:rFonts w:ascii="Palatino Linotype" w:eastAsia="Palatino Linotype" w:hAnsi="Palatino Linotype" w:cs="Palatino Linotype"/>
          <w:b/>
          <w:sz w:val="22"/>
          <w:szCs w:val="22"/>
        </w:rPr>
        <w:t xml:space="preserve">nueve de julio de dos mil veinticuatro, </w:t>
      </w:r>
      <w:r w:rsidRPr="00F22FA8">
        <w:rPr>
          <w:rFonts w:ascii="Palatino Linotype" w:eastAsia="Palatino Linotype" w:hAnsi="Palatino Linotype" w:cs="Palatino Linotype"/>
          <w:sz w:val="22"/>
          <w:szCs w:val="22"/>
        </w:rPr>
        <w:t xml:space="preserve">la Comisionada Ponente admitió a trámite el recurso de revisión que ahora se resuelve, dando un plazo máximo de siete días hábiles para que las partes manifestaran lo que a su derecho resultara conveniente, ofrecieran pruebas, formularan alegatos y el </w:t>
      </w:r>
      <w:r w:rsidRPr="00F22FA8">
        <w:rPr>
          <w:rFonts w:ascii="Palatino Linotype" w:eastAsia="Palatino Linotype" w:hAnsi="Palatino Linotype" w:cs="Palatino Linotype"/>
          <w:b/>
          <w:sz w:val="22"/>
          <w:szCs w:val="22"/>
        </w:rPr>
        <w:t>Sujeto Obligado</w:t>
      </w:r>
      <w:r w:rsidRPr="00F22FA8">
        <w:rPr>
          <w:rFonts w:ascii="Palatino Linotype" w:eastAsia="Palatino Linotype" w:hAnsi="Palatino Linotype" w:cs="Palatino Linotype"/>
          <w:sz w:val="22"/>
          <w:szCs w:val="22"/>
        </w:rPr>
        <w:t xml:space="preserve"> presentara su informe justificado. </w:t>
      </w:r>
    </w:p>
    <w:p w14:paraId="09331834" w14:textId="77777777" w:rsidR="00F776E5" w:rsidRPr="00F22FA8" w:rsidRDefault="00F776E5">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08343F49" w14:textId="77777777" w:rsidR="00F776E5" w:rsidRPr="00F22FA8" w:rsidRDefault="00395CBC">
      <w:pPr>
        <w:numPr>
          <w:ilvl w:val="0"/>
          <w:numId w:val="5"/>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b/>
          <w:sz w:val="22"/>
          <w:szCs w:val="22"/>
        </w:rPr>
        <w:t>Manifestaciones</w:t>
      </w:r>
      <w:r w:rsidRPr="00F22FA8">
        <w:rPr>
          <w:rFonts w:ascii="Palatino Linotype" w:eastAsia="Palatino Linotype" w:hAnsi="Palatino Linotype" w:cs="Palatino Linotype"/>
          <w:sz w:val="22"/>
          <w:szCs w:val="22"/>
        </w:rPr>
        <w:t xml:space="preserve">: Con fecha dieciocho de julio de dos mil veinticuatro, se recibió a través del sistema de Acceso a la Información Mexiquense (SAIMEX), el Informe Justificado del Sujeto Obligado a través de los siguientes archivos electrónicos: </w:t>
      </w:r>
    </w:p>
    <w:p w14:paraId="576C966E" w14:textId="77777777" w:rsidR="00F776E5" w:rsidRPr="00F22FA8" w:rsidRDefault="00F776E5">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7BD3DBAA" w14:textId="77777777" w:rsidR="00F776E5" w:rsidRPr="00F22FA8" w:rsidRDefault="00395CBC">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b/>
          <w:i/>
          <w:sz w:val="22"/>
          <w:szCs w:val="22"/>
        </w:rPr>
        <w:t>INFORME JUSTIFICADO B.pdf</w:t>
      </w:r>
      <w:r w:rsidRPr="00F22FA8">
        <w:rPr>
          <w:rFonts w:ascii="Palatino Linotype" w:eastAsia="Palatino Linotype" w:hAnsi="Palatino Linotype" w:cs="Palatino Linotype"/>
          <w:sz w:val="22"/>
          <w:szCs w:val="22"/>
        </w:rPr>
        <w:t xml:space="preserve">: Oficio número CCT/UT/0860/2024 de fecha dieciocho de julio de dos mil veinticuatro, signado por el Titular de la Unidad de Transparencia, mediante el cual informa que con la finalidad de atender el presente ocurso, el Servidor Público Habilitado de la Coordinación de Control Técnico mediante oficio 220A00000000000/486/2024, como área competente para responder el requerimiento de información, remitió nuevamente el link con el cual la </w:t>
      </w:r>
      <w:r w:rsidRPr="00F22FA8">
        <w:rPr>
          <w:rFonts w:ascii="Palatino Linotype" w:eastAsia="Palatino Linotype" w:hAnsi="Palatino Linotype" w:cs="Palatino Linotype"/>
          <w:sz w:val="22"/>
          <w:szCs w:val="22"/>
        </w:rPr>
        <w:lastRenderedPageBreak/>
        <w:t xml:space="preserve">Coordinación de Control Técnico da contestación, lo anterior para su fácil acceso: </w:t>
      </w:r>
      <w:hyperlink r:id="rId9">
        <w:r w:rsidRPr="00F22FA8">
          <w:rPr>
            <w:rFonts w:ascii="Palatino Linotype" w:eastAsia="Palatino Linotype" w:hAnsi="Palatino Linotype" w:cs="Palatino Linotype"/>
            <w:sz w:val="22"/>
            <w:szCs w:val="22"/>
            <w:u w:val="single"/>
          </w:rPr>
          <w:t>https://smovilidad.edomex.gob.mx/mejora_regulatoria</w:t>
        </w:r>
      </w:hyperlink>
      <w:r w:rsidRPr="00F22FA8">
        <w:rPr>
          <w:rFonts w:ascii="Palatino Linotype" w:eastAsia="Palatino Linotype" w:hAnsi="Palatino Linotype" w:cs="Palatino Linotype"/>
          <w:sz w:val="22"/>
          <w:szCs w:val="22"/>
        </w:rPr>
        <w:t xml:space="preserve"> </w:t>
      </w:r>
    </w:p>
    <w:p w14:paraId="099F0392" w14:textId="77777777" w:rsidR="00F776E5" w:rsidRPr="00F22FA8" w:rsidRDefault="00395CBC">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b/>
          <w:i/>
          <w:sz w:val="22"/>
          <w:szCs w:val="22"/>
        </w:rPr>
        <w:t>OFICIO CCT.pdf</w:t>
      </w:r>
      <w:r w:rsidRPr="00F22FA8">
        <w:rPr>
          <w:rFonts w:ascii="Palatino Linotype" w:eastAsia="Palatino Linotype" w:hAnsi="Palatino Linotype" w:cs="Palatino Linotype"/>
          <w:sz w:val="22"/>
          <w:szCs w:val="22"/>
        </w:rPr>
        <w:t xml:space="preserve">: oficio número 220A00000000000/486/2024, de fecha dieciocho de julio de dos mil veinticuatro, signado por el Coordinador de Control Técnico y Enlace de Mejora Regulatoria, mediante el cual ratifica su respuesta y hace entrega nuevamente del link de acceso: </w:t>
      </w:r>
      <w:hyperlink r:id="rId10">
        <w:r w:rsidRPr="00F22FA8">
          <w:rPr>
            <w:rFonts w:ascii="Palatino Linotype" w:eastAsia="Palatino Linotype" w:hAnsi="Palatino Linotype" w:cs="Palatino Linotype"/>
            <w:sz w:val="22"/>
            <w:szCs w:val="22"/>
            <w:u w:val="single"/>
          </w:rPr>
          <w:t>https://smovilidad.edomex.gob.mx/mejora_regulatoria</w:t>
        </w:r>
      </w:hyperlink>
    </w:p>
    <w:p w14:paraId="3458A06D" w14:textId="77777777" w:rsidR="00F776E5" w:rsidRPr="00F22FA8" w:rsidRDefault="00F776E5">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470F4BC4" w14:textId="77777777" w:rsidR="00F776E5" w:rsidRPr="00F22FA8" w:rsidRDefault="00395CBC">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t xml:space="preserve">Mismos que fueron puestos a la vista de la parte </w:t>
      </w:r>
      <w:r w:rsidRPr="00F22FA8">
        <w:rPr>
          <w:rFonts w:ascii="Palatino Linotype" w:eastAsia="Palatino Linotype" w:hAnsi="Palatino Linotype" w:cs="Palatino Linotype"/>
          <w:b/>
          <w:sz w:val="22"/>
          <w:szCs w:val="22"/>
        </w:rPr>
        <w:t>Recurrente</w:t>
      </w:r>
      <w:r w:rsidRPr="00F22FA8">
        <w:rPr>
          <w:rFonts w:ascii="Palatino Linotype" w:eastAsia="Palatino Linotype" w:hAnsi="Palatino Linotype" w:cs="Palatino Linotype"/>
          <w:sz w:val="22"/>
          <w:szCs w:val="22"/>
        </w:rPr>
        <w:t xml:space="preserve"> en fecha </w:t>
      </w:r>
      <w:r w:rsidRPr="00F22FA8">
        <w:rPr>
          <w:rFonts w:ascii="Palatino Linotype" w:eastAsia="Palatino Linotype" w:hAnsi="Palatino Linotype" w:cs="Palatino Linotype"/>
          <w:b/>
          <w:sz w:val="22"/>
          <w:szCs w:val="22"/>
        </w:rPr>
        <w:t>once de septiembre de dos mil veinticuatro</w:t>
      </w:r>
      <w:r w:rsidRPr="00F22FA8">
        <w:rPr>
          <w:rFonts w:ascii="Palatino Linotype" w:eastAsia="Palatino Linotype" w:hAnsi="Palatino Linotype" w:cs="Palatino Linotype"/>
          <w:sz w:val="22"/>
          <w:szCs w:val="22"/>
        </w:rPr>
        <w:t xml:space="preserve">, el cual resulto omiso en emitir sus manifestaciones conforme a derecho le corresponde. </w:t>
      </w:r>
    </w:p>
    <w:p w14:paraId="30DA73B3" w14:textId="77777777" w:rsidR="00F776E5" w:rsidRPr="00F22FA8" w:rsidRDefault="00F776E5">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4795572B" w14:textId="77777777" w:rsidR="00F776E5" w:rsidRPr="00F22FA8" w:rsidRDefault="00395CBC">
      <w:pPr>
        <w:numPr>
          <w:ilvl w:val="0"/>
          <w:numId w:val="4"/>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b/>
          <w:sz w:val="22"/>
          <w:szCs w:val="22"/>
        </w:rPr>
        <w:t>Ampliación del plazo.</w:t>
      </w:r>
      <w:r w:rsidRPr="00F22FA8">
        <w:rPr>
          <w:rFonts w:ascii="Palatino Linotype" w:eastAsia="Palatino Linotype" w:hAnsi="Palatino Linotype" w:cs="Palatino Linotype"/>
          <w:sz w:val="22"/>
          <w:szCs w:val="22"/>
        </w:rPr>
        <w:t xml:space="preserve"> En fecha </w:t>
      </w:r>
      <w:r w:rsidRPr="00F22FA8">
        <w:rPr>
          <w:rFonts w:ascii="Palatino Linotype" w:eastAsia="Palatino Linotype" w:hAnsi="Palatino Linotype" w:cs="Palatino Linotype"/>
          <w:b/>
          <w:sz w:val="22"/>
          <w:szCs w:val="22"/>
        </w:rPr>
        <w:t>once de septiembre de dos mil veinticuatro</w:t>
      </w:r>
      <w:r w:rsidRPr="00F22FA8">
        <w:rPr>
          <w:rFonts w:ascii="Palatino Linotype" w:eastAsia="Palatino Linotype" w:hAnsi="Palatino Linotype" w:cs="Palatino Linotype"/>
          <w:sz w:val="22"/>
          <w:szCs w:val="22"/>
        </w:rPr>
        <w:t xml:space="preserve">, con fundamento en el artículo 181, párrafo tercero de la Ley de Transparencia y Acceso a la Información Pública del Estado de México y Municipios, se acordó la ampliación del plazo para su resolución, mismo que fue notificado a las partes el cuatro de septiembre de dos mil veinticuatro, a través del Sistema de Acceso a la Información Mexiquense (SAIMEX). </w:t>
      </w:r>
    </w:p>
    <w:p w14:paraId="473DEEDA" w14:textId="77777777" w:rsidR="00F776E5" w:rsidRPr="00F22FA8" w:rsidRDefault="00F776E5">
      <w:pPr>
        <w:widowControl w:val="0"/>
        <w:spacing w:line="360" w:lineRule="auto"/>
        <w:jc w:val="both"/>
        <w:rPr>
          <w:rFonts w:ascii="Palatino Linotype" w:eastAsia="Palatino Linotype" w:hAnsi="Palatino Linotype" w:cs="Palatino Linotype"/>
          <w:sz w:val="22"/>
          <w:szCs w:val="22"/>
        </w:rPr>
      </w:pPr>
    </w:p>
    <w:p w14:paraId="2E01000E" w14:textId="77777777" w:rsidR="00F776E5" w:rsidRPr="00F22FA8" w:rsidRDefault="00395CBC">
      <w:pPr>
        <w:spacing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776BF146" w14:textId="77777777" w:rsidR="00F776E5" w:rsidRPr="00F22FA8" w:rsidRDefault="00F776E5">
      <w:pPr>
        <w:spacing w:line="360" w:lineRule="auto"/>
        <w:jc w:val="both"/>
        <w:rPr>
          <w:rFonts w:ascii="Palatino Linotype" w:eastAsia="Palatino Linotype" w:hAnsi="Palatino Linotype" w:cs="Palatino Linotype"/>
          <w:sz w:val="22"/>
          <w:szCs w:val="22"/>
        </w:rPr>
      </w:pPr>
    </w:p>
    <w:p w14:paraId="0314029E" w14:textId="77777777" w:rsidR="00F776E5" w:rsidRPr="00F22FA8" w:rsidRDefault="00395CBC">
      <w:pPr>
        <w:spacing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w:t>
      </w:r>
      <w:r w:rsidRPr="00F22FA8">
        <w:rPr>
          <w:rFonts w:ascii="Palatino Linotype" w:eastAsia="Palatino Linotype" w:hAnsi="Palatino Linotype" w:cs="Palatino Linotype"/>
          <w:sz w:val="22"/>
          <w:szCs w:val="22"/>
        </w:rPr>
        <w:lastRenderedPageBreak/>
        <w:t>conforme a los parámetros establecidos por diversos órganos jurisdiccionales federales, aplicables también en procedimientos análogos, como el que nos ocupa.</w:t>
      </w:r>
    </w:p>
    <w:p w14:paraId="31B5285D" w14:textId="77777777" w:rsidR="00F776E5" w:rsidRPr="00F22FA8" w:rsidRDefault="00F776E5">
      <w:pPr>
        <w:spacing w:line="360" w:lineRule="auto"/>
        <w:jc w:val="both"/>
        <w:rPr>
          <w:rFonts w:ascii="Palatino Linotype" w:eastAsia="Palatino Linotype" w:hAnsi="Palatino Linotype" w:cs="Palatino Linotype"/>
          <w:sz w:val="22"/>
          <w:szCs w:val="22"/>
        </w:rPr>
      </w:pPr>
    </w:p>
    <w:p w14:paraId="0DDA3DC6" w14:textId="77777777" w:rsidR="00F776E5" w:rsidRPr="00F22FA8" w:rsidRDefault="00395CBC">
      <w:pPr>
        <w:spacing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8809213" w14:textId="77777777" w:rsidR="00F776E5" w:rsidRPr="00F22FA8" w:rsidRDefault="00F776E5">
      <w:pPr>
        <w:spacing w:line="360" w:lineRule="auto"/>
        <w:jc w:val="both"/>
        <w:rPr>
          <w:rFonts w:ascii="Palatino Linotype" w:eastAsia="Palatino Linotype" w:hAnsi="Palatino Linotype" w:cs="Palatino Linotype"/>
          <w:sz w:val="22"/>
          <w:szCs w:val="22"/>
        </w:rPr>
      </w:pPr>
    </w:p>
    <w:p w14:paraId="47709EC5" w14:textId="77777777" w:rsidR="00F776E5" w:rsidRPr="00F22FA8" w:rsidRDefault="00395CBC">
      <w:pPr>
        <w:spacing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687CA6D" w14:textId="77777777" w:rsidR="00F776E5" w:rsidRPr="00F22FA8" w:rsidRDefault="00F776E5">
      <w:pPr>
        <w:spacing w:line="360" w:lineRule="auto"/>
        <w:jc w:val="both"/>
        <w:rPr>
          <w:rFonts w:ascii="Palatino Linotype" w:eastAsia="Palatino Linotype" w:hAnsi="Palatino Linotype" w:cs="Palatino Linotype"/>
          <w:sz w:val="22"/>
          <w:szCs w:val="22"/>
        </w:rPr>
      </w:pPr>
    </w:p>
    <w:p w14:paraId="626D8FC9" w14:textId="77777777" w:rsidR="00F776E5" w:rsidRPr="00F22FA8" w:rsidRDefault="00395CBC">
      <w:pPr>
        <w:spacing w:line="360" w:lineRule="auto"/>
        <w:jc w:val="both"/>
        <w:rPr>
          <w:rFonts w:ascii="Palatino Linotype" w:eastAsia="Palatino Linotype" w:hAnsi="Palatino Linotype" w:cs="Palatino Linotype"/>
          <w:strike/>
          <w:sz w:val="22"/>
          <w:szCs w:val="22"/>
        </w:rPr>
      </w:pPr>
      <w:r w:rsidRPr="00F22FA8">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20320A35" w14:textId="77777777" w:rsidR="00F776E5" w:rsidRPr="00F22FA8" w:rsidRDefault="00F776E5">
      <w:pPr>
        <w:spacing w:line="360" w:lineRule="auto"/>
        <w:jc w:val="both"/>
        <w:rPr>
          <w:rFonts w:ascii="Palatino Linotype" w:eastAsia="Palatino Linotype" w:hAnsi="Palatino Linotype" w:cs="Palatino Linotype"/>
          <w:sz w:val="22"/>
          <w:szCs w:val="22"/>
        </w:rPr>
      </w:pPr>
    </w:p>
    <w:p w14:paraId="3ABE5438" w14:textId="77777777" w:rsidR="00F776E5" w:rsidRPr="00F22FA8" w:rsidRDefault="00395CBC">
      <w:pPr>
        <w:numPr>
          <w:ilvl w:val="0"/>
          <w:numId w:val="2"/>
        </w:numPr>
        <w:spacing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b/>
          <w:sz w:val="22"/>
          <w:szCs w:val="22"/>
        </w:rPr>
        <w:t>Complejidad del Asunto</w:t>
      </w:r>
      <w:r w:rsidRPr="00F22FA8">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32B1AE54" w14:textId="77777777" w:rsidR="00F776E5" w:rsidRPr="00F22FA8" w:rsidRDefault="00F776E5">
      <w:pPr>
        <w:spacing w:line="360" w:lineRule="auto"/>
        <w:ind w:left="927"/>
        <w:jc w:val="both"/>
        <w:rPr>
          <w:rFonts w:ascii="Palatino Linotype" w:eastAsia="Palatino Linotype" w:hAnsi="Palatino Linotype" w:cs="Palatino Linotype"/>
          <w:sz w:val="22"/>
          <w:szCs w:val="22"/>
        </w:rPr>
      </w:pPr>
    </w:p>
    <w:p w14:paraId="65799904" w14:textId="77777777" w:rsidR="00F776E5" w:rsidRPr="00F22FA8" w:rsidRDefault="00395CBC">
      <w:pPr>
        <w:numPr>
          <w:ilvl w:val="0"/>
          <w:numId w:val="2"/>
        </w:numPr>
        <w:spacing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b/>
          <w:sz w:val="22"/>
          <w:szCs w:val="22"/>
        </w:rPr>
        <w:t>Actividad Procesal del interesado.</w:t>
      </w:r>
      <w:r w:rsidRPr="00F22FA8">
        <w:rPr>
          <w:rFonts w:ascii="Palatino Linotype" w:eastAsia="Palatino Linotype" w:hAnsi="Palatino Linotype" w:cs="Palatino Linotype"/>
          <w:sz w:val="22"/>
          <w:szCs w:val="22"/>
        </w:rPr>
        <w:t xml:space="preserve"> Acciones u omisiones del interesado.</w:t>
      </w:r>
    </w:p>
    <w:p w14:paraId="04F019C1" w14:textId="77777777" w:rsidR="00F776E5" w:rsidRPr="00F22FA8" w:rsidRDefault="00F776E5">
      <w:pPr>
        <w:spacing w:line="360" w:lineRule="auto"/>
        <w:ind w:left="927"/>
        <w:jc w:val="both"/>
        <w:rPr>
          <w:rFonts w:ascii="Palatino Linotype" w:eastAsia="Palatino Linotype" w:hAnsi="Palatino Linotype" w:cs="Palatino Linotype"/>
          <w:sz w:val="22"/>
          <w:szCs w:val="22"/>
        </w:rPr>
      </w:pPr>
    </w:p>
    <w:p w14:paraId="0A18B8CA" w14:textId="77777777" w:rsidR="00F776E5" w:rsidRPr="00F22FA8" w:rsidRDefault="00395CBC">
      <w:pPr>
        <w:numPr>
          <w:ilvl w:val="0"/>
          <w:numId w:val="2"/>
        </w:numPr>
        <w:spacing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b/>
          <w:sz w:val="22"/>
          <w:szCs w:val="22"/>
        </w:rPr>
        <w:t>Conducta de la Autoridad:</w:t>
      </w:r>
      <w:r w:rsidRPr="00F22FA8">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7175CF48" w14:textId="77777777" w:rsidR="00F776E5" w:rsidRPr="00F22FA8" w:rsidRDefault="00F776E5">
      <w:pPr>
        <w:spacing w:line="360" w:lineRule="auto"/>
        <w:ind w:left="927"/>
        <w:jc w:val="both"/>
        <w:rPr>
          <w:rFonts w:ascii="Palatino Linotype" w:eastAsia="Palatino Linotype" w:hAnsi="Palatino Linotype" w:cs="Palatino Linotype"/>
          <w:sz w:val="22"/>
          <w:szCs w:val="22"/>
        </w:rPr>
      </w:pPr>
    </w:p>
    <w:p w14:paraId="4F9DFC4F" w14:textId="77777777" w:rsidR="00F776E5" w:rsidRPr="00F22FA8" w:rsidRDefault="00395CBC">
      <w:pPr>
        <w:numPr>
          <w:ilvl w:val="0"/>
          <w:numId w:val="2"/>
        </w:numPr>
        <w:spacing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t xml:space="preserve"> </w:t>
      </w:r>
      <w:r w:rsidRPr="00F22FA8">
        <w:rPr>
          <w:rFonts w:ascii="Palatino Linotype" w:eastAsia="Palatino Linotype" w:hAnsi="Palatino Linotype" w:cs="Palatino Linotype"/>
          <w:b/>
          <w:sz w:val="22"/>
          <w:szCs w:val="22"/>
        </w:rPr>
        <w:t xml:space="preserve">La afectación generada en la situación jurídica de la persona involucrada en el proceso: </w:t>
      </w:r>
      <w:r w:rsidRPr="00F22FA8">
        <w:rPr>
          <w:rFonts w:ascii="Palatino Linotype" w:eastAsia="Palatino Linotype" w:hAnsi="Palatino Linotype" w:cs="Palatino Linotype"/>
          <w:sz w:val="22"/>
          <w:szCs w:val="22"/>
        </w:rPr>
        <w:t>Violación a sus derechos humanos.</w:t>
      </w:r>
    </w:p>
    <w:p w14:paraId="7AE545FA" w14:textId="77777777" w:rsidR="00F776E5" w:rsidRPr="00F22FA8" w:rsidRDefault="00F776E5">
      <w:pPr>
        <w:spacing w:line="360" w:lineRule="auto"/>
        <w:jc w:val="both"/>
        <w:rPr>
          <w:rFonts w:ascii="Palatino Linotype" w:eastAsia="Palatino Linotype" w:hAnsi="Palatino Linotype" w:cs="Palatino Linotype"/>
          <w:sz w:val="22"/>
          <w:szCs w:val="22"/>
        </w:rPr>
      </w:pPr>
    </w:p>
    <w:p w14:paraId="48BA7B82" w14:textId="77777777" w:rsidR="00F776E5" w:rsidRPr="00F22FA8" w:rsidRDefault="00395CBC">
      <w:pPr>
        <w:spacing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5211573" w14:textId="77777777" w:rsidR="00F776E5" w:rsidRPr="00F22FA8" w:rsidRDefault="00F776E5">
      <w:pPr>
        <w:spacing w:line="360" w:lineRule="auto"/>
        <w:jc w:val="both"/>
        <w:rPr>
          <w:rFonts w:ascii="Palatino Linotype" w:eastAsia="Palatino Linotype" w:hAnsi="Palatino Linotype" w:cs="Palatino Linotype"/>
          <w:sz w:val="22"/>
          <w:szCs w:val="22"/>
        </w:rPr>
      </w:pPr>
    </w:p>
    <w:p w14:paraId="5140B3D8" w14:textId="77777777" w:rsidR="00F776E5" w:rsidRPr="00F22FA8" w:rsidRDefault="00395CBC">
      <w:pPr>
        <w:spacing w:line="360" w:lineRule="auto"/>
        <w:jc w:val="both"/>
        <w:rPr>
          <w:rFonts w:ascii="Palatino Linotype" w:eastAsia="Palatino Linotype" w:hAnsi="Palatino Linotype" w:cs="Palatino Linotype"/>
          <w:b/>
          <w:sz w:val="22"/>
          <w:szCs w:val="22"/>
        </w:rPr>
      </w:pPr>
      <w:r w:rsidRPr="00F22FA8">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F22FA8">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F22FA8">
        <w:rPr>
          <w:rFonts w:ascii="Palatino Linotype" w:eastAsia="Palatino Linotype" w:hAnsi="Palatino Linotype" w:cs="Palatino Linotype"/>
          <w:sz w:val="22"/>
          <w:szCs w:val="22"/>
        </w:rPr>
        <w:t>, visible en la Gaceta del Seminario Judicial de la Federación con el registro digital 205635.</w:t>
      </w:r>
    </w:p>
    <w:p w14:paraId="3A4041DB" w14:textId="77777777" w:rsidR="00F776E5" w:rsidRPr="00F22FA8" w:rsidRDefault="00F776E5">
      <w:pPr>
        <w:spacing w:line="360" w:lineRule="auto"/>
        <w:jc w:val="both"/>
        <w:rPr>
          <w:rFonts w:ascii="Palatino Linotype" w:eastAsia="Palatino Linotype" w:hAnsi="Palatino Linotype" w:cs="Palatino Linotype"/>
          <w:sz w:val="22"/>
          <w:szCs w:val="22"/>
        </w:rPr>
      </w:pPr>
    </w:p>
    <w:p w14:paraId="4E2B46F9" w14:textId="77777777" w:rsidR="00F776E5" w:rsidRPr="00F22FA8" w:rsidRDefault="00395CBC">
      <w:pPr>
        <w:spacing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D4EA52E" w14:textId="77777777" w:rsidR="00F776E5" w:rsidRPr="00F22FA8" w:rsidRDefault="00F776E5">
      <w:pPr>
        <w:spacing w:line="360" w:lineRule="auto"/>
        <w:jc w:val="both"/>
        <w:rPr>
          <w:rFonts w:ascii="Palatino Linotype" w:eastAsia="Palatino Linotype" w:hAnsi="Palatino Linotype" w:cs="Palatino Linotype"/>
          <w:sz w:val="22"/>
          <w:szCs w:val="22"/>
        </w:rPr>
      </w:pPr>
    </w:p>
    <w:p w14:paraId="7D23D709" w14:textId="77777777" w:rsidR="00F776E5" w:rsidRPr="00F22FA8" w:rsidRDefault="00395CBC">
      <w:pPr>
        <w:spacing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62FD61BD" w14:textId="77777777" w:rsidR="00F776E5" w:rsidRPr="00F22FA8" w:rsidRDefault="00F776E5">
      <w:pPr>
        <w:spacing w:line="360" w:lineRule="auto"/>
        <w:jc w:val="both"/>
        <w:rPr>
          <w:rFonts w:ascii="Palatino Linotype" w:eastAsia="Palatino Linotype" w:hAnsi="Palatino Linotype" w:cs="Palatino Linotype"/>
          <w:sz w:val="22"/>
          <w:szCs w:val="22"/>
        </w:rPr>
      </w:pPr>
    </w:p>
    <w:p w14:paraId="2D9B7809" w14:textId="77777777" w:rsidR="00F776E5" w:rsidRPr="00F22FA8" w:rsidRDefault="00395CBC">
      <w:pPr>
        <w:spacing w:line="360" w:lineRule="auto"/>
        <w:ind w:left="567" w:right="616"/>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t xml:space="preserve"> </w:t>
      </w:r>
      <w:r w:rsidRPr="00F22FA8">
        <w:rPr>
          <w:rFonts w:ascii="Palatino Linotype" w:eastAsia="Palatino Linotype" w:hAnsi="Palatino Linotype" w:cs="Palatino Linotype"/>
          <w:i/>
          <w:sz w:val="22"/>
          <w:szCs w:val="22"/>
        </w:rPr>
        <w:t>“PLAZO RAZONABLE PARA RESOLVER. DIMENSIÓN Y EFECTOS DE ESTE CONCEPTO CUANDO SE ADUCE EXCESIVA CARGA DE TRABAJO.”</w:t>
      </w:r>
      <w:r w:rsidRPr="00F22FA8">
        <w:rPr>
          <w:rFonts w:ascii="Palatino Linotype" w:eastAsia="Palatino Linotype" w:hAnsi="Palatino Linotype" w:cs="Palatino Linotype"/>
          <w:sz w:val="22"/>
          <w:szCs w:val="22"/>
        </w:rPr>
        <w:t xml:space="preserve"> consultable en el Seminario Judicial de la Federación y su gaceta, con el registro digital 2002351.</w:t>
      </w:r>
    </w:p>
    <w:p w14:paraId="4058CC15" w14:textId="77777777" w:rsidR="00F776E5" w:rsidRPr="00F22FA8" w:rsidRDefault="00F776E5">
      <w:pPr>
        <w:spacing w:line="360" w:lineRule="auto"/>
        <w:ind w:left="567" w:right="616"/>
        <w:jc w:val="both"/>
        <w:rPr>
          <w:rFonts w:ascii="Palatino Linotype" w:eastAsia="Palatino Linotype" w:hAnsi="Palatino Linotype" w:cs="Palatino Linotype"/>
          <w:b/>
          <w:sz w:val="22"/>
          <w:szCs w:val="22"/>
        </w:rPr>
      </w:pPr>
    </w:p>
    <w:p w14:paraId="299A212A" w14:textId="77777777" w:rsidR="00F776E5" w:rsidRPr="00F22FA8" w:rsidRDefault="00395CBC">
      <w:pPr>
        <w:spacing w:line="360" w:lineRule="auto"/>
        <w:ind w:left="567" w:right="616"/>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i/>
          <w:sz w:val="22"/>
          <w:szCs w:val="22"/>
        </w:rPr>
        <w:t>“PLAZO RAZONABLE PARA RESOLVER. CONCEPTO Y ELEMENTOS QUE LO INTEGRAN A LA LUZ DEL DERECHO INTERNACIONAL DE LOS DERECHOS HUMANOS.”</w:t>
      </w:r>
      <w:r w:rsidRPr="00F22FA8">
        <w:rPr>
          <w:rFonts w:ascii="Palatino Linotype" w:eastAsia="Palatino Linotype" w:hAnsi="Palatino Linotype" w:cs="Palatino Linotype"/>
          <w:sz w:val="22"/>
          <w:szCs w:val="22"/>
        </w:rPr>
        <w:t>, visible en el Seminario Judicial de la Federación y su gaceta, con el registro digital 2002350.</w:t>
      </w:r>
    </w:p>
    <w:p w14:paraId="18F71271" w14:textId="77777777" w:rsidR="00F776E5" w:rsidRPr="00F22FA8" w:rsidRDefault="00F776E5">
      <w:pPr>
        <w:spacing w:line="360" w:lineRule="auto"/>
        <w:ind w:left="567" w:right="616"/>
        <w:jc w:val="both"/>
        <w:rPr>
          <w:rFonts w:ascii="Palatino Linotype" w:eastAsia="Palatino Linotype" w:hAnsi="Palatino Linotype" w:cs="Palatino Linotype"/>
          <w:sz w:val="22"/>
          <w:szCs w:val="22"/>
        </w:rPr>
      </w:pPr>
    </w:p>
    <w:p w14:paraId="598B25C8" w14:textId="77777777" w:rsidR="00F776E5" w:rsidRPr="00F22FA8" w:rsidRDefault="00395CBC">
      <w:pPr>
        <w:spacing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t>Por ello, este organismo garante comprometido con la tutela de los derechos humanos confiados, señala que este exceso de plazo legal para resolver el presente asunto, resulta de carácter excepcional.</w:t>
      </w:r>
    </w:p>
    <w:p w14:paraId="4A35545B" w14:textId="77777777" w:rsidR="00F776E5" w:rsidRPr="00F22FA8" w:rsidRDefault="00F776E5">
      <w:pPr>
        <w:spacing w:line="360" w:lineRule="auto"/>
        <w:jc w:val="both"/>
        <w:rPr>
          <w:rFonts w:ascii="Palatino Linotype" w:eastAsia="Palatino Linotype" w:hAnsi="Palatino Linotype" w:cs="Palatino Linotype"/>
          <w:b/>
          <w:sz w:val="22"/>
          <w:szCs w:val="22"/>
        </w:rPr>
      </w:pPr>
    </w:p>
    <w:p w14:paraId="7AF1F3B5" w14:textId="77777777" w:rsidR="00F776E5" w:rsidRPr="00F22FA8" w:rsidRDefault="00395CBC">
      <w:pPr>
        <w:numPr>
          <w:ilvl w:val="0"/>
          <w:numId w:val="4"/>
        </w:numPr>
        <w:pBdr>
          <w:top w:val="nil"/>
          <w:left w:val="nil"/>
          <w:bottom w:val="nil"/>
          <w:right w:val="nil"/>
          <w:between w:val="nil"/>
        </w:pBdr>
        <w:spacing w:line="360" w:lineRule="auto"/>
        <w:ind w:left="0" w:hanging="11"/>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b/>
          <w:sz w:val="22"/>
          <w:szCs w:val="22"/>
        </w:rPr>
        <w:t xml:space="preserve">Cierre de instrucción. </w:t>
      </w:r>
      <w:r w:rsidRPr="00F22FA8">
        <w:rPr>
          <w:rFonts w:ascii="Palatino Linotype" w:eastAsia="Palatino Linotype" w:hAnsi="Palatino Linotype" w:cs="Palatino Linotype"/>
          <w:sz w:val="22"/>
          <w:szCs w:val="22"/>
        </w:rPr>
        <w:t xml:space="preserve">El </w:t>
      </w:r>
      <w:r w:rsidRPr="00F22FA8">
        <w:rPr>
          <w:rFonts w:ascii="Palatino Linotype" w:eastAsia="Palatino Linotype" w:hAnsi="Palatino Linotype" w:cs="Palatino Linotype"/>
          <w:b/>
          <w:sz w:val="22"/>
          <w:szCs w:val="22"/>
        </w:rPr>
        <w:t>dieci</w:t>
      </w:r>
      <w:r w:rsidR="006F4EB7" w:rsidRPr="00F22FA8">
        <w:rPr>
          <w:rFonts w:ascii="Palatino Linotype" w:eastAsia="Palatino Linotype" w:hAnsi="Palatino Linotype" w:cs="Palatino Linotype"/>
          <w:b/>
          <w:sz w:val="22"/>
          <w:szCs w:val="22"/>
        </w:rPr>
        <w:t xml:space="preserve">nueve </w:t>
      </w:r>
      <w:r w:rsidRPr="00F22FA8">
        <w:rPr>
          <w:rFonts w:ascii="Palatino Linotype" w:eastAsia="Palatino Linotype" w:hAnsi="Palatino Linotype" w:cs="Palatino Linotype"/>
          <w:b/>
          <w:sz w:val="22"/>
          <w:szCs w:val="22"/>
        </w:rPr>
        <w:t>de septiembre de dos mil veinticuatro</w:t>
      </w:r>
      <w:r w:rsidRPr="00F22FA8">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 mismo que fue notificado a las partes el cuatro de septiembre de dos mil veinticuatro, a través del Sistema de Acceso a la Información Mexiquense (SAIMEX).</w:t>
      </w:r>
    </w:p>
    <w:p w14:paraId="2F1F5FFD" w14:textId="77777777" w:rsidR="00F776E5" w:rsidRPr="00F22FA8" w:rsidRDefault="00F776E5">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61B242B4" w14:textId="77777777" w:rsidR="00F776E5" w:rsidRPr="00F22FA8" w:rsidRDefault="00395CBC">
      <w:pPr>
        <w:spacing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0EB5CC69" w14:textId="77777777" w:rsidR="00F776E5" w:rsidRPr="00F22FA8" w:rsidRDefault="00F776E5">
      <w:pPr>
        <w:spacing w:line="360" w:lineRule="auto"/>
        <w:jc w:val="both"/>
        <w:rPr>
          <w:rFonts w:ascii="Palatino Linotype" w:eastAsia="Palatino Linotype" w:hAnsi="Palatino Linotype" w:cs="Palatino Linotype"/>
          <w:sz w:val="22"/>
          <w:szCs w:val="22"/>
        </w:rPr>
      </w:pPr>
    </w:p>
    <w:p w14:paraId="6F6F8387" w14:textId="77777777" w:rsidR="00F776E5" w:rsidRPr="00F22FA8" w:rsidRDefault="00395CBC">
      <w:pPr>
        <w:numPr>
          <w:ilvl w:val="0"/>
          <w:numId w:val="8"/>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2" w:name="_heading=h.30j0zll" w:colFirst="0" w:colLast="0"/>
      <w:bookmarkEnd w:id="2"/>
      <w:r w:rsidRPr="00F22FA8">
        <w:rPr>
          <w:rFonts w:ascii="Palatino Linotype" w:eastAsia="Palatino Linotype" w:hAnsi="Palatino Linotype" w:cs="Palatino Linotype"/>
          <w:b/>
          <w:sz w:val="22"/>
          <w:szCs w:val="22"/>
        </w:rPr>
        <w:t>C O N S I D E R A N D O:</w:t>
      </w:r>
    </w:p>
    <w:p w14:paraId="2415B267" w14:textId="77777777" w:rsidR="00F776E5" w:rsidRPr="00F22FA8" w:rsidRDefault="00F776E5">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6F69E385" w14:textId="77777777" w:rsidR="00F776E5" w:rsidRPr="00F22FA8" w:rsidRDefault="00395CBC">
      <w:pPr>
        <w:spacing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b/>
          <w:sz w:val="22"/>
          <w:szCs w:val="22"/>
        </w:rPr>
        <w:lastRenderedPageBreak/>
        <w:t xml:space="preserve">Primero. Competencia. </w:t>
      </w:r>
      <w:r w:rsidRPr="00F22FA8">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C4A57CE" w14:textId="77777777" w:rsidR="00F776E5" w:rsidRPr="00F22FA8" w:rsidRDefault="00F776E5">
      <w:pPr>
        <w:spacing w:line="360" w:lineRule="auto"/>
        <w:jc w:val="both"/>
        <w:rPr>
          <w:rFonts w:ascii="Palatino Linotype" w:eastAsia="Palatino Linotype" w:hAnsi="Palatino Linotype" w:cs="Palatino Linotype"/>
          <w:b/>
          <w:sz w:val="22"/>
          <w:szCs w:val="22"/>
        </w:rPr>
      </w:pPr>
    </w:p>
    <w:p w14:paraId="5B1768A7" w14:textId="77777777" w:rsidR="00F776E5" w:rsidRPr="00F22FA8" w:rsidRDefault="00395CBC">
      <w:pPr>
        <w:spacing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b/>
          <w:sz w:val="22"/>
          <w:szCs w:val="22"/>
        </w:rPr>
        <w:t>Segundo. Oportunidad y Procedibilidad del Recurso de Revisión</w:t>
      </w:r>
      <w:r w:rsidRPr="00F22FA8">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C16C14F" w14:textId="77777777" w:rsidR="00F776E5" w:rsidRPr="00F22FA8" w:rsidRDefault="00F776E5">
      <w:pPr>
        <w:spacing w:line="360" w:lineRule="auto"/>
        <w:jc w:val="both"/>
        <w:rPr>
          <w:rFonts w:ascii="Palatino Linotype" w:eastAsia="Palatino Linotype" w:hAnsi="Palatino Linotype" w:cs="Palatino Linotype"/>
          <w:sz w:val="22"/>
          <w:szCs w:val="22"/>
        </w:rPr>
      </w:pPr>
    </w:p>
    <w:p w14:paraId="0002CA19" w14:textId="77777777" w:rsidR="00F776E5" w:rsidRPr="00F22FA8" w:rsidRDefault="00395CBC">
      <w:pPr>
        <w:spacing w:line="360" w:lineRule="auto"/>
        <w:ind w:right="49"/>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ya que el </w:t>
      </w:r>
      <w:r w:rsidRPr="00F22FA8">
        <w:rPr>
          <w:rFonts w:ascii="Palatino Linotype" w:eastAsia="Palatino Linotype" w:hAnsi="Palatino Linotype" w:cs="Palatino Linotype"/>
          <w:b/>
          <w:sz w:val="22"/>
          <w:szCs w:val="22"/>
        </w:rPr>
        <w:t>Sujeto Obligado</w:t>
      </w:r>
      <w:r w:rsidRPr="00F22FA8">
        <w:rPr>
          <w:rFonts w:ascii="Palatino Linotype" w:eastAsia="Palatino Linotype" w:hAnsi="Palatino Linotype" w:cs="Palatino Linotype"/>
          <w:sz w:val="22"/>
          <w:szCs w:val="22"/>
        </w:rPr>
        <w:t xml:space="preserve"> proporcionó su respuesta a la solicitud de información el </w:t>
      </w:r>
      <w:r w:rsidRPr="00F22FA8">
        <w:rPr>
          <w:rFonts w:ascii="Palatino Linotype" w:eastAsia="Palatino Linotype" w:hAnsi="Palatino Linotype" w:cs="Palatino Linotype"/>
          <w:b/>
          <w:sz w:val="22"/>
          <w:szCs w:val="22"/>
        </w:rPr>
        <w:t>cuatro de julio dos mil veinticuatro</w:t>
      </w:r>
      <w:r w:rsidRPr="00F22FA8">
        <w:rPr>
          <w:rFonts w:ascii="Palatino Linotype" w:eastAsia="Palatino Linotype" w:hAnsi="Palatino Linotype" w:cs="Palatino Linotype"/>
          <w:sz w:val="22"/>
          <w:szCs w:val="22"/>
        </w:rPr>
        <w:t xml:space="preserve">, y la parte </w:t>
      </w:r>
      <w:r w:rsidRPr="00F22FA8">
        <w:rPr>
          <w:rFonts w:ascii="Palatino Linotype" w:eastAsia="Palatino Linotype" w:hAnsi="Palatino Linotype" w:cs="Palatino Linotype"/>
          <w:b/>
          <w:sz w:val="22"/>
          <w:szCs w:val="22"/>
        </w:rPr>
        <w:t>Recurrente</w:t>
      </w:r>
      <w:r w:rsidRPr="00F22FA8">
        <w:rPr>
          <w:rFonts w:ascii="Palatino Linotype" w:eastAsia="Palatino Linotype" w:hAnsi="Palatino Linotype" w:cs="Palatino Linotype"/>
          <w:sz w:val="22"/>
          <w:szCs w:val="22"/>
        </w:rPr>
        <w:t xml:space="preserve"> presentó su recurso de revisión el </w:t>
      </w:r>
      <w:r w:rsidRPr="00F22FA8">
        <w:rPr>
          <w:rFonts w:ascii="Palatino Linotype" w:eastAsia="Palatino Linotype" w:hAnsi="Palatino Linotype" w:cs="Palatino Linotype"/>
          <w:b/>
          <w:sz w:val="22"/>
          <w:szCs w:val="22"/>
        </w:rPr>
        <w:t>cuatro de julio de dos mil veinticuatro</w:t>
      </w:r>
      <w:r w:rsidRPr="00F22FA8">
        <w:rPr>
          <w:rFonts w:ascii="Palatino Linotype" w:eastAsia="Palatino Linotype" w:hAnsi="Palatino Linotype" w:cs="Palatino Linotype"/>
          <w:sz w:val="22"/>
          <w:szCs w:val="22"/>
        </w:rPr>
        <w:t>;</w:t>
      </w:r>
      <w:r w:rsidRPr="00F22FA8">
        <w:rPr>
          <w:rFonts w:ascii="Palatino Linotype" w:eastAsia="Palatino Linotype" w:hAnsi="Palatino Linotype" w:cs="Palatino Linotype"/>
          <w:b/>
          <w:sz w:val="22"/>
          <w:szCs w:val="22"/>
        </w:rPr>
        <w:t xml:space="preserve"> </w:t>
      </w:r>
      <w:r w:rsidRPr="00F22FA8">
        <w:rPr>
          <w:rFonts w:ascii="Palatino Linotype" w:eastAsia="Palatino Linotype" w:hAnsi="Palatino Linotype" w:cs="Palatino Linotype"/>
          <w:sz w:val="22"/>
          <w:szCs w:val="22"/>
        </w:rPr>
        <w:t xml:space="preserve">esto es el mismo día hábil en que tuvo conocimiento de la respuesta. </w:t>
      </w:r>
    </w:p>
    <w:p w14:paraId="060FBEC2" w14:textId="77777777" w:rsidR="00F776E5" w:rsidRPr="00F22FA8" w:rsidRDefault="00395CBC">
      <w:pPr>
        <w:pBdr>
          <w:top w:val="nil"/>
          <w:left w:val="nil"/>
          <w:bottom w:val="nil"/>
          <w:right w:val="nil"/>
          <w:between w:val="nil"/>
        </w:pBdr>
        <w:spacing w:before="240" w:after="240" w:line="360" w:lineRule="auto"/>
        <w:jc w:val="both"/>
        <w:rPr>
          <w:sz w:val="22"/>
          <w:szCs w:val="22"/>
        </w:rPr>
      </w:pPr>
      <w:r w:rsidRPr="00F22FA8">
        <w:rPr>
          <w:rFonts w:ascii="Palatino Linotype" w:eastAsia="Palatino Linotype" w:hAnsi="Palatino Linotype" w:cs="Palatino Linotype"/>
          <w:sz w:val="22"/>
          <w:szCs w:val="22"/>
        </w:rPr>
        <w:t xml:space="preserve">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w:t>
      </w:r>
      <w:r w:rsidRPr="00F22FA8">
        <w:rPr>
          <w:rFonts w:ascii="Palatino Linotype" w:eastAsia="Palatino Linotype" w:hAnsi="Palatino Linotype" w:cs="Palatino Linotype"/>
          <w:sz w:val="22"/>
          <w:szCs w:val="22"/>
        </w:rPr>
        <w:lastRenderedPageBreak/>
        <w:t>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2515C942" w14:textId="77777777" w:rsidR="00F776E5" w:rsidRPr="00F22FA8" w:rsidRDefault="00395CBC">
      <w:pPr>
        <w:pBdr>
          <w:top w:val="nil"/>
          <w:left w:val="nil"/>
          <w:bottom w:val="nil"/>
          <w:right w:val="nil"/>
          <w:between w:val="nil"/>
        </w:pBdr>
        <w:spacing w:line="276" w:lineRule="auto"/>
        <w:ind w:left="860" w:right="900"/>
        <w:jc w:val="both"/>
        <w:rPr>
          <w:sz w:val="22"/>
          <w:szCs w:val="22"/>
        </w:rPr>
      </w:pPr>
      <w:r w:rsidRPr="00F22FA8">
        <w:rPr>
          <w:rFonts w:ascii="Palatino Linotype" w:eastAsia="Palatino Linotype" w:hAnsi="Palatino Linotype" w:cs="Palatino Linotype"/>
          <w:i/>
          <w:sz w:val="22"/>
          <w:szCs w:val="22"/>
        </w:rPr>
        <w:t>“</w:t>
      </w:r>
      <w:r w:rsidRPr="00F22FA8">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F22FA8">
        <w:rPr>
          <w:rFonts w:ascii="Palatino Linotype" w:eastAsia="Palatino Linotype" w:hAnsi="Palatino Linotype" w:cs="Palatino Linotype"/>
          <w:i/>
          <w:sz w:val="22"/>
          <w:szCs w:val="22"/>
        </w:rPr>
        <w:t>.</w:t>
      </w:r>
    </w:p>
    <w:p w14:paraId="4FD6B3CD" w14:textId="77777777" w:rsidR="00F776E5" w:rsidRPr="00F22FA8" w:rsidRDefault="00395CBC">
      <w:pPr>
        <w:pBdr>
          <w:top w:val="nil"/>
          <w:left w:val="nil"/>
          <w:bottom w:val="nil"/>
          <w:right w:val="nil"/>
          <w:between w:val="nil"/>
        </w:pBdr>
        <w:spacing w:line="276" w:lineRule="auto"/>
        <w:ind w:left="860" w:right="900"/>
        <w:jc w:val="both"/>
        <w:rPr>
          <w:sz w:val="22"/>
          <w:szCs w:val="22"/>
        </w:rPr>
      </w:pPr>
      <w:r w:rsidRPr="00F22FA8">
        <w:rPr>
          <w:rFonts w:ascii="Palatino Linotype" w:eastAsia="Palatino Linotype" w:hAnsi="Palatino Linotype" w:cs="Palatino Linotype"/>
          <w:i/>
          <w:sz w:val="22"/>
          <w:szCs w:val="22"/>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proofErr w:type="gramStart"/>
      <w:r w:rsidRPr="00F22FA8">
        <w:rPr>
          <w:rFonts w:ascii="Palatino Linotype" w:eastAsia="Palatino Linotype" w:hAnsi="Palatino Linotype" w:cs="Palatino Linotype"/>
          <w:i/>
          <w:sz w:val="22"/>
          <w:szCs w:val="22"/>
        </w:rPr>
        <w:t>que</w:t>
      </w:r>
      <w:proofErr w:type="gramEnd"/>
      <w:r w:rsidRPr="00F22FA8">
        <w:rPr>
          <w:rFonts w:ascii="Palatino Linotype" w:eastAsia="Palatino Linotype" w:hAnsi="Palatino Linotype" w:cs="Palatino Linotype"/>
          <w:i/>
          <w:sz w:val="22"/>
          <w:szCs w:val="22"/>
        </w:rPr>
        <w:t xml:space="preserve"> si dicho recurso se interpone antes de que inicie el plazo para hacerlo, su presentación no es extemporánea.”</w:t>
      </w:r>
    </w:p>
    <w:p w14:paraId="7ABCA380" w14:textId="77777777" w:rsidR="00F776E5" w:rsidRPr="00F22FA8" w:rsidRDefault="00F776E5">
      <w:pPr>
        <w:spacing w:line="360" w:lineRule="auto"/>
        <w:jc w:val="both"/>
        <w:rPr>
          <w:rFonts w:ascii="Palatino Linotype" w:eastAsia="Palatino Linotype" w:hAnsi="Palatino Linotype" w:cs="Palatino Linotype"/>
          <w:sz w:val="22"/>
          <w:szCs w:val="22"/>
        </w:rPr>
      </w:pPr>
    </w:p>
    <w:p w14:paraId="31D95226" w14:textId="77777777" w:rsidR="00F776E5" w:rsidRPr="00F22FA8" w:rsidRDefault="00395CBC">
      <w:pPr>
        <w:spacing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t>Además, por cuanto hace a la procedibilidad del recurso de revisión, es de suma importancia señalar que la parte</w:t>
      </w:r>
      <w:r w:rsidRPr="00F22FA8">
        <w:rPr>
          <w:rFonts w:ascii="Palatino Linotype" w:eastAsia="Palatino Linotype" w:hAnsi="Palatino Linotype" w:cs="Palatino Linotype"/>
          <w:b/>
          <w:sz w:val="22"/>
          <w:szCs w:val="22"/>
        </w:rPr>
        <w:t xml:space="preserve"> Recurrente</w:t>
      </w:r>
      <w:r w:rsidRPr="00F22FA8">
        <w:rPr>
          <w:rFonts w:ascii="Palatino Linotype" w:eastAsia="Palatino Linotype" w:hAnsi="Palatino Linotype" w:cs="Palatino Linotype"/>
          <w:sz w:val="22"/>
          <w:szCs w:val="22"/>
        </w:rPr>
        <w:t xml:space="preserve"> no señaló un nombre o seudónimo con el cual desea ser identificado, como se advierte en el detalle de seguimiento del SAIMEX, no obstante lo anterior,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9313DD0" w14:textId="77777777" w:rsidR="00F776E5" w:rsidRPr="00F22FA8" w:rsidRDefault="00F776E5">
      <w:pPr>
        <w:spacing w:line="360" w:lineRule="auto"/>
        <w:jc w:val="both"/>
        <w:rPr>
          <w:rFonts w:ascii="Palatino Linotype" w:eastAsia="Palatino Linotype" w:hAnsi="Palatino Linotype" w:cs="Palatino Linotype"/>
          <w:sz w:val="22"/>
          <w:szCs w:val="22"/>
        </w:rPr>
      </w:pPr>
    </w:p>
    <w:p w14:paraId="711D55BC" w14:textId="77777777" w:rsidR="00F776E5" w:rsidRPr="00F22FA8" w:rsidRDefault="00395CBC">
      <w:pPr>
        <w:spacing w:line="276" w:lineRule="auto"/>
        <w:ind w:left="851" w:right="902"/>
        <w:jc w:val="both"/>
        <w:rPr>
          <w:rFonts w:ascii="Palatino Linotype" w:eastAsia="Palatino Linotype" w:hAnsi="Palatino Linotype" w:cs="Palatino Linotype"/>
          <w:i/>
          <w:sz w:val="22"/>
          <w:szCs w:val="22"/>
        </w:rPr>
      </w:pPr>
      <w:r w:rsidRPr="00F22FA8">
        <w:rPr>
          <w:rFonts w:ascii="Palatino Linotype" w:eastAsia="Palatino Linotype" w:hAnsi="Palatino Linotype" w:cs="Palatino Linotype"/>
          <w:i/>
          <w:sz w:val="22"/>
          <w:szCs w:val="22"/>
        </w:rPr>
        <w:t>"</w:t>
      </w:r>
      <w:r w:rsidRPr="00F22FA8">
        <w:rPr>
          <w:rFonts w:ascii="Palatino Linotype" w:eastAsia="Palatino Linotype" w:hAnsi="Palatino Linotype" w:cs="Palatino Linotype"/>
          <w:b/>
          <w:i/>
          <w:sz w:val="22"/>
          <w:szCs w:val="22"/>
        </w:rPr>
        <w:t>Las solicitudes anónimas</w:t>
      </w:r>
      <w:r w:rsidRPr="00F22FA8">
        <w:rPr>
          <w:rFonts w:ascii="Palatino Linotype" w:eastAsia="Palatino Linotype" w:hAnsi="Palatino Linotype" w:cs="Palatino Linotype"/>
          <w:i/>
          <w:sz w:val="22"/>
          <w:szCs w:val="22"/>
        </w:rPr>
        <w:t>, con nombre incompleto o seudónimo</w:t>
      </w:r>
      <w:r w:rsidRPr="00F22FA8">
        <w:rPr>
          <w:rFonts w:ascii="Palatino Linotype" w:eastAsia="Palatino Linotype" w:hAnsi="Palatino Linotype" w:cs="Palatino Linotype"/>
          <w:b/>
          <w:i/>
          <w:sz w:val="22"/>
          <w:szCs w:val="22"/>
        </w:rPr>
        <w:t xml:space="preserve"> serán procedentes para su trámite por parte del sujeto obligado ante quien se presente.</w:t>
      </w:r>
      <w:r w:rsidRPr="00F22FA8">
        <w:rPr>
          <w:rFonts w:ascii="Palatino Linotype" w:eastAsia="Palatino Linotype" w:hAnsi="Palatino Linotype" w:cs="Palatino Linotype"/>
          <w:i/>
          <w:sz w:val="22"/>
          <w:szCs w:val="22"/>
        </w:rPr>
        <w:t xml:space="preserve"> No podrá requerirse información adicional con motivo del nombre proporcionado por el solicitante."</w:t>
      </w:r>
    </w:p>
    <w:p w14:paraId="0D6F1332" w14:textId="77777777" w:rsidR="00F776E5" w:rsidRPr="00F22FA8" w:rsidRDefault="00F776E5">
      <w:pPr>
        <w:spacing w:line="360" w:lineRule="auto"/>
        <w:ind w:left="851" w:right="902"/>
        <w:jc w:val="both"/>
        <w:rPr>
          <w:rFonts w:ascii="Palatino Linotype" w:eastAsia="Palatino Linotype" w:hAnsi="Palatino Linotype" w:cs="Palatino Linotype"/>
          <w:sz w:val="22"/>
          <w:szCs w:val="22"/>
        </w:rPr>
      </w:pPr>
    </w:p>
    <w:p w14:paraId="79402F6A" w14:textId="77777777" w:rsidR="00F776E5" w:rsidRPr="00F22FA8" w:rsidRDefault="00395CBC">
      <w:pPr>
        <w:spacing w:line="360" w:lineRule="auto"/>
        <w:jc w:val="both"/>
        <w:rPr>
          <w:rFonts w:ascii="Palatino Linotype" w:eastAsia="Palatino Linotype" w:hAnsi="Palatino Linotype" w:cs="Palatino Linotype"/>
          <w:b/>
          <w:sz w:val="22"/>
          <w:szCs w:val="22"/>
        </w:rPr>
      </w:pPr>
      <w:r w:rsidRPr="00F22FA8">
        <w:rPr>
          <w:rFonts w:ascii="Palatino Linotype" w:eastAsia="Palatino Linotype" w:hAnsi="Palatino Linotype" w:cs="Palatino Linotype"/>
          <w:sz w:val="22"/>
          <w:szCs w:val="22"/>
        </w:rPr>
        <w:lastRenderedPageBreak/>
        <w:t>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el</w:t>
      </w:r>
      <w:r w:rsidRPr="00F22FA8">
        <w:rPr>
          <w:rFonts w:ascii="Palatino Linotype" w:eastAsia="Palatino Linotype" w:hAnsi="Palatino Linotype" w:cs="Palatino Linotype"/>
          <w:b/>
          <w:sz w:val="22"/>
          <w:szCs w:val="22"/>
        </w:rPr>
        <w:t xml:space="preserve"> SAIMEX.</w:t>
      </w:r>
    </w:p>
    <w:p w14:paraId="2E67F5F0" w14:textId="77777777" w:rsidR="00F776E5" w:rsidRPr="00F22FA8" w:rsidRDefault="00F776E5">
      <w:pPr>
        <w:spacing w:line="360" w:lineRule="auto"/>
        <w:jc w:val="both"/>
        <w:rPr>
          <w:rFonts w:ascii="Palatino Linotype" w:eastAsia="Palatino Linotype" w:hAnsi="Palatino Linotype" w:cs="Palatino Linotype"/>
          <w:sz w:val="22"/>
          <w:szCs w:val="22"/>
        </w:rPr>
      </w:pPr>
    </w:p>
    <w:p w14:paraId="6552B866" w14:textId="77777777" w:rsidR="00F776E5" w:rsidRPr="00F22FA8" w:rsidRDefault="00395CBC">
      <w:pPr>
        <w:spacing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IX de la ley de la materia, que a la letra dice:</w:t>
      </w:r>
    </w:p>
    <w:p w14:paraId="31791472" w14:textId="77777777" w:rsidR="00F776E5" w:rsidRPr="00F22FA8" w:rsidRDefault="00F776E5">
      <w:pPr>
        <w:spacing w:line="360" w:lineRule="auto"/>
        <w:jc w:val="both"/>
        <w:rPr>
          <w:rFonts w:ascii="Palatino Linotype" w:eastAsia="Palatino Linotype" w:hAnsi="Palatino Linotype" w:cs="Palatino Linotype"/>
          <w:sz w:val="22"/>
          <w:szCs w:val="22"/>
        </w:rPr>
      </w:pPr>
    </w:p>
    <w:p w14:paraId="0D1228C4" w14:textId="77777777" w:rsidR="00F776E5" w:rsidRPr="00F22FA8" w:rsidRDefault="00395CBC">
      <w:pPr>
        <w:spacing w:line="276" w:lineRule="auto"/>
        <w:ind w:left="567" w:right="616"/>
        <w:jc w:val="both"/>
        <w:rPr>
          <w:rFonts w:ascii="Palatino Linotype" w:eastAsia="Palatino Linotype" w:hAnsi="Palatino Linotype" w:cs="Palatino Linotype"/>
          <w:i/>
          <w:sz w:val="22"/>
          <w:szCs w:val="22"/>
        </w:rPr>
      </w:pPr>
      <w:r w:rsidRPr="00F22FA8">
        <w:rPr>
          <w:rFonts w:ascii="Palatino Linotype" w:eastAsia="Palatino Linotype" w:hAnsi="Palatino Linotype" w:cs="Palatino Linotype"/>
          <w:i/>
          <w:sz w:val="22"/>
          <w:szCs w:val="22"/>
        </w:rPr>
        <w:t>“</w:t>
      </w:r>
      <w:r w:rsidRPr="00F22FA8">
        <w:rPr>
          <w:rFonts w:ascii="Palatino Linotype" w:eastAsia="Palatino Linotype" w:hAnsi="Palatino Linotype" w:cs="Palatino Linotype"/>
          <w:b/>
          <w:i/>
          <w:sz w:val="22"/>
          <w:szCs w:val="22"/>
        </w:rPr>
        <w:t xml:space="preserve">Artículo 179. </w:t>
      </w:r>
      <w:r w:rsidRPr="00F22FA8">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0CB2A865" w14:textId="77777777" w:rsidR="00F776E5" w:rsidRPr="00F22FA8" w:rsidRDefault="00395CBC">
      <w:pPr>
        <w:spacing w:line="276" w:lineRule="auto"/>
        <w:ind w:left="567" w:right="616"/>
        <w:jc w:val="both"/>
        <w:rPr>
          <w:rFonts w:ascii="Palatino Linotype" w:eastAsia="Palatino Linotype" w:hAnsi="Palatino Linotype" w:cs="Palatino Linotype"/>
          <w:i/>
          <w:sz w:val="22"/>
          <w:szCs w:val="22"/>
        </w:rPr>
      </w:pPr>
      <w:r w:rsidRPr="00F22FA8">
        <w:rPr>
          <w:rFonts w:ascii="Palatino Linotype" w:eastAsia="Palatino Linotype" w:hAnsi="Palatino Linotype" w:cs="Palatino Linotype"/>
          <w:i/>
          <w:sz w:val="22"/>
          <w:szCs w:val="22"/>
        </w:rPr>
        <w:t>…</w:t>
      </w:r>
    </w:p>
    <w:p w14:paraId="3CF2DF37" w14:textId="77777777" w:rsidR="00F776E5" w:rsidRPr="00F22FA8" w:rsidRDefault="00395CBC">
      <w:pPr>
        <w:spacing w:line="276" w:lineRule="auto"/>
        <w:ind w:left="567" w:right="616"/>
        <w:jc w:val="both"/>
        <w:rPr>
          <w:rFonts w:ascii="Palatino Linotype" w:eastAsia="Palatino Linotype" w:hAnsi="Palatino Linotype" w:cs="Palatino Linotype"/>
          <w:i/>
          <w:sz w:val="22"/>
          <w:szCs w:val="22"/>
        </w:rPr>
      </w:pPr>
      <w:r w:rsidRPr="00F22FA8">
        <w:rPr>
          <w:rFonts w:ascii="Palatino Linotype" w:eastAsia="Palatino Linotype" w:hAnsi="Palatino Linotype" w:cs="Palatino Linotype"/>
          <w:i/>
          <w:sz w:val="22"/>
          <w:szCs w:val="22"/>
        </w:rPr>
        <w:t>IX. La entrega o puesta a disposición de información en un formato incomprensible y/o no accesible para el solicitante;</w:t>
      </w:r>
    </w:p>
    <w:p w14:paraId="4C6A277B" w14:textId="77777777" w:rsidR="00F776E5" w:rsidRPr="00F22FA8" w:rsidRDefault="00395CBC">
      <w:pPr>
        <w:spacing w:line="276" w:lineRule="auto"/>
        <w:ind w:left="567" w:right="616"/>
        <w:jc w:val="both"/>
        <w:rPr>
          <w:rFonts w:ascii="Palatino Linotype" w:eastAsia="Palatino Linotype" w:hAnsi="Palatino Linotype" w:cs="Palatino Linotype"/>
          <w:i/>
          <w:sz w:val="22"/>
          <w:szCs w:val="22"/>
        </w:rPr>
      </w:pPr>
      <w:r w:rsidRPr="00F22FA8">
        <w:rPr>
          <w:rFonts w:ascii="Palatino Linotype" w:eastAsia="Palatino Linotype" w:hAnsi="Palatino Linotype" w:cs="Palatino Linotype"/>
          <w:i/>
          <w:sz w:val="22"/>
          <w:szCs w:val="22"/>
        </w:rPr>
        <w:t xml:space="preserve">…” </w:t>
      </w:r>
    </w:p>
    <w:p w14:paraId="1F79861B" w14:textId="77777777" w:rsidR="00F776E5" w:rsidRPr="00F22FA8" w:rsidRDefault="00F776E5">
      <w:pPr>
        <w:spacing w:line="360" w:lineRule="auto"/>
        <w:ind w:left="567" w:right="616"/>
        <w:jc w:val="both"/>
        <w:rPr>
          <w:rFonts w:ascii="Palatino Linotype" w:eastAsia="Palatino Linotype" w:hAnsi="Palatino Linotype" w:cs="Palatino Linotype"/>
          <w:i/>
          <w:sz w:val="22"/>
          <w:szCs w:val="22"/>
        </w:rPr>
      </w:pPr>
    </w:p>
    <w:p w14:paraId="141A8D48" w14:textId="77777777" w:rsidR="00F776E5" w:rsidRPr="00F22FA8" w:rsidRDefault="00395CBC">
      <w:pPr>
        <w:spacing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b/>
          <w:sz w:val="22"/>
          <w:szCs w:val="22"/>
        </w:rPr>
        <w:t xml:space="preserve">Tercero. Análisis de las causales de sobreseimiento del recurso de revisión. </w:t>
      </w:r>
      <w:r w:rsidRPr="00F22FA8">
        <w:rPr>
          <w:rFonts w:ascii="Palatino Linotype" w:eastAsia="Palatino Linotype" w:hAnsi="Palatino Linotype" w:cs="Palatino Linotype"/>
          <w:sz w:val="22"/>
          <w:szCs w:val="22"/>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9AAC3F8" w14:textId="77777777" w:rsidR="00F776E5" w:rsidRPr="00F22FA8" w:rsidRDefault="00F776E5">
      <w:pPr>
        <w:spacing w:line="360" w:lineRule="auto"/>
        <w:jc w:val="both"/>
        <w:rPr>
          <w:rFonts w:ascii="Palatino Linotype" w:eastAsia="Palatino Linotype" w:hAnsi="Palatino Linotype" w:cs="Palatino Linotype"/>
          <w:b/>
          <w:sz w:val="22"/>
          <w:szCs w:val="22"/>
        </w:rPr>
      </w:pPr>
    </w:p>
    <w:p w14:paraId="072CDF82" w14:textId="77777777" w:rsidR="00F776E5" w:rsidRPr="00F22FA8" w:rsidRDefault="00395CBC">
      <w:pPr>
        <w:spacing w:before="240"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t xml:space="preserve">Siendo una facultad legal entrar al estudio de las causas de improcedencia que hagan valer las partes o que se adviertan de oficio por este Instituto; presupuestos procesales de inicio o </w:t>
      </w:r>
      <w:r w:rsidRPr="00F22FA8">
        <w:rPr>
          <w:rFonts w:ascii="Palatino Linotype" w:eastAsia="Palatino Linotype" w:hAnsi="Palatino Linotype" w:cs="Palatino Linotype"/>
          <w:sz w:val="22"/>
          <w:szCs w:val="22"/>
        </w:rPr>
        <w:lastRenderedPageBreak/>
        <w:t>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14:paraId="5F872C9B" w14:textId="77777777" w:rsidR="00F776E5" w:rsidRPr="00F22FA8" w:rsidRDefault="00F776E5">
      <w:pPr>
        <w:spacing w:line="360" w:lineRule="auto"/>
        <w:jc w:val="both"/>
        <w:rPr>
          <w:rFonts w:ascii="Palatino Linotype" w:eastAsia="Palatino Linotype" w:hAnsi="Palatino Linotype" w:cs="Palatino Linotype"/>
          <w:sz w:val="22"/>
          <w:szCs w:val="22"/>
        </w:rPr>
      </w:pPr>
    </w:p>
    <w:p w14:paraId="5FC720DB" w14:textId="77777777" w:rsidR="00F776E5" w:rsidRPr="00F22FA8" w:rsidRDefault="00395CBC">
      <w:pPr>
        <w:spacing w:line="360" w:lineRule="auto"/>
        <w:ind w:right="51"/>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t>De manera preliminar en el caso concreto conviene analizar si se actualiza alguna de las causales de sobreseimiento del recurso de revisión.</w:t>
      </w:r>
    </w:p>
    <w:p w14:paraId="754456A2" w14:textId="77777777" w:rsidR="00F776E5" w:rsidRPr="00F22FA8" w:rsidRDefault="00F776E5">
      <w:pPr>
        <w:spacing w:line="360" w:lineRule="auto"/>
        <w:ind w:right="51"/>
        <w:jc w:val="both"/>
        <w:rPr>
          <w:rFonts w:ascii="Palatino Linotype" w:eastAsia="Palatino Linotype" w:hAnsi="Palatino Linotype" w:cs="Palatino Linotype"/>
          <w:sz w:val="22"/>
          <w:szCs w:val="22"/>
        </w:rPr>
      </w:pPr>
    </w:p>
    <w:p w14:paraId="59BC8654" w14:textId="77777777" w:rsidR="00F776E5" w:rsidRPr="00F22FA8" w:rsidRDefault="00395CBC">
      <w:pPr>
        <w:spacing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t xml:space="preserve">Ahora bien, del análisis de la solicitud de información pública que motivó el recurso de revisión que ahora se resuelve, se advierte que la parte </w:t>
      </w:r>
      <w:r w:rsidRPr="00F22FA8">
        <w:rPr>
          <w:rFonts w:ascii="Palatino Linotype" w:eastAsia="Palatino Linotype" w:hAnsi="Palatino Linotype" w:cs="Palatino Linotype"/>
          <w:b/>
          <w:sz w:val="22"/>
          <w:szCs w:val="22"/>
        </w:rPr>
        <w:t>Recurrente</w:t>
      </w:r>
      <w:r w:rsidRPr="00F22FA8">
        <w:rPr>
          <w:rFonts w:ascii="Palatino Linotype" w:eastAsia="Palatino Linotype" w:hAnsi="Palatino Linotype" w:cs="Palatino Linotype"/>
          <w:sz w:val="22"/>
          <w:szCs w:val="22"/>
        </w:rPr>
        <w:t xml:space="preserve"> requirió al </w:t>
      </w:r>
      <w:r w:rsidRPr="00F22FA8">
        <w:rPr>
          <w:rFonts w:ascii="Palatino Linotype" w:eastAsia="Palatino Linotype" w:hAnsi="Palatino Linotype" w:cs="Palatino Linotype"/>
          <w:b/>
          <w:sz w:val="22"/>
          <w:szCs w:val="22"/>
        </w:rPr>
        <w:t>Sujeto Obligado</w:t>
      </w:r>
      <w:r w:rsidRPr="00F22FA8">
        <w:rPr>
          <w:rFonts w:ascii="Palatino Linotype" w:eastAsia="Palatino Linotype" w:hAnsi="Palatino Linotype" w:cs="Palatino Linotype"/>
          <w:sz w:val="22"/>
          <w:szCs w:val="22"/>
        </w:rPr>
        <w:t xml:space="preserve">, lo siguiente: </w:t>
      </w:r>
    </w:p>
    <w:p w14:paraId="307A198F" w14:textId="77777777" w:rsidR="00F776E5" w:rsidRPr="00F22FA8" w:rsidRDefault="00395CBC">
      <w:pPr>
        <w:numPr>
          <w:ilvl w:val="0"/>
          <w:numId w:val="3"/>
        </w:num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t xml:space="preserve">Actas de las Sesiones de Mejora Regulatoria y el avance de los acuerdos de los años 2022, 2023 y 2024. </w:t>
      </w:r>
    </w:p>
    <w:p w14:paraId="57336302" w14:textId="77777777" w:rsidR="00F776E5" w:rsidRPr="00F22FA8" w:rsidRDefault="00395CBC">
      <w:pPr>
        <w:spacing w:before="240" w:after="240" w:line="360" w:lineRule="auto"/>
        <w:ind w:right="51"/>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t xml:space="preserve">En tal sentido, el </w:t>
      </w:r>
      <w:r w:rsidRPr="00F22FA8">
        <w:rPr>
          <w:rFonts w:ascii="Palatino Linotype" w:eastAsia="Palatino Linotype" w:hAnsi="Palatino Linotype" w:cs="Palatino Linotype"/>
          <w:b/>
          <w:sz w:val="22"/>
          <w:szCs w:val="22"/>
        </w:rPr>
        <w:t>Sujeto Obligado</w:t>
      </w:r>
      <w:r w:rsidRPr="00F22FA8">
        <w:rPr>
          <w:rFonts w:ascii="Palatino Linotype" w:eastAsia="Palatino Linotype" w:hAnsi="Palatino Linotype" w:cs="Palatino Linotype"/>
          <w:sz w:val="22"/>
          <w:szCs w:val="22"/>
        </w:rPr>
        <w:t xml:space="preserve"> a través del Coordinador de Control Técnico y Enlace de Mejora Regulatoria, informó la siguiente liga electrónica en donde el particular puede consultar dichas actas: </w:t>
      </w:r>
    </w:p>
    <w:p w14:paraId="696A1852" w14:textId="77777777" w:rsidR="00F776E5" w:rsidRPr="00F22FA8" w:rsidRDefault="00395CBC">
      <w:pPr>
        <w:pBdr>
          <w:top w:val="nil"/>
          <w:left w:val="nil"/>
          <w:bottom w:val="nil"/>
          <w:right w:val="nil"/>
          <w:between w:val="nil"/>
        </w:pBdr>
        <w:spacing w:line="360" w:lineRule="auto"/>
        <w:ind w:right="49"/>
        <w:jc w:val="center"/>
        <w:rPr>
          <w:rFonts w:ascii="Palatino Linotype" w:eastAsia="Palatino Linotype" w:hAnsi="Palatino Linotype" w:cs="Palatino Linotype"/>
          <w:sz w:val="22"/>
          <w:szCs w:val="22"/>
        </w:rPr>
      </w:pPr>
      <w:r w:rsidRPr="00F22FA8">
        <w:rPr>
          <w:rFonts w:ascii="Palatino Linotype" w:eastAsia="Palatino Linotype" w:hAnsi="Palatino Linotype" w:cs="Palatino Linotype"/>
          <w:noProof/>
          <w:sz w:val="22"/>
          <w:szCs w:val="22"/>
          <w:lang w:val="es-MX" w:eastAsia="es-MX"/>
        </w:rPr>
        <w:drawing>
          <wp:inline distT="0" distB="0" distL="0" distR="0" wp14:anchorId="1E05C92F" wp14:editId="5F03E56A">
            <wp:extent cx="3791479" cy="314369"/>
            <wp:effectExtent l="0" t="0" r="0" b="0"/>
            <wp:docPr id="200992404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a:stretch>
                      <a:fillRect/>
                    </a:stretch>
                  </pic:blipFill>
                  <pic:spPr>
                    <a:xfrm>
                      <a:off x="0" y="0"/>
                      <a:ext cx="3791479" cy="314369"/>
                    </a:xfrm>
                    <a:prstGeom prst="rect">
                      <a:avLst/>
                    </a:prstGeom>
                    <a:ln/>
                  </pic:spPr>
                </pic:pic>
              </a:graphicData>
            </a:graphic>
          </wp:inline>
        </w:drawing>
      </w:r>
    </w:p>
    <w:p w14:paraId="2633DE67" w14:textId="77777777" w:rsidR="00F776E5" w:rsidRPr="00F22FA8" w:rsidRDefault="00395CBC">
      <w:pPr>
        <w:spacing w:before="240" w:after="240" w:line="360" w:lineRule="auto"/>
        <w:ind w:right="51"/>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t xml:space="preserve">Asimismo, precisó que al ingresar a la liga electrónica podrá ubicar que contienen dichas actas y el avance de los acuerdos del periodo 2022, 2023 y 2024. </w:t>
      </w:r>
    </w:p>
    <w:p w14:paraId="2EE7DC60" w14:textId="77777777" w:rsidR="00F776E5" w:rsidRPr="00F22FA8" w:rsidRDefault="00395CBC">
      <w:pPr>
        <w:spacing w:line="360" w:lineRule="auto"/>
        <w:ind w:right="49"/>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lastRenderedPageBreak/>
        <w:t xml:space="preserve">Inconforme con la respuesta, la parte </w:t>
      </w:r>
      <w:r w:rsidRPr="00F22FA8">
        <w:rPr>
          <w:rFonts w:ascii="Palatino Linotype" w:eastAsia="Palatino Linotype" w:hAnsi="Palatino Linotype" w:cs="Palatino Linotype"/>
          <w:b/>
          <w:sz w:val="22"/>
          <w:szCs w:val="22"/>
        </w:rPr>
        <w:t>Recurrente</w:t>
      </w:r>
      <w:r w:rsidRPr="00F22FA8">
        <w:rPr>
          <w:rFonts w:ascii="Palatino Linotype" w:eastAsia="Palatino Linotype" w:hAnsi="Palatino Linotype" w:cs="Palatino Linotype"/>
          <w:sz w:val="22"/>
          <w:szCs w:val="22"/>
        </w:rPr>
        <w:t xml:space="preserve">, procedió a interponer el presente recurso de revisión, señalando en sus razones o motivos de inconformidad, medularmente que no tuvo acceso a la información, debido a que el link no abre, aunado a que se entregó fuera del plazo. </w:t>
      </w:r>
    </w:p>
    <w:p w14:paraId="0FFE293E" w14:textId="77777777" w:rsidR="00F776E5" w:rsidRPr="00F22FA8" w:rsidRDefault="00F776E5">
      <w:pPr>
        <w:spacing w:line="360" w:lineRule="auto"/>
        <w:ind w:right="49"/>
        <w:jc w:val="both"/>
        <w:rPr>
          <w:rFonts w:ascii="Palatino Linotype" w:eastAsia="Palatino Linotype" w:hAnsi="Palatino Linotype" w:cs="Palatino Linotype"/>
          <w:sz w:val="22"/>
          <w:szCs w:val="22"/>
        </w:rPr>
      </w:pPr>
    </w:p>
    <w:p w14:paraId="2480E540" w14:textId="77777777" w:rsidR="00F776E5" w:rsidRPr="00F22FA8" w:rsidRDefault="00395CB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t xml:space="preserve">Así las cosas, durante la etapa de manifestaciones e informe justificado, se tiene que el </w:t>
      </w:r>
      <w:r w:rsidRPr="00F22FA8">
        <w:rPr>
          <w:rFonts w:ascii="Palatino Linotype" w:eastAsia="Palatino Linotype" w:hAnsi="Palatino Linotype" w:cs="Palatino Linotype"/>
          <w:b/>
          <w:sz w:val="22"/>
          <w:szCs w:val="22"/>
        </w:rPr>
        <w:t>Sujeto Obligado</w:t>
      </w:r>
      <w:r w:rsidRPr="00F22FA8">
        <w:rPr>
          <w:rFonts w:ascii="Palatino Linotype" w:eastAsia="Palatino Linotype" w:hAnsi="Palatino Linotype" w:cs="Palatino Linotype"/>
          <w:sz w:val="22"/>
          <w:szCs w:val="22"/>
        </w:rPr>
        <w:t xml:space="preserve"> hizo entrega nuevamente del link de acceso: </w:t>
      </w:r>
      <w:hyperlink r:id="rId11">
        <w:r w:rsidRPr="00F22FA8">
          <w:rPr>
            <w:rFonts w:ascii="Palatino Linotype" w:eastAsia="Palatino Linotype" w:hAnsi="Palatino Linotype" w:cs="Palatino Linotype"/>
            <w:sz w:val="22"/>
            <w:szCs w:val="22"/>
            <w:u w:val="single"/>
          </w:rPr>
          <w:t>https://smovilidad.edomex.gob.mx/mejora_regulatoria</w:t>
        </w:r>
      </w:hyperlink>
      <w:r w:rsidRPr="00F22FA8">
        <w:rPr>
          <w:rFonts w:ascii="Palatino Linotype" w:eastAsia="Palatino Linotype" w:hAnsi="Palatino Linotype" w:cs="Palatino Linotype"/>
          <w:sz w:val="22"/>
          <w:szCs w:val="22"/>
        </w:rPr>
        <w:t xml:space="preserve"> en datos abiertos, mientras que la parte</w:t>
      </w:r>
      <w:r w:rsidRPr="00F22FA8">
        <w:rPr>
          <w:rFonts w:ascii="Palatino Linotype" w:eastAsia="Palatino Linotype" w:hAnsi="Palatino Linotype" w:cs="Palatino Linotype"/>
          <w:b/>
          <w:sz w:val="22"/>
          <w:szCs w:val="22"/>
        </w:rPr>
        <w:t xml:space="preserve"> Recurrente</w:t>
      </w:r>
      <w:r w:rsidRPr="00F22FA8">
        <w:rPr>
          <w:rFonts w:ascii="Palatino Linotype" w:eastAsia="Palatino Linotype" w:hAnsi="Palatino Linotype" w:cs="Palatino Linotype"/>
          <w:sz w:val="22"/>
          <w:szCs w:val="22"/>
        </w:rPr>
        <w:t xml:space="preserve"> fue omisa en pronunciarse en esta etapa, por lo tanto, se tuvo por precluido su prerrogativa para tal efecto y se procede en este acto a emitir la resolución que corresponda conforme a derecho.</w:t>
      </w:r>
    </w:p>
    <w:p w14:paraId="7FE784CA" w14:textId="77777777" w:rsidR="00F776E5" w:rsidRPr="00F22FA8" w:rsidRDefault="00395CBC">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t>Expuestas las posturas de las partes, conviene señalar que, la Ley para la Mejora Regulatoria del Estado de México y Municipios, dispone lo siguiente:</w:t>
      </w:r>
    </w:p>
    <w:p w14:paraId="6FDE3097" w14:textId="77777777" w:rsidR="00F776E5" w:rsidRPr="00F22FA8" w:rsidRDefault="00395CBC">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sz w:val="22"/>
          <w:szCs w:val="22"/>
        </w:rPr>
      </w:pPr>
      <w:r w:rsidRPr="00F22FA8">
        <w:rPr>
          <w:rFonts w:ascii="Palatino Linotype" w:eastAsia="Palatino Linotype" w:hAnsi="Palatino Linotype" w:cs="Palatino Linotype"/>
          <w:i/>
          <w:sz w:val="22"/>
          <w:szCs w:val="22"/>
        </w:rPr>
        <w:t>“</w:t>
      </w:r>
      <w:r w:rsidRPr="00F22FA8">
        <w:rPr>
          <w:rFonts w:ascii="Palatino Linotype" w:eastAsia="Palatino Linotype" w:hAnsi="Palatino Linotype" w:cs="Palatino Linotype"/>
          <w:b/>
          <w:i/>
          <w:sz w:val="22"/>
          <w:szCs w:val="22"/>
        </w:rPr>
        <w:t>Artículo 27.- Los titulares de los sujetos obligados crearán dentro de su estructura orgánica Unidades como Enlace de Mejora Regulatoria, para coordinar, articular y vigilar el cumplimiento de la política de mejora regulatoria del Estado</w:t>
      </w:r>
      <w:r w:rsidRPr="00F22FA8">
        <w:rPr>
          <w:rFonts w:ascii="Palatino Linotype" w:eastAsia="Palatino Linotype" w:hAnsi="Palatino Linotype" w:cs="Palatino Linotype"/>
          <w:i/>
          <w:sz w:val="22"/>
          <w:szCs w:val="22"/>
        </w:rPr>
        <w:t>, al interior de cada Sujeto Obligado, con base en la suficiencia presupuestal correspondiente y conforme a lo dispuesto a esta Ley y en las disposiciones que de ella deriven.</w:t>
      </w:r>
    </w:p>
    <w:p w14:paraId="39FB10C2" w14:textId="77777777" w:rsidR="00F776E5" w:rsidRPr="00F22FA8" w:rsidRDefault="00395CBC">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sz w:val="22"/>
          <w:szCs w:val="22"/>
        </w:rPr>
      </w:pPr>
      <w:r w:rsidRPr="00F22FA8">
        <w:rPr>
          <w:rFonts w:ascii="Palatino Linotype" w:eastAsia="Palatino Linotype" w:hAnsi="Palatino Linotype" w:cs="Palatino Linotype"/>
          <w:b/>
          <w:i/>
          <w:sz w:val="22"/>
          <w:szCs w:val="22"/>
        </w:rPr>
        <w:t xml:space="preserve">Los Sujetos Obligados establecerán </w:t>
      </w:r>
      <w:r w:rsidRPr="00F22FA8">
        <w:rPr>
          <w:rFonts w:ascii="Palatino Linotype" w:eastAsia="Palatino Linotype" w:hAnsi="Palatino Linotype" w:cs="Palatino Linotype"/>
          <w:b/>
          <w:i/>
          <w:sz w:val="22"/>
          <w:szCs w:val="22"/>
          <w:u w:val="single"/>
        </w:rPr>
        <w:t>Comités Internos en cada dependencia</w:t>
      </w:r>
      <w:r w:rsidRPr="00F22FA8">
        <w:rPr>
          <w:rFonts w:ascii="Palatino Linotype" w:eastAsia="Palatino Linotype" w:hAnsi="Palatino Linotype" w:cs="Palatino Linotype"/>
          <w:i/>
          <w:sz w:val="22"/>
          <w:szCs w:val="22"/>
        </w:rPr>
        <w:t>, los cuales se encargarán de aprobar los programas anuales de mejora regulatoria, así como las propuestas de creación de regulaciones o de reforma específica, el Análisis de Impacto Regulatorio, entre otras atribuciones que les otorgue la Ley o la reglamentación correspondiente.”</w:t>
      </w:r>
    </w:p>
    <w:p w14:paraId="6FBEBEB6" w14:textId="77777777" w:rsidR="00F776E5" w:rsidRPr="00F22FA8" w:rsidRDefault="00395CBC">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t xml:space="preserve">Con lo anterior queda de manifiesto que los Sujetos Obligados deberán crear una unidad de mejora regulatoria para aprobar los programas anuales de mejora regulatoria, así como, las propuestas de creación de regulaciones o reforma específica. </w:t>
      </w:r>
    </w:p>
    <w:p w14:paraId="03A73CF7" w14:textId="77777777" w:rsidR="00F776E5" w:rsidRPr="00F22FA8" w:rsidRDefault="00395CBC">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lastRenderedPageBreak/>
        <w:t xml:space="preserve">Bajo esa premisa, resulta importante señalar que el Comité Interno de Mejora Regulatoria, es el órgano constituido al interior de cada dependencia estatal, organismo público descentralizado y municipios para llevar a cabo actividades continuas de mejora regulatoria derivadas de la Ley; de conformidad con el artículo 4 fracción X de la Ley para la Mejora Regulatoria del Estado de México y Municipios. </w:t>
      </w:r>
    </w:p>
    <w:p w14:paraId="41DA71F9" w14:textId="77777777" w:rsidR="00F776E5" w:rsidRPr="00F22FA8" w:rsidRDefault="00395CBC">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t xml:space="preserve">Aunado a ello, los artículos 28 y 30 Bis de la referida Ley establece las funciones que tienen las Unidades de Mejora Regulatoria, siendo estas las siguientes: </w:t>
      </w:r>
    </w:p>
    <w:p w14:paraId="745337AB" w14:textId="77777777" w:rsidR="00F776E5" w:rsidRPr="00F22FA8" w:rsidRDefault="00395CB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F22FA8">
        <w:rPr>
          <w:rFonts w:ascii="Palatino Linotype" w:eastAsia="Palatino Linotype" w:hAnsi="Palatino Linotype" w:cs="Palatino Linotype"/>
          <w:i/>
          <w:sz w:val="22"/>
          <w:szCs w:val="22"/>
        </w:rPr>
        <w:t>“</w:t>
      </w:r>
      <w:r w:rsidRPr="00F22FA8">
        <w:rPr>
          <w:rFonts w:ascii="Palatino Linotype" w:eastAsia="Palatino Linotype" w:hAnsi="Palatino Linotype" w:cs="Palatino Linotype"/>
          <w:b/>
          <w:i/>
          <w:sz w:val="22"/>
          <w:szCs w:val="22"/>
        </w:rPr>
        <w:t xml:space="preserve">Artículo 28.- El Enlace de Mejora Regulatoria </w:t>
      </w:r>
      <w:r w:rsidRPr="00F22FA8">
        <w:rPr>
          <w:rFonts w:ascii="Palatino Linotype" w:eastAsia="Palatino Linotype" w:hAnsi="Palatino Linotype" w:cs="Palatino Linotype"/>
          <w:i/>
          <w:sz w:val="22"/>
          <w:szCs w:val="22"/>
        </w:rPr>
        <w:t xml:space="preserve">tendrá, en su ámbito de competencia, </w:t>
      </w:r>
      <w:r w:rsidRPr="00F22FA8">
        <w:rPr>
          <w:rFonts w:ascii="Palatino Linotype" w:eastAsia="Palatino Linotype" w:hAnsi="Palatino Linotype" w:cs="Palatino Linotype"/>
          <w:b/>
          <w:i/>
          <w:sz w:val="22"/>
          <w:szCs w:val="22"/>
        </w:rPr>
        <w:t>las funciones siguientes</w:t>
      </w:r>
      <w:r w:rsidRPr="00F22FA8">
        <w:rPr>
          <w:rFonts w:ascii="Palatino Linotype" w:eastAsia="Palatino Linotype" w:hAnsi="Palatino Linotype" w:cs="Palatino Linotype"/>
          <w:i/>
          <w:sz w:val="22"/>
          <w:szCs w:val="22"/>
        </w:rPr>
        <w:t>:</w:t>
      </w:r>
    </w:p>
    <w:p w14:paraId="378B8FA3" w14:textId="77777777" w:rsidR="00F776E5" w:rsidRPr="00F22FA8" w:rsidRDefault="00395CB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F22FA8">
        <w:rPr>
          <w:rFonts w:ascii="Palatino Linotype" w:eastAsia="Palatino Linotype" w:hAnsi="Palatino Linotype" w:cs="Palatino Linotype"/>
          <w:i/>
          <w:sz w:val="22"/>
          <w:szCs w:val="22"/>
        </w:rPr>
        <w:t xml:space="preserve">I. Coordinar el proceso de mejora regulatoria y supervisar su cumplimiento; </w:t>
      </w:r>
    </w:p>
    <w:p w14:paraId="00122514" w14:textId="77777777" w:rsidR="00F776E5" w:rsidRPr="00F22FA8" w:rsidRDefault="00395CBC">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F22FA8">
        <w:rPr>
          <w:rFonts w:ascii="Palatino Linotype" w:eastAsia="Palatino Linotype" w:hAnsi="Palatino Linotype" w:cs="Palatino Linotype"/>
          <w:b/>
          <w:i/>
          <w:sz w:val="22"/>
          <w:szCs w:val="22"/>
        </w:rPr>
        <w:t>II. Ser el vínculo de su dependencia con la Comisión;</w:t>
      </w:r>
    </w:p>
    <w:p w14:paraId="532520F8" w14:textId="77777777" w:rsidR="00F776E5" w:rsidRPr="00F22FA8" w:rsidRDefault="00395CBC">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F22FA8">
        <w:rPr>
          <w:rFonts w:ascii="Palatino Linotype" w:eastAsia="Palatino Linotype" w:hAnsi="Palatino Linotype" w:cs="Palatino Linotype"/>
          <w:b/>
          <w:i/>
          <w:sz w:val="22"/>
          <w:szCs w:val="22"/>
        </w:rPr>
        <w:t>III. Elaborar el Programa Anual de Mejora Regulatoria y las propuestas de creación de regulaciones o de reforma específica, así como los Análisis de Impacto Regulatorio respectivos, y enviarlos a la Comisión para los efectos legales correspondientes;</w:t>
      </w:r>
    </w:p>
    <w:p w14:paraId="526EA67B" w14:textId="77777777" w:rsidR="00F776E5" w:rsidRPr="00F22FA8" w:rsidRDefault="00395CB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F22FA8">
        <w:rPr>
          <w:rFonts w:ascii="Palatino Linotype" w:eastAsia="Palatino Linotype" w:hAnsi="Palatino Linotype" w:cs="Palatino Linotype"/>
          <w:i/>
          <w:sz w:val="22"/>
          <w:szCs w:val="22"/>
        </w:rPr>
        <w:t>IV. Elaborar y tener actualizado el catálogo de trámites y servicios, así como los requisitos, plazos y montos de los derechos o aprovechamientos aplicables, en su caso, que aquéllos conlleven, y enviarlos a la Comisión para su inclusión en el Registro Estatal;</w:t>
      </w:r>
    </w:p>
    <w:p w14:paraId="79F5A2BC" w14:textId="77777777" w:rsidR="00F776E5" w:rsidRPr="00F22FA8" w:rsidRDefault="00395CBC">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F22FA8">
        <w:rPr>
          <w:rFonts w:ascii="Palatino Linotype" w:eastAsia="Palatino Linotype" w:hAnsi="Palatino Linotype" w:cs="Palatino Linotype"/>
          <w:b/>
          <w:i/>
          <w:sz w:val="22"/>
          <w:szCs w:val="22"/>
        </w:rPr>
        <w:t>V. Elaborar los Reportes de Avances del Programa Anual y enviarlos a la Comisión para los efectos legales correspondientes;</w:t>
      </w:r>
    </w:p>
    <w:p w14:paraId="5F70EF45" w14:textId="77777777" w:rsidR="00F776E5" w:rsidRPr="00F22FA8" w:rsidRDefault="00395CB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F22FA8">
        <w:rPr>
          <w:rFonts w:ascii="Palatino Linotype" w:eastAsia="Palatino Linotype" w:hAnsi="Palatino Linotype" w:cs="Palatino Linotype"/>
          <w:i/>
          <w:sz w:val="22"/>
          <w:szCs w:val="22"/>
        </w:rPr>
        <w:t>VI. Elaborar el informe anual del avance programático de Mejora Regulatoria que se hubiere implementado, que deberá incluir una evaluación de los resultados obtenidos y enviarlo a la Comisión para los efectos legales correspondientes; y</w:t>
      </w:r>
    </w:p>
    <w:p w14:paraId="0A981657" w14:textId="77777777" w:rsidR="00F776E5" w:rsidRPr="00F22FA8" w:rsidRDefault="00395CB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F22FA8">
        <w:rPr>
          <w:rFonts w:ascii="Palatino Linotype" w:eastAsia="Palatino Linotype" w:hAnsi="Palatino Linotype" w:cs="Palatino Linotype"/>
          <w:i/>
          <w:sz w:val="22"/>
          <w:szCs w:val="22"/>
        </w:rPr>
        <w:t>VII. Las demás que establezcan otras disposiciones jurídicas aplicables.</w:t>
      </w:r>
    </w:p>
    <w:p w14:paraId="079DCD25" w14:textId="77777777" w:rsidR="00F776E5" w:rsidRPr="00F22FA8" w:rsidRDefault="00395CB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F22FA8">
        <w:rPr>
          <w:rFonts w:ascii="Palatino Linotype" w:eastAsia="Palatino Linotype" w:hAnsi="Palatino Linotype" w:cs="Palatino Linotype"/>
          <w:i/>
          <w:sz w:val="22"/>
          <w:szCs w:val="22"/>
        </w:rPr>
        <w:t>Aprobadas por la Comisión las propuestas de creación de nuevas regulaciones o de reforma, los Enlaces de Mejora Regulatoria presentarán al titular del área a que pertenecen, el proyecto de reforma respectivo.</w:t>
      </w:r>
    </w:p>
    <w:p w14:paraId="4BD3A722" w14:textId="77777777" w:rsidR="00F776E5" w:rsidRPr="00F22FA8" w:rsidRDefault="00F776E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11BFA104" w14:textId="77777777" w:rsidR="00F776E5" w:rsidRPr="00F22FA8" w:rsidRDefault="00395CB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F22FA8">
        <w:rPr>
          <w:rFonts w:ascii="Palatino Linotype" w:eastAsia="Palatino Linotype" w:hAnsi="Palatino Linotype" w:cs="Palatino Linotype"/>
          <w:b/>
          <w:i/>
          <w:sz w:val="22"/>
          <w:szCs w:val="22"/>
        </w:rPr>
        <w:t xml:space="preserve">Artículo 30 </w:t>
      </w:r>
      <w:proofErr w:type="gramStart"/>
      <w:r w:rsidRPr="00F22FA8">
        <w:rPr>
          <w:rFonts w:ascii="Palatino Linotype" w:eastAsia="Palatino Linotype" w:hAnsi="Palatino Linotype" w:cs="Palatino Linotype"/>
          <w:b/>
          <w:i/>
          <w:sz w:val="22"/>
          <w:szCs w:val="22"/>
        </w:rPr>
        <w:t>Bis.-</w:t>
      </w:r>
      <w:proofErr w:type="gramEnd"/>
      <w:r w:rsidRPr="00F22FA8">
        <w:rPr>
          <w:rFonts w:ascii="Palatino Linotype" w:eastAsia="Palatino Linotype" w:hAnsi="Palatino Linotype" w:cs="Palatino Linotype"/>
          <w:i/>
          <w:sz w:val="22"/>
          <w:szCs w:val="22"/>
        </w:rPr>
        <w:t xml:space="preserve"> Son funciones de las Unidades, además de las señaladas a los Enlaces de Mejora Regulatoria, las siguientes:</w:t>
      </w:r>
    </w:p>
    <w:p w14:paraId="7F90CBE0" w14:textId="77777777" w:rsidR="00F776E5" w:rsidRPr="00F22FA8" w:rsidRDefault="00395CBC">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F22FA8">
        <w:rPr>
          <w:rFonts w:ascii="Palatino Linotype" w:eastAsia="Palatino Linotype" w:hAnsi="Palatino Linotype" w:cs="Palatino Linotype"/>
          <w:i/>
          <w:sz w:val="22"/>
          <w:szCs w:val="22"/>
        </w:rPr>
        <w:lastRenderedPageBreak/>
        <w:t>I</w:t>
      </w:r>
      <w:r w:rsidRPr="00F22FA8">
        <w:rPr>
          <w:rFonts w:ascii="Palatino Linotype" w:eastAsia="Palatino Linotype" w:hAnsi="Palatino Linotype" w:cs="Palatino Linotype"/>
          <w:b/>
          <w:i/>
          <w:sz w:val="22"/>
          <w:szCs w:val="22"/>
        </w:rPr>
        <w:t>. Promover y vigilar el seguimiento y cumplimiento de las acciones y programas de mejora regulatoria;</w:t>
      </w:r>
    </w:p>
    <w:p w14:paraId="70EA3DC5" w14:textId="77777777" w:rsidR="00F776E5" w:rsidRPr="00F22FA8" w:rsidRDefault="00395CBC">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F22FA8">
        <w:rPr>
          <w:rFonts w:ascii="Palatino Linotype" w:eastAsia="Palatino Linotype" w:hAnsi="Palatino Linotype" w:cs="Palatino Linotype"/>
          <w:b/>
          <w:i/>
          <w:sz w:val="22"/>
          <w:szCs w:val="22"/>
        </w:rPr>
        <w:t>II. Organizar las sesiones ordinarias y extraordinarias de los Comités Internos de Mejora Regulatoria;</w:t>
      </w:r>
    </w:p>
    <w:p w14:paraId="65508FE5" w14:textId="77777777" w:rsidR="00F776E5" w:rsidRPr="00F22FA8" w:rsidRDefault="00395CBC">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F22FA8">
        <w:rPr>
          <w:rFonts w:ascii="Palatino Linotype" w:eastAsia="Palatino Linotype" w:hAnsi="Palatino Linotype" w:cs="Palatino Linotype"/>
          <w:b/>
          <w:i/>
          <w:sz w:val="22"/>
          <w:szCs w:val="22"/>
        </w:rPr>
        <w:t>III. Coadyuvar en la atención de las protestas y observaciones ciudadanas que se reciban en materia de mejora regulatoria;</w:t>
      </w:r>
    </w:p>
    <w:p w14:paraId="5EAD4298" w14:textId="77777777" w:rsidR="00F776E5" w:rsidRPr="00F22FA8" w:rsidRDefault="00395CB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F22FA8">
        <w:rPr>
          <w:rFonts w:ascii="Palatino Linotype" w:eastAsia="Palatino Linotype" w:hAnsi="Palatino Linotype" w:cs="Palatino Linotype"/>
          <w:i/>
          <w:sz w:val="22"/>
          <w:szCs w:val="22"/>
        </w:rPr>
        <w:t>IV. Auxiliar en la identificación de los trámites y servicios que presentan procesos complejos y costosos, para disminuir requisitos y tiempos de resolución; y</w:t>
      </w:r>
    </w:p>
    <w:p w14:paraId="37E0AB78" w14:textId="77777777" w:rsidR="00F776E5" w:rsidRPr="00F22FA8" w:rsidRDefault="00395CBC">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i/>
          <w:sz w:val="22"/>
          <w:szCs w:val="22"/>
        </w:rPr>
        <w:t>V. Coadyuvar en la revisión de aquellas regulaciones cuyos costos superan a sus beneficios, las que han dejado de cumplir con su objetivo o están duplicadas o desactualizadas para eliminarlas</w:t>
      </w:r>
      <w:r w:rsidRPr="00F22FA8">
        <w:rPr>
          <w:rFonts w:ascii="Palatino Linotype" w:eastAsia="Palatino Linotype" w:hAnsi="Palatino Linotype" w:cs="Palatino Linotype"/>
          <w:sz w:val="22"/>
          <w:szCs w:val="22"/>
        </w:rPr>
        <w:t>. “</w:t>
      </w:r>
    </w:p>
    <w:p w14:paraId="411EE3CD" w14:textId="77777777" w:rsidR="00F776E5" w:rsidRPr="00F22FA8" w:rsidRDefault="00395CBC">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t xml:space="preserve">De lo anterior podemos advertir que el </w:t>
      </w:r>
      <w:r w:rsidRPr="00F22FA8">
        <w:rPr>
          <w:rFonts w:ascii="Palatino Linotype" w:eastAsia="Palatino Linotype" w:hAnsi="Palatino Linotype" w:cs="Palatino Linotype"/>
          <w:b/>
          <w:sz w:val="22"/>
          <w:szCs w:val="22"/>
        </w:rPr>
        <w:t>Sujeto Obligado</w:t>
      </w:r>
      <w:r w:rsidRPr="00F22FA8">
        <w:rPr>
          <w:rFonts w:ascii="Palatino Linotype" w:eastAsia="Palatino Linotype" w:hAnsi="Palatino Linotype" w:cs="Palatino Linotype"/>
          <w:sz w:val="22"/>
          <w:szCs w:val="22"/>
        </w:rPr>
        <w:t xml:space="preserve"> tiene atribuciones para contar con un Comité Interno de Mejora Regulatoria, el cual se encargara de aprobar los programas anuales de mejora regulatoria, así como las propuestas de creación de regulaciones o de reforma específica, el Análisis de Impacto Regulatorio, entre otras. </w:t>
      </w:r>
    </w:p>
    <w:p w14:paraId="5915F4B5" w14:textId="77777777" w:rsidR="00F776E5" w:rsidRPr="00F22FA8" w:rsidRDefault="00395CBC">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t xml:space="preserve">Aunado a ello, </w:t>
      </w:r>
      <w:proofErr w:type="gramStart"/>
      <w:r w:rsidRPr="00F22FA8">
        <w:rPr>
          <w:rFonts w:ascii="Palatino Linotype" w:eastAsia="Palatino Linotype" w:hAnsi="Palatino Linotype" w:cs="Palatino Linotype"/>
          <w:sz w:val="22"/>
          <w:szCs w:val="22"/>
        </w:rPr>
        <w:t>contara</w:t>
      </w:r>
      <w:proofErr w:type="gramEnd"/>
      <w:r w:rsidRPr="00F22FA8">
        <w:rPr>
          <w:rFonts w:ascii="Palatino Linotype" w:eastAsia="Palatino Linotype" w:hAnsi="Palatino Linotype" w:cs="Palatino Linotype"/>
          <w:sz w:val="22"/>
          <w:szCs w:val="22"/>
        </w:rPr>
        <w:t xml:space="preserve"> con un Enlace de Mejora Regulatoria que tendrá dentro de sus funciones ser el vínculo de su dependencia con la Comisión, elaborar el Programa Anual de Mejora Regulatoria y las propuestas de creación de regulaciones o de reforma específica, así como los Análisis de Impacto Regulatorio respectivos, elaborar los Reportes de Avances del Programa Anual y promover y vigilar el seguimiento y cumplimiento de las acciones y programas de mejora regulatoria; entre otras. </w:t>
      </w:r>
    </w:p>
    <w:p w14:paraId="3A59974D" w14:textId="77777777" w:rsidR="00F776E5" w:rsidRPr="00F22FA8" w:rsidRDefault="00395CBC">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t xml:space="preserve">Atentos lo anterior, no debemos perder de vista que en respuesta el </w:t>
      </w:r>
      <w:r w:rsidRPr="00F22FA8">
        <w:rPr>
          <w:rFonts w:ascii="Palatino Linotype" w:eastAsia="Palatino Linotype" w:hAnsi="Palatino Linotype" w:cs="Palatino Linotype"/>
          <w:b/>
          <w:sz w:val="22"/>
          <w:szCs w:val="22"/>
        </w:rPr>
        <w:t>Sujeto Obligado</w:t>
      </w:r>
      <w:r w:rsidRPr="00F22FA8">
        <w:rPr>
          <w:rFonts w:ascii="Palatino Linotype" w:eastAsia="Palatino Linotype" w:hAnsi="Palatino Linotype" w:cs="Palatino Linotype"/>
          <w:sz w:val="22"/>
          <w:szCs w:val="22"/>
        </w:rPr>
        <w:t xml:space="preserve">, asumió que cuenta con la información, tan es así que hizo entrega de la liga electrónica en formato cerrado, que a su decir remite a la información solicitada por el particular. </w:t>
      </w:r>
    </w:p>
    <w:p w14:paraId="1A0E2CC2" w14:textId="77777777" w:rsidR="00F776E5" w:rsidRPr="00F22FA8" w:rsidRDefault="00395CBC">
      <w:pPr>
        <w:spacing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t xml:space="preserve">Bajo esa tesitura, es conveniente precisar que cuando una liga electrónica se encuentre en formato cerrado, es decir, que no se puede copiar y pegar para tener acceso; sobre el tema, Trujillo, Humberto (2019), en el “Diccionario de Transparencia y Acceso a la Información </w:t>
      </w:r>
      <w:r w:rsidRPr="00F22FA8">
        <w:rPr>
          <w:rFonts w:ascii="Palatino Linotype" w:eastAsia="Palatino Linotype" w:hAnsi="Palatino Linotype" w:cs="Palatino Linotype"/>
          <w:sz w:val="22"/>
          <w:szCs w:val="22"/>
        </w:rPr>
        <w:lastRenderedPageBreak/>
        <w:t xml:space="preserve">Pública”, precisa que cuando un </w:t>
      </w:r>
      <w:r w:rsidRPr="00F22FA8">
        <w:rPr>
          <w:rFonts w:ascii="Palatino Linotype" w:eastAsia="Palatino Linotype" w:hAnsi="Palatino Linotype" w:cs="Palatino Linotype"/>
          <w:b/>
          <w:sz w:val="22"/>
          <w:szCs w:val="22"/>
        </w:rPr>
        <w:t xml:space="preserve">Sujeto Obligado </w:t>
      </w:r>
      <w:r w:rsidRPr="00F22FA8">
        <w:rPr>
          <w:rFonts w:ascii="Palatino Linotype" w:eastAsia="Palatino Linotype" w:hAnsi="Palatino Linotype" w:cs="Palatino Linotype"/>
          <w:sz w:val="22"/>
          <w:szCs w:val="22"/>
        </w:rPr>
        <w:t>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2CD7C267" w14:textId="77777777" w:rsidR="00F776E5" w:rsidRPr="00F22FA8" w:rsidRDefault="00F776E5">
      <w:pPr>
        <w:spacing w:line="360" w:lineRule="auto"/>
        <w:jc w:val="both"/>
        <w:rPr>
          <w:rFonts w:ascii="Palatino Linotype" w:eastAsia="Palatino Linotype" w:hAnsi="Palatino Linotype" w:cs="Palatino Linotype"/>
          <w:sz w:val="22"/>
          <w:szCs w:val="22"/>
        </w:rPr>
      </w:pPr>
    </w:p>
    <w:p w14:paraId="6C49BE89" w14:textId="77777777" w:rsidR="00F776E5" w:rsidRPr="00F22FA8" w:rsidRDefault="00395CBC">
      <w:pPr>
        <w:spacing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t xml:space="preserve">Asimismo, establece que al proporcionar información pública es necesario que sea en un formato que no tenga ninguna restricción en el acceso o reutilización, por lo que, es necesario que los datos digitales (como ligas electrónicas), se proporcionen en un formato abierto. </w:t>
      </w:r>
    </w:p>
    <w:p w14:paraId="641F74CB" w14:textId="77777777" w:rsidR="00F776E5" w:rsidRPr="00F22FA8" w:rsidRDefault="00F776E5">
      <w:pPr>
        <w:spacing w:line="360" w:lineRule="auto"/>
        <w:jc w:val="both"/>
        <w:rPr>
          <w:rFonts w:ascii="Palatino Linotype" w:eastAsia="Palatino Linotype" w:hAnsi="Palatino Linotype" w:cs="Palatino Linotype"/>
          <w:sz w:val="22"/>
          <w:szCs w:val="22"/>
        </w:rPr>
      </w:pPr>
    </w:p>
    <w:p w14:paraId="25D086A9" w14:textId="77777777" w:rsidR="00F776E5" w:rsidRPr="00F22FA8" w:rsidRDefault="00395CBC">
      <w:pPr>
        <w:spacing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4BCABEFC" w14:textId="77777777" w:rsidR="00F776E5" w:rsidRPr="00F22FA8" w:rsidRDefault="00395CBC">
      <w:pPr>
        <w:spacing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t xml:space="preserve"> </w:t>
      </w:r>
    </w:p>
    <w:p w14:paraId="3C0DAF3A" w14:textId="77777777" w:rsidR="00F776E5" w:rsidRPr="00F22FA8" w:rsidRDefault="00395CBC">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b/>
          <w:sz w:val="22"/>
          <w:szCs w:val="22"/>
        </w:rPr>
        <w:t>Dato abierto:</w:t>
      </w:r>
      <w:r w:rsidRPr="00F22FA8">
        <w:rPr>
          <w:rFonts w:ascii="Palatino Linotype" w:eastAsia="Palatino Linotype" w:hAnsi="Palatino Linotype" w:cs="Palatino Linotype"/>
          <w:sz w:val="22"/>
          <w:szCs w:val="22"/>
        </w:rPr>
        <w:t xml:space="preserve"> 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74080A33" w14:textId="77777777" w:rsidR="00F776E5" w:rsidRPr="00F22FA8" w:rsidRDefault="00F776E5">
      <w:pPr>
        <w:spacing w:line="360" w:lineRule="auto"/>
        <w:ind w:firstLine="60"/>
        <w:jc w:val="both"/>
        <w:rPr>
          <w:rFonts w:ascii="Palatino Linotype" w:eastAsia="Palatino Linotype" w:hAnsi="Palatino Linotype" w:cs="Palatino Linotype"/>
          <w:sz w:val="22"/>
          <w:szCs w:val="22"/>
        </w:rPr>
      </w:pPr>
    </w:p>
    <w:p w14:paraId="737C4754" w14:textId="77777777" w:rsidR="00F776E5" w:rsidRPr="00F22FA8" w:rsidRDefault="00395CBC">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b/>
          <w:sz w:val="22"/>
          <w:szCs w:val="22"/>
        </w:rPr>
        <w:t xml:space="preserve">Formato accesible: </w:t>
      </w:r>
      <w:r w:rsidRPr="00F22FA8">
        <w:rPr>
          <w:rFonts w:ascii="Palatino Linotype" w:eastAsia="Palatino Linotype" w:hAnsi="Palatino Linotype" w:cs="Palatino Linotype"/>
          <w:sz w:val="22"/>
          <w:szCs w:val="22"/>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01C944A6" w14:textId="77777777" w:rsidR="00F776E5" w:rsidRPr="00F22FA8" w:rsidRDefault="00F776E5">
      <w:pPr>
        <w:spacing w:line="360" w:lineRule="auto"/>
        <w:jc w:val="both"/>
        <w:rPr>
          <w:rFonts w:ascii="Palatino Linotype" w:eastAsia="Palatino Linotype" w:hAnsi="Palatino Linotype" w:cs="Palatino Linotype"/>
          <w:sz w:val="22"/>
          <w:szCs w:val="22"/>
        </w:rPr>
      </w:pPr>
    </w:p>
    <w:p w14:paraId="215B53C5" w14:textId="77777777" w:rsidR="00F776E5" w:rsidRPr="00F22FA8" w:rsidRDefault="00395CBC">
      <w:pPr>
        <w:spacing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lastRenderedPageBreak/>
        <w:t xml:space="preserve">Conforme a lo anterior, se considera que en el caso de que la información peticionada obre en ligas electrónicas, el </w:t>
      </w:r>
      <w:r w:rsidRPr="00F22FA8">
        <w:rPr>
          <w:rFonts w:ascii="Palatino Linotype" w:eastAsia="Palatino Linotype" w:hAnsi="Palatino Linotype" w:cs="Palatino Linotype"/>
          <w:b/>
          <w:sz w:val="22"/>
          <w:szCs w:val="22"/>
        </w:rPr>
        <w:t>Sujeto Obligado</w:t>
      </w:r>
      <w:r w:rsidRPr="00F22FA8">
        <w:rPr>
          <w:rFonts w:ascii="Palatino Linotype" w:eastAsia="Palatino Linotype" w:hAnsi="Palatino Linotype" w:cs="Palatino Linotype"/>
          <w:sz w:val="22"/>
          <w:szCs w:val="22"/>
        </w:rPr>
        <w:t xml:space="preserve"> deberá privilegiar la entrega de estas, en datos abiertos, es decir, en un formato que permita la accesibilidad y facilidad a los Particulares, para obtener la información contenida en estas.</w:t>
      </w:r>
    </w:p>
    <w:p w14:paraId="47A980A3" w14:textId="77777777" w:rsidR="00F776E5" w:rsidRPr="00F22FA8" w:rsidRDefault="00F776E5">
      <w:pPr>
        <w:spacing w:line="360" w:lineRule="auto"/>
        <w:jc w:val="both"/>
        <w:rPr>
          <w:rFonts w:ascii="Palatino Linotype" w:eastAsia="Palatino Linotype" w:hAnsi="Palatino Linotype" w:cs="Palatino Linotype"/>
          <w:sz w:val="22"/>
          <w:szCs w:val="22"/>
        </w:rPr>
      </w:pPr>
    </w:p>
    <w:p w14:paraId="4CB8D66A" w14:textId="77777777" w:rsidR="00F776E5" w:rsidRPr="00F22FA8" w:rsidRDefault="00395CBC">
      <w:pPr>
        <w:spacing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t xml:space="preserve">Ahora bien, cabe señalar que la inconformidad del particular únicamente es porque no se tuvo acceso a la liga proporcionada en respuesta; por lo que, mediante Informe Justificado, el </w:t>
      </w:r>
      <w:r w:rsidRPr="00F22FA8">
        <w:rPr>
          <w:rFonts w:ascii="Palatino Linotype" w:eastAsia="Palatino Linotype" w:hAnsi="Palatino Linotype" w:cs="Palatino Linotype"/>
          <w:b/>
          <w:sz w:val="22"/>
          <w:szCs w:val="22"/>
        </w:rPr>
        <w:t>Sujeto Obligado</w:t>
      </w:r>
      <w:r w:rsidRPr="00F22FA8">
        <w:rPr>
          <w:rFonts w:ascii="Palatino Linotype" w:eastAsia="Palatino Linotype" w:hAnsi="Palatino Linotype" w:cs="Palatino Linotype"/>
          <w:sz w:val="22"/>
          <w:szCs w:val="22"/>
        </w:rPr>
        <w:t xml:space="preserve">, en aras de garantiza el derecho de acceso a la información del particular hizo entrega nuevamente de la Liga electrónica en Formato abierto. </w:t>
      </w:r>
    </w:p>
    <w:p w14:paraId="6A067B3E" w14:textId="77777777" w:rsidR="00F776E5" w:rsidRPr="00F22FA8" w:rsidRDefault="00F776E5">
      <w:pPr>
        <w:spacing w:line="360" w:lineRule="auto"/>
        <w:jc w:val="both"/>
        <w:rPr>
          <w:rFonts w:ascii="Palatino Linotype" w:eastAsia="Palatino Linotype" w:hAnsi="Palatino Linotype" w:cs="Palatino Linotype"/>
          <w:sz w:val="22"/>
          <w:szCs w:val="22"/>
        </w:rPr>
      </w:pPr>
    </w:p>
    <w:p w14:paraId="15B2F874" w14:textId="77777777" w:rsidR="00F776E5" w:rsidRPr="00F22FA8" w:rsidRDefault="00395CBC">
      <w:pPr>
        <w:spacing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t xml:space="preserve">Sin menoscabar lo anterior, este Organismo Garante accedió a la referida liga electrónica, la cual remite a la Página de la Secretaría de Movilidad, en su apartado de Mejora Regulatoria, tal y como se muestra en la siguiente imagen: </w:t>
      </w:r>
    </w:p>
    <w:p w14:paraId="0DF24872" w14:textId="77777777" w:rsidR="00F776E5" w:rsidRPr="00F22FA8" w:rsidRDefault="00395CBC">
      <w:pPr>
        <w:spacing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noProof/>
          <w:sz w:val="22"/>
          <w:szCs w:val="22"/>
          <w:lang w:val="es-MX" w:eastAsia="es-MX"/>
        </w:rPr>
        <w:drawing>
          <wp:inline distT="0" distB="0" distL="0" distR="0" wp14:anchorId="33850F71" wp14:editId="12AE262A">
            <wp:extent cx="4896630" cy="3652804"/>
            <wp:effectExtent l="0" t="0" r="0" b="0"/>
            <wp:docPr id="2009924042" name="image1.png" descr="Imagen que contiene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Tabla&#10;&#10;Descripción generada automáticamente"/>
                    <pic:cNvPicPr preferRelativeResize="0"/>
                  </pic:nvPicPr>
                  <pic:blipFill>
                    <a:blip r:embed="rId12"/>
                    <a:srcRect/>
                    <a:stretch>
                      <a:fillRect/>
                    </a:stretch>
                  </pic:blipFill>
                  <pic:spPr>
                    <a:xfrm>
                      <a:off x="0" y="0"/>
                      <a:ext cx="4896630" cy="3652804"/>
                    </a:xfrm>
                    <a:prstGeom prst="rect">
                      <a:avLst/>
                    </a:prstGeom>
                    <a:ln/>
                  </pic:spPr>
                </pic:pic>
              </a:graphicData>
            </a:graphic>
          </wp:inline>
        </w:drawing>
      </w:r>
    </w:p>
    <w:p w14:paraId="22D1E9C6" w14:textId="77777777" w:rsidR="00F776E5" w:rsidRPr="00F22FA8" w:rsidRDefault="00395CBC">
      <w:pPr>
        <w:spacing w:line="360" w:lineRule="auto"/>
        <w:jc w:val="center"/>
        <w:rPr>
          <w:rFonts w:ascii="Palatino Linotype" w:eastAsia="Palatino Linotype" w:hAnsi="Palatino Linotype" w:cs="Palatino Linotype"/>
          <w:sz w:val="22"/>
          <w:szCs w:val="22"/>
        </w:rPr>
      </w:pPr>
      <w:r w:rsidRPr="00F22FA8">
        <w:rPr>
          <w:rFonts w:ascii="Palatino Linotype" w:eastAsia="Palatino Linotype" w:hAnsi="Palatino Linotype" w:cs="Palatino Linotype"/>
          <w:noProof/>
          <w:sz w:val="22"/>
          <w:szCs w:val="22"/>
          <w:lang w:val="es-MX" w:eastAsia="es-MX"/>
        </w:rPr>
        <w:lastRenderedPageBreak/>
        <w:drawing>
          <wp:inline distT="0" distB="0" distL="0" distR="0" wp14:anchorId="3DFAD101" wp14:editId="5A30F299">
            <wp:extent cx="5129144" cy="4752395"/>
            <wp:effectExtent l="0" t="0" r="0" b="0"/>
            <wp:docPr id="2009924046" name="image6.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Interfaz de usuario gráfica, Texto, Aplicación&#10;&#10;Descripción generada automáticamente"/>
                    <pic:cNvPicPr preferRelativeResize="0"/>
                  </pic:nvPicPr>
                  <pic:blipFill>
                    <a:blip r:embed="rId13"/>
                    <a:srcRect/>
                    <a:stretch>
                      <a:fillRect/>
                    </a:stretch>
                  </pic:blipFill>
                  <pic:spPr>
                    <a:xfrm>
                      <a:off x="0" y="0"/>
                      <a:ext cx="5129144" cy="4752395"/>
                    </a:xfrm>
                    <a:prstGeom prst="rect">
                      <a:avLst/>
                    </a:prstGeom>
                    <a:ln/>
                  </pic:spPr>
                </pic:pic>
              </a:graphicData>
            </a:graphic>
          </wp:inline>
        </w:drawing>
      </w:r>
    </w:p>
    <w:p w14:paraId="6A0218C9" w14:textId="77777777" w:rsidR="00F776E5" w:rsidRPr="00F22FA8" w:rsidRDefault="00395CBC">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t xml:space="preserve">De lo anterior se advierte que la liga electrónica redirecciona a las actas de las Sesiones tanto Ordinarias como Extraordinarias del Comité Interno de Mejora Regulatoria de la Secretaría de Movilidad; así como, a los Reportes de Avance del Programa Anual de los años 2013 al 2024, tal y como se muestra a manera de ejemplo a continuación: </w:t>
      </w:r>
    </w:p>
    <w:p w14:paraId="6D7DB846" w14:textId="77777777" w:rsidR="00F776E5" w:rsidRPr="00F22FA8" w:rsidRDefault="00395CBC">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noProof/>
          <w:sz w:val="22"/>
          <w:szCs w:val="22"/>
          <w:lang w:val="es-MX" w:eastAsia="es-MX"/>
        </w:rPr>
        <w:lastRenderedPageBreak/>
        <w:drawing>
          <wp:inline distT="0" distB="0" distL="0" distR="0" wp14:anchorId="22D7AC41" wp14:editId="46F7F6D4">
            <wp:extent cx="5412767" cy="6862195"/>
            <wp:effectExtent l="0" t="0" r="0" b="0"/>
            <wp:docPr id="2009924045" name="image14.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4.png" descr="Texto&#10;&#10;Descripción generada automáticamente"/>
                    <pic:cNvPicPr preferRelativeResize="0"/>
                  </pic:nvPicPr>
                  <pic:blipFill>
                    <a:blip r:embed="rId14"/>
                    <a:srcRect/>
                    <a:stretch>
                      <a:fillRect/>
                    </a:stretch>
                  </pic:blipFill>
                  <pic:spPr>
                    <a:xfrm>
                      <a:off x="0" y="0"/>
                      <a:ext cx="5412767" cy="6862195"/>
                    </a:xfrm>
                    <a:prstGeom prst="rect">
                      <a:avLst/>
                    </a:prstGeom>
                    <a:ln/>
                  </pic:spPr>
                </pic:pic>
              </a:graphicData>
            </a:graphic>
          </wp:inline>
        </w:drawing>
      </w:r>
    </w:p>
    <w:p w14:paraId="0B134CCB" w14:textId="77777777" w:rsidR="00F776E5" w:rsidRPr="00F22FA8" w:rsidRDefault="00395CBC">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noProof/>
          <w:sz w:val="22"/>
          <w:szCs w:val="22"/>
          <w:lang w:val="es-MX" w:eastAsia="es-MX"/>
        </w:rPr>
        <w:lastRenderedPageBreak/>
        <w:drawing>
          <wp:inline distT="0" distB="0" distL="0" distR="0" wp14:anchorId="31C50C37" wp14:editId="6F7274B7">
            <wp:extent cx="5172797" cy="6735115"/>
            <wp:effectExtent l="0" t="0" r="0" b="0"/>
            <wp:docPr id="2009924048" name="image4.pn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Texto, Carta&#10;&#10;Descripción generada automáticamente"/>
                    <pic:cNvPicPr preferRelativeResize="0"/>
                  </pic:nvPicPr>
                  <pic:blipFill>
                    <a:blip r:embed="rId15"/>
                    <a:srcRect/>
                    <a:stretch>
                      <a:fillRect/>
                    </a:stretch>
                  </pic:blipFill>
                  <pic:spPr>
                    <a:xfrm>
                      <a:off x="0" y="0"/>
                      <a:ext cx="5172797" cy="6735115"/>
                    </a:xfrm>
                    <a:prstGeom prst="rect">
                      <a:avLst/>
                    </a:prstGeom>
                    <a:ln/>
                  </pic:spPr>
                </pic:pic>
              </a:graphicData>
            </a:graphic>
          </wp:inline>
        </w:drawing>
      </w:r>
    </w:p>
    <w:p w14:paraId="7E75C8DB" w14:textId="77777777" w:rsidR="00F776E5" w:rsidRPr="00F22FA8" w:rsidRDefault="00395CBC">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noProof/>
          <w:sz w:val="22"/>
          <w:szCs w:val="22"/>
          <w:lang w:val="es-MX" w:eastAsia="es-MX"/>
        </w:rPr>
        <w:lastRenderedPageBreak/>
        <w:drawing>
          <wp:inline distT="0" distB="0" distL="0" distR="0" wp14:anchorId="14F48F69" wp14:editId="052E7D73">
            <wp:extent cx="5144218" cy="6811326"/>
            <wp:effectExtent l="0" t="0" r="0" b="0"/>
            <wp:docPr id="2009924047" name="image12.pn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png" descr="Texto, Carta&#10;&#10;Descripción generada automáticamente"/>
                    <pic:cNvPicPr preferRelativeResize="0"/>
                  </pic:nvPicPr>
                  <pic:blipFill>
                    <a:blip r:embed="rId16"/>
                    <a:srcRect/>
                    <a:stretch>
                      <a:fillRect/>
                    </a:stretch>
                  </pic:blipFill>
                  <pic:spPr>
                    <a:xfrm>
                      <a:off x="0" y="0"/>
                      <a:ext cx="5144218" cy="6811326"/>
                    </a:xfrm>
                    <a:prstGeom prst="rect">
                      <a:avLst/>
                    </a:prstGeom>
                    <a:ln/>
                  </pic:spPr>
                </pic:pic>
              </a:graphicData>
            </a:graphic>
          </wp:inline>
        </w:drawing>
      </w:r>
    </w:p>
    <w:p w14:paraId="07A773D8" w14:textId="77777777" w:rsidR="00F776E5" w:rsidRPr="00F22FA8" w:rsidRDefault="00395CBC">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noProof/>
          <w:sz w:val="22"/>
          <w:szCs w:val="22"/>
          <w:lang w:val="es-MX" w:eastAsia="es-MX"/>
        </w:rPr>
        <w:lastRenderedPageBreak/>
        <w:drawing>
          <wp:inline distT="0" distB="0" distL="0" distR="0" wp14:anchorId="638F5122" wp14:editId="0C287393">
            <wp:extent cx="5191850" cy="6801799"/>
            <wp:effectExtent l="0" t="0" r="0" b="0"/>
            <wp:docPr id="2009924050" name="image5.pn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Texto, Carta&#10;&#10;Descripción generada automáticamente"/>
                    <pic:cNvPicPr preferRelativeResize="0"/>
                  </pic:nvPicPr>
                  <pic:blipFill>
                    <a:blip r:embed="rId17"/>
                    <a:srcRect/>
                    <a:stretch>
                      <a:fillRect/>
                    </a:stretch>
                  </pic:blipFill>
                  <pic:spPr>
                    <a:xfrm>
                      <a:off x="0" y="0"/>
                      <a:ext cx="5191850" cy="6801799"/>
                    </a:xfrm>
                    <a:prstGeom prst="rect">
                      <a:avLst/>
                    </a:prstGeom>
                    <a:ln/>
                  </pic:spPr>
                </pic:pic>
              </a:graphicData>
            </a:graphic>
          </wp:inline>
        </w:drawing>
      </w:r>
    </w:p>
    <w:p w14:paraId="3E13E9BB" w14:textId="77777777" w:rsidR="00F776E5" w:rsidRPr="00F22FA8" w:rsidRDefault="00395CBC">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noProof/>
          <w:sz w:val="22"/>
          <w:szCs w:val="22"/>
          <w:lang w:val="es-MX" w:eastAsia="es-MX"/>
        </w:rPr>
        <w:lastRenderedPageBreak/>
        <w:drawing>
          <wp:inline distT="0" distB="0" distL="0" distR="0" wp14:anchorId="06E6894D" wp14:editId="552DF99B">
            <wp:extent cx="5163271" cy="6763694"/>
            <wp:effectExtent l="0" t="0" r="0" b="0"/>
            <wp:docPr id="2009924049" name="image11.pn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png" descr="Texto, Carta&#10;&#10;Descripción generada automáticamente"/>
                    <pic:cNvPicPr preferRelativeResize="0"/>
                  </pic:nvPicPr>
                  <pic:blipFill>
                    <a:blip r:embed="rId18"/>
                    <a:srcRect/>
                    <a:stretch>
                      <a:fillRect/>
                    </a:stretch>
                  </pic:blipFill>
                  <pic:spPr>
                    <a:xfrm>
                      <a:off x="0" y="0"/>
                      <a:ext cx="5163271" cy="6763694"/>
                    </a:xfrm>
                    <a:prstGeom prst="rect">
                      <a:avLst/>
                    </a:prstGeom>
                    <a:ln/>
                  </pic:spPr>
                </pic:pic>
              </a:graphicData>
            </a:graphic>
          </wp:inline>
        </w:drawing>
      </w:r>
    </w:p>
    <w:p w14:paraId="1CFA709F" w14:textId="77777777" w:rsidR="00F776E5" w:rsidRPr="00F22FA8" w:rsidRDefault="00395CBC">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noProof/>
          <w:sz w:val="22"/>
          <w:szCs w:val="22"/>
          <w:lang w:val="es-MX" w:eastAsia="es-MX"/>
        </w:rPr>
        <w:lastRenderedPageBreak/>
        <w:drawing>
          <wp:inline distT="0" distB="0" distL="0" distR="0" wp14:anchorId="5FCD96B5" wp14:editId="6D1B9111">
            <wp:extent cx="5239481" cy="6811326"/>
            <wp:effectExtent l="0" t="0" r="0" b="0"/>
            <wp:docPr id="2009924053" name="image13.pn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3.png" descr="Texto, Carta&#10;&#10;Descripción generada automáticamente"/>
                    <pic:cNvPicPr preferRelativeResize="0"/>
                  </pic:nvPicPr>
                  <pic:blipFill>
                    <a:blip r:embed="rId19"/>
                    <a:srcRect/>
                    <a:stretch>
                      <a:fillRect/>
                    </a:stretch>
                  </pic:blipFill>
                  <pic:spPr>
                    <a:xfrm>
                      <a:off x="0" y="0"/>
                      <a:ext cx="5239481" cy="6811326"/>
                    </a:xfrm>
                    <a:prstGeom prst="rect">
                      <a:avLst/>
                    </a:prstGeom>
                    <a:ln/>
                  </pic:spPr>
                </pic:pic>
              </a:graphicData>
            </a:graphic>
          </wp:inline>
        </w:drawing>
      </w:r>
    </w:p>
    <w:p w14:paraId="4EBF3464" w14:textId="77777777" w:rsidR="00F776E5" w:rsidRPr="00F22FA8" w:rsidRDefault="00395CBC">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noProof/>
          <w:sz w:val="22"/>
          <w:szCs w:val="22"/>
          <w:lang w:val="es-MX" w:eastAsia="es-MX"/>
        </w:rPr>
        <w:lastRenderedPageBreak/>
        <w:drawing>
          <wp:inline distT="0" distB="0" distL="0" distR="0" wp14:anchorId="559927EB" wp14:editId="6F9D4E0A">
            <wp:extent cx="5144218" cy="6792273"/>
            <wp:effectExtent l="0" t="0" r="0" b="0"/>
            <wp:docPr id="2009924051" name="image3.png" descr="Diagram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Diagrama, Texto&#10;&#10;Descripción generada automáticamente"/>
                    <pic:cNvPicPr preferRelativeResize="0"/>
                  </pic:nvPicPr>
                  <pic:blipFill>
                    <a:blip r:embed="rId20"/>
                    <a:srcRect/>
                    <a:stretch>
                      <a:fillRect/>
                    </a:stretch>
                  </pic:blipFill>
                  <pic:spPr>
                    <a:xfrm>
                      <a:off x="0" y="0"/>
                      <a:ext cx="5144218" cy="6792273"/>
                    </a:xfrm>
                    <a:prstGeom prst="rect">
                      <a:avLst/>
                    </a:prstGeom>
                    <a:ln/>
                  </pic:spPr>
                </pic:pic>
              </a:graphicData>
            </a:graphic>
          </wp:inline>
        </w:drawing>
      </w:r>
    </w:p>
    <w:p w14:paraId="1849B5C0" w14:textId="77777777" w:rsidR="00F776E5" w:rsidRPr="00F22FA8" w:rsidRDefault="00395CBC">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noProof/>
          <w:sz w:val="22"/>
          <w:szCs w:val="22"/>
          <w:lang w:val="es-MX" w:eastAsia="es-MX"/>
        </w:rPr>
        <w:lastRenderedPageBreak/>
        <w:drawing>
          <wp:inline distT="0" distB="0" distL="0" distR="0" wp14:anchorId="00C7D683" wp14:editId="0D7D2341">
            <wp:extent cx="5201376" cy="6820852"/>
            <wp:effectExtent l="0" t="0" r="0" b="0"/>
            <wp:docPr id="2009924052" name="image2.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Diagrama&#10;&#10;Descripción generada automáticamente"/>
                    <pic:cNvPicPr preferRelativeResize="0"/>
                  </pic:nvPicPr>
                  <pic:blipFill>
                    <a:blip r:embed="rId21"/>
                    <a:srcRect/>
                    <a:stretch>
                      <a:fillRect/>
                    </a:stretch>
                  </pic:blipFill>
                  <pic:spPr>
                    <a:xfrm>
                      <a:off x="0" y="0"/>
                      <a:ext cx="5201376" cy="6820852"/>
                    </a:xfrm>
                    <a:prstGeom prst="rect">
                      <a:avLst/>
                    </a:prstGeom>
                    <a:ln/>
                  </pic:spPr>
                </pic:pic>
              </a:graphicData>
            </a:graphic>
          </wp:inline>
        </w:drawing>
      </w:r>
    </w:p>
    <w:p w14:paraId="5ECE3CEC" w14:textId="77777777" w:rsidR="00F776E5" w:rsidRPr="00F22FA8" w:rsidRDefault="00395CBC">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t xml:space="preserve">Como se vislumbra de las anteriores digitalizaciones, la liga electrónica proporcionada por el </w:t>
      </w:r>
      <w:r w:rsidRPr="00F22FA8">
        <w:rPr>
          <w:rFonts w:ascii="Palatino Linotype" w:eastAsia="Palatino Linotype" w:hAnsi="Palatino Linotype" w:cs="Palatino Linotype"/>
          <w:b/>
          <w:sz w:val="22"/>
          <w:szCs w:val="22"/>
        </w:rPr>
        <w:t>Sujeto Obligado</w:t>
      </w:r>
      <w:r w:rsidRPr="00F22FA8">
        <w:rPr>
          <w:rFonts w:ascii="Palatino Linotype" w:eastAsia="Palatino Linotype" w:hAnsi="Palatino Linotype" w:cs="Palatino Linotype"/>
          <w:sz w:val="22"/>
          <w:szCs w:val="22"/>
        </w:rPr>
        <w:t xml:space="preserve"> direcciona a las Actas de las Sesiones del Comité Interno de Mejora </w:t>
      </w:r>
      <w:r w:rsidRPr="00F22FA8">
        <w:rPr>
          <w:rFonts w:ascii="Palatino Linotype" w:eastAsia="Palatino Linotype" w:hAnsi="Palatino Linotype" w:cs="Palatino Linotype"/>
          <w:sz w:val="22"/>
          <w:szCs w:val="22"/>
        </w:rPr>
        <w:lastRenderedPageBreak/>
        <w:t xml:space="preserve">Regulatoria correspondientes a los años 2022, 2023 y 2024, información que desea conocer la parte </w:t>
      </w:r>
      <w:r w:rsidRPr="00F22FA8">
        <w:rPr>
          <w:rFonts w:ascii="Palatino Linotype" w:eastAsia="Palatino Linotype" w:hAnsi="Palatino Linotype" w:cs="Palatino Linotype"/>
          <w:b/>
          <w:sz w:val="22"/>
          <w:szCs w:val="22"/>
        </w:rPr>
        <w:t>Recurrente</w:t>
      </w:r>
      <w:r w:rsidRPr="00F22FA8">
        <w:rPr>
          <w:rFonts w:ascii="Palatino Linotype" w:eastAsia="Palatino Linotype" w:hAnsi="Palatino Linotype" w:cs="Palatino Linotype"/>
          <w:sz w:val="22"/>
          <w:szCs w:val="22"/>
        </w:rPr>
        <w:t xml:space="preserve">. </w:t>
      </w:r>
    </w:p>
    <w:p w14:paraId="29041017" w14:textId="77777777" w:rsidR="00F776E5" w:rsidRPr="00F22FA8" w:rsidRDefault="00395CBC">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t xml:space="preserve">Bajo esa tesitura y respecto a los avances de los acuerdos aprobados por el Comité Interno de Mejora Regulatoria de los años 2022, 2023 y 2024, se observa que el documento que da cuenta de dicho requerimiento son los Reportes de Avance del Programa Anual que se encuentran publicados dentro de la misma liga, toda vez que estos son los documentos que dan cuenta del cumplimiento de las acciones programadas dentro del Programa Anual de Mejora Regulatoria y que son presentados y aprobados trimestralmente por el Comité Interno para ser capturados en el Sistema de la Comisión Estatal de Mejora Regulatoria, tal y como se muestra a continuación a manera de ejemplo: </w:t>
      </w:r>
    </w:p>
    <w:p w14:paraId="1BE9FA7B" w14:textId="77777777" w:rsidR="00F776E5" w:rsidRPr="00F22FA8" w:rsidRDefault="00395CBC">
      <w:pPr>
        <w:pBdr>
          <w:top w:val="nil"/>
          <w:left w:val="nil"/>
          <w:bottom w:val="nil"/>
          <w:right w:val="nil"/>
          <w:between w:val="nil"/>
        </w:pBdr>
        <w:spacing w:before="240" w:after="240" w:line="360" w:lineRule="auto"/>
        <w:ind w:right="49"/>
        <w:jc w:val="center"/>
        <w:rPr>
          <w:rFonts w:ascii="Palatino Linotype" w:eastAsia="Palatino Linotype" w:hAnsi="Palatino Linotype" w:cs="Palatino Linotype"/>
          <w:sz w:val="22"/>
          <w:szCs w:val="22"/>
        </w:rPr>
      </w:pPr>
      <w:r w:rsidRPr="00F22FA8">
        <w:rPr>
          <w:rFonts w:ascii="Palatino Linotype" w:eastAsia="Palatino Linotype" w:hAnsi="Palatino Linotype" w:cs="Palatino Linotype"/>
          <w:noProof/>
          <w:sz w:val="22"/>
          <w:szCs w:val="22"/>
          <w:lang w:val="es-MX" w:eastAsia="es-MX"/>
        </w:rPr>
        <w:drawing>
          <wp:inline distT="0" distB="0" distL="0" distR="0" wp14:anchorId="14BE28EB" wp14:editId="5E34761B">
            <wp:extent cx="4098701" cy="4264727"/>
            <wp:effectExtent l="0" t="0" r="0" b="0"/>
            <wp:docPr id="200992405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4098701" cy="4264727"/>
                    </a:xfrm>
                    <a:prstGeom prst="rect">
                      <a:avLst/>
                    </a:prstGeom>
                    <a:ln/>
                  </pic:spPr>
                </pic:pic>
              </a:graphicData>
            </a:graphic>
          </wp:inline>
        </w:drawing>
      </w:r>
      <w:r w:rsidRPr="00F22FA8">
        <w:rPr>
          <w:noProof/>
          <w:lang w:val="es-MX" w:eastAsia="es-MX"/>
        </w:rPr>
        <mc:AlternateContent>
          <mc:Choice Requires="wpg">
            <w:drawing>
              <wp:anchor distT="0" distB="0" distL="114300" distR="114300" simplePos="0" relativeHeight="251658240" behindDoc="0" locked="0" layoutInCell="1" hidden="0" allowOverlap="1" wp14:anchorId="1DA3CAE1" wp14:editId="2FAAEC89">
                <wp:simplePos x="0" y="0"/>
                <wp:positionH relativeFrom="column">
                  <wp:posOffset>914400</wp:posOffset>
                </wp:positionH>
                <wp:positionV relativeFrom="paragraph">
                  <wp:posOffset>3695700</wp:posOffset>
                </wp:positionV>
                <wp:extent cx="3733800" cy="514350"/>
                <wp:effectExtent l="0" t="0" r="0" b="0"/>
                <wp:wrapNone/>
                <wp:docPr id="2009924039" name="Rectángulo 2009924039"/>
                <wp:cNvGraphicFramePr/>
                <a:graphic xmlns:a="http://schemas.openxmlformats.org/drawingml/2006/main">
                  <a:graphicData uri="http://schemas.microsoft.com/office/word/2010/wordprocessingShape">
                    <wps:wsp>
                      <wps:cNvSpPr/>
                      <wps:spPr>
                        <a:xfrm>
                          <a:off x="3488625" y="3532350"/>
                          <a:ext cx="3714750" cy="495300"/>
                        </a:xfrm>
                        <a:prstGeom prst="rect">
                          <a:avLst/>
                        </a:prstGeom>
                        <a:noFill/>
                        <a:ln w="19050" cap="flat" cmpd="sng">
                          <a:solidFill>
                            <a:srgbClr val="FF0000"/>
                          </a:solidFill>
                          <a:prstDash val="solid"/>
                          <a:miter lim="800000"/>
                          <a:headEnd type="none" w="sm" len="sm"/>
                          <a:tailEnd type="none" w="sm" len="sm"/>
                        </a:ln>
                      </wps:spPr>
                      <wps:txbx>
                        <w:txbxContent>
                          <w:p w14:paraId="09110EC2" w14:textId="77777777" w:rsidR="00F776E5" w:rsidRDefault="00F776E5">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914400</wp:posOffset>
                </wp:positionH>
                <wp:positionV relativeFrom="paragraph">
                  <wp:posOffset>3695700</wp:posOffset>
                </wp:positionV>
                <wp:extent cx="3733800" cy="514350"/>
                <wp:effectExtent b="0" l="0" r="0" t="0"/>
                <wp:wrapNone/>
                <wp:docPr id="2009924039" name="image16.png"/>
                <a:graphic>
                  <a:graphicData uri="http://schemas.openxmlformats.org/drawingml/2006/picture">
                    <pic:pic>
                      <pic:nvPicPr>
                        <pic:cNvPr id="0" name="image16.png"/>
                        <pic:cNvPicPr preferRelativeResize="0"/>
                      </pic:nvPicPr>
                      <pic:blipFill>
                        <a:blip r:embed="rId23"/>
                        <a:srcRect/>
                        <a:stretch>
                          <a:fillRect/>
                        </a:stretch>
                      </pic:blipFill>
                      <pic:spPr>
                        <a:xfrm>
                          <a:off x="0" y="0"/>
                          <a:ext cx="3733800" cy="514350"/>
                        </a:xfrm>
                        <a:prstGeom prst="rect"/>
                        <a:ln/>
                      </pic:spPr>
                    </pic:pic>
                  </a:graphicData>
                </a:graphic>
              </wp:anchor>
            </w:drawing>
          </mc:Fallback>
        </mc:AlternateContent>
      </w:r>
    </w:p>
    <w:p w14:paraId="7A3AF608" w14:textId="77777777" w:rsidR="00F776E5" w:rsidRPr="00F22FA8" w:rsidRDefault="00395CBC">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noProof/>
          <w:sz w:val="22"/>
          <w:szCs w:val="22"/>
          <w:lang w:val="es-MX" w:eastAsia="es-MX"/>
        </w:rPr>
        <w:lastRenderedPageBreak/>
        <w:drawing>
          <wp:inline distT="0" distB="0" distL="0" distR="0" wp14:anchorId="4B411298" wp14:editId="1A732E5B">
            <wp:extent cx="5235119" cy="3405967"/>
            <wp:effectExtent l="0" t="0" r="0" b="0"/>
            <wp:docPr id="200992405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5235119" cy="3405967"/>
                    </a:xfrm>
                    <a:prstGeom prst="rect">
                      <a:avLst/>
                    </a:prstGeom>
                    <a:ln/>
                  </pic:spPr>
                </pic:pic>
              </a:graphicData>
            </a:graphic>
          </wp:inline>
        </w:drawing>
      </w:r>
    </w:p>
    <w:p w14:paraId="42FD7755" w14:textId="77777777" w:rsidR="00F776E5" w:rsidRPr="00F22FA8" w:rsidRDefault="00395CBC">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noProof/>
          <w:sz w:val="22"/>
          <w:szCs w:val="22"/>
          <w:lang w:val="es-MX" w:eastAsia="es-MX"/>
        </w:rPr>
        <w:drawing>
          <wp:inline distT="0" distB="0" distL="0" distR="0" wp14:anchorId="4FC62A6E" wp14:editId="0056A1D8">
            <wp:extent cx="5396751" cy="3851856"/>
            <wp:effectExtent l="0" t="0" r="0" b="0"/>
            <wp:docPr id="200992405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5396751" cy="3851856"/>
                    </a:xfrm>
                    <a:prstGeom prst="rect">
                      <a:avLst/>
                    </a:prstGeom>
                    <a:ln/>
                  </pic:spPr>
                </pic:pic>
              </a:graphicData>
            </a:graphic>
          </wp:inline>
        </w:drawing>
      </w:r>
    </w:p>
    <w:p w14:paraId="10D7DD69" w14:textId="77777777" w:rsidR="00F776E5" w:rsidRPr="00F22FA8" w:rsidRDefault="00395CBC">
      <w:pPr>
        <w:spacing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lastRenderedPageBreak/>
        <w:t xml:space="preserve">Asimismo, cabe recordar que, la parte </w:t>
      </w:r>
      <w:r w:rsidRPr="00F22FA8">
        <w:rPr>
          <w:rFonts w:ascii="Palatino Linotype" w:eastAsia="Palatino Linotype" w:hAnsi="Palatino Linotype" w:cs="Palatino Linotype"/>
          <w:b/>
          <w:sz w:val="22"/>
          <w:szCs w:val="22"/>
        </w:rPr>
        <w:t>Recurrente,</w:t>
      </w:r>
      <w:r w:rsidRPr="00F22FA8">
        <w:rPr>
          <w:rFonts w:ascii="Palatino Linotype" w:eastAsia="Palatino Linotype" w:hAnsi="Palatino Linotype" w:cs="Palatino Linotype"/>
          <w:sz w:val="22"/>
          <w:szCs w:val="22"/>
        </w:rPr>
        <w:t xml:space="preserve"> señaló como motivos de inconformidad en lo medular que no se cumplió con el plazo de cinco días que prevé el artículo 161 de la Ley de Transparencia Local, para hacer entrega de la información.</w:t>
      </w:r>
    </w:p>
    <w:p w14:paraId="4455BD57" w14:textId="77777777" w:rsidR="00F776E5" w:rsidRPr="00F22FA8" w:rsidRDefault="00F776E5">
      <w:pPr>
        <w:spacing w:line="360" w:lineRule="auto"/>
        <w:jc w:val="both"/>
        <w:rPr>
          <w:rFonts w:ascii="Palatino Linotype" w:eastAsia="Palatino Linotype" w:hAnsi="Palatino Linotype" w:cs="Palatino Linotype"/>
          <w:sz w:val="22"/>
          <w:szCs w:val="22"/>
        </w:rPr>
      </w:pPr>
    </w:p>
    <w:p w14:paraId="284D954A" w14:textId="77777777" w:rsidR="00F776E5" w:rsidRPr="00F22FA8" w:rsidRDefault="00395CBC">
      <w:pPr>
        <w:spacing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t>Sobre lo anterior, conviene en primera instancia traer a contexto el contenido del artículo 161 de la Ley de Transparencia vigente en la Entidad, que a la letra dispone lo siguiente:</w:t>
      </w:r>
    </w:p>
    <w:p w14:paraId="4364F3D3" w14:textId="77777777" w:rsidR="00F776E5" w:rsidRPr="00F22FA8" w:rsidRDefault="00F776E5">
      <w:pPr>
        <w:spacing w:line="360" w:lineRule="auto"/>
        <w:jc w:val="both"/>
        <w:rPr>
          <w:rFonts w:ascii="Palatino Linotype" w:eastAsia="Palatino Linotype" w:hAnsi="Palatino Linotype" w:cs="Palatino Linotype"/>
          <w:sz w:val="22"/>
          <w:szCs w:val="22"/>
        </w:rPr>
      </w:pPr>
    </w:p>
    <w:p w14:paraId="12EACB7C" w14:textId="77777777" w:rsidR="00F776E5" w:rsidRPr="00F22FA8" w:rsidRDefault="00395CBC">
      <w:pPr>
        <w:spacing w:line="276" w:lineRule="auto"/>
        <w:ind w:left="851" w:right="701"/>
        <w:jc w:val="both"/>
        <w:rPr>
          <w:rFonts w:ascii="Palatino Linotype" w:eastAsia="Palatino Linotype" w:hAnsi="Palatino Linotype" w:cs="Palatino Linotype"/>
          <w:i/>
          <w:sz w:val="22"/>
          <w:szCs w:val="22"/>
        </w:rPr>
      </w:pPr>
      <w:r w:rsidRPr="00F22FA8">
        <w:rPr>
          <w:rFonts w:ascii="Palatino Linotype" w:eastAsia="Palatino Linotype" w:hAnsi="Palatino Linotype" w:cs="Palatino Linotype"/>
          <w:i/>
          <w:sz w:val="22"/>
          <w:szCs w:val="22"/>
        </w:rPr>
        <w:t>“</w:t>
      </w:r>
      <w:r w:rsidRPr="00F22FA8">
        <w:rPr>
          <w:rFonts w:ascii="Palatino Linotype" w:eastAsia="Palatino Linotype" w:hAnsi="Palatino Linotype" w:cs="Palatino Linotype"/>
          <w:b/>
          <w:i/>
          <w:sz w:val="22"/>
          <w:szCs w:val="22"/>
        </w:rPr>
        <w:t>Artículo 161</w:t>
      </w:r>
      <w:r w:rsidRPr="00F22FA8">
        <w:rPr>
          <w:rFonts w:ascii="Palatino Linotype" w:eastAsia="Palatino Linotype" w:hAnsi="Palatino Linotype" w:cs="Palatino Linotype"/>
          <w:i/>
          <w:sz w:val="22"/>
          <w:szCs w:val="22"/>
        </w:rPr>
        <w:t xml:space="preserve">. </w:t>
      </w:r>
      <w:r w:rsidRPr="00F22FA8">
        <w:rPr>
          <w:rFonts w:ascii="Palatino Linotype" w:eastAsia="Palatino Linotype" w:hAnsi="Palatino Linotype" w:cs="Palatino Linotype"/>
          <w:b/>
          <w:i/>
          <w:sz w:val="22"/>
          <w:szCs w:val="22"/>
        </w:rPr>
        <w:t>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w:t>
      </w:r>
      <w:r w:rsidRPr="00F22FA8">
        <w:rPr>
          <w:rFonts w:ascii="Palatino Linotype" w:eastAsia="Palatino Linotype" w:hAnsi="Palatino Linotype" w:cs="Palatino Linotype"/>
          <w:i/>
          <w:sz w:val="22"/>
          <w:szCs w:val="22"/>
        </w:rPr>
        <w:t xml:space="preserve"> La fuente deberá ser precisa y concreta y no debe implicar que el solicitante realice una búsqueda en toda la información que se encuentre disponible.”</w:t>
      </w:r>
    </w:p>
    <w:p w14:paraId="548D01C1" w14:textId="77777777" w:rsidR="00F776E5" w:rsidRPr="00F22FA8" w:rsidRDefault="00395CBC">
      <w:pPr>
        <w:spacing w:line="276" w:lineRule="auto"/>
        <w:ind w:left="851" w:right="701"/>
        <w:jc w:val="both"/>
        <w:rPr>
          <w:rFonts w:ascii="Palatino Linotype" w:eastAsia="Palatino Linotype" w:hAnsi="Palatino Linotype" w:cs="Palatino Linotype"/>
          <w:i/>
          <w:sz w:val="22"/>
          <w:szCs w:val="22"/>
        </w:rPr>
      </w:pPr>
      <w:r w:rsidRPr="00F22FA8">
        <w:rPr>
          <w:rFonts w:ascii="Palatino Linotype" w:eastAsia="Palatino Linotype" w:hAnsi="Palatino Linotype" w:cs="Palatino Linotype"/>
          <w:i/>
          <w:sz w:val="22"/>
          <w:szCs w:val="22"/>
        </w:rPr>
        <w:t>(Énfasis añadido)</w:t>
      </w:r>
    </w:p>
    <w:p w14:paraId="40891B4F" w14:textId="77777777" w:rsidR="00F776E5" w:rsidRPr="00F22FA8" w:rsidRDefault="00F776E5">
      <w:pPr>
        <w:spacing w:line="360" w:lineRule="auto"/>
        <w:jc w:val="both"/>
        <w:rPr>
          <w:rFonts w:ascii="Palatino Linotype" w:eastAsia="Palatino Linotype" w:hAnsi="Palatino Linotype" w:cs="Palatino Linotype"/>
          <w:sz w:val="22"/>
          <w:szCs w:val="22"/>
        </w:rPr>
      </w:pPr>
    </w:p>
    <w:p w14:paraId="66E98980" w14:textId="77777777" w:rsidR="00F776E5" w:rsidRPr="00F22FA8" w:rsidRDefault="00395CBC">
      <w:pPr>
        <w:spacing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t>Del numeral anterior, se desprende que cuando la información requerida por la persona solicitante ya se encuentre disponible al público, entre otros, en registros públicos o en formatos electrónicos disponibles en internet, se le deberá informar a la persona solicitante la fuente, lugar y la forma en la que la puede consultar, en un plazo no mayor a cinco días hábiles.</w:t>
      </w:r>
    </w:p>
    <w:p w14:paraId="284CF19B" w14:textId="77777777" w:rsidR="00F776E5" w:rsidRPr="00F22FA8" w:rsidRDefault="00F776E5">
      <w:pPr>
        <w:spacing w:line="360" w:lineRule="auto"/>
        <w:jc w:val="both"/>
        <w:rPr>
          <w:rFonts w:ascii="Palatino Linotype" w:eastAsia="Palatino Linotype" w:hAnsi="Palatino Linotype" w:cs="Palatino Linotype"/>
          <w:sz w:val="22"/>
          <w:szCs w:val="22"/>
        </w:rPr>
      </w:pPr>
    </w:p>
    <w:p w14:paraId="2ADD95AF" w14:textId="77777777" w:rsidR="00F776E5" w:rsidRPr="00F22FA8" w:rsidRDefault="00395CBC">
      <w:pPr>
        <w:spacing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t xml:space="preserve">Sin embargo, no debe perderse de vista lo indicado en el diverso numeral 166 de la misma legislación, </w:t>
      </w:r>
      <w:r w:rsidRPr="00F22FA8">
        <w:rPr>
          <w:rFonts w:ascii="Palatino Linotype" w:eastAsia="Palatino Linotype" w:hAnsi="Palatino Linotype" w:cs="Palatino Linotype"/>
          <w:b/>
          <w:sz w:val="22"/>
          <w:szCs w:val="22"/>
        </w:rPr>
        <w:t xml:space="preserve">el cual dispone que la obligación de acceso a la información pública se tendrá por cumplida cuando el solicitante tenga a su disposición la información requerida, </w:t>
      </w:r>
      <w:r w:rsidRPr="00F22FA8">
        <w:rPr>
          <w:rFonts w:ascii="Palatino Linotype" w:eastAsia="Palatino Linotype" w:hAnsi="Palatino Linotype" w:cs="Palatino Linotype"/>
          <w:sz w:val="22"/>
          <w:szCs w:val="22"/>
        </w:rPr>
        <w:t xml:space="preserve">o cuando realice la consulta de la misma en el lugar en el que ésta se localice; situación que se cumplió en el caso en particular, con la puesta a disposición que hizo el </w:t>
      </w:r>
      <w:r w:rsidRPr="00F22FA8">
        <w:rPr>
          <w:rFonts w:ascii="Palatino Linotype" w:eastAsia="Palatino Linotype" w:hAnsi="Palatino Linotype" w:cs="Palatino Linotype"/>
          <w:b/>
          <w:sz w:val="22"/>
          <w:szCs w:val="22"/>
        </w:rPr>
        <w:t xml:space="preserve">Sujeto Obligado </w:t>
      </w:r>
      <w:r w:rsidRPr="00F22FA8">
        <w:rPr>
          <w:rFonts w:ascii="Palatino Linotype" w:eastAsia="Palatino Linotype" w:hAnsi="Palatino Linotype" w:cs="Palatino Linotype"/>
          <w:sz w:val="22"/>
          <w:szCs w:val="22"/>
        </w:rPr>
        <w:t xml:space="preserve">de </w:t>
      </w:r>
      <w:r w:rsidRPr="00F22FA8">
        <w:rPr>
          <w:rFonts w:ascii="Palatino Linotype" w:eastAsia="Palatino Linotype" w:hAnsi="Palatino Linotype" w:cs="Palatino Linotype"/>
          <w:sz w:val="22"/>
          <w:szCs w:val="22"/>
        </w:rPr>
        <w:lastRenderedPageBreak/>
        <w:t>la liga electrónica donde se localizan las Actas de las Sesiones del Comité de Mejora Regulatoria de la Secretaría de Movilidad.</w:t>
      </w:r>
    </w:p>
    <w:p w14:paraId="11C43444" w14:textId="77777777" w:rsidR="00F776E5" w:rsidRPr="00F22FA8" w:rsidRDefault="00395CBC">
      <w:pPr>
        <w:spacing w:line="360" w:lineRule="auto"/>
        <w:jc w:val="both"/>
        <w:rPr>
          <w:rFonts w:ascii="Palatino Linotype" w:eastAsia="Palatino Linotype" w:hAnsi="Palatino Linotype" w:cs="Palatino Linotype"/>
          <w:b/>
          <w:sz w:val="22"/>
          <w:szCs w:val="22"/>
        </w:rPr>
      </w:pPr>
      <w:r w:rsidRPr="00F22FA8">
        <w:rPr>
          <w:rFonts w:ascii="Palatino Linotype" w:eastAsia="Palatino Linotype" w:hAnsi="Palatino Linotype" w:cs="Palatino Linotype"/>
          <w:sz w:val="22"/>
          <w:szCs w:val="22"/>
        </w:rPr>
        <w:t xml:space="preserve">Por lo que, si bien de la fecha en que se presentó la solicitud de información, esto es el trece de junio de dos mil veinticuatro, a la fecha de la respuesta, el cuatro de julio de dos mil veinticuatro, transcurrió en exceso el plazo de cinco días previsto en el artículo 161 de la Ley de la materia, antes citado, dicha cuestión por sí sola no le resta validez a la respuesta otorgada por el </w:t>
      </w:r>
      <w:r w:rsidRPr="00F22FA8">
        <w:rPr>
          <w:rFonts w:ascii="Palatino Linotype" w:eastAsia="Palatino Linotype" w:hAnsi="Palatino Linotype" w:cs="Palatino Linotype"/>
          <w:b/>
          <w:sz w:val="22"/>
          <w:szCs w:val="22"/>
        </w:rPr>
        <w:t>Sujeto Obligado</w:t>
      </w:r>
      <w:r w:rsidRPr="00F22FA8">
        <w:rPr>
          <w:rFonts w:ascii="Palatino Linotype" w:eastAsia="Palatino Linotype" w:hAnsi="Palatino Linotype" w:cs="Palatino Linotype"/>
          <w:sz w:val="22"/>
          <w:szCs w:val="22"/>
        </w:rPr>
        <w:t xml:space="preserve">, más aún cuando se advierte que con la misma se </w:t>
      </w:r>
      <w:r w:rsidRPr="00F22FA8">
        <w:rPr>
          <w:rFonts w:ascii="Palatino Linotype" w:eastAsia="Palatino Linotype" w:hAnsi="Palatino Linotype" w:cs="Palatino Linotype"/>
          <w:b/>
          <w:sz w:val="22"/>
          <w:szCs w:val="22"/>
        </w:rPr>
        <w:t>colma la pretensión de la persona solicitante.</w:t>
      </w:r>
    </w:p>
    <w:p w14:paraId="2F15D871" w14:textId="77777777" w:rsidR="00F776E5" w:rsidRPr="00F22FA8" w:rsidRDefault="00F776E5">
      <w:pPr>
        <w:spacing w:line="360" w:lineRule="auto"/>
        <w:jc w:val="both"/>
        <w:rPr>
          <w:rFonts w:ascii="Palatino Linotype" w:eastAsia="Palatino Linotype" w:hAnsi="Palatino Linotype" w:cs="Palatino Linotype"/>
          <w:sz w:val="22"/>
          <w:szCs w:val="22"/>
        </w:rPr>
      </w:pPr>
    </w:p>
    <w:p w14:paraId="741D2251" w14:textId="77777777" w:rsidR="00F776E5" w:rsidRPr="00F22FA8" w:rsidRDefault="00395CBC">
      <w:pPr>
        <w:spacing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t xml:space="preserve">No obstante, este Órgano Garante procede a instar al </w:t>
      </w:r>
      <w:r w:rsidRPr="00F22FA8">
        <w:rPr>
          <w:rFonts w:ascii="Palatino Linotype" w:eastAsia="Palatino Linotype" w:hAnsi="Palatino Linotype" w:cs="Palatino Linotype"/>
          <w:b/>
          <w:sz w:val="22"/>
          <w:szCs w:val="22"/>
        </w:rPr>
        <w:t xml:space="preserve">Sujeto Obligado </w:t>
      </w:r>
      <w:r w:rsidRPr="00F22FA8">
        <w:rPr>
          <w:rFonts w:ascii="Palatino Linotype" w:eastAsia="Palatino Linotype" w:hAnsi="Palatino Linotype" w:cs="Palatino Linotype"/>
          <w:sz w:val="22"/>
          <w:szCs w:val="22"/>
        </w:rPr>
        <w:t>para que en futuras solicitudes de información proceda a cumplir con la entrega de la información en el plazo que dispone el numeral 161 de la Ley de Transparencia Local, cuando advierta que la misma ya se encuentra disponible al público, entre otros, en registros públicos o en formatos electrónicos disponibles en internet, cumpliendo las formalidades que indica dicho precepto legal.</w:t>
      </w:r>
    </w:p>
    <w:p w14:paraId="1CBA7144" w14:textId="77777777" w:rsidR="00F776E5" w:rsidRPr="00F22FA8" w:rsidRDefault="00F776E5">
      <w:pPr>
        <w:spacing w:line="360" w:lineRule="auto"/>
        <w:jc w:val="both"/>
        <w:rPr>
          <w:rFonts w:ascii="Palatino Linotype" w:eastAsia="Palatino Linotype" w:hAnsi="Palatino Linotype" w:cs="Palatino Linotype"/>
          <w:sz w:val="22"/>
          <w:szCs w:val="22"/>
        </w:rPr>
      </w:pPr>
    </w:p>
    <w:p w14:paraId="37981080" w14:textId="77777777" w:rsidR="00F776E5" w:rsidRPr="00F22FA8" w:rsidRDefault="00395CB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rPr>
        <w:t xml:space="preserve">De lo hasta aquí expuesto, se concluye que </w:t>
      </w:r>
      <w:r w:rsidRPr="00F22FA8">
        <w:rPr>
          <w:rFonts w:ascii="Palatino Linotype" w:eastAsia="Palatino Linotype" w:hAnsi="Palatino Linotype" w:cs="Palatino Linotype"/>
          <w:sz w:val="22"/>
          <w:szCs w:val="22"/>
        </w:rPr>
        <w:t xml:space="preserve">el </w:t>
      </w:r>
      <w:r w:rsidRPr="00F22FA8">
        <w:rPr>
          <w:rFonts w:ascii="Palatino Linotype" w:eastAsia="Palatino Linotype" w:hAnsi="Palatino Linotype" w:cs="Palatino Linotype"/>
          <w:b/>
          <w:sz w:val="22"/>
          <w:szCs w:val="22"/>
        </w:rPr>
        <w:t>Sujeto Obligado</w:t>
      </w:r>
      <w:r w:rsidRPr="00F22FA8">
        <w:rPr>
          <w:rFonts w:ascii="Palatino Linotype" w:eastAsia="Palatino Linotype" w:hAnsi="Palatino Linotype" w:cs="Palatino Linotype"/>
          <w:sz w:val="22"/>
          <w:szCs w:val="22"/>
        </w:rPr>
        <w:t xml:space="preserve"> colmó el derecho de acceso a la información del particular; máxime, debe decirse que este Organismo Garante estima conveniente señalar que no se está facultado para manifestarse sobre la veracidad de la información proporcionada, ya que no existe precepto legal alguno en la Ley de la Materia que permita, vía recurso de revisión, se pronuncie al respecto. </w:t>
      </w:r>
    </w:p>
    <w:p w14:paraId="5FBDCD53" w14:textId="77777777" w:rsidR="00F776E5" w:rsidRPr="00F22FA8" w:rsidRDefault="00F776E5">
      <w:pPr>
        <w:pBdr>
          <w:top w:val="nil"/>
          <w:left w:val="nil"/>
          <w:bottom w:val="nil"/>
          <w:right w:val="nil"/>
          <w:between w:val="nil"/>
        </w:pBdr>
        <w:spacing w:line="360" w:lineRule="auto"/>
        <w:jc w:val="both"/>
        <w:rPr>
          <w:rFonts w:ascii="Palatino Linotype" w:eastAsia="Palatino Linotype" w:hAnsi="Palatino Linotype" w:cs="Palatino Linotype"/>
          <w:i/>
          <w:sz w:val="22"/>
          <w:szCs w:val="22"/>
        </w:rPr>
      </w:pPr>
    </w:p>
    <w:p w14:paraId="0F7AC64B" w14:textId="77777777" w:rsidR="00F776E5" w:rsidRPr="00F22FA8" w:rsidRDefault="00395CBC">
      <w:pPr>
        <w:spacing w:after="240"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t xml:space="preserve">De lo anterior, este Órgano Garante en aras de tutelar el derecho de acceso a la información de los particulares, tiene la obligación de apegarse en todo momento a lo que dispone la Ley de Transparencia y Acceso a la Información Pública del Estado de México y Municipios </w:t>
      </w:r>
      <w:r w:rsidRPr="00F22FA8">
        <w:rPr>
          <w:rFonts w:ascii="Palatino Linotype" w:eastAsia="Palatino Linotype" w:hAnsi="Palatino Linotype" w:cs="Palatino Linotype"/>
          <w:sz w:val="22"/>
          <w:szCs w:val="22"/>
        </w:rPr>
        <w:lastRenderedPageBreak/>
        <w:t>garantizando los principios de imparcialidad y legalidad en el procedimiento de impugnación y resolución del recurso planteado.</w:t>
      </w:r>
    </w:p>
    <w:p w14:paraId="7415D641" w14:textId="77777777" w:rsidR="00F776E5" w:rsidRPr="00F22FA8" w:rsidRDefault="00395CBC">
      <w:pPr>
        <w:spacing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t>En consecuencia, de todo lo anterior, se actualiza la causal de sobreseimiento prevista en la fracción III del artículo 192 de la Ley de Transparencia y Acceso a la Información Pública del Estado de México y Municipios, que dispone lo siguiente:</w:t>
      </w:r>
    </w:p>
    <w:p w14:paraId="04C95F7F" w14:textId="77777777" w:rsidR="00F776E5" w:rsidRPr="00F22FA8" w:rsidRDefault="00F776E5">
      <w:pPr>
        <w:spacing w:line="360" w:lineRule="auto"/>
        <w:jc w:val="both"/>
        <w:rPr>
          <w:rFonts w:ascii="Palatino Linotype" w:eastAsia="Palatino Linotype" w:hAnsi="Palatino Linotype" w:cs="Palatino Linotype"/>
          <w:sz w:val="22"/>
          <w:szCs w:val="22"/>
        </w:rPr>
      </w:pPr>
    </w:p>
    <w:p w14:paraId="3C61438F" w14:textId="77777777" w:rsidR="00F776E5" w:rsidRPr="00F22FA8" w:rsidRDefault="00395CBC">
      <w:pPr>
        <w:spacing w:line="276" w:lineRule="auto"/>
        <w:ind w:left="851" w:right="616"/>
        <w:jc w:val="both"/>
        <w:rPr>
          <w:rFonts w:ascii="Palatino Linotype" w:eastAsia="Palatino Linotype" w:hAnsi="Palatino Linotype" w:cs="Palatino Linotype"/>
          <w:i/>
          <w:sz w:val="22"/>
          <w:szCs w:val="22"/>
        </w:rPr>
      </w:pPr>
      <w:r w:rsidRPr="00F22FA8">
        <w:rPr>
          <w:rFonts w:ascii="Palatino Linotype" w:eastAsia="Palatino Linotype" w:hAnsi="Palatino Linotype" w:cs="Palatino Linotype"/>
          <w:b/>
          <w:i/>
          <w:sz w:val="22"/>
          <w:szCs w:val="22"/>
        </w:rPr>
        <w:t xml:space="preserve">“Artículo 192. </w:t>
      </w:r>
      <w:r w:rsidRPr="00F22FA8">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7A69962B" w14:textId="77777777" w:rsidR="00F776E5" w:rsidRPr="00F22FA8" w:rsidRDefault="00395CBC">
      <w:pPr>
        <w:spacing w:line="276" w:lineRule="auto"/>
        <w:ind w:left="851" w:right="616"/>
        <w:jc w:val="both"/>
        <w:rPr>
          <w:rFonts w:ascii="Palatino Linotype" w:eastAsia="Palatino Linotype" w:hAnsi="Palatino Linotype" w:cs="Palatino Linotype"/>
          <w:i/>
          <w:sz w:val="22"/>
          <w:szCs w:val="22"/>
        </w:rPr>
      </w:pPr>
      <w:r w:rsidRPr="00F22FA8">
        <w:rPr>
          <w:rFonts w:ascii="Palatino Linotype" w:eastAsia="Palatino Linotype" w:hAnsi="Palatino Linotype" w:cs="Palatino Linotype"/>
          <w:b/>
          <w:i/>
          <w:sz w:val="22"/>
          <w:szCs w:val="22"/>
        </w:rPr>
        <w:t>…</w:t>
      </w:r>
    </w:p>
    <w:p w14:paraId="3FB2EBED" w14:textId="77777777" w:rsidR="00F776E5" w:rsidRPr="00F22FA8" w:rsidRDefault="00395CBC">
      <w:pPr>
        <w:spacing w:line="276" w:lineRule="auto"/>
        <w:ind w:left="851" w:right="616"/>
        <w:jc w:val="both"/>
        <w:rPr>
          <w:rFonts w:ascii="Palatino Linotype" w:eastAsia="Palatino Linotype" w:hAnsi="Palatino Linotype" w:cs="Palatino Linotype"/>
          <w:b/>
          <w:i/>
          <w:sz w:val="22"/>
          <w:szCs w:val="22"/>
        </w:rPr>
      </w:pPr>
      <w:r w:rsidRPr="00F22FA8">
        <w:rPr>
          <w:rFonts w:ascii="Palatino Linotype" w:eastAsia="Palatino Linotype" w:hAnsi="Palatino Linotype" w:cs="Palatino Linotype"/>
          <w:b/>
          <w:i/>
          <w:sz w:val="22"/>
          <w:szCs w:val="22"/>
        </w:rPr>
        <w:t>III. El sujeto obligado responsable del acto lo modifique o revoque de tal manera que el recurso de revisión quede sin materia…”. (Sic)</w:t>
      </w:r>
    </w:p>
    <w:p w14:paraId="4E11CA20" w14:textId="77777777" w:rsidR="00F776E5" w:rsidRPr="00F22FA8" w:rsidRDefault="00F776E5">
      <w:pPr>
        <w:spacing w:line="360" w:lineRule="auto"/>
        <w:jc w:val="both"/>
        <w:rPr>
          <w:rFonts w:ascii="Palatino Linotype" w:eastAsia="Palatino Linotype" w:hAnsi="Palatino Linotype" w:cs="Palatino Linotype"/>
          <w:b/>
          <w:i/>
          <w:sz w:val="22"/>
          <w:szCs w:val="22"/>
        </w:rPr>
      </w:pPr>
    </w:p>
    <w:p w14:paraId="1B83FE1A" w14:textId="77777777" w:rsidR="00F776E5" w:rsidRPr="00F22FA8" w:rsidRDefault="00395CBC">
      <w:pPr>
        <w:spacing w:after="240"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t>De lo establecido en el precepto legal citado se advierte que el sobreseimiento del recurso de revisión procede en los siguientes casos:</w:t>
      </w:r>
    </w:p>
    <w:p w14:paraId="31B7E212" w14:textId="77777777" w:rsidR="00F776E5" w:rsidRPr="00F22FA8" w:rsidRDefault="00395CBC">
      <w:pPr>
        <w:spacing w:before="240" w:after="240"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t>a) Cuando el sujeto obligado modifique el acto impugnado.</w:t>
      </w:r>
    </w:p>
    <w:p w14:paraId="76688FF9" w14:textId="77777777" w:rsidR="00F776E5" w:rsidRPr="00F22FA8" w:rsidRDefault="00395CBC">
      <w:pPr>
        <w:spacing w:before="240" w:after="240"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t>b) Cuando el sujeto obligado revoque el acto impugnado.</w:t>
      </w:r>
    </w:p>
    <w:p w14:paraId="24682F95" w14:textId="77777777" w:rsidR="00F776E5" w:rsidRPr="00F22FA8" w:rsidRDefault="00395CBC">
      <w:pPr>
        <w:spacing w:before="240" w:after="240"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t>Quedando en ambos casos el acto combatido sin materia o sin efectos.</w:t>
      </w:r>
    </w:p>
    <w:p w14:paraId="4BF61ECD" w14:textId="77777777" w:rsidR="00F776E5" w:rsidRPr="00F22FA8" w:rsidRDefault="00395CBC">
      <w:pPr>
        <w:spacing w:before="240" w:after="240"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t xml:space="preserve">Como se observa de lo anterior, un acto impugnado es modificado en aquellos casos en los que el </w:t>
      </w:r>
      <w:r w:rsidRPr="00F22FA8">
        <w:rPr>
          <w:rFonts w:ascii="Palatino Linotype" w:eastAsia="Palatino Linotype" w:hAnsi="Palatino Linotype" w:cs="Palatino Linotype"/>
          <w:b/>
          <w:sz w:val="22"/>
          <w:szCs w:val="22"/>
        </w:rPr>
        <w:t>SUJETO OBLIGADO</w:t>
      </w:r>
      <w:r w:rsidRPr="00F22FA8">
        <w:rPr>
          <w:rFonts w:ascii="Palatino Linotype" w:eastAsia="Palatino Linotype" w:hAnsi="Palatino Linotype" w:cs="Palatino Linotype"/>
          <w:sz w:val="22"/>
          <w:szCs w:val="22"/>
        </w:rPr>
        <w:t xml:space="preserve"> después de haber otorgado una respuesta, emite una diversa de manera posterior y en esta subsana las deficiencias que hubiera tenido, quedando satisfecho el derecho accionado por la parte </w:t>
      </w:r>
      <w:r w:rsidRPr="00F22FA8">
        <w:rPr>
          <w:rFonts w:ascii="Palatino Linotype" w:eastAsia="Palatino Linotype" w:hAnsi="Palatino Linotype" w:cs="Palatino Linotype"/>
          <w:b/>
          <w:sz w:val="22"/>
          <w:szCs w:val="22"/>
        </w:rPr>
        <w:t>Recurrente</w:t>
      </w:r>
      <w:r w:rsidRPr="00F22FA8">
        <w:rPr>
          <w:rFonts w:ascii="Palatino Linotype" w:eastAsia="Palatino Linotype" w:hAnsi="Palatino Linotype" w:cs="Palatino Linotype"/>
          <w:sz w:val="22"/>
          <w:szCs w:val="22"/>
        </w:rPr>
        <w:t>.</w:t>
      </w:r>
    </w:p>
    <w:p w14:paraId="3C0876BD" w14:textId="77777777" w:rsidR="00F776E5" w:rsidRPr="00F22FA8" w:rsidRDefault="00395CBC">
      <w:pPr>
        <w:spacing w:before="240" w:after="240"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t xml:space="preserve">Por lo que hace a la revocación, ésta se actualiza cuando el </w:t>
      </w:r>
      <w:r w:rsidRPr="00F22FA8">
        <w:rPr>
          <w:rFonts w:ascii="Palatino Linotype" w:eastAsia="Palatino Linotype" w:hAnsi="Palatino Linotype" w:cs="Palatino Linotype"/>
          <w:b/>
          <w:sz w:val="22"/>
          <w:szCs w:val="22"/>
        </w:rPr>
        <w:t xml:space="preserve">Sujeto Obligado </w:t>
      </w:r>
      <w:r w:rsidRPr="00F22FA8">
        <w:rPr>
          <w:rFonts w:ascii="Palatino Linotype" w:eastAsia="Palatino Linotype" w:hAnsi="Palatino Linotype" w:cs="Palatino Linotype"/>
          <w:sz w:val="22"/>
          <w:szCs w:val="22"/>
        </w:rPr>
        <w:t>deja sin efectos la primera respuesta y en su lugar emite otra con las características y cualidades suficientes para dejar satisfecho el ejercicio del derecho al acceso a la información pública.</w:t>
      </w:r>
    </w:p>
    <w:p w14:paraId="2BC00974" w14:textId="77777777" w:rsidR="00F776E5" w:rsidRPr="00F22FA8" w:rsidRDefault="00395CBC">
      <w:pPr>
        <w:spacing w:before="240"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lastRenderedPageBreak/>
        <w:t>En ese tenor, un acto impugnado queda sin efectos, cuando aun existiendo jurídicamente (esto es, que no se ha modificado, ni revocado) ya no genera ninguna consecuencia legal.</w:t>
      </w:r>
    </w:p>
    <w:p w14:paraId="013763FD" w14:textId="77777777" w:rsidR="00F776E5" w:rsidRPr="00F22FA8" w:rsidRDefault="00395CBC">
      <w:pPr>
        <w:spacing w:before="240" w:after="240"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t xml:space="preserve">En tanto, en el presente caso queda sin materia, toda vez que, con el Informe Justificado, el </w:t>
      </w:r>
      <w:r w:rsidRPr="00F22FA8">
        <w:rPr>
          <w:rFonts w:ascii="Palatino Linotype" w:eastAsia="Palatino Linotype" w:hAnsi="Palatino Linotype" w:cs="Palatino Linotype"/>
          <w:b/>
          <w:sz w:val="22"/>
          <w:szCs w:val="22"/>
        </w:rPr>
        <w:t>Sujeto Obligado</w:t>
      </w:r>
      <w:r w:rsidRPr="00F22FA8">
        <w:rPr>
          <w:rFonts w:ascii="Palatino Linotype" w:eastAsia="Palatino Linotype" w:hAnsi="Palatino Linotype" w:cs="Palatino Linotype"/>
          <w:sz w:val="22"/>
          <w:szCs w:val="22"/>
        </w:rPr>
        <w:t xml:space="preserve"> modificó la respuesta al hacer entrega de la liga electrónica que remite a la información solicitada.</w:t>
      </w:r>
    </w:p>
    <w:p w14:paraId="450380E8" w14:textId="77777777" w:rsidR="00F776E5" w:rsidRPr="00F22FA8" w:rsidRDefault="00395CBC">
      <w:pPr>
        <w:spacing w:before="240" w:after="240"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t xml:space="preserve">Tomando en consideración dicha circunstancia, así como el hecho de que la información proporcionada por el </w:t>
      </w:r>
      <w:r w:rsidRPr="00F22FA8">
        <w:rPr>
          <w:rFonts w:ascii="Palatino Linotype" w:eastAsia="Palatino Linotype" w:hAnsi="Palatino Linotype" w:cs="Palatino Linotype"/>
          <w:b/>
          <w:sz w:val="22"/>
          <w:szCs w:val="22"/>
        </w:rPr>
        <w:t>Sujeto Obligado</w:t>
      </w:r>
      <w:r w:rsidRPr="00F22FA8">
        <w:rPr>
          <w:rFonts w:ascii="Palatino Linotype" w:eastAsia="Palatino Linotype" w:hAnsi="Palatino Linotype" w:cs="Palatino Linotype"/>
          <w:sz w:val="22"/>
          <w:szCs w:val="22"/>
        </w:rPr>
        <w:t xml:space="preserve"> fue puesta a la vista de la parte </w:t>
      </w:r>
      <w:r w:rsidRPr="00F22FA8">
        <w:rPr>
          <w:rFonts w:ascii="Palatino Linotype" w:eastAsia="Palatino Linotype" w:hAnsi="Palatino Linotype" w:cs="Palatino Linotype"/>
          <w:b/>
          <w:sz w:val="22"/>
          <w:szCs w:val="22"/>
        </w:rPr>
        <w:t xml:space="preserve">Recurrente </w:t>
      </w:r>
      <w:r w:rsidRPr="00F22FA8">
        <w:rPr>
          <w:rFonts w:ascii="Palatino Linotype" w:eastAsia="Palatino Linotype" w:hAnsi="Palatino Linotype" w:cs="Palatino Linotype"/>
          <w:sz w:val="22"/>
          <w:szCs w:val="22"/>
        </w:rPr>
        <w:t>con la finalidad de que manifestara lo que a su derecho conviniera, sin que obre constancia en el expediente electrónico de que dicho derecho se hiciera valer, debe entenderse que ha quedado satisfecha la solicitud planteada, quedando sin materia el presente recurso de revisión, consecuentemente se actualiza la causal prevista en la fracción III del artículo 192 de la Ley de la Materia vigente en la Entidad, antes transcrita.</w:t>
      </w:r>
    </w:p>
    <w:p w14:paraId="32750D44" w14:textId="77777777" w:rsidR="00F776E5" w:rsidRPr="00F22FA8" w:rsidRDefault="00395CBC">
      <w:pPr>
        <w:spacing w:before="240" w:after="240"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t xml:space="preserve">En resumen, el </w:t>
      </w:r>
      <w:r w:rsidRPr="00F22FA8">
        <w:rPr>
          <w:rFonts w:ascii="Palatino Linotype" w:eastAsia="Palatino Linotype" w:hAnsi="Palatino Linotype" w:cs="Palatino Linotype"/>
          <w:b/>
          <w:sz w:val="22"/>
          <w:szCs w:val="22"/>
        </w:rPr>
        <w:t>Sujeto Obligado</w:t>
      </w:r>
      <w:r w:rsidRPr="00F22FA8">
        <w:rPr>
          <w:rFonts w:ascii="Palatino Linotype" w:eastAsia="Palatino Linotype" w:hAnsi="Palatino Linotype" w:cs="Palatino Linotype"/>
          <w:sz w:val="22"/>
          <w:szCs w:val="22"/>
        </w:rPr>
        <w:t xml:space="preserve"> dio respuesta a la solicitud de acceso a la información pública de la parte </w:t>
      </w:r>
      <w:r w:rsidRPr="00F22FA8">
        <w:rPr>
          <w:rFonts w:ascii="Palatino Linotype" w:eastAsia="Palatino Linotype" w:hAnsi="Palatino Linotype" w:cs="Palatino Linotype"/>
          <w:b/>
          <w:sz w:val="22"/>
          <w:szCs w:val="22"/>
        </w:rPr>
        <w:t>Recurrente</w:t>
      </w:r>
      <w:r w:rsidRPr="00F22FA8">
        <w:rPr>
          <w:rFonts w:ascii="Palatino Linotype" w:eastAsia="Palatino Linotype" w:hAnsi="Palatino Linotype" w:cs="Palatino Linotype"/>
          <w:sz w:val="22"/>
          <w:szCs w:val="22"/>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14:paraId="4F8AA57F" w14:textId="77777777" w:rsidR="00F776E5" w:rsidRPr="00F22FA8" w:rsidRDefault="00395CBC">
      <w:pPr>
        <w:spacing w:before="240" w:after="240"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t xml:space="preserve">Siendo el </w:t>
      </w:r>
      <w:r w:rsidRPr="00F22FA8">
        <w:rPr>
          <w:rFonts w:ascii="Palatino Linotype" w:eastAsia="Palatino Linotype" w:hAnsi="Palatino Linotype" w:cs="Palatino Linotype"/>
          <w:i/>
          <w:sz w:val="22"/>
          <w:szCs w:val="22"/>
        </w:rPr>
        <w:t>sobreseimiento</w:t>
      </w:r>
      <w:r w:rsidRPr="00F22FA8">
        <w:rPr>
          <w:rFonts w:ascii="Palatino Linotype" w:eastAsia="Palatino Linotype" w:hAnsi="Palatino Linotype" w:cs="Palatino Linotype"/>
          <w:sz w:val="22"/>
          <w:szCs w:val="22"/>
        </w:rPr>
        <w:t xml:space="preserve"> un acto que da por terminado el procedimiento administrativo de impugnación sin resolver el fondo de la cuestión planteada, por presentarse causas que impiden a la autoridad referirse a lo sustancial de lo planteado por la parte </w:t>
      </w:r>
      <w:r w:rsidRPr="00F22FA8">
        <w:rPr>
          <w:rFonts w:ascii="Palatino Linotype" w:eastAsia="Palatino Linotype" w:hAnsi="Palatino Linotype" w:cs="Palatino Linotype"/>
          <w:b/>
          <w:sz w:val="22"/>
          <w:szCs w:val="22"/>
        </w:rPr>
        <w:t>Recurrente</w:t>
      </w:r>
      <w:r w:rsidRPr="00F22FA8">
        <w:rPr>
          <w:rFonts w:ascii="Palatino Linotype" w:eastAsia="Palatino Linotype" w:hAnsi="Palatino Linotype" w:cs="Palatino Linotype"/>
          <w:sz w:val="22"/>
          <w:szCs w:val="22"/>
        </w:rPr>
        <w:t>, los efectos del sobreseimiento son los dar por concluido el recurso administrativo sin entrar al estudio de fondo del asunto de que se trate; lo anterior con apoyo en el criterio del Poder Judicial de la Federación con rubro:</w:t>
      </w:r>
    </w:p>
    <w:p w14:paraId="14FBD108" w14:textId="77777777" w:rsidR="00F776E5" w:rsidRPr="00F22FA8" w:rsidRDefault="00395CBC">
      <w:pPr>
        <w:spacing w:before="240" w:line="276" w:lineRule="auto"/>
        <w:ind w:left="851" w:right="567"/>
        <w:jc w:val="both"/>
        <w:rPr>
          <w:rFonts w:ascii="Palatino Linotype" w:eastAsia="Palatino Linotype" w:hAnsi="Palatino Linotype" w:cs="Palatino Linotype"/>
          <w:b/>
          <w:i/>
          <w:sz w:val="22"/>
          <w:szCs w:val="22"/>
        </w:rPr>
      </w:pPr>
      <w:r w:rsidRPr="00F22FA8">
        <w:rPr>
          <w:rFonts w:ascii="Palatino Linotype" w:eastAsia="Palatino Linotype" w:hAnsi="Palatino Linotype" w:cs="Palatino Linotype"/>
          <w:i/>
          <w:sz w:val="22"/>
          <w:szCs w:val="22"/>
        </w:rPr>
        <w:lastRenderedPageBreak/>
        <w:t>“</w:t>
      </w:r>
      <w:r w:rsidRPr="00F22FA8">
        <w:rPr>
          <w:rFonts w:ascii="Palatino Linotype" w:eastAsia="Palatino Linotype" w:hAnsi="Palatino Linotype" w:cs="Palatino Linotype"/>
          <w:b/>
          <w:i/>
          <w:sz w:val="22"/>
          <w:szCs w:val="22"/>
        </w:rPr>
        <w:t>SOBRESEIMIENTO, NO PERMITE ENTRAR AL ESTUDIO DE LAS CUESTIONES DE FONDO</w:t>
      </w:r>
    </w:p>
    <w:p w14:paraId="1B8ED5DB" w14:textId="77777777" w:rsidR="00F776E5" w:rsidRPr="00F22FA8" w:rsidRDefault="00395CBC">
      <w:pPr>
        <w:spacing w:line="276" w:lineRule="auto"/>
        <w:ind w:left="851" w:right="567"/>
        <w:jc w:val="both"/>
        <w:rPr>
          <w:rFonts w:ascii="Palatino Linotype" w:eastAsia="Palatino Linotype" w:hAnsi="Palatino Linotype" w:cs="Palatino Linotype"/>
          <w:i/>
          <w:sz w:val="22"/>
          <w:szCs w:val="22"/>
        </w:rPr>
      </w:pPr>
      <w:r w:rsidRPr="00F22FA8">
        <w:rPr>
          <w:rFonts w:ascii="Palatino Linotype" w:eastAsia="Palatino Linotype" w:hAnsi="Palatino Linotype" w:cs="Palatino Linotype"/>
          <w:i/>
          <w:sz w:val="22"/>
          <w:szCs w:val="22"/>
        </w:rPr>
        <w:t xml:space="preserve">Localización: 213609. II.2o.183 K. Tribunales Colegiados de Circuito. Octava Época. Semanario Judicial de la Federación. Tomo XIII, </w:t>
      </w:r>
      <w:proofErr w:type="gramStart"/>
      <w:r w:rsidRPr="00F22FA8">
        <w:rPr>
          <w:rFonts w:ascii="Palatino Linotype" w:eastAsia="Palatino Linotype" w:hAnsi="Palatino Linotype" w:cs="Palatino Linotype"/>
          <w:i/>
          <w:sz w:val="22"/>
          <w:szCs w:val="22"/>
        </w:rPr>
        <w:t>Febrero</w:t>
      </w:r>
      <w:proofErr w:type="gramEnd"/>
      <w:r w:rsidRPr="00F22FA8">
        <w:rPr>
          <w:rFonts w:ascii="Palatino Linotype" w:eastAsia="Palatino Linotype" w:hAnsi="Palatino Linotype" w:cs="Palatino Linotype"/>
          <w:i/>
          <w:sz w:val="22"/>
          <w:szCs w:val="22"/>
        </w:rPr>
        <w:t xml:space="preserve"> de 1994, Pág. 420</w:t>
      </w:r>
    </w:p>
    <w:p w14:paraId="51AF0401" w14:textId="77777777" w:rsidR="00F776E5" w:rsidRPr="00F22FA8" w:rsidRDefault="00395CBC">
      <w:pPr>
        <w:spacing w:line="276" w:lineRule="auto"/>
        <w:ind w:left="851" w:right="567"/>
        <w:jc w:val="both"/>
        <w:rPr>
          <w:rFonts w:ascii="Palatino Linotype" w:eastAsia="Palatino Linotype" w:hAnsi="Palatino Linotype" w:cs="Palatino Linotype"/>
          <w:i/>
          <w:sz w:val="22"/>
          <w:szCs w:val="22"/>
        </w:rPr>
      </w:pPr>
      <w:r w:rsidRPr="00F22FA8">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42398536" w14:textId="77777777" w:rsidR="00F776E5" w:rsidRPr="00F22FA8" w:rsidRDefault="00F776E5">
      <w:pPr>
        <w:ind w:left="567" w:right="567"/>
        <w:jc w:val="both"/>
        <w:rPr>
          <w:rFonts w:ascii="Palatino Linotype" w:eastAsia="Palatino Linotype" w:hAnsi="Palatino Linotype" w:cs="Palatino Linotype"/>
          <w:i/>
          <w:sz w:val="22"/>
          <w:szCs w:val="22"/>
        </w:rPr>
      </w:pPr>
    </w:p>
    <w:p w14:paraId="33B84335" w14:textId="77777777" w:rsidR="00F776E5" w:rsidRPr="00F22FA8" w:rsidRDefault="00395CBC">
      <w:pPr>
        <w:spacing w:after="240"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t>Cabe destacar que la decisión de este órgano colegiado de sobreseer el recurso de revisión no implica una limitación o negación a la justicia, según lo ha establecido el Poder Judicial Federal, en el criterio que es aplicable por analogía, con rubro:</w:t>
      </w:r>
    </w:p>
    <w:p w14:paraId="3EF712E2" w14:textId="77777777" w:rsidR="00F776E5" w:rsidRPr="00F22FA8" w:rsidRDefault="00395CBC">
      <w:pPr>
        <w:spacing w:before="240" w:line="276" w:lineRule="auto"/>
        <w:ind w:left="851" w:right="567"/>
        <w:jc w:val="both"/>
        <w:rPr>
          <w:rFonts w:ascii="Palatino Linotype" w:eastAsia="Palatino Linotype" w:hAnsi="Palatino Linotype" w:cs="Palatino Linotype"/>
          <w:i/>
          <w:sz w:val="22"/>
          <w:szCs w:val="22"/>
        </w:rPr>
      </w:pPr>
      <w:r w:rsidRPr="00F22FA8">
        <w:rPr>
          <w:rFonts w:ascii="Palatino Linotype" w:eastAsia="Palatino Linotype" w:hAnsi="Palatino Linotype" w:cs="Palatino Linotype"/>
          <w:i/>
          <w:sz w:val="22"/>
          <w:szCs w:val="22"/>
        </w:rPr>
        <w:t>“DESECHAMIENTO O SOBRESEIMIENTO EN EL JUICIO DE AMPARO. NO IMPLICA DENEGACIÓN DE JUSTICIA NI GENERA INSEGURIDAD JURÍDICA”</w:t>
      </w:r>
    </w:p>
    <w:p w14:paraId="279C3EA5" w14:textId="77777777" w:rsidR="00F776E5" w:rsidRPr="00F22FA8" w:rsidRDefault="00395CBC">
      <w:pPr>
        <w:spacing w:line="276" w:lineRule="auto"/>
        <w:ind w:left="851" w:right="567"/>
        <w:jc w:val="both"/>
        <w:rPr>
          <w:rFonts w:ascii="Palatino Linotype" w:eastAsia="Palatino Linotype" w:hAnsi="Palatino Linotype" w:cs="Palatino Linotype"/>
          <w:i/>
          <w:sz w:val="22"/>
          <w:szCs w:val="22"/>
        </w:rPr>
      </w:pPr>
      <w:r w:rsidRPr="00F22FA8">
        <w:rPr>
          <w:rFonts w:ascii="Palatino Linotype" w:eastAsia="Palatino Linotype" w:hAnsi="Palatino Linotype" w:cs="Palatino Linotype"/>
          <w:i/>
          <w:sz w:val="22"/>
          <w:szCs w:val="22"/>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301C11EA" w14:textId="77777777" w:rsidR="00F776E5" w:rsidRPr="00F22FA8" w:rsidRDefault="00F776E5">
      <w:pPr>
        <w:ind w:left="567" w:right="567"/>
        <w:jc w:val="both"/>
        <w:rPr>
          <w:rFonts w:ascii="Palatino Linotype" w:eastAsia="Palatino Linotype" w:hAnsi="Palatino Linotype" w:cs="Palatino Linotype"/>
          <w:i/>
          <w:sz w:val="22"/>
          <w:szCs w:val="22"/>
        </w:rPr>
      </w:pPr>
    </w:p>
    <w:p w14:paraId="3FE80CE8" w14:textId="77777777" w:rsidR="00F776E5" w:rsidRPr="00F22FA8" w:rsidRDefault="00395CBC">
      <w:pPr>
        <w:spacing w:after="240"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sz w:val="22"/>
          <w:szCs w:val="22"/>
        </w:rPr>
        <w:t xml:space="preserve">Así, con fundamento en lo prescrito en los artículos 5 párrafos trigésimo segundo, trigésimo tercero y trigésimo cuarto de la Constitución Política del Estado Libre y Soberano de México; </w:t>
      </w:r>
      <w:r w:rsidRPr="00F22FA8">
        <w:rPr>
          <w:rFonts w:ascii="Palatino Linotype" w:eastAsia="Palatino Linotype" w:hAnsi="Palatino Linotype" w:cs="Palatino Linotype"/>
          <w:sz w:val="22"/>
          <w:szCs w:val="22"/>
        </w:rPr>
        <w:lastRenderedPageBreak/>
        <w:t>2, fracción II; 29, 36 fracciones I y II; 176, 178, 181, 185 y 186 fracción II de la Ley de Transparencia y Acceso a la Información Pública del Estado de México y Municipios, este Pleno:</w:t>
      </w:r>
    </w:p>
    <w:p w14:paraId="44440463" w14:textId="77777777" w:rsidR="00F776E5" w:rsidRPr="00F22FA8" w:rsidRDefault="00395CBC">
      <w:pPr>
        <w:spacing w:before="240" w:line="360" w:lineRule="auto"/>
        <w:ind w:left="360"/>
        <w:jc w:val="center"/>
        <w:rPr>
          <w:rFonts w:ascii="Palatino Linotype" w:eastAsia="Palatino Linotype" w:hAnsi="Palatino Linotype" w:cs="Palatino Linotype"/>
          <w:b/>
          <w:sz w:val="22"/>
          <w:szCs w:val="22"/>
        </w:rPr>
      </w:pPr>
      <w:r w:rsidRPr="00F22FA8">
        <w:rPr>
          <w:rFonts w:ascii="Palatino Linotype" w:eastAsia="Palatino Linotype" w:hAnsi="Palatino Linotype" w:cs="Palatino Linotype"/>
          <w:b/>
          <w:sz w:val="22"/>
          <w:szCs w:val="22"/>
        </w:rPr>
        <w:t>III.R E S U E L V E:</w:t>
      </w:r>
    </w:p>
    <w:p w14:paraId="00691738" w14:textId="77777777" w:rsidR="00F776E5" w:rsidRPr="00F22FA8" w:rsidRDefault="00395CBC">
      <w:pPr>
        <w:pBdr>
          <w:top w:val="nil"/>
          <w:left w:val="nil"/>
          <w:bottom w:val="nil"/>
          <w:right w:val="nil"/>
          <w:between w:val="nil"/>
        </w:pBdr>
        <w:spacing w:before="280" w:after="280"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b/>
          <w:sz w:val="22"/>
          <w:szCs w:val="22"/>
        </w:rPr>
        <w:t>Primero</w:t>
      </w:r>
      <w:r w:rsidRPr="00F22FA8">
        <w:rPr>
          <w:rFonts w:ascii="Palatino Linotype" w:eastAsia="Palatino Linotype" w:hAnsi="Palatino Linotype" w:cs="Palatino Linotype"/>
          <w:sz w:val="22"/>
          <w:szCs w:val="22"/>
        </w:rPr>
        <w:t xml:space="preserve">. Se </w:t>
      </w:r>
      <w:r w:rsidRPr="00F22FA8">
        <w:rPr>
          <w:rFonts w:ascii="Palatino Linotype" w:eastAsia="Palatino Linotype" w:hAnsi="Palatino Linotype" w:cs="Palatino Linotype"/>
          <w:b/>
          <w:sz w:val="22"/>
          <w:szCs w:val="22"/>
        </w:rPr>
        <w:t>SOBRESEE</w:t>
      </w:r>
      <w:r w:rsidRPr="00F22FA8">
        <w:rPr>
          <w:rFonts w:ascii="Palatino Linotype" w:eastAsia="Palatino Linotype" w:hAnsi="Palatino Linotype" w:cs="Palatino Linotype"/>
          <w:sz w:val="22"/>
          <w:szCs w:val="22"/>
        </w:rPr>
        <w:t xml:space="preserve"> el recurso de revisión número </w:t>
      </w:r>
      <w:r w:rsidRPr="00F22FA8">
        <w:rPr>
          <w:rFonts w:ascii="Palatino Linotype" w:eastAsia="Palatino Linotype" w:hAnsi="Palatino Linotype" w:cs="Palatino Linotype"/>
          <w:b/>
          <w:sz w:val="22"/>
          <w:szCs w:val="22"/>
        </w:rPr>
        <w:t>04139/INFOEM/IP/RR/2024,</w:t>
      </w:r>
      <w:r w:rsidRPr="00F22FA8">
        <w:rPr>
          <w:rFonts w:ascii="Palatino Linotype" w:eastAsia="Palatino Linotype" w:hAnsi="Palatino Linotype" w:cs="Palatino Linotype"/>
          <w:sz w:val="22"/>
          <w:szCs w:val="22"/>
        </w:rPr>
        <w:t xml:space="preserve"> porque al </w:t>
      </w:r>
      <w:r w:rsidRPr="00F22FA8">
        <w:rPr>
          <w:rFonts w:ascii="Palatino Linotype" w:eastAsia="Palatino Linotype" w:hAnsi="Palatino Linotype" w:cs="Palatino Linotype"/>
          <w:b/>
          <w:sz w:val="22"/>
          <w:szCs w:val="22"/>
        </w:rPr>
        <w:t>modificar la respuesta</w:t>
      </w:r>
      <w:r w:rsidRPr="00F22FA8">
        <w:rPr>
          <w:rFonts w:ascii="Palatino Linotype" w:eastAsia="Palatino Linotype" w:hAnsi="Palatino Linotype" w:cs="Palatino Linotype"/>
          <w:sz w:val="22"/>
          <w:szCs w:val="22"/>
        </w:rPr>
        <w:t xml:space="preserve"> se actualizó la causal prevista en el artículo 192, fracción III, de la Ley de Transparencia y Acceso a la Información Pública del Estado de México y Municipios, quedando sin materia en términos del considerando </w:t>
      </w:r>
      <w:r w:rsidRPr="00F22FA8">
        <w:rPr>
          <w:rFonts w:ascii="Palatino Linotype" w:eastAsia="Palatino Linotype" w:hAnsi="Palatino Linotype" w:cs="Palatino Linotype"/>
          <w:b/>
          <w:sz w:val="22"/>
          <w:szCs w:val="22"/>
        </w:rPr>
        <w:t>Tercero</w:t>
      </w:r>
      <w:r w:rsidRPr="00F22FA8">
        <w:rPr>
          <w:rFonts w:ascii="Palatino Linotype" w:eastAsia="Palatino Linotype" w:hAnsi="Palatino Linotype" w:cs="Palatino Linotype"/>
          <w:b/>
          <w:i/>
          <w:sz w:val="22"/>
          <w:szCs w:val="22"/>
        </w:rPr>
        <w:t xml:space="preserve"> </w:t>
      </w:r>
      <w:r w:rsidRPr="00F22FA8">
        <w:rPr>
          <w:rFonts w:ascii="Palatino Linotype" w:eastAsia="Palatino Linotype" w:hAnsi="Palatino Linotype" w:cs="Palatino Linotype"/>
          <w:sz w:val="22"/>
          <w:szCs w:val="22"/>
        </w:rPr>
        <w:t>de la presente Resolución.</w:t>
      </w:r>
    </w:p>
    <w:p w14:paraId="5AAC7D3C" w14:textId="77777777" w:rsidR="00F776E5" w:rsidRPr="00F22FA8" w:rsidRDefault="00395CBC">
      <w:pPr>
        <w:spacing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b/>
          <w:sz w:val="22"/>
          <w:szCs w:val="22"/>
        </w:rPr>
        <w:t xml:space="preserve">Segundo. Notifíquese vía </w:t>
      </w:r>
      <w:r w:rsidRPr="00F22FA8">
        <w:rPr>
          <w:rFonts w:ascii="Palatino Linotype" w:eastAsia="Palatino Linotype" w:hAnsi="Palatino Linotype" w:cs="Palatino Linotype"/>
          <w:sz w:val="22"/>
          <w:szCs w:val="22"/>
        </w:rPr>
        <w:t>Sistema de Acceso a la Información Mexiquense (</w:t>
      </w:r>
      <w:r w:rsidRPr="00F22FA8">
        <w:rPr>
          <w:rFonts w:ascii="Palatino Linotype" w:eastAsia="Palatino Linotype" w:hAnsi="Palatino Linotype" w:cs="Palatino Linotype"/>
          <w:b/>
          <w:sz w:val="22"/>
          <w:szCs w:val="22"/>
        </w:rPr>
        <w:t>SAIMEX)</w:t>
      </w:r>
      <w:r w:rsidRPr="00F22FA8">
        <w:rPr>
          <w:rFonts w:ascii="Palatino Linotype" w:eastAsia="Palatino Linotype" w:hAnsi="Palatino Linotype" w:cs="Palatino Linotype"/>
          <w:b/>
          <w:i/>
          <w:sz w:val="22"/>
          <w:szCs w:val="22"/>
        </w:rPr>
        <w:t xml:space="preserve">, </w:t>
      </w:r>
      <w:r w:rsidRPr="00F22FA8">
        <w:rPr>
          <w:rFonts w:ascii="Palatino Linotype" w:eastAsia="Palatino Linotype" w:hAnsi="Palatino Linotype" w:cs="Palatino Linotype"/>
          <w:sz w:val="22"/>
          <w:szCs w:val="22"/>
        </w:rPr>
        <w:t xml:space="preserve">al Titular de la Unidad de Transparencia del </w:t>
      </w:r>
      <w:r w:rsidRPr="00F22FA8">
        <w:rPr>
          <w:rFonts w:ascii="Palatino Linotype" w:eastAsia="Palatino Linotype" w:hAnsi="Palatino Linotype" w:cs="Palatino Linotype"/>
          <w:b/>
          <w:sz w:val="22"/>
          <w:szCs w:val="22"/>
        </w:rPr>
        <w:t>SUJETO OBLIGADO</w:t>
      </w:r>
      <w:r w:rsidRPr="00F22FA8">
        <w:rPr>
          <w:rFonts w:ascii="Palatino Linotype" w:eastAsia="Palatino Linotype" w:hAnsi="Palatino Linotype" w:cs="Palatino Linotype"/>
          <w:sz w:val="22"/>
          <w:szCs w:val="22"/>
        </w:rPr>
        <w:t xml:space="preserve"> la presente resolución, para su conocimiento. </w:t>
      </w:r>
    </w:p>
    <w:p w14:paraId="264D41FD" w14:textId="77777777" w:rsidR="00F776E5" w:rsidRPr="00F22FA8" w:rsidRDefault="00F776E5">
      <w:pPr>
        <w:spacing w:line="360" w:lineRule="auto"/>
        <w:jc w:val="both"/>
        <w:rPr>
          <w:rFonts w:ascii="Palatino Linotype" w:eastAsia="Palatino Linotype" w:hAnsi="Palatino Linotype" w:cs="Palatino Linotype"/>
          <w:sz w:val="22"/>
          <w:szCs w:val="22"/>
        </w:rPr>
      </w:pPr>
    </w:p>
    <w:p w14:paraId="7CE94AF1" w14:textId="77777777" w:rsidR="00F776E5" w:rsidRPr="00F22FA8" w:rsidRDefault="00395CBC">
      <w:pPr>
        <w:spacing w:after="240" w:line="360" w:lineRule="auto"/>
        <w:jc w:val="both"/>
        <w:rPr>
          <w:rFonts w:ascii="Palatino Linotype" w:eastAsia="Palatino Linotype" w:hAnsi="Palatino Linotype" w:cs="Palatino Linotype"/>
          <w:sz w:val="22"/>
          <w:szCs w:val="22"/>
        </w:rPr>
      </w:pPr>
      <w:r w:rsidRPr="00F22FA8">
        <w:rPr>
          <w:rFonts w:ascii="Palatino Linotype" w:eastAsia="Palatino Linotype" w:hAnsi="Palatino Linotype" w:cs="Palatino Linotype"/>
          <w:b/>
          <w:sz w:val="22"/>
          <w:szCs w:val="22"/>
        </w:rPr>
        <w:t xml:space="preserve">Tercero. Notifíquese a través </w:t>
      </w:r>
      <w:r w:rsidRPr="00F22FA8">
        <w:rPr>
          <w:rFonts w:ascii="Palatino Linotype" w:eastAsia="Palatino Linotype" w:hAnsi="Palatino Linotype" w:cs="Palatino Linotype"/>
          <w:sz w:val="22"/>
          <w:szCs w:val="22"/>
        </w:rPr>
        <w:t>del Sistema de Acceso a la Información Mexiquense (</w:t>
      </w:r>
      <w:r w:rsidRPr="00F22FA8">
        <w:rPr>
          <w:rFonts w:ascii="Palatino Linotype" w:eastAsia="Palatino Linotype" w:hAnsi="Palatino Linotype" w:cs="Palatino Linotype"/>
          <w:b/>
          <w:sz w:val="22"/>
          <w:szCs w:val="22"/>
        </w:rPr>
        <w:t>SAIMEX</w:t>
      </w:r>
      <w:r w:rsidRPr="00F22FA8">
        <w:rPr>
          <w:rFonts w:ascii="Palatino Linotype" w:eastAsia="Palatino Linotype" w:hAnsi="Palatino Linotype" w:cs="Palatino Linotype"/>
          <w:sz w:val="22"/>
          <w:szCs w:val="22"/>
        </w:rPr>
        <w:t xml:space="preserve">) a la parte </w:t>
      </w:r>
      <w:r w:rsidRPr="00F22FA8">
        <w:rPr>
          <w:rFonts w:ascii="Palatino Linotype" w:eastAsia="Palatino Linotype" w:hAnsi="Palatino Linotype" w:cs="Palatino Linotype"/>
          <w:b/>
          <w:sz w:val="22"/>
          <w:szCs w:val="22"/>
        </w:rPr>
        <w:t>RECURRENTE,</w:t>
      </w:r>
      <w:r w:rsidRPr="00F22FA8">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podrá impugnarla en la vía Juicio de Amparo en los términos de las leyes aplicables.</w:t>
      </w:r>
    </w:p>
    <w:p w14:paraId="1CECFD0F" w14:textId="77777777" w:rsidR="00F776E5" w:rsidRPr="00F22FA8" w:rsidRDefault="00395CBC">
      <w:pPr>
        <w:spacing w:line="360" w:lineRule="auto"/>
        <w:jc w:val="both"/>
        <w:rPr>
          <w:rFonts w:ascii="Palatino Linotype" w:eastAsia="Palatino Linotype" w:hAnsi="Palatino Linotype" w:cs="Palatino Linotype"/>
          <w:sz w:val="22"/>
          <w:szCs w:val="22"/>
        </w:rPr>
        <w:sectPr w:rsidR="00F776E5" w:rsidRPr="00F22FA8">
          <w:headerReference w:type="default" r:id="rId26"/>
          <w:footerReference w:type="default" r:id="rId27"/>
          <w:headerReference w:type="first" r:id="rId28"/>
          <w:footerReference w:type="first" r:id="rId29"/>
          <w:pgSz w:w="12240" w:h="15840"/>
          <w:pgMar w:top="2041" w:right="1701" w:bottom="1701" w:left="1701" w:header="709" w:footer="709" w:gutter="0"/>
          <w:pgNumType w:start="1"/>
          <w:cols w:space="720"/>
          <w:titlePg/>
        </w:sectPr>
      </w:pPr>
      <w:bookmarkStart w:id="3" w:name="_heading=h.2et92p0" w:colFirst="0" w:colLast="0"/>
      <w:bookmarkEnd w:id="3"/>
      <w:r w:rsidRPr="00F22FA8">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CUARTA SESIÓN ORDINARIA CELEBRADA EL VEINTICINCO DE SEPTIEMBRE DE DOS MIL </w:t>
      </w:r>
      <w:r w:rsidRPr="00F22FA8">
        <w:rPr>
          <w:rFonts w:ascii="Palatino Linotype" w:eastAsia="Palatino Linotype" w:hAnsi="Palatino Linotype" w:cs="Palatino Linotype"/>
          <w:sz w:val="22"/>
          <w:szCs w:val="22"/>
        </w:rPr>
        <w:lastRenderedPageBreak/>
        <w:t xml:space="preserve">VEINTICUATRO, ANTE EL SECRETARIO TÉCNICO DEL PLENO ALEXIS TAPIA RAMÍREZ.                              </w:t>
      </w:r>
    </w:p>
    <w:p w14:paraId="4AB4E584" w14:textId="77777777" w:rsidR="00F776E5" w:rsidRPr="00F22FA8" w:rsidRDefault="00F776E5">
      <w:pPr>
        <w:spacing w:line="360" w:lineRule="auto"/>
        <w:jc w:val="both"/>
        <w:rPr>
          <w:rFonts w:ascii="Palatino Linotype" w:eastAsia="Palatino Linotype" w:hAnsi="Palatino Linotype" w:cs="Palatino Linotype"/>
          <w:sz w:val="22"/>
          <w:szCs w:val="22"/>
        </w:rPr>
      </w:pPr>
    </w:p>
    <w:sectPr w:rsidR="00F776E5" w:rsidRPr="00F22FA8">
      <w:headerReference w:type="first" r:id="rId30"/>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84DF9" w14:textId="77777777" w:rsidR="006F3BB4" w:rsidRDefault="006F3BB4">
      <w:r>
        <w:separator/>
      </w:r>
    </w:p>
  </w:endnote>
  <w:endnote w:type="continuationSeparator" w:id="0">
    <w:p w14:paraId="7760E3D5" w14:textId="77777777" w:rsidR="006F3BB4" w:rsidRDefault="006F3B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auto"/>
    <w:notTrueType/>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126AB" w14:textId="77777777" w:rsidR="00F776E5" w:rsidRDefault="00395CBC">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F22FA8">
      <w:rPr>
        <w:rFonts w:ascii="Arial" w:eastAsia="Arial" w:hAnsi="Arial" w:cs="Arial"/>
        <w:b/>
        <w:noProof/>
        <w:color w:val="000000"/>
        <w:sz w:val="20"/>
        <w:szCs w:val="20"/>
      </w:rPr>
      <w:t>33</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F22FA8">
      <w:rPr>
        <w:rFonts w:ascii="Arial" w:eastAsia="Arial" w:hAnsi="Arial" w:cs="Arial"/>
        <w:b/>
        <w:noProof/>
        <w:color w:val="000000"/>
        <w:sz w:val="20"/>
        <w:szCs w:val="20"/>
      </w:rPr>
      <w:t>35</w:t>
    </w:r>
    <w:r>
      <w:rPr>
        <w:rFonts w:ascii="Arial" w:eastAsia="Arial" w:hAnsi="Arial" w:cs="Arial"/>
        <w:b/>
        <w:color w:val="000000"/>
        <w:sz w:val="20"/>
        <w:szCs w:val="20"/>
      </w:rPr>
      <w:fldChar w:fldCharType="end"/>
    </w:r>
  </w:p>
  <w:p w14:paraId="55354EB4" w14:textId="77777777" w:rsidR="00F776E5" w:rsidRDefault="00F776E5">
    <w:pPr>
      <w:pBdr>
        <w:top w:val="nil"/>
        <w:left w:val="nil"/>
        <w:bottom w:val="nil"/>
        <w:right w:val="nil"/>
        <w:between w:val="nil"/>
      </w:pBdr>
      <w:tabs>
        <w:tab w:val="center" w:pos="4252"/>
        <w:tab w:val="right" w:pos="8504"/>
      </w:tabs>
      <w:rPr>
        <w:color w:val="000000"/>
      </w:rPr>
    </w:pPr>
  </w:p>
  <w:p w14:paraId="79192E66" w14:textId="77777777" w:rsidR="00F776E5" w:rsidRDefault="00F776E5">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674A2" w14:textId="77777777" w:rsidR="00F776E5" w:rsidRDefault="00395CBC">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F22FA8">
      <w:rPr>
        <w:rFonts w:ascii="Arial" w:eastAsia="Arial" w:hAnsi="Arial" w:cs="Arial"/>
        <w:b/>
        <w:noProof/>
        <w:color w:val="000000"/>
        <w:sz w:val="20"/>
        <w:szCs w:val="20"/>
      </w:rPr>
      <w:t>35</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F22FA8">
      <w:rPr>
        <w:rFonts w:ascii="Arial" w:eastAsia="Arial" w:hAnsi="Arial" w:cs="Arial"/>
        <w:b/>
        <w:noProof/>
        <w:color w:val="000000"/>
        <w:sz w:val="20"/>
        <w:szCs w:val="20"/>
      </w:rPr>
      <w:t>35</w:t>
    </w:r>
    <w:r>
      <w:rPr>
        <w:rFonts w:ascii="Arial" w:eastAsia="Arial" w:hAnsi="Arial" w:cs="Arial"/>
        <w:b/>
        <w:color w:val="000000"/>
        <w:sz w:val="20"/>
        <w:szCs w:val="20"/>
      </w:rPr>
      <w:fldChar w:fldCharType="end"/>
    </w:r>
  </w:p>
  <w:p w14:paraId="33F51556" w14:textId="77777777" w:rsidR="00F776E5" w:rsidRDefault="00F776E5">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3B17F" w14:textId="77777777" w:rsidR="006F3BB4" w:rsidRDefault="006F3BB4">
      <w:r>
        <w:separator/>
      </w:r>
    </w:p>
  </w:footnote>
  <w:footnote w:type="continuationSeparator" w:id="0">
    <w:p w14:paraId="7EEAECCA" w14:textId="77777777" w:rsidR="006F3BB4" w:rsidRDefault="006F3B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8CF91" w14:textId="77777777" w:rsidR="00F776E5" w:rsidRDefault="00395CBC">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67512BE9" wp14:editId="300E879A">
          <wp:simplePos x="0" y="0"/>
          <wp:positionH relativeFrom="column">
            <wp:posOffset>-638173</wp:posOffset>
          </wp:positionH>
          <wp:positionV relativeFrom="paragraph">
            <wp:posOffset>-450213</wp:posOffset>
          </wp:positionV>
          <wp:extent cx="7809876" cy="10165823"/>
          <wp:effectExtent l="0" t="0" r="0" b="0"/>
          <wp:wrapNone/>
          <wp:docPr id="200992404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3"/>
      <w:tblW w:w="5528" w:type="dxa"/>
      <w:tblInd w:w="3261" w:type="dxa"/>
      <w:tblLayout w:type="fixed"/>
      <w:tblLook w:val="0400" w:firstRow="0" w:lastRow="0" w:firstColumn="0" w:lastColumn="0" w:noHBand="0" w:noVBand="1"/>
    </w:tblPr>
    <w:tblGrid>
      <w:gridCol w:w="2551"/>
      <w:gridCol w:w="2977"/>
    </w:tblGrid>
    <w:tr w:rsidR="00F776E5" w14:paraId="1AB48245" w14:textId="77777777">
      <w:tc>
        <w:tcPr>
          <w:tcW w:w="2551" w:type="dxa"/>
          <w:vAlign w:val="center"/>
        </w:tcPr>
        <w:p w14:paraId="098FCB1D" w14:textId="77777777" w:rsidR="00F776E5" w:rsidRDefault="00395CB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6C6FDE6A" w14:textId="77777777" w:rsidR="00F776E5" w:rsidRDefault="00395CB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04139/INFOEM/IP/RR/2024</w:t>
          </w:r>
        </w:p>
      </w:tc>
    </w:tr>
    <w:tr w:rsidR="00F776E5" w14:paraId="6F278F9B" w14:textId="77777777">
      <w:trPr>
        <w:trHeight w:val="228"/>
      </w:trPr>
      <w:tc>
        <w:tcPr>
          <w:tcW w:w="2551" w:type="dxa"/>
          <w:vAlign w:val="center"/>
        </w:tcPr>
        <w:p w14:paraId="19F64AFD" w14:textId="77777777" w:rsidR="00F776E5" w:rsidRDefault="00395CB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18A78F0C" w14:textId="77777777" w:rsidR="00F776E5" w:rsidRDefault="00395CB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Movilidad</w:t>
          </w:r>
        </w:p>
      </w:tc>
    </w:tr>
    <w:tr w:rsidR="00F776E5" w14:paraId="7483F7A4" w14:textId="77777777">
      <w:tc>
        <w:tcPr>
          <w:tcW w:w="2551" w:type="dxa"/>
          <w:vAlign w:val="center"/>
        </w:tcPr>
        <w:p w14:paraId="5BBD1BC0" w14:textId="77777777" w:rsidR="00F776E5" w:rsidRDefault="00395CB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00DE8AEB" w14:textId="77777777" w:rsidR="00F776E5" w:rsidRDefault="00395CBC">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5C0371C" w14:textId="77777777" w:rsidR="00F776E5" w:rsidRDefault="00395CBC">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605BB" w14:textId="77777777" w:rsidR="00F776E5" w:rsidRDefault="00395CBC">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3874DF62" wp14:editId="76AA9488">
          <wp:simplePos x="0" y="0"/>
          <wp:positionH relativeFrom="column">
            <wp:posOffset>-798191</wp:posOffset>
          </wp:positionH>
          <wp:positionV relativeFrom="paragraph">
            <wp:posOffset>-399411</wp:posOffset>
          </wp:positionV>
          <wp:extent cx="7809876" cy="10165823"/>
          <wp:effectExtent l="0" t="0" r="0" b="0"/>
          <wp:wrapNone/>
          <wp:docPr id="200992404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4"/>
      <w:tblW w:w="5670" w:type="dxa"/>
      <w:tblInd w:w="3119" w:type="dxa"/>
      <w:tblLayout w:type="fixed"/>
      <w:tblLook w:val="0400" w:firstRow="0" w:lastRow="0" w:firstColumn="0" w:lastColumn="0" w:noHBand="0" w:noVBand="1"/>
    </w:tblPr>
    <w:tblGrid>
      <w:gridCol w:w="2551"/>
      <w:gridCol w:w="3119"/>
    </w:tblGrid>
    <w:tr w:rsidR="00F776E5" w14:paraId="7BE4CD72" w14:textId="77777777">
      <w:tc>
        <w:tcPr>
          <w:tcW w:w="2551" w:type="dxa"/>
          <w:vAlign w:val="center"/>
        </w:tcPr>
        <w:p w14:paraId="7F169F9C" w14:textId="77777777" w:rsidR="00F776E5" w:rsidRDefault="00395CB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21F62B38" w14:textId="77777777" w:rsidR="00F776E5" w:rsidRDefault="00395CB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04139/INFOEM/IP/RR/2024 </w:t>
          </w:r>
        </w:p>
      </w:tc>
    </w:tr>
    <w:tr w:rsidR="00F776E5" w14:paraId="5B957AF0" w14:textId="77777777">
      <w:tc>
        <w:tcPr>
          <w:tcW w:w="2551" w:type="dxa"/>
          <w:vAlign w:val="center"/>
        </w:tcPr>
        <w:p w14:paraId="13AA80E8" w14:textId="77777777" w:rsidR="00F776E5" w:rsidRDefault="00395CBC">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0F200CBD" w14:textId="77777777" w:rsidR="00F776E5" w:rsidRDefault="00F776E5">
          <w:pPr>
            <w:ind w:right="-533"/>
            <w:jc w:val="both"/>
            <w:rPr>
              <w:rFonts w:ascii="Palatino Linotype" w:eastAsia="Palatino Linotype" w:hAnsi="Palatino Linotype" w:cs="Palatino Linotype"/>
              <w:b/>
              <w:sz w:val="22"/>
              <w:szCs w:val="22"/>
            </w:rPr>
          </w:pPr>
        </w:p>
      </w:tc>
    </w:tr>
    <w:tr w:rsidR="00F776E5" w14:paraId="1F483167" w14:textId="77777777">
      <w:trPr>
        <w:trHeight w:val="228"/>
      </w:trPr>
      <w:tc>
        <w:tcPr>
          <w:tcW w:w="2551" w:type="dxa"/>
          <w:vAlign w:val="center"/>
        </w:tcPr>
        <w:p w14:paraId="109A1F95" w14:textId="77777777" w:rsidR="00F776E5" w:rsidRDefault="00395CB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03BA5B2B" w14:textId="77777777" w:rsidR="00F776E5" w:rsidRDefault="00395CBC">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Movilidad</w:t>
          </w:r>
        </w:p>
      </w:tc>
    </w:tr>
    <w:tr w:rsidR="00F776E5" w14:paraId="012980CB" w14:textId="77777777">
      <w:tc>
        <w:tcPr>
          <w:tcW w:w="2551" w:type="dxa"/>
          <w:vAlign w:val="center"/>
        </w:tcPr>
        <w:p w14:paraId="2F9BF969" w14:textId="77777777" w:rsidR="00F776E5" w:rsidRDefault="00395CB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0DBC0571" w14:textId="77777777" w:rsidR="00F776E5" w:rsidRDefault="00395CBC">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03E9CD3" w14:textId="77777777" w:rsidR="00F776E5" w:rsidRDefault="00F776E5">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7BDF3" w14:textId="77777777" w:rsidR="00F776E5" w:rsidRDefault="00F776E5">
    <w:pPr>
      <w:pBdr>
        <w:top w:val="nil"/>
        <w:left w:val="nil"/>
        <w:bottom w:val="nil"/>
        <w:right w:val="nil"/>
        <w:between w:val="nil"/>
      </w:pBdr>
      <w:tabs>
        <w:tab w:val="center" w:pos="4252"/>
        <w:tab w:val="right" w:pos="8504"/>
      </w:tabs>
      <w:jc w:val="both"/>
      <w:rPr>
        <w:rFonts w:ascii="Calibri" w:eastAsia="Calibri" w:hAnsi="Calibri" w:cs="Calibri"/>
        <w:color w:val="000000"/>
      </w:rPr>
    </w:pPr>
  </w:p>
  <w:p w14:paraId="3D1EDAE9" w14:textId="77777777" w:rsidR="00F776E5" w:rsidRDefault="00F776E5">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B4BA8"/>
    <w:multiLevelType w:val="multilevel"/>
    <w:tmpl w:val="4C46B11E"/>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39839C0"/>
    <w:multiLevelType w:val="multilevel"/>
    <w:tmpl w:val="7A801EB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3494452A"/>
    <w:multiLevelType w:val="multilevel"/>
    <w:tmpl w:val="2FD8CF34"/>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3" w15:restartNumberingAfterBreak="0">
    <w:nsid w:val="368C49A1"/>
    <w:multiLevelType w:val="multilevel"/>
    <w:tmpl w:val="C504CD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FB6774C"/>
    <w:multiLevelType w:val="multilevel"/>
    <w:tmpl w:val="E3340190"/>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27F408B"/>
    <w:multiLevelType w:val="multilevel"/>
    <w:tmpl w:val="B70CD5BA"/>
    <w:lvl w:ilvl="0">
      <w:start w:val="7"/>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4A83B4D"/>
    <w:multiLevelType w:val="multilevel"/>
    <w:tmpl w:val="6C36DA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4C150EC"/>
    <w:multiLevelType w:val="multilevel"/>
    <w:tmpl w:val="7BBC4B40"/>
    <w:lvl w:ilvl="0">
      <w:start w:val="5"/>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1"/>
  </w:num>
  <w:num w:numId="3">
    <w:abstractNumId w:val="6"/>
  </w:num>
  <w:num w:numId="4">
    <w:abstractNumId w:val="5"/>
  </w:num>
  <w:num w:numId="5">
    <w:abstractNumId w:val="7"/>
  </w:num>
  <w:num w:numId="6">
    <w:abstractNumId w:val="3"/>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76E5"/>
    <w:rsid w:val="00034D1E"/>
    <w:rsid w:val="00395CBC"/>
    <w:rsid w:val="006F3BB4"/>
    <w:rsid w:val="006F4EB7"/>
    <w:rsid w:val="008A4508"/>
    <w:rsid w:val="00C2522D"/>
    <w:rsid w:val="00F22FA8"/>
    <w:rsid w:val="00F776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52F84"/>
  <w15:docId w15:val="{18B099D7-FB51-4430-A46A-BC200A042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631"/>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108" w:type="dxa"/>
        <w:right w:w="108"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4"/>
    <w:tblPr>
      <w:tblStyleRowBandSize w:val="1"/>
      <w:tblStyleColBandSize w:val="1"/>
      <w:tblCellMar>
        <w:left w:w="108" w:type="dxa"/>
        <w:right w:w="108" w:type="dxa"/>
      </w:tblCellMar>
    </w:tblPr>
  </w:style>
  <w:style w:type="table" w:customStyle="1" w:styleId="a3">
    <w:basedOn w:val="TableNormal4"/>
    <w:tblPr>
      <w:tblStyleRowBandSize w:val="1"/>
      <w:tblStyleColBandSize w:val="1"/>
      <w:tblCellMar>
        <w:left w:w="108" w:type="dxa"/>
        <w:right w:w="108" w:type="dxa"/>
      </w:tblCellMar>
    </w:tblPr>
  </w:style>
  <w:style w:type="table" w:customStyle="1" w:styleId="a4">
    <w:basedOn w:val="TableNormal4"/>
    <w:tblPr>
      <w:tblStyleRowBandSize w:val="1"/>
      <w:tblStyleColBandSize w:val="1"/>
      <w:tblCellMar>
        <w:left w:w="108" w:type="dxa"/>
        <w:right w:w="108" w:type="dxa"/>
      </w:tblCellMar>
    </w:tblPr>
  </w:style>
  <w:style w:type="table" w:customStyle="1" w:styleId="a5">
    <w:basedOn w:val="TableNormal4"/>
    <w:tblPr>
      <w:tblStyleRowBandSize w:val="1"/>
      <w:tblStyleColBandSize w:val="1"/>
      <w:tblCellMar>
        <w:left w:w="108" w:type="dxa"/>
        <w:right w:w="108" w:type="dxa"/>
      </w:tblCellMar>
    </w:tblPr>
  </w:style>
  <w:style w:type="table" w:customStyle="1" w:styleId="a6">
    <w:basedOn w:val="TableNormal4"/>
    <w:tblPr>
      <w:tblStyleRowBandSize w:val="1"/>
      <w:tblStyleColBandSize w:val="1"/>
      <w:tblCellMar>
        <w:left w:w="108" w:type="dxa"/>
        <w:right w:w="108" w:type="dxa"/>
      </w:tblCellMar>
    </w:tblPr>
  </w:style>
  <w:style w:type="table" w:customStyle="1" w:styleId="a7">
    <w:basedOn w:val="TableNormal4"/>
    <w:tblPr>
      <w:tblStyleRowBandSize w:val="1"/>
      <w:tblStyleColBandSize w:val="1"/>
      <w:tblCellMar>
        <w:left w:w="108" w:type="dxa"/>
        <w:right w:w="108" w:type="dxa"/>
      </w:tblCellMar>
    </w:tblPr>
  </w:style>
  <w:style w:type="table" w:customStyle="1" w:styleId="a8">
    <w:basedOn w:val="TableNormal4"/>
    <w:tblPr>
      <w:tblStyleRowBandSize w:val="1"/>
      <w:tblStyleColBandSize w:val="1"/>
      <w:tblCellMar>
        <w:left w:w="108" w:type="dxa"/>
        <w:right w:w="108" w:type="dxa"/>
      </w:tblCellMar>
    </w:tblPr>
  </w:style>
  <w:style w:type="table" w:customStyle="1" w:styleId="a9">
    <w:basedOn w:val="TableNormal4"/>
    <w:tblPr>
      <w:tblStyleRowBandSize w:val="1"/>
      <w:tblStyleColBandSize w:val="1"/>
      <w:tblCellMar>
        <w:left w:w="115" w:type="dxa"/>
        <w:right w:w="115" w:type="dxa"/>
      </w:tblCellMar>
    </w:tbl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4"/>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qFormat/>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7"/>
      </w:numPr>
      <w:contextualSpacing/>
    </w:pPr>
    <w:rPr>
      <w:lang w:val="es-MX" w:eastAsia="es-MX"/>
    </w:rPr>
  </w:style>
  <w:style w:type="paragraph" w:styleId="Listaconvietas">
    <w:name w:val="List Bullet"/>
    <w:basedOn w:val="Normal"/>
    <w:uiPriority w:val="99"/>
    <w:unhideWhenUsed/>
    <w:rsid w:val="00E6231A"/>
    <w:pPr>
      <w:tabs>
        <w:tab w:val="num" w:pos="720"/>
      </w:tabs>
      <w:ind w:left="720" w:hanging="720"/>
      <w:contextualSpacing/>
    </w:pPr>
    <w:rPr>
      <w:lang w:val="es-MX" w:eastAsia="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2"/>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movilidad.edomex.gob.mx/mejora_regulatoria" TargetMode="Externa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hyperlink" Target="https://smovilidad.edomex.gob.mx/mejora_regulatoria" TargetMode="Externa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movilidad.edomex.gob.mx/mejora_regulatoria"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nvI5sHen2AAMJUyz9dnKqCfmnA==">CgMxLjAyCWguM3pueXNoNzIIaC5namRneHMyCWguMzBqMHpsbDIJaC4yZXQ5MnAwOAByITFYRWZzNEZYSlJwdU5CdHFVRWd1ZEFVcmkyRzdncHhlWQ==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35</Pages>
  <Words>5994</Words>
  <Characters>32968</Characters>
  <Application>Microsoft Office Word</Application>
  <DocSecurity>0</DocSecurity>
  <Lines>274</Lines>
  <Paragraphs>77</Paragraphs>
  <ScaleCrop>false</ScaleCrop>
  <Company>HP Inc.</Company>
  <LinksUpToDate>false</LinksUpToDate>
  <CharactersWithSpaces>38885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Villagómez Martínez</cp:lastModifiedBy>
  <cp:revision>2</cp:revision>
  <cp:lastPrinted>2024-09-27T16:59:00Z</cp:lastPrinted>
  <dcterms:created xsi:type="dcterms:W3CDTF">2024-10-04T20:12:00Z</dcterms:created>
  <dcterms:modified xsi:type="dcterms:W3CDTF">2024-10-04T20:12:00Z</dcterms:modified>
</cp:coreProperties>
</file>