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A773" w14:textId="77777777" w:rsidR="003B1BD3" w:rsidRDefault="00EC4FBA">
      <w:pPr>
        <w:tabs>
          <w:tab w:val="left" w:pos="0"/>
        </w:tabs>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2345EB">
        <w:rPr>
          <w:rFonts w:ascii="Palatino Linotype" w:eastAsia="Palatino Linotype" w:hAnsi="Palatino Linotype" w:cs="Palatino Linotype"/>
        </w:rPr>
        <w:t>seis</w:t>
      </w:r>
      <w:r>
        <w:rPr>
          <w:rFonts w:ascii="Palatino Linotype" w:eastAsia="Palatino Linotype" w:hAnsi="Palatino Linotype" w:cs="Palatino Linotype"/>
        </w:rPr>
        <w:t xml:space="preserve"> (</w:t>
      </w:r>
      <w:r w:rsidR="002345EB">
        <w:rPr>
          <w:rFonts w:ascii="Palatino Linotype" w:eastAsia="Palatino Linotype" w:hAnsi="Palatino Linotype" w:cs="Palatino Linotype"/>
        </w:rPr>
        <w:t>06</w:t>
      </w:r>
      <w:r>
        <w:rPr>
          <w:rFonts w:ascii="Palatino Linotype" w:eastAsia="Palatino Linotype" w:hAnsi="Palatino Linotype" w:cs="Palatino Linotype"/>
        </w:rPr>
        <w:t xml:space="preserve">) de </w:t>
      </w:r>
      <w:r w:rsidR="002345EB">
        <w:rPr>
          <w:rFonts w:ascii="Palatino Linotype" w:eastAsia="Palatino Linotype" w:hAnsi="Palatino Linotype" w:cs="Palatino Linotype"/>
        </w:rPr>
        <w:t xml:space="preserve">noviembre </w:t>
      </w:r>
      <w:r>
        <w:rPr>
          <w:rFonts w:ascii="Palatino Linotype" w:eastAsia="Palatino Linotype" w:hAnsi="Palatino Linotype" w:cs="Palatino Linotype"/>
        </w:rPr>
        <w:t xml:space="preserve">de dos mil veinticuatro. </w:t>
      </w:r>
    </w:p>
    <w:p w14:paraId="6565CF27" w14:textId="77777777" w:rsidR="003B1BD3" w:rsidRDefault="003B1BD3">
      <w:pPr>
        <w:tabs>
          <w:tab w:val="left" w:pos="0"/>
        </w:tabs>
        <w:spacing w:line="360" w:lineRule="auto"/>
        <w:ind w:right="-734"/>
        <w:jc w:val="both"/>
        <w:rPr>
          <w:rFonts w:ascii="Palatino Linotype" w:eastAsia="Palatino Linotype" w:hAnsi="Palatino Linotype" w:cs="Palatino Linotype"/>
        </w:rPr>
      </w:pPr>
    </w:p>
    <w:p w14:paraId="0DC8E5FC" w14:textId="79000277" w:rsidR="003B1BD3" w:rsidRDefault="00EC4FBA">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00423/INFOEM/IP/RR/2024, </w:t>
      </w:r>
      <w:r>
        <w:rPr>
          <w:rFonts w:ascii="Palatino Linotype" w:eastAsia="Palatino Linotype" w:hAnsi="Palatino Linotype" w:cs="Palatino Linotype"/>
        </w:rPr>
        <w:t xml:space="preserve">promovido por un usuario que se registró como </w:t>
      </w:r>
      <w:r w:rsidR="003A505B">
        <w:rPr>
          <w:rFonts w:ascii="Palatino Linotype" w:eastAsia="Palatino Linotype" w:hAnsi="Palatino Linotype" w:cs="Palatino Linotype"/>
          <w:b/>
        </w:rPr>
        <w:t xml:space="preserve">XXX </w:t>
      </w:r>
      <w:proofErr w:type="spellStart"/>
      <w:r w:rsidR="003A505B">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a quien en lo sucesivo se le identificara como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Valle de Chalco Solidaridad,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 </w:t>
      </w:r>
      <w:r>
        <w:rPr>
          <w:rFonts w:ascii="Palatino Linotype" w:eastAsia="Palatino Linotype" w:hAnsi="Palatino Linotype" w:cs="Palatino Linotype"/>
        </w:rPr>
        <w:t xml:space="preserve">se procede a dictar la presente resolución, con base en los siguientes: </w:t>
      </w:r>
    </w:p>
    <w:p w14:paraId="6F2BADB7" w14:textId="77777777" w:rsidR="003B1BD3" w:rsidRDefault="003B1BD3">
      <w:pPr>
        <w:spacing w:line="360" w:lineRule="auto"/>
        <w:ind w:right="-734"/>
        <w:jc w:val="both"/>
        <w:rPr>
          <w:rFonts w:ascii="Palatino Linotype" w:eastAsia="Palatino Linotype" w:hAnsi="Palatino Linotype" w:cs="Palatino Linotype"/>
        </w:rPr>
      </w:pPr>
    </w:p>
    <w:p w14:paraId="79B43605" w14:textId="77777777" w:rsidR="003B1BD3" w:rsidRDefault="00EC4FBA">
      <w:pPr>
        <w:keepNext/>
        <w:keepLines/>
        <w:tabs>
          <w:tab w:val="left" w:pos="0"/>
        </w:tabs>
        <w:spacing w:line="360" w:lineRule="auto"/>
        <w:ind w:right="-734"/>
        <w:jc w:val="center"/>
        <w:rPr>
          <w:rFonts w:ascii="Palatino Linotype" w:eastAsia="Palatino Linotype" w:hAnsi="Palatino Linotype" w:cs="Palatino Linotype"/>
          <w:b/>
        </w:rPr>
      </w:pPr>
      <w:r>
        <w:rPr>
          <w:rFonts w:ascii="Palatino Linotype" w:eastAsia="Palatino Linotype" w:hAnsi="Palatino Linotype" w:cs="Palatino Linotype"/>
          <w:b/>
        </w:rPr>
        <w:t>A N T E C E D E N T E S</w:t>
      </w:r>
    </w:p>
    <w:p w14:paraId="1189576E" w14:textId="77777777" w:rsidR="003B1BD3" w:rsidRDefault="003B1BD3">
      <w:pPr>
        <w:keepNext/>
        <w:keepLines/>
        <w:tabs>
          <w:tab w:val="left" w:pos="0"/>
        </w:tabs>
        <w:spacing w:line="360" w:lineRule="auto"/>
        <w:ind w:right="-734"/>
        <w:jc w:val="center"/>
        <w:rPr>
          <w:rFonts w:ascii="Palatino Linotype" w:eastAsia="Palatino Linotype" w:hAnsi="Palatino Linotype" w:cs="Palatino Linotype"/>
          <w:b/>
        </w:rPr>
      </w:pPr>
    </w:p>
    <w:p w14:paraId="5CEBC2F1" w14:textId="77777777" w:rsidR="003B1BD3" w:rsidRDefault="00EC4FBA">
      <w:pPr>
        <w:numPr>
          <w:ilvl w:val="0"/>
          <w:numId w:val="1"/>
        </w:numPr>
        <w:tabs>
          <w:tab w:val="left" w:pos="0"/>
        </w:tabs>
        <w:spacing w:line="360" w:lineRule="auto"/>
        <w:ind w:left="0" w:right="-734" w:firstLine="0"/>
        <w:jc w:val="both"/>
      </w:pPr>
      <w:r>
        <w:rPr>
          <w:rFonts w:ascii="Palatino Linotype" w:eastAsia="Palatino Linotype" w:hAnsi="Palatino Linotype" w:cs="Palatino Linotype"/>
        </w:rPr>
        <w:t>El primero (01) de diciembre de dos mil veintitrés, el</w:t>
      </w:r>
      <w:r>
        <w:rPr>
          <w:rFonts w:ascii="Palatino Linotype" w:eastAsia="Palatino Linotype" w:hAnsi="Palatino Linotype" w:cs="Palatino Linotype"/>
          <w:b/>
        </w:rPr>
        <w:t xml:space="preserve"> </w:t>
      </w:r>
      <w:proofErr w:type="gramStart"/>
      <w:r>
        <w:rPr>
          <w:rFonts w:ascii="Palatino Linotype" w:eastAsia="Palatino Linotype" w:hAnsi="Palatino Linotype" w:cs="Palatino Linotype"/>
        </w:rPr>
        <w:t>solicitante</w:t>
      </w:r>
      <w:r>
        <w:rPr>
          <w:rFonts w:ascii="Palatino Linotype" w:eastAsia="Palatino Linotype" w:hAnsi="Palatino Linotype" w:cs="Palatino Linotype"/>
          <w:b/>
        </w:rPr>
        <w:t xml:space="preserve">  </w:t>
      </w:r>
      <w:r>
        <w:rPr>
          <w:rFonts w:ascii="Palatino Linotype" w:eastAsia="Palatino Linotype" w:hAnsi="Palatino Linotype" w:cs="Palatino Linotype"/>
        </w:rPr>
        <w:t>presentó</w:t>
      </w:r>
      <w:proofErr w:type="gramEnd"/>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del Sistema de Acceso a la Información Mexiquense (SAIMEX), la solicitud de información pública registrada con el número </w:t>
      </w:r>
      <w:r>
        <w:rPr>
          <w:rFonts w:ascii="Palatino Linotype" w:eastAsia="Palatino Linotype" w:hAnsi="Palatino Linotype" w:cs="Palatino Linotype"/>
          <w:b/>
        </w:rPr>
        <w:t> 00512/VACHASO/IP/2023</w:t>
      </w:r>
      <w:r>
        <w:rPr>
          <w:rFonts w:ascii="Palatino Linotype" w:eastAsia="Palatino Linotype" w:hAnsi="Palatino Linotype" w:cs="Palatino Linotype"/>
        </w:rPr>
        <w:t>, en la que se solicitó:</w:t>
      </w:r>
    </w:p>
    <w:p w14:paraId="5BA2894A" w14:textId="77777777" w:rsidR="003B1BD3" w:rsidRDefault="003B1BD3">
      <w:pPr>
        <w:tabs>
          <w:tab w:val="left" w:pos="0"/>
        </w:tabs>
        <w:spacing w:line="360" w:lineRule="auto"/>
        <w:ind w:left="360" w:right="-734"/>
        <w:jc w:val="both"/>
        <w:rPr>
          <w:rFonts w:ascii="Palatino Linotype" w:eastAsia="Palatino Linotype" w:hAnsi="Palatino Linotype" w:cs="Palatino Linotype"/>
        </w:rPr>
      </w:pPr>
    </w:p>
    <w:p w14:paraId="0579D1C0" w14:textId="77777777" w:rsidR="003B1BD3" w:rsidRDefault="00EC4FBA">
      <w:pPr>
        <w:tabs>
          <w:tab w:val="left" w:pos="0"/>
        </w:tabs>
        <w:spacing w:line="276" w:lineRule="auto"/>
        <w:ind w:left="567" w:right="-734"/>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color w:val="000000"/>
        </w:rPr>
        <w:t>Con fundamento jurídico en el artículo 6 de la Constitución Política de los Estados Unidos Mexicanos y del artículo 5 de la Constitución Política del Estado Libre y Soberano de México que tutelan el derecho de acceso a la información pública, así como del artículo 23, Fracción IV, Capítulo II de la Ley de Transparencia y Acceso a la Información Pública del Estado de México y Municipios, tenemos a bien solicitar: a). Monto gastado en la Feria de Valle de Chalco-Xico versión 2023. b). Contratos de los artistas que se presentaron en la Feria de Valle de Chalco-Xico versión 2023. c). Monto recaudado por la venta de boletos para ingresar a la Feria de Valle de Chalco-Xico versión 2023, desglosado por cada día en atención a que los precios variaron según el artista que se presentaba. Agradecemos su pronta respuesta.</w:t>
      </w:r>
      <w:r>
        <w:rPr>
          <w:rFonts w:ascii="Palatino Linotype" w:eastAsia="Palatino Linotype" w:hAnsi="Palatino Linotype" w:cs="Palatino Linotype"/>
          <w:i/>
        </w:rPr>
        <w:t>” (Sic)</w:t>
      </w:r>
    </w:p>
    <w:p w14:paraId="2D705B83" w14:textId="77777777" w:rsidR="003B1BD3" w:rsidRDefault="003B1BD3">
      <w:pPr>
        <w:tabs>
          <w:tab w:val="left" w:pos="0"/>
        </w:tabs>
        <w:spacing w:line="360" w:lineRule="auto"/>
        <w:ind w:left="567" w:right="-734"/>
        <w:jc w:val="both"/>
        <w:rPr>
          <w:rFonts w:ascii="Palatino Linotype" w:eastAsia="Palatino Linotype" w:hAnsi="Palatino Linotype" w:cs="Palatino Linotype"/>
          <w:i/>
        </w:rPr>
      </w:pPr>
    </w:p>
    <w:p w14:paraId="4A73833C"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lastRenderedPageBreak/>
        <w:t>Se hace constar que se señaló como modalidad de entrega de la información a través de SAIMEX.</w:t>
      </w:r>
      <w:r>
        <w:rPr>
          <w:rFonts w:ascii="Palatino Linotype" w:eastAsia="Palatino Linotype" w:hAnsi="Palatino Linotype" w:cs="Palatino Linotype"/>
          <w:b/>
          <w:color w:val="000000"/>
        </w:rPr>
        <w:t xml:space="preserve">  </w:t>
      </w:r>
    </w:p>
    <w:p w14:paraId="4C7E7C0C" w14:textId="77777777" w:rsidR="003B1BD3" w:rsidRDefault="003B1BD3">
      <w:pPr>
        <w:tabs>
          <w:tab w:val="left" w:pos="0"/>
        </w:tabs>
        <w:spacing w:line="360" w:lineRule="auto"/>
        <w:ind w:right="-734"/>
        <w:jc w:val="both"/>
        <w:rPr>
          <w:rFonts w:ascii="Palatino Linotype" w:eastAsia="Palatino Linotype" w:hAnsi="Palatino Linotype" w:cs="Palatino Linotype"/>
          <w:b/>
        </w:rPr>
      </w:pPr>
    </w:p>
    <w:p w14:paraId="2B69BDBD" w14:textId="77777777" w:rsidR="003B1BD3" w:rsidRDefault="00EC4FBA">
      <w:pPr>
        <w:numPr>
          <w:ilvl w:val="0"/>
          <w:numId w:val="1"/>
        </w:numPr>
        <w:tabs>
          <w:tab w:val="left" w:pos="0"/>
        </w:tabs>
        <w:spacing w:line="360" w:lineRule="auto"/>
        <w:ind w:left="0" w:right="-734" w:firstLine="0"/>
        <w:jc w:val="both"/>
        <w:rPr>
          <w:rFonts w:ascii="Palatino Linotype" w:eastAsia="Palatino Linotype" w:hAnsi="Palatino Linotype" w:cs="Palatino Linotype"/>
          <w:b/>
        </w:rPr>
      </w:pPr>
      <w:proofErr w:type="gramStart"/>
      <w:r>
        <w:rPr>
          <w:rFonts w:ascii="Palatino Linotype" w:eastAsia="Palatino Linotype" w:hAnsi="Palatino Linotype" w:cs="Palatino Linotype"/>
        </w:rPr>
        <w:t>El  dos</w:t>
      </w:r>
      <w:proofErr w:type="gramEnd"/>
      <w:r>
        <w:rPr>
          <w:rFonts w:ascii="Palatino Linotype" w:eastAsia="Palatino Linotype" w:hAnsi="Palatino Linotype" w:cs="Palatino Linotype"/>
        </w:rPr>
        <w:t xml:space="preserve"> (02) de diciembre de dos mil veintitrés, se realizó un requerimiento al servidor público habilitado</w:t>
      </w:r>
      <w:r>
        <w:rPr>
          <w:rFonts w:ascii="Palatino Linotype" w:eastAsia="Palatino Linotype" w:hAnsi="Palatino Linotype" w:cs="Palatino Linotype"/>
          <w:b/>
        </w:rPr>
        <w:t xml:space="preserve">. </w:t>
      </w:r>
    </w:p>
    <w:p w14:paraId="12A0CC49" w14:textId="77777777" w:rsidR="003B1BD3" w:rsidRDefault="003B1BD3">
      <w:pPr>
        <w:pBdr>
          <w:top w:val="nil"/>
          <w:left w:val="nil"/>
          <w:bottom w:val="nil"/>
          <w:right w:val="nil"/>
          <w:between w:val="nil"/>
        </w:pBdr>
        <w:ind w:right="-734"/>
        <w:rPr>
          <w:rFonts w:ascii="Palatino Linotype" w:eastAsia="Palatino Linotype" w:hAnsi="Palatino Linotype" w:cs="Palatino Linotype"/>
          <w:color w:val="000000"/>
        </w:rPr>
      </w:pPr>
    </w:p>
    <w:p w14:paraId="3DC9D114" w14:textId="77777777" w:rsidR="003B1BD3" w:rsidRDefault="00EC4FBA">
      <w:pPr>
        <w:numPr>
          <w:ilvl w:val="0"/>
          <w:numId w:val="1"/>
        </w:numPr>
        <w:tabs>
          <w:tab w:val="left" w:pos="0"/>
        </w:tabs>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El treinta y uno (31</w:t>
      </w:r>
      <w:proofErr w:type="gramStart"/>
      <w:r>
        <w:rPr>
          <w:rFonts w:ascii="Palatino Linotype" w:eastAsia="Palatino Linotype" w:hAnsi="Palatino Linotype" w:cs="Palatino Linotype"/>
        </w:rPr>
        <w:t>)  de</w:t>
      </w:r>
      <w:proofErr w:type="gramEnd"/>
      <w:r>
        <w:rPr>
          <w:rFonts w:ascii="Palatino Linotype" w:eastAsia="Palatino Linotype" w:hAnsi="Palatino Linotype" w:cs="Palatino Linotype"/>
        </w:rPr>
        <w:t xml:space="preserve"> enero de dos mil veinticuatro,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dio respuesta a la solicitud en el siguiente sentido:</w:t>
      </w:r>
    </w:p>
    <w:p w14:paraId="0266CDD4" w14:textId="77777777" w:rsidR="003B1BD3" w:rsidRDefault="003B1BD3">
      <w:pPr>
        <w:tabs>
          <w:tab w:val="left" w:pos="0"/>
        </w:tabs>
        <w:spacing w:line="360" w:lineRule="auto"/>
        <w:ind w:right="-734"/>
        <w:jc w:val="both"/>
        <w:rPr>
          <w:rFonts w:ascii="Palatino Linotype" w:eastAsia="Palatino Linotype" w:hAnsi="Palatino Linotype" w:cs="Palatino Linotype"/>
          <w:b/>
        </w:rPr>
      </w:pPr>
    </w:p>
    <w:tbl>
      <w:tblPr>
        <w:tblStyle w:val="a"/>
        <w:tblW w:w="8024" w:type="dxa"/>
        <w:jc w:val="center"/>
        <w:tblInd w:w="0" w:type="dxa"/>
        <w:tblLayout w:type="fixed"/>
        <w:tblLook w:val="0400" w:firstRow="0" w:lastRow="0" w:firstColumn="0" w:lastColumn="0" w:noHBand="0" w:noVBand="1"/>
      </w:tblPr>
      <w:tblGrid>
        <w:gridCol w:w="8024"/>
      </w:tblGrid>
      <w:tr w:rsidR="003B1BD3" w14:paraId="4C41A1D0" w14:textId="77777777">
        <w:trPr>
          <w:trHeight w:val="291"/>
          <w:jc w:val="center"/>
        </w:trPr>
        <w:tc>
          <w:tcPr>
            <w:tcW w:w="8024" w:type="dxa"/>
            <w:vAlign w:val="center"/>
          </w:tcPr>
          <w:p w14:paraId="3CF2DE29" w14:textId="77777777" w:rsidR="003B1BD3" w:rsidRDefault="00EC4FBA">
            <w:pPr>
              <w:spacing w:line="276" w:lineRule="auto"/>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Valle de Chalco Solidaridad, México a 31 de </w:t>
            </w:r>
            <w:proofErr w:type="gramStart"/>
            <w:r>
              <w:rPr>
                <w:rFonts w:ascii="Palatino Linotype" w:eastAsia="Palatino Linotype" w:hAnsi="Palatino Linotype" w:cs="Palatino Linotype"/>
                <w:i/>
                <w:sz w:val="22"/>
                <w:szCs w:val="22"/>
              </w:rPr>
              <w:t>Enero</w:t>
            </w:r>
            <w:proofErr w:type="gramEnd"/>
            <w:r>
              <w:rPr>
                <w:rFonts w:ascii="Palatino Linotype" w:eastAsia="Palatino Linotype" w:hAnsi="Palatino Linotype" w:cs="Palatino Linotype"/>
                <w:i/>
                <w:sz w:val="22"/>
                <w:szCs w:val="22"/>
              </w:rPr>
              <w:t xml:space="preserve"> de 2024</w:t>
            </w:r>
          </w:p>
        </w:tc>
      </w:tr>
      <w:tr w:rsidR="003B1BD3" w14:paraId="76FA070B" w14:textId="77777777">
        <w:trPr>
          <w:trHeight w:val="291"/>
          <w:jc w:val="center"/>
        </w:trPr>
        <w:tc>
          <w:tcPr>
            <w:tcW w:w="8024" w:type="dxa"/>
            <w:vAlign w:val="center"/>
          </w:tcPr>
          <w:p w14:paraId="0CE98E05" w14:textId="77777777" w:rsidR="003B1BD3" w:rsidRDefault="00EC4FBA">
            <w:pPr>
              <w:spacing w:line="276" w:lineRule="auto"/>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3B1BD3" w14:paraId="52B6CF0A" w14:textId="77777777">
        <w:trPr>
          <w:trHeight w:val="291"/>
          <w:jc w:val="center"/>
        </w:trPr>
        <w:tc>
          <w:tcPr>
            <w:tcW w:w="8024" w:type="dxa"/>
            <w:vAlign w:val="center"/>
          </w:tcPr>
          <w:p w14:paraId="70ED17CC" w14:textId="77777777" w:rsidR="003B1BD3" w:rsidRDefault="00EC4FBA">
            <w:pPr>
              <w:spacing w:line="276" w:lineRule="auto"/>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00512/VACHASO/IP/2023</w:t>
            </w:r>
          </w:p>
        </w:tc>
      </w:tr>
      <w:tr w:rsidR="003B1BD3" w14:paraId="6C3CB4BA" w14:textId="77777777">
        <w:trPr>
          <w:trHeight w:val="437"/>
          <w:jc w:val="center"/>
        </w:trPr>
        <w:tc>
          <w:tcPr>
            <w:tcW w:w="8024" w:type="dxa"/>
            <w:vAlign w:val="center"/>
          </w:tcPr>
          <w:p w14:paraId="4A319C0E" w14:textId="77777777" w:rsidR="003B1BD3" w:rsidRDefault="003B1BD3">
            <w:pPr>
              <w:spacing w:line="276" w:lineRule="auto"/>
              <w:ind w:right="-734"/>
              <w:jc w:val="right"/>
              <w:rPr>
                <w:rFonts w:ascii="Palatino Linotype" w:eastAsia="Palatino Linotype" w:hAnsi="Palatino Linotype" w:cs="Palatino Linotype"/>
                <w:i/>
                <w:sz w:val="22"/>
                <w:szCs w:val="22"/>
              </w:rPr>
            </w:pPr>
          </w:p>
        </w:tc>
      </w:tr>
      <w:tr w:rsidR="003B1BD3" w14:paraId="209FAC37" w14:textId="77777777">
        <w:trPr>
          <w:trHeight w:val="145"/>
          <w:jc w:val="center"/>
        </w:trPr>
        <w:tc>
          <w:tcPr>
            <w:tcW w:w="8024" w:type="dxa"/>
            <w:vAlign w:val="center"/>
          </w:tcPr>
          <w:p w14:paraId="6FEE3622" w14:textId="77777777" w:rsidR="003B1BD3" w:rsidRDefault="00EC4FBA">
            <w:pPr>
              <w:spacing w:line="276" w:lineRule="auto"/>
              <w:ind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3B1BD3" w14:paraId="65018353" w14:textId="77777777">
        <w:trPr>
          <w:trHeight w:val="364"/>
          <w:jc w:val="center"/>
        </w:trPr>
        <w:tc>
          <w:tcPr>
            <w:tcW w:w="8024" w:type="dxa"/>
            <w:vAlign w:val="center"/>
          </w:tcPr>
          <w:p w14:paraId="289E892E" w14:textId="77777777" w:rsidR="003B1BD3" w:rsidRDefault="003B1BD3">
            <w:pPr>
              <w:spacing w:line="276" w:lineRule="auto"/>
              <w:ind w:right="-734"/>
              <w:jc w:val="both"/>
              <w:rPr>
                <w:rFonts w:ascii="Palatino Linotype" w:eastAsia="Palatino Linotype" w:hAnsi="Palatino Linotype" w:cs="Palatino Linotype"/>
                <w:i/>
                <w:sz w:val="22"/>
                <w:szCs w:val="22"/>
              </w:rPr>
            </w:pPr>
          </w:p>
        </w:tc>
      </w:tr>
      <w:tr w:rsidR="003B1BD3" w14:paraId="5E83B1E8" w14:textId="77777777">
        <w:trPr>
          <w:trHeight w:val="145"/>
          <w:jc w:val="center"/>
        </w:trPr>
        <w:tc>
          <w:tcPr>
            <w:tcW w:w="8024" w:type="dxa"/>
            <w:vAlign w:val="center"/>
          </w:tcPr>
          <w:p w14:paraId="0617EA49" w14:textId="77777777" w:rsidR="003B1BD3" w:rsidRDefault="00EC4FBA">
            <w:pPr>
              <w:spacing w:line="276" w:lineRule="auto"/>
              <w:ind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Por medio de la presente reciba un cordial saludo, así mismo con fundamento en el artículo 1.8 del Código Administrativo del Estado de México vigente, articulo 47 y 51 fracción XVI y 143 fracción VI, VII Y VIII del Bando Municipal 2023 de Valle de Chalco Solidaridad, derivado de la solicitud con número de folio 512/VACHASO/IP/2023, hecha en la plataforma del Sistema de Acceso a la Información Mexiquense SAIMEX, misma que refiere; Sic.“ Con fundamento jurídico en el artículo 6 de la Constitución Política de los Estados Unidos Mexicanos y del artículo 5 de la Constitución Política del Estado Libre y Soberano de México que tutelan el derecho de acceso a la información pública, así como del artículo 23, Fracción IV, Capítulo II de la Ley de Transparencia y Acceso a la Información Pública del Estado de México y Municipios, tenemos a bien solicitar: a). Monto gastado en la Feria de Valle de Chalco-Xico versión 2023. b). Contratos de los artistas que se presentaron en la Feria de Valle de Chalco-Xico versión 2023. c). Monto recaudado por la venta de boletos para ingresar a la Feria de Valle de Chalco-Xico versión 2023, desglosado por cada día en atención a que los precios variaron según el artista que se presentaba. Agradecemos su pronta respuesta.” Respecto </w:t>
            </w:r>
            <w:r>
              <w:rPr>
                <w:rFonts w:ascii="Palatino Linotype" w:eastAsia="Palatino Linotype" w:hAnsi="Palatino Linotype" w:cs="Palatino Linotype"/>
                <w:i/>
                <w:sz w:val="22"/>
                <w:szCs w:val="22"/>
              </w:rPr>
              <w:lastRenderedPageBreak/>
              <w:t xml:space="preserve">del inciso a), indico a usted, que de acuerdo al artículo 11 de la Ley de Transparencia y Acceso a la Información Pública del Estado de México y Municipios, este sujeto obligado se encuentra en proceso de integración del expediente correspondiente, para generar la información y así mismo la publicación en las obligaciones comunes de acuerdo al artículo 92 Fracción XXIX de la ley en materia, para garantizar que la entrega de información sea accesible, actualizada, y completa, congruente, confiable, verificable, veraz, integral, oportuna y expedita, sujeta a un claro régimen de excepciones que deberá estar definido y ser además legítima y estrictamente necesaria en una sociedad democrática, así mismo el sujeto obligado </w:t>
            </w:r>
            <w:proofErr w:type="spellStart"/>
            <w:r>
              <w:rPr>
                <w:rFonts w:ascii="Palatino Linotype" w:eastAsia="Palatino Linotype" w:hAnsi="Palatino Linotype" w:cs="Palatino Linotype"/>
                <w:i/>
                <w:sz w:val="22"/>
                <w:szCs w:val="22"/>
              </w:rPr>
              <w:t>esta</w:t>
            </w:r>
            <w:proofErr w:type="spellEnd"/>
            <w:r>
              <w:rPr>
                <w:rFonts w:ascii="Palatino Linotype" w:eastAsia="Palatino Linotype" w:hAnsi="Palatino Linotype" w:cs="Palatino Linotype"/>
                <w:i/>
                <w:sz w:val="22"/>
                <w:szCs w:val="22"/>
              </w:rPr>
              <w:t xml:space="preserve"> en los tiempos que determinan la Ley de Fiscalización Superior del Estado de México; toda vez que a efecto de comprobar la aplicación de recursos se apega a las disposiciones legales, administrativas, presupuestales, financieras y de planeación aplicables, reiterando que una vez concluido será publicado en las obligaciones comunes de este sujeto obligado así mismo se refrenda que en apego al artículo 344 de Código Financiero del Estado de México, indica que una vez hechas las obligaciones financieras todo registro contable y presupuestal deberá estar soportado con los documentos comprobatorios originales o en medios electrónicos. Sin más por el momento, quedo de Usted. A t e n t a m e n t e Lic. David Moisés Guzmán Flores. En apego a lo dispuesto en los artículos 4, 23 fracción IV, artículo 12, artículo 24 fracción IV, XII, XIV, articulo 28 y articulo 59 de la ley de transparencia y acceso a la información pública del Estado de México y Municipios y en cumplimiento a la solicitud 00512/VACHASO/IP/2023, registrada en el Sistema de acceso a la información mexiquense (SAIMEX), que a la letra dice: “Con fundamento jurídico en el artículo 6 de la Constitución Política de los Estados Unidos Mexicanos y del artículo 5 de la Constitución Política del Estado Libre y Soberano de México que tutelan el derecho de acceso a la información pública, así como del artículo 23, Fracción IV, Capítulo II de la Ley de Transparencia y Acceso a la Información Pública del Estado de México y Municipios, tenemos a bien solicitar: a). Monto gastado en la Feria de Valle de Chalco-Xico versión 2023. b). Contratos de los artistas que se presentaron en la Feria de Valle de Chalco-Xico versión 2023. c). Monto recaudado por la venta de boletos para ingresar a la Feria de Valle de Chalco-Xico versión 2023, desglosado por cada día en atención a que los precios variaron según el artista que se presentaba. Agradecemos su pronta respuesta.” En respuesta a los incisos a) y b), informo a usted, que de acuerdo al artículo 11 de la Ley de Transparencia y Acceso a la Información Pública del Estado de México y Municipios, este sujeto obligado se encuentra en espera del expediente correspondiente, para generar la información y así mismo la publicación en las obligaciones comunes de acuerdo al artículo 92 Fracción XXIX de la ley en materia, para garantizar que la entrega de información sea accesible, actualizada, y completa, congruente, confiable, verificable, veraz, integral, oportuna y expedita, sujeta a un claro régimen de excepciones que deberá estar definido y ser además legítima y estrictamente necesaria en </w:t>
            </w:r>
            <w:r>
              <w:rPr>
                <w:rFonts w:ascii="Palatino Linotype" w:eastAsia="Palatino Linotype" w:hAnsi="Palatino Linotype" w:cs="Palatino Linotype"/>
                <w:i/>
                <w:sz w:val="22"/>
                <w:szCs w:val="22"/>
              </w:rPr>
              <w:lastRenderedPageBreak/>
              <w:t xml:space="preserve">una sociedad democrática, así mismo el sujeto obligado </w:t>
            </w:r>
            <w:proofErr w:type="spellStart"/>
            <w:r>
              <w:rPr>
                <w:rFonts w:ascii="Palatino Linotype" w:eastAsia="Palatino Linotype" w:hAnsi="Palatino Linotype" w:cs="Palatino Linotype"/>
                <w:i/>
                <w:sz w:val="22"/>
                <w:szCs w:val="22"/>
              </w:rPr>
              <w:t>esta</w:t>
            </w:r>
            <w:proofErr w:type="spellEnd"/>
            <w:r>
              <w:rPr>
                <w:rFonts w:ascii="Palatino Linotype" w:eastAsia="Palatino Linotype" w:hAnsi="Palatino Linotype" w:cs="Palatino Linotype"/>
                <w:i/>
                <w:sz w:val="22"/>
                <w:szCs w:val="22"/>
              </w:rPr>
              <w:t xml:space="preserve"> en los tiempos que determinan la Ley de Fiscalización Superior del Estado de México; toda vez que a efecto de comprobar la aplicación de recursos se apega a las disposiciones legales, administrativas, presupuestales, financieras y de planeación aplicables, reiterando que una vez concluido será publicado en las obligaciones comunes de este sujeto obligado así mismo se refrenda que en apego al artículo 344 de Código Financiero del Estado de México, indica que una vez hechas las obligaciones financieras todo registro contable y presupuestal deberá estar soportado con los documentos comprobatorios originales o en medios electrónicos. Sin otro particular por el momento quedo atento a sus órdenes.</w:t>
            </w:r>
          </w:p>
        </w:tc>
      </w:tr>
      <w:tr w:rsidR="003B1BD3" w14:paraId="0EBBE9B5" w14:textId="77777777">
        <w:trPr>
          <w:trHeight w:val="364"/>
          <w:jc w:val="center"/>
        </w:trPr>
        <w:tc>
          <w:tcPr>
            <w:tcW w:w="8024" w:type="dxa"/>
            <w:vAlign w:val="center"/>
          </w:tcPr>
          <w:p w14:paraId="7D4D04BE" w14:textId="77777777" w:rsidR="003B1BD3" w:rsidRDefault="003B1BD3">
            <w:pPr>
              <w:spacing w:line="276" w:lineRule="auto"/>
              <w:ind w:right="-734"/>
              <w:rPr>
                <w:rFonts w:ascii="Palatino Linotype" w:eastAsia="Palatino Linotype" w:hAnsi="Palatino Linotype" w:cs="Palatino Linotype"/>
                <w:i/>
                <w:sz w:val="22"/>
                <w:szCs w:val="22"/>
              </w:rPr>
            </w:pPr>
          </w:p>
        </w:tc>
      </w:tr>
      <w:tr w:rsidR="003B1BD3" w14:paraId="06DE308E" w14:textId="77777777">
        <w:trPr>
          <w:trHeight w:val="145"/>
          <w:jc w:val="center"/>
        </w:trPr>
        <w:tc>
          <w:tcPr>
            <w:tcW w:w="8024" w:type="dxa"/>
            <w:vAlign w:val="center"/>
          </w:tcPr>
          <w:p w14:paraId="5A0181D2" w14:textId="77777777" w:rsidR="003B1BD3" w:rsidRDefault="003B1BD3">
            <w:pPr>
              <w:spacing w:line="276" w:lineRule="auto"/>
              <w:ind w:right="-734"/>
              <w:jc w:val="center"/>
              <w:rPr>
                <w:rFonts w:ascii="Palatino Linotype" w:eastAsia="Palatino Linotype" w:hAnsi="Palatino Linotype" w:cs="Palatino Linotype"/>
                <w:i/>
                <w:sz w:val="22"/>
                <w:szCs w:val="22"/>
              </w:rPr>
            </w:pPr>
          </w:p>
        </w:tc>
      </w:tr>
      <w:tr w:rsidR="003B1BD3" w14:paraId="40EBC6B5" w14:textId="77777777">
        <w:trPr>
          <w:trHeight w:val="145"/>
          <w:jc w:val="center"/>
        </w:trPr>
        <w:tc>
          <w:tcPr>
            <w:tcW w:w="8024" w:type="dxa"/>
            <w:vAlign w:val="center"/>
          </w:tcPr>
          <w:p w14:paraId="14F97435" w14:textId="77777777" w:rsidR="003B1BD3" w:rsidRDefault="003B1BD3">
            <w:pPr>
              <w:spacing w:line="276" w:lineRule="auto"/>
              <w:ind w:right="-734"/>
              <w:rPr>
                <w:rFonts w:ascii="Palatino Linotype" w:eastAsia="Palatino Linotype" w:hAnsi="Palatino Linotype" w:cs="Palatino Linotype"/>
                <w:i/>
                <w:sz w:val="22"/>
                <w:szCs w:val="22"/>
              </w:rPr>
            </w:pPr>
          </w:p>
        </w:tc>
      </w:tr>
      <w:tr w:rsidR="003B1BD3" w14:paraId="2B3F0BA7" w14:textId="77777777">
        <w:trPr>
          <w:trHeight w:val="145"/>
          <w:jc w:val="center"/>
        </w:trPr>
        <w:tc>
          <w:tcPr>
            <w:tcW w:w="8024" w:type="dxa"/>
            <w:vAlign w:val="center"/>
          </w:tcPr>
          <w:p w14:paraId="3032E319" w14:textId="77777777" w:rsidR="003B1BD3" w:rsidRDefault="00EC4FBA">
            <w:pPr>
              <w:spacing w:line="276" w:lineRule="auto"/>
              <w:ind w:right="-734"/>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3B1BD3" w14:paraId="487FB567" w14:textId="77777777">
        <w:trPr>
          <w:trHeight w:val="218"/>
          <w:jc w:val="center"/>
        </w:trPr>
        <w:tc>
          <w:tcPr>
            <w:tcW w:w="8024" w:type="dxa"/>
            <w:vAlign w:val="center"/>
          </w:tcPr>
          <w:p w14:paraId="2CAEC9C7" w14:textId="77777777" w:rsidR="003B1BD3" w:rsidRDefault="003B1BD3">
            <w:pPr>
              <w:spacing w:line="276" w:lineRule="auto"/>
              <w:ind w:right="-734"/>
              <w:rPr>
                <w:rFonts w:ascii="Palatino Linotype" w:eastAsia="Palatino Linotype" w:hAnsi="Palatino Linotype" w:cs="Palatino Linotype"/>
                <w:i/>
                <w:sz w:val="22"/>
                <w:szCs w:val="22"/>
              </w:rPr>
            </w:pPr>
          </w:p>
        </w:tc>
      </w:tr>
      <w:tr w:rsidR="003B1BD3" w14:paraId="67E84E56" w14:textId="77777777">
        <w:trPr>
          <w:trHeight w:val="145"/>
          <w:jc w:val="center"/>
        </w:trPr>
        <w:tc>
          <w:tcPr>
            <w:tcW w:w="8024" w:type="dxa"/>
            <w:vAlign w:val="center"/>
          </w:tcPr>
          <w:p w14:paraId="665F0FA6" w14:textId="77777777" w:rsidR="003B1BD3" w:rsidRDefault="00EC4FBA">
            <w:pPr>
              <w:spacing w:line="276" w:lineRule="auto"/>
              <w:ind w:right="-734"/>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 EN D. VALENTÍN GARCÍA RAMIRÉZ</w:t>
            </w:r>
          </w:p>
        </w:tc>
      </w:tr>
    </w:tbl>
    <w:p w14:paraId="56121CD2" w14:textId="77777777" w:rsidR="003B1BD3" w:rsidRDefault="003B1BD3">
      <w:pPr>
        <w:tabs>
          <w:tab w:val="left" w:pos="0"/>
        </w:tabs>
        <w:spacing w:line="360" w:lineRule="auto"/>
        <w:ind w:right="-734"/>
        <w:jc w:val="both"/>
        <w:rPr>
          <w:rFonts w:ascii="Palatino Linotype" w:eastAsia="Palatino Linotype" w:hAnsi="Palatino Linotype" w:cs="Palatino Linotype"/>
          <w:b/>
        </w:rPr>
      </w:pPr>
    </w:p>
    <w:p w14:paraId="0FE88D7E" w14:textId="77777777" w:rsidR="003B1BD3" w:rsidRDefault="003B1BD3">
      <w:pPr>
        <w:tabs>
          <w:tab w:val="left" w:pos="0"/>
        </w:tabs>
        <w:spacing w:line="360" w:lineRule="auto"/>
        <w:ind w:right="-734"/>
        <w:rPr>
          <w:rFonts w:ascii="Palatino Linotype" w:eastAsia="Palatino Linotype" w:hAnsi="Palatino Linotype" w:cs="Palatino Linotype"/>
        </w:rPr>
      </w:pPr>
    </w:p>
    <w:p w14:paraId="6788CF25" w14:textId="77777777" w:rsidR="003B1BD3" w:rsidRDefault="00EC4FBA">
      <w:pPr>
        <w:numPr>
          <w:ilvl w:val="0"/>
          <w:numId w:val="1"/>
        </w:numPr>
        <w:pBdr>
          <w:top w:val="nil"/>
          <w:left w:val="nil"/>
          <w:bottom w:val="nil"/>
          <w:right w:val="nil"/>
          <w:between w:val="nil"/>
        </w:pBdr>
        <w:tabs>
          <w:tab w:val="left" w:pos="0"/>
        </w:tabs>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treinta y uno (31) de enero de dos mil </w:t>
      </w:r>
      <w:proofErr w:type="gramStart"/>
      <w:r>
        <w:rPr>
          <w:rFonts w:ascii="Palatino Linotype" w:eastAsia="Palatino Linotype" w:hAnsi="Palatino Linotype" w:cs="Palatino Linotype"/>
          <w:color w:val="000000"/>
        </w:rPr>
        <w:t>veinticuatro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el</w:t>
      </w:r>
      <w:proofErr w:type="gramEnd"/>
      <w:r>
        <w:rPr>
          <w:rFonts w:ascii="Palatino Linotype" w:eastAsia="Palatino Linotype" w:hAnsi="Palatino Linotype" w:cs="Palatino Linotype"/>
          <w:color w:val="000000"/>
        </w:rPr>
        <w:t xml:space="preserve"> solicitante interpuso el recurso de revisión, señalando como:</w:t>
      </w:r>
    </w:p>
    <w:p w14:paraId="067FBD60" w14:textId="77777777" w:rsidR="003B1BD3" w:rsidRDefault="00EC4FBA">
      <w:pPr>
        <w:numPr>
          <w:ilvl w:val="0"/>
          <w:numId w:val="4"/>
        </w:numPr>
        <w:tabs>
          <w:tab w:val="left" w:pos="851"/>
          <w:tab w:val="left" w:pos="8222"/>
        </w:tabs>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w:t>
      </w:r>
      <w:r>
        <w:rPr>
          <w:rFonts w:ascii="Palatino Linotype" w:eastAsia="Palatino Linotype" w:hAnsi="Palatino Linotype" w:cs="Palatino Linotype"/>
          <w:i/>
          <w:color w:val="000000"/>
          <w:sz w:val="22"/>
          <w:szCs w:val="22"/>
        </w:rPr>
        <w:t>Negativa a la información.”</w:t>
      </w:r>
      <w:r>
        <w:rPr>
          <w:rFonts w:ascii="Palatino Linotype" w:eastAsia="Palatino Linotype" w:hAnsi="Palatino Linotype" w:cs="Palatino Linotype"/>
          <w:i/>
          <w:sz w:val="22"/>
          <w:szCs w:val="22"/>
        </w:rPr>
        <w:t xml:space="preserve"> (Sic) </w:t>
      </w:r>
    </w:p>
    <w:p w14:paraId="6D90B3CF" w14:textId="77777777" w:rsidR="003B1BD3" w:rsidRDefault="00EC4FBA">
      <w:pPr>
        <w:numPr>
          <w:ilvl w:val="0"/>
          <w:numId w:val="4"/>
        </w:numPr>
        <w:tabs>
          <w:tab w:val="left" w:pos="851"/>
        </w:tabs>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 “</w:t>
      </w:r>
      <w:r>
        <w:rPr>
          <w:rFonts w:ascii="Palatino Linotype" w:eastAsia="Palatino Linotype" w:hAnsi="Palatino Linotype" w:cs="Palatino Linotype"/>
          <w:i/>
          <w:sz w:val="22"/>
          <w:szCs w:val="22"/>
        </w:rPr>
        <w:t>Con base en el artículo 179, fracción I de la Ley de Transparencia Local que estipula: "El recurso de revisión es un medio de protección que la Ley otorga a los particulares, para hacer valer su derecho de acceso a la información pública, y procederá en contra de las siguientes causas: I. La negativa a la información solicitada" en este sentido solicitamos que el Sujeto Obligado entregue lo peticionado. También, solicitamos se apliquen las sanciones por la responsabilidad administrativa a que pudiera hacerse acreedor el Titular de la Unidad de Transparencia y/o quien resulte responsable, procediendo conforme lo señala la Ley de Transparencia Local.” (sic)</w:t>
      </w:r>
    </w:p>
    <w:p w14:paraId="634F0548" w14:textId="77777777" w:rsidR="003B1BD3" w:rsidRDefault="003B1BD3">
      <w:pPr>
        <w:tabs>
          <w:tab w:val="left" w:pos="851"/>
        </w:tabs>
        <w:spacing w:line="360" w:lineRule="auto"/>
        <w:ind w:right="-734"/>
        <w:jc w:val="both"/>
        <w:rPr>
          <w:rFonts w:ascii="Palatino Linotype" w:eastAsia="Palatino Linotype" w:hAnsi="Palatino Linotype" w:cs="Palatino Linotype"/>
          <w:i/>
        </w:rPr>
      </w:pPr>
    </w:p>
    <w:p w14:paraId="698A8960" w14:textId="77777777" w:rsidR="003B1BD3" w:rsidRDefault="00EC4FBA">
      <w:pPr>
        <w:numPr>
          <w:ilvl w:val="0"/>
          <w:numId w:val="1"/>
        </w:numPr>
        <w:spacing w:line="360" w:lineRule="auto"/>
        <w:ind w:left="0" w:right="-734" w:firstLine="0"/>
        <w:jc w:val="both"/>
        <w:rPr>
          <w:color w:val="000000"/>
        </w:rPr>
      </w:pPr>
      <w:r>
        <w:rPr>
          <w:rFonts w:ascii="Palatino Linotype" w:eastAsia="Palatino Linotype" w:hAnsi="Palatino Linotype" w:cs="Palatino Linotype"/>
        </w:rPr>
        <w:lastRenderedPageBreak/>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turna a la </w:t>
      </w:r>
      <w:r>
        <w:rPr>
          <w:rFonts w:ascii="Palatino Linotype" w:eastAsia="Palatino Linotype" w:hAnsi="Palatino Linotype" w:cs="Palatino Linotype"/>
          <w:b/>
        </w:rPr>
        <w:t>Comisionada María del Rosario Mejía Ayala,</w:t>
      </w:r>
      <w:r>
        <w:rPr>
          <w:rFonts w:ascii="Palatino Linotype" w:eastAsia="Palatino Linotype" w:hAnsi="Palatino Linotype" w:cs="Palatino Linotype"/>
        </w:rPr>
        <w:t xml:space="preserve"> para su análisis.</w:t>
      </w:r>
    </w:p>
    <w:p w14:paraId="02C50923" w14:textId="77777777" w:rsidR="003B1BD3" w:rsidRDefault="003B1BD3">
      <w:pPr>
        <w:spacing w:line="360" w:lineRule="auto"/>
        <w:ind w:left="360" w:right="-734"/>
        <w:jc w:val="both"/>
        <w:rPr>
          <w:rFonts w:ascii="Palatino Linotype" w:eastAsia="Palatino Linotype" w:hAnsi="Palatino Linotype" w:cs="Palatino Linotype"/>
        </w:rPr>
      </w:pPr>
    </w:p>
    <w:p w14:paraId="5BFC2E59" w14:textId="77777777" w:rsidR="003B1BD3" w:rsidRDefault="00EC4FBA">
      <w:pPr>
        <w:numPr>
          <w:ilvl w:val="0"/>
          <w:numId w:val="1"/>
        </w:numPr>
        <w:spacing w:line="360" w:lineRule="auto"/>
        <w:ind w:left="0" w:right="-734" w:firstLine="0"/>
        <w:jc w:val="both"/>
        <w:rPr>
          <w:color w:val="000000"/>
        </w:rPr>
      </w:pPr>
      <w:r>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seis (06) de febrero de dos mil veinticuatro, puso a disposición de las partes el expediente electrónico vía Sistema de Acceso a la Información Mexiquense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presentará el Informe Justificado procedente.  </w:t>
      </w:r>
    </w:p>
    <w:p w14:paraId="748AF3BC" w14:textId="77777777" w:rsidR="003B1BD3" w:rsidRDefault="003B1BD3">
      <w:pPr>
        <w:spacing w:line="360" w:lineRule="auto"/>
        <w:ind w:right="-734"/>
        <w:jc w:val="both"/>
        <w:rPr>
          <w:rFonts w:ascii="Palatino Linotype" w:eastAsia="Palatino Linotype" w:hAnsi="Palatino Linotype" w:cs="Palatino Linotype"/>
          <w:i/>
          <w:color w:val="000000"/>
        </w:rPr>
      </w:pPr>
    </w:p>
    <w:p w14:paraId="11B55741" w14:textId="77777777" w:rsidR="003B1BD3" w:rsidRDefault="00EC4FBA">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De las constancias que obran en el expediente electrónico SAIMEX, se advierte que el particular no realizó manifestaciones, ni ofreció pruebas o alegatos que a su derecho conviniera; por su parte, el Sujeto Obligado remitió informe justificado el ocho (08) de febrero de dos mil veinticuatro, el cual fue puesto a la vista del particular el ocho (08) de octubre de dos mil veinticuatro, y que consta de los archivos que se describen enseguida:</w:t>
      </w:r>
    </w:p>
    <w:p w14:paraId="74E11813" w14:textId="77777777" w:rsidR="003B1BD3" w:rsidRDefault="0047005C">
      <w:pPr>
        <w:numPr>
          <w:ilvl w:val="0"/>
          <w:numId w:val="3"/>
        </w:numPr>
        <w:pBdr>
          <w:top w:val="nil"/>
          <w:left w:val="nil"/>
          <w:bottom w:val="nil"/>
          <w:right w:val="nil"/>
          <w:between w:val="nil"/>
        </w:pBdr>
        <w:spacing w:line="360" w:lineRule="auto"/>
        <w:ind w:left="851" w:right="-25" w:firstLine="0"/>
        <w:jc w:val="both"/>
        <w:rPr>
          <w:rFonts w:ascii="Palatino Linotype" w:eastAsia="Palatino Linotype" w:hAnsi="Palatino Linotype" w:cs="Palatino Linotype"/>
          <w:color w:val="000000"/>
          <w:sz w:val="22"/>
          <w:szCs w:val="22"/>
        </w:rPr>
      </w:pPr>
      <w:hyperlink r:id="rId9">
        <w:r w:rsidR="00EC4FBA">
          <w:rPr>
            <w:rFonts w:ascii="Palatino Linotype" w:eastAsia="Palatino Linotype" w:hAnsi="Palatino Linotype" w:cs="Palatino Linotype"/>
            <w:b/>
            <w:color w:val="000000"/>
            <w:sz w:val="22"/>
            <w:szCs w:val="22"/>
            <w:u w:val="single"/>
          </w:rPr>
          <w:t>FERIA XICO CONTRATO redacted (2).pdf</w:t>
        </w:r>
      </w:hyperlink>
      <w:r w:rsidR="00EC4FBA">
        <w:rPr>
          <w:rFonts w:ascii="Palatino Linotype" w:eastAsia="Palatino Linotype" w:hAnsi="Palatino Linotype" w:cs="Palatino Linotype"/>
          <w:color w:val="000000"/>
          <w:sz w:val="22"/>
          <w:szCs w:val="22"/>
        </w:rPr>
        <w:t>: contrato de prestación de servicios Número VCHS-LPNP-PS-010-2023-01 “CONTRATACIÓN DEL SERVICIO INTEGRAL DE LOGÍSTICA PARA LA FERIA DE XICO 2023”.</w:t>
      </w:r>
      <w:r w:rsidR="00EC4FBA">
        <w:rPr>
          <w:rFonts w:ascii="Palatino Linotype" w:eastAsia="Palatino Linotype" w:hAnsi="Palatino Linotype" w:cs="Palatino Linotype"/>
          <w:b/>
          <w:color w:val="000000"/>
          <w:sz w:val="22"/>
          <w:szCs w:val="22"/>
          <w:u w:val="single"/>
        </w:rPr>
        <w:t xml:space="preserve"> </w:t>
      </w:r>
      <w:r w:rsidR="00EC4FBA">
        <w:rPr>
          <w:rFonts w:ascii="Palatino Linotype" w:eastAsia="Palatino Linotype" w:hAnsi="Palatino Linotype" w:cs="Palatino Linotype"/>
          <w:color w:val="000000"/>
          <w:sz w:val="22"/>
          <w:szCs w:val="22"/>
        </w:rPr>
        <w:t xml:space="preserve"> </w:t>
      </w:r>
    </w:p>
    <w:p w14:paraId="7A658B55" w14:textId="77777777" w:rsidR="003B1BD3" w:rsidRDefault="0047005C">
      <w:pPr>
        <w:numPr>
          <w:ilvl w:val="0"/>
          <w:numId w:val="3"/>
        </w:numPr>
        <w:pBdr>
          <w:top w:val="nil"/>
          <w:left w:val="nil"/>
          <w:bottom w:val="nil"/>
          <w:right w:val="nil"/>
          <w:between w:val="nil"/>
        </w:pBdr>
        <w:spacing w:line="360" w:lineRule="auto"/>
        <w:ind w:left="851" w:right="-25" w:firstLine="0"/>
        <w:jc w:val="both"/>
        <w:rPr>
          <w:rFonts w:ascii="Palatino Linotype" w:eastAsia="Palatino Linotype" w:hAnsi="Palatino Linotype" w:cs="Palatino Linotype"/>
          <w:color w:val="000000"/>
          <w:sz w:val="22"/>
          <w:szCs w:val="22"/>
        </w:rPr>
      </w:pPr>
      <w:hyperlink r:id="rId10">
        <w:r w:rsidR="00EC4FBA">
          <w:rPr>
            <w:rFonts w:ascii="Palatino Linotype" w:eastAsia="Palatino Linotype" w:hAnsi="Palatino Linotype" w:cs="Palatino Linotype"/>
            <w:b/>
            <w:color w:val="000000"/>
            <w:sz w:val="22"/>
            <w:szCs w:val="22"/>
            <w:u w:val="single"/>
          </w:rPr>
          <w:t>RR-0423-INFOEM-IP-RR-2024 SOL-00512 OFI.pdf</w:t>
        </w:r>
      </w:hyperlink>
      <w:r w:rsidR="00EC4FBA">
        <w:rPr>
          <w:rFonts w:ascii="Palatino Linotype" w:eastAsia="Palatino Linotype" w:hAnsi="Palatino Linotype" w:cs="Palatino Linotype"/>
          <w:color w:val="000000"/>
          <w:sz w:val="22"/>
          <w:szCs w:val="22"/>
        </w:rPr>
        <w:t xml:space="preserve">: oficio </w:t>
      </w:r>
      <w:r w:rsidR="00EC4FBA">
        <w:rPr>
          <w:rFonts w:ascii="Palatino Linotype" w:eastAsia="Palatino Linotype" w:hAnsi="Palatino Linotype" w:cs="Palatino Linotype"/>
          <w:color w:val="000000"/>
          <w:sz w:val="22"/>
          <w:szCs w:val="22"/>
        </w:rPr>
        <w:lastRenderedPageBreak/>
        <w:t xml:space="preserve">MVCHS/TM/DGRAL/ET/02/0564/2024 de fecha ocho de febrero de dos mil veinticuatro, suscrito por el Tesorero Municipal en el que señaló, de forma medular, que estaba en espera del expediente correspondiente para generar la información y así mismo su publicación en las obligaciones de transparencia común. </w:t>
      </w:r>
    </w:p>
    <w:p w14:paraId="249F3497" w14:textId="77777777" w:rsidR="003B1BD3" w:rsidRDefault="003B1BD3">
      <w:pPr>
        <w:pBdr>
          <w:top w:val="nil"/>
          <w:left w:val="nil"/>
          <w:bottom w:val="nil"/>
          <w:right w:val="nil"/>
          <w:between w:val="nil"/>
        </w:pBdr>
        <w:spacing w:line="360" w:lineRule="auto"/>
        <w:ind w:left="851" w:right="-734"/>
        <w:jc w:val="both"/>
        <w:rPr>
          <w:rFonts w:ascii="Palatino Linotype" w:eastAsia="Palatino Linotype" w:hAnsi="Palatino Linotype" w:cs="Palatino Linotype"/>
          <w:color w:val="000000"/>
        </w:rPr>
      </w:pPr>
    </w:p>
    <w:p w14:paraId="0AB15050" w14:textId="77777777" w:rsidR="003B1BD3" w:rsidRDefault="00EC4FBA">
      <w:pPr>
        <w:numPr>
          <w:ilvl w:val="0"/>
          <w:numId w:val="1"/>
        </w:numPr>
        <w:spacing w:line="360" w:lineRule="auto"/>
        <w:ind w:left="0" w:right="-734" w:firstLine="0"/>
        <w:jc w:val="both"/>
      </w:pPr>
      <w:r>
        <w:rPr>
          <w:rFonts w:ascii="Palatino Linotype" w:eastAsia="Palatino Linotype" w:hAnsi="Palatino Linotype" w:cs="Palatino Linotype"/>
        </w:rPr>
        <w:t xml:space="preserve">El quince (15) de marzo de dos mil veinticuatro, se notificó el acuerdo a través del cual se notificó la ampliación de plazo para emitir resolución. </w:t>
      </w:r>
    </w:p>
    <w:p w14:paraId="4F62BD2A" w14:textId="77777777" w:rsidR="003B1BD3" w:rsidRDefault="003B1BD3">
      <w:pPr>
        <w:spacing w:line="360" w:lineRule="auto"/>
        <w:ind w:left="360" w:right="-734"/>
        <w:jc w:val="both"/>
        <w:rPr>
          <w:rFonts w:ascii="Palatino Linotype" w:eastAsia="Palatino Linotype" w:hAnsi="Palatino Linotype" w:cs="Palatino Linotype"/>
        </w:rPr>
      </w:pPr>
    </w:p>
    <w:p w14:paraId="19FFE5A1" w14:textId="77777777" w:rsidR="003B1BD3" w:rsidRDefault="00EC4FBA">
      <w:pPr>
        <w:numPr>
          <w:ilvl w:val="0"/>
          <w:numId w:val="1"/>
        </w:numPr>
        <w:spacing w:line="360" w:lineRule="auto"/>
        <w:ind w:left="0" w:right="-734" w:firstLine="0"/>
        <w:jc w:val="both"/>
      </w:pPr>
      <w:r>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918FE26" w14:textId="77777777" w:rsidR="003B1BD3" w:rsidRDefault="003B1BD3">
      <w:pPr>
        <w:spacing w:line="360" w:lineRule="auto"/>
        <w:ind w:right="-734"/>
        <w:jc w:val="both"/>
        <w:rPr>
          <w:rFonts w:ascii="Palatino Linotype" w:eastAsia="Palatino Linotype" w:hAnsi="Palatino Linotype" w:cs="Palatino Linotype"/>
        </w:rPr>
      </w:pPr>
    </w:p>
    <w:p w14:paraId="1EDAB52C" w14:textId="77777777" w:rsidR="003B1BD3" w:rsidRDefault="00EC4FBA">
      <w:pPr>
        <w:numPr>
          <w:ilvl w:val="0"/>
          <w:numId w:val="1"/>
        </w:numPr>
        <w:spacing w:line="360" w:lineRule="auto"/>
        <w:ind w:left="0" w:right="-734" w:firstLine="0"/>
        <w:jc w:val="both"/>
      </w:pPr>
      <w:r>
        <w:rPr>
          <w:rFonts w:ascii="Palatino Linotype" w:eastAsia="Palatino Linotype" w:hAnsi="Palatino Linotype" w:cs="Palatino Linotype"/>
        </w:rPr>
        <w:t xml:space="preserve">Por ello, es menester precisar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76529C2" w14:textId="77777777" w:rsidR="003B1BD3" w:rsidRDefault="003B1BD3">
      <w:pPr>
        <w:pBdr>
          <w:top w:val="nil"/>
          <w:left w:val="nil"/>
          <w:bottom w:val="nil"/>
          <w:right w:val="nil"/>
          <w:between w:val="nil"/>
        </w:pBdr>
        <w:ind w:left="720" w:right="-734"/>
        <w:rPr>
          <w:rFonts w:ascii="Palatino Linotype" w:eastAsia="Palatino Linotype" w:hAnsi="Palatino Linotype" w:cs="Palatino Linotype"/>
          <w:color w:val="000000"/>
        </w:rPr>
      </w:pPr>
    </w:p>
    <w:p w14:paraId="0EFFC9FA" w14:textId="77777777" w:rsidR="003B1BD3" w:rsidRDefault="00EC4FBA">
      <w:pPr>
        <w:numPr>
          <w:ilvl w:val="0"/>
          <w:numId w:val="1"/>
        </w:numPr>
        <w:spacing w:line="360" w:lineRule="auto"/>
        <w:ind w:left="0" w:right="-734" w:firstLine="0"/>
        <w:jc w:val="both"/>
      </w:pPr>
      <w:r>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menor tiempo </w:t>
      </w:r>
      <w:r>
        <w:rPr>
          <w:rFonts w:ascii="Palatino Linotype" w:eastAsia="Palatino Linotype" w:hAnsi="Palatino Linotype" w:cs="Palatino Linotype"/>
        </w:rPr>
        <w:lastRenderedPageBreak/>
        <w:t>posible, tomando en consideración la dilación total del procedimiento; esto es, en un plazo razonable.</w:t>
      </w:r>
    </w:p>
    <w:p w14:paraId="05F42EC7" w14:textId="77777777" w:rsidR="003B1BD3" w:rsidRDefault="003B1BD3">
      <w:pPr>
        <w:pBdr>
          <w:top w:val="nil"/>
          <w:left w:val="nil"/>
          <w:bottom w:val="nil"/>
          <w:right w:val="nil"/>
          <w:between w:val="nil"/>
        </w:pBdr>
        <w:ind w:left="720" w:right="-734"/>
        <w:rPr>
          <w:rFonts w:ascii="Palatino Linotype" w:eastAsia="Palatino Linotype" w:hAnsi="Palatino Linotype" w:cs="Palatino Linotype"/>
          <w:color w:val="000000"/>
        </w:rPr>
      </w:pPr>
    </w:p>
    <w:p w14:paraId="03B32931" w14:textId="77777777" w:rsidR="003B1BD3" w:rsidRDefault="00EC4FBA">
      <w:pPr>
        <w:numPr>
          <w:ilvl w:val="0"/>
          <w:numId w:val="1"/>
        </w:numPr>
        <w:spacing w:line="360" w:lineRule="auto"/>
        <w:ind w:left="0" w:right="-734" w:firstLine="0"/>
        <w:jc w:val="both"/>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B3FE651" w14:textId="77777777" w:rsidR="003B1BD3" w:rsidRDefault="003B1BD3">
      <w:pPr>
        <w:pBdr>
          <w:top w:val="nil"/>
          <w:left w:val="nil"/>
          <w:bottom w:val="nil"/>
          <w:right w:val="nil"/>
          <w:between w:val="nil"/>
        </w:pBdr>
        <w:ind w:left="720" w:right="-734"/>
        <w:rPr>
          <w:rFonts w:ascii="Palatino Linotype" w:eastAsia="Palatino Linotype" w:hAnsi="Palatino Linotype" w:cs="Palatino Linotype"/>
          <w:color w:val="000000"/>
        </w:rPr>
      </w:pPr>
    </w:p>
    <w:p w14:paraId="2D7356AB" w14:textId="77777777" w:rsidR="003B1BD3" w:rsidRDefault="00EC4FBA">
      <w:pPr>
        <w:numPr>
          <w:ilvl w:val="0"/>
          <w:numId w:val="1"/>
        </w:numPr>
        <w:spacing w:line="360" w:lineRule="auto"/>
        <w:ind w:left="0" w:right="-734" w:firstLine="0"/>
        <w:jc w:val="both"/>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3CD09C2A" w14:textId="77777777" w:rsidR="003B1BD3" w:rsidRDefault="00EC4FBA" w:rsidP="002345EB">
      <w:pPr>
        <w:numPr>
          <w:ilvl w:val="0"/>
          <w:numId w:val="5"/>
        </w:numPr>
        <w:pBdr>
          <w:top w:val="nil"/>
          <w:left w:val="nil"/>
          <w:bottom w:val="nil"/>
          <w:right w:val="nil"/>
          <w:between w:val="nil"/>
        </w:pBdr>
        <w:spacing w:line="360" w:lineRule="auto"/>
        <w:ind w:right="25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2A03BA05" w14:textId="77777777" w:rsidR="003B1BD3" w:rsidRDefault="00EC4FBA" w:rsidP="002345EB">
      <w:pPr>
        <w:numPr>
          <w:ilvl w:val="0"/>
          <w:numId w:val="5"/>
        </w:numPr>
        <w:pBdr>
          <w:top w:val="nil"/>
          <w:left w:val="nil"/>
          <w:bottom w:val="nil"/>
          <w:right w:val="nil"/>
          <w:between w:val="nil"/>
        </w:pBdr>
        <w:spacing w:line="360" w:lineRule="auto"/>
        <w:ind w:right="25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6C042595" w14:textId="77777777" w:rsidR="003B1BD3" w:rsidRDefault="00EC4FBA" w:rsidP="002345EB">
      <w:pPr>
        <w:numPr>
          <w:ilvl w:val="0"/>
          <w:numId w:val="5"/>
        </w:numPr>
        <w:pBdr>
          <w:top w:val="nil"/>
          <w:left w:val="nil"/>
          <w:bottom w:val="nil"/>
          <w:right w:val="nil"/>
          <w:between w:val="nil"/>
        </w:pBdr>
        <w:spacing w:line="360" w:lineRule="auto"/>
        <w:ind w:right="25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7622C82D" w14:textId="77777777" w:rsidR="003B1BD3" w:rsidRDefault="00EC4FBA" w:rsidP="002345EB">
      <w:pPr>
        <w:spacing w:line="360" w:lineRule="auto"/>
        <w:ind w:left="567" w:right="25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2F665AB6" w14:textId="77777777" w:rsidR="003B1BD3" w:rsidRDefault="003B1BD3">
      <w:pPr>
        <w:spacing w:line="360" w:lineRule="auto"/>
        <w:ind w:right="-734"/>
        <w:rPr>
          <w:rFonts w:ascii="Palatino Linotype" w:eastAsia="Palatino Linotype" w:hAnsi="Palatino Linotype" w:cs="Palatino Linotype"/>
        </w:rPr>
      </w:pPr>
    </w:p>
    <w:p w14:paraId="04B2D568" w14:textId="77777777" w:rsidR="003B1BD3" w:rsidRDefault="00EC4FBA">
      <w:pPr>
        <w:numPr>
          <w:ilvl w:val="0"/>
          <w:numId w:val="1"/>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BB1AFBA" w14:textId="77777777" w:rsidR="003B1BD3" w:rsidRDefault="003B1BD3">
      <w:pPr>
        <w:spacing w:line="360" w:lineRule="auto"/>
        <w:ind w:right="-734"/>
        <w:jc w:val="both"/>
        <w:rPr>
          <w:rFonts w:ascii="Palatino Linotype" w:eastAsia="Palatino Linotype" w:hAnsi="Palatino Linotype" w:cs="Palatino Linotype"/>
          <w:b/>
        </w:rPr>
      </w:pPr>
    </w:p>
    <w:p w14:paraId="4AAF4E35" w14:textId="77777777" w:rsidR="003B1BD3" w:rsidRDefault="00EC4FBA">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del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Semanario Judicial de la Federación con el registro digital 205635.</w:t>
      </w:r>
    </w:p>
    <w:p w14:paraId="425826B6" w14:textId="77777777" w:rsidR="003B1BD3" w:rsidRDefault="00EC4FBA">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AD1FDB1" w14:textId="77777777" w:rsidR="003B1BD3" w:rsidRDefault="003B1BD3">
      <w:pPr>
        <w:spacing w:line="360" w:lineRule="auto"/>
        <w:ind w:right="-734"/>
        <w:rPr>
          <w:rFonts w:ascii="Palatino Linotype" w:eastAsia="Palatino Linotype" w:hAnsi="Palatino Linotype" w:cs="Palatino Linotype"/>
        </w:rPr>
      </w:pPr>
    </w:p>
    <w:p w14:paraId="74FE4684" w14:textId="77777777" w:rsidR="003B1BD3" w:rsidRDefault="00EC4FBA">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59E42046" w14:textId="77777777" w:rsidR="003B1BD3" w:rsidRDefault="003B1BD3">
      <w:pPr>
        <w:spacing w:line="360" w:lineRule="auto"/>
        <w:ind w:right="-734"/>
        <w:rPr>
          <w:rFonts w:ascii="Palatino Linotype" w:eastAsia="Palatino Linotype" w:hAnsi="Palatino Linotype" w:cs="Palatino Linotype"/>
        </w:rPr>
      </w:pPr>
    </w:p>
    <w:p w14:paraId="1FB7140B" w14:textId="77777777" w:rsidR="003B1BD3" w:rsidRDefault="00EC4FBA">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D88B214" w14:textId="77777777" w:rsidR="003B1BD3" w:rsidRDefault="00EC4FBA">
      <w:pPr>
        <w:spacing w:line="360" w:lineRule="auto"/>
        <w:ind w:left="851"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Semanario Judicial de la Federación y su gaceta, con el registro digital 2002351.</w:t>
      </w:r>
    </w:p>
    <w:p w14:paraId="10247911" w14:textId="77777777" w:rsidR="003B1BD3" w:rsidRDefault="003B1BD3">
      <w:pPr>
        <w:spacing w:line="360" w:lineRule="auto"/>
        <w:ind w:left="851" w:right="-25"/>
        <w:jc w:val="both"/>
        <w:rPr>
          <w:rFonts w:ascii="Palatino Linotype" w:eastAsia="Palatino Linotype" w:hAnsi="Palatino Linotype" w:cs="Palatino Linotype"/>
          <w:b/>
          <w:sz w:val="22"/>
          <w:szCs w:val="22"/>
        </w:rPr>
      </w:pPr>
    </w:p>
    <w:p w14:paraId="624545CF" w14:textId="77777777" w:rsidR="003B1BD3" w:rsidRDefault="00EC4FBA">
      <w:pPr>
        <w:spacing w:line="360" w:lineRule="auto"/>
        <w:ind w:left="851" w:right="-25"/>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Semanario Judicial de la Federación y su gaceta, con el registro digital 2002350.</w:t>
      </w:r>
    </w:p>
    <w:p w14:paraId="1693FEBA"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469FE7F5" w14:textId="77777777" w:rsidR="003B1BD3" w:rsidRDefault="003B1BD3">
      <w:pPr>
        <w:spacing w:line="360" w:lineRule="auto"/>
        <w:ind w:right="-734"/>
        <w:jc w:val="both"/>
        <w:rPr>
          <w:rFonts w:ascii="Palatino Linotype" w:eastAsia="Palatino Linotype" w:hAnsi="Palatino Linotype" w:cs="Palatino Linotype"/>
        </w:rPr>
      </w:pPr>
    </w:p>
    <w:p w14:paraId="7F92794B" w14:textId="77777777" w:rsidR="003B1BD3" w:rsidRDefault="00EC4FBA">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La Comisionada Ponente decretó el cierre de instrucción mediante acuerdo del veintidós (22) de octubre de dos mil veinticuatro, por lo que, ordenó turnar el expediente a resolución, misma que a continuación se pronuncia.</w:t>
      </w:r>
    </w:p>
    <w:p w14:paraId="3144238A" w14:textId="77777777" w:rsidR="003B1BD3" w:rsidRDefault="003B1BD3">
      <w:pPr>
        <w:spacing w:line="360" w:lineRule="auto"/>
        <w:ind w:right="-734"/>
        <w:jc w:val="both"/>
        <w:rPr>
          <w:rFonts w:ascii="Palatino Linotype" w:eastAsia="Palatino Linotype" w:hAnsi="Palatino Linotype" w:cs="Palatino Linotype"/>
          <w:b/>
        </w:rPr>
      </w:pPr>
    </w:p>
    <w:p w14:paraId="1E143130" w14:textId="77777777" w:rsidR="003B1BD3" w:rsidRDefault="00EC4FBA">
      <w:pPr>
        <w:keepNext/>
        <w:keepLines/>
        <w:spacing w:line="360" w:lineRule="auto"/>
        <w:ind w:right="-734"/>
        <w:jc w:val="center"/>
        <w:rPr>
          <w:rFonts w:ascii="Palatino Linotype" w:eastAsia="Palatino Linotype" w:hAnsi="Palatino Linotype" w:cs="Palatino Linotype"/>
          <w:b/>
        </w:rPr>
      </w:pPr>
      <w:r>
        <w:rPr>
          <w:rFonts w:ascii="Palatino Linotype" w:eastAsia="Palatino Linotype" w:hAnsi="Palatino Linotype" w:cs="Palatino Linotype"/>
          <w:b/>
        </w:rPr>
        <w:t>C O N S I D E R A N D O</w:t>
      </w:r>
    </w:p>
    <w:p w14:paraId="07AFBFEE" w14:textId="77777777" w:rsidR="003B1BD3" w:rsidRDefault="003B1BD3">
      <w:pPr>
        <w:keepNext/>
        <w:keepLines/>
        <w:spacing w:line="360" w:lineRule="auto"/>
        <w:ind w:right="-734"/>
        <w:jc w:val="center"/>
        <w:rPr>
          <w:rFonts w:ascii="Palatino Linotype" w:eastAsia="Palatino Linotype" w:hAnsi="Palatino Linotype" w:cs="Palatino Linotype"/>
          <w:b/>
        </w:rPr>
      </w:pPr>
    </w:p>
    <w:p w14:paraId="7C62B77E" w14:textId="77777777" w:rsidR="003B1BD3" w:rsidRDefault="00EC4FBA">
      <w:pPr>
        <w:keepNext/>
        <w:keepLines/>
        <w:spacing w:line="360" w:lineRule="auto"/>
        <w:ind w:right="-734"/>
        <w:rPr>
          <w:rFonts w:ascii="Palatino Linotype" w:eastAsia="Palatino Linotype" w:hAnsi="Palatino Linotype" w:cs="Palatino Linotype"/>
          <w:b/>
        </w:rPr>
      </w:pPr>
      <w:bookmarkStart w:id="0" w:name="_heading=h.3znysh7" w:colFirst="0" w:colLast="0"/>
      <w:bookmarkEnd w:id="0"/>
      <w:r>
        <w:rPr>
          <w:rFonts w:ascii="Palatino Linotype" w:eastAsia="Palatino Linotype" w:hAnsi="Palatino Linotype" w:cs="Palatino Linotype"/>
          <w:b/>
        </w:rPr>
        <w:t>PRIMERO. De la competencia.</w:t>
      </w:r>
    </w:p>
    <w:p w14:paraId="72265927" w14:textId="77777777" w:rsidR="003B1BD3" w:rsidRDefault="00EC4FBA">
      <w:pPr>
        <w:numPr>
          <w:ilvl w:val="0"/>
          <w:numId w:val="1"/>
        </w:numPr>
        <w:pBdr>
          <w:top w:val="nil"/>
          <w:left w:val="nil"/>
          <w:bottom w:val="nil"/>
          <w:right w:val="nil"/>
          <w:between w:val="nil"/>
        </w:pBdr>
        <w:spacing w:before="240" w:after="240" w:line="360" w:lineRule="auto"/>
        <w:ind w:left="0" w:right="-734" w:firstLine="0"/>
        <w:jc w:val="both"/>
        <w:rPr>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rPr>
        <w:t>Constitución Política de los Estados Unidos Mexicanos</w:t>
      </w:r>
      <w:r>
        <w:rPr>
          <w:rFonts w:ascii="Palatino Linotype" w:eastAsia="Palatino Linotype" w:hAnsi="Palatino Linotype" w:cs="Palatino Linotype"/>
          <w:color w:val="000000"/>
        </w:rPr>
        <w:t xml:space="preserve">; 5, párrafos trigésimo segundo y trigésimo tercero, fracciones IV y V, de la </w:t>
      </w:r>
      <w:r>
        <w:rPr>
          <w:rFonts w:ascii="Palatino Linotype" w:eastAsia="Palatino Linotype" w:hAnsi="Palatino Linotype" w:cs="Palatino Linotype"/>
          <w:b/>
          <w:color w:val="000000"/>
        </w:rPr>
        <w:t>Constitución Política del Estado Libre y Soberano de México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lastRenderedPageBreak/>
        <w:t xml:space="preserve">artículos 1, 2 fracción II, 13, 29, 36 fracciones I y II, 176, 178, 179, 181 párrafo tercero y 185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y 7, 9 fracciones I y XXIII, y 11 del </w:t>
      </w:r>
      <w:r>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p>
    <w:p w14:paraId="44371B16" w14:textId="77777777" w:rsidR="003B1BD3" w:rsidRDefault="00EC4FBA">
      <w:pPr>
        <w:keepNext/>
        <w:keepLines/>
        <w:spacing w:line="360" w:lineRule="auto"/>
        <w:ind w:right="-734"/>
        <w:rPr>
          <w:rFonts w:ascii="Palatino Linotype" w:eastAsia="Palatino Linotype" w:hAnsi="Palatino Linotype" w:cs="Palatino Linotype"/>
          <w:b/>
        </w:rPr>
      </w:pPr>
      <w:bookmarkStart w:id="1" w:name="_heading=h.2et92p0" w:colFirst="0" w:colLast="0"/>
      <w:bookmarkEnd w:id="1"/>
      <w:r>
        <w:rPr>
          <w:rFonts w:ascii="Palatino Linotype" w:eastAsia="Palatino Linotype" w:hAnsi="Palatino Linotype" w:cs="Palatino Linotype"/>
          <w:b/>
        </w:rPr>
        <w:t>SEGUNDO. De la oportunidad y procedencia.</w:t>
      </w:r>
    </w:p>
    <w:p w14:paraId="111706D1" w14:textId="77777777" w:rsidR="003B1BD3" w:rsidRDefault="00EC4FBA">
      <w:pPr>
        <w:numPr>
          <w:ilvl w:val="0"/>
          <w:numId w:val="1"/>
        </w:numPr>
        <w:spacing w:line="360" w:lineRule="auto"/>
        <w:ind w:left="0" w:right="-734" w:firstLine="0"/>
        <w:jc w:val="both"/>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el día treinta y uno (31) de enero de dos mil veinticuatro, de tal forma que el plazo para interponer el recurso transcurrió del primero (01) al veintidós (22) de febrero de dos mil veinticuatro, de acuerdo al calendario oficial del Instituto de Transparencia del Estado de México y Municipios; en consecuencia, si el particular presentó su inconformidad el día treinta y uno (31) de enero de dos mil veinticuatro, se encuentra dentro 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vigente. </w:t>
      </w:r>
    </w:p>
    <w:p w14:paraId="3B6D4203" w14:textId="77777777" w:rsidR="003B1BD3" w:rsidRDefault="003B1BD3">
      <w:pPr>
        <w:pBdr>
          <w:top w:val="nil"/>
          <w:left w:val="nil"/>
          <w:bottom w:val="nil"/>
          <w:right w:val="nil"/>
          <w:between w:val="nil"/>
        </w:pBdr>
        <w:ind w:left="720" w:right="-734"/>
        <w:rPr>
          <w:rFonts w:ascii="Palatino Linotype" w:eastAsia="Palatino Linotype" w:hAnsi="Palatino Linotype" w:cs="Palatino Linotype"/>
          <w:color w:val="000000"/>
        </w:rPr>
      </w:pPr>
    </w:p>
    <w:p w14:paraId="698A4EDE" w14:textId="77777777" w:rsidR="003B1BD3" w:rsidRDefault="00EC4FBA">
      <w:pPr>
        <w:numPr>
          <w:ilvl w:val="0"/>
          <w:numId w:val="1"/>
        </w:numPr>
        <w:pBdr>
          <w:top w:val="nil"/>
          <w:left w:val="nil"/>
          <w:bottom w:val="nil"/>
          <w:right w:val="nil"/>
          <w:between w:val="nil"/>
        </w:pBdr>
        <w:spacing w:before="240" w:line="360" w:lineRule="auto"/>
        <w:ind w:left="0" w:right="-734" w:firstLine="0"/>
        <w:jc w:val="both"/>
        <w:rPr>
          <w:color w:val="555555"/>
        </w:rPr>
      </w:pPr>
      <w:r>
        <w:rPr>
          <w:rFonts w:ascii="Palatino Linotype" w:eastAsia="Palatino Linotype" w:hAnsi="Palatino Linotype" w:cs="Palatino Linotype"/>
          <w:color w:val="000000"/>
        </w:rPr>
        <w:t xml:space="preserve">Cuando el medio de impugnación, se haya interpuesto el mismo día en que se notificó la respuesta impugnada,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w:t>
      </w:r>
      <w:r>
        <w:rPr>
          <w:rFonts w:ascii="Palatino Linotype" w:eastAsia="Palatino Linotype" w:hAnsi="Palatino Linotype" w:cs="Palatino Linotype"/>
        </w:rPr>
        <w:t>ésta</w:t>
      </w:r>
      <w:r>
        <w:rPr>
          <w:rFonts w:ascii="Palatino Linotype" w:eastAsia="Palatino Linotype" w:hAnsi="Palatino Linotype" w:cs="Palatino Linotype"/>
          <w:color w:val="000000"/>
        </w:rPr>
        <w:t xml:space="preserve"> fue notificada. Por lo que es de señalar que en aras de </w:t>
      </w:r>
      <w:r>
        <w:rPr>
          <w:rFonts w:ascii="Palatino Linotype" w:eastAsia="Palatino Linotype" w:hAnsi="Palatino Linotype" w:cs="Palatino Linotype"/>
          <w:color w:val="000000"/>
        </w:rPr>
        <w:lastRenderedPageBreak/>
        <w:t>privilegiar el derecho de acceso a la información se entra al estudio del presente recurso de revisión sin que la fecha en que se presentó afecte la resolución.</w:t>
      </w:r>
    </w:p>
    <w:p w14:paraId="7A009C6C" w14:textId="77777777" w:rsidR="003B1BD3" w:rsidRDefault="003B1BD3">
      <w:pPr>
        <w:pBdr>
          <w:top w:val="nil"/>
          <w:left w:val="nil"/>
          <w:bottom w:val="nil"/>
          <w:right w:val="nil"/>
          <w:between w:val="nil"/>
        </w:pBdr>
        <w:ind w:right="-734"/>
        <w:rPr>
          <w:rFonts w:ascii="Palatino Linotype" w:eastAsia="Palatino Linotype" w:hAnsi="Palatino Linotype" w:cs="Palatino Linotype"/>
          <w:color w:val="000000"/>
        </w:rPr>
      </w:pPr>
    </w:p>
    <w:p w14:paraId="047DCC28" w14:textId="77777777" w:rsidR="003B1BD3" w:rsidRDefault="00EC4FBA">
      <w:pPr>
        <w:numPr>
          <w:ilvl w:val="0"/>
          <w:numId w:val="1"/>
        </w:numPr>
        <w:pBdr>
          <w:top w:val="nil"/>
          <w:left w:val="nil"/>
          <w:bottom w:val="nil"/>
          <w:right w:val="nil"/>
          <w:between w:val="nil"/>
        </w:pBdr>
        <w:spacing w:after="240" w:line="360" w:lineRule="auto"/>
        <w:ind w:left="0" w:right="-734" w:firstLine="0"/>
        <w:jc w:val="both"/>
        <w:rPr>
          <w:color w:val="000000"/>
        </w:rPr>
      </w:pPr>
      <w:r>
        <w:rPr>
          <w:rFonts w:ascii="Palatino Linotype" w:eastAsia="Palatino Linotype" w:hAnsi="Palatino Linotype" w:cs="Palatino Linotype"/>
          <w:color w:val="000000"/>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690DC3D1" w14:textId="77777777" w:rsidR="003B1BD3" w:rsidRDefault="00EC4FBA">
      <w:pPr>
        <w:spacing w:before="240"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RECURSO DE RECLAMACIÓN. SU INTERPOSICIÓN NO ES EXTEMPORÁNEA SI SE REALIZA ANTES DE QUE INICIE EL PLAZO PARA HACERLO.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si dicho recurso se interpone antes de que inicie el plazo para hacerlo, su presentación no es extemporánea.</w:t>
      </w:r>
    </w:p>
    <w:p w14:paraId="501E05FC"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1a./J. 41/2015 (10a.) </w:t>
      </w:r>
    </w:p>
    <w:p w14:paraId="2AD88551"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Recurso de reclamación 953/2013. 9 de abril de 2014. Cinco votos de los </w:t>
      </w:r>
      <w:proofErr w:type="gramStart"/>
      <w:r>
        <w:rPr>
          <w:rFonts w:ascii="Palatino Linotype" w:eastAsia="Palatino Linotype" w:hAnsi="Palatino Linotype" w:cs="Palatino Linotype"/>
          <w:i/>
          <w:sz w:val="22"/>
          <w:szCs w:val="22"/>
        </w:rPr>
        <w:t>Ministros</w:t>
      </w:r>
      <w:proofErr w:type="gramEnd"/>
      <w:r>
        <w:rPr>
          <w:rFonts w:ascii="Palatino Linotype" w:eastAsia="Palatino Linotype" w:hAnsi="Palatino Linotype" w:cs="Palatino Linotype"/>
          <w:i/>
          <w:sz w:val="22"/>
          <w:szCs w:val="22"/>
        </w:rPr>
        <w:t xml:space="preserve"> Arturo Zaldívar Lelo de Larrea, José Ramón Cossío Díaz, Alfredo Gutiérrez Ortiz Mena, Olga Sánchez Cordero de García Villegas y Jorge Mario Pardo Rebolledo. Ponente: Arturo Zaldívar Lelo de Larrea. Secretaria: Carmina Cortés Rodríguez. </w:t>
      </w:r>
    </w:p>
    <w:p w14:paraId="4F7F3610" w14:textId="77777777" w:rsidR="003B1BD3" w:rsidRDefault="003B1BD3">
      <w:pPr>
        <w:spacing w:line="276" w:lineRule="auto"/>
        <w:ind w:left="851" w:right="-25"/>
        <w:jc w:val="both"/>
        <w:rPr>
          <w:rFonts w:ascii="Palatino Linotype" w:eastAsia="Palatino Linotype" w:hAnsi="Palatino Linotype" w:cs="Palatino Linotype"/>
          <w:i/>
          <w:sz w:val="22"/>
          <w:szCs w:val="22"/>
        </w:rPr>
      </w:pPr>
    </w:p>
    <w:p w14:paraId="5E49E225"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Recurso de reclamación 1067/2014. Raúl Rodríguez Cervantes. 28 de enero de 2015. Cinco votos de los </w:t>
      </w:r>
      <w:proofErr w:type="gramStart"/>
      <w:r>
        <w:rPr>
          <w:rFonts w:ascii="Palatino Linotype" w:eastAsia="Palatino Linotype" w:hAnsi="Palatino Linotype" w:cs="Palatino Linotype"/>
          <w:i/>
          <w:sz w:val="22"/>
          <w:szCs w:val="22"/>
        </w:rPr>
        <w:t>Ministros</w:t>
      </w:r>
      <w:proofErr w:type="gramEnd"/>
      <w:r>
        <w:rPr>
          <w:rFonts w:ascii="Palatino Linotype" w:eastAsia="Palatino Linotype" w:hAnsi="Palatino Linotype" w:cs="Palatino Linotype"/>
          <w:i/>
          <w:sz w:val="22"/>
          <w:szCs w:val="22"/>
        </w:rPr>
        <w:t xml:space="preserve"> Arturo Zaldívar Lelo de Larrea, José Ramón Cossío Díaz, Jorge Mario Pardo Rebolledo, Olga Sánchez Cordero de García Villegas y Alfredo Gutiérrez Ortiz Mena. Ponente: Alfredo Gutiérrez Ortiz Mena. Secretaria: Cecilia Armengol Alonso. </w:t>
      </w:r>
    </w:p>
    <w:p w14:paraId="53759994" w14:textId="77777777" w:rsidR="003B1BD3" w:rsidRDefault="003B1BD3">
      <w:pPr>
        <w:spacing w:line="276" w:lineRule="auto"/>
        <w:ind w:left="851" w:right="-25"/>
        <w:jc w:val="both"/>
        <w:rPr>
          <w:rFonts w:ascii="Palatino Linotype" w:eastAsia="Palatino Linotype" w:hAnsi="Palatino Linotype" w:cs="Palatino Linotype"/>
          <w:i/>
          <w:sz w:val="22"/>
          <w:szCs w:val="22"/>
        </w:rPr>
      </w:pPr>
    </w:p>
    <w:p w14:paraId="6191B16F"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Recurso de reclamación 895/2014. 18 de febrero de 2015. Cinco votos de los </w:t>
      </w:r>
      <w:proofErr w:type="gramStart"/>
      <w:r>
        <w:rPr>
          <w:rFonts w:ascii="Palatino Linotype" w:eastAsia="Palatino Linotype" w:hAnsi="Palatino Linotype" w:cs="Palatino Linotype"/>
          <w:i/>
          <w:sz w:val="22"/>
          <w:szCs w:val="22"/>
        </w:rPr>
        <w:t>Ministros</w:t>
      </w:r>
      <w:proofErr w:type="gramEnd"/>
      <w:r>
        <w:rPr>
          <w:rFonts w:ascii="Palatino Linotype" w:eastAsia="Palatino Linotype" w:hAnsi="Palatino Linotype" w:cs="Palatino Linotype"/>
          <w:i/>
          <w:sz w:val="22"/>
          <w:szCs w:val="22"/>
        </w:rPr>
        <w:t xml:space="preserve"> Arturo Zaldívar Lelo de Larrea, José Ramón Cossío Díaz, Jorge Mario Pardo Rebolledo, Olga Sánchez Cordero de García Villegas y Alfredo Gutiérrez Ortiz Mena. Ponente: José Ramón Cossío Díaz. Secretario: Rodrigo Montes de Oca </w:t>
      </w:r>
      <w:proofErr w:type="spellStart"/>
      <w:r>
        <w:rPr>
          <w:rFonts w:ascii="Palatino Linotype" w:eastAsia="Palatino Linotype" w:hAnsi="Palatino Linotype" w:cs="Palatino Linotype"/>
          <w:i/>
          <w:sz w:val="22"/>
          <w:szCs w:val="22"/>
        </w:rPr>
        <w:t>Arboleya</w:t>
      </w:r>
      <w:proofErr w:type="spellEnd"/>
      <w:r>
        <w:rPr>
          <w:rFonts w:ascii="Palatino Linotype" w:eastAsia="Palatino Linotype" w:hAnsi="Palatino Linotype" w:cs="Palatino Linotype"/>
          <w:i/>
          <w:sz w:val="22"/>
          <w:szCs w:val="22"/>
        </w:rPr>
        <w:t xml:space="preserve">. </w:t>
      </w:r>
    </w:p>
    <w:p w14:paraId="2D50D408" w14:textId="77777777" w:rsidR="003B1BD3" w:rsidRDefault="003B1BD3">
      <w:pPr>
        <w:spacing w:line="276" w:lineRule="auto"/>
        <w:ind w:left="851" w:right="-25"/>
        <w:jc w:val="both"/>
        <w:rPr>
          <w:rFonts w:ascii="Palatino Linotype" w:eastAsia="Palatino Linotype" w:hAnsi="Palatino Linotype" w:cs="Palatino Linotype"/>
          <w:i/>
          <w:sz w:val="22"/>
          <w:szCs w:val="22"/>
        </w:rPr>
      </w:pPr>
    </w:p>
    <w:p w14:paraId="10E2EF2E"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Recurso de reclamación 1164/2014. Paula Abascal Valdez. 18 de febrero de 2015. Cinco votos de los </w:t>
      </w:r>
      <w:proofErr w:type="gramStart"/>
      <w:r>
        <w:rPr>
          <w:rFonts w:ascii="Palatino Linotype" w:eastAsia="Palatino Linotype" w:hAnsi="Palatino Linotype" w:cs="Palatino Linotype"/>
          <w:i/>
          <w:sz w:val="22"/>
          <w:szCs w:val="22"/>
        </w:rPr>
        <w:t>Ministros</w:t>
      </w:r>
      <w:proofErr w:type="gramEnd"/>
      <w:r>
        <w:rPr>
          <w:rFonts w:ascii="Palatino Linotype" w:eastAsia="Palatino Linotype" w:hAnsi="Palatino Linotype" w:cs="Palatino Linotype"/>
          <w:i/>
          <w:sz w:val="22"/>
          <w:szCs w:val="22"/>
        </w:rPr>
        <w:t xml:space="preserve"> Arturo Zaldívar Lelo de Larrea, José Ramón Cossío Díaz, Jorge Mario Pardo Rebolledo, Olga Sánchez Cordero de García Villegas y Alfredo Gutiérrez Ortiz Mena. Ponente: José Ramón Cossío Díaz. Secretaria: Lorena </w:t>
      </w:r>
      <w:proofErr w:type="spellStart"/>
      <w:r>
        <w:rPr>
          <w:rFonts w:ascii="Palatino Linotype" w:eastAsia="Palatino Linotype" w:hAnsi="Palatino Linotype" w:cs="Palatino Linotype"/>
          <w:i/>
          <w:sz w:val="22"/>
          <w:szCs w:val="22"/>
        </w:rPr>
        <w:t>Goslinga</w:t>
      </w:r>
      <w:proofErr w:type="spellEnd"/>
      <w:r>
        <w:rPr>
          <w:rFonts w:ascii="Palatino Linotype" w:eastAsia="Palatino Linotype" w:hAnsi="Palatino Linotype" w:cs="Palatino Linotype"/>
          <w:i/>
          <w:sz w:val="22"/>
          <w:szCs w:val="22"/>
        </w:rPr>
        <w:t xml:space="preserve"> </w:t>
      </w:r>
      <w:proofErr w:type="spellStart"/>
      <w:r>
        <w:rPr>
          <w:rFonts w:ascii="Palatino Linotype" w:eastAsia="Palatino Linotype" w:hAnsi="Palatino Linotype" w:cs="Palatino Linotype"/>
          <w:i/>
          <w:sz w:val="22"/>
          <w:szCs w:val="22"/>
        </w:rPr>
        <w:t>Remírez</w:t>
      </w:r>
      <w:proofErr w:type="spellEnd"/>
      <w:r>
        <w:rPr>
          <w:rFonts w:ascii="Palatino Linotype" w:eastAsia="Palatino Linotype" w:hAnsi="Palatino Linotype" w:cs="Palatino Linotype"/>
          <w:i/>
          <w:sz w:val="22"/>
          <w:szCs w:val="22"/>
        </w:rPr>
        <w:t xml:space="preserve">. </w:t>
      </w:r>
    </w:p>
    <w:p w14:paraId="6CFE7AFE" w14:textId="77777777" w:rsidR="003B1BD3" w:rsidRDefault="003B1BD3">
      <w:pPr>
        <w:spacing w:line="276" w:lineRule="auto"/>
        <w:ind w:left="851" w:right="-25"/>
        <w:jc w:val="both"/>
        <w:rPr>
          <w:rFonts w:ascii="Palatino Linotype" w:eastAsia="Palatino Linotype" w:hAnsi="Palatino Linotype" w:cs="Palatino Linotype"/>
          <w:i/>
          <w:sz w:val="22"/>
          <w:szCs w:val="22"/>
        </w:rPr>
      </w:pPr>
    </w:p>
    <w:p w14:paraId="79C166D2"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Recurso de reclamación 1231/2014. 18 de marzo de 2015. Cinco votos de los </w:t>
      </w:r>
      <w:proofErr w:type="gramStart"/>
      <w:r>
        <w:rPr>
          <w:rFonts w:ascii="Palatino Linotype" w:eastAsia="Palatino Linotype" w:hAnsi="Palatino Linotype" w:cs="Palatino Linotype"/>
          <w:i/>
          <w:sz w:val="22"/>
          <w:szCs w:val="22"/>
        </w:rPr>
        <w:t>Ministros</w:t>
      </w:r>
      <w:proofErr w:type="gramEnd"/>
      <w:r>
        <w:rPr>
          <w:rFonts w:ascii="Palatino Linotype" w:eastAsia="Palatino Linotype" w:hAnsi="Palatino Linotype" w:cs="Palatino Linotype"/>
          <w:i/>
          <w:sz w:val="22"/>
          <w:szCs w:val="22"/>
        </w:rPr>
        <w:t xml:space="preserve"> Arturo Zaldívar Lelo de Larrea, José Ramón Cossío Díaz, Jorge Mario Pardo Rebolledo, Olga Sánchez Cordero de García Villegas y Alfredo Gutiérrez Ortiz Mena. Ponente: Arturo Zaldívar Lelo de Larrea. Secretario: Saúl Armando Patiño Lara. </w:t>
      </w:r>
    </w:p>
    <w:p w14:paraId="0B926C92" w14:textId="77777777" w:rsidR="003B1BD3" w:rsidRDefault="003B1BD3">
      <w:pPr>
        <w:spacing w:line="276" w:lineRule="auto"/>
        <w:ind w:left="851" w:right="-25"/>
        <w:jc w:val="both"/>
        <w:rPr>
          <w:rFonts w:ascii="Palatino Linotype" w:eastAsia="Palatino Linotype" w:hAnsi="Palatino Linotype" w:cs="Palatino Linotype"/>
          <w:i/>
          <w:sz w:val="22"/>
          <w:szCs w:val="22"/>
        </w:rPr>
      </w:pPr>
    </w:p>
    <w:p w14:paraId="0B5BCE45" w14:textId="77777777" w:rsidR="003B1BD3" w:rsidRDefault="00EC4FBA">
      <w:pPr>
        <w:spacing w:after="240"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Tesis de jurisprudencia 41/2015 (10a.). Aprobada por la Primera Sala de este Alto Tribunal, en sesión privada de veintisiete de mayo de dos mil quince.</w:t>
      </w:r>
    </w:p>
    <w:p w14:paraId="5C04ED81"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Esto es así porque en primer lugar es necesario que la recurrente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notificada el recurrente actúe, ya que al contrario lo que demuestra es el interés del mismo para ejercer su derecho bajo el principio constitucional de justicia expedita.</w:t>
      </w:r>
    </w:p>
    <w:p w14:paraId="44184FCB" w14:textId="77777777" w:rsidR="003B1BD3" w:rsidRDefault="003B1BD3">
      <w:pPr>
        <w:pBdr>
          <w:top w:val="nil"/>
          <w:left w:val="nil"/>
          <w:bottom w:val="nil"/>
          <w:right w:val="nil"/>
          <w:between w:val="nil"/>
        </w:pBdr>
        <w:spacing w:line="360" w:lineRule="auto"/>
        <w:ind w:right="-734"/>
        <w:jc w:val="both"/>
        <w:rPr>
          <w:rFonts w:ascii="Palatino Linotype" w:eastAsia="Palatino Linotype" w:hAnsi="Palatino Linotype" w:cs="Palatino Linotype"/>
          <w:i/>
          <w:color w:val="000000"/>
        </w:rPr>
      </w:pPr>
    </w:p>
    <w:p w14:paraId="73BA0818"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42D56965" w14:textId="77777777" w:rsidR="003B1BD3" w:rsidRDefault="003B1BD3">
      <w:pPr>
        <w:pBdr>
          <w:top w:val="nil"/>
          <w:left w:val="nil"/>
          <w:bottom w:val="nil"/>
          <w:right w:val="nil"/>
          <w:between w:val="nil"/>
        </w:pBdr>
        <w:ind w:right="-734"/>
        <w:rPr>
          <w:rFonts w:ascii="Palatino Linotype" w:eastAsia="Palatino Linotype" w:hAnsi="Palatino Linotype" w:cs="Palatino Linotype"/>
          <w:i/>
          <w:color w:val="000000"/>
        </w:rPr>
      </w:pPr>
    </w:p>
    <w:p w14:paraId="10391818"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Por lo tanto, la interposición del </w:t>
      </w:r>
      <w:r>
        <w:rPr>
          <w:rFonts w:ascii="Palatino Linotype" w:eastAsia="Palatino Linotype" w:hAnsi="Palatino Linotype" w:cs="Palatino Linotype"/>
        </w:rPr>
        <w:t>recurso</w:t>
      </w:r>
      <w:r>
        <w:rPr>
          <w:rFonts w:ascii="Palatino Linotype" w:eastAsia="Palatino Linotype" w:hAnsi="Palatino Linotype" w:cs="Palatino Linotype"/>
          <w:color w:val="000000"/>
        </w:rPr>
        <w:t xml:space="preserve"> de revisión antes de que inicie el plazo para su presentación no es determinante para declararlo extemporáneo, siempre y cuando ello ocurra de manera posterior a que se ha notificado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w:t>
      </w:r>
    </w:p>
    <w:p w14:paraId="795E005F" w14:textId="77777777" w:rsidR="003B1BD3" w:rsidRDefault="003B1BD3">
      <w:pPr>
        <w:pBdr>
          <w:top w:val="nil"/>
          <w:left w:val="nil"/>
          <w:bottom w:val="nil"/>
          <w:right w:val="nil"/>
          <w:between w:val="nil"/>
        </w:pBdr>
        <w:ind w:left="720" w:right="-734"/>
        <w:rPr>
          <w:rFonts w:ascii="Palatino Linotype" w:eastAsia="Palatino Linotype" w:hAnsi="Palatino Linotype" w:cs="Palatino Linotype"/>
          <w:color w:val="000000"/>
        </w:rPr>
      </w:pPr>
    </w:p>
    <w:p w14:paraId="26412A6F" w14:textId="77777777" w:rsidR="003B1BD3" w:rsidRDefault="00EC4FBA">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D05A9C9" w14:textId="77777777" w:rsidR="003B1BD3" w:rsidRDefault="003B1BD3">
      <w:pPr>
        <w:spacing w:line="360" w:lineRule="auto"/>
        <w:ind w:right="-734"/>
        <w:jc w:val="both"/>
        <w:rPr>
          <w:rFonts w:ascii="Palatino Linotype" w:eastAsia="Palatino Linotype" w:hAnsi="Palatino Linotype" w:cs="Palatino Linotype"/>
          <w:b/>
        </w:rPr>
      </w:pPr>
    </w:p>
    <w:p w14:paraId="4D4F461B" w14:textId="77777777" w:rsidR="003B1BD3" w:rsidRDefault="00EC4FBA">
      <w:pPr>
        <w:keepNext/>
        <w:keepLines/>
        <w:spacing w:line="360" w:lineRule="auto"/>
        <w:ind w:right="-734"/>
        <w:rPr>
          <w:rFonts w:ascii="Palatino Linotype" w:eastAsia="Palatino Linotype" w:hAnsi="Palatino Linotype" w:cs="Palatino Linotype"/>
          <w:b/>
        </w:rPr>
      </w:pPr>
      <w:bookmarkStart w:id="2" w:name="_heading=h.tyjcwt" w:colFirst="0" w:colLast="0"/>
      <w:bookmarkEnd w:id="2"/>
      <w:r>
        <w:rPr>
          <w:rFonts w:ascii="Palatino Linotype" w:eastAsia="Palatino Linotype" w:hAnsi="Palatino Linotype" w:cs="Palatino Linotype"/>
          <w:b/>
        </w:rPr>
        <w:t>TERCERO. Planteamiento de la Litis.</w:t>
      </w:r>
    </w:p>
    <w:p w14:paraId="75415B96"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El particular solicitó, de la Feria Valle de Chalco-Xico versión 2023, lo siguiente:</w:t>
      </w:r>
    </w:p>
    <w:p w14:paraId="67638B44" w14:textId="77777777" w:rsidR="003B1BD3" w:rsidRDefault="002345EB">
      <w:pPr>
        <w:pBdr>
          <w:top w:val="nil"/>
          <w:left w:val="nil"/>
          <w:bottom w:val="nil"/>
          <w:right w:val="nil"/>
          <w:between w:val="nil"/>
        </w:pBdr>
        <w:spacing w:line="360" w:lineRule="auto"/>
        <w:ind w:left="851" w:right="-7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 </w:t>
      </w:r>
      <w:r w:rsidR="00EC4FBA">
        <w:rPr>
          <w:rFonts w:ascii="Palatino Linotype" w:eastAsia="Palatino Linotype" w:hAnsi="Palatino Linotype" w:cs="Palatino Linotype"/>
          <w:color w:val="000000"/>
          <w:sz w:val="22"/>
          <w:szCs w:val="22"/>
        </w:rPr>
        <w:t>Monto gastado;</w:t>
      </w:r>
    </w:p>
    <w:p w14:paraId="70E2A09E" w14:textId="77777777" w:rsidR="003B1BD3" w:rsidRDefault="002345EB">
      <w:pPr>
        <w:pBdr>
          <w:top w:val="nil"/>
          <w:left w:val="nil"/>
          <w:bottom w:val="nil"/>
          <w:right w:val="nil"/>
          <w:between w:val="nil"/>
        </w:pBdr>
        <w:spacing w:line="360" w:lineRule="auto"/>
        <w:ind w:left="851" w:right="-7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w:t>
      </w:r>
      <w:r w:rsidR="00EC4FBA">
        <w:rPr>
          <w:rFonts w:ascii="Palatino Linotype" w:eastAsia="Palatino Linotype" w:hAnsi="Palatino Linotype" w:cs="Palatino Linotype"/>
          <w:color w:val="000000"/>
          <w:sz w:val="22"/>
          <w:szCs w:val="22"/>
        </w:rPr>
        <w:t xml:space="preserve"> Contratos de los artistas que se presentaron; y</w:t>
      </w:r>
    </w:p>
    <w:p w14:paraId="4138C356" w14:textId="77777777" w:rsidR="003B1BD3" w:rsidRDefault="002345EB">
      <w:pPr>
        <w:pBdr>
          <w:top w:val="nil"/>
          <w:left w:val="nil"/>
          <w:bottom w:val="nil"/>
          <w:right w:val="nil"/>
          <w:between w:val="nil"/>
        </w:pBdr>
        <w:spacing w:line="360" w:lineRule="auto"/>
        <w:ind w:left="851" w:right="-7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w:t>
      </w:r>
      <w:r w:rsidR="00EC4FBA">
        <w:rPr>
          <w:rFonts w:ascii="Palatino Linotype" w:eastAsia="Palatino Linotype" w:hAnsi="Palatino Linotype" w:cs="Palatino Linotype"/>
          <w:color w:val="000000"/>
          <w:sz w:val="22"/>
          <w:szCs w:val="22"/>
        </w:rPr>
        <w:t xml:space="preserve"> Monto recaudado por la venta de boletos para ingresar, desglosado por día.  </w:t>
      </w:r>
    </w:p>
    <w:p w14:paraId="39AA907C"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En respuesta, el Sujeto Obligado señaló que respecto a los puntos a y b de la solicitud, se encuentra en espera del expediente para generar la información y su publicación en las obligaciones de transparencia común. Posteriormente, el particular interpuso recurso de revisión en el que señaló su inconformidad por la negativa de la información. </w:t>
      </w:r>
    </w:p>
    <w:p w14:paraId="5F75C182" w14:textId="77777777" w:rsidR="003B1BD3" w:rsidRDefault="003B1BD3">
      <w:pPr>
        <w:tabs>
          <w:tab w:val="left" w:pos="0"/>
        </w:tabs>
        <w:spacing w:line="360" w:lineRule="auto"/>
        <w:ind w:right="-734"/>
        <w:jc w:val="both"/>
        <w:rPr>
          <w:rFonts w:ascii="Palatino Linotype" w:eastAsia="Palatino Linotype" w:hAnsi="Palatino Linotype" w:cs="Palatino Linotype"/>
          <w:i/>
        </w:rPr>
      </w:pPr>
    </w:p>
    <w:p w14:paraId="438D779C"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En consecuencia, la Litis a resolver en este recurso, se circunscribe a determinar si la respuesta colma con lo solicitado o si se actualiza la causal de procedencia prevista en el artículo 179, fracción I de la Ley de Transparencia y Acceso a la Información Pública del Estado de México y Municipios; que establece la negativa de la información.   </w:t>
      </w:r>
    </w:p>
    <w:p w14:paraId="25327E48" w14:textId="77777777" w:rsidR="003B1BD3" w:rsidRDefault="003B1BD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1D234522" w14:textId="77777777" w:rsidR="003B1BD3" w:rsidRDefault="00EC4FBA">
      <w:pPr>
        <w:pStyle w:val="Ttulo1"/>
        <w:spacing w:before="0" w:line="360" w:lineRule="auto"/>
        <w:ind w:right="-734"/>
        <w:rPr>
          <w:rFonts w:ascii="Palatino Linotype" w:eastAsia="Palatino Linotype" w:hAnsi="Palatino Linotype" w:cs="Palatino Linotype"/>
          <w:b/>
          <w:color w:val="000000"/>
          <w:sz w:val="24"/>
          <w:szCs w:val="24"/>
        </w:rPr>
      </w:pPr>
      <w:bookmarkStart w:id="3" w:name="_heading=h.3dy6vkm" w:colFirst="0" w:colLast="0"/>
      <w:bookmarkEnd w:id="3"/>
      <w:r>
        <w:rPr>
          <w:rFonts w:ascii="Palatino Linotype" w:eastAsia="Palatino Linotype" w:hAnsi="Palatino Linotype" w:cs="Palatino Linotype"/>
          <w:b/>
          <w:color w:val="000000"/>
          <w:sz w:val="24"/>
          <w:szCs w:val="24"/>
        </w:rPr>
        <w:t>CUARTO. Del estudio y resolución del recurso de revisión.</w:t>
      </w:r>
    </w:p>
    <w:p w14:paraId="6D1FECEF"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bookmarkStart w:id="4" w:name="_heading=h.4d34og8" w:colFirst="0" w:colLast="0"/>
      <w:bookmarkEnd w:id="4"/>
      <w:r>
        <w:rPr>
          <w:rFonts w:ascii="Palatino Linotype" w:eastAsia="Palatino Linotype" w:hAnsi="Palatino Linotype" w:cs="Palatino Linotype"/>
          <w:color w:val="000000"/>
        </w:rPr>
        <w:t xml:space="preserve">Derivado del Planteamiento de la Litis, se procede a analizar el contenido íntegro de las actuaciones que obran en el expediente electrónico y con ello, este Órgano Garante dicte la resolución correspondiente, tomando en consideración los elementos aportados por las </w:t>
      </w:r>
      <w:r>
        <w:rPr>
          <w:rFonts w:ascii="Palatino Linotype" w:eastAsia="Palatino Linotype" w:hAnsi="Palatino Linotype" w:cs="Palatino Linotype"/>
          <w:color w:val="000000"/>
        </w:rPr>
        <w:lastRenderedPageBreak/>
        <w:t>partes y apegándose en todo momento al principio de máxima publicidad, de acuerdo con lo establecido en el artículo 8 de la Ley de Transparencia y Acceso a la Información Pública del Estado de México y Municipios.</w:t>
      </w:r>
    </w:p>
    <w:p w14:paraId="7CD186E1" w14:textId="77777777" w:rsidR="003B1BD3" w:rsidRDefault="003B1BD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0D3061E6"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Primeramente, debemos recapitular que el particular solicitó de la Feria Valle de Chalco-Xico versión 2023, lo siguiente:</w:t>
      </w:r>
    </w:p>
    <w:p w14:paraId="14286749" w14:textId="77777777" w:rsidR="003B1BD3" w:rsidRDefault="00EC4FBA">
      <w:pPr>
        <w:pBdr>
          <w:top w:val="nil"/>
          <w:left w:val="nil"/>
          <w:bottom w:val="nil"/>
          <w:right w:val="nil"/>
          <w:between w:val="nil"/>
        </w:pBdr>
        <w:spacing w:line="360" w:lineRule="auto"/>
        <w:ind w:left="851" w:right="-7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Monto gastado;</w:t>
      </w:r>
    </w:p>
    <w:p w14:paraId="6D0F0DDE" w14:textId="77777777" w:rsidR="003B1BD3" w:rsidRDefault="00EC4FBA">
      <w:pPr>
        <w:pBdr>
          <w:top w:val="nil"/>
          <w:left w:val="nil"/>
          <w:bottom w:val="nil"/>
          <w:right w:val="nil"/>
          <w:between w:val="nil"/>
        </w:pBdr>
        <w:spacing w:line="360" w:lineRule="auto"/>
        <w:ind w:left="851" w:right="-7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Contratos de los artistas que se presentaron; y</w:t>
      </w:r>
    </w:p>
    <w:p w14:paraId="7594003F" w14:textId="77777777" w:rsidR="003B1BD3" w:rsidRDefault="00EC4FBA">
      <w:pPr>
        <w:pBdr>
          <w:top w:val="nil"/>
          <w:left w:val="nil"/>
          <w:bottom w:val="nil"/>
          <w:right w:val="nil"/>
          <w:between w:val="nil"/>
        </w:pBdr>
        <w:spacing w:line="360" w:lineRule="auto"/>
        <w:ind w:left="851" w:right="-7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 Monto recaudado por la venta de boletos para ingresar, desglosado por día. </w:t>
      </w:r>
    </w:p>
    <w:p w14:paraId="49DA61CE" w14:textId="77777777" w:rsidR="002345EB" w:rsidRDefault="002345EB">
      <w:pPr>
        <w:pBdr>
          <w:top w:val="nil"/>
          <w:left w:val="nil"/>
          <w:bottom w:val="nil"/>
          <w:right w:val="nil"/>
          <w:between w:val="nil"/>
        </w:pBdr>
        <w:spacing w:line="360" w:lineRule="auto"/>
        <w:ind w:left="851" w:right="-734"/>
        <w:jc w:val="both"/>
        <w:rPr>
          <w:rFonts w:ascii="Palatino Linotype" w:eastAsia="Palatino Linotype" w:hAnsi="Palatino Linotype" w:cs="Palatino Linotype"/>
          <w:color w:val="000000"/>
        </w:rPr>
      </w:pPr>
    </w:p>
    <w:p w14:paraId="59E6EB7C"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Ahora bien, el acceso a la información es un derecho humano constitucional y convencionalmente reconocido y para tal efecto el párrafo tercero del artículo primero de la Constitución Política de los Estados Unidos Mexicanos establece que el deber de todas las autoridades, </w:t>
      </w:r>
      <w:r>
        <w:rPr>
          <w:rFonts w:ascii="Palatino Linotype" w:eastAsia="Palatino Linotype" w:hAnsi="Palatino Linotype" w:cs="Palatino Linotype"/>
          <w:i/>
          <w:color w:val="000000"/>
        </w:rPr>
        <w:t xml:space="preserve">en el ámbito de sus atribuciones, de promover, respetar, proteger y </w:t>
      </w:r>
      <w:r>
        <w:rPr>
          <w:rFonts w:ascii="Palatino Linotype" w:eastAsia="Palatino Linotype" w:hAnsi="Palatino Linotype" w:cs="Palatino Linotype"/>
          <w:b/>
          <w:i/>
          <w:color w:val="000000"/>
        </w:rPr>
        <w:t>garantizar</w:t>
      </w:r>
      <w:r>
        <w:rPr>
          <w:rFonts w:ascii="Palatino Linotype" w:eastAsia="Palatino Linotype" w:hAnsi="Palatino Linotype" w:cs="Palatino Linotype"/>
          <w:i/>
          <w:color w:val="000000"/>
        </w:rPr>
        <w:t xml:space="preserve"> los derechos humanos. </w:t>
      </w:r>
      <w:r>
        <w:rPr>
          <w:rFonts w:ascii="Palatino Linotype" w:eastAsia="Palatino Linotype" w:hAnsi="Palatino Linotype" w:cs="Palatino Linotype"/>
          <w:b/>
          <w:i/>
          <w:color w:val="000000"/>
        </w:rPr>
        <w:t>En cuanto al derecho de acceso a la información, la Ley de Transparencia y Acceso a la Información Pública del Estado de México y Municipios prevé establece que e</w:t>
      </w:r>
      <w:r>
        <w:rPr>
          <w:rFonts w:ascii="Palatino Linotype" w:eastAsia="Palatino Linotype" w:hAnsi="Palatino Linotype" w:cs="Palatino Linotype"/>
          <w:i/>
          <w:color w:val="000000"/>
        </w:rPr>
        <w:t>l procedimiento de acceso a la información es la garantía primaria del derecho en cuestión y se rige por los principios de simplicidad, rapidez y gratuidad del procedimiento, auxilio y orientación a los particulares</w:t>
      </w:r>
      <w:r>
        <w:rPr>
          <w:rFonts w:ascii="Century Gothic" w:eastAsia="Century Gothic" w:hAnsi="Century Gothic" w:cs="Century Gothic"/>
          <w:i/>
          <w:color w:val="000000"/>
          <w:vertAlign w:val="superscript"/>
        </w:rPr>
        <w:footnoteReference w:id="1"/>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asimismo establece</w:t>
      </w:r>
      <w:r>
        <w:rPr>
          <w:rFonts w:ascii="Palatino Linotype" w:eastAsia="Palatino Linotype" w:hAnsi="Palatino Linotype" w:cs="Palatino Linotype"/>
          <w:i/>
          <w:color w:val="000000"/>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0AE4D11D" w14:textId="77777777" w:rsidR="003B1BD3" w:rsidRDefault="003B1BD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0736E994"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w:t>
      </w:r>
      <w:r>
        <w:rPr>
          <w:rFonts w:ascii="Palatino Linotype" w:eastAsia="Palatino Linotype" w:hAnsi="Palatino Linotype" w:cs="Palatino Linotype"/>
        </w:rPr>
        <w:t>administran</w:t>
      </w:r>
      <w:r>
        <w:rPr>
          <w:rFonts w:ascii="Palatino Linotype" w:eastAsia="Palatino Linotype" w:hAnsi="Palatino Linotype" w:cs="Palatino Linotype"/>
          <w:color w:val="000000"/>
        </w:rPr>
        <w:t xml:space="preserve">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60AB9467" w14:textId="77777777" w:rsidR="003B1BD3" w:rsidRDefault="003B1BD3">
      <w:pPr>
        <w:pBdr>
          <w:top w:val="nil"/>
          <w:left w:val="nil"/>
          <w:bottom w:val="nil"/>
          <w:right w:val="nil"/>
          <w:between w:val="nil"/>
        </w:pBdr>
        <w:ind w:left="720" w:right="-734"/>
        <w:rPr>
          <w:rFonts w:ascii="Palatino Linotype" w:eastAsia="Palatino Linotype" w:hAnsi="Palatino Linotype" w:cs="Palatino Linotype"/>
          <w:color w:val="000000"/>
        </w:rPr>
      </w:pPr>
    </w:p>
    <w:p w14:paraId="316911C1"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Es así que, su obligación es </w:t>
      </w:r>
      <w:r>
        <w:rPr>
          <w:rFonts w:ascii="Palatino Linotype" w:eastAsia="Palatino Linotype" w:hAnsi="Palatino Linotype" w:cs="Palatino Linotype"/>
          <w:i/>
          <w:color w:val="000000"/>
        </w:rPr>
        <w:t>realizar, con efectividad, los trámites internos necesarios para la atención de las solicitudes de información</w:t>
      </w:r>
      <w:r>
        <w:rPr>
          <w:rFonts w:ascii="Century Gothic" w:eastAsia="Century Gothic" w:hAnsi="Century Gothic" w:cs="Century Gothic"/>
          <w:color w:val="000000"/>
          <w:vertAlign w:val="superscript"/>
        </w:rPr>
        <w:footnoteReference w:id="2"/>
      </w:r>
      <w:r>
        <w:rPr>
          <w:rFonts w:ascii="Palatino Linotype" w:eastAsia="Palatino Linotype" w:hAnsi="Palatino Linotype" w:cs="Palatino Linotype"/>
          <w:color w:val="000000"/>
        </w:rPr>
        <w:t>, es decir, deben otorgar respuestas concisas, contundentes y sobre todo que den la certeza de los actos que realizan.</w:t>
      </w:r>
    </w:p>
    <w:p w14:paraId="26DAE6E4" w14:textId="77777777" w:rsidR="003B1BD3" w:rsidRDefault="003B1BD3">
      <w:pPr>
        <w:pBdr>
          <w:top w:val="nil"/>
          <w:left w:val="nil"/>
          <w:bottom w:val="nil"/>
          <w:right w:val="nil"/>
          <w:between w:val="nil"/>
        </w:pBdr>
        <w:ind w:right="-734"/>
        <w:rPr>
          <w:rFonts w:ascii="Palatino Linotype" w:eastAsia="Palatino Linotype" w:hAnsi="Palatino Linotype" w:cs="Palatino Linotype"/>
          <w:color w:val="000000"/>
        </w:rPr>
      </w:pPr>
    </w:p>
    <w:p w14:paraId="36D88123"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14:paraId="2ADEDA0F"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50. </w:t>
      </w:r>
      <w:r>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14:paraId="426029B8" w14:textId="77777777" w:rsidR="003B1BD3" w:rsidRDefault="003B1BD3">
      <w:pPr>
        <w:spacing w:line="276" w:lineRule="auto"/>
        <w:ind w:left="851" w:right="-25"/>
        <w:jc w:val="both"/>
        <w:rPr>
          <w:rFonts w:ascii="Palatino Linotype" w:eastAsia="Palatino Linotype" w:hAnsi="Palatino Linotype" w:cs="Palatino Linotype"/>
          <w:i/>
          <w:sz w:val="22"/>
          <w:szCs w:val="22"/>
        </w:rPr>
      </w:pPr>
    </w:p>
    <w:p w14:paraId="7E2D617D"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53. </w:t>
      </w:r>
      <w:r>
        <w:rPr>
          <w:rFonts w:ascii="Palatino Linotype" w:eastAsia="Palatino Linotype" w:hAnsi="Palatino Linotype" w:cs="Palatino Linotype"/>
          <w:i/>
          <w:sz w:val="22"/>
          <w:szCs w:val="22"/>
        </w:rPr>
        <w:t>Las Unidades de Transparencia tendrán las siguientes funciones:</w:t>
      </w:r>
    </w:p>
    <w:p w14:paraId="2E01FCF6"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D522949"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Recibir, tramitar y dar respuesta a las solicitudes de acceso a la información;</w:t>
      </w:r>
    </w:p>
    <w:p w14:paraId="740686AB"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9695452"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14:paraId="18D48D8E"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V.</w:t>
      </w:r>
      <w:r>
        <w:rPr>
          <w:rFonts w:ascii="Palatino Linotype" w:eastAsia="Palatino Linotype" w:hAnsi="Palatino Linotype" w:cs="Palatino Linotype"/>
          <w:i/>
          <w:sz w:val="22"/>
          <w:szCs w:val="22"/>
        </w:rPr>
        <w:t xml:space="preserve"> Entregar, en su caso, a los particulares la información solicitada;</w:t>
      </w:r>
    </w:p>
    <w:p w14:paraId="2D474A2B"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2F51556" w14:textId="77777777" w:rsidR="003B1BD3" w:rsidRDefault="003B1BD3">
      <w:pPr>
        <w:spacing w:line="276" w:lineRule="auto"/>
        <w:ind w:left="851" w:right="-25"/>
        <w:jc w:val="both"/>
        <w:rPr>
          <w:rFonts w:ascii="Palatino Linotype" w:eastAsia="Palatino Linotype" w:hAnsi="Palatino Linotype" w:cs="Palatino Linotype"/>
          <w:i/>
          <w:sz w:val="22"/>
          <w:szCs w:val="22"/>
        </w:rPr>
      </w:pPr>
    </w:p>
    <w:p w14:paraId="2F40432F"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58. </w:t>
      </w:r>
      <w:r>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14:paraId="4F5E2BBA" w14:textId="77777777" w:rsidR="003B1BD3" w:rsidRDefault="003B1BD3">
      <w:pPr>
        <w:spacing w:line="276" w:lineRule="auto"/>
        <w:ind w:left="851" w:right="-25"/>
        <w:jc w:val="both"/>
        <w:rPr>
          <w:rFonts w:ascii="Palatino Linotype" w:eastAsia="Palatino Linotype" w:hAnsi="Palatino Linotype" w:cs="Palatino Linotype"/>
          <w:i/>
          <w:sz w:val="22"/>
          <w:szCs w:val="22"/>
        </w:rPr>
      </w:pPr>
    </w:p>
    <w:p w14:paraId="6AC06D9D"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59. </w:t>
      </w:r>
      <w:r>
        <w:rPr>
          <w:rFonts w:ascii="Palatino Linotype" w:eastAsia="Palatino Linotype" w:hAnsi="Palatino Linotype" w:cs="Palatino Linotype"/>
          <w:i/>
          <w:sz w:val="22"/>
          <w:szCs w:val="22"/>
        </w:rPr>
        <w:t>Los servidores públicos habilitados tendrán las funciones siguientes:</w:t>
      </w:r>
    </w:p>
    <w:p w14:paraId="733A0137" w14:textId="77777777" w:rsidR="003B1BD3" w:rsidRDefault="003B1BD3">
      <w:pPr>
        <w:spacing w:line="276" w:lineRule="auto"/>
        <w:ind w:left="851" w:right="-25"/>
        <w:jc w:val="both"/>
        <w:rPr>
          <w:rFonts w:ascii="Palatino Linotype" w:eastAsia="Palatino Linotype" w:hAnsi="Palatino Linotype" w:cs="Palatino Linotype"/>
          <w:i/>
          <w:sz w:val="22"/>
          <w:szCs w:val="22"/>
        </w:rPr>
      </w:pPr>
    </w:p>
    <w:p w14:paraId="134D8B60"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Localizar la información que le solicite la Unidad de Transparencia;</w:t>
      </w:r>
    </w:p>
    <w:p w14:paraId="20E8A709"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14:paraId="185CD0D9"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BC4E0BC" w14:textId="77777777" w:rsidR="003B1BD3" w:rsidRDefault="003B1BD3">
      <w:pPr>
        <w:spacing w:line="276" w:lineRule="auto"/>
        <w:ind w:left="851" w:right="-25"/>
        <w:jc w:val="both"/>
        <w:rPr>
          <w:rFonts w:ascii="Palatino Linotype" w:eastAsia="Palatino Linotype" w:hAnsi="Palatino Linotype" w:cs="Palatino Linotype"/>
          <w:i/>
          <w:sz w:val="22"/>
          <w:szCs w:val="22"/>
        </w:rPr>
      </w:pPr>
    </w:p>
    <w:p w14:paraId="0AEE6637"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162. </w:t>
      </w:r>
      <w:r>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6D3FE41" w14:textId="77777777" w:rsidR="003B1BD3" w:rsidRDefault="003B1BD3">
      <w:pPr>
        <w:spacing w:line="360" w:lineRule="auto"/>
        <w:ind w:right="-734"/>
        <w:jc w:val="both"/>
        <w:rPr>
          <w:rFonts w:ascii="Palatino Linotype" w:eastAsia="Palatino Linotype" w:hAnsi="Palatino Linotype" w:cs="Palatino Linotype"/>
        </w:rPr>
      </w:pPr>
    </w:p>
    <w:p w14:paraId="3DCDFF3F"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w:t>
      </w:r>
      <w:proofErr w:type="gramStart"/>
      <w:r>
        <w:rPr>
          <w:rFonts w:ascii="Palatino Linotype" w:eastAsia="Palatino Linotype" w:hAnsi="Palatino Linotype" w:cs="Palatino Linotype"/>
          <w:color w:val="000000"/>
        </w:rPr>
        <w:t xml:space="preserve">los servidores públicos habilitados </w:t>
      </w:r>
      <w:r>
        <w:rPr>
          <w:rFonts w:ascii="Palatino Linotype" w:eastAsia="Palatino Linotype" w:hAnsi="Palatino Linotype" w:cs="Palatino Linotype"/>
        </w:rPr>
        <w:t>auxiliará</w:t>
      </w:r>
      <w:proofErr w:type="gramEnd"/>
      <w:r>
        <w:rPr>
          <w:rFonts w:ascii="Palatino Linotype" w:eastAsia="Palatino Linotype" w:hAnsi="Palatino Linotype" w:cs="Palatino Linotype"/>
          <w:color w:val="000000"/>
        </w:rPr>
        <w:t xml:space="preserve">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14:paraId="22C5E2A3"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lastRenderedPageBreak/>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1C945D63" w14:textId="77777777" w:rsidR="003B1BD3" w:rsidRDefault="003B1BD3">
      <w:pPr>
        <w:pBdr>
          <w:top w:val="nil"/>
          <w:left w:val="nil"/>
          <w:bottom w:val="nil"/>
          <w:right w:val="nil"/>
          <w:between w:val="nil"/>
        </w:pBdr>
        <w:ind w:left="720" w:right="-734"/>
        <w:rPr>
          <w:rFonts w:ascii="Palatino Linotype" w:eastAsia="Palatino Linotype" w:hAnsi="Palatino Linotype" w:cs="Palatino Linotype"/>
          <w:color w:val="000000"/>
        </w:rPr>
      </w:pPr>
    </w:p>
    <w:p w14:paraId="02CF4E19"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En el presente caso, se advierte que la solicitud fue turnada a la Dirección de Administración y a la Tesorería Municipal (de acuerdo al organigrama publicado en la página oficial del Sujeto Obligado), sin embargo, en la respuesta que se advierte en el expediente electrónico del Sistema SAIMEX, solo se advierte respuesta de la Dirección de Administración, como se observa en las siguientes imágenes:</w:t>
      </w:r>
    </w:p>
    <w:p w14:paraId="65F3D239" w14:textId="77777777" w:rsidR="003B1BD3" w:rsidRDefault="00EC4FBA">
      <w:pPr>
        <w:pBdr>
          <w:top w:val="nil"/>
          <w:left w:val="nil"/>
          <w:bottom w:val="nil"/>
          <w:right w:val="nil"/>
          <w:between w:val="nil"/>
        </w:pBdr>
        <w:ind w:left="720" w:right="-734"/>
        <w:rPr>
          <w:rFonts w:ascii="Palatino Linotype" w:eastAsia="Palatino Linotype" w:hAnsi="Palatino Linotype" w:cs="Palatino Linotype"/>
          <w:color w:val="000000"/>
        </w:rPr>
      </w:pPr>
      <w:r>
        <w:rPr>
          <w:noProof/>
        </w:rPr>
        <mc:AlternateContent>
          <mc:Choice Requires="wpg">
            <w:drawing>
              <wp:anchor distT="0" distB="0" distL="114300" distR="114300" simplePos="0" relativeHeight="251658240" behindDoc="0" locked="0" layoutInCell="1" hidden="0" allowOverlap="1" wp14:anchorId="20FE7B36" wp14:editId="5DC99BA9">
                <wp:simplePos x="0" y="0"/>
                <wp:positionH relativeFrom="column">
                  <wp:posOffset>1295400</wp:posOffset>
                </wp:positionH>
                <wp:positionV relativeFrom="paragraph">
                  <wp:posOffset>139700</wp:posOffset>
                </wp:positionV>
                <wp:extent cx="1085479" cy="230455"/>
                <wp:effectExtent l="0" t="0" r="0" b="0"/>
                <wp:wrapNone/>
                <wp:docPr id="12" name="Rectángulo redondeado 12"/>
                <wp:cNvGraphicFramePr/>
                <a:graphic xmlns:a="http://schemas.openxmlformats.org/drawingml/2006/main">
                  <a:graphicData uri="http://schemas.microsoft.com/office/word/2010/wordprocessingShape">
                    <wps:wsp>
                      <wps:cNvSpPr/>
                      <wps:spPr>
                        <a:xfrm>
                          <a:off x="4817548" y="3679060"/>
                          <a:ext cx="1056904" cy="201880"/>
                        </a:xfrm>
                        <a:prstGeom prst="roundRect">
                          <a:avLst>
                            <a:gd name="adj" fmla="val 16667"/>
                          </a:avLst>
                        </a:prstGeom>
                        <a:noFill/>
                        <a:ln w="28575" cap="flat" cmpd="sng">
                          <a:solidFill>
                            <a:srgbClr val="FF0000"/>
                          </a:solidFill>
                          <a:prstDash val="solid"/>
                          <a:miter lim="800000"/>
                          <a:headEnd type="none" w="sm" len="sm"/>
                          <a:tailEnd type="none" w="sm" len="sm"/>
                        </a:ln>
                      </wps:spPr>
                      <wps:txbx>
                        <w:txbxContent>
                          <w:p w14:paraId="3FDC3D91" w14:textId="77777777" w:rsidR="003B1BD3" w:rsidRDefault="003B1BD3">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1295400</wp:posOffset>
                </wp:positionH>
                <wp:positionV relativeFrom="paragraph">
                  <wp:posOffset>139700</wp:posOffset>
                </wp:positionV>
                <wp:extent cx="1085479" cy="230455"/>
                <wp:effectExtent b="0" l="0" r="0" t="0"/>
                <wp:wrapNone/>
                <wp:docPr id="1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085479" cy="230455"/>
                        </a:xfrm>
                        <a:prstGeom prst="rect"/>
                        <a:ln/>
                      </pic:spPr>
                    </pic:pic>
                  </a:graphicData>
                </a:graphic>
              </wp:anchor>
            </w:drawing>
          </mc:Fallback>
        </mc:AlternateContent>
      </w:r>
    </w:p>
    <w:p w14:paraId="55D4B6F0" w14:textId="77777777" w:rsidR="003B1BD3" w:rsidRDefault="00EC4FBA">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1A658275" wp14:editId="434A70BC">
            <wp:extent cx="5852566" cy="1187035"/>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852566" cy="1187035"/>
                    </a:xfrm>
                    <a:prstGeom prst="rect">
                      <a:avLst/>
                    </a:prstGeom>
                    <a:ln/>
                  </pic:spPr>
                </pic:pic>
              </a:graphicData>
            </a:graphic>
          </wp:inline>
        </w:drawing>
      </w:r>
    </w:p>
    <w:p w14:paraId="5C7B0B0C" w14:textId="77777777" w:rsidR="003B1BD3" w:rsidRDefault="003B1BD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7763C0D8" w14:textId="77777777" w:rsidR="003B1BD3" w:rsidRDefault="00EC4FBA">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lastRenderedPageBreak/>
        <w:drawing>
          <wp:inline distT="0" distB="0" distL="0" distR="0" wp14:anchorId="19D3B8E9" wp14:editId="6A698999">
            <wp:extent cx="5780644" cy="3347292"/>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80644" cy="3347292"/>
                    </a:xfrm>
                    <a:prstGeom prst="rect">
                      <a:avLst/>
                    </a:prstGeom>
                    <a:ln/>
                  </pic:spPr>
                </pic:pic>
              </a:graphicData>
            </a:graphic>
          </wp:inline>
        </w:drawing>
      </w:r>
    </w:p>
    <w:p w14:paraId="48EA177A" w14:textId="77777777" w:rsidR="003B1BD3" w:rsidRDefault="003B1BD3">
      <w:pPr>
        <w:pBdr>
          <w:top w:val="nil"/>
          <w:left w:val="nil"/>
          <w:bottom w:val="nil"/>
          <w:right w:val="nil"/>
          <w:between w:val="nil"/>
        </w:pBdr>
        <w:ind w:right="-734"/>
        <w:rPr>
          <w:rFonts w:ascii="Palatino Linotype" w:eastAsia="Palatino Linotype" w:hAnsi="Palatino Linotype" w:cs="Palatino Linotype"/>
          <w:color w:val="000000"/>
        </w:rPr>
      </w:pPr>
    </w:p>
    <w:p w14:paraId="57938AA5" w14:textId="77777777" w:rsidR="003B1BD3" w:rsidRDefault="003B1BD3">
      <w:pPr>
        <w:ind w:right="-734"/>
        <w:rPr>
          <w:rFonts w:ascii="Palatino Linotype" w:eastAsia="Palatino Linotype" w:hAnsi="Palatino Linotype" w:cs="Palatino Linotype"/>
        </w:rPr>
      </w:pPr>
    </w:p>
    <w:p w14:paraId="523AC849" w14:textId="77777777" w:rsidR="003B1BD3" w:rsidRDefault="00EC4FBA">
      <w:pPr>
        <w:pBdr>
          <w:top w:val="nil"/>
          <w:left w:val="nil"/>
          <w:bottom w:val="nil"/>
          <w:right w:val="nil"/>
          <w:between w:val="nil"/>
        </w:pBdr>
        <w:spacing w:line="360" w:lineRule="auto"/>
        <w:ind w:right="-734"/>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6DD0B34E" wp14:editId="7A7BB9C8">
            <wp:extent cx="2684170" cy="1487011"/>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l="9181" t="17799" r="5813" b="6688"/>
                    <a:stretch>
                      <a:fillRect/>
                    </a:stretch>
                  </pic:blipFill>
                  <pic:spPr>
                    <a:xfrm>
                      <a:off x="0" y="0"/>
                      <a:ext cx="2684170" cy="1487011"/>
                    </a:xfrm>
                    <a:prstGeom prst="rect">
                      <a:avLst/>
                    </a:prstGeom>
                    <a:ln/>
                  </pic:spPr>
                </pic:pic>
              </a:graphicData>
            </a:graphic>
          </wp:inline>
        </w:drawing>
      </w:r>
      <w:r>
        <w:rPr>
          <w:rFonts w:ascii="Century Gothic" w:eastAsia="Century Gothic" w:hAnsi="Century Gothic" w:cs="Century Gothic"/>
          <w:color w:val="000000"/>
        </w:rPr>
        <w:t xml:space="preserve"> </w:t>
      </w:r>
      <w:r>
        <w:rPr>
          <w:rFonts w:ascii="Palatino Linotype" w:eastAsia="Palatino Linotype" w:hAnsi="Palatino Linotype" w:cs="Palatino Linotype"/>
          <w:noProof/>
          <w:color w:val="000000"/>
        </w:rPr>
        <w:drawing>
          <wp:inline distT="0" distB="0" distL="0" distR="0" wp14:anchorId="779336FF" wp14:editId="65B1D2E4">
            <wp:extent cx="2625109" cy="1460869"/>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r="1933" b="2325"/>
                    <a:stretch>
                      <a:fillRect/>
                    </a:stretch>
                  </pic:blipFill>
                  <pic:spPr>
                    <a:xfrm>
                      <a:off x="0" y="0"/>
                      <a:ext cx="2625109" cy="1460869"/>
                    </a:xfrm>
                    <a:prstGeom prst="rect">
                      <a:avLst/>
                    </a:prstGeom>
                    <a:ln/>
                  </pic:spPr>
                </pic:pic>
              </a:graphicData>
            </a:graphic>
          </wp:inline>
        </w:drawing>
      </w:r>
    </w:p>
    <w:p w14:paraId="34228B63" w14:textId="77777777" w:rsidR="003B1BD3" w:rsidRDefault="003B1BD3">
      <w:pPr>
        <w:pBdr>
          <w:top w:val="nil"/>
          <w:left w:val="nil"/>
          <w:bottom w:val="nil"/>
          <w:right w:val="nil"/>
          <w:between w:val="nil"/>
        </w:pBdr>
        <w:spacing w:line="360" w:lineRule="auto"/>
        <w:ind w:right="-734"/>
        <w:jc w:val="center"/>
        <w:rPr>
          <w:rFonts w:ascii="Palatino Linotype" w:eastAsia="Palatino Linotype" w:hAnsi="Palatino Linotype" w:cs="Palatino Linotype"/>
          <w:color w:val="000000"/>
        </w:rPr>
      </w:pPr>
    </w:p>
    <w:p w14:paraId="2C4A19E7"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En ese sentido, es procedente señalar que de acuerdo al artículo 99 y 101 del Reglamento Orgánico de la Administración Pública Municipal del Sujeto Obligado, la Dirección de Administración tiene la finalidad de proporcionar los recursos humanos, recursos materiales y servicios para el funcionamiento y desempeño de las dependencias y para el desempeño de sus funciones y atribuciones se auxilia, entre otras áreas, de la </w:t>
      </w:r>
      <w:r>
        <w:rPr>
          <w:rFonts w:ascii="Palatino Linotype" w:eastAsia="Palatino Linotype" w:hAnsi="Palatino Linotype" w:cs="Palatino Linotype"/>
          <w:color w:val="000000"/>
        </w:rPr>
        <w:lastRenderedPageBreak/>
        <w:t xml:space="preserve">Subdirección de Recursos Materiales, la cual, a su vez, se integra por el Departamento de Licitaciones Públicas y Restringidas, Departamento de Cotizaciones y Facturación, Departamento de Almacén y el Departamento de Combustibles. </w:t>
      </w:r>
    </w:p>
    <w:p w14:paraId="31D06A97" w14:textId="77777777" w:rsidR="003B1BD3" w:rsidRDefault="003B1BD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2395FB20"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Posteriormente, es necesario señalar que de acuerdo al artículo 39 del Reglamento Orgánico del Sujeto Obligado, la Tesorería Municipal tiene entre sus funciones administrar la hacienda pública, llevar los registros contables, financieros y administrativos de los ingresos y egresos; consecuentemente, el Manual de Organización de la Tesorería Municipal, señala que </w:t>
      </w:r>
      <w:r>
        <w:rPr>
          <w:rFonts w:ascii="Palatino Linotype" w:eastAsia="Palatino Linotype" w:hAnsi="Palatino Linotype" w:cs="Palatino Linotype"/>
        </w:rPr>
        <w:t>está</w:t>
      </w:r>
      <w:r>
        <w:rPr>
          <w:rFonts w:ascii="Palatino Linotype" w:eastAsia="Palatino Linotype" w:hAnsi="Palatino Linotype" w:cs="Palatino Linotype"/>
          <w:color w:val="000000"/>
        </w:rPr>
        <w:t xml:space="preserve"> integrada por el Subdirección de Egresos (encargada de la integración aplicación y distribución de los recursos financieros) y de la Subdirección de Ingresos (encargada de supervisar la recaudación de los ingresos derivados de los diversos conceptos contenidos en la Ley de Ingresos de los Municipios del Estado de México para el ejercicio fiscal correspondiente). </w:t>
      </w:r>
    </w:p>
    <w:p w14:paraId="4BCFAD0D" w14:textId="77777777" w:rsidR="003B1BD3" w:rsidRDefault="003B1BD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792EAEED"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Ahora bien, derivado de la información solicitada, conviene traer a contexto que las erogaciones que realizan los Sujetos Obligados, deben estar soportados en documentos que amparen dicha erogación como lo es factura o póliza. </w:t>
      </w:r>
      <w:proofErr w:type="gramStart"/>
      <w:r>
        <w:rPr>
          <w:rFonts w:ascii="Palatino Linotype" w:eastAsia="Palatino Linotype" w:hAnsi="Palatino Linotype" w:cs="Palatino Linotype"/>
          <w:color w:val="000000"/>
        </w:rPr>
        <w:t>Primeramente</w:t>
      </w:r>
      <w:proofErr w:type="gramEnd"/>
      <w:r>
        <w:rPr>
          <w:rFonts w:ascii="Palatino Linotype" w:eastAsia="Palatino Linotype" w:hAnsi="Palatino Linotype" w:cs="Palatino Linotype"/>
          <w:color w:val="000000"/>
        </w:rPr>
        <w:t xml:space="preserve"> conocer a que nos referimos por “</w:t>
      </w:r>
      <w:r>
        <w:rPr>
          <w:rFonts w:ascii="Palatino Linotype" w:eastAsia="Palatino Linotype" w:hAnsi="Palatino Linotype" w:cs="Palatino Linotype"/>
          <w:i/>
          <w:color w:val="000000"/>
        </w:rPr>
        <w:t>factura</w:t>
      </w:r>
      <w:r>
        <w:rPr>
          <w:rFonts w:ascii="Palatino Linotype" w:eastAsia="Palatino Linotype" w:hAnsi="Palatino Linotype" w:cs="Palatino Linotype"/>
          <w:color w:val="000000"/>
        </w:rPr>
        <w:t>”; al respecto, nos referiremos a éste concepto aunque sea sucintamente de acuerdo a lo que dispone el Glosario de Términos Hacendarios que emite el Instituto Hacendario del Estado de México, mismo que expresa lo siguiente:</w:t>
      </w:r>
    </w:p>
    <w:p w14:paraId="0EF9A6D2" w14:textId="77777777" w:rsidR="003B1BD3" w:rsidRDefault="00EC4FBA">
      <w:pPr>
        <w:pBdr>
          <w:top w:val="nil"/>
          <w:left w:val="nil"/>
          <w:bottom w:val="nil"/>
          <w:right w:val="nil"/>
          <w:between w:val="nil"/>
        </w:pBdr>
        <w:spacing w:line="360" w:lineRule="auto"/>
        <w:ind w:left="851" w:right="-1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FACTURA:</w:t>
      </w:r>
    </w:p>
    <w:p w14:paraId="1A818F59" w14:textId="77777777" w:rsidR="003B1BD3" w:rsidRDefault="00EC4FBA">
      <w:pPr>
        <w:pBdr>
          <w:top w:val="nil"/>
          <w:left w:val="nil"/>
          <w:bottom w:val="nil"/>
          <w:right w:val="nil"/>
          <w:between w:val="nil"/>
        </w:pBdr>
        <w:spacing w:line="360" w:lineRule="auto"/>
        <w:ind w:left="851"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Es el documento fiscal que emite la persona física o moral para comprobar la venta o adquisición de un bien y/o servicio.”</w:t>
      </w:r>
    </w:p>
    <w:p w14:paraId="776500A0" w14:textId="77777777" w:rsidR="003B1BD3" w:rsidRDefault="003B1BD3">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p w14:paraId="78D5FC46" w14:textId="77777777" w:rsidR="003B1BD3" w:rsidRDefault="00EC4FBA">
      <w:pPr>
        <w:numPr>
          <w:ilvl w:val="0"/>
          <w:numId w:val="1"/>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rPr>
        <w:lastRenderedPageBreak/>
        <w:t xml:space="preserve">Una vez precisado lo anterior, se procede a analizar si las facturas solicitadas son de acceso público; por lo que es de señalarse que </w:t>
      </w:r>
      <w:r>
        <w:rPr>
          <w:rFonts w:ascii="Palatino Linotype" w:eastAsia="Palatino Linotype" w:hAnsi="Palatino Linotype" w:cs="Palatino Linotype"/>
          <w:b/>
          <w:color w:val="000000"/>
        </w:rPr>
        <w:t xml:space="preserve">las facturas </w:t>
      </w:r>
      <w:r>
        <w:rPr>
          <w:rFonts w:ascii="Palatino Linotype" w:eastAsia="Palatino Linotype" w:hAnsi="Palatino Linotype" w:cs="Palatino Linotype"/>
          <w:color w:val="000000"/>
        </w:rPr>
        <w:t xml:space="preserve">o comprobantes que amparan las erogaciones que se realizan con erario público tienen naturaleza análoga, pues </w:t>
      </w:r>
      <w:r>
        <w:rPr>
          <w:rFonts w:ascii="Palatino Linotype" w:eastAsia="Palatino Linotype" w:hAnsi="Palatino Linotype" w:cs="Palatino Linotype"/>
          <w:b/>
          <w:color w:val="000000"/>
        </w:rPr>
        <w:t>constituyen los medios idóneos de evidencia del gasto realizado con recursos públicos</w:t>
      </w:r>
      <w:r>
        <w:rPr>
          <w:rFonts w:ascii="Palatino Linotype" w:eastAsia="Palatino Linotype" w:hAnsi="Palatino Linotype" w:cs="Palatino Linotype"/>
          <w:color w:val="000000"/>
        </w:rPr>
        <w:t>.</w:t>
      </w:r>
    </w:p>
    <w:p w14:paraId="443BF6E6" w14:textId="77777777" w:rsidR="003B1BD3" w:rsidRDefault="003B1BD3">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p w14:paraId="4B7BBDEE" w14:textId="77777777" w:rsidR="003B1BD3" w:rsidRDefault="00EC4FBA">
      <w:pPr>
        <w:numPr>
          <w:ilvl w:val="0"/>
          <w:numId w:val="1"/>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rPr>
        <w:t>Al respecto, conviene precisar que en el cumplimiento de los principios que rigen la función pública,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Asimismo, señala que todos los pagos se harán mediante orden escrita en la que se expresará la partida del presupuesto a cargo de la cual se realizan.</w:t>
      </w:r>
    </w:p>
    <w:p w14:paraId="65322E46" w14:textId="77777777" w:rsidR="003B1BD3" w:rsidRDefault="003B1BD3">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p w14:paraId="512612F6" w14:textId="77777777" w:rsidR="003B1BD3" w:rsidRDefault="00EC4FBA">
      <w:pPr>
        <w:numPr>
          <w:ilvl w:val="0"/>
          <w:numId w:val="1"/>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rPr>
        <w:t>Como se ha dicho anteriormente, es atribución del Tesorero Municipal la de llevar los registros contables, financieros y administrativos de los ingresos, egresos e inventarios. En ese sentido, los artículos 342, 343, 344 y 345 del Código Financiero del Estado de México y Municipios disponen el sistema y las políticas que deben seguirse para llevar el registro contable y presupuestal de las operaciones financieras, en los siguientes términos:</w:t>
      </w:r>
    </w:p>
    <w:p w14:paraId="3CB257E9" w14:textId="77777777" w:rsidR="003B1BD3" w:rsidRDefault="00EC4FBA">
      <w:pPr>
        <w:pBdr>
          <w:top w:val="nil"/>
          <w:left w:val="nil"/>
          <w:bottom w:val="nil"/>
          <w:right w:val="nil"/>
          <w:between w:val="nil"/>
        </w:pBdr>
        <w:tabs>
          <w:tab w:val="left" w:pos="426"/>
        </w:tabs>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342.-</w:t>
      </w:r>
      <w:r>
        <w:rPr>
          <w:rFonts w:ascii="Palatino Linotype" w:eastAsia="Palatino Linotype" w:hAnsi="Palatino Linotype" w:cs="Palatino Linotype"/>
          <w:i/>
          <w:color w:val="000000"/>
          <w:sz w:val="22"/>
          <w:szCs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20E358BE" w14:textId="77777777" w:rsidR="003B1BD3" w:rsidRDefault="00EC4FBA">
      <w:pPr>
        <w:pBdr>
          <w:top w:val="nil"/>
          <w:left w:val="nil"/>
          <w:bottom w:val="nil"/>
          <w:right w:val="nil"/>
          <w:between w:val="nil"/>
        </w:pBdr>
        <w:tabs>
          <w:tab w:val="left" w:pos="426"/>
        </w:tabs>
        <w:spacing w:line="360" w:lineRule="auto"/>
        <w:ind w:left="567"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CD0355C" w14:textId="77777777" w:rsidR="003B1BD3" w:rsidRDefault="003B1BD3">
      <w:pPr>
        <w:pBdr>
          <w:top w:val="nil"/>
          <w:left w:val="nil"/>
          <w:bottom w:val="nil"/>
          <w:right w:val="nil"/>
          <w:between w:val="nil"/>
        </w:pBdr>
        <w:tabs>
          <w:tab w:val="left" w:pos="426"/>
        </w:tabs>
        <w:spacing w:line="276" w:lineRule="auto"/>
        <w:ind w:left="567" w:right="115"/>
        <w:jc w:val="both"/>
        <w:rPr>
          <w:rFonts w:ascii="Palatino Linotype" w:eastAsia="Palatino Linotype" w:hAnsi="Palatino Linotype" w:cs="Palatino Linotype"/>
          <w:i/>
          <w:color w:val="000000"/>
          <w:sz w:val="22"/>
          <w:szCs w:val="22"/>
        </w:rPr>
      </w:pPr>
    </w:p>
    <w:p w14:paraId="6A9BD712" w14:textId="77777777" w:rsidR="003B1BD3" w:rsidRDefault="00EC4FBA">
      <w:pPr>
        <w:pBdr>
          <w:top w:val="nil"/>
          <w:left w:val="nil"/>
          <w:bottom w:val="nil"/>
          <w:right w:val="nil"/>
          <w:between w:val="nil"/>
        </w:pBdr>
        <w:tabs>
          <w:tab w:val="left" w:pos="851"/>
        </w:tabs>
        <w:spacing w:line="360"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343.-</w:t>
      </w:r>
      <w:r>
        <w:rPr>
          <w:rFonts w:ascii="Palatino Linotype" w:eastAsia="Palatino Linotype" w:hAnsi="Palatino Linotype" w:cs="Palatino Linotype"/>
          <w:i/>
          <w:color w:val="000000"/>
          <w:sz w:val="22"/>
          <w:szCs w:val="22"/>
        </w:rPr>
        <w:t xml:space="preserve"> El sistema de contabilidad debe diseñarse sobre base acumulativa total y operarse en forma que facilite la fiscalización de los activos, pasivos, ingresos, egresos y, en </w:t>
      </w:r>
      <w:r>
        <w:rPr>
          <w:rFonts w:ascii="Palatino Linotype" w:eastAsia="Palatino Linotype" w:hAnsi="Palatino Linotype" w:cs="Palatino Linotype"/>
          <w:i/>
          <w:color w:val="000000"/>
          <w:sz w:val="22"/>
          <w:szCs w:val="22"/>
        </w:rPr>
        <w:lastRenderedPageBreak/>
        <w:t xml:space="preserve">general, que posibilite medir la eficacia del gasto público, y contener las medidas de control interno que permitan verificar el registro de la totalidad de las operaciones financieras. </w:t>
      </w:r>
    </w:p>
    <w:p w14:paraId="7796C6C5" w14:textId="77777777" w:rsidR="003B1BD3" w:rsidRDefault="00EC4FBA">
      <w:pPr>
        <w:pBdr>
          <w:top w:val="nil"/>
          <w:left w:val="nil"/>
          <w:bottom w:val="nil"/>
          <w:right w:val="nil"/>
          <w:between w:val="nil"/>
        </w:pBdr>
        <w:tabs>
          <w:tab w:val="left" w:pos="851"/>
        </w:tabs>
        <w:spacing w:line="360"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 sistema de contabilidad sobre base acumulativa total se sustentará en los postulados básicos y el marco conceptual de la contabilidad gubernamental.”</w:t>
      </w:r>
    </w:p>
    <w:p w14:paraId="6E546FB8" w14:textId="77777777" w:rsidR="003B1BD3" w:rsidRDefault="003B1BD3">
      <w:pPr>
        <w:pBdr>
          <w:top w:val="nil"/>
          <w:left w:val="nil"/>
          <w:bottom w:val="nil"/>
          <w:right w:val="nil"/>
          <w:between w:val="nil"/>
        </w:pBdr>
        <w:tabs>
          <w:tab w:val="left" w:pos="851"/>
        </w:tabs>
        <w:spacing w:line="360" w:lineRule="auto"/>
        <w:ind w:left="851" w:right="115"/>
        <w:jc w:val="both"/>
        <w:rPr>
          <w:rFonts w:ascii="Palatino Linotype" w:eastAsia="Palatino Linotype" w:hAnsi="Palatino Linotype" w:cs="Palatino Linotype"/>
          <w:i/>
          <w:color w:val="000000"/>
          <w:sz w:val="22"/>
          <w:szCs w:val="22"/>
        </w:rPr>
      </w:pPr>
    </w:p>
    <w:p w14:paraId="384EE54C" w14:textId="77777777" w:rsidR="003B1BD3" w:rsidRDefault="00EC4FBA">
      <w:pPr>
        <w:pBdr>
          <w:top w:val="nil"/>
          <w:left w:val="nil"/>
          <w:bottom w:val="nil"/>
          <w:right w:val="nil"/>
          <w:between w:val="nil"/>
        </w:pBdr>
        <w:tabs>
          <w:tab w:val="left" w:pos="851"/>
        </w:tabs>
        <w:spacing w:line="360"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344.-</w:t>
      </w:r>
      <w:r>
        <w:rPr>
          <w:rFonts w:ascii="Palatino Linotype" w:eastAsia="Palatino Linotype" w:hAnsi="Palatino Linotype" w:cs="Palatino Linotype"/>
          <w:i/>
          <w:color w:val="000000"/>
          <w:sz w:val="22"/>
          <w:szCs w:val="22"/>
        </w:rPr>
        <w:t xml:space="preserve">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14:paraId="45BF6D66" w14:textId="77777777" w:rsidR="003B1BD3" w:rsidRDefault="00EC4FBA">
      <w:pPr>
        <w:pBdr>
          <w:top w:val="nil"/>
          <w:left w:val="nil"/>
          <w:bottom w:val="nil"/>
          <w:right w:val="nil"/>
          <w:between w:val="nil"/>
        </w:pBdr>
        <w:tabs>
          <w:tab w:val="left" w:pos="851"/>
        </w:tabs>
        <w:spacing w:line="360"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Derogado. </w:t>
      </w:r>
    </w:p>
    <w:p w14:paraId="5BD4C542" w14:textId="77777777" w:rsidR="003B1BD3" w:rsidRDefault="00EC4FBA">
      <w:pPr>
        <w:pBdr>
          <w:top w:val="nil"/>
          <w:left w:val="nil"/>
          <w:bottom w:val="nil"/>
          <w:right w:val="nil"/>
          <w:between w:val="nil"/>
        </w:pBdr>
        <w:tabs>
          <w:tab w:val="left" w:pos="851"/>
        </w:tabs>
        <w:spacing w:line="360"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0CA061B3" w14:textId="77777777" w:rsidR="003B1BD3" w:rsidRDefault="00EC4FBA">
      <w:pPr>
        <w:pBdr>
          <w:top w:val="nil"/>
          <w:left w:val="nil"/>
          <w:bottom w:val="nil"/>
          <w:right w:val="nil"/>
          <w:between w:val="nil"/>
        </w:pBdr>
        <w:tabs>
          <w:tab w:val="left" w:pos="851"/>
        </w:tabs>
        <w:spacing w:line="360"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FD0D901" w14:textId="77777777" w:rsidR="003B1BD3" w:rsidRDefault="003B1BD3">
      <w:pPr>
        <w:pBdr>
          <w:top w:val="nil"/>
          <w:left w:val="nil"/>
          <w:bottom w:val="nil"/>
          <w:right w:val="nil"/>
          <w:between w:val="nil"/>
        </w:pBdr>
        <w:tabs>
          <w:tab w:val="left" w:pos="851"/>
        </w:tabs>
        <w:spacing w:line="360" w:lineRule="auto"/>
        <w:ind w:left="851" w:right="115"/>
        <w:jc w:val="both"/>
        <w:rPr>
          <w:rFonts w:ascii="Palatino Linotype" w:eastAsia="Palatino Linotype" w:hAnsi="Palatino Linotype" w:cs="Palatino Linotype"/>
          <w:i/>
          <w:color w:val="000000"/>
          <w:sz w:val="22"/>
          <w:szCs w:val="22"/>
        </w:rPr>
      </w:pPr>
    </w:p>
    <w:p w14:paraId="0A21F86C" w14:textId="77777777" w:rsidR="003B1BD3" w:rsidRDefault="00EC4FBA">
      <w:pPr>
        <w:pBdr>
          <w:top w:val="nil"/>
          <w:left w:val="nil"/>
          <w:bottom w:val="nil"/>
          <w:right w:val="nil"/>
          <w:between w:val="nil"/>
        </w:pBdr>
        <w:tabs>
          <w:tab w:val="left" w:pos="851"/>
        </w:tabs>
        <w:spacing w:line="360"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345.-</w:t>
      </w:r>
      <w:r>
        <w:rPr>
          <w:rFonts w:ascii="Palatino Linotype" w:eastAsia="Palatino Linotype" w:hAnsi="Palatino Linotype" w:cs="Palatino Linotype"/>
          <w:i/>
          <w:color w:val="000000"/>
          <w:sz w:val="22"/>
          <w:szCs w:val="22"/>
        </w:rPr>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14:paraId="544400DA" w14:textId="77777777" w:rsidR="003B1BD3" w:rsidRDefault="00EC4FBA">
      <w:pPr>
        <w:pBdr>
          <w:top w:val="nil"/>
          <w:left w:val="nil"/>
          <w:bottom w:val="nil"/>
          <w:right w:val="nil"/>
          <w:between w:val="nil"/>
        </w:pBdr>
        <w:tabs>
          <w:tab w:val="left" w:pos="851"/>
        </w:tabs>
        <w:spacing w:line="360"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 plazo señalado en el párrafo anterior, empezará a contar a partir de la publicación en el Periódico Oficial, del decreto correspondiente. “</w:t>
      </w:r>
    </w:p>
    <w:p w14:paraId="4FE19F2F" w14:textId="77777777" w:rsidR="003B1BD3" w:rsidRDefault="00EC4FBA">
      <w:pPr>
        <w:numPr>
          <w:ilvl w:val="0"/>
          <w:numId w:val="1"/>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rPr>
        <w:lastRenderedPageBreak/>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1DA4AECF" w14:textId="77777777" w:rsidR="003B1BD3" w:rsidRDefault="003B1BD3">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p w14:paraId="51D301C8" w14:textId="77777777" w:rsidR="003B1BD3" w:rsidRDefault="00EC4FBA">
      <w:pPr>
        <w:numPr>
          <w:ilvl w:val="0"/>
          <w:numId w:val="1"/>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rPr>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26F8338B" w14:textId="77777777" w:rsidR="003B1BD3" w:rsidRDefault="00EC4FBA">
      <w:pPr>
        <w:pBdr>
          <w:top w:val="nil"/>
          <w:left w:val="nil"/>
          <w:bottom w:val="nil"/>
          <w:right w:val="nil"/>
          <w:between w:val="nil"/>
        </w:pBdr>
        <w:tabs>
          <w:tab w:val="left" w:pos="709"/>
          <w:tab w:val="left" w:pos="8222"/>
        </w:tabs>
        <w:spacing w:line="276" w:lineRule="auto"/>
        <w:ind w:left="851" w:right="11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REGISTRO CONTABLE:</w:t>
      </w:r>
    </w:p>
    <w:p w14:paraId="1ADE25D4" w14:textId="77777777" w:rsidR="003B1BD3" w:rsidRDefault="00EC4FBA">
      <w:pPr>
        <w:pBdr>
          <w:top w:val="nil"/>
          <w:left w:val="nil"/>
          <w:bottom w:val="nil"/>
          <w:right w:val="nil"/>
          <w:between w:val="nil"/>
        </w:pBdr>
        <w:tabs>
          <w:tab w:val="left" w:pos="709"/>
          <w:tab w:val="left" w:pos="8222"/>
        </w:tabs>
        <w:spacing w:line="276"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Asiento que se realiza en los libros de contabilidad de las actividades relacionadas con el ingreso y egresos de un ente económico.” </w:t>
      </w:r>
    </w:p>
    <w:p w14:paraId="575DF0AF" w14:textId="77777777" w:rsidR="003B1BD3" w:rsidRDefault="003B1BD3">
      <w:pPr>
        <w:pBdr>
          <w:top w:val="nil"/>
          <w:left w:val="nil"/>
          <w:bottom w:val="nil"/>
          <w:right w:val="nil"/>
          <w:between w:val="nil"/>
        </w:pBdr>
        <w:tabs>
          <w:tab w:val="left" w:pos="709"/>
          <w:tab w:val="left" w:pos="8222"/>
        </w:tabs>
        <w:spacing w:line="276" w:lineRule="auto"/>
        <w:ind w:left="851" w:right="115"/>
        <w:jc w:val="both"/>
        <w:rPr>
          <w:rFonts w:ascii="Palatino Linotype" w:eastAsia="Palatino Linotype" w:hAnsi="Palatino Linotype" w:cs="Palatino Linotype"/>
          <w:i/>
          <w:color w:val="000000"/>
          <w:sz w:val="22"/>
          <w:szCs w:val="22"/>
        </w:rPr>
      </w:pPr>
    </w:p>
    <w:p w14:paraId="49E74C08" w14:textId="77777777" w:rsidR="003B1BD3" w:rsidRDefault="00EC4FBA">
      <w:pPr>
        <w:pBdr>
          <w:top w:val="nil"/>
          <w:left w:val="nil"/>
          <w:bottom w:val="nil"/>
          <w:right w:val="nil"/>
          <w:between w:val="nil"/>
        </w:pBdr>
        <w:tabs>
          <w:tab w:val="left" w:pos="709"/>
          <w:tab w:val="left" w:pos="8222"/>
        </w:tabs>
        <w:spacing w:line="276" w:lineRule="auto"/>
        <w:ind w:left="851" w:right="11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REGISTRO PRESUPUESTARIO:</w:t>
      </w:r>
    </w:p>
    <w:p w14:paraId="495C9C4F" w14:textId="77777777" w:rsidR="003B1BD3" w:rsidRDefault="00EC4FBA">
      <w:pPr>
        <w:pBdr>
          <w:top w:val="nil"/>
          <w:left w:val="nil"/>
          <w:bottom w:val="nil"/>
          <w:right w:val="nil"/>
          <w:between w:val="nil"/>
        </w:pBdr>
        <w:tabs>
          <w:tab w:val="left" w:pos="709"/>
          <w:tab w:val="left" w:pos="8222"/>
        </w:tabs>
        <w:spacing w:line="276"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Asiento contable de las erogaciones realizadas por las dependencias y entidades con relación a la asignación, modificación y ejercicio de los recursos presupuestarios que se les hayan autorizado.”</w:t>
      </w:r>
    </w:p>
    <w:p w14:paraId="00E54E88" w14:textId="77777777" w:rsidR="003B1BD3" w:rsidRDefault="003B1BD3">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p w14:paraId="780263FC" w14:textId="77777777" w:rsidR="003B1BD3" w:rsidRDefault="00EC4FBA">
      <w:pPr>
        <w:numPr>
          <w:ilvl w:val="0"/>
          <w:numId w:val="1"/>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rPr>
        <w:t xml:space="preserve">Por otra parte, se establece que el sistema de contabilidad sobre base acumulativa total se sustentará en los principios de contabilidad gubernamental. Igualmente, los preceptos legales </w:t>
      </w:r>
      <w:r>
        <w:rPr>
          <w:rFonts w:ascii="Palatino Linotype" w:eastAsia="Palatino Linotype" w:hAnsi="Palatino Linotype" w:cs="Palatino Linotype"/>
          <w:color w:val="000000"/>
        </w:rPr>
        <w:lastRenderedPageBreak/>
        <w:t>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0EC2BDAD" w14:textId="77777777" w:rsidR="003B1BD3" w:rsidRDefault="003B1BD3">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p w14:paraId="5FF34FEA" w14:textId="77777777" w:rsidR="003B1BD3" w:rsidRDefault="00EC4FBA">
      <w:pPr>
        <w:numPr>
          <w:ilvl w:val="0"/>
          <w:numId w:val="1"/>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rPr>
        <w:t>Correlativo a lo anterior, es preciso referir una definición de póliza contable, la cual, primeramente, no está definida en el Código Financiero del Estado de México y Municipios; no obstante, los ya mencionados Glosarios la definen como:</w:t>
      </w:r>
    </w:p>
    <w:p w14:paraId="144DBB72" w14:textId="77777777" w:rsidR="003B1BD3" w:rsidRDefault="00EC4FBA">
      <w:pPr>
        <w:pBdr>
          <w:top w:val="nil"/>
          <w:left w:val="nil"/>
          <w:bottom w:val="nil"/>
          <w:right w:val="nil"/>
          <w:between w:val="nil"/>
        </w:pBdr>
        <w:tabs>
          <w:tab w:val="left" w:pos="851"/>
        </w:tabs>
        <w:spacing w:line="276" w:lineRule="auto"/>
        <w:ind w:left="851" w:right="11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PÓLIZA CONTABLE:</w:t>
      </w:r>
    </w:p>
    <w:p w14:paraId="051CCC6D" w14:textId="77777777" w:rsidR="003B1BD3" w:rsidRDefault="00EC4FBA">
      <w:pPr>
        <w:pBdr>
          <w:top w:val="nil"/>
          <w:left w:val="nil"/>
          <w:bottom w:val="nil"/>
          <w:right w:val="nil"/>
          <w:between w:val="nil"/>
        </w:pBdr>
        <w:tabs>
          <w:tab w:val="left" w:pos="851"/>
        </w:tabs>
        <w:spacing w:line="276" w:lineRule="auto"/>
        <w:ind w:left="851" w:right="11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Documento en el cual se asientan en forma individual todas y cada una de las operaciones desarrolladas por una institución, así como la información necesaria para la identificación de dichas operaciones.”</w:t>
      </w:r>
    </w:p>
    <w:p w14:paraId="3CDB1411" w14:textId="77777777" w:rsidR="003B1BD3" w:rsidRDefault="003B1BD3">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p w14:paraId="3B9D98EF" w14:textId="77777777" w:rsidR="003B1BD3" w:rsidRDefault="00EC4FBA">
      <w:pPr>
        <w:numPr>
          <w:ilvl w:val="0"/>
          <w:numId w:val="1"/>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rPr>
        <w:t>Luego entonces, 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2800CA9D" w14:textId="77777777" w:rsidR="003B1BD3" w:rsidRDefault="003B1BD3">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p w14:paraId="4169AEF2" w14:textId="77777777" w:rsidR="003B1BD3" w:rsidRDefault="00EC4FBA">
      <w:pPr>
        <w:numPr>
          <w:ilvl w:val="0"/>
          <w:numId w:val="1"/>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rPr>
        <w:t xml:space="preserve">Al respecto, existen diversos tipos de pólizas contables de acuerdo a las operaciones realizadas, dentro de las cuales, encontramos las llamadas pólizas de egresos e ingresos, en las cuales se anotan diariamente las operaciones que representan egresos e ingresos, es decir, salidas y entradas de dinero para, la </w:t>
      </w:r>
      <w:proofErr w:type="gramStart"/>
      <w:r>
        <w:rPr>
          <w:rFonts w:ascii="Palatino Linotype" w:eastAsia="Palatino Linotype" w:hAnsi="Palatino Linotype" w:cs="Palatino Linotype"/>
          <w:color w:val="000000"/>
        </w:rPr>
        <w:t>cual</w:t>
      </w:r>
      <w:proofErr w:type="gramEnd"/>
      <w:r>
        <w:rPr>
          <w:rFonts w:ascii="Palatino Linotype" w:eastAsia="Palatino Linotype" w:hAnsi="Palatino Linotype" w:cs="Palatino Linotype"/>
          <w:color w:val="000000"/>
        </w:rPr>
        <w:t xml:space="preserve"> además, debe encontrarse acompañada de las documentales que sirven de soporte de dicho movimiento.</w:t>
      </w:r>
    </w:p>
    <w:p w14:paraId="0E693F73" w14:textId="77777777" w:rsidR="003B1BD3" w:rsidRDefault="003B1BD3">
      <w:pPr>
        <w:pBdr>
          <w:top w:val="nil"/>
          <w:left w:val="nil"/>
          <w:bottom w:val="nil"/>
          <w:right w:val="nil"/>
          <w:between w:val="nil"/>
        </w:pBdr>
        <w:ind w:right="-734"/>
        <w:rPr>
          <w:rFonts w:ascii="Palatino Linotype" w:eastAsia="Palatino Linotype" w:hAnsi="Palatino Linotype" w:cs="Palatino Linotype"/>
          <w:color w:val="000000"/>
        </w:rPr>
      </w:pPr>
    </w:p>
    <w:p w14:paraId="76B3E7D4" w14:textId="77777777" w:rsidR="002345EB" w:rsidRPr="002345EB" w:rsidRDefault="00EC4FBA">
      <w:pPr>
        <w:numPr>
          <w:ilvl w:val="0"/>
          <w:numId w:val="1"/>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rPr>
        <w:lastRenderedPageBreak/>
        <w:t xml:space="preserve">Asimismo, se refuerza que al tener que documentar cada egreso e ingreso que se realiza de manera diaria, queda claro que el Sujeto Obligado debe generar, administrar y poseer la información que solicitó el particular. Por ello, </w:t>
      </w:r>
      <w:r>
        <w:rPr>
          <w:rFonts w:ascii="Palatino Linotype" w:eastAsia="Palatino Linotype" w:hAnsi="Palatino Linotype" w:cs="Palatino Linotype"/>
        </w:rPr>
        <w:t>de manera</w:t>
      </w:r>
      <w:r>
        <w:rPr>
          <w:rFonts w:ascii="Palatino Linotype" w:eastAsia="Palatino Linotype" w:hAnsi="Palatino Linotype" w:cs="Palatino Linotype"/>
          <w:color w:val="000000"/>
        </w:rPr>
        <w:t xml:space="preserve"> enunciativa más no limitativa, la información solicitada puede colmarse con la entrega de la póliza de egresos e ingresos.</w:t>
      </w:r>
    </w:p>
    <w:p w14:paraId="6ED1B409" w14:textId="77777777" w:rsidR="003B1BD3" w:rsidRDefault="00EC4FBA" w:rsidP="002345EB">
      <w:pPr>
        <w:pBdr>
          <w:top w:val="nil"/>
          <w:left w:val="nil"/>
          <w:bottom w:val="nil"/>
          <w:right w:val="nil"/>
          <w:between w:val="nil"/>
        </w:pBdr>
        <w:tabs>
          <w:tab w:val="left" w:pos="426"/>
        </w:tabs>
        <w:spacing w:line="360" w:lineRule="auto"/>
        <w:ind w:right="-734"/>
        <w:jc w:val="both"/>
        <w:rPr>
          <w:color w:val="000000"/>
        </w:rPr>
      </w:pPr>
      <w:r>
        <w:rPr>
          <w:rFonts w:ascii="Palatino Linotype" w:eastAsia="Palatino Linotype" w:hAnsi="Palatino Linotype" w:cs="Palatino Linotype"/>
          <w:color w:val="000000"/>
        </w:rPr>
        <w:t xml:space="preserve"> </w:t>
      </w:r>
    </w:p>
    <w:p w14:paraId="7DF4BF91"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Ahora bien, derivado de la información solicitada, también es necesario traer a contexto lo dispuesto en la Ley de la Contratación Pública del Estado de México y Municipios, la cual tiene por objeto regular los actos relativos a la planeación, programación, presupuestación, ejecución y control de </w:t>
      </w:r>
      <w:r>
        <w:rPr>
          <w:rFonts w:ascii="Palatino Linotype" w:eastAsia="Palatino Linotype" w:hAnsi="Palatino Linotype" w:cs="Palatino Linotype"/>
          <w:b/>
          <w:color w:val="000000"/>
        </w:rPr>
        <w:t>la adquisición</w:t>
      </w:r>
      <w:r>
        <w:rPr>
          <w:rFonts w:ascii="Palatino Linotype" w:eastAsia="Palatino Linotype" w:hAnsi="Palatino Linotype" w:cs="Palatino Linotype"/>
          <w:color w:val="000000"/>
        </w:rPr>
        <w:t xml:space="preserve">, enajenación y </w:t>
      </w:r>
      <w:r>
        <w:rPr>
          <w:rFonts w:ascii="Palatino Linotype" w:eastAsia="Palatino Linotype" w:hAnsi="Palatino Linotype" w:cs="Palatino Linotype"/>
          <w:b/>
          <w:color w:val="000000"/>
        </w:rPr>
        <w:t>arrendamiento de bienes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y la contratación de servicios de cualquier naturaleza</w:t>
      </w:r>
      <w:r>
        <w:rPr>
          <w:rFonts w:ascii="Palatino Linotype" w:eastAsia="Palatino Linotype" w:hAnsi="Palatino Linotype" w:cs="Palatino Linotype"/>
          <w:color w:val="000000"/>
        </w:rPr>
        <w:t xml:space="preserve">, que realicen los Ayuntamientos del Estado; los cuales se </w:t>
      </w:r>
      <w:r>
        <w:rPr>
          <w:rFonts w:ascii="Palatino Linotype" w:eastAsia="Palatino Linotype" w:hAnsi="Palatino Linotype" w:cs="Palatino Linotype"/>
        </w:rPr>
        <w:t>adjudicará</w:t>
      </w:r>
      <w:r>
        <w:rPr>
          <w:rFonts w:ascii="Palatino Linotype" w:eastAsia="Palatino Linotype" w:hAnsi="Palatino Linotype" w:cs="Palatino Linotype"/>
          <w:color w:val="000000"/>
        </w:rPr>
        <w:t xml:space="preserve"> a través de licitaciones públicas, invitación restringida o adjudicación directa, mediante convocatoria pública, tal y como lo establecen los artículos 4, 26 y 27 de dicha Ley, los cuales son del tenor siguiente:</w:t>
      </w:r>
    </w:p>
    <w:p w14:paraId="31661915" w14:textId="77777777" w:rsidR="003B1BD3" w:rsidRDefault="00EC4FBA">
      <w:pPr>
        <w:spacing w:line="360"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Para los efectos de esta Ley, en las adquisiciones, enajenaciones, arrendamientos y servicios, quedan comprendidos: </w:t>
      </w:r>
    </w:p>
    <w:p w14:paraId="34DD1AC3" w14:textId="77777777" w:rsidR="003B1BD3" w:rsidRDefault="00EC4FBA">
      <w:pPr>
        <w:spacing w:line="360" w:lineRule="auto"/>
        <w:ind w:left="851"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 La adquisición de bienes muebles. </w:t>
      </w:r>
    </w:p>
    <w:p w14:paraId="21588668" w14:textId="77777777" w:rsidR="003B1BD3" w:rsidRDefault="00EC4FBA">
      <w:pPr>
        <w:spacing w:line="360"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La adquisición de bienes inmuebles, a través de compraventa. </w:t>
      </w:r>
    </w:p>
    <w:p w14:paraId="5C28F5E8" w14:textId="77777777" w:rsidR="003B1BD3" w:rsidRDefault="00EC4FBA">
      <w:pPr>
        <w:spacing w:line="360"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La enajenación de bienes muebles e inmuebles. </w:t>
      </w:r>
    </w:p>
    <w:p w14:paraId="2A6EB2FA" w14:textId="77777777" w:rsidR="003B1BD3" w:rsidRDefault="00EC4FBA">
      <w:pPr>
        <w:spacing w:line="360" w:lineRule="auto"/>
        <w:ind w:left="851"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IV. El arrendamiento de bienes muebles e inmuebles. </w:t>
      </w:r>
    </w:p>
    <w:p w14:paraId="73D4F7A9" w14:textId="77777777" w:rsidR="003B1BD3" w:rsidRDefault="00EC4FBA">
      <w:pPr>
        <w:spacing w:line="360" w:lineRule="auto"/>
        <w:ind w:left="851"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V. La contratación de los servicios, relacionados con bienes muebles que se encuentran incorporados o adheridos a bienes inmuebles, cuya instalación o mantenimiento no implique modificación al bien inmueble. </w:t>
      </w:r>
    </w:p>
    <w:p w14:paraId="4C2DFC3D" w14:textId="77777777" w:rsidR="003B1BD3" w:rsidRDefault="00EC4FBA">
      <w:pPr>
        <w:spacing w:line="360"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La contratación de los servicios de reconstrucción y mantenimiento de bienes muebles. </w:t>
      </w:r>
    </w:p>
    <w:p w14:paraId="1B329517" w14:textId="77777777" w:rsidR="003B1BD3" w:rsidRDefault="00EC4FBA">
      <w:pPr>
        <w:spacing w:line="360"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La contratación de los servicios </w:t>
      </w:r>
      <w:r>
        <w:rPr>
          <w:rFonts w:ascii="Palatino Linotype" w:eastAsia="Palatino Linotype" w:hAnsi="Palatino Linotype" w:cs="Palatino Linotype"/>
          <w:i/>
          <w:sz w:val="22"/>
          <w:szCs w:val="22"/>
        </w:rPr>
        <w:t>de maquila, seguros y transportación, así como de los de limpieza y vigilancia de bienes inmuebles</w:t>
      </w:r>
    </w:p>
    <w:p w14:paraId="7E8E6087" w14:textId="77777777" w:rsidR="003B1BD3" w:rsidRDefault="00EC4FBA">
      <w:pPr>
        <w:spacing w:line="360"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VIII. La prestación de servicios profesionales, la contratación de consultorías, asesorías y estudios e investigaciones, excepto la contratación de servicios personales de personas físicas bajo el régimen de honorarios. </w:t>
      </w:r>
    </w:p>
    <w:p w14:paraId="371A1EB1" w14:textId="77777777" w:rsidR="003B1BD3" w:rsidRDefault="00EC4FBA">
      <w:pPr>
        <w:spacing w:line="360" w:lineRule="auto"/>
        <w:ind w:left="851" w:right="-25"/>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En general, otros actos que impliquen la contratación de servicios de cualquier naturaleza.</w:t>
      </w:r>
    </w:p>
    <w:p w14:paraId="00184BB0" w14:textId="77777777" w:rsidR="003B1BD3" w:rsidRDefault="00EC4FBA">
      <w:pPr>
        <w:spacing w:line="360" w:lineRule="auto"/>
        <w:ind w:left="851"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26.- Las adquisiciones, arrendamientos y servicios se adjudicarán a través de licitaciones públicas, mediante convocatoria pública.</w:t>
      </w:r>
    </w:p>
    <w:p w14:paraId="3F1C5B2E" w14:textId="77777777" w:rsidR="003B1BD3" w:rsidRDefault="003B1BD3">
      <w:pPr>
        <w:spacing w:line="360" w:lineRule="auto"/>
        <w:ind w:left="851" w:right="-25"/>
        <w:jc w:val="both"/>
        <w:rPr>
          <w:rFonts w:ascii="Palatino Linotype" w:eastAsia="Palatino Linotype" w:hAnsi="Palatino Linotype" w:cs="Palatino Linotype"/>
          <w:b/>
          <w:i/>
          <w:sz w:val="22"/>
          <w:szCs w:val="22"/>
        </w:rPr>
      </w:pPr>
    </w:p>
    <w:p w14:paraId="3DE2CF0D" w14:textId="77777777" w:rsidR="003B1BD3" w:rsidRDefault="00EC4FBA">
      <w:pPr>
        <w:spacing w:line="360"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27.- </w:t>
      </w:r>
      <w:r>
        <w:rPr>
          <w:rFonts w:ascii="Palatino Linotype" w:eastAsia="Palatino Linotype" w:hAnsi="Palatino Linotype" w:cs="Palatino Linotype"/>
          <w:i/>
          <w:sz w:val="22"/>
          <w:szCs w:val="22"/>
        </w:rPr>
        <w:t xml:space="preserve">La Secretaría, las entidades, los tribunales administrativos y los ayuntamientos podrán adjudicar adquisiciones, arrendamientos y servicios, mediante las excepciones al procedimiento de licitación que a continuación se señalan: </w:t>
      </w:r>
    </w:p>
    <w:p w14:paraId="412DF6F2" w14:textId="77777777" w:rsidR="003B1BD3" w:rsidRDefault="00EC4FBA">
      <w:pPr>
        <w:spacing w:line="360" w:lineRule="auto"/>
        <w:ind w:left="851"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 Invitación restringida. </w:t>
      </w:r>
    </w:p>
    <w:p w14:paraId="1B6777DC" w14:textId="77777777" w:rsidR="003B1BD3" w:rsidRDefault="00EC4FBA">
      <w:pPr>
        <w:spacing w:line="360" w:lineRule="auto"/>
        <w:ind w:left="851"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 Adjudicación directa.”</w:t>
      </w:r>
    </w:p>
    <w:p w14:paraId="6B6DF382" w14:textId="77777777" w:rsidR="003B1BD3" w:rsidRDefault="00EC4FBA">
      <w:pPr>
        <w:ind w:left="567" w:right="-25"/>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(Énfasis añadido) </w:t>
      </w:r>
    </w:p>
    <w:p w14:paraId="7423B217" w14:textId="77777777" w:rsidR="003B1BD3" w:rsidRDefault="003B1BD3">
      <w:pPr>
        <w:spacing w:line="360" w:lineRule="auto"/>
        <w:ind w:right="-734"/>
        <w:jc w:val="both"/>
        <w:rPr>
          <w:rFonts w:ascii="Palatino Linotype" w:eastAsia="Palatino Linotype" w:hAnsi="Palatino Linotype" w:cs="Palatino Linotype"/>
        </w:rPr>
      </w:pPr>
    </w:p>
    <w:p w14:paraId="187423E7"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3A921F06" w14:textId="77777777" w:rsidR="003B1BD3" w:rsidRDefault="003B1BD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12BCF54F"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761BA027" w14:textId="77777777" w:rsidR="003B1BD3" w:rsidRDefault="003B1BD3">
      <w:pPr>
        <w:pBdr>
          <w:top w:val="nil"/>
          <w:left w:val="nil"/>
          <w:bottom w:val="nil"/>
          <w:right w:val="nil"/>
          <w:between w:val="nil"/>
        </w:pBdr>
        <w:ind w:right="-734"/>
        <w:rPr>
          <w:rFonts w:ascii="Palatino Linotype" w:eastAsia="Palatino Linotype" w:hAnsi="Palatino Linotype" w:cs="Palatino Linotype"/>
          <w:color w:val="000000"/>
        </w:rPr>
      </w:pPr>
    </w:p>
    <w:p w14:paraId="1CDBEAD0"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lastRenderedPageBreak/>
        <w:t>Por lo que, en las licitaciones se debe seguir el procedimiento marcado en el artículo 35 del precitado ordenamiento, que literalmente establece:</w:t>
      </w:r>
    </w:p>
    <w:p w14:paraId="3BCBDDBE" w14:textId="77777777" w:rsidR="002345EB" w:rsidRDefault="002345EB">
      <w:pPr>
        <w:spacing w:line="360" w:lineRule="auto"/>
        <w:ind w:left="567" w:right="-25"/>
        <w:jc w:val="both"/>
        <w:rPr>
          <w:rFonts w:ascii="Palatino Linotype" w:eastAsia="Palatino Linotype" w:hAnsi="Palatino Linotype" w:cs="Palatino Linotype"/>
          <w:b/>
          <w:i/>
          <w:sz w:val="22"/>
          <w:szCs w:val="22"/>
        </w:rPr>
      </w:pPr>
    </w:p>
    <w:p w14:paraId="170693FF" w14:textId="77777777" w:rsidR="003B1BD3" w:rsidRDefault="00EC4FB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35</w:t>
      </w:r>
      <w:r>
        <w:rPr>
          <w:rFonts w:ascii="Palatino Linotype" w:eastAsia="Palatino Linotype" w:hAnsi="Palatino Linotype" w:cs="Palatino Linotype"/>
          <w:i/>
          <w:sz w:val="22"/>
          <w:szCs w:val="22"/>
        </w:rPr>
        <w:t>.- En los procedimientos de licitación pública se observará lo siguiente:</w:t>
      </w:r>
    </w:p>
    <w:p w14:paraId="72686C89" w14:textId="77777777" w:rsidR="003B1BD3" w:rsidRDefault="00EC4FB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El acto de presentación y apertura de propuestas se llevará a cabo por el servidor público que designe la convocante, conforme al procedimiento que se establezca en el reglamento de esta Ley.</w:t>
      </w:r>
    </w:p>
    <w:p w14:paraId="2B18A7E0" w14:textId="77777777" w:rsidR="003B1BD3" w:rsidRDefault="00EC4FB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El comité de adquisiciones y servicios evaluará y analizará las propuestas técnicas y económicas presentadas por los licitantes en el ámbito de las respectivas competencias de sus integrantes, y emitirá el dictamen de adjudicación.</w:t>
      </w:r>
    </w:p>
    <w:p w14:paraId="6BED09A0" w14:textId="77777777" w:rsidR="003B1BD3" w:rsidRDefault="00EC4FB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Las bases de licitación se pondrán a la venta a partir de la fecha de publicación de la convocatoria y hasta el día hábil anterior a la fecha de celebración </w:t>
      </w:r>
      <w:r>
        <w:rPr>
          <w:rFonts w:ascii="Palatino Linotype" w:eastAsia="Palatino Linotype" w:hAnsi="Palatino Linotype" w:cs="Palatino Linotype"/>
          <w:b/>
          <w:i/>
          <w:sz w:val="22"/>
          <w:szCs w:val="22"/>
        </w:rPr>
        <w:t>de la junta de aclaraciones</w:t>
      </w:r>
      <w:r>
        <w:rPr>
          <w:rFonts w:ascii="Palatino Linotype" w:eastAsia="Palatino Linotype" w:hAnsi="Palatino Linotype" w:cs="Palatino Linotype"/>
          <w:i/>
          <w:sz w:val="22"/>
          <w:szCs w:val="22"/>
        </w:rPr>
        <w:t xml:space="preserve"> o, en su defecto, del acto de presentación y apertura de propuestas.</w:t>
      </w:r>
    </w:p>
    <w:p w14:paraId="7F972360" w14:textId="77777777" w:rsidR="003B1BD3" w:rsidRDefault="00EC4FB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Las convocantes podrán modificar los plazos y términos establecidos en la convocatoria o en las bases de licitación, hasta cinco días hábiles anteriores a la fecha de la celebración del acto de presentación y apertura de propuestas.</w:t>
      </w:r>
    </w:p>
    <w:p w14:paraId="64351B93" w14:textId="77777777" w:rsidR="003B1BD3" w:rsidRDefault="00EC4FB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Las modificaciones no podrán limitar el número de licitantes, sustituir o variar sustancialmente los bienes o servicios convocados originalmente, ni adicionar </w:t>
      </w:r>
      <w:proofErr w:type="gramStart"/>
      <w:r>
        <w:rPr>
          <w:rFonts w:ascii="Palatino Linotype" w:eastAsia="Palatino Linotype" w:hAnsi="Palatino Linotype" w:cs="Palatino Linotype"/>
          <w:i/>
          <w:sz w:val="22"/>
          <w:szCs w:val="22"/>
        </w:rPr>
        <w:t>otros  distintos</w:t>
      </w:r>
      <w:proofErr w:type="gramEnd"/>
      <w:r>
        <w:rPr>
          <w:rFonts w:ascii="Palatino Linotype" w:eastAsia="Palatino Linotype" w:hAnsi="Palatino Linotype" w:cs="Palatino Linotype"/>
          <w:i/>
          <w:sz w:val="22"/>
          <w:szCs w:val="22"/>
        </w:rPr>
        <w:t>.</w:t>
      </w:r>
    </w:p>
    <w:p w14:paraId="646FC06D" w14:textId="77777777" w:rsidR="003B1BD3" w:rsidRDefault="00EC4FB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Las modificaciones a la convocatoria o a las bases se harán del conocimiento de los interesados hasta tres días hábiles antes de la fecha señalada para el acto de presentación y apertura de propuestas.</w:t>
      </w:r>
    </w:p>
    <w:p w14:paraId="2E35F043" w14:textId="77777777" w:rsidR="003B1BD3" w:rsidRDefault="00EC4FB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Se emitirá el fallo dentro de los 15 días hábiles siguientes a la publicación de la convocatoria.</w:t>
      </w:r>
    </w:p>
    <w:p w14:paraId="664F0BEF" w14:textId="77777777" w:rsidR="003B1BD3" w:rsidRDefault="00EC4FB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Los licitantes se podrán registrar hasta el día y la hora fijados para el acto de presentación y apertura de propuestas.</w:t>
      </w:r>
      <w:r>
        <w:rPr>
          <w:rFonts w:ascii="Palatino Linotype" w:eastAsia="Palatino Linotype" w:hAnsi="Palatino Linotype" w:cs="Palatino Linotype"/>
          <w:b/>
          <w:i/>
          <w:sz w:val="22"/>
          <w:szCs w:val="22"/>
        </w:rPr>
        <w:t>”</w:t>
      </w:r>
    </w:p>
    <w:p w14:paraId="0189C89D" w14:textId="77777777" w:rsidR="003B1BD3" w:rsidRDefault="00EC4FBA">
      <w:pPr>
        <w:spacing w:line="360" w:lineRule="auto"/>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1DE1DB05" w14:textId="77777777" w:rsidR="003B1BD3" w:rsidRDefault="003B1BD3">
      <w:pPr>
        <w:spacing w:line="360" w:lineRule="auto"/>
        <w:ind w:left="567" w:right="-734"/>
        <w:jc w:val="both"/>
        <w:rPr>
          <w:rFonts w:ascii="Palatino Linotype" w:eastAsia="Palatino Linotype" w:hAnsi="Palatino Linotype" w:cs="Palatino Linotype"/>
          <w:i/>
        </w:rPr>
      </w:pPr>
    </w:p>
    <w:p w14:paraId="7C9C1A31"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lastRenderedPageBreak/>
        <w:t xml:space="preserve">Del precepto legal, se desprende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0BA5CB2B" w14:textId="77777777" w:rsidR="003B1BD3" w:rsidRDefault="003B1BD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726FE824"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Además, respecto al dictamen y el fallo de la adjudicación, es de señalar que la Ley en mención indica lo siguiente:</w:t>
      </w:r>
    </w:p>
    <w:p w14:paraId="4A299DC5" w14:textId="77777777" w:rsidR="003B1BD3" w:rsidRDefault="00EC4FBA">
      <w:pPr>
        <w:spacing w:line="360"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37.-</w:t>
      </w:r>
      <w:r>
        <w:rPr>
          <w:rFonts w:ascii="Palatino Linotype" w:eastAsia="Palatino Linotype" w:hAnsi="Palatino Linotype" w:cs="Palatino Linotype"/>
          <w:i/>
          <w:sz w:val="22"/>
          <w:szCs w:val="22"/>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39966F99" w14:textId="77777777" w:rsidR="003B1BD3" w:rsidRDefault="003B1BD3">
      <w:pPr>
        <w:spacing w:line="360" w:lineRule="auto"/>
        <w:ind w:left="851" w:right="-167"/>
        <w:jc w:val="both"/>
        <w:rPr>
          <w:rFonts w:ascii="Palatino Linotype" w:eastAsia="Palatino Linotype" w:hAnsi="Palatino Linotype" w:cs="Palatino Linotype"/>
          <w:b/>
          <w:i/>
          <w:sz w:val="22"/>
          <w:szCs w:val="22"/>
        </w:rPr>
      </w:pPr>
    </w:p>
    <w:p w14:paraId="5B442309" w14:textId="77777777" w:rsidR="003B1BD3" w:rsidRDefault="00EC4FBA">
      <w:pPr>
        <w:spacing w:line="360"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38.-</w:t>
      </w:r>
      <w:r>
        <w:rPr>
          <w:rFonts w:ascii="Palatino Linotype" w:eastAsia="Palatino Linotype" w:hAnsi="Palatino Linotype" w:cs="Palatino Linotype"/>
          <w:i/>
          <w:sz w:val="22"/>
          <w:szCs w:val="22"/>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60010408" w14:textId="77777777" w:rsidR="003B1BD3" w:rsidRDefault="00EC4FBA">
      <w:pPr>
        <w:spacing w:line="360"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fallo de adjudicación surtirá efectos desde la emisión, siendo responsabilidad de los licitantes enterarse de su contenido, por lo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a partir de ese momento, las obligaciones derivadas de éste serán exigibles sin perjuicio de la formalización del contrato respectivo, en los términos señalados en el fallo.</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w:t>
      </w:r>
    </w:p>
    <w:p w14:paraId="22049919" w14:textId="77777777" w:rsidR="003B1BD3" w:rsidRDefault="003B1BD3">
      <w:pPr>
        <w:spacing w:line="360" w:lineRule="auto"/>
        <w:ind w:left="567" w:right="-734"/>
        <w:jc w:val="both"/>
        <w:rPr>
          <w:rFonts w:ascii="Palatino Linotype" w:eastAsia="Palatino Linotype" w:hAnsi="Palatino Linotype" w:cs="Palatino Linotype"/>
          <w:i/>
        </w:rPr>
      </w:pPr>
    </w:p>
    <w:p w14:paraId="25722708"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lastRenderedPageBreak/>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2750144E" w14:textId="77777777" w:rsidR="003B1BD3" w:rsidRDefault="003B1BD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4627C93B"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7F5FAE8D"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46.-</w:t>
      </w:r>
      <w:r>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 (Sic)</w:t>
      </w:r>
    </w:p>
    <w:p w14:paraId="14B85A6D"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Por ello, el Reglamento de la Ley en comento, en su artículo 90, indica cuales lo son los supuestos que deberán observarse para llevar a cabo dicho procedimiento:</w:t>
      </w:r>
    </w:p>
    <w:p w14:paraId="7F71BD2B" w14:textId="77777777" w:rsidR="003B1BD3" w:rsidRDefault="003B1BD3">
      <w:pPr>
        <w:spacing w:line="276" w:lineRule="auto"/>
        <w:ind w:left="851" w:right="-25"/>
        <w:jc w:val="both"/>
        <w:rPr>
          <w:rFonts w:ascii="Palatino Linotype" w:eastAsia="Palatino Linotype" w:hAnsi="Palatino Linotype" w:cs="Palatino Linotype"/>
          <w:b/>
          <w:i/>
          <w:sz w:val="22"/>
          <w:szCs w:val="22"/>
        </w:rPr>
      </w:pPr>
    </w:p>
    <w:p w14:paraId="497315F4"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90.-</w:t>
      </w:r>
      <w:r>
        <w:rPr>
          <w:rFonts w:ascii="Palatino Linotype" w:eastAsia="Palatino Linotype" w:hAnsi="Palatino Linotype" w:cs="Palatino Linotype"/>
          <w:i/>
          <w:sz w:val="22"/>
          <w:szCs w:val="22"/>
        </w:rPr>
        <w:t xml:space="preserve"> En el procedimiento de invitación restringida se deberá observar lo siguiente:</w:t>
      </w:r>
    </w:p>
    <w:p w14:paraId="5F1E0AE1" w14:textId="77777777" w:rsidR="003B1BD3" w:rsidRDefault="003B1BD3">
      <w:pPr>
        <w:spacing w:line="276" w:lineRule="auto"/>
        <w:ind w:left="851" w:right="-25"/>
        <w:jc w:val="both"/>
        <w:rPr>
          <w:rFonts w:ascii="Palatino Linotype" w:eastAsia="Palatino Linotype" w:hAnsi="Palatino Linotype" w:cs="Palatino Linotype"/>
          <w:i/>
          <w:sz w:val="22"/>
          <w:szCs w:val="22"/>
        </w:rPr>
      </w:pPr>
    </w:p>
    <w:p w14:paraId="1E944064"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Se invitará a un mínimo de tres personas seleccionadas de entre las que se encuentren inscritas en el catálogo de proveedores y de prestadores de servicios.</w:t>
      </w:r>
    </w:p>
    <w:p w14:paraId="38771053"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podrá invitar a personas que no se encuentren inscritas, cuando en el giro correspondiente del catálogo de proveedores y prestadores de servicios no exista el registro mínimo de personas requeridas para tal modalidad;</w:t>
      </w:r>
    </w:p>
    <w:p w14:paraId="4ABA0B61" w14:textId="77777777" w:rsidR="003B1BD3" w:rsidRDefault="00EC4FBA">
      <w:pPr>
        <w:spacing w:line="276" w:lineRule="auto"/>
        <w:ind w:left="851"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Las bases de la invitación restringida indicarán los aspectos de la adquisición o contratación; y</w:t>
      </w:r>
    </w:p>
    <w:p w14:paraId="5E53702A" w14:textId="77777777" w:rsidR="003B1BD3" w:rsidRDefault="00EC4FBA">
      <w:pPr>
        <w:spacing w:line="276" w:lineRule="auto"/>
        <w:ind w:left="851"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III. Serán aplicables, en lo conducente, las disposiciones de la licitación pública.</w:t>
      </w:r>
      <w:r>
        <w:rPr>
          <w:rFonts w:ascii="Palatino Linotype" w:eastAsia="Palatino Linotype" w:hAnsi="Palatino Linotype" w:cs="Palatino Linotype"/>
          <w:b/>
          <w:i/>
          <w:sz w:val="22"/>
          <w:szCs w:val="22"/>
        </w:rPr>
        <w:t>”</w:t>
      </w:r>
    </w:p>
    <w:p w14:paraId="4202D2A0" w14:textId="77777777" w:rsidR="003B1BD3" w:rsidRDefault="003B1BD3">
      <w:pPr>
        <w:spacing w:line="360" w:lineRule="auto"/>
        <w:ind w:left="709" w:right="-734"/>
        <w:jc w:val="both"/>
        <w:rPr>
          <w:rFonts w:ascii="Palatino Linotype" w:eastAsia="Palatino Linotype" w:hAnsi="Palatino Linotype" w:cs="Palatino Linotype"/>
          <w:i/>
        </w:rPr>
      </w:pPr>
    </w:p>
    <w:p w14:paraId="01571607"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04F4AC1D"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lastRenderedPageBreak/>
        <w:t>Por último, y en cuanto hace a la adjudicación directa, el artículo 48 de la Ley de la Contratación Pública del Estado de México y Municipios y 91 del Reglamento de dicha Ley, indican en qué supuestos puede llevarse a cabo este procedimiento.</w:t>
      </w:r>
    </w:p>
    <w:p w14:paraId="397B9666" w14:textId="77777777" w:rsidR="003B1BD3" w:rsidRDefault="003B1BD3">
      <w:pPr>
        <w:pBdr>
          <w:top w:val="nil"/>
          <w:left w:val="nil"/>
          <w:bottom w:val="nil"/>
          <w:right w:val="nil"/>
          <w:between w:val="nil"/>
        </w:pBdr>
        <w:ind w:right="-734"/>
        <w:rPr>
          <w:rFonts w:ascii="Palatino Linotype" w:eastAsia="Palatino Linotype" w:hAnsi="Palatino Linotype" w:cs="Palatino Linotype"/>
          <w:color w:val="000000"/>
        </w:rPr>
      </w:pPr>
    </w:p>
    <w:p w14:paraId="55459F6D"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6B02076A" w14:textId="77777777" w:rsidR="003B1BD3" w:rsidRDefault="003B1BD3">
      <w:pPr>
        <w:pBdr>
          <w:top w:val="nil"/>
          <w:left w:val="nil"/>
          <w:bottom w:val="nil"/>
          <w:right w:val="nil"/>
          <w:between w:val="nil"/>
        </w:pBdr>
        <w:ind w:right="-734"/>
        <w:rPr>
          <w:rFonts w:ascii="Palatino Linotype" w:eastAsia="Palatino Linotype" w:hAnsi="Palatino Linotype" w:cs="Palatino Linotype"/>
          <w:color w:val="000000"/>
        </w:rPr>
      </w:pPr>
    </w:p>
    <w:p w14:paraId="47E36026"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En este sentido, debe decirse que los </w:t>
      </w:r>
      <w:r>
        <w:rPr>
          <w:rFonts w:ascii="Palatino Linotype" w:eastAsia="Palatino Linotype" w:hAnsi="Palatino Linotype" w:cs="Palatino Linotype"/>
          <w:b/>
          <w:color w:val="000000"/>
        </w:rPr>
        <w:t>expedientes de las adquisiciones, arrendamientos, enajenaciones y servicios</w:t>
      </w:r>
      <w:r>
        <w:rPr>
          <w:rFonts w:ascii="Palatino Linotype" w:eastAsia="Palatino Linotype" w:hAnsi="Palatino Linotype" w:cs="Palatino Linotype"/>
          <w:color w:val="000000"/>
        </w:rPr>
        <w:t>, se encuentra considerada como una de las obligaciones de transparencias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XXIX, dispone lo siguiente:</w:t>
      </w:r>
    </w:p>
    <w:p w14:paraId="78EC6858"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“Artículo 92. </w:t>
      </w:r>
      <w:r>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06BF04E"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p>
    <w:p w14:paraId="67EEAF62" w14:textId="77777777" w:rsidR="003B1BD3" w:rsidRDefault="003B1BD3">
      <w:pPr>
        <w:spacing w:line="360" w:lineRule="auto"/>
        <w:ind w:left="851" w:right="-167"/>
        <w:jc w:val="both"/>
        <w:rPr>
          <w:rFonts w:ascii="Palatino Linotype" w:eastAsia="Palatino Linotype" w:hAnsi="Palatino Linotype" w:cs="Palatino Linotype"/>
          <w:b/>
          <w:i/>
          <w:sz w:val="22"/>
          <w:szCs w:val="22"/>
        </w:rPr>
      </w:pPr>
    </w:p>
    <w:p w14:paraId="4ACB34A4"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lastRenderedPageBreak/>
        <w:t>XXIX. </w:t>
      </w:r>
      <w:r>
        <w:rPr>
          <w:rFonts w:ascii="Palatino Linotype" w:eastAsia="Palatino Linotype" w:hAnsi="Palatino Linotype" w:cs="Palatino Linotype"/>
          <w:i/>
          <w:sz w:val="22"/>
          <w:szCs w:val="22"/>
        </w:rPr>
        <w:t>La información sobre los procesos y resultados sobre procedimientos de adjudicación directa, invitación restringida y licitación de cualquier naturaleza, </w:t>
      </w:r>
      <w:r>
        <w:rPr>
          <w:rFonts w:ascii="Palatino Linotype" w:eastAsia="Palatino Linotype" w:hAnsi="Palatino Linotype" w:cs="Palatino Linotype"/>
          <w:b/>
          <w:i/>
          <w:sz w:val="22"/>
          <w:szCs w:val="22"/>
        </w:rPr>
        <w:t>incluyendo la versión pública del expediente respectivo y de los contratos</w:t>
      </w:r>
      <w:r>
        <w:rPr>
          <w:rFonts w:ascii="Palatino Linotype" w:eastAsia="Palatino Linotype" w:hAnsi="Palatino Linotype" w:cs="Palatino Linotype"/>
          <w:i/>
          <w:sz w:val="22"/>
          <w:szCs w:val="22"/>
        </w:rPr>
        <w:t> celebrados, que deberán contener, por los menos, lo siguiente:</w:t>
      </w:r>
    </w:p>
    <w:p w14:paraId="70AF62F3"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a) </w:t>
      </w:r>
      <w:r>
        <w:rPr>
          <w:rFonts w:ascii="Palatino Linotype" w:eastAsia="Palatino Linotype" w:hAnsi="Palatino Linotype" w:cs="Palatino Linotype"/>
          <w:i/>
          <w:sz w:val="22"/>
          <w:szCs w:val="22"/>
        </w:rPr>
        <w:t>De licitaciones públicas o procedimientos de invitación restringida:</w:t>
      </w:r>
    </w:p>
    <w:p w14:paraId="1373E949"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1)</w:t>
      </w:r>
      <w:r>
        <w:rPr>
          <w:rFonts w:ascii="Palatino Linotype" w:eastAsia="Palatino Linotype" w:hAnsi="Palatino Linotype" w:cs="Palatino Linotype"/>
          <w:i/>
          <w:sz w:val="22"/>
          <w:szCs w:val="22"/>
        </w:rPr>
        <w:t> La convocatoria o invitación emitida, así como los fundamentos legales aplicados para llevarla a cabo;</w:t>
      </w:r>
    </w:p>
    <w:p w14:paraId="60C9434D"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2) </w:t>
      </w:r>
      <w:r>
        <w:rPr>
          <w:rFonts w:ascii="Palatino Linotype" w:eastAsia="Palatino Linotype" w:hAnsi="Palatino Linotype" w:cs="Palatino Linotype"/>
          <w:i/>
          <w:sz w:val="22"/>
          <w:szCs w:val="22"/>
        </w:rPr>
        <w:t>Los nombres de los participantes o invitados;</w:t>
      </w:r>
    </w:p>
    <w:p w14:paraId="2427BA24"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3)</w:t>
      </w:r>
      <w:r>
        <w:rPr>
          <w:rFonts w:ascii="Palatino Linotype" w:eastAsia="Palatino Linotype" w:hAnsi="Palatino Linotype" w:cs="Palatino Linotype"/>
          <w:i/>
          <w:sz w:val="22"/>
          <w:szCs w:val="22"/>
        </w:rPr>
        <w:t> El nombre del ganador y las razones que lo justifican;</w:t>
      </w:r>
    </w:p>
    <w:p w14:paraId="231CB066"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4) </w:t>
      </w:r>
      <w:r>
        <w:rPr>
          <w:rFonts w:ascii="Palatino Linotype" w:eastAsia="Palatino Linotype" w:hAnsi="Palatino Linotype" w:cs="Palatino Linotype"/>
          <w:i/>
          <w:sz w:val="22"/>
          <w:szCs w:val="22"/>
        </w:rPr>
        <w:t>El área solicitante y la responsable de su ejecución;</w:t>
      </w:r>
    </w:p>
    <w:p w14:paraId="1EA8112C"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5) </w:t>
      </w:r>
      <w:r>
        <w:rPr>
          <w:rFonts w:ascii="Palatino Linotype" w:eastAsia="Palatino Linotype" w:hAnsi="Palatino Linotype" w:cs="Palatino Linotype"/>
          <w:i/>
          <w:sz w:val="22"/>
          <w:szCs w:val="22"/>
        </w:rPr>
        <w:t>Las convocatorias e invitaciones emitidas;</w:t>
      </w:r>
    </w:p>
    <w:p w14:paraId="30A78FD7" w14:textId="77777777" w:rsidR="003B1BD3" w:rsidRDefault="00EC4FBA">
      <w:pPr>
        <w:spacing w:line="360"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6) Los dictámenes y fallo de adjudicación;</w:t>
      </w:r>
    </w:p>
    <w:p w14:paraId="2745F031" w14:textId="77777777" w:rsidR="003B1BD3" w:rsidRDefault="00EC4FBA">
      <w:pPr>
        <w:spacing w:line="360"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7) El contrato y, en su caso, sus anexos;</w:t>
      </w:r>
    </w:p>
    <w:p w14:paraId="411C4D69" w14:textId="77777777" w:rsidR="003B1BD3" w:rsidRDefault="00EC4FBA">
      <w:pPr>
        <w:spacing w:line="360" w:lineRule="auto"/>
        <w:ind w:left="851" w:right="-1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8) Los mecanismos de vigilancia y supervisión, incluyendo en su caso, los estudios de impacto urbano y ambiental, según corresponda;</w:t>
      </w:r>
    </w:p>
    <w:p w14:paraId="75D2852A"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9) </w:t>
      </w:r>
      <w:r>
        <w:rPr>
          <w:rFonts w:ascii="Palatino Linotype" w:eastAsia="Palatino Linotype" w:hAnsi="Palatino Linotype" w:cs="Palatino Linotype"/>
          <w:i/>
          <w:sz w:val="22"/>
          <w:szCs w:val="22"/>
        </w:rPr>
        <w:t>La partida presupuestal, de conformidad con el clasificador por objeto del gasto, en el caso de ser aplicable;</w:t>
      </w:r>
    </w:p>
    <w:p w14:paraId="284B9C2A"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10) Origen de los recursos especificando si son federales, estatales o municipales, así como el tipo de fondo de participación o aportación respectiva;</w:t>
      </w:r>
    </w:p>
    <w:p w14:paraId="77B2AD21"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11) </w:t>
      </w:r>
      <w:r>
        <w:rPr>
          <w:rFonts w:ascii="Palatino Linotype" w:eastAsia="Palatino Linotype" w:hAnsi="Palatino Linotype" w:cs="Palatino Linotype"/>
          <w:i/>
          <w:sz w:val="22"/>
          <w:szCs w:val="22"/>
        </w:rPr>
        <w:t>Los convenios modificatorios que, en su caso, sean firmados, precisando el objeto y la fecha de celebración;</w:t>
      </w:r>
    </w:p>
    <w:p w14:paraId="1CA8BBD5"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12) </w:t>
      </w:r>
      <w:r>
        <w:rPr>
          <w:rFonts w:ascii="Palatino Linotype" w:eastAsia="Palatino Linotype" w:hAnsi="Palatino Linotype" w:cs="Palatino Linotype"/>
          <w:i/>
          <w:sz w:val="22"/>
          <w:szCs w:val="22"/>
        </w:rPr>
        <w:t>Los informes de avance físico y financiero sobre las obras o servicios contratados;</w:t>
      </w:r>
    </w:p>
    <w:p w14:paraId="103AA323"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13) </w:t>
      </w:r>
      <w:r>
        <w:rPr>
          <w:rFonts w:ascii="Palatino Linotype" w:eastAsia="Palatino Linotype" w:hAnsi="Palatino Linotype" w:cs="Palatino Linotype"/>
          <w:i/>
          <w:sz w:val="22"/>
          <w:szCs w:val="22"/>
        </w:rPr>
        <w:t>El convenio de terminación; y</w:t>
      </w:r>
    </w:p>
    <w:p w14:paraId="34913781"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14) </w:t>
      </w:r>
      <w:r>
        <w:rPr>
          <w:rFonts w:ascii="Palatino Linotype" w:eastAsia="Palatino Linotype" w:hAnsi="Palatino Linotype" w:cs="Palatino Linotype"/>
          <w:i/>
          <w:sz w:val="22"/>
          <w:szCs w:val="22"/>
        </w:rPr>
        <w:t>El finiquito.</w:t>
      </w:r>
    </w:p>
    <w:p w14:paraId="420B15C6" w14:textId="77777777" w:rsidR="003B1BD3" w:rsidRDefault="00EC4FBA">
      <w:pPr>
        <w:spacing w:line="360" w:lineRule="auto"/>
        <w:ind w:left="851" w:right="-167"/>
        <w:jc w:val="both"/>
        <w:rPr>
          <w:rFonts w:ascii="Palatino Linotype" w:eastAsia="Palatino Linotype" w:hAnsi="Palatino Linotype" w:cs="Palatino Linotype"/>
          <w:b/>
          <w:sz w:val="22"/>
          <w:szCs w:val="22"/>
        </w:rPr>
      </w:pPr>
      <w:r>
        <w:rPr>
          <w:rFonts w:ascii="Palatino Linotype" w:eastAsia="Palatino Linotype" w:hAnsi="Palatino Linotype" w:cs="Palatino Linotype"/>
          <w:b/>
          <w:i/>
          <w:sz w:val="22"/>
          <w:szCs w:val="22"/>
        </w:rPr>
        <w:t>b) De las adjudicaciones directas:</w:t>
      </w:r>
    </w:p>
    <w:p w14:paraId="3E4F1277"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1) </w:t>
      </w:r>
      <w:r>
        <w:rPr>
          <w:rFonts w:ascii="Palatino Linotype" w:eastAsia="Palatino Linotype" w:hAnsi="Palatino Linotype" w:cs="Palatino Linotype"/>
          <w:i/>
          <w:sz w:val="22"/>
          <w:szCs w:val="22"/>
        </w:rPr>
        <w:t>La propuesta enviada por el participante;</w:t>
      </w:r>
    </w:p>
    <w:p w14:paraId="7A842848"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lastRenderedPageBreak/>
        <w:t>2) </w:t>
      </w:r>
      <w:r>
        <w:rPr>
          <w:rFonts w:ascii="Palatino Linotype" w:eastAsia="Palatino Linotype" w:hAnsi="Palatino Linotype" w:cs="Palatino Linotype"/>
          <w:i/>
          <w:sz w:val="22"/>
          <w:szCs w:val="22"/>
        </w:rPr>
        <w:t>Los motivos y fundamentos legales aplicados para llevarla a cabo;</w:t>
      </w:r>
    </w:p>
    <w:p w14:paraId="3B0A562E"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3) </w:t>
      </w:r>
      <w:r>
        <w:rPr>
          <w:rFonts w:ascii="Palatino Linotype" w:eastAsia="Palatino Linotype" w:hAnsi="Palatino Linotype" w:cs="Palatino Linotype"/>
          <w:i/>
          <w:sz w:val="22"/>
          <w:szCs w:val="22"/>
        </w:rPr>
        <w:t>La autorización del ejercicio de la opción;</w:t>
      </w:r>
    </w:p>
    <w:p w14:paraId="1698FEA7"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4) En su caso, las cotizaciones consideradas, especificando los nombres de los proveedores y sus montos;</w:t>
      </w:r>
    </w:p>
    <w:p w14:paraId="066DFB47"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5) </w:t>
      </w:r>
      <w:r>
        <w:rPr>
          <w:rFonts w:ascii="Palatino Linotype" w:eastAsia="Palatino Linotype" w:hAnsi="Palatino Linotype" w:cs="Palatino Linotype"/>
          <w:i/>
          <w:sz w:val="22"/>
          <w:szCs w:val="22"/>
        </w:rPr>
        <w:t>El nombre de la persona física o jurídica colectiva adjudicada;</w:t>
      </w:r>
    </w:p>
    <w:p w14:paraId="444D8585"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6) </w:t>
      </w:r>
      <w:r>
        <w:rPr>
          <w:rFonts w:ascii="Palatino Linotype" w:eastAsia="Palatino Linotype" w:hAnsi="Palatino Linotype" w:cs="Palatino Linotype"/>
          <w:i/>
          <w:sz w:val="22"/>
          <w:szCs w:val="22"/>
        </w:rPr>
        <w:t>La unidad administrativa solicitante y la responsable de su ejecución;</w:t>
      </w:r>
    </w:p>
    <w:p w14:paraId="6D081807"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7)</w:t>
      </w:r>
      <w:r>
        <w:rPr>
          <w:rFonts w:ascii="Palatino Linotype" w:eastAsia="Palatino Linotype" w:hAnsi="Palatino Linotype" w:cs="Palatino Linotype"/>
          <w:i/>
          <w:sz w:val="22"/>
          <w:szCs w:val="22"/>
        </w:rPr>
        <w:t> El número, fecha, el monto del contrato y el plazo de entrega o de ejecución de los servicios u obra;</w:t>
      </w:r>
    </w:p>
    <w:p w14:paraId="6A8EC724"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8) </w:t>
      </w:r>
      <w:r>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027AA100"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9) </w:t>
      </w:r>
      <w:r>
        <w:rPr>
          <w:rFonts w:ascii="Palatino Linotype" w:eastAsia="Palatino Linotype" w:hAnsi="Palatino Linotype" w:cs="Palatino Linotype"/>
          <w:i/>
          <w:sz w:val="22"/>
          <w:szCs w:val="22"/>
        </w:rPr>
        <w:t>Los informes de avance sobre las obras o servicios contratados;</w:t>
      </w:r>
    </w:p>
    <w:p w14:paraId="357F2636" w14:textId="77777777" w:rsidR="003B1BD3" w:rsidRDefault="00EC4FBA">
      <w:pPr>
        <w:spacing w:line="360" w:lineRule="auto"/>
        <w:ind w:left="851" w:right="-1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10) </w:t>
      </w:r>
      <w:r>
        <w:rPr>
          <w:rFonts w:ascii="Palatino Linotype" w:eastAsia="Palatino Linotype" w:hAnsi="Palatino Linotype" w:cs="Palatino Linotype"/>
          <w:i/>
          <w:sz w:val="22"/>
          <w:szCs w:val="22"/>
        </w:rPr>
        <w:t>El convenio de terminación; y</w:t>
      </w:r>
    </w:p>
    <w:p w14:paraId="69E9BBB6" w14:textId="77777777" w:rsidR="003B1BD3" w:rsidRDefault="00EC4FBA">
      <w:pPr>
        <w:spacing w:line="360" w:lineRule="auto"/>
        <w:ind w:left="851" w:right="-1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11) </w:t>
      </w:r>
      <w:r>
        <w:rPr>
          <w:rFonts w:ascii="Palatino Linotype" w:eastAsia="Palatino Linotype" w:hAnsi="Palatino Linotype" w:cs="Palatino Linotype"/>
          <w:i/>
          <w:sz w:val="22"/>
          <w:szCs w:val="22"/>
        </w:rPr>
        <w:t>El finiquito.</w:t>
      </w:r>
      <w:r>
        <w:rPr>
          <w:rFonts w:ascii="Palatino Linotype" w:eastAsia="Palatino Linotype" w:hAnsi="Palatino Linotype" w:cs="Palatino Linotype"/>
          <w:b/>
          <w:i/>
          <w:sz w:val="22"/>
          <w:szCs w:val="22"/>
        </w:rPr>
        <w:t>”</w:t>
      </w:r>
    </w:p>
    <w:p w14:paraId="46D31AA5" w14:textId="77777777" w:rsidR="003B1BD3" w:rsidRDefault="003B1BD3">
      <w:pPr>
        <w:ind w:left="851" w:right="-734"/>
        <w:jc w:val="both"/>
        <w:rPr>
          <w:rFonts w:ascii="Palatino Linotype" w:eastAsia="Palatino Linotype" w:hAnsi="Palatino Linotype" w:cs="Palatino Linotype"/>
        </w:rPr>
      </w:pPr>
    </w:p>
    <w:p w14:paraId="2BB20A81"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En consecuencia, se determina que existe fuente obligacional para celebrar contratos relacionados con la adquisición de bienes y servicios, a través de procedimientos de licitación, invitación restringida o adjudicación directa, en todos los casos, existe la obligación de hacer pública la información relacionada con las mismas, de acuerdo al artículo 92 de la Ley de Transparencia Local, ya que existe un interés colectivo de conocer el uso y destino de los recursos públicos.</w:t>
      </w:r>
    </w:p>
    <w:p w14:paraId="6849B32E" w14:textId="77777777" w:rsidR="003B1BD3" w:rsidRDefault="003B1BD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6E6BCE04"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Ahora bien, en el presente caso y como ya fue referido anteriormente, el Sujeto Obligado señaló que estaba en espera del expediente para generar la información y publicarla, con  lo que no se puede tener por atendido el requerimiento del particular, sin embargo, derivado de la interposición del recurso de revisión, el Sujeto Obligado entregó un contrato en versión pública de prestación de servicios con número VCHS-LPNP-PS-010-2023-</w:t>
      </w:r>
      <w:r>
        <w:rPr>
          <w:rFonts w:ascii="Palatino Linotype" w:eastAsia="Palatino Linotype" w:hAnsi="Palatino Linotype" w:cs="Palatino Linotype"/>
          <w:color w:val="000000"/>
        </w:rPr>
        <w:lastRenderedPageBreak/>
        <w:t>01 “CONTRATACIÓN DEL SERVICIO INTEGRAL DE LOGÍSTICA PARA LA FERIA XICO 2023”.</w:t>
      </w:r>
    </w:p>
    <w:p w14:paraId="38CB5548" w14:textId="77777777" w:rsidR="003B1BD3" w:rsidRDefault="003B1BD3">
      <w:pPr>
        <w:pBdr>
          <w:top w:val="nil"/>
          <w:left w:val="nil"/>
          <w:bottom w:val="nil"/>
          <w:right w:val="nil"/>
          <w:between w:val="nil"/>
        </w:pBdr>
        <w:ind w:left="720" w:right="-734"/>
        <w:rPr>
          <w:rFonts w:ascii="Palatino Linotype" w:eastAsia="Palatino Linotype" w:hAnsi="Palatino Linotype" w:cs="Palatino Linotype"/>
          <w:color w:val="000000"/>
        </w:rPr>
      </w:pPr>
    </w:p>
    <w:p w14:paraId="6B937F4C"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En ese sentido, resulta procedente referir que el contrato entregado en informe justificado, es referente únicamente al tema de la logística de la feria, no así de los artistas contratados para la feria, como lo requirió el Recurrente, por lo tanto, con ese contrato no se </w:t>
      </w:r>
      <w:r>
        <w:rPr>
          <w:rFonts w:ascii="Palatino Linotype" w:eastAsia="Palatino Linotype" w:hAnsi="Palatino Linotype" w:cs="Palatino Linotype"/>
          <w:color w:val="000000"/>
          <w:highlight w:val="white"/>
        </w:rPr>
        <w:t xml:space="preserve">puede tener por atendido el requerimiento del particular. </w:t>
      </w:r>
    </w:p>
    <w:p w14:paraId="14878624" w14:textId="77777777" w:rsidR="003B1BD3" w:rsidRDefault="003B1BD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highlight w:val="white"/>
        </w:rPr>
      </w:pPr>
    </w:p>
    <w:p w14:paraId="2E31CC8D"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highlight w:val="white"/>
        </w:rPr>
      </w:pPr>
      <w:r>
        <w:rPr>
          <w:rFonts w:ascii="Palatino Linotype" w:eastAsia="Palatino Linotype" w:hAnsi="Palatino Linotype" w:cs="Palatino Linotype"/>
          <w:color w:val="000000"/>
          <w:highlight w:val="white"/>
        </w:rPr>
        <w:t xml:space="preserve">Por todo lo anteriormente referido, este órgano Garante advierte que la información remitida en respuesta no colma con lo solicitado. </w:t>
      </w:r>
      <w:r>
        <w:rPr>
          <w:rFonts w:ascii="Palatino Linotype" w:eastAsia="Palatino Linotype" w:hAnsi="Palatino Linotype" w:cs="Palatino Linotype"/>
          <w:highlight w:val="white"/>
        </w:rPr>
        <w:t xml:space="preserve">En consecuencia, una vez analizadas las constancias que integran el expediente electrónico, y en mérito de lo expuesto en líneas anteriores, resultan fundadas las razones o motivos de inconformidad hechos valer por el </w:t>
      </w:r>
      <w:r>
        <w:rPr>
          <w:rFonts w:ascii="Palatino Linotype" w:eastAsia="Palatino Linotype" w:hAnsi="Palatino Linotype" w:cs="Palatino Linotype"/>
          <w:b/>
          <w:highlight w:val="white"/>
        </w:rPr>
        <w:t>RECURRENTE</w:t>
      </w:r>
      <w:r>
        <w:rPr>
          <w:rFonts w:ascii="Palatino Linotype" w:eastAsia="Palatino Linotype" w:hAnsi="Palatino Linotype" w:cs="Palatino Linotype"/>
          <w:highlight w:val="white"/>
        </w:rPr>
        <w:t xml:space="preserve"> dentro del recurso de revisión </w:t>
      </w:r>
      <w:r>
        <w:rPr>
          <w:rFonts w:ascii="Palatino Linotype" w:eastAsia="Palatino Linotype" w:hAnsi="Palatino Linotype" w:cs="Palatino Linotype"/>
          <w:b/>
          <w:highlight w:val="white"/>
        </w:rPr>
        <w:t>00423/INFOEM/IP/RR/2024</w:t>
      </w:r>
      <w:r>
        <w:rPr>
          <w:rFonts w:ascii="Palatino Linotype" w:eastAsia="Palatino Linotype" w:hAnsi="Palatino Linotype" w:cs="Palatino Linotype"/>
          <w:highlight w:val="white"/>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highlight w:val="white"/>
        </w:rPr>
        <w:t>REVOCA</w:t>
      </w:r>
      <w:r>
        <w:rPr>
          <w:rFonts w:ascii="Palatino Linotype" w:eastAsia="Palatino Linotype" w:hAnsi="Palatino Linotype" w:cs="Palatino Linotype"/>
          <w:highlight w:val="white"/>
        </w:rPr>
        <w:t xml:space="preserve"> la respuesta del Sujeto Obligado y se ORDENA entregar, de ser procedente en versión pública, de la Feria Valle de Chalco-Xico versión 2023, la siguiente información:</w:t>
      </w:r>
    </w:p>
    <w:p w14:paraId="4780FCE9" w14:textId="77777777" w:rsidR="003B1BD3" w:rsidRDefault="00EC4FBA">
      <w:pPr>
        <w:numPr>
          <w:ilvl w:val="2"/>
          <w:numId w:val="2"/>
        </w:numPr>
        <w:spacing w:line="360" w:lineRule="auto"/>
        <w:ind w:left="851" w:right="-734" w:firstLine="0"/>
        <w:jc w:val="both"/>
        <w:rPr>
          <w:rFonts w:ascii="Palatino Linotype" w:eastAsia="Palatino Linotype" w:hAnsi="Palatino Linotype" w:cs="Palatino Linotype"/>
          <w:b/>
          <w:sz w:val="22"/>
          <w:szCs w:val="22"/>
          <w:highlight w:val="white"/>
        </w:rPr>
      </w:pPr>
      <w:r>
        <w:rPr>
          <w:rFonts w:ascii="Palatino Linotype" w:eastAsia="Palatino Linotype" w:hAnsi="Palatino Linotype" w:cs="Palatino Linotype"/>
          <w:b/>
          <w:sz w:val="22"/>
          <w:szCs w:val="22"/>
          <w:highlight w:val="white"/>
        </w:rPr>
        <w:t xml:space="preserve">Soporte documental donde </w:t>
      </w:r>
      <w:proofErr w:type="gramStart"/>
      <w:r>
        <w:rPr>
          <w:rFonts w:ascii="Palatino Linotype" w:eastAsia="Palatino Linotype" w:hAnsi="Palatino Linotype" w:cs="Palatino Linotype"/>
          <w:b/>
          <w:sz w:val="22"/>
          <w:szCs w:val="22"/>
          <w:highlight w:val="white"/>
        </w:rPr>
        <w:t>conste  el</w:t>
      </w:r>
      <w:proofErr w:type="gramEnd"/>
      <w:r>
        <w:rPr>
          <w:rFonts w:ascii="Palatino Linotype" w:eastAsia="Palatino Linotype" w:hAnsi="Palatino Linotype" w:cs="Palatino Linotype"/>
          <w:b/>
          <w:sz w:val="22"/>
          <w:szCs w:val="22"/>
          <w:highlight w:val="white"/>
        </w:rPr>
        <w:t xml:space="preserve"> monto gastado;</w:t>
      </w:r>
    </w:p>
    <w:p w14:paraId="3A735F9F" w14:textId="77777777" w:rsidR="003B1BD3" w:rsidRDefault="00EC4FBA">
      <w:pPr>
        <w:numPr>
          <w:ilvl w:val="2"/>
          <w:numId w:val="2"/>
        </w:numPr>
        <w:spacing w:line="360" w:lineRule="auto"/>
        <w:ind w:left="851" w:right="-734" w:firstLine="0"/>
        <w:jc w:val="both"/>
        <w:rPr>
          <w:rFonts w:ascii="Palatino Linotype" w:eastAsia="Palatino Linotype" w:hAnsi="Palatino Linotype" w:cs="Palatino Linotype"/>
          <w:b/>
          <w:sz w:val="22"/>
          <w:szCs w:val="22"/>
          <w:highlight w:val="white"/>
        </w:rPr>
      </w:pPr>
      <w:r>
        <w:rPr>
          <w:rFonts w:ascii="Palatino Linotype" w:eastAsia="Palatino Linotype" w:hAnsi="Palatino Linotype" w:cs="Palatino Linotype"/>
          <w:b/>
          <w:sz w:val="22"/>
          <w:szCs w:val="22"/>
          <w:highlight w:val="white"/>
        </w:rPr>
        <w:t xml:space="preserve">Soporte documental donde conste el monto recaudado por la venta de boletos para ingresar, desglosado por día; y </w:t>
      </w:r>
    </w:p>
    <w:p w14:paraId="77281C98" w14:textId="77777777" w:rsidR="003B1BD3" w:rsidRDefault="00EC4FBA">
      <w:pPr>
        <w:numPr>
          <w:ilvl w:val="2"/>
          <w:numId w:val="2"/>
        </w:numPr>
        <w:spacing w:line="360" w:lineRule="auto"/>
        <w:ind w:left="851" w:right="-734" w:firstLine="0"/>
        <w:jc w:val="both"/>
        <w:rPr>
          <w:rFonts w:ascii="Palatino Linotype" w:eastAsia="Palatino Linotype" w:hAnsi="Palatino Linotype" w:cs="Palatino Linotype"/>
          <w:b/>
          <w:sz w:val="22"/>
          <w:szCs w:val="22"/>
          <w:highlight w:val="white"/>
        </w:rPr>
      </w:pPr>
      <w:r>
        <w:rPr>
          <w:rFonts w:ascii="Palatino Linotype" w:eastAsia="Palatino Linotype" w:hAnsi="Palatino Linotype" w:cs="Palatino Linotype"/>
          <w:b/>
          <w:sz w:val="22"/>
          <w:szCs w:val="22"/>
          <w:highlight w:val="white"/>
        </w:rPr>
        <w:t xml:space="preserve">Contratos de los artistas que se presentaron. </w:t>
      </w:r>
    </w:p>
    <w:p w14:paraId="58DDD825" w14:textId="77777777" w:rsidR="003B1BD3" w:rsidRDefault="003B1BD3">
      <w:pPr>
        <w:pBdr>
          <w:top w:val="nil"/>
          <w:left w:val="nil"/>
          <w:bottom w:val="nil"/>
          <w:right w:val="nil"/>
          <w:between w:val="nil"/>
        </w:pBdr>
        <w:spacing w:line="360" w:lineRule="auto"/>
        <w:ind w:left="360" w:right="-734"/>
        <w:jc w:val="both"/>
        <w:rPr>
          <w:rFonts w:ascii="Palatino Linotype" w:eastAsia="Palatino Linotype" w:hAnsi="Palatino Linotype" w:cs="Palatino Linotype"/>
          <w:highlight w:val="white"/>
        </w:rPr>
      </w:pPr>
    </w:p>
    <w:p w14:paraId="51B9F70E" w14:textId="77777777" w:rsidR="003B1BD3" w:rsidRDefault="00EC4FBA">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b/>
          <w:color w:val="000000"/>
          <w:highlight w:val="white"/>
        </w:rPr>
      </w:pPr>
      <w:bookmarkStart w:id="5" w:name="_heading=h.gjdgxs" w:colFirst="0" w:colLast="0"/>
      <w:bookmarkEnd w:id="5"/>
      <w:r>
        <w:rPr>
          <w:rFonts w:ascii="Palatino Linotype" w:eastAsia="Palatino Linotype" w:hAnsi="Palatino Linotype" w:cs="Palatino Linotype"/>
          <w:b/>
          <w:color w:val="000000"/>
          <w:highlight w:val="white"/>
        </w:rPr>
        <w:t>QUINTO. De la versión pública.</w:t>
      </w:r>
    </w:p>
    <w:p w14:paraId="6647B857" w14:textId="77777777" w:rsidR="003B1BD3" w:rsidRDefault="00EC4FBA">
      <w:pPr>
        <w:numPr>
          <w:ilvl w:val="0"/>
          <w:numId w:val="1"/>
        </w:numPr>
        <w:pBdr>
          <w:top w:val="nil"/>
          <w:left w:val="nil"/>
          <w:bottom w:val="nil"/>
          <w:right w:val="nil"/>
          <w:between w:val="nil"/>
        </w:pBdr>
        <w:tabs>
          <w:tab w:val="left" w:pos="426"/>
        </w:tabs>
        <w:spacing w:line="360" w:lineRule="auto"/>
        <w:ind w:left="0" w:right="-734" w:firstLine="0"/>
        <w:jc w:val="both"/>
        <w:rPr>
          <w:color w:val="000000"/>
          <w:highlight w:val="white"/>
        </w:rPr>
      </w:pPr>
      <w:r>
        <w:rPr>
          <w:rFonts w:ascii="Palatino Linotype" w:eastAsia="Palatino Linotype" w:hAnsi="Palatino Linotype" w:cs="Palatino Linotype"/>
          <w:color w:val="000000"/>
          <w:highlight w:val="white"/>
        </w:rPr>
        <w:t>Debe destacarse que, debido a la naturaleza de la información solicitada</w:t>
      </w:r>
      <w:r>
        <w:rPr>
          <w:rFonts w:ascii="Palatino Linotype" w:eastAsia="Palatino Linotype" w:hAnsi="Palatino Linotype" w:cs="Palatino Linotype"/>
          <w:b/>
          <w:color w:val="000000"/>
          <w:highlight w:val="white"/>
        </w:rPr>
        <w:t xml:space="preserve"> </w:t>
      </w:r>
      <w:r>
        <w:rPr>
          <w:rFonts w:ascii="Palatino Linotype" w:eastAsia="Palatino Linotype" w:hAnsi="Palatino Linotype" w:cs="Palatino Linotype"/>
          <w:color w:val="000000"/>
          <w:highlight w:val="white"/>
        </w:rPr>
        <w:t xml:space="preserve">eventualmente pudieran obrar datos personales susceptibles de protegerse, y toda vez que este Instituto de </w:t>
      </w:r>
      <w:r>
        <w:rPr>
          <w:rFonts w:ascii="Palatino Linotype" w:eastAsia="Palatino Linotype" w:hAnsi="Palatino Linotype" w:cs="Palatino Linotype"/>
          <w:color w:val="000000"/>
          <w:highlight w:val="white"/>
        </w:rPr>
        <w:lastRenderedPageBreak/>
        <w:t>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6877BCCB" w14:textId="77777777" w:rsidR="003B1BD3" w:rsidRDefault="003B1BD3">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highlight w:val="white"/>
        </w:rPr>
      </w:pPr>
    </w:p>
    <w:p w14:paraId="549293C2" w14:textId="77777777" w:rsidR="003B1BD3" w:rsidRDefault="00EC4FBA">
      <w:pPr>
        <w:numPr>
          <w:ilvl w:val="0"/>
          <w:numId w:val="1"/>
        </w:numPr>
        <w:pBdr>
          <w:top w:val="nil"/>
          <w:left w:val="nil"/>
          <w:bottom w:val="nil"/>
          <w:right w:val="nil"/>
          <w:between w:val="nil"/>
        </w:pBdr>
        <w:tabs>
          <w:tab w:val="left" w:pos="426"/>
        </w:tabs>
        <w:spacing w:line="360" w:lineRule="auto"/>
        <w:ind w:left="0" w:right="-734" w:firstLine="0"/>
        <w:jc w:val="both"/>
        <w:rPr>
          <w:color w:val="000000"/>
          <w:highlight w:val="white"/>
        </w:rPr>
      </w:pPr>
      <w:r>
        <w:rPr>
          <w:rFonts w:ascii="Palatino Linotype" w:eastAsia="Palatino Linotype" w:hAnsi="Palatino Linotype" w:cs="Palatino Linotype"/>
          <w:color w:val="000000"/>
          <w:highlight w:val="white"/>
        </w:rPr>
        <w:t>La clasificación total o parcial de la información requerida, mediante solicitud de acceso a la información pública, constituye una restricción al derecho humano de acceso a la información, por lo que es menester reiterar los mismos:</w:t>
      </w:r>
    </w:p>
    <w:p w14:paraId="163B556B" w14:textId="77777777" w:rsidR="003B1BD3" w:rsidRDefault="003B1BD3">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highlight w:val="white"/>
        </w:rPr>
      </w:pPr>
    </w:p>
    <w:tbl>
      <w:tblPr>
        <w:tblStyle w:val="a0"/>
        <w:tblW w:w="9600"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010"/>
        <w:gridCol w:w="7590"/>
      </w:tblGrid>
      <w:tr w:rsidR="003B1BD3" w14:paraId="59F64FAF" w14:textId="77777777" w:rsidTr="003B1B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14:paraId="7D489879" w14:textId="77777777" w:rsidR="003B1BD3" w:rsidRDefault="00EC4FBA">
            <w:pPr>
              <w:spacing w:line="276" w:lineRule="auto"/>
              <w:ind w:right="-42"/>
              <w:rPr>
                <w:rFonts w:ascii="Palatino Linotype" w:eastAsia="Palatino Linotype" w:hAnsi="Palatino Linotype" w:cs="Palatino Linotype"/>
                <w:sz w:val="20"/>
                <w:szCs w:val="20"/>
                <w:highlight w:val="white"/>
              </w:rPr>
            </w:pPr>
            <w:r>
              <w:rPr>
                <w:rFonts w:ascii="Palatino Linotype" w:eastAsia="Palatino Linotype" w:hAnsi="Palatino Linotype" w:cs="Palatino Linotype"/>
                <w:b w:val="0"/>
                <w:sz w:val="20"/>
                <w:szCs w:val="20"/>
                <w:highlight w:val="white"/>
              </w:rPr>
              <w:t>a) Requisitos previos.</w:t>
            </w:r>
          </w:p>
        </w:tc>
        <w:tc>
          <w:tcPr>
            <w:tcW w:w="7590" w:type="dxa"/>
          </w:tcPr>
          <w:p w14:paraId="650E5968" w14:textId="77777777" w:rsidR="003B1BD3" w:rsidRDefault="00EC4FBA">
            <w:pPr>
              <w:spacing w:line="276" w:lineRule="auto"/>
              <w:ind w:right="-4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t xml:space="preserve">Los artículos 100 y 122 de la Ley Estatal y de la Ley General, respectivamente, señalan </w:t>
            </w:r>
            <w:proofErr w:type="gramStart"/>
            <w:r>
              <w:rPr>
                <w:rFonts w:ascii="Palatino Linotype" w:eastAsia="Palatino Linotype" w:hAnsi="Palatino Linotype" w:cs="Palatino Linotype"/>
                <w:sz w:val="20"/>
                <w:szCs w:val="20"/>
                <w:highlight w:val="white"/>
              </w:rPr>
              <w:t>que</w:t>
            </w:r>
            <w:proofErr w:type="gramEnd"/>
            <w:r>
              <w:rPr>
                <w:rFonts w:ascii="Palatino Linotype" w:eastAsia="Palatino Linotype" w:hAnsi="Palatino Linotype" w:cs="Palatino Linotype"/>
                <w:sz w:val="20"/>
                <w:szCs w:val="20"/>
                <w:highlight w:val="white"/>
              </w:rPr>
              <w:t xml:space="preserve"> si los </w:t>
            </w:r>
            <w:r>
              <w:rPr>
                <w:rFonts w:ascii="Palatino Linotype" w:eastAsia="Palatino Linotype" w:hAnsi="Palatino Linotype" w:cs="Palatino Linotype"/>
                <w:b w:val="0"/>
                <w:sz w:val="20"/>
                <w:szCs w:val="20"/>
                <w:highlight w:val="white"/>
              </w:rPr>
              <w:t>Sujetos Obligados</w:t>
            </w:r>
            <w:r>
              <w:rPr>
                <w:rFonts w:ascii="Palatino Linotype" w:eastAsia="Palatino Linotype" w:hAnsi="Palatino Linotype" w:cs="Palatino Linotype"/>
                <w:sz w:val="20"/>
                <w:szCs w:val="20"/>
                <w:highlight w:val="white"/>
              </w:rPr>
              <w:t xml:space="preserve"> determinan que la información actualiza alguno de los supuestos de clasificación, es deber de los titulares de las áreas proponer su clasificación y no del Comité de Transparencia. </w:t>
            </w:r>
          </w:p>
          <w:p w14:paraId="7288E9EF" w14:textId="77777777" w:rsidR="003B1BD3" w:rsidRDefault="00EC4FBA">
            <w:pPr>
              <w:spacing w:line="276" w:lineRule="auto"/>
              <w:ind w:right="-4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t>Al hacerlo tienen que precisar de qué información se trata, señalando el supuesto de clasificación (confidencialidad o reserva).</w:t>
            </w:r>
          </w:p>
          <w:p w14:paraId="09835908" w14:textId="77777777" w:rsidR="003B1BD3" w:rsidRDefault="00EC4FBA">
            <w:pPr>
              <w:spacing w:line="276" w:lineRule="auto"/>
              <w:ind w:right="-4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t>Además, se debe señalar el procedimiento, de los tres que establecen los artículos 132 y 106 de la Ley Estatal y General, respectivamente.</w:t>
            </w:r>
          </w:p>
          <w:p w14:paraId="0EFB4E44" w14:textId="77777777" w:rsidR="003B1BD3" w:rsidRDefault="00EC4FBA">
            <w:pPr>
              <w:spacing w:line="276" w:lineRule="auto"/>
              <w:ind w:right="-4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sz w:val="20"/>
                <w:szCs w:val="20"/>
                <w:highlight w:val="white"/>
                <w:u w:val="single"/>
              </w:rPr>
              <w:t xml:space="preserve">no se puede hacer un acuerdo para clasificar de manera general todos los documentos de un expediente o </w:t>
            </w:r>
            <w:proofErr w:type="gramStart"/>
            <w:r>
              <w:rPr>
                <w:rFonts w:ascii="Palatino Linotype" w:eastAsia="Palatino Linotype" w:hAnsi="Palatino Linotype" w:cs="Palatino Linotype"/>
                <w:b w:val="0"/>
                <w:sz w:val="20"/>
                <w:szCs w:val="20"/>
                <w:highlight w:val="white"/>
                <w:u w:val="single"/>
              </w:rPr>
              <w:t xml:space="preserve">área,  </w:t>
            </w:r>
            <w:r>
              <w:rPr>
                <w:rFonts w:ascii="Palatino Linotype" w:eastAsia="Palatino Linotype" w:hAnsi="Palatino Linotype" w:cs="Palatino Linotype"/>
                <w:sz w:val="20"/>
                <w:szCs w:val="20"/>
                <w:highlight w:val="white"/>
              </w:rPr>
              <w:t>sin</w:t>
            </w:r>
            <w:proofErr w:type="gramEnd"/>
            <w:r>
              <w:rPr>
                <w:rFonts w:ascii="Palatino Linotype" w:eastAsia="Palatino Linotype" w:hAnsi="Palatino Linotype" w:cs="Palatino Linotype"/>
                <w:sz w:val="20"/>
                <w:szCs w:val="20"/>
                <w:highlight w:val="white"/>
              </w:rPr>
              <w:t xml:space="preserve"> individualizar su análisis y tampoco se puede hacer un acuerdo por cada dato que se vaya a clasificar dentro de un documento con diez datos, por ejemplo, susceptibles de ser clasificados.</w:t>
            </w:r>
          </w:p>
        </w:tc>
      </w:tr>
      <w:tr w:rsidR="003B1BD3" w14:paraId="5CF29BBD" w14:textId="77777777" w:rsidTr="003B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14:paraId="595BC344" w14:textId="77777777" w:rsidR="003B1BD3" w:rsidRDefault="00EC4FBA">
            <w:pPr>
              <w:spacing w:line="276" w:lineRule="auto"/>
              <w:ind w:right="-42"/>
              <w:rPr>
                <w:rFonts w:ascii="Palatino Linotype" w:eastAsia="Palatino Linotype" w:hAnsi="Palatino Linotype" w:cs="Palatino Linotype"/>
                <w:sz w:val="20"/>
                <w:szCs w:val="20"/>
                <w:highlight w:val="white"/>
              </w:rPr>
            </w:pPr>
            <w:r>
              <w:rPr>
                <w:rFonts w:ascii="Palatino Linotype" w:eastAsia="Palatino Linotype" w:hAnsi="Palatino Linotype" w:cs="Palatino Linotype"/>
                <w:b w:val="0"/>
                <w:sz w:val="20"/>
                <w:szCs w:val="20"/>
                <w:highlight w:val="white"/>
              </w:rPr>
              <w:t>b) Supuestos de clasificación.</w:t>
            </w:r>
          </w:p>
        </w:tc>
        <w:tc>
          <w:tcPr>
            <w:tcW w:w="7590" w:type="dxa"/>
          </w:tcPr>
          <w:p w14:paraId="305EE79D" w14:textId="77777777" w:rsidR="003B1BD3" w:rsidRDefault="00EC4FBA">
            <w:pPr>
              <w:spacing w:line="276" w:lineRule="auto"/>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t>Las disposiciones constitucionales y legales en la materia establecen los dos supuestos generales para clasificar la información: por reserva y por confidencialidad.</w:t>
            </w:r>
          </w:p>
          <w:p w14:paraId="43E838B1" w14:textId="77777777" w:rsidR="003B1BD3" w:rsidRDefault="00EC4FBA">
            <w:pPr>
              <w:spacing w:line="276" w:lineRule="auto"/>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w:t>
            </w:r>
            <w:r>
              <w:rPr>
                <w:rFonts w:ascii="Palatino Linotype" w:eastAsia="Palatino Linotype" w:hAnsi="Palatino Linotype" w:cs="Palatino Linotype"/>
                <w:sz w:val="20"/>
                <w:szCs w:val="20"/>
                <w:highlight w:val="white"/>
              </w:rPr>
              <w:lastRenderedPageBreak/>
              <w:t>condición y no se pueden ampliar las excepciones o supuestos de clasificación aduciendo analogía o mayoría de razón.</w:t>
            </w:r>
          </w:p>
          <w:p w14:paraId="3ED3C328" w14:textId="77777777" w:rsidR="003B1BD3" w:rsidRDefault="00EC4FBA">
            <w:pPr>
              <w:spacing w:line="276" w:lineRule="auto"/>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t xml:space="preserve">El </w:t>
            </w:r>
            <w:r>
              <w:rPr>
                <w:rFonts w:ascii="Palatino Linotype" w:eastAsia="Palatino Linotype" w:hAnsi="Palatino Linotype" w:cs="Palatino Linotype"/>
                <w:b/>
                <w:sz w:val="20"/>
                <w:szCs w:val="20"/>
                <w:highlight w:val="white"/>
              </w:rPr>
              <w:t>SUJETO OBLIGADO</w:t>
            </w:r>
            <w:r>
              <w:rPr>
                <w:rFonts w:ascii="Palatino Linotype" w:eastAsia="Palatino Linotype" w:hAnsi="Palatino Linotype" w:cs="Palatino Linotype"/>
                <w:sz w:val="20"/>
                <w:szCs w:val="20"/>
                <w:highlight w:val="whit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B1BD3" w14:paraId="5BBB9A77" w14:textId="77777777" w:rsidTr="003B1BD3">
        <w:tc>
          <w:tcPr>
            <w:cnfStyle w:val="001000000000" w:firstRow="0" w:lastRow="0" w:firstColumn="1" w:lastColumn="0" w:oddVBand="0" w:evenVBand="0" w:oddHBand="0" w:evenHBand="0" w:firstRowFirstColumn="0" w:firstRowLastColumn="0" w:lastRowFirstColumn="0" w:lastRowLastColumn="0"/>
            <w:tcW w:w="2010" w:type="dxa"/>
          </w:tcPr>
          <w:p w14:paraId="624D8311" w14:textId="77777777" w:rsidR="003B1BD3" w:rsidRDefault="00EC4FBA">
            <w:pPr>
              <w:spacing w:line="276" w:lineRule="auto"/>
              <w:ind w:right="-42"/>
              <w:rPr>
                <w:rFonts w:ascii="Palatino Linotype" w:eastAsia="Palatino Linotype" w:hAnsi="Palatino Linotype" w:cs="Palatino Linotype"/>
                <w:sz w:val="20"/>
                <w:szCs w:val="20"/>
                <w:highlight w:val="white"/>
              </w:rPr>
            </w:pPr>
            <w:r>
              <w:rPr>
                <w:rFonts w:ascii="Palatino Linotype" w:eastAsia="Palatino Linotype" w:hAnsi="Palatino Linotype" w:cs="Palatino Linotype"/>
                <w:b w:val="0"/>
                <w:sz w:val="20"/>
                <w:szCs w:val="20"/>
                <w:highlight w:val="white"/>
              </w:rPr>
              <w:lastRenderedPageBreak/>
              <w:t>c) Formalidades para emitir el acuerdo de clasificación.</w:t>
            </w:r>
          </w:p>
        </w:tc>
        <w:tc>
          <w:tcPr>
            <w:tcW w:w="7590" w:type="dxa"/>
          </w:tcPr>
          <w:p w14:paraId="52AA021C" w14:textId="77777777" w:rsidR="003B1BD3" w:rsidRDefault="00EC4FBA">
            <w:pPr>
              <w:spacing w:line="276" w:lineRule="auto"/>
              <w:ind w:right="-4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t xml:space="preserve">El Comité de Transparencia, según lo dispuesto en los artículos cuenta con las facultades para aprobar, modificar o revocar la clasificación de la información que haya propuesto. </w:t>
            </w:r>
          </w:p>
          <w:p w14:paraId="5F1FCB54" w14:textId="77777777" w:rsidR="003B1BD3" w:rsidRDefault="00EC4FBA">
            <w:pPr>
              <w:spacing w:line="276" w:lineRule="auto"/>
              <w:ind w:right="-4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t xml:space="preserve">Es necesario que </w:t>
            </w:r>
            <w:r>
              <w:rPr>
                <w:rFonts w:ascii="Palatino Linotype" w:eastAsia="Palatino Linotype" w:hAnsi="Palatino Linotype" w:cs="Palatino Linotype"/>
                <w:b/>
                <w:sz w:val="20"/>
                <w:szCs w:val="20"/>
                <w:highlight w:val="white"/>
                <w:u w:val="single"/>
              </w:rPr>
              <w:t>el acto reúna con los requisitos elementales</w:t>
            </w:r>
            <w:r>
              <w:rPr>
                <w:rFonts w:ascii="Palatino Linotype" w:eastAsia="Palatino Linotype" w:hAnsi="Palatino Linotype" w:cs="Palatino Linotype"/>
                <w:sz w:val="20"/>
                <w:szCs w:val="20"/>
                <w:highlight w:val="white"/>
              </w:rPr>
              <w:t>, entre ellos, que la autoridad que va a emitir el acto de autoridad sea la legalmente facultada para ello.</w:t>
            </w:r>
          </w:p>
          <w:p w14:paraId="61C84994" w14:textId="77777777" w:rsidR="003B1BD3" w:rsidRDefault="00EC4FBA">
            <w:pPr>
              <w:spacing w:line="276" w:lineRule="auto"/>
              <w:ind w:right="-4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B1BD3" w14:paraId="2646E206" w14:textId="77777777" w:rsidTr="003B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14:paraId="4721B00E" w14:textId="77777777" w:rsidR="003B1BD3" w:rsidRDefault="003B1BD3">
            <w:pPr>
              <w:spacing w:line="276" w:lineRule="auto"/>
              <w:ind w:right="-42"/>
              <w:rPr>
                <w:rFonts w:ascii="Palatino Linotype" w:eastAsia="Palatino Linotype" w:hAnsi="Palatino Linotype" w:cs="Palatino Linotype"/>
                <w:sz w:val="20"/>
                <w:szCs w:val="20"/>
                <w:highlight w:val="white"/>
              </w:rPr>
            </w:pPr>
          </w:p>
          <w:p w14:paraId="726BE758" w14:textId="77777777" w:rsidR="003B1BD3" w:rsidRDefault="00EC4FBA">
            <w:pPr>
              <w:spacing w:line="276" w:lineRule="auto"/>
              <w:ind w:right="-42"/>
              <w:jc w:val="both"/>
              <w:rPr>
                <w:rFonts w:ascii="Palatino Linotype" w:eastAsia="Palatino Linotype" w:hAnsi="Palatino Linotype" w:cs="Palatino Linotype"/>
                <w:sz w:val="20"/>
                <w:szCs w:val="20"/>
                <w:highlight w:val="white"/>
              </w:rPr>
            </w:pPr>
            <w:r>
              <w:rPr>
                <w:rFonts w:ascii="Palatino Linotype" w:eastAsia="Palatino Linotype" w:hAnsi="Palatino Linotype" w:cs="Palatino Linotype"/>
                <w:b w:val="0"/>
                <w:sz w:val="20"/>
                <w:szCs w:val="20"/>
                <w:highlight w:val="white"/>
              </w:rPr>
              <w:t xml:space="preserve">d) Requisitos de fondo del acuerdo de clasificación. </w:t>
            </w:r>
          </w:p>
        </w:tc>
        <w:tc>
          <w:tcPr>
            <w:tcW w:w="7590" w:type="dxa"/>
          </w:tcPr>
          <w:p w14:paraId="30970824" w14:textId="77777777" w:rsidR="003B1BD3" w:rsidRDefault="00EC4FBA">
            <w:pPr>
              <w:spacing w:line="276" w:lineRule="auto"/>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highlight w:val="white"/>
              </w:rPr>
              <w:t>Sujetos Obligados</w:t>
            </w:r>
            <w:r>
              <w:rPr>
                <w:rFonts w:ascii="Palatino Linotype" w:eastAsia="Palatino Linotype" w:hAnsi="Palatino Linotype" w:cs="Palatino Linotype"/>
                <w:sz w:val="20"/>
                <w:szCs w:val="20"/>
                <w:highlight w:val="white"/>
              </w:rPr>
              <w:t xml:space="preserve">, por lo que deberán fundar y motivar debidamente la clasificación. </w:t>
            </w:r>
          </w:p>
          <w:p w14:paraId="2D201995" w14:textId="77777777" w:rsidR="003B1BD3" w:rsidRDefault="00EC4FBA">
            <w:pPr>
              <w:spacing w:line="276" w:lineRule="auto"/>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t xml:space="preserve">De lo anterior, se desprende </w:t>
            </w:r>
            <w:proofErr w:type="gramStart"/>
            <w:r>
              <w:rPr>
                <w:rFonts w:ascii="Palatino Linotype" w:eastAsia="Palatino Linotype" w:hAnsi="Palatino Linotype" w:cs="Palatino Linotype"/>
                <w:sz w:val="20"/>
                <w:szCs w:val="20"/>
                <w:highlight w:val="white"/>
              </w:rPr>
              <w:t>que</w:t>
            </w:r>
            <w:proofErr w:type="gramEnd"/>
            <w:r>
              <w:rPr>
                <w:rFonts w:ascii="Palatino Linotype" w:eastAsia="Palatino Linotype" w:hAnsi="Palatino Linotype" w:cs="Palatino Linotype"/>
                <w:sz w:val="20"/>
                <w:szCs w:val="20"/>
                <w:highlight w:val="white"/>
              </w:rPr>
              <w:t xml:space="preserve"> para una correcta </w:t>
            </w:r>
            <w:r>
              <w:rPr>
                <w:rFonts w:ascii="Palatino Linotype" w:eastAsia="Palatino Linotype" w:hAnsi="Palatino Linotype" w:cs="Palatino Linotype"/>
                <w:b/>
                <w:sz w:val="20"/>
                <w:szCs w:val="20"/>
                <w:highlight w:val="white"/>
              </w:rPr>
              <w:t>clasificación total o parcial</w:t>
            </w:r>
            <w:r>
              <w:rPr>
                <w:rFonts w:ascii="Palatino Linotype" w:eastAsia="Palatino Linotype" w:hAnsi="Palatino Linotype" w:cs="Palatino Linotype"/>
                <w:sz w:val="20"/>
                <w:szCs w:val="20"/>
                <w:highlight w:val="whit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3822E10" w14:textId="77777777" w:rsidR="003B1BD3" w:rsidRDefault="00EC4FBA">
            <w:pPr>
              <w:spacing w:line="276" w:lineRule="auto"/>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42DF9D8" w14:textId="77777777" w:rsidR="003B1BD3" w:rsidRDefault="00EC4FBA">
            <w:pPr>
              <w:spacing w:line="276" w:lineRule="auto"/>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lastRenderedPageBreak/>
              <w:t>En ese mismo sentido, el numeral trigésimo tercero fracción V de los Lineamientos Generales, precisa que para motivar la clasificación se deben acreditar las circunstancias de tiempo, modo y lugar.</w:t>
            </w:r>
          </w:p>
          <w:p w14:paraId="22D6D21A" w14:textId="77777777" w:rsidR="003B1BD3" w:rsidRDefault="00EC4FBA">
            <w:pPr>
              <w:spacing w:line="276" w:lineRule="auto"/>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t xml:space="preserve">Ahora bien, </w:t>
            </w:r>
            <w:r>
              <w:rPr>
                <w:rFonts w:ascii="Palatino Linotype" w:eastAsia="Palatino Linotype" w:hAnsi="Palatino Linotype" w:cs="Palatino Linotype"/>
                <w:b/>
                <w:sz w:val="20"/>
                <w:szCs w:val="20"/>
                <w:highlight w:val="white"/>
                <w:u w:val="single"/>
              </w:rPr>
              <w:t>para cada caso además de fundar y motivar</w:t>
            </w:r>
            <w:r>
              <w:rPr>
                <w:rFonts w:ascii="Palatino Linotype" w:eastAsia="Palatino Linotype" w:hAnsi="Palatino Linotype" w:cs="Palatino Linotype"/>
                <w:sz w:val="20"/>
                <w:szCs w:val="20"/>
                <w:highlight w:val="whit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B1BD3" w14:paraId="30C1EF71" w14:textId="77777777" w:rsidTr="003B1BD3">
        <w:tc>
          <w:tcPr>
            <w:cnfStyle w:val="001000000000" w:firstRow="0" w:lastRow="0" w:firstColumn="1" w:lastColumn="0" w:oddVBand="0" w:evenVBand="0" w:oddHBand="0" w:evenHBand="0" w:firstRowFirstColumn="0" w:firstRowLastColumn="0" w:lastRowFirstColumn="0" w:lastRowLastColumn="0"/>
            <w:tcW w:w="2010" w:type="dxa"/>
          </w:tcPr>
          <w:p w14:paraId="0859CAF6" w14:textId="77777777" w:rsidR="003B1BD3" w:rsidRDefault="00EC4FBA">
            <w:pPr>
              <w:spacing w:line="276" w:lineRule="auto"/>
              <w:ind w:right="-42"/>
              <w:jc w:val="both"/>
              <w:rPr>
                <w:rFonts w:ascii="Palatino Linotype" w:eastAsia="Palatino Linotype" w:hAnsi="Palatino Linotype" w:cs="Palatino Linotype"/>
                <w:sz w:val="20"/>
                <w:szCs w:val="20"/>
                <w:highlight w:val="white"/>
              </w:rPr>
            </w:pPr>
            <w:r>
              <w:rPr>
                <w:rFonts w:ascii="Palatino Linotype" w:eastAsia="Palatino Linotype" w:hAnsi="Palatino Linotype" w:cs="Palatino Linotype"/>
                <w:b w:val="0"/>
                <w:sz w:val="20"/>
                <w:szCs w:val="20"/>
                <w:highlight w:val="white"/>
              </w:rPr>
              <w:lastRenderedPageBreak/>
              <w:t xml:space="preserve">e) Condiciones especiales de la clasificación de la información como confidencial. </w:t>
            </w:r>
          </w:p>
          <w:p w14:paraId="77CBFD7B" w14:textId="77777777" w:rsidR="003B1BD3" w:rsidRDefault="003B1BD3">
            <w:pPr>
              <w:spacing w:line="276" w:lineRule="auto"/>
              <w:ind w:right="-42"/>
              <w:rPr>
                <w:rFonts w:ascii="Palatino Linotype" w:eastAsia="Palatino Linotype" w:hAnsi="Palatino Linotype" w:cs="Palatino Linotype"/>
                <w:sz w:val="20"/>
                <w:szCs w:val="20"/>
                <w:highlight w:val="white"/>
              </w:rPr>
            </w:pPr>
          </w:p>
        </w:tc>
        <w:tc>
          <w:tcPr>
            <w:tcW w:w="7590" w:type="dxa"/>
          </w:tcPr>
          <w:p w14:paraId="67C847C6" w14:textId="77777777" w:rsidR="003B1BD3" w:rsidRDefault="00EC4FBA">
            <w:pPr>
              <w:spacing w:line="276" w:lineRule="auto"/>
              <w:ind w:right="-4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t xml:space="preserve">Los artículos 148 y 120 de la Ley Estatal y de la Ley General, respectivamente, establecen </w:t>
            </w:r>
            <w:proofErr w:type="gramStart"/>
            <w:r>
              <w:rPr>
                <w:rFonts w:ascii="Palatino Linotype" w:eastAsia="Palatino Linotype" w:hAnsi="Palatino Linotype" w:cs="Palatino Linotype"/>
                <w:sz w:val="20"/>
                <w:szCs w:val="20"/>
                <w:highlight w:val="white"/>
              </w:rPr>
              <w:t>que</w:t>
            </w:r>
            <w:proofErr w:type="gramEnd"/>
            <w:r>
              <w:rPr>
                <w:rFonts w:ascii="Palatino Linotype" w:eastAsia="Palatino Linotype" w:hAnsi="Palatino Linotype" w:cs="Palatino Linotype"/>
                <w:sz w:val="20"/>
                <w:szCs w:val="20"/>
                <w:highlight w:val="white"/>
              </w:rPr>
              <w:t xml:space="preserve"> aun tratándose de datos personales, se podrán proporcionar, incluso sin solicitar el consentimiento de su titular. </w:t>
            </w:r>
          </w:p>
          <w:p w14:paraId="09766CF2" w14:textId="77777777" w:rsidR="003B1BD3" w:rsidRDefault="00EC4FBA">
            <w:pPr>
              <w:spacing w:line="276" w:lineRule="auto"/>
              <w:ind w:right="-4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F3E369D" w14:textId="77777777" w:rsidR="003B1BD3" w:rsidRDefault="00EC4FBA">
            <w:pPr>
              <w:spacing w:line="276" w:lineRule="auto"/>
              <w:ind w:right="-42"/>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highlight w:val="white"/>
              </w:rPr>
            </w:pPr>
            <w:r>
              <w:rPr>
                <w:rFonts w:ascii="Palatino Linotype" w:eastAsia="Palatino Linotype" w:hAnsi="Palatino Linotype" w:cs="Palatino Linotype"/>
                <w:sz w:val="20"/>
                <w:szCs w:val="20"/>
                <w:highlight w:val="whit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B0B83B1" w14:textId="77777777" w:rsidR="003B1BD3" w:rsidRDefault="003B1BD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highlight w:val="white"/>
        </w:rPr>
      </w:pPr>
    </w:p>
    <w:p w14:paraId="23C7D546" w14:textId="77777777" w:rsidR="003B1BD3" w:rsidRDefault="00EC4FBA">
      <w:pPr>
        <w:numPr>
          <w:ilvl w:val="0"/>
          <w:numId w:val="1"/>
        </w:numPr>
        <w:pBdr>
          <w:top w:val="nil"/>
          <w:left w:val="nil"/>
          <w:bottom w:val="nil"/>
          <w:right w:val="nil"/>
          <w:between w:val="nil"/>
        </w:pBdr>
        <w:spacing w:line="360" w:lineRule="auto"/>
        <w:ind w:left="0" w:right="-734" w:firstLine="0"/>
        <w:jc w:val="both"/>
        <w:rPr>
          <w:color w:val="000000"/>
          <w:highlight w:val="white"/>
        </w:rPr>
      </w:pPr>
      <w:r>
        <w:rPr>
          <w:rFonts w:ascii="Palatino Linotype" w:eastAsia="Palatino Linotype" w:hAnsi="Palatino Linotype" w:cs="Palatino Linotype"/>
          <w:color w:val="000000"/>
          <w:highlight w:val="white"/>
        </w:rPr>
        <w:t xml:space="preserve">Por lo anteriormente expuesto y fundado, este </w:t>
      </w:r>
      <w:r>
        <w:rPr>
          <w:rFonts w:ascii="Palatino Linotype" w:eastAsia="Palatino Linotype" w:hAnsi="Palatino Linotype" w:cs="Palatino Linotype"/>
          <w:b/>
          <w:color w:val="000000"/>
          <w:highlight w:val="white"/>
        </w:rPr>
        <w:t>ÓRGANO GARANTE</w:t>
      </w:r>
      <w:r>
        <w:rPr>
          <w:rFonts w:ascii="Palatino Linotype" w:eastAsia="Palatino Linotype" w:hAnsi="Palatino Linotype" w:cs="Palatino Linotype"/>
          <w:color w:val="000000"/>
          <w:highlight w:val="white"/>
        </w:rPr>
        <w:t xml:space="preserve"> emite los siguientes:</w:t>
      </w:r>
    </w:p>
    <w:p w14:paraId="444DAC35" w14:textId="77777777" w:rsidR="003B1BD3" w:rsidRDefault="003B1BD3">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highlight w:val="white"/>
        </w:rPr>
      </w:pPr>
    </w:p>
    <w:p w14:paraId="72D4358F" w14:textId="77777777" w:rsidR="003B1BD3" w:rsidRDefault="00EC4FBA">
      <w:pPr>
        <w:keepNext/>
        <w:keepLines/>
        <w:spacing w:line="360" w:lineRule="auto"/>
        <w:ind w:right="-734"/>
        <w:jc w:val="center"/>
        <w:rPr>
          <w:rFonts w:ascii="Palatino Linotype" w:eastAsia="Palatino Linotype" w:hAnsi="Palatino Linotype" w:cs="Palatino Linotype"/>
          <w:b/>
          <w:color w:val="000000"/>
          <w:highlight w:val="white"/>
        </w:rPr>
      </w:pPr>
      <w:bookmarkStart w:id="6" w:name="_heading=h.2s8eyo1" w:colFirst="0" w:colLast="0"/>
      <w:bookmarkEnd w:id="6"/>
      <w:r>
        <w:rPr>
          <w:rFonts w:ascii="Palatino Linotype" w:eastAsia="Palatino Linotype" w:hAnsi="Palatino Linotype" w:cs="Palatino Linotype"/>
          <w:b/>
          <w:color w:val="000000"/>
          <w:highlight w:val="white"/>
        </w:rPr>
        <w:t>R E S O L U T I V O S</w:t>
      </w:r>
    </w:p>
    <w:p w14:paraId="521793A7" w14:textId="77777777" w:rsidR="003B1BD3" w:rsidRDefault="003B1BD3">
      <w:pPr>
        <w:keepNext/>
        <w:keepLines/>
        <w:spacing w:line="360" w:lineRule="auto"/>
        <w:ind w:right="-734"/>
        <w:jc w:val="center"/>
        <w:rPr>
          <w:rFonts w:ascii="Palatino Linotype" w:eastAsia="Palatino Linotype" w:hAnsi="Palatino Linotype" w:cs="Palatino Linotype"/>
          <w:b/>
          <w:color w:val="000000"/>
          <w:highlight w:val="white"/>
        </w:rPr>
      </w:pPr>
    </w:p>
    <w:p w14:paraId="6D884C4D" w14:textId="77777777" w:rsidR="003B1BD3" w:rsidRDefault="00EC4FBA">
      <w:pPr>
        <w:spacing w:line="360" w:lineRule="auto"/>
        <w:ind w:right="-734"/>
        <w:jc w:val="both"/>
        <w:rPr>
          <w:rFonts w:ascii="Palatino Linotype" w:eastAsia="Palatino Linotype" w:hAnsi="Palatino Linotype" w:cs="Palatino Linotype"/>
          <w:highlight w:val="white"/>
        </w:rPr>
      </w:pPr>
      <w:r>
        <w:rPr>
          <w:rFonts w:ascii="Palatino Linotype" w:eastAsia="Palatino Linotype" w:hAnsi="Palatino Linotype" w:cs="Palatino Linotype"/>
          <w:b/>
          <w:highlight w:val="white"/>
        </w:rPr>
        <w:t xml:space="preserve">PRIMERO. </w:t>
      </w:r>
      <w:r>
        <w:rPr>
          <w:rFonts w:ascii="Palatino Linotype" w:eastAsia="Palatino Linotype" w:hAnsi="Palatino Linotype" w:cs="Palatino Linotype"/>
          <w:highlight w:val="white"/>
        </w:rPr>
        <w:t>Resultan fundadas las</w:t>
      </w:r>
      <w:r>
        <w:rPr>
          <w:rFonts w:ascii="Palatino Linotype" w:eastAsia="Palatino Linotype" w:hAnsi="Palatino Linotype" w:cs="Palatino Linotype"/>
          <w:b/>
          <w:highlight w:val="white"/>
        </w:rPr>
        <w:t xml:space="preserve"> </w:t>
      </w:r>
      <w:r>
        <w:rPr>
          <w:rFonts w:ascii="Palatino Linotype" w:eastAsia="Palatino Linotype" w:hAnsi="Palatino Linotype" w:cs="Palatino Linotype"/>
          <w:highlight w:val="white"/>
        </w:rPr>
        <w:t xml:space="preserve">razones o motivos de inconformidad hechos valer en el recurso de revisión </w:t>
      </w:r>
      <w:r>
        <w:rPr>
          <w:rFonts w:ascii="Palatino Linotype" w:eastAsia="Palatino Linotype" w:hAnsi="Palatino Linotype" w:cs="Palatino Linotype"/>
          <w:b/>
          <w:highlight w:val="white"/>
        </w:rPr>
        <w:t xml:space="preserve">00423/INFOEM/IP/RR/2024, </w:t>
      </w:r>
      <w:r>
        <w:rPr>
          <w:rFonts w:ascii="Palatino Linotype" w:eastAsia="Palatino Linotype" w:hAnsi="Palatino Linotype" w:cs="Palatino Linotype"/>
          <w:highlight w:val="white"/>
        </w:rPr>
        <w:t xml:space="preserve">en términos del </w:t>
      </w:r>
      <w:r>
        <w:rPr>
          <w:rFonts w:ascii="Palatino Linotype" w:eastAsia="Palatino Linotype" w:hAnsi="Palatino Linotype" w:cs="Palatino Linotype"/>
          <w:b/>
          <w:highlight w:val="white"/>
        </w:rPr>
        <w:t>Considerando</w:t>
      </w:r>
      <w:r>
        <w:rPr>
          <w:rFonts w:ascii="Palatino Linotype" w:eastAsia="Palatino Linotype" w:hAnsi="Palatino Linotype" w:cs="Palatino Linotype"/>
          <w:highlight w:val="white"/>
        </w:rPr>
        <w:t xml:space="preserve"> </w:t>
      </w:r>
      <w:r>
        <w:rPr>
          <w:rFonts w:ascii="Palatino Linotype" w:eastAsia="Palatino Linotype" w:hAnsi="Palatino Linotype" w:cs="Palatino Linotype"/>
          <w:b/>
          <w:highlight w:val="white"/>
        </w:rPr>
        <w:t>CUARTO y QUINTO de</w:t>
      </w:r>
      <w:r>
        <w:rPr>
          <w:rFonts w:ascii="Palatino Linotype" w:eastAsia="Palatino Linotype" w:hAnsi="Palatino Linotype" w:cs="Palatino Linotype"/>
          <w:highlight w:val="white"/>
        </w:rPr>
        <w:t xml:space="preserve"> la presente resolución.</w:t>
      </w:r>
    </w:p>
    <w:p w14:paraId="20E40FA0" w14:textId="77777777" w:rsidR="003B1BD3" w:rsidRDefault="003B1BD3">
      <w:pPr>
        <w:spacing w:line="360" w:lineRule="auto"/>
        <w:ind w:right="-734"/>
        <w:jc w:val="both"/>
        <w:rPr>
          <w:rFonts w:ascii="Palatino Linotype" w:eastAsia="Palatino Linotype" w:hAnsi="Palatino Linotype" w:cs="Palatino Linotype"/>
          <w:highlight w:val="white"/>
        </w:rPr>
      </w:pPr>
    </w:p>
    <w:p w14:paraId="68382518" w14:textId="77777777" w:rsidR="003B1BD3" w:rsidRDefault="00EC4FBA">
      <w:pPr>
        <w:spacing w:line="360" w:lineRule="auto"/>
        <w:ind w:right="-734"/>
        <w:jc w:val="both"/>
        <w:rPr>
          <w:rFonts w:ascii="Palatino Linotype" w:eastAsia="Palatino Linotype" w:hAnsi="Palatino Linotype" w:cs="Palatino Linotype"/>
          <w:highlight w:val="white"/>
        </w:rPr>
      </w:pPr>
      <w:bookmarkStart w:id="7" w:name="_heading=h.30j0zll" w:colFirst="0" w:colLast="0"/>
      <w:bookmarkEnd w:id="7"/>
      <w:r>
        <w:rPr>
          <w:rFonts w:ascii="Palatino Linotype" w:eastAsia="Palatino Linotype" w:hAnsi="Palatino Linotype" w:cs="Palatino Linotype"/>
          <w:b/>
          <w:highlight w:val="white"/>
        </w:rPr>
        <w:lastRenderedPageBreak/>
        <w:t>SEGUNDO.</w:t>
      </w:r>
      <w:r>
        <w:rPr>
          <w:rFonts w:ascii="Palatino Linotype" w:eastAsia="Palatino Linotype" w:hAnsi="Palatino Linotype" w:cs="Palatino Linotype"/>
          <w:color w:val="2F5496"/>
          <w:highlight w:val="white"/>
        </w:rPr>
        <w:t xml:space="preserve"> </w:t>
      </w:r>
      <w:r>
        <w:rPr>
          <w:rFonts w:ascii="Palatino Linotype" w:eastAsia="Palatino Linotype" w:hAnsi="Palatino Linotype" w:cs="Palatino Linotype"/>
          <w:highlight w:val="white"/>
        </w:rPr>
        <w:t>Se</w:t>
      </w:r>
      <w:r>
        <w:rPr>
          <w:rFonts w:ascii="Palatino Linotype" w:eastAsia="Palatino Linotype" w:hAnsi="Palatino Linotype" w:cs="Palatino Linotype"/>
          <w:b/>
          <w:highlight w:val="white"/>
        </w:rPr>
        <w:t xml:space="preserve"> REVOCA </w:t>
      </w:r>
      <w:r>
        <w:rPr>
          <w:rFonts w:ascii="Palatino Linotype" w:eastAsia="Palatino Linotype" w:hAnsi="Palatino Linotype" w:cs="Palatino Linotype"/>
          <w:highlight w:val="white"/>
        </w:rPr>
        <w:t xml:space="preserve">la respuesta emitida por el </w:t>
      </w:r>
      <w:r>
        <w:rPr>
          <w:rFonts w:ascii="Palatino Linotype" w:eastAsia="Palatino Linotype" w:hAnsi="Palatino Linotype" w:cs="Palatino Linotype"/>
          <w:b/>
          <w:highlight w:val="white"/>
        </w:rPr>
        <w:t xml:space="preserve">Ayuntamiento de Valle de Chalco Solidaridad </w:t>
      </w:r>
      <w:r>
        <w:rPr>
          <w:rFonts w:ascii="Palatino Linotype" w:eastAsia="Palatino Linotype" w:hAnsi="Palatino Linotype" w:cs="Palatino Linotype"/>
          <w:highlight w:val="white"/>
        </w:rPr>
        <w:t>y se</w:t>
      </w:r>
      <w:r>
        <w:rPr>
          <w:rFonts w:ascii="Palatino Linotype" w:eastAsia="Palatino Linotype" w:hAnsi="Palatino Linotype" w:cs="Palatino Linotype"/>
          <w:b/>
          <w:highlight w:val="white"/>
        </w:rPr>
        <w:t xml:space="preserve"> ORDENA </w:t>
      </w:r>
      <w:r>
        <w:rPr>
          <w:rFonts w:ascii="Palatino Linotype" w:eastAsia="Palatino Linotype" w:hAnsi="Palatino Linotype" w:cs="Palatino Linotype"/>
          <w:highlight w:val="white"/>
        </w:rPr>
        <w:t xml:space="preserve">entregar vía Sistema de Accesos a la Información Mexiquense (SAIMEX), de la Feria Valle de Chalco-Xico versión 2023, en versión </w:t>
      </w:r>
      <w:proofErr w:type="gramStart"/>
      <w:r>
        <w:rPr>
          <w:rFonts w:ascii="Palatino Linotype" w:eastAsia="Palatino Linotype" w:hAnsi="Palatino Linotype" w:cs="Palatino Linotype"/>
          <w:highlight w:val="white"/>
        </w:rPr>
        <w:t>pública  la</w:t>
      </w:r>
      <w:proofErr w:type="gramEnd"/>
      <w:r>
        <w:rPr>
          <w:rFonts w:ascii="Palatino Linotype" w:eastAsia="Palatino Linotype" w:hAnsi="Palatino Linotype" w:cs="Palatino Linotype"/>
          <w:highlight w:val="white"/>
        </w:rPr>
        <w:t xml:space="preserve"> siguiente información:</w:t>
      </w:r>
    </w:p>
    <w:p w14:paraId="4CF3FDDB" w14:textId="77777777" w:rsidR="003B1BD3" w:rsidRDefault="003B1BD3">
      <w:pPr>
        <w:spacing w:line="360" w:lineRule="auto"/>
        <w:ind w:right="-734"/>
        <w:jc w:val="both"/>
        <w:rPr>
          <w:rFonts w:ascii="Palatino Linotype" w:eastAsia="Palatino Linotype" w:hAnsi="Palatino Linotype" w:cs="Palatino Linotype"/>
          <w:highlight w:val="white"/>
        </w:rPr>
      </w:pPr>
    </w:p>
    <w:p w14:paraId="475EA93A" w14:textId="77777777" w:rsidR="003B1BD3" w:rsidRDefault="00EC4FBA">
      <w:pPr>
        <w:numPr>
          <w:ilvl w:val="2"/>
          <w:numId w:val="2"/>
        </w:numPr>
        <w:pBdr>
          <w:top w:val="nil"/>
          <w:left w:val="nil"/>
          <w:bottom w:val="nil"/>
          <w:right w:val="nil"/>
          <w:between w:val="nil"/>
        </w:pBdr>
        <w:spacing w:line="360" w:lineRule="auto"/>
        <w:ind w:left="851" w:right="-734" w:firstLine="0"/>
        <w:jc w:val="both"/>
        <w:rPr>
          <w:rFonts w:ascii="Palatino Linotype" w:eastAsia="Palatino Linotype" w:hAnsi="Palatino Linotype" w:cs="Palatino Linotype"/>
          <w:b/>
          <w:color w:val="000000"/>
          <w:highlight w:val="white"/>
        </w:rPr>
      </w:pPr>
      <w:r>
        <w:rPr>
          <w:rFonts w:ascii="Palatino Linotype" w:eastAsia="Palatino Linotype" w:hAnsi="Palatino Linotype" w:cs="Palatino Linotype"/>
          <w:b/>
          <w:color w:val="000000"/>
          <w:highlight w:val="white"/>
        </w:rPr>
        <w:t xml:space="preserve">Soporte documental donde </w:t>
      </w:r>
      <w:proofErr w:type="gramStart"/>
      <w:r>
        <w:rPr>
          <w:rFonts w:ascii="Palatino Linotype" w:eastAsia="Palatino Linotype" w:hAnsi="Palatino Linotype" w:cs="Palatino Linotype"/>
          <w:b/>
          <w:color w:val="000000"/>
          <w:highlight w:val="white"/>
        </w:rPr>
        <w:t>conste  el</w:t>
      </w:r>
      <w:proofErr w:type="gramEnd"/>
      <w:r>
        <w:rPr>
          <w:rFonts w:ascii="Palatino Linotype" w:eastAsia="Palatino Linotype" w:hAnsi="Palatino Linotype" w:cs="Palatino Linotype"/>
          <w:b/>
          <w:color w:val="000000"/>
          <w:highlight w:val="white"/>
        </w:rPr>
        <w:t xml:space="preserve"> monto gastado;</w:t>
      </w:r>
    </w:p>
    <w:p w14:paraId="158EFAC7" w14:textId="77777777" w:rsidR="003B1BD3" w:rsidRDefault="00EC4FBA">
      <w:pPr>
        <w:numPr>
          <w:ilvl w:val="2"/>
          <w:numId w:val="2"/>
        </w:numPr>
        <w:pBdr>
          <w:top w:val="nil"/>
          <w:left w:val="nil"/>
          <w:bottom w:val="nil"/>
          <w:right w:val="nil"/>
          <w:between w:val="nil"/>
        </w:pBdr>
        <w:spacing w:line="360" w:lineRule="auto"/>
        <w:ind w:left="851" w:right="-734" w:firstLine="0"/>
        <w:jc w:val="both"/>
        <w:rPr>
          <w:rFonts w:ascii="Palatino Linotype" w:eastAsia="Palatino Linotype" w:hAnsi="Palatino Linotype" w:cs="Palatino Linotype"/>
          <w:b/>
          <w:color w:val="000000"/>
          <w:highlight w:val="white"/>
        </w:rPr>
      </w:pPr>
      <w:r>
        <w:rPr>
          <w:rFonts w:ascii="Palatino Linotype" w:eastAsia="Palatino Linotype" w:hAnsi="Palatino Linotype" w:cs="Palatino Linotype"/>
          <w:b/>
          <w:color w:val="000000"/>
          <w:highlight w:val="white"/>
        </w:rPr>
        <w:t xml:space="preserve">Soporte documental donde conste el monto recaudado por la venta de boletos para ingresar, desglosado por día; y </w:t>
      </w:r>
    </w:p>
    <w:p w14:paraId="29375C91" w14:textId="77777777" w:rsidR="003B1BD3" w:rsidRDefault="00EC4FBA">
      <w:pPr>
        <w:numPr>
          <w:ilvl w:val="2"/>
          <w:numId w:val="2"/>
        </w:numPr>
        <w:pBdr>
          <w:top w:val="nil"/>
          <w:left w:val="nil"/>
          <w:bottom w:val="nil"/>
          <w:right w:val="nil"/>
          <w:between w:val="nil"/>
        </w:pBdr>
        <w:spacing w:line="360" w:lineRule="auto"/>
        <w:ind w:left="851" w:right="-734" w:firstLine="0"/>
        <w:jc w:val="both"/>
        <w:rPr>
          <w:rFonts w:ascii="Palatino Linotype" w:eastAsia="Palatino Linotype" w:hAnsi="Palatino Linotype" w:cs="Palatino Linotype"/>
          <w:b/>
          <w:color w:val="000000"/>
          <w:highlight w:val="white"/>
        </w:rPr>
      </w:pPr>
      <w:r>
        <w:rPr>
          <w:rFonts w:ascii="Palatino Linotype" w:eastAsia="Palatino Linotype" w:hAnsi="Palatino Linotype" w:cs="Palatino Linotype"/>
          <w:b/>
          <w:color w:val="000000"/>
          <w:highlight w:val="white"/>
        </w:rPr>
        <w:t xml:space="preserve">Contratos de los artistas que se presentaron. </w:t>
      </w:r>
    </w:p>
    <w:p w14:paraId="4BE6E9F6" w14:textId="77777777" w:rsidR="003B1BD3" w:rsidRDefault="003B1BD3">
      <w:pPr>
        <w:spacing w:line="360" w:lineRule="auto"/>
        <w:ind w:right="-734"/>
        <w:jc w:val="both"/>
        <w:rPr>
          <w:rFonts w:ascii="Palatino Linotype" w:eastAsia="Palatino Linotype" w:hAnsi="Palatino Linotype" w:cs="Palatino Linotype"/>
          <w:b/>
          <w:color w:val="000000"/>
          <w:highlight w:val="white"/>
        </w:rPr>
      </w:pPr>
      <w:bookmarkStart w:id="8" w:name="_heading=h.1fob9te" w:colFirst="0" w:colLast="0"/>
      <w:bookmarkEnd w:id="8"/>
    </w:p>
    <w:p w14:paraId="74AA608D" w14:textId="77777777" w:rsidR="003B1BD3" w:rsidRDefault="00EC4FBA">
      <w:pPr>
        <w:tabs>
          <w:tab w:val="left" w:pos="8080"/>
        </w:tabs>
        <w:spacing w:line="360" w:lineRule="auto"/>
        <w:ind w:right="-734"/>
        <w:jc w:val="both"/>
        <w:rPr>
          <w:rFonts w:ascii="Palatino Linotype" w:eastAsia="Palatino Linotype" w:hAnsi="Palatino Linotype" w:cs="Palatino Linotype"/>
          <w:b/>
          <w:highlight w:val="white"/>
        </w:rPr>
      </w:pPr>
      <w:r>
        <w:rPr>
          <w:rFonts w:ascii="Palatino Linotype" w:eastAsia="Palatino Linotype" w:hAnsi="Palatino Linotype" w:cs="Palatino Linotype"/>
          <w:highlight w:val="whit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highlight w:val="white"/>
        </w:rPr>
        <w:t xml:space="preserve"> RECURRENTE.</w:t>
      </w:r>
    </w:p>
    <w:p w14:paraId="4746E76D" w14:textId="77777777" w:rsidR="003B1BD3" w:rsidRDefault="003B1BD3">
      <w:pPr>
        <w:tabs>
          <w:tab w:val="left" w:pos="8080"/>
        </w:tabs>
        <w:spacing w:line="360" w:lineRule="auto"/>
        <w:ind w:right="-734"/>
        <w:jc w:val="both"/>
        <w:rPr>
          <w:rFonts w:ascii="Palatino Linotype" w:eastAsia="Palatino Linotype" w:hAnsi="Palatino Linotype" w:cs="Palatino Linotype"/>
          <w:b/>
          <w:highlight w:val="white"/>
        </w:rPr>
      </w:pPr>
    </w:p>
    <w:p w14:paraId="06291126" w14:textId="77777777" w:rsidR="003B1BD3" w:rsidRDefault="00EC4FBA">
      <w:pPr>
        <w:tabs>
          <w:tab w:val="left" w:pos="8080"/>
        </w:tabs>
        <w:spacing w:line="360" w:lineRule="auto"/>
        <w:ind w:right="-734"/>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b/>
          <w:highlight w:val="white"/>
        </w:rPr>
        <w:t xml:space="preserve">TERCERO. Notifíquese </w:t>
      </w:r>
      <w:r>
        <w:rPr>
          <w:rFonts w:ascii="Palatino Linotype" w:eastAsia="Palatino Linotype" w:hAnsi="Palatino Linotype" w:cs="Palatino Linotype"/>
          <w:highlight w:val="whit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highlight w:val="white"/>
        </w:rPr>
        <w:t>dé cumplimiento a lo ordenado dentro del plazo de diez días hábiles,</w:t>
      </w:r>
      <w:r>
        <w:rPr>
          <w:rFonts w:ascii="Palatino Linotype" w:eastAsia="Palatino Linotype" w:hAnsi="Palatino Linotype" w:cs="Palatino Linotype"/>
          <w:highlight w:val="whit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w:t>
      </w:r>
      <w:r>
        <w:rPr>
          <w:rFonts w:ascii="Palatino Linotype" w:eastAsia="Palatino Linotype" w:hAnsi="Palatino Linotype" w:cs="Palatino Linotype"/>
          <w:highlight w:val="white"/>
        </w:rPr>
        <w:lastRenderedPageBreak/>
        <w:t>conformidad con lo previsto en los artículos 198, 200, fracción III; 214, 215 y 216 de la Ley de Transparencia y Acceso a la Información Pública del Estado de México y Municipios.</w:t>
      </w:r>
    </w:p>
    <w:p w14:paraId="70839C65" w14:textId="77777777" w:rsidR="003B1BD3" w:rsidRDefault="003B1BD3">
      <w:pPr>
        <w:tabs>
          <w:tab w:val="left" w:pos="8080"/>
        </w:tabs>
        <w:spacing w:line="360" w:lineRule="auto"/>
        <w:ind w:right="-734"/>
        <w:jc w:val="both"/>
        <w:rPr>
          <w:rFonts w:ascii="Palatino Linotype" w:eastAsia="Palatino Linotype" w:hAnsi="Palatino Linotype" w:cs="Palatino Linotype"/>
          <w:color w:val="222222"/>
          <w:highlight w:val="white"/>
        </w:rPr>
      </w:pPr>
    </w:p>
    <w:p w14:paraId="0413B460" w14:textId="77777777" w:rsidR="003B1BD3" w:rsidRDefault="00EC4FBA">
      <w:pPr>
        <w:shd w:val="clear" w:color="auto" w:fill="FFFFFF"/>
        <w:spacing w:line="360" w:lineRule="auto"/>
        <w:ind w:right="-734"/>
        <w:jc w:val="both"/>
        <w:rPr>
          <w:rFonts w:ascii="Palatino Linotype" w:eastAsia="Palatino Linotype" w:hAnsi="Palatino Linotype" w:cs="Palatino Linotype"/>
          <w:highlight w:val="white"/>
        </w:rPr>
      </w:pPr>
      <w:r>
        <w:rPr>
          <w:rFonts w:ascii="Palatino Linotype" w:eastAsia="Palatino Linotype" w:hAnsi="Palatino Linotype" w:cs="Palatino Linotype"/>
          <w:b/>
          <w:highlight w:val="white"/>
        </w:rPr>
        <w:t>CUARTO. Notifíquese al RECURRENTE</w:t>
      </w:r>
      <w:r>
        <w:rPr>
          <w:rFonts w:ascii="Palatino Linotype" w:eastAsia="Palatino Linotype" w:hAnsi="Palatino Linotype" w:cs="Palatino Linotype"/>
          <w:highlight w:val="white"/>
        </w:rPr>
        <w:t xml:space="preserve"> la presente resolución vía SAIMEX.</w:t>
      </w:r>
    </w:p>
    <w:p w14:paraId="02FB66B9" w14:textId="77777777" w:rsidR="003B1BD3" w:rsidRDefault="003B1BD3">
      <w:pPr>
        <w:shd w:val="clear" w:color="auto" w:fill="FFFFFF"/>
        <w:spacing w:line="360" w:lineRule="auto"/>
        <w:ind w:right="-734"/>
        <w:jc w:val="both"/>
        <w:rPr>
          <w:rFonts w:ascii="Palatino Linotype" w:eastAsia="Palatino Linotype" w:hAnsi="Palatino Linotype" w:cs="Palatino Linotype"/>
          <w:b/>
          <w:color w:val="FF0000"/>
          <w:highlight w:val="white"/>
        </w:rPr>
      </w:pPr>
    </w:p>
    <w:p w14:paraId="01A08241" w14:textId="77777777" w:rsidR="003B1BD3" w:rsidRDefault="00EC4FBA">
      <w:pPr>
        <w:spacing w:line="360" w:lineRule="auto"/>
        <w:ind w:right="-734"/>
        <w:jc w:val="both"/>
        <w:rPr>
          <w:rFonts w:ascii="Palatino Linotype" w:eastAsia="Palatino Linotype" w:hAnsi="Palatino Linotype" w:cs="Palatino Linotype"/>
          <w:highlight w:val="white"/>
        </w:rPr>
      </w:pPr>
      <w:r>
        <w:rPr>
          <w:rFonts w:ascii="Palatino Linotype" w:eastAsia="Palatino Linotype" w:hAnsi="Palatino Linotype" w:cs="Palatino Linotype"/>
          <w:b/>
          <w:highlight w:val="white"/>
        </w:rPr>
        <w:t>QUINTO.</w:t>
      </w:r>
      <w:r>
        <w:rPr>
          <w:rFonts w:ascii="Palatino Linotype" w:eastAsia="Palatino Linotype" w:hAnsi="Palatino Linotype" w:cs="Palatino Linotype"/>
          <w:highlight w:val="white"/>
        </w:rPr>
        <w:t xml:space="preserve"> Se hace del conocimiento del </w:t>
      </w:r>
      <w:r>
        <w:rPr>
          <w:rFonts w:ascii="Palatino Linotype" w:eastAsia="Palatino Linotype" w:hAnsi="Palatino Linotype" w:cs="Palatino Linotype"/>
          <w:b/>
          <w:highlight w:val="white"/>
        </w:rPr>
        <w:t>RECURRENTE</w:t>
      </w:r>
      <w:r>
        <w:rPr>
          <w:rFonts w:ascii="Palatino Linotype" w:eastAsia="Palatino Linotype" w:hAnsi="Palatino Linotype" w:cs="Palatino Linotype"/>
          <w:highlight w:val="whit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05B1B031" w14:textId="77777777" w:rsidR="003B1BD3" w:rsidRDefault="003B1BD3">
      <w:pPr>
        <w:spacing w:line="360" w:lineRule="auto"/>
        <w:ind w:right="-734"/>
        <w:jc w:val="both"/>
        <w:rPr>
          <w:rFonts w:ascii="Palatino Linotype" w:eastAsia="Palatino Linotype" w:hAnsi="Palatino Linotype" w:cs="Palatino Linotype"/>
          <w:color w:val="000000"/>
          <w:highlight w:val="white"/>
        </w:rPr>
      </w:pPr>
    </w:p>
    <w:p w14:paraId="0CC0F13C" w14:textId="77777777" w:rsidR="003B1BD3" w:rsidRDefault="00EC4FBA">
      <w:pPr>
        <w:spacing w:line="360" w:lineRule="auto"/>
        <w:ind w:right="-734"/>
        <w:jc w:val="both"/>
        <w:rPr>
          <w:rFonts w:ascii="Palatino Linotype" w:eastAsia="Palatino Linotype" w:hAnsi="Palatino Linotype" w:cs="Palatino Linotype"/>
          <w:highlight w:val="white"/>
        </w:rPr>
      </w:pPr>
      <w:r>
        <w:rPr>
          <w:rFonts w:ascii="Palatino Linotype" w:eastAsia="Palatino Linotype" w:hAnsi="Palatino Linotype" w:cs="Palatino Linotype"/>
          <w:b/>
          <w:color w:val="000000"/>
          <w:highlight w:val="white"/>
        </w:rPr>
        <w:t xml:space="preserve">SEXTO. </w:t>
      </w:r>
      <w:r>
        <w:rPr>
          <w:rFonts w:ascii="Palatino Linotype" w:eastAsia="Palatino Linotype" w:hAnsi="Palatino Linotype" w:cs="Palatino Linotype"/>
          <w:highlight w:val="whit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0F33C4E" w14:textId="77777777" w:rsidR="003B1BD3" w:rsidRDefault="003B1BD3">
      <w:pPr>
        <w:shd w:val="clear" w:color="auto" w:fill="FFFFFF"/>
        <w:spacing w:line="360" w:lineRule="auto"/>
        <w:ind w:right="-734"/>
        <w:jc w:val="both"/>
        <w:rPr>
          <w:rFonts w:ascii="Palatino Linotype" w:eastAsia="Palatino Linotype" w:hAnsi="Palatino Linotype" w:cs="Palatino Linotype"/>
          <w:highlight w:val="white"/>
        </w:rPr>
      </w:pPr>
    </w:p>
    <w:p w14:paraId="6E5D607E" w14:textId="77777777" w:rsidR="00B107D9" w:rsidRPr="003C7186" w:rsidRDefault="00B107D9" w:rsidP="00B107D9">
      <w:pPr>
        <w:spacing w:line="360" w:lineRule="auto"/>
        <w:ind w:left="-142" w:right="-737"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0F4BC43A" w14:textId="77777777" w:rsidR="003B1BD3" w:rsidRDefault="003B1BD3" w:rsidP="00B107D9">
      <w:pPr>
        <w:spacing w:line="360" w:lineRule="auto"/>
        <w:ind w:right="-737"/>
        <w:rPr>
          <w:rFonts w:ascii="Palatino Linotype" w:eastAsia="Palatino Linotype" w:hAnsi="Palatino Linotype" w:cs="Palatino Linotype"/>
          <w:highlight w:val="white"/>
        </w:rPr>
      </w:pPr>
    </w:p>
    <w:p w14:paraId="68B3A1AF" w14:textId="77777777" w:rsidR="003B1BD3" w:rsidRDefault="003B1BD3">
      <w:pPr>
        <w:spacing w:line="360" w:lineRule="auto"/>
        <w:ind w:right="-734"/>
        <w:rPr>
          <w:rFonts w:ascii="Palatino Linotype" w:eastAsia="Palatino Linotype" w:hAnsi="Palatino Linotype" w:cs="Palatino Linotype"/>
          <w:highlight w:val="white"/>
        </w:rPr>
      </w:pPr>
    </w:p>
    <w:p w14:paraId="4E4EB4C1" w14:textId="77777777" w:rsidR="003B1BD3" w:rsidRDefault="003B1BD3">
      <w:pPr>
        <w:spacing w:line="360" w:lineRule="auto"/>
        <w:ind w:right="-734"/>
        <w:rPr>
          <w:rFonts w:ascii="Palatino Linotype" w:eastAsia="Palatino Linotype" w:hAnsi="Palatino Linotype" w:cs="Palatino Linotype"/>
          <w:highlight w:val="white"/>
        </w:rPr>
      </w:pPr>
    </w:p>
    <w:p w14:paraId="3C792575" w14:textId="77777777" w:rsidR="003B1BD3" w:rsidRDefault="003B1BD3">
      <w:pPr>
        <w:ind w:right="-734"/>
        <w:rPr>
          <w:rFonts w:ascii="Palatino Linotype" w:eastAsia="Palatino Linotype" w:hAnsi="Palatino Linotype" w:cs="Palatino Linotype"/>
        </w:rPr>
      </w:pPr>
    </w:p>
    <w:p w14:paraId="0E9ECF13" w14:textId="77777777" w:rsidR="003B1BD3" w:rsidRDefault="003B1BD3">
      <w:pPr>
        <w:ind w:right="-734"/>
        <w:rPr>
          <w:rFonts w:ascii="Palatino Linotype" w:eastAsia="Palatino Linotype" w:hAnsi="Palatino Linotype" w:cs="Palatino Linotype"/>
        </w:rPr>
      </w:pPr>
    </w:p>
    <w:p w14:paraId="7D7AD002" w14:textId="77777777" w:rsidR="003B1BD3" w:rsidRDefault="003B1BD3">
      <w:pPr>
        <w:ind w:right="-734"/>
        <w:rPr>
          <w:rFonts w:ascii="Palatino Linotype" w:eastAsia="Palatino Linotype" w:hAnsi="Palatino Linotype" w:cs="Palatino Linotype"/>
        </w:rPr>
      </w:pPr>
    </w:p>
    <w:p w14:paraId="6B8AE133" w14:textId="77777777" w:rsidR="003B1BD3" w:rsidRDefault="003B1BD3">
      <w:pPr>
        <w:ind w:right="-734"/>
        <w:rPr>
          <w:rFonts w:ascii="Palatino Linotype" w:eastAsia="Palatino Linotype" w:hAnsi="Palatino Linotype" w:cs="Palatino Linotype"/>
        </w:rPr>
      </w:pPr>
    </w:p>
    <w:p w14:paraId="49EE40C3" w14:textId="77777777" w:rsidR="003B1BD3" w:rsidRDefault="003B1BD3">
      <w:pPr>
        <w:ind w:right="-734"/>
        <w:rPr>
          <w:rFonts w:ascii="Palatino Linotype" w:eastAsia="Palatino Linotype" w:hAnsi="Palatino Linotype" w:cs="Palatino Linotype"/>
        </w:rPr>
      </w:pPr>
    </w:p>
    <w:p w14:paraId="54374D95" w14:textId="77777777" w:rsidR="003B1BD3" w:rsidRDefault="003B1BD3">
      <w:pPr>
        <w:ind w:right="-734"/>
        <w:rPr>
          <w:rFonts w:ascii="Palatino Linotype" w:eastAsia="Palatino Linotype" w:hAnsi="Palatino Linotype" w:cs="Palatino Linotype"/>
        </w:rPr>
      </w:pPr>
    </w:p>
    <w:p w14:paraId="68A837AD" w14:textId="77777777" w:rsidR="003B1BD3" w:rsidRDefault="003B1BD3">
      <w:pPr>
        <w:ind w:right="-734"/>
        <w:rPr>
          <w:rFonts w:ascii="Palatino Linotype" w:eastAsia="Palatino Linotype" w:hAnsi="Palatino Linotype" w:cs="Palatino Linotype"/>
        </w:rPr>
      </w:pPr>
    </w:p>
    <w:p w14:paraId="186CCCEE" w14:textId="77777777" w:rsidR="003B1BD3" w:rsidRDefault="003B1BD3">
      <w:pPr>
        <w:ind w:right="-734"/>
        <w:rPr>
          <w:rFonts w:ascii="Palatino Linotype" w:eastAsia="Palatino Linotype" w:hAnsi="Palatino Linotype" w:cs="Palatino Linotype"/>
        </w:rPr>
      </w:pPr>
    </w:p>
    <w:sectPr w:rsidR="003B1BD3">
      <w:headerReference w:type="even" r:id="rId16"/>
      <w:headerReference w:type="default" r:id="rId17"/>
      <w:footerReference w:type="default" r:id="rId18"/>
      <w:headerReference w:type="first" r:id="rId19"/>
      <w:footerReference w:type="first" r:id="rId20"/>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6D837" w14:textId="77777777" w:rsidR="0047005C" w:rsidRDefault="0047005C">
      <w:r>
        <w:separator/>
      </w:r>
    </w:p>
  </w:endnote>
  <w:endnote w:type="continuationSeparator" w:id="0">
    <w:p w14:paraId="28C61472" w14:textId="77777777" w:rsidR="0047005C" w:rsidRDefault="0047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931C" w14:textId="77777777" w:rsidR="003B1BD3" w:rsidRDefault="00EC4FB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72CD9">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72CD9">
      <w:rPr>
        <w:b/>
        <w:noProof/>
        <w:color w:val="000000"/>
      </w:rPr>
      <w:t>38</w:t>
    </w:r>
    <w:r>
      <w:rPr>
        <w:b/>
        <w:color w:val="000000"/>
      </w:rPr>
      <w:fldChar w:fldCharType="end"/>
    </w:r>
  </w:p>
  <w:p w14:paraId="661069DE" w14:textId="77777777" w:rsidR="003B1BD3" w:rsidRDefault="003B1BD3">
    <w:pPr>
      <w:pBdr>
        <w:top w:val="nil"/>
        <w:left w:val="nil"/>
        <w:bottom w:val="nil"/>
        <w:right w:val="nil"/>
        <w:between w:val="nil"/>
      </w:pBdr>
      <w:tabs>
        <w:tab w:val="center" w:pos="4419"/>
        <w:tab w:val="right" w:pos="8838"/>
      </w:tabs>
      <w:rPr>
        <w:color w:val="000000"/>
      </w:rPr>
    </w:pPr>
  </w:p>
  <w:p w14:paraId="1EBA5B8B" w14:textId="77777777" w:rsidR="005B2D04" w:rsidRDefault="005B2D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5412" w14:textId="77777777" w:rsidR="003B1BD3" w:rsidRDefault="00EC4FB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72CD9">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72CD9">
      <w:rPr>
        <w:b/>
        <w:noProof/>
        <w:color w:val="000000"/>
      </w:rPr>
      <w:t>38</w:t>
    </w:r>
    <w:r>
      <w:rPr>
        <w:b/>
        <w:color w:val="000000"/>
      </w:rPr>
      <w:fldChar w:fldCharType="end"/>
    </w:r>
  </w:p>
  <w:p w14:paraId="0213DB1C" w14:textId="77777777" w:rsidR="003B1BD3" w:rsidRDefault="003B1BD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CE56" w14:textId="77777777" w:rsidR="0047005C" w:rsidRDefault="0047005C">
      <w:r>
        <w:separator/>
      </w:r>
    </w:p>
  </w:footnote>
  <w:footnote w:type="continuationSeparator" w:id="0">
    <w:p w14:paraId="44026792" w14:textId="77777777" w:rsidR="0047005C" w:rsidRDefault="0047005C">
      <w:r>
        <w:continuationSeparator/>
      </w:r>
    </w:p>
  </w:footnote>
  <w:footnote w:id="1">
    <w:p w14:paraId="6B70C0D6" w14:textId="77777777" w:rsidR="003B1BD3" w:rsidRDefault="00EC4FB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14:paraId="5FA2BD56" w14:textId="77777777" w:rsidR="003B1BD3" w:rsidRDefault="00EC4FB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2">
    <w:p w14:paraId="01468628" w14:textId="77777777" w:rsidR="003B1BD3" w:rsidRDefault="00EC4FB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0B19" w14:textId="77777777" w:rsidR="003B1BD3" w:rsidRDefault="0047005C">
    <w:pPr>
      <w:pBdr>
        <w:top w:val="nil"/>
        <w:left w:val="nil"/>
        <w:bottom w:val="nil"/>
        <w:right w:val="nil"/>
        <w:between w:val="nil"/>
      </w:pBdr>
      <w:tabs>
        <w:tab w:val="center" w:pos="4419"/>
        <w:tab w:val="right" w:pos="8838"/>
      </w:tabs>
      <w:rPr>
        <w:color w:val="000000"/>
      </w:rPr>
    </w:pPr>
    <w:r>
      <w:rPr>
        <w:color w:val="000000"/>
      </w:rPr>
      <w:pict w14:anchorId="7216B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10206" w:type="dxa"/>
      <w:tblInd w:w="0" w:type="dxa"/>
      <w:tblLayout w:type="fixed"/>
      <w:tblLook w:val="0400" w:firstRow="0" w:lastRow="0" w:firstColumn="0" w:lastColumn="0" w:noHBand="0" w:noVBand="1"/>
    </w:tblPr>
    <w:tblGrid>
      <w:gridCol w:w="2694"/>
      <w:gridCol w:w="7512"/>
    </w:tblGrid>
    <w:tr w:rsidR="003B1BD3" w14:paraId="39C96720" w14:textId="77777777" w:rsidTr="002345EB">
      <w:trPr>
        <w:trHeight w:val="1435"/>
      </w:trPr>
      <w:tc>
        <w:tcPr>
          <w:tcW w:w="2694" w:type="dxa"/>
          <w:shd w:val="clear" w:color="auto" w:fill="auto"/>
        </w:tcPr>
        <w:p w14:paraId="27DDB22F" w14:textId="77777777" w:rsidR="003B1BD3" w:rsidRDefault="003B1BD3">
          <w:pPr>
            <w:tabs>
              <w:tab w:val="right" w:pos="4273"/>
            </w:tabs>
            <w:rPr>
              <w:rFonts w:ascii="Garamond" w:eastAsia="Garamond" w:hAnsi="Garamond" w:cs="Garamond"/>
              <w:sz w:val="16"/>
              <w:szCs w:val="16"/>
            </w:rPr>
          </w:pPr>
        </w:p>
      </w:tc>
      <w:tc>
        <w:tcPr>
          <w:tcW w:w="7512" w:type="dxa"/>
          <w:shd w:val="clear" w:color="auto" w:fill="auto"/>
        </w:tcPr>
        <w:tbl>
          <w:tblPr>
            <w:tblStyle w:val="a2"/>
            <w:tblW w:w="7216" w:type="dxa"/>
            <w:tblInd w:w="40" w:type="dxa"/>
            <w:tblLayout w:type="fixed"/>
            <w:tblLook w:val="0400" w:firstRow="0" w:lastRow="0" w:firstColumn="0" w:lastColumn="0" w:noHBand="0" w:noVBand="1"/>
          </w:tblPr>
          <w:tblGrid>
            <w:gridCol w:w="2580"/>
            <w:gridCol w:w="4636"/>
          </w:tblGrid>
          <w:tr w:rsidR="003B1BD3" w14:paraId="402560A7" w14:textId="77777777" w:rsidTr="002345EB">
            <w:trPr>
              <w:trHeight w:val="150"/>
            </w:trPr>
            <w:tc>
              <w:tcPr>
                <w:tcW w:w="2580" w:type="dxa"/>
                <w:shd w:val="clear" w:color="auto" w:fill="auto"/>
              </w:tcPr>
              <w:p w14:paraId="7F097FD9" w14:textId="77777777" w:rsidR="003B1BD3" w:rsidRDefault="00EC4FB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6" w:type="dxa"/>
                <w:shd w:val="clear" w:color="auto" w:fill="auto"/>
              </w:tcPr>
              <w:p w14:paraId="2A7AB2AD" w14:textId="77777777" w:rsidR="003B1BD3" w:rsidRDefault="00EC4FBA">
                <w:pPr>
                  <w:ind w:left="-108" w:right="-112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00423/INFOEM/IP/RR/2024</w:t>
                </w:r>
              </w:p>
            </w:tc>
          </w:tr>
          <w:tr w:rsidR="003B1BD3" w14:paraId="3636E3B9" w14:textId="77777777" w:rsidTr="002345EB">
            <w:trPr>
              <w:trHeight w:val="295"/>
            </w:trPr>
            <w:tc>
              <w:tcPr>
                <w:tcW w:w="2580" w:type="dxa"/>
                <w:shd w:val="clear" w:color="auto" w:fill="auto"/>
              </w:tcPr>
              <w:p w14:paraId="74F9BD48" w14:textId="77777777" w:rsidR="003B1BD3" w:rsidRDefault="00EC4FB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6" w:type="dxa"/>
                <w:shd w:val="clear" w:color="auto" w:fill="auto"/>
              </w:tcPr>
              <w:p w14:paraId="2BDF7276" w14:textId="77777777" w:rsidR="003B1BD3" w:rsidRDefault="00EC4FBA">
                <w:pPr>
                  <w:tabs>
                    <w:tab w:val="left" w:pos="2834"/>
                  </w:tabs>
                  <w:ind w:left="-108" w:right="-112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Valle de Chalco Solidaridad</w:t>
                </w:r>
              </w:p>
            </w:tc>
          </w:tr>
          <w:tr w:rsidR="003B1BD3" w14:paraId="7A51E59C" w14:textId="77777777" w:rsidTr="002345EB">
            <w:trPr>
              <w:trHeight w:val="295"/>
            </w:trPr>
            <w:tc>
              <w:tcPr>
                <w:tcW w:w="2580" w:type="dxa"/>
                <w:shd w:val="clear" w:color="auto" w:fill="auto"/>
              </w:tcPr>
              <w:p w14:paraId="72CAF54A" w14:textId="77777777" w:rsidR="003B1BD3" w:rsidRDefault="00EC4FB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6" w:type="dxa"/>
                <w:shd w:val="clear" w:color="auto" w:fill="auto"/>
              </w:tcPr>
              <w:p w14:paraId="6F3103DA" w14:textId="77777777" w:rsidR="003B1BD3" w:rsidRDefault="00EC4FBA">
                <w:pPr>
                  <w:ind w:left="-108" w:right="-112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66DB8A8" w14:textId="77777777" w:rsidR="003B1BD3" w:rsidRDefault="003B1BD3">
                <w:pPr>
                  <w:ind w:left="-108" w:right="-1120"/>
                  <w:rPr>
                    <w:rFonts w:ascii="Palatino Linotype" w:eastAsia="Palatino Linotype" w:hAnsi="Palatino Linotype" w:cs="Palatino Linotype"/>
                    <w:b/>
                    <w:sz w:val="22"/>
                    <w:szCs w:val="22"/>
                  </w:rPr>
                </w:pPr>
              </w:p>
            </w:tc>
          </w:tr>
        </w:tbl>
        <w:p w14:paraId="32E2970C" w14:textId="77777777" w:rsidR="003B1BD3" w:rsidRDefault="003B1BD3">
          <w:pPr>
            <w:tabs>
              <w:tab w:val="right" w:pos="8838"/>
            </w:tabs>
            <w:ind w:left="-28"/>
            <w:jc w:val="both"/>
            <w:rPr>
              <w:rFonts w:ascii="Arial" w:eastAsia="Arial" w:hAnsi="Arial" w:cs="Arial"/>
              <w:b/>
              <w:sz w:val="22"/>
              <w:szCs w:val="22"/>
            </w:rPr>
          </w:pPr>
        </w:p>
      </w:tc>
    </w:tr>
  </w:tbl>
  <w:p w14:paraId="7E860033" w14:textId="77777777" w:rsidR="003B1BD3" w:rsidRDefault="0047005C" w:rsidP="002345EB">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6CFE0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9360" w:type="dxa"/>
      <w:tblInd w:w="0" w:type="dxa"/>
      <w:tblLayout w:type="fixed"/>
      <w:tblLook w:val="0400" w:firstRow="0" w:lastRow="0" w:firstColumn="0" w:lastColumn="0" w:noHBand="0" w:noVBand="1"/>
    </w:tblPr>
    <w:tblGrid>
      <w:gridCol w:w="2265"/>
      <w:gridCol w:w="7095"/>
    </w:tblGrid>
    <w:tr w:rsidR="003B1BD3" w14:paraId="4ACF4990" w14:textId="77777777">
      <w:trPr>
        <w:trHeight w:val="1435"/>
      </w:trPr>
      <w:tc>
        <w:tcPr>
          <w:tcW w:w="2265" w:type="dxa"/>
          <w:shd w:val="clear" w:color="auto" w:fill="auto"/>
        </w:tcPr>
        <w:p w14:paraId="0B7499ED" w14:textId="77777777" w:rsidR="003B1BD3" w:rsidRDefault="003B1BD3">
          <w:pPr>
            <w:tabs>
              <w:tab w:val="right" w:pos="4273"/>
            </w:tabs>
            <w:rPr>
              <w:rFonts w:ascii="Garamond" w:eastAsia="Garamond" w:hAnsi="Garamond" w:cs="Garamond"/>
              <w:sz w:val="22"/>
              <w:szCs w:val="22"/>
            </w:rPr>
          </w:pPr>
        </w:p>
      </w:tc>
      <w:tc>
        <w:tcPr>
          <w:tcW w:w="7095" w:type="dxa"/>
          <w:shd w:val="clear" w:color="auto" w:fill="auto"/>
        </w:tcPr>
        <w:tbl>
          <w:tblPr>
            <w:tblStyle w:val="a4"/>
            <w:tblW w:w="7546" w:type="dxa"/>
            <w:tblInd w:w="0" w:type="dxa"/>
            <w:tblLayout w:type="fixed"/>
            <w:tblLook w:val="0400" w:firstRow="0" w:lastRow="0" w:firstColumn="0" w:lastColumn="0" w:noHBand="0" w:noVBand="1"/>
          </w:tblPr>
          <w:tblGrid>
            <w:gridCol w:w="2689"/>
            <w:gridCol w:w="4857"/>
          </w:tblGrid>
          <w:tr w:rsidR="003B1BD3" w14:paraId="5A18F47A" w14:textId="77777777" w:rsidTr="002345EB">
            <w:trPr>
              <w:trHeight w:val="114"/>
            </w:trPr>
            <w:tc>
              <w:tcPr>
                <w:tcW w:w="2689" w:type="dxa"/>
                <w:shd w:val="clear" w:color="auto" w:fill="auto"/>
              </w:tcPr>
              <w:p w14:paraId="1341C648" w14:textId="77777777" w:rsidR="003B1BD3" w:rsidRPr="00E22461" w:rsidRDefault="00EC4FBA" w:rsidP="002345EB">
                <w:pPr>
                  <w:ind w:left="283" w:right="-257"/>
                  <w:rPr>
                    <w:rFonts w:ascii="Palatino Linotype" w:eastAsia="Palatino Linotype" w:hAnsi="Palatino Linotype" w:cs="Palatino Linotype"/>
                    <w:b/>
                    <w:sz w:val="20"/>
                    <w:szCs w:val="22"/>
                  </w:rPr>
                </w:pPr>
                <w:r w:rsidRPr="00E22461">
                  <w:rPr>
                    <w:rFonts w:ascii="Palatino Linotype" w:eastAsia="Palatino Linotype" w:hAnsi="Palatino Linotype" w:cs="Palatino Linotype"/>
                    <w:b/>
                    <w:sz w:val="20"/>
                    <w:szCs w:val="22"/>
                  </w:rPr>
                  <w:t>Recurso de Revisión:</w:t>
                </w:r>
              </w:p>
            </w:tc>
            <w:tc>
              <w:tcPr>
                <w:tcW w:w="4857" w:type="dxa"/>
                <w:shd w:val="clear" w:color="auto" w:fill="auto"/>
              </w:tcPr>
              <w:p w14:paraId="5D607FF0" w14:textId="77777777" w:rsidR="003B1BD3" w:rsidRPr="00E22461" w:rsidRDefault="00EC4FBA" w:rsidP="002345EB">
                <w:pPr>
                  <w:ind w:right="-112"/>
                  <w:rPr>
                    <w:rFonts w:ascii="Palatino Linotype" w:eastAsia="Palatino Linotype" w:hAnsi="Palatino Linotype" w:cs="Palatino Linotype"/>
                    <w:sz w:val="20"/>
                    <w:szCs w:val="22"/>
                  </w:rPr>
                </w:pPr>
                <w:r w:rsidRPr="00E22461">
                  <w:rPr>
                    <w:rFonts w:ascii="Palatino Linotype" w:eastAsia="Palatino Linotype" w:hAnsi="Palatino Linotype" w:cs="Palatino Linotype"/>
                    <w:sz w:val="20"/>
                    <w:szCs w:val="22"/>
                  </w:rPr>
                  <w:t>00423/INFOEM/IP/RR/2024</w:t>
                </w:r>
              </w:p>
            </w:tc>
          </w:tr>
          <w:tr w:rsidR="003B1BD3" w14:paraId="20DE58F5" w14:textId="77777777" w:rsidTr="002345EB">
            <w:trPr>
              <w:trHeight w:val="114"/>
            </w:trPr>
            <w:tc>
              <w:tcPr>
                <w:tcW w:w="2689" w:type="dxa"/>
                <w:shd w:val="clear" w:color="auto" w:fill="auto"/>
              </w:tcPr>
              <w:p w14:paraId="0A67C171" w14:textId="77777777" w:rsidR="003B1BD3" w:rsidRPr="00E22461" w:rsidRDefault="00EC4FBA">
                <w:pPr>
                  <w:ind w:left="283" w:right="-204"/>
                  <w:rPr>
                    <w:rFonts w:ascii="Palatino Linotype" w:eastAsia="Palatino Linotype" w:hAnsi="Palatino Linotype" w:cs="Palatino Linotype"/>
                    <w:b/>
                    <w:sz w:val="20"/>
                    <w:szCs w:val="22"/>
                  </w:rPr>
                </w:pPr>
                <w:r w:rsidRPr="00E22461">
                  <w:rPr>
                    <w:rFonts w:ascii="Palatino Linotype" w:eastAsia="Palatino Linotype" w:hAnsi="Palatino Linotype" w:cs="Palatino Linotype"/>
                    <w:b/>
                    <w:sz w:val="20"/>
                    <w:szCs w:val="22"/>
                  </w:rPr>
                  <w:t>Recurrente:</w:t>
                </w:r>
              </w:p>
            </w:tc>
            <w:tc>
              <w:tcPr>
                <w:tcW w:w="4857" w:type="dxa"/>
                <w:shd w:val="clear" w:color="auto" w:fill="auto"/>
              </w:tcPr>
              <w:p w14:paraId="4974CCB7" w14:textId="5D839A59" w:rsidR="003B1BD3" w:rsidRPr="00E22461" w:rsidRDefault="003A505B" w:rsidP="002345EB">
                <w:pPr>
                  <w:ind w:right="-112"/>
                  <w:rPr>
                    <w:rFonts w:ascii="Palatino Linotype" w:eastAsia="Palatino Linotype" w:hAnsi="Palatino Linotype" w:cs="Palatino Linotype"/>
                    <w:sz w:val="20"/>
                    <w:szCs w:val="22"/>
                  </w:rPr>
                </w:pPr>
                <w:r>
                  <w:rPr>
                    <w:rFonts w:ascii="Palatino Linotype" w:eastAsia="Palatino Linotype" w:hAnsi="Palatino Linotype" w:cs="Palatino Linotype"/>
                    <w:sz w:val="20"/>
                    <w:szCs w:val="22"/>
                  </w:rPr>
                  <w:t xml:space="preserve">XXX </w:t>
                </w:r>
                <w:proofErr w:type="spellStart"/>
                <w:r>
                  <w:rPr>
                    <w:rFonts w:ascii="Palatino Linotype" w:eastAsia="Palatino Linotype" w:hAnsi="Palatino Linotype" w:cs="Palatino Linotype"/>
                    <w:sz w:val="20"/>
                    <w:szCs w:val="22"/>
                  </w:rPr>
                  <w:t>XXX</w:t>
                </w:r>
                <w:proofErr w:type="spellEnd"/>
              </w:p>
            </w:tc>
          </w:tr>
          <w:tr w:rsidR="003B1BD3" w14:paraId="7CA80DDA" w14:textId="77777777" w:rsidTr="002345EB">
            <w:trPr>
              <w:trHeight w:val="225"/>
            </w:trPr>
            <w:tc>
              <w:tcPr>
                <w:tcW w:w="2689" w:type="dxa"/>
                <w:shd w:val="clear" w:color="auto" w:fill="auto"/>
              </w:tcPr>
              <w:p w14:paraId="0D0765A1" w14:textId="77777777" w:rsidR="003B1BD3" w:rsidRPr="00E22461" w:rsidRDefault="00EC4FBA">
                <w:pPr>
                  <w:ind w:left="283" w:right="-204"/>
                  <w:rPr>
                    <w:rFonts w:ascii="Palatino Linotype" w:eastAsia="Palatino Linotype" w:hAnsi="Palatino Linotype" w:cs="Palatino Linotype"/>
                    <w:b/>
                    <w:sz w:val="20"/>
                    <w:szCs w:val="22"/>
                  </w:rPr>
                </w:pPr>
                <w:r w:rsidRPr="00E22461">
                  <w:rPr>
                    <w:rFonts w:ascii="Palatino Linotype" w:eastAsia="Palatino Linotype" w:hAnsi="Palatino Linotype" w:cs="Palatino Linotype"/>
                    <w:b/>
                    <w:sz w:val="20"/>
                    <w:szCs w:val="22"/>
                  </w:rPr>
                  <w:t>Sujeto Obligado:</w:t>
                </w:r>
              </w:p>
            </w:tc>
            <w:tc>
              <w:tcPr>
                <w:tcW w:w="4857" w:type="dxa"/>
                <w:shd w:val="clear" w:color="auto" w:fill="auto"/>
              </w:tcPr>
              <w:p w14:paraId="6FD294EC" w14:textId="77777777" w:rsidR="003B1BD3" w:rsidRPr="00E22461" w:rsidRDefault="00EC4FBA" w:rsidP="002345EB">
                <w:pPr>
                  <w:tabs>
                    <w:tab w:val="left" w:pos="2834"/>
                  </w:tabs>
                  <w:ind w:right="-112"/>
                  <w:rPr>
                    <w:rFonts w:ascii="Palatino Linotype" w:eastAsia="Palatino Linotype" w:hAnsi="Palatino Linotype" w:cs="Palatino Linotype"/>
                    <w:sz w:val="20"/>
                    <w:szCs w:val="22"/>
                  </w:rPr>
                </w:pPr>
                <w:r w:rsidRPr="00E22461">
                  <w:rPr>
                    <w:rFonts w:ascii="Palatino Linotype" w:eastAsia="Palatino Linotype" w:hAnsi="Palatino Linotype" w:cs="Palatino Linotype"/>
                    <w:sz w:val="20"/>
                    <w:szCs w:val="22"/>
                  </w:rPr>
                  <w:t>Ayuntamiento de Valle de Chalco Solidaridad</w:t>
                </w:r>
              </w:p>
            </w:tc>
          </w:tr>
          <w:tr w:rsidR="003B1BD3" w14:paraId="4270D6D7" w14:textId="77777777" w:rsidTr="002345EB">
            <w:trPr>
              <w:trHeight w:val="225"/>
            </w:trPr>
            <w:tc>
              <w:tcPr>
                <w:tcW w:w="2689" w:type="dxa"/>
                <w:shd w:val="clear" w:color="auto" w:fill="auto"/>
              </w:tcPr>
              <w:p w14:paraId="56286898" w14:textId="77777777" w:rsidR="003B1BD3" w:rsidRPr="00E22461" w:rsidRDefault="00EC4FBA">
                <w:pPr>
                  <w:ind w:left="283" w:right="-204"/>
                  <w:rPr>
                    <w:rFonts w:ascii="Palatino Linotype" w:eastAsia="Palatino Linotype" w:hAnsi="Palatino Linotype" w:cs="Palatino Linotype"/>
                    <w:b/>
                    <w:sz w:val="20"/>
                    <w:szCs w:val="22"/>
                  </w:rPr>
                </w:pPr>
                <w:r w:rsidRPr="00E22461">
                  <w:rPr>
                    <w:rFonts w:ascii="Palatino Linotype" w:eastAsia="Palatino Linotype" w:hAnsi="Palatino Linotype" w:cs="Palatino Linotype"/>
                    <w:b/>
                    <w:sz w:val="20"/>
                    <w:szCs w:val="22"/>
                  </w:rPr>
                  <w:t>Comisionada ponente:</w:t>
                </w:r>
              </w:p>
            </w:tc>
            <w:tc>
              <w:tcPr>
                <w:tcW w:w="4857" w:type="dxa"/>
                <w:shd w:val="clear" w:color="auto" w:fill="auto"/>
              </w:tcPr>
              <w:p w14:paraId="6741678F" w14:textId="77777777" w:rsidR="003B1BD3" w:rsidRPr="00E22461" w:rsidRDefault="00EC4FBA" w:rsidP="002345EB">
                <w:pPr>
                  <w:ind w:right="-112"/>
                  <w:rPr>
                    <w:rFonts w:ascii="Palatino Linotype" w:eastAsia="Palatino Linotype" w:hAnsi="Palatino Linotype" w:cs="Palatino Linotype"/>
                    <w:sz w:val="20"/>
                    <w:szCs w:val="22"/>
                  </w:rPr>
                </w:pPr>
                <w:r w:rsidRPr="00E22461">
                  <w:rPr>
                    <w:rFonts w:ascii="Palatino Linotype" w:eastAsia="Palatino Linotype" w:hAnsi="Palatino Linotype" w:cs="Palatino Linotype"/>
                    <w:sz w:val="20"/>
                    <w:szCs w:val="22"/>
                  </w:rPr>
                  <w:t>María del Rosario Mejía Ayala</w:t>
                </w:r>
              </w:p>
              <w:p w14:paraId="532EB8B5" w14:textId="77777777" w:rsidR="003B1BD3" w:rsidRPr="00E22461" w:rsidRDefault="003B1BD3" w:rsidP="002345EB">
                <w:pPr>
                  <w:ind w:right="-112"/>
                  <w:rPr>
                    <w:rFonts w:ascii="Palatino Linotype" w:eastAsia="Palatino Linotype" w:hAnsi="Palatino Linotype" w:cs="Palatino Linotype"/>
                    <w:b/>
                    <w:sz w:val="20"/>
                    <w:szCs w:val="22"/>
                  </w:rPr>
                </w:pPr>
              </w:p>
            </w:tc>
          </w:tr>
        </w:tbl>
        <w:p w14:paraId="7DEEBCD6" w14:textId="77777777" w:rsidR="003B1BD3" w:rsidRDefault="003B1BD3">
          <w:pPr>
            <w:tabs>
              <w:tab w:val="right" w:pos="8838"/>
            </w:tabs>
            <w:ind w:left="-28"/>
            <w:jc w:val="both"/>
            <w:rPr>
              <w:rFonts w:ascii="Arial" w:eastAsia="Arial" w:hAnsi="Arial" w:cs="Arial"/>
              <w:b/>
              <w:sz w:val="22"/>
              <w:szCs w:val="22"/>
            </w:rPr>
          </w:pPr>
        </w:p>
      </w:tc>
    </w:tr>
  </w:tbl>
  <w:p w14:paraId="0D4601D7" w14:textId="77777777" w:rsidR="003B1BD3" w:rsidRDefault="0047005C">
    <w:pPr>
      <w:pBdr>
        <w:top w:val="nil"/>
        <w:left w:val="nil"/>
        <w:bottom w:val="nil"/>
        <w:right w:val="nil"/>
        <w:between w:val="nil"/>
      </w:pBdr>
      <w:tabs>
        <w:tab w:val="center" w:pos="4419"/>
        <w:tab w:val="right" w:pos="8838"/>
      </w:tabs>
      <w:rPr>
        <w:color w:val="000000"/>
        <w:sz w:val="2"/>
        <w:szCs w:val="2"/>
      </w:rPr>
    </w:pPr>
    <w:r>
      <w:rPr>
        <w:color w:val="000000"/>
        <w:sz w:val="2"/>
        <w:szCs w:val="2"/>
      </w:rPr>
      <w:pict w14:anchorId="67D4D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4247"/>
    <w:multiLevelType w:val="multilevel"/>
    <w:tmpl w:val="D616B2A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C607445"/>
    <w:multiLevelType w:val="multilevel"/>
    <w:tmpl w:val="A2E26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336506"/>
    <w:multiLevelType w:val="multilevel"/>
    <w:tmpl w:val="CE984C8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9AB2C92"/>
    <w:multiLevelType w:val="multilevel"/>
    <w:tmpl w:val="0E9CC51E"/>
    <w:lvl w:ilvl="0">
      <w:start w:val="1"/>
      <w:numFmt w:val="decimal"/>
      <w:lvlText w:val="%1."/>
      <w:lvlJc w:val="left"/>
      <w:pPr>
        <w:ind w:left="36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upperLetter"/>
      <w:lvlText w:val="%3."/>
      <w:lvlJc w:val="left"/>
      <w:pPr>
        <w:ind w:left="2340" w:hanging="360"/>
      </w:pPr>
      <w:rPr>
        <w:color w:val="00000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505422"/>
    <w:multiLevelType w:val="multilevel"/>
    <w:tmpl w:val="CA9E9A0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1005105">
    <w:abstractNumId w:val="4"/>
  </w:num>
  <w:num w:numId="2" w16cid:durableId="993726414">
    <w:abstractNumId w:val="3"/>
  </w:num>
  <w:num w:numId="3" w16cid:durableId="1793747325">
    <w:abstractNumId w:val="2"/>
  </w:num>
  <w:num w:numId="4" w16cid:durableId="407768240">
    <w:abstractNumId w:val="1"/>
  </w:num>
  <w:num w:numId="5" w16cid:durableId="117914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BD3"/>
    <w:rsid w:val="00181D26"/>
    <w:rsid w:val="002345EB"/>
    <w:rsid w:val="002E52A0"/>
    <w:rsid w:val="003A505B"/>
    <w:rsid w:val="003B1BD3"/>
    <w:rsid w:val="0047005C"/>
    <w:rsid w:val="005B2D04"/>
    <w:rsid w:val="005E222F"/>
    <w:rsid w:val="00707C52"/>
    <w:rsid w:val="00972CD9"/>
    <w:rsid w:val="00B107D9"/>
    <w:rsid w:val="00E22461"/>
    <w:rsid w:val="00EC4F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F454"/>
  <w15:docId w15:val="{32157480-4FB2-4153-9960-95F40F95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CB"/>
  </w:style>
  <w:style w:type="paragraph" w:styleId="Ttulo1">
    <w:name w:val="heading 1"/>
    <w:basedOn w:val="Normal"/>
    <w:next w:val="Normal"/>
    <w:link w:val="Ttulo1Car"/>
    <w:uiPriority w:val="9"/>
    <w:qFormat/>
    <w:rsid w:val="001F36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1F36CB"/>
    <w:rPr>
      <w:rFonts w:asciiTheme="majorHAnsi" w:eastAsiaTheme="majorEastAsia" w:hAnsiTheme="majorHAnsi" w:cstheme="majorBidi"/>
      <w:color w:val="2E74B5" w:themeColor="accent1" w:themeShade="BF"/>
      <w:sz w:val="32"/>
      <w:szCs w:val="32"/>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F36CB"/>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1F36CB"/>
    <w:rPr>
      <w:rFonts w:ascii="Century Gothic" w:eastAsia="Times New Roman" w:hAnsi="Century Gothic" w:cs="Times New Roman"/>
      <w:szCs w:val="24"/>
      <w:lang w:eastAsia="es-MX"/>
    </w:rPr>
  </w:style>
  <w:style w:type="table" w:styleId="Tablaconcuadrcula6concolores">
    <w:name w:val="Grid Table 6 Colorful"/>
    <w:basedOn w:val="Tablanormal"/>
    <w:uiPriority w:val="51"/>
    <w:rsid w:val="001F36C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iedepgina">
    <w:name w:val="footer"/>
    <w:basedOn w:val="Normal"/>
    <w:link w:val="PiedepginaCar"/>
    <w:uiPriority w:val="99"/>
    <w:unhideWhenUsed/>
    <w:rsid w:val="001F36CB"/>
    <w:pPr>
      <w:tabs>
        <w:tab w:val="center" w:pos="4419"/>
        <w:tab w:val="right" w:pos="8838"/>
      </w:tabs>
    </w:pPr>
  </w:style>
  <w:style w:type="character" w:customStyle="1" w:styleId="PiedepginaCar">
    <w:name w:val="Pie de página Car"/>
    <w:basedOn w:val="Fuentedeprrafopredeter"/>
    <w:link w:val="Piedepgina"/>
    <w:uiPriority w:val="99"/>
    <w:rsid w:val="001F36CB"/>
    <w:rPr>
      <w:rFonts w:ascii="Times New Roman" w:eastAsia="Times New Roman" w:hAnsi="Times New Roman"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A95CA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178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178A"/>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15178A"/>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Referenciasutil">
    <w:name w:val="Subtle Reference"/>
    <w:basedOn w:val="Fuentedeprrafopredeter"/>
    <w:uiPriority w:val="31"/>
    <w:qFormat/>
    <w:rsid w:val="002345E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saimex.org.mx/saimex/solicitud/downloadAttach/2010958.pag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saimex.org.mx/saimex/solicitud/downloadAttach/2010957.page"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shJnpDflTtepcaA371FfJ7FEw==">CgMxLjAyCGguZ2pkZ3hzMgloLjMwajB6bGwyCWguMWZvYjl0ZTIJaC4zem55c2g3MgloLjJldDkycDAyCGgudHlqY3d0MgloLjNkeTZ2a20yCWguNGQzNG9nODIIaC5namRneHMyCWguMnM4ZXlvMTIJaC4zMGowemxsMgloLjFmb2I5dGU4AHIhMXVCQzF1c2pQbUdrdUhKVnE4U1piUTZBT0c2MnR4SC1H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88DAEC-2B66-49D9-A8BE-DFC42245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38</Pages>
  <Words>9873</Words>
  <Characters>54306</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6</cp:revision>
  <cp:lastPrinted>2024-11-07T18:22:00Z</cp:lastPrinted>
  <dcterms:created xsi:type="dcterms:W3CDTF">2024-10-22T19:59:00Z</dcterms:created>
  <dcterms:modified xsi:type="dcterms:W3CDTF">2024-11-13T17:37:00Z</dcterms:modified>
</cp:coreProperties>
</file>