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89722" w14:textId="77777777" w:rsidR="00411983" w:rsidRPr="00D37331" w:rsidRDefault="00411983">
      <w:pPr>
        <w:widowControl w:val="0"/>
        <w:pBdr>
          <w:top w:val="nil"/>
          <w:left w:val="nil"/>
          <w:bottom w:val="nil"/>
          <w:right w:val="nil"/>
          <w:between w:val="nil"/>
        </w:pBdr>
        <w:spacing w:line="276" w:lineRule="auto"/>
      </w:pPr>
    </w:p>
    <w:p w14:paraId="599AE2FE" w14:textId="77777777" w:rsidR="00411983" w:rsidRPr="00D37331" w:rsidRDefault="00411983">
      <w:pPr>
        <w:widowControl w:val="0"/>
        <w:pBdr>
          <w:top w:val="nil"/>
          <w:left w:val="nil"/>
          <w:bottom w:val="nil"/>
          <w:right w:val="nil"/>
          <w:between w:val="nil"/>
        </w:pBdr>
        <w:spacing w:line="276" w:lineRule="auto"/>
      </w:pPr>
    </w:p>
    <w:p w14:paraId="26031CFE" w14:textId="77777777" w:rsidR="00411983" w:rsidRPr="00D37331" w:rsidRDefault="00922C23">
      <w:pPr>
        <w:shd w:val="clear" w:color="auto" w:fill="FFFFFF"/>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dieciocho de diciembre dos mil veinticuatro. </w:t>
      </w:r>
    </w:p>
    <w:p w14:paraId="607BF345" w14:textId="77777777" w:rsidR="00411983" w:rsidRPr="00D37331" w:rsidRDefault="00411983">
      <w:pPr>
        <w:tabs>
          <w:tab w:val="left" w:pos="1701"/>
        </w:tabs>
        <w:spacing w:line="360" w:lineRule="auto"/>
        <w:jc w:val="both"/>
        <w:rPr>
          <w:rFonts w:ascii="Palatino Linotype" w:eastAsia="Palatino Linotype" w:hAnsi="Palatino Linotype" w:cs="Palatino Linotype"/>
        </w:rPr>
      </w:pPr>
    </w:p>
    <w:p w14:paraId="0E308459" w14:textId="52A94137" w:rsidR="00411983" w:rsidRPr="00D37331" w:rsidRDefault="00922C23">
      <w:pPr>
        <w:tabs>
          <w:tab w:val="left" w:pos="1701"/>
        </w:tabs>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b/>
        </w:rPr>
        <w:t>VISTO</w:t>
      </w:r>
      <w:r w:rsidRPr="00D37331">
        <w:rPr>
          <w:rFonts w:ascii="Palatino Linotype" w:eastAsia="Palatino Linotype" w:hAnsi="Palatino Linotype" w:cs="Palatino Linotype"/>
        </w:rPr>
        <w:t xml:space="preserve"> los expedientes electrónicos formados con motivo de los recursos de revisión números </w:t>
      </w:r>
      <w:r w:rsidRPr="00D37331">
        <w:rPr>
          <w:rFonts w:ascii="Palatino Linotype" w:eastAsia="Palatino Linotype" w:hAnsi="Palatino Linotype" w:cs="Palatino Linotype"/>
          <w:b/>
        </w:rPr>
        <w:t>07344/INFOEM/IP/RR/2024, 07345/INFOEM/IP/RR/2024, 07346/INFOEM/IP/RR/2024  y 07347/INFOEM/IP/RR/2024; acumulados</w:t>
      </w:r>
      <w:r w:rsidRPr="00D37331">
        <w:rPr>
          <w:rFonts w:ascii="Palatino Linotype" w:eastAsia="Palatino Linotype" w:hAnsi="Palatino Linotype" w:cs="Palatino Linotype"/>
        </w:rPr>
        <w:t xml:space="preserve">, interpuestos por </w:t>
      </w:r>
      <w:r w:rsidR="008200AB">
        <w:rPr>
          <w:rFonts w:ascii="Palatino Linotype" w:eastAsia="Palatino Linotype" w:hAnsi="Palatino Linotype" w:cs="Palatino Linotype"/>
          <w:b/>
          <w:sz w:val="22"/>
          <w:szCs w:val="22"/>
        </w:rPr>
        <w:t>XXXXXXXXXX XXX XXXXXX</w:t>
      </w:r>
      <w:r w:rsidRPr="00D37331">
        <w:rPr>
          <w:rFonts w:ascii="Palatino Linotype" w:eastAsia="Palatino Linotype" w:hAnsi="Palatino Linotype" w:cs="Palatino Linotype"/>
        </w:rPr>
        <w:t xml:space="preserve">, en lo sucesivo se le denominara la parte </w:t>
      </w:r>
      <w:r w:rsidRPr="00D37331">
        <w:rPr>
          <w:rFonts w:ascii="Palatino Linotype" w:eastAsia="Palatino Linotype" w:hAnsi="Palatino Linotype" w:cs="Palatino Linotype"/>
          <w:b/>
        </w:rPr>
        <w:t>RECURRENTE</w:t>
      </w:r>
      <w:r w:rsidRPr="00D37331">
        <w:rPr>
          <w:rFonts w:ascii="Palatino Linotype" w:eastAsia="Palatino Linotype" w:hAnsi="Palatino Linotype" w:cs="Palatino Linotype"/>
        </w:rPr>
        <w:t xml:space="preserve">, en contra de las respuestas a las solicitudes de información con números de folio </w:t>
      </w:r>
      <w:hyperlink r:id="rId8">
        <w:r w:rsidRPr="00D37331">
          <w:rPr>
            <w:rFonts w:ascii="Palatino Linotype" w:eastAsia="Palatino Linotype" w:hAnsi="Palatino Linotype" w:cs="Palatino Linotype"/>
            <w:b/>
          </w:rPr>
          <w:t>00522/UAI/IP/2024</w:t>
        </w:r>
      </w:hyperlink>
      <w:r w:rsidRPr="00D37331">
        <w:rPr>
          <w:rFonts w:ascii="Palatino Linotype" w:eastAsia="Palatino Linotype" w:hAnsi="Palatino Linotype" w:cs="Palatino Linotype"/>
          <w:b/>
        </w:rPr>
        <w:t xml:space="preserve">, </w:t>
      </w:r>
      <w:hyperlink r:id="rId9">
        <w:r w:rsidRPr="00D37331">
          <w:rPr>
            <w:rFonts w:ascii="Palatino Linotype" w:eastAsia="Palatino Linotype" w:hAnsi="Palatino Linotype" w:cs="Palatino Linotype"/>
            <w:b/>
          </w:rPr>
          <w:t>00521/UAI/IP/2024</w:t>
        </w:r>
      </w:hyperlink>
      <w:r w:rsidRPr="00D37331">
        <w:rPr>
          <w:rFonts w:ascii="Palatino Linotype" w:eastAsia="Palatino Linotype" w:hAnsi="Palatino Linotype" w:cs="Palatino Linotype"/>
          <w:b/>
        </w:rPr>
        <w:t xml:space="preserve">, </w:t>
      </w:r>
      <w:hyperlink r:id="rId10">
        <w:r w:rsidRPr="00D37331">
          <w:rPr>
            <w:rFonts w:ascii="Palatino Linotype" w:eastAsia="Palatino Linotype" w:hAnsi="Palatino Linotype" w:cs="Palatino Linotype"/>
            <w:b/>
          </w:rPr>
          <w:t>00520/UAI/IP/2024</w:t>
        </w:r>
      </w:hyperlink>
      <w:r w:rsidRPr="00D37331">
        <w:rPr>
          <w:rFonts w:ascii="Palatino Linotype" w:eastAsia="Palatino Linotype" w:hAnsi="Palatino Linotype" w:cs="Palatino Linotype"/>
          <w:b/>
        </w:rPr>
        <w:t xml:space="preserve"> y </w:t>
      </w:r>
      <w:hyperlink r:id="rId11">
        <w:r w:rsidRPr="00D37331">
          <w:rPr>
            <w:rFonts w:ascii="Palatino Linotype" w:eastAsia="Palatino Linotype" w:hAnsi="Palatino Linotype" w:cs="Palatino Linotype"/>
            <w:b/>
          </w:rPr>
          <w:t>00519/UAI/IP/2024</w:t>
        </w:r>
      </w:hyperlink>
      <w:r w:rsidRPr="00D37331">
        <w:rPr>
          <w:rFonts w:ascii="Palatino Linotype" w:eastAsia="Palatino Linotype" w:hAnsi="Palatino Linotype" w:cs="Palatino Linotype"/>
          <w:b/>
        </w:rPr>
        <w:t xml:space="preserve">, </w:t>
      </w:r>
      <w:r w:rsidRPr="00D37331">
        <w:rPr>
          <w:rFonts w:ascii="Palatino Linotype" w:eastAsia="Palatino Linotype" w:hAnsi="Palatino Linotype" w:cs="Palatino Linotype"/>
        </w:rPr>
        <w:t xml:space="preserve">por parte de la </w:t>
      </w:r>
      <w:r w:rsidRPr="00D37331">
        <w:rPr>
          <w:rFonts w:ascii="Palatino Linotype" w:eastAsia="Palatino Linotype" w:hAnsi="Palatino Linotype" w:cs="Palatino Linotype"/>
          <w:b/>
        </w:rPr>
        <w:t>Unidad de Asuntos Internos</w:t>
      </w:r>
      <w:r w:rsidRPr="00D37331">
        <w:rPr>
          <w:rFonts w:ascii="Palatino Linotype" w:eastAsia="Palatino Linotype" w:hAnsi="Palatino Linotype" w:cs="Palatino Linotype"/>
        </w:rPr>
        <w:t>,</w:t>
      </w:r>
      <w:r w:rsidRPr="00D37331">
        <w:rPr>
          <w:rFonts w:ascii="Palatino Linotype" w:eastAsia="Palatino Linotype" w:hAnsi="Palatino Linotype" w:cs="Palatino Linotype"/>
          <w:b/>
        </w:rPr>
        <w:t xml:space="preserve"> </w:t>
      </w:r>
      <w:r w:rsidRPr="00D37331">
        <w:rPr>
          <w:rFonts w:ascii="Palatino Linotype" w:eastAsia="Palatino Linotype" w:hAnsi="Palatino Linotype" w:cs="Palatino Linotype"/>
        </w:rPr>
        <w:t>en lo subsecuente</w:t>
      </w:r>
      <w:r w:rsidRPr="00D37331">
        <w:rPr>
          <w:rFonts w:ascii="Palatino Linotype" w:eastAsia="Palatino Linotype" w:hAnsi="Palatino Linotype" w:cs="Palatino Linotype"/>
          <w:b/>
        </w:rPr>
        <w:t xml:space="preserve"> </w:t>
      </w:r>
      <w:r w:rsidRPr="00D37331">
        <w:rPr>
          <w:rFonts w:ascii="Palatino Linotype" w:eastAsia="Palatino Linotype" w:hAnsi="Palatino Linotype" w:cs="Palatino Linotype"/>
        </w:rPr>
        <w:t xml:space="preserve">el </w:t>
      </w:r>
      <w:r w:rsidRPr="00D37331">
        <w:rPr>
          <w:rFonts w:ascii="Palatino Linotype" w:eastAsia="Palatino Linotype" w:hAnsi="Palatino Linotype" w:cs="Palatino Linotype"/>
          <w:b/>
        </w:rPr>
        <w:t xml:space="preserve">SUJETO OBLIGADO, </w:t>
      </w:r>
      <w:r w:rsidRPr="00D37331">
        <w:rPr>
          <w:rFonts w:ascii="Palatino Linotype" w:eastAsia="Palatino Linotype" w:hAnsi="Palatino Linotype" w:cs="Palatino Linotype"/>
        </w:rPr>
        <w:t>se procede a dictar la presente resolución con base en lo siguiente.</w:t>
      </w:r>
    </w:p>
    <w:p w14:paraId="7651FB7B" w14:textId="77777777" w:rsidR="00411983" w:rsidRPr="00D37331" w:rsidRDefault="00411983">
      <w:pPr>
        <w:tabs>
          <w:tab w:val="left" w:pos="1701"/>
        </w:tabs>
        <w:spacing w:line="360" w:lineRule="auto"/>
        <w:jc w:val="both"/>
        <w:rPr>
          <w:rFonts w:ascii="Palatino Linotype" w:eastAsia="Palatino Linotype" w:hAnsi="Palatino Linotype" w:cs="Palatino Linotype"/>
          <w:b/>
        </w:rPr>
      </w:pPr>
    </w:p>
    <w:p w14:paraId="4229A3E1" w14:textId="77777777" w:rsidR="00411983" w:rsidRPr="00D37331" w:rsidRDefault="00922C23">
      <w:pPr>
        <w:spacing w:line="360" w:lineRule="auto"/>
        <w:jc w:val="center"/>
        <w:rPr>
          <w:rFonts w:ascii="Palatino Linotype" w:eastAsia="Palatino Linotype" w:hAnsi="Palatino Linotype" w:cs="Palatino Linotype"/>
          <w:b/>
        </w:rPr>
      </w:pPr>
      <w:r w:rsidRPr="00D37331">
        <w:rPr>
          <w:rFonts w:ascii="Palatino Linotype" w:eastAsia="Palatino Linotype" w:hAnsi="Palatino Linotype" w:cs="Palatino Linotype"/>
          <w:b/>
        </w:rPr>
        <w:t>A N T E C E D E N T E S</w:t>
      </w:r>
    </w:p>
    <w:p w14:paraId="5280D4DD" w14:textId="77777777" w:rsidR="00411983" w:rsidRPr="00D37331" w:rsidRDefault="00411983">
      <w:pPr>
        <w:spacing w:line="360" w:lineRule="auto"/>
        <w:jc w:val="center"/>
        <w:rPr>
          <w:rFonts w:ascii="Palatino Linotype" w:eastAsia="Palatino Linotype" w:hAnsi="Palatino Linotype" w:cs="Palatino Linotype"/>
          <w:b/>
        </w:rPr>
      </w:pPr>
    </w:p>
    <w:p w14:paraId="3373123B" w14:textId="77777777" w:rsidR="00411983" w:rsidRPr="00D37331" w:rsidRDefault="00922C23">
      <w:pP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b/>
        </w:rPr>
        <w:t xml:space="preserve">1. Solicitudes de acceso a la información. </w:t>
      </w:r>
      <w:r w:rsidRPr="00D37331">
        <w:rPr>
          <w:rFonts w:ascii="Palatino Linotype" w:eastAsia="Palatino Linotype" w:hAnsi="Palatino Linotype" w:cs="Palatino Linotype"/>
        </w:rPr>
        <w:t xml:space="preserve">En fecha </w:t>
      </w:r>
      <w:r w:rsidRPr="00D37331">
        <w:rPr>
          <w:rFonts w:ascii="Palatino Linotype" w:eastAsia="Palatino Linotype" w:hAnsi="Palatino Linotype" w:cs="Palatino Linotype"/>
          <w:b/>
        </w:rPr>
        <w:t>treinta de septiembre del año dos mil veinticuatro,</w:t>
      </w:r>
      <w:r w:rsidRPr="00D37331">
        <w:rPr>
          <w:rFonts w:ascii="Palatino Linotype" w:eastAsia="Palatino Linotype" w:hAnsi="Palatino Linotype" w:cs="Palatino Linotype"/>
        </w:rPr>
        <w:t xml:space="preserve"> la parte </w:t>
      </w:r>
      <w:r w:rsidRPr="00D37331">
        <w:rPr>
          <w:rFonts w:ascii="Palatino Linotype" w:eastAsia="Palatino Linotype" w:hAnsi="Palatino Linotype" w:cs="Palatino Linotype"/>
          <w:b/>
        </w:rPr>
        <w:t>RECURRENTE</w:t>
      </w:r>
      <w:r w:rsidRPr="00D37331">
        <w:rPr>
          <w:rFonts w:ascii="Palatino Linotype" w:eastAsia="Palatino Linotype" w:hAnsi="Palatino Linotype" w:cs="Palatino Linotype"/>
        </w:rPr>
        <w:t xml:space="preserve">, presentó a través del Sistema de Acceso a la Información Mexiquense </w:t>
      </w:r>
      <w:r w:rsidRPr="00D37331">
        <w:rPr>
          <w:rFonts w:ascii="Palatino Linotype" w:eastAsia="Palatino Linotype" w:hAnsi="Palatino Linotype" w:cs="Palatino Linotype"/>
          <w:b/>
        </w:rPr>
        <w:t>(SAIMEX),</w:t>
      </w:r>
      <w:r w:rsidRPr="00D37331">
        <w:rPr>
          <w:rFonts w:ascii="Palatino Linotype" w:eastAsia="Palatino Linotype" w:hAnsi="Palatino Linotype" w:cs="Palatino Linotype"/>
        </w:rPr>
        <w:t xml:space="preserve"> ante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las solicitudes de acceso a la información pública mediante las cuales solicitó lo siguiente:</w:t>
      </w:r>
    </w:p>
    <w:tbl>
      <w:tblPr>
        <w:tblStyle w:val="aa"/>
        <w:tblW w:w="88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6"/>
        <w:gridCol w:w="4447"/>
      </w:tblGrid>
      <w:tr w:rsidR="00D37331" w:rsidRPr="00D37331" w14:paraId="47B5940B" w14:textId="77777777">
        <w:trPr>
          <w:trHeight w:val="1352"/>
        </w:trPr>
        <w:tc>
          <w:tcPr>
            <w:tcW w:w="4446" w:type="dxa"/>
          </w:tcPr>
          <w:p w14:paraId="608F2325" w14:textId="77777777" w:rsidR="00411983" w:rsidRPr="00D37331" w:rsidRDefault="008200AB">
            <w:pPr>
              <w:pBdr>
                <w:top w:val="nil"/>
                <w:left w:val="nil"/>
                <w:bottom w:val="nil"/>
                <w:right w:val="nil"/>
                <w:between w:val="nil"/>
              </w:pBdr>
              <w:jc w:val="both"/>
              <w:rPr>
                <w:rFonts w:ascii="Palatino Linotype" w:eastAsia="Palatino Linotype" w:hAnsi="Palatino Linotype" w:cs="Palatino Linotype"/>
                <w:b/>
                <w:sz w:val="22"/>
                <w:szCs w:val="22"/>
              </w:rPr>
            </w:pPr>
            <w:hyperlink r:id="rId12">
              <w:r w:rsidR="00922C23" w:rsidRPr="00D37331">
                <w:rPr>
                  <w:rFonts w:ascii="Palatino Linotype" w:eastAsia="Palatino Linotype" w:hAnsi="Palatino Linotype" w:cs="Palatino Linotype"/>
                  <w:b/>
                  <w:sz w:val="22"/>
                  <w:szCs w:val="22"/>
                </w:rPr>
                <w:t>00522/UAI/IP/2024</w:t>
              </w:r>
            </w:hyperlink>
          </w:p>
        </w:tc>
        <w:tc>
          <w:tcPr>
            <w:tcW w:w="4447" w:type="dxa"/>
          </w:tcPr>
          <w:p w14:paraId="6E4427BE" w14:textId="77777777" w:rsidR="00411983" w:rsidRPr="00D37331" w:rsidRDefault="00922C23">
            <w:pPr>
              <w:pBdr>
                <w:top w:val="nil"/>
                <w:left w:val="nil"/>
                <w:bottom w:val="nil"/>
                <w:right w:val="nil"/>
                <w:between w:val="nil"/>
              </w:pBdr>
              <w:jc w:val="both"/>
              <w:rPr>
                <w:rFonts w:ascii="Palatino Linotype" w:eastAsia="Palatino Linotype" w:hAnsi="Palatino Linotype" w:cs="Palatino Linotype"/>
                <w:sz w:val="22"/>
                <w:szCs w:val="22"/>
              </w:rPr>
            </w:pPr>
            <w:r w:rsidRPr="00D37331">
              <w:rPr>
                <w:rFonts w:ascii="Palatino Linotype" w:eastAsia="Palatino Linotype" w:hAnsi="Palatino Linotype" w:cs="Palatino Linotype"/>
                <w:sz w:val="22"/>
                <w:szCs w:val="22"/>
              </w:rPr>
              <w:t xml:space="preserve">versión pública de las actas, reportes, oficio y/o documento de las recomendaciones del 260 al 300 del año 2024 que derivan de las visitas de inspección y/o supervisiones </w:t>
            </w:r>
            <w:r w:rsidRPr="00D37331">
              <w:rPr>
                <w:rFonts w:ascii="Palatino Linotype" w:eastAsia="Palatino Linotype" w:hAnsi="Palatino Linotype" w:cs="Palatino Linotype"/>
                <w:sz w:val="22"/>
                <w:szCs w:val="22"/>
              </w:rPr>
              <w:lastRenderedPageBreak/>
              <w:t>realizadas por la Unidad de Asuntos Internos a las unidades administrativas de la Secretaría de Seguridad del Estado de México</w:t>
            </w:r>
          </w:p>
        </w:tc>
      </w:tr>
      <w:tr w:rsidR="00D37331" w:rsidRPr="00D37331" w14:paraId="5EB77ED3" w14:textId="77777777">
        <w:trPr>
          <w:trHeight w:val="1379"/>
        </w:trPr>
        <w:tc>
          <w:tcPr>
            <w:tcW w:w="4446" w:type="dxa"/>
          </w:tcPr>
          <w:p w14:paraId="1BFD32C1" w14:textId="77777777" w:rsidR="00411983" w:rsidRPr="00D37331" w:rsidRDefault="008200AB">
            <w:pPr>
              <w:pBdr>
                <w:top w:val="nil"/>
                <w:left w:val="nil"/>
                <w:bottom w:val="nil"/>
                <w:right w:val="nil"/>
                <w:between w:val="nil"/>
              </w:pBdr>
              <w:rPr>
                <w:rFonts w:ascii="Palatino Linotype" w:eastAsia="Palatino Linotype" w:hAnsi="Palatino Linotype" w:cs="Palatino Linotype"/>
                <w:b/>
                <w:sz w:val="22"/>
                <w:szCs w:val="22"/>
              </w:rPr>
            </w:pPr>
            <w:hyperlink r:id="rId13">
              <w:r w:rsidR="00922C23" w:rsidRPr="00D37331">
                <w:rPr>
                  <w:rFonts w:ascii="Palatino Linotype" w:eastAsia="Palatino Linotype" w:hAnsi="Palatino Linotype" w:cs="Palatino Linotype"/>
                  <w:b/>
                  <w:sz w:val="22"/>
                  <w:szCs w:val="22"/>
                </w:rPr>
                <w:t>00521/UAI/IP/2024</w:t>
              </w:r>
            </w:hyperlink>
          </w:p>
        </w:tc>
        <w:tc>
          <w:tcPr>
            <w:tcW w:w="4447" w:type="dxa"/>
          </w:tcPr>
          <w:p w14:paraId="5B90D7E6" w14:textId="77777777" w:rsidR="00411983" w:rsidRPr="00D37331" w:rsidRDefault="00922C23">
            <w:pPr>
              <w:pBdr>
                <w:top w:val="nil"/>
                <w:left w:val="nil"/>
                <w:bottom w:val="nil"/>
                <w:right w:val="nil"/>
                <w:between w:val="nil"/>
              </w:pBdr>
              <w:jc w:val="both"/>
              <w:rPr>
                <w:rFonts w:ascii="Palatino Linotype" w:eastAsia="Palatino Linotype" w:hAnsi="Palatino Linotype" w:cs="Palatino Linotype"/>
                <w:sz w:val="22"/>
                <w:szCs w:val="22"/>
              </w:rPr>
            </w:pPr>
            <w:r w:rsidRPr="00D37331">
              <w:rPr>
                <w:rFonts w:ascii="Palatino Linotype" w:eastAsia="Palatino Linotype" w:hAnsi="Palatino Linotype" w:cs="Palatino Linotype"/>
                <w:sz w:val="22"/>
                <w:szCs w:val="22"/>
              </w:rPr>
              <w:t>versión pública de las actas, reportes, oficio y/o documento de las recomendaciones del 230 al 260 del año 2024 que derivan de las visitas de inspección y/o supervisiones realizadas por la Unidad de Asuntos Internos a las unidades administrativas de la Secretaría de Seguridad del Estado de México</w:t>
            </w:r>
          </w:p>
        </w:tc>
      </w:tr>
      <w:tr w:rsidR="00D37331" w:rsidRPr="00D37331" w14:paraId="3B055374" w14:textId="77777777">
        <w:trPr>
          <w:trHeight w:val="1379"/>
        </w:trPr>
        <w:tc>
          <w:tcPr>
            <w:tcW w:w="4446" w:type="dxa"/>
          </w:tcPr>
          <w:p w14:paraId="4089508D" w14:textId="77777777" w:rsidR="00411983" w:rsidRPr="00D37331" w:rsidRDefault="008200AB">
            <w:pPr>
              <w:pBdr>
                <w:top w:val="nil"/>
                <w:left w:val="nil"/>
                <w:bottom w:val="nil"/>
                <w:right w:val="nil"/>
                <w:between w:val="nil"/>
              </w:pBdr>
              <w:rPr>
                <w:rFonts w:ascii="Palatino Linotype" w:eastAsia="Palatino Linotype" w:hAnsi="Palatino Linotype" w:cs="Palatino Linotype"/>
                <w:b/>
                <w:sz w:val="22"/>
                <w:szCs w:val="22"/>
              </w:rPr>
            </w:pPr>
            <w:hyperlink r:id="rId14">
              <w:r w:rsidR="00922C23" w:rsidRPr="00D37331">
                <w:rPr>
                  <w:rFonts w:ascii="Palatino Linotype" w:eastAsia="Palatino Linotype" w:hAnsi="Palatino Linotype" w:cs="Palatino Linotype"/>
                  <w:b/>
                  <w:sz w:val="22"/>
                  <w:szCs w:val="22"/>
                </w:rPr>
                <w:t>00520/UAI/IP/2024</w:t>
              </w:r>
            </w:hyperlink>
            <w:r w:rsidR="00922C23" w:rsidRPr="00D37331">
              <w:rPr>
                <w:rFonts w:ascii="Palatino Linotype" w:eastAsia="Palatino Linotype" w:hAnsi="Palatino Linotype" w:cs="Palatino Linotype"/>
                <w:b/>
                <w:sz w:val="22"/>
                <w:szCs w:val="22"/>
              </w:rPr>
              <w:t xml:space="preserve"> </w:t>
            </w:r>
          </w:p>
        </w:tc>
        <w:tc>
          <w:tcPr>
            <w:tcW w:w="4447" w:type="dxa"/>
          </w:tcPr>
          <w:p w14:paraId="6EE3FA46" w14:textId="77777777" w:rsidR="00411983" w:rsidRPr="00D37331" w:rsidRDefault="00922C23">
            <w:pPr>
              <w:pBdr>
                <w:top w:val="nil"/>
                <w:left w:val="nil"/>
                <w:bottom w:val="nil"/>
                <w:right w:val="nil"/>
                <w:between w:val="nil"/>
              </w:pBdr>
              <w:jc w:val="both"/>
              <w:rPr>
                <w:rFonts w:ascii="Palatino Linotype" w:eastAsia="Palatino Linotype" w:hAnsi="Palatino Linotype" w:cs="Palatino Linotype"/>
                <w:sz w:val="22"/>
                <w:szCs w:val="22"/>
              </w:rPr>
            </w:pPr>
            <w:r w:rsidRPr="00D37331">
              <w:rPr>
                <w:rFonts w:ascii="Palatino Linotype" w:eastAsia="Palatino Linotype" w:hAnsi="Palatino Linotype" w:cs="Palatino Linotype"/>
                <w:sz w:val="22"/>
                <w:szCs w:val="22"/>
              </w:rPr>
              <w:t>versión pública de las actas, reportes, oficio y/o documento de las recomendaciones del 200 al 230 del año 2024 que derivan de las visitas de inspección y/o supervisiones realizadas por la Unidad de Asuntos Internos a las unidades administrativas de la Secretaría de Seguridad del Estado de México</w:t>
            </w:r>
          </w:p>
        </w:tc>
      </w:tr>
      <w:tr w:rsidR="00411983" w:rsidRPr="00D37331" w14:paraId="62C527E3" w14:textId="77777777">
        <w:trPr>
          <w:trHeight w:val="1379"/>
        </w:trPr>
        <w:tc>
          <w:tcPr>
            <w:tcW w:w="4446" w:type="dxa"/>
          </w:tcPr>
          <w:p w14:paraId="565F6514" w14:textId="77777777" w:rsidR="00411983" w:rsidRPr="00D37331" w:rsidRDefault="008200AB">
            <w:pPr>
              <w:pBdr>
                <w:top w:val="nil"/>
                <w:left w:val="nil"/>
                <w:bottom w:val="nil"/>
                <w:right w:val="nil"/>
                <w:between w:val="nil"/>
              </w:pBdr>
              <w:rPr>
                <w:rFonts w:ascii="Palatino Linotype" w:eastAsia="Palatino Linotype" w:hAnsi="Palatino Linotype" w:cs="Palatino Linotype"/>
                <w:b/>
                <w:sz w:val="22"/>
                <w:szCs w:val="22"/>
              </w:rPr>
            </w:pPr>
            <w:hyperlink r:id="rId15">
              <w:r w:rsidR="00922C23" w:rsidRPr="00D37331">
                <w:rPr>
                  <w:rFonts w:ascii="Palatino Linotype" w:eastAsia="Palatino Linotype" w:hAnsi="Palatino Linotype" w:cs="Palatino Linotype"/>
                  <w:b/>
                  <w:sz w:val="22"/>
                  <w:szCs w:val="22"/>
                </w:rPr>
                <w:t>00519/UAI/IP/2024</w:t>
              </w:r>
            </w:hyperlink>
          </w:p>
        </w:tc>
        <w:tc>
          <w:tcPr>
            <w:tcW w:w="4447" w:type="dxa"/>
          </w:tcPr>
          <w:p w14:paraId="24B5853C" w14:textId="77777777" w:rsidR="00411983" w:rsidRPr="00D37331" w:rsidRDefault="00922C23">
            <w:pPr>
              <w:pBdr>
                <w:top w:val="nil"/>
                <w:left w:val="nil"/>
                <w:bottom w:val="nil"/>
                <w:right w:val="nil"/>
                <w:between w:val="nil"/>
              </w:pBdr>
              <w:jc w:val="both"/>
              <w:rPr>
                <w:rFonts w:ascii="Palatino Linotype" w:eastAsia="Palatino Linotype" w:hAnsi="Palatino Linotype" w:cs="Palatino Linotype"/>
                <w:sz w:val="22"/>
                <w:szCs w:val="22"/>
              </w:rPr>
            </w:pPr>
            <w:r w:rsidRPr="00D37331">
              <w:rPr>
                <w:rFonts w:ascii="Palatino Linotype" w:eastAsia="Palatino Linotype" w:hAnsi="Palatino Linotype" w:cs="Palatino Linotype"/>
                <w:sz w:val="22"/>
                <w:szCs w:val="22"/>
              </w:rPr>
              <w:t>versión pública de las actas, reportes, oficio y/o documento de las recomendaciones del 180 al 200 del año 2024 que derivan de las visitas de inspección y/o supervisiones realizadas por la Unidad de Asuntos Internos a las unidades administrativas de la Secretaría de Seguridad del Estado de México</w:t>
            </w:r>
          </w:p>
        </w:tc>
      </w:tr>
    </w:tbl>
    <w:p w14:paraId="4098082E" w14:textId="77777777" w:rsidR="00411983" w:rsidRPr="00D37331" w:rsidRDefault="00411983">
      <w:pPr>
        <w:pBdr>
          <w:top w:val="nil"/>
          <w:left w:val="nil"/>
          <w:bottom w:val="nil"/>
          <w:right w:val="nil"/>
          <w:between w:val="nil"/>
        </w:pBdr>
        <w:rPr>
          <w:sz w:val="16"/>
          <w:szCs w:val="16"/>
        </w:rPr>
      </w:pPr>
    </w:p>
    <w:p w14:paraId="237EA8F3" w14:textId="77777777" w:rsidR="00411983" w:rsidRPr="00D37331" w:rsidRDefault="00411983">
      <w:pPr>
        <w:pBdr>
          <w:top w:val="nil"/>
          <w:left w:val="nil"/>
          <w:bottom w:val="nil"/>
          <w:right w:val="nil"/>
          <w:between w:val="nil"/>
        </w:pBdr>
        <w:rPr>
          <w:sz w:val="16"/>
          <w:szCs w:val="16"/>
        </w:rPr>
      </w:pPr>
    </w:p>
    <w:p w14:paraId="4D243CC1" w14:textId="77777777" w:rsidR="00411983" w:rsidRPr="00D37331" w:rsidRDefault="00922C23">
      <w:pPr>
        <w:tabs>
          <w:tab w:val="left" w:pos="5647"/>
        </w:tabs>
        <w:spacing w:line="360" w:lineRule="auto"/>
        <w:ind w:right="49"/>
        <w:jc w:val="both"/>
        <w:rPr>
          <w:rFonts w:ascii="Palatino Linotype" w:eastAsia="Palatino Linotype" w:hAnsi="Palatino Linotype" w:cs="Palatino Linotype"/>
        </w:rPr>
      </w:pPr>
      <w:r w:rsidRPr="00D37331">
        <w:rPr>
          <w:rFonts w:ascii="Palatino Linotype" w:eastAsia="Palatino Linotype" w:hAnsi="Palatino Linotype" w:cs="Palatino Linotype"/>
          <w:b/>
        </w:rPr>
        <w:t>MODALIDAD DE ENTREGA EN TODAS LAS SOLICITUDES:</w:t>
      </w:r>
      <w:r w:rsidRPr="00D37331">
        <w:rPr>
          <w:rFonts w:ascii="Palatino Linotype" w:eastAsia="Palatino Linotype" w:hAnsi="Palatino Linotype" w:cs="Palatino Linotype"/>
        </w:rPr>
        <w:t xml:space="preserve"> A través del </w:t>
      </w:r>
      <w:r w:rsidRPr="00D37331">
        <w:rPr>
          <w:rFonts w:ascii="Palatino Linotype" w:eastAsia="Palatino Linotype" w:hAnsi="Palatino Linotype" w:cs="Palatino Linotype"/>
          <w:b/>
        </w:rPr>
        <w:t>SAIMEX</w:t>
      </w:r>
      <w:r w:rsidRPr="00D37331">
        <w:rPr>
          <w:rFonts w:ascii="Palatino Linotype" w:eastAsia="Palatino Linotype" w:hAnsi="Palatino Linotype" w:cs="Palatino Linotype"/>
        </w:rPr>
        <w:t>.</w:t>
      </w:r>
    </w:p>
    <w:p w14:paraId="023BA716" w14:textId="77777777" w:rsidR="00411983" w:rsidRPr="00D37331" w:rsidRDefault="00411983">
      <w:pPr>
        <w:tabs>
          <w:tab w:val="left" w:pos="5647"/>
        </w:tabs>
        <w:spacing w:line="360" w:lineRule="auto"/>
        <w:ind w:right="49"/>
        <w:jc w:val="both"/>
        <w:rPr>
          <w:rFonts w:ascii="Palatino Linotype" w:eastAsia="Palatino Linotype" w:hAnsi="Palatino Linotype" w:cs="Palatino Linotype"/>
        </w:rPr>
      </w:pPr>
    </w:p>
    <w:p w14:paraId="4585AAD8" w14:textId="77777777" w:rsidR="00411983" w:rsidRPr="00D37331" w:rsidRDefault="00922C23">
      <w:pPr>
        <w:pBdr>
          <w:top w:val="nil"/>
          <w:left w:val="nil"/>
          <w:bottom w:val="nil"/>
          <w:right w:val="nil"/>
          <w:between w:val="nil"/>
        </w:pBd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b/>
        </w:rPr>
        <w:t xml:space="preserve">2. Prórroga. </w:t>
      </w:r>
      <w:r w:rsidRPr="00D37331">
        <w:rPr>
          <w:rFonts w:ascii="Palatino Linotype" w:eastAsia="Palatino Linotype" w:hAnsi="Palatino Linotype" w:cs="Palatino Linotype"/>
        </w:rPr>
        <w:t>El veintiuno de octubre de dos mil veinticuatro, el</w:t>
      </w:r>
      <w:r w:rsidRPr="00D37331">
        <w:rPr>
          <w:rFonts w:ascii="Palatino Linotype" w:eastAsia="Palatino Linotype" w:hAnsi="Palatino Linotype" w:cs="Palatino Linotype"/>
          <w:b/>
        </w:rPr>
        <w:t xml:space="preserve"> SUJETO OBLIGADO </w:t>
      </w:r>
      <w:r w:rsidRPr="00D37331">
        <w:rPr>
          <w:rFonts w:ascii="Palatino Linotype" w:eastAsia="Palatino Linotype" w:hAnsi="Palatino Linotype" w:cs="Palatino Linotype"/>
        </w:rPr>
        <w:t xml:space="preserve">informó que el plazo de quince días hábiles para atender las solicitudes de información que dieron origen a los recursos de revisión </w:t>
      </w:r>
      <w:r w:rsidRPr="00D37331">
        <w:rPr>
          <w:rFonts w:ascii="Palatino Linotype" w:eastAsia="Palatino Linotype" w:hAnsi="Palatino Linotype" w:cs="Palatino Linotype"/>
          <w:b/>
        </w:rPr>
        <w:t>07344/INFOEM/IP/RR/2024,</w:t>
      </w:r>
      <w:r w:rsidRPr="00D37331">
        <w:rPr>
          <w:rFonts w:ascii="Palatino Linotype" w:eastAsia="Palatino Linotype" w:hAnsi="Palatino Linotype" w:cs="Palatino Linotype"/>
        </w:rPr>
        <w:t xml:space="preserve"> </w:t>
      </w:r>
      <w:r w:rsidRPr="00D37331">
        <w:rPr>
          <w:rFonts w:ascii="Palatino Linotype" w:eastAsia="Palatino Linotype" w:hAnsi="Palatino Linotype" w:cs="Palatino Linotype"/>
          <w:b/>
        </w:rPr>
        <w:lastRenderedPageBreak/>
        <w:t>07345/INFOEM/IP/RR/2024, 07346/INFOEM/IP/RR/</w:t>
      </w:r>
      <w:proofErr w:type="gramStart"/>
      <w:r w:rsidRPr="00D37331">
        <w:rPr>
          <w:rFonts w:ascii="Palatino Linotype" w:eastAsia="Palatino Linotype" w:hAnsi="Palatino Linotype" w:cs="Palatino Linotype"/>
          <w:b/>
        </w:rPr>
        <w:t>2024  y</w:t>
      </w:r>
      <w:proofErr w:type="gramEnd"/>
      <w:r w:rsidRPr="00D37331">
        <w:rPr>
          <w:rFonts w:ascii="Palatino Linotype" w:eastAsia="Palatino Linotype" w:hAnsi="Palatino Linotype" w:cs="Palatino Linotype"/>
          <w:b/>
        </w:rPr>
        <w:t xml:space="preserve"> 07347/INFOEM/IP/RR/2024,</w:t>
      </w:r>
      <w:r w:rsidRPr="00D37331">
        <w:rPr>
          <w:rFonts w:ascii="Palatino Linotype" w:eastAsia="Palatino Linotype" w:hAnsi="Palatino Linotype" w:cs="Palatino Linotype"/>
        </w:rPr>
        <w:t xml:space="preserve"> fue prorrogado por siete días más en virtud de las siguientes razones:</w:t>
      </w:r>
    </w:p>
    <w:p w14:paraId="33F7EE9F" w14:textId="77777777" w:rsidR="00411983" w:rsidRPr="00D37331" w:rsidRDefault="00411983">
      <w:pPr>
        <w:spacing w:line="360" w:lineRule="auto"/>
        <w:rPr>
          <w:rFonts w:ascii="Palatino Linotype" w:eastAsia="Palatino Linotype" w:hAnsi="Palatino Linotype" w:cs="Palatino Linotype"/>
        </w:rPr>
      </w:pPr>
    </w:p>
    <w:p w14:paraId="498A258C" w14:textId="77777777" w:rsidR="00411983" w:rsidRPr="00D37331" w:rsidRDefault="00922C23">
      <w:pPr>
        <w:pBdr>
          <w:top w:val="nil"/>
          <w:left w:val="nil"/>
          <w:bottom w:val="nil"/>
          <w:right w:val="nil"/>
          <w:between w:val="nil"/>
        </w:pBdr>
        <w:ind w:left="567" w:right="618"/>
        <w:jc w:val="both"/>
        <w:rPr>
          <w:rFonts w:ascii="Palatino Linotype" w:eastAsia="Palatino Linotype" w:hAnsi="Palatino Linotype" w:cs="Palatino Linotype"/>
        </w:rPr>
      </w:pPr>
      <w:r w:rsidRPr="00D37331">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Se aprueba la ampliación de plazo mediante el Acuerdo UAI/CT/ORDINARIA/2024/06/04[…]” (Sic)</w:t>
      </w:r>
    </w:p>
    <w:p w14:paraId="53CF5941" w14:textId="77777777" w:rsidR="00411983" w:rsidRPr="00D37331" w:rsidRDefault="00411983">
      <w:pPr>
        <w:spacing w:line="360" w:lineRule="auto"/>
        <w:rPr>
          <w:rFonts w:ascii="Palatino Linotype" w:eastAsia="Palatino Linotype" w:hAnsi="Palatino Linotype" w:cs="Palatino Linotype"/>
        </w:rPr>
      </w:pPr>
    </w:p>
    <w:p w14:paraId="549FF3F2" w14:textId="77777777" w:rsidR="00411983" w:rsidRPr="00D37331" w:rsidRDefault="00922C23">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A lo anterior, el </w:t>
      </w:r>
      <w:r w:rsidRPr="00D37331">
        <w:rPr>
          <w:rFonts w:ascii="Palatino Linotype" w:eastAsia="Palatino Linotype" w:hAnsi="Palatino Linotype" w:cs="Palatino Linotype"/>
          <w:b/>
        </w:rPr>
        <w:t xml:space="preserve">SUJETO OBLIGADO </w:t>
      </w:r>
      <w:r w:rsidRPr="00D37331">
        <w:rPr>
          <w:rFonts w:ascii="Palatino Linotype" w:eastAsia="Palatino Linotype" w:hAnsi="Palatino Linotype" w:cs="Palatino Linotype"/>
        </w:rPr>
        <w:t>hizo entrega en los medios de impugnación indicados un oficio signado por el Titular de la Unidad de Transparencia, mediante el cual manifiesta que en fecha tres de octubre del año en curso el Comité de Transparencia emitió el Acuerdo UAI/CT/ORDINARIA/2024/06/04, mediante el cual aprobó la ampliación del plazo para dar respuesta.</w:t>
      </w:r>
    </w:p>
    <w:p w14:paraId="175E62E2" w14:textId="77777777" w:rsidR="00411983" w:rsidRPr="00D37331" w:rsidRDefault="00411983">
      <w:pPr>
        <w:spacing w:line="360" w:lineRule="auto"/>
        <w:rPr>
          <w:rFonts w:ascii="Palatino Linotype" w:eastAsia="Palatino Linotype" w:hAnsi="Palatino Linotype" w:cs="Palatino Linotype"/>
        </w:rPr>
      </w:pPr>
    </w:p>
    <w:p w14:paraId="1B043505" w14:textId="77777777" w:rsidR="00411983" w:rsidRPr="00D37331" w:rsidRDefault="00922C23">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De esta manera, como refiere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los expedientes </w:t>
      </w:r>
      <w:proofErr w:type="spellStart"/>
      <w:r w:rsidRPr="00D37331">
        <w:rPr>
          <w:rFonts w:ascii="Palatino Linotype" w:eastAsia="Palatino Linotype" w:hAnsi="Palatino Linotype" w:cs="Palatino Linotype"/>
        </w:rPr>
        <w:t>aperturados</w:t>
      </w:r>
      <w:proofErr w:type="spellEnd"/>
      <w:r w:rsidRPr="00D37331">
        <w:rPr>
          <w:rFonts w:ascii="Palatino Linotype" w:eastAsia="Palatino Linotype" w:hAnsi="Palatino Linotype" w:cs="Palatino Linotype"/>
        </w:rPr>
        <w:t xml:space="preserve"> con motivo de los recursos de revisión indicados, se advierte que </w:t>
      </w:r>
      <w:r w:rsidRPr="00D37331">
        <w:rPr>
          <w:rFonts w:ascii="Palatino Linotype" w:eastAsia="Palatino Linotype" w:hAnsi="Palatino Linotype" w:cs="Palatino Linotype"/>
          <w:b/>
        </w:rPr>
        <w:t xml:space="preserve">NO se observaron las formalidades que establece </w:t>
      </w:r>
      <w:r w:rsidRPr="00D37331">
        <w:rPr>
          <w:rFonts w:ascii="Palatino Linotype" w:eastAsia="Palatino Linotype" w:hAnsi="Palatino Linotype" w:cs="Palatino Linotype"/>
          <w:b/>
        </w:rPr>
        <w:lastRenderedPageBreak/>
        <w:t>la Ley de la materia</w:t>
      </w:r>
      <w:r w:rsidRPr="00D37331">
        <w:rPr>
          <w:rFonts w:ascii="Palatino Linotype" w:eastAsia="Palatino Linotype" w:hAnsi="Palatino Linotype" w:cs="Palatino Linotype"/>
        </w:rPr>
        <w:t>, pues no se anexó el Acuerdo UAI/CT/ORDINARIA/2024/0+/04, mediante el cual el Comité de Transparencia aprobó la ampliación del plazo para dar respuesta.</w:t>
      </w:r>
    </w:p>
    <w:p w14:paraId="0B72CE25" w14:textId="77777777" w:rsidR="00411983" w:rsidRPr="00D37331" w:rsidRDefault="00922C23">
      <w:pPr>
        <w:spacing w:before="240" w:after="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b/>
        </w:rPr>
        <w:t xml:space="preserve">3.  Respuestas. </w:t>
      </w:r>
      <w:r w:rsidRPr="00D37331">
        <w:rPr>
          <w:rFonts w:ascii="Palatino Linotype" w:eastAsia="Palatino Linotype" w:hAnsi="Palatino Linotype" w:cs="Palatino Linotype"/>
        </w:rPr>
        <w:t xml:space="preserve">De las constancias que obran en el sistema </w:t>
      </w:r>
      <w:r w:rsidRPr="00D37331">
        <w:rPr>
          <w:rFonts w:ascii="Palatino Linotype" w:eastAsia="Palatino Linotype" w:hAnsi="Palatino Linotype" w:cs="Palatino Linotype"/>
          <w:b/>
        </w:rPr>
        <w:t>SAIMEX,</w:t>
      </w:r>
      <w:r w:rsidRPr="00D37331">
        <w:rPr>
          <w:rFonts w:ascii="Palatino Linotype" w:eastAsia="Palatino Linotype" w:hAnsi="Palatino Linotype" w:cs="Palatino Linotype"/>
        </w:rPr>
        <w:t xml:space="preserve"> se advierte que en fecha </w:t>
      </w:r>
      <w:r w:rsidRPr="00D37331">
        <w:rPr>
          <w:rFonts w:ascii="Palatino Linotype" w:eastAsia="Palatino Linotype" w:hAnsi="Palatino Linotype" w:cs="Palatino Linotype"/>
          <w:b/>
        </w:rPr>
        <w:t>treinta y uno de octubre del año dos mil veinticuatro</w:t>
      </w:r>
      <w:r w:rsidRPr="00D37331">
        <w:rPr>
          <w:rFonts w:ascii="Palatino Linotype" w:eastAsia="Palatino Linotype" w:hAnsi="Palatino Linotype" w:cs="Palatino Linotype"/>
        </w:rPr>
        <w:t xml:space="preserve">, </w:t>
      </w:r>
      <w:r w:rsidRPr="00D37331">
        <w:rPr>
          <w:rFonts w:ascii="Palatino Linotype" w:eastAsia="Palatino Linotype" w:hAnsi="Palatino Linotype" w:cs="Palatino Linotype"/>
          <w:b/>
        </w:rPr>
        <w:t>El SUJETO OBLIGADO</w:t>
      </w:r>
      <w:r w:rsidRPr="00D37331">
        <w:rPr>
          <w:rFonts w:ascii="Palatino Linotype" w:eastAsia="Palatino Linotype" w:hAnsi="Palatino Linotype" w:cs="Palatino Linotype"/>
        </w:rPr>
        <w:t xml:space="preserve"> emitió las respuestas, en los mismos términos en cada solicitud de acceso a la información pública:</w:t>
      </w:r>
    </w:p>
    <w:p w14:paraId="4E5B264D" w14:textId="77777777" w:rsidR="00411983" w:rsidRPr="00D37331" w:rsidRDefault="00411983">
      <w:pPr>
        <w:spacing w:line="360" w:lineRule="auto"/>
        <w:jc w:val="both"/>
        <w:rPr>
          <w:rFonts w:ascii="Palatino Linotype" w:eastAsia="Palatino Linotype" w:hAnsi="Palatino Linotype" w:cs="Palatino Linotype"/>
        </w:rPr>
      </w:pPr>
    </w:p>
    <w:tbl>
      <w:tblPr>
        <w:tblStyle w:val="ab"/>
        <w:tblW w:w="89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D37331" w:rsidRPr="00D37331" w14:paraId="4525EB3B" w14:textId="77777777">
        <w:tc>
          <w:tcPr>
            <w:tcW w:w="3256" w:type="dxa"/>
            <w:shd w:val="clear" w:color="auto" w:fill="D9D9D9"/>
          </w:tcPr>
          <w:p w14:paraId="19D92F0B" w14:textId="77777777" w:rsidR="00411983" w:rsidRPr="00D37331" w:rsidRDefault="00922C23">
            <w:pPr>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b/>
                <w:i/>
                <w:sz w:val="22"/>
                <w:szCs w:val="22"/>
              </w:rPr>
              <w:t xml:space="preserve">Solicitudes de información </w:t>
            </w:r>
          </w:p>
        </w:tc>
        <w:tc>
          <w:tcPr>
            <w:tcW w:w="5670" w:type="dxa"/>
            <w:shd w:val="clear" w:color="auto" w:fill="D9D9D9"/>
          </w:tcPr>
          <w:p w14:paraId="3BEE6F05" w14:textId="77777777" w:rsidR="00411983" w:rsidRPr="00D37331" w:rsidRDefault="00922C23">
            <w:pPr>
              <w:jc w:val="center"/>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b/>
                <w:i/>
                <w:sz w:val="22"/>
                <w:szCs w:val="22"/>
              </w:rPr>
              <w:t>Respuesta</w:t>
            </w:r>
          </w:p>
        </w:tc>
      </w:tr>
      <w:tr w:rsidR="00411983" w:rsidRPr="00D37331" w14:paraId="5D0C9302" w14:textId="77777777">
        <w:trPr>
          <w:trHeight w:val="130"/>
        </w:trPr>
        <w:tc>
          <w:tcPr>
            <w:tcW w:w="3256" w:type="dxa"/>
          </w:tcPr>
          <w:p w14:paraId="5ABE1D29" w14:textId="77777777" w:rsidR="00411983" w:rsidRPr="00D37331" w:rsidRDefault="008200AB">
            <w:pPr>
              <w:rPr>
                <w:rFonts w:ascii="Palatino Linotype" w:eastAsia="Palatino Linotype" w:hAnsi="Palatino Linotype" w:cs="Palatino Linotype"/>
                <w:b/>
                <w:i/>
                <w:sz w:val="22"/>
                <w:szCs w:val="22"/>
              </w:rPr>
            </w:pPr>
            <w:hyperlink r:id="rId16">
              <w:r w:rsidR="00922C23" w:rsidRPr="00D37331">
                <w:rPr>
                  <w:rFonts w:ascii="Palatino Linotype" w:eastAsia="Palatino Linotype" w:hAnsi="Palatino Linotype" w:cs="Palatino Linotype"/>
                  <w:b/>
                  <w:sz w:val="22"/>
                  <w:szCs w:val="22"/>
                </w:rPr>
                <w:t>00522/UAI/IP/2024</w:t>
              </w:r>
            </w:hyperlink>
            <w:r w:rsidR="00922C23" w:rsidRPr="00D37331">
              <w:rPr>
                <w:rFonts w:ascii="Palatino Linotype" w:eastAsia="Palatino Linotype" w:hAnsi="Palatino Linotype" w:cs="Palatino Linotype"/>
                <w:b/>
                <w:sz w:val="22"/>
                <w:szCs w:val="22"/>
              </w:rPr>
              <w:t xml:space="preserve">, </w:t>
            </w:r>
            <w:hyperlink r:id="rId17">
              <w:r w:rsidR="00922C23" w:rsidRPr="00D37331">
                <w:rPr>
                  <w:rFonts w:ascii="Palatino Linotype" w:eastAsia="Palatino Linotype" w:hAnsi="Palatino Linotype" w:cs="Palatino Linotype"/>
                  <w:b/>
                  <w:sz w:val="22"/>
                  <w:szCs w:val="22"/>
                </w:rPr>
                <w:t>00521/UAI/IP/2024</w:t>
              </w:r>
            </w:hyperlink>
            <w:r w:rsidR="00922C23" w:rsidRPr="00D37331">
              <w:rPr>
                <w:rFonts w:ascii="Palatino Linotype" w:eastAsia="Palatino Linotype" w:hAnsi="Palatino Linotype" w:cs="Palatino Linotype"/>
                <w:b/>
                <w:sz w:val="22"/>
                <w:szCs w:val="22"/>
              </w:rPr>
              <w:t xml:space="preserve">, </w:t>
            </w:r>
            <w:hyperlink r:id="rId18">
              <w:r w:rsidR="00922C23" w:rsidRPr="00D37331">
                <w:rPr>
                  <w:rFonts w:ascii="Palatino Linotype" w:eastAsia="Palatino Linotype" w:hAnsi="Palatino Linotype" w:cs="Palatino Linotype"/>
                  <w:b/>
                  <w:sz w:val="22"/>
                  <w:szCs w:val="22"/>
                </w:rPr>
                <w:t>00520/UAI/IP/2024</w:t>
              </w:r>
            </w:hyperlink>
            <w:r w:rsidR="00922C23" w:rsidRPr="00D37331">
              <w:rPr>
                <w:rFonts w:ascii="Palatino Linotype" w:eastAsia="Palatino Linotype" w:hAnsi="Palatino Linotype" w:cs="Palatino Linotype"/>
                <w:b/>
                <w:sz w:val="22"/>
                <w:szCs w:val="22"/>
              </w:rPr>
              <w:t xml:space="preserve"> y </w:t>
            </w:r>
            <w:hyperlink r:id="rId19">
              <w:r w:rsidR="00922C23" w:rsidRPr="00D37331">
                <w:rPr>
                  <w:rFonts w:ascii="Palatino Linotype" w:eastAsia="Palatino Linotype" w:hAnsi="Palatino Linotype" w:cs="Palatino Linotype"/>
                  <w:b/>
                  <w:sz w:val="22"/>
                  <w:szCs w:val="22"/>
                </w:rPr>
                <w:t>00519/UAI/IP/2024</w:t>
              </w:r>
            </w:hyperlink>
          </w:p>
        </w:tc>
        <w:tc>
          <w:tcPr>
            <w:tcW w:w="5670" w:type="dxa"/>
          </w:tcPr>
          <w:p w14:paraId="4A7188DB" w14:textId="77777777" w:rsidR="00411983" w:rsidRPr="00D37331" w:rsidRDefault="00922C23">
            <w:pPr>
              <w:jc w:val="both"/>
              <w:rPr>
                <w:rFonts w:ascii="Palatino Linotype" w:eastAsia="Palatino Linotype" w:hAnsi="Palatino Linotype" w:cs="Palatino Linotype"/>
                <w:sz w:val="22"/>
                <w:szCs w:val="22"/>
              </w:rPr>
            </w:pPr>
            <w:r w:rsidRPr="00D37331">
              <w:rPr>
                <w:rFonts w:ascii="Palatino Linotype" w:eastAsia="Palatino Linotype" w:hAnsi="Palatino Linotype" w:cs="Palatino Linotype"/>
                <w:sz w:val="22"/>
                <w:szCs w:val="22"/>
              </w:rPr>
              <w:t>“se adjunta respuesta a su solicitud” (Sic)</w:t>
            </w:r>
          </w:p>
          <w:p w14:paraId="009C2708" w14:textId="77777777" w:rsidR="00411983" w:rsidRPr="00D37331" w:rsidRDefault="00411983">
            <w:pPr>
              <w:jc w:val="both"/>
              <w:rPr>
                <w:rFonts w:ascii="Palatino Linotype" w:eastAsia="Palatino Linotype" w:hAnsi="Palatino Linotype" w:cs="Palatino Linotype"/>
                <w:sz w:val="22"/>
                <w:szCs w:val="22"/>
              </w:rPr>
            </w:pPr>
          </w:p>
          <w:p w14:paraId="01921FD9" w14:textId="77777777" w:rsidR="00411983" w:rsidRPr="00D37331" w:rsidRDefault="00922C23">
            <w:pPr>
              <w:rPr>
                <w:rFonts w:ascii="Palatino Linotype" w:eastAsia="Palatino Linotype" w:hAnsi="Palatino Linotype" w:cs="Palatino Linotype"/>
                <w:b/>
                <w:sz w:val="22"/>
                <w:szCs w:val="22"/>
              </w:rPr>
            </w:pPr>
            <w:r w:rsidRPr="00D37331">
              <w:rPr>
                <w:rFonts w:ascii="Palatino Linotype" w:eastAsia="Palatino Linotype" w:hAnsi="Palatino Linotype" w:cs="Palatino Linotype"/>
                <w:b/>
                <w:sz w:val="22"/>
                <w:szCs w:val="22"/>
              </w:rPr>
              <w:t>Archivos Adjuntos:</w:t>
            </w:r>
          </w:p>
          <w:p w14:paraId="5DDC7550" w14:textId="77777777" w:rsidR="00411983" w:rsidRPr="00D37331" w:rsidRDefault="00411983">
            <w:pPr>
              <w:rPr>
                <w:rFonts w:ascii="Palatino Linotype" w:eastAsia="Palatino Linotype" w:hAnsi="Palatino Linotype" w:cs="Palatino Linotype"/>
                <w:b/>
                <w:i/>
                <w:sz w:val="22"/>
                <w:szCs w:val="22"/>
              </w:rPr>
            </w:pPr>
          </w:p>
          <w:p w14:paraId="6D8D6D37" w14:textId="77777777" w:rsidR="00411983" w:rsidRPr="00D37331" w:rsidRDefault="00922C23">
            <w:pPr>
              <w:jc w:val="both"/>
              <w:rPr>
                <w:rFonts w:ascii="Palatino Linotype" w:eastAsia="Palatino Linotype" w:hAnsi="Palatino Linotype" w:cs="Palatino Linotype"/>
                <w:sz w:val="22"/>
                <w:szCs w:val="22"/>
              </w:rPr>
            </w:pPr>
            <w:r w:rsidRPr="00D37331">
              <w:rPr>
                <w:rFonts w:ascii="Palatino Linotype" w:eastAsia="Palatino Linotype" w:hAnsi="Palatino Linotype" w:cs="Palatino Linotype"/>
                <w:sz w:val="22"/>
                <w:szCs w:val="22"/>
              </w:rPr>
              <w:t>En los medios de impugnación se remitieron:</w:t>
            </w:r>
          </w:p>
          <w:p w14:paraId="65A3BED4" w14:textId="77777777" w:rsidR="00411983" w:rsidRPr="00D37331" w:rsidRDefault="00411983">
            <w:pPr>
              <w:jc w:val="both"/>
              <w:rPr>
                <w:rFonts w:ascii="Palatino Linotype" w:eastAsia="Palatino Linotype" w:hAnsi="Palatino Linotype" w:cs="Palatino Linotype"/>
                <w:sz w:val="22"/>
                <w:szCs w:val="22"/>
              </w:rPr>
            </w:pPr>
          </w:p>
          <w:p w14:paraId="55DCC1ED" w14:textId="77777777" w:rsidR="00411983" w:rsidRPr="00D37331" w:rsidRDefault="008200AB">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hyperlink r:id="rId20">
              <w:r w:rsidR="00922C23" w:rsidRPr="00D37331">
                <w:rPr>
                  <w:rFonts w:ascii="Palatino Linotype" w:eastAsia="Palatino Linotype" w:hAnsi="Palatino Linotype" w:cs="Palatino Linotype"/>
                  <w:sz w:val="22"/>
                  <w:szCs w:val="22"/>
                </w:rPr>
                <w:t>522.pdf</w:t>
              </w:r>
            </w:hyperlink>
            <w:r w:rsidR="00922C23" w:rsidRPr="00D37331">
              <w:rPr>
                <w:rFonts w:ascii="Palatino Linotype" w:eastAsia="Palatino Linotype" w:hAnsi="Palatino Linotype" w:cs="Palatino Linotype"/>
                <w:sz w:val="22"/>
                <w:szCs w:val="22"/>
              </w:rPr>
              <w:t xml:space="preserve">, </w:t>
            </w:r>
            <w:hyperlink r:id="rId21">
              <w:r w:rsidR="00922C23" w:rsidRPr="00D37331">
                <w:rPr>
                  <w:rFonts w:ascii="Palatino Linotype" w:eastAsia="Palatino Linotype" w:hAnsi="Palatino Linotype" w:cs="Palatino Linotype"/>
                  <w:sz w:val="22"/>
                  <w:szCs w:val="22"/>
                </w:rPr>
                <w:t>521.pdf</w:t>
              </w:r>
            </w:hyperlink>
            <w:r w:rsidR="00922C23" w:rsidRPr="00D37331">
              <w:rPr>
                <w:rFonts w:ascii="Palatino Linotype" w:eastAsia="Palatino Linotype" w:hAnsi="Palatino Linotype" w:cs="Palatino Linotype"/>
                <w:sz w:val="22"/>
                <w:szCs w:val="22"/>
              </w:rPr>
              <w:t xml:space="preserve">, </w:t>
            </w:r>
            <w:hyperlink r:id="rId22">
              <w:r w:rsidR="00922C23" w:rsidRPr="00D37331">
                <w:rPr>
                  <w:rFonts w:ascii="Palatino Linotype" w:eastAsia="Palatino Linotype" w:hAnsi="Palatino Linotype" w:cs="Palatino Linotype"/>
                  <w:sz w:val="22"/>
                  <w:szCs w:val="22"/>
                </w:rPr>
                <w:t>520.pdf</w:t>
              </w:r>
            </w:hyperlink>
            <w:r w:rsidR="00922C23" w:rsidRPr="00D37331">
              <w:rPr>
                <w:rFonts w:ascii="Palatino Linotype" w:eastAsia="Palatino Linotype" w:hAnsi="Palatino Linotype" w:cs="Palatino Linotype"/>
                <w:sz w:val="22"/>
                <w:szCs w:val="22"/>
              </w:rPr>
              <w:t xml:space="preserve"> y </w:t>
            </w:r>
            <w:hyperlink r:id="rId23">
              <w:r w:rsidR="00922C23" w:rsidRPr="00D37331">
                <w:rPr>
                  <w:rFonts w:ascii="Palatino Linotype" w:eastAsia="Palatino Linotype" w:hAnsi="Palatino Linotype" w:cs="Palatino Linotype"/>
                  <w:sz w:val="22"/>
                  <w:szCs w:val="22"/>
                </w:rPr>
                <w:t>519.pdf</w:t>
              </w:r>
            </w:hyperlink>
            <w:r w:rsidR="00922C23" w:rsidRPr="00D37331">
              <w:rPr>
                <w:rFonts w:ascii="Palatino Linotype" w:eastAsia="Palatino Linotype" w:hAnsi="Palatino Linotype" w:cs="Palatino Linotype"/>
                <w:sz w:val="22"/>
                <w:szCs w:val="22"/>
              </w:rPr>
              <w:t>:</w:t>
            </w:r>
            <w:r w:rsidR="00922C23" w:rsidRPr="00D37331">
              <w:t xml:space="preserve"> </w:t>
            </w:r>
            <w:r w:rsidR="00922C23" w:rsidRPr="00D37331">
              <w:rPr>
                <w:rFonts w:ascii="Palatino Linotype" w:eastAsia="Palatino Linotype" w:hAnsi="Palatino Linotype" w:cs="Palatino Linotype"/>
                <w:sz w:val="22"/>
                <w:szCs w:val="22"/>
              </w:rPr>
              <w:t>Oficios de fecha treinta y uno de octubre de dos mil veinticuatro, respectivamente signados por el Titular de la Unidad de Transparencia, mediante el cual manifiesta que se turnó la solicitud a la Dirección de Investigación y Supervisión, la cual solicitó someter a consideración del Comité de Transparencia la reserva de la información solicitada en las solicitudes…</w:t>
            </w:r>
            <w:hyperlink r:id="rId24">
              <w:r w:rsidR="00922C23" w:rsidRPr="00D37331">
                <w:rPr>
                  <w:rFonts w:ascii="Palatino Linotype" w:eastAsia="Palatino Linotype" w:hAnsi="Palatino Linotype" w:cs="Palatino Linotype"/>
                  <w:sz w:val="22"/>
                  <w:szCs w:val="22"/>
                </w:rPr>
                <w:t>00519/UAI/IP/2024</w:t>
              </w:r>
            </w:hyperlink>
            <w:r w:rsidR="00922C23" w:rsidRPr="00D37331">
              <w:rPr>
                <w:rFonts w:ascii="Palatino Linotype" w:eastAsia="Palatino Linotype" w:hAnsi="Palatino Linotype" w:cs="Palatino Linotype"/>
                <w:sz w:val="22"/>
                <w:szCs w:val="22"/>
              </w:rPr>
              <w:t xml:space="preserve">, </w:t>
            </w:r>
            <w:hyperlink r:id="rId25">
              <w:r w:rsidR="00922C23" w:rsidRPr="00D37331">
                <w:rPr>
                  <w:rFonts w:ascii="Palatino Linotype" w:eastAsia="Palatino Linotype" w:hAnsi="Palatino Linotype" w:cs="Palatino Linotype"/>
                  <w:sz w:val="22"/>
                  <w:szCs w:val="22"/>
                </w:rPr>
                <w:t>00520/UAI/IP/2024</w:t>
              </w:r>
            </w:hyperlink>
            <w:r w:rsidR="00922C23" w:rsidRPr="00D37331">
              <w:rPr>
                <w:rFonts w:ascii="Palatino Linotype" w:eastAsia="Palatino Linotype" w:hAnsi="Palatino Linotype" w:cs="Palatino Linotype"/>
                <w:sz w:val="22"/>
                <w:szCs w:val="22"/>
              </w:rPr>
              <w:t xml:space="preserve">, </w:t>
            </w:r>
            <w:hyperlink r:id="rId26">
              <w:r w:rsidR="00922C23" w:rsidRPr="00D37331">
                <w:rPr>
                  <w:rFonts w:ascii="Palatino Linotype" w:eastAsia="Palatino Linotype" w:hAnsi="Palatino Linotype" w:cs="Palatino Linotype"/>
                  <w:sz w:val="22"/>
                  <w:szCs w:val="22"/>
                </w:rPr>
                <w:t>00521/UAI/IP/2024</w:t>
              </w:r>
            </w:hyperlink>
            <w:r w:rsidR="00922C23" w:rsidRPr="00D37331">
              <w:rPr>
                <w:rFonts w:ascii="Palatino Linotype" w:eastAsia="Palatino Linotype" w:hAnsi="Palatino Linotype" w:cs="Palatino Linotype"/>
                <w:sz w:val="22"/>
                <w:szCs w:val="22"/>
              </w:rPr>
              <w:t xml:space="preserve"> y </w:t>
            </w:r>
            <w:hyperlink r:id="rId27">
              <w:r w:rsidR="00922C23" w:rsidRPr="00D37331">
                <w:rPr>
                  <w:rFonts w:ascii="Palatino Linotype" w:eastAsia="Palatino Linotype" w:hAnsi="Palatino Linotype" w:cs="Palatino Linotype"/>
                  <w:sz w:val="22"/>
                  <w:szCs w:val="22"/>
                </w:rPr>
                <w:t>00522/UAI/IP/2024</w:t>
              </w:r>
            </w:hyperlink>
            <w:r w:rsidR="00922C23" w:rsidRPr="00D37331">
              <w:rPr>
                <w:rFonts w:ascii="Palatino Linotype" w:eastAsia="Palatino Linotype" w:hAnsi="Palatino Linotype" w:cs="Palatino Linotype"/>
                <w:sz w:val="22"/>
                <w:szCs w:val="22"/>
              </w:rPr>
              <w:t xml:space="preserve">…, respecto de las actas, oficios, y/o documentos de las recomendaciones, ya que la misma obra en diferentes expedientes de investigación de quejas y denuncias </w:t>
            </w:r>
            <w:proofErr w:type="spellStart"/>
            <w:r w:rsidR="00922C23" w:rsidRPr="00D37331">
              <w:rPr>
                <w:rFonts w:ascii="Palatino Linotype" w:eastAsia="Palatino Linotype" w:hAnsi="Palatino Linotype" w:cs="Palatino Linotype"/>
                <w:sz w:val="22"/>
                <w:szCs w:val="22"/>
              </w:rPr>
              <w:t>aperturados</w:t>
            </w:r>
            <w:proofErr w:type="spellEnd"/>
            <w:r w:rsidR="00922C23" w:rsidRPr="00D37331">
              <w:rPr>
                <w:rFonts w:ascii="Palatino Linotype" w:eastAsia="Palatino Linotype" w:hAnsi="Palatino Linotype" w:cs="Palatino Linotype"/>
                <w:sz w:val="22"/>
                <w:szCs w:val="22"/>
              </w:rPr>
              <w:t xml:space="preserve"> en contra de integrantes de la Secretaría de Seguridad del Estado de México, cuya divulgación puede causar daño presente, probable y </w:t>
            </w:r>
            <w:r w:rsidR="00922C23" w:rsidRPr="00D37331">
              <w:rPr>
                <w:rFonts w:ascii="Palatino Linotype" w:eastAsia="Palatino Linotype" w:hAnsi="Palatino Linotype" w:cs="Palatino Linotype"/>
                <w:sz w:val="22"/>
                <w:szCs w:val="22"/>
              </w:rPr>
              <w:lastRenderedPageBreak/>
              <w:t>especifico al proceso final de investigación y los intereses del orden público; asimismo, porque de hacerse pública dicha información podría afectar el debido proceso llevado a cabo en investigaciones relacionadas con procedimientos administrativos que no han quedado firmes.</w:t>
            </w:r>
          </w:p>
          <w:p w14:paraId="1108850E" w14:textId="77777777" w:rsidR="00411983" w:rsidRPr="00D37331" w:rsidRDefault="00411983">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14:paraId="0EE52967" w14:textId="77777777" w:rsidR="00411983" w:rsidRPr="00D37331" w:rsidRDefault="00922C23">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r w:rsidRPr="00D37331">
              <w:rPr>
                <w:rFonts w:ascii="Palatino Linotype" w:eastAsia="Palatino Linotype" w:hAnsi="Palatino Linotype" w:cs="Palatino Linotype"/>
                <w:sz w:val="22"/>
                <w:szCs w:val="22"/>
              </w:rPr>
              <w:t xml:space="preserve">Asimismo, informó que respecto de las solicitudes </w:t>
            </w:r>
            <w:hyperlink r:id="rId28">
              <w:r w:rsidRPr="00D37331">
                <w:rPr>
                  <w:rFonts w:ascii="Palatino Linotype" w:eastAsia="Palatino Linotype" w:hAnsi="Palatino Linotype" w:cs="Palatino Linotype"/>
                  <w:sz w:val="22"/>
                  <w:szCs w:val="22"/>
                </w:rPr>
                <w:t>00506/UAI/IP/2024</w:t>
              </w:r>
            </w:hyperlink>
            <w:r w:rsidRPr="00D37331">
              <w:rPr>
                <w:rFonts w:ascii="Palatino Linotype" w:eastAsia="Palatino Linotype" w:hAnsi="Palatino Linotype" w:cs="Palatino Linotype"/>
                <w:sz w:val="22"/>
                <w:szCs w:val="22"/>
              </w:rPr>
              <w:t xml:space="preserve"> al  </w:t>
            </w:r>
            <w:hyperlink r:id="rId29">
              <w:r w:rsidRPr="00D37331">
                <w:rPr>
                  <w:rFonts w:ascii="Palatino Linotype" w:eastAsia="Palatino Linotype" w:hAnsi="Palatino Linotype" w:cs="Palatino Linotype"/>
                  <w:sz w:val="22"/>
                  <w:szCs w:val="22"/>
                </w:rPr>
                <w:t>00522/UAI/IP/2024</w:t>
              </w:r>
            </w:hyperlink>
            <w:r w:rsidRPr="00D37331">
              <w:rPr>
                <w:rFonts w:ascii="Palatino Linotype" w:eastAsia="Palatino Linotype" w:hAnsi="Palatino Linotype" w:cs="Palatino Linotype"/>
                <w:sz w:val="22"/>
                <w:szCs w:val="22"/>
              </w:rPr>
              <w:t>, se realizó una búsqueda exhaustiva y razonable y no se encontraron reportes de las recomendaciones de la 180 a la 300.</w:t>
            </w:r>
          </w:p>
          <w:p w14:paraId="08721A8E" w14:textId="77777777" w:rsidR="00411983" w:rsidRPr="00D37331" w:rsidRDefault="00411983">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14:paraId="1C716DAA" w14:textId="77777777" w:rsidR="00411983" w:rsidRPr="00D37331" w:rsidRDefault="00922C23">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r w:rsidRPr="00D37331">
              <w:rPr>
                <w:rFonts w:ascii="Palatino Linotype" w:eastAsia="Palatino Linotype" w:hAnsi="Palatino Linotype" w:cs="Palatino Linotype"/>
                <w:sz w:val="22"/>
                <w:szCs w:val="22"/>
              </w:rPr>
              <w:t>En tal virtud, en dicho oficio también se informó que mediante el acuerdo UAI-CT-EXT-06-2024, el Comité de Transparencia aprobó la clasificación de la información como reservada de manera total, respecto de las actas, oficios y/o documentos de las recomendaciones derivadas de las visitas de inspección y/o supervisiones realizadas por la Unidad de Asuntos Internos a las unidades administrativas de la Secretaría de Seguridad del Estado de México del año 2024.</w:t>
            </w:r>
          </w:p>
          <w:p w14:paraId="4688CF73" w14:textId="77777777" w:rsidR="00411983" w:rsidRPr="00D37331" w:rsidRDefault="00411983">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14:paraId="098B4D91" w14:textId="77777777" w:rsidR="00411983" w:rsidRPr="00D37331" w:rsidRDefault="00411983">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14:paraId="402B5E89" w14:textId="77777777" w:rsidR="00411983" w:rsidRPr="00D37331" w:rsidRDefault="00922C2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7331">
              <w:rPr>
                <w:rFonts w:ascii="Palatino Linotype" w:eastAsia="Palatino Linotype" w:hAnsi="Palatino Linotype" w:cs="Palatino Linotype"/>
                <w:sz w:val="22"/>
                <w:szCs w:val="22"/>
              </w:rPr>
              <w:t xml:space="preserve">Documento que consta de 12 fojas, las cuales corresponde a la Prueba de Daño, relacionada con las actas, oficios y/o documentos de las recomendaciones de la 01 a la 300 del año 2024, que derivan de las visitas de inspección y/o supervisiones realizadas por la Unidad de Asuntos Internos a las unidades administrativas de la Secretaría de Seguridad del Estado de México, por actualizar la información requerida la causal de </w:t>
            </w:r>
            <w:r w:rsidRPr="00D37331">
              <w:rPr>
                <w:rFonts w:ascii="Palatino Linotype" w:eastAsia="Palatino Linotype" w:hAnsi="Palatino Linotype" w:cs="Palatino Linotype"/>
                <w:sz w:val="22"/>
                <w:szCs w:val="22"/>
              </w:rPr>
              <w:lastRenderedPageBreak/>
              <w:t>reserva prevista en la fracción X del artículo 140 de la Ley de Transparencia Local.</w:t>
            </w:r>
          </w:p>
          <w:p w14:paraId="5AD683B6" w14:textId="77777777" w:rsidR="00411983" w:rsidRPr="00D37331" w:rsidRDefault="00411983">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14:paraId="7287C411" w14:textId="77777777" w:rsidR="00411983" w:rsidRPr="00D37331" w:rsidRDefault="00922C23">
            <w:pPr>
              <w:numPr>
                <w:ilvl w:val="0"/>
                <w:numId w:val="1"/>
              </w:numPr>
              <w:pBdr>
                <w:top w:val="nil"/>
                <w:left w:val="nil"/>
                <w:bottom w:val="nil"/>
                <w:right w:val="nil"/>
                <w:between w:val="nil"/>
              </w:pBdr>
              <w:spacing w:after="200" w:line="276" w:lineRule="auto"/>
              <w:jc w:val="both"/>
              <w:rPr>
                <w:rFonts w:ascii="Palatino Linotype" w:eastAsia="Palatino Linotype" w:hAnsi="Palatino Linotype" w:cs="Palatino Linotype"/>
                <w:sz w:val="22"/>
                <w:szCs w:val="22"/>
              </w:rPr>
            </w:pPr>
            <w:r w:rsidRPr="00D37331">
              <w:rPr>
                <w:rFonts w:ascii="Palatino Linotype" w:eastAsia="Palatino Linotype" w:hAnsi="Palatino Linotype" w:cs="Palatino Linotype"/>
                <w:sz w:val="22"/>
                <w:szCs w:val="22"/>
              </w:rPr>
              <w:t>Acta número UAI-CT-EXT-06-2024, de la Sexta Sesión Extraordinaria 2024 del Comité de Transparencia, de fecha 14 de octubre de 2024, mediante la cual se aprueba la clasificación de la información como:</w:t>
            </w:r>
          </w:p>
          <w:p w14:paraId="5D79B00B" w14:textId="77777777" w:rsidR="00411983" w:rsidRPr="00D37331" w:rsidRDefault="00411983">
            <w:pPr>
              <w:pBdr>
                <w:top w:val="nil"/>
                <w:left w:val="nil"/>
                <w:bottom w:val="nil"/>
                <w:right w:val="nil"/>
                <w:between w:val="nil"/>
              </w:pBdr>
              <w:ind w:left="708"/>
              <w:rPr>
                <w:rFonts w:ascii="Palatino Linotype" w:eastAsia="Palatino Linotype" w:hAnsi="Palatino Linotype" w:cs="Palatino Linotype"/>
                <w:sz w:val="22"/>
                <w:szCs w:val="22"/>
              </w:rPr>
            </w:pPr>
          </w:p>
          <w:p w14:paraId="2063772E" w14:textId="77777777" w:rsidR="00411983" w:rsidRPr="00D37331" w:rsidRDefault="00922C23">
            <w:pPr>
              <w:pBdr>
                <w:top w:val="nil"/>
                <w:left w:val="nil"/>
                <w:bottom w:val="nil"/>
                <w:right w:val="nil"/>
                <w:between w:val="nil"/>
              </w:pBdr>
              <w:spacing w:after="200" w:line="276" w:lineRule="auto"/>
              <w:ind w:left="360"/>
              <w:jc w:val="both"/>
              <w:rPr>
                <w:rFonts w:ascii="Palatino Linotype" w:eastAsia="Palatino Linotype" w:hAnsi="Palatino Linotype" w:cs="Palatino Linotype"/>
                <w:sz w:val="22"/>
                <w:szCs w:val="22"/>
              </w:rPr>
            </w:pPr>
            <w:r w:rsidRPr="00D37331">
              <w:rPr>
                <w:rFonts w:ascii="Palatino Linotype" w:eastAsia="Palatino Linotype" w:hAnsi="Palatino Linotype" w:cs="Palatino Linotype"/>
                <w:sz w:val="22"/>
                <w:szCs w:val="22"/>
              </w:rPr>
              <w:t>Confidencial respecto de las solicitudes:</w:t>
            </w:r>
          </w:p>
          <w:p w14:paraId="22DFE9BE" w14:textId="77777777" w:rsidR="00411983" w:rsidRPr="00D37331" w:rsidRDefault="00411983">
            <w:pPr>
              <w:pBdr>
                <w:top w:val="nil"/>
                <w:left w:val="nil"/>
                <w:bottom w:val="nil"/>
                <w:right w:val="nil"/>
                <w:between w:val="nil"/>
              </w:pBdr>
              <w:ind w:left="708"/>
              <w:rPr>
                <w:rFonts w:ascii="Palatino Linotype" w:eastAsia="Palatino Linotype" w:hAnsi="Palatino Linotype" w:cs="Palatino Linotype"/>
                <w:sz w:val="22"/>
                <w:szCs w:val="22"/>
              </w:rPr>
            </w:pPr>
          </w:p>
          <w:p w14:paraId="0316E330" w14:textId="77777777" w:rsidR="00411983" w:rsidRPr="00D37331" w:rsidRDefault="008200AB">
            <w:pPr>
              <w:pBdr>
                <w:top w:val="nil"/>
                <w:left w:val="nil"/>
                <w:bottom w:val="nil"/>
                <w:right w:val="nil"/>
                <w:between w:val="nil"/>
              </w:pBdr>
              <w:spacing w:after="200" w:line="276" w:lineRule="auto"/>
              <w:ind w:left="360"/>
              <w:jc w:val="both"/>
              <w:rPr>
                <w:rFonts w:ascii="Palatino Linotype" w:eastAsia="Palatino Linotype" w:hAnsi="Palatino Linotype" w:cs="Palatino Linotype"/>
                <w:sz w:val="22"/>
                <w:szCs w:val="22"/>
              </w:rPr>
            </w:pPr>
            <w:hyperlink r:id="rId30">
              <w:r w:rsidR="00922C23" w:rsidRPr="00D37331">
                <w:rPr>
                  <w:rFonts w:ascii="Palatino Linotype" w:eastAsia="Palatino Linotype" w:hAnsi="Palatino Linotype" w:cs="Palatino Linotype"/>
                  <w:sz w:val="22"/>
                  <w:szCs w:val="22"/>
                </w:rPr>
                <w:t>00232/UAI/IP/2024</w:t>
              </w:r>
            </w:hyperlink>
            <w:r w:rsidR="00922C23" w:rsidRPr="00D37331">
              <w:rPr>
                <w:rFonts w:ascii="Palatino Linotype" w:eastAsia="Palatino Linotype" w:hAnsi="Palatino Linotype" w:cs="Palatino Linotype"/>
                <w:sz w:val="22"/>
                <w:szCs w:val="22"/>
              </w:rPr>
              <w:t xml:space="preserve">, </w:t>
            </w:r>
            <w:hyperlink r:id="rId31">
              <w:r w:rsidR="00922C23" w:rsidRPr="00D37331">
                <w:rPr>
                  <w:rFonts w:ascii="Palatino Linotype" w:eastAsia="Palatino Linotype" w:hAnsi="Palatino Linotype" w:cs="Palatino Linotype"/>
                  <w:sz w:val="22"/>
                  <w:szCs w:val="22"/>
                </w:rPr>
                <w:t>00233/UAI/IP/2024</w:t>
              </w:r>
            </w:hyperlink>
            <w:r w:rsidR="00922C23" w:rsidRPr="00D37331">
              <w:rPr>
                <w:rFonts w:ascii="Palatino Linotype" w:eastAsia="Palatino Linotype" w:hAnsi="Palatino Linotype" w:cs="Palatino Linotype"/>
                <w:sz w:val="22"/>
                <w:szCs w:val="22"/>
              </w:rPr>
              <w:t xml:space="preserve">, </w:t>
            </w:r>
            <w:hyperlink r:id="rId32">
              <w:r w:rsidR="00922C23" w:rsidRPr="00D37331">
                <w:rPr>
                  <w:rFonts w:ascii="Palatino Linotype" w:eastAsia="Palatino Linotype" w:hAnsi="Palatino Linotype" w:cs="Palatino Linotype"/>
                  <w:sz w:val="22"/>
                  <w:szCs w:val="22"/>
                </w:rPr>
                <w:t>00245/UAI/IP/2024</w:t>
              </w:r>
            </w:hyperlink>
            <w:r w:rsidR="00922C23" w:rsidRPr="00D37331">
              <w:rPr>
                <w:rFonts w:ascii="Palatino Linotype" w:eastAsia="Palatino Linotype" w:hAnsi="Palatino Linotype" w:cs="Palatino Linotype"/>
                <w:sz w:val="22"/>
                <w:szCs w:val="22"/>
              </w:rPr>
              <w:t xml:space="preserve"> y </w:t>
            </w:r>
            <w:hyperlink r:id="rId33">
              <w:r w:rsidR="00922C23" w:rsidRPr="00D37331">
                <w:rPr>
                  <w:rFonts w:ascii="Palatino Linotype" w:eastAsia="Palatino Linotype" w:hAnsi="Palatino Linotype" w:cs="Palatino Linotype"/>
                  <w:sz w:val="22"/>
                  <w:szCs w:val="22"/>
                </w:rPr>
                <w:t>00246/UAI/IP/2024</w:t>
              </w:r>
            </w:hyperlink>
          </w:p>
          <w:p w14:paraId="20164EA7" w14:textId="77777777" w:rsidR="00411983" w:rsidRPr="00D37331" w:rsidRDefault="00411983">
            <w:pPr>
              <w:pBdr>
                <w:top w:val="nil"/>
                <w:left w:val="nil"/>
                <w:bottom w:val="nil"/>
                <w:right w:val="nil"/>
                <w:between w:val="nil"/>
              </w:pBdr>
              <w:ind w:left="708"/>
              <w:rPr>
                <w:rFonts w:ascii="Palatino Linotype" w:eastAsia="Palatino Linotype" w:hAnsi="Palatino Linotype" w:cs="Palatino Linotype"/>
                <w:sz w:val="22"/>
                <w:szCs w:val="22"/>
              </w:rPr>
            </w:pPr>
          </w:p>
          <w:p w14:paraId="12D42893" w14:textId="77777777" w:rsidR="00411983" w:rsidRPr="00D37331" w:rsidRDefault="00922C23">
            <w:pPr>
              <w:pBdr>
                <w:top w:val="nil"/>
                <w:left w:val="nil"/>
                <w:bottom w:val="nil"/>
                <w:right w:val="nil"/>
                <w:between w:val="nil"/>
              </w:pBdr>
              <w:spacing w:after="200" w:line="276" w:lineRule="auto"/>
              <w:ind w:left="360"/>
              <w:jc w:val="both"/>
              <w:rPr>
                <w:rFonts w:ascii="Palatino Linotype" w:eastAsia="Palatino Linotype" w:hAnsi="Palatino Linotype" w:cs="Palatino Linotype"/>
                <w:sz w:val="22"/>
                <w:szCs w:val="22"/>
              </w:rPr>
            </w:pPr>
            <w:r w:rsidRPr="00D37331">
              <w:rPr>
                <w:rFonts w:ascii="Palatino Linotype" w:eastAsia="Palatino Linotype" w:hAnsi="Palatino Linotype" w:cs="Palatino Linotype"/>
                <w:sz w:val="22"/>
                <w:szCs w:val="22"/>
              </w:rPr>
              <w:t>Reservada respecto de diversas solicitudes entre las que se incluyen:</w:t>
            </w:r>
          </w:p>
          <w:p w14:paraId="702559F4" w14:textId="77777777" w:rsidR="00411983" w:rsidRPr="00D37331" w:rsidRDefault="00922C23">
            <w:pPr>
              <w:pBdr>
                <w:top w:val="nil"/>
                <w:left w:val="nil"/>
                <w:bottom w:val="nil"/>
                <w:right w:val="nil"/>
                <w:between w:val="nil"/>
              </w:pBdr>
              <w:spacing w:after="200" w:line="276" w:lineRule="auto"/>
              <w:ind w:left="360"/>
              <w:jc w:val="both"/>
              <w:rPr>
                <w:rFonts w:ascii="Palatino Linotype" w:eastAsia="Palatino Linotype" w:hAnsi="Palatino Linotype" w:cs="Palatino Linotype"/>
                <w:sz w:val="22"/>
                <w:szCs w:val="22"/>
              </w:rPr>
            </w:pPr>
            <w:r w:rsidRPr="00D37331">
              <w:rPr>
                <w:rFonts w:ascii="Palatino Linotype" w:eastAsia="Palatino Linotype" w:hAnsi="Palatino Linotype" w:cs="Palatino Linotype"/>
                <w:sz w:val="22"/>
                <w:szCs w:val="22"/>
              </w:rPr>
              <w:t xml:space="preserve"> </w:t>
            </w:r>
            <w:hyperlink r:id="rId34">
              <w:r w:rsidRPr="00D37331">
                <w:rPr>
                  <w:rFonts w:ascii="Palatino Linotype" w:eastAsia="Palatino Linotype" w:hAnsi="Palatino Linotype" w:cs="Palatino Linotype"/>
                  <w:sz w:val="22"/>
                  <w:szCs w:val="22"/>
                </w:rPr>
                <w:t>00519/UAI/IP/2024</w:t>
              </w:r>
            </w:hyperlink>
            <w:r w:rsidRPr="00D37331">
              <w:rPr>
                <w:rFonts w:ascii="Palatino Linotype" w:eastAsia="Palatino Linotype" w:hAnsi="Palatino Linotype" w:cs="Palatino Linotype"/>
                <w:sz w:val="22"/>
                <w:szCs w:val="22"/>
              </w:rPr>
              <w:t xml:space="preserve">, </w:t>
            </w:r>
            <w:hyperlink r:id="rId35">
              <w:r w:rsidRPr="00D37331">
                <w:rPr>
                  <w:rFonts w:ascii="Palatino Linotype" w:eastAsia="Palatino Linotype" w:hAnsi="Palatino Linotype" w:cs="Palatino Linotype"/>
                  <w:sz w:val="22"/>
                  <w:szCs w:val="22"/>
                </w:rPr>
                <w:t>00520/UAI/IP/2024</w:t>
              </w:r>
            </w:hyperlink>
            <w:r w:rsidRPr="00D37331">
              <w:rPr>
                <w:rFonts w:ascii="Palatino Linotype" w:eastAsia="Palatino Linotype" w:hAnsi="Palatino Linotype" w:cs="Palatino Linotype"/>
                <w:sz w:val="22"/>
                <w:szCs w:val="22"/>
              </w:rPr>
              <w:t xml:space="preserve">, </w:t>
            </w:r>
            <w:hyperlink r:id="rId36">
              <w:r w:rsidRPr="00D37331">
                <w:rPr>
                  <w:rFonts w:ascii="Palatino Linotype" w:eastAsia="Palatino Linotype" w:hAnsi="Palatino Linotype" w:cs="Palatino Linotype"/>
                  <w:sz w:val="22"/>
                  <w:szCs w:val="22"/>
                </w:rPr>
                <w:t>00521/UAI/IP/2024</w:t>
              </w:r>
            </w:hyperlink>
            <w:r w:rsidRPr="00D37331">
              <w:rPr>
                <w:rFonts w:ascii="Palatino Linotype" w:eastAsia="Palatino Linotype" w:hAnsi="Palatino Linotype" w:cs="Palatino Linotype"/>
                <w:sz w:val="22"/>
                <w:szCs w:val="22"/>
              </w:rPr>
              <w:t xml:space="preserve"> y </w:t>
            </w:r>
            <w:hyperlink r:id="rId37">
              <w:r w:rsidRPr="00D37331">
                <w:rPr>
                  <w:rFonts w:ascii="Palatino Linotype" w:eastAsia="Palatino Linotype" w:hAnsi="Palatino Linotype" w:cs="Palatino Linotype"/>
                  <w:sz w:val="22"/>
                  <w:szCs w:val="22"/>
                </w:rPr>
                <w:t>00522/UAI/IP/2024</w:t>
              </w:r>
            </w:hyperlink>
            <w:r w:rsidRPr="00D37331">
              <w:rPr>
                <w:rFonts w:ascii="Palatino Linotype" w:eastAsia="Palatino Linotype" w:hAnsi="Palatino Linotype" w:cs="Palatino Linotype"/>
                <w:sz w:val="22"/>
                <w:szCs w:val="22"/>
              </w:rPr>
              <w:t>.</w:t>
            </w:r>
          </w:p>
          <w:p w14:paraId="63F8DB93" w14:textId="77777777" w:rsidR="00411983" w:rsidRPr="00D37331" w:rsidRDefault="00922C23">
            <w:pPr>
              <w:pBdr>
                <w:top w:val="nil"/>
                <w:left w:val="nil"/>
                <w:bottom w:val="nil"/>
                <w:right w:val="nil"/>
                <w:between w:val="nil"/>
              </w:pBdr>
              <w:spacing w:after="200" w:line="276" w:lineRule="auto"/>
              <w:ind w:left="360"/>
              <w:jc w:val="both"/>
              <w:rPr>
                <w:rFonts w:ascii="Palatino Linotype" w:eastAsia="Palatino Linotype" w:hAnsi="Palatino Linotype" w:cs="Palatino Linotype"/>
                <w:sz w:val="22"/>
                <w:szCs w:val="22"/>
              </w:rPr>
            </w:pPr>
            <w:r w:rsidRPr="00D37331">
              <w:rPr>
                <w:rFonts w:ascii="Palatino Linotype" w:eastAsia="Palatino Linotype" w:hAnsi="Palatino Linotype" w:cs="Palatino Linotype"/>
                <w:sz w:val="22"/>
                <w:szCs w:val="22"/>
              </w:rPr>
              <w:t xml:space="preserve">Mediante la cual se aprueba la clasificación de la información como reservada la información requerida entre otras, en la solicitud de información de nuestra atención, ya que las actas, oficios y/o documentos de las recomendaciones que derivan de las visitas de inspección y/o supervisiones realizadas por la Unidad de Asuntos Internos a las unidades administrativas de la Secretaría de Seguridad del Estado de México obran en diferentes expedientes de investigación de quejas y denuncias </w:t>
            </w:r>
            <w:proofErr w:type="spellStart"/>
            <w:r w:rsidRPr="00D37331">
              <w:rPr>
                <w:rFonts w:ascii="Palatino Linotype" w:eastAsia="Palatino Linotype" w:hAnsi="Palatino Linotype" w:cs="Palatino Linotype"/>
                <w:sz w:val="22"/>
                <w:szCs w:val="22"/>
              </w:rPr>
              <w:t>aperturados</w:t>
            </w:r>
            <w:proofErr w:type="spellEnd"/>
            <w:r w:rsidRPr="00D37331">
              <w:rPr>
                <w:rFonts w:ascii="Palatino Linotype" w:eastAsia="Palatino Linotype" w:hAnsi="Palatino Linotype" w:cs="Palatino Linotype"/>
                <w:sz w:val="22"/>
                <w:szCs w:val="22"/>
              </w:rPr>
              <w:t xml:space="preserve"> en contra de integrantes de la Secretaría de Seguridad del Estado de México mismos que contienen información cuya divulgación puede causar daño presente, probable y específico al proceso final de </w:t>
            </w:r>
            <w:r w:rsidRPr="00D37331">
              <w:rPr>
                <w:rFonts w:ascii="Palatino Linotype" w:eastAsia="Palatino Linotype" w:hAnsi="Palatino Linotype" w:cs="Palatino Linotype"/>
                <w:sz w:val="22"/>
                <w:szCs w:val="22"/>
              </w:rPr>
              <w:lastRenderedPageBreak/>
              <w:t>investigación y los intereses de interés de orden público, que actualizan la causal de reserva prevista en la fracción X del artículo 140 de la Ley de Transparencia Local, en relación con la fracción X del artículo 113 de la Ley General de Transparencia.</w:t>
            </w:r>
          </w:p>
        </w:tc>
      </w:tr>
    </w:tbl>
    <w:p w14:paraId="46709030" w14:textId="77777777" w:rsidR="00411983" w:rsidRPr="00D37331" w:rsidRDefault="00411983">
      <w:pPr>
        <w:spacing w:line="360" w:lineRule="auto"/>
        <w:jc w:val="both"/>
        <w:rPr>
          <w:rFonts w:ascii="Palatino Linotype" w:eastAsia="Palatino Linotype" w:hAnsi="Palatino Linotype" w:cs="Palatino Linotype"/>
          <w:b/>
        </w:rPr>
      </w:pPr>
    </w:p>
    <w:p w14:paraId="675860D2" w14:textId="77777777" w:rsidR="00411983" w:rsidRPr="00D37331" w:rsidRDefault="00922C23">
      <w:pP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b/>
        </w:rPr>
        <w:t xml:space="preserve">3. Interposición de los recursos de revisión. </w:t>
      </w:r>
      <w:r w:rsidRPr="00D37331">
        <w:rPr>
          <w:rFonts w:ascii="Palatino Linotype" w:eastAsia="Palatino Linotype" w:hAnsi="Palatino Linotype" w:cs="Palatino Linotype"/>
        </w:rPr>
        <w:t xml:space="preserve">Inconforme la persona solicitante con las respuestas por parte del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con fecha </w:t>
      </w:r>
      <w:r w:rsidRPr="00D37331">
        <w:rPr>
          <w:rFonts w:ascii="Palatino Linotype" w:eastAsia="Palatino Linotype" w:hAnsi="Palatino Linotype" w:cs="Palatino Linotype"/>
          <w:b/>
        </w:rPr>
        <w:t>veinticinco de noviembre dos mil veinticuatro interpuso los recursos de revisión,</w:t>
      </w:r>
      <w:r w:rsidRPr="00D37331">
        <w:rPr>
          <w:rFonts w:ascii="Palatino Linotype" w:eastAsia="Palatino Linotype" w:hAnsi="Palatino Linotype" w:cs="Palatino Linotype"/>
        </w:rPr>
        <w:t xml:space="preserve"> los cuales fueron registrados</w:t>
      </w:r>
      <w:r w:rsidRPr="00D37331">
        <w:rPr>
          <w:rFonts w:ascii="Palatino Linotype" w:eastAsia="Palatino Linotype" w:hAnsi="Palatino Linotype" w:cs="Palatino Linotype"/>
          <w:b/>
        </w:rPr>
        <w:t xml:space="preserve"> </w:t>
      </w:r>
      <w:r w:rsidRPr="00D37331">
        <w:rPr>
          <w:rFonts w:ascii="Palatino Linotype" w:eastAsia="Palatino Linotype" w:hAnsi="Palatino Linotype" w:cs="Palatino Linotype"/>
        </w:rPr>
        <w:t xml:space="preserve">en el sistema electrónico con el expediente número </w:t>
      </w:r>
      <w:r w:rsidRPr="00D37331">
        <w:rPr>
          <w:rFonts w:ascii="Palatino Linotype" w:eastAsia="Palatino Linotype" w:hAnsi="Palatino Linotype" w:cs="Palatino Linotype"/>
          <w:b/>
        </w:rPr>
        <w:t>07344/INFOEM/IP/RR/2024, 07345/INFOEM/IP/RR/2024, 07346/INFOEM/IP/RR/</w:t>
      </w:r>
      <w:proofErr w:type="gramStart"/>
      <w:r w:rsidRPr="00D37331">
        <w:rPr>
          <w:rFonts w:ascii="Palatino Linotype" w:eastAsia="Palatino Linotype" w:hAnsi="Palatino Linotype" w:cs="Palatino Linotype"/>
          <w:b/>
        </w:rPr>
        <w:t>2024  y</w:t>
      </w:r>
      <w:proofErr w:type="gramEnd"/>
      <w:r w:rsidRPr="00D37331">
        <w:rPr>
          <w:rFonts w:ascii="Palatino Linotype" w:eastAsia="Palatino Linotype" w:hAnsi="Palatino Linotype" w:cs="Palatino Linotype"/>
          <w:b/>
        </w:rPr>
        <w:t xml:space="preserve"> 07347/INFOEM/IP/RR/2024</w:t>
      </w:r>
      <w:r w:rsidRPr="00D37331">
        <w:rPr>
          <w:rFonts w:ascii="Palatino Linotype" w:eastAsia="Palatino Linotype" w:hAnsi="Palatino Linotype" w:cs="Palatino Linotype"/>
        </w:rPr>
        <w:t>, en los cual aduce, en cada recurso las siguientes manifestaciones:</w:t>
      </w:r>
    </w:p>
    <w:p w14:paraId="44873AE5" w14:textId="77777777" w:rsidR="00411983" w:rsidRPr="00D37331" w:rsidRDefault="00411983">
      <w:pPr>
        <w:pBdr>
          <w:top w:val="nil"/>
          <w:left w:val="nil"/>
          <w:bottom w:val="nil"/>
          <w:right w:val="nil"/>
          <w:between w:val="nil"/>
        </w:pBdr>
      </w:pPr>
    </w:p>
    <w:p w14:paraId="12EB3E88" w14:textId="77777777" w:rsidR="00411983" w:rsidRPr="00D37331" w:rsidRDefault="00411983">
      <w:pPr>
        <w:rPr>
          <w:sz w:val="4"/>
          <w:szCs w:val="4"/>
        </w:rPr>
      </w:pPr>
    </w:p>
    <w:tbl>
      <w:tblPr>
        <w:tblStyle w:val="ac"/>
        <w:tblW w:w="9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0"/>
        <w:gridCol w:w="4465"/>
      </w:tblGrid>
      <w:tr w:rsidR="00D37331" w:rsidRPr="00D37331" w14:paraId="6C01F0CF" w14:textId="77777777">
        <w:trPr>
          <w:trHeight w:val="292"/>
        </w:trPr>
        <w:tc>
          <w:tcPr>
            <w:tcW w:w="4610" w:type="dxa"/>
            <w:shd w:val="clear" w:color="auto" w:fill="D9D9D9"/>
            <w:vAlign w:val="center"/>
          </w:tcPr>
          <w:p w14:paraId="65CAAAFD" w14:textId="77777777" w:rsidR="00411983" w:rsidRPr="00D37331" w:rsidRDefault="00922C23">
            <w:pPr>
              <w:jc w:val="center"/>
              <w:rPr>
                <w:rFonts w:ascii="Palatino Linotype" w:eastAsia="Palatino Linotype" w:hAnsi="Palatino Linotype" w:cs="Palatino Linotype"/>
                <w:b/>
                <w:sz w:val="20"/>
                <w:szCs w:val="20"/>
              </w:rPr>
            </w:pPr>
            <w:r w:rsidRPr="00D37331">
              <w:rPr>
                <w:rFonts w:ascii="Palatino Linotype" w:eastAsia="Palatino Linotype" w:hAnsi="Palatino Linotype" w:cs="Palatino Linotype"/>
                <w:b/>
                <w:sz w:val="20"/>
                <w:szCs w:val="20"/>
              </w:rPr>
              <w:t>Acto impugnado.</w:t>
            </w:r>
          </w:p>
        </w:tc>
        <w:tc>
          <w:tcPr>
            <w:tcW w:w="4465" w:type="dxa"/>
            <w:shd w:val="clear" w:color="auto" w:fill="D9D9D9"/>
            <w:vAlign w:val="center"/>
          </w:tcPr>
          <w:p w14:paraId="2B0EA5F8" w14:textId="77777777" w:rsidR="00411983" w:rsidRPr="00D37331" w:rsidRDefault="00922C23">
            <w:pPr>
              <w:jc w:val="center"/>
              <w:rPr>
                <w:rFonts w:ascii="Palatino Linotype" w:eastAsia="Palatino Linotype" w:hAnsi="Palatino Linotype" w:cs="Palatino Linotype"/>
                <w:b/>
                <w:sz w:val="20"/>
                <w:szCs w:val="20"/>
              </w:rPr>
            </w:pPr>
            <w:r w:rsidRPr="00D37331">
              <w:rPr>
                <w:rFonts w:ascii="Palatino Linotype" w:eastAsia="Palatino Linotype" w:hAnsi="Palatino Linotype" w:cs="Palatino Linotype"/>
                <w:b/>
                <w:sz w:val="20"/>
                <w:szCs w:val="20"/>
              </w:rPr>
              <w:t>Motivos de inconformidad.</w:t>
            </w:r>
          </w:p>
        </w:tc>
      </w:tr>
      <w:tr w:rsidR="00411983" w:rsidRPr="00D37331" w14:paraId="592C60FC" w14:textId="77777777">
        <w:trPr>
          <w:trHeight w:val="661"/>
        </w:trPr>
        <w:tc>
          <w:tcPr>
            <w:tcW w:w="4610" w:type="dxa"/>
            <w:shd w:val="clear" w:color="auto" w:fill="auto"/>
          </w:tcPr>
          <w:p w14:paraId="21802D9C" w14:textId="77777777" w:rsidR="00411983" w:rsidRPr="00D37331" w:rsidRDefault="00922C23">
            <w:pPr>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INCOMPLETA </w:t>
            </w:r>
          </w:p>
        </w:tc>
        <w:tc>
          <w:tcPr>
            <w:tcW w:w="4465" w:type="dxa"/>
            <w:shd w:val="clear" w:color="auto" w:fill="auto"/>
          </w:tcPr>
          <w:p w14:paraId="4D628F9D" w14:textId="77777777" w:rsidR="00411983" w:rsidRPr="00D37331" w:rsidRDefault="00922C23">
            <w:pPr>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INCOMPLETA </w:t>
            </w:r>
          </w:p>
        </w:tc>
      </w:tr>
    </w:tbl>
    <w:p w14:paraId="1691936B" w14:textId="77777777" w:rsidR="00411983" w:rsidRPr="00D37331" w:rsidRDefault="00411983">
      <w:pPr>
        <w:spacing w:line="360" w:lineRule="auto"/>
        <w:jc w:val="both"/>
        <w:rPr>
          <w:rFonts w:ascii="Palatino Linotype" w:eastAsia="Palatino Linotype" w:hAnsi="Palatino Linotype" w:cs="Palatino Linotype"/>
          <w:b/>
        </w:rPr>
      </w:pPr>
    </w:p>
    <w:p w14:paraId="69D12A9D"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b/>
        </w:rPr>
        <w:t xml:space="preserve">4. Turno. </w:t>
      </w:r>
      <w:r w:rsidRPr="00D3733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recurso de revisión </w:t>
      </w:r>
      <w:r w:rsidRPr="00D37331">
        <w:rPr>
          <w:rFonts w:ascii="Palatino Linotype" w:eastAsia="Palatino Linotype" w:hAnsi="Palatino Linotype" w:cs="Palatino Linotype"/>
          <w:b/>
        </w:rPr>
        <w:t xml:space="preserve">07344/INFOEM/IP/RR/2024 </w:t>
      </w:r>
      <w:r w:rsidRPr="00D37331">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Pr="00D37331">
        <w:rPr>
          <w:rFonts w:ascii="Palatino Linotype" w:eastAsia="Palatino Linotype" w:hAnsi="Palatino Linotype" w:cs="Palatino Linotype"/>
          <w:b/>
        </w:rPr>
        <w:t xml:space="preserve">Comisionada Guadalupe Ramírez Peña, </w:t>
      </w:r>
      <w:r w:rsidRPr="00D37331">
        <w:rPr>
          <w:rFonts w:ascii="Palatino Linotype" w:eastAsia="Palatino Linotype" w:hAnsi="Palatino Linotype" w:cs="Palatino Linotype"/>
        </w:rPr>
        <w:t xml:space="preserve">por lo que hace al recurso </w:t>
      </w:r>
      <w:r w:rsidRPr="00D37331">
        <w:rPr>
          <w:rFonts w:ascii="Palatino Linotype" w:eastAsia="Palatino Linotype" w:hAnsi="Palatino Linotype" w:cs="Palatino Linotype"/>
          <w:b/>
        </w:rPr>
        <w:t xml:space="preserve">07345/INFOEM/IP/RR/2024 </w:t>
      </w:r>
      <w:r w:rsidRPr="00D37331">
        <w:rPr>
          <w:rFonts w:ascii="Palatino Linotype" w:eastAsia="Palatino Linotype" w:hAnsi="Palatino Linotype" w:cs="Palatino Linotype"/>
        </w:rPr>
        <w:t xml:space="preserve">se turnó al </w:t>
      </w:r>
      <w:r w:rsidRPr="00D37331">
        <w:rPr>
          <w:rFonts w:ascii="Palatino Linotype" w:eastAsia="Palatino Linotype" w:hAnsi="Palatino Linotype" w:cs="Palatino Linotype"/>
          <w:b/>
        </w:rPr>
        <w:t xml:space="preserve">Comisionado José Vilchis Martínez, el 07346/INFOEM/IP/RR/2024 </w:t>
      </w:r>
      <w:r w:rsidRPr="00D37331">
        <w:rPr>
          <w:rFonts w:ascii="Palatino Linotype" w:eastAsia="Palatino Linotype" w:hAnsi="Palatino Linotype" w:cs="Palatino Linotype"/>
        </w:rPr>
        <w:t xml:space="preserve">se turnó al </w:t>
      </w:r>
      <w:r w:rsidRPr="00D37331">
        <w:rPr>
          <w:rFonts w:ascii="Palatino Linotype" w:eastAsia="Palatino Linotype" w:hAnsi="Palatino Linotype" w:cs="Palatino Linotype"/>
          <w:b/>
        </w:rPr>
        <w:t xml:space="preserve">Comisionado Luis Gustavo Parra Noriega y el 07347/INFOEM/IP/RR/2024 se turnó a la Comisionada </w:t>
      </w:r>
      <w:r w:rsidRPr="00D37331">
        <w:rPr>
          <w:rFonts w:ascii="Palatino Linotype" w:eastAsia="Palatino Linotype" w:hAnsi="Palatino Linotype" w:cs="Palatino Linotype"/>
          <w:b/>
        </w:rPr>
        <w:lastRenderedPageBreak/>
        <w:t xml:space="preserve">Sharon Cristina Morales Martínez, </w:t>
      </w:r>
      <w:r w:rsidRPr="00D37331">
        <w:rPr>
          <w:rFonts w:ascii="Palatino Linotype" w:eastAsia="Palatino Linotype" w:hAnsi="Palatino Linotype" w:cs="Palatino Linotype"/>
        </w:rPr>
        <w:t>para su análisis, estudio, elaboración del proyecto y presentación ante el Pleno de este Instituto.</w:t>
      </w:r>
    </w:p>
    <w:p w14:paraId="185CB276" w14:textId="77777777" w:rsidR="00411983" w:rsidRPr="00D37331" w:rsidRDefault="00411983">
      <w:pPr>
        <w:spacing w:line="360" w:lineRule="auto"/>
        <w:jc w:val="both"/>
        <w:rPr>
          <w:rFonts w:ascii="Palatino Linotype" w:eastAsia="Palatino Linotype" w:hAnsi="Palatino Linotype" w:cs="Palatino Linotype"/>
          <w:b/>
        </w:rPr>
      </w:pPr>
    </w:p>
    <w:p w14:paraId="37372226"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b/>
        </w:rPr>
        <w:t>5. Admisión de los recursos de revisión.</w:t>
      </w:r>
      <w:r w:rsidRPr="00D37331">
        <w:rPr>
          <w:rFonts w:ascii="Palatino Linotype" w:eastAsia="Palatino Linotype" w:hAnsi="Palatino Linotype" w:cs="Palatino Linotype"/>
        </w:rPr>
        <w:t xml:space="preserve"> Con </w:t>
      </w:r>
      <w:r w:rsidRPr="00D37331">
        <w:rPr>
          <w:rFonts w:ascii="Palatino Linotype" w:eastAsia="Palatino Linotype" w:hAnsi="Palatino Linotype" w:cs="Palatino Linotype"/>
          <w:b/>
        </w:rPr>
        <w:t xml:space="preserve">fechas veintisiete, veintiocho y veintinueve de noviembre y dos diciembre del dos mil veinticuatro, </w:t>
      </w:r>
      <w:r w:rsidRPr="00D3733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los recursos de revisión que ahora se resuelven, dando un plazo máximo de siete días hábiles para que las partes manifestaran lo que a su derecho resultara conveniente, ofrecieran pruebas, formularan alegatos y </w:t>
      </w:r>
      <w:r w:rsidRPr="00D37331">
        <w:rPr>
          <w:rFonts w:ascii="Palatino Linotype" w:eastAsia="Palatino Linotype" w:hAnsi="Palatino Linotype" w:cs="Palatino Linotype"/>
          <w:b/>
        </w:rPr>
        <w:t xml:space="preserve">el SUJETO OBLIGADO </w:t>
      </w:r>
      <w:r w:rsidRPr="00D37331">
        <w:rPr>
          <w:rFonts w:ascii="Palatino Linotype" w:eastAsia="Palatino Linotype" w:hAnsi="Palatino Linotype" w:cs="Palatino Linotype"/>
        </w:rPr>
        <w:t>presentara su informe justificado.</w:t>
      </w:r>
    </w:p>
    <w:p w14:paraId="5925D801" w14:textId="77777777" w:rsidR="00411983" w:rsidRPr="00D37331" w:rsidRDefault="00922C23">
      <w:pPr>
        <w:spacing w:before="240" w:after="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b/>
        </w:rPr>
        <w:t>6. Manifestaciones.</w:t>
      </w:r>
      <w:r w:rsidRPr="00D37331">
        <w:rPr>
          <w:rFonts w:ascii="Palatino Linotype" w:eastAsia="Palatino Linotype" w:hAnsi="Palatino Linotype" w:cs="Palatino Linotype"/>
          <w:b/>
          <w:sz w:val="22"/>
          <w:szCs w:val="22"/>
        </w:rPr>
        <w:t xml:space="preserve"> </w:t>
      </w:r>
      <w:r w:rsidRPr="00D37331">
        <w:rPr>
          <w:rFonts w:ascii="Palatino Linotype" w:eastAsia="Palatino Linotype" w:hAnsi="Palatino Linotype" w:cs="Palatino Linotype"/>
        </w:rPr>
        <w:t>De las constancias que obran en los expedientes electrónicos del SAIMEX se desprende que la parte</w:t>
      </w:r>
      <w:r w:rsidRPr="00D37331">
        <w:rPr>
          <w:rFonts w:ascii="Palatino Linotype" w:eastAsia="Palatino Linotype" w:hAnsi="Palatino Linotype" w:cs="Palatino Linotype"/>
          <w:b/>
        </w:rPr>
        <w:t xml:space="preserve"> RECURRENTE</w:t>
      </w:r>
      <w:r w:rsidRPr="00D37331">
        <w:rPr>
          <w:rFonts w:ascii="Palatino Linotype" w:eastAsia="Palatino Linotype" w:hAnsi="Palatino Linotype" w:cs="Palatino Linotype"/>
        </w:rPr>
        <w:t xml:space="preserve"> omitió realizar manifestaciones. </w:t>
      </w:r>
    </w:p>
    <w:p w14:paraId="1BDC9427" w14:textId="77777777" w:rsidR="00411983" w:rsidRPr="00D37331" w:rsidRDefault="00922C23">
      <w:pPr>
        <w:spacing w:before="240" w:after="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Por su parte el </w:t>
      </w:r>
      <w:r w:rsidRPr="00D37331">
        <w:rPr>
          <w:rFonts w:ascii="Palatino Linotype" w:eastAsia="Palatino Linotype" w:hAnsi="Palatino Linotype" w:cs="Palatino Linotype"/>
          <w:b/>
        </w:rPr>
        <w:t xml:space="preserve">SUJETO OBLIGADO </w:t>
      </w:r>
      <w:r w:rsidRPr="00D37331">
        <w:rPr>
          <w:rFonts w:ascii="Palatino Linotype" w:eastAsia="Palatino Linotype" w:hAnsi="Palatino Linotype" w:cs="Palatino Linotype"/>
        </w:rPr>
        <w:t>en vía de informe justificado remitió los siguientes archivos electrónicos, siendo el mismo en cada recurso de revisión:</w:t>
      </w:r>
    </w:p>
    <w:tbl>
      <w:tblPr>
        <w:tblStyle w:val="ad"/>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5948"/>
      </w:tblGrid>
      <w:tr w:rsidR="00D37331" w:rsidRPr="00D37331" w14:paraId="70711065" w14:textId="77777777">
        <w:tc>
          <w:tcPr>
            <w:tcW w:w="3119" w:type="dxa"/>
            <w:shd w:val="clear" w:color="auto" w:fill="D9D9D9"/>
          </w:tcPr>
          <w:p w14:paraId="782C6452" w14:textId="77777777" w:rsidR="00411983" w:rsidRPr="00D37331" w:rsidRDefault="00922C23">
            <w:pPr>
              <w:jc w:val="center"/>
              <w:rPr>
                <w:rFonts w:ascii="Palatino Linotype" w:eastAsia="Palatino Linotype" w:hAnsi="Palatino Linotype" w:cs="Palatino Linotype"/>
                <w:b/>
                <w:sz w:val="22"/>
                <w:szCs w:val="22"/>
              </w:rPr>
            </w:pPr>
            <w:r w:rsidRPr="00D37331">
              <w:rPr>
                <w:rFonts w:ascii="Palatino Linotype" w:eastAsia="Palatino Linotype" w:hAnsi="Palatino Linotype" w:cs="Palatino Linotype"/>
                <w:b/>
                <w:sz w:val="22"/>
                <w:szCs w:val="22"/>
              </w:rPr>
              <w:t xml:space="preserve">Número de Recurso de Revisión </w:t>
            </w:r>
          </w:p>
        </w:tc>
        <w:tc>
          <w:tcPr>
            <w:tcW w:w="5948" w:type="dxa"/>
            <w:shd w:val="clear" w:color="auto" w:fill="D9D9D9"/>
            <w:vAlign w:val="center"/>
          </w:tcPr>
          <w:p w14:paraId="5A119AEB" w14:textId="77777777" w:rsidR="00411983" w:rsidRPr="00D37331" w:rsidRDefault="00922C23">
            <w:pPr>
              <w:jc w:val="center"/>
              <w:rPr>
                <w:rFonts w:ascii="Palatino Linotype" w:eastAsia="Palatino Linotype" w:hAnsi="Palatino Linotype" w:cs="Palatino Linotype"/>
                <w:b/>
                <w:sz w:val="22"/>
                <w:szCs w:val="22"/>
              </w:rPr>
            </w:pPr>
            <w:r w:rsidRPr="00D37331">
              <w:rPr>
                <w:rFonts w:ascii="Palatino Linotype" w:eastAsia="Palatino Linotype" w:hAnsi="Palatino Linotype" w:cs="Palatino Linotype"/>
                <w:b/>
                <w:sz w:val="22"/>
                <w:szCs w:val="22"/>
              </w:rPr>
              <w:t>Informe Justificado</w:t>
            </w:r>
          </w:p>
        </w:tc>
      </w:tr>
      <w:tr w:rsidR="00411983" w:rsidRPr="00D37331" w14:paraId="25F235F0" w14:textId="77777777">
        <w:tc>
          <w:tcPr>
            <w:tcW w:w="3119" w:type="dxa"/>
            <w:vAlign w:val="center"/>
          </w:tcPr>
          <w:p w14:paraId="3C8EE987" w14:textId="77777777" w:rsidR="00411983" w:rsidRPr="00D37331" w:rsidRDefault="00922C23">
            <w:pPr>
              <w:jc w:val="both"/>
              <w:rPr>
                <w:rFonts w:ascii="Palatino Linotype" w:eastAsia="Palatino Linotype" w:hAnsi="Palatino Linotype" w:cs="Palatino Linotype"/>
                <w:b/>
                <w:sz w:val="22"/>
                <w:szCs w:val="22"/>
                <w:lang w:val="en-US"/>
              </w:rPr>
            </w:pPr>
            <w:r w:rsidRPr="00D37331">
              <w:rPr>
                <w:rFonts w:ascii="Palatino Linotype" w:eastAsia="Palatino Linotype" w:hAnsi="Palatino Linotype" w:cs="Palatino Linotype"/>
                <w:b/>
                <w:sz w:val="22"/>
                <w:szCs w:val="22"/>
                <w:lang w:val="en-US"/>
              </w:rPr>
              <w:t>07344/INFOEM/IP/RR/2024, 07345/INFOEM/IP/RR/2024, 07346/INFOEM/IP/RR/</w:t>
            </w:r>
            <w:proofErr w:type="gramStart"/>
            <w:r w:rsidRPr="00D37331">
              <w:rPr>
                <w:rFonts w:ascii="Palatino Linotype" w:eastAsia="Palatino Linotype" w:hAnsi="Palatino Linotype" w:cs="Palatino Linotype"/>
                <w:b/>
                <w:sz w:val="22"/>
                <w:szCs w:val="22"/>
                <w:lang w:val="en-US"/>
              </w:rPr>
              <w:t>2024  y</w:t>
            </w:r>
            <w:proofErr w:type="gramEnd"/>
            <w:r w:rsidRPr="00D37331">
              <w:rPr>
                <w:rFonts w:ascii="Palatino Linotype" w:eastAsia="Palatino Linotype" w:hAnsi="Palatino Linotype" w:cs="Palatino Linotype"/>
                <w:b/>
                <w:sz w:val="22"/>
                <w:szCs w:val="22"/>
                <w:lang w:val="en-US"/>
              </w:rPr>
              <w:t xml:space="preserve"> 07347/INFOEM/IP/RR/2024</w:t>
            </w:r>
          </w:p>
        </w:tc>
        <w:tc>
          <w:tcPr>
            <w:tcW w:w="5948" w:type="dxa"/>
            <w:shd w:val="clear" w:color="auto" w:fill="auto"/>
          </w:tcPr>
          <w:p w14:paraId="51A1BD2E" w14:textId="77777777" w:rsidR="00411983" w:rsidRPr="00D37331" w:rsidRDefault="00922C23">
            <w:pPr>
              <w:jc w:val="both"/>
              <w:rPr>
                <w:rFonts w:ascii="Palatino Linotype" w:eastAsia="Palatino Linotype" w:hAnsi="Palatino Linotype" w:cs="Palatino Linotype"/>
                <w:sz w:val="22"/>
                <w:szCs w:val="22"/>
              </w:rPr>
            </w:pPr>
            <w:r w:rsidRPr="00D37331">
              <w:rPr>
                <w:rFonts w:ascii="Palatino Linotype" w:eastAsia="Palatino Linotype" w:hAnsi="Palatino Linotype" w:cs="Palatino Linotype"/>
                <w:b/>
                <w:sz w:val="22"/>
                <w:szCs w:val="22"/>
              </w:rPr>
              <w:t>“</w:t>
            </w:r>
            <w:hyperlink r:id="rId38">
              <w:r w:rsidRPr="00D37331">
                <w:rPr>
                  <w:rFonts w:ascii="Palatino Linotype" w:eastAsia="Palatino Linotype" w:hAnsi="Palatino Linotype" w:cs="Palatino Linotype"/>
                  <w:b/>
                  <w:sz w:val="22"/>
                  <w:szCs w:val="22"/>
                </w:rPr>
                <w:t>RR 7344 y acumulados.pdf</w:t>
              </w:r>
            </w:hyperlink>
            <w:r w:rsidRPr="00D37331">
              <w:rPr>
                <w:rFonts w:ascii="Palatino Linotype" w:eastAsia="Palatino Linotype" w:hAnsi="Palatino Linotype" w:cs="Palatino Linotype"/>
                <w:b/>
                <w:sz w:val="22"/>
                <w:szCs w:val="22"/>
              </w:rPr>
              <w:t xml:space="preserve">”, </w:t>
            </w:r>
            <w:r w:rsidRPr="00D37331">
              <w:rPr>
                <w:rFonts w:ascii="Palatino Linotype" w:eastAsia="Palatino Linotype" w:hAnsi="Palatino Linotype" w:cs="Palatino Linotype"/>
                <w:sz w:val="22"/>
                <w:szCs w:val="22"/>
              </w:rPr>
              <w:t xml:space="preserve">el cual contiene el informe justificado del </w:t>
            </w:r>
            <w:r w:rsidRPr="00D37331">
              <w:rPr>
                <w:rFonts w:ascii="Palatino Linotype" w:eastAsia="Palatino Linotype" w:hAnsi="Palatino Linotype" w:cs="Palatino Linotype"/>
                <w:b/>
                <w:sz w:val="22"/>
                <w:szCs w:val="22"/>
              </w:rPr>
              <w:t>SUJETO OBLIGADO</w:t>
            </w:r>
            <w:r w:rsidRPr="00D37331">
              <w:rPr>
                <w:rFonts w:ascii="Palatino Linotype" w:eastAsia="Palatino Linotype" w:hAnsi="Palatino Linotype" w:cs="Palatino Linotype"/>
                <w:sz w:val="22"/>
                <w:szCs w:val="22"/>
              </w:rPr>
              <w:t xml:space="preserve">, </w:t>
            </w:r>
            <w:proofErr w:type="gramStart"/>
            <w:r w:rsidRPr="00D37331">
              <w:rPr>
                <w:rFonts w:ascii="Palatino Linotype" w:eastAsia="Palatino Linotype" w:hAnsi="Palatino Linotype" w:cs="Palatino Linotype"/>
                <w:sz w:val="22"/>
                <w:szCs w:val="22"/>
              </w:rPr>
              <w:t>a  través</w:t>
            </w:r>
            <w:proofErr w:type="gramEnd"/>
            <w:r w:rsidRPr="00D37331">
              <w:rPr>
                <w:rFonts w:ascii="Palatino Linotype" w:eastAsia="Palatino Linotype" w:hAnsi="Palatino Linotype" w:cs="Palatino Linotype"/>
                <w:sz w:val="22"/>
                <w:szCs w:val="22"/>
              </w:rPr>
              <w:t xml:space="preserve"> del cual en lo medular ratificó sus respuestas primigenias. </w:t>
            </w:r>
          </w:p>
          <w:p w14:paraId="44E35F15" w14:textId="77777777" w:rsidR="00411983" w:rsidRPr="00D37331" w:rsidRDefault="00411983">
            <w:pPr>
              <w:jc w:val="both"/>
              <w:rPr>
                <w:sz w:val="22"/>
                <w:szCs w:val="22"/>
              </w:rPr>
            </w:pPr>
          </w:p>
          <w:p w14:paraId="61C38C82" w14:textId="77777777" w:rsidR="00411983" w:rsidRPr="00D37331" w:rsidRDefault="00411983">
            <w:pPr>
              <w:jc w:val="both"/>
              <w:rPr>
                <w:rFonts w:ascii="Palatino Linotype" w:eastAsia="Palatino Linotype" w:hAnsi="Palatino Linotype" w:cs="Palatino Linotype"/>
                <w:sz w:val="22"/>
                <w:szCs w:val="22"/>
              </w:rPr>
            </w:pPr>
          </w:p>
        </w:tc>
      </w:tr>
    </w:tbl>
    <w:p w14:paraId="580C0271" w14:textId="77777777" w:rsidR="00411983" w:rsidRPr="00D37331" w:rsidRDefault="00411983">
      <w:pPr>
        <w:spacing w:line="360" w:lineRule="auto"/>
        <w:jc w:val="both"/>
        <w:rPr>
          <w:rFonts w:ascii="Palatino Linotype" w:eastAsia="Palatino Linotype" w:hAnsi="Palatino Linotype" w:cs="Palatino Linotype"/>
        </w:rPr>
      </w:pPr>
    </w:p>
    <w:p w14:paraId="5FC6831D"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Archivos que se pusieron a la vista de la parte </w:t>
      </w:r>
      <w:r w:rsidRPr="00D37331">
        <w:rPr>
          <w:rFonts w:ascii="Palatino Linotype" w:eastAsia="Palatino Linotype" w:hAnsi="Palatino Linotype" w:cs="Palatino Linotype"/>
          <w:b/>
        </w:rPr>
        <w:t>RECURRENTE</w:t>
      </w:r>
      <w:r w:rsidRPr="00D37331">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hiciera manifestación alguna. </w:t>
      </w:r>
    </w:p>
    <w:p w14:paraId="5DA0D61C" w14:textId="77777777" w:rsidR="00411983" w:rsidRPr="00D37331" w:rsidRDefault="00922C23">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b/>
        </w:rPr>
        <w:lastRenderedPageBreak/>
        <w:t>7. Acumulación de los recursos de revisión.</w:t>
      </w:r>
      <w:r w:rsidRPr="00D37331">
        <w:rPr>
          <w:rFonts w:ascii="Palatino Linotype" w:eastAsia="Palatino Linotype" w:hAnsi="Palatino Linotype" w:cs="Palatino Linotype"/>
        </w:rPr>
        <w:t xml:space="preserve"> Al respecto cabe señalar, que el Pleno de este Instituto, en la </w:t>
      </w:r>
      <w:r w:rsidRPr="00D37331">
        <w:rPr>
          <w:rFonts w:ascii="Palatino Linotype" w:eastAsia="Palatino Linotype" w:hAnsi="Palatino Linotype" w:cs="Palatino Linotype"/>
          <w:b/>
        </w:rPr>
        <w:t>Vigésima Segunda Sesión Ordinaria, celebrada el cuatro de diciembre de dos mil veinticuatro;</w:t>
      </w:r>
      <w:r w:rsidRPr="00D37331">
        <w:rPr>
          <w:rFonts w:ascii="Palatino Linotype" w:eastAsia="Palatino Linotype" w:hAnsi="Palatino Linotype" w:cs="Palatino Linotype"/>
        </w:rPr>
        <w:t xml:space="preserve"> respectivamente, ordenó la acumulación de los expedientes citados, a efecto de que la </w:t>
      </w:r>
      <w:r w:rsidRPr="00D37331">
        <w:rPr>
          <w:rFonts w:ascii="Palatino Linotype" w:eastAsia="Palatino Linotype" w:hAnsi="Palatino Linotype" w:cs="Palatino Linotype"/>
          <w:b/>
        </w:rPr>
        <w:t xml:space="preserve">Comisionada Guadalupe Ramírez Peña </w:t>
      </w:r>
      <w:r w:rsidRPr="00D37331">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7E42E38F" w14:textId="77777777" w:rsidR="00411983" w:rsidRPr="00D37331" w:rsidRDefault="00922C23">
      <w:pPr>
        <w:spacing w:before="120" w:after="120"/>
        <w:ind w:left="851" w:right="902"/>
        <w:jc w:val="both"/>
      </w:pPr>
      <w:r w:rsidRPr="00D37331">
        <w:rPr>
          <w:rFonts w:ascii="Palatino Linotype" w:eastAsia="Palatino Linotype" w:hAnsi="Palatino Linotype" w:cs="Palatino Linotype"/>
          <w:b/>
          <w:i/>
          <w:sz w:val="22"/>
          <w:szCs w:val="22"/>
        </w:rPr>
        <w:t>Código de Procedimientos Administrativos del Estado de México</w:t>
      </w:r>
    </w:p>
    <w:p w14:paraId="6720DAA9" w14:textId="77777777" w:rsidR="00411983" w:rsidRPr="00D37331" w:rsidRDefault="00922C23">
      <w:pPr>
        <w:spacing w:before="120" w:after="120"/>
        <w:ind w:left="851" w:right="902"/>
        <w:jc w:val="both"/>
      </w:pPr>
      <w:r w:rsidRPr="00D37331">
        <w:rPr>
          <w:rFonts w:ascii="Palatino Linotype" w:eastAsia="Palatino Linotype" w:hAnsi="Palatino Linotype" w:cs="Palatino Linotype"/>
          <w:b/>
          <w:i/>
          <w:sz w:val="22"/>
          <w:szCs w:val="22"/>
        </w:rPr>
        <w:t>“Artículo 18.-</w:t>
      </w:r>
      <w:r w:rsidRPr="00D37331">
        <w:rPr>
          <w:rFonts w:ascii="Palatino Linotype" w:eastAsia="Palatino Linotype" w:hAnsi="Palatino Linotype" w:cs="Palatino Linotype"/>
          <w:i/>
          <w:sz w:val="22"/>
          <w:szCs w:val="22"/>
        </w:rPr>
        <w:t xml:space="preserve"> </w:t>
      </w:r>
      <w:r w:rsidRPr="00D37331">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D37331">
        <w:rPr>
          <w:rFonts w:ascii="Palatino Linotype" w:eastAsia="Palatino Linotype" w:hAnsi="Palatino Linotype" w:cs="Palatino Linotype"/>
          <w:i/>
          <w:sz w:val="22"/>
          <w:szCs w:val="22"/>
        </w:rPr>
        <w:t xml:space="preserve"> o a petición de parte, </w:t>
      </w:r>
      <w:r w:rsidRPr="00D37331">
        <w:rPr>
          <w:rFonts w:ascii="Palatino Linotype" w:eastAsia="Palatino Linotype" w:hAnsi="Palatino Linotype" w:cs="Palatino Linotype"/>
          <w:b/>
          <w:i/>
          <w:sz w:val="22"/>
          <w:szCs w:val="22"/>
        </w:rPr>
        <w:t>cuando las partes</w:t>
      </w:r>
      <w:r w:rsidRPr="00D37331">
        <w:rPr>
          <w:rFonts w:ascii="Palatino Linotype" w:eastAsia="Palatino Linotype" w:hAnsi="Palatino Linotype" w:cs="Palatino Linotype"/>
          <w:i/>
          <w:sz w:val="22"/>
          <w:szCs w:val="22"/>
        </w:rPr>
        <w:t xml:space="preserve"> o los actos administrativos sean iguales, se trate de actos conexos o </w:t>
      </w:r>
      <w:r w:rsidRPr="00D37331">
        <w:rPr>
          <w:rFonts w:ascii="Palatino Linotype" w:eastAsia="Palatino Linotype" w:hAnsi="Palatino Linotype" w:cs="Palatino Linotype"/>
          <w:b/>
          <w:i/>
          <w:sz w:val="22"/>
          <w:szCs w:val="22"/>
        </w:rPr>
        <w:t>resulte conveniente el trámite unificado de los asuntos, para evitar la emisión de resoluciones contradictorias</w:t>
      </w:r>
      <w:r w:rsidRPr="00D37331">
        <w:rPr>
          <w:rFonts w:ascii="Palatino Linotype" w:eastAsia="Palatino Linotype" w:hAnsi="Palatino Linotype" w:cs="Palatino Linotype"/>
          <w:i/>
          <w:sz w:val="22"/>
          <w:szCs w:val="22"/>
        </w:rPr>
        <w:t>. La misma regla se aplicará, en lo conducente, para la separación de los expedientes.”</w:t>
      </w:r>
    </w:p>
    <w:p w14:paraId="72716D05" w14:textId="77777777" w:rsidR="00411983" w:rsidRPr="00D37331" w:rsidRDefault="00922C23">
      <w:pPr>
        <w:spacing w:before="120" w:after="120"/>
        <w:ind w:left="851" w:right="902"/>
        <w:jc w:val="both"/>
      </w:pPr>
      <w:r w:rsidRPr="00D37331">
        <w:rPr>
          <w:rFonts w:ascii="Palatino Linotype" w:eastAsia="Palatino Linotype" w:hAnsi="Palatino Linotype" w:cs="Palatino Linotype"/>
          <w:b/>
          <w:i/>
          <w:sz w:val="22"/>
          <w:szCs w:val="22"/>
        </w:rPr>
        <w:t>Ley de Transparencia y Acceso a la Información Pública del Estado de México y Municipios</w:t>
      </w:r>
    </w:p>
    <w:p w14:paraId="04703AAD" w14:textId="77777777" w:rsidR="00411983" w:rsidRPr="00D37331" w:rsidRDefault="00922C23">
      <w:pPr>
        <w:spacing w:before="120" w:after="120"/>
        <w:ind w:left="851" w:right="902"/>
        <w:jc w:val="both"/>
      </w:pPr>
      <w:r w:rsidRPr="00D37331">
        <w:rPr>
          <w:rFonts w:ascii="Palatino Linotype" w:eastAsia="Palatino Linotype" w:hAnsi="Palatino Linotype" w:cs="Palatino Linotype"/>
          <w:b/>
          <w:i/>
          <w:sz w:val="22"/>
          <w:szCs w:val="22"/>
        </w:rPr>
        <w:t>“Artículo 195.-</w:t>
      </w:r>
      <w:r w:rsidRPr="00D37331">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6087BB03" w14:textId="77777777" w:rsidR="00411983" w:rsidRPr="00D37331" w:rsidRDefault="00411983">
      <w:pPr>
        <w:spacing w:line="360" w:lineRule="auto"/>
        <w:jc w:val="both"/>
        <w:rPr>
          <w:rFonts w:ascii="Palatino Linotype" w:eastAsia="Palatino Linotype" w:hAnsi="Palatino Linotype" w:cs="Palatino Linotype"/>
          <w:b/>
        </w:rPr>
      </w:pPr>
    </w:p>
    <w:p w14:paraId="521E5CD2" w14:textId="77777777" w:rsidR="00411983" w:rsidRPr="00D37331" w:rsidRDefault="00922C2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0" w:name="_heading=h.gjdgxs" w:colFirst="0" w:colLast="0"/>
      <w:bookmarkEnd w:id="0"/>
      <w:r w:rsidRPr="00D37331">
        <w:rPr>
          <w:rFonts w:ascii="Palatino Linotype" w:eastAsia="Palatino Linotype" w:hAnsi="Palatino Linotype" w:cs="Palatino Linotype"/>
          <w:b/>
        </w:rPr>
        <w:t xml:space="preserve">8.  Cierre de instrucción. </w:t>
      </w:r>
      <w:r w:rsidRPr="00D37331">
        <w:rPr>
          <w:rFonts w:ascii="Palatino Linotype" w:eastAsia="Palatino Linotype" w:hAnsi="Palatino Linotype" w:cs="Palatino Linotype"/>
        </w:rPr>
        <w:t xml:space="preserve">Una vez transcurrido el periodo otorgado a las partes para realizar sus manifestaciones y no habiendo documentos que integrar a los expedientes, con fecha </w:t>
      </w:r>
      <w:r w:rsidRPr="00D37331">
        <w:rPr>
          <w:rFonts w:ascii="Palatino Linotype" w:eastAsia="Palatino Linotype" w:hAnsi="Palatino Linotype" w:cs="Palatino Linotype"/>
          <w:b/>
        </w:rPr>
        <w:t>dieciséis de diciembre</w:t>
      </w:r>
      <w:r w:rsidRPr="00D37331">
        <w:rPr>
          <w:rFonts w:ascii="Palatino Linotype" w:eastAsia="Palatino Linotype" w:hAnsi="Palatino Linotype" w:cs="Palatino Linotype"/>
        </w:rPr>
        <w:t xml:space="preserve"> </w:t>
      </w:r>
      <w:r w:rsidRPr="00D37331">
        <w:rPr>
          <w:rFonts w:ascii="Palatino Linotype" w:eastAsia="Palatino Linotype" w:hAnsi="Palatino Linotype" w:cs="Palatino Linotype"/>
          <w:b/>
        </w:rPr>
        <w:t>de dos mil veinticuatro</w:t>
      </w:r>
      <w:r w:rsidRPr="00D37331">
        <w:rPr>
          <w:rFonts w:ascii="Palatino Linotype" w:eastAsia="Palatino Linotype" w:hAnsi="Palatino Linotype" w:cs="Palatino Linotype"/>
        </w:rPr>
        <w:t xml:space="preserve">, la </w:t>
      </w:r>
      <w:r w:rsidRPr="00D37331">
        <w:rPr>
          <w:rFonts w:ascii="Palatino Linotype" w:eastAsia="Palatino Linotype" w:hAnsi="Palatino Linotype" w:cs="Palatino Linotype"/>
          <w:b/>
        </w:rPr>
        <w:t>Comisionada Ponente</w:t>
      </w:r>
      <w:r w:rsidRPr="00D37331">
        <w:rPr>
          <w:rFonts w:ascii="Palatino Linotype" w:eastAsia="Palatino Linotype" w:hAnsi="Palatino Linotype" w:cs="Palatino Linotype"/>
        </w:rPr>
        <w:t xml:space="preserve"> determinó los cierres de instrucción en términos de la fracción VI del artículo 185 de la Ley de Transparencia y Acceso a la Información Pública del Estado de México y </w:t>
      </w:r>
      <w:r w:rsidRPr="00D37331">
        <w:rPr>
          <w:rFonts w:ascii="Palatino Linotype" w:eastAsia="Palatino Linotype" w:hAnsi="Palatino Linotype" w:cs="Palatino Linotype"/>
        </w:rPr>
        <w:lastRenderedPageBreak/>
        <w:t>Municipios.</w:t>
      </w:r>
    </w:p>
    <w:p w14:paraId="71DBD25B" w14:textId="77777777" w:rsidR="00411983" w:rsidRPr="00D37331" w:rsidRDefault="00922C23">
      <w:pPr>
        <w:spacing w:before="240" w:after="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1921E6BF" w14:textId="77777777" w:rsidR="00411983" w:rsidRPr="00D37331" w:rsidRDefault="00922C23">
      <w:pPr>
        <w:spacing w:line="360" w:lineRule="auto"/>
        <w:jc w:val="center"/>
        <w:rPr>
          <w:rFonts w:ascii="Palatino Linotype" w:eastAsia="Palatino Linotype" w:hAnsi="Palatino Linotype" w:cs="Palatino Linotype"/>
          <w:b/>
          <w:sz w:val="28"/>
          <w:szCs w:val="28"/>
        </w:rPr>
      </w:pPr>
      <w:r w:rsidRPr="00D37331">
        <w:rPr>
          <w:rFonts w:ascii="Palatino Linotype" w:eastAsia="Palatino Linotype" w:hAnsi="Palatino Linotype" w:cs="Palatino Linotype"/>
          <w:b/>
          <w:sz w:val="28"/>
          <w:szCs w:val="28"/>
        </w:rPr>
        <w:t xml:space="preserve">C O N S I D E R A N D O </w:t>
      </w:r>
    </w:p>
    <w:p w14:paraId="449DE043" w14:textId="77777777" w:rsidR="00411983" w:rsidRPr="00D37331" w:rsidRDefault="00411983">
      <w:pPr>
        <w:spacing w:line="360" w:lineRule="auto"/>
        <w:jc w:val="center"/>
        <w:rPr>
          <w:rFonts w:ascii="Palatino Linotype" w:eastAsia="Palatino Linotype" w:hAnsi="Palatino Linotype" w:cs="Palatino Linotype"/>
          <w:b/>
          <w:sz w:val="16"/>
          <w:szCs w:val="16"/>
        </w:rPr>
      </w:pPr>
    </w:p>
    <w:p w14:paraId="77B150FD" w14:textId="77777777" w:rsidR="00411983" w:rsidRPr="00D37331" w:rsidRDefault="00922C23">
      <w:pP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b/>
        </w:rPr>
        <w:t>PRIMERO. Competencia</w:t>
      </w:r>
      <w:r w:rsidRPr="00D37331">
        <w:rPr>
          <w:rFonts w:ascii="Palatino Linotype" w:eastAsia="Palatino Linotype" w:hAnsi="Palatino Linotype" w:cs="Palatino Linotype"/>
        </w:rPr>
        <w:t>.</w:t>
      </w:r>
      <w:r w:rsidRPr="00D37331">
        <w:rPr>
          <w:rFonts w:ascii="Palatino Linotype" w:eastAsia="Palatino Linotype" w:hAnsi="Palatino Linotype" w:cs="Palatino Linotype"/>
          <w:b/>
        </w:rPr>
        <w:t xml:space="preserve"> </w:t>
      </w:r>
      <w:r w:rsidRPr="00D37331">
        <w:rPr>
          <w:rFonts w:ascii="Palatino Linotype" w:eastAsia="Palatino Linotype" w:hAnsi="Palatino Linotype" w:cs="Palatino Linotype"/>
        </w:rPr>
        <w:t xml:space="preserve">El Instituto de Transparencia, Acceso a la Información Pública y Protección de Datos Personales del Estado de México, es competente para conocer y resolver el presente recurso de revisión interpuesto por </w:t>
      </w:r>
      <w:r w:rsidRPr="00D37331">
        <w:rPr>
          <w:rFonts w:ascii="Palatino Linotype" w:eastAsia="Palatino Linotype" w:hAnsi="Palatino Linotype" w:cs="Palatino Linotype"/>
          <w:b/>
        </w:rPr>
        <w:t>LA PARTE RECURRENTE</w:t>
      </w:r>
      <w:r w:rsidRPr="00D37331">
        <w:rPr>
          <w:rFonts w:ascii="Palatino Linotype" w:eastAsia="Palatino Linotype" w:hAnsi="Palatino Linotype" w:cs="Palatino Linotype"/>
        </w:rPr>
        <w:t xml:space="preserv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XXIII, XXIII y 11 del Reglamento Interior del Instituto de Transparencia, Acceso a la Información Pública y Protección de Datos Personales del Estado de México y Municipios.</w:t>
      </w:r>
    </w:p>
    <w:p w14:paraId="687CF444" w14:textId="77777777" w:rsidR="00411983" w:rsidRPr="00D37331" w:rsidRDefault="00411983">
      <w:pPr>
        <w:spacing w:line="360" w:lineRule="auto"/>
        <w:jc w:val="both"/>
        <w:rPr>
          <w:rFonts w:ascii="Palatino Linotype" w:eastAsia="Palatino Linotype" w:hAnsi="Palatino Linotype" w:cs="Palatino Linotype"/>
          <w:b/>
        </w:rPr>
      </w:pPr>
    </w:p>
    <w:p w14:paraId="1CB3C65F" w14:textId="77777777" w:rsidR="00411983" w:rsidRPr="00D37331" w:rsidRDefault="00922C23">
      <w:pPr>
        <w:spacing w:line="360" w:lineRule="auto"/>
        <w:ind w:right="-234"/>
        <w:jc w:val="both"/>
        <w:rPr>
          <w:rFonts w:ascii="Palatino Linotype" w:eastAsia="Palatino Linotype" w:hAnsi="Palatino Linotype" w:cs="Palatino Linotype"/>
        </w:rPr>
      </w:pPr>
      <w:r w:rsidRPr="00D37331">
        <w:rPr>
          <w:rFonts w:ascii="Palatino Linotype" w:eastAsia="Palatino Linotype" w:hAnsi="Palatino Linotype" w:cs="Palatino Linotype"/>
          <w:b/>
        </w:rPr>
        <w:t xml:space="preserve">SEGUNDO. Oportunidad y Procedibilidad de los Recursos de Revisión.  </w:t>
      </w:r>
      <w:r w:rsidRPr="00D37331">
        <w:rPr>
          <w:rFonts w:ascii="Palatino Linotype" w:eastAsia="Palatino Linotype" w:hAnsi="Palatino Linotype" w:cs="Palatino Linotype"/>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37CDF30B"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lastRenderedPageBreak/>
        <w:t>Los recursos de revisión fueron interpuestos dentro del plazo de quince días hábiles previsto en el artículo 178 de la Ley de Transparencia y Acceso a la Información Pública del Estado de México y Municipios, contados a partir de la fecha en que</w:t>
      </w:r>
      <w:r w:rsidRPr="00D37331">
        <w:rPr>
          <w:rFonts w:ascii="Palatino Linotype" w:eastAsia="Palatino Linotype" w:hAnsi="Palatino Linotype" w:cs="Palatino Linotype"/>
          <w:b/>
        </w:rPr>
        <w:t xml:space="preserve"> EL SUJETO OBLIGADO </w:t>
      </w:r>
      <w:r w:rsidRPr="00D37331">
        <w:rPr>
          <w:rFonts w:ascii="Palatino Linotype" w:eastAsia="Palatino Linotype" w:hAnsi="Palatino Linotype" w:cs="Palatino Linotype"/>
        </w:rPr>
        <w:t xml:space="preserve">emitió las respuestas, toda vez que estas fueron pronunciadas el día  </w:t>
      </w:r>
      <w:r w:rsidRPr="00D37331">
        <w:rPr>
          <w:rFonts w:ascii="Palatino Linotype" w:eastAsia="Palatino Linotype" w:hAnsi="Palatino Linotype" w:cs="Palatino Linotype"/>
          <w:b/>
        </w:rPr>
        <w:t>treinta y uno de octubre del año dos mil veinticuatro</w:t>
      </w:r>
      <w:r w:rsidRPr="00D37331">
        <w:rPr>
          <w:rFonts w:ascii="Palatino Linotype" w:eastAsia="Palatino Linotype" w:hAnsi="Palatino Linotype" w:cs="Palatino Linotype"/>
        </w:rPr>
        <w:t xml:space="preserve">, mientras que </w:t>
      </w:r>
      <w:r w:rsidRPr="00D37331">
        <w:rPr>
          <w:rFonts w:ascii="Palatino Linotype" w:eastAsia="Palatino Linotype" w:hAnsi="Palatino Linotype" w:cs="Palatino Linotype"/>
          <w:b/>
        </w:rPr>
        <w:t>la parte</w:t>
      </w:r>
      <w:r w:rsidRPr="00D37331">
        <w:rPr>
          <w:rFonts w:ascii="Palatino Linotype" w:eastAsia="Palatino Linotype" w:hAnsi="Palatino Linotype" w:cs="Palatino Linotype"/>
        </w:rPr>
        <w:t xml:space="preserve"> </w:t>
      </w:r>
      <w:r w:rsidRPr="00D37331">
        <w:rPr>
          <w:rFonts w:ascii="Palatino Linotype" w:eastAsia="Palatino Linotype" w:hAnsi="Palatino Linotype" w:cs="Palatino Linotype"/>
          <w:b/>
        </w:rPr>
        <w:t>RECURRENTE</w:t>
      </w:r>
      <w:r w:rsidRPr="00D37331">
        <w:rPr>
          <w:rFonts w:ascii="Palatino Linotype" w:eastAsia="Palatino Linotype" w:hAnsi="Palatino Linotype" w:cs="Palatino Linotype"/>
        </w:rPr>
        <w:t xml:space="preserve"> interpuso los recursos de revisión en fecha veinticinco de noviembre de dos mil veinticuatro, esto es al décimo y quinto día hábil siguiente de haber recibido las respuestas, respectivamente.  </w:t>
      </w:r>
    </w:p>
    <w:p w14:paraId="72F1C03D" w14:textId="77777777" w:rsidR="00411983" w:rsidRPr="00D37331" w:rsidRDefault="00922C23">
      <w:pPr>
        <w:spacing w:before="240" w:after="240" w:line="360" w:lineRule="auto"/>
        <w:ind w:right="49"/>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Al mismo tiempo, por cuanto hace a la procedibilidad de los recursos de revisión, es de suma importancia señalar que la parte </w:t>
      </w:r>
      <w:r w:rsidRPr="00D37331">
        <w:rPr>
          <w:rFonts w:ascii="Palatino Linotype" w:eastAsia="Palatino Linotype" w:hAnsi="Palatino Linotype" w:cs="Palatino Linotype"/>
          <w:b/>
        </w:rPr>
        <w:t>RECURRENTE</w:t>
      </w:r>
      <w:r w:rsidRPr="00D37331">
        <w:rPr>
          <w:rFonts w:ascii="Palatino Linotype" w:eastAsia="Palatino Linotype" w:hAnsi="Palatino Linotype" w:cs="Palatino Linotype"/>
        </w:rPr>
        <w:t xml:space="preserve"> se identificó como un seudónimo, no </w:t>
      </w:r>
      <w:proofErr w:type="gramStart"/>
      <w:r w:rsidRPr="00D37331">
        <w:rPr>
          <w:rFonts w:ascii="Palatino Linotype" w:eastAsia="Palatino Linotype" w:hAnsi="Palatino Linotype" w:cs="Palatino Linotype"/>
        </w:rPr>
        <w:t>obstante</w:t>
      </w:r>
      <w:proofErr w:type="gramEnd"/>
      <w:r w:rsidRPr="00D37331">
        <w:rPr>
          <w:rFonts w:ascii="Palatino Linotype" w:eastAsia="Palatino Linotype" w:hAnsi="Palatino Linotype" w:cs="Palatino Linotype"/>
        </w:rPr>
        <w:t xml:space="preserve"> ello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F68DCCC" w14:textId="77777777" w:rsidR="00411983" w:rsidRPr="00D37331" w:rsidRDefault="00922C23">
      <w:pPr>
        <w:ind w:left="567" w:right="474"/>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w:t>
      </w:r>
      <w:r w:rsidRPr="00D37331">
        <w:rPr>
          <w:rFonts w:ascii="Palatino Linotype" w:eastAsia="Palatino Linotype" w:hAnsi="Palatino Linotype" w:cs="Palatino Linotype"/>
          <w:b/>
          <w:i/>
          <w:sz w:val="22"/>
          <w:szCs w:val="22"/>
        </w:rPr>
        <w:t>Las solicitudes anónimas</w:t>
      </w:r>
      <w:r w:rsidRPr="00D37331">
        <w:rPr>
          <w:rFonts w:ascii="Palatino Linotype" w:eastAsia="Palatino Linotype" w:hAnsi="Palatino Linotype" w:cs="Palatino Linotype"/>
          <w:i/>
          <w:sz w:val="22"/>
          <w:szCs w:val="22"/>
        </w:rPr>
        <w:t xml:space="preserve">, con nombre incompleto o seudónimo </w:t>
      </w:r>
      <w:r w:rsidRPr="00D37331">
        <w:rPr>
          <w:rFonts w:ascii="Palatino Linotype" w:eastAsia="Palatino Linotype" w:hAnsi="Palatino Linotype" w:cs="Palatino Linotype"/>
          <w:b/>
          <w:i/>
          <w:sz w:val="22"/>
          <w:szCs w:val="22"/>
        </w:rPr>
        <w:t>serán procedentes para su trámite por parte del sujeto obligado ante quien se presente</w:t>
      </w:r>
      <w:r w:rsidRPr="00D37331">
        <w:rPr>
          <w:rFonts w:ascii="Palatino Linotype" w:eastAsia="Palatino Linotype" w:hAnsi="Palatino Linotype" w:cs="Palatino Linotype"/>
          <w:i/>
          <w:sz w:val="22"/>
          <w:szCs w:val="22"/>
        </w:rPr>
        <w:t>. No podrá requerirse información adicional con motivo del nombre proporcionado por el solicitante."</w:t>
      </w:r>
    </w:p>
    <w:p w14:paraId="34EB42AB" w14:textId="77777777" w:rsidR="00411983" w:rsidRPr="00D37331" w:rsidRDefault="00411983">
      <w:pPr>
        <w:spacing w:line="360" w:lineRule="auto"/>
        <w:jc w:val="both"/>
        <w:rPr>
          <w:rFonts w:ascii="Palatino Linotype" w:eastAsia="Palatino Linotype" w:hAnsi="Palatino Linotype" w:cs="Palatino Linotype"/>
        </w:rPr>
      </w:pPr>
    </w:p>
    <w:p w14:paraId="40697BAE" w14:textId="77777777" w:rsidR="00411983" w:rsidRPr="00D37331" w:rsidRDefault="00922C23">
      <w:pP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D37331">
        <w:rPr>
          <w:rFonts w:ascii="Palatino Linotype" w:eastAsia="Palatino Linotype" w:hAnsi="Palatino Linotype" w:cs="Palatino Linotype"/>
          <w:b/>
        </w:rPr>
        <w:t xml:space="preserve">EL SAIMEX.  </w:t>
      </w:r>
    </w:p>
    <w:p w14:paraId="29BA88B8" w14:textId="77777777" w:rsidR="00411983" w:rsidRPr="00D37331" w:rsidRDefault="00411983">
      <w:pPr>
        <w:spacing w:line="360" w:lineRule="auto"/>
        <w:jc w:val="both"/>
        <w:rPr>
          <w:rFonts w:ascii="Palatino Linotype" w:eastAsia="Palatino Linotype" w:hAnsi="Palatino Linotype" w:cs="Palatino Linotype"/>
          <w:b/>
        </w:rPr>
      </w:pPr>
    </w:p>
    <w:p w14:paraId="741BD1C2"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lastRenderedPageBreak/>
        <w:t xml:space="preserve">Finalmente, se advierte que resulta procedente la interposición de los recursos, según lo manifestado por la parte </w:t>
      </w:r>
      <w:r w:rsidRPr="00D37331">
        <w:rPr>
          <w:rFonts w:ascii="Palatino Linotype" w:eastAsia="Palatino Linotype" w:hAnsi="Palatino Linotype" w:cs="Palatino Linotype"/>
          <w:b/>
        </w:rPr>
        <w:t>Recurrente</w:t>
      </w:r>
      <w:r w:rsidRPr="00D37331">
        <w:rPr>
          <w:rFonts w:ascii="Palatino Linotype" w:eastAsia="Palatino Linotype" w:hAnsi="Palatino Linotype" w:cs="Palatino Linotype"/>
        </w:rPr>
        <w:t xml:space="preserve"> en sus motivos de inconformidad, de acuerdo con el artículo 179, fracción V del ordenamiento legal citado, que a la letra dice: </w:t>
      </w:r>
    </w:p>
    <w:p w14:paraId="6A4AF44A" w14:textId="77777777" w:rsidR="00411983" w:rsidRPr="00D37331" w:rsidRDefault="00411983">
      <w:pPr>
        <w:spacing w:line="360" w:lineRule="auto"/>
        <w:jc w:val="both"/>
        <w:rPr>
          <w:rFonts w:ascii="Palatino Linotype" w:eastAsia="Palatino Linotype" w:hAnsi="Palatino Linotype" w:cs="Palatino Linotype"/>
        </w:rPr>
      </w:pPr>
    </w:p>
    <w:p w14:paraId="588A9B9D" w14:textId="77777777" w:rsidR="00411983" w:rsidRPr="00D37331" w:rsidRDefault="00922C23">
      <w:pPr>
        <w:ind w:left="567" w:right="902"/>
        <w:jc w:val="both"/>
        <w:rPr>
          <w:rFonts w:ascii="Palatino Linotype" w:eastAsia="Palatino Linotype" w:hAnsi="Palatino Linotype" w:cs="Palatino Linotype"/>
          <w:i/>
        </w:rPr>
      </w:pPr>
      <w:r w:rsidRPr="00D37331">
        <w:rPr>
          <w:rFonts w:ascii="Palatino Linotype" w:eastAsia="Palatino Linotype" w:hAnsi="Palatino Linotype" w:cs="Palatino Linotype"/>
          <w:i/>
        </w:rPr>
        <w:t>“</w:t>
      </w:r>
      <w:r w:rsidRPr="00D37331">
        <w:rPr>
          <w:rFonts w:ascii="Palatino Linotype" w:eastAsia="Palatino Linotype" w:hAnsi="Palatino Linotype" w:cs="Palatino Linotype"/>
          <w:b/>
          <w:i/>
        </w:rPr>
        <w:t>Artículo 179.</w:t>
      </w:r>
      <w:r w:rsidRPr="00D37331">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880C2FB" w14:textId="77777777" w:rsidR="00411983" w:rsidRPr="00D37331" w:rsidRDefault="00922C23">
      <w:pPr>
        <w:ind w:left="567" w:right="902"/>
        <w:jc w:val="both"/>
        <w:rPr>
          <w:rFonts w:ascii="Palatino Linotype" w:eastAsia="Palatino Linotype" w:hAnsi="Palatino Linotype" w:cs="Palatino Linotype"/>
          <w:i/>
        </w:rPr>
      </w:pPr>
      <w:r w:rsidRPr="00D37331">
        <w:rPr>
          <w:rFonts w:ascii="Palatino Linotype" w:eastAsia="Palatino Linotype" w:hAnsi="Palatino Linotype" w:cs="Palatino Linotype"/>
          <w:i/>
        </w:rPr>
        <w:t>[…]</w:t>
      </w:r>
    </w:p>
    <w:p w14:paraId="5EC4F511" w14:textId="77777777" w:rsidR="00411983" w:rsidRPr="00D37331" w:rsidRDefault="00922C23">
      <w:pPr>
        <w:ind w:left="567" w:right="902"/>
        <w:jc w:val="both"/>
        <w:rPr>
          <w:rFonts w:ascii="Palatino Linotype" w:eastAsia="Palatino Linotype" w:hAnsi="Palatino Linotype" w:cs="Palatino Linotype"/>
          <w:i/>
        </w:rPr>
      </w:pPr>
      <w:r w:rsidRPr="00D37331">
        <w:rPr>
          <w:rFonts w:ascii="Palatino Linotype" w:eastAsia="Palatino Linotype" w:hAnsi="Palatino Linotype" w:cs="Palatino Linotype"/>
          <w:i/>
        </w:rPr>
        <w:t>V. La entrega de información incompleta;</w:t>
      </w:r>
    </w:p>
    <w:p w14:paraId="44FA7DDE" w14:textId="77777777" w:rsidR="00411983" w:rsidRPr="00D37331" w:rsidRDefault="00922C23">
      <w:pPr>
        <w:pBdr>
          <w:top w:val="nil"/>
          <w:left w:val="nil"/>
          <w:bottom w:val="nil"/>
          <w:right w:val="nil"/>
          <w:between w:val="nil"/>
        </w:pBdr>
        <w:ind w:left="567" w:right="902"/>
        <w:jc w:val="both"/>
        <w:rPr>
          <w:rFonts w:ascii="Palatino Linotype" w:eastAsia="Palatino Linotype" w:hAnsi="Palatino Linotype" w:cs="Palatino Linotype"/>
          <w:i/>
        </w:rPr>
      </w:pPr>
      <w:r w:rsidRPr="00D37331">
        <w:rPr>
          <w:rFonts w:ascii="Palatino Linotype" w:eastAsia="Palatino Linotype" w:hAnsi="Palatino Linotype" w:cs="Palatino Linotype"/>
          <w:i/>
        </w:rPr>
        <w:t xml:space="preserve"> […]”</w:t>
      </w:r>
    </w:p>
    <w:p w14:paraId="58BB8EAE" w14:textId="77777777" w:rsidR="00411983" w:rsidRPr="00D37331" w:rsidRDefault="00411983">
      <w:pPr>
        <w:pBdr>
          <w:top w:val="nil"/>
          <w:left w:val="nil"/>
          <w:bottom w:val="nil"/>
          <w:right w:val="nil"/>
          <w:between w:val="nil"/>
        </w:pBdr>
        <w:spacing w:line="360" w:lineRule="auto"/>
        <w:jc w:val="both"/>
        <w:rPr>
          <w:rFonts w:ascii="Palatino Linotype" w:eastAsia="Palatino Linotype" w:hAnsi="Palatino Linotype" w:cs="Palatino Linotype"/>
          <w:b/>
        </w:rPr>
      </w:pPr>
    </w:p>
    <w:p w14:paraId="2E5D8BAB" w14:textId="77777777" w:rsidR="00411983" w:rsidRPr="00D37331" w:rsidRDefault="00922C23">
      <w:pPr>
        <w:pBdr>
          <w:top w:val="nil"/>
          <w:left w:val="nil"/>
          <w:bottom w:val="nil"/>
          <w:right w:val="nil"/>
          <w:between w:val="nil"/>
        </w:pBd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b/>
        </w:rPr>
        <w:t>Tercero. Materia de la revisión.</w:t>
      </w:r>
      <w:r w:rsidRPr="00D37331">
        <w:rPr>
          <w:rFonts w:ascii="Palatino Linotype" w:eastAsia="Palatino Linotype" w:hAnsi="Palatino Linotype" w:cs="Palatino Linotype"/>
        </w:rPr>
        <w:t xml:space="preserve"> De la revisión a las constancias y documentos que obran en los expedientes electrónicos se advierte que, el tema sobre el que este Organismo Garante de Transparencia y Acceso a la Información se pronunciará será; </w:t>
      </w:r>
      <w:r w:rsidRPr="00D37331">
        <w:rPr>
          <w:rFonts w:ascii="Palatino Linotype" w:eastAsia="Palatino Linotype" w:hAnsi="Palatino Linotype" w:cs="Palatino Linotype"/>
          <w:b/>
        </w:rPr>
        <w:t>verificar si las respuestas otorgadas por el SUJETO OBLIGADO, son adecuadas y suficientes para satisfacer el derecho de acceso a la información pública de la parte Recurrente, o en su defecto, en caso de ser procedente, ordenar la entrega de información oportuna.</w:t>
      </w:r>
    </w:p>
    <w:p w14:paraId="55C3EC85" w14:textId="77777777" w:rsidR="00411983" w:rsidRPr="00D37331" w:rsidRDefault="00411983">
      <w:pPr>
        <w:pBdr>
          <w:top w:val="nil"/>
          <w:left w:val="nil"/>
          <w:bottom w:val="nil"/>
          <w:right w:val="nil"/>
          <w:between w:val="nil"/>
        </w:pBdr>
        <w:spacing w:line="360" w:lineRule="auto"/>
        <w:jc w:val="both"/>
        <w:rPr>
          <w:rFonts w:ascii="Palatino Linotype" w:eastAsia="Palatino Linotype" w:hAnsi="Palatino Linotype" w:cs="Palatino Linotype"/>
          <w:b/>
        </w:rPr>
      </w:pPr>
    </w:p>
    <w:p w14:paraId="58559C82" w14:textId="77777777" w:rsidR="00411983" w:rsidRPr="00D37331" w:rsidRDefault="00922C23">
      <w:pPr>
        <w:pBdr>
          <w:top w:val="nil"/>
          <w:left w:val="nil"/>
          <w:bottom w:val="nil"/>
          <w:right w:val="nil"/>
          <w:between w:val="nil"/>
        </w:pBd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b/>
        </w:rPr>
        <w:t xml:space="preserve">Cuarto. Estudio de los recursos de revisión. </w:t>
      </w:r>
      <w:r w:rsidRPr="00D37331">
        <w:rPr>
          <w:rFonts w:ascii="Palatino Linotype" w:eastAsia="Palatino Linotype" w:hAnsi="Palatino Linotype" w:cs="Palatino Linotype"/>
        </w:rPr>
        <w:t xml:space="preserve">Antes de entrar al análisis de los pronunciamientos del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w:t>
      </w:r>
      <w:r w:rsidRPr="00D37331">
        <w:rPr>
          <w:rFonts w:ascii="Palatino Linotype" w:eastAsia="Palatino Linotype" w:hAnsi="Palatino Linotype" w:cs="Palatino Linotype"/>
        </w:rPr>
        <w:lastRenderedPageBreak/>
        <w:t>arábigos 1 párrafos primero, segundo y tercero y 6 apartado A fracciones I, II, III, IV, V, VI y VII que a la letra señalan:</w:t>
      </w:r>
    </w:p>
    <w:p w14:paraId="6761FA2C" w14:textId="77777777" w:rsidR="00411983" w:rsidRPr="00D37331" w:rsidRDefault="00411983">
      <w:pPr>
        <w:pBdr>
          <w:top w:val="nil"/>
          <w:left w:val="nil"/>
          <w:bottom w:val="nil"/>
          <w:right w:val="nil"/>
          <w:between w:val="nil"/>
        </w:pBdr>
        <w:spacing w:line="360" w:lineRule="auto"/>
        <w:jc w:val="both"/>
      </w:pPr>
    </w:p>
    <w:p w14:paraId="34C746BF" w14:textId="77777777" w:rsidR="00411983" w:rsidRPr="00D37331" w:rsidRDefault="00922C23">
      <w:pPr>
        <w:pBdr>
          <w:top w:val="nil"/>
          <w:left w:val="nil"/>
          <w:bottom w:val="nil"/>
          <w:right w:val="nil"/>
          <w:between w:val="nil"/>
        </w:pBdr>
        <w:ind w:left="851" w:right="850"/>
        <w:jc w:val="both"/>
        <w:rPr>
          <w:sz w:val="22"/>
          <w:szCs w:val="22"/>
        </w:rPr>
      </w:pPr>
      <w:r w:rsidRPr="00D37331">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D37331">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BF1E247" w14:textId="77777777" w:rsidR="00411983" w:rsidRPr="00D37331" w:rsidRDefault="00922C23">
      <w:pPr>
        <w:pBdr>
          <w:top w:val="nil"/>
          <w:left w:val="nil"/>
          <w:bottom w:val="nil"/>
          <w:right w:val="nil"/>
          <w:between w:val="nil"/>
        </w:pBdr>
        <w:ind w:left="851" w:right="850"/>
        <w:jc w:val="both"/>
        <w:rPr>
          <w:sz w:val="22"/>
          <w:szCs w:val="22"/>
        </w:rPr>
      </w:pPr>
      <w:r w:rsidRPr="00D37331">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982B647" w14:textId="77777777" w:rsidR="00411983" w:rsidRPr="00D37331" w:rsidRDefault="00922C23">
      <w:pPr>
        <w:pBdr>
          <w:top w:val="nil"/>
          <w:left w:val="nil"/>
          <w:bottom w:val="nil"/>
          <w:right w:val="nil"/>
          <w:between w:val="nil"/>
        </w:pBdr>
        <w:ind w:left="851" w:right="850"/>
        <w:jc w:val="both"/>
        <w:rPr>
          <w:sz w:val="22"/>
          <w:szCs w:val="22"/>
        </w:rPr>
      </w:pPr>
      <w:r w:rsidRPr="00D37331">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37331">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6979EA1" w14:textId="77777777" w:rsidR="00411983" w:rsidRPr="00D37331" w:rsidRDefault="00922C23">
      <w:pPr>
        <w:pBdr>
          <w:top w:val="nil"/>
          <w:left w:val="nil"/>
          <w:bottom w:val="nil"/>
          <w:right w:val="nil"/>
          <w:between w:val="nil"/>
        </w:pBdr>
        <w:ind w:left="851" w:right="850"/>
        <w:jc w:val="both"/>
        <w:rPr>
          <w:sz w:val="22"/>
          <w:szCs w:val="22"/>
        </w:rPr>
      </w:pPr>
      <w:r w:rsidRPr="00D37331">
        <w:rPr>
          <w:rFonts w:ascii="Palatino Linotype" w:eastAsia="Palatino Linotype" w:hAnsi="Palatino Linotype" w:cs="Palatino Linotype"/>
          <w:i/>
          <w:sz w:val="22"/>
          <w:szCs w:val="22"/>
        </w:rPr>
        <w:t>[…]</w:t>
      </w:r>
    </w:p>
    <w:p w14:paraId="11AD625B" w14:textId="77777777" w:rsidR="00411983" w:rsidRPr="00D37331" w:rsidRDefault="00922C23">
      <w:pPr>
        <w:pBdr>
          <w:top w:val="nil"/>
          <w:left w:val="nil"/>
          <w:bottom w:val="nil"/>
          <w:right w:val="nil"/>
          <w:between w:val="nil"/>
        </w:pBdr>
        <w:ind w:left="851" w:right="901"/>
        <w:jc w:val="both"/>
        <w:rPr>
          <w:sz w:val="22"/>
          <w:szCs w:val="22"/>
        </w:rPr>
      </w:pPr>
      <w:r w:rsidRPr="00D37331">
        <w:rPr>
          <w:rFonts w:ascii="Palatino Linotype" w:eastAsia="Palatino Linotype" w:hAnsi="Palatino Linotype" w:cs="Palatino Linotype"/>
          <w:b/>
          <w:i/>
          <w:sz w:val="22"/>
          <w:szCs w:val="22"/>
        </w:rPr>
        <w:t>“Artículo 6o.</w:t>
      </w:r>
    </w:p>
    <w:p w14:paraId="43A2E4B2" w14:textId="77777777" w:rsidR="00411983" w:rsidRPr="00D37331" w:rsidRDefault="00922C23">
      <w:pPr>
        <w:pBdr>
          <w:top w:val="nil"/>
          <w:left w:val="nil"/>
          <w:bottom w:val="nil"/>
          <w:right w:val="nil"/>
          <w:between w:val="nil"/>
        </w:pBdr>
        <w:ind w:left="851" w:right="901"/>
        <w:jc w:val="both"/>
        <w:rPr>
          <w:sz w:val="22"/>
          <w:szCs w:val="22"/>
        </w:rPr>
      </w:pPr>
      <w:r w:rsidRPr="00D37331">
        <w:rPr>
          <w:rFonts w:ascii="Palatino Linotype" w:eastAsia="Palatino Linotype" w:hAnsi="Palatino Linotype" w:cs="Palatino Linotype"/>
          <w:i/>
          <w:sz w:val="22"/>
          <w:szCs w:val="22"/>
        </w:rPr>
        <w:t>[...]</w:t>
      </w:r>
    </w:p>
    <w:p w14:paraId="5B2C5DE0" w14:textId="77777777" w:rsidR="00411983" w:rsidRPr="00D37331" w:rsidRDefault="00922C23">
      <w:pPr>
        <w:pBdr>
          <w:top w:val="nil"/>
          <w:left w:val="nil"/>
          <w:bottom w:val="nil"/>
          <w:right w:val="nil"/>
          <w:between w:val="nil"/>
        </w:pBdr>
        <w:ind w:left="851" w:right="851"/>
        <w:jc w:val="both"/>
        <w:rPr>
          <w:sz w:val="22"/>
          <w:szCs w:val="22"/>
        </w:rPr>
      </w:pPr>
      <w:r w:rsidRPr="00D37331">
        <w:rPr>
          <w:rFonts w:ascii="Palatino Linotype" w:eastAsia="Palatino Linotype" w:hAnsi="Palatino Linotype" w:cs="Palatino Linotype"/>
          <w:b/>
          <w:i/>
          <w:sz w:val="22"/>
          <w:szCs w:val="22"/>
        </w:rPr>
        <w:t xml:space="preserve">A. Para el ejercicio del derecho de acceso a la información, la Federación y </w:t>
      </w:r>
      <w:r w:rsidRPr="00D37331">
        <w:rPr>
          <w:rFonts w:ascii="Palatino Linotype" w:eastAsia="Palatino Linotype" w:hAnsi="Palatino Linotype" w:cs="Palatino Linotype"/>
          <w:b/>
          <w:i/>
          <w:sz w:val="22"/>
          <w:szCs w:val="22"/>
          <w:u w:val="single"/>
        </w:rPr>
        <w:t>las entidades federativas</w:t>
      </w:r>
      <w:r w:rsidRPr="00D37331">
        <w:rPr>
          <w:rFonts w:ascii="Palatino Linotype" w:eastAsia="Palatino Linotype" w:hAnsi="Palatino Linotype" w:cs="Palatino Linotype"/>
          <w:b/>
          <w:i/>
          <w:sz w:val="22"/>
          <w:szCs w:val="22"/>
        </w:rPr>
        <w:t>,</w:t>
      </w:r>
      <w:r w:rsidRPr="00D37331">
        <w:rPr>
          <w:rFonts w:ascii="Palatino Linotype" w:eastAsia="Palatino Linotype" w:hAnsi="Palatino Linotype" w:cs="Palatino Linotype"/>
          <w:i/>
          <w:sz w:val="22"/>
          <w:szCs w:val="22"/>
        </w:rPr>
        <w:t xml:space="preserve"> en el ámbito de sus respectivas competencias, se regirán por los siguientes principios y bases:</w:t>
      </w:r>
    </w:p>
    <w:p w14:paraId="501A32B7" w14:textId="77777777" w:rsidR="00411983" w:rsidRPr="00D37331" w:rsidRDefault="00922C23">
      <w:pPr>
        <w:pBdr>
          <w:top w:val="nil"/>
          <w:left w:val="nil"/>
          <w:bottom w:val="nil"/>
          <w:right w:val="nil"/>
          <w:between w:val="nil"/>
        </w:pBdr>
        <w:ind w:left="851" w:right="851"/>
        <w:jc w:val="both"/>
        <w:rPr>
          <w:sz w:val="22"/>
          <w:szCs w:val="22"/>
        </w:rPr>
      </w:pPr>
      <w:r w:rsidRPr="00D37331">
        <w:rPr>
          <w:rFonts w:ascii="Palatino Linotype" w:eastAsia="Palatino Linotype" w:hAnsi="Palatino Linotype" w:cs="Palatino Linotype"/>
          <w:i/>
          <w:sz w:val="22"/>
          <w:szCs w:val="22"/>
        </w:rPr>
        <w:t> </w:t>
      </w:r>
      <w:r w:rsidRPr="00D37331">
        <w:rPr>
          <w:rFonts w:ascii="Palatino Linotype" w:eastAsia="Palatino Linotype" w:hAnsi="Palatino Linotype" w:cs="Palatino Linotype"/>
          <w:b/>
          <w:i/>
          <w:sz w:val="22"/>
          <w:szCs w:val="22"/>
        </w:rPr>
        <w:t xml:space="preserve">I. </w:t>
      </w:r>
      <w:r w:rsidRPr="00D37331">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37331">
        <w:rPr>
          <w:rFonts w:ascii="Palatino Linotype" w:eastAsia="Palatino Linotype" w:hAnsi="Palatino Linotype" w:cs="Palatino Linotype"/>
          <w:i/>
          <w:sz w:val="22"/>
          <w:szCs w:val="22"/>
        </w:rPr>
        <w:t xml:space="preserve"> Ejecutivo, Legislativo </w:t>
      </w:r>
      <w:r w:rsidRPr="00D37331">
        <w:rPr>
          <w:rFonts w:ascii="Palatino Linotype" w:eastAsia="Palatino Linotype" w:hAnsi="Palatino Linotype" w:cs="Palatino Linotype"/>
          <w:b/>
          <w:i/>
          <w:sz w:val="22"/>
          <w:szCs w:val="22"/>
          <w:u w:val="single"/>
        </w:rPr>
        <w:t>y Judicial</w:t>
      </w:r>
      <w:r w:rsidRPr="00D37331">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37331">
        <w:rPr>
          <w:rFonts w:ascii="Palatino Linotype" w:eastAsia="Palatino Linotype" w:hAnsi="Palatino Linotype" w:cs="Palatino Linotype"/>
          <w:b/>
          <w:i/>
          <w:sz w:val="22"/>
          <w:szCs w:val="22"/>
        </w:rPr>
        <w:t>es pública y sólo podrá ser reservada temporalmente por razones de interés público y seguridad nacional,</w:t>
      </w:r>
      <w:r w:rsidRPr="00D37331">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818763E" w14:textId="77777777" w:rsidR="00411983" w:rsidRPr="00D37331" w:rsidRDefault="00922C23">
      <w:pPr>
        <w:pBdr>
          <w:top w:val="nil"/>
          <w:left w:val="nil"/>
          <w:bottom w:val="nil"/>
          <w:right w:val="nil"/>
          <w:between w:val="nil"/>
        </w:pBdr>
        <w:ind w:left="851" w:right="851"/>
        <w:jc w:val="both"/>
        <w:rPr>
          <w:sz w:val="22"/>
          <w:szCs w:val="22"/>
        </w:rPr>
      </w:pPr>
      <w:r w:rsidRPr="00D37331">
        <w:rPr>
          <w:rFonts w:ascii="Palatino Linotype" w:eastAsia="Palatino Linotype" w:hAnsi="Palatino Linotype" w:cs="Palatino Linotype"/>
          <w:i/>
          <w:sz w:val="22"/>
          <w:szCs w:val="22"/>
        </w:rPr>
        <w:t> </w:t>
      </w:r>
      <w:r w:rsidRPr="00D37331">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D7CE13E" w14:textId="77777777" w:rsidR="00411983" w:rsidRPr="00D37331" w:rsidRDefault="00922C23">
      <w:pPr>
        <w:pBdr>
          <w:top w:val="nil"/>
          <w:left w:val="nil"/>
          <w:bottom w:val="nil"/>
          <w:right w:val="nil"/>
          <w:between w:val="nil"/>
        </w:pBdr>
        <w:ind w:left="851" w:right="851"/>
        <w:jc w:val="both"/>
        <w:rPr>
          <w:sz w:val="22"/>
          <w:szCs w:val="22"/>
        </w:rPr>
      </w:pPr>
      <w:r w:rsidRPr="00D37331">
        <w:rPr>
          <w:rFonts w:ascii="Palatino Linotype" w:eastAsia="Palatino Linotype" w:hAnsi="Palatino Linotype" w:cs="Palatino Linotype"/>
          <w:i/>
          <w:sz w:val="22"/>
          <w:szCs w:val="22"/>
        </w:rPr>
        <w:lastRenderedPageBreak/>
        <w:t> </w:t>
      </w:r>
      <w:r w:rsidRPr="00D37331">
        <w:rPr>
          <w:rFonts w:ascii="Palatino Linotype" w:eastAsia="Palatino Linotype" w:hAnsi="Palatino Linotype" w:cs="Palatino Linotype"/>
          <w:b/>
          <w:i/>
          <w:sz w:val="22"/>
          <w:szCs w:val="22"/>
        </w:rPr>
        <w:t xml:space="preserve">III. </w:t>
      </w:r>
      <w:r w:rsidRPr="00D37331">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37331">
        <w:rPr>
          <w:rFonts w:ascii="Palatino Linotype" w:eastAsia="Palatino Linotype" w:hAnsi="Palatino Linotype" w:cs="Palatino Linotype"/>
          <w:i/>
          <w:sz w:val="22"/>
          <w:szCs w:val="22"/>
        </w:rPr>
        <w:t xml:space="preserve"> a sus datos personales o a la rectificación de éstos.</w:t>
      </w:r>
    </w:p>
    <w:p w14:paraId="3AD9F49F" w14:textId="77777777" w:rsidR="00411983" w:rsidRPr="00D37331" w:rsidRDefault="00922C23">
      <w:pPr>
        <w:pBdr>
          <w:top w:val="nil"/>
          <w:left w:val="nil"/>
          <w:bottom w:val="nil"/>
          <w:right w:val="nil"/>
          <w:between w:val="nil"/>
        </w:pBdr>
        <w:ind w:left="851" w:right="851"/>
        <w:jc w:val="both"/>
        <w:rPr>
          <w:sz w:val="22"/>
          <w:szCs w:val="22"/>
        </w:rPr>
      </w:pPr>
      <w:r w:rsidRPr="00D37331">
        <w:rPr>
          <w:rFonts w:ascii="Palatino Linotype" w:eastAsia="Palatino Linotype" w:hAnsi="Palatino Linotype" w:cs="Palatino Linotype"/>
          <w:i/>
          <w:sz w:val="22"/>
          <w:szCs w:val="22"/>
        </w:rPr>
        <w:t> </w:t>
      </w:r>
      <w:r w:rsidRPr="00D37331">
        <w:rPr>
          <w:rFonts w:ascii="Palatino Linotype" w:eastAsia="Palatino Linotype" w:hAnsi="Palatino Linotype" w:cs="Palatino Linotype"/>
          <w:b/>
          <w:i/>
          <w:sz w:val="22"/>
          <w:szCs w:val="22"/>
        </w:rPr>
        <w:t xml:space="preserve">IV. </w:t>
      </w:r>
      <w:r w:rsidRPr="00D37331">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68A3D38" w14:textId="77777777" w:rsidR="00411983" w:rsidRPr="00D37331" w:rsidRDefault="00922C23">
      <w:pPr>
        <w:pBdr>
          <w:top w:val="nil"/>
          <w:left w:val="nil"/>
          <w:bottom w:val="nil"/>
          <w:right w:val="nil"/>
          <w:between w:val="nil"/>
        </w:pBdr>
        <w:ind w:left="851" w:right="851"/>
        <w:jc w:val="both"/>
        <w:rPr>
          <w:sz w:val="22"/>
          <w:szCs w:val="22"/>
        </w:rPr>
      </w:pPr>
      <w:r w:rsidRPr="00D37331">
        <w:rPr>
          <w:rFonts w:ascii="Palatino Linotype" w:eastAsia="Palatino Linotype" w:hAnsi="Palatino Linotype" w:cs="Palatino Linotype"/>
          <w:b/>
          <w:i/>
          <w:sz w:val="22"/>
          <w:szCs w:val="22"/>
        </w:rPr>
        <w:t xml:space="preserve">V. </w:t>
      </w:r>
      <w:r w:rsidRPr="00D37331">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5B75CC" w14:textId="77777777" w:rsidR="00411983" w:rsidRPr="00D37331" w:rsidRDefault="00922C23">
      <w:pPr>
        <w:pBdr>
          <w:top w:val="nil"/>
          <w:left w:val="nil"/>
          <w:bottom w:val="nil"/>
          <w:right w:val="nil"/>
          <w:between w:val="nil"/>
        </w:pBdr>
        <w:ind w:left="851" w:right="851"/>
        <w:jc w:val="both"/>
        <w:rPr>
          <w:sz w:val="22"/>
          <w:szCs w:val="22"/>
        </w:rPr>
      </w:pPr>
      <w:r w:rsidRPr="00D37331">
        <w:rPr>
          <w:rFonts w:ascii="Palatino Linotype" w:eastAsia="Palatino Linotype" w:hAnsi="Palatino Linotype" w:cs="Palatino Linotype"/>
          <w:i/>
          <w:sz w:val="22"/>
          <w:szCs w:val="22"/>
        </w:rPr>
        <w:t> </w:t>
      </w:r>
      <w:r w:rsidRPr="00D37331">
        <w:rPr>
          <w:rFonts w:ascii="Palatino Linotype" w:eastAsia="Palatino Linotype" w:hAnsi="Palatino Linotype" w:cs="Palatino Linotype"/>
          <w:b/>
          <w:i/>
          <w:sz w:val="22"/>
          <w:szCs w:val="22"/>
        </w:rPr>
        <w:t xml:space="preserve">VI. </w:t>
      </w:r>
      <w:r w:rsidRPr="00D37331">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FC2CE88" w14:textId="77777777" w:rsidR="00411983" w:rsidRPr="00D37331" w:rsidRDefault="00922C23">
      <w:pPr>
        <w:pBdr>
          <w:top w:val="nil"/>
          <w:left w:val="nil"/>
          <w:bottom w:val="nil"/>
          <w:right w:val="nil"/>
          <w:between w:val="nil"/>
        </w:pBdr>
        <w:ind w:left="851" w:right="851"/>
        <w:jc w:val="both"/>
        <w:rPr>
          <w:sz w:val="22"/>
          <w:szCs w:val="22"/>
        </w:rPr>
      </w:pPr>
      <w:r w:rsidRPr="00D37331">
        <w:rPr>
          <w:rFonts w:ascii="Palatino Linotype" w:eastAsia="Palatino Linotype" w:hAnsi="Palatino Linotype" w:cs="Palatino Linotype"/>
          <w:i/>
          <w:sz w:val="22"/>
          <w:szCs w:val="22"/>
        </w:rPr>
        <w:t> </w:t>
      </w:r>
      <w:r w:rsidRPr="00D37331">
        <w:rPr>
          <w:rFonts w:ascii="Palatino Linotype" w:eastAsia="Palatino Linotype" w:hAnsi="Palatino Linotype" w:cs="Palatino Linotype"/>
          <w:b/>
          <w:i/>
          <w:sz w:val="22"/>
          <w:szCs w:val="22"/>
        </w:rPr>
        <w:t xml:space="preserve">VII. </w:t>
      </w:r>
      <w:r w:rsidRPr="00D37331">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F79EC75" w14:textId="77777777" w:rsidR="00411983" w:rsidRPr="00D37331" w:rsidRDefault="00411983">
      <w:pPr>
        <w:pBdr>
          <w:top w:val="nil"/>
          <w:left w:val="nil"/>
          <w:bottom w:val="nil"/>
          <w:right w:val="nil"/>
          <w:between w:val="nil"/>
        </w:pBdr>
        <w:spacing w:line="360" w:lineRule="auto"/>
        <w:jc w:val="both"/>
        <w:rPr>
          <w:rFonts w:ascii="Palatino Linotype" w:eastAsia="Palatino Linotype" w:hAnsi="Palatino Linotype" w:cs="Palatino Linotype"/>
        </w:rPr>
      </w:pPr>
    </w:p>
    <w:p w14:paraId="53710F0F" w14:textId="77777777" w:rsidR="00411983" w:rsidRPr="00D37331" w:rsidRDefault="00922C23">
      <w:pPr>
        <w:pBdr>
          <w:top w:val="nil"/>
          <w:left w:val="nil"/>
          <w:bottom w:val="nil"/>
          <w:right w:val="nil"/>
          <w:between w:val="nil"/>
        </w:pBd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35B8206" w14:textId="77777777" w:rsidR="00411983" w:rsidRPr="00D37331" w:rsidRDefault="00411983">
      <w:pPr>
        <w:pBdr>
          <w:top w:val="nil"/>
          <w:left w:val="nil"/>
          <w:bottom w:val="nil"/>
          <w:right w:val="nil"/>
          <w:between w:val="nil"/>
        </w:pBdr>
        <w:spacing w:line="360" w:lineRule="auto"/>
        <w:jc w:val="both"/>
      </w:pPr>
    </w:p>
    <w:p w14:paraId="5897F645" w14:textId="77777777" w:rsidR="00411983" w:rsidRPr="00D37331" w:rsidRDefault="00922C23">
      <w:pPr>
        <w:ind w:left="567" w:right="616"/>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w:t>
      </w:r>
      <w:r w:rsidRPr="00D37331">
        <w:rPr>
          <w:rFonts w:ascii="Palatino Linotype" w:eastAsia="Palatino Linotype" w:hAnsi="Palatino Linotype" w:cs="Palatino Linotype"/>
          <w:b/>
          <w:i/>
          <w:sz w:val="22"/>
          <w:szCs w:val="22"/>
        </w:rPr>
        <w:t>Artículo 4</w:t>
      </w:r>
      <w:r w:rsidRPr="00D3733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8CFA9F4" w14:textId="77777777" w:rsidR="00411983" w:rsidRPr="00D37331" w:rsidRDefault="00411983">
      <w:pPr>
        <w:ind w:left="567" w:right="616"/>
        <w:jc w:val="both"/>
        <w:rPr>
          <w:rFonts w:ascii="Palatino Linotype" w:eastAsia="Palatino Linotype" w:hAnsi="Palatino Linotype" w:cs="Palatino Linotype"/>
          <w:i/>
          <w:sz w:val="22"/>
          <w:szCs w:val="22"/>
        </w:rPr>
      </w:pPr>
    </w:p>
    <w:p w14:paraId="31B7DD45" w14:textId="77777777" w:rsidR="00411983" w:rsidRPr="00D37331" w:rsidRDefault="00922C23">
      <w:pPr>
        <w:ind w:left="567" w:right="616"/>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w:t>
      </w:r>
      <w:r w:rsidRPr="00D37331">
        <w:rPr>
          <w:rFonts w:ascii="Palatino Linotype" w:eastAsia="Palatino Linotype" w:hAnsi="Palatino Linotype" w:cs="Palatino Linotype"/>
          <w:b/>
          <w:i/>
          <w:sz w:val="22"/>
          <w:szCs w:val="22"/>
        </w:rPr>
        <w:lastRenderedPageBreak/>
        <w:t>a cualquier persona</w:t>
      </w:r>
      <w:r w:rsidRPr="00D3733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5B05B8E" w14:textId="77777777" w:rsidR="00411983" w:rsidRPr="00D37331" w:rsidRDefault="00411983">
      <w:pPr>
        <w:ind w:left="567" w:right="616"/>
        <w:jc w:val="both"/>
        <w:rPr>
          <w:rFonts w:ascii="Palatino Linotype" w:eastAsia="Palatino Linotype" w:hAnsi="Palatino Linotype" w:cs="Palatino Linotype"/>
          <w:i/>
          <w:sz w:val="22"/>
          <w:szCs w:val="22"/>
        </w:rPr>
      </w:pPr>
    </w:p>
    <w:p w14:paraId="09B55F55" w14:textId="77777777" w:rsidR="00411983" w:rsidRPr="00D37331" w:rsidRDefault="00922C23">
      <w:pPr>
        <w:ind w:left="567" w:right="616"/>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37331">
        <w:rPr>
          <w:rFonts w:ascii="Palatino Linotype" w:eastAsia="Palatino Linotype" w:hAnsi="Palatino Linotype" w:cs="Palatino Linotype"/>
          <w:i/>
          <w:sz w:val="22"/>
          <w:szCs w:val="22"/>
        </w:rPr>
        <w:t>.”</w:t>
      </w:r>
    </w:p>
    <w:p w14:paraId="0E170664" w14:textId="77777777" w:rsidR="00411983" w:rsidRPr="00D37331" w:rsidRDefault="00411983">
      <w:pPr>
        <w:spacing w:line="360" w:lineRule="auto"/>
        <w:jc w:val="both"/>
        <w:rPr>
          <w:rFonts w:ascii="Palatino Linotype" w:eastAsia="Palatino Linotype" w:hAnsi="Palatino Linotype" w:cs="Palatino Linotype"/>
        </w:rPr>
      </w:pPr>
    </w:p>
    <w:p w14:paraId="245CDAE2"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45DE8E" w14:textId="77777777" w:rsidR="00411983" w:rsidRPr="00D37331" w:rsidRDefault="00411983">
      <w:pPr>
        <w:spacing w:line="360" w:lineRule="auto"/>
        <w:jc w:val="both"/>
        <w:rPr>
          <w:rFonts w:ascii="Palatino Linotype" w:eastAsia="Palatino Linotype" w:hAnsi="Palatino Linotype" w:cs="Palatino Linotype"/>
        </w:rPr>
      </w:pPr>
    </w:p>
    <w:p w14:paraId="2877A7E2" w14:textId="77777777" w:rsidR="00411983" w:rsidRPr="00D37331" w:rsidRDefault="00922C23">
      <w:pPr>
        <w:ind w:left="567" w:right="616"/>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“Artículo 12.-</w:t>
      </w:r>
      <w:r w:rsidRPr="00D3733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17048B8" w14:textId="77777777" w:rsidR="00411983" w:rsidRPr="00D37331" w:rsidRDefault="00411983">
      <w:pPr>
        <w:ind w:left="567" w:right="616"/>
        <w:jc w:val="both"/>
        <w:rPr>
          <w:rFonts w:ascii="Palatino Linotype" w:eastAsia="Palatino Linotype" w:hAnsi="Palatino Linotype" w:cs="Palatino Linotype"/>
          <w:i/>
          <w:sz w:val="22"/>
          <w:szCs w:val="22"/>
        </w:rPr>
      </w:pPr>
    </w:p>
    <w:p w14:paraId="1BA2767D" w14:textId="77777777" w:rsidR="00411983" w:rsidRPr="00D37331" w:rsidRDefault="00922C23">
      <w:pPr>
        <w:ind w:left="567" w:right="616"/>
        <w:jc w:val="both"/>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37331">
        <w:rPr>
          <w:rFonts w:ascii="Palatino Linotype" w:eastAsia="Palatino Linotype" w:hAnsi="Palatino Linotype" w:cs="Palatino Linotype"/>
          <w:i/>
          <w:sz w:val="22"/>
          <w:szCs w:val="22"/>
        </w:rPr>
        <w:t xml:space="preserve">. </w:t>
      </w:r>
      <w:r w:rsidRPr="00D37331">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42A8635D" w14:textId="77777777" w:rsidR="00411983" w:rsidRPr="00D37331" w:rsidRDefault="00411983">
      <w:pPr>
        <w:spacing w:line="360" w:lineRule="auto"/>
        <w:ind w:left="567" w:right="616"/>
        <w:jc w:val="both"/>
        <w:rPr>
          <w:rFonts w:ascii="Palatino Linotype" w:eastAsia="Palatino Linotype" w:hAnsi="Palatino Linotype" w:cs="Palatino Linotype"/>
          <w:i/>
        </w:rPr>
      </w:pPr>
    </w:p>
    <w:p w14:paraId="50F8CB57" w14:textId="77777777" w:rsidR="00411983" w:rsidRPr="00D37331" w:rsidRDefault="00922C23">
      <w:pPr>
        <w:spacing w:line="360" w:lineRule="auto"/>
        <w:ind w:right="-93"/>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w:t>
      </w:r>
      <w:r w:rsidRPr="00D37331">
        <w:rPr>
          <w:rFonts w:ascii="Palatino Linotype" w:eastAsia="Palatino Linotype" w:hAnsi="Palatino Linotype" w:cs="Palatino Linotype"/>
        </w:rPr>
        <w:lastRenderedPageBreak/>
        <w:t>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39D994D" w14:textId="77777777" w:rsidR="00411983" w:rsidRPr="00D37331" w:rsidRDefault="00411983">
      <w:pPr>
        <w:spacing w:line="360" w:lineRule="auto"/>
        <w:ind w:right="-93"/>
        <w:jc w:val="both"/>
        <w:rPr>
          <w:rFonts w:ascii="Palatino Linotype" w:eastAsia="Palatino Linotype" w:hAnsi="Palatino Linotype" w:cs="Palatino Linotype"/>
        </w:rPr>
      </w:pPr>
    </w:p>
    <w:p w14:paraId="000F10DE" w14:textId="77777777" w:rsidR="00411983" w:rsidRPr="00D37331" w:rsidRDefault="00922C23">
      <w:pP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D37331">
        <w:rPr>
          <w:rFonts w:ascii="Palatino Linotype" w:eastAsia="Palatino Linotype" w:hAnsi="Palatino Linotype" w:cs="Palatino Linotype"/>
          <w:b/>
        </w:rPr>
        <w:t xml:space="preserve"> </w:t>
      </w:r>
    </w:p>
    <w:p w14:paraId="5D06CBB8" w14:textId="77777777" w:rsidR="00411983" w:rsidRPr="00D37331" w:rsidRDefault="00411983">
      <w:pPr>
        <w:spacing w:line="360" w:lineRule="auto"/>
        <w:jc w:val="both"/>
        <w:rPr>
          <w:rFonts w:ascii="Palatino Linotype" w:eastAsia="Palatino Linotype" w:hAnsi="Palatino Linotype" w:cs="Palatino Linotype"/>
          <w:b/>
        </w:rPr>
      </w:pPr>
    </w:p>
    <w:p w14:paraId="68C23F17" w14:textId="77777777" w:rsidR="00411983" w:rsidRPr="00D37331" w:rsidRDefault="00922C23">
      <w:pPr>
        <w:ind w:left="567" w:right="616"/>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rPr>
        <w:t>“</w:t>
      </w:r>
      <w:r w:rsidRPr="00D37331">
        <w:rPr>
          <w:rFonts w:ascii="Palatino Linotype" w:eastAsia="Palatino Linotype" w:hAnsi="Palatino Linotype" w:cs="Palatino Linotype"/>
          <w:b/>
          <w:i/>
          <w:sz w:val="22"/>
          <w:szCs w:val="22"/>
        </w:rPr>
        <w:t>No existe obligación de elaborar documentos ad hoc para atender las solicitudes de acceso a la información.</w:t>
      </w:r>
      <w:r w:rsidRPr="00D3733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EFB3662" w14:textId="77777777" w:rsidR="00411983" w:rsidRPr="00D37331" w:rsidRDefault="00411983">
      <w:pPr>
        <w:spacing w:line="360" w:lineRule="auto"/>
        <w:ind w:right="-93"/>
        <w:jc w:val="both"/>
        <w:rPr>
          <w:rFonts w:ascii="Palatino Linotype" w:eastAsia="Palatino Linotype" w:hAnsi="Palatino Linotype" w:cs="Palatino Linotype"/>
        </w:rPr>
      </w:pPr>
    </w:p>
    <w:p w14:paraId="0662566D"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59A3ACA" w14:textId="77777777" w:rsidR="00411983" w:rsidRPr="00D37331" w:rsidRDefault="00411983">
      <w:pPr>
        <w:spacing w:line="360" w:lineRule="auto"/>
        <w:jc w:val="both"/>
        <w:rPr>
          <w:rFonts w:ascii="Palatino Linotype" w:eastAsia="Palatino Linotype" w:hAnsi="Palatino Linotype" w:cs="Palatino Linotype"/>
        </w:rPr>
      </w:pPr>
    </w:p>
    <w:p w14:paraId="08CE0ACA" w14:textId="77777777" w:rsidR="00411983" w:rsidRPr="00D37331" w:rsidRDefault="00922C23">
      <w:pPr>
        <w:spacing w:line="360" w:lineRule="auto"/>
        <w:ind w:right="49"/>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w:t>
      </w:r>
      <w:r w:rsidRPr="00D37331">
        <w:rPr>
          <w:rFonts w:ascii="Palatino Linotype" w:eastAsia="Palatino Linotype" w:hAnsi="Palatino Linotype" w:cs="Palatino Linotype"/>
        </w:rPr>
        <w:lastRenderedPageBreak/>
        <w:t>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3808BB9" w14:textId="77777777" w:rsidR="00411983" w:rsidRPr="00D37331" w:rsidRDefault="00411983">
      <w:pPr>
        <w:spacing w:line="360" w:lineRule="auto"/>
        <w:ind w:right="49"/>
        <w:jc w:val="both"/>
        <w:rPr>
          <w:rFonts w:ascii="Palatino Linotype" w:eastAsia="Palatino Linotype" w:hAnsi="Palatino Linotype" w:cs="Palatino Linotype"/>
        </w:rPr>
      </w:pPr>
    </w:p>
    <w:p w14:paraId="557D15B7"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AB701B2" w14:textId="77777777" w:rsidR="00411983" w:rsidRPr="00D37331" w:rsidRDefault="00411983">
      <w:pPr>
        <w:spacing w:line="360" w:lineRule="auto"/>
        <w:jc w:val="both"/>
        <w:rPr>
          <w:rFonts w:ascii="Palatino Linotype" w:eastAsia="Palatino Linotype" w:hAnsi="Palatino Linotype" w:cs="Palatino Linotype"/>
        </w:rPr>
      </w:pPr>
    </w:p>
    <w:p w14:paraId="19C8D8F1" w14:textId="77777777" w:rsidR="00411983" w:rsidRPr="00D37331" w:rsidRDefault="00922C23">
      <w:pPr>
        <w:ind w:left="567" w:right="616"/>
        <w:jc w:val="both"/>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b/>
          <w:sz w:val="22"/>
          <w:szCs w:val="22"/>
        </w:rPr>
        <w:t>“</w:t>
      </w:r>
      <w:r w:rsidRPr="00D37331">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D3733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9374FC5" w14:textId="77777777" w:rsidR="00411983" w:rsidRPr="00D37331" w:rsidRDefault="00922C23">
      <w:pPr>
        <w:ind w:left="567" w:right="616"/>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En </w:t>
      </w:r>
      <w:proofErr w:type="gramStart"/>
      <w:r w:rsidRPr="00D37331">
        <w:rPr>
          <w:rFonts w:ascii="Palatino Linotype" w:eastAsia="Palatino Linotype" w:hAnsi="Palatino Linotype" w:cs="Palatino Linotype"/>
          <w:i/>
          <w:sz w:val="22"/>
          <w:szCs w:val="22"/>
        </w:rPr>
        <w:t>consecuencia</w:t>
      </w:r>
      <w:proofErr w:type="gramEnd"/>
      <w:r w:rsidRPr="00D3733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9FC1793" w14:textId="77777777" w:rsidR="00411983" w:rsidRPr="00D37331" w:rsidRDefault="00922C23">
      <w:pPr>
        <w:ind w:left="567" w:right="616"/>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1) Que se trate de información registrada en cualquier soporte documental, </w:t>
      </w:r>
      <w:proofErr w:type="gramStart"/>
      <w:r w:rsidRPr="00D37331">
        <w:rPr>
          <w:rFonts w:ascii="Palatino Linotype" w:eastAsia="Palatino Linotype" w:hAnsi="Palatino Linotype" w:cs="Palatino Linotype"/>
          <w:i/>
          <w:sz w:val="22"/>
          <w:szCs w:val="22"/>
        </w:rPr>
        <w:t>que</w:t>
      </w:r>
      <w:proofErr w:type="gramEnd"/>
      <w:r w:rsidRPr="00D37331">
        <w:rPr>
          <w:rFonts w:ascii="Palatino Linotype" w:eastAsia="Palatino Linotype" w:hAnsi="Palatino Linotype" w:cs="Palatino Linotype"/>
          <w:i/>
          <w:sz w:val="22"/>
          <w:szCs w:val="22"/>
        </w:rPr>
        <w:t xml:space="preserve"> en ejercicio de las atribuciones conferidas, sea generada por los Sujetos Obligados;</w:t>
      </w:r>
    </w:p>
    <w:p w14:paraId="07214889" w14:textId="77777777" w:rsidR="00411983" w:rsidRPr="00D37331" w:rsidRDefault="00922C23">
      <w:pPr>
        <w:ind w:left="567" w:right="616"/>
        <w:jc w:val="both"/>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D37331">
        <w:rPr>
          <w:rFonts w:ascii="Palatino Linotype" w:eastAsia="Palatino Linotype" w:hAnsi="Palatino Linotype" w:cs="Palatino Linotype"/>
          <w:b/>
          <w:i/>
          <w:sz w:val="22"/>
          <w:szCs w:val="22"/>
        </w:rPr>
        <w:t>que</w:t>
      </w:r>
      <w:proofErr w:type="gramEnd"/>
      <w:r w:rsidRPr="00D37331">
        <w:rPr>
          <w:rFonts w:ascii="Palatino Linotype" w:eastAsia="Palatino Linotype" w:hAnsi="Palatino Linotype" w:cs="Palatino Linotype"/>
          <w:b/>
          <w:i/>
          <w:sz w:val="22"/>
          <w:szCs w:val="22"/>
        </w:rPr>
        <w:t xml:space="preserve"> en ejercicio de las atribuciones conferidas, sea administrada por los Sujetos Obligados, y</w:t>
      </w:r>
    </w:p>
    <w:p w14:paraId="22E852FD" w14:textId="77777777" w:rsidR="00411983" w:rsidRPr="00D37331" w:rsidRDefault="00922C23">
      <w:pPr>
        <w:ind w:left="567" w:right="616"/>
        <w:jc w:val="both"/>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D37331">
        <w:rPr>
          <w:rFonts w:ascii="Palatino Linotype" w:eastAsia="Palatino Linotype" w:hAnsi="Palatino Linotype" w:cs="Palatino Linotype"/>
          <w:b/>
          <w:i/>
          <w:sz w:val="22"/>
          <w:szCs w:val="22"/>
        </w:rPr>
        <w:t>que</w:t>
      </w:r>
      <w:proofErr w:type="gramEnd"/>
      <w:r w:rsidRPr="00D37331">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45C4759F" w14:textId="77777777" w:rsidR="00411983" w:rsidRPr="00D37331" w:rsidRDefault="00411983">
      <w:pPr>
        <w:spacing w:line="360" w:lineRule="auto"/>
        <w:jc w:val="both"/>
        <w:rPr>
          <w:rFonts w:ascii="Palatino Linotype" w:eastAsia="Palatino Linotype" w:hAnsi="Palatino Linotype" w:cs="Palatino Linotype"/>
        </w:rPr>
      </w:pPr>
    </w:p>
    <w:p w14:paraId="1CE13A11"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lastRenderedPageBreak/>
        <w:t xml:space="preserve">De ahí que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D37331">
        <w:rPr>
          <w:rFonts w:ascii="Palatino Linotype" w:eastAsia="Palatino Linotype" w:hAnsi="Palatino Linotype" w:cs="Palatino Linotype"/>
          <w:vertAlign w:val="superscript"/>
        </w:rPr>
        <w:footnoteReference w:id="1"/>
      </w:r>
      <w:r w:rsidRPr="00D37331">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D37331">
        <w:rPr>
          <w:rFonts w:ascii="Palatino Linotype" w:eastAsia="Palatino Linotype" w:hAnsi="Palatino Linotype" w:cs="Palatino Linotype"/>
          <w:vertAlign w:val="superscript"/>
        </w:rPr>
        <w:footnoteReference w:id="2"/>
      </w:r>
      <w:r w:rsidRPr="00D37331">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077D67D6" w14:textId="77777777" w:rsidR="00411983" w:rsidRPr="00D37331" w:rsidRDefault="00922C23">
      <w:pPr>
        <w:spacing w:before="240" w:after="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 la Unidad de Asuntos Internos, lo siguiente</w:t>
      </w:r>
    </w:p>
    <w:p w14:paraId="71051F0F" w14:textId="77777777" w:rsidR="00411983" w:rsidRPr="00D37331" w:rsidRDefault="00922C23">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Versión pública de las actas, reportes, oficio y/o documento de las recomendaciones del 180 al 300 del año 2024 que derivan de las visitas de inspección y/o supervisiones realizadas por la Unidad de Asuntos Internos a las unidades administrativas de la Secretaría de Seguridad del Estado de México.</w:t>
      </w:r>
    </w:p>
    <w:p w14:paraId="6C8563A1" w14:textId="77777777" w:rsidR="00411983" w:rsidRPr="00D37331" w:rsidRDefault="00922C23">
      <w:pPr>
        <w:spacing w:before="240" w:after="240" w:line="360" w:lineRule="auto"/>
        <w:ind w:right="49"/>
        <w:jc w:val="both"/>
        <w:rPr>
          <w:rFonts w:ascii="Palatino Linotype" w:eastAsia="Palatino Linotype" w:hAnsi="Palatino Linotype" w:cs="Palatino Linotype"/>
        </w:rPr>
      </w:pPr>
      <w:r w:rsidRPr="00D37331">
        <w:rPr>
          <w:rFonts w:ascii="Palatino Linotype" w:eastAsia="Palatino Linotype" w:hAnsi="Palatino Linotype" w:cs="Palatino Linotype"/>
        </w:rPr>
        <w:lastRenderedPageBreak/>
        <w:t xml:space="preserve">En respuesta, el </w:t>
      </w:r>
      <w:r w:rsidRPr="00D37331">
        <w:rPr>
          <w:rFonts w:ascii="Palatino Linotype" w:eastAsia="Palatino Linotype" w:hAnsi="Palatino Linotype" w:cs="Palatino Linotype"/>
          <w:b/>
        </w:rPr>
        <w:t xml:space="preserve">SUJETO OBLIGADO </w:t>
      </w:r>
      <w:r w:rsidRPr="00D37331">
        <w:rPr>
          <w:rFonts w:ascii="Palatino Linotype" w:eastAsia="Palatino Linotype" w:hAnsi="Palatino Linotype" w:cs="Palatino Linotype"/>
        </w:rPr>
        <w:t xml:space="preserve">por conducto de la Dirección de Investigación y Supervisión, indicó que después de ser analizada las solicitudes de información, requirió someter a consideración del Comité de Transparencia la reserva de la información, respecto de las actas, oficios, y/o documentos de las recomendaciones, ya que la misma obra en diferentes expedientes de investigación de quejas y denuncias </w:t>
      </w:r>
      <w:proofErr w:type="spellStart"/>
      <w:r w:rsidRPr="00D37331">
        <w:rPr>
          <w:rFonts w:ascii="Palatino Linotype" w:eastAsia="Palatino Linotype" w:hAnsi="Palatino Linotype" w:cs="Palatino Linotype"/>
        </w:rPr>
        <w:t>aperturados</w:t>
      </w:r>
      <w:proofErr w:type="spellEnd"/>
      <w:r w:rsidRPr="00D37331">
        <w:rPr>
          <w:rFonts w:ascii="Palatino Linotype" w:eastAsia="Palatino Linotype" w:hAnsi="Palatino Linotype" w:cs="Palatino Linotype"/>
        </w:rPr>
        <w:t xml:space="preserve"> en contra de integrantes de la Secretaría de Seguridad del Estado de México, cuya divulgación puede causar daño presente, probable y específico al proceso final de investigación y los intereses del orden público; asimismo, porque de hacerse pública dicha información podría afectar el debido proceso llevado a cabo en investigaciones relacionadas con procedimientos administrativos que no han quedado firmes.</w:t>
      </w:r>
    </w:p>
    <w:p w14:paraId="544C07F4" w14:textId="77777777" w:rsidR="00411983" w:rsidRPr="00D37331" w:rsidRDefault="00922C23">
      <w:pPr>
        <w:spacing w:before="240" w:after="240" w:line="360" w:lineRule="auto"/>
        <w:ind w:right="49"/>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A lo anterior, se entregó el Acta número UAI-CT-EXT-06-2024, de la Sexta Sesión Extraordinaria de Octubre de 2024 del Comité de Transparencia, mediante la cual se aprueba la clasificación de la información como reservada de manera total, respecto de las actas, oficios y/o documentos de las recomendaciones derivadas de las visitas de inspección y/o supervisiones realizadas por la Unidad de Asuntos Internos a las unidades administrativas de la Secretaría de Seguridad del Estado de México del año 2024, en razón de que obran en diferentes expedientes de investigación de quejas y denuncias </w:t>
      </w:r>
      <w:proofErr w:type="spellStart"/>
      <w:r w:rsidRPr="00D37331">
        <w:rPr>
          <w:rFonts w:ascii="Palatino Linotype" w:eastAsia="Palatino Linotype" w:hAnsi="Palatino Linotype" w:cs="Palatino Linotype"/>
        </w:rPr>
        <w:t>aperturados</w:t>
      </w:r>
      <w:proofErr w:type="spellEnd"/>
      <w:r w:rsidRPr="00D37331">
        <w:rPr>
          <w:rFonts w:ascii="Palatino Linotype" w:eastAsia="Palatino Linotype" w:hAnsi="Palatino Linotype" w:cs="Palatino Linotype"/>
        </w:rPr>
        <w:t xml:space="preserve"> en contra de integrantes de la Secretaría de Seguridad del Estado de México, cuya divulgación a consideración del ente público puede causar daño presente, probable y específico al proceso final de investigación y los intereses de interés de orden público; asimismo, porque de hacerse pública dicha información podría afectar el debido proceso llevado a cabo en investigaciones relacionadas con procedimientos administrativos que no han quedado firmes; lo cual a consideración </w:t>
      </w:r>
      <w:r w:rsidRPr="00D37331">
        <w:rPr>
          <w:rFonts w:ascii="Palatino Linotype" w:eastAsia="Palatino Linotype" w:hAnsi="Palatino Linotype" w:cs="Palatino Linotype"/>
        </w:rPr>
        <w:lastRenderedPageBreak/>
        <w:t>del ente público actualiza la causal de reserva prevista en la fracción X del artículo 140 de la Ley de Transparencia Local, en relación con la fracción X del artículo 113 de la Ley General de Transparencia.</w:t>
      </w:r>
    </w:p>
    <w:p w14:paraId="03DA0E36" w14:textId="77777777" w:rsidR="00411983" w:rsidRPr="00D37331" w:rsidRDefault="00922C23">
      <w:pPr>
        <w:spacing w:before="240" w:after="240" w:line="360" w:lineRule="auto"/>
        <w:ind w:right="49"/>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No conforme con la respuesta la parte </w:t>
      </w:r>
      <w:r w:rsidRPr="00D37331">
        <w:rPr>
          <w:rFonts w:ascii="Palatino Linotype" w:eastAsia="Palatino Linotype" w:hAnsi="Palatino Linotype" w:cs="Palatino Linotype"/>
          <w:b/>
        </w:rPr>
        <w:t>RECURRENTE</w:t>
      </w:r>
      <w:r w:rsidRPr="00D37331">
        <w:rPr>
          <w:rFonts w:ascii="Palatino Linotype" w:eastAsia="Palatino Linotype" w:hAnsi="Palatino Linotype" w:cs="Palatino Linotype"/>
        </w:rPr>
        <w:t xml:space="preserve"> interpuso los recursos de revisión porque consideró que de la información entregada en respuesta es incompleta.</w:t>
      </w:r>
    </w:p>
    <w:p w14:paraId="5F5FD6AD"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Ante la interposición del recurso de revisión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éste rindió sus informes justificados a través del cual en lo medular ratificó su respuesta inicial. </w:t>
      </w:r>
    </w:p>
    <w:p w14:paraId="7ABB995D" w14:textId="77777777" w:rsidR="00411983" w:rsidRPr="00D37331" w:rsidRDefault="00922C23">
      <w:pPr>
        <w:spacing w:before="280" w:after="280" w:line="360" w:lineRule="auto"/>
        <w:ind w:right="49"/>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Antes del estudio de fondo, es pertinente aclarar que el particular requirió la información del año 2024, en ese sentido la información sobre hechos que aún no se han generado debido a la temporalidad, son hechos futuros; por lo que no es procedente que los sujetos obligados proporcionen dicha información </w:t>
      </w:r>
      <w:proofErr w:type="gramStart"/>
      <w:r w:rsidRPr="00D37331">
        <w:rPr>
          <w:rFonts w:ascii="Palatino Linotype" w:eastAsia="Palatino Linotype" w:hAnsi="Palatino Linotype" w:cs="Palatino Linotype"/>
        </w:rPr>
        <w:t>siendo  aplicable</w:t>
      </w:r>
      <w:proofErr w:type="gramEnd"/>
      <w:r w:rsidRPr="00D37331">
        <w:rPr>
          <w:rFonts w:ascii="Palatino Linotype" w:eastAsia="Palatino Linotype" w:hAnsi="Palatino Linotype" w:cs="Palatino Linotype"/>
        </w:rPr>
        <w:t xml:space="preserve"> la tesis con número de registro digital 209001[1] emitida por el Poder Judicial de la Federación, que dispone lo siguiente:</w:t>
      </w:r>
    </w:p>
    <w:p w14:paraId="09F781EB" w14:textId="77777777" w:rsidR="00411983" w:rsidRPr="00D37331" w:rsidRDefault="00922C23">
      <w:pPr>
        <w:spacing w:before="240" w:after="240" w:line="360" w:lineRule="auto"/>
        <w:ind w:left="567"/>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rPr>
        <w:t xml:space="preserve"> </w:t>
      </w:r>
      <w:r w:rsidRPr="00D37331">
        <w:rPr>
          <w:rFonts w:ascii="Palatino Linotype" w:eastAsia="Palatino Linotype" w:hAnsi="Palatino Linotype" w:cs="Palatino Linotype"/>
          <w:i/>
          <w:sz w:val="22"/>
          <w:szCs w:val="22"/>
        </w:rPr>
        <w:t>ACTOS FUTUROS DE REALIZACIÓN INCIERTA. NO PROCEDE EL JUICIO DE AMPARO CONTRA LOS.</w:t>
      </w:r>
    </w:p>
    <w:p w14:paraId="773FD508" w14:textId="77777777" w:rsidR="00411983" w:rsidRPr="00D37331" w:rsidRDefault="00922C23">
      <w:pPr>
        <w:ind w:left="567" w:right="420"/>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Contra actos futuros de realización incierta no procede el juicio de garantías.</w:t>
      </w:r>
    </w:p>
    <w:p w14:paraId="66DC8ABE" w14:textId="77777777" w:rsidR="00411983" w:rsidRPr="00D37331" w:rsidRDefault="00922C23">
      <w:pPr>
        <w:ind w:left="567" w:right="420"/>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 </w:t>
      </w:r>
    </w:p>
    <w:p w14:paraId="35C37829" w14:textId="77777777" w:rsidR="00411983" w:rsidRPr="00D37331" w:rsidRDefault="00922C23">
      <w:pPr>
        <w:ind w:left="567" w:right="420"/>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En ese sentido, no es procedente la exigencia del hoy Recurrente de que el Sujeto Obligado atienda su solicitud, pues esa autoridad únicamente está constreñida a proporcionar la información pública que genere en uso de sus atribuciones de derecho público con anterioridad a la fecha de la solicitud de información.</w:t>
      </w:r>
    </w:p>
    <w:p w14:paraId="26E58E45" w14:textId="77777777" w:rsidR="00411983" w:rsidRPr="00D37331" w:rsidRDefault="00922C23">
      <w:pPr>
        <w:spacing w:before="240" w:after="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 En ese sentido, no es procedente la exigencia del hoy </w:t>
      </w:r>
      <w:r w:rsidRPr="00D37331">
        <w:rPr>
          <w:rFonts w:ascii="Palatino Linotype" w:eastAsia="Palatino Linotype" w:hAnsi="Palatino Linotype" w:cs="Palatino Linotype"/>
          <w:b/>
        </w:rPr>
        <w:t>RECURRENTE</w:t>
      </w:r>
      <w:r w:rsidRPr="00D37331">
        <w:rPr>
          <w:rFonts w:ascii="Palatino Linotype" w:eastAsia="Palatino Linotype" w:hAnsi="Palatino Linotype" w:cs="Palatino Linotype"/>
        </w:rPr>
        <w:t xml:space="preserve"> de que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atienda su solicitud de toda la información generada en el año </w:t>
      </w:r>
      <w:r w:rsidRPr="00D37331">
        <w:rPr>
          <w:rFonts w:ascii="Palatino Linotype" w:eastAsia="Palatino Linotype" w:hAnsi="Palatino Linotype" w:cs="Palatino Linotype"/>
        </w:rPr>
        <w:lastRenderedPageBreak/>
        <w:t xml:space="preserve">2024, pues esa autoridad únicamente está constreñida a proporcionar la información pública que genere en uso de sus atribuciones de derecho público a la fecha de la solicitud de información, esto es al treinta de septiembre del año 2024. </w:t>
      </w:r>
    </w:p>
    <w:p w14:paraId="4F8FAA95" w14:textId="77777777" w:rsidR="00411983" w:rsidRPr="00D37331" w:rsidRDefault="00922C23">
      <w:pPr>
        <w:spacing w:before="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Ahora bien, a efecto de identificar las unidades administrativas competentes e ilustrar sus atribuciones, resulta oportuno traer a colación los artículos 24, fracción XII y 92, fracción II de la Ley de Transparencia y Acceso a la Información Pública del Estado de México y Municipios, dispositivos jurídicos que disponen a la literalidad lo siguiente: </w:t>
      </w:r>
    </w:p>
    <w:p w14:paraId="558FF4D6" w14:textId="77777777" w:rsidR="00411983" w:rsidRPr="00D37331" w:rsidRDefault="00411983">
      <w:pPr>
        <w:spacing w:before="240" w:line="360" w:lineRule="auto"/>
        <w:jc w:val="both"/>
        <w:rPr>
          <w:rFonts w:ascii="Palatino Linotype" w:eastAsia="Palatino Linotype" w:hAnsi="Palatino Linotype" w:cs="Palatino Linotype"/>
        </w:rPr>
      </w:pPr>
    </w:p>
    <w:p w14:paraId="0EB0A65D" w14:textId="77777777" w:rsidR="00411983" w:rsidRPr="00D37331" w:rsidRDefault="00922C23">
      <w:pP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“Artículo 24. Para el cumplimiento de los objetivos de esta Ley, los sujetos obligados deberán cumplir con las siguientes obligaciones, según corresponda, de acuerdo a su naturaleza:</w:t>
      </w:r>
    </w:p>
    <w:p w14:paraId="29EAF17D" w14:textId="77777777" w:rsidR="00411983" w:rsidRPr="00D37331" w:rsidRDefault="00922C23">
      <w:pP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w:t>
      </w:r>
    </w:p>
    <w:p w14:paraId="353F08A0" w14:textId="77777777" w:rsidR="00411983" w:rsidRPr="00D37331" w:rsidRDefault="00922C23">
      <w:pP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XII. Publicar y mantener actualizada la información relativa a las obligaciones generales de transparencia previstas en la presente Ley o determinadas así por el Instituto, y en general aquella que sea de interés público;</w:t>
      </w:r>
    </w:p>
    <w:p w14:paraId="4E3AAF27" w14:textId="77777777" w:rsidR="00411983" w:rsidRPr="00D37331" w:rsidRDefault="00922C23">
      <w:pP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w:t>
      </w:r>
    </w:p>
    <w:p w14:paraId="3C5E3A85" w14:textId="77777777" w:rsidR="00411983" w:rsidRPr="00D37331" w:rsidRDefault="00922C23">
      <w:pP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F7C182" w14:textId="77777777" w:rsidR="00411983" w:rsidRPr="00D37331" w:rsidRDefault="00922C23">
      <w:pP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w:t>
      </w:r>
    </w:p>
    <w:p w14:paraId="0CC74CC1" w14:textId="77777777" w:rsidR="00411983" w:rsidRPr="00D37331" w:rsidRDefault="00922C23">
      <w:pPr>
        <w:ind w:left="851" w:right="851"/>
        <w:jc w:val="both"/>
        <w:rPr>
          <w:rFonts w:ascii="Palatino Linotype" w:eastAsia="Palatino Linotype" w:hAnsi="Palatino Linotype" w:cs="Palatino Linotype"/>
          <w:b/>
          <w:i/>
          <w:sz w:val="22"/>
          <w:szCs w:val="22"/>
          <w:u w:val="single"/>
        </w:rPr>
      </w:pPr>
      <w:r w:rsidRPr="00D37331">
        <w:rPr>
          <w:rFonts w:ascii="Palatino Linotype" w:eastAsia="Palatino Linotype" w:hAnsi="Palatino Linotype" w:cs="Palatino Linotype"/>
          <w:b/>
          <w:i/>
          <w:sz w:val="22"/>
          <w:szCs w:val="22"/>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54D84840" w14:textId="77777777" w:rsidR="00411983" w:rsidRPr="00D37331" w:rsidRDefault="00922C23">
      <w:pPr>
        <w:ind w:left="851" w:right="851"/>
        <w:jc w:val="both"/>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i/>
          <w:sz w:val="22"/>
          <w:szCs w:val="22"/>
        </w:rPr>
        <w:t xml:space="preserve">(…)” </w:t>
      </w:r>
    </w:p>
    <w:p w14:paraId="0858ABAD" w14:textId="77777777" w:rsidR="00411983" w:rsidRPr="00D37331" w:rsidRDefault="00922C23">
      <w:pPr>
        <w:spacing w:before="240"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rPr>
        <w:t xml:space="preserve">A mayor abundamiento, en alusión a la normatividad previamente plasmada, sirven de sustento las siguientes imágenes ilustrativas, correspondientes al organigrama del </w:t>
      </w:r>
      <w:r w:rsidRPr="00D37331">
        <w:rPr>
          <w:rFonts w:ascii="Palatino Linotype" w:eastAsia="Palatino Linotype" w:hAnsi="Palatino Linotype" w:cs="Palatino Linotype"/>
          <w:b/>
        </w:rPr>
        <w:t>SUJETO OBLIGADO:</w:t>
      </w:r>
    </w:p>
    <w:p w14:paraId="4CBEB8F4" w14:textId="77777777" w:rsidR="00411983" w:rsidRPr="00D37331" w:rsidRDefault="00922C23">
      <w:pPr>
        <w:spacing w:before="240" w:line="360" w:lineRule="auto"/>
        <w:jc w:val="both"/>
        <w:rPr>
          <w:rFonts w:ascii="Palatino Linotype" w:eastAsia="Palatino Linotype" w:hAnsi="Palatino Linotype" w:cs="Palatino Linotype"/>
        </w:rPr>
      </w:pPr>
      <w:r w:rsidRPr="00D37331">
        <w:rPr>
          <w:noProof/>
        </w:rPr>
        <w:lastRenderedPageBreak/>
        <w:drawing>
          <wp:anchor distT="0" distB="0" distL="0" distR="0" simplePos="0" relativeHeight="251658240" behindDoc="1" locked="0" layoutInCell="1" hidden="0" allowOverlap="1" wp14:anchorId="5CD6CC1F" wp14:editId="3761ADD5">
            <wp:simplePos x="0" y="0"/>
            <wp:positionH relativeFrom="column">
              <wp:posOffset>-928606</wp:posOffset>
            </wp:positionH>
            <wp:positionV relativeFrom="paragraph">
              <wp:posOffset>23495</wp:posOffset>
            </wp:positionV>
            <wp:extent cx="5488780" cy="2844140"/>
            <wp:effectExtent l="0" t="0" r="0" b="0"/>
            <wp:wrapNone/>
            <wp:docPr id="20273749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9"/>
                    <a:srcRect/>
                    <a:stretch>
                      <a:fillRect/>
                    </a:stretch>
                  </pic:blipFill>
                  <pic:spPr>
                    <a:xfrm>
                      <a:off x="0" y="0"/>
                      <a:ext cx="5488780" cy="2844140"/>
                    </a:xfrm>
                    <a:prstGeom prst="rect">
                      <a:avLst/>
                    </a:prstGeom>
                    <a:ln/>
                  </pic:spPr>
                </pic:pic>
              </a:graphicData>
            </a:graphic>
          </wp:anchor>
        </w:drawing>
      </w:r>
    </w:p>
    <w:p w14:paraId="4BCA4FD1" w14:textId="77777777" w:rsidR="00411983" w:rsidRPr="00D37331" w:rsidRDefault="00411983">
      <w:pPr>
        <w:spacing w:before="240" w:line="360" w:lineRule="auto"/>
        <w:jc w:val="both"/>
        <w:rPr>
          <w:rFonts w:ascii="Palatino Linotype" w:eastAsia="Palatino Linotype" w:hAnsi="Palatino Linotype" w:cs="Palatino Linotype"/>
        </w:rPr>
      </w:pPr>
    </w:p>
    <w:p w14:paraId="2B64E356" w14:textId="77777777" w:rsidR="00411983" w:rsidRPr="00D37331" w:rsidRDefault="00411983">
      <w:pPr>
        <w:spacing w:before="240" w:line="360" w:lineRule="auto"/>
        <w:jc w:val="both"/>
        <w:rPr>
          <w:rFonts w:ascii="Palatino Linotype" w:eastAsia="Palatino Linotype" w:hAnsi="Palatino Linotype" w:cs="Palatino Linotype"/>
        </w:rPr>
      </w:pPr>
    </w:p>
    <w:p w14:paraId="58722EFC" w14:textId="77777777" w:rsidR="00411983" w:rsidRPr="00D37331" w:rsidRDefault="00922C23">
      <w:pPr>
        <w:spacing w:before="240" w:line="360" w:lineRule="auto"/>
        <w:jc w:val="both"/>
        <w:rPr>
          <w:rFonts w:ascii="Palatino Linotype" w:eastAsia="Palatino Linotype" w:hAnsi="Palatino Linotype" w:cs="Palatino Linotype"/>
        </w:rPr>
      </w:pPr>
      <w:r w:rsidRPr="00D37331">
        <w:rPr>
          <w:noProof/>
        </w:rPr>
        <w:drawing>
          <wp:anchor distT="0" distB="0" distL="114300" distR="114300" simplePos="0" relativeHeight="251659264" behindDoc="0" locked="0" layoutInCell="1" hidden="0" allowOverlap="1" wp14:anchorId="3956A5C9" wp14:editId="4C22EEF4">
            <wp:simplePos x="0" y="0"/>
            <wp:positionH relativeFrom="column">
              <wp:posOffset>695007</wp:posOffset>
            </wp:positionH>
            <wp:positionV relativeFrom="paragraph">
              <wp:posOffset>-357081</wp:posOffset>
            </wp:positionV>
            <wp:extent cx="2241550" cy="1054100"/>
            <wp:effectExtent l="0" t="0" r="0" b="0"/>
            <wp:wrapSquare wrapText="bothSides" distT="0" distB="0" distL="114300" distR="114300"/>
            <wp:docPr id="20273749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2241550" cy="1054100"/>
                    </a:xfrm>
                    <a:prstGeom prst="rect">
                      <a:avLst/>
                    </a:prstGeom>
                    <a:ln/>
                  </pic:spPr>
                </pic:pic>
              </a:graphicData>
            </a:graphic>
          </wp:anchor>
        </w:drawing>
      </w:r>
    </w:p>
    <w:p w14:paraId="2F816419" w14:textId="77777777" w:rsidR="00411983" w:rsidRPr="00D37331" w:rsidRDefault="00411983">
      <w:pPr>
        <w:spacing w:line="360" w:lineRule="auto"/>
        <w:jc w:val="both"/>
        <w:rPr>
          <w:rFonts w:ascii="Palatino Linotype" w:eastAsia="Palatino Linotype" w:hAnsi="Palatino Linotype" w:cs="Palatino Linotype"/>
        </w:rPr>
      </w:pPr>
    </w:p>
    <w:p w14:paraId="11E9D1CD" w14:textId="77777777" w:rsidR="00411983" w:rsidRPr="00D37331" w:rsidRDefault="00411983">
      <w:pPr>
        <w:spacing w:before="240" w:line="360" w:lineRule="auto"/>
        <w:jc w:val="both"/>
        <w:rPr>
          <w:rFonts w:ascii="Palatino Linotype" w:eastAsia="Palatino Linotype" w:hAnsi="Palatino Linotype" w:cs="Palatino Linotype"/>
        </w:rPr>
      </w:pPr>
    </w:p>
    <w:p w14:paraId="52225A39" w14:textId="77777777" w:rsidR="00411983" w:rsidRPr="00D37331" w:rsidRDefault="00411983">
      <w:pPr>
        <w:spacing w:before="240" w:line="360" w:lineRule="auto"/>
        <w:jc w:val="both"/>
        <w:rPr>
          <w:rFonts w:ascii="Palatino Linotype" w:eastAsia="Palatino Linotype" w:hAnsi="Palatino Linotype" w:cs="Palatino Linotype"/>
        </w:rPr>
      </w:pPr>
    </w:p>
    <w:p w14:paraId="0AEC11C1" w14:textId="77777777" w:rsidR="00411983" w:rsidRPr="00D37331" w:rsidRDefault="00922C23">
      <w:pPr>
        <w:spacing w:before="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De lo anterior, se desprende que el</w:t>
      </w:r>
      <w:r w:rsidRPr="00D37331">
        <w:rPr>
          <w:rFonts w:ascii="Palatino Linotype" w:eastAsia="Palatino Linotype" w:hAnsi="Palatino Linotype" w:cs="Palatino Linotype"/>
          <w:b/>
        </w:rPr>
        <w:t xml:space="preserve"> SUJETO OBLIGADO </w:t>
      </w:r>
      <w:r w:rsidRPr="00D37331">
        <w:rPr>
          <w:rFonts w:ascii="Palatino Linotype" w:eastAsia="Palatino Linotype" w:hAnsi="Palatino Linotype" w:cs="Palatino Linotype"/>
        </w:rPr>
        <w:t xml:space="preserve">se auxilia de diversas Direcciones, Subdirecciones, Departamentos y Unidades Administrativas para cumplir con sus fines y objetivos, resultando de nuestro más amplio interés la Dirección de investigación y supervisión.   </w:t>
      </w:r>
    </w:p>
    <w:p w14:paraId="1D71D2CF" w14:textId="77777777" w:rsidR="00411983" w:rsidRPr="00D37331" w:rsidRDefault="00922C23">
      <w:pPr>
        <w:spacing w:before="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De manera complementaria, a efecto de ilustrar la esfera competencial de la unidad administrativa en cita, resulta oportuno traer a colación el apartado 206C0301040000L “Dirección de investigación y supervisión” del Manual General de Organización de la Unidad de Asuntos Internos, así como el artículo 11 del Reglamento Interior de la Unidad de Asuntos Internos, porciones normativas que disponen a la literalidad lo siguiente:</w:t>
      </w:r>
    </w:p>
    <w:p w14:paraId="32B123CB" w14:textId="77777777" w:rsidR="00411983" w:rsidRPr="00D37331" w:rsidRDefault="00922C23">
      <w:pPr>
        <w:pBdr>
          <w:top w:val="nil"/>
          <w:left w:val="nil"/>
          <w:bottom w:val="nil"/>
          <w:right w:val="nil"/>
          <w:between w:val="nil"/>
        </w:pBdr>
        <w:spacing w:before="240"/>
        <w:ind w:left="851" w:right="851"/>
        <w:jc w:val="center"/>
        <w:rPr>
          <w:rFonts w:ascii="Palatino Linotype" w:eastAsia="Palatino Linotype" w:hAnsi="Palatino Linotype" w:cs="Palatino Linotype"/>
          <w:b/>
          <w:sz w:val="22"/>
          <w:szCs w:val="22"/>
        </w:rPr>
      </w:pPr>
      <w:r w:rsidRPr="00D37331">
        <w:rPr>
          <w:rFonts w:ascii="Palatino Linotype" w:eastAsia="Palatino Linotype" w:hAnsi="Palatino Linotype" w:cs="Palatino Linotype"/>
          <w:b/>
          <w:sz w:val="22"/>
          <w:szCs w:val="22"/>
        </w:rPr>
        <w:t>MANUAL GENERAL DE ORGANIZACIÓN DE LA UNIDAD DE ASUNTOS INTERNOS</w:t>
      </w:r>
    </w:p>
    <w:p w14:paraId="50B6FF5B"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“206C0301040000L DIRECCIÓN DE INVESTIGACIÓN Y SUPERVISIÓN</w:t>
      </w:r>
      <w:r w:rsidRPr="00D37331">
        <w:rPr>
          <w:rFonts w:ascii="Palatino Linotype" w:eastAsia="Palatino Linotype" w:hAnsi="Palatino Linotype" w:cs="Palatino Linotype"/>
          <w:i/>
          <w:sz w:val="22"/>
          <w:szCs w:val="22"/>
        </w:rPr>
        <w:t xml:space="preserve"> </w:t>
      </w:r>
      <w:r w:rsidRPr="00D37331">
        <w:rPr>
          <w:rFonts w:ascii="Palatino Linotype" w:eastAsia="Palatino Linotype" w:hAnsi="Palatino Linotype" w:cs="Palatino Linotype"/>
          <w:b/>
          <w:i/>
          <w:sz w:val="22"/>
          <w:szCs w:val="22"/>
        </w:rPr>
        <w:t>OBJETIVO:</w:t>
      </w:r>
      <w:r w:rsidRPr="00D37331">
        <w:rPr>
          <w:rFonts w:ascii="Palatino Linotype" w:eastAsia="Palatino Linotype" w:hAnsi="Palatino Linotype" w:cs="Palatino Linotype"/>
          <w:i/>
          <w:sz w:val="22"/>
          <w:szCs w:val="22"/>
        </w:rPr>
        <w:t xml:space="preserve"> Coordinar la aplicación de diversas técnicas de investigación para integrar los expedientes </w:t>
      </w:r>
      <w:proofErr w:type="spellStart"/>
      <w:r w:rsidRPr="00D37331">
        <w:rPr>
          <w:rFonts w:ascii="Palatino Linotype" w:eastAsia="Palatino Linotype" w:hAnsi="Palatino Linotype" w:cs="Palatino Linotype"/>
          <w:i/>
          <w:sz w:val="22"/>
          <w:szCs w:val="22"/>
        </w:rPr>
        <w:t>aperturados</w:t>
      </w:r>
      <w:proofErr w:type="spellEnd"/>
      <w:r w:rsidRPr="00D37331">
        <w:rPr>
          <w:rFonts w:ascii="Palatino Linotype" w:eastAsia="Palatino Linotype" w:hAnsi="Palatino Linotype" w:cs="Palatino Linotype"/>
          <w:i/>
          <w:sz w:val="22"/>
          <w:szCs w:val="22"/>
        </w:rPr>
        <w:t xml:space="preserve"> por las quejas y las denuncias, incluso anónimas, presentadas en contra de integrantes de la Secretaría de Seguridad, así </w:t>
      </w:r>
      <w:r w:rsidRPr="00D37331">
        <w:rPr>
          <w:rFonts w:ascii="Palatino Linotype" w:eastAsia="Palatino Linotype" w:hAnsi="Palatino Linotype" w:cs="Palatino Linotype"/>
          <w:i/>
          <w:sz w:val="22"/>
          <w:szCs w:val="22"/>
        </w:rPr>
        <w:lastRenderedPageBreak/>
        <w:t xml:space="preserve">como coordinar las investigaciones y ordenar la supervisión y vigilancia que permita identificar deficiencias e irregularidades, o comprobar el incumplimiento a sus deberes y obligaciones. </w:t>
      </w:r>
    </w:p>
    <w:p w14:paraId="176F3362"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b/>
          <w:i/>
          <w:sz w:val="22"/>
          <w:szCs w:val="22"/>
        </w:rPr>
        <w:t xml:space="preserve">FUNCIONES: </w:t>
      </w:r>
    </w:p>
    <w:p w14:paraId="2012EA9B"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w:t>
      </w:r>
    </w:p>
    <w:p w14:paraId="10BEF209" w14:textId="77777777" w:rsidR="00411983" w:rsidRPr="00D37331" w:rsidRDefault="00411983">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857FFD1"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b/>
          <w:i/>
          <w:sz w:val="22"/>
          <w:szCs w:val="22"/>
          <w:u w:val="single"/>
        </w:rPr>
      </w:pPr>
      <w:r w:rsidRPr="00D37331">
        <w:rPr>
          <w:rFonts w:ascii="Palatino Linotype" w:eastAsia="Palatino Linotype" w:hAnsi="Palatino Linotype" w:cs="Palatino Linotype"/>
          <w:b/>
          <w:i/>
          <w:sz w:val="22"/>
          <w:szCs w:val="22"/>
          <w:u w:val="single"/>
        </w:rPr>
        <w:t xml:space="preserve">− Proponer a la persona titular de la Unidad de Asuntos Internos la emisión de recomendaciones con motivo de las conductas irregulares que se detecten en las inspecciones practicadas en las unidades administrativas de la Secretaría de Seguridad, a fin de remitirlas a éstas últimas, así como de las medidas precautorias que resulten necesarias para el éxito de la investigación. </w:t>
      </w:r>
    </w:p>
    <w:p w14:paraId="32FD9F69"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 (…)</w:t>
      </w:r>
    </w:p>
    <w:p w14:paraId="46D9589C"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 − Revisar las actas levantadas con motivo de las inspecciones y supervisiones e informar a la persona titular de la Unidad de Asuntos Internos el resultado de las mismas. </w:t>
      </w:r>
    </w:p>
    <w:p w14:paraId="1B292DDE"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w:t>
      </w:r>
    </w:p>
    <w:p w14:paraId="15D16548"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 Vigilar la debida utilización del sistema de registros y controles que permitan preservar la confidencialidad, la protección de datos personales y el resguardo de expedientes y demás información de las personas servidoras públicas sujetas a procedimientos. </w:t>
      </w:r>
    </w:p>
    <w:p w14:paraId="1D274783"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 Presentar a la persona titular de la Unidad de Asuntos Internos el proyecto para remitir de forma oportuna y debidamente integrado, el expediente de investigación a la Dirección de Responsabilidades en Asuntos Internos, solicitando que se resguarde la identidad del denunciante, conforme a las disposiciones jurídicas aplicables. </w:t>
      </w:r>
    </w:p>
    <w:p w14:paraId="06EF2397"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w:t>
      </w:r>
    </w:p>
    <w:p w14:paraId="1F3517C6"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 Proponer la actualización de métodos de investigación para detectar deficiencias e irregularidades en el cumplimiento de los deberes y obligaciones de integrantes de la Secretaría de Seguridad. </w:t>
      </w:r>
    </w:p>
    <w:p w14:paraId="52DDB815"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w:t>
      </w:r>
    </w:p>
    <w:p w14:paraId="1EEBDD77"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b/>
          <w:i/>
          <w:sz w:val="22"/>
          <w:szCs w:val="22"/>
          <w:u w:val="single"/>
        </w:rPr>
      </w:pPr>
      <w:r w:rsidRPr="00D37331">
        <w:rPr>
          <w:rFonts w:ascii="Palatino Linotype" w:eastAsia="Palatino Linotype" w:hAnsi="Palatino Linotype" w:cs="Palatino Linotype"/>
          <w:b/>
          <w:i/>
          <w:sz w:val="22"/>
          <w:szCs w:val="22"/>
          <w:u w:val="single"/>
        </w:rPr>
        <w:t xml:space="preserve">− Dictar la remisión de los expedientes de investigación a la Dirección de Responsabilidades en Asuntos Internos, para los efectos legales que procedan. </w:t>
      </w:r>
    </w:p>
    <w:p w14:paraId="599BDDEB"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i/>
          <w:sz w:val="22"/>
          <w:szCs w:val="22"/>
        </w:rPr>
        <w:t xml:space="preserve">(…)” </w:t>
      </w:r>
    </w:p>
    <w:p w14:paraId="4B9D6958"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b/>
          <w:sz w:val="22"/>
          <w:szCs w:val="22"/>
        </w:rPr>
      </w:pPr>
      <w:r w:rsidRPr="00D37331">
        <w:rPr>
          <w:rFonts w:ascii="Palatino Linotype" w:eastAsia="Palatino Linotype" w:hAnsi="Palatino Linotype" w:cs="Palatino Linotype"/>
          <w:b/>
          <w:sz w:val="22"/>
          <w:szCs w:val="22"/>
        </w:rPr>
        <w:t xml:space="preserve">REGLAMENTO INTERIOR DE LA UNIDAD DE ASUNTOS INTERNOS </w:t>
      </w:r>
    </w:p>
    <w:p w14:paraId="70DF412A"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“Artículo 11. Corresponde a la Dirección de Investigación y Supervisión las siguientes atribuciones:</w:t>
      </w:r>
    </w:p>
    <w:p w14:paraId="3FD3CD30"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w:t>
      </w:r>
    </w:p>
    <w:p w14:paraId="3B7377B0"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b/>
          <w:i/>
          <w:sz w:val="22"/>
          <w:szCs w:val="22"/>
          <w:u w:val="single"/>
        </w:rPr>
      </w:pPr>
      <w:r w:rsidRPr="00D37331">
        <w:rPr>
          <w:rFonts w:ascii="Palatino Linotype" w:eastAsia="Palatino Linotype" w:hAnsi="Palatino Linotype" w:cs="Palatino Linotype"/>
          <w:b/>
          <w:i/>
          <w:sz w:val="22"/>
          <w:szCs w:val="22"/>
          <w:u w:val="single"/>
        </w:rPr>
        <w:lastRenderedPageBreak/>
        <w:t xml:space="preserve">VII. Proponer al Titular de la Unidad, la emisión de recomendaciones con motivo de las conductas irregulares que se detecten en las Inspecciones practicadas en las áreas de la Secretaría, a fin de remitirlas a estas últimas; </w:t>
      </w:r>
    </w:p>
    <w:p w14:paraId="57C37F31"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VIII. Proponer al Titular de la Unidad, la programación, planificación de operativos, acciones y técnicas de Inspección y Supervisión para el cumplimiento de sus fines, así como para detectar anomalías de los Integrantes de la Secretaría; IX. Proponer al Titular de la Unidad las políticas, estrategias, lineamientos, directrices y disposiciones para la operación de las Inspecciones y Supervisiones; </w:t>
      </w:r>
    </w:p>
    <w:p w14:paraId="01F355FE"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X. Establecer las disposiciones protocolarias que permitan a los Servidores Públicos encargados de realizar las Inspecciones y Supervisiones, la ejecución de cualquier operación, en el marco de la legalidad y pleno respeto a los derechos humanos, salvaguardando en todo momento la secrecía de la información; </w:t>
      </w:r>
    </w:p>
    <w:p w14:paraId="6F36A6EB"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XI. Ejecutar las órdenes de Inspección que permitan verificar el cumplimiento a los programas en materia de Seguridad Pública y Política Criminal; </w:t>
      </w:r>
    </w:p>
    <w:p w14:paraId="1EAE87AD"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XII. Informar al Titular de la Unidad el resultado obtenido de las Inspecciones o Supervisiones realizadas por los Servidores Públicos de la Unidad; </w:t>
      </w:r>
    </w:p>
    <w:p w14:paraId="2897BD75"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XIII. Ejecutar las órdenes de Inspección y Supervisión para detectar deficiencias, irregularidades o faltas en la aplicación de procesos en las distintas áreas de la Secretaría, así como en el cumplimiento de las obligaciones de sus integrantes e informar sobre el resultado de las mismas al Titular de la Unidad;</w:t>
      </w:r>
    </w:p>
    <w:p w14:paraId="604C0187"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w:t>
      </w:r>
    </w:p>
    <w:p w14:paraId="5EE37195" w14:textId="77777777" w:rsidR="00411983" w:rsidRPr="00D37331" w:rsidRDefault="00922C23">
      <w:pPr>
        <w:pBdr>
          <w:top w:val="nil"/>
          <w:left w:val="nil"/>
          <w:bottom w:val="nil"/>
          <w:right w:val="nil"/>
          <w:between w:val="nil"/>
        </w:pBdr>
        <w:spacing w:after="160"/>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XX. Proporcionar, en el ámbito de competencia de la Dirección de Información, Planeación, Programación y Evaluación de la Unidad, y en el formato previamente establecido por la misma, los informes sobre las investigaciones, Inspecciones y Supervisiones que se desarrollen y ejecuten, así como de las quejas y denuncias recibidas y atendidas…”</w:t>
      </w:r>
    </w:p>
    <w:p w14:paraId="56893D4A" w14:textId="77777777" w:rsidR="00411983" w:rsidRPr="00D37331" w:rsidRDefault="00922C23">
      <w:pPr>
        <w:spacing w:before="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En efecto, de la normatividad previamente plasmada se desprende que:</w:t>
      </w:r>
    </w:p>
    <w:p w14:paraId="6A0129C1" w14:textId="77777777" w:rsidR="00411983" w:rsidRPr="00D37331" w:rsidRDefault="00922C23">
      <w:pPr>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La Unidad de Asuntos Internos es un organismo público descentralizado, con personalidad jurídica y patrimonio propios, sectorizado a la Secretaría de Seguridad del Estado de México.</w:t>
      </w:r>
    </w:p>
    <w:p w14:paraId="49ABC434" w14:textId="77777777" w:rsidR="00411983" w:rsidRPr="00D37331" w:rsidRDefault="00922C23">
      <w:pPr>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Uno de los objetivos medulares de la dirección de investigación y supervisión redunda en coordinar las investigaciones y ordenar la supervisión y vigilancia que permita identificar deficiencias e irregularidades, o comprobar el </w:t>
      </w:r>
      <w:r w:rsidRPr="00D37331">
        <w:rPr>
          <w:rFonts w:ascii="Palatino Linotype" w:eastAsia="Palatino Linotype" w:hAnsi="Palatino Linotype" w:cs="Palatino Linotype"/>
        </w:rPr>
        <w:lastRenderedPageBreak/>
        <w:t xml:space="preserve">cumplimiento o incumplimiento a deberes y obligaciones de los servidores públicos. </w:t>
      </w:r>
    </w:p>
    <w:p w14:paraId="5D92D8BA" w14:textId="77777777" w:rsidR="00411983" w:rsidRPr="00D37331" w:rsidRDefault="00922C23">
      <w:pPr>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Proponer al Titular de la Unidad, la emisión de recomendaciones con motivo de las conductas irregulares que se detecten en las Inspecciones practicadas en las áreas de la Secretaría, a fin de remitirlas a estas últimas.</w:t>
      </w:r>
    </w:p>
    <w:p w14:paraId="65914F9A" w14:textId="77777777" w:rsidR="00411983" w:rsidRPr="00D37331" w:rsidRDefault="00922C23">
      <w:pPr>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Derivado de todas las inspecciones y supervisiones realizadas resulta necesario levantar un acta en donde se asienta el resultado obtenido. </w:t>
      </w:r>
    </w:p>
    <w:p w14:paraId="12A7C6B3" w14:textId="77777777" w:rsidR="00411983" w:rsidRPr="00D37331" w:rsidRDefault="00411983">
      <w:pPr>
        <w:pBdr>
          <w:top w:val="nil"/>
          <w:left w:val="nil"/>
          <w:bottom w:val="nil"/>
          <w:right w:val="nil"/>
          <w:between w:val="nil"/>
        </w:pBdr>
        <w:spacing w:line="360" w:lineRule="auto"/>
        <w:jc w:val="both"/>
        <w:rPr>
          <w:rFonts w:ascii="Palatino Linotype" w:eastAsia="Palatino Linotype" w:hAnsi="Palatino Linotype" w:cs="Palatino Linotype"/>
        </w:rPr>
      </w:pPr>
    </w:p>
    <w:p w14:paraId="497E8F41" w14:textId="77777777" w:rsidR="00411983" w:rsidRPr="00D37331" w:rsidRDefault="00922C23">
      <w:pPr>
        <w:pBdr>
          <w:top w:val="nil"/>
          <w:left w:val="nil"/>
          <w:bottom w:val="nil"/>
          <w:right w:val="nil"/>
          <w:between w:val="nil"/>
        </w:pBdr>
        <w:spacing w:line="360" w:lineRule="auto"/>
        <w:jc w:val="both"/>
      </w:pPr>
      <w:r w:rsidRPr="00D37331">
        <w:rPr>
          <w:rFonts w:ascii="Palatino Linotype" w:eastAsia="Palatino Linotype" w:hAnsi="Palatino Linotype" w:cs="Palatino Linotype"/>
        </w:rPr>
        <w:t>Por lo tanto, se tiene que en el presente caso se cumplió con el requisito de turnar la solicitud de información a las unidades administrativas que por sus atribuciones puedan contar con la información requerida, conforme el procedimiento establecido en los artículos 151, 159, 160, 162, 163, 164, 165 y 166, de la Ley de Transparencia y Acceso a la Información Pública del Estado de México y Municipios, el cual es el siguiente:</w:t>
      </w:r>
    </w:p>
    <w:p w14:paraId="174A7C5E" w14:textId="77777777" w:rsidR="00411983" w:rsidRPr="00D37331" w:rsidRDefault="00411983">
      <w:pPr>
        <w:spacing w:line="360" w:lineRule="auto"/>
      </w:pPr>
    </w:p>
    <w:p w14:paraId="1F91EE21" w14:textId="77777777" w:rsidR="00411983" w:rsidRPr="00D37331" w:rsidRDefault="00922C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3C692282" w14:textId="77777777" w:rsidR="00411983" w:rsidRPr="00D37331" w:rsidRDefault="00411983">
      <w:pPr>
        <w:pBdr>
          <w:top w:val="nil"/>
          <w:left w:val="nil"/>
          <w:bottom w:val="nil"/>
          <w:right w:val="nil"/>
          <w:between w:val="nil"/>
        </w:pBdr>
        <w:spacing w:line="360" w:lineRule="auto"/>
        <w:ind w:left="360"/>
        <w:jc w:val="both"/>
        <w:rPr>
          <w:rFonts w:ascii="Palatino Linotype" w:eastAsia="Palatino Linotype" w:hAnsi="Palatino Linotype" w:cs="Palatino Linotype"/>
        </w:rPr>
      </w:pPr>
    </w:p>
    <w:p w14:paraId="285DA9BF" w14:textId="77777777" w:rsidR="00411983" w:rsidRPr="00D37331" w:rsidRDefault="00922C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Los Sujetos Obligados podrán requerirle a los Solicitantes, que complementen, corrijan o amplíen su solicitud de información, cuando resulten los datos proporcionados insuficientes, incorrectos, incompletos o erróneos; solicitar dicha </w:t>
      </w:r>
      <w:r w:rsidRPr="00D37331">
        <w:rPr>
          <w:rFonts w:ascii="Palatino Linotype" w:eastAsia="Palatino Linotype" w:hAnsi="Palatino Linotype" w:cs="Palatino Linotype"/>
        </w:rPr>
        <w:lastRenderedPageBreak/>
        <w:t>aclaración, interrumpirá el plazo para dar respuesta y comenzará a computarse el día siguiente al desahogo de esta;</w:t>
      </w:r>
    </w:p>
    <w:p w14:paraId="2C45DA08" w14:textId="77777777" w:rsidR="00411983" w:rsidRPr="00D37331" w:rsidRDefault="00411983">
      <w:pPr>
        <w:pBdr>
          <w:top w:val="nil"/>
          <w:left w:val="nil"/>
          <w:bottom w:val="nil"/>
          <w:right w:val="nil"/>
          <w:between w:val="nil"/>
        </w:pBdr>
        <w:spacing w:line="360" w:lineRule="auto"/>
        <w:ind w:left="720"/>
        <w:rPr>
          <w:rFonts w:ascii="Palatino Linotype" w:eastAsia="Palatino Linotype" w:hAnsi="Palatino Linotype" w:cs="Palatino Linotype"/>
        </w:rPr>
      </w:pPr>
    </w:p>
    <w:p w14:paraId="0ECA2FFD" w14:textId="77777777" w:rsidR="00411983" w:rsidRPr="00D37331" w:rsidRDefault="00922C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D37331">
        <w:rPr>
          <w:rFonts w:ascii="Palatino Linotype" w:eastAsia="Palatino Linotype" w:hAnsi="Palatino Linotype" w:cs="Palatino Linotype"/>
          <w:b/>
        </w:rPr>
        <w:t>quince días, contados a partir del día siguiente a la presentación de ésta.</w:t>
      </w:r>
      <w:r w:rsidRPr="00D37331">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7D9FB088" w14:textId="77777777" w:rsidR="00411983" w:rsidRPr="00D37331" w:rsidRDefault="00411983">
      <w:pPr>
        <w:pBdr>
          <w:top w:val="nil"/>
          <w:left w:val="nil"/>
          <w:bottom w:val="nil"/>
          <w:right w:val="nil"/>
          <w:between w:val="nil"/>
        </w:pBdr>
        <w:spacing w:line="360" w:lineRule="auto"/>
        <w:ind w:left="720"/>
        <w:rPr>
          <w:rFonts w:ascii="Palatino Linotype" w:eastAsia="Palatino Linotype" w:hAnsi="Palatino Linotype" w:cs="Palatino Linotype"/>
        </w:rPr>
      </w:pPr>
    </w:p>
    <w:p w14:paraId="72445760" w14:textId="77777777" w:rsidR="00411983" w:rsidRPr="00D37331" w:rsidRDefault="00922C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2D8F563" w14:textId="77777777" w:rsidR="00411983" w:rsidRPr="00D37331" w:rsidRDefault="00922C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w:t>
      </w:r>
    </w:p>
    <w:p w14:paraId="184AA604" w14:textId="77777777" w:rsidR="00411983" w:rsidRPr="00D37331" w:rsidRDefault="00411983">
      <w:pPr>
        <w:pBdr>
          <w:top w:val="nil"/>
          <w:left w:val="nil"/>
          <w:bottom w:val="nil"/>
          <w:right w:val="nil"/>
          <w:between w:val="nil"/>
        </w:pBdr>
        <w:spacing w:line="360" w:lineRule="auto"/>
        <w:ind w:left="360"/>
        <w:jc w:val="both"/>
        <w:rPr>
          <w:rFonts w:ascii="Palatino Linotype" w:eastAsia="Palatino Linotype" w:hAnsi="Palatino Linotype" w:cs="Palatino Linotype"/>
          <w:b/>
        </w:rPr>
      </w:pPr>
    </w:p>
    <w:p w14:paraId="02CFB322" w14:textId="77777777" w:rsidR="00411983" w:rsidRPr="00D37331" w:rsidRDefault="00922C2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w:t>
      </w:r>
      <w:r w:rsidRPr="00D37331">
        <w:rPr>
          <w:rFonts w:ascii="Palatino Linotype" w:eastAsia="Palatino Linotype" w:hAnsi="Palatino Linotype" w:cs="Palatino Linotype"/>
        </w:rPr>
        <w:lastRenderedPageBreak/>
        <w:t>transcurrida dicha temporalidad, los Sujetos Obligados darán por concluida la solicitud y procederán de ser el caso, a la destrucción del material.</w:t>
      </w:r>
    </w:p>
    <w:p w14:paraId="7517E45C" w14:textId="77777777" w:rsidR="00411983" w:rsidRPr="00D37331" w:rsidRDefault="00411983">
      <w:pPr>
        <w:spacing w:line="360" w:lineRule="auto"/>
      </w:pPr>
    </w:p>
    <w:p w14:paraId="30A0826E" w14:textId="77777777" w:rsidR="00411983" w:rsidRPr="00D37331" w:rsidRDefault="00922C23">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D37331">
        <w:rPr>
          <w:rFonts w:ascii="Palatino Linotype" w:eastAsia="Palatino Linotype" w:hAnsi="Palatino Linotype" w:cs="Palatino Linotype"/>
        </w:rPr>
        <w:t>De esta manera, el procedimiento de búsqueda de la información se tiene por atendido. </w:t>
      </w:r>
    </w:p>
    <w:p w14:paraId="18B87AD3" w14:textId="77777777" w:rsidR="00411983" w:rsidRPr="00D37331" w:rsidRDefault="00411983">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84CA15A"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Además,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ED6FC72" w14:textId="77777777" w:rsidR="00411983" w:rsidRPr="00D37331" w:rsidRDefault="00922C23">
      <w:pPr>
        <w:pBdr>
          <w:top w:val="nil"/>
          <w:left w:val="nil"/>
          <w:bottom w:val="nil"/>
          <w:right w:val="nil"/>
          <w:between w:val="nil"/>
        </w:pBdr>
        <w:spacing w:before="240"/>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“Artículo 18. Los sujetos obligados deberán documentar todo acto que derive del ejercicio de sus facultades, competencias o funciones, considerando desde su origen la eventual publicidad y reutilización de la información que generen. </w:t>
      </w:r>
    </w:p>
    <w:p w14:paraId="089F79E8"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Artículo 19. Se presume que la información debe existir si se refiere a las facultades, competencias y funciones que los ordenamientos jurídicos aplicables otorgan a los sujetos obligados. </w:t>
      </w:r>
    </w:p>
    <w:p w14:paraId="6914809C" w14:textId="77777777" w:rsidR="00411983" w:rsidRPr="00D37331" w:rsidRDefault="00922C2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5296DDE0" w14:textId="77777777" w:rsidR="00411983" w:rsidRPr="00D37331" w:rsidRDefault="00922C23">
      <w:pPr>
        <w:pBdr>
          <w:top w:val="nil"/>
          <w:left w:val="nil"/>
          <w:bottom w:val="nil"/>
          <w:right w:val="nil"/>
          <w:between w:val="nil"/>
        </w:pBdr>
        <w:spacing w:after="160"/>
        <w:ind w:left="851" w:right="851"/>
        <w:jc w:val="both"/>
        <w:rPr>
          <w:rFonts w:ascii="Palatino Linotype" w:eastAsia="Palatino Linotype" w:hAnsi="Palatino Linotype" w:cs="Palatino Linotype"/>
          <w:b/>
          <w:i/>
        </w:rPr>
      </w:pPr>
      <w:r w:rsidRPr="00D37331">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0CAC839" w14:textId="77777777" w:rsidR="00411983" w:rsidRPr="00D37331" w:rsidRDefault="00411983">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E6FF11E"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Por otro lado, no pasa desapercibido que si bien de los motivos de inconformidad de la parte </w:t>
      </w:r>
      <w:r w:rsidRPr="00D37331">
        <w:rPr>
          <w:rFonts w:ascii="Palatino Linotype" w:eastAsia="Palatino Linotype" w:hAnsi="Palatino Linotype" w:cs="Palatino Linotype"/>
          <w:b/>
        </w:rPr>
        <w:t>RECURRENTE</w:t>
      </w:r>
      <w:r w:rsidRPr="00D37331">
        <w:rPr>
          <w:rFonts w:ascii="Palatino Linotype" w:eastAsia="Palatino Linotype" w:hAnsi="Palatino Linotype" w:cs="Palatino Linotype"/>
        </w:rPr>
        <w:t xml:space="preserve">, se adolece porque la información es incompleta y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en respuesta sólo se concretó a reservar la información en su totalidad, pero no debemos dejar a un lado que los particulares no son expertos en la materia; por ello, en términos de lo señalado por el artículo 181 de la de la Ley de Transparencia y </w:t>
      </w:r>
      <w:r w:rsidRPr="00D37331">
        <w:rPr>
          <w:rFonts w:ascii="Palatino Linotype" w:eastAsia="Palatino Linotype" w:hAnsi="Palatino Linotype" w:cs="Palatino Linotype"/>
        </w:rPr>
        <w:lastRenderedPageBreak/>
        <w:t>Acceso a la Información Pública del Estado de México y Municipios y en aras del principio de máxima publicidad, se procede analizar si la respuesta de la Unidad de Asuntos Internos satisface el derecho de acceso a la información pública del solicitante.</w:t>
      </w:r>
    </w:p>
    <w:p w14:paraId="278217DE" w14:textId="77777777" w:rsidR="00411983" w:rsidRPr="00D37331" w:rsidRDefault="00411983">
      <w:pPr>
        <w:spacing w:line="360" w:lineRule="auto"/>
        <w:jc w:val="both"/>
        <w:rPr>
          <w:rFonts w:ascii="Palatino Linotype" w:eastAsia="Palatino Linotype" w:hAnsi="Palatino Linotype" w:cs="Palatino Linotype"/>
        </w:rPr>
      </w:pPr>
    </w:p>
    <w:p w14:paraId="44DA6A5A"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Ahora bien, es de recordar que en el presente caso el quien propuso la reserva total de las actas, oficios y/o documentos de las recomendaciones derivadas de las visitas de inspección y/o supervisiones realizadas por la Unidad de Asuntos Internos a las unidades administrativas de la Secretaría de Seguridad del Estado de México del año 2024, fue la Dirección de Investigación y Supervisión, lo que avaló el Comité de Transparencia de la Unidad de Asuntos Internos a través del acuerdo número UAI-CT-EXT-06-2024, de la Sexta Sesión Extraordinaria de Octubre de 2024, por ello, se procede analizar la reserva de la información hecha valer por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w:t>
      </w:r>
    </w:p>
    <w:p w14:paraId="0A2EDC36" w14:textId="77777777" w:rsidR="00411983" w:rsidRPr="00D37331" w:rsidRDefault="00411983">
      <w:pPr>
        <w:spacing w:line="360" w:lineRule="auto"/>
        <w:jc w:val="both"/>
        <w:rPr>
          <w:rFonts w:ascii="Palatino Linotype" w:eastAsia="Palatino Linotype" w:hAnsi="Palatino Linotype" w:cs="Palatino Linotype"/>
        </w:rPr>
      </w:pPr>
    </w:p>
    <w:p w14:paraId="42C2AB1B" w14:textId="77777777" w:rsidR="00411983" w:rsidRPr="00D37331" w:rsidRDefault="00922C23">
      <w:pP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rPr>
        <w:t xml:space="preserve">En principio, es de indicar que conforme al artículo 20 de la Ley de Transparencia y Acceso a la Información Pública del Estado de México y Municipios, </w:t>
      </w:r>
      <w:r w:rsidRPr="00D37331">
        <w:rPr>
          <w:rFonts w:ascii="Palatino Linotype" w:eastAsia="Palatino Linotype" w:hAnsi="Palatino Linotype" w:cs="Palatino Linotype"/>
          <w:b/>
        </w:rPr>
        <w:t>ante la negativa de acceso a la información o su inexistencia, el SUJETO OBLIGADO deberá demostrar que encuentra en alguna de las excepciones establecidas en la normatividad aplicable.</w:t>
      </w:r>
    </w:p>
    <w:p w14:paraId="412AFA15" w14:textId="77777777" w:rsidR="00411983" w:rsidRPr="00D37331" w:rsidRDefault="00411983">
      <w:pPr>
        <w:spacing w:line="360" w:lineRule="auto"/>
        <w:jc w:val="both"/>
        <w:rPr>
          <w:rFonts w:ascii="Palatino Linotype" w:eastAsia="Palatino Linotype" w:hAnsi="Palatino Linotype" w:cs="Palatino Linotype"/>
        </w:rPr>
      </w:pPr>
    </w:p>
    <w:p w14:paraId="28C8D837"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En ese sentido, según Trujillo, Humberto (2019), en el “Diccionario de Transparencia y Acceso a la Información Pública” (p. 201), </w:t>
      </w:r>
      <w:r w:rsidRPr="00D37331">
        <w:rPr>
          <w:rFonts w:ascii="Palatino Linotype" w:eastAsia="Palatino Linotype" w:hAnsi="Palatino Linotype" w:cs="Palatino Linotype"/>
          <w:b/>
        </w:rPr>
        <w:t xml:space="preserve">la negativa de acceso a la información </w:t>
      </w:r>
      <w:r w:rsidRPr="00D37331">
        <w:rPr>
          <w:rFonts w:ascii="Palatino Linotype" w:eastAsia="Palatino Linotype" w:hAnsi="Palatino Linotype" w:cs="Palatino Linotype"/>
        </w:rPr>
        <w:t xml:space="preserve">ocurre cuando de manera fundada y motivada, una autoridad la niega o la limita, por alguna de las siguientes razones: </w:t>
      </w:r>
    </w:p>
    <w:p w14:paraId="3C1B6EA0" w14:textId="77777777" w:rsidR="00411983" w:rsidRPr="00D37331" w:rsidRDefault="00411983">
      <w:pPr>
        <w:spacing w:line="360" w:lineRule="auto"/>
        <w:jc w:val="both"/>
        <w:rPr>
          <w:rFonts w:ascii="Palatino Linotype" w:eastAsia="Palatino Linotype" w:hAnsi="Palatino Linotype" w:cs="Palatino Linotype"/>
        </w:rPr>
      </w:pPr>
    </w:p>
    <w:p w14:paraId="036FD642" w14:textId="77777777" w:rsidR="00411983" w:rsidRPr="00D37331" w:rsidRDefault="00922C23">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b/>
        </w:rPr>
        <w:lastRenderedPageBreak/>
        <w:t xml:space="preserve">La inexistencia de la información (p. 171): </w:t>
      </w:r>
      <w:r w:rsidRPr="00D37331">
        <w:rPr>
          <w:rFonts w:ascii="Palatino Linotype" w:eastAsia="Palatino Linotype" w:hAnsi="Palatino Linotype" w:cs="Palatino Linotype"/>
        </w:rPr>
        <w:t>Sucede cuando la información solicitada no se encuentra en los archivos públicos o clasificados de los entes sujetos a las Leyes de Transparencia.</w:t>
      </w:r>
    </w:p>
    <w:p w14:paraId="747B4531" w14:textId="77777777" w:rsidR="00411983" w:rsidRPr="00D37331" w:rsidRDefault="00922C23">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b/>
        </w:rPr>
        <w:t xml:space="preserve">La incompetencia del Sujeto Obligado (p. 171): </w:t>
      </w:r>
      <w:r w:rsidRPr="00D37331">
        <w:rPr>
          <w:rFonts w:ascii="Palatino Linotype" w:eastAsia="Palatino Linotype" w:hAnsi="Palatino Linotype" w:cs="Palatino Linotype"/>
        </w:rPr>
        <w:t>Ocurre cuando el Sujeto Obligado carece de atribuciones para poseer la información peticionada.</w:t>
      </w:r>
    </w:p>
    <w:p w14:paraId="381A50E1" w14:textId="77777777" w:rsidR="00411983" w:rsidRPr="00D37331" w:rsidRDefault="00922C23">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b/>
        </w:rPr>
        <w:t xml:space="preserve">La clasificación de la información (p. 70): </w:t>
      </w:r>
      <w:r w:rsidRPr="00D37331">
        <w:rPr>
          <w:rFonts w:ascii="Palatino Linotype" w:eastAsia="Palatino Linotype" w:hAnsi="Palatino Linotype" w:cs="Palatino Linotype"/>
        </w:rPr>
        <w:t>Es el proceso o conjunto de acciones que realizan los sujetos obligados para establecer que determinada información se encuentra en alguno de los supuestos de reserva o confidencialidad establecidos en la legislación en materia de transparencia.</w:t>
      </w:r>
    </w:p>
    <w:p w14:paraId="649D86C0" w14:textId="77777777" w:rsidR="00411983" w:rsidRPr="00D37331" w:rsidRDefault="00411983">
      <w:pPr>
        <w:spacing w:line="360" w:lineRule="auto"/>
        <w:jc w:val="both"/>
        <w:rPr>
          <w:rFonts w:ascii="Palatino Linotype" w:eastAsia="Palatino Linotype" w:hAnsi="Palatino Linotype" w:cs="Palatino Linotype"/>
        </w:rPr>
      </w:pPr>
    </w:p>
    <w:p w14:paraId="0A476ABD" w14:textId="77777777" w:rsidR="00411983" w:rsidRPr="00D37331" w:rsidRDefault="00922C23">
      <w:pP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rPr>
        <w:t xml:space="preserve">En ese orden de ideas y en atención a lo anterior, es de señalar que las excepciones al derecho de acceso a la información, consisten en que la documentación sea inexistente, </w:t>
      </w:r>
      <w:r w:rsidRPr="00D37331">
        <w:rPr>
          <w:rFonts w:ascii="Palatino Linotype" w:eastAsia="Palatino Linotype" w:hAnsi="Palatino Linotype" w:cs="Palatino Linotype"/>
          <w:b/>
        </w:rPr>
        <w:t>se encuentre clasificada</w:t>
      </w:r>
      <w:r w:rsidRPr="00D37331">
        <w:rPr>
          <w:rFonts w:ascii="Palatino Linotype" w:eastAsia="Palatino Linotype" w:hAnsi="Palatino Linotype" w:cs="Palatino Linotype"/>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D37331">
        <w:rPr>
          <w:rFonts w:ascii="Palatino Linotype" w:eastAsia="Palatino Linotype" w:hAnsi="Palatino Linotype" w:cs="Palatino Linotype"/>
          <w:b/>
        </w:rPr>
        <w:t>confidenciales o reservados.</w:t>
      </w:r>
    </w:p>
    <w:p w14:paraId="70D69938" w14:textId="77777777" w:rsidR="00411983" w:rsidRPr="00D37331" w:rsidRDefault="00411983">
      <w:pPr>
        <w:spacing w:line="360" w:lineRule="auto"/>
        <w:jc w:val="both"/>
        <w:rPr>
          <w:rFonts w:ascii="Palatino Linotype" w:eastAsia="Palatino Linotype" w:hAnsi="Palatino Linotype" w:cs="Palatino Linotype"/>
          <w:b/>
        </w:rPr>
      </w:pPr>
    </w:p>
    <w:p w14:paraId="73C0DAE6"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Así, en los artículos 122, 128 y 130 de la Ley Transparencia y Acceso a la Información Pública del Estado de México y Municipios, se prevé que </w:t>
      </w:r>
      <w:r w:rsidRPr="00D37331">
        <w:rPr>
          <w:rFonts w:ascii="Palatino Linotype" w:eastAsia="Palatino Linotype" w:hAnsi="Palatino Linotype" w:cs="Palatino Linotype"/>
          <w:b/>
        </w:rPr>
        <w:t xml:space="preserve">la clasificación </w:t>
      </w:r>
      <w:r w:rsidRPr="00D37331">
        <w:rPr>
          <w:rFonts w:ascii="Palatino Linotype" w:eastAsia="Palatino Linotype" w:hAnsi="Palatino Linotype" w:cs="Palatino Linotype"/>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489A9693" w14:textId="77777777" w:rsidR="00411983" w:rsidRPr="00D37331" w:rsidRDefault="00411983">
      <w:pPr>
        <w:spacing w:line="360" w:lineRule="auto"/>
        <w:jc w:val="both"/>
        <w:rPr>
          <w:rFonts w:ascii="Palatino Linotype" w:eastAsia="Palatino Linotype" w:hAnsi="Palatino Linotype" w:cs="Palatino Linotype"/>
        </w:rPr>
      </w:pPr>
    </w:p>
    <w:p w14:paraId="6D8F6A54"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lastRenderedPageBreak/>
        <w:t xml:space="preserve">Por lo cual, en los casos en que se niegue el acceso a la información, por actualizarse alguno de los supuestos de clasificación, </w:t>
      </w:r>
      <w:r w:rsidRPr="00D37331">
        <w:rPr>
          <w:rFonts w:ascii="Palatino Linotype" w:eastAsia="Palatino Linotype" w:hAnsi="Palatino Linotype" w:cs="Palatino Linotype"/>
          <w:b/>
        </w:rPr>
        <w:t xml:space="preserve">el Comité de Transparencia deberá confirmar, modificar o revocar la decisión; </w:t>
      </w:r>
      <w:r w:rsidRPr="00D37331">
        <w:rPr>
          <w:rFonts w:ascii="Palatino Linotype" w:eastAsia="Palatino Linotype" w:hAnsi="Palatino Linotype" w:cs="Palatino Linotype"/>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31EF0C0E" w14:textId="77777777" w:rsidR="00411983" w:rsidRPr="00D37331" w:rsidRDefault="00411983">
      <w:pPr>
        <w:spacing w:line="360" w:lineRule="auto"/>
        <w:jc w:val="both"/>
        <w:rPr>
          <w:rFonts w:ascii="Palatino Linotype" w:eastAsia="Palatino Linotype" w:hAnsi="Palatino Linotype" w:cs="Palatino Linotype"/>
        </w:rPr>
      </w:pPr>
    </w:p>
    <w:p w14:paraId="3AAE5286" w14:textId="77777777" w:rsidR="00411983" w:rsidRPr="00D37331" w:rsidRDefault="00922C23">
      <w:pP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rPr>
        <w:t xml:space="preserve">Por su parte, según Bonifaz, Leticia (2016), en la “Ley General de Transparencia y Acceso a la Información Pública Comentada” (p. 342), la </w:t>
      </w:r>
      <w:r w:rsidRPr="00D37331">
        <w:rPr>
          <w:rFonts w:ascii="Palatino Linotype" w:eastAsia="Palatino Linotype" w:hAnsi="Palatino Linotype" w:cs="Palatino Linotype"/>
          <w:b/>
        </w:rPr>
        <w:t>clasificación de la información</w:t>
      </w:r>
      <w:r w:rsidRPr="00D37331">
        <w:rPr>
          <w:rFonts w:ascii="Palatino Linotype" w:eastAsia="Palatino Linotype" w:hAnsi="Palatino Linotype" w:cs="Palatino Linotype"/>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D37331">
        <w:rPr>
          <w:rFonts w:ascii="Palatino Linotype" w:eastAsia="Palatino Linotype" w:hAnsi="Palatino Linotype" w:cs="Palatino Linotype"/>
          <w:b/>
        </w:rPr>
        <w:t>de manera adecuada la negativa de información.</w:t>
      </w:r>
    </w:p>
    <w:p w14:paraId="4CA0A590" w14:textId="77777777" w:rsidR="00411983" w:rsidRPr="00D37331" w:rsidRDefault="00411983">
      <w:pPr>
        <w:spacing w:line="360" w:lineRule="auto"/>
        <w:jc w:val="both"/>
        <w:rPr>
          <w:rFonts w:ascii="Palatino Linotype" w:eastAsia="Palatino Linotype" w:hAnsi="Palatino Linotype" w:cs="Palatino Linotype"/>
          <w:b/>
        </w:rPr>
      </w:pPr>
    </w:p>
    <w:p w14:paraId="49FC58B5"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Conforme a lo anterior, en el presente caso, el </w:t>
      </w:r>
      <w:r w:rsidRPr="00D37331">
        <w:rPr>
          <w:rFonts w:ascii="Palatino Linotype" w:eastAsia="Palatino Linotype" w:hAnsi="Palatino Linotype" w:cs="Palatino Linotype"/>
          <w:b/>
        </w:rPr>
        <w:t>SUJETO OBLIGADO por conducto de la Dirección de Investigación y Supervisión,</w:t>
      </w:r>
      <w:r w:rsidRPr="00D37331">
        <w:rPr>
          <w:rFonts w:ascii="Palatino Linotype" w:eastAsia="Palatino Linotype" w:hAnsi="Palatino Linotype" w:cs="Palatino Linotype"/>
        </w:rPr>
        <w:t xml:space="preserve"> no señaló que era inexistente la información; al contrario, precisó que no podía proporcionarla al ser reservada; esto es, aludió a una clasificación; al respecto, el </w:t>
      </w:r>
      <w:r w:rsidRPr="00D37331">
        <w:rPr>
          <w:rFonts w:ascii="Palatino Linotype" w:eastAsia="Palatino Linotype" w:hAnsi="Palatino Linotype" w:cs="Palatino Linotype"/>
          <w:b/>
        </w:rPr>
        <w:t>Criterio 29/10</w:t>
      </w:r>
      <w:r w:rsidRPr="00D37331">
        <w:rPr>
          <w:rFonts w:ascii="Palatino Linotype" w:eastAsia="Palatino Linotype" w:hAnsi="Palatino Linotype" w:cs="Palatino Linotype"/>
        </w:rPr>
        <w:t>, emitido por el Pleno del entonces Instituto Federal de Acceso a la Información y Protección de Datos, precisa lo siguiente:</w:t>
      </w:r>
    </w:p>
    <w:p w14:paraId="70E3F7F6" w14:textId="77777777" w:rsidR="00411983" w:rsidRPr="00D37331" w:rsidRDefault="00411983">
      <w:pPr>
        <w:spacing w:line="360" w:lineRule="auto"/>
        <w:jc w:val="both"/>
        <w:rPr>
          <w:rFonts w:ascii="Palatino Linotype" w:eastAsia="Palatino Linotype" w:hAnsi="Palatino Linotype" w:cs="Palatino Linotype"/>
        </w:rPr>
      </w:pPr>
    </w:p>
    <w:p w14:paraId="74AC7AE5" w14:textId="77777777" w:rsidR="00411983" w:rsidRPr="00D37331" w:rsidRDefault="00922C23">
      <w:pPr>
        <w:ind w:left="567" w:right="567"/>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“La clasificación y la inexistencia de información son conceptos que no pueden coexistir.</w:t>
      </w:r>
      <w:r w:rsidRPr="00D37331">
        <w:rPr>
          <w:rFonts w:ascii="Palatino Linotype" w:eastAsia="Palatino Linotype" w:hAnsi="Palatino Linotype" w:cs="Palatino Linotype"/>
          <w:i/>
          <w:sz w:val="22"/>
          <w:szCs w:val="22"/>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w:t>
      </w:r>
      <w:r w:rsidRPr="00D37331">
        <w:rPr>
          <w:rFonts w:ascii="Palatino Linotype" w:eastAsia="Palatino Linotype" w:hAnsi="Palatino Linotype" w:cs="Palatino Linotype"/>
          <w:i/>
          <w:sz w:val="22"/>
          <w:szCs w:val="22"/>
        </w:rPr>
        <w:lastRenderedPageBreak/>
        <w:t xml:space="preserve">a la información solicitada. Por su parte, la clasificación es una característica que adquiere la información concreta </w:t>
      </w:r>
      <w:proofErr w:type="gramStart"/>
      <w:r w:rsidRPr="00D37331">
        <w:rPr>
          <w:rFonts w:ascii="Palatino Linotype" w:eastAsia="Palatino Linotype" w:hAnsi="Palatino Linotype" w:cs="Palatino Linotype"/>
          <w:i/>
          <w:sz w:val="22"/>
          <w:szCs w:val="22"/>
        </w:rPr>
        <w:t>contenida  en</w:t>
      </w:r>
      <w:proofErr w:type="gramEnd"/>
      <w:r w:rsidRPr="00D37331">
        <w:rPr>
          <w:rFonts w:ascii="Palatino Linotype" w:eastAsia="Palatino Linotype" w:hAnsi="Palatino Linotype" w:cs="Palatino Linotype"/>
          <w:i/>
          <w:sz w:val="22"/>
          <w:szCs w:val="22"/>
        </w:rPr>
        <w:t xml:space="preserve">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17F39E00" w14:textId="77777777" w:rsidR="00411983" w:rsidRPr="00D37331" w:rsidRDefault="00411983">
      <w:pPr>
        <w:spacing w:line="360" w:lineRule="auto"/>
        <w:rPr>
          <w:rFonts w:ascii="Palatino Linotype" w:eastAsia="Palatino Linotype" w:hAnsi="Palatino Linotype" w:cs="Palatino Linotype"/>
        </w:rPr>
      </w:pPr>
    </w:p>
    <w:p w14:paraId="780134BF" w14:textId="77777777" w:rsidR="00411983" w:rsidRPr="00D37331" w:rsidRDefault="00922C23">
      <w:pPr>
        <w:spacing w:line="360" w:lineRule="auto"/>
        <w:jc w:val="both"/>
        <w:rPr>
          <w:rFonts w:ascii="Palatino Linotype" w:eastAsia="Palatino Linotype" w:hAnsi="Palatino Linotype" w:cs="Palatino Linotype"/>
          <w:b/>
          <w:u w:val="single"/>
        </w:rPr>
      </w:pPr>
      <w:r w:rsidRPr="00D37331">
        <w:rPr>
          <w:rFonts w:ascii="Palatino Linotype" w:eastAsia="Palatino Linotype" w:hAnsi="Palatino Linotype" w:cs="Palatino Linotype"/>
          <w:b/>
          <w:u w:val="single"/>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61517FEA" w14:textId="77777777" w:rsidR="00411983" w:rsidRPr="00D37331" w:rsidRDefault="00411983">
      <w:pPr>
        <w:spacing w:line="360" w:lineRule="auto"/>
        <w:jc w:val="both"/>
        <w:rPr>
          <w:rFonts w:ascii="Palatino Linotype" w:eastAsia="Palatino Linotype" w:hAnsi="Palatino Linotype" w:cs="Palatino Linotype"/>
        </w:rPr>
      </w:pPr>
    </w:p>
    <w:p w14:paraId="0EA53004"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Conforme a lo anterior, se negó el acceso a la información peticionada por la parte </w:t>
      </w:r>
      <w:r w:rsidRPr="00D37331">
        <w:rPr>
          <w:rFonts w:ascii="Palatino Linotype" w:eastAsia="Palatino Linotype" w:hAnsi="Palatino Linotype" w:cs="Palatino Linotype"/>
          <w:b/>
        </w:rPr>
        <w:t>RECURRENTE</w:t>
      </w:r>
      <w:r w:rsidRPr="00D37331">
        <w:rPr>
          <w:rFonts w:ascii="Palatino Linotype" w:eastAsia="Palatino Linotype" w:hAnsi="Palatino Linotype" w:cs="Palatino Linotype"/>
        </w:rPr>
        <w:t xml:space="preserve">, al considerar que estaba clasificada; tan es así, que proporcionó el Acta número UAI-CT-EXT-06-2024, de la Sexta Sesión Extraordinaria 2024 del Comité de Transparencia, de fecha 14 de octubre de 2024, donde confirmó la clasificación de la información solicitada, como reservada, en términos del artículo 140, fracción X de la Ley de Transparencia y Acceso al a Información Pública del Estado de México y Municipios; como a continuación se muestra de la siguiente digitalización del Acta de mérito:  </w:t>
      </w:r>
    </w:p>
    <w:p w14:paraId="722FD487" w14:textId="77777777" w:rsidR="00411983" w:rsidRPr="00D37331" w:rsidRDefault="00922C23">
      <w:pPr>
        <w:spacing w:line="360" w:lineRule="auto"/>
        <w:jc w:val="center"/>
        <w:rPr>
          <w:rFonts w:ascii="Palatino Linotype" w:eastAsia="Palatino Linotype" w:hAnsi="Palatino Linotype" w:cs="Palatino Linotype"/>
        </w:rPr>
      </w:pPr>
      <w:r w:rsidRPr="00D37331">
        <w:rPr>
          <w:rFonts w:ascii="Palatino Linotype" w:eastAsia="Palatino Linotype" w:hAnsi="Palatino Linotype" w:cs="Palatino Linotype"/>
          <w:noProof/>
        </w:rPr>
        <w:lastRenderedPageBreak/>
        <w:drawing>
          <wp:inline distT="0" distB="0" distL="0" distR="0" wp14:anchorId="7335E5CC" wp14:editId="75BDB72C">
            <wp:extent cx="5791835" cy="2698750"/>
            <wp:effectExtent l="0" t="0" r="0" b="0"/>
            <wp:docPr id="20273749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5791835" cy="2698750"/>
                    </a:xfrm>
                    <a:prstGeom prst="rect">
                      <a:avLst/>
                    </a:prstGeom>
                    <a:ln/>
                  </pic:spPr>
                </pic:pic>
              </a:graphicData>
            </a:graphic>
          </wp:inline>
        </w:drawing>
      </w:r>
      <w:r w:rsidRPr="00D37331">
        <w:rPr>
          <w:noProof/>
        </w:rPr>
        <mc:AlternateContent>
          <mc:Choice Requires="wpg">
            <w:drawing>
              <wp:anchor distT="0" distB="0" distL="114300" distR="114300" simplePos="0" relativeHeight="251660288" behindDoc="0" locked="0" layoutInCell="1" hidden="0" allowOverlap="1" wp14:anchorId="0A28FAC4" wp14:editId="6128D458">
                <wp:simplePos x="0" y="0"/>
                <wp:positionH relativeFrom="column">
                  <wp:posOffset>25401</wp:posOffset>
                </wp:positionH>
                <wp:positionV relativeFrom="paragraph">
                  <wp:posOffset>1612900</wp:posOffset>
                </wp:positionV>
                <wp:extent cx="5570270" cy="1040328"/>
                <wp:effectExtent l="0" t="0" r="0" b="0"/>
                <wp:wrapNone/>
                <wp:docPr id="2027374912" name="Rectángulo 2027374912"/>
                <wp:cNvGraphicFramePr/>
                <a:graphic xmlns:a="http://schemas.openxmlformats.org/drawingml/2006/main">
                  <a:graphicData uri="http://schemas.microsoft.com/office/word/2010/wordprocessingShape">
                    <wps:wsp>
                      <wps:cNvSpPr/>
                      <wps:spPr>
                        <a:xfrm>
                          <a:off x="2570390" y="3269361"/>
                          <a:ext cx="5551220" cy="1021278"/>
                        </a:xfrm>
                        <a:prstGeom prst="rect">
                          <a:avLst/>
                        </a:prstGeom>
                        <a:noFill/>
                        <a:ln w="19050" cap="flat" cmpd="sng">
                          <a:solidFill>
                            <a:srgbClr val="FF0000"/>
                          </a:solidFill>
                          <a:prstDash val="solid"/>
                          <a:miter lim="800000"/>
                          <a:headEnd type="none" w="sm" len="sm"/>
                          <a:tailEnd type="none" w="sm" len="sm"/>
                        </a:ln>
                      </wps:spPr>
                      <wps:txbx>
                        <w:txbxContent>
                          <w:p w14:paraId="41AB2DAE" w14:textId="77777777" w:rsidR="00411983" w:rsidRDefault="00411983">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25401</wp:posOffset>
                </wp:positionH>
                <wp:positionV relativeFrom="paragraph">
                  <wp:posOffset>1612900</wp:posOffset>
                </wp:positionV>
                <wp:extent cx="5570270" cy="1040328"/>
                <wp:effectExtent b="0" l="0" r="0" t="0"/>
                <wp:wrapNone/>
                <wp:docPr id="2027374912" name="image16.png"/>
                <a:graphic>
                  <a:graphicData uri="http://schemas.openxmlformats.org/drawingml/2006/picture">
                    <pic:pic>
                      <pic:nvPicPr>
                        <pic:cNvPr id="0" name="image16.png"/>
                        <pic:cNvPicPr preferRelativeResize="0"/>
                      </pic:nvPicPr>
                      <pic:blipFill>
                        <a:blip r:embed="rId42"/>
                        <a:srcRect/>
                        <a:stretch>
                          <a:fillRect/>
                        </a:stretch>
                      </pic:blipFill>
                      <pic:spPr>
                        <a:xfrm>
                          <a:off x="0" y="0"/>
                          <a:ext cx="5570270" cy="1040328"/>
                        </a:xfrm>
                        <a:prstGeom prst="rect"/>
                        <a:ln/>
                      </pic:spPr>
                    </pic:pic>
                  </a:graphicData>
                </a:graphic>
              </wp:anchor>
            </w:drawing>
          </mc:Fallback>
        </mc:AlternateContent>
      </w:r>
    </w:p>
    <w:p w14:paraId="2FF93F65" w14:textId="77777777" w:rsidR="00411983" w:rsidRPr="00D37331" w:rsidRDefault="00922C23">
      <w:pPr>
        <w:spacing w:line="360" w:lineRule="auto"/>
        <w:jc w:val="center"/>
        <w:rPr>
          <w:rFonts w:ascii="Palatino Linotype" w:eastAsia="Palatino Linotype" w:hAnsi="Palatino Linotype" w:cs="Palatino Linotype"/>
        </w:rPr>
      </w:pPr>
      <w:r w:rsidRPr="00D37331">
        <w:rPr>
          <w:rFonts w:ascii="Palatino Linotype" w:eastAsia="Palatino Linotype" w:hAnsi="Palatino Linotype" w:cs="Palatino Linotype"/>
          <w:noProof/>
        </w:rPr>
        <w:drawing>
          <wp:inline distT="0" distB="0" distL="0" distR="0" wp14:anchorId="76671513" wp14:editId="6BA06353">
            <wp:extent cx="5791835" cy="1851025"/>
            <wp:effectExtent l="0" t="0" r="0" b="0"/>
            <wp:docPr id="20273749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5791835" cy="1851025"/>
                    </a:xfrm>
                    <a:prstGeom prst="rect">
                      <a:avLst/>
                    </a:prstGeom>
                    <a:ln/>
                  </pic:spPr>
                </pic:pic>
              </a:graphicData>
            </a:graphic>
          </wp:inline>
        </w:drawing>
      </w:r>
      <w:r w:rsidRPr="00D37331">
        <w:rPr>
          <w:noProof/>
        </w:rPr>
        <mc:AlternateContent>
          <mc:Choice Requires="wpg">
            <w:drawing>
              <wp:anchor distT="0" distB="0" distL="114300" distR="114300" simplePos="0" relativeHeight="251661312" behindDoc="0" locked="0" layoutInCell="1" hidden="0" allowOverlap="1" wp14:anchorId="030F56E0" wp14:editId="7E847C41">
                <wp:simplePos x="0" y="0"/>
                <wp:positionH relativeFrom="column">
                  <wp:posOffset>25401</wp:posOffset>
                </wp:positionH>
                <wp:positionV relativeFrom="paragraph">
                  <wp:posOffset>977900</wp:posOffset>
                </wp:positionV>
                <wp:extent cx="5742957" cy="369372"/>
                <wp:effectExtent l="0" t="0" r="0" b="0"/>
                <wp:wrapNone/>
                <wp:docPr id="2027374910" name="Rectángulo 2027374910"/>
                <wp:cNvGraphicFramePr/>
                <a:graphic xmlns:a="http://schemas.openxmlformats.org/drawingml/2006/main">
                  <a:graphicData uri="http://schemas.microsoft.com/office/word/2010/wordprocessingShape">
                    <wps:wsp>
                      <wps:cNvSpPr/>
                      <wps:spPr>
                        <a:xfrm>
                          <a:off x="2484047" y="3604839"/>
                          <a:ext cx="5723907" cy="350322"/>
                        </a:xfrm>
                        <a:prstGeom prst="rect">
                          <a:avLst/>
                        </a:prstGeom>
                        <a:noFill/>
                        <a:ln w="19050" cap="flat" cmpd="sng">
                          <a:solidFill>
                            <a:srgbClr val="FF0000"/>
                          </a:solidFill>
                          <a:prstDash val="solid"/>
                          <a:miter lim="800000"/>
                          <a:headEnd type="none" w="sm" len="sm"/>
                          <a:tailEnd type="none" w="sm" len="sm"/>
                        </a:ln>
                      </wps:spPr>
                      <wps:txbx>
                        <w:txbxContent>
                          <w:p w14:paraId="42004966" w14:textId="77777777" w:rsidR="00411983" w:rsidRDefault="00411983">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25401</wp:posOffset>
                </wp:positionH>
                <wp:positionV relativeFrom="paragraph">
                  <wp:posOffset>977900</wp:posOffset>
                </wp:positionV>
                <wp:extent cx="5742957" cy="369372"/>
                <wp:effectExtent b="0" l="0" r="0" t="0"/>
                <wp:wrapNone/>
                <wp:docPr id="2027374910" name="image11.png"/>
                <a:graphic>
                  <a:graphicData uri="http://schemas.openxmlformats.org/drawingml/2006/picture">
                    <pic:pic>
                      <pic:nvPicPr>
                        <pic:cNvPr id="0" name="image11.png"/>
                        <pic:cNvPicPr preferRelativeResize="0"/>
                      </pic:nvPicPr>
                      <pic:blipFill>
                        <a:blip r:embed="rId44"/>
                        <a:srcRect/>
                        <a:stretch>
                          <a:fillRect/>
                        </a:stretch>
                      </pic:blipFill>
                      <pic:spPr>
                        <a:xfrm>
                          <a:off x="0" y="0"/>
                          <a:ext cx="5742957" cy="369372"/>
                        </a:xfrm>
                        <a:prstGeom prst="rect"/>
                        <a:ln/>
                      </pic:spPr>
                    </pic:pic>
                  </a:graphicData>
                </a:graphic>
              </wp:anchor>
            </w:drawing>
          </mc:Fallback>
        </mc:AlternateContent>
      </w:r>
    </w:p>
    <w:p w14:paraId="0801E561" w14:textId="77777777" w:rsidR="00411983" w:rsidRPr="00D37331" w:rsidRDefault="00922C23">
      <w:pP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rPr>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D37331">
        <w:rPr>
          <w:rFonts w:ascii="Palatino Linotype" w:eastAsia="Palatino Linotype" w:hAnsi="Palatino Linotype" w:cs="Palatino Linotype"/>
          <w:b/>
        </w:rPr>
        <w:t>análisis caso por caso.</w:t>
      </w:r>
    </w:p>
    <w:p w14:paraId="4BC96BFE" w14:textId="77777777" w:rsidR="00411983" w:rsidRPr="00D37331" w:rsidRDefault="00411983">
      <w:pPr>
        <w:spacing w:line="360" w:lineRule="auto"/>
        <w:jc w:val="both"/>
        <w:rPr>
          <w:rFonts w:ascii="Palatino Linotype" w:eastAsia="Palatino Linotype" w:hAnsi="Palatino Linotype" w:cs="Palatino Linotype"/>
          <w:b/>
        </w:rPr>
      </w:pPr>
    </w:p>
    <w:p w14:paraId="0940BA21"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lastRenderedPageBreak/>
        <w:t xml:space="preserve">Además, el artículo 131 de la Ley referida, así como el Quinto de los Lineamientos Generales, establecen que los sujetos obligados </w:t>
      </w:r>
      <w:r w:rsidRPr="00D37331">
        <w:rPr>
          <w:rFonts w:ascii="Palatino Linotype" w:eastAsia="Palatino Linotype" w:hAnsi="Palatino Linotype" w:cs="Palatino Linotype"/>
          <w:b/>
        </w:rPr>
        <w:t>deberán fundar y motivar</w:t>
      </w:r>
      <w:r w:rsidRPr="00D37331">
        <w:rPr>
          <w:rFonts w:ascii="Palatino Linotype" w:eastAsia="Palatino Linotype" w:hAnsi="Palatino Linotype" w:cs="Palatino Linotype"/>
        </w:rPr>
        <w:t xml:space="preserve"> debidamente la clasificación de la información.</w:t>
      </w:r>
    </w:p>
    <w:p w14:paraId="13314913" w14:textId="77777777" w:rsidR="00411983" w:rsidRPr="00D37331" w:rsidRDefault="00411983">
      <w:pPr>
        <w:spacing w:line="360" w:lineRule="auto"/>
        <w:jc w:val="both"/>
        <w:rPr>
          <w:rFonts w:ascii="Palatino Linotype" w:eastAsia="Palatino Linotype" w:hAnsi="Palatino Linotype" w:cs="Palatino Linotype"/>
        </w:rPr>
      </w:pPr>
    </w:p>
    <w:p w14:paraId="64CD2382"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Al respecto, el Octavo de los Lineamientos Generales, precisa lo siguiente:</w:t>
      </w:r>
    </w:p>
    <w:p w14:paraId="2CD8289D" w14:textId="77777777" w:rsidR="00411983" w:rsidRPr="00D37331" w:rsidRDefault="00411983">
      <w:pPr>
        <w:spacing w:line="360" w:lineRule="auto"/>
        <w:jc w:val="both"/>
        <w:rPr>
          <w:rFonts w:ascii="Palatino Linotype" w:eastAsia="Palatino Linotype" w:hAnsi="Palatino Linotype" w:cs="Palatino Linotype"/>
        </w:rPr>
      </w:pPr>
    </w:p>
    <w:p w14:paraId="7B9AE892" w14:textId="77777777" w:rsidR="00411983" w:rsidRPr="00D37331" w:rsidRDefault="00922C23">
      <w:pPr>
        <w:numPr>
          <w:ilvl w:val="0"/>
          <w:numId w:val="10"/>
        </w:num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b/>
        </w:rPr>
        <w:t>Para fundar la clasificación</w:t>
      </w:r>
      <w:r w:rsidRPr="00D37331">
        <w:rPr>
          <w:rFonts w:ascii="Palatino Linotype" w:eastAsia="Palatino Linotype" w:hAnsi="Palatino Linotype" w:cs="Palatino Linotype"/>
        </w:rPr>
        <w:t xml:space="preserve"> de la información se deberán señalar el artículo, fracción, inciso, párrafo o numeral de la Ley aplicable;</w:t>
      </w:r>
    </w:p>
    <w:p w14:paraId="00D92B91" w14:textId="77777777" w:rsidR="00411983" w:rsidRPr="00D37331" w:rsidRDefault="00922C23">
      <w:pPr>
        <w:numPr>
          <w:ilvl w:val="0"/>
          <w:numId w:val="10"/>
        </w:num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b/>
        </w:rPr>
        <w:t>Para motivar la clasificación</w:t>
      </w:r>
      <w:r w:rsidRPr="00D37331">
        <w:rPr>
          <w:rFonts w:ascii="Palatino Linotype" w:eastAsia="Palatino Linotype" w:hAnsi="Palatino Linotype" w:cs="Palatino Linotype"/>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26691D57" w14:textId="77777777" w:rsidR="00411983" w:rsidRPr="00D37331" w:rsidRDefault="00411983">
      <w:pPr>
        <w:pBdr>
          <w:top w:val="nil"/>
          <w:left w:val="nil"/>
          <w:bottom w:val="nil"/>
          <w:right w:val="nil"/>
          <w:between w:val="nil"/>
        </w:pBdr>
        <w:spacing w:line="360" w:lineRule="auto"/>
        <w:ind w:left="720"/>
        <w:rPr>
          <w:rFonts w:ascii="Palatino Linotype" w:eastAsia="Palatino Linotype" w:hAnsi="Palatino Linotype" w:cs="Palatino Linotype"/>
        </w:rPr>
      </w:pPr>
    </w:p>
    <w:p w14:paraId="299746E9"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2B880F62" w14:textId="77777777" w:rsidR="00411983" w:rsidRPr="00D37331" w:rsidRDefault="00411983">
      <w:pPr>
        <w:spacing w:line="360" w:lineRule="auto"/>
        <w:jc w:val="both"/>
        <w:rPr>
          <w:rFonts w:ascii="Palatino Linotype" w:eastAsia="Palatino Linotype" w:hAnsi="Palatino Linotype" w:cs="Palatino Linotype"/>
        </w:rPr>
      </w:pPr>
    </w:p>
    <w:p w14:paraId="1DC2DD4F" w14:textId="77777777" w:rsidR="00411983" w:rsidRPr="00D37331" w:rsidRDefault="00922C23">
      <w:pPr>
        <w:ind w:left="567" w:right="567"/>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 xml:space="preserve">“FUNDAMENTACION Y MOTIVACION, CONCEPTO DE. </w:t>
      </w:r>
      <w:r w:rsidRPr="00D37331">
        <w:rPr>
          <w:rFonts w:ascii="Palatino Linotype" w:eastAsia="Palatino Linotype" w:hAnsi="Palatino Linotype" w:cs="Palatino Linotype"/>
          <w:i/>
          <w:sz w:val="22"/>
          <w:szCs w:val="22"/>
        </w:rPr>
        <w:t xml:space="preserve">La garantía de legalidad consagrada en el artículo 16 de nuestra Carta Magna, establece que todo acto de autoridad </w:t>
      </w:r>
      <w:r w:rsidRPr="00D37331">
        <w:rPr>
          <w:rFonts w:ascii="Palatino Linotype" w:eastAsia="Palatino Linotype" w:hAnsi="Palatino Linotype" w:cs="Palatino Linotype"/>
          <w:i/>
          <w:sz w:val="22"/>
          <w:szCs w:val="22"/>
        </w:rPr>
        <w:lastRenderedPageBreak/>
        <w:t>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57B0F275" w14:textId="77777777" w:rsidR="00411983" w:rsidRPr="00D37331" w:rsidRDefault="00411983">
      <w:pPr>
        <w:ind w:left="567" w:right="567"/>
        <w:jc w:val="both"/>
        <w:rPr>
          <w:rFonts w:ascii="Palatino Linotype" w:eastAsia="Palatino Linotype" w:hAnsi="Palatino Linotype" w:cs="Palatino Linotype"/>
          <w:i/>
        </w:rPr>
      </w:pPr>
    </w:p>
    <w:p w14:paraId="3A525107"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Conforme a lo anterior, se advierte lo siguiente:</w:t>
      </w:r>
    </w:p>
    <w:p w14:paraId="02FB4586" w14:textId="77777777" w:rsidR="00411983" w:rsidRPr="00D37331" w:rsidRDefault="00411983">
      <w:pPr>
        <w:spacing w:line="360" w:lineRule="auto"/>
        <w:jc w:val="both"/>
        <w:rPr>
          <w:rFonts w:ascii="Palatino Linotype" w:eastAsia="Palatino Linotype" w:hAnsi="Palatino Linotype" w:cs="Palatino Linotype"/>
        </w:rPr>
      </w:pPr>
    </w:p>
    <w:p w14:paraId="7CA6E032" w14:textId="77777777" w:rsidR="00411983" w:rsidRPr="00D37331" w:rsidRDefault="00922C23">
      <w:pPr>
        <w:numPr>
          <w:ilvl w:val="0"/>
          <w:numId w:val="5"/>
        </w:numP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b/>
        </w:rPr>
        <w:t xml:space="preserve">Fundamentación: </w:t>
      </w:r>
      <w:r w:rsidRPr="00D37331">
        <w:rPr>
          <w:rFonts w:ascii="Palatino Linotype" w:eastAsia="Palatino Linotype" w:hAnsi="Palatino Linotype" w:cs="Palatino Linotype"/>
        </w:rPr>
        <w:t>Obligación de la autoridad que emite un acto, para citar los preceptos legales, sustantivos y adjetivos, en que se apoye para la determinación tomada.</w:t>
      </w:r>
    </w:p>
    <w:p w14:paraId="28F3D90D" w14:textId="77777777" w:rsidR="00411983" w:rsidRPr="00D37331" w:rsidRDefault="00922C23">
      <w:pPr>
        <w:numPr>
          <w:ilvl w:val="0"/>
          <w:numId w:val="5"/>
        </w:numP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b/>
        </w:rPr>
        <w:t xml:space="preserve">Motivación: </w:t>
      </w:r>
      <w:r w:rsidRPr="00D37331">
        <w:rPr>
          <w:rFonts w:ascii="Palatino Linotype" w:eastAsia="Palatino Linotype" w:hAnsi="Palatino Linotype" w:cs="Palatino Linotype"/>
        </w:rPr>
        <w:t>Razonamientos lógico-jurídicos sobre porque se consideró en el caso en concreto, que se ajusta a la hipótesis normativa.</w:t>
      </w:r>
    </w:p>
    <w:p w14:paraId="2DDA8E15" w14:textId="77777777" w:rsidR="00411983" w:rsidRPr="00D37331" w:rsidRDefault="00411983">
      <w:pPr>
        <w:spacing w:line="360" w:lineRule="auto"/>
        <w:jc w:val="both"/>
        <w:rPr>
          <w:rFonts w:ascii="Palatino Linotype" w:eastAsia="Palatino Linotype" w:hAnsi="Palatino Linotype" w:cs="Palatino Linotype"/>
        </w:rPr>
      </w:pPr>
    </w:p>
    <w:p w14:paraId="3489849C"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En ese orden de ideas, el Trigésimo tercero de los Lineamientos Generales, establece la forma en que se debe fundamentar y motivar la reserva de la información, es decir, a través de los siguientes pasos:</w:t>
      </w:r>
    </w:p>
    <w:p w14:paraId="1AB12B5E" w14:textId="77777777" w:rsidR="00411983" w:rsidRPr="00D37331" w:rsidRDefault="00411983">
      <w:pPr>
        <w:spacing w:line="360" w:lineRule="auto"/>
        <w:jc w:val="both"/>
        <w:rPr>
          <w:rFonts w:ascii="Palatino Linotype" w:eastAsia="Palatino Linotype" w:hAnsi="Palatino Linotype" w:cs="Palatino Linotype"/>
        </w:rPr>
      </w:pPr>
    </w:p>
    <w:p w14:paraId="19D96EB2" w14:textId="77777777" w:rsidR="00411983" w:rsidRPr="00D37331" w:rsidRDefault="00922C23">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45786952" w14:textId="77777777" w:rsidR="00411983" w:rsidRPr="00D37331" w:rsidRDefault="00922C23">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Se deberá demostrar que la publicidad de la información generaría un riesgo de perjuicio, que rebasa el interés público;</w:t>
      </w:r>
    </w:p>
    <w:p w14:paraId="376D53A5" w14:textId="77777777" w:rsidR="00411983" w:rsidRPr="00D37331" w:rsidRDefault="00922C23">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Se acreditará el vínculo entre la difusión de la información y la afectación del interés jurídico tutelado;</w:t>
      </w:r>
    </w:p>
    <w:p w14:paraId="782EA725" w14:textId="77777777" w:rsidR="00411983" w:rsidRPr="00D37331" w:rsidRDefault="00922C23">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lastRenderedPageBreak/>
        <w:t>Se precisará las razones objetivas por las que la apertura de la información generaría una afectación, por medio del riesgo real, demostrable e identificable;</w:t>
      </w:r>
    </w:p>
    <w:p w14:paraId="30CF3E36" w14:textId="77777777" w:rsidR="00411983" w:rsidRPr="00D37331" w:rsidRDefault="00922C23">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Se deberán señalar las circunstancias de modo, tiempo y lugar del daño, y</w:t>
      </w:r>
    </w:p>
    <w:p w14:paraId="19927C8E" w14:textId="77777777" w:rsidR="00411983" w:rsidRPr="00D37331" w:rsidRDefault="00922C23">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Se elegirá la opción de excepción al acceso a la información que menos restrinja, la cual será adecuada y proporcional para la protección del interés público.</w:t>
      </w:r>
    </w:p>
    <w:p w14:paraId="23C10C62" w14:textId="77777777" w:rsidR="00411983" w:rsidRPr="00D37331" w:rsidRDefault="00411983">
      <w:pPr>
        <w:spacing w:line="360" w:lineRule="auto"/>
        <w:jc w:val="both"/>
        <w:rPr>
          <w:rFonts w:ascii="Palatino Linotype" w:eastAsia="Palatino Linotype" w:hAnsi="Palatino Linotype" w:cs="Palatino Linotype"/>
        </w:rPr>
      </w:pPr>
    </w:p>
    <w:p w14:paraId="4004D94D"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Ahora bien, toda vez que, el Comité de Transparencia reservó la información solicitada en apego a la fracción X del 140 de la Ley de Transparencia Local, se procede a analizar dicha causal, al tenor de lo siguiente: </w:t>
      </w:r>
    </w:p>
    <w:p w14:paraId="151146AD" w14:textId="77777777" w:rsidR="00411983" w:rsidRPr="00D37331" w:rsidRDefault="00411983">
      <w:pPr>
        <w:spacing w:line="360" w:lineRule="auto"/>
        <w:jc w:val="both"/>
        <w:rPr>
          <w:rFonts w:ascii="Palatino Linotype" w:eastAsia="Palatino Linotype" w:hAnsi="Palatino Linotype" w:cs="Palatino Linotype"/>
        </w:rPr>
      </w:pPr>
    </w:p>
    <w:p w14:paraId="52D11D4F" w14:textId="77777777" w:rsidR="00411983" w:rsidRPr="00D37331" w:rsidRDefault="00922C23">
      <w:pPr>
        <w:spacing w:line="360" w:lineRule="auto"/>
        <w:jc w:val="both"/>
        <w:rPr>
          <w:rFonts w:ascii="Palatino Linotype" w:eastAsia="Palatino Linotype" w:hAnsi="Palatino Linotype" w:cs="Palatino Linotype"/>
          <w:b/>
          <w:u w:val="single"/>
        </w:rPr>
      </w:pPr>
      <w:r w:rsidRPr="00D37331">
        <w:rPr>
          <w:rFonts w:ascii="Palatino Linotype" w:eastAsia="Palatino Linotype" w:hAnsi="Palatino Linotype" w:cs="Palatino Linotype"/>
        </w:rPr>
        <w:t xml:space="preserve">De acuerdo con lo que establece el artículo 140, fracción X, de la Ley de Transparencia y Acceso a la Información Pública del Estado de México y Municipios, </w:t>
      </w:r>
      <w:r w:rsidRPr="00D37331">
        <w:rPr>
          <w:rFonts w:ascii="Palatino Linotype" w:eastAsia="Palatino Linotype" w:hAnsi="Palatino Linotype" w:cs="Palatino Linotype"/>
          <w:b/>
          <w:u w:val="single"/>
        </w:rPr>
        <w:t>será información reservada, aquella en la que el daño que pueda producirse con la publicación de la información sea mayor que el interés público de conocer la información de referencia, siempre que esté directamente relacionado con procesos o procedimientos administrativos o judiciales que no hayan quedado firme.</w:t>
      </w:r>
    </w:p>
    <w:p w14:paraId="3B5E3DF6" w14:textId="77777777" w:rsidR="00411983" w:rsidRPr="00D37331" w:rsidRDefault="00411983">
      <w:pPr>
        <w:spacing w:line="360" w:lineRule="auto"/>
        <w:jc w:val="both"/>
        <w:rPr>
          <w:rFonts w:ascii="Palatino Linotype" w:eastAsia="Palatino Linotype" w:hAnsi="Palatino Linotype" w:cs="Palatino Linotype"/>
        </w:rPr>
      </w:pPr>
    </w:p>
    <w:p w14:paraId="297BCD2D"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En ese sentido, los Lineamientos Generales prevén lo siguiente:</w:t>
      </w:r>
    </w:p>
    <w:p w14:paraId="0D7B03C7" w14:textId="77777777" w:rsidR="00411983" w:rsidRPr="00D37331" w:rsidRDefault="00411983">
      <w:pPr>
        <w:spacing w:line="360" w:lineRule="auto"/>
        <w:ind w:left="567" w:right="985"/>
        <w:jc w:val="both"/>
        <w:rPr>
          <w:rFonts w:ascii="Palatino Linotype" w:eastAsia="Palatino Linotype" w:hAnsi="Palatino Linotype" w:cs="Palatino Linotype"/>
          <w:b/>
          <w:i/>
        </w:rPr>
      </w:pPr>
    </w:p>
    <w:p w14:paraId="434CA742" w14:textId="77777777" w:rsidR="00411983" w:rsidRPr="00D37331" w:rsidRDefault="00922C23">
      <w:pPr>
        <w:ind w:left="567" w:right="987"/>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“Vigésimo noveno.</w:t>
      </w:r>
      <w:r w:rsidRPr="00D37331">
        <w:rPr>
          <w:rFonts w:ascii="Palatino Linotype" w:eastAsia="Palatino Linotype" w:hAnsi="Palatino Linotype" w:cs="Palatino Linotype"/>
          <w:i/>
          <w:sz w:val="22"/>
          <w:szCs w:val="22"/>
        </w:rPr>
        <w:t> De conformidad con el artículo 113, fracción X de la Ley General, podrá considerarse como información reservada, aquella que de divulgarse afecte el debido proceso al actualizarse los siguientes elementos:</w:t>
      </w:r>
    </w:p>
    <w:p w14:paraId="6EB97121" w14:textId="77777777" w:rsidR="00411983" w:rsidRPr="00D37331" w:rsidRDefault="00922C23">
      <w:pPr>
        <w:ind w:left="567" w:right="987"/>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w:t>
      </w:r>
      <w:r w:rsidRPr="00D37331">
        <w:rPr>
          <w:rFonts w:ascii="Palatino Linotype" w:eastAsia="Palatino Linotype" w:hAnsi="Palatino Linotype" w:cs="Palatino Linotype"/>
          <w:i/>
          <w:sz w:val="22"/>
          <w:szCs w:val="22"/>
        </w:rPr>
        <w:t>        La existencia de un procedimiento judicial, administrativo o arbitral en trámite;</w:t>
      </w:r>
    </w:p>
    <w:p w14:paraId="5B35FD3E" w14:textId="77777777" w:rsidR="00411983" w:rsidRPr="00D37331" w:rsidRDefault="00922C23">
      <w:pPr>
        <w:ind w:left="567" w:right="987"/>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II.</w:t>
      </w:r>
      <w:r w:rsidRPr="00D37331">
        <w:rPr>
          <w:rFonts w:ascii="Palatino Linotype" w:eastAsia="Palatino Linotype" w:hAnsi="Palatino Linotype" w:cs="Palatino Linotype"/>
          <w:i/>
          <w:sz w:val="22"/>
          <w:szCs w:val="22"/>
        </w:rPr>
        <w:t>       Que el sujeto obligado sea parte en ese procedimiento;</w:t>
      </w:r>
    </w:p>
    <w:p w14:paraId="41410FE9" w14:textId="77777777" w:rsidR="00411983" w:rsidRPr="00D37331" w:rsidRDefault="00922C23">
      <w:pPr>
        <w:ind w:left="567" w:right="987"/>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III.</w:t>
      </w:r>
      <w:r w:rsidRPr="00D37331">
        <w:rPr>
          <w:rFonts w:ascii="Palatino Linotype" w:eastAsia="Palatino Linotype" w:hAnsi="Palatino Linotype" w:cs="Palatino Linotype"/>
          <w:i/>
          <w:sz w:val="22"/>
          <w:szCs w:val="22"/>
        </w:rPr>
        <w:t>      Que la información no sea conocida por la contraparte antes de la presentación de la misma en el proceso, y</w:t>
      </w:r>
    </w:p>
    <w:p w14:paraId="780C360F" w14:textId="77777777" w:rsidR="00411983" w:rsidRPr="00D37331" w:rsidRDefault="00922C23">
      <w:pPr>
        <w:ind w:left="567" w:right="987"/>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IV.</w:t>
      </w:r>
      <w:r w:rsidRPr="00D37331">
        <w:rPr>
          <w:rFonts w:ascii="Palatino Linotype" w:eastAsia="Palatino Linotype" w:hAnsi="Palatino Linotype" w:cs="Palatino Linotype"/>
          <w:i/>
          <w:sz w:val="22"/>
          <w:szCs w:val="22"/>
        </w:rPr>
        <w:t>      Que con su divulgación se afecte la oportunidad de llevar a cabo alguna de las garantías del debido proceso.”</w:t>
      </w:r>
    </w:p>
    <w:p w14:paraId="0782C42E"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lastRenderedPageBreak/>
        <w:t xml:space="preserve">De la normatividad citada, se desprende que el supuesto de clasificación invocado por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prevé que como información reservada podrá clasificarse aquella que de divulgarse afecte el debido proceso, por lo cual, para considerar que se actualiza dicha causal es necesario que se configuren los siguientes elementos:</w:t>
      </w:r>
    </w:p>
    <w:p w14:paraId="3EACCD63" w14:textId="77777777" w:rsidR="00411983" w:rsidRPr="00D37331" w:rsidRDefault="00411983">
      <w:pPr>
        <w:spacing w:line="360" w:lineRule="auto"/>
        <w:jc w:val="both"/>
        <w:rPr>
          <w:rFonts w:ascii="Palatino Linotype" w:eastAsia="Palatino Linotype" w:hAnsi="Palatino Linotype" w:cs="Palatino Linotype"/>
        </w:rPr>
      </w:pPr>
    </w:p>
    <w:p w14:paraId="06501D0B" w14:textId="77777777" w:rsidR="00411983" w:rsidRPr="00D37331" w:rsidRDefault="00922C23">
      <w:pPr>
        <w:spacing w:line="360" w:lineRule="auto"/>
        <w:ind w:left="720"/>
        <w:jc w:val="both"/>
        <w:rPr>
          <w:rFonts w:ascii="Palatino Linotype" w:eastAsia="Palatino Linotype" w:hAnsi="Palatino Linotype" w:cs="Palatino Linotype"/>
        </w:rPr>
      </w:pPr>
      <w:r w:rsidRPr="00D37331">
        <w:rPr>
          <w:rFonts w:ascii="Palatino Linotype" w:eastAsia="Palatino Linotype" w:hAnsi="Palatino Linotype" w:cs="Palatino Linotype"/>
          <w:b/>
        </w:rPr>
        <w:t>I.</w:t>
      </w:r>
      <w:r w:rsidRPr="00D37331">
        <w:rPr>
          <w:rFonts w:ascii="Palatino Linotype" w:eastAsia="Palatino Linotype" w:hAnsi="Palatino Linotype" w:cs="Palatino Linotype"/>
        </w:rPr>
        <w:t>        La existencia de un procedimiento judicial, administrativo o arbitral en trámite;</w:t>
      </w:r>
    </w:p>
    <w:p w14:paraId="4A76ECD0" w14:textId="77777777" w:rsidR="00411983" w:rsidRPr="00D37331" w:rsidRDefault="00922C23">
      <w:pPr>
        <w:spacing w:line="360" w:lineRule="auto"/>
        <w:ind w:left="720"/>
        <w:jc w:val="both"/>
        <w:rPr>
          <w:rFonts w:ascii="Palatino Linotype" w:eastAsia="Palatino Linotype" w:hAnsi="Palatino Linotype" w:cs="Palatino Linotype"/>
        </w:rPr>
      </w:pPr>
      <w:r w:rsidRPr="00D37331">
        <w:rPr>
          <w:rFonts w:ascii="Palatino Linotype" w:eastAsia="Palatino Linotype" w:hAnsi="Palatino Linotype" w:cs="Palatino Linotype"/>
          <w:b/>
        </w:rPr>
        <w:t>II.</w:t>
      </w:r>
      <w:r w:rsidRPr="00D37331">
        <w:rPr>
          <w:rFonts w:ascii="Palatino Linotype" w:eastAsia="Palatino Linotype" w:hAnsi="Palatino Linotype" w:cs="Palatino Linotype"/>
        </w:rPr>
        <w:t>       Que el sujeto obligado sea parte en ese procedimiento;</w:t>
      </w:r>
    </w:p>
    <w:p w14:paraId="4F67BBC8" w14:textId="77777777" w:rsidR="00411983" w:rsidRPr="00D37331" w:rsidRDefault="00922C23">
      <w:pPr>
        <w:spacing w:line="360" w:lineRule="auto"/>
        <w:ind w:left="720"/>
        <w:jc w:val="both"/>
        <w:rPr>
          <w:rFonts w:ascii="Palatino Linotype" w:eastAsia="Palatino Linotype" w:hAnsi="Palatino Linotype" w:cs="Palatino Linotype"/>
        </w:rPr>
      </w:pPr>
      <w:r w:rsidRPr="00D37331">
        <w:rPr>
          <w:rFonts w:ascii="Palatino Linotype" w:eastAsia="Palatino Linotype" w:hAnsi="Palatino Linotype" w:cs="Palatino Linotype"/>
          <w:b/>
        </w:rPr>
        <w:t>III.</w:t>
      </w:r>
      <w:r w:rsidRPr="00D37331">
        <w:rPr>
          <w:rFonts w:ascii="Palatino Linotype" w:eastAsia="Palatino Linotype" w:hAnsi="Palatino Linotype" w:cs="Palatino Linotype"/>
        </w:rPr>
        <w:t>      Que la información no sea conocida por la contraparte antes de la presentación de la misma en el proceso, y</w:t>
      </w:r>
    </w:p>
    <w:p w14:paraId="599BC7CA" w14:textId="77777777" w:rsidR="00411983" w:rsidRPr="00D37331" w:rsidRDefault="00922C23">
      <w:pPr>
        <w:spacing w:line="360" w:lineRule="auto"/>
        <w:ind w:left="720"/>
        <w:jc w:val="both"/>
        <w:rPr>
          <w:rFonts w:ascii="Palatino Linotype" w:eastAsia="Palatino Linotype" w:hAnsi="Palatino Linotype" w:cs="Palatino Linotype"/>
        </w:rPr>
      </w:pPr>
      <w:r w:rsidRPr="00D37331">
        <w:rPr>
          <w:rFonts w:ascii="Palatino Linotype" w:eastAsia="Palatino Linotype" w:hAnsi="Palatino Linotype" w:cs="Palatino Linotype"/>
          <w:b/>
        </w:rPr>
        <w:t>IV.</w:t>
      </w:r>
      <w:r w:rsidRPr="00D37331">
        <w:rPr>
          <w:rFonts w:ascii="Palatino Linotype" w:eastAsia="Palatino Linotype" w:hAnsi="Palatino Linotype" w:cs="Palatino Linotype"/>
        </w:rPr>
        <w:t>      Que con su divulgación se afecte la oportunidad de llevar a cabo alguna de las garantías del debido proceso.</w:t>
      </w:r>
    </w:p>
    <w:p w14:paraId="484C6BF2" w14:textId="77777777" w:rsidR="00411983" w:rsidRPr="00D37331" w:rsidRDefault="00411983">
      <w:pPr>
        <w:spacing w:line="360" w:lineRule="auto"/>
        <w:jc w:val="both"/>
        <w:rPr>
          <w:rFonts w:ascii="Palatino Linotype" w:eastAsia="Palatino Linotype" w:hAnsi="Palatino Linotype" w:cs="Palatino Linotype"/>
        </w:rPr>
      </w:pPr>
    </w:p>
    <w:p w14:paraId="36D5FB68"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Con base en lo expuesto, se advierte que la información susceptible de clasificarse como reservada bajo el supuesto aludido por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es aquella cuya difusión</w:t>
      </w:r>
      <w:r w:rsidRPr="00D37331">
        <w:t xml:space="preserve"> </w:t>
      </w:r>
      <w:r w:rsidRPr="00D37331">
        <w:rPr>
          <w:rFonts w:ascii="Palatino Linotype" w:eastAsia="Palatino Linotype" w:hAnsi="Palatino Linotype" w:cs="Palatino Linotype"/>
        </w:rPr>
        <w:t xml:space="preserve">afecte el debido proceso, ante la existencia de un procedimiento judicial, administrativo o arbitral en trámite, en donde el </w:t>
      </w:r>
      <w:r w:rsidRPr="00D37331">
        <w:rPr>
          <w:rFonts w:ascii="Palatino Linotype" w:eastAsia="Palatino Linotype" w:hAnsi="Palatino Linotype" w:cs="Palatino Linotype"/>
          <w:b/>
        </w:rPr>
        <w:t xml:space="preserve">SUJETO OBLIGADO </w:t>
      </w:r>
      <w:r w:rsidRPr="00D37331">
        <w:rPr>
          <w:rFonts w:ascii="Palatino Linotype" w:eastAsia="Palatino Linotype" w:hAnsi="Palatino Linotype" w:cs="Palatino Linotype"/>
        </w:rPr>
        <w:t xml:space="preserve">es parte. </w:t>
      </w:r>
    </w:p>
    <w:p w14:paraId="4A1A8C1D" w14:textId="77777777" w:rsidR="00411983" w:rsidRPr="00D37331" w:rsidRDefault="00411983">
      <w:pPr>
        <w:spacing w:line="360" w:lineRule="auto"/>
        <w:jc w:val="both"/>
        <w:rPr>
          <w:rFonts w:ascii="Palatino Linotype" w:eastAsia="Palatino Linotype" w:hAnsi="Palatino Linotype" w:cs="Palatino Linotype"/>
        </w:rPr>
      </w:pPr>
    </w:p>
    <w:p w14:paraId="777E0B60"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Por lo cual, se procede analizar cada uno de los requisitos señalados en los Lineamientos Generales, con la finalidad de verificar si se configura la hipótesis de reserva en estudio:</w:t>
      </w:r>
    </w:p>
    <w:p w14:paraId="39874FB8" w14:textId="77777777" w:rsidR="00411983" w:rsidRPr="00D37331" w:rsidRDefault="00411983">
      <w:pPr>
        <w:spacing w:line="360" w:lineRule="auto"/>
        <w:jc w:val="both"/>
        <w:rPr>
          <w:rFonts w:ascii="Palatino Linotype" w:eastAsia="Palatino Linotype" w:hAnsi="Palatino Linotype" w:cs="Palatino Linotype"/>
        </w:rPr>
      </w:pPr>
    </w:p>
    <w:p w14:paraId="170A2AC6" w14:textId="77777777" w:rsidR="00411983" w:rsidRPr="00D37331" w:rsidRDefault="00922C23">
      <w:pPr>
        <w:numPr>
          <w:ilvl w:val="0"/>
          <w:numId w:val="7"/>
        </w:numP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b/>
        </w:rPr>
        <w:t>La existencia de un procedimiento judicial, administrativo o arbitral en trámite.</w:t>
      </w:r>
    </w:p>
    <w:p w14:paraId="7C17BB1A"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lastRenderedPageBreak/>
        <w:t xml:space="preserve">Al respecto, en el presente caso,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indicó que las actas, oficios y/o documentos de las recomendaciones derivadas de las visitas de inspección y/o supervisiones realizadas por la Unidad de Asuntos Internos a las unidades administrativas de la Secretaría de Seguridad del Estado de México del año 2024,  se clasificaban como información reservada ya que los mismos obraban en diferentes expedientes de investigación de quejas y denuncias </w:t>
      </w:r>
      <w:proofErr w:type="spellStart"/>
      <w:r w:rsidRPr="00D37331">
        <w:rPr>
          <w:rFonts w:ascii="Palatino Linotype" w:eastAsia="Palatino Linotype" w:hAnsi="Palatino Linotype" w:cs="Palatino Linotype"/>
        </w:rPr>
        <w:t>aperturados</w:t>
      </w:r>
      <w:proofErr w:type="spellEnd"/>
      <w:r w:rsidRPr="00D37331">
        <w:rPr>
          <w:rFonts w:ascii="Palatino Linotype" w:eastAsia="Palatino Linotype" w:hAnsi="Palatino Linotype" w:cs="Palatino Linotype"/>
        </w:rPr>
        <w:t xml:space="preserve"> en contra de integrantes de la Secretaría de Seguridad del Estado de México cuya divulgación podría causar daño presente, probable y específico al proceso final de investigación y los intereses de interés de orden público.</w:t>
      </w:r>
    </w:p>
    <w:p w14:paraId="3571D818" w14:textId="77777777" w:rsidR="00411983" w:rsidRPr="00D37331" w:rsidRDefault="00411983">
      <w:pPr>
        <w:spacing w:line="360" w:lineRule="auto"/>
        <w:jc w:val="both"/>
        <w:rPr>
          <w:rFonts w:ascii="Palatino Linotype" w:eastAsia="Palatino Linotype" w:hAnsi="Palatino Linotype" w:cs="Palatino Linotype"/>
        </w:rPr>
      </w:pPr>
    </w:p>
    <w:p w14:paraId="6B7BF01A"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Por lo que, en el caso, se desprende que la información a dicho del ente obligado se relaciona con procedimientos relacionados con probables faltas administrativas en contra de servidores públicos de la Secretaría de Seguridad que no han quedado firmes.</w:t>
      </w:r>
    </w:p>
    <w:p w14:paraId="0CB6F80E" w14:textId="77777777" w:rsidR="00411983" w:rsidRPr="00D37331" w:rsidRDefault="00411983">
      <w:pPr>
        <w:spacing w:line="360" w:lineRule="auto"/>
        <w:jc w:val="both"/>
        <w:rPr>
          <w:rFonts w:ascii="Palatino Linotype" w:eastAsia="Palatino Linotype" w:hAnsi="Palatino Linotype" w:cs="Palatino Linotype"/>
        </w:rPr>
      </w:pPr>
    </w:p>
    <w:p w14:paraId="6256E60F"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En ese sentido, en el presente asunto se advierte que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no acreditó fehacientemente que las actas, oficios y/o documentos tuvieran relación directa con los procedimientos que se desahogan y tampoco proporcionó elementos detallados que permitieran acreditar la existencia de procedimientos en trámite, como pudiera ser el número de radicación de los procedimientos, la etapa en la que se encuentra cada uno de ellos o bien, que las actas, oficios y/o documentos fueran constancias propias del mismo. </w:t>
      </w:r>
    </w:p>
    <w:p w14:paraId="3AC4B766" w14:textId="77777777" w:rsidR="00411983" w:rsidRPr="00D37331" w:rsidRDefault="00411983">
      <w:pPr>
        <w:spacing w:line="360" w:lineRule="auto"/>
        <w:jc w:val="both"/>
        <w:rPr>
          <w:rFonts w:ascii="Palatino Linotype" w:eastAsia="Palatino Linotype" w:hAnsi="Palatino Linotype" w:cs="Palatino Linotype"/>
        </w:rPr>
      </w:pPr>
    </w:p>
    <w:p w14:paraId="27BC97C0"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Es así que, la simple referencia del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respecto de cuentan con procedimientos en trámite, no basta para acreditar la existencia de un procedimiento </w:t>
      </w:r>
      <w:r w:rsidRPr="00D37331">
        <w:rPr>
          <w:rFonts w:ascii="Palatino Linotype" w:eastAsia="Palatino Linotype" w:hAnsi="Palatino Linotype" w:cs="Palatino Linotype"/>
        </w:rPr>
        <w:lastRenderedPageBreak/>
        <w:t xml:space="preserve">judicial, administrativo o arbitral en proceso y, por ende, no se actualiza la primera hipótesis. </w:t>
      </w:r>
    </w:p>
    <w:p w14:paraId="09167679" w14:textId="77777777" w:rsidR="00411983" w:rsidRPr="00D37331" w:rsidRDefault="00411983">
      <w:pPr>
        <w:spacing w:line="360" w:lineRule="auto"/>
        <w:jc w:val="both"/>
        <w:rPr>
          <w:rFonts w:ascii="Palatino Linotype" w:eastAsia="Palatino Linotype" w:hAnsi="Palatino Linotype" w:cs="Palatino Linotype"/>
        </w:rPr>
      </w:pPr>
    </w:p>
    <w:p w14:paraId="3DCBABA4" w14:textId="77777777" w:rsidR="00411983" w:rsidRPr="00D37331" w:rsidRDefault="00922C23">
      <w:pPr>
        <w:numPr>
          <w:ilvl w:val="0"/>
          <w:numId w:val="7"/>
        </w:numPr>
        <w:pBdr>
          <w:top w:val="nil"/>
          <w:left w:val="nil"/>
          <w:bottom w:val="nil"/>
          <w:right w:val="nil"/>
          <w:between w:val="nil"/>
        </w:pBdr>
        <w:spacing w:line="360" w:lineRule="auto"/>
        <w:rPr>
          <w:rFonts w:ascii="Palatino Linotype" w:eastAsia="Palatino Linotype" w:hAnsi="Palatino Linotype" w:cs="Palatino Linotype"/>
          <w:b/>
        </w:rPr>
      </w:pPr>
      <w:r w:rsidRPr="00D37331">
        <w:rPr>
          <w:rFonts w:ascii="Palatino Linotype" w:eastAsia="Palatino Linotype" w:hAnsi="Palatino Linotype" w:cs="Palatino Linotype"/>
          <w:b/>
        </w:rPr>
        <w:t>Que el SUJETO OBLIGADO sea parte en ese procedimiento:</w:t>
      </w:r>
    </w:p>
    <w:p w14:paraId="49848872"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 </w:t>
      </w:r>
    </w:p>
    <w:p w14:paraId="7C735D65" w14:textId="77777777" w:rsidR="00411983" w:rsidRPr="00D37331" w:rsidRDefault="00922C23">
      <w:pPr>
        <w:spacing w:line="360" w:lineRule="auto"/>
        <w:jc w:val="both"/>
        <w:rPr>
          <w:rFonts w:ascii="Palatino Linotype" w:eastAsia="Palatino Linotype" w:hAnsi="Palatino Linotype" w:cs="Palatino Linotype"/>
        </w:rPr>
      </w:pPr>
      <w:bookmarkStart w:id="1" w:name="_heading=h.30j0zll" w:colFirst="0" w:colLast="0"/>
      <w:bookmarkEnd w:id="1"/>
      <w:r w:rsidRPr="00D37331">
        <w:rPr>
          <w:rFonts w:ascii="Palatino Linotype" w:eastAsia="Palatino Linotype" w:hAnsi="Palatino Linotype" w:cs="Palatino Linotype"/>
        </w:rPr>
        <w:t xml:space="preserve">Ahora bien, en el presente caso,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señaló que, era parte dentro de los procedimientos de responsabilidad administrativa como autoridad investigadora a través de la Dirección de Investigación y Supervisión, cuya actividad jurisdiccional iniciaba al momento de la presentación de una queja o denuncia en contra de los integrantes de la Secretaría de Seguridad del Estado de México, o bien, de oficio de acuerdo con las acciones y estrategias de investigación y las técnicas de inspección y supervisión. </w:t>
      </w:r>
    </w:p>
    <w:p w14:paraId="70D2DFAE" w14:textId="77777777" w:rsidR="00411983" w:rsidRPr="00D37331" w:rsidRDefault="00411983">
      <w:pPr>
        <w:spacing w:line="360" w:lineRule="auto"/>
        <w:jc w:val="both"/>
        <w:rPr>
          <w:rFonts w:ascii="Palatino Linotype" w:eastAsia="Palatino Linotype" w:hAnsi="Palatino Linotype" w:cs="Palatino Linotype"/>
        </w:rPr>
      </w:pPr>
    </w:p>
    <w:p w14:paraId="64DBF6F1"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No obstante, como anteriormente se refirió,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no acreditó fehacientemente que las actas, oficios y/o documentos tuvieran relación directa con los procedimientos que se desahogan o incluso de su existencia, razón por la que, en el presente caso, tampoco se puede determinar que en todos los expedientes que se encuentren en trámite obren las actas, oficios y/o documentos solicitados, así como, que sea parte del procedimiento; por lo que no se acredita el cumplimiento de dicho requisito.</w:t>
      </w:r>
    </w:p>
    <w:p w14:paraId="659D6892" w14:textId="77777777" w:rsidR="00411983" w:rsidRPr="00D37331" w:rsidRDefault="00411983">
      <w:pPr>
        <w:spacing w:line="360" w:lineRule="auto"/>
        <w:jc w:val="both"/>
        <w:rPr>
          <w:rFonts w:ascii="Palatino Linotype" w:eastAsia="Palatino Linotype" w:hAnsi="Palatino Linotype" w:cs="Palatino Linotype"/>
        </w:rPr>
      </w:pPr>
    </w:p>
    <w:p w14:paraId="62C18DE4" w14:textId="77777777" w:rsidR="00411983" w:rsidRPr="00D37331" w:rsidRDefault="00922C2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b/>
        </w:rPr>
        <w:t>Que la información no sea conocida por la contraparte antes de la presentación de la misma en el proceso.</w:t>
      </w:r>
    </w:p>
    <w:p w14:paraId="366D5066"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 </w:t>
      </w:r>
    </w:p>
    <w:p w14:paraId="1AB23A77"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lastRenderedPageBreak/>
        <w:t xml:space="preserve">Al respecto, el </w:t>
      </w:r>
      <w:r w:rsidRPr="00D37331">
        <w:rPr>
          <w:rFonts w:ascii="Palatino Linotype" w:eastAsia="Palatino Linotype" w:hAnsi="Palatino Linotype" w:cs="Palatino Linotype"/>
          <w:b/>
        </w:rPr>
        <w:t xml:space="preserve">SUJETO OBLIGADO </w:t>
      </w:r>
      <w:r w:rsidRPr="00D37331">
        <w:rPr>
          <w:rFonts w:ascii="Palatino Linotype" w:eastAsia="Palatino Linotype" w:hAnsi="Palatino Linotype" w:cs="Palatino Linotype"/>
        </w:rPr>
        <w:t xml:space="preserve">en la referida Acta del Comité de Transparencia, indicó que no se podía dar a conocer la información requerida porque vulneraría el debido proceso en los procedimientos que no están firmes; situación que no acredita el cumplimiento de dicho requisito, ya que no se demuestra el tipo de información que obra las actas, oficios y/o documentos requeridos y las razones por las que no puede ser conocida por la hoy parte </w:t>
      </w:r>
      <w:r w:rsidRPr="00D37331">
        <w:rPr>
          <w:rFonts w:ascii="Palatino Linotype" w:eastAsia="Palatino Linotype" w:hAnsi="Palatino Linotype" w:cs="Palatino Linotype"/>
          <w:b/>
        </w:rPr>
        <w:t>RECURRENTE</w:t>
      </w:r>
      <w:r w:rsidRPr="00D37331">
        <w:rPr>
          <w:rFonts w:ascii="Palatino Linotype" w:eastAsia="Palatino Linotype" w:hAnsi="Palatino Linotype" w:cs="Palatino Linotype"/>
        </w:rPr>
        <w:t xml:space="preserve">. </w:t>
      </w:r>
    </w:p>
    <w:p w14:paraId="42799FCD" w14:textId="77777777" w:rsidR="00411983" w:rsidRPr="00D37331" w:rsidRDefault="00411983">
      <w:pPr>
        <w:spacing w:line="360" w:lineRule="auto"/>
        <w:jc w:val="both"/>
        <w:rPr>
          <w:rFonts w:ascii="Palatino Linotype" w:eastAsia="Palatino Linotype" w:hAnsi="Palatino Linotype" w:cs="Palatino Linotype"/>
        </w:rPr>
      </w:pPr>
    </w:p>
    <w:p w14:paraId="4EF45AA2" w14:textId="77777777" w:rsidR="00411983" w:rsidRPr="00D37331" w:rsidRDefault="00922C2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rPr>
      </w:pPr>
      <w:r w:rsidRPr="00D37331">
        <w:rPr>
          <w:rFonts w:ascii="Palatino Linotype" w:eastAsia="Palatino Linotype" w:hAnsi="Palatino Linotype" w:cs="Palatino Linotype"/>
          <w:b/>
        </w:rPr>
        <w:t>Que la información con su divulgación se afecte la oportunidad de llevar a cabo alguna de las garantías del debido proceso.</w:t>
      </w:r>
    </w:p>
    <w:p w14:paraId="0F45C68E" w14:textId="77777777" w:rsidR="00411983" w:rsidRPr="00D37331" w:rsidRDefault="00411983">
      <w:pPr>
        <w:spacing w:line="360" w:lineRule="auto"/>
        <w:jc w:val="both"/>
        <w:rPr>
          <w:rFonts w:ascii="Palatino Linotype" w:eastAsia="Palatino Linotype" w:hAnsi="Palatino Linotype" w:cs="Palatino Linotype"/>
        </w:rPr>
      </w:pPr>
    </w:p>
    <w:p w14:paraId="02DEF6ED"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Sobre dicho requisito, el </w:t>
      </w:r>
      <w:r w:rsidRPr="00D37331">
        <w:rPr>
          <w:rFonts w:ascii="Palatino Linotype" w:eastAsia="Palatino Linotype" w:hAnsi="Palatino Linotype" w:cs="Palatino Linotype"/>
          <w:b/>
        </w:rPr>
        <w:t xml:space="preserve">SUJETO OBLIGADO </w:t>
      </w:r>
      <w:r w:rsidRPr="00D37331">
        <w:rPr>
          <w:rFonts w:ascii="Palatino Linotype" w:eastAsia="Palatino Linotype" w:hAnsi="Palatino Linotype" w:cs="Palatino Linotype"/>
        </w:rPr>
        <w:t>fue omiso en indicar la razón por la que la divulgación de la información afectaría la oportunidad de llevar a cabo alguna de las garantías del debido proceso.</w:t>
      </w:r>
    </w:p>
    <w:p w14:paraId="3EB3A48F" w14:textId="77777777" w:rsidR="00411983" w:rsidRPr="00D37331" w:rsidRDefault="00411983">
      <w:pPr>
        <w:spacing w:line="360" w:lineRule="auto"/>
        <w:jc w:val="both"/>
        <w:rPr>
          <w:rFonts w:ascii="Palatino Linotype" w:eastAsia="Palatino Linotype" w:hAnsi="Palatino Linotype" w:cs="Palatino Linotype"/>
        </w:rPr>
      </w:pPr>
    </w:p>
    <w:p w14:paraId="0CBCE037"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Respecto a lo anterior, es de recordar que el debido proceso es el derecho que tiene toda persona para ejercer su defensa y ser oída dentro de un procedimiento, con las debidas oportunidades y dentro de un plazo razonable, por la autoridad competente previo al reconocimiento o restricción de sus derechos y obligaciones.</w:t>
      </w:r>
    </w:p>
    <w:p w14:paraId="44F2556D" w14:textId="77777777" w:rsidR="00411983" w:rsidRPr="00D37331" w:rsidRDefault="00411983">
      <w:pPr>
        <w:spacing w:line="360" w:lineRule="auto"/>
        <w:jc w:val="both"/>
        <w:rPr>
          <w:rFonts w:ascii="Palatino Linotype" w:eastAsia="Palatino Linotype" w:hAnsi="Palatino Linotype" w:cs="Palatino Linotype"/>
        </w:rPr>
      </w:pPr>
    </w:p>
    <w:p w14:paraId="1FC42053"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Por tales circunstancias, se considera que en el caso no se acredita la reserva de la información bajo la causal analizada, por el incumplimiento a los requisitos para que proceda.</w:t>
      </w:r>
    </w:p>
    <w:p w14:paraId="4218CEF1" w14:textId="77777777" w:rsidR="00411983" w:rsidRPr="00D37331" w:rsidRDefault="00411983">
      <w:pPr>
        <w:spacing w:line="360" w:lineRule="auto"/>
        <w:jc w:val="both"/>
        <w:rPr>
          <w:rFonts w:ascii="Palatino Linotype" w:eastAsia="Palatino Linotype" w:hAnsi="Palatino Linotype" w:cs="Palatino Linotype"/>
        </w:rPr>
      </w:pPr>
    </w:p>
    <w:p w14:paraId="4CC7D5A2" w14:textId="77777777" w:rsidR="00411983" w:rsidRPr="00D37331" w:rsidRDefault="00922C23">
      <w:pPr>
        <w:tabs>
          <w:tab w:val="left" w:pos="4962"/>
        </w:tabs>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lastRenderedPageBreak/>
        <w:t>Por otro lado, cabe traer a colación el artículo 141 de la Ley de Transparencia y Acceso a la Información Pública del Estado de México y Municipios, establece que las causales de reserva se deberán fundar y motivar, a través de la aplicación de la prueba de daño establecida en el artículo 129 de dicho ordenamiento, que se debe justificar de la siguiente manera:</w:t>
      </w:r>
    </w:p>
    <w:p w14:paraId="295B78C7" w14:textId="77777777" w:rsidR="00411983" w:rsidRPr="00D37331" w:rsidRDefault="00411983">
      <w:pPr>
        <w:tabs>
          <w:tab w:val="left" w:pos="4962"/>
        </w:tabs>
        <w:spacing w:line="360" w:lineRule="auto"/>
        <w:jc w:val="both"/>
        <w:rPr>
          <w:rFonts w:ascii="Palatino Linotype" w:eastAsia="Palatino Linotype" w:hAnsi="Palatino Linotype" w:cs="Palatino Linotype"/>
        </w:rPr>
      </w:pPr>
    </w:p>
    <w:p w14:paraId="3535245D" w14:textId="77777777" w:rsidR="00411983" w:rsidRPr="00D37331" w:rsidRDefault="00922C23">
      <w:pPr>
        <w:numPr>
          <w:ilvl w:val="0"/>
          <w:numId w:val="8"/>
        </w:numPr>
        <w:tabs>
          <w:tab w:val="left" w:pos="4962"/>
        </w:tabs>
        <w:spacing w:line="360" w:lineRule="auto"/>
        <w:ind w:left="851" w:hanging="437"/>
        <w:jc w:val="both"/>
        <w:rPr>
          <w:rFonts w:ascii="Palatino Linotype" w:eastAsia="Palatino Linotype" w:hAnsi="Palatino Linotype" w:cs="Palatino Linotype"/>
        </w:rPr>
      </w:pPr>
      <w:r w:rsidRPr="00D37331">
        <w:rPr>
          <w:rFonts w:ascii="Palatino Linotype" w:eastAsia="Palatino Linotype" w:hAnsi="Palatino Linotype" w:cs="Palatino Linotype"/>
        </w:rPr>
        <w:t>La divulgación de la información representa un riesgo real, demostrable e identificable de perjuicio significativo al interés público o a la seguridad nacional.</w:t>
      </w:r>
    </w:p>
    <w:p w14:paraId="52C0D4DB" w14:textId="77777777" w:rsidR="00411983" w:rsidRPr="00D37331" w:rsidRDefault="00922C23">
      <w:pPr>
        <w:numPr>
          <w:ilvl w:val="0"/>
          <w:numId w:val="8"/>
        </w:numPr>
        <w:tabs>
          <w:tab w:val="left" w:pos="4962"/>
        </w:tabs>
        <w:spacing w:line="360" w:lineRule="auto"/>
        <w:ind w:left="851" w:hanging="437"/>
        <w:jc w:val="both"/>
        <w:rPr>
          <w:rFonts w:ascii="Palatino Linotype" w:eastAsia="Palatino Linotype" w:hAnsi="Palatino Linotype" w:cs="Palatino Linotype"/>
        </w:rPr>
      </w:pPr>
      <w:r w:rsidRPr="00D37331">
        <w:rPr>
          <w:rFonts w:ascii="Palatino Linotype" w:eastAsia="Palatino Linotype" w:hAnsi="Palatino Linotype" w:cs="Palatino Linotype"/>
        </w:rPr>
        <w:t>El riesgo de perjuicio supera el interés público general de que se difunda.</w:t>
      </w:r>
    </w:p>
    <w:p w14:paraId="4AB2C3ED" w14:textId="77777777" w:rsidR="00411983" w:rsidRPr="00D37331" w:rsidRDefault="00922C23">
      <w:pPr>
        <w:numPr>
          <w:ilvl w:val="0"/>
          <w:numId w:val="8"/>
        </w:numPr>
        <w:tabs>
          <w:tab w:val="left" w:pos="4962"/>
        </w:tabs>
        <w:spacing w:line="360" w:lineRule="auto"/>
        <w:ind w:left="851" w:hanging="437"/>
        <w:jc w:val="both"/>
        <w:rPr>
          <w:rFonts w:ascii="Palatino Linotype" w:eastAsia="Palatino Linotype" w:hAnsi="Palatino Linotype" w:cs="Palatino Linotype"/>
        </w:rPr>
      </w:pPr>
      <w:r w:rsidRPr="00D37331">
        <w:rPr>
          <w:rFonts w:ascii="Palatino Linotype" w:eastAsia="Palatino Linotype" w:hAnsi="Palatino Linotype" w:cs="Palatino Linotype"/>
        </w:rPr>
        <w:t>Que la limitación se adecua al principio de proporcionalidad y representa el medio menos restrictivo disponible para evitar el perjuicio.</w:t>
      </w:r>
    </w:p>
    <w:p w14:paraId="47134A4B" w14:textId="77777777" w:rsidR="00411983" w:rsidRPr="00D37331" w:rsidRDefault="00411983">
      <w:pPr>
        <w:spacing w:line="360" w:lineRule="auto"/>
        <w:jc w:val="both"/>
        <w:rPr>
          <w:rFonts w:ascii="Palatino Linotype" w:eastAsia="Palatino Linotype" w:hAnsi="Palatino Linotype" w:cs="Palatino Linotype"/>
        </w:rPr>
      </w:pPr>
    </w:p>
    <w:p w14:paraId="4A15E800"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A mayor abundamiento, se analizará el Acta del Comité de Transparencia y su prueba de daño, a fin de establecer si esta cumple con las formalidades exigidas por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y 141, de la Ley de Transparencia y Acceso a la Información Pública del Estado de México y Municipios, se analizará lo siguiente: </w:t>
      </w:r>
    </w:p>
    <w:p w14:paraId="45723026" w14:textId="77777777" w:rsidR="00411983" w:rsidRPr="00D37331" w:rsidRDefault="00411983">
      <w:pPr>
        <w:spacing w:line="360" w:lineRule="auto"/>
        <w:jc w:val="both"/>
        <w:rPr>
          <w:rFonts w:ascii="Palatino Linotype" w:eastAsia="Palatino Linotype" w:hAnsi="Palatino Linotype" w:cs="Palatino Linotype"/>
        </w:rPr>
      </w:pPr>
    </w:p>
    <w:tbl>
      <w:tblPr>
        <w:tblStyle w:val="a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245"/>
        <w:gridCol w:w="2170"/>
      </w:tblGrid>
      <w:tr w:rsidR="00D37331" w:rsidRPr="00D37331" w14:paraId="7E801FB3" w14:textId="77777777">
        <w:tc>
          <w:tcPr>
            <w:tcW w:w="1413" w:type="dxa"/>
            <w:tcBorders>
              <w:top w:val="single" w:sz="4" w:space="0" w:color="000000"/>
              <w:left w:val="single" w:sz="4" w:space="0" w:color="000000"/>
              <w:bottom w:val="single" w:sz="4" w:space="0" w:color="000000"/>
              <w:right w:val="single" w:sz="4" w:space="0" w:color="000000"/>
            </w:tcBorders>
            <w:shd w:val="clear" w:color="auto" w:fill="7B7B7B"/>
          </w:tcPr>
          <w:p w14:paraId="48AE0E13" w14:textId="77777777" w:rsidR="00411983" w:rsidRPr="00D37331" w:rsidRDefault="00922C23">
            <w:pPr>
              <w:jc w:val="center"/>
              <w:rPr>
                <w:rFonts w:ascii="Palatino Linotype" w:eastAsia="Palatino Linotype" w:hAnsi="Palatino Linotype" w:cs="Palatino Linotype"/>
                <w:b/>
              </w:rPr>
            </w:pPr>
            <w:r w:rsidRPr="00D37331">
              <w:rPr>
                <w:rFonts w:ascii="Palatino Linotype" w:eastAsia="Palatino Linotype" w:hAnsi="Palatino Linotype" w:cs="Palatino Linotype"/>
                <w:b/>
                <w:sz w:val="18"/>
                <w:szCs w:val="18"/>
              </w:rPr>
              <w:t>Elementos del acuerdo de clasificación</w:t>
            </w:r>
          </w:p>
        </w:tc>
        <w:tc>
          <w:tcPr>
            <w:tcW w:w="5245" w:type="dxa"/>
            <w:tcBorders>
              <w:top w:val="single" w:sz="4" w:space="0" w:color="000000"/>
              <w:left w:val="single" w:sz="4" w:space="0" w:color="000000"/>
              <w:bottom w:val="single" w:sz="4" w:space="0" w:color="000000"/>
              <w:right w:val="single" w:sz="4" w:space="0" w:color="000000"/>
            </w:tcBorders>
            <w:shd w:val="clear" w:color="auto" w:fill="7B7B7B"/>
          </w:tcPr>
          <w:p w14:paraId="585EDACC" w14:textId="77777777" w:rsidR="00411983" w:rsidRPr="00D37331" w:rsidRDefault="00922C23">
            <w:pPr>
              <w:jc w:val="center"/>
              <w:rPr>
                <w:rFonts w:ascii="Palatino Linotype" w:eastAsia="Palatino Linotype" w:hAnsi="Palatino Linotype" w:cs="Palatino Linotype"/>
                <w:b/>
              </w:rPr>
            </w:pPr>
            <w:r w:rsidRPr="00D37331">
              <w:rPr>
                <w:rFonts w:ascii="Palatino Linotype" w:eastAsia="Palatino Linotype" w:hAnsi="Palatino Linotype" w:cs="Palatino Linotype"/>
                <w:b/>
              </w:rPr>
              <w:t>Contenido</w:t>
            </w:r>
          </w:p>
        </w:tc>
        <w:tc>
          <w:tcPr>
            <w:tcW w:w="2170" w:type="dxa"/>
            <w:tcBorders>
              <w:top w:val="single" w:sz="4" w:space="0" w:color="000000"/>
              <w:left w:val="single" w:sz="4" w:space="0" w:color="000000"/>
              <w:bottom w:val="single" w:sz="4" w:space="0" w:color="000000"/>
              <w:right w:val="single" w:sz="4" w:space="0" w:color="000000"/>
            </w:tcBorders>
            <w:shd w:val="clear" w:color="auto" w:fill="7B7B7B"/>
          </w:tcPr>
          <w:p w14:paraId="49FCB387" w14:textId="77777777" w:rsidR="00411983" w:rsidRPr="00D37331" w:rsidRDefault="00922C23">
            <w:pPr>
              <w:jc w:val="center"/>
              <w:rPr>
                <w:rFonts w:ascii="Palatino Linotype" w:eastAsia="Palatino Linotype" w:hAnsi="Palatino Linotype" w:cs="Palatino Linotype"/>
                <w:b/>
              </w:rPr>
            </w:pPr>
            <w:r w:rsidRPr="00D37331">
              <w:rPr>
                <w:rFonts w:ascii="Palatino Linotype" w:eastAsia="Palatino Linotype" w:hAnsi="Palatino Linotype" w:cs="Palatino Linotype"/>
                <w:b/>
              </w:rPr>
              <w:t>Cumple</w:t>
            </w:r>
          </w:p>
        </w:tc>
      </w:tr>
      <w:tr w:rsidR="00D37331" w:rsidRPr="00D37331" w14:paraId="4FB451EA" w14:textId="77777777">
        <w:tc>
          <w:tcPr>
            <w:tcW w:w="1413" w:type="dxa"/>
            <w:tcBorders>
              <w:top w:val="single" w:sz="4" w:space="0" w:color="000000"/>
              <w:left w:val="single" w:sz="4" w:space="0" w:color="000000"/>
              <w:bottom w:val="single" w:sz="4" w:space="0" w:color="000000"/>
              <w:right w:val="single" w:sz="4" w:space="0" w:color="000000"/>
            </w:tcBorders>
          </w:tcPr>
          <w:p w14:paraId="144D182E" w14:textId="77777777" w:rsidR="00411983" w:rsidRPr="00D37331" w:rsidRDefault="00922C23">
            <w:pPr>
              <w:jc w:val="center"/>
              <w:rPr>
                <w:rFonts w:ascii="Palatino Linotype" w:eastAsia="Palatino Linotype" w:hAnsi="Palatino Linotype" w:cs="Palatino Linotype"/>
                <w:sz w:val="18"/>
                <w:szCs w:val="18"/>
              </w:rPr>
            </w:pPr>
            <w:r w:rsidRPr="00D37331">
              <w:rPr>
                <w:rFonts w:ascii="Palatino Linotype" w:eastAsia="Palatino Linotype" w:hAnsi="Palatino Linotype" w:cs="Palatino Linotype"/>
                <w:b/>
                <w:sz w:val="18"/>
                <w:szCs w:val="18"/>
              </w:rPr>
              <w:lastRenderedPageBreak/>
              <w:t>Número de folio de la solicitud</w:t>
            </w:r>
          </w:p>
        </w:tc>
        <w:tc>
          <w:tcPr>
            <w:tcW w:w="5245" w:type="dxa"/>
            <w:tcBorders>
              <w:top w:val="single" w:sz="4" w:space="0" w:color="000000"/>
              <w:left w:val="single" w:sz="4" w:space="0" w:color="000000"/>
              <w:bottom w:val="single" w:sz="4" w:space="0" w:color="000000"/>
              <w:right w:val="single" w:sz="4" w:space="0" w:color="000000"/>
            </w:tcBorders>
          </w:tcPr>
          <w:p w14:paraId="6CA563D1" w14:textId="77777777" w:rsidR="00411983" w:rsidRPr="00D37331" w:rsidRDefault="00922C23">
            <w:r w:rsidRPr="00D37331">
              <w:rPr>
                <w:noProof/>
              </w:rPr>
              <w:drawing>
                <wp:inline distT="0" distB="0" distL="0" distR="0" wp14:anchorId="3B9FC240" wp14:editId="7AEBECBC">
                  <wp:extent cx="3193415" cy="2377440"/>
                  <wp:effectExtent l="0" t="0" r="0" b="0"/>
                  <wp:docPr id="20273749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5"/>
                          <a:srcRect/>
                          <a:stretch>
                            <a:fillRect/>
                          </a:stretch>
                        </pic:blipFill>
                        <pic:spPr>
                          <a:xfrm>
                            <a:off x="0" y="0"/>
                            <a:ext cx="3193415" cy="2377440"/>
                          </a:xfrm>
                          <a:prstGeom prst="rect">
                            <a:avLst/>
                          </a:prstGeom>
                          <a:ln/>
                        </pic:spPr>
                      </pic:pic>
                    </a:graphicData>
                  </a:graphic>
                </wp:inline>
              </w:drawing>
            </w:r>
            <w:r w:rsidRPr="00D37331">
              <w:rPr>
                <w:noProof/>
              </w:rPr>
              <mc:AlternateContent>
                <mc:Choice Requires="wpg">
                  <w:drawing>
                    <wp:anchor distT="0" distB="0" distL="114300" distR="114300" simplePos="0" relativeHeight="251662336" behindDoc="0" locked="0" layoutInCell="1" hidden="0" allowOverlap="1" wp14:anchorId="47E5E02F" wp14:editId="58D63687">
                      <wp:simplePos x="0" y="0"/>
                      <wp:positionH relativeFrom="column">
                        <wp:posOffset>12701</wp:posOffset>
                      </wp:positionH>
                      <wp:positionV relativeFrom="paragraph">
                        <wp:posOffset>1968500</wp:posOffset>
                      </wp:positionV>
                      <wp:extent cx="3232150" cy="420073"/>
                      <wp:effectExtent l="0" t="0" r="0" b="0"/>
                      <wp:wrapNone/>
                      <wp:docPr id="2027374911" name="Rectángulo 2027374911"/>
                      <wp:cNvGraphicFramePr/>
                      <a:graphic xmlns:a="http://schemas.openxmlformats.org/drawingml/2006/main">
                        <a:graphicData uri="http://schemas.microsoft.com/office/word/2010/wordprocessingShape">
                          <wps:wsp>
                            <wps:cNvSpPr/>
                            <wps:spPr>
                              <a:xfrm>
                                <a:off x="3745800" y="3585839"/>
                                <a:ext cx="3200400" cy="388323"/>
                              </a:xfrm>
                              <a:prstGeom prst="rect">
                                <a:avLst/>
                              </a:prstGeom>
                              <a:noFill/>
                              <a:ln w="31750" cap="flat" cmpd="sng">
                                <a:solidFill>
                                  <a:srgbClr val="42719B"/>
                                </a:solidFill>
                                <a:prstDash val="solid"/>
                                <a:miter lim="800000"/>
                                <a:headEnd type="none" w="sm" len="sm"/>
                                <a:tailEnd type="none" w="sm" len="sm"/>
                              </a:ln>
                            </wps:spPr>
                            <wps:txbx>
                              <w:txbxContent>
                                <w:p w14:paraId="1F24BE4A" w14:textId="77777777" w:rsidR="00411983" w:rsidRDefault="00411983">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1968500</wp:posOffset>
                      </wp:positionV>
                      <wp:extent cx="3232150" cy="420073"/>
                      <wp:effectExtent b="0" l="0" r="0" t="0"/>
                      <wp:wrapNone/>
                      <wp:docPr id="2027374911" name="image14.png"/>
                      <a:graphic>
                        <a:graphicData uri="http://schemas.openxmlformats.org/drawingml/2006/picture">
                          <pic:pic>
                            <pic:nvPicPr>
                              <pic:cNvPr id="0" name="image14.png"/>
                              <pic:cNvPicPr preferRelativeResize="0"/>
                            </pic:nvPicPr>
                            <pic:blipFill>
                              <a:blip r:embed="rId46"/>
                              <a:srcRect/>
                              <a:stretch>
                                <a:fillRect/>
                              </a:stretch>
                            </pic:blipFill>
                            <pic:spPr>
                              <a:xfrm>
                                <a:off x="0" y="0"/>
                                <a:ext cx="3232150" cy="420073"/>
                              </a:xfrm>
                              <a:prstGeom prst="rect"/>
                              <a:ln/>
                            </pic:spPr>
                          </pic:pic>
                        </a:graphicData>
                      </a:graphic>
                    </wp:anchor>
                  </w:drawing>
                </mc:Fallback>
              </mc:AlternateContent>
            </w:r>
          </w:p>
        </w:tc>
        <w:tc>
          <w:tcPr>
            <w:tcW w:w="2170" w:type="dxa"/>
            <w:tcBorders>
              <w:top w:val="single" w:sz="4" w:space="0" w:color="000000"/>
              <w:left w:val="single" w:sz="4" w:space="0" w:color="000000"/>
              <w:bottom w:val="single" w:sz="4" w:space="0" w:color="000000"/>
              <w:right w:val="single" w:sz="4" w:space="0" w:color="000000"/>
            </w:tcBorders>
          </w:tcPr>
          <w:p w14:paraId="1FF3313A" w14:textId="77777777" w:rsidR="00411983" w:rsidRPr="00D37331" w:rsidRDefault="00922C23">
            <w:pPr>
              <w:jc w:val="center"/>
              <w:rPr>
                <w:rFonts w:ascii="Palatino Linotype" w:eastAsia="Palatino Linotype" w:hAnsi="Palatino Linotype" w:cs="Palatino Linotype"/>
                <w:b/>
                <w:sz w:val="20"/>
                <w:szCs w:val="20"/>
              </w:rPr>
            </w:pPr>
            <w:r w:rsidRPr="00D37331">
              <w:rPr>
                <w:rFonts w:ascii="Palatino Linotype" w:eastAsia="Palatino Linotype" w:hAnsi="Palatino Linotype" w:cs="Palatino Linotype"/>
                <w:b/>
                <w:sz w:val="20"/>
                <w:szCs w:val="20"/>
              </w:rPr>
              <w:t>Sí</w:t>
            </w:r>
          </w:p>
        </w:tc>
      </w:tr>
      <w:tr w:rsidR="00D37331" w:rsidRPr="00D37331" w14:paraId="160B53D2" w14:textId="77777777">
        <w:tc>
          <w:tcPr>
            <w:tcW w:w="1413" w:type="dxa"/>
            <w:tcBorders>
              <w:top w:val="single" w:sz="4" w:space="0" w:color="000000"/>
              <w:left w:val="single" w:sz="4" w:space="0" w:color="000000"/>
              <w:bottom w:val="single" w:sz="4" w:space="0" w:color="000000"/>
              <w:right w:val="single" w:sz="4" w:space="0" w:color="000000"/>
            </w:tcBorders>
          </w:tcPr>
          <w:p w14:paraId="53B761A9" w14:textId="77777777" w:rsidR="00411983" w:rsidRPr="00D37331" w:rsidRDefault="00922C23">
            <w:pPr>
              <w:jc w:val="center"/>
              <w:rPr>
                <w:rFonts w:ascii="Palatino Linotype" w:eastAsia="Palatino Linotype" w:hAnsi="Palatino Linotype" w:cs="Palatino Linotype"/>
                <w:sz w:val="18"/>
                <w:szCs w:val="18"/>
              </w:rPr>
            </w:pPr>
            <w:r w:rsidRPr="00D37331">
              <w:rPr>
                <w:rFonts w:ascii="Palatino Linotype" w:eastAsia="Palatino Linotype" w:hAnsi="Palatino Linotype" w:cs="Palatino Linotype"/>
                <w:b/>
                <w:sz w:val="18"/>
                <w:szCs w:val="18"/>
              </w:rPr>
              <w:t>Referencia de la información solicitada</w:t>
            </w:r>
          </w:p>
        </w:tc>
        <w:tc>
          <w:tcPr>
            <w:tcW w:w="5245" w:type="dxa"/>
            <w:tcBorders>
              <w:top w:val="single" w:sz="4" w:space="0" w:color="000000"/>
              <w:left w:val="single" w:sz="4" w:space="0" w:color="000000"/>
              <w:bottom w:val="single" w:sz="4" w:space="0" w:color="000000"/>
              <w:right w:val="single" w:sz="4" w:space="0" w:color="000000"/>
            </w:tcBorders>
          </w:tcPr>
          <w:p w14:paraId="3D2A8090" w14:textId="77777777" w:rsidR="00411983" w:rsidRPr="00D37331" w:rsidRDefault="00411983">
            <w:pPr>
              <w:jc w:val="center"/>
              <w:rPr>
                <w:rFonts w:ascii="Palatino Linotype" w:eastAsia="Palatino Linotype" w:hAnsi="Palatino Linotype" w:cs="Palatino Linotype"/>
              </w:rPr>
            </w:pPr>
          </w:p>
          <w:p w14:paraId="2292EAEF" w14:textId="77777777" w:rsidR="00411983" w:rsidRPr="00D37331" w:rsidRDefault="00922C23">
            <w:pPr>
              <w:jc w:val="both"/>
              <w:rPr>
                <w:rFonts w:ascii="Palatino Linotype" w:eastAsia="Palatino Linotype" w:hAnsi="Palatino Linotype" w:cs="Palatino Linotype"/>
              </w:rPr>
            </w:pPr>
            <w:r w:rsidRPr="00D37331">
              <w:rPr>
                <w:rFonts w:ascii="Palatino Linotype" w:eastAsia="Palatino Linotype" w:hAnsi="Palatino Linotype" w:cs="Palatino Linotype"/>
                <w:noProof/>
              </w:rPr>
              <w:drawing>
                <wp:inline distT="0" distB="0" distL="0" distR="0" wp14:anchorId="2CF6AF83" wp14:editId="0EB7FF99">
                  <wp:extent cx="3193415" cy="4434205"/>
                  <wp:effectExtent l="0" t="0" r="0" b="0"/>
                  <wp:docPr id="20273749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srcRect/>
                          <a:stretch>
                            <a:fillRect/>
                          </a:stretch>
                        </pic:blipFill>
                        <pic:spPr>
                          <a:xfrm>
                            <a:off x="0" y="0"/>
                            <a:ext cx="3193415" cy="4434205"/>
                          </a:xfrm>
                          <a:prstGeom prst="rect">
                            <a:avLst/>
                          </a:prstGeom>
                          <a:ln/>
                        </pic:spPr>
                      </pic:pic>
                    </a:graphicData>
                  </a:graphic>
                </wp:inline>
              </w:drawing>
            </w:r>
          </w:p>
          <w:p w14:paraId="794B8566" w14:textId="77777777" w:rsidR="00411983" w:rsidRPr="00D37331" w:rsidRDefault="00922C23">
            <w:pPr>
              <w:jc w:val="both"/>
              <w:rPr>
                <w:rFonts w:ascii="Palatino Linotype" w:eastAsia="Palatino Linotype" w:hAnsi="Palatino Linotype" w:cs="Palatino Linotype"/>
              </w:rPr>
            </w:pPr>
            <w:r w:rsidRPr="00D37331">
              <w:rPr>
                <w:rFonts w:ascii="Palatino Linotype" w:eastAsia="Palatino Linotype" w:hAnsi="Palatino Linotype" w:cs="Palatino Linotype"/>
                <w:noProof/>
              </w:rPr>
              <w:lastRenderedPageBreak/>
              <w:drawing>
                <wp:inline distT="0" distB="0" distL="0" distR="0" wp14:anchorId="43D53D3D" wp14:editId="669B30E3">
                  <wp:extent cx="3193415" cy="1323340"/>
                  <wp:effectExtent l="0" t="0" r="0" b="0"/>
                  <wp:docPr id="20273749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8"/>
                          <a:srcRect/>
                          <a:stretch>
                            <a:fillRect/>
                          </a:stretch>
                        </pic:blipFill>
                        <pic:spPr>
                          <a:xfrm>
                            <a:off x="0" y="0"/>
                            <a:ext cx="3193415" cy="1323340"/>
                          </a:xfrm>
                          <a:prstGeom prst="rect">
                            <a:avLst/>
                          </a:prstGeom>
                          <a:ln/>
                        </pic:spPr>
                      </pic:pic>
                    </a:graphicData>
                  </a:graphic>
                </wp:inline>
              </w:drawing>
            </w:r>
          </w:p>
          <w:p w14:paraId="61498B32" w14:textId="77777777" w:rsidR="00411983" w:rsidRPr="00D37331" w:rsidRDefault="00411983">
            <w:pPr>
              <w:jc w:val="both"/>
              <w:rPr>
                <w:rFonts w:ascii="Palatino Linotype" w:eastAsia="Palatino Linotype" w:hAnsi="Palatino Linotype" w:cs="Palatino Linotype"/>
              </w:rPr>
            </w:pPr>
          </w:p>
          <w:p w14:paraId="5D6DE1CB" w14:textId="77777777" w:rsidR="00411983" w:rsidRPr="00D37331" w:rsidRDefault="00922C23">
            <w:pPr>
              <w:jc w:val="both"/>
              <w:rPr>
                <w:rFonts w:ascii="Palatino Linotype" w:eastAsia="Palatino Linotype" w:hAnsi="Palatino Linotype" w:cs="Palatino Linotype"/>
              </w:rPr>
            </w:pPr>
            <w:r w:rsidRPr="00D37331">
              <w:rPr>
                <w:rFonts w:ascii="Palatino Linotype" w:eastAsia="Palatino Linotype" w:hAnsi="Palatino Linotype" w:cs="Palatino Linotype"/>
                <w:noProof/>
              </w:rPr>
              <w:drawing>
                <wp:inline distT="0" distB="0" distL="0" distR="0" wp14:anchorId="6AAF6B99" wp14:editId="66BFC570">
                  <wp:extent cx="3181460" cy="1260825"/>
                  <wp:effectExtent l="0" t="0" r="0" b="0"/>
                  <wp:docPr id="20273749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l="46669" t="-35" r="558" b="35"/>
                          <a:stretch>
                            <a:fillRect/>
                          </a:stretch>
                        </pic:blipFill>
                        <pic:spPr>
                          <a:xfrm>
                            <a:off x="0" y="0"/>
                            <a:ext cx="3181460" cy="1260825"/>
                          </a:xfrm>
                          <a:prstGeom prst="rect">
                            <a:avLst/>
                          </a:prstGeom>
                          <a:ln/>
                        </pic:spPr>
                      </pic:pic>
                    </a:graphicData>
                  </a:graphic>
                </wp:inline>
              </w:drawing>
            </w:r>
          </w:p>
          <w:p w14:paraId="5B7C0069" w14:textId="77777777" w:rsidR="00411983" w:rsidRPr="00D37331" w:rsidRDefault="00411983">
            <w:pPr>
              <w:jc w:val="both"/>
              <w:rPr>
                <w:rFonts w:ascii="Palatino Linotype" w:eastAsia="Palatino Linotype" w:hAnsi="Palatino Linotype" w:cs="Palatino Linotype"/>
              </w:rPr>
            </w:pPr>
          </w:p>
        </w:tc>
        <w:tc>
          <w:tcPr>
            <w:tcW w:w="2170" w:type="dxa"/>
            <w:tcBorders>
              <w:top w:val="single" w:sz="4" w:space="0" w:color="000000"/>
              <w:left w:val="single" w:sz="4" w:space="0" w:color="000000"/>
              <w:bottom w:val="single" w:sz="4" w:space="0" w:color="000000"/>
              <w:right w:val="single" w:sz="4" w:space="0" w:color="000000"/>
            </w:tcBorders>
          </w:tcPr>
          <w:p w14:paraId="3F28A9EA" w14:textId="77777777" w:rsidR="00411983" w:rsidRPr="00D37331" w:rsidRDefault="00922C23">
            <w:pPr>
              <w:jc w:val="center"/>
              <w:rPr>
                <w:rFonts w:ascii="Palatino Linotype" w:eastAsia="Palatino Linotype" w:hAnsi="Palatino Linotype" w:cs="Palatino Linotype"/>
                <w:sz w:val="20"/>
                <w:szCs w:val="20"/>
              </w:rPr>
            </w:pPr>
            <w:r w:rsidRPr="00D37331">
              <w:rPr>
                <w:rFonts w:ascii="Palatino Linotype" w:eastAsia="Palatino Linotype" w:hAnsi="Palatino Linotype" w:cs="Palatino Linotype"/>
                <w:b/>
                <w:sz w:val="20"/>
                <w:szCs w:val="20"/>
              </w:rPr>
              <w:lastRenderedPageBreak/>
              <w:t>Sí</w:t>
            </w:r>
          </w:p>
        </w:tc>
      </w:tr>
      <w:tr w:rsidR="00D37331" w:rsidRPr="00D37331" w14:paraId="6B3966EC" w14:textId="77777777">
        <w:tc>
          <w:tcPr>
            <w:tcW w:w="1413" w:type="dxa"/>
            <w:tcBorders>
              <w:top w:val="single" w:sz="4" w:space="0" w:color="000000"/>
              <w:left w:val="single" w:sz="4" w:space="0" w:color="000000"/>
              <w:bottom w:val="single" w:sz="4" w:space="0" w:color="000000"/>
              <w:right w:val="single" w:sz="4" w:space="0" w:color="000000"/>
            </w:tcBorders>
          </w:tcPr>
          <w:p w14:paraId="4B9B62A6" w14:textId="77777777" w:rsidR="00411983" w:rsidRPr="00D37331" w:rsidRDefault="00922C23">
            <w:pPr>
              <w:jc w:val="center"/>
              <w:rPr>
                <w:rFonts w:ascii="Palatino Linotype" w:eastAsia="Palatino Linotype" w:hAnsi="Palatino Linotype" w:cs="Palatino Linotype"/>
                <w:sz w:val="18"/>
                <w:szCs w:val="18"/>
              </w:rPr>
            </w:pPr>
            <w:r w:rsidRPr="00D37331">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5245" w:type="dxa"/>
            <w:tcBorders>
              <w:top w:val="single" w:sz="4" w:space="0" w:color="000000"/>
              <w:left w:val="single" w:sz="4" w:space="0" w:color="000000"/>
              <w:bottom w:val="single" w:sz="4" w:space="0" w:color="000000"/>
              <w:right w:val="single" w:sz="4" w:space="0" w:color="000000"/>
            </w:tcBorders>
          </w:tcPr>
          <w:p w14:paraId="23245F76" w14:textId="77777777" w:rsidR="00411983" w:rsidRPr="00D37331" w:rsidRDefault="00411983">
            <w:pPr>
              <w:jc w:val="center"/>
            </w:pPr>
          </w:p>
          <w:p w14:paraId="456EED96" w14:textId="77777777" w:rsidR="00411983" w:rsidRPr="00D37331" w:rsidRDefault="00922C23">
            <w:pPr>
              <w:jc w:val="center"/>
            </w:pPr>
            <w:r w:rsidRPr="00D37331">
              <w:rPr>
                <w:noProof/>
              </w:rPr>
              <w:drawing>
                <wp:inline distT="0" distB="0" distL="0" distR="0" wp14:anchorId="6606595D" wp14:editId="1C9F3268">
                  <wp:extent cx="3193415" cy="1007110"/>
                  <wp:effectExtent l="0" t="0" r="0" b="0"/>
                  <wp:docPr id="20273749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a:srcRect/>
                          <a:stretch>
                            <a:fillRect/>
                          </a:stretch>
                        </pic:blipFill>
                        <pic:spPr>
                          <a:xfrm>
                            <a:off x="0" y="0"/>
                            <a:ext cx="3193415" cy="1007110"/>
                          </a:xfrm>
                          <a:prstGeom prst="rect">
                            <a:avLst/>
                          </a:prstGeom>
                          <a:ln/>
                        </pic:spPr>
                      </pic:pic>
                    </a:graphicData>
                  </a:graphic>
                </wp:inline>
              </w:drawing>
            </w:r>
          </w:p>
          <w:p w14:paraId="4B9D646A" w14:textId="77777777" w:rsidR="00411983" w:rsidRPr="00D37331" w:rsidRDefault="00411983"/>
        </w:tc>
        <w:tc>
          <w:tcPr>
            <w:tcW w:w="2170" w:type="dxa"/>
            <w:tcBorders>
              <w:top w:val="single" w:sz="4" w:space="0" w:color="000000"/>
              <w:left w:val="single" w:sz="4" w:space="0" w:color="000000"/>
              <w:bottom w:val="single" w:sz="4" w:space="0" w:color="000000"/>
              <w:right w:val="single" w:sz="4" w:space="0" w:color="000000"/>
            </w:tcBorders>
          </w:tcPr>
          <w:p w14:paraId="702216F0" w14:textId="77777777" w:rsidR="00411983" w:rsidRPr="00D37331" w:rsidRDefault="00922C23">
            <w:pPr>
              <w:jc w:val="center"/>
              <w:rPr>
                <w:rFonts w:ascii="Palatino Linotype" w:eastAsia="Palatino Linotype" w:hAnsi="Palatino Linotype" w:cs="Palatino Linotype"/>
                <w:b/>
                <w:sz w:val="20"/>
                <w:szCs w:val="20"/>
              </w:rPr>
            </w:pPr>
            <w:r w:rsidRPr="00D37331">
              <w:rPr>
                <w:rFonts w:ascii="Palatino Linotype" w:eastAsia="Palatino Linotype" w:hAnsi="Palatino Linotype" w:cs="Palatino Linotype"/>
                <w:b/>
                <w:sz w:val="20"/>
                <w:szCs w:val="20"/>
              </w:rPr>
              <w:t>Parcialmente</w:t>
            </w:r>
          </w:p>
          <w:p w14:paraId="66D6EC9F" w14:textId="77777777" w:rsidR="00411983" w:rsidRPr="00D37331" w:rsidRDefault="00411983">
            <w:pPr>
              <w:jc w:val="center"/>
              <w:rPr>
                <w:rFonts w:ascii="Palatino Linotype" w:eastAsia="Palatino Linotype" w:hAnsi="Palatino Linotype" w:cs="Palatino Linotype"/>
                <w:b/>
                <w:sz w:val="20"/>
                <w:szCs w:val="20"/>
              </w:rPr>
            </w:pPr>
          </w:p>
          <w:p w14:paraId="5E407E48" w14:textId="77777777" w:rsidR="00411983" w:rsidRPr="00D37331" w:rsidRDefault="00922C23">
            <w:pPr>
              <w:jc w:val="both"/>
              <w:rPr>
                <w:rFonts w:ascii="Palatino Linotype" w:eastAsia="Palatino Linotype" w:hAnsi="Palatino Linotype" w:cs="Palatino Linotype"/>
                <w:sz w:val="20"/>
                <w:szCs w:val="20"/>
              </w:rPr>
            </w:pPr>
            <w:r w:rsidRPr="00D37331">
              <w:rPr>
                <w:rFonts w:ascii="Palatino Linotype" w:eastAsia="Palatino Linotype" w:hAnsi="Palatino Linotype" w:cs="Palatino Linotype"/>
                <w:sz w:val="20"/>
                <w:szCs w:val="20"/>
              </w:rPr>
              <w:t>En virtud de que, si bien el Sujeto Obligado señaló la causal que consideraba aplicable de conformidad con el artículo 140, fracción X de La Ley de Transparencia Local, en relación con la fracción X del artículo 113 de la Ley General de Transparencia, vinculándola con el Lineamiento vigésimo noveno; como se analizará más adelante, no procedía la causal de reserva por la que el sujeto obligado clasificó la información.</w:t>
            </w:r>
          </w:p>
        </w:tc>
      </w:tr>
      <w:tr w:rsidR="00D37331" w:rsidRPr="00D37331" w14:paraId="76BF2162" w14:textId="77777777">
        <w:tc>
          <w:tcPr>
            <w:tcW w:w="1413" w:type="dxa"/>
            <w:tcBorders>
              <w:top w:val="single" w:sz="4" w:space="0" w:color="000000"/>
              <w:left w:val="single" w:sz="4" w:space="0" w:color="000000"/>
              <w:bottom w:val="single" w:sz="4" w:space="0" w:color="000000"/>
              <w:right w:val="single" w:sz="4" w:space="0" w:color="000000"/>
            </w:tcBorders>
          </w:tcPr>
          <w:p w14:paraId="142E529D" w14:textId="77777777" w:rsidR="00411983" w:rsidRPr="00D37331" w:rsidRDefault="00922C23">
            <w:pPr>
              <w:jc w:val="center"/>
              <w:rPr>
                <w:rFonts w:ascii="Palatino Linotype" w:eastAsia="Palatino Linotype" w:hAnsi="Palatino Linotype" w:cs="Palatino Linotype"/>
                <w:sz w:val="18"/>
                <w:szCs w:val="18"/>
              </w:rPr>
            </w:pPr>
            <w:r w:rsidRPr="00D37331">
              <w:rPr>
                <w:rFonts w:ascii="Palatino Linotype" w:eastAsia="Palatino Linotype" w:hAnsi="Palatino Linotype" w:cs="Palatino Linotype"/>
                <w:b/>
                <w:sz w:val="18"/>
                <w:szCs w:val="18"/>
              </w:rPr>
              <w:lastRenderedPageBreak/>
              <w:t>Fundamento y Motivación Legal</w:t>
            </w:r>
          </w:p>
        </w:tc>
        <w:tc>
          <w:tcPr>
            <w:tcW w:w="5245" w:type="dxa"/>
            <w:tcBorders>
              <w:top w:val="single" w:sz="4" w:space="0" w:color="000000"/>
              <w:left w:val="single" w:sz="4" w:space="0" w:color="000000"/>
              <w:bottom w:val="single" w:sz="4" w:space="0" w:color="000000"/>
              <w:right w:val="single" w:sz="4" w:space="0" w:color="000000"/>
            </w:tcBorders>
          </w:tcPr>
          <w:p w14:paraId="502413A5" w14:textId="77777777" w:rsidR="00411983" w:rsidRPr="00D37331" w:rsidRDefault="00411983"/>
          <w:p w14:paraId="13128D24" w14:textId="77777777" w:rsidR="00411983" w:rsidRPr="00D37331" w:rsidRDefault="00922C23">
            <w:r w:rsidRPr="00D37331">
              <w:rPr>
                <w:noProof/>
              </w:rPr>
              <w:drawing>
                <wp:inline distT="0" distB="0" distL="0" distR="0" wp14:anchorId="225D8FA8" wp14:editId="7A5CEBA1">
                  <wp:extent cx="3193415" cy="1841904"/>
                  <wp:effectExtent l="0" t="0" r="0" b="0"/>
                  <wp:docPr id="20273749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1"/>
                          <a:srcRect t="6341"/>
                          <a:stretch>
                            <a:fillRect/>
                          </a:stretch>
                        </pic:blipFill>
                        <pic:spPr>
                          <a:xfrm>
                            <a:off x="0" y="0"/>
                            <a:ext cx="3193415" cy="1841904"/>
                          </a:xfrm>
                          <a:prstGeom prst="rect">
                            <a:avLst/>
                          </a:prstGeom>
                          <a:ln/>
                        </pic:spPr>
                      </pic:pic>
                    </a:graphicData>
                  </a:graphic>
                </wp:inline>
              </w:drawing>
            </w:r>
          </w:p>
          <w:p w14:paraId="49BD5CA5" w14:textId="77777777" w:rsidR="00411983" w:rsidRPr="00D37331" w:rsidRDefault="00411983"/>
        </w:tc>
        <w:tc>
          <w:tcPr>
            <w:tcW w:w="2170" w:type="dxa"/>
            <w:tcBorders>
              <w:top w:val="single" w:sz="4" w:space="0" w:color="000000"/>
              <w:left w:val="single" w:sz="4" w:space="0" w:color="000000"/>
              <w:bottom w:val="single" w:sz="4" w:space="0" w:color="000000"/>
              <w:right w:val="single" w:sz="4" w:space="0" w:color="000000"/>
            </w:tcBorders>
          </w:tcPr>
          <w:p w14:paraId="0097F31F" w14:textId="77777777" w:rsidR="00411983" w:rsidRPr="00D37331" w:rsidRDefault="00922C23">
            <w:pPr>
              <w:jc w:val="center"/>
              <w:rPr>
                <w:rFonts w:ascii="Palatino Linotype" w:eastAsia="Palatino Linotype" w:hAnsi="Palatino Linotype" w:cs="Palatino Linotype"/>
                <w:b/>
                <w:sz w:val="20"/>
                <w:szCs w:val="20"/>
              </w:rPr>
            </w:pPr>
            <w:r w:rsidRPr="00D37331">
              <w:rPr>
                <w:rFonts w:ascii="Palatino Linotype" w:eastAsia="Palatino Linotype" w:hAnsi="Palatino Linotype" w:cs="Palatino Linotype"/>
                <w:b/>
                <w:sz w:val="20"/>
                <w:szCs w:val="20"/>
              </w:rPr>
              <w:t xml:space="preserve">NO </w:t>
            </w:r>
          </w:p>
          <w:p w14:paraId="6056A32F" w14:textId="77777777" w:rsidR="00411983" w:rsidRPr="00D37331" w:rsidRDefault="00922C23">
            <w:pPr>
              <w:jc w:val="both"/>
              <w:rPr>
                <w:rFonts w:ascii="Palatino Linotype" w:eastAsia="Palatino Linotype" w:hAnsi="Palatino Linotype" w:cs="Palatino Linotype"/>
                <w:sz w:val="20"/>
                <w:szCs w:val="20"/>
              </w:rPr>
            </w:pPr>
            <w:proofErr w:type="gramStart"/>
            <w:r w:rsidRPr="00D37331">
              <w:rPr>
                <w:rFonts w:ascii="Palatino Linotype" w:eastAsia="Palatino Linotype" w:hAnsi="Palatino Linotype" w:cs="Palatino Linotype"/>
                <w:sz w:val="20"/>
                <w:szCs w:val="20"/>
              </w:rPr>
              <w:t>Ya que</w:t>
            </w:r>
            <w:proofErr w:type="gramEnd"/>
            <w:r w:rsidRPr="00D37331">
              <w:rPr>
                <w:rFonts w:ascii="Palatino Linotype" w:eastAsia="Palatino Linotype" w:hAnsi="Palatino Linotype" w:cs="Palatino Linotype"/>
                <w:sz w:val="20"/>
                <w:szCs w:val="20"/>
              </w:rPr>
              <w:t xml:space="preserve"> si bien el </w:t>
            </w:r>
            <w:r w:rsidRPr="00D37331">
              <w:rPr>
                <w:rFonts w:ascii="Palatino Linotype" w:eastAsia="Palatino Linotype" w:hAnsi="Palatino Linotype" w:cs="Palatino Linotype"/>
                <w:b/>
                <w:sz w:val="20"/>
                <w:szCs w:val="20"/>
              </w:rPr>
              <w:t>Sujeto Obligado</w:t>
            </w:r>
            <w:r w:rsidRPr="00D37331">
              <w:rPr>
                <w:rFonts w:ascii="Palatino Linotype" w:eastAsia="Palatino Linotype" w:hAnsi="Palatino Linotype" w:cs="Palatino Linotype"/>
                <w:sz w:val="20"/>
                <w:szCs w:val="20"/>
              </w:rPr>
              <w:t xml:space="preserve"> indicó el precepto legal que contenía el supuesto de reserva que a su consideración se actualizó, atendiendo la naturaleza de la información y la motivación del ente obligado, no procedía la causal por la que se clasificó la información.</w:t>
            </w:r>
          </w:p>
        </w:tc>
      </w:tr>
      <w:tr w:rsidR="00D37331" w:rsidRPr="00D37331" w14:paraId="2982D151" w14:textId="77777777">
        <w:tc>
          <w:tcPr>
            <w:tcW w:w="1413" w:type="dxa"/>
            <w:tcBorders>
              <w:top w:val="single" w:sz="4" w:space="0" w:color="000000"/>
              <w:left w:val="single" w:sz="4" w:space="0" w:color="000000"/>
              <w:bottom w:val="single" w:sz="4" w:space="0" w:color="000000"/>
              <w:right w:val="single" w:sz="4" w:space="0" w:color="000000"/>
            </w:tcBorders>
          </w:tcPr>
          <w:p w14:paraId="1D7093B5" w14:textId="77777777" w:rsidR="00411983" w:rsidRPr="00D37331" w:rsidRDefault="00922C23">
            <w:pPr>
              <w:rPr>
                <w:rFonts w:ascii="Palatino Linotype" w:eastAsia="Palatino Linotype" w:hAnsi="Palatino Linotype" w:cs="Palatino Linotype"/>
                <w:b/>
                <w:sz w:val="16"/>
                <w:szCs w:val="16"/>
              </w:rPr>
            </w:pPr>
            <w:r w:rsidRPr="00D37331">
              <w:rPr>
                <w:rFonts w:ascii="Palatino Linotype" w:eastAsia="Palatino Linotype" w:hAnsi="Palatino Linotype" w:cs="Palatino Linotype"/>
                <w:b/>
                <w:sz w:val="16"/>
                <w:szCs w:val="16"/>
              </w:rPr>
              <w:t>Conexión entre los fundamentos y motivos que dieron origen a la Reserva de la información</w:t>
            </w:r>
          </w:p>
        </w:tc>
        <w:tc>
          <w:tcPr>
            <w:tcW w:w="5245" w:type="dxa"/>
            <w:tcBorders>
              <w:top w:val="single" w:sz="4" w:space="0" w:color="000000"/>
              <w:left w:val="single" w:sz="4" w:space="0" w:color="000000"/>
              <w:bottom w:val="single" w:sz="4" w:space="0" w:color="000000"/>
              <w:right w:val="single" w:sz="4" w:space="0" w:color="000000"/>
            </w:tcBorders>
          </w:tcPr>
          <w:p w14:paraId="02DF37D6" w14:textId="77777777" w:rsidR="00411983" w:rsidRPr="00D37331" w:rsidRDefault="00411983"/>
          <w:p w14:paraId="486DBF3E" w14:textId="77777777" w:rsidR="00411983" w:rsidRPr="00D37331" w:rsidRDefault="00922C23">
            <w:r w:rsidRPr="00D37331">
              <w:rPr>
                <w:noProof/>
              </w:rPr>
              <w:drawing>
                <wp:inline distT="0" distB="0" distL="0" distR="0" wp14:anchorId="59C88A41" wp14:editId="7D6CC8BC">
                  <wp:extent cx="3193415" cy="220345"/>
                  <wp:effectExtent l="0" t="0" r="0" b="0"/>
                  <wp:docPr id="20273749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srcRect/>
                          <a:stretch>
                            <a:fillRect/>
                          </a:stretch>
                        </pic:blipFill>
                        <pic:spPr>
                          <a:xfrm>
                            <a:off x="0" y="0"/>
                            <a:ext cx="3193415" cy="220345"/>
                          </a:xfrm>
                          <a:prstGeom prst="rect">
                            <a:avLst/>
                          </a:prstGeom>
                          <a:ln/>
                        </pic:spPr>
                      </pic:pic>
                    </a:graphicData>
                  </a:graphic>
                </wp:inline>
              </w:drawing>
            </w:r>
          </w:p>
          <w:p w14:paraId="354E97B3" w14:textId="77777777" w:rsidR="00411983" w:rsidRPr="00D37331" w:rsidRDefault="00922C23">
            <w:r w:rsidRPr="00D37331">
              <w:rPr>
                <w:noProof/>
              </w:rPr>
              <w:drawing>
                <wp:inline distT="0" distB="0" distL="0" distR="0" wp14:anchorId="515DCE6E" wp14:editId="16C52ECD">
                  <wp:extent cx="3193415" cy="895350"/>
                  <wp:effectExtent l="0" t="0" r="0" b="0"/>
                  <wp:docPr id="20273749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
                          <a:srcRect/>
                          <a:stretch>
                            <a:fillRect/>
                          </a:stretch>
                        </pic:blipFill>
                        <pic:spPr>
                          <a:xfrm>
                            <a:off x="0" y="0"/>
                            <a:ext cx="3193415" cy="895350"/>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231E8745" w14:textId="77777777" w:rsidR="00411983" w:rsidRPr="00D37331" w:rsidRDefault="00922C23">
            <w:pPr>
              <w:jc w:val="center"/>
              <w:rPr>
                <w:rFonts w:ascii="Palatino Linotype" w:eastAsia="Palatino Linotype" w:hAnsi="Palatino Linotype" w:cs="Palatino Linotype"/>
                <w:b/>
                <w:sz w:val="18"/>
                <w:szCs w:val="18"/>
              </w:rPr>
            </w:pPr>
            <w:r w:rsidRPr="00D37331">
              <w:rPr>
                <w:rFonts w:ascii="Palatino Linotype" w:eastAsia="Palatino Linotype" w:hAnsi="Palatino Linotype" w:cs="Palatino Linotype"/>
                <w:b/>
                <w:sz w:val="18"/>
                <w:szCs w:val="18"/>
              </w:rPr>
              <w:t>NO</w:t>
            </w:r>
          </w:p>
          <w:p w14:paraId="6538225A" w14:textId="77777777" w:rsidR="00411983" w:rsidRPr="00D37331" w:rsidRDefault="00922C23">
            <w:pPr>
              <w:jc w:val="both"/>
              <w:rPr>
                <w:rFonts w:ascii="Palatino Linotype" w:eastAsia="Palatino Linotype" w:hAnsi="Palatino Linotype" w:cs="Palatino Linotype"/>
                <w:sz w:val="18"/>
                <w:szCs w:val="18"/>
              </w:rPr>
            </w:pPr>
            <w:r w:rsidRPr="00D37331">
              <w:rPr>
                <w:rFonts w:ascii="Palatino Linotype" w:eastAsia="Palatino Linotype" w:hAnsi="Palatino Linotype" w:cs="Palatino Linotype"/>
                <w:sz w:val="18"/>
                <w:szCs w:val="18"/>
              </w:rPr>
              <w:t xml:space="preserve">No hay conexidad entre los motivos y fundamentos por los que se reservó la información. </w:t>
            </w:r>
          </w:p>
          <w:p w14:paraId="358AD10E" w14:textId="77777777" w:rsidR="00411983" w:rsidRPr="00D37331" w:rsidRDefault="00411983">
            <w:pPr>
              <w:jc w:val="both"/>
              <w:rPr>
                <w:rFonts w:ascii="Palatino Linotype" w:eastAsia="Palatino Linotype" w:hAnsi="Palatino Linotype" w:cs="Palatino Linotype"/>
              </w:rPr>
            </w:pPr>
          </w:p>
        </w:tc>
      </w:tr>
      <w:tr w:rsidR="00D37331" w:rsidRPr="00D37331" w14:paraId="4018AE47" w14:textId="77777777">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14:paraId="1AA4D1FE" w14:textId="77777777" w:rsidR="00411983" w:rsidRPr="00D37331" w:rsidRDefault="00922C23">
            <w:pPr>
              <w:jc w:val="center"/>
              <w:rPr>
                <w:rFonts w:ascii="Palatino Linotype" w:eastAsia="Palatino Linotype" w:hAnsi="Palatino Linotype" w:cs="Palatino Linotype"/>
                <w:b/>
              </w:rPr>
            </w:pPr>
            <w:r w:rsidRPr="00D37331">
              <w:rPr>
                <w:rFonts w:ascii="Palatino Linotype" w:eastAsia="Palatino Linotype" w:hAnsi="Palatino Linotype" w:cs="Palatino Linotype"/>
                <w:b/>
              </w:rPr>
              <w:t>Elementos de la prueba de daño</w:t>
            </w:r>
          </w:p>
        </w:tc>
      </w:tr>
      <w:tr w:rsidR="00D37331" w:rsidRPr="00D37331" w14:paraId="73669790" w14:textId="77777777">
        <w:tc>
          <w:tcPr>
            <w:tcW w:w="1413" w:type="dxa"/>
            <w:tcBorders>
              <w:top w:val="single" w:sz="4" w:space="0" w:color="000000"/>
              <w:left w:val="single" w:sz="4" w:space="0" w:color="000000"/>
              <w:bottom w:val="single" w:sz="4" w:space="0" w:color="000000"/>
              <w:right w:val="single" w:sz="4" w:space="0" w:color="000000"/>
            </w:tcBorders>
          </w:tcPr>
          <w:p w14:paraId="0DE2ABB1" w14:textId="77777777" w:rsidR="00411983" w:rsidRPr="00D37331" w:rsidRDefault="00922C23">
            <w:pPr>
              <w:spacing w:line="256" w:lineRule="auto"/>
              <w:jc w:val="center"/>
              <w:rPr>
                <w:rFonts w:ascii="Palatino Linotype" w:eastAsia="Palatino Linotype" w:hAnsi="Palatino Linotype" w:cs="Palatino Linotype"/>
                <w:b/>
                <w:sz w:val="16"/>
                <w:szCs w:val="16"/>
              </w:rPr>
            </w:pPr>
            <w:r w:rsidRPr="00D37331">
              <w:rPr>
                <w:rFonts w:ascii="Palatino Linotype" w:eastAsia="Palatino Linotype" w:hAnsi="Palatino Linotype" w:cs="Palatino Linotype"/>
                <w:b/>
                <w:sz w:val="16"/>
                <w:szCs w:val="16"/>
              </w:rPr>
              <w:t>Riesgo Real, Demostrable e Identificable</w:t>
            </w:r>
          </w:p>
          <w:p w14:paraId="4BE16D3B" w14:textId="77777777" w:rsidR="00411983" w:rsidRPr="00D37331" w:rsidRDefault="00922C23">
            <w:pPr>
              <w:jc w:val="center"/>
              <w:rPr>
                <w:rFonts w:ascii="Palatino Linotype" w:eastAsia="Palatino Linotype" w:hAnsi="Palatino Linotype" w:cs="Palatino Linotype"/>
                <w:b/>
              </w:rPr>
            </w:pPr>
            <w:r w:rsidRPr="00D37331">
              <w:rPr>
                <w:rFonts w:ascii="Palatino Linotype" w:eastAsia="Palatino Linotype" w:hAnsi="Palatino Linotype" w:cs="Palatino Linotype"/>
                <w:b/>
                <w:sz w:val="16"/>
                <w:szCs w:val="16"/>
              </w:rPr>
              <w:t>(Modo, Tiempo y Lugar)</w:t>
            </w:r>
          </w:p>
        </w:tc>
        <w:tc>
          <w:tcPr>
            <w:tcW w:w="5245" w:type="dxa"/>
            <w:tcBorders>
              <w:top w:val="single" w:sz="4" w:space="0" w:color="000000"/>
              <w:left w:val="single" w:sz="4" w:space="0" w:color="000000"/>
              <w:bottom w:val="single" w:sz="4" w:space="0" w:color="000000"/>
              <w:right w:val="single" w:sz="4" w:space="0" w:color="000000"/>
            </w:tcBorders>
          </w:tcPr>
          <w:p w14:paraId="222858A9" w14:textId="77777777" w:rsidR="00411983" w:rsidRPr="00D37331" w:rsidRDefault="00411983"/>
          <w:p w14:paraId="00DE1846" w14:textId="77777777" w:rsidR="00411983" w:rsidRPr="00D37331" w:rsidRDefault="00922C23">
            <w:r w:rsidRPr="00D37331">
              <w:rPr>
                <w:noProof/>
              </w:rPr>
              <w:drawing>
                <wp:inline distT="0" distB="0" distL="0" distR="0" wp14:anchorId="25A123F9" wp14:editId="31EDD575">
                  <wp:extent cx="3197266" cy="2306591"/>
                  <wp:effectExtent l="0" t="0" r="0" b="0"/>
                  <wp:docPr id="20273749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4"/>
                          <a:srcRect/>
                          <a:stretch>
                            <a:fillRect/>
                          </a:stretch>
                        </pic:blipFill>
                        <pic:spPr>
                          <a:xfrm>
                            <a:off x="0" y="0"/>
                            <a:ext cx="3197266" cy="2306591"/>
                          </a:xfrm>
                          <a:prstGeom prst="rect">
                            <a:avLst/>
                          </a:prstGeom>
                          <a:ln/>
                        </pic:spPr>
                      </pic:pic>
                    </a:graphicData>
                  </a:graphic>
                </wp:inline>
              </w:drawing>
            </w:r>
          </w:p>
          <w:p w14:paraId="6355F6D7" w14:textId="77777777" w:rsidR="00411983" w:rsidRPr="00D37331" w:rsidRDefault="00411983"/>
          <w:p w14:paraId="73EB85E6" w14:textId="77777777" w:rsidR="00411983" w:rsidRPr="00D37331" w:rsidRDefault="00922C23">
            <w:r w:rsidRPr="00D37331">
              <w:rPr>
                <w:noProof/>
              </w:rPr>
              <w:lastRenderedPageBreak/>
              <w:drawing>
                <wp:inline distT="0" distB="0" distL="0" distR="0" wp14:anchorId="0C22C6B8" wp14:editId="2D2E32D3">
                  <wp:extent cx="3196457" cy="3411464"/>
                  <wp:effectExtent l="0" t="0" r="0" b="0"/>
                  <wp:docPr id="20273749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5"/>
                          <a:srcRect/>
                          <a:stretch>
                            <a:fillRect/>
                          </a:stretch>
                        </pic:blipFill>
                        <pic:spPr>
                          <a:xfrm>
                            <a:off x="0" y="0"/>
                            <a:ext cx="3196457" cy="3411464"/>
                          </a:xfrm>
                          <a:prstGeom prst="rect">
                            <a:avLst/>
                          </a:prstGeom>
                          <a:ln/>
                        </pic:spPr>
                      </pic:pic>
                    </a:graphicData>
                  </a:graphic>
                </wp:inline>
              </w:drawing>
            </w:r>
          </w:p>
          <w:p w14:paraId="2D7CAE29" w14:textId="77777777" w:rsidR="00411983" w:rsidRPr="00D37331" w:rsidRDefault="00922C23">
            <w:pPr>
              <w:rPr>
                <w:rFonts w:ascii="Palatino Linotype" w:eastAsia="Palatino Linotype" w:hAnsi="Palatino Linotype" w:cs="Palatino Linotype"/>
                <w:b/>
              </w:rPr>
            </w:pPr>
            <w:r w:rsidRPr="00D37331">
              <w:rPr>
                <w:rFonts w:ascii="Palatino Linotype" w:eastAsia="Palatino Linotype" w:hAnsi="Palatino Linotype" w:cs="Palatino Linotype"/>
                <w:b/>
                <w:noProof/>
              </w:rPr>
              <w:drawing>
                <wp:inline distT="0" distB="0" distL="0" distR="0" wp14:anchorId="6060820C" wp14:editId="7169E571">
                  <wp:extent cx="3193415" cy="992505"/>
                  <wp:effectExtent l="0" t="0" r="0" b="0"/>
                  <wp:docPr id="20273749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6"/>
                          <a:srcRect/>
                          <a:stretch>
                            <a:fillRect/>
                          </a:stretch>
                        </pic:blipFill>
                        <pic:spPr>
                          <a:xfrm>
                            <a:off x="0" y="0"/>
                            <a:ext cx="3193415" cy="992505"/>
                          </a:xfrm>
                          <a:prstGeom prst="rect">
                            <a:avLst/>
                          </a:prstGeom>
                          <a:ln/>
                        </pic:spPr>
                      </pic:pic>
                    </a:graphicData>
                  </a:graphic>
                </wp:inline>
              </w:drawing>
            </w:r>
          </w:p>
          <w:p w14:paraId="23321A10" w14:textId="77777777" w:rsidR="00411983" w:rsidRPr="00D37331" w:rsidRDefault="00922C23">
            <w:pPr>
              <w:tabs>
                <w:tab w:val="left" w:pos="2610"/>
                <w:tab w:val="center" w:pos="2798"/>
              </w:tabs>
              <w:rPr>
                <w:rFonts w:ascii="Palatino Linotype" w:eastAsia="Palatino Linotype" w:hAnsi="Palatino Linotype" w:cs="Palatino Linotype"/>
                <w:b/>
              </w:rPr>
            </w:pPr>
            <w:r w:rsidRPr="00D37331">
              <w:rPr>
                <w:rFonts w:ascii="Palatino Linotype" w:eastAsia="Palatino Linotype" w:hAnsi="Palatino Linotype" w:cs="Palatino Linotype"/>
                <w:b/>
              </w:rPr>
              <w:tab/>
            </w:r>
          </w:p>
        </w:tc>
        <w:tc>
          <w:tcPr>
            <w:tcW w:w="2170" w:type="dxa"/>
            <w:tcBorders>
              <w:top w:val="single" w:sz="4" w:space="0" w:color="000000"/>
              <w:left w:val="single" w:sz="4" w:space="0" w:color="000000"/>
              <w:bottom w:val="single" w:sz="4" w:space="0" w:color="000000"/>
              <w:right w:val="single" w:sz="4" w:space="0" w:color="000000"/>
            </w:tcBorders>
          </w:tcPr>
          <w:p w14:paraId="541E9002" w14:textId="77777777" w:rsidR="00411983" w:rsidRPr="00D37331" w:rsidRDefault="00922C23">
            <w:pPr>
              <w:jc w:val="center"/>
              <w:rPr>
                <w:rFonts w:ascii="Palatino Linotype" w:eastAsia="Palatino Linotype" w:hAnsi="Palatino Linotype" w:cs="Palatino Linotype"/>
                <w:b/>
                <w:sz w:val="18"/>
                <w:szCs w:val="18"/>
              </w:rPr>
            </w:pPr>
            <w:r w:rsidRPr="00D37331">
              <w:rPr>
                <w:rFonts w:ascii="Palatino Linotype" w:eastAsia="Palatino Linotype" w:hAnsi="Palatino Linotype" w:cs="Palatino Linotype"/>
                <w:b/>
                <w:sz w:val="18"/>
                <w:szCs w:val="18"/>
              </w:rPr>
              <w:lastRenderedPageBreak/>
              <w:t>NO</w:t>
            </w:r>
          </w:p>
          <w:p w14:paraId="33877F69" w14:textId="77777777" w:rsidR="00411983" w:rsidRPr="00D37331" w:rsidRDefault="00922C23">
            <w:pPr>
              <w:jc w:val="both"/>
              <w:rPr>
                <w:rFonts w:ascii="Palatino Linotype" w:eastAsia="Palatino Linotype" w:hAnsi="Palatino Linotype" w:cs="Palatino Linotype"/>
                <w:sz w:val="18"/>
                <w:szCs w:val="18"/>
              </w:rPr>
            </w:pPr>
            <w:r w:rsidRPr="00D37331">
              <w:rPr>
                <w:rFonts w:ascii="Palatino Linotype" w:eastAsia="Palatino Linotype" w:hAnsi="Palatino Linotype" w:cs="Palatino Linotype"/>
                <w:sz w:val="18"/>
                <w:szCs w:val="18"/>
              </w:rPr>
              <w:t>Debido a que no se exponen los argumentos tendientes a demostrar el</w:t>
            </w:r>
            <w:r w:rsidRPr="00D37331">
              <w:t xml:space="preserve"> </w:t>
            </w:r>
            <w:r w:rsidRPr="00D37331">
              <w:rPr>
                <w:rFonts w:ascii="Palatino Linotype" w:eastAsia="Palatino Linotype" w:hAnsi="Palatino Linotype" w:cs="Palatino Linotype"/>
                <w:sz w:val="18"/>
                <w:szCs w:val="18"/>
              </w:rPr>
              <w:t>Riesgo Real, Demostrable e Identificable (circunstancias de modo, tiempo y lugar), que existe al hacer la entrega de la información.</w:t>
            </w:r>
          </w:p>
          <w:p w14:paraId="702F9B16" w14:textId="77777777" w:rsidR="00411983" w:rsidRPr="00D37331" w:rsidRDefault="00411983">
            <w:pPr>
              <w:jc w:val="both"/>
              <w:rPr>
                <w:rFonts w:ascii="Palatino Linotype" w:eastAsia="Palatino Linotype" w:hAnsi="Palatino Linotype" w:cs="Palatino Linotype"/>
                <w:sz w:val="18"/>
                <w:szCs w:val="18"/>
              </w:rPr>
            </w:pPr>
          </w:p>
          <w:p w14:paraId="6D5D80D1" w14:textId="77777777" w:rsidR="00411983" w:rsidRPr="00D37331" w:rsidRDefault="00411983">
            <w:pPr>
              <w:jc w:val="center"/>
              <w:rPr>
                <w:rFonts w:ascii="Palatino Linotype" w:eastAsia="Palatino Linotype" w:hAnsi="Palatino Linotype" w:cs="Palatino Linotype"/>
                <w:b/>
                <w:sz w:val="16"/>
                <w:szCs w:val="16"/>
              </w:rPr>
            </w:pPr>
          </w:p>
          <w:p w14:paraId="3723CC6F" w14:textId="77777777" w:rsidR="00411983" w:rsidRPr="00D37331" w:rsidRDefault="00411983">
            <w:pPr>
              <w:jc w:val="center"/>
              <w:rPr>
                <w:rFonts w:ascii="Palatino Linotype" w:eastAsia="Palatino Linotype" w:hAnsi="Palatino Linotype" w:cs="Palatino Linotype"/>
                <w:sz w:val="18"/>
                <w:szCs w:val="18"/>
              </w:rPr>
            </w:pPr>
          </w:p>
        </w:tc>
      </w:tr>
      <w:tr w:rsidR="00D37331" w:rsidRPr="00D37331" w14:paraId="501587D1" w14:textId="77777777">
        <w:tc>
          <w:tcPr>
            <w:tcW w:w="1413" w:type="dxa"/>
            <w:tcBorders>
              <w:top w:val="single" w:sz="4" w:space="0" w:color="000000"/>
              <w:left w:val="single" w:sz="4" w:space="0" w:color="000000"/>
              <w:bottom w:val="single" w:sz="4" w:space="0" w:color="000000"/>
              <w:right w:val="single" w:sz="4" w:space="0" w:color="000000"/>
            </w:tcBorders>
          </w:tcPr>
          <w:p w14:paraId="41D155F7" w14:textId="77777777" w:rsidR="00411983" w:rsidRPr="00D37331" w:rsidRDefault="00922C23">
            <w:pPr>
              <w:jc w:val="center"/>
              <w:rPr>
                <w:rFonts w:ascii="Palatino Linotype" w:eastAsia="Palatino Linotype" w:hAnsi="Palatino Linotype" w:cs="Palatino Linotype"/>
                <w:b/>
              </w:rPr>
            </w:pPr>
            <w:r w:rsidRPr="00D37331">
              <w:rPr>
                <w:rFonts w:ascii="Palatino Linotype" w:eastAsia="Palatino Linotype" w:hAnsi="Palatino Linotype" w:cs="Palatino Linotype"/>
                <w:b/>
                <w:sz w:val="16"/>
                <w:szCs w:val="16"/>
              </w:rPr>
              <w:t>Temporalidad de la Reserva de la información</w:t>
            </w:r>
          </w:p>
        </w:tc>
        <w:tc>
          <w:tcPr>
            <w:tcW w:w="5245" w:type="dxa"/>
            <w:tcBorders>
              <w:top w:val="single" w:sz="4" w:space="0" w:color="000000"/>
              <w:left w:val="single" w:sz="4" w:space="0" w:color="000000"/>
              <w:bottom w:val="single" w:sz="4" w:space="0" w:color="000000"/>
              <w:right w:val="single" w:sz="4" w:space="0" w:color="000000"/>
            </w:tcBorders>
          </w:tcPr>
          <w:p w14:paraId="16DBB8E1" w14:textId="77777777" w:rsidR="00411983" w:rsidRPr="00D37331" w:rsidRDefault="00922C23">
            <w:pPr>
              <w:jc w:val="center"/>
              <w:rPr>
                <w:rFonts w:ascii="Palatino Linotype" w:eastAsia="Palatino Linotype" w:hAnsi="Palatino Linotype" w:cs="Palatino Linotype"/>
                <w:b/>
              </w:rPr>
            </w:pPr>
            <w:r w:rsidRPr="00D37331">
              <w:rPr>
                <w:rFonts w:ascii="Palatino Linotype" w:eastAsia="Palatino Linotype" w:hAnsi="Palatino Linotype" w:cs="Palatino Linotype"/>
                <w:b/>
              </w:rPr>
              <w:t>No se indicó</w:t>
            </w:r>
          </w:p>
        </w:tc>
        <w:tc>
          <w:tcPr>
            <w:tcW w:w="2170" w:type="dxa"/>
            <w:tcBorders>
              <w:top w:val="single" w:sz="4" w:space="0" w:color="000000"/>
              <w:left w:val="single" w:sz="4" w:space="0" w:color="000000"/>
              <w:bottom w:val="single" w:sz="4" w:space="0" w:color="000000"/>
              <w:right w:val="single" w:sz="4" w:space="0" w:color="000000"/>
            </w:tcBorders>
          </w:tcPr>
          <w:p w14:paraId="0650428B" w14:textId="77777777" w:rsidR="00411983" w:rsidRPr="00D37331" w:rsidRDefault="00922C23">
            <w:pPr>
              <w:jc w:val="center"/>
              <w:rPr>
                <w:rFonts w:ascii="Palatino Linotype" w:eastAsia="Palatino Linotype" w:hAnsi="Palatino Linotype" w:cs="Palatino Linotype"/>
                <w:b/>
              </w:rPr>
            </w:pPr>
            <w:r w:rsidRPr="00D37331">
              <w:rPr>
                <w:rFonts w:ascii="Palatino Linotype" w:eastAsia="Palatino Linotype" w:hAnsi="Palatino Linotype" w:cs="Palatino Linotype"/>
                <w:b/>
              </w:rPr>
              <w:t>NO</w:t>
            </w:r>
          </w:p>
        </w:tc>
      </w:tr>
      <w:tr w:rsidR="00411983" w:rsidRPr="00D37331" w14:paraId="6A36A112" w14:textId="77777777">
        <w:tc>
          <w:tcPr>
            <w:tcW w:w="1413" w:type="dxa"/>
            <w:tcBorders>
              <w:top w:val="single" w:sz="4" w:space="0" w:color="000000"/>
              <w:left w:val="single" w:sz="4" w:space="0" w:color="000000"/>
              <w:bottom w:val="single" w:sz="4" w:space="0" w:color="000000"/>
              <w:right w:val="single" w:sz="4" w:space="0" w:color="000000"/>
            </w:tcBorders>
          </w:tcPr>
          <w:p w14:paraId="6508350A" w14:textId="77777777" w:rsidR="00411983" w:rsidRPr="00D37331" w:rsidRDefault="00922C23">
            <w:pPr>
              <w:jc w:val="center"/>
              <w:rPr>
                <w:rFonts w:ascii="Palatino Linotype" w:eastAsia="Palatino Linotype" w:hAnsi="Palatino Linotype" w:cs="Palatino Linotype"/>
                <w:b/>
              </w:rPr>
            </w:pPr>
            <w:r w:rsidRPr="00D37331">
              <w:rPr>
                <w:rFonts w:ascii="Palatino Linotype" w:eastAsia="Palatino Linotype" w:hAnsi="Palatino Linotype" w:cs="Palatino Linotype"/>
                <w:b/>
                <w:sz w:val="16"/>
                <w:szCs w:val="16"/>
              </w:rPr>
              <w:t>Autoridades competentes.</w:t>
            </w:r>
          </w:p>
        </w:tc>
        <w:tc>
          <w:tcPr>
            <w:tcW w:w="5245" w:type="dxa"/>
            <w:tcBorders>
              <w:top w:val="single" w:sz="4" w:space="0" w:color="000000"/>
              <w:left w:val="single" w:sz="4" w:space="0" w:color="000000"/>
              <w:bottom w:val="single" w:sz="4" w:space="0" w:color="000000"/>
              <w:right w:val="single" w:sz="4" w:space="0" w:color="000000"/>
            </w:tcBorders>
          </w:tcPr>
          <w:p w14:paraId="06E7B1DA" w14:textId="77777777" w:rsidR="00411983" w:rsidRPr="00D37331" w:rsidRDefault="00411983">
            <w:pPr>
              <w:jc w:val="center"/>
            </w:pPr>
          </w:p>
          <w:p w14:paraId="019EBD49" w14:textId="77777777" w:rsidR="00411983" w:rsidRPr="00D37331" w:rsidRDefault="00922C23">
            <w:pPr>
              <w:jc w:val="center"/>
            </w:pPr>
            <w:r w:rsidRPr="00D37331">
              <w:rPr>
                <w:noProof/>
              </w:rPr>
              <w:drawing>
                <wp:inline distT="0" distB="0" distL="0" distR="0" wp14:anchorId="06940D26" wp14:editId="78C93043">
                  <wp:extent cx="3193415" cy="1743075"/>
                  <wp:effectExtent l="0" t="0" r="0" b="0"/>
                  <wp:docPr id="20273749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7"/>
                          <a:srcRect/>
                          <a:stretch>
                            <a:fillRect/>
                          </a:stretch>
                        </pic:blipFill>
                        <pic:spPr>
                          <a:xfrm>
                            <a:off x="0" y="0"/>
                            <a:ext cx="3193415" cy="1743075"/>
                          </a:xfrm>
                          <a:prstGeom prst="rect">
                            <a:avLst/>
                          </a:prstGeom>
                          <a:ln/>
                        </pic:spPr>
                      </pic:pic>
                    </a:graphicData>
                  </a:graphic>
                </wp:inline>
              </w:drawing>
            </w:r>
          </w:p>
          <w:p w14:paraId="41D038C4" w14:textId="77777777" w:rsidR="00411983" w:rsidRPr="00D37331" w:rsidRDefault="00411983">
            <w:pPr>
              <w:jc w:val="center"/>
            </w:pPr>
          </w:p>
        </w:tc>
        <w:tc>
          <w:tcPr>
            <w:tcW w:w="2170" w:type="dxa"/>
            <w:tcBorders>
              <w:top w:val="single" w:sz="4" w:space="0" w:color="000000"/>
              <w:left w:val="single" w:sz="4" w:space="0" w:color="000000"/>
              <w:bottom w:val="single" w:sz="4" w:space="0" w:color="000000"/>
              <w:right w:val="single" w:sz="4" w:space="0" w:color="000000"/>
            </w:tcBorders>
          </w:tcPr>
          <w:p w14:paraId="6C1E873A" w14:textId="77777777" w:rsidR="00411983" w:rsidRPr="00D37331" w:rsidRDefault="00922C23">
            <w:pPr>
              <w:jc w:val="center"/>
              <w:rPr>
                <w:rFonts w:ascii="Palatino Linotype" w:eastAsia="Palatino Linotype" w:hAnsi="Palatino Linotype" w:cs="Palatino Linotype"/>
                <w:sz w:val="18"/>
                <w:szCs w:val="18"/>
              </w:rPr>
            </w:pPr>
            <w:r w:rsidRPr="00D37331">
              <w:rPr>
                <w:rFonts w:ascii="Palatino Linotype" w:eastAsia="Palatino Linotype" w:hAnsi="Palatino Linotype" w:cs="Palatino Linotype"/>
                <w:b/>
              </w:rPr>
              <w:t>Sí</w:t>
            </w:r>
          </w:p>
        </w:tc>
      </w:tr>
    </w:tbl>
    <w:p w14:paraId="4CCE2A0C" w14:textId="77777777" w:rsidR="00411983" w:rsidRPr="00D37331" w:rsidRDefault="00411983">
      <w:pPr>
        <w:spacing w:line="360" w:lineRule="auto"/>
        <w:jc w:val="both"/>
        <w:rPr>
          <w:rFonts w:ascii="Palatino Linotype" w:eastAsia="Palatino Linotype" w:hAnsi="Palatino Linotype" w:cs="Palatino Linotype"/>
        </w:rPr>
      </w:pPr>
    </w:p>
    <w:p w14:paraId="1C2FE787"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lastRenderedPageBreak/>
        <w:t xml:space="preserve">De lo anterior,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si bien, a través del acuerdo emitido por su Comité de Transparencia realizó la prueba de daño; </w:t>
      </w:r>
      <w:r w:rsidRPr="00D37331">
        <w:rPr>
          <w:rFonts w:ascii="Palatino Linotype" w:eastAsia="Palatino Linotype" w:hAnsi="Palatino Linotype" w:cs="Palatino Linotype"/>
          <w:b/>
          <w:u w:val="single"/>
        </w:rPr>
        <w:t>no acreditó cabalmente las razones por las cuales la entrega de la información generaría una afectación a los procedimientos de responsabilidades administrativas que refiere aún no han quedado firmes;</w:t>
      </w:r>
      <w:r w:rsidRPr="00D37331">
        <w:rPr>
          <w:rFonts w:ascii="Palatino Linotype" w:eastAsia="Palatino Linotype" w:hAnsi="Palatino Linotype" w:cs="Palatino Linotype"/>
          <w:b/>
        </w:rPr>
        <w:t xml:space="preserve"> </w:t>
      </w:r>
      <w:r w:rsidRPr="00D37331">
        <w:rPr>
          <w:rFonts w:ascii="Palatino Linotype" w:eastAsia="Palatino Linotype" w:hAnsi="Palatino Linotype" w:cs="Palatino Linotype"/>
        </w:rPr>
        <w:t xml:space="preserve">además que no se encuentra debidamente fundado y motivado. </w:t>
      </w:r>
    </w:p>
    <w:p w14:paraId="74D1DF5C" w14:textId="77777777" w:rsidR="00411983" w:rsidRPr="00D37331" w:rsidRDefault="00411983">
      <w:pPr>
        <w:tabs>
          <w:tab w:val="left" w:pos="4962"/>
        </w:tabs>
        <w:spacing w:line="360" w:lineRule="auto"/>
        <w:jc w:val="both"/>
        <w:rPr>
          <w:rFonts w:ascii="Palatino Linotype" w:eastAsia="Palatino Linotype" w:hAnsi="Palatino Linotype" w:cs="Palatino Linotype"/>
        </w:rPr>
      </w:pPr>
    </w:p>
    <w:p w14:paraId="3272CAE7"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Es de agregar que,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tiene el deber de motivar la clasificación, señalando las </w:t>
      </w:r>
      <w:r w:rsidRPr="00D37331">
        <w:rPr>
          <w:rFonts w:ascii="Palatino Linotype" w:eastAsia="Palatino Linotype" w:hAnsi="Palatino Linotype" w:cs="Palatino Linotype"/>
          <w:b/>
        </w:rPr>
        <w:t>circunstancias de modo, tiempo y lugar del daño</w:t>
      </w:r>
      <w:r w:rsidRPr="00D37331">
        <w:rPr>
          <w:rFonts w:ascii="Palatino Linotype" w:eastAsia="Palatino Linotype" w:hAnsi="Palatino Linotype" w:cs="Palatino Linotype"/>
        </w:rPr>
        <w:t xml:space="preserve">, que acrediten el vínculo entre la difusión de la información y la afectación al interés público, desarrollando esta parte en la prueba de daño correspondiente; </w:t>
      </w:r>
      <w:r w:rsidRPr="00D37331">
        <w:rPr>
          <w:rFonts w:ascii="Palatino Linotype" w:eastAsia="Palatino Linotype" w:hAnsi="Palatino Linotype" w:cs="Palatino Linotype"/>
          <w:b/>
          <w:u w:val="single"/>
        </w:rPr>
        <w:t>situación que como se logra vislumbrar del acuerdo analizado tampoco se cumplió</w:t>
      </w:r>
      <w:r w:rsidRPr="00D37331">
        <w:rPr>
          <w:rFonts w:ascii="Palatino Linotype" w:eastAsia="Palatino Linotype" w:hAnsi="Palatino Linotype" w:cs="Palatino Linotype"/>
        </w:rPr>
        <w:t>, pues sólo se indicó que la información podría generar un menoscabo en el debido proceso, las estrategias de investigación, técnicas de inspección y supervisión.</w:t>
      </w:r>
    </w:p>
    <w:p w14:paraId="78DECAC5" w14:textId="77777777" w:rsidR="00411983" w:rsidRPr="00D37331" w:rsidRDefault="00411983">
      <w:pPr>
        <w:spacing w:line="360" w:lineRule="auto"/>
        <w:jc w:val="both"/>
        <w:rPr>
          <w:rFonts w:ascii="Palatino Linotype" w:eastAsia="Palatino Linotype" w:hAnsi="Palatino Linotype" w:cs="Palatino Linotype"/>
        </w:rPr>
      </w:pPr>
    </w:p>
    <w:p w14:paraId="1615D304"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Por tanto, al no llevarse a cabo la ponderación de los intereses en conflicto tendientes a demostrar que la publicidad generaría un daño, bajo el análisis de dichos factores, no se demuestra el daño que generaría la entrega de la información.</w:t>
      </w:r>
    </w:p>
    <w:p w14:paraId="5E4D0636" w14:textId="77777777" w:rsidR="00411983" w:rsidRPr="00D37331" w:rsidRDefault="00411983">
      <w:pPr>
        <w:tabs>
          <w:tab w:val="left" w:pos="4962"/>
        </w:tabs>
        <w:spacing w:line="360" w:lineRule="auto"/>
        <w:jc w:val="both"/>
        <w:rPr>
          <w:rFonts w:ascii="Palatino Linotype" w:eastAsia="Palatino Linotype" w:hAnsi="Palatino Linotype" w:cs="Palatino Linotype"/>
        </w:rPr>
      </w:pPr>
    </w:p>
    <w:p w14:paraId="4BF42394"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Por otro lado, si las actas, oficios y/o documentos requeridos se relacionan con procedimientos de responsabilidades administrativas, la causal de clasificación por la que se reservó no era la procedente, pues el análisis de la causal de reserva debió ceñirse al cumplimiento de los requisitos de la fracción VI del artículo 140 de la Ley de Transparencia Local, con relación a su fracción homologa IX del artículo 113 de la Ley General de Transparencia, a saber:</w:t>
      </w:r>
    </w:p>
    <w:p w14:paraId="7005B60F" w14:textId="77777777" w:rsidR="00411983" w:rsidRPr="00D37331" w:rsidRDefault="00411983">
      <w:pPr>
        <w:pBdr>
          <w:top w:val="nil"/>
          <w:left w:val="nil"/>
          <w:bottom w:val="nil"/>
          <w:right w:val="nil"/>
          <w:between w:val="nil"/>
        </w:pBdr>
        <w:ind w:left="567" w:right="560"/>
        <w:jc w:val="center"/>
        <w:rPr>
          <w:rFonts w:ascii="Palatino Linotype" w:eastAsia="Palatino Linotype" w:hAnsi="Palatino Linotype" w:cs="Palatino Linotype"/>
          <w:i/>
        </w:rPr>
      </w:pPr>
    </w:p>
    <w:p w14:paraId="262660BA" w14:textId="77777777" w:rsidR="00411983" w:rsidRPr="00D37331" w:rsidRDefault="00922C23">
      <w:pPr>
        <w:pBdr>
          <w:top w:val="nil"/>
          <w:left w:val="nil"/>
          <w:bottom w:val="nil"/>
          <w:right w:val="nil"/>
          <w:between w:val="nil"/>
        </w:pBdr>
        <w:ind w:left="567" w:right="560"/>
        <w:jc w:val="center"/>
        <w:rPr>
          <w:rFonts w:ascii="Palatino Linotype" w:eastAsia="Palatino Linotype" w:hAnsi="Palatino Linotype" w:cs="Palatino Linotype"/>
          <w:b/>
          <w:i/>
          <w:sz w:val="22"/>
          <w:szCs w:val="22"/>
          <w:u w:val="single"/>
        </w:rPr>
      </w:pPr>
      <w:r w:rsidRPr="00D37331">
        <w:rPr>
          <w:rFonts w:ascii="Palatino Linotype" w:eastAsia="Palatino Linotype" w:hAnsi="Palatino Linotype" w:cs="Palatino Linotype"/>
          <w:b/>
          <w:i/>
          <w:sz w:val="22"/>
          <w:szCs w:val="22"/>
          <w:u w:val="single"/>
        </w:rPr>
        <w:t>Ley de Transparencia y Acceso a la Información Pública del Estado de México y Municipios</w:t>
      </w:r>
    </w:p>
    <w:p w14:paraId="29597C0A" w14:textId="77777777" w:rsidR="00411983" w:rsidRPr="00D37331" w:rsidRDefault="00411983">
      <w:pPr>
        <w:pBdr>
          <w:top w:val="nil"/>
          <w:left w:val="nil"/>
          <w:bottom w:val="nil"/>
          <w:right w:val="nil"/>
          <w:between w:val="nil"/>
        </w:pBdr>
        <w:ind w:left="567" w:right="560"/>
        <w:jc w:val="center"/>
        <w:rPr>
          <w:rFonts w:ascii="Palatino Linotype" w:eastAsia="Palatino Linotype" w:hAnsi="Palatino Linotype" w:cs="Palatino Linotype"/>
          <w:i/>
          <w:sz w:val="22"/>
          <w:szCs w:val="22"/>
        </w:rPr>
      </w:pPr>
    </w:p>
    <w:p w14:paraId="68F85583" w14:textId="77777777" w:rsidR="00411983" w:rsidRPr="00D37331" w:rsidRDefault="00922C23">
      <w:pPr>
        <w:pBdr>
          <w:top w:val="nil"/>
          <w:left w:val="nil"/>
          <w:bottom w:val="nil"/>
          <w:right w:val="nil"/>
          <w:between w:val="nil"/>
        </w:pBdr>
        <w:ind w:left="567" w:right="560"/>
        <w:jc w:val="both"/>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i/>
          <w:sz w:val="22"/>
          <w:szCs w:val="22"/>
        </w:rPr>
        <w:t>“</w:t>
      </w:r>
      <w:r w:rsidRPr="00D37331">
        <w:rPr>
          <w:rFonts w:ascii="Palatino Linotype" w:eastAsia="Palatino Linotype" w:hAnsi="Palatino Linotype" w:cs="Palatino Linotype"/>
          <w:b/>
          <w:i/>
          <w:sz w:val="22"/>
          <w:szCs w:val="22"/>
        </w:rPr>
        <w:t>Artículo 140. El acceso a la información pública será restringido excepcionalmente, cuando por razones de interés público, ésta sea clasificada como reservada, conforme a los criterios siguientes:</w:t>
      </w:r>
    </w:p>
    <w:p w14:paraId="19F5602E" w14:textId="77777777" w:rsidR="00411983" w:rsidRPr="00D37331" w:rsidRDefault="00922C23">
      <w:pPr>
        <w:pBdr>
          <w:top w:val="nil"/>
          <w:left w:val="nil"/>
          <w:bottom w:val="nil"/>
          <w:right w:val="nil"/>
          <w:between w:val="nil"/>
        </w:pBdr>
        <w:ind w:left="567" w:right="560"/>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w:t>
      </w:r>
    </w:p>
    <w:p w14:paraId="7577732A" w14:textId="77777777" w:rsidR="00411983" w:rsidRPr="00D37331" w:rsidRDefault="00922C23">
      <w:pPr>
        <w:ind w:left="567" w:right="560"/>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VI. Pueda causar daño u obstruya la prevención o persecución de los delitos, altere el proceso de investigación de las carpetas de investigación, </w:t>
      </w:r>
      <w:r w:rsidRPr="00D37331">
        <w:rPr>
          <w:rFonts w:ascii="Palatino Linotype" w:eastAsia="Palatino Linotype" w:hAnsi="Palatino Linotype" w:cs="Palatino Linotype"/>
          <w:b/>
          <w:i/>
          <w:sz w:val="22"/>
          <w:szCs w:val="22"/>
        </w:rPr>
        <w:t>afecte o vulnere la conducción o los derechos del debido proceso en los procedimientos judiciales o administrativos, incluidos los de quejas, denuncias, inconformidades, responsabilidades administrativas</w:t>
      </w:r>
      <w:r w:rsidRPr="00D37331">
        <w:rPr>
          <w:rFonts w:ascii="Palatino Linotype" w:eastAsia="Palatino Linotype" w:hAnsi="Palatino Linotype" w:cs="Palatino Linotype"/>
          <w:i/>
          <w:sz w:val="22"/>
          <w:szCs w:val="22"/>
        </w:rPr>
        <w:t xml:space="preserve"> y resarcitorias </w:t>
      </w:r>
      <w:r w:rsidRPr="00D37331">
        <w:rPr>
          <w:rFonts w:ascii="Palatino Linotype" w:eastAsia="Palatino Linotype" w:hAnsi="Palatino Linotype" w:cs="Palatino Linotype"/>
          <w:b/>
          <w:i/>
          <w:sz w:val="22"/>
          <w:szCs w:val="22"/>
        </w:rPr>
        <w:t>en tanto no hayan quedado firmes</w:t>
      </w:r>
      <w:r w:rsidRPr="00D37331">
        <w:rPr>
          <w:rFonts w:ascii="Palatino Linotype" w:eastAsia="Palatino Linotype" w:hAnsi="Palatino Linotype" w:cs="Palatino Linotype"/>
          <w:i/>
          <w:sz w:val="22"/>
          <w:szCs w:val="22"/>
        </w:rPr>
        <w:t xml:space="preserve"> o afecte la administración de justicia o la seguridad de un denunciante, querellante o testigo, así como sus familias, en los términos de las disposiciones jurídicas aplicables;[…]”</w:t>
      </w:r>
    </w:p>
    <w:p w14:paraId="028A03C7" w14:textId="77777777" w:rsidR="00411983" w:rsidRPr="00D37331" w:rsidRDefault="00411983">
      <w:pPr>
        <w:ind w:left="567" w:right="560"/>
        <w:jc w:val="both"/>
        <w:rPr>
          <w:rFonts w:ascii="Palatino Linotype" w:eastAsia="Palatino Linotype" w:hAnsi="Palatino Linotype" w:cs="Palatino Linotype"/>
          <w:i/>
          <w:sz w:val="22"/>
          <w:szCs w:val="22"/>
        </w:rPr>
      </w:pPr>
    </w:p>
    <w:p w14:paraId="03BFA3F7" w14:textId="77777777" w:rsidR="00411983" w:rsidRPr="00D37331" w:rsidRDefault="00922C23">
      <w:pPr>
        <w:ind w:left="567" w:right="560"/>
        <w:jc w:val="center"/>
        <w:rPr>
          <w:rFonts w:ascii="Palatino Linotype" w:eastAsia="Palatino Linotype" w:hAnsi="Palatino Linotype" w:cs="Palatino Linotype"/>
          <w:b/>
          <w:i/>
          <w:sz w:val="22"/>
          <w:szCs w:val="22"/>
          <w:u w:val="single"/>
        </w:rPr>
      </w:pPr>
      <w:r w:rsidRPr="00D37331">
        <w:rPr>
          <w:rFonts w:ascii="Palatino Linotype" w:eastAsia="Palatino Linotype" w:hAnsi="Palatino Linotype" w:cs="Palatino Linotype"/>
          <w:b/>
          <w:i/>
          <w:sz w:val="22"/>
          <w:szCs w:val="22"/>
          <w:u w:val="single"/>
        </w:rPr>
        <w:t>Ley General de Transparencia y Acceso a la Información Pública</w:t>
      </w:r>
    </w:p>
    <w:p w14:paraId="6A01F6D3" w14:textId="77777777" w:rsidR="00411983" w:rsidRPr="00D37331" w:rsidRDefault="00922C23">
      <w:pPr>
        <w:ind w:left="567" w:right="560"/>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Artículo 113. Como información reservada podrá clasificarse aquella cuya publicación:</w:t>
      </w:r>
      <w:r w:rsidRPr="00D37331">
        <w:rPr>
          <w:rFonts w:ascii="Palatino Linotype" w:eastAsia="Palatino Linotype" w:hAnsi="Palatino Linotype" w:cs="Palatino Linotype"/>
          <w:i/>
          <w:sz w:val="22"/>
          <w:szCs w:val="22"/>
        </w:rPr>
        <w:br/>
        <w:t>[…]</w:t>
      </w:r>
    </w:p>
    <w:p w14:paraId="6866E10B" w14:textId="77777777" w:rsidR="00411983" w:rsidRPr="00D37331" w:rsidRDefault="00922C23">
      <w:pPr>
        <w:ind w:left="567" w:right="560"/>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 xml:space="preserve">IX. Obstruya los procedimientos para fincar responsabilidad a los Servidores Públicos, en tanto no se haya dictado la resolución </w:t>
      </w:r>
      <w:proofErr w:type="gramStart"/>
      <w:r w:rsidRPr="00D37331">
        <w:rPr>
          <w:rFonts w:ascii="Palatino Linotype" w:eastAsia="Palatino Linotype" w:hAnsi="Palatino Linotype" w:cs="Palatino Linotype"/>
          <w:b/>
          <w:i/>
          <w:sz w:val="22"/>
          <w:szCs w:val="22"/>
        </w:rPr>
        <w:t>administrativa</w:t>
      </w:r>
      <w:r w:rsidRPr="00D37331">
        <w:rPr>
          <w:rFonts w:ascii="Palatino Linotype" w:eastAsia="Palatino Linotype" w:hAnsi="Palatino Linotype" w:cs="Palatino Linotype"/>
          <w:i/>
          <w:sz w:val="22"/>
          <w:szCs w:val="22"/>
        </w:rPr>
        <w:t>;[</w:t>
      </w:r>
      <w:proofErr w:type="gramEnd"/>
      <w:r w:rsidRPr="00D37331">
        <w:rPr>
          <w:rFonts w:ascii="Palatino Linotype" w:eastAsia="Palatino Linotype" w:hAnsi="Palatino Linotype" w:cs="Palatino Linotype"/>
          <w:i/>
          <w:sz w:val="22"/>
          <w:szCs w:val="22"/>
        </w:rPr>
        <w:t>…]”</w:t>
      </w:r>
    </w:p>
    <w:p w14:paraId="4DD46333" w14:textId="77777777" w:rsidR="00411983" w:rsidRPr="00D37331" w:rsidRDefault="00411983">
      <w:pPr>
        <w:ind w:left="567" w:right="560"/>
        <w:jc w:val="both"/>
        <w:rPr>
          <w:rFonts w:ascii="Palatino Linotype" w:eastAsia="Palatino Linotype" w:hAnsi="Palatino Linotype" w:cs="Palatino Linotype"/>
          <w:i/>
        </w:rPr>
      </w:pPr>
    </w:p>
    <w:p w14:paraId="67EE6D32" w14:textId="77777777" w:rsidR="00411983" w:rsidRPr="00D37331" w:rsidRDefault="00411983">
      <w:pPr>
        <w:spacing w:line="360" w:lineRule="auto"/>
        <w:ind w:right="49"/>
        <w:jc w:val="both"/>
        <w:rPr>
          <w:rFonts w:ascii="Palatino Linotype" w:eastAsia="Palatino Linotype" w:hAnsi="Palatino Linotype" w:cs="Palatino Linotype"/>
        </w:rPr>
      </w:pPr>
    </w:p>
    <w:p w14:paraId="40E016EB" w14:textId="77777777" w:rsidR="00411983" w:rsidRPr="00D37331" w:rsidRDefault="00922C23">
      <w:pPr>
        <w:spacing w:line="360" w:lineRule="auto"/>
        <w:ind w:right="49"/>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Asimismo, el </w:t>
      </w:r>
      <w:r w:rsidRPr="00D37331">
        <w:rPr>
          <w:rFonts w:ascii="Palatino Linotype" w:eastAsia="Palatino Linotype" w:hAnsi="Palatino Linotype" w:cs="Palatino Linotype"/>
          <w:b/>
        </w:rPr>
        <w:t xml:space="preserve">SUJETO OBLIGADO </w:t>
      </w:r>
      <w:r w:rsidRPr="00D37331">
        <w:rPr>
          <w:rFonts w:ascii="Palatino Linotype" w:eastAsia="Palatino Linotype" w:hAnsi="Palatino Linotype" w:cs="Palatino Linotype"/>
        </w:rPr>
        <w:t>deberá acreditar que se cumplen los supuestos señalados en el Vigésimo octavo lineamiento, de los Lineamientos Generales en Materia de Clasificación y Desclasificación de la Información, así como para la elaboración de Versiones Públicas, que son del tenor literal siguiente:</w:t>
      </w:r>
    </w:p>
    <w:p w14:paraId="6FDC0398" w14:textId="77777777" w:rsidR="00411983" w:rsidRPr="00D37331" w:rsidRDefault="00411983">
      <w:pPr>
        <w:spacing w:line="360" w:lineRule="auto"/>
        <w:ind w:right="49"/>
        <w:jc w:val="both"/>
        <w:rPr>
          <w:rFonts w:ascii="Palatino Linotype" w:eastAsia="Palatino Linotype" w:hAnsi="Palatino Linotype" w:cs="Palatino Linotype"/>
        </w:rPr>
      </w:pPr>
    </w:p>
    <w:p w14:paraId="6682D055" w14:textId="77777777" w:rsidR="00411983" w:rsidRPr="00D37331" w:rsidRDefault="00922C23">
      <w:pPr>
        <w:spacing w:before="120" w:after="120"/>
        <w:ind w:left="851" w:right="902"/>
        <w:jc w:val="both"/>
        <w:rPr>
          <w:rFonts w:ascii="Palatino Linotype" w:eastAsia="Palatino Linotype" w:hAnsi="Palatino Linotype" w:cs="Palatino Linotype"/>
          <w:b/>
          <w:i/>
          <w:sz w:val="22"/>
          <w:szCs w:val="22"/>
          <w:u w:val="single"/>
        </w:rPr>
      </w:pPr>
      <w:r w:rsidRPr="00D37331">
        <w:rPr>
          <w:rFonts w:ascii="Palatino Linotype" w:eastAsia="Palatino Linotype" w:hAnsi="Palatino Linotype" w:cs="Palatino Linotype"/>
          <w:b/>
          <w:i/>
          <w:sz w:val="22"/>
          <w:szCs w:val="22"/>
        </w:rPr>
        <w:t>“Vigésimo octavo</w:t>
      </w:r>
      <w:r w:rsidRPr="00D37331">
        <w:rPr>
          <w:rFonts w:ascii="Palatino Linotype" w:eastAsia="Palatino Linotype" w:hAnsi="Palatino Linotype" w:cs="Palatino Linotype"/>
          <w:i/>
          <w:sz w:val="22"/>
          <w:szCs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w:t>
      </w:r>
      <w:r w:rsidRPr="00D37331">
        <w:rPr>
          <w:rFonts w:ascii="Palatino Linotype" w:eastAsia="Palatino Linotype" w:hAnsi="Palatino Linotype" w:cs="Palatino Linotype"/>
          <w:b/>
          <w:i/>
          <w:sz w:val="22"/>
          <w:szCs w:val="22"/>
          <w:u w:val="single"/>
        </w:rPr>
        <w:t xml:space="preserve">se deberán acreditar los siguientes supuestos: </w:t>
      </w:r>
    </w:p>
    <w:p w14:paraId="437F3F4B" w14:textId="77777777" w:rsidR="00411983" w:rsidRPr="00D37331" w:rsidRDefault="00922C23">
      <w:pPr>
        <w:spacing w:before="120" w:after="120"/>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w:t>
      </w:r>
      <w:r w:rsidRPr="00D37331">
        <w:rPr>
          <w:rFonts w:ascii="Palatino Linotype" w:eastAsia="Palatino Linotype" w:hAnsi="Palatino Linotype" w:cs="Palatino Linotype"/>
          <w:i/>
          <w:sz w:val="22"/>
          <w:szCs w:val="22"/>
        </w:rPr>
        <w:t xml:space="preserve">. La existencia de un procedimiento de responsabilidad administrativa en trámite; </w:t>
      </w:r>
    </w:p>
    <w:p w14:paraId="03AC081A" w14:textId="77777777" w:rsidR="00411983" w:rsidRPr="00D37331" w:rsidRDefault="00922C23">
      <w:pPr>
        <w:spacing w:before="120" w:after="120"/>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lastRenderedPageBreak/>
        <w:t>II</w:t>
      </w:r>
      <w:r w:rsidRPr="00D37331">
        <w:rPr>
          <w:rFonts w:ascii="Palatino Linotype" w:eastAsia="Palatino Linotype" w:hAnsi="Palatino Linotype" w:cs="Palatino Linotype"/>
          <w:i/>
          <w:sz w:val="22"/>
          <w:szCs w:val="22"/>
        </w:rPr>
        <w:t xml:space="preserve">. Que la información se refiera a actuaciones, diligencias y constancias propias del procedimiento de responsabilidad; y </w:t>
      </w:r>
    </w:p>
    <w:p w14:paraId="79BF777A" w14:textId="77777777" w:rsidR="00411983" w:rsidRPr="00D37331" w:rsidRDefault="00922C23">
      <w:pPr>
        <w:spacing w:before="120" w:after="120"/>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III.</w:t>
      </w:r>
      <w:r w:rsidRPr="00D37331">
        <w:rPr>
          <w:rFonts w:ascii="Palatino Linotype" w:eastAsia="Palatino Linotype" w:hAnsi="Palatino Linotype" w:cs="Palatino Linotype"/>
          <w:i/>
          <w:sz w:val="22"/>
          <w:szCs w:val="22"/>
        </w:rPr>
        <w:t xml:space="preserve"> Que con su difusión se pueda llegar a interrumpir o menoscabar la actuación de las autoridades administrativas que impida u obstaculice su determinación en el procedimiento de responsabilidad.”</w:t>
      </w:r>
    </w:p>
    <w:p w14:paraId="41577FB4" w14:textId="77777777" w:rsidR="00411983" w:rsidRPr="00D37331" w:rsidRDefault="00411983">
      <w:pPr>
        <w:spacing w:line="360" w:lineRule="auto"/>
        <w:ind w:right="49"/>
        <w:jc w:val="both"/>
        <w:rPr>
          <w:rFonts w:ascii="Palatino Linotype" w:eastAsia="Palatino Linotype" w:hAnsi="Palatino Linotype" w:cs="Palatino Linotype"/>
        </w:rPr>
      </w:pPr>
    </w:p>
    <w:p w14:paraId="54CAE3F2" w14:textId="77777777" w:rsidR="00411983" w:rsidRPr="00D37331" w:rsidRDefault="00922C23">
      <w:pPr>
        <w:spacing w:line="360" w:lineRule="auto"/>
        <w:ind w:right="49"/>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De esta manera, atendiendo que en el caso no se acreditó la reserva de la información requerida por la causal de clasificación invocada por el </w:t>
      </w:r>
      <w:r w:rsidRPr="00D37331">
        <w:rPr>
          <w:rFonts w:ascii="Palatino Linotype" w:eastAsia="Palatino Linotype" w:hAnsi="Palatino Linotype" w:cs="Palatino Linotype"/>
          <w:b/>
        </w:rPr>
        <w:t xml:space="preserve">SUJETO OBLIGADO, </w:t>
      </w:r>
      <w:r w:rsidRPr="00D37331">
        <w:rPr>
          <w:rFonts w:ascii="Palatino Linotype" w:eastAsia="Palatino Linotype" w:hAnsi="Palatino Linotype" w:cs="Palatino Linotype"/>
        </w:rPr>
        <w:t xml:space="preserve">lo procedente es </w:t>
      </w:r>
      <w:r w:rsidRPr="00D37331">
        <w:rPr>
          <w:rFonts w:ascii="Palatino Linotype" w:eastAsia="Palatino Linotype" w:hAnsi="Palatino Linotype" w:cs="Palatino Linotype"/>
          <w:b/>
        </w:rPr>
        <w:t xml:space="preserve">Modificar </w:t>
      </w:r>
      <w:r w:rsidRPr="00D37331">
        <w:rPr>
          <w:rFonts w:ascii="Palatino Linotype" w:eastAsia="Palatino Linotype" w:hAnsi="Palatino Linotype" w:cs="Palatino Linotype"/>
        </w:rPr>
        <w:t>las respuestas y ordenar la entrega, de ser procedente en versión pública, de la siguiente información:</w:t>
      </w:r>
    </w:p>
    <w:p w14:paraId="0697A6AA" w14:textId="77777777" w:rsidR="00411983" w:rsidRPr="00D37331" w:rsidRDefault="00411983">
      <w:pPr>
        <w:spacing w:line="360" w:lineRule="auto"/>
        <w:ind w:right="49"/>
        <w:jc w:val="both"/>
        <w:rPr>
          <w:rFonts w:ascii="Palatino Linotype" w:eastAsia="Palatino Linotype" w:hAnsi="Palatino Linotype" w:cs="Palatino Linotype"/>
        </w:rPr>
      </w:pPr>
    </w:p>
    <w:p w14:paraId="02E182E1" w14:textId="77777777" w:rsidR="00411983" w:rsidRPr="00D37331" w:rsidRDefault="00922C23">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D37331">
        <w:rPr>
          <w:rFonts w:ascii="Palatino Linotype" w:eastAsia="Palatino Linotype" w:hAnsi="Palatino Linotype" w:cs="Palatino Linotype"/>
        </w:rPr>
        <w:t>Las actas, oficios y/o documentos de las recomendaciones del 180 al 300 del primero de enero al treinta de septiembre del año 2024, que derivaron de las visitas de inspección y/o supervisiones realizadas por la Unidad de Asuntos Internos a las unidades administrativas de la Secretaría de Seguridad del Estado de México.</w:t>
      </w:r>
    </w:p>
    <w:p w14:paraId="2066B148" w14:textId="77777777" w:rsidR="00411983" w:rsidRPr="00D37331" w:rsidRDefault="00922C23">
      <w:pPr>
        <w:spacing w:before="240" w:after="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Sin embargo, no obsta mencionar que cabe la posibilidad de que dentro de la información que se ordena, pudieran encontrarse actas, oficios y/o documentos que contengan información que actualice alguna de las causales de reserva establecidas en el artículo 140 de la Ley de Transparencia y Acceso a la Información Pública del Estado de México y Municipios, concretamente por lo que se refiere a las quejas y denuncias, que de haberse presentado y se encontraran en trámite a la fecha de la solicitud, actualizarían el supuesto establecido en la fracción VI, de precepto legal referido, en cuyo caso se deberá emitir un acuerdo que clasifique con tal carácter el documento, de conformidad con lo previsto en los artículos 49, fracciones II y VIII, 129, 132, 134, 141 y </w:t>
      </w:r>
      <w:r w:rsidRPr="00D37331">
        <w:rPr>
          <w:rFonts w:ascii="Palatino Linotype" w:eastAsia="Palatino Linotype" w:hAnsi="Palatino Linotype" w:cs="Palatino Linotype"/>
        </w:rPr>
        <w:lastRenderedPageBreak/>
        <w:t>142, de la misma Ley, así como en los Lineamientos Generales en materia de Clasificación y Desclasificación de la Información, así como para la elaboración de Versiones Públicas, para efectos de clasificar dicha información hasta en tanto no se emita una resolución definitiva, cumpliendo con las formalidades anteriormente analizadas.</w:t>
      </w:r>
    </w:p>
    <w:p w14:paraId="1EABCBD6"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Lo anterior, siempre y cuando no se relacionen las actas, oficios y/o documentos con los supuestos previstos en el artículo 142 de la Ley de Transparencia Local, a saber:</w:t>
      </w:r>
    </w:p>
    <w:p w14:paraId="3FB78F75" w14:textId="77777777" w:rsidR="00411983" w:rsidRPr="00D37331" w:rsidRDefault="00411983">
      <w:pPr>
        <w:spacing w:line="360" w:lineRule="auto"/>
        <w:jc w:val="both"/>
        <w:rPr>
          <w:rFonts w:ascii="Palatino Linotype" w:eastAsia="Palatino Linotype" w:hAnsi="Palatino Linotype" w:cs="Palatino Linotype"/>
        </w:rPr>
      </w:pPr>
    </w:p>
    <w:p w14:paraId="0007569F" w14:textId="77777777" w:rsidR="00411983" w:rsidRPr="00D37331" w:rsidRDefault="00922C23">
      <w:pP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rPr>
        <w:t>“</w:t>
      </w:r>
      <w:r w:rsidRPr="00D37331">
        <w:rPr>
          <w:rFonts w:ascii="Palatino Linotype" w:eastAsia="Palatino Linotype" w:hAnsi="Palatino Linotype" w:cs="Palatino Linotype"/>
          <w:b/>
          <w:i/>
          <w:sz w:val="22"/>
          <w:szCs w:val="22"/>
        </w:rPr>
        <w:t>Artículo 142.</w:t>
      </w:r>
      <w:r w:rsidRPr="00D37331">
        <w:rPr>
          <w:rFonts w:ascii="Palatino Linotype" w:eastAsia="Palatino Linotype" w:hAnsi="Palatino Linotype" w:cs="Palatino Linotype"/>
          <w:i/>
          <w:sz w:val="22"/>
          <w:szCs w:val="22"/>
        </w:rPr>
        <w:t xml:space="preserve"> </w:t>
      </w:r>
      <w:r w:rsidRPr="00D37331">
        <w:rPr>
          <w:rFonts w:ascii="Palatino Linotype" w:eastAsia="Palatino Linotype" w:hAnsi="Palatino Linotype" w:cs="Palatino Linotype"/>
          <w:b/>
          <w:i/>
          <w:sz w:val="22"/>
          <w:szCs w:val="22"/>
          <w:u w:val="single"/>
        </w:rPr>
        <w:t>Bajo ninguna circunstancia podrá invocarse el carácter de reservado cuando</w:t>
      </w:r>
      <w:r w:rsidRPr="00D37331">
        <w:rPr>
          <w:rFonts w:ascii="Palatino Linotype" w:eastAsia="Palatino Linotype" w:hAnsi="Palatino Linotype" w:cs="Palatino Linotype"/>
          <w:i/>
          <w:sz w:val="22"/>
          <w:szCs w:val="22"/>
        </w:rPr>
        <w:t>:</w:t>
      </w:r>
    </w:p>
    <w:p w14:paraId="3492C071" w14:textId="77777777" w:rsidR="00411983" w:rsidRPr="00D37331" w:rsidRDefault="00922C23">
      <w:pP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w:t>
      </w:r>
      <w:r w:rsidRPr="00D37331">
        <w:rPr>
          <w:rFonts w:ascii="Palatino Linotype" w:eastAsia="Palatino Linotype" w:hAnsi="Palatino Linotype" w:cs="Palatino Linotype"/>
          <w:i/>
          <w:sz w:val="22"/>
          <w:szCs w:val="22"/>
        </w:rPr>
        <w:t xml:space="preserve"> </w:t>
      </w:r>
      <w:r w:rsidRPr="00D37331">
        <w:rPr>
          <w:rFonts w:ascii="Palatino Linotype" w:eastAsia="Palatino Linotype" w:hAnsi="Palatino Linotype" w:cs="Palatino Linotype"/>
          <w:b/>
          <w:i/>
          <w:sz w:val="22"/>
          <w:szCs w:val="22"/>
          <w:u w:val="single"/>
        </w:rPr>
        <w:t>Se trate de violaciones graves de derechos humanos</w:t>
      </w:r>
      <w:r w:rsidRPr="00D37331">
        <w:rPr>
          <w:rFonts w:ascii="Palatino Linotype" w:eastAsia="Palatino Linotype" w:hAnsi="Palatino Linotype" w:cs="Palatino Linotype"/>
          <w:i/>
          <w:sz w:val="22"/>
          <w:szCs w:val="22"/>
        </w:rPr>
        <w:t>, calificada así por autoridad competente;</w:t>
      </w:r>
    </w:p>
    <w:p w14:paraId="7CED8F1B" w14:textId="77777777" w:rsidR="00411983" w:rsidRPr="00D37331" w:rsidRDefault="00922C23">
      <w:pP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II.</w:t>
      </w:r>
      <w:r w:rsidRPr="00D37331">
        <w:rPr>
          <w:rFonts w:ascii="Palatino Linotype" w:eastAsia="Palatino Linotype" w:hAnsi="Palatino Linotype" w:cs="Palatino Linotype"/>
          <w:i/>
          <w:sz w:val="22"/>
          <w:szCs w:val="22"/>
        </w:rPr>
        <w:t xml:space="preserve"> </w:t>
      </w:r>
      <w:r w:rsidRPr="00D37331">
        <w:rPr>
          <w:rFonts w:ascii="Palatino Linotype" w:eastAsia="Palatino Linotype" w:hAnsi="Palatino Linotype" w:cs="Palatino Linotype"/>
          <w:b/>
          <w:i/>
          <w:sz w:val="22"/>
          <w:szCs w:val="22"/>
          <w:u w:val="single"/>
        </w:rPr>
        <w:t>Se trate de la investigación de posibles violaciones graves de derechos humanos</w:t>
      </w:r>
      <w:r w:rsidRPr="00D37331">
        <w:rPr>
          <w:rFonts w:ascii="Palatino Linotype" w:eastAsia="Palatino Linotype" w:hAnsi="Palatino Linotype" w:cs="Palatino Linotype"/>
          <w:i/>
          <w:sz w:val="22"/>
          <w:szCs w:val="22"/>
        </w:rPr>
        <w:t xml:space="preserve"> aun cuando no exista pronunciamiento previo de autoridad competente, cuando se determine, a partir de criterios cuantitativos y cualitativos la trascendencia social de las violaciones;</w:t>
      </w:r>
    </w:p>
    <w:p w14:paraId="40980767" w14:textId="77777777" w:rsidR="00411983" w:rsidRPr="00D37331" w:rsidRDefault="00922C23">
      <w:pP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III.</w:t>
      </w:r>
      <w:r w:rsidRPr="00D37331">
        <w:rPr>
          <w:rFonts w:ascii="Palatino Linotype" w:eastAsia="Palatino Linotype" w:hAnsi="Palatino Linotype" w:cs="Palatino Linotype"/>
          <w:i/>
          <w:sz w:val="22"/>
          <w:szCs w:val="22"/>
        </w:rPr>
        <w:t xml:space="preserve"> </w:t>
      </w:r>
      <w:r w:rsidRPr="00D37331">
        <w:rPr>
          <w:rFonts w:ascii="Palatino Linotype" w:eastAsia="Palatino Linotype" w:hAnsi="Palatino Linotype" w:cs="Palatino Linotype"/>
          <w:b/>
          <w:i/>
          <w:sz w:val="22"/>
          <w:szCs w:val="22"/>
          <w:u w:val="single"/>
        </w:rPr>
        <w:t>Se trate de delitos de lesa humanidad</w:t>
      </w:r>
      <w:r w:rsidRPr="00D37331">
        <w:rPr>
          <w:rFonts w:ascii="Palatino Linotype" w:eastAsia="Palatino Linotype" w:hAnsi="Palatino Linotype" w:cs="Palatino Linotype"/>
          <w:i/>
          <w:sz w:val="22"/>
          <w:szCs w:val="22"/>
        </w:rPr>
        <w:t xml:space="preserve"> conforme a los tratados ratificados por el Senado de la República, las resoluciones emitidas por organismos internacionales cuya competencia sea reconocida por el Estado Mexicano, así como en las disposiciones jurídicas aplicables; y</w:t>
      </w:r>
    </w:p>
    <w:p w14:paraId="2360D95B" w14:textId="77777777" w:rsidR="00411983" w:rsidRPr="00D37331" w:rsidRDefault="00922C23">
      <w:pPr>
        <w:ind w:left="851" w:right="851"/>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IV</w:t>
      </w:r>
      <w:r w:rsidRPr="00D37331">
        <w:rPr>
          <w:rFonts w:ascii="Palatino Linotype" w:eastAsia="Palatino Linotype" w:hAnsi="Palatino Linotype" w:cs="Palatino Linotype"/>
          <w:b/>
          <w:i/>
          <w:sz w:val="22"/>
          <w:szCs w:val="22"/>
          <w:u w:val="single"/>
        </w:rPr>
        <w:t>. Se trate de información relacionada con actos de corrupción</w:t>
      </w:r>
      <w:r w:rsidRPr="00D37331">
        <w:rPr>
          <w:rFonts w:ascii="Palatino Linotype" w:eastAsia="Palatino Linotype" w:hAnsi="Palatino Linotype" w:cs="Palatino Linotype"/>
          <w:i/>
          <w:sz w:val="22"/>
          <w:szCs w:val="22"/>
        </w:rPr>
        <w:t xml:space="preserve"> de conformidad con las disposiciones jurídicas aplicables.</w:t>
      </w:r>
    </w:p>
    <w:p w14:paraId="557F30DA" w14:textId="77777777" w:rsidR="00411983" w:rsidRPr="00D37331" w:rsidRDefault="00411983">
      <w:pPr>
        <w:ind w:left="851" w:right="851"/>
        <w:jc w:val="both"/>
        <w:rPr>
          <w:rFonts w:ascii="Palatino Linotype" w:eastAsia="Palatino Linotype" w:hAnsi="Palatino Linotype" w:cs="Palatino Linotype"/>
          <w:i/>
        </w:rPr>
      </w:pPr>
    </w:p>
    <w:p w14:paraId="0B820F43" w14:textId="77777777" w:rsidR="00411983" w:rsidRPr="00D37331" w:rsidRDefault="00411983">
      <w:pPr>
        <w:ind w:left="851" w:right="851"/>
        <w:jc w:val="both"/>
        <w:rPr>
          <w:rFonts w:ascii="Palatino Linotype" w:eastAsia="Palatino Linotype" w:hAnsi="Palatino Linotype" w:cs="Palatino Linotype"/>
          <w:i/>
        </w:rPr>
      </w:pPr>
    </w:p>
    <w:p w14:paraId="17903EAE"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Del artículo en estudio, se aprecia claramente en qué supuestos no se puede invocar el carácter de reservada.</w:t>
      </w:r>
    </w:p>
    <w:p w14:paraId="13C15BAD" w14:textId="77777777" w:rsidR="00411983" w:rsidRPr="00D37331" w:rsidRDefault="00411983">
      <w:pPr>
        <w:spacing w:line="360" w:lineRule="auto"/>
        <w:jc w:val="both"/>
        <w:rPr>
          <w:rFonts w:ascii="Palatino Linotype" w:eastAsia="Palatino Linotype" w:hAnsi="Palatino Linotype" w:cs="Palatino Linotype"/>
        </w:rPr>
      </w:pPr>
    </w:p>
    <w:p w14:paraId="7BE6B3BE"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Por lo que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deberá analizar la información requerida por la parte recurrente y, de ser el caso de que se actualice alguno de los supuestos contemplados en el artículo 142 de la Ley de Transparencia y Acceso a la Información </w:t>
      </w:r>
      <w:r w:rsidRPr="00D37331">
        <w:rPr>
          <w:rFonts w:ascii="Palatino Linotype" w:eastAsia="Palatino Linotype" w:hAnsi="Palatino Linotype" w:cs="Palatino Linotype"/>
        </w:rPr>
        <w:lastRenderedPageBreak/>
        <w:t>del Estado de México y Municipios, deberá entregar a la parte recurrente</w:t>
      </w:r>
      <w:r w:rsidRPr="00D37331">
        <w:rPr>
          <w:rFonts w:ascii="Palatino Linotype" w:eastAsia="Palatino Linotype" w:hAnsi="Palatino Linotype" w:cs="Palatino Linotype"/>
          <w:b/>
        </w:rPr>
        <w:t xml:space="preserve"> </w:t>
      </w:r>
      <w:r w:rsidRPr="00D37331">
        <w:rPr>
          <w:rFonts w:ascii="Palatino Linotype" w:eastAsia="Palatino Linotype" w:hAnsi="Palatino Linotype" w:cs="Palatino Linotype"/>
        </w:rPr>
        <w:t xml:space="preserve">la información en versión pública a efecto de proteger cualquier dato personal sensible de ser clasificado de terceros, si no se pudiera encuadrar tal circunstancia el </w:t>
      </w:r>
      <w:r w:rsidRPr="00D37331">
        <w:rPr>
          <w:rFonts w:ascii="Palatino Linotype" w:eastAsia="Palatino Linotype" w:hAnsi="Palatino Linotype" w:cs="Palatino Linotype"/>
          <w:b/>
        </w:rPr>
        <w:t xml:space="preserve">SUJETO OBLIGADO </w:t>
      </w:r>
      <w:r w:rsidRPr="00D37331">
        <w:rPr>
          <w:rFonts w:ascii="Palatino Linotype" w:eastAsia="Palatino Linotype" w:hAnsi="Palatino Linotype" w:cs="Palatino Linotype"/>
        </w:rPr>
        <w:t>deberá fundar y motivar debidamente las razones por las cuales no se le puede entregar la información, esto es emitir el acuerdo de reserva correspondiente.</w:t>
      </w:r>
    </w:p>
    <w:p w14:paraId="5C8A6D31" w14:textId="77777777" w:rsidR="00411983" w:rsidRPr="00D37331" w:rsidRDefault="00411983">
      <w:pPr>
        <w:spacing w:line="360" w:lineRule="auto"/>
        <w:jc w:val="both"/>
        <w:rPr>
          <w:rFonts w:ascii="Palatino Linotype" w:eastAsia="Palatino Linotype" w:hAnsi="Palatino Linotype" w:cs="Palatino Linotype"/>
        </w:rPr>
      </w:pPr>
    </w:p>
    <w:p w14:paraId="458BE3AA" w14:textId="77777777" w:rsidR="00411983" w:rsidRPr="00D37331" w:rsidRDefault="00922C23">
      <w:pPr>
        <w:spacing w:line="360" w:lineRule="auto"/>
        <w:jc w:val="both"/>
        <w:rPr>
          <w:rFonts w:ascii="Palatino Linotype" w:eastAsia="Palatino Linotype" w:hAnsi="Palatino Linotype" w:cs="Palatino Linotype"/>
        </w:rPr>
      </w:pPr>
      <w:proofErr w:type="gramStart"/>
      <w:r w:rsidRPr="00D37331">
        <w:rPr>
          <w:rFonts w:ascii="Palatino Linotype" w:eastAsia="Palatino Linotype" w:hAnsi="Palatino Linotype" w:cs="Palatino Linotype"/>
        </w:rPr>
        <w:t>Finalmente</w:t>
      </w:r>
      <w:proofErr w:type="gramEnd"/>
      <w:r w:rsidRPr="00D37331">
        <w:rPr>
          <w:rFonts w:ascii="Palatino Linotype" w:eastAsia="Palatino Linotype" w:hAnsi="Palatino Linotype" w:cs="Palatino Linotype"/>
        </w:rPr>
        <w:t xml:space="preserve"> en cuanto a los reportes de las recomendaciones solicitadas, la Dirección de Investigación y Supervisión, informó que realizó una búsqueda exhaustiva y razonable y no se encontraron reportes de las recomendaciones de la 180 a la 300, por ello y al ser el área competente para conocer de lo solicitado conforme a lo señalado por el presente considerando es que se tiene por atendido el derecho de acceso a la información pública de la parte recurrente. </w:t>
      </w:r>
    </w:p>
    <w:p w14:paraId="22A9DC0F" w14:textId="77777777" w:rsidR="00411983" w:rsidRPr="00D37331" w:rsidRDefault="00922C2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b/>
        </w:rPr>
        <w:t>Quinto. Versión Pública.</w:t>
      </w:r>
      <w:r w:rsidRPr="00D37331">
        <w:rPr>
          <w:rFonts w:ascii="Palatino Linotype" w:eastAsia="Palatino Linotype" w:hAnsi="Palatino Linotype" w:cs="Palatino Linotype"/>
        </w:rPr>
        <w:t xml:space="preserve"> Finalmente, debe señalarse que de ser el caso en que los documentos que vayan a ser entregados para dar cumplimiento a la presente resolución, contengan datos que deban ser clasificados,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D37331">
        <w:rPr>
          <w:rFonts w:ascii="Palatino Linotype" w:eastAsia="Palatino Linotype" w:hAnsi="Palatino Linotype" w:cs="Palatino Linotype"/>
          <w:b/>
        </w:rPr>
        <w:t>RECURRENTE</w:t>
      </w:r>
      <w:r w:rsidRPr="00D37331">
        <w:rPr>
          <w:rFonts w:ascii="Palatino Linotype" w:eastAsia="Palatino Linotype" w:hAnsi="Palatino Linotype" w:cs="Palatino Linotype"/>
        </w:rPr>
        <w:t xml:space="preserve"> sin menoscabo al derecho a la protección de los datos personales de terceros.</w:t>
      </w:r>
    </w:p>
    <w:p w14:paraId="696BE31E" w14:textId="77777777" w:rsidR="00411983" w:rsidRPr="00D37331" w:rsidRDefault="00922C23">
      <w:pPr>
        <w:spacing w:before="240" w:after="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14:paraId="6AF4F486" w14:textId="77777777" w:rsidR="00411983" w:rsidRPr="00D37331" w:rsidRDefault="00922C23">
      <w:pPr>
        <w:spacing w:before="120"/>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w:t>
      </w:r>
      <w:r w:rsidRPr="00D37331">
        <w:rPr>
          <w:rFonts w:ascii="Palatino Linotype" w:eastAsia="Palatino Linotype" w:hAnsi="Palatino Linotype" w:cs="Palatino Linotype"/>
          <w:b/>
          <w:i/>
          <w:sz w:val="22"/>
          <w:szCs w:val="22"/>
        </w:rPr>
        <w:t>Artículo 3</w:t>
      </w:r>
      <w:r w:rsidRPr="00D37331">
        <w:rPr>
          <w:rFonts w:ascii="Palatino Linotype" w:eastAsia="Palatino Linotype" w:hAnsi="Palatino Linotype" w:cs="Palatino Linotype"/>
          <w:i/>
          <w:sz w:val="22"/>
          <w:szCs w:val="22"/>
        </w:rPr>
        <w:t>. Para los efectos de la presente Ley se entenderá por:</w:t>
      </w:r>
    </w:p>
    <w:p w14:paraId="5255B7D5" w14:textId="77777777" w:rsidR="00411983" w:rsidRPr="00D37331" w:rsidRDefault="00922C23">
      <w:pP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lastRenderedPageBreak/>
        <w:t>…</w:t>
      </w:r>
    </w:p>
    <w:p w14:paraId="3D7A49A9" w14:textId="77777777" w:rsidR="00411983" w:rsidRPr="00D37331" w:rsidRDefault="00922C23">
      <w:pP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IX. Datos personales</w:t>
      </w:r>
      <w:r w:rsidRPr="00D37331">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768A5B9" w14:textId="77777777" w:rsidR="00411983" w:rsidRPr="00D37331" w:rsidRDefault="00922C23">
      <w:pP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XX. Información clasificada</w:t>
      </w:r>
      <w:r w:rsidRPr="00D37331">
        <w:rPr>
          <w:rFonts w:ascii="Palatino Linotype" w:eastAsia="Palatino Linotype" w:hAnsi="Palatino Linotype" w:cs="Palatino Linotype"/>
          <w:i/>
          <w:sz w:val="22"/>
          <w:szCs w:val="22"/>
        </w:rPr>
        <w:t>: Aquella considerada por la presente Ley como reservada o confidencial;</w:t>
      </w:r>
    </w:p>
    <w:p w14:paraId="24AA6F11" w14:textId="77777777" w:rsidR="00411983" w:rsidRPr="00D37331" w:rsidRDefault="00922C23">
      <w:pP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 xml:space="preserve">XXI. Información confidencial: </w:t>
      </w:r>
      <w:r w:rsidRPr="00D37331">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973B63E" w14:textId="77777777" w:rsidR="00411983" w:rsidRPr="00D37331" w:rsidRDefault="00922C23">
      <w:pP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XLV. Versión pública:</w:t>
      </w:r>
      <w:r w:rsidRPr="00D37331">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72344E9" w14:textId="77777777" w:rsidR="00411983" w:rsidRPr="00D37331" w:rsidRDefault="00922C23">
      <w:pP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w:t>
      </w:r>
    </w:p>
    <w:p w14:paraId="0F177710" w14:textId="77777777" w:rsidR="00411983" w:rsidRPr="00D37331" w:rsidRDefault="00922C23">
      <w:pPr>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Artículo 91.</w:t>
      </w:r>
      <w:r w:rsidRPr="00D3733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23F612E" w14:textId="77777777" w:rsidR="00411983" w:rsidRPr="00D37331" w:rsidRDefault="00922C23">
      <w:pPr>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Artículo 132.</w:t>
      </w:r>
      <w:r w:rsidRPr="00D37331">
        <w:rPr>
          <w:rFonts w:ascii="Palatino Linotype" w:eastAsia="Palatino Linotype" w:hAnsi="Palatino Linotype" w:cs="Palatino Linotype"/>
          <w:i/>
          <w:sz w:val="22"/>
          <w:szCs w:val="22"/>
        </w:rPr>
        <w:t xml:space="preserve"> La clasificación de la información se llevará a cabo en el momento en que:</w:t>
      </w:r>
    </w:p>
    <w:p w14:paraId="247FD650" w14:textId="77777777" w:rsidR="00411983" w:rsidRPr="00D37331" w:rsidRDefault="00922C23">
      <w:pP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w:t>
      </w:r>
      <w:r w:rsidRPr="00D37331">
        <w:rPr>
          <w:rFonts w:ascii="Palatino Linotype" w:eastAsia="Palatino Linotype" w:hAnsi="Palatino Linotype" w:cs="Palatino Linotype"/>
          <w:i/>
          <w:sz w:val="22"/>
          <w:szCs w:val="22"/>
        </w:rPr>
        <w:t>. Se reciba una solicitud de acceso a la información;</w:t>
      </w:r>
    </w:p>
    <w:p w14:paraId="574D822B" w14:textId="77777777" w:rsidR="00411983" w:rsidRPr="00D37331" w:rsidRDefault="00922C23">
      <w:pP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II.</w:t>
      </w:r>
      <w:r w:rsidRPr="00D37331">
        <w:rPr>
          <w:rFonts w:ascii="Palatino Linotype" w:eastAsia="Palatino Linotype" w:hAnsi="Palatino Linotype" w:cs="Palatino Linotype"/>
          <w:i/>
          <w:sz w:val="22"/>
          <w:szCs w:val="22"/>
        </w:rPr>
        <w:t xml:space="preserve"> Se determine mediante resolución de autoridad competente; o</w:t>
      </w:r>
    </w:p>
    <w:p w14:paraId="538793EC" w14:textId="77777777" w:rsidR="00411983" w:rsidRPr="00D37331" w:rsidRDefault="00922C23">
      <w:pP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III.</w:t>
      </w:r>
      <w:r w:rsidRPr="00D37331">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13429895" w14:textId="77777777" w:rsidR="00411983" w:rsidRPr="00D37331" w:rsidRDefault="00922C23">
      <w:pPr>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w:t>
      </w:r>
    </w:p>
    <w:p w14:paraId="7CE4496B" w14:textId="77777777" w:rsidR="00411983" w:rsidRPr="00D37331" w:rsidRDefault="00922C23">
      <w:pPr>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Artículo 137.</w:t>
      </w:r>
      <w:r w:rsidRPr="00D37331">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CE17E0A" w14:textId="77777777" w:rsidR="00411983" w:rsidRPr="00D37331" w:rsidRDefault="00922C23">
      <w:pPr>
        <w:ind w:left="851" w:right="902"/>
        <w:jc w:val="both"/>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b/>
          <w:i/>
          <w:sz w:val="22"/>
          <w:szCs w:val="22"/>
        </w:rPr>
        <w:t>…</w:t>
      </w:r>
    </w:p>
    <w:p w14:paraId="51AD1C53" w14:textId="77777777" w:rsidR="00411983" w:rsidRPr="00D37331" w:rsidRDefault="00922C23">
      <w:pPr>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Artículo 143</w:t>
      </w:r>
      <w:r w:rsidRPr="00D3733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9247C0F" w14:textId="77777777" w:rsidR="00411983" w:rsidRPr="00D37331" w:rsidRDefault="00922C23">
      <w:pPr>
        <w:spacing w:after="120"/>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w:t>
      </w:r>
      <w:r w:rsidRPr="00D37331">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7B83879" w14:textId="77777777" w:rsidR="00411983" w:rsidRPr="00D37331" w:rsidRDefault="00411983">
      <w:pPr>
        <w:spacing w:before="120" w:after="240" w:line="360" w:lineRule="auto"/>
        <w:jc w:val="both"/>
        <w:rPr>
          <w:rFonts w:ascii="Palatino Linotype" w:eastAsia="Palatino Linotype" w:hAnsi="Palatino Linotype" w:cs="Palatino Linotype"/>
        </w:rPr>
      </w:pPr>
    </w:p>
    <w:p w14:paraId="415B3886" w14:textId="77777777" w:rsidR="00411983" w:rsidRPr="00D37331" w:rsidRDefault="00922C23">
      <w:pPr>
        <w:spacing w:before="240" w:after="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Igualmente, lo establecido en los Lineamientos Generales en Materia de Clasificación y Desclasificación de la Información, así como para la elaboración de Versiones Públicas, emitidos por el Consejo Nacional del Sistema Nacional de Transparencia, </w:t>
      </w:r>
      <w:r w:rsidRPr="00D37331">
        <w:rPr>
          <w:rFonts w:ascii="Palatino Linotype" w:eastAsia="Palatino Linotype" w:hAnsi="Palatino Linotype" w:cs="Palatino Linotype"/>
        </w:rPr>
        <w:lastRenderedPageBreak/>
        <w:t>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39439DB" w14:textId="77777777" w:rsidR="00411983" w:rsidRPr="00D37331" w:rsidRDefault="00922C23">
      <w:pPr>
        <w:spacing w:before="240" w:after="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87C63D8" w14:textId="77777777" w:rsidR="00411983" w:rsidRPr="00D37331" w:rsidRDefault="00922C2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D37331">
        <w:rPr>
          <w:rFonts w:ascii="Palatino Linotype" w:eastAsia="Palatino Linotype" w:hAnsi="Palatino Linotype" w:cs="Palatino Linotype"/>
        </w:rPr>
        <w:t xml:space="preserve">Respecto a las formalidades que deberá llevar el acuerdo de clasificación que deberá emitir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señalan lo siguiente:</w:t>
      </w:r>
    </w:p>
    <w:p w14:paraId="670F34C7" w14:textId="77777777" w:rsidR="00411983" w:rsidRPr="00D37331" w:rsidRDefault="00922C23">
      <w:pPr>
        <w:spacing w:before="120"/>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rPr>
        <w:t xml:space="preserve"> </w:t>
      </w:r>
      <w:r w:rsidRPr="00D37331">
        <w:rPr>
          <w:rFonts w:ascii="Palatino Linotype" w:eastAsia="Palatino Linotype" w:hAnsi="Palatino Linotype" w:cs="Palatino Linotype"/>
          <w:b/>
          <w:i/>
          <w:sz w:val="22"/>
          <w:szCs w:val="22"/>
        </w:rPr>
        <w:t xml:space="preserve">“Quincuagésimo. </w:t>
      </w:r>
      <w:r w:rsidRPr="00D37331">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D6891EE" w14:textId="77777777" w:rsidR="00411983" w:rsidRPr="00D37331" w:rsidRDefault="00922C23">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 xml:space="preserve">Quincuagésimo primero. </w:t>
      </w:r>
      <w:r w:rsidRPr="00D37331">
        <w:rPr>
          <w:rFonts w:ascii="Palatino Linotype" w:eastAsia="Palatino Linotype" w:hAnsi="Palatino Linotype" w:cs="Palatino Linotype"/>
          <w:i/>
          <w:sz w:val="22"/>
          <w:szCs w:val="22"/>
        </w:rPr>
        <w:t xml:space="preserve">Toda acta del Comité de Transparencia deberá contener: </w:t>
      </w:r>
    </w:p>
    <w:p w14:paraId="3FB336EC" w14:textId="77777777" w:rsidR="00411983" w:rsidRPr="00D37331" w:rsidRDefault="00922C23">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lastRenderedPageBreak/>
        <w:t>I.</w:t>
      </w:r>
      <w:r w:rsidRPr="00D37331">
        <w:rPr>
          <w:rFonts w:ascii="Palatino Linotype" w:eastAsia="Palatino Linotype" w:hAnsi="Palatino Linotype" w:cs="Palatino Linotype"/>
          <w:i/>
          <w:sz w:val="22"/>
          <w:szCs w:val="22"/>
        </w:rPr>
        <w:t xml:space="preserve"> El número de sesión y fecha; </w:t>
      </w:r>
    </w:p>
    <w:p w14:paraId="594EBEF2" w14:textId="77777777" w:rsidR="00411983" w:rsidRPr="00D37331" w:rsidRDefault="00922C23">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II</w:t>
      </w:r>
      <w:r w:rsidRPr="00D37331">
        <w:rPr>
          <w:rFonts w:ascii="Palatino Linotype" w:eastAsia="Palatino Linotype" w:hAnsi="Palatino Linotype" w:cs="Palatino Linotype"/>
          <w:i/>
          <w:sz w:val="22"/>
          <w:szCs w:val="22"/>
        </w:rPr>
        <w:t xml:space="preserve">. El nombre del área que solicitó la clasificación de información; </w:t>
      </w:r>
    </w:p>
    <w:p w14:paraId="3D002122" w14:textId="77777777" w:rsidR="00411983" w:rsidRPr="00D37331" w:rsidRDefault="00922C23">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III</w:t>
      </w:r>
      <w:r w:rsidRPr="00D37331">
        <w:rPr>
          <w:rFonts w:ascii="Palatino Linotype" w:eastAsia="Palatino Linotype" w:hAnsi="Palatino Linotype" w:cs="Palatino Linotype"/>
          <w:i/>
          <w:sz w:val="22"/>
          <w:szCs w:val="22"/>
        </w:rPr>
        <w:t xml:space="preserve">. La fundamentación legal y motivación correspondiente; </w:t>
      </w:r>
    </w:p>
    <w:p w14:paraId="4903D950" w14:textId="77777777" w:rsidR="00411983" w:rsidRPr="00D37331" w:rsidRDefault="00922C23">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IV</w:t>
      </w:r>
      <w:r w:rsidRPr="00D37331">
        <w:rPr>
          <w:rFonts w:ascii="Palatino Linotype" w:eastAsia="Palatino Linotype" w:hAnsi="Palatino Linotype" w:cs="Palatino Linotype"/>
          <w:i/>
          <w:sz w:val="22"/>
          <w:szCs w:val="22"/>
        </w:rPr>
        <w:t xml:space="preserve">. La resolución o resoluciones aprobadas; y </w:t>
      </w:r>
    </w:p>
    <w:p w14:paraId="33B4A23D" w14:textId="77777777" w:rsidR="00411983" w:rsidRPr="00D37331" w:rsidRDefault="00922C23">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V</w:t>
      </w:r>
      <w:r w:rsidRPr="00D37331">
        <w:rPr>
          <w:rFonts w:ascii="Palatino Linotype" w:eastAsia="Palatino Linotype" w:hAnsi="Palatino Linotype" w:cs="Palatino Linotype"/>
          <w:i/>
          <w:sz w:val="22"/>
          <w:szCs w:val="22"/>
        </w:rPr>
        <w:t xml:space="preserve">. La rúbrica o firma digital de cada integrante del Comité de Transparencia. </w:t>
      </w:r>
    </w:p>
    <w:p w14:paraId="33C0BF46" w14:textId="77777777" w:rsidR="00411983" w:rsidRPr="00D37331" w:rsidRDefault="00922C23">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0476B45A" w14:textId="77777777" w:rsidR="00411983" w:rsidRPr="00D37331" w:rsidRDefault="00922C23">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w:t>
      </w:r>
      <w:r w:rsidRPr="00D37331">
        <w:rPr>
          <w:rFonts w:ascii="Palatino Linotype" w:eastAsia="Palatino Linotype" w:hAnsi="Palatino Linotype" w:cs="Palatino Linotype"/>
          <w:i/>
          <w:sz w:val="22"/>
          <w:szCs w:val="22"/>
        </w:rPr>
        <w:t xml:space="preserve"> Los motivos y razonamientos que sustenten la confirmación o modificación de la prueba de daño;</w:t>
      </w:r>
    </w:p>
    <w:p w14:paraId="58F1A4F4" w14:textId="77777777" w:rsidR="00411983" w:rsidRPr="00D37331" w:rsidRDefault="00922C23">
      <w:pPr>
        <w:pBdr>
          <w:top w:val="nil"/>
          <w:left w:val="nil"/>
          <w:bottom w:val="nil"/>
          <w:right w:val="nil"/>
          <w:between w:val="nil"/>
        </w:pBdr>
        <w:ind w:left="1134" w:right="902"/>
        <w:jc w:val="both"/>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b/>
          <w:i/>
          <w:sz w:val="22"/>
          <w:szCs w:val="22"/>
        </w:rPr>
        <w:t>II</w:t>
      </w:r>
      <w:r w:rsidRPr="00D37331">
        <w:rPr>
          <w:rFonts w:ascii="Palatino Linotype" w:eastAsia="Palatino Linotype" w:hAnsi="Palatino Linotype" w:cs="Palatino Linotype"/>
          <w:i/>
          <w:sz w:val="22"/>
          <w:szCs w:val="22"/>
        </w:rPr>
        <w:t>. Descripción de las partes o secciones reservadas, en caso de clasificación parcial</w:t>
      </w:r>
      <w:r w:rsidRPr="00D37331">
        <w:rPr>
          <w:rFonts w:ascii="Palatino Linotype" w:eastAsia="Palatino Linotype" w:hAnsi="Palatino Linotype" w:cs="Palatino Linotype"/>
          <w:b/>
          <w:i/>
          <w:sz w:val="22"/>
          <w:szCs w:val="22"/>
        </w:rPr>
        <w:t xml:space="preserve">; </w:t>
      </w:r>
    </w:p>
    <w:p w14:paraId="495210B0" w14:textId="77777777" w:rsidR="00411983" w:rsidRPr="00D37331" w:rsidRDefault="00922C23">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III.</w:t>
      </w:r>
      <w:r w:rsidRPr="00D37331">
        <w:rPr>
          <w:rFonts w:ascii="Palatino Linotype" w:eastAsia="Palatino Linotype" w:hAnsi="Palatino Linotype" w:cs="Palatino Linotype"/>
          <w:i/>
          <w:sz w:val="22"/>
          <w:szCs w:val="22"/>
        </w:rPr>
        <w:t xml:space="preserve"> El periodo por el que mantendrá su clasificación y fecha de expiración; y </w:t>
      </w:r>
    </w:p>
    <w:p w14:paraId="6C5706ED" w14:textId="77777777" w:rsidR="00411983" w:rsidRPr="00D37331" w:rsidRDefault="00922C23">
      <w:pPr>
        <w:pBdr>
          <w:top w:val="nil"/>
          <w:left w:val="nil"/>
          <w:bottom w:val="nil"/>
          <w:right w:val="nil"/>
          <w:between w:val="nil"/>
        </w:pBd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IV.</w:t>
      </w:r>
      <w:r w:rsidRPr="00D37331">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1B1ADE1" w14:textId="77777777" w:rsidR="00411983" w:rsidRPr="00D37331" w:rsidRDefault="00922C23">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8686D46" w14:textId="77777777" w:rsidR="00411983" w:rsidRPr="00D37331" w:rsidRDefault="00922C23">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934FCC8" w14:textId="77777777" w:rsidR="00411983" w:rsidRPr="00D37331" w:rsidRDefault="00922C23">
      <w:pPr>
        <w:ind w:left="851" w:right="900"/>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Quincuagésimo segundo</w:t>
      </w:r>
      <w:r w:rsidRPr="00D37331">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0D2634A" w14:textId="77777777" w:rsidR="00411983" w:rsidRPr="00D37331" w:rsidRDefault="00922C23">
      <w:pPr>
        <w:ind w:left="851" w:right="900"/>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En el caso </w:t>
      </w:r>
      <w:proofErr w:type="spellStart"/>
      <w:r w:rsidRPr="00D37331">
        <w:rPr>
          <w:rFonts w:ascii="Palatino Linotype" w:eastAsia="Palatino Linotype" w:hAnsi="Palatino Linotype" w:cs="Palatino Linotype"/>
          <w:i/>
          <w:sz w:val="22"/>
          <w:szCs w:val="22"/>
        </w:rPr>
        <w:t>especifico</w:t>
      </w:r>
      <w:proofErr w:type="spellEnd"/>
      <w:r w:rsidRPr="00D37331">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0237F789" w14:textId="77777777" w:rsidR="00411983" w:rsidRPr="00D37331" w:rsidRDefault="00922C23">
      <w:pPr>
        <w:ind w:left="1134" w:right="900"/>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w:t>
      </w:r>
      <w:r w:rsidRPr="00D37331">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81FFA98" w14:textId="77777777" w:rsidR="00411983" w:rsidRPr="00D37331" w:rsidRDefault="00922C23">
      <w:pPr>
        <w:ind w:left="1134" w:right="900"/>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II.</w:t>
      </w:r>
      <w:r w:rsidRPr="00D37331">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3DDD590F" w14:textId="77777777" w:rsidR="00411983" w:rsidRPr="00D37331" w:rsidRDefault="00922C23">
      <w:pPr>
        <w:ind w:left="1134" w:right="900"/>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III.</w:t>
      </w:r>
      <w:r w:rsidRPr="00D37331">
        <w:rPr>
          <w:rFonts w:ascii="Palatino Linotype" w:eastAsia="Palatino Linotype" w:hAnsi="Palatino Linotype" w:cs="Palatino Linotype"/>
          <w:i/>
          <w:sz w:val="22"/>
          <w:szCs w:val="22"/>
        </w:rPr>
        <w:t xml:space="preserve"> Señalar las personas o instancias autorizadas a acceder a la información clasificada.</w:t>
      </w:r>
    </w:p>
    <w:p w14:paraId="6FAE7BFF" w14:textId="77777777" w:rsidR="00411983" w:rsidRPr="00D37331" w:rsidRDefault="00922C23">
      <w:pPr>
        <w:spacing w:after="120"/>
        <w:ind w:left="851" w:right="900"/>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3D7E6E4" w14:textId="77777777" w:rsidR="00411983" w:rsidRPr="00D37331" w:rsidRDefault="00411983">
      <w:pPr>
        <w:spacing w:before="120" w:after="240" w:line="360" w:lineRule="auto"/>
        <w:ind w:right="50"/>
        <w:jc w:val="both"/>
        <w:rPr>
          <w:rFonts w:ascii="Palatino Linotype" w:eastAsia="Palatino Linotype" w:hAnsi="Palatino Linotype" w:cs="Palatino Linotype"/>
        </w:rPr>
      </w:pPr>
    </w:p>
    <w:p w14:paraId="5CC1790A" w14:textId="77777777" w:rsidR="00411983" w:rsidRPr="00D37331" w:rsidRDefault="00922C23">
      <w:pPr>
        <w:spacing w:before="240" w:after="240" w:line="360" w:lineRule="auto"/>
        <w:ind w:right="50"/>
        <w:jc w:val="both"/>
        <w:rPr>
          <w:rFonts w:ascii="Palatino Linotype" w:eastAsia="Palatino Linotype" w:hAnsi="Palatino Linotype" w:cs="Palatino Linotype"/>
        </w:rPr>
      </w:pPr>
      <w:r w:rsidRPr="00D37331">
        <w:rPr>
          <w:rFonts w:ascii="Palatino Linotype" w:eastAsia="Palatino Linotype" w:hAnsi="Palatino Linotype" w:cs="Palatino Linotype"/>
        </w:rPr>
        <w:lastRenderedPageBreak/>
        <w:t xml:space="preserve">En relación directa con ello deberá observar el Lineamiento Quincuagésimo tercero de los Lineamientos Generales en Materia de Clasificación y Desclasificación de la Información </w:t>
      </w:r>
      <w:proofErr w:type="spellStart"/>
      <w:r w:rsidRPr="00D37331">
        <w:rPr>
          <w:rFonts w:ascii="Palatino Linotype" w:eastAsia="Palatino Linotype" w:hAnsi="Palatino Linotype" w:cs="Palatino Linotype"/>
        </w:rPr>
        <w:t>supraindicados</w:t>
      </w:r>
      <w:proofErr w:type="spellEnd"/>
      <w:r w:rsidRPr="00D37331">
        <w:rPr>
          <w:rFonts w:ascii="Palatino Linotype" w:eastAsia="Palatino Linotype" w:hAnsi="Palatino Linotype" w:cs="Palatino Linotype"/>
        </w:rPr>
        <w:t xml:space="preserve">, que establece los formatos para la clasificación de los documentos o expedientes que contengan información reservada, conforme a lo siguiente: </w:t>
      </w:r>
    </w:p>
    <w:p w14:paraId="054D6807" w14:textId="77777777" w:rsidR="00411983" w:rsidRPr="00D37331" w:rsidRDefault="00922C23">
      <w:pPr>
        <w:ind w:left="851" w:right="900"/>
        <w:jc w:val="center"/>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b/>
          <w:i/>
          <w:sz w:val="22"/>
          <w:szCs w:val="22"/>
        </w:rPr>
        <w:t>CAPÍTULO VIII</w:t>
      </w:r>
    </w:p>
    <w:p w14:paraId="059C7D88" w14:textId="77777777" w:rsidR="00411983" w:rsidRPr="00D37331" w:rsidRDefault="00922C23">
      <w:pPr>
        <w:ind w:left="851" w:right="900"/>
        <w:jc w:val="center"/>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b/>
          <w:i/>
          <w:sz w:val="22"/>
          <w:szCs w:val="22"/>
        </w:rPr>
        <w:t xml:space="preserve">DE LOS ELEMENTOS PARA LA CLASIFICACIÓN </w:t>
      </w:r>
    </w:p>
    <w:p w14:paraId="5F888B98" w14:textId="77777777" w:rsidR="00411983" w:rsidRPr="00D37331" w:rsidRDefault="00922C23">
      <w:pPr>
        <w:ind w:left="851" w:right="900"/>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w:t>
      </w:r>
    </w:p>
    <w:p w14:paraId="1460211C" w14:textId="77777777" w:rsidR="00411983" w:rsidRPr="00D37331" w:rsidRDefault="00922C23">
      <w:pPr>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 xml:space="preserve">Quincuagésimo tercero. </w:t>
      </w:r>
      <w:r w:rsidRPr="00D37331">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D37331">
        <w:rPr>
          <w:rFonts w:ascii="Palatino Linotype" w:eastAsia="Palatino Linotype" w:hAnsi="Palatino Linotype" w:cs="Palatino Linotype"/>
          <w:b/>
          <w:i/>
          <w:sz w:val="22"/>
          <w:szCs w:val="22"/>
        </w:rPr>
        <w:t xml:space="preserve">, </w:t>
      </w:r>
      <w:r w:rsidRPr="00D37331">
        <w:rPr>
          <w:rFonts w:ascii="Palatino Linotype" w:eastAsia="Palatino Linotype" w:hAnsi="Palatino Linotype" w:cs="Palatino Linotype"/>
          <w:i/>
          <w:sz w:val="22"/>
          <w:szCs w:val="22"/>
        </w:rPr>
        <w:t xml:space="preserve">es el siguiente: </w:t>
      </w:r>
    </w:p>
    <w:p w14:paraId="46E2EF4F" w14:textId="77777777" w:rsidR="00411983" w:rsidRPr="00D37331" w:rsidRDefault="00922C23">
      <w:pPr>
        <w:ind w:left="851" w:right="902"/>
        <w:jc w:val="both"/>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b/>
          <w:i/>
          <w:noProof/>
          <w:sz w:val="22"/>
          <w:szCs w:val="22"/>
        </w:rPr>
        <w:drawing>
          <wp:inline distT="0" distB="0" distL="0" distR="0" wp14:anchorId="594D62CA" wp14:editId="08D3C151">
            <wp:extent cx="4295775" cy="295275"/>
            <wp:effectExtent l="0" t="0" r="0" b="0"/>
            <wp:docPr id="20273749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8"/>
                    <a:srcRect b="95731"/>
                    <a:stretch>
                      <a:fillRect/>
                    </a:stretch>
                  </pic:blipFill>
                  <pic:spPr>
                    <a:xfrm>
                      <a:off x="0" y="0"/>
                      <a:ext cx="4295775" cy="295275"/>
                    </a:xfrm>
                    <a:prstGeom prst="rect">
                      <a:avLst/>
                    </a:prstGeom>
                    <a:ln/>
                  </pic:spPr>
                </pic:pic>
              </a:graphicData>
            </a:graphic>
          </wp:inline>
        </w:drawing>
      </w:r>
    </w:p>
    <w:p w14:paraId="0B039620" w14:textId="77777777" w:rsidR="00411983" w:rsidRPr="00D37331" w:rsidRDefault="00922C23">
      <w:pPr>
        <w:ind w:left="851" w:right="902"/>
        <w:jc w:val="both"/>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b/>
          <w:i/>
          <w:noProof/>
          <w:sz w:val="22"/>
          <w:szCs w:val="22"/>
        </w:rPr>
        <w:drawing>
          <wp:inline distT="0" distB="0" distL="0" distR="0" wp14:anchorId="3EAC0369" wp14:editId="680BBBD1">
            <wp:extent cx="4333875" cy="1838325"/>
            <wp:effectExtent l="0" t="0" r="0" b="0"/>
            <wp:docPr id="20273749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8"/>
                    <a:srcRect t="30908" b="42476"/>
                    <a:stretch>
                      <a:fillRect/>
                    </a:stretch>
                  </pic:blipFill>
                  <pic:spPr>
                    <a:xfrm>
                      <a:off x="0" y="0"/>
                      <a:ext cx="4333875" cy="1838325"/>
                    </a:xfrm>
                    <a:prstGeom prst="rect">
                      <a:avLst/>
                    </a:prstGeom>
                    <a:ln/>
                  </pic:spPr>
                </pic:pic>
              </a:graphicData>
            </a:graphic>
          </wp:inline>
        </w:drawing>
      </w:r>
    </w:p>
    <w:p w14:paraId="23A2F6BC" w14:textId="77777777" w:rsidR="00411983" w:rsidRPr="00D37331" w:rsidRDefault="00922C23">
      <w:pPr>
        <w:ind w:left="851" w:right="902"/>
        <w:jc w:val="both"/>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b/>
          <w:i/>
          <w:noProof/>
          <w:sz w:val="22"/>
          <w:szCs w:val="22"/>
        </w:rPr>
        <w:lastRenderedPageBreak/>
        <w:drawing>
          <wp:inline distT="0" distB="0" distL="0" distR="0" wp14:anchorId="2531379D" wp14:editId="6C2F5115">
            <wp:extent cx="4333875" cy="2933700"/>
            <wp:effectExtent l="0" t="0" r="0" b="0"/>
            <wp:docPr id="20273749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8"/>
                    <a:srcRect t="57524"/>
                    <a:stretch>
                      <a:fillRect/>
                    </a:stretch>
                  </pic:blipFill>
                  <pic:spPr>
                    <a:xfrm>
                      <a:off x="0" y="0"/>
                      <a:ext cx="4333875" cy="2933700"/>
                    </a:xfrm>
                    <a:prstGeom prst="rect">
                      <a:avLst/>
                    </a:prstGeom>
                    <a:ln/>
                  </pic:spPr>
                </pic:pic>
              </a:graphicData>
            </a:graphic>
          </wp:inline>
        </w:drawing>
      </w:r>
    </w:p>
    <w:p w14:paraId="3DE04B1C" w14:textId="77777777" w:rsidR="00411983" w:rsidRPr="00D37331" w:rsidRDefault="00922C23">
      <w:pPr>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Los documentos que integren un expediente reservado en su totalidad no deberán marcarse en lo individual.</w:t>
      </w:r>
    </w:p>
    <w:p w14:paraId="60AE4F94" w14:textId="77777777" w:rsidR="00411983" w:rsidRPr="00D37331" w:rsidRDefault="00922C23">
      <w:pPr>
        <w:spacing w:after="120"/>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1A2FDBE0" w14:textId="77777777" w:rsidR="00411983" w:rsidRPr="00D37331" w:rsidRDefault="00411983">
      <w:pPr>
        <w:spacing w:before="120" w:after="240" w:line="360" w:lineRule="auto"/>
        <w:jc w:val="both"/>
        <w:rPr>
          <w:rFonts w:ascii="Palatino Linotype" w:eastAsia="Palatino Linotype" w:hAnsi="Palatino Linotype" w:cs="Palatino Linotype"/>
        </w:rPr>
      </w:pPr>
    </w:p>
    <w:p w14:paraId="3912E48F" w14:textId="77777777" w:rsidR="00411983" w:rsidRPr="00D37331" w:rsidRDefault="00922C23">
      <w:pPr>
        <w:spacing w:before="240" w:after="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Asimismo, deberá observar los Lineamientos Quincuagésimo cuarto, Quincuagésimo quinto, Quincuagésimo séptimo y Quincuagésimo octavo, establecen lo siguiente:</w:t>
      </w:r>
    </w:p>
    <w:p w14:paraId="24D72708" w14:textId="77777777" w:rsidR="00411983" w:rsidRPr="00D37331" w:rsidRDefault="00922C23">
      <w:pPr>
        <w:pBdr>
          <w:top w:val="nil"/>
          <w:left w:val="nil"/>
          <w:bottom w:val="nil"/>
          <w:right w:val="nil"/>
          <w:between w:val="nil"/>
        </w:pBdr>
        <w:spacing w:before="120"/>
        <w:ind w:left="851" w:right="900"/>
        <w:jc w:val="both"/>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i/>
          <w:sz w:val="22"/>
          <w:szCs w:val="22"/>
        </w:rPr>
        <w:t>“</w:t>
      </w:r>
      <w:r w:rsidRPr="00D37331">
        <w:rPr>
          <w:rFonts w:ascii="Palatino Linotype" w:eastAsia="Palatino Linotype" w:hAnsi="Palatino Linotype" w:cs="Palatino Linotype"/>
          <w:b/>
          <w:i/>
          <w:sz w:val="22"/>
          <w:szCs w:val="22"/>
        </w:rPr>
        <w:t xml:space="preserve">Quincuagésimo cuarto. </w:t>
      </w:r>
      <w:r w:rsidRPr="00D37331">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D37331">
        <w:rPr>
          <w:rFonts w:ascii="Palatino Linotype" w:eastAsia="Palatino Linotype" w:hAnsi="Palatino Linotype" w:cs="Palatino Linotype"/>
          <w:b/>
          <w:i/>
          <w:sz w:val="22"/>
          <w:szCs w:val="22"/>
        </w:rPr>
        <w:t xml:space="preserve"> </w:t>
      </w:r>
    </w:p>
    <w:p w14:paraId="6D0112A7" w14:textId="77777777" w:rsidR="00411983" w:rsidRPr="00D37331" w:rsidRDefault="00922C23">
      <w:pPr>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 xml:space="preserve">Quincuagésimo quinto. </w:t>
      </w:r>
      <w:r w:rsidRPr="00D37331">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D37331">
        <w:rPr>
          <w:rFonts w:ascii="Palatino Linotype" w:eastAsia="Palatino Linotype" w:hAnsi="Palatino Linotype" w:cs="Palatino Linotype"/>
          <w:i/>
          <w:sz w:val="22"/>
          <w:szCs w:val="22"/>
        </w:rPr>
        <w:t>testado</w:t>
      </w:r>
      <w:proofErr w:type="spellEnd"/>
      <w:r w:rsidRPr="00D37331">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D358C13" w14:textId="77777777" w:rsidR="00411983" w:rsidRPr="00D37331" w:rsidRDefault="00922C23">
      <w:pPr>
        <w:ind w:left="851" w:right="902"/>
        <w:jc w:val="both"/>
        <w:rPr>
          <w:rFonts w:ascii="Palatino Linotype" w:eastAsia="Palatino Linotype" w:hAnsi="Palatino Linotype" w:cs="Palatino Linotype"/>
          <w:b/>
          <w:i/>
          <w:sz w:val="22"/>
          <w:szCs w:val="22"/>
        </w:rPr>
      </w:pPr>
      <w:r w:rsidRPr="00D37331">
        <w:rPr>
          <w:rFonts w:ascii="Palatino Linotype" w:eastAsia="Palatino Linotype" w:hAnsi="Palatino Linotype" w:cs="Palatino Linotype"/>
          <w:b/>
          <w:i/>
          <w:sz w:val="22"/>
          <w:szCs w:val="22"/>
        </w:rPr>
        <w:t>...</w:t>
      </w:r>
    </w:p>
    <w:p w14:paraId="6A4B9508" w14:textId="77777777" w:rsidR="00411983" w:rsidRPr="00D37331" w:rsidRDefault="00922C23">
      <w:pPr>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lastRenderedPageBreak/>
        <w:t>Quincuagésimo séptimo</w:t>
      </w:r>
      <w:r w:rsidRPr="00D37331">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70A155D4" w14:textId="77777777" w:rsidR="00411983" w:rsidRPr="00D37331" w:rsidRDefault="00922C23">
      <w:pP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w:t>
      </w:r>
      <w:r w:rsidRPr="00D37331">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866A4DE" w14:textId="77777777" w:rsidR="00411983" w:rsidRPr="00D37331" w:rsidRDefault="00922C23">
      <w:pP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II.</w:t>
      </w:r>
      <w:r w:rsidRPr="00D37331">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4CFC66C" w14:textId="77777777" w:rsidR="00411983" w:rsidRPr="00D37331" w:rsidRDefault="00922C23">
      <w:pPr>
        <w:ind w:left="1134"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III</w:t>
      </w:r>
      <w:r w:rsidRPr="00D37331">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1FBD4C3" w14:textId="77777777" w:rsidR="00411983" w:rsidRPr="00D37331" w:rsidRDefault="00922C23">
      <w:pPr>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51DE0CE" w14:textId="77777777" w:rsidR="00411983" w:rsidRPr="00D37331" w:rsidRDefault="00922C23">
      <w:pPr>
        <w:spacing w:after="120"/>
        <w:ind w:left="851" w:right="902"/>
        <w:jc w:val="both"/>
        <w:rPr>
          <w:rFonts w:ascii="Palatino Linotype" w:eastAsia="Palatino Linotype" w:hAnsi="Palatino Linotype" w:cs="Palatino Linotype"/>
          <w:i/>
          <w:sz w:val="22"/>
          <w:szCs w:val="22"/>
        </w:rPr>
      </w:pPr>
      <w:r w:rsidRPr="00D37331">
        <w:rPr>
          <w:rFonts w:ascii="Palatino Linotype" w:eastAsia="Palatino Linotype" w:hAnsi="Palatino Linotype" w:cs="Palatino Linotype"/>
          <w:b/>
          <w:i/>
          <w:sz w:val="22"/>
          <w:szCs w:val="22"/>
        </w:rPr>
        <w:t>Quincuagésimo octavo</w:t>
      </w:r>
      <w:r w:rsidRPr="00D37331">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56461FDF" w14:textId="77777777" w:rsidR="00411983" w:rsidRPr="00D37331" w:rsidRDefault="00411983">
      <w:pPr>
        <w:spacing w:before="120" w:after="240" w:line="360" w:lineRule="auto"/>
        <w:jc w:val="both"/>
        <w:rPr>
          <w:rFonts w:ascii="Palatino Linotype" w:eastAsia="Palatino Linotype" w:hAnsi="Palatino Linotype" w:cs="Palatino Linotype"/>
        </w:rPr>
      </w:pPr>
    </w:p>
    <w:p w14:paraId="5B41811B" w14:textId="77777777" w:rsidR="00411983" w:rsidRPr="00D37331" w:rsidRDefault="00922C23">
      <w:pPr>
        <w:spacing w:before="240" w:after="240"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7B02D381" w14:textId="77777777" w:rsidR="00411983" w:rsidRPr="00D37331" w:rsidRDefault="00922C23">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D37331">
        <w:rPr>
          <w:rFonts w:ascii="Palatino Linotype" w:eastAsia="Palatino Linotype" w:hAnsi="Palatino Linotype" w:cs="Palatino Linotype"/>
          <w:b/>
        </w:rPr>
        <w:t>III. R E S U E L V E:</w:t>
      </w:r>
    </w:p>
    <w:p w14:paraId="3678EEE1" w14:textId="77777777" w:rsidR="00411983" w:rsidRPr="00D37331" w:rsidRDefault="00922C23">
      <w:pPr>
        <w:spacing w:line="360" w:lineRule="auto"/>
        <w:jc w:val="both"/>
        <w:rPr>
          <w:rFonts w:ascii="Palatino Linotype" w:eastAsia="Palatino Linotype" w:hAnsi="Palatino Linotype" w:cs="Palatino Linotype"/>
          <w:b/>
        </w:rPr>
      </w:pPr>
      <w:bookmarkStart w:id="2" w:name="_heading=h.1fob9te" w:colFirst="0" w:colLast="0"/>
      <w:bookmarkEnd w:id="2"/>
      <w:r w:rsidRPr="00D37331">
        <w:rPr>
          <w:rFonts w:ascii="Palatino Linotype" w:eastAsia="Palatino Linotype" w:hAnsi="Palatino Linotype" w:cs="Palatino Linotype"/>
          <w:b/>
        </w:rPr>
        <w:t xml:space="preserve">Primero. </w:t>
      </w:r>
      <w:r w:rsidRPr="00D37331">
        <w:rPr>
          <w:rFonts w:ascii="Palatino Linotype" w:eastAsia="Palatino Linotype" w:hAnsi="Palatino Linotype" w:cs="Palatino Linotype"/>
        </w:rPr>
        <w:t>Resultan</w:t>
      </w:r>
      <w:r w:rsidRPr="00D37331">
        <w:rPr>
          <w:rFonts w:ascii="Palatino Linotype" w:eastAsia="Palatino Linotype" w:hAnsi="Palatino Linotype" w:cs="Palatino Linotype"/>
          <w:b/>
        </w:rPr>
        <w:t xml:space="preserve"> fundados</w:t>
      </w:r>
      <w:r w:rsidRPr="00D37331">
        <w:rPr>
          <w:rFonts w:ascii="Palatino Linotype" w:eastAsia="Palatino Linotype" w:hAnsi="Palatino Linotype" w:cs="Palatino Linotype"/>
        </w:rPr>
        <w:t xml:space="preserve"> los motivos de inconformidad hechos valer por la parte </w:t>
      </w:r>
      <w:r w:rsidRPr="00D37331">
        <w:rPr>
          <w:rFonts w:ascii="Palatino Linotype" w:eastAsia="Palatino Linotype" w:hAnsi="Palatino Linotype" w:cs="Palatino Linotype"/>
          <w:b/>
        </w:rPr>
        <w:t xml:space="preserve">RECURRENTE </w:t>
      </w:r>
      <w:r w:rsidRPr="00D37331">
        <w:rPr>
          <w:rFonts w:ascii="Palatino Linotype" w:eastAsia="Palatino Linotype" w:hAnsi="Palatino Linotype" w:cs="Palatino Linotype"/>
        </w:rPr>
        <w:t xml:space="preserve">en los recursos de revisión </w:t>
      </w:r>
      <w:r w:rsidRPr="00D37331">
        <w:rPr>
          <w:rFonts w:ascii="Palatino Linotype" w:eastAsia="Palatino Linotype" w:hAnsi="Palatino Linotype" w:cs="Palatino Linotype"/>
          <w:b/>
        </w:rPr>
        <w:t>07344/INFOEM/IP/RR/2024</w:t>
      </w:r>
      <w:r w:rsidRPr="00D37331">
        <w:rPr>
          <w:rFonts w:ascii="Palatino Linotype" w:eastAsia="Palatino Linotype" w:hAnsi="Palatino Linotype" w:cs="Palatino Linotype"/>
        </w:rPr>
        <w:t>,</w:t>
      </w:r>
      <w:r w:rsidRPr="00D37331">
        <w:rPr>
          <w:rFonts w:ascii="Palatino Linotype" w:eastAsia="Palatino Linotype" w:hAnsi="Palatino Linotype" w:cs="Palatino Linotype"/>
          <w:b/>
        </w:rPr>
        <w:t xml:space="preserve"> 07345/INFOEM/IP/RR/2024, 07346/INFOEM/IP/RR/2024 </w:t>
      </w:r>
      <w:proofErr w:type="gramStart"/>
      <w:r w:rsidRPr="00D37331">
        <w:rPr>
          <w:rFonts w:ascii="Palatino Linotype" w:eastAsia="Palatino Linotype" w:hAnsi="Palatino Linotype" w:cs="Palatino Linotype"/>
          <w:b/>
        </w:rPr>
        <w:t>y  07347</w:t>
      </w:r>
      <w:proofErr w:type="gramEnd"/>
      <w:r w:rsidRPr="00D37331">
        <w:rPr>
          <w:rFonts w:ascii="Palatino Linotype" w:eastAsia="Palatino Linotype" w:hAnsi="Palatino Linotype" w:cs="Palatino Linotype"/>
          <w:b/>
        </w:rPr>
        <w:t xml:space="preserve">/INFOEM/IP/RR/2024 acumulados, </w:t>
      </w:r>
      <w:r w:rsidRPr="00D37331">
        <w:rPr>
          <w:rFonts w:ascii="Palatino Linotype" w:eastAsia="Palatino Linotype" w:hAnsi="Palatino Linotype" w:cs="Palatino Linotype"/>
        </w:rPr>
        <w:t xml:space="preserve">por lo que, en términos del Considerando </w:t>
      </w:r>
      <w:r w:rsidRPr="00D37331">
        <w:rPr>
          <w:rFonts w:ascii="Palatino Linotype" w:eastAsia="Palatino Linotype" w:hAnsi="Palatino Linotype" w:cs="Palatino Linotype"/>
          <w:b/>
        </w:rPr>
        <w:t>Cuarto</w:t>
      </w:r>
      <w:r w:rsidRPr="00D37331">
        <w:rPr>
          <w:rFonts w:ascii="Palatino Linotype" w:eastAsia="Palatino Linotype" w:hAnsi="Palatino Linotype" w:cs="Palatino Linotype"/>
        </w:rPr>
        <w:t xml:space="preserve"> de la presente resolución, se</w:t>
      </w:r>
      <w:r w:rsidRPr="00D37331">
        <w:rPr>
          <w:rFonts w:ascii="Palatino Linotype" w:eastAsia="Palatino Linotype" w:hAnsi="Palatino Linotype" w:cs="Palatino Linotype"/>
          <w:b/>
        </w:rPr>
        <w:t xml:space="preserve"> MODIFICAN </w:t>
      </w:r>
      <w:r w:rsidRPr="00D37331">
        <w:rPr>
          <w:rFonts w:ascii="Palatino Linotype" w:eastAsia="Palatino Linotype" w:hAnsi="Palatino Linotype" w:cs="Palatino Linotype"/>
        </w:rPr>
        <w:t>las respuestas</w:t>
      </w:r>
      <w:r w:rsidRPr="00D37331">
        <w:rPr>
          <w:rFonts w:ascii="Palatino Linotype" w:eastAsia="Palatino Linotype" w:hAnsi="Palatino Linotype" w:cs="Palatino Linotype"/>
          <w:b/>
        </w:rPr>
        <w:t xml:space="preserve"> </w:t>
      </w:r>
      <w:r w:rsidRPr="00D37331">
        <w:rPr>
          <w:rFonts w:ascii="Palatino Linotype" w:eastAsia="Palatino Linotype" w:hAnsi="Palatino Linotype" w:cs="Palatino Linotype"/>
        </w:rPr>
        <w:t xml:space="preserve">del </w:t>
      </w:r>
      <w:r w:rsidRPr="00D37331">
        <w:rPr>
          <w:rFonts w:ascii="Palatino Linotype" w:eastAsia="Palatino Linotype" w:hAnsi="Palatino Linotype" w:cs="Palatino Linotype"/>
          <w:b/>
        </w:rPr>
        <w:t>SUJETO OBLIGADO.</w:t>
      </w:r>
    </w:p>
    <w:p w14:paraId="587100AF" w14:textId="77777777" w:rsidR="00411983" w:rsidRPr="00D37331" w:rsidRDefault="00411983">
      <w:pPr>
        <w:spacing w:line="360" w:lineRule="auto"/>
        <w:jc w:val="both"/>
        <w:rPr>
          <w:rFonts w:ascii="Palatino Linotype" w:eastAsia="Palatino Linotype" w:hAnsi="Palatino Linotype" w:cs="Palatino Linotype"/>
          <w:b/>
        </w:rPr>
      </w:pPr>
    </w:p>
    <w:p w14:paraId="02341657" w14:textId="77777777" w:rsidR="00411983" w:rsidRPr="00D37331" w:rsidRDefault="00922C23">
      <w:pPr>
        <w:spacing w:line="360" w:lineRule="auto"/>
        <w:jc w:val="both"/>
        <w:rPr>
          <w:rFonts w:ascii="Palatino Linotype" w:eastAsia="Palatino Linotype" w:hAnsi="Palatino Linotype" w:cs="Palatino Linotype"/>
        </w:rPr>
      </w:pPr>
      <w:bookmarkStart w:id="3" w:name="_heading=h.2et92p0" w:colFirst="0" w:colLast="0"/>
      <w:bookmarkEnd w:id="3"/>
      <w:r w:rsidRPr="00D37331">
        <w:rPr>
          <w:rFonts w:ascii="Palatino Linotype" w:eastAsia="Palatino Linotype" w:hAnsi="Palatino Linotype" w:cs="Palatino Linotype"/>
          <w:b/>
        </w:rPr>
        <w:t xml:space="preserve">Segundo. </w:t>
      </w:r>
      <w:r w:rsidRPr="00D37331">
        <w:rPr>
          <w:rFonts w:ascii="Palatino Linotype" w:eastAsia="Palatino Linotype" w:hAnsi="Palatino Linotype" w:cs="Palatino Linotype"/>
        </w:rPr>
        <w:t xml:space="preserve">Se </w:t>
      </w:r>
      <w:r w:rsidRPr="00D37331">
        <w:rPr>
          <w:rFonts w:ascii="Palatino Linotype" w:eastAsia="Palatino Linotype" w:hAnsi="Palatino Linotype" w:cs="Palatino Linotype"/>
          <w:b/>
        </w:rPr>
        <w:t>Ordena</w:t>
      </w:r>
      <w:r w:rsidRPr="00D37331">
        <w:rPr>
          <w:rFonts w:ascii="Palatino Linotype" w:eastAsia="Palatino Linotype" w:hAnsi="Palatino Linotype" w:cs="Palatino Linotype"/>
        </w:rPr>
        <w:t xml:space="preserve"> al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en términos de los Considerandos </w:t>
      </w:r>
      <w:r w:rsidRPr="00D37331">
        <w:rPr>
          <w:rFonts w:ascii="Palatino Linotype" w:eastAsia="Palatino Linotype" w:hAnsi="Palatino Linotype" w:cs="Palatino Linotype"/>
          <w:b/>
        </w:rPr>
        <w:t xml:space="preserve">Cuarto y Quinto </w:t>
      </w:r>
      <w:r w:rsidRPr="00D37331">
        <w:rPr>
          <w:rFonts w:ascii="Palatino Linotype" w:eastAsia="Palatino Linotype" w:hAnsi="Palatino Linotype" w:cs="Palatino Linotype"/>
        </w:rPr>
        <w:t xml:space="preserve">de esta resolución, </w:t>
      </w:r>
      <w:r w:rsidRPr="00D37331">
        <w:rPr>
          <w:rFonts w:ascii="Palatino Linotype" w:eastAsia="Palatino Linotype" w:hAnsi="Palatino Linotype" w:cs="Palatino Linotype"/>
          <w:b/>
        </w:rPr>
        <w:t xml:space="preserve">haga entrega vía Sistema de Acceso a la Información Mexiquense (SAIMEX), </w:t>
      </w:r>
      <w:r w:rsidRPr="00D37331">
        <w:rPr>
          <w:rFonts w:ascii="Palatino Linotype" w:eastAsia="Palatino Linotype" w:hAnsi="Palatino Linotype" w:cs="Palatino Linotype"/>
        </w:rPr>
        <w:t>de ser procedente en versión pública,</w:t>
      </w:r>
      <w:r w:rsidRPr="00D37331">
        <w:t xml:space="preserve"> </w:t>
      </w:r>
      <w:r w:rsidRPr="00D37331">
        <w:rPr>
          <w:rFonts w:ascii="Palatino Linotype" w:eastAsia="Palatino Linotype" w:hAnsi="Palatino Linotype" w:cs="Palatino Linotype"/>
        </w:rPr>
        <w:t>lo siguiente:</w:t>
      </w:r>
    </w:p>
    <w:p w14:paraId="2349B623" w14:textId="77777777" w:rsidR="00411983" w:rsidRPr="00D37331" w:rsidRDefault="00411983">
      <w:pPr>
        <w:spacing w:line="360" w:lineRule="auto"/>
        <w:jc w:val="both"/>
        <w:rPr>
          <w:rFonts w:ascii="Palatino Linotype" w:eastAsia="Palatino Linotype" w:hAnsi="Palatino Linotype" w:cs="Palatino Linotype"/>
        </w:rPr>
      </w:pPr>
    </w:p>
    <w:p w14:paraId="5DDD2ED6" w14:textId="77777777" w:rsidR="00411983" w:rsidRPr="00D37331" w:rsidRDefault="00922C23">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D37331">
        <w:rPr>
          <w:rFonts w:ascii="Palatino Linotype" w:eastAsia="Palatino Linotype" w:hAnsi="Palatino Linotype" w:cs="Palatino Linotype"/>
        </w:rPr>
        <w:t>Las actas, oficios y/o documentos de las recomendaciones del 180 al 300 del primero de enero al treinta de septiembre del año 2024, que derivaron de las visitas de inspección y/o supervisiones realizadas por la Unidad de Asuntos Internos a las unidades administrativas de la Secretaría de Seguridad del Estado de México.</w:t>
      </w:r>
    </w:p>
    <w:p w14:paraId="095ABB96" w14:textId="77777777" w:rsidR="00411983" w:rsidRPr="00D37331" w:rsidRDefault="00411983">
      <w:pPr>
        <w:pBdr>
          <w:top w:val="nil"/>
          <w:left w:val="nil"/>
          <w:bottom w:val="nil"/>
          <w:right w:val="nil"/>
          <w:between w:val="nil"/>
        </w:pBdr>
        <w:ind w:left="284" w:right="49"/>
        <w:jc w:val="both"/>
        <w:rPr>
          <w:rFonts w:ascii="Palatino Linotype" w:eastAsia="Palatino Linotype" w:hAnsi="Palatino Linotype" w:cs="Palatino Linotype"/>
          <w:b/>
        </w:rPr>
      </w:pPr>
    </w:p>
    <w:p w14:paraId="78DB15EC" w14:textId="77777777" w:rsidR="00411983" w:rsidRPr="00D37331" w:rsidRDefault="00922C23">
      <w:pPr>
        <w:pBdr>
          <w:top w:val="nil"/>
          <w:left w:val="nil"/>
          <w:bottom w:val="nil"/>
          <w:right w:val="nil"/>
          <w:between w:val="nil"/>
        </w:pBdr>
        <w:ind w:left="284" w:right="49"/>
        <w:jc w:val="both"/>
        <w:rPr>
          <w:rFonts w:ascii="Palatino Linotype" w:eastAsia="Palatino Linotype" w:hAnsi="Palatino Linotype" w:cs="Palatino Linotype"/>
          <w:i/>
        </w:rPr>
      </w:pPr>
      <w:r w:rsidRPr="00D37331">
        <w:rPr>
          <w:rFonts w:ascii="Palatino Linotype" w:eastAsia="Palatino Linotype" w:hAnsi="Palatino Linotype" w:cs="Palatino Linotype"/>
          <w:i/>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w:t>
      </w:r>
      <w:r w:rsidRPr="00D37331">
        <w:rPr>
          <w:rFonts w:ascii="Palatino Linotype" w:eastAsia="Palatino Linotype" w:hAnsi="Palatino Linotype" w:cs="Palatino Linotype"/>
          <w:b/>
          <w:i/>
        </w:rPr>
        <w:t>la parte RECURRENTE</w:t>
      </w:r>
      <w:r w:rsidRPr="00D37331">
        <w:rPr>
          <w:rFonts w:ascii="Palatino Linotype" w:eastAsia="Palatino Linotype" w:hAnsi="Palatino Linotype" w:cs="Palatino Linotype"/>
          <w:i/>
        </w:rPr>
        <w:t>, mismo que igualmente hará de su conocimiento.</w:t>
      </w:r>
    </w:p>
    <w:p w14:paraId="07E4F3ED" w14:textId="77777777" w:rsidR="00411983" w:rsidRPr="00D37331" w:rsidRDefault="00411983">
      <w:pPr>
        <w:pBdr>
          <w:top w:val="nil"/>
          <w:left w:val="nil"/>
          <w:bottom w:val="nil"/>
          <w:right w:val="nil"/>
          <w:between w:val="nil"/>
        </w:pBdr>
        <w:ind w:left="284" w:right="49"/>
        <w:jc w:val="both"/>
        <w:rPr>
          <w:rFonts w:ascii="Palatino Linotype" w:eastAsia="Palatino Linotype" w:hAnsi="Palatino Linotype" w:cs="Palatino Linotype"/>
          <w:i/>
        </w:rPr>
      </w:pPr>
    </w:p>
    <w:p w14:paraId="756E81DE" w14:textId="77777777" w:rsidR="00411983" w:rsidRPr="00D37331" w:rsidRDefault="00922C23">
      <w:pPr>
        <w:ind w:left="284" w:right="49"/>
        <w:jc w:val="both"/>
        <w:rPr>
          <w:rFonts w:ascii="Palatino Linotype" w:eastAsia="Palatino Linotype" w:hAnsi="Palatino Linotype" w:cs="Palatino Linotype"/>
          <w:i/>
        </w:rPr>
      </w:pPr>
      <w:r w:rsidRPr="00D37331">
        <w:rPr>
          <w:rFonts w:ascii="Palatino Linotype" w:eastAsia="Palatino Linotype" w:hAnsi="Palatino Linotype" w:cs="Palatino Linotype"/>
          <w:i/>
        </w:rPr>
        <w:t xml:space="preserve">En caso de contar que alguno de las actas, oficios y/o documentos que se ordenan se relaciones con quejas y/o denuncias que se encuentren en trámite, al </w:t>
      </w:r>
      <w:r w:rsidRPr="00D37331">
        <w:rPr>
          <w:rFonts w:ascii="Palatino Linotype" w:eastAsia="Palatino Linotype" w:hAnsi="Palatino Linotype" w:cs="Palatino Linotype"/>
          <w:b/>
          <w:i/>
        </w:rPr>
        <w:t xml:space="preserve">treinta de septiembre de dos mil veinticuatro, </w:t>
      </w:r>
      <w:r w:rsidRPr="00D37331">
        <w:rPr>
          <w:rFonts w:ascii="Palatino Linotype" w:eastAsia="Palatino Linotype" w:hAnsi="Palatino Linotype" w:cs="Palatino Linotype"/>
          <w:i/>
        </w:rPr>
        <w:t>deberá emitir el acuerdo del Comité de Transparencia, donde clasifique de manera fundada y motivada, la información como reservada, con excepción de aquellos que se relacionen con actos de corrupción o posibles violaciones graves a derechos humanos, en términos del artículo 142 de la Ley de la materia, que deberán entregarse en versión pública.</w:t>
      </w:r>
    </w:p>
    <w:p w14:paraId="2B791963" w14:textId="77777777" w:rsidR="00411983" w:rsidRPr="00D37331" w:rsidRDefault="00411983">
      <w:pPr>
        <w:pBdr>
          <w:top w:val="nil"/>
          <w:left w:val="nil"/>
          <w:bottom w:val="nil"/>
          <w:right w:val="nil"/>
          <w:between w:val="nil"/>
        </w:pBdr>
        <w:ind w:left="284" w:right="49"/>
        <w:jc w:val="both"/>
        <w:rPr>
          <w:rFonts w:ascii="Palatino Linotype" w:eastAsia="Palatino Linotype" w:hAnsi="Palatino Linotype" w:cs="Palatino Linotype"/>
          <w:i/>
        </w:rPr>
      </w:pPr>
    </w:p>
    <w:p w14:paraId="5FCFA8A1" w14:textId="77777777" w:rsidR="00411983" w:rsidRPr="00D37331" w:rsidRDefault="00922C23">
      <w:pPr>
        <w:spacing w:line="360" w:lineRule="auto"/>
        <w:jc w:val="both"/>
        <w:rPr>
          <w:rFonts w:ascii="Palatino Linotype" w:eastAsia="Palatino Linotype" w:hAnsi="Palatino Linotype" w:cs="Palatino Linotype"/>
        </w:rPr>
      </w:pPr>
      <w:r w:rsidRPr="00D37331">
        <w:rPr>
          <w:rFonts w:ascii="Palatino Linotype" w:eastAsia="Palatino Linotype" w:hAnsi="Palatino Linotype" w:cs="Palatino Linotype"/>
          <w:b/>
        </w:rPr>
        <w:t xml:space="preserve">Tercero. Notifíquese, </w:t>
      </w:r>
      <w:r w:rsidRPr="00D37331">
        <w:rPr>
          <w:rFonts w:ascii="Palatino Linotype" w:eastAsia="Palatino Linotype" w:hAnsi="Palatino Linotype" w:cs="Palatino Linotype"/>
        </w:rPr>
        <w:t xml:space="preserve">vía </w:t>
      </w:r>
      <w:r w:rsidRPr="00D37331">
        <w:rPr>
          <w:rFonts w:ascii="Palatino Linotype" w:eastAsia="Palatino Linotype" w:hAnsi="Palatino Linotype" w:cs="Palatino Linotype"/>
          <w:b/>
        </w:rPr>
        <w:t>SAIMEX</w:t>
      </w:r>
      <w:r w:rsidRPr="00D37331">
        <w:rPr>
          <w:rFonts w:ascii="Palatino Linotype" w:eastAsia="Palatino Linotype" w:hAnsi="Palatino Linotype" w:cs="Palatino Linotype"/>
        </w:rPr>
        <w:t xml:space="preserve">, al Titular de la Unidad de Transparencia del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w:t>
      </w:r>
      <w:r w:rsidRPr="00D37331">
        <w:rPr>
          <w:rFonts w:ascii="Palatino Linotype" w:eastAsia="Palatino Linotype" w:hAnsi="Palatino Linotype" w:cs="Palatino Linotype"/>
        </w:rPr>
        <w:lastRenderedPageBreak/>
        <w:t>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851523" w14:textId="77777777" w:rsidR="00411983" w:rsidRPr="00D37331" w:rsidRDefault="00411983">
      <w:pPr>
        <w:spacing w:line="360" w:lineRule="auto"/>
        <w:jc w:val="both"/>
        <w:rPr>
          <w:rFonts w:ascii="Palatino Linotype" w:eastAsia="Palatino Linotype" w:hAnsi="Palatino Linotype" w:cs="Palatino Linotype"/>
        </w:rPr>
      </w:pPr>
    </w:p>
    <w:p w14:paraId="5888A1BA" w14:textId="77777777" w:rsidR="00411983" w:rsidRPr="00D37331" w:rsidRDefault="00922C23">
      <w:pPr>
        <w:spacing w:line="360" w:lineRule="auto"/>
        <w:ind w:right="49"/>
        <w:jc w:val="both"/>
        <w:rPr>
          <w:rFonts w:ascii="Palatino Linotype" w:eastAsia="Palatino Linotype" w:hAnsi="Palatino Linotype" w:cs="Palatino Linotype"/>
        </w:rPr>
      </w:pPr>
      <w:r w:rsidRPr="00D37331">
        <w:rPr>
          <w:rFonts w:ascii="Palatino Linotype" w:eastAsia="Palatino Linotype" w:hAnsi="Palatino Linotype" w:cs="Palatino Linotype"/>
          <w:b/>
        </w:rPr>
        <w:t>Cuarto.</w:t>
      </w:r>
      <w:r w:rsidRPr="00D37331">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D37331">
        <w:rPr>
          <w:rFonts w:ascii="Palatino Linotype" w:eastAsia="Palatino Linotype" w:hAnsi="Palatino Linotype" w:cs="Palatino Linotype"/>
          <w:b/>
        </w:rPr>
        <w:t>SUJETO OBLIGADO</w:t>
      </w:r>
      <w:r w:rsidRPr="00D37331">
        <w:rPr>
          <w:rFonts w:ascii="Palatino Linotype" w:eastAsia="Palatino Linotype" w:hAnsi="Palatino Linotype" w:cs="Palatino Linotype"/>
        </w:rPr>
        <w:t xml:space="preserve"> de manera fundada y motivada, podrá solicitar una ampliación de plazo para el cumplimiento de la presente resolución.</w:t>
      </w:r>
    </w:p>
    <w:p w14:paraId="0CB13763" w14:textId="77777777" w:rsidR="00411983" w:rsidRPr="00D37331" w:rsidRDefault="00411983">
      <w:pPr>
        <w:spacing w:line="360" w:lineRule="auto"/>
        <w:ind w:right="49"/>
        <w:jc w:val="both"/>
        <w:rPr>
          <w:rFonts w:ascii="Palatino Linotype" w:eastAsia="Palatino Linotype" w:hAnsi="Palatino Linotype" w:cs="Palatino Linotype"/>
        </w:rPr>
      </w:pPr>
    </w:p>
    <w:p w14:paraId="05A68A24" w14:textId="77777777" w:rsidR="00411983" w:rsidRPr="00D37331" w:rsidRDefault="00922C23">
      <w:pPr>
        <w:spacing w:line="360" w:lineRule="auto"/>
        <w:ind w:right="49"/>
        <w:jc w:val="both"/>
        <w:rPr>
          <w:rFonts w:ascii="Palatino Linotype" w:eastAsia="Palatino Linotype" w:hAnsi="Palatino Linotype" w:cs="Palatino Linotype"/>
        </w:rPr>
      </w:pPr>
      <w:r w:rsidRPr="00D37331">
        <w:rPr>
          <w:rFonts w:ascii="Palatino Linotype" w:eastAsia="Palatino Linotype" w:hAnsi="Palatino Linotype" w:cs="Palatino Linotype"/>
          <w:b/>
        </w:rPr>
        <w:t xml:space="preserve">Quinto. Notifíquese </w:t>
      </w:r>
      <w:r w:rsidRPr="00D37331">
        <w:rPr>
          <w:rFonts w:ascii="Palatino Linotype" w:eastAsia="Palatino Linotype" w:hAnsi="Palatino Linotype" w:cs="Palatino Linotype"/>
        </w:rPr>
        <w:t>vía SAIMEX</w:t>
      </w:r>
      <w:r w:rsidRPr="00D37331">
        <w:rPr>
          <w:rFonts w:ascii="Palatino Linotype" w:eastAsia="Palatino Linotype" w:hAnsi="Palatino Linotype" w:cs="Palatino Linotype"/>
          <w:b/>
        </w:rPr>
        <w:t xml:space="preserve">, </w:t>
      </w:r>
      <w:r w:rsidRPr="00D37331">
        <w:rPr>
          <w:rFonts w:ascii="Palatino Linotype" w:eastAsia="Palatino Linotype" w:hAnsi="Palatino Linotype" w:cs="Palatino Linotype"/>
        </w:rPr>
        <w:t xml:space="preserve">la presente resolución a la parte </w:t>
      </w:r>
      <w:r w:rsidRPr="00D37331">
        <w:rPr>
          <w:rFonts w:ascii="Palatino Linotype" w:eastAsia="Palatino Linotype" w:hAnsi="Palatino Linotype" w:cs="Palatino Linotype"/>
          <w:b/>
        </w:rPr>
        <w:t>RECURRENTE</w:t>
      </w:r>
      <w:r w:rsidRPr="00D37331">
        <w:rPr>
          <w:rFonts w:ascii="Palatino Linotype" w:eastAsia="Palatino Linotype" w:hAnsi="Palatino Linotype" w:cs="Palatino Linotype"/>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610E2AE4" w14:textId="77777777" w:rsidR="00411983" w:rsidRPr="00D37331" w:rsidRDefault="00411983">
      <w:pPr>
        <w:spacing w:line="360" w:lineRule="auto"/>
        <w:ind w:right="49"/>
        <w:jc w:val="both"/>
        <w:rPr>
          <w:rFonts w:ascii="Palatino Linotype" w:eastAsia="Palatino Linotype" w:hAnsi="Palatino Linotype" w:cs="Palatino Linotype"/>
        </w:rPr>
      </w:pPr>
    </w:p>
    <w:p w14:paraId="79B0E937" w14:textId="3E98879A" w:rsidR="00411983" w:rsidRPr="00D37331" w:rsidRDefault="00922C23">
      <w:pPr>
        <w:spacing w:line="360" w:lineRule="auto"/>
        <w:jc w:val="both"/>
        <w:rPr>
          <w:rFonts w:ascii="Palatino Linotype" w:eastAsia="Palatino Linotype" w:hAnsi="Palatino Linotype" w:cs="Palatino Linotype"/>
        </w:rPr>
        <w:sectPr w:rsidR="00411983" w:rsidRPr="00D37331">
          <w:headerReference w:type="even" r:id="rId59"/>
          <w:headerReference w:type="default" r:id="rId60"/>
          <w:footerReference w:type="default" r:id="rId61"/>
          <w:headerReference w:type="first" r:id="rId62"/>
          <w:footerReference w:type="first" r:id="rId63"/>
          <w:pgSz w:w="12240" w:h="15840"/>
          <w:pgMar w:top="1418" w:right="1418" w:bottom="1418" w:left="1701" w:header="709" w:footer="1009" w:gutter="0"/>
          <w:pgNumType w:start="1"/>
          <w:cols w:space="720"/>
          <w:titlePg/>
        </w:sectPr>
      </w:pPr>
      <w:r w:rsidRPr="00D3733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D37331" w:rsidRPr="00D37331">
        <w:rPr>
          <w:rFonts w:ascii="Palatino Linotype" w:eastAsia="Palatino Linotype" w:hAnsi="Palatino Linotype" w:cs="Palatino Linotype"/>
        </w:rPr>
        <w:t xml:space="preserve"> (EMITIENDO VOTO PARTICULAR) </w:t>
      </w:r>
      <w:r w:rsidRPr="00D37331">
        <w:rPr>
          <w:rFonts w:ascii="Palatino Linotype" w:eastAsia="Palatino Linotype" w:hAnsi="Palatino Linotype" w:cs="Palatino Linotype"/>
        </w:rPr>
        <w:t xml:space="preserve"> Y GUADALUPE </w:t>
      </w:r>
      <w:r w:rsidRPr="00D37331">
        <w:rPr>
          <w:rFonts w:ascii="Palatino Linotype" w:eastAsia="Palatino Linotype" w:hAnsi="Palatino Linotype" w:cs="Palatino Linotype"/>
        </w:rPr>
        <w:lastRenderedPageBreak/>
        <w:t xml:space="preserve">RAMÍREZ PEÑA; EN LA CUADRAGÉSIMA CUARTA SESIÓN ORDINARIA CELEBRADA EL DIECIOCHO DE DICIEMBRE DE DOS MIL VEINTICUATRO, ANTE EL SECRETARIO TÉCNICO, ALEXIS TAPIA RAMÍREZ. </w:t>
      </w:r>
    </w:p>
    <w:p w14:paraId="12EFD600" w14:textId="77777777" w:rsidR="00411983" w:rsidRPr="00D37331" w:rsidRDefault="00411983">
      <w:pPr>
        <w:spacing w:line="360" w:lineRule="auto"/>
        <w:jc w:val="both"/>
      </w:pPr>
    </w:p>
    <w:p w14:paraId="15F16A96" w14:textId="77777777" w:rsidR="00411983" w:rsidRPr="00D37331" w:rsidRDefault="00411983"/>
    <w:p w14:paraId="6992B2E3" w14:textId="77777777" w:rsidR="00411983" w:rsidRPr="00D37331" w:rsidRDefault="00411983"/>
    <w:p w14:paraId="3BE5A9B9" w14:textId="77777777" w:rsidR="00411983" w:rsidRPr="00D37331" w:rsidRDefault="00411983"/>
    <w:p w14:paraId="74ACF053" w14:textId="77777777" w:rsidR="00411983" w:rsidRPr="00D37331" w:rsidRDefault="00411983"/>
    <w:p w14:paraId="298CA35A" w14:textId="77777777" w:rsidR="00411983" w:rsidRPr="00D37331" w:rsidRDefault="00411983"/>
    <w:p w14:paraId="13638FA3" w14:textId="77777777" w:rsidR="00411983" w:rsidRPr="00D37331" w:rsidRDefault="00411983"/>
    <w:p w14:paraId="6D8A0ED1" w14:textId="77777777" w:rsidR="00411983" w:rsidRPr="00D37331" w:rsidRDefault="00411983"/>
    <w:p w14:paraId="64676760" w14:textId="77777777" w:rsidR="00411983" w:rsidRPr="00D37331" w:rsidRDefault="00411983"/>
    <w:p w14:paraId="6DF5CD07" w14:textId="77777777" w:rsidR="00411983" w:rsidRPr="00D37331" w:rsidRDefault="00411983"/>
    <w:p w14:paraId="09C768C0" w14:textId="77777777" w:rsidR="00411983" w:rsidRPr="00D37331" w:rsidRDefault="00411983"/>
    <w:p w14:paraId="420A541C" w14:textId="77777777" w:rsidR="00411983" w:rsidRPr="00D37331" w:rsidRDefault="00411983"/>
    <w:p w14:paraId="21497F27" w14:textId="77777777" w:rsidR="00411983" w:rsidRPr="00D37331" w:rsidRDefault="00411983"/>
    <w:p w14:paraId="1B9FD1DD" w14:textId="77777777" w:rsidR="00411983" w:rsidRPr="00D37331" w:rsidRDefault="00411983"/>
    <w:p w14:paraId="5D42C4D4" w14:textId="77777777" w:rsidR="00411983" w:rsidRPr="00D37331" w:rsidRDefault="00411983"/>
    <w:p w14:paraId="6585E609" w14:textId="77777777" w:rsidR="00411983" w:rsidRPr="00D37331" w:rsidRDefault="00411983"/>
    <w:sectPr w:rsidR="00411983" w:rsidRPr="00D37331">
      <w:headerReference w:type="first" r:id="rId64"/>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44420" w14:textId="77777777" w:rsidR="00FC63E5" w:rsidRDefault="00FC63E5">
      <w:r>
        <w:separator/>
      </w:r>
    </w:p>
  </w:endnote>
  <w:endnote w:type="continuationSeparator" w:id="0">
    <w:p w14:paraId="70D23D4E" w14:textId="77777777" w:rsidR="00FC63E5" w:rsidRDefault="00FC6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A402D" w14:textId="77777777" w:rsidR="00411983" w:rsidRDefault="00922C2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33AE3">
      <w:rPr>
        <w:rFonts w:ascii="Palatino Linotype" w:eastAsia="Palatino Linotype" w:hAnsi="Palatino Linotype" w:cs="Palatino Linotype"/>
        <w:noProof/>
        <w:color w:val="000000"/>
        <w:sz w:val="20"/>
        <w:szCs w:val="20"/>
      </w:rPr>
      <w:t>58</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33AE3">
      <w:rPr>
        <w:rFonts w:ascii="Palatino Linotype" w:eastAsia="Palatino Linotype" w:hAnsi="Palatino Linotype" w:cs="Palatino Linotype"/>
        <w:noProof/>
        <w:color w:val="000000"/>
        <w:sz w:val="20"/>
        <w:szCs w:val="20"/>
      </w:rPr>
      <w:t>59</w:t>
    </w:r>
    <w:r>
      <w:rPr>
        <w:rFonts w:ascii="Palatino Linotype" w:eastAsia="Palatino Linotype" w:hAnsi="Palatino Linotype" w:cs="Palatino Linotype"/>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5257" w14:textId="77777777" w:rsidR="00411983" w:rsidRDefault="00922C2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56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33AE3">
      <w:rPr>
        <w:rFonts w:ascii="Palatino Linotype" w:eastAsia="Palatino Linotype" w:hAnsi="Palatino Linotype" w:cs="Palatino Linotype"/>
        <w:noProof/>
        <w:color w:val="000000"/>
        <w:sz w:val="20"/>
        <w:szCs w:val="20"/>
      </w:rPr>
      <w:t>59</w:t>
    </w:r>
    <w:r>
      <w:rPr>
        <w:rFonts w:ascii="Palatino Linotype" w:eastAsia="Palatino Linotype" w:hAnsi="Palatino Linotype" w:cs="Palatino Linotype"/>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F4C74" w14:textId="77777777" w:rsidR="00FC63E5" w:rsidRDefault="00FC63E5">
      <w:r>
        <w:separator/>
      </w:r>
    </w:p>
  </w:footnote>
  <w:footnote w:type="continuationSeparator" w:id="0">
    <w:p w14:paraId="384AB761" w14:textId="77777777" w:rsidR="00FC63E5" w:rsidRDefault="00FC63E5">
      <w:r>
        <w:continuationSeparator/>
      </w:r>
    </w:p>
  </w:footnote>
  <w:footnote w:id="1">
    <w:p w14:paraId="7FFC5F57" w14:textId="77777777" w:rsidR="00411983" w:rsidRDefault="00922C2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FE28FF5" w14:textId="77777777" w:rsidR="00411983" w:rsidRDefault="00922C2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C4698" w14:textId="77777777" w:rsidR="00411983" w:rsidRDefault="008200AB">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116CA2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7BC9" w14:textId="77777777" w:rsidR="00411983" w:rsidRDefault="0041198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9"/>
        <w:szCs w:val="19"/>
      </w:rPr>
    </w:pPr>
  </w:p>
  <w:tbl>
    <w:tblPr>
      <w:tblStyle w:val="af"/>
      <w:tblW w:w="6667" w:type="dxa"/>
      <w:tblInd w:w="2547" w:type="dxa"/>
      <w:tblLayout w:type="fixed"/>
      <w:tblLook w:val="0400" w:firstRow="0" w:lastRow="0" w:firstColumn="0" w:lastColumn="0" w:noHBand="0" w:noVBand="1"/>
    </w:tblPr>
    <w:tblGrid>
      <w:gridCol w:w="2551"/>
      <w:gridCol w:w="4116"/>
    </w:tblGrid>
    <w:tr w:rsidR="00411983" w14:paraId="06986E2A" w14:textId="77777777">
      <w:tc>
        <w:tcPr>
          <w:tcW w:w="2551" w:type="dxa"/>
          <w:shd w:val="clear" w:color="auto" w:fill="auto"/>
          <w:vAlign w:val="center"/>
        </w:tcPr>
        <w:p w14:paraId="1C2EC0AA" w14:textId="77777777" w:rsidR="00411983" w:rsidRDefault="00922C2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6" w:type="dxa"/>
          <w:shd w:val="clear" w:color="auto" w:fill="auto"/>
          <w:vAlign w:val="center"/>
        </w:tcPr>
        <w:p w14:paraId="48A1E9F0" w14:textId="77777777" w:rsidR="00411983" w:rsidRDefault="00922C2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07344/INFOEM/IP/RR/2024 y acumulados</w:t>
          </w:r>
        </w:p>
      </w:tc>
    </w:tr>
    <w:tr w:rsidR="00411983" w14:paraId="54D51C72" w14:textId="77777777">
      <w:trPr>
        <w:trHeight w:val="228"/>
      </w:trPr>
      <w:tc>
        <w:tcPr>
          <w:tcW w:w="2551" w:type="dxa"/>
          <w:shd w:val="clear" w:color="auto" w:fill="auto"/>
          <w:vAlign w:val="center"/>
        </w:tcPr>
        <w:p w14:paraId="20C6E9CC" w14:textId="77777777" w:rsidR="00411983" w:rsidRDefault="00922C2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6" w:type="dxa"/>
          <w:shd w:val="clear" w:color="auto" w:fill="auto"/>
          <w:vAlign w:val="center"/>
        </w:tcPr>
        <w:p w14:paraId="0A03F4DB" w14:textId="77777777" w:rsidR="00411983" w:rsidRDefault="00922C2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Unidad de Asuntos Internos</w:t>
          </w:r>
        </w:p>
      </w:tc>
    </w:tr>
    <w:tr w:rsidR="00411983" w14:paraId="1ABC6EB7" w14:textId="77777777">
      <w:tc>
        <w:tcPr>
          <w:tcW w:w="2551" w:type="dxa"/>
          <w:shd w:val="clear" w:color="auto" w:fill="auto"/>
          <w:vAlign w:val="center"/>
        </w:tcPr>
        <w:p w14:paraId="0EB125AC" w14:textId="77777777" w:rsidR="00411983" w:rsidRDefault="00922C2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6" w:type="dxa"/>
          <w:shd w:val="clear" w:color="auto" w:fill="auto"/>
          <w:vAlign w:val="center"/>
        </w:tcPr>
        <w:p w14:paraId="3CFEEC4F" w14:textId="77777777" w:rsidR="00411983" w:rsidRDefault="00922C2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9F0180E" w14:textId="77777777" w:rsidR="00411983" w:rsidRDefault="008200AB">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pict w14:anchorId="0FA4F6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96.95pt;margin-top:-125.7pt;width:649.35pt;height:845.8pt;z-index:-251659776;mso-position-horizontal:absolute;mso-position-horizontal-relative:margin;mso-position-vertical:absolute;mso-position-vertical-relative:margin">
          <v:imagedata r:id="rId1" o:title="image2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35D0E" w14:textId="77777777" w:rsidR="00411983" w:rsidRDefault="00411983">
    <w:pPr>
      <w:widowControl w:val="0"/>
      <w:pBdr>
        <w:top w:val="nil"/>
        <w:left w:val="nil"/>
        <w:bottom w:val="nil"/>
        <w:right w:val="nil"/>
        <w:between w:val="nil"/>
      </w:pBdr>
      <w:spacing w:line="276" w:lineRule="auto"/>
      <w:rPr>
        <w:rFonts w:ascii="Calibri" w:eastAsia="Calibri" w:hAnsi="Calibri" w:cs="Calibri"/>
        <w:color w:val="000000"/>
      </w:rPr>
    </w:pPr>
  </w:p>
  <w:tbl>
    <w:tblPr>
      <w:tblStyle w:val="af0"/>
      <w:tblW w:w="6667" w:type="dxa"/>
      <w:tblInd w:w="2547" w:type="dxa"/>
      <w:tblLayout w:type="fixed"/>
      <w:tblLook w:val="0400" w:firstRow="0" w:lastRow="0" w:firstColumn="0" w:lastColumn="0" w:noHBand="0" w:noVBand="1"/>
    </w:tblPr>
    <w:tblGrid>
      <w:gridCol w:w="2551"/>
      <w:gridCol w:w="4116"/>
    </w:tblGrid>
    <w:tr w:rsidR="00411983" w14:paraId="799EA9FE" w14:textId="77777777">
      <w:tc>
        <w:tcPr>
          <w:tcW w:w="2551" w:type="dxa"/>
          <w:shd w:val="clear" w:color="auto" w:fill="auto"/>
          <w:vAlign w:val="center"/>
        </w:tcPr>
        <w:p w14:paraId="2D758634" w14:textId="77777777" w:rsidR="00411983" w:rsidRDefault="00922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6" w:type="dxa"/>
          <w:shd w:val="clear" w:color="auto" w:fill="auto"/>
          <w:vAlign w:val="center"/>
        </w:tcPr>
        <w:p w14:paraId="10AA4180" w14:textId="77777777" w:rsidR="00411983" w:rsidRDefault="00922C23">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07344/INFOEM/IP/RR/2024 y</w:t>
          </w:r>
        </w:p>
        <w:p w14:paraId="6E9F8AD9" w14:textId="77777777" w:rsidR="00411983" w:rsidRDefault="00922C23">
          <w:pPr>
            <w:ind w:left="32"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Acumulados.           </w:t>
          </w:r>
        </w:p>
      </w:tc>
    </w:tr>
    <w:tr w:rsidR="00411983" w14:paraId="28E3657E" w14:textId="77777777">
      <w:tc>
        <w:tcPr>
          <w:tcW w:w="2551" w:type="dxa"/>
          <w:shd w:val="clear" w:color="auto" w:fill="auto"/>
          <w:vAlign w:val="center"/>
        </w:tcPr>
        <w:p w14:paraId="56EC60F2" w14:textId="77777777" w:rsidR="00411983" w:rsidRDefault="00922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6" w:type="dxa"/>
          <w:shd w:val="clear" w:color="auto" w:fill="auto"/>
          <w:vAlign w:val="center"/>
        </w:tcPr>
        <w:p w14:paraId="454FFE81" w14:textId="418A78E6" w:rsidR="00411983" w:rsidRDefault="008200AB">
          <w:pPr>
            <w:ind w:left="32" w:right="27"/>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XXXXXXXXXX XXX XXXXXX </w:t>
          </w:r>
          <w:r w:rsidR="00922C23">
            <w:rPr>
              <w:rFonts w:ascii="Palatino Linotype" w:eastAsia="Palatino Linotype" w:hAnsi="Palatino Linotype" w:cs="Palatino Linotype"/>
              <w:b/>
              <w:sz w:val="22"/>
              <w:szCs w:val="22"/>
            </w:rPr>
            <w:t xml:space="preserve"> </w:t>
          </w:r>
          <w:r w:rsidR="00922C23">
            <w:rPr>
              <w:rFonts w:ascii="Arial" w:eastAsia="Arial" w:hAnsi="Arial" w:cs="Arial"/>
              <w:b/>
              <w:color w:val="333333"/>
              <w:sz w:val="15"/>
              <w:szCs w:val="15"/>
              <w:shd w:val="clear" w:color="auto" w:fill="F7F7F8"/>
            </w:rPr>
            <w:t> </w:t>
          </w:r>
        </w:p>
      </w:tc>
    </w:tr>
    <w:tr w:rsidR="00411983" w14:paraId="58A389F4" w14:textId="77777777">
      <w:trPr>
        <w:trHeight w:val="228"/>
      </w:trPr>
      <w:tc>
        <w:tcPr>
          <w:tcW w:w="2551" w:type="dxa"/>
          <w:shd w:val="clear" w:color="auto" w:fill="auto"/>
          <w:vAlign w:val="center"/>
        </w:tcPr>
        <w:p w14:paraId="36B96951" w14:textId="77777777" w:rsidR="00411983" w:rsidRDefault="00922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6" w:type="dxa"/>
          <w:shd w:val="clear" w:color="auto" w:fill="auto"/>
          <w:vAlign w:val="center"/>
        </w:tcPr>
        <w:p w14:paraId="020A1A67" w14:textId="77777777" w:rsidR="00411983" w:rsidRDefault="00922C23">
          <w:pPr>
            <w:ind w:left="32"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Unidad de Asuntos Internos</w:t>
          </w:r>
        </w:p>
      </w:tc>
    </w:tr>
    <w:tr w:rsidR="00411983" w14:paraId="745DC6C3" w14:textId="77777777">
      <w:tc>
        <w:tcPr>
          <w:tcW w:w="2551" w:type="dxa"/>
          <w:shd w:val="clear" w:color="auto" w:fill="auto"/>
          <w:vAlign w:val="center"/>
        </w:tcPr>
        <w:p w14:paraId="14F039C0" w14:textId="77777777" w:rsidR="00411983" w:rsidRDefault="00922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6" w:type="dxa"/>
          <w:shd w:val="clear" w:color="auto" w:fill="auto"/>
          <w:vAlign w:val="center"/>
        </w:tcPr>
        <w:p w14:paraId="5EE438A4" w14:textId="77777777" w:rsidR="00411983" w:rsidRDefault="00922C23">
          <w:pPr>
            <w:ind w:left="32"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C9F2937" w14:textId="77777777" w:rsidR="00411983" w:rsidRDefault="008200AB">
    <w:pPr>
      <w:pBdr>
        <w:top w:val="nil"/>
        <w:left w:val="nil"/>
        <w:bottom w:val="nil"/>
        <w:right w:val="nil"/>
        <w:between w:val="nil"/>
      </w:pBdr>
      <w:tabs>
        <w:tab w:val="center" w:pos="4252"/>
        <w:tab w:val="right" w:pos="8504"/>
      </w:tabs>
      <w:rPr>
        <w:rFonts w:ascii="Calibri" w:eastAsia="Calibri" w:hAnsi="Calibri" w:cs="Calibri"/>
        <w:color w:val="000000"/>
        <w:sz w:val="10"/>
        <w:szCs w:val="10"/>
      </w:rPr>
    </w:pPr>
    <w:r>
      <w:rPr>
        <w:rFonts w:ascii="Calibri" w:eastAsia="Calibri" w:hAnsi="Calibri" w:cs="Calibri"/>
        <w:color w:val="000000"/>
        <w:sz w:val="10"/>
        <w:szCs w:val="10"/>
      </w:rPr>
      <w:pict w14:anchorId="46993E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93.8pt;margin-top:-135.95pt;width:628.7pt;height:818.9pt;z-index:-251658752;mso-position-horizontal:absolute;mso-position-horizontal-relative:margin;mso-position-vertical:absolute;mso-position-vertical-relative:margin">
          <v:imagedata r:id="rId1" o:title="image2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10161" w14:textId="77777777" w:rsidR="00411983" w:rsidRDefault="00411983">
    <w:pPr>
      <w:widowControl w:val="0"/>
      <w:pBdr>
        <w:top w:val="nil"/>
        <w:left w:val="nil"/>
        <w:bottom w:val="nil"/>
        <w:right w:val="nil"/>
        <w:between w:val="nil"/>
      </w:pBdr>
      <w:spacing w:line="276" w:lineRule="auto"/>
      <w:rPr>
        <w:rFonts w:ascii="Calibri" w:eastAsia="Calibri" w:hAnsi="Calibri" w:cs="Calibri"/>
        <w:color w:val="000000"/>
      </w:rPr>
    </w:pPr>
  </w:p>
  <w:p w14:paraId="356EC27A" w14:textId="77777777" w:rsidR="00411983" w:rsidRDefault="00411983">
    <w:pPr>
      <w:pBdr>
        <w:top w:val="nil"/>
        <w:left w:val="nil"/>
        <w:bottom w:val="nil"/>
        <w:right w:val="nil"/>
        <w:between w:val="nil"/>
      </w:pBdr>
      <w:tabs>
        <w:tab w:val="center" w:pos="4252"/>
        <w:tab w:val="right" w:pos="8504"/>
      </w:tabs>
      <w:rPr>
        <w:rFonts w:ascii="Calibri" w:eastAsia="Calibri" w:hAnsi="Calibri" w:cs="Calibri"/>
        <w:color w:val="000000"/>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4CDE"/>
    <w:multiLevelType w:val="multilevel"/>
    <w:tmpl w:val="3ECC9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A05C60"/>
    <w:multiLevelType w:val="multilevel"/>
    <w:tmpl w:val="1C94E3C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E61384C"/>
    <w:multiLevelType w:val="multilevel"/>
    <w:tmpl w:val="ED66F042"/>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63972A3"/>
    <w:multiLevelType w:val="multilevel"/>
    <w:tmpl w:val="4E6E4642"/>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440CE7"/>
    <w:multiLevelType w:val="multilevel"/>
    <w:tmpl w:val="56FA0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303592"/>
    <w:multiLevelType w:val="multilevel"/>
    <w:tmpl w:val="B59E142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 w15:restartNumberingAfterBreak="0">
    <w:nsid w:val="3CE85D22"/>
    <w:multiLevelType w:val="multilevel"/>
    <w:tmpl w:val="360A68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A717BD2"/>
    <w:multiLevelType w:val="multilevel"/>
    <w:tmpl w:val="045CB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8F58D2"/>
    <w:multiLevelType w:val="multilevel"/>
    <w:tmpl w:val="6C268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32797C"/>
    <w:multiLevelType w:val="multilevel"/>
    <w:tmpl w:val="9F528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2EA5D37"/>
    <w:multiLevelType w:val="multilevel"/>
    <w:tmpl w:val="97E2288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7"/>
  </w:num>
  <w:num w:numId="3">
    <w:abstractNumId w:val="4"/>
  </w:num>
  <w:num w:numId="4">
    <w:abstractNumId w:val="5"/>
  </w:num>
  <w:num w:numId="5">
    <w:abstractNumId w:val="9"/>
  </w:num>
  <w:num w:numId="6">
    <w:abstractNumId w:val="6"/>
  </w:num>
  <w:num w:numId="7">
    <w:abstractNumId w:val="3"/>
  </w:num>
  <w:num w:numId="8">
    <w:abstractNumId w:val="10"/>
  </w:num>
  <w:num w:numId="9">
    <w:abstractNumId w:val="0"/>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983"/>
    <w:rsid w:val="00233AE3"/>
    <w:rsid w:val="00411983"/>
    <w:rsid w:val="008200AB"/>
    <w:rsid w:val="00922C23"/>
    <w:rsid w:val="00B40CAA"/>
    <w:rsid w:val="00CF1577"/>
    <w:rsid w:val="00D37331"/>
    <w:rsid w:val="00FC63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4A5EE4"/>
  <w15:docId w15:val="{6B5E54F2-721E-4FDF-8E17-6A653852F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70B"/>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rPr>
  </w:style>
  <w:style w:type="paragraph" w:styleId="Ttulo4">
    <w:name w:val="heading 4"/>
    <w:basedOn w:val="Normal"/>
    <w:link w:val="Ttulo4Car"/>
    <w:uiPriority w:val="9"/>
    <w:qFormat/>
    <w:rsid w:val="00E93BB3"/>
    <w:pPr>
      <w:spacing w:before="100" w:beforeAutospacing="1" w:after="100" w:afterAutospacing="1"/>
      <w:outlineLvl w:val="3"/>
    </w:pPr>
    <w:rPr>
      <w:b/>
      <w:bCs/>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rPr>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pPr>
    <w:rPr>
      <w:rFonts w:ascii="Palatino Linotype" w:hAnsi="Palatino Linotype" w:cs="Palatino Linotype"/>
      <w:color w:val="000000"/>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olor w:val="000000"/>
      <w:szCs w:val="20"/>
      <w:u w:color="000000"/>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style>
  <w:style w:type="paragraph" w:customStyle="1" w:styleId="o">
    <w:name w:val="o"/>
    <w:basedOn w:val="Normal"/>
    <w:rsid w:val="00E93BB3"/>
    <w:pPr>
      <w:spacing w:before="100" w:beforeAutospacing="1" w:after="100" w:afterAutospacing="1"/>
    </w:p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rPr>
  </w:style>
  <w:style w:type="paragraph" w:customStyle="1" w:styleId="Standard">
    <w:name w:val="Standard"/>
    <w:rsid w:val="009D7E06"/>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style>
  <w:style w:type="numbering" w:customStyle="1" w:styleId="Estiloimportado1">
    <w:name w:val="Estilo importado 1"/>
    <w:qFormat/>
    <w:rsid w:val="009D7E06"/>
  </w:style>
  <w:style w:type="paragraph" w:customStyle="1" w:styleId="INCISO">
    <w:name w:val="INCISO"/>
    <w:basedOn w:val="Normal"/>
    <w:rsid w:val="009D7E06"/>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9D7E06"/>
    <w:pPr>
      <w:spacing w:before="100" w:beforeAutospacing="1" w:after="100" w:afterAutospacing="1"/>
    </w:p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eastAsia="en-US"/>
    </w:rPr>
  </w:style>
  <w:style w:type="table" w:customStyle="1" w:styleId="Tablaconcuadrcula1">
    <w:name w:val="Tabla con cuadrícula1"/>
    <w:basedOn w:val="Tablanormal"/>
    <w:next w:val="Tablaconcuadrcula"/>
    <w:uiPriority w:val="59"/>
    <w:rsid w:val="009D7E06"/>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rPr>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
    <w:rsid w:val="009D7E06"/>
    <w:rPr>
      <w:lang w:val="es-ES"/>
    </w:rPr>
    <w:tblPr>
      <w:tblCellMar>
        <w:top w:w="0" w:type="dxa"/>
        <w:left w:w="0" w:type="dxa"/>
        <w:bottom w:w="0" w:type="dxa"/>
        <w:right w:w="0" w:type="dxa"/>
      </w:tblCellMar>
    </w:tbl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2"/>
    <w:rsid w:val="009D7E06"/>
    <w:tblPr>
      <w:tblStyleRowBandSize w:val="1"/>
      <w:tblStyleColBandSize w:val="1"/>
      <w:tblCellMar>
        <w:left w:w="115" w:type="dxa"/>
        <w:right w:w="115" w:type="dxa"/>
      </w:tblCellMar>
    </w:tblPr>
  </w:style>
  <w:style w:type="table" w:customStyle="1" w:styleId="7">
    <w:name w:val="7"/>
    <w:basedOn w:val="TableNormal2"/>
    <w:rsid w:val="009D7E06"/>
    <w:tblPr>
      <w:tblStyleRowBandSize w:val="1"/>
      <w:tblStyleColBandSize w:val="1"/>
      <w:tblCellMar>
        <w:left w:w="115" w:type="dxa"/>
        <w:right w:w="115" w:type="dxa"/>
      </w:tblCellMar>
    </w:tblPr>
  </w:style>
  <w:style w:type="table" w:customStyle="1" w:styleId="6">
    <w:name w:val="6"/>
    <w:basedOn w:val="TableNormal2"/>
    <w:rsid w:val="009D7E06"/>
    <w:tblPr>
      <w:tblStyleRowBandSize w:val="1"/>
      <w:tblStyleColBandSize w:val="1"/>
      <w:tblCellMar>
        <w:left w:w="115" w:type="dxa"/>
        <w:right w:w="115" w:type="dxa"/>
      </w:tblCellMar>
    </w:tblPr>
  </w:style>
  <w:style w:type="table" w:customStyle="1" w:styleId="5">
    <w:name w:val="5"/>
    <w:basedOn w:val="TableNormal2"/>
    <w:rsid w:val="009D7E06"/>
    <w:tblPr>
      <w:tblStyleRowBandSize w:val="1"/>
      <w:tblStyleColBandSize w:val="1"/>
      <w:tblCellMar>
        <w:left w:w="115" w:type="dxa"/>
        <w:right w:w="115" w:type="dxa"/>
      </w:tblCellMar>
    </w:tblPr>
  </w:style>
  <w:style w:type="table" w:customStyle="1" w:styleId="4">
    <w:name w:val="4"/>
    <w:basedOn w:val="TableNormal2"/>
    <w:rsid w:val="009D7E06"/>
    <w:tblPr>
      <w:tblStyleRowBandSize w:val="1"/>
      <w:tblStyleColBandSize w:val="1"/>
      <w:tblCellMar>
        <w:left w:w="115" w:type="dxa"/>
        <w:right w:w="115" w:type="dxa"/>
      </w:tblCellMar>
    </w:tblPr>
  </w:style>
  <w:style w:type="table" w:customStyle="1" w:styleId="3">
    <w:name w:val="3"/>
    <w:basedOn w:val="TableNormal2"/>
    <w:rsid w:val="009D7E06"/>
    <w:tblPr>
      <w:tblStyleRowBandSize w:val="1"/>
      <w:tblStyleColBandSize w:val="1"/>
      <w:tblCellMar>
        <w:left w:w="115" w:type="dxa"/>
        <w:right w:w="115" w:type="dxa"/>
      </w:tblCellMar>
    </w:tblPr>
  </w:style>
  <w:style w:type="table" w:customStyle="1" w:styleId="2">
    <w:name w:val="2"/>
    <w:basedOn w:val="TableNormal2"/>
    <w:rsid w:val="009D7E06"/>
    <w:tblPr>
      <w:tblStyleRowBandSize w:val="1"/>
      <w:tblStyleColBandSize w:val="1"/>
      <w:tblCellMar>
        <w:left w:w="115" w:type="dxa"/>
        <w:right w:w="115" w:type="dxa"/>
      </w:tblCellMar>
    </w:tblPr>
  </w:style>
  <w:style w:type="table" w:customStyle="1" w:styleId="1">
    <w:name w:val="1"/>
    <w:basedOn w:val="TableNormal2"/>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style>
  <w:style w:type="paragraph" w:customStyle="1" w:styleId="j1">
    <w:name w:val="j1"/>
    <w:basedOn w:val="Normal"/>
    <w:rsid w:val="009D7E06"/>
    <w:pPr>
      <w:spacing w:before="100" w:beforeAutospacing="1" w:after="100" w:afterAutospacing="1"/>
    </w:p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9D7E06"/>
    <w:rPr>
      <w:lang w:val="es-ES"/>
    </w:rPr>
    <w:tblPr>
      <w:tblCellMar>
        <w:top w:w="0" w:type="dxa"/>
        <w:left w:w="0" w:type="dxa"/>
        <w:bottom w:w="0" w:type="dxa"/>
        <w:right w:w="0" w:type="dxa"/>
      </w:tblCellMar>
    </w:tblPr>
  </w:style>
  <w:style w:type="table" w:customStyle="1" w:styleId="81">
    <w:name w:val="81"/>
    <w:basedOn w:val="TableNormal2"/>
    <w:rsid w:val="009D7E06"/>
    <w:tblPr>
      <w:tblStyleRowBandSize w:val="1"/>
      <w:tblStyleColBandSize w:val="1"/>
      <w:tblCellMar>
        <w:left w:w="115" w:type="dxa"/>
        <w:right w:w="115" w:type="dxa"/>
      </w:tblCellMar>
    </w:tblPr>
  </w:style>
  <w:style w:type="table" w:customStyle="1" w:styleId="71">
    <w:name w:val="71"/>
    <w:basedOn w:val="TableNormal2"/>
    <w:rsid w:val="009D7E06"/>
    <w:tblPr>
      <w:tblStyleRowBandSize w:val="1"/>
      <w:tblStyleColBandSize w:val="1"/>
      <w:tblCellMar>
        <w:left w:w="115" w:type="dxa"/>
        <w:right w:w="115" w:type="dxa"/>
      </w:tblCellMar>
    </w:tblPr>
  </w:style>
  <w:style w:type="table" w:customStyle="1" w:styleId="61">
    <w:name w:val="61"/>
    <w:basedOn w:val="TableNormal2"/>
    <w:rsid w:val="009D7E06"/>
    <w:tblPr>
      <w:tblStyleRowBandSize w:val="1"/>
      <w:tblStyleColBandSize w:val="1"/>
      <w:tblCellMar>
        <w:left w:w="115" w:type="dxa"/>
        <w:right w:w="115" w:type="dxa"/>
      </w:tblCellMar>
    </w:tblPr>
  </w:style>
  <w:style w:type="table" w:customStyle="1" w:styleId="51">
    <w:name w:val="51"/>
    <w:basedOn w:val="TableNormal2"/>
    <w:rsid w:val="009D7E06"/>
    <w:tblPr>
      <w:tblStyleRowBandSize w:val="1"/>
      <w:tblStyleColBandSize w:val="1"/>
      <w:tblCellMar>
        <w:left w:w="115" w:type="dxa"/>
        <w:right w:w="115" w:type="dxa"/>
      </w:tblCellMar>
    </w:tblPr>
  </w:style>
  <w:style w:type="table" w:customStyle="1" w:styleId="41">
    <w:name w:val="41"/>
    <w:basedOn w:val="TableNormal2"/>
    <w:rsid w:val="009D7E06"/>
    <w:tblPr>
      <w:tblStyleRowBandSize w:val="1"/>
      <w:tblStyleColBandSize w:val="1"/>
      <w:tblCellMar>
        <w:left w:w="115" w:type="dxa"/>
        <w:right w:w="115" w:type="dxa"/>
      </w:tblCellMar>
    </w:tblPr>
  </w:style>
  <w:style w:type="table" w:customStyle="1" w:styleId="31">
    <w:name w:val="31"/>
    <w:basedOn w:val="TableNormal2"/>
    <w:rsid w:val="009D7E06"/>
    <w:tblPr>
      <w:tblStyleRowBandSize w:val="1"/>
      <w:tblStyleColBandSize w:val="1"/>
      <w:tblCellMar>
        <w:left w:w="115" w:type="dxa"/>
        <w:right w:w="115" w:type="dxa"/>
      </w:tblCellMar>
    </w:tblPr>
  </w:style>
  <w:style w:type="table" w:customStyle="1" w:styleId="21">
    <w:name w:val="21"/>
    <w:basedOn w:val="TableNormal2"/>
    <w:rsid w:val="009D7E06"/>
    <w:tblPr>
      <w:tblStyleRowBandSize w:val="1"/>
      <w:tblStyleColBandSize w:val="1"/>
      <w:tblCellMar>
        <w:left w:w="115" w:type="dxa"/>
        <w:right w:w="115" w:type="dxa"/>
      </w:tblCellMar>
    </w:tblPr>
  </w:style>
  <w:style w:type="table" w:customStyle="1" w:styleId="11">
    <w:name w:val="11"/>
    <w:basedOn w:val="TableNormal2"/>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5">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1"/>
    <w:rPr>
      <w:rFonts w:ascii="Calibri" w:eastAsia="Calibri" w:hAnsi="Calibri" w:cs="Calibri"/>
    </w:rPr>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201767"/>
    <w:pPr>
      <w:numPr>
        <w:numId w:val="11"/>
      </w:numPr>
      <w:contextualSpacing/>
    </w:pPr>
    <w:rPr>
      <w:lang w:val="es-ES"/>
    </w:rPr>
  </w:style>
  <w:style w:type="table" w:customStyle="1" w:styleId="aa">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d">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0">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hyperlink" Target="https://saimex.org.mx/saimex/solicitud/downloadAttach/2267258.page" TargetMode="External"/><Relationship Id="rId34" Type="http://schemas.openxmlformats.org/officeDocument/2006/relationships/hyperlink" Target="about:blank" TargetMode="External"/><Relationship Id="rId42" Type="http://schemas.openxmlformats.org/officeDocument/2006/relationships/image" Target="media/image16.png"/><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7.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image" Target="media/image2.png"/><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20.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s://saimex.org.mx/saimex/solicitud/downloadAttach/2267258.page"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image" Target="media/image4.png"/><Relationship Id="rId48" Type="http://schemas.openxmlformats.org/officeDocument/2006/relationships/image" Target="media/image7.png"/><Relationship Id="rId56" Type="http://schemas.openxmlformats.org/officeDocument/2006/relationships/image" Target="media/image18.png"/><Relationship Id="rId64" Type="http://schemas.openxmlformats.org/officeDocument/2006/relationships/header" Target="header4.xml"/><Relationship Id="rId8" Type="http://schemas.openxmlformats.org/officeDocument/2006/relationships/hyperlink" Target="about:blank" TargetMode="External"/><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https://saimex.org.mx/saimex/solicitud/downloadAttach/2308128.page" TargetMode="External"/><Relationship Id="rId46" Type="http://schemas.openxmlformats.org/officeDocument/2006/relationships/image" Target="media/image14.png"/><Relationship Id="rId59" Type="http://schemas.openxmlformats.org/officeDocument/2006/relationships/header" Target="header1.xml"/><Relationship Id="rId20" Type="http://schemas.openxmlformats.org/officeDocument/2006/relationships/hyperlink" Target="https://saimex.org.mx/saimex/solicitud/downloadAttach/2267258.page" TargetMode="External"/><Relationship Id="rId41" Type="http://schemas.openxmlformats.org/officeDocument/2006/relationships/image" Target="media/image3.png"/><Relationship Id="rId54" Type="http://schemas.openxmlformats.org/officeDocument/2006/relationships/image" Target="media/image15.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https://saimex.org.mx/saimex/solicitud/downloadAttach/2267258.page"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image" Target="media/image8.png"/><Relationship Id="rId57" Type="http://schemas.openxmlformats.org/officeDocument/2006/relationships/image" Target="media/image19.png"/><Relationship Id="rId10"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image" Target="media/image11.png"/><Relationship Id="rId52" Type="http://schemas.openxmlformats.org/officeDocument/2006/relationships/image" Target="media/image12.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3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VXXi8qi2YoNV70tVwkuwr87DFg==">CgMxLjAyCGguZ2pkZ3hzMgloLjMwajB6bGwyCWguMWZvYjl0ZTIJaC4yZXQ5MnAwOAByITEzNUZKendWSzZvWEgwVEotcHRxZi1aSjdXcTZ3aUYtdw==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13874</Words>
  <Characters>76309</Characters>
  <Application>Microsoft Office Word</Application>
  <DocSecurity>0</DocSecurity>
  <Lines>635</Lines>
  <Paragraphs>180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dc:creator>
  <cp:lastModifiedBy>Maricela Villagómez Martínez</cp:lastModifiedBy>
  <cp:revision>2</cp:revision>
  <cp:lastPrinted>2024-12-19T20:57:00Z</cp:lastPrinted>
  <dcterms:created xsi:type="dcterms:W3CDTF">2025-01-16T19:58:00Z</dcterms:created>
  <dcterms:modified xsi:type="dcterms:W3CDTF">2025-01-16T19:58:00Z</dcterms:modified>
</cp:coreProperties>
</file>