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0B270" w14:textId="77777777" w:rsidR="00EC0824" w:rsidRDefault="00EC0824" w:rsidP="00566970">
      <w:pPr>
        <w:widowControl w:val="0"/>
        <w:pBdr>
          <w:top w:val="nil"/>
          <w:left w:val="nil"/>
          <w:bottom w:val="nil"/>
          <w:right w:val="nil"/>
          <w:between w:val="nil"/>
        </w:pBdr>
        <w:spacing w:after="0" w:line="360" w:lineRule="auto"/>
        <w:jc w:val="left"/>
      </w:pPr>
      <w:bookmarkStart w:id="0" w:name="_Hlk177596814"/>
      <w:bookmarkEnd w:id="0"/>
    </w:p>
    <w:p w14:paraId="3CD12BC9" w14:textId="15330E3B" w:rsidR="00A61F3B" w:rsidRPr="003E5C0B" w:rsidRDefault="00A61F3B" w:rsidP="00566970">
      <w:pPr>
        <w:tabs>
          <w:tab w:val="left" w:pos="8931"/>
        </w:tabs>
        <w:spacing w:after="0" w:line="360" w:lineRule="auto"/>
        <w:rPr>
          <w:rFonts w:eastAsia="Calibri" w:cs="Tahoma"/>
          <w:color w:val="000000"/>
          <w:lang w:val="es-ES" w:eastAsia="en-US"/>
        </w:rPr>
      </w:pPr>
      <w:r w:rsidRPr="003E5C0B">
        <w:rPr>
          <w:rFonts w:eastAsia="Calibri" w:cs="Tahoma"/>
          <w:bCs/>
          <w:color w:val="000000"/>
          <w:lang w:eastAsia="en-US"/>
        </w:rPr>
        <w:t xml:space="preserve">Resolución del Pleno del Instituto de Transparencia, Acceso a la Información Pública y Protección de Datos Personales del Estado de México y Municipios, con domicilio en Metepec, </w:t>
      </w:r>
      <w:r w:rsidRPr="003E5C0B">
        <w:rPr>
          <w:rFonts w:eastAsia="Calibri" w:cs="Tahoma"/>
          <w:color w:val="000000"/>
          <w:lang w:val="es-ES" w:eastAsia="en-US"/>
        </w:rPr>
        <w:t xml:space="preserve">Estado de México, de fecha </w:t>
      </w:r>
      <w:r w:rsidR="00E514B2" w:rsidRPr="003E5C0B">
        <w:rPr>
          <w:rFonts w:eastAsia="Calibri" w:cs="Tahoma"/>
          <w:color w:val="000000"/>
          <w:lang w:val="es-ES" w:eastAsia="en-US"/>
        </w:rPr>
        <w:t>seis de noviembre</w:t>
      </w:r>
      <w:r w:rsidRPr="003E5C0B">
        <w:rPr>
          <w:rFonts w:eastAsia="Calibri" w:cs="Tahoma"/>
          <w:color w:val="000000"/>
          <w:lang w:val="es-ES" w:eastAsia="en-US"/>
        </w:rPr>
        <w:t xml:space="preserve"> de dos mil veinticuatro. </w:t>
      </w:r>
    </w:p>
    <w:p w14:paraId="3F89A199" w14:textId="77777777" w:rsidR="00A61F3B" w:rsidRPr="003E5C0B" w:rsidRDefault="00A61F3B" w:rsidP="00566970">
      <w:pPr>
        <w:spacing w:after="0" w:line="360" w:lineRule="auto"/>
        <w:rPr>
          <w:rFonts w:eastAsia="Calibri" w:cs="Tahoma"/>
          <w:b/>
          <w:bCs/>
          <w:color w:val="000000"/>
          <w:lang w:val="es-ES" w:eastAsia="en-US"/>
        </w:rPr>
      </w:pPr>
    </w:p>
    <w:p w14:paraId="34BA3009" w14:textId="77777777" w:rsidR="005124DB" w:rsidRDefault="00A61F3B" w:rsidP="00566970">
      <w:pPr>
        <w:spacing w:after="0" w:line="360" w:lineRule="auto"/>
      </w:pPr>
      <w:r w:rsidRPr="003E5C0B">
        <w:rPr>
          <w:rFonts w:eastAsia="Calibri" w:cs="Tahoma"/>
          <w:b/>
          <w:bCs/>
          <w:color w:val="0D0D0D"/>
          <w:lang w:val="es-ES_tradnl" w:eastAsia="en-US"/>
        </w:rPr>
        <w:t xml:space="preserve">VISTO </w:t>
      </w:r>
      <w:r w:rsidRPr="003E5C0B">
        <w:rPr>
          <w:rFonts w:eastAsia="Calibri" w:cs="Tahoma"/>
          <w:bCs/>
          <w:color w:val="0D0D0D"/>
          <w:lang w:val="es-ES_tradnl" w:eastAsia="en-US"/>
        </w:rPr>
        <w:t>el expediente conformado con motivo de los Recursos de Revisión 0</w:t>
      </w:r>
      <w:r w:rsidR="00085494" w:rsidRPr="003E5C0B">
        <w:rPr>
          <w:rFonts w:eastAsia="Calibri" w:cs="Tahoma"/>
          <w:bCs/>
          <w:color w:val="0D0D0D"/>
          <w:lang w:val="es-ES_tradnl" w:eastAsia="en-US"/>
        </w:rPr>
        <w:t>5736</w:t>
      </w:r>
      <w:r w:rsidRPr="003E5C0B">
        <w:rPr>
          <w:rFonts w:eastAsia="Calibri" w:cs="Tahoma"/>
          <w:bCs/>
          <w:color w:val="0D0D0D"/>
          <w:lang w:val="es-ES_tradnl" w:eastAsia="en-US"/>
        </w:rPr>
        <w:t>/INFOEM/IP/RR/2024</w:t>
      </w:r>
      <w:r w:rsidR="00B66F87" w:rsidRPr="003E5C0B">
        <w:rPr>
          <w:rFonts w:eastAsia="Calibri" w:cs="Tahoma"/>
          <w:bCs/>
          <w:color w:val="0D0D0D"/>
          <w:lang w:val="es-ES_tradnl" w:eastAsia="en-US"/>
        </w:rPr>
        <w:t xml:space="preserve"> </w:t>
      </w:r>
      <w:r w:rsidRPr="003E5C0B">
        <w:rPr>
          <w:rFonts w:eastAsia="Calibri" w:cs="Tahoma"/>
          <w:bCs/>
          <w:color w:val="0D0D0D"/>
          <w:lang w:val="es-ES_tradnl" w:eastAsia="en-US"/>
        </w:rPr>
        <w:t>y 0</w:t>
      </w:r>
      <w:r w:rsidR="00085494" w:rsidRPr="003E5C0B">
        <w:rPr>
          <w:rFonts w:eastAsia="Calibri" w:cs="Tahoma"/>
          <w:bCs/>
          <w:color w:val="0D0D0D"/>
          <w:lang w:val="es-ES_tradnl" w:eastAsia="en-US"/>
        </w:rPr>
        <w:t>5737</w:t>
      </w:r>
      <w:r w:rsidRPr="003E5C0B">
        <w:rPr>
          <w:rFonts w:eastAsia="Calibri" w:cs="Tahoma"/>
          <w:bCs/>
          <w:color w:val="0D0D0D"/>
          <w:lang w:val="es-ES_tradnl" w:eastAsia="en-US"/>
        </w:rPr>
        <w:t>/INFOEM/IP/RR/2024</w:t>
      </w:r>
      <w:r w:rsidR="00A9442A" w:rsidRPr="003E5C0B">
        <w:rPr>
          <w:rFonts w:eastAsia="Calibri" w:cs="Tahoma"/>
          <w:bCs/>
          <w:color w:val="0D0D0D"/>
          <w:lang w:val="es-ES_tradnl" w:eastAsia="en-US"/>
        </w:rPr>
        <w:t xml:space="preserve">, </w:t>
      </w:r>
      <w:r w:rsidRPr="003E5C0B">
        <w:rPr>
          <w:rFonts w:eastAsia="Calibri" w:cs="Tahoma"/>
          <w:color w:val="0D0D0D"/>
          <w:lang w:val="es-ES_tradnl" w:eastAsia="en-US"/>
        </w:rPr>
        <w:t>interpuestos</w:t>
      </w:r>
      <w:r w:rsidR="00FD320A" w:rsidRPr="003E5C0B">
        <w:rPr>
          <w:rFonts w:eastAsia="Calibri" w:cs="Tahoma"/>
          <w:color w:val="0D0D0D"/>
          <w:lang w:val="es-ES_tradnl" w:eastAsia="en-US"/>
        </w:rPr>
        <w:t xml:space="preserve"> por </w:t>
      </w:r>
      <w:r w:rsidR="005124DB" w:rsidRPr="005124DB">
        <w:rPr>
          <w:highlight w:val="black"/>
        </w:rPr>
        <w:t>XXXXXXXXXX</w:t>
      </w:r>
    </w:p>
    <w:p w14:paraId="66DFFA64" w14:textId="7A753CED" w:rsidR="00A61F3B" w:rsidRPr="003E5C0B" w:rsidRDefault="005124DB" w:rsidP="00566970">
      <w:pPr>
        <w:spacing w:after="0" w:line="360" w:lineRule="auto"/>
        <w:rPr>
          <w:rFonts w:eastAsia="Calibri" w:cs="Tahoma"/>
          <w:bCs/>
          <w:color w:val="0D0D0D"/>
          <w:lang w:val="es-ES_tradnl" w:eastAsia="en-US"/>
        </w:rPr>
      </w:pPr>
      <w:r w:rsidRPr="005124DB">
        <w:rPr>
          <w:highlight w:val="black"/>
        </w:rPr>
        <w:t>XXXXXXXXXX</w:t>
      </w:r>
      <w:r w:rsidR="00085494" w:rsidRPr="003E5C0B">
        <w:rPr>
          <w:rFonts w:eastAsia="Calibri" w:cs="Tahoma"/>
          <w:color w:val="0D0D0D"/>
          <w:lang w:val="es-ES_tradnl" w:eastAsia="en-US"/>
        </w:rPr>
        <w:t xml:space="preserve">, en lo sucesivo, </w:t>
      </w:r>
      <w:r w:rsidR="00FD320A" w:rsidRPr="003E5C0B">
        <w:rPr>
          <w:rFonts w:eastAsia="Calibri" w:cs="Tahoma"/>
          <w:color w:val="0D0D0D"/>
          <w:lang w:val="es-ES_tradnl" w:eastAsia="en-US"/>
        </w:rPr>
        <w:t>la persona</w:t>
      </w:r>
      <w:r w:rsidR="00A61F3B" w:rsidRPr="003E5C0B">
        <w:rPr>
          <w:rFonts w:eastAsia="Calibri" w:cs="Tahoma"/>
          <w:color w:val="0D0D0D"/>
          <w:lang w:val="es-ES_tradnl" w:eastAsia="en-US"/>
        </w:rPr>
        <w:t xml:space="preserve"> Recurrente o Particular, en contra de la respuesta del Sujeto Obligado, </w:t>
      </w:r>
      <w:r w:rsidR="00BF6D3F" w:rsidRPr="003E5C0B">
        <w:t>Ayuntamiento de Huehuetoca</w:t>
      </w:r>
      <w:r w:rsidR="00B66F87" w:rsidRPr="003E5C0B">
        <w:rPr>
          <w:rFonts w:eastAsia="Calibri" w:cs="Tahoma"/>
          <w:color w:val="0D0D0D"/>
          <w:lang w:eastAsia="en-US"/>
        </w:rPr>
        <w:t xml:space="preserve">, </w:t>
      </w:r>
      <w:r w:rsidR="00A61F3B" w:rsidRPr="003E5C0B">
        <w:rPr>
          <w:rFonts w:eastAsia="Calibri" w:cs="Tahoma"/>
          <w:color w:val="0D0D0D"/>
          <w:lang w:eastAsia="en-US"/>
        </w:rPr>
        <w:t>a las solicitudes de acceso a la información pública 00</w:t>
      </w:r>
      <w:r w:rsidR="00085494" w:rsidRPr="003E5C0B">
        <w:rPr>
          <w:rFonts w:eastAsia="Calibri" w:cs="Tahoma"/>
          <w:color w:val="0D0D0D"/>
          <w:lang w:eastAsia="en-US"/>
        </w:rPr>
        <w:t>313</w:t>
      </w:r>
      <w:r w:rsidR="00A61F3B" w:rsidRPr="003E5C0B">
        <w:rPr>
          <w:rFonts w:eastAsia="Calibri" w:cs="Tahoma"/>
          <w:color w:val="0D0D0D"/>
          <w:lang w:eastAsia="en-US"/>
        </w:rPr>
        <w:t>/</w:t>
      </w:r>
      <w:r w:rsidR="00085494" w:rsidRPr="003E5C0B">
        <w:rPr>
          <w:rFonts w:eastAsia="Calibri" w:cs="Tahoma"/>
          <w:color w:val="0D0D0D"/>
          <w:lang w:eastAsia="en-US"/>
        </w:rPr>
        <w:t>HUEHUETO</w:t>
      </w:r>
      <w:r w:rsidR="00A61F3B" w:rsidRPr="003E5C0B">
        <w:rPr>
          <w:rFonts w:eastAsia="Calibri" w:cs="Tahoma"/>
          <w:color w:val="0D0D0D"/>
          <w:lang w:eastAsia="en-US"/>
        </w:rPr>
        <w:t>/IP/2024</w:t>
      </w:r>
      <w:r w:rsidR="00B66F87" w:rsidRPr="003E5C0B">
        <w:rPr>
          <w:rFonts w:eastAsia="Calibri" w:cs="Tahoma"/>
          <w:color w:val="0D0D0D"/>
          <w:lang w:eastAsia="en-US"/>
        </w:rPr>
        <w:t xml:space="preserve"> y </w:t>
      </w:r>
      <w:r w:rsidR="00085494" w:rsidRPr="003E5C0B">
        <w:rPr>
          <w:rFonts w:eastAsia="Calibri" w:cs="Tahoma"/>
          <w:color w:val="0D0D0D"/>
          <w:lang w:eastAsia="en-US"/>
        </w:rPr>
        <w:t>00310/HUEHUETO/IP/2024</w:t>
      </w:r>
      <w:r w:rsidR="00A61F3B" w:rsidRPr="003E5C0B">
        <w:rPr>
          <w:rFonts w:eastAsia="Calibri" w:cs="Tahoma"/>
          <w:color w:val="0D0D0D"/>
          <w:lang w:eastAsia="en-US"/>
        </w:rPr>
        <w:t xml:space="preserve">, </w:t>
      </w:r>
      <w:r w:rsidR="00A61F3B" w:rsidRPr="003E5C0B">
        <w:rPr>
          <w:rFonts w:eastAsia="Calibri" w:cs="Tahoma"/>
          <w:color w:val="0D0D0D"/>
          <w:lang w:val="es-ES_tradnl" w:eastAsia="en-US"/>
        </w:rPr>
        <w:t>se emite la</w:t>
      </w:r>
      <w:r w:rsidR="00A61F3B" w:rsidRPr="003E5C0B">
        <w:rPr>
          <w:rFonts w:eastAsia="Calibri" w:cs="Tahoma"/>
          <w:bCs/>
          <w:color w:val="0D0D0D"/>
          <w:lang w:val="es-ES_tradnl" w:eastAsia="en-US"/>
        </w:rPr>
        <w:t xml:space="preserve"> presente Resolución, con base en los Antecedentes y Considerandos que a continuación se exponen:</w:t>
      </w:r>
    </w:p>
    <w:p w14:paraId="3995CD42" w14:textId="77777777" w:rsidR="00A61F3B" w:rsidRPr="003E5C0B" w:rsidRDefault="00A61F3B" w:rsidP="00566970">
      <w:pPr>
        <w:spacing w:after="0" w:line="360" w:lineRule="auto"/>
        <w:rPr>
          <w:rFonts w:eastAsia="Calibri" w:cs="Tahoma"/>
          <w:b/>
          <w:bCs/>
          <w:color w:val="000000"/>
          <w:lang w:val="es-ES_tradnl" w:eastAsia="en-US"/>
        </w:rPr>
      </w:pPr>
    </w:p>
    <w:p w14:paraId="42F02B47" w14:textId="77777777" w:rsidR="00A61F3B" w:rsidRPr="003E5C0B" w:rsidRDefault="00A61F3B" w:rsidP="00566970">
      <w:pPr>
        <w:spacing w:after="0" w:line="360" w:lineRule="auto"/>
        <w:jc w:val="center"/>
        <w:rPr>
          <w:rFonts w:eastAsia="Calibri" w:cs="Tahoma"/>
          <w:b/>
          <w:bCs/>
          <w:color w:val="000000"/>
          <w:lang w:val="es-ES" w:eastAsia="en-US"/>
        </w:rPr>
      </w:pPr>
      <w:r w:rsidRPr="003E5C0B">
        <w:rPr>
          <w:rFonts w:eastAsia="Calibri" w:cs="Tahoma"/>
          <w:b/>
          <w:bCs/>
          <w:color w:val="000000"/>
          <w:lang w:val="es-ES" w:eastAsia="en-US"/>
        </w:rPr>
        <w:t>A N T E C E D E N T E S</w:t>
      </w:r>
    </w:p>
    <w:p w14:paraId="12B91584" w14:textId="77777777" w:rsidR="00A61F3B" w:rsidRPr="003E5C0B" w:rsidRDefault="00A61F3B" w:rsidP="00566970">
      <w:pPr>
        <w:spacing w:after="0" w:line="360" w:lineRule="auto"/>
        <w:jc w:val="center"/>
        <w:rPr>
          <w:rFonts w:eastAsia="Calibri" w:cs="Tahoma"/>
          <w:b/>
          <w:bCs/>
          <w:color w:val="000000"/>
          <w:lang w:val="es-ES" w:eastAsia="en-US"/>
        </w:rPr>
      </w:pPr>
    </w:p>
    <w:p w14:paraId="617B30CF" w14:textId="77777777" w:rsidR="00A61F3B" w:rsidRPr="003E5C0B" w:rsidRDefault="00A61F3B" w:rsidP="00566970">
      <w:pPr>
        <w:tabs>
          <w:tab w:val="left" w:pos="567"/>
        </w:tabs>
        <w:spacing w:after="0" w:line="360" w:lineRule="auto"/>
        <w:contextualSpacing/>
        <w:rPr>
          <w:rFonts w:eastAsia="Calibri" w:cs="Tahoma"/>
          <w:b/>
          <w:color w:val="000000"/>
          <w:lang w:val="es-ES_tradnl" w:eastAsia="en-US"/>
        </w:rPr>
      </w:pPr>
      <w:r w:rsidRPr="003E5C0B">
        <w:rPr>
          <w:rFonts w:eastAsia="Calibri" w:cs="Tahoma"/>
          <w:b/>
          <w:color w:val="000000"/>
          <w:lang w:val="es-ES_tradnl" w:eastAsia="en-US"/>
        </w:rPr>
        <w:t>I. Presentación de las solicitudes de información</w:t>
      </w:r>
    </w:p>
    <w:p w14:paraId="4E0C5675" w14:textId="77777777" w:rsidR="00A61F3B" w:rsidRPr="003E5C0B" w:rsidRDefault="00A61F3B" w:rsidP="00566970">
      <w:pPr>
        <w:tabs>
          <w:tab w:val="left" w:pos="567"/>
        </w:tabs>
        <w:spacing w:after="0" w:line="360" w:lineRule="auto"/>
        <w:ind w:left="54"/>
        <w:contextualSpacing/>
        <w:rPr>
          <w:rFonts w:eastAsia="Calibri" w:cs="Tahoma"/>
          <w:b/>
          <w:color w:val="000000"/>
          <w:lang w:val="es-ES_tradnl" w:eastAsia="en-US"/>
        </w:rPr>
      </w:pPr>
    </w:p>
    <w:p w14:paraId="4A5D9780" w14:textId="0F672459" w:rsidR="00A61F3B" w:rsidRPr="003E5C0B" w:rsidRDefault="00A61F3B" w:rsidP="00566970">
      <w:pPr>
        <w:tabs>
          <w:tab w:val="left" w:pos="567"/>
        </w:tabs>
        <w:spacing w:after="0" w:line="360" w:lineRule="auto"/>
        <w:rPr>
          <w:rFonts w:eastAsia="Calibri" w:cs="Tahoma"/>
          <w:color w:val="000000"/>
          <w:lang w:eastAsia="en-US"/>
        </w:rPr>
      </w:pPr>
      <w:r w:rsidRPr="003E5C0B">
        <w:rPr>
          <w:rFonts w:eastAsia="Calibri" w:cs="Tahoma"/>
          <w:color w:val="000000"/>
          <w:lang w:val="es-ES_tradnl" w:eastAsia="en-US"/>
        </w:rPr>
        <w:t xml:space="preserve">El </w:t>
      </w:r>
      <w:r w:rsidR="00085494" w:rsidRPr="003E5C0B">
        <w:rPr>
          <w:rFonts w:eastAsia="Calibri" w:cs="Tahoma"/>
          <w:color w:val="000000"/>
          <w:lang w:val="es-ES_tradnl" w:eastAsia="en-US"/>
        </w:rPr>
        <w:t>ocho de agosto</w:t>
      </w:r>
      <w:r w:rsidRPr="003E5C0B">
        <w:rPr>
          <w:rFonts w:eastAsia="Calibri" w:cs="Tahoma"/>
          <w:color w:val="000000"/>
          <w:lang w:val="es-ES_tradnl" w:eastAsia="en-US"/>
        </w:rPr>
        <w:t xml:space="preserve"> de dos mil veinticuatro, </w:t>
      </w:r>
      <w:r w:rsidR="00A9442A" w:rsidRPr="003E5C0B">
        <w:rPr>
          <w:rFonts w:eastAsia="Calibri" w:cs="Tahoma"/>
          <w:color w:val="000000"/>
          <w:lang w:val="es-ES_tradnl" w:eastAsia="en-US"/>
        </w:rPr>
        <w:t>el</w:t>
      </w:r>
      <w:r w:rsidRPr="003E5C0B">
        <w:rPr>
          <w:rFonts w:eastAsia="Calibri" w:cs="Tahoma"/>
          <w:color w:val="000000"/>
          <w:lang w:val="es-ES_tradnl" w:eastAsia="en-US"/>
        </w:rPr>
        <w:t xml:space="preserve"> Particular presentó </w:t>
      </w:r>
      <w:r w:rsidR="00B66F87" w:rsidRPr="003E5C0B">
        <w:rPr>
          <w:rFonts w:eastAsia="Calibri" w:cs="Tahoma"/>
          <w:color w:val="000000"/>
          <w:lang w:val="es-ES_tradnl" w:eastAsia="en-US"/>
        </w:rPr>
        <w:t>dos</w:t>
      </w:r>
      <w:r w:rsidRPr="003E5C0B">
        <w:rPr>
          <w:rFonts w:eastAsia="Calibri" w:cs="Tahoma"/>
          <w:color w:val="000000"/>
          <w:lang w:val="es-ES_tradnl" w:eastAsia="en-US"/>
        </w:rPr>
        <w:t xml:space="preserve"> solicitudes de acceso a la información pública, </w:t>
      </w:r>
      <w:r w:rsidRPr="003E5C0B">
        <w:rPr>
          <w:rFonts w:eastAsia="Calibri" w:cs="Tahoma"/>
          <w:color w:val="000000"/>
          <w:lang w:eastAsia="en-US"/>
        </w:rPr>
        <w:t>a través del Sistema de Acceso a la Información Mexiquense (SAIMEX), ante</w:t>
      </w:r>
      <w:r w:rsidR="00B66F87" w:rsidRPr="003E5C0B">
        <w:rPr>
          <w:rFonts w:eastAsia="Calibri" w:cs="Tahoma"/>
          <w:color w:val="000000"/>
          <w:lang w:eastAsia="en-US"/>
        </w:rPr>
        <w:t xml:space="preserve"> el</w:t>
      </w:r>
      <w:r w:rsidR="00BF6D3F" w:rsidRPr="003E5C0B">
        <w:t xml:space="preserve"> Ayuntamiento de Huehuetoca</w:t>
      </w:r>
      <w:r w:rsidRPr="003E5C0B">
        <w:rPr>
          <w:rFonts w:eastAsia="Calibri" w:cs="Times New Roman"/>
          <w:b/>
          <w:bCs/>
          <w:color w:val="000000"/>
          <w:lang w:eastAsia="en-US"/>
        </w:rPr>
        <w:t xml:space="preserve">, </w:t>
      </w:r>
      <w:r w:rsidRPr="003E5C0B">
        <w:rPr>
          <w:rFonts w:eastAsia="Calibri" w:cs="Times New Roman"/>
          <w:bCs/>
          <w:color w:val="000000"/>
          <w:lang w:eastAsia="en-US"/>
        </w:rPr>
        <w:t>en los siguientes términos:</w:t>
      </w:r>
    </w:p>
    <w:p w14:paraId="5DEB9ADE" w14:textId="77777777" w:rsidR="00A61F3B" w:rsidRPr="003E5C0B" w:rsidRDefault="00A61F3B" w:rsidP="00566970">
      <w:pPr>
        <w:tabs>
          <w:tab w:val="left" w:pos="567"/>
        </w:tabs>
        <w:spacing w:after="0" w:line="360" w:lineRule="auto"/>
        <w:rPr>
          <w:rFonts w:eastAsia="Calibri" w:cs="Tahoma"/>
          <w:b/>
          <w:color w:val="000000"/>
          <w:lang w:val="es-ES_tradnl" w:eastAsia="en-US"/>
        </w:rPr>
      </w:pPr>
    </w:p>
    <w:tbl>
      <w:tblPr>
        <w:tblStyle w:val="Tablaconcuadrcula2"/>
        <w:tblW w:w="8926" w:type="dxa"/>
        <w:tblLook w:val="04A0" w:firstRow="1" w:lastRow="0" w:firstColumn="1" w:lastColumn="0" w:noHBand="0" w:noVBand="1"/>
      </w:tblPr>
      <w:tblGrid>
        <w:gridCol w:w="471"/>
        <w:gridCol w:w="2672"/>
        <w:gridCol w:w="5783"/>
      </w:tblGrid>
      <w:tr w:rsidR="00AD3783" w:rsidRPr="003E5C0B" w14:paraId="33669E9D" w14:textId="77777777" w:rsidTr="00A9442A">
        <w:tc>
          <w:tcPr>
            <w:tcW w:w="475" w:type="dxa"/>
            <w:tcBorders>
              <w:top w:val="single" w:sz="4" w:space="0" w:color="auto"/>
              <w:left w:val="single" w:sz="4" w:space="0" w:color="auto"/>
              <w:bottom w:val="single" w:sz="4" w:space="0" w:color="auto"/>
              <w:right w:val="single" w:sz="4" w:space="0" w:color="auto"/>
            </w:tcBorders>
            <w:shd w:val="clear" w:color="auto" w:fill="D0CECE"/>
          </w:tcPr>
          <w:p w14:paraId="32A12565" w14:textId="77777777" w:rsidR="00A61F3B" w:rsidRPr="003E5C0B" w:rsidRDefault="00A61F3B" w:rsidP="00566970">
            <w:pPr>
              <w:tabs>
                <w:tab w:val="left" w:pos="567"/>
              </w:tabs>
              <w:spacing w:line="360" w:lineRule="auto"/>
              <w:ind w:right="-28"/>
              <w:contextualSpacing/>
              <w:rPr>
                <w:rFonts w:cs="Tahoma"/>
                <w:sz w:val="20"/>
                <w:szCs w:val="20"/>
              </w:rPr>
            </w:pPr>
          </w:p>
        </w:tc>
        <w:tc>
          <w:tcPr>
            <w:tcW w:w="2557" w:type="dxa"/>
            <w:tcBorders>
              <w:top w:val="single" w:sz="4" w:space="0" w:color="auto"/>
              <w:left w:val="single" w:sz="4" w:space="0" w:color="auto"/>
              <w:bottom w:val="single" w:sz="4" w:space="0" w:color="auto"/>
              <w:right w:val="single" w:sz="4" w:space="0" w:color="auto"/>
            </w:tcBorders>
            <w:shd w:val="clear" w:color="auto" w:fill="D0CECE"/>
            <w:hideMark/>
          </w:tcPr>
          <w:p w14:paraId="6B2458FF" w14:textId="77777777" w:rsidR="00A61F3B" w:rsidRPr="003E5C0B" w:rsidRDefault="00A61F3B" w:rsidP="00566970">
            <w:pPr>
              <w:tabs>
                <w:tab w:val="left" w:pos="567"/>
              </w:tabs>
              <w:spacing w:line="360" w:lineRule="auto"/>
              <w:ind w:right="-28"/>
              <w:contextualSpacing/>
              <w:jc w:val="both"/>
              <w:rPr>
                <w:rFonts w:ascii="Palatino Linotype" w:hAnsi="Palatino Linotype" w:cs="Tahoma"/>
                <w:b/>
                <w:color w:val="000000"/>
                <w:sz w:val="20"/>
                <w:szCs w:val="20"/>
              </w:rPr>
            </w:pPr>
            <w:r w:rsidRPr="003E5C0B">
              <w:rPr>
                <w:rFonts w:ascii="Palatino Linotype" w:hAnsi="Palatino Linotype" w:cs="Tahoma"/>
                <w:b/>
                <w:color w:val="000000"/>
                <w:sz w:val="20"/>
                <w:szCs w:val="20"/>
              </w:rPr>
              <w:t>FOLIO DE SOLICITUD</w:t>
            </w:r>
          </w:p>
        </w:tc>
        <w:tc>
          <w:tcPr>
            <w:tcW w:w="5894" w:type="dxa"/>
            <w:tcBorders>
              <w:top w:val="single" w:sz="4" w:space="0" w:color="auto"/>
              <w:left w:val="single" w:sz="4" w:space="0" w:color="auto"/>
              <w:bottom w:val="single" w:sz="4" w:space="0" w:color="auto"/>
              <w:right w:val="single" w:sz="4" w:space="0" w:color="auto"/>
            </w:tcBorders>
            <w:shd w:val="clear" w:color="auto" w:fill="D0CECE"/>
            <w:hideMark/>
          </w:tcPr>
          <w:p w14:paraId="6C772F83" w14:textId="77777777" w:rsidR="00A61F3B" w:rsidRPr="003E5C0B" w:rsidRDefault="00A61F3B" w:rsidP="00566970">
            <w:pPr>
              <w:tabs>
                <w:tab w:val="left" w:pos="567"/>
              </w:tabs>
              <w:spacing w:line="360" w:lineRule="auto"/>
              <w:contextualSpacing/>
              <w:jc w:val="both"/>
              <w:rPr>
                <w:rFonts w:ascii="Palatino Linotype" w:hAnsi="Palatino Linotype" w:cs="Tahoma"/>
                <w:b/>
                <w:color w:val="000000"/>
                <w:sz w:val="20"/>
                <w:szCs w:val="20"/>
              </w:rPr>
            </w:pPr>
            <w:r w:rsidRPr="003E5C0B">
              <w:rPr>
                <w:rFonts w:ascii="Palatino Linotype" w:hAnsi="Palatino Linotype" w:cs="Tahoma"/>
                <w:b/>
                <w:color w:val="000000"/>
                <w:sz w:val="20"/>
                <w:szCs w:val="20"/>
              </w:rPr>
              <w:t>DESCRIPCIÓN CLARA Y PRECISA DE LA INFORMACIÓN SOLICITADA</w:t>
            </w:r>
          </w:p>
        </w:tc>
      </w:tr>
      <w:tr w:rsidR="00A61F3B" w:rsidRPr="003E5C0B" w14:paraId="4A1EF769" w14:textId="77777777" w:rsidTr="00A9442A">
        <w:tc>
          <w:tcPr>
            <w:tcW w:w="475" w:type="dxa"/>
            <w:tcBorders>
              <w:top w:val="single" w:sz="4" w:space="0" w:color="auto"/>
              <w:left w:val="single" w:sz="4" w:space="0" w:color="auto"/>
              <w:bottom w:val="single" w:sz="4" w:space="0" w:color="auto"/>
              <w:right w:val="single" w:sz="4" w:space="0" w:color="auto"/>
            </w:tcBorders>
            <w:hideMark/>
          </w:tcPr>
          <w:p w14:paraId="02DFC7C7" w14:textId="77777777" w:rsidR="00A61F3B" w:rsidRPr="003E5C0B" w:rsidRDefault="00A61F3B" w:rsidP="00566970">
            <w:pPr>
              <w:tabs>
                <w:tab w:val="left" w:pos="567"/>
              </w:tabs>
              <w:spacing w:line="360" w:lineRule="auto"/>
              <w:ind w:right="-28"/>
              <w:contextualSpacing/>
              <w:rPr>
                <w:rFonts w:cs="Tahoma"/>
                <w:color w:val="000000"/>
                <w:sz w:val="20"/>
                <w:szCs w:val="20"/>
              </w:rPr>
            </w:pPr>
            <w:r w:rsidRPr="003E5C0B">
              <w:rPr>
                <w:rFonts w:cs="Tahoma"/>
                <w:color w:val="000000"/>
                <w:sz w:val="20"/>
                <w:szCs w:val="20"/>
              </w:rPr>
              <w:t>1</w:t>
            </w:r>
          </w:p>
        </w:tc>
        <w:tc>
          <w:tcPr>
            <w:tcW w:w="2557" w:type="dxa"/>
            <w:tcBorders>
              <w:top w:val="single" w:sz="4" w:space="0" w:color="auto"/>
              <w:left w:val="single" w:sz="4" w:space="0" w:color="auto"/>
              <w:bottom w:val="single" w:sz="4" w:space="0" w:color="auto"/>
              <w:right w:val="single" w:sz="4" w:space="0" w:color="auto"/>
            </w:tcBorders>
          </w:tcPr>
          <w:p w14:paraId="5DFFCF7E" w14:textId="01290EA3" w:rsidR="00E419BC" w:rsidRPr="003E5C0B" w:rsidRDefault="00085494" w:rsidP="00566970">
            <w:pPr>
              <w:tabs>
                <w:tab w:val="left" w:pos="567"/>
              </w:tabs>
              <w:spacing w:line="360" w:lineRule="auto"/>
              <w:ind w:right="-28"/>
              <w:contextualSpacing/>
              <w:jc w:val="both"/>
              <w:rPr>
                <w:rFonts w:ascii="Palatino Linotype" w:hAnsi="Palatino Linotype" w:cs="Tahoma"/>
                <w:b/>
                <w:bCs/>
                <w:i/>
                <w:iCs/>
                <w:color w:val="000000"/>
                <w:sz w:val="20"/>
                <w:szCs w:val="20"/>
              </w:rPr>
            </w:pPr>
            <w:r w:rsidRPr="003E5C0B">
              <w:rPr>
                <w:rFonts w:ascii="Palatino Linotype" w:hAnsi="Palatino Linotype" w:cs="Tahoma"/>
                <w:b/>
                <w:bCs/>
                <w:i/>
                <w:iCs/>
                <w:color w:val="0D0D0D"/>
                <w:sz w:val="20"/>
                <w:szCs w:val="20"/>
              </w:rPr>
              <w:t>00313/HUEHUETO/IP/2024</w:t>
            </w:r>
          </w:p>
        </w:tc>
        <w:tc>
          <w:tcPr>
            <w:tcW w:w="5894" w:type="dxa"/>
            <w:tcBorders>
              <w:top w:val="single" w:sz="4" w:space="0" w:color="auto"/>
              <w:left w:val="single" w:sz="4" w:space="0" w:color="auto"/>
              <w:bottom w:val="single" w:sz="4" w:space="0" w:color="auto"/>
              <w:right w:val="single" w:sz="4" w:space="0" w:color="auto"/>
            </w:tcBorders>
          </w:tcPr>
          <w:p w14:paraId="39C80971" w14:textId="181E2207" w:rsidR="00A61F3B" w:rsidRPr="003E5C0B" w:rsidRDefault="00085494" w:rsidP="00566970">
            <w:pPr>
              <w:tabs>
                <w:tab w:val="left" w:pos="567"/>
              </w:tabs>
              <w:spacing w:line="360" w:lineRule="auto"/>
              <w:contextualSpacing/>
              <w:jc w:val="both"/>
              <w:rPr>
                <w:rFonts w:ascii="Palatino Linotype" w:hAnsi="Palatino Linotype" w:cs="Tahoma"/>
                <w:i/>
                <w:iCs/>
                <w:color w:val="000000"/>
                <w:sz w:val="20"/>
                <w:szCs w:val="20"/>
              </w:rPr>
            </w:pPr>
            <w:r w:rsidRPr="003E5C0B">
              <w:rPr>
                <w:rFonts w:ascii="Palatino Linotype" w:hAnsi="Palatino Linotype" w:cs="Tahoma"/>
                <w:i/>
                <w:iCs/>
                <w:color w:val="000000"/>
                <w:sz w:val="20"/>
                <w:szCs w:val="20"/>
                <w:lang w:val="es-MX"/>
              </w:rPr>
              <w:t xml:space="preserve">Solicito los recibos de </w:t>
            </w:r>
            <w:proofErr w:type="spellStart"/>
            <w:r w:rsidRPr="003E5C0B">
              <w:rPr>
                <w:rFonts w:ascii="Palatino Linotype" w:hAnsi="Palatino Linotype" w:cs="Tahoma"/>
                <w:i/>
                <w:iCs/>
                <w:color w:val="000000"/>
                <w:sz w:val="20"/>
                <w:szCs w:val="20"/>
                <w:lang w:val="es-MX"/>
              </w:rPr>
              <w:t>nomina</w:t>
            </w:r>
            <w:proofErr w:type="spellEnd"/>
            <w:r w:rsidRPr="003E5C0B">
              <w:rPr>
                <w:rFonts w:ascii="Palatino Linotype" w:hAnsi="Palatino Linotype" w:cs="Tahoma"/>
                <w:i/>
                <w:iCs/>
                <w:color w:val="000000"/>
                <w:sz w:val="20"/>
                <w:szCs w:val="20"/>
                <w:lang w:val="es-MX"/>
              </w:rPr>
              <w:t xml:space="preserve"> del 30 de julio del 2024 del Ayuntamiento de Huehuetoca</w:t>
            </w:r>
            <w:r w:rsidR="00E841C1" w:rsidRPr="003E5C0B">
              <w:rPr>
                <w:rFonts w:ascii="Palatino Linotype" w:hAnsi="Palatino Linotype" w:cs="Tahoma"/>
                <w:i/>
                <w:iCs/>
                <w:color w:val="000000"/>
                <w:sz w:val="20"/>
                <w:szCs w:val="20"/>
                <w:lang w:val="es-MX"/>
              </w:rPr>
              <w:t>” (Sic)</w:t>
            </w:r>
          </w:p>
        </w:tc>
      </w:tr>
      <w:tr w:rsidR="00A9442A" w:rsidRPr="003E5C0B" w14:paraId="55082BFB" w14:textId="77777777" w:rsidTr="00A9442A">
        <w:tc>
          <w:tcPr>
            <w:tcW w:w="475" w:type="dxa"/>
            <w:tcBorders>
              <w:top w:val="single" w:sz="4" w:space="0" w:color="auto"/>
              <w:left w:val="single" w:sz="4" w:space="0" w:color="auto"/>
              <w:bottom w:val="single" w:sz="4" w:space="0" w:color="auto"/>
              <w:right w:val="single" w:sz="4" w:space="0" w:color="auto"/>
            </w:tcBorders>
          </w:tcPr>
          <w:p w14:paraId="2D0C4AFD" w14:textId="37EFE26C" w:rsidR="00A9442A" w:rsidRPr="003E5C0B" w:rsidRDefault="00A9442A" w:rsidP="00566970">
            <w:pPr>
              <w:tabs>
                <w:tab w:val="left" w:pos="567"/>
              </w:tabs>
              <w:spacing w:line="360" w:lineRule="auto"/>
              <w:ind w:right="-28"/>
              <w:contextualSpacing/>
              <w:rPr>
                <w:rFonts w:cs="Tahoma"/>
                <w:color w:val="000000"/>
                <w:sz w:val="20"/>
                <w:szCs w:val="20"/>
              </w:rPr>
            </w:pPr>
            <w:r w:rsidRPr="003E5C0B">
              <w:rPr>
                <w:rFonts w:cs="Tahoma"/>
                <w:color w:val="000000"/>
                <w:sz w:val="20"/>
                <w:szCs w:val="20"/>
              </w:rPr>
              <w:lastRenderedPageBreak/>
              <w:t>2</w:t>
            </w:r>
          </w:p>
        </w:tc>
        <w:tc>
          <w:tcPr>
            <w:tcW w:w="2557" w:type="dxa"/>
            <w:tcBorders>
              <w:top w:val="single" w:sz="4" w:space="0" w:color="auto"/>
              <w:left w:val="single" w:sz="4" w:space="0" w:color="auto"/>
              <w:bottom w:val="single" w:sz="4" w:space="0" w:color="auto"/>
              <w:right w:val="single" w:sz="4" w:space="0" w:color="auto"/>
            </w:tcBorders>
          </w:tcPr>
          <w:p w14:paraId="4BA5A214" w14:textId="2D46F90B" w:rsidR="00E419BC" w:rsidRPr="003E5C0B" w:rsidRDefault="00085494" w:rsidP="00566970">
            <w:pPr>
              <w:tabs>
                <w:tab w:val="left" w:pos="567"/>
              </w:tabs>
              <w:spacing w:line="360" w:lineRule="auto"/>
              <w:ind w:right="-28"/>
              <w:contextualSpacing/>
              <w:rPr>
                <w:rFonts w:cs="Tahoma"/>
                <w:b/>
                <w:bCs/>
                <w:i/>
                <w:iCs/>
                <w:color w:val="0D0D0D"/>
                <w:sz w:val="20"/>
                <w:szCs w:val="20"/>
              </w:rPr>
            </w:pPr>
            <w:r w:rsidRPr="003E5C0B">
              <w:rPr>
                <w:rFonts w:ascii="Palatino Linotype" w:hAnsi="Palatino Linotype" w:cs="Tahoma"/>
                <w:b/>
                <w:bCs/>
                <w:i/>
                <w:iCs/>
                <w:color w:val="0D0D0D"/>
                <w:sz w:val="20"/>
                <w:szCs w:val="20"/>
              </w:rPr>
              <w:t>00310/HUEHUETO/IP/2024</w:t>
            </w:r>
          </w:p>
        </w:tc>
        <w:tc>
          <w:tcPr>
            <w:tcW w:w="5894" w:type="dxa"/>
            <w:tcBorders>
              <w:top w:val="single" w:sz="4" w:space="0" w:color="auto"/>
              <w:left w:val="single" w:sz="4" w:space="0" w:color="auto"/>
              <w:bottom w:val="single" w:sz="4" w:space="0" w:color="auto"/>
              <w:right w:val="single" w:sz="4" w:space="0" w:color="auto"/>
            </w:tcBorders>
          </w:tcPr>
          <w:p w14:paraId="2C47AEC3" w14:textId="53750425" w:rsidR="00A9442A" w:rsidRPr="003E5C0B" w:rsidRDefault="00D2153D" w:rsidP="00566970">
            <w:pPr>
              <w:tabs>
                <w:tab w:val="left" w:pos="567"/>
              </w:tabs>
              <w:spacing w:line="360" w:lineRule="auto"/>
              <w:contextualSpacing/>
              <w:jc w:val="both"/>
              <w:rPr>
                <w:i/>
                <w:iCs/>
                <w:color w:val="000000"/>
                <w:sz w:val="20"/>
                <w:szCs w:val="20"/>
              </w:rPr>
            </w:pPr>
            <w:r w:rsidRPr="003E5C0B">
              <w:rPr>
                <w:rFonts w:ascii="Palatino Linotype" w:hAnsi="Palatino Linotype" w:cs="Tahoma"/>
                <w:i/>
                <w:iCs/>
                <w:color w:val="000000"/>
                <w:sz w:val="20"/>
                <w:szCs w:val="20"/>
                <w:lang w:val="es-MX"/>
              </w:rPr>
              <w:t xml:space="preserve">Solicito la </w:t>
            </w:r>
            <w:proofErr w:type="spellStart"/>
            <w:r w:rsidRPr="003E5C0B">
              <w:rPr>
                <w:rFonts w:ascii="Palatino Linotype" w:hAnsi="Palatino Linotype" w:cs="Tahoma"/>
                <w:i/>
                <w:iCs/>
                <w:color w:val="000000"/>
                <w:sz w:val="20"/>
                <w:szCs w:val="20"/>
                <w:lang w:val="es-MX"/>
              </w:rPr>
              <w:t>nomina</w:t>
            </w:r>
            <w:proofErr w:type="spellEnd"/>
            <w:r w:rsidRPr="003E5C0B">
              <w:rPr>
                <w:rFonts w:ascii="Palatino Linotype" w:hAnsi="Palatino Linotype" w:cs="Tahoma"/>
                <w:i/>
                <w:iCs/>
                <w:color w:val="000000"/>
                <w:sz w:val="20"/>
                <w:szCs w:val="20"/>
                <w:lang w:val="es-MX"/>
              </w:rPr>
              <w:t xml:space="preserve"> del 30 de julio del 2024, especificando si son de confianza, sindicalizados, honorarios</w:t>
            </w:r>
            <w:r w:rsidR="00BF0BED" w:rsidRPr="003E5C0B">
              <w:rPr>
                <w:rFonts w:ascii="Palatino Linotype" w:hAnsi="Palatino Linotype" w:cs="Tahoma"/>
                <w:i/>
                <w:iCs/>
                <w:color w:val="000000"/>
                <w:sz w:val="20"/>
                <w:szCs w:val="20"/>
                <w:lang w:val="es-MX"/>
              </w:rPr>
              <w:t>...</w:t>
            </w:r>
            <w:r w:rsidRPr="003E5C0B">
              <w:rPr>
                <w:rFonts w:ascii="Palatino Linotype" w:hAnsi="Palatino Linotype" w:cs="Tahoma"/>
                <w:i/>
                <w:iCs/>
                <w:color w:val="000000"/>
                <w:sz w:val="20"/>
                <w:szCs w:val="20"/>
                <w:lang w:val="es-MX"/>
              </w:rPr>
              <w:t xml:space="preserve"> etc. del Ayuntamiento de Huehuetoca</w:t>
            </w:r>
            <w:r w:rsidR="00E841C1" w:rsidRPr="003E5C0B">
              <w:rPr>
                <w:rFonts w:ascii="Palatino Linotype" w:hAnsi="Palatino Linotype" w:cs="Tahoma"/>
                <w:i/>
                <w:iCs/>
                <w:color w:val="000000"/>
                <w:sz w:val="20"/>
                <w:szCs w:val="20"/>
                <w:lang w:val="es-MX"/>
              </w:rPr>
              <w:t>” (Sic)</w:t>
            </w:r>
          </w:p>
        </w:tc>
      </w:tr>
    </w:tbl>
    <w:p w14:paraId="4E29F074" w14:textId="710ACC11" w:rsidR="00A61F3B" w:rsidRPr="003E5C0B" w:rsidRDefault="00A61F3B" w:rsidP="00566970">
      <w:pPr>
        <w:tabs>
          <w:tab w:val="left" w:pos="4667"/>
        </w:tabs>
        <w:spacing w:after="0" w:line="360" w:lineRule="auto"/>
        <w:rPr>
          <w:rFonts w:eastAsia="Calibri" w:cs="Tahoma"/>
          <w:bCs/>
          <w:i/>
          <w:color w:val="000000"/>
          <w:lang w:eastAsia="en-US"/>
        </w:rPr>
      </w:pPr>
      <w:r w:rsidRPr="003E5C0B">
        <w:rPr>
          <w:rFonts w:eastAsia="Calibri" w:cs="Tahoma"/>
          <w:bCs/>
          <w:iCs/>
          <w:color w:val="000000"/>
          <w:lang w:eastAsia="en-US"/>
        </w:rPr>
        <w:t xml:space="preserve">Es de señalar que en las </w:t>
      </w:r>
      <w:r w:rsidR="00B66F87" w:rsidRPr="003E5C0B">
        <w:rPr>
          <w:rFonts w:eastAsia="Calibri" w:cs="Tahoma"/>
          <w:bCs/>
          <w:iCs/>
          <w:color w:val="000000"/>
          <w:lang w:eastAsia="en-US"/>
        </w:rPr>
        <w:t xml:space="preserve">dos </w:t>
      </w:r>
      <w:r w:rsidRPr="003E5C0B">
        <w:rPr>
          <w:rFonts w:eastAsia="Calibri" w:cs="Tahoma"/>
          <w:bCs/>
          <w:iCs/>
          <w:color w:val="000000"/>
          <w:lang w:eastAsia="en-US"/>
        </w:rPr>
        <w:t xml:space="preserve">solicitudes de acceso a la información el ahora Recurrente eligió como modalidad de entrega de la información </w:t>
      </w:r>
      <w:r w:rsidRPr="003E5C0B">
        <w:rPr>
          <w:rFonts w:eastAsia="Calibri" w:cs="Tahoma"/>
          <w:bCs/>
          <w:i/>
          <w:color w:val="000000"/>
          <w:lang w:eastAsia="en-US"/>
        </w:rPr>
        <w:t>“A través del SAIMEX”.</w:t>
      </w:r>
    </w:p>
    <w:p w14:paraId="5A8865C3" w14:textId="77777777" w:rsidR="00A61F3B" w:rsidRPr="003E5C0B" w:rsidRDefault="00A61F3B" w:rsidP="00566970">
      <w:pPr>
        <w:spacing w:after="0" w:line="360" w:lineRule="auto"/>
        <w:rPr>
          <w:rFonts w:eastAsia="Calibri" w:cs="Tahoma"/>
          <w:b/>
          <w:bCs/>
          <w:color w:val="000000"/>
          <w:lang w:eastAsia="en-US"/>
        </w:rPr>
      </w:pPr>
    </w:p>
    <w:p w14:paraId="3DB4DE0E" w14:textId="77777777" w:rsidR="00A61F3B" w:rsidRPr="003E5C0B" w:rsidRDefault="00A61F3B" w:rsidP="00566970">
      <w:pPr>
        <w:spacing w:after="0" w:line="360" w:lineRule="auto"/>
        <w:rPr>
          <w:rFonts w:eastAsia="Calibri" w:cs="Tahoma"/>
          <w:b/>
          <w:bCs/>
          <w:color w:val="000000"/>
          <w:lang w:eastAsia="en-US"/>
        </w:rPr>
      </w:pPr>
      <w:r w:rsidRPr="003E5C0B">
        <w:rPr>
          <w:rFonts w:eastAsia="Calibri" w:cs="Tahoma"/>
          <w:b/>
          <w:bCs/>
          <w:color w:val="000000"/>
          <w:lang w:eastAsia="en-US"/>
        </w:rPr>
        <w:t xml:space="preserve">II. </w:t>
      </w:r>
      <w:r w:rsidRPr="003E5C0B">
        <w:rPr>
          <w:rFonts w:eastAsia="Calibri" w:cs="Tahoma"/>
          <w:b/>
          <w:color w:val="000000"/>
          <w:lang w:eastAsia="en-US"/>
        </w:rPr>
        <w:t>Respuesta</w:t>
      </w:r>
      <w:r w:rsidRPr="003E5C0B">
        <w:rPr>
          <w:rFonts w:eastAsia="Calibri" w:cs="Tahoma"/>
          <w:b/>
          <w:bCs/>
          <w:color w:val="000000"/>
          <w:lang w:eastAsia="en-US"/>
        </w:rPr>
        <w:t xml:space="preserve"> del Sujeto Obligado</w:t>
      </w:r>
    </w:p>
    <w:p w14:paraId="5EB78E5C" w14:textId="77777777" w:rsidR="00A61F3B" w:rsidRPr="003E5C0B" w:rsidRDefault="00A61F3B" w:rsidP="00566970">
      <w:pPr>
        <w:spacing w:after="0" w:line="360" w:lineRule="auto"/>
        <w:rPr>
          <w:rFonts w:eastAsia="Calibri" w:cs="Tahoma"/>
          <w:b/>
          <w:bCs/>
          <w:color w:val="000000"/>
          <w:lang w:eastAsia="en-US"/>
        </w:rPr>
      </w:pPr>
    </w:p>
    <w:p w14:paraId="42DD4001" w14:textId="307D9A44" w:rsidR="00A61F3B" w:rsidRPr="003E5C0B" w:rsidRDefault="003F51DF" w:rsidP="00566970">
      <w:pPr>
        <w:tabs>
          <w:tab w:val="left" w:pos="4667"/>
        </w:tabs>
        <w:spacing w:after="0" w:line="360" w:lineRule="auto"/>
        <w:rPr>
          <w:rFonts w:eastAsia="Times New Roman" w:cs="Tahoma"/>
          <w:szCs w:val="24"/>
          <w:lang w:val="es-ES" w:eastAsia="es-ES"/>
        </w:rPr>
      </w:pPr>
      <w:r w:rsidRPr="003E5C0B">
        <w:rPr>
          <w:rFonts w:eastAsia="Times New Roman" w:cs="Tahoma"/>
          <w:szCs w:val="24"/>
          <w:lang w:val="es-ES" w:eastAsia="es-ES"/>
        </w:rPr>
        <w:t xml:space="preserve">El </w:t>
      </w:r>
      <w:r w:rsidR="00085494" w:rsidRPr="003E5C0B">
        <w:rPr>
          <w:rFonts w:eastAsia="Times New Roman" w:cs="Tahoma"/>
          <w:szCs w:val="24"/>
          <w:lang w:val="es-ES" w:eastAsia="es-ES"/>
        </w:rPr>
        <w:t>dos de septiembre</w:t>
      </w:r>
      <w:r w:rsidR="00A61F3B" w:rsidRPr="003E5C0B">
        <w:rPr>
          <w:rFonts w:eastAsia="Times New Roman" w:cs="Tahoma"/>
          <w:szCs w:val="24"/>
          <w:lang w:val="es-ES" w:eastAsia="es-ES"/>
        </w:rPr>
        <w:t xml:space="preserve"> de dos mil veinticuatro, el Sujeto Obligado notificó la respuesta a las </w:t>
      </w:r>
      <w:r w:rsidR="00B66F87" w:rsidRPr="003E5C0B">
        <w:rPr>
          <w:rFonts w:eastAsia="Times New Roman" w:cs="Tahoma"/>
          <w:szCs w:val="24"/>
          <w:lang w:val="es-ES" w:eastAsia="es-ES"/>
        </w:rPr>
        <w:t>dos</w:t>
      </w:r>
      <w:r w:rsidR="00A61F3B" w:rsidRPr="003E5C0B">
        <w:rPr>
          <w:rFonts w:eastAsia="Times New Roman" w:cs="Tahoma"/>
          <w:szCs w:val="24"/>
          <w:lang w:val="es-ES" w:eastAsia="es-ES"/>
        </w:rPr>
        <w:t xml:space="preserve"> solicitudes de acceso a la información, a través del Sistema de Acceso a la Información Mexiquense (SAIMEX), </w:t>
      </w:r>
      <w:r w:rsidRPr="003E5C0B">
        <w:rPr>
          <w:rFonts w:eastAsia="Times New Roman" w:cs="Tahoma"/>
          <w:szCs w:val="24"/>
          <w:lang w:val="es-ES" w:eastAsia="es-ES"/>
        </w:rPr>
        <w:t>conforme a lo siguiente</w:t>
      </w:r>
      <w:r w:rsidR="00A61F3B" w:rsidRPr="003E5C0B">
        <w:rPr>
          <w:rFonts w:eastAsia="Times New Roman" w:cs="Tahoma"/>
          <w:szCs w:val="24"/>
          <w:lang w:val="es-ES" w:eastAsia="es-ES"/>
        </w:rPr>
        <w:t>:</w:t>
      </w:r>
    </w:p>
    <w:p w14:paraId="3CED455F" w14:textId="77777777" w:rsidR="00A61F3B" w:rsidRPr="003E5C0B" w:rsidRDefault="00A61F3B" w:rsidP="00566970">
      <w:pPr>
        <w:tabs>
          <w:tab w:val="left" w:pos="4667"/>
        </w:tabs>
        <w:spacing w:after="0" w:line="360" w:lineRule="auto"/>
        <w:rPr>
          <w:rFonts w:eastAsia="Times New Roman" w:cs="Tahoma"/>
          <w:szCs w:val="24"/>
          <w:lang w:val="es-ES" w:eastAsia="es-ES"/>
        </w:rPr>
      </w:pPr>
    </w:p>
    <w:tbl>
      <w:tblPr>
        <w:tblStyle w:val="Tablaconcuadrcula2"/>
        <w:tblW w:w="0" w:type="auto"/>
        <w:tblLook w:val="04A0" w:firstRow="1" w:lastRow="0" w:firstColumn="1" w:lastColumn="0" w:noHBand="0" w:noVBand="1"/>
      </w:tblPr>
      <w:tblGrid>
        <w:gridCol w:w="2672"/>
        <w:gridCol w:w="6156"/>
      </w:tblGrid>
      <w:tr w:rsidR="002D089F" w:rsidRPr="003E5C0B" w14:paraId="1F65BAC2" w14:textId="77777777" w:rsidTr="00085494">
        <w:trPr>
          <w:trHeight w:val="412"/>
        </w:trPr>
        <w:tc>
          <w:tcPr>
            <w:tcW w:w="2547" w:type="dxa"/>
            <w:shd w:val="clear" w:color="auto" w:fill="D9D9D9"/>
          </w:tcPr>
          <w:p w14:paraId="758B33A3" w14:textId="77777777" w:rsidR="00A61F3B" w:rsidRPr="003E5C0B" w:rsidRDefault="00A61F3B" w:rsidP="00566970">
            <w:pPr>
              <w:tabs>
                <w:tab w:val="left" w:pos="4667"/>
              </w:tabs>
              <w:spacing w:line="360" w:lineRule="auto"/>
              <w:rPr>
                <w:rFonts w:ascii="Palatino Linotype" w:eastAsia="Times New Roman" w:hAnsi="Palatino Linotype" w:cs="Tahoma"/>
                <w:b/>
                <w:sz w:val="20"/>
                <w:szCs w:val="24"/>
                <w:lang w:eastAsia="es-ES"/>
              </w:rPr>
            </w:pPr>
            <w:r w:rsidRPr="003E5C0B">
              <w:rPr>
                <w:rFonts w:ascii="Palatino Linotype" w:eastAsia="Times New Roman" w:hAnsi="Palatino Linotype" w:cs="Tahoma"/>
                <w:b/>
                <w:sz w:val="20"/>
                <w:szCs w:val="24"/>
                <w:lang w:eastAsia="es-ES"/>
              </w:rPr>
              <w:t xml:space="preserve">FOLIO DE SOLICITUD </w:t>
            </w:r>
          </w:p>
        </w:tc>
        <w:tc>
          <w:tcPr>
            <w:tcW w:w="6374" w:type="dxa"/>
            <w:shd w:val="clear" w:color="auto" w:fill="D9D9D9"/>
          </w:tcPr>
          <w:p w14:paraId="7848E428" w14:textId="77777777" w:rsidR="00A61F3B" w:rsidRPr="003E5C0B" w:rsidRDefault="00A61F3B" w:rsidP="00566970">
            <w:pPr>
              <w:tabs>
                <w:tab w:val="left" w:pos="4667"/>
              </w:tabs>
              <w:spacing w:line="360" w:lineRule="auto"/>
              <w:jc w:val="center"/>
              <w:rPr>
                <w:rFonts w:ascii="Palatino Linotype" w:eastAsia="Times New Roman" w:hAnsi="Palatino Linotype" w:cs="Tahoma"/>
                <w:b/>
                <w:sz w:val="20"/>
                <w:szCs w:val="24"/>
                <w:lang w:eastAsia="es-ES"/>
              </w:rPr>
            </w:pPr>
            <w:r w:rsidRPr="003E5C0B">
              <w:rPr>
                <w:rFonts w:ascii="Palatino Linotype" w:eastAsia="Times New Roman" w:hAnsi="Palatino Linotype" w:cs="Tahoma"/>
                <w:b/>
                <w:sz w:val="20"/>
                <w:szCs w:val="24"/>
                <w:lang w:eastAsia="es-ES"/>
              </w:rPr>
              <w:t>RESPUESTA</w:t>
            </w:r>
          </w:p>
        </w:tc>
      </w:tr>
      <w:tr w:rsidR="002D089F" w:rsidRPr="003E5C0B" w14:paraId="33F7525C" w14:textId="77777777" w:rsidTr="00085494">
        <w:trPr>
          <w:trHeight w:val="307"/>
        </w:trPr>
        <w:tc>
          <w:tcPr>
            <w:tcW w:w="2547" w:type="dxa"/>
          </w:tcPr>
          <w:p w14:paraId="1CBA716E" w14:textId="3CCF18C1" w:rsidR="0027286B" w:rsidRPr="003E5C0B" w:rsidRDefault="00085494" w:rsidP="00566970">
            <w:pPr>
              <w:tabs>
                <w:tab w:val="left" w:pos="567"/>
              </w:tabs>
              <w:spacing w:line="360" w:lineRule="auto"/>
              <w:ind w:right="-28"/>
              <w:contextualSpacing/>
              <w:rPr>
                <w:rFonts w:ascii="Palatino Linotype" w:hAnsi="Palatino Linotype" w:cs="Tahoma"/>
                <w:b/>
                <w:bCs/>
                <w:color w:val="0D0D0D"/>
                <w:sz w:val="20"/>
                <w:szCs w:val="20"/>
              </w:rPr>
            </w:pPr>
            <w:r w:rsidRPr="003E5C0B">
              <w:rPr>
                <w:rFonts w:ascii="Palatino Linotype" w:hAnsi="Palatino Linotype" w:cs="Tahoma"/>
                <w:b/>
                <w:bCs/>
                <w:i/>
                <w:iCs/>
                <w:color w:val="0D0D0D"/>
                <w:sz w:val="20"/>
                <w:szCs w:val="20"/>
              </w:rPr>
              <w:t>00313/HUEHUETO/IP/2024</w:t>
            </w:r>
          </w:p>
        </w:tc>
        <w:tc>
          <w:tcPr>
            <w:tcW w:w="6374" w:type="dxa"/>
          </w:tcPr>
          <w:p w14:paraId="2A26815A" w14:textId="1D3B6ADD" w:rsidR="00085494" w:rsidRPr="003E5C0B" w:rsidRDefault="00AF59EF" w:rsidP="00566970">
            <w:pPr>
              <w:tabs>
                <w:tab w:val="left" w:pos="4667"/>
              </w:tabs>
              <w:spacing w:line="360" w:lineRule="auto"/>
              <w:contextualSpacing/>
              <w:jc w:val="both"/>
              <w:rPr>
                <w:rFonts w:ascii="Palatino Linotype" w:eastAsia="Times New Roman" w:hAnsi="Palatino Linotype" w:cs="Tahoma"/>
                <w:sz w:val="20"/>
                <w:szCs w:val="20"/>
                <w:lang w:eastAsia="es-ES"/>
              </w:rPr>
            </w:pPr>
            <w:r w:rsidRPr="003E5C0B">
              <w:rPr>
                <w:rFonts w:ascii="Palatino Linotype" w:eastAsia="Times New Roman" w:hAnsi="Palatino Linotype" w:cs="Tahoma"/>
                <w:sz w:val="20"/>
                <w:szCs w:val="20"/>
                <w:lang w:eastAsia="es-ES"/>
              </w:rPr>
              <w:t xml:space="preserve">i. </w:t>
            </w:r>
            <w:r w:rsidR="00113693" w:rsidRPr="003E5C0B">
              <w:rPr>
                <w:rFonts w:ascii="Palatino Linotype" w:eastAsia="Times New Roman" w:hAnsi="Palatino Linotype" w:cs="Tahoma"/>
                <w:sz w:val="20"/>
                <w:szCs w:val="20"/>
                <w:lang w:eastAsia="es-ES"/>
              </w:rPr>
              <w:t xml:space="preserve">Oficio número </w:t>
            </w:r>
            <w:r w:rsidR="00085494" w:rsidRPr="003E5C0B">
              <w:rPr>
                <w:rFonts w:ascii="Palatino Linotype" w:eastAsia="Times New Roman" w:hAnsi="Palatino Linotype" w:cs="Tahoma"/>
                <w:sz w:val="20"/>
                <w:szCs w:val="20"/>
                <w:lang w:eastAsia="es-ES"/>
              </w:rPr>
              <w:t xml:space="preserve">PMH/TM08-651/2024, del veintiocho de agosto de dos mil veinticuatro, suscrito por la Tesorera Municipal y dirigido al Titular de la Unidad de Transparencia, por medio del cual mencionó lo siguiente: </w:t>
            </w:r>
          </w:p>
          <w:p w14:paraId="308EDC90" w14:textId="77777777" w:rsidR="00085494" w:rsidRPr="003E5C0B" w:rsidRDefault="00085494" w:rsidP="00566970">
            <w:pPr>
              <w:tabs>
                <w:tab w:val="left" w:pos="4667"/>
              </w:tabs>
              <w:spacing w:line="360" w:lineRule="auto"/>
              <w:contextualSpacing/>
              <w:jc w:val="both"/>
              <w:rPr>
                <w:rFonts w:ascii="Palatino Linotype" w:eastAsia="Times New Roman" w:hAnsi="Palatino Linotype" w:cs="Tahoma"/>
                <w:sz w:val="20"/>
                <w:szCs w:val="20"/>
                <w:lang w:eastAsia="es-ES"/>
              </w:rPr>
            </w:pPr>
          </w:p>
          <w:p w14:paraId="4D1DF742" w14:textId="312B8166" w:rsidR="00085494" w:rsidRPr="003E5C0B" w:rsidRDefault="00085494" w:rsidP="00566970">
            <w:pPr>
              <w:tabs>
                <w:tab w:val="left" w:pos="4667"/>
              </w:tabs>
              <w:spacing w:line="360" w:lineRule="auto"/>
              <w:contextualSpacing/>
              <w:jc w:val="both"/>
              <w:rPr>
                <w:rFonts w:ascii="Palatino Linotype" w:eastAsia="Times New Roman" w:hAnsi="Palatino Linotype" w:cs="Tahoma"/>
                <w:i/>
                <w:iCs/>
                <w:sz w:val="20"/>
                <w:szCs w:val="20"/>
                <w:lang w:eastAsia="es-ES"/>
              </w:rPr>
            </w:pPr>
            <w:r w:rsidRPr="003E5C0B">
              <w:rPr>
                <w:rFonts w:ascii="Palatino Linotype" w:eastAsia="Times New Roman" w:hAnsi="Palatino Linotype" w:cs="Tahoma"/>
                <w:i/>
                <w:iCs/>
                <w:sz w:val="20"/>
                <w:szCs w:val="20"/>
                <w:lang w:eastAsia="es-ES"/>
              </w:rPr>
              <w:t>“…me permito adjuntar al presente en formato PDF recibos de nómina de la segunda quincena de julio 2024.</w:t>
            </w:r>
          </w:p>
          <w:p w14:paraId="0BEAD185" w14:textId="77777777" w:rsidR="002F4A8E" w:rsidRPr="003E5C0B" w:rsidRDefault="00085494" w:rsidP="00566970">
            <w:pPr>
              <w:tabs>
                <w:tab w:val="left" w:pos="4667"/>
              </w:tabs>
              <w:spacing w:line="360" w:lineRule="auto"/>
              <w:contextualSpacing/>
              <w:jc w:val="both"/>
              <w:rPr>
                <w:rFonts w:ascii="Palatino Linotype" w:eastAsia="Times New Roman" w:hAnsi="Palatino Linotype" w:cs="Tahoma"/>
                <w:i/>
                <w:iCs/>
                <w:sz w:val="20"/>
                <w:szCs w:val="20"/>
                <w:lang w:eastAsia="es-ES"/>
              </w:rPr>
            </w:pPr>
            <w:r w:rsidRPr="003E5C0B">
              <w:rPr>
                <w:rFonts w:ascii="Palatino Linotype" w:eastAsia="Times New Roman" w:hAnsi="Palatino Linotype" w:cs="Tahoma"/>
                <w:i/>
                <w:iCs/>
                <w:sz w:val="20"/>
                <w:szCs w:val="20"/>
                <w:lang w:eastAsia="es-ES"/>
              </w:rPr>
              <w:t>…”</w:t>
            </w:r>
          </w:p>
          <w:p w14:paraId="733DE2EF" w14:textId="77777777" w:rsidR="00464B42" w:rsidRPr="003E5C0B" w:rsidRDefault="00464B42" w:rsidP="00566970">
            <w:pPr>
              <w:tabs>
                <w:tab w:val="left" w:pos="4667"/>
              </w:tabs>
              <w:spacing w:line="360" w:lineRule="auto"/>
              <w:contextualSpacing/>
              <w:jc w:val="both"/>
              <w:rPr>
                <w:rFonts w:ascii="Palatino Linotype" w:eastAsia="Times New Roman" w:hAnsi="Palatino Linotype" w:cs="Tahoma"/>
                <w:i/>
                <w:iCs/>
                <w:sz w:val="20"/>
                <w:szCs w:val="20"/>
                <w:lang w:eastAsia="es-ES"/>
              </w:rPr>
            </w:pPr>
          </w:p>
          <w:p w14:paraId="49FE184E" w14:textId="5C496658" w:rsidR="00464B42" w:rsidRPr="003E5C0B" w:rsidRDefault="00464B42" w:rsidP="00566970">
            <w:pPr>
              <w:tabs>
                <w:tab w:val="left" w:pos="4667"/>
              </w:tabs>
              <w:spacing w:line="360" w:lineRule="auto"/>
              <w:contextualSpacing/>
              <w:jc w:val="both"/>
              <w:rPr>
                <w:rFonts w:ascii="Palatino Linotype" w:eastAsia="Times New Roman" w:hAnsi="Palatino Linotype" w:cs="Tahoma"/>
                <w:sz w:val="20"/>
                <w:szCs w:val="20"/>
                <w:lang w:eastAsia="es-ES"/>
              </w:rPr>
            </w:pPr>
            <w:r w:rsidRPr="003E5C0B">
              <w:rPr>
                <w:rFonts w:ascii="Palatino Linotype" w:eastAsia="Times New Roman" w:hAnsi="Palatino Linotype" w:cs="Tahoma"/>
                <w:sz w:val="20"/>
                <w:szCs w:val="20"/>
                <w:lang w:eastAsia="es-ES"/>
              </w:rPr>
              <w:t>ii. Seiscientos noventa y uno recibos de nómina de la segunda quincena de julio de dos mil veinticuatro, en versión pública.</w:t>
            </w:r>
          </w:p>
        </w:tc>
      </w:tr>
      <w:tr w:rsidR="0043329F" w:rsidRPr="003E5C0B" w14:paraId="563D4AB5" w14:textId="77777777" w:rsidTr="00085494">
        <w:trPr>
          <w:trHeight w:val="307"/>
        </w:trPr>
        <w:tc>
          <w:tcPr>
            <w:tcW w:w="2547" w:type="dxa"/>
          </w:tcPr>
          <w:p w14:paraId="12DB8260" w14:textId="62871239" w:rsidR="00E70C17" w:rsidRPr="003E5C0B" w:rsidRDefault="00085494" w:rsidP="00566970">
            <w:pPr>
              <w:tabs>
                <w:tab w:val="left" w:pos="567"/>
              </w:tabs>
              <w:spacing w:line="360" w:lineRule="auto"/>
              <w:ind w:right="-28"/>
              <w:contextualSpacing/>
              <w:rPr>
                <w:rFonts w:cs="Tahoma"/>
                <w:b/>
                <w:bCs/>
                <w:color w:val="0D0D0D"/>
                <w:sz w:val="20"/>
                <w:szCs w:val="20"/>
              </w:rPr>
            </w:pPr>
            <w:r w:rsidRPr="003E5C0B">
              <w:rPr>
                <w:rFonts w:ascii="Palatino Linotype" w:hAnsi="Palatino Linotype" w:cs="Tahoma"/>
                <w:b/>
                <w:bCs/>
                <w:i/>
                <w:iCs/>
                <w:color w:val="0D0D0D"/>
                <w:sz w:val="20"/>
                <w:szCs w:val="20"/>
              </w:rPr>
              <w:t>00310/HUEHUETO/IP/2024</w:t>
            </w:r>
          </w:p>
        </w:tc>
        <w:tc>
          <w:tcPr>
            <w:tcW w:w="6374" w:type="dxa"/>
          </w:tcPr>
          <w:p w14:paraId="1959DD24" w14:textId="061EBC0A" w:rsidR="00D2153D" w:rsidRPr="003E5C0B" w:rsidRDefault="00D2153D" w:rsidP="00566970">
            <w:pPr>
              <w:tabs>
                <w:tab w:val="left" w:pos="4667"/>
              </w:tabs>
              <w:spacing w:line="360" w:lineRule="auto"/>
              <w:contextualSpacing/>
              <w:jc w:val="both"/>
              <w:rPr>
                <w:rFonts w:ascii="Palatino Linotype" w:eastAsia="Times New Roman" w:hAnsi="Palatino Linotype" w:cs="Tahoma"/>
                <w:sz w:val="20"/>
                <w:szCs w:val="20"/>
                <w:lang w:eastAsia="es-ES"/>
              </w:rPr>
            </w:pPr>
            <w:r w:rsidRPr="003E5C0B">
              <w:rPr>
                <w:rFonts w:ascii="Palatino Linotype" w:eastAsia="Times New Roman" w:hAnsi="Palatino Linotype" w:cs="Tahoma"/>
                <w:sz w:val="20"/>
                <w:szCs w:val="20"/>
                <w:lang w:eastAsia="es-ES"/>
              </w:rPr>
              <w:t xml:space="preserve">i. Oficio número PMH/TM08-649/2024, del veintisiete de agosto de dos mil veinticuatro, suscrito por la Tesorera Municipal y dirigido </w:t>
            </w:r>
            <w:r w:rsidRPr="003E5C0B">
              <w:rPr>
                <w:rFonts w:ascii="Palatino Linotype" w:eastAsia="Times New Roman" w:hAnsi="Palatino Linotype" w:cs="Tahoma"/>
                <w:sz w:val="20"/>
                <w:szCs w:val="20"/>
                <w:lang w:eastAsia="es-ES"/>
              </w:rPr>
              <w:lastRenderedPageBreak/>
              <w:t xml:space="preserve">al Titular de la Unidad de Transparencia, por medio del cual mencionó lo siguiente: </w:t>
            </w:r>
          </w:p>
          <w:p w14:paraId="27855C76" w14:textId="77777777" w:rsidR="00D2153D" w:rsidRPr="003E5C0B" w:rsidRDefault="00D2153D" w:rsidP="00566970">
            <w:pPr>
              <w:tabs>
                <w:tab w:val="left" w:pos="4667"/>
              </w:tabs>
              <w:spacing w:line="360" w:lineRule="auto"/>
              <w:contextualSpacing/>
              <w:jc w:val="both"/>
              <w:rPr>
                <w:rFonts w:ascii="Palatino Linotype" w:eastAsia="Times New Roman" w:hAnsi="Palatino Linotype" w:cs="Tahoma"/>
                <w:sz w:val="20"/>
                <w:szCs w:val="20"/>
                <w:lang w:eastAsia="es-ES"/>
              </w:rPr>
            </w:pPr>
          </w:p>
          <w:p w14:paraId="59C0443B" w14:textId="632D2828" w:rsidR="00D2153D" w:rsidRPr="003E5C0B" w:rsidRDefault="00D2153D" w:rsidP="00566970">
            <w:pPr>
              <w:tabs>
                <w:tab w:val="left" w:pos="4667"/>
              </w:tabs>
              <w:spacing w:line="360" w:lineRule="auto"/>
              <w:contextualSpacing/>
              <w:jc w:val="both"/>
              <w:rPr>
                <w:rFonts w:ascii="Palatino Linotype" w:eastAsia="Times New Roman" w:hAnsi="Palatino Linotype" w:cs="Tahoma"/>
                <w:i/>
                <w:iCs/>
                <w:sz w:val="20"/>
                <w:szCs w:val="20"/>
                <w:lang w:eastAsia="es-ES"/>
              </w:rPr>
            </w:pPr>
            <w:r w:rsidRPr="003E5C0B">
              <w:rPr>
                <w:rFonts w:ascii="Palatino Linotype" w:eastAsia="Times New Roman" w:hAnsi="Palatino Linotype" w:cs="Tahoma"/>
                <w:i/>
                <w:iCs/>
                <w:sz w:val="20"/>
                <w:szCs w:val="20"/>
                <w:lang w:eastAsia="es-ES"/>
              </w:rPr>
              <w:t xml:space="preserve">“…me permito adjuntar al presente en formato PDF nómina de la segunda quincena de julio del </w:t>
            </w:r>
            <w:proofErr w:type="gramStart"/>
            <w:r w:rsidRPr="003E5C0B">
              <w:rPr>
                <w:rFonts w:ascii="Palatino Linotype" w:eastAsia="Times New Roman" w:hAnsi="Palatino Linotype" w:cs="Tahoma"/>
                <w:i/>
                <w:iCs/>
                <w:sz w:val="20"/>
                <w:szCs w:val="20"/>
                <w:lang w:eastAsia="es-ES"/>
              </w:rPr>
              <w:t>2024.…</w:t>
            </w:r>
            <w:proofErr w:type="gramEnd"/>
            <w:r w:rsidRPr="003E5C0B">
              <w:rPr>
                <w:rFonts w:ascii="Palatino Linotype" w:eastAsia="Times New Roman" w:hAnsi="Palatino Linotype" w:cs="Tahoma"/>
                <w:i/>
                <w:iCs/>
                <w:sz w:val="20"/>
                <w:szCs w:val="20"/>
                <w:lang w:eastAsia="es-ES"/>
              </w:rPr>
              <w:t>”</w:t>
            </w:r>
            <w:bookmarkStart w:id="1" w:name="_GoBack"/>
            <w:bookmarkEnd w:id="1"/>
          </w:p>
          <w:p w14:paraId="0A255BBE" w14:textId="6211F8AE" w:rsidR="00D2153D" w:rsidRPr="003E5C0B" w:rsidRDefault="00D2153D" w:rsidP="00566970">
            <w:pPr>
              <w:tabs>
                <w:tab w:val="left" w:pos="4667"/>
              </w:tabs>
              <w:spacing w:line="360" w:lineRule="auto"/>
              <w:contextualSpacing/>
              <w:jc w:val="both"/>
              <w:rPr>
                <w:rFonts w:ascii="Palatino Linotype" w:eastAsia="Times New Roman" w:hAnsi="Palatino Linotype" w:cs="Tahoma"/>
                <w:sz w:val="20"/>
                <w:szCs w:val="20"/>
                <w:lang w:eastAsia="es-ES"/>
              </w:rPr>
            </w:pPr>
            <w:r w:rsidRPr="003E5C0B">
              <w:rPr>
                <w:rFonts w:ascii="Palatino Linotype" w:eastAsia="Times New Roman" w:hAnsi="Palatino Linotype" w:cs="Tahoma"/>
                <w:sz w:val="20"/>
                <w:szCs w:val="20"/>
                <w:lang w:eastAsia="es-ES"/>
              </w:rPr>
              <w:t>ii. Nómina de la segunda quincena de julio de dos mil veinticuatro que contiene nombre completo, departamento, puesto, sindicalizados, confianza u honorarios y sueldo neto</w:t>
            </w:r>
            <w:r w:rsidR="00464B42" w:rsidRPr="003E5C0B">
              <w:rPr>
                <w:rFonts w:ascii="Palatino Linotype" w:eastAsia="Times New Roman" w:hAnsi="Palatino Linotype" w:cs="Tahoma"/>
                <w:sz w:val="20"/>
                <w:szCs w:val="20"/>
                <w:lang w:eastAsia="es-ES"/>
              </w:rPr>
              <w:t>.</w:t>
            </w:r>
          </w:p>
        </w:tc>
      </w:tr>
    </w:tbl>
    <w:p w14:paraId="3021CD2E" w14:textId="77777777" w:rsidR="00A61F3B" w:rsidRPr="003E5C0B" w:rsidRDefault="00A61F3B" w:rsidP="00566970">
      <w:pPr>
        <w:tabs>
          <w:tab w:val="left" w:pos="4667"/>
        </w:tabs>
        <w:spacing w:after="0" w:line="360" w:lineRule="auto"/>
        <w:rPr>
          <w:rFonts w:eastAsia="Times New Roman" w:cs="Tahoma"/>
          <w:szCs w:val="24"/>
          <w:lang w:val="es-ES" w:eastAsia="es-ES"/>
        </w:rPr>
      </w:pPr>
    </w:p>
    <w:p w14:paraId="1BC9317C" w14:textId="77777777" w:rsidR="00A61F3B" w:rsidRPr="003E5C0B" w:rsidRDefault="00A61F3B" w:rsidP="00566970">
      <w:pPr>
        <w:autoSpaceDE w:val="0"/>
        <w:autoSpaceDN w:val="0"/>
        <w:adjustRightInd w:val="0"/>
        <w:spacing w:after="0" w:line="360" w:lineRule="auto"/>
        <w:rPr>
          <w:rFonts w:eastAsia="Calibri" w:cs="Tahoma"/>
          <w:b/>
          <w:color w:val="000000"/>
          <w:lang w:eastAsia="en-US"/>
        </w:rPr>
      </w:pPr>
      <w:r w:rsidRPr="003E5C0B">
        <w:rPr>
          <w:rFonts w:eastAsia="Calibri" w:cs="Tahoma"/>
          <w:b/>
          <w:color w:val="000000"/>
          <w:lang w:eastAsia="en-US"/>
        </w:rPr>
        <w:t>III. Interposición del Recurso de Revisión</w:t>
      </w:r>
    </w:p>
    <w:p w14:paraId="107C1860" w14:textId="77777777" w:rsidR="00A61F3B" w:rsidRPr="003E5C0B" w:rsidRDefault="00A61F3B" w:rsidP="00566970">
      <w:pPr>
        <w:spacing w:after="0" w:line="360" w:lineRule="auto"/>
        <w:rPr>
          <w:rFonts w:eastAsia="Times New Roman" w:cs="Tahoma"/>
          <w:bCs/>
          <w:lang w:eastAsia="es-ES"/>
        </w:rPr>
      </w:pPr>
    </w:p>
    <w:p w14:paraId="51AC51D7" w14:textId="1EA55AC2" w:rsidR="0027286B" w:rsidRPr="003E5C0B" w:rsidRDefault="005442E3" w:rsidP="00566970">
      <w:pPr>
        <w:widowControl w:val="0"/>
        <w:spacing w:after="0" w:line="360" w:lineRule="auto"/>
        <w:rPr>
          <w:rFonts w:eastAsia="Times New Roman" w:cs="Tahoma"/>
          <w:bCs/>
          <w:lang w:val="es-ES" w:eastAsia="es-ES"/>
        </w:rPr>
      </w:pPr>
      <w:r w:rsidRPr="003E5C0B">
        <w:rPr>
          <w:rFonts w:eastAsia="Times New Roman" w:cs="Tahoma"/>
          <w:bCs/>
          <w:lang w:val="es-ES" w:eastAsia="es-ES"/>
        </w:rPr>
        <w:t xml:space="preserve">El </w:t>
      </w:r>
      <w:r w:rsidR="003B2C1F" w:rsidRPr="003E5C0B">
        <w:rPr>
          <w:rFonts w:eastAsia="Times New Roman" w:cs="Tahoma"/>
          <w:bCs/>
          <w:lang w:val="es-ES" w:eastAsia="es-ES"/>
        </w:rPr>
        <w:t>dieci</w:t>
      </w:r>
      <w:r w:rsidR="00085494" w:rsidRPr="003E5C0B">
        <w:rPr>
          <w:rFonts w:eastAsia="Times New Roman" w:cs="Tahoma"/>
          <w:bCs/>
          <w:lang w:val="es-ES" w:eastAsia="es-ES"/>
        </w:rPr>
        <w:t>nueve de septiembre</w:t>
      </w:r>
      <w:r w:rsidR="00A61F3B" w:rsidRPr="003E5C0B">
        <w:rPr>
          <w:rFonts w:eastAsia="Times New Roman" w:cs="Tahoma"/>
          <w:bCs/>
          <w:lang w:val="es-ES" w:eastAsia="es-ES"/>
        </w:rPr>
        <w:t xml:space="preserve"> de dos mil veinticuatro se recibieron en este Instituto, a través del Sistema de Acceso a la Información Mexiquense (SAIMEX), </w:t>
      </w:r>
      <w:r w:rsidR="003B2C1F" w:rsidRPr="003E5C0B">
        <w:rPr>
          <w:rFonts w:eastAsia="Times New Roman" w:cs="Tahoma"/>
          <w:bCs/>
          <w:lang w:val="es-ES" w:eastAsia="es-ES"/>
        </w:rPr>
        <w:t>dos</w:t>
      </w:r>
      <w:r w:rsidR="00A61F3B" w:rsidRPr="003E5C0B">
        <w:rPr>
          <w:rFonts w:eastAsia="Times New Roman" w:cs="Tahoma"/>
          <w:bCs/>
          <w:lang w:val="es-ES" w:eastAsia="es-ES"/>
        </w:rPr>
        <w:t xml:space="preserve"> Recursos de Revisión interpuestos por </w:t>
      </w:r>
      <w:r w:rsidR="00254C08" w:rsidRPr="003E5C0B">
        <w:rPr>
          <w:rFonts w:eastAsia="Times New Roman" w:cs="Tahoma"/>
          <w:bCs/>
          <w:lang w:val="es-ES" w:eastAsia="es-ES"/>
        </w:rPr>
        <w:t>la persona Recurrente</w:t>
      </w:r>
      <w:r w:rsidR="00A61F3B" w:rsidRPr="003E5C0B">
        <w:rPr>
          <w:rFonts w:eastAsia="Times New Roman" w:cs="Tahoma"/>
          <w:bCs/>
          <w:lang w:val="es-ES" w:eastAsia="es-ES"/>
        </w:rPr>
        <w:t>, conforme a lo</w:t>
      </w:r>
      <w:r w:rsidR="0072342B" w:rsidRPr="003E5C0B">
        <w:rPr>
          <w:rFonts w:eastAsia="Times New Roman" w:cs="Tahoma"/>
          <w:bCs/>
          <w:lang w:val="es-ES" w:eastAsia="es-ES"/>
        </w:rPr>
        <w:t>s términos similares</w:t>
      </w:r>
      <w:r w:rsidR="00A61F3B" w:rsidRPr="003E5C0B">
        <w:rPr>
          <w:rFonts w:eastAsia="Times New Roman" w:cs="Tahoma"/>
          <w:bCs/>
          <w:lang w:val="es-ES" w:eastAsia="es-ES"/>
        </w:rPr>
        <w:t xml:space="preserve"> siguiente</w:t>
      </w:r>
      <w:r w:rsidR="0072342B" w:rsidRPr="003E5C0B">
        <w:rPr>
          <w:rFonts w:eastAsia="Times New Roman" w:cs="Tahoma"/>
          <w:bCs/>
          <w:lang w:val="es-ES" w:eastAsia="es-ES"/>
        </w:rPr>
        <w:t>s</w:t>
      </w:r>
      <w:r w:rsidR="00A61F3B" w:rsidRPr="003E5C0B">
        <w:rPr>
          <w:rFonts w:eastAsia="Times New Roman" w:cs="Tahoma"/>
          <w:bCs/>
          <w:lang w:val="es-ES" w:eastAsia="es-ES"/>
        </w:rPr>
        <w:t>:</w:t>
      </w:r>
    </w:p>
    <w:p w14:paraId="312B98AA" w14:textId="77777777" w:rsidR="0072342B" w:rsidRPr="003E5C0B" w:rsidRDefault="0072342B" w:rsidP="00566970">
      <w:pPr>
        <w:widowControl w:val="0"/>
        <w:spacing w:after="0" w:line="360" w:lineRule="auto"/>
        <w:rPr>
          <w:rFonts w:eastAsia="Times New Roman" w:cs="Tahoma"/>
          <w:bCs/>
          <w:lang w:val="es-ES" w:eastAsia="es-ES"/>
        </w:rPr>
      </w:pPr>
    </w:p>
    <w:p w14:paraId="01EAC346" w14:textId="7A96071F" w:rsidR="00A61F3B" w:rsidRPr="003E5C0B" w:rsidRDefault="00A61F3B" w:rsidP="00566970">
      <w:pPr>
        <w:spacing w:after="0" w:line="360" w:lineRule="auto"/>
        <w:ind w:left="-142"/>
        <w:jc w:val="left"/>
        <w:rPr>
          <w:rFonts w:eastAsia="Calibri" w:cs="Tahoma"/>
          <w:b/>
          <w:bCs/>
          <w:i/>
          <w:color w:val="000000"/>
          <w:sz w:val="20"/>
          <w:szCs w:val="20"/>
          <w:lang w:eastAsia="en-US"/>
        </w:rPr>
      </w:pPr>
      <w:r w:rsidRPr="003E5C0B">
        <w:rPr>
          <w:rFonts w:eastAsia="Calibri" w:cs="Tahoma"/>
          <w:b/>
          <w:bCs/>
          <w:i/>
          <w:color w:val="000000"/>
          <w:sz w:val="20"/>
          <w:szCs w:val="20"/>
          <w:lang w:eastAsia="en-US"/>
        </w:rPr>
        <w:t xml:space="preserve">              ACTO IMPUGNADO</w:t>
      </w:r>
    </w:p>
    <w:p w14:paraId="2651F83F" w14:textId="6F375719" w:rsidR="00A61F3B" w:rsidRPr="003E5C0B" w:rsidRDefault="00085494" w:rsidP="00566970">
      <w:pPr>
        <w:spacing w:after="0" w:line="360" w:lineRule="auto"/>
        <w:ind w:left="567" w:right="567"/>
        <w:rPr>
          <w:rFonts w:eastAsia="Calibri" w:cs="Tahoma"/>
          <w:i/>
          <w:color w:val="000000"/>
          <w:sz w:val="20"/>
          <w:szCs w:val="20"/>
          <w:lang w:eastAsia="en-US"/>
        </w:rPr>
      </w:pPr>
      <w:r w:rsidRPr="003E5C0B">
        <w:rPr>
          <w:rFonts w:eastAsia="Calibri" w:cs="Tahoma"/>
          <w:i/>
          <w:color w:val="000000"/>
          <w:sz w:val="20"/>
          <w:szCs w:val="20"/>
          <w:lang w:eastAsia="en-US"/>
        </w:rPr>
        <w:t>no da la información</w:t>
      </w:r>
      <w:r w:rsidR="00A61F3B" w:rsidRPr="003E5C0B">
        <w:rPr>
          <w:rFonts w:eastAsia="Calibri" w:cs="Tahoma"/>
          <w:i/>
          <w:color w:val="000000"/>
          <w:sz w:val="20"/>
          <w:szCs w:val="20"/>
          <w:lang w:eastAsia="en-US"/>
        </w:rPr>
        <w:t>” (Sic.)</w:t>
      </w:r>
    </w:p>
    <w:p w14:paraId="7382795C" w14:textId="77777777" w:rsidR="004850C4" w:rsidRPr="003E5C0B" w:rsidRDefault="004850C4" w:rsidP="00566970">
      <w:pPr>
        <w:spacing w:after="0" w:line="360" w:lineRule="auto"/>
        <w:ind w:left="567" w:right="567"/>
        <w:rPr>
          <w:rFonts w:eastAsia="Calibri" w:cs="Tahoma"/>
          <w:i/>
          <w:color w:val="000000"/>
          <w:sz w:val="20"/>
          <w:szCs w:val="20"/>
          <w:lang w:eastAsia="en-US"/>
        </w:rPr>
      </w:pPr>
    </w:p>
    <w:p w14:paraId="31AD5BFC" w14:textId="26B25E95" w:rsidR="00A61F3B" w:rsidRPr="003E5C0B" w:rsidRDefault="00A61F3B" w:rsidP="00566970">
      <w:pPr>
        <w:spacing w:after="0" w:line="360" w:lineRule="auto"/>
        <w:ind w:left="567" w:right="567"/>
        <w:jc w:val="left"/>
        <w:rPr>
          <w:rFonts w:eastAsia="Calibri" w:cs="Tahoma"/>
          <w:b/>
          <w:bCs/>
          <w:i/>
          <w:color w:val="000000"/>
          <w:sz w:val="20"/>
          <w:szCs w:val="20"/>
          <w:lang w:eastAsia="en-US"/>
        </w:rPr>
      </w:pPr>
      <w:r w:rsidRPr="003E5C0B">
        <w:rPr>
          <w:rFonts w:eastAsia="Calibri" w:cs="Tahoma"/>
          <w:b/>
          <w:bCs/>
          <w:i/>
          <w:color w:val="000000"/>
          <w:sz w:val="20"/>
          <w:szCs w:val="20"/>
          <w:lang w:eastAsia="en-US"/>
        </w:rPr>
        <w:t>RAZONES O MOTIVOS DE LA INCONFORMIDAD</w:t>
      </w:r>
    </w:p>
    <w:p w14:paraId="62AEADE2" w14:textId="01DF6396" w:rsidR="00A61F3B" w:rsidRPr="003E5C0B" w:rsidRDefault="00085494" w:rsidP="00566970">
      <w:pPr>
        <w:spacing w:after="0" w:line="360" w:lineRule="auto"/>
        <w:ind w:left="567" w:right="567"/>
        <w:jc w:val="left"/>
        <w:rPr>
          <w:rFonts w:eastAsia="Calibri" w:cs="Tahoma"/>
          <w:i/>
          <w:color w:val="000000"/>
          <w:sz w:val="20"/>
          <w:szCs w:val="20"/>
          <w:lang w:eastAsia="en-US"/>
        </w:rPr>
      </w:pPr>
      <w:r w:rsidRPr="003E5C0B">
        <w:rPr>
          <w:rFonts w:eastAsia="Calibri" w:cs="Tahoma"/>
          <w:i/>
          <w:color w:val="000000"/>
          <w:sz w:val="20"/>
          <w:szCs w:val="20"/>
          <w:lang w:eastAsia="en-US"/>
        </w:rPr>
        <w:t>no da la información</w:t>
      </w:r>
      <w:r w:rsidR="00A61F3B" w:rsidRPr="003E5C0B">
        <w:rPr>
          <w:rFonts w:eastAsia="Calibri" w:cs="Tahoma"/>
          <w:i/>
          <w:color w:val="000000"/>
          <w:sz w:val="20"/>
          <w:szCs w:val="20"/>
          <w:lang w:eastAsia="en-US"/>
        </w:rPr>
        <w:t>” (Sic.)</w:t>
      </w:r>
    </w:p>
    <w:p w14:paraId="09A1B598" w14:textId="77777777" w:rsidR="00A61F3B" w:rsidRPr="003E5C0B" w:rsidRDefault="00A61F3B" w:rsidP="00566970">
      <w:pPr>
        <w:spacing w:after="0" w:line="360" w:lineRule="auto"/>
        <w:jc w:val="left"/>
        <w:rPr>
          <w:rFonts w:eastAsia="Calibri" w:cs="Tahoma"/>
          <w:b/>
          <w:bCs/>
          <w:i/>
          <w:color w:val="000000"/>
          <w:sz w:val="24"/>
          <w:szCs w:val="24"/>
          <w:lang w:eastAsia="en-US"/>
        </w:rPr>
      </w:pPr>
    </w:p>
    <w:p w14:paraId="1BC03E30" w14:textId="77777777" w:rsidR="00A61F3B" w:rsidRPr="003E5C0B" w:rsidRDefault="00A61F3B" w:rsidP="00566970">
      <w:pPr>
        <w:spacing w:after="0" w:line="360" w:lineRule="auto"/>
        <w:rPr>
          <w:rFonts w:eastAsia="Batang" w:cs="Tahoma"/>
          <w:b/>
          <w:bCs/>
          <w:color w:val="000000"/>
          <w:lang w:eastAsia="en-US"/>
        </w:rPr>
      </w:pPr>
      <w:r w:rsidRPr="003E5C0B">
        <w:rPr>
          <w:rFonts w:eastAsia="Calibri" w:cs="Tahoma"/>
          <w:b/>
          <w:color w:val="000000"/>
          <w:lang w:eastAsia="en-US"/>
        </w:rPr>
        <w:t xml:space="preserve">IV. </w:t>
      </w:r>
      <w:r w:rsidRPr="003E5C0B">
        <w:rPr>
          <w:rFonts w:eastAsia="Batang" w:cs="Tahoma"/>
          <w:b/>
          <w:bCs/>
          <w:color w:val="000000"/>
          <w:lang w:eastAsia="en-US"/>
        </w:rPr>
        <w:t>Trámite de los Recursos de Revisión</w:t>
      </w:r>
      <w:r w:rsidRPr="003E5C0B">
        <w:rPr>
          <w:rFonts w:eastAsia="Calibri" w:cs="Tahoma"/>
          <w:b/>
          <w:color w:val="000000"/>
          <w:lang w:eastAsia="en-US"/>
        </w:rPr>
        <w:t xml:space="preserve"> </w:t>
      </w:r>
      <w:r w:rsidRPr="003E5C0B">
        <w:rPr>
          <w:rFonts w:eastAsia="Batang" w:cs="Tahoma"/>
          <w:b/>
          <w:bCs/>
          <w:color w:val="000000"/>
          <w:lang w:eastAsia="en-US"/>
        </w:rPr>
        <w:t>ante este Instituto</w:t>
      </w:r>
    </w:p>
    <w:p w14:paraId="391E8109" w14:textId="77777777" w:rsidR="00A61F3B" w:rsidRPr="003E5C0B" w:rsidRDefault="00A61F3B" w:rsidP="00566970">
      <w:pPr>
        <w:spacing w:after="0" w:line="360" w:lineRule="auto"/>
        <w:rPr>
          <w:rFonts w:eastAsia="Batang" w:cs="Tahoma"/>
          <w:b/>
          <w:bCs/>
          <w:color w:val="000000"/>
          <w:lang w:eastAsia="en-US"/>
        </w:rPr>
      </w:pPr>
    </w:p>
    <w:p w14:paraId="6249167A" w14:textId="0C68B23D" w:rsidR="00A61F3B" w:rsidRPr="003E5C0B" w:rsidRDefault="00A61F3B" w:rsidP="00566970">
      <w:pPr>
        <w:spacing w:after="0" w:line="360" w:lineRule="auto"/>
        <w:contextualSpacing/>
        <w:rPr>
          <w:rFonts w:eastAsia="Batang" w:cs="Tahoma"/>
          <w:bCs/>
          <w:color w:val="000000"/>
          <w:lang w:val="es-ES_tradnl" w:eastAsia="en-US"/>
        </w:rPr>
      </w:pPr>
      <w:r w:rsidRPr="003E5C0B">
        <w:rPr>
          <w:rFonts w:eastAsia="Batang" w:cs="Tahoma"/>
          <w:b/>
          <w:bCs/>
          <w:color w:val="000000"/>
          <w:lang w:val="es-ES_tradnl" w:eastAsia="en-US"/>
        </w:rPr>
        <w:t xml:space="preserve">a) Turno del </w:t>
      </w:r>
      <w:r w:rsidRPr="003E5C0B">
        <w:rPr>
          <w:rFonts w:eastAsia="Calibri" w:cs="Tahoma"/>
          <w:b/>
          <w:color w:val="000000"/>
          <w:lang w:val="es-ES_tradnl" w:eastAsia="en-US"/>
        </w:rPr>
        <w:t>Recurso de Revisión</w:t>
      </w:r>
      <w:r w:rsidRPr="003E5C0B">
        <w:rPr>
          <w:rFonts w:eastAsia="Batang" w:cs="Tahoma"/>
          <w:b/>
          <w:bCs/>
          <w:color w:val="000000"/>
          <w:lang w:val="es-ES_tradnl" w:eastAsia="en-US"/>
        </w:rPr>
        <w:t>.</w:t>
      </w:r>
      <w:r w:rsidRPr="003E5C0B">
        <w:rPr>
          <w:rFonts w:eastAsia="Batang" w:cs="Tahoma"/>
          <w:bCs/>
          <w:color w:val="000000"/>
          <w:lang w:eastAsia="en-US"/>
        </w:rPr>
        <w:t xml:space="preserve"> El</w:t>
      </w:r>
      <w:r w:rsidR="00FF4A51" w:rsidRPr="003E5C0B">
        <w:rPr>
          <w:rFonts w:eastAsia="Batang" w:cs="Tahoma"/>
          <w:bCs/>
          <w:color w:val="000000"/>
          <w:lang w:eastAsia="en-US"/>
        </w:rPr>
        <w:t xml:space="preserve"> </w:t>
      </w:r>
      <w:r w:rsidR="00085494" w:rsidRPr="003E5C0B">
        <w:rPr>
          <w:rFonts w:eastAsia="Batang" w:cs="Tahoma"/>
          <w:bCs/>
          <w:color w:val="000000"/>
          <w:lang w:eastAsia="en-US"/>
        </w:rPr>
        <w:t xml:space="preserve">diecinueve de septiembre </w:t>
      </w:r>
      <w:r w:rsidRPr="003E5C0B">
        <w:rPr>
          <w:rFonts w:eastAsia="Times New Roman" w:cs="Tahoma"/>
          <w:bCs/>
          <w:lang w:val="es-ES" w:eastAsia="es-ES"/>
        </w:rPr>
        <w:t>de dos mil veinticuatro</w:t>
      </w:r>
      <w:r w:rsidRPr="003E5C0B">
        <w:rPr>
          <w:rFonts w:eastAsia="Batang" w:cs="Tahoma"/>
          <w:bCs/>
          <w:color w:val="000000"/>
          <w:lang w:val="es-ES_tradnl" w:eastAsia="en-US"/>
        </w:rPr>
        <w:t xml:space="preserve">, el </w:t>
      </w:r>
      <w:r w:rsidRPr="003E5C0B">
        <w:rPr>
          <w:rFonts w:eastAsia="Calibri" w:cs="Tahoma"/>
          <w:color w:val="000000"/>
          <w:lang w:val="es-ES" w:eastAsia="en-US"/>
        </w:rPr>
        <w:t>Sistema de Acceso a la Información Mexiquense (SAIMEX),</w:t>
      </w:r>
      <w:r w:rsidRPr="003E5C0B">
        <w:rPr>
          <w:rFonts w:eastAsia="Batang" w:cs="Tahoma"/>
          <w:bCs/>
          <w:color w:val="000000"/>
          <w:lang w:val="es-ES_tradnl" w:eastAsia="en-US"/>
        </w:rPr>
        <w:t xml:space="preserve"> asignó los números de expediente</w:t>
      </w:r>
      <w:r w:rsidR="00085494" w:rsidRPr="003E5C0B">
        <w:rPr>
          <w:rFonts w:eastAsia="Calibri" w:cs="Tahoma"/>
          <w:b/>
          <w:color w:val="0D0D0D"/>
          <w:lang w:val="es-ES_tradnl" w:eastAsia="en-US"/>
        </w:rPr>
        <w:t xml:space="preserve"> 05736/INFOEM/IP/RR/2024 y 05737/INFOEM/IP/RR/2024</w:t>
      </w:r>
      <w:r w:rsidRPr="003E5C0B">
        <w:rPr>
          <w:rFonts w:eastAsia="Batang" w:cs="Tahoma"/>
          <w:bCs/>
          <w:color w:val="000000"/>
          <w:lang w:val="es-ES_tradnl" w:eastAsia="en-US"/>
        </w:rPr>
        <w:t xml:space="preserve">, al Medio de Impugnación que nos ocupa, con base en el sistema aprobado por el Pleno de este </w:t>
      </w:r>
      <w:r w:rsidR="00DA1E3A" w:rsidRPr="003E5C0B">
        <w:rPr>
          <w:rFonts w:eastAsia="Batang" w:cs="Tahoma"/>
          <w:bCs/>
          <w:color w:val="000000"/>
          <w:lang w:val="es-ES_tradnl" w:eastAsia="en-US"/>
        </w:rPr>
        <w:lastRenderedPageBreak/>
        <w:t>Organismo</w:t>
      </w:r>
      <w:r w:rsidRPr="003E5C0B">
        <w:rPr>
          <w:rFonts w:eastAsia="Batang" w:cs="Tahoma"/>
          <w:bCs/>
          <w:color w:val="000000"/>
          <w:lang w:val="es-ES_tradnl" w:eastAsia="en-US"/>
        </w:rPr>
        <w:t xml:space="preserve"> Garante y los turnó a</w:t>
      </w:r>
      <w:r w:rsidR="009666A2" w:rsidRPr="003E5C0B">
        <w:rPr>
          <w:rFonts w:eastAsia="Batang" w:cs="Tahoma"/>
          <w:bCs/>
          <w:color w:val="000000"/>
          <w:lang w:val="es-ES_tradnl" w:eastAsia="en-US"/>
        </w:rPr>
        <w:t xml:space="preserve"> los</w:t>
      </w:r>
      <w:r w:rsidRPr="003E5C0B">
        <w:rPr>
          <w:rFonts w:eastAsia="Batang" w:cs="Tahoma"/>
          <w:bCs/>
          <w:color w:val="000000"/>
          <w:lang w:val="es-ES_tradnl" w:eastAsia="en-US"/>
        </w:rPr>
        <w:t xml:space="preserve"> Comisionado</w:t>
      </w:r>
      <w:r w:rsidR="00402F01" w:rsidRPr="003E5C0B">
        <w:rPr>
          <w:rFonts w:eastAsia="Batang" w:cs="Tahoma"/>
          <w:bCs/>
          <w:color w:val="000000"/>
          <w:lang w:val="es-ES_tradnl" w:eastAsia="en-US"/>
        </w:rPr>
        <w:t>s</w:t>
      </w:r>
      <w:r w:rsidRPr="003E5C0B">
        <w:rPr>
          <w:rFonts w:eastAsia="Batang" w:cs="Tahoma"/>
          <w:bCs/>
          <w:color w:val="000000"/>
          <w:lang w:val="es-ES_tradnl" w:eastAsia="en-US"/>
        </w:rPr>
        <w:t xml:space="preserve"> </w:t>
      </w:r>
      <w:r w:rsidR="009666A2" w:rsidRPr="003E5C0B">
        <w:rPr>
          <w:rFonts w:eastAsia="Times New Roman" w:cs="Tahoma"/>
          <w:bCs/>
          <w:lang w:eastAsia="es-ES"/>
        </w:rPr>
        <w:t>Sharon Cristina Morales Martínez</w:t>
      </w:r>
      <w:r w:rsidR="00402F01" w:rsidRPr="003E5C0B">
        <w:rPr>
          <w:rFonts w:eastAsia="Times New Roman" w:cs="Tahoma"/>
          <w:bCs/>
          <w:lang w:eastAsia="es-ES"/>
        </w:rPr>
        <w:t xml:space="preserve"> y</w:t>
      </w:r>
      <w:r w:rsidR="009666A2" w:rsidRPr="003E5C0B">
        <w:rPr>
          <w:rFonts w:eastAsia="Times New Roman" w:cs="Tahoma"/>
          <w:bCs/>
          <w:lang w:eastAsia="es-ES"/>
        </w:rPr>
        <w:t xml:space="preserve"> Luis Gustavo Parra Noriega</w:t>
      </w:r>
      <w:r w:rsidRPr="003E5C0B">
        <w:rPr>
          <w:rFonts w:eastAsia="Batang" w:cs="Tahoma"/>
          <w:bCs/>
          <w:color w:val="000000"/>
          <w:lang w:val="es-ES_tradnl" w:eastAsia="en-US"/>
        </w:rPr>
        <w:t>, respectivamente, para los efectos del artículo 185, fracción I de la Ley de Transparencia y Acceso a la Información Pública del Estado de México y Municipios.</w:t>
      </w:r>
    </w:p>
    <w:p w14:paraId="28F028DA" w14:textId="77777777" w:rsidR="00A61F3B" w:rsidRPr="003E5C0B" w:rsidRDefault="00A61F3B" w:rsidP="00566970">
      <w:pPr>
        <w:spacing w:after="0" w:line="360" w:lineRule="auto"/>
        <w:rPr>
          <w:rFonts w:eastAsia="Batang" w:cs="Tahoma"/>
          <w:bCs/>
          <w:color w:val="000000"/>
          <w:lang w:eastAsia="en-US"/>
        </w:rPr>
      </w:pPr>
    </w:p>
    <w:p w14:paraId="205C0791" w14:textId="4ADD5DAF" w:rsidR="00A61F3B" w:rsidRPr="003E5C0B" w:rsidRDefault="00A61F3B" w:rsidP="00566970">
      <w:pPr>
        <w:spacing w:after="0" w:line="360" w:lineRule="auto"/>
        <w:rPr>
          <w:rFonts w:eastAsia="Batang" w:cs="Tahoma"/>
          <w:color w:val="000000"/>
          <w:lang w:val="es-ES_tradnl" w:eastAsia="en-US"/>
        </w:rPr>
      </w:pPr>
      <w:r w:rsidRPr="003E5C0B">
        <w:rPr>
          <w:rFonts w:eastAsia="Batang" w:cs="Tahoma"/>
          <w:b/>
          <w:bCs/>
          <w:color w:val="000000"/>
          <w:lang w:eastAsia="en-US"/>
        </w:rPr>
        <w:t>b) Admisión del Recurso de Revisión</w:t>
      </w:r>
      <w:r w:rsidRPr="003E5C0B">
        <w:rPr>
          <w:rFonts w:eastAsia="Batang" w:cs="Tahoma"/>
          <w:b/>
          <w:bCs/>
          <w:color w:val="000000"/>
          <w:lang w:val="es-ES_tradnl" w:eastAsia="en-US"/>
        </w:rPr>
        <w:t>.</w:t>
      </w:r>
      <w:r w:rsidRPr="003E5C0B">
        <w:rPr>
          <w:rFonts w:eastAsia="Batang" w:cs="Tahoma"/>
          <w:bCs/>
          <w:color w:val="000000"/>
          <w:lang w:eastAsia="en-US"/>
        </w:rPr>
        <w:t xml:space="preserve"> El</w:t>
      </w:r>
      <w:r w:rsidR="00031276" w:rsidRPr="003E5C0B">
        <w:rPr>
          <w:rFonts w:eastAsia="Batang" w:cs="Tahoma"/>
          <w:bCs/>
          <w:color w:val="000000"/>
          <w:lang w:eastAsia="en-US"/>
        </w:rPr>
        <w:t xml:space="preserve"> </w:t>
      </w:r>
      <w:r w:rsidR="007D6974" w:rsidRPr="003E5C0B">
        <w:rPr>
          <w:rFonts w:eastAsia="Batang" w:cs="Tahoma"/>
          <w:bCs/>
          <w:color w:val="000000"/>
          <w:lang w:eastAsia="en-US"/>
        </w:rPr>
        <w:t xml:space="preserve">veinte y </w:t>
      </w:r>
      <w:r w:rsidR="00AE7907" w:rsidRPr="003E5C0B">
        <w:rPr>
          <w:rFonts w:eastAsia="Batang" w:cs="Tahoma"/>
          <w:bCs/>
          <w:color w:val="000000"/>
          <w:lang w:eastAsia="en-US"/>
        </w:rPr>
        <w:t>veinticuatro de septiembre</w:t>
      </w:r>
      <w:r w:rsidRPr="003E5C0B">
        <w:rPr>
          <w:rFonts w:eastAsia="Batang" w:cs="Tahoma"/>
          <w:bCs/>
          <w:color w:val="000000"/>
          <w:lang w:eastAsia="en-US"/>
        </w:rPr>
        <w:t xml:space="preserve"> de dos mil veinticuatro</w:t>
      </w:r>
      <w:r w:rsidRPr="003E5C0B">
        <w:rPr>
          <w:rFonts w:eastAsia="Batang" w:cs="Tahoma"/>
          <w:color w:val="000000"/>
          <w:lang w:val="es-ES_tradnl" w:eastAsia="en-US"/>
        </w:rPr>
        <w:t xml:space="preserve">, se acordó la admisión de los Recursos de Revisión interpuestos por </w:t>
      </w:r>
      <w:r w:rsidR="00031276" w:rsidRPr="003E5C0B">
        <w:rPr>
          <w:rFonts w:eastAsia="Batang" w:cs="Tahoma"/>
          <w:color w:val="000000"/>
          <w:lang w:val="es-ES_tradnl" w:eastAsia="en-US"/>
        </w:rPr>
        <w:t>la persona</w:t>
      </w:r>
      <w:r w:rsidRPr="003E5C0B">
        <w:rPr>
          <w:rFonts w:eastAsia="Batang" w:cs="Tahoma"/>
          <w:color w:val="000000"/>
          <w:lang w:val="es-ES_tradnl" w:eastAsia="en-US"/>
        </w:rPr>
        <w:t xml:space="preserve"> Recurrente en contra del Sujeto Obligado, en términos del artículo 185, fracciones I y II de la Ley de Transparencia y Acceso a la Información Pública del Estado de México y Municipios, los cuales fueron notificados a las partes, </w:t>
      </w:r>
      <w:r w:rsidR="00755615" w:rsidRPr="003E5C0B">
        <w:rPr>
          <w:rFonts w:eastAsia="Batang" w:cs="Tahoma"/>
          <w:color w:val="000000"/>
          <w:lang w:val="es-ES_tradnl" w:eastAsia="en-US"/>
        </w:rPr>
        <w:t xml:space="preserve">el </w:t>
      </w:r>
      <w:r w:rsidR="007D6974" w:rsidRPr="003E5C0B">
        <w:rPr>
          <w:rFonts w:eastAsia="Batang" w:cs="Tahoma"/>
          <w:color w:val="000000"/>
          <w:lang w:val="es-ES_tradnl" w:eastAsia="en-US"/>
        </w:rPr>
        <w:t xml:space="preserve">veintitrés y </w:t>
      </w:r>
      <w:r w:rsidR="00AE7907" w:rsidRPr="003E5C0B">
        <w:rPr>
          <w:rFonts w:eastAsia="Batang" w:cs="Tahoma"/>
          <w:color w:val="000000"/>
          <w:lang w:val="es-ES_tradnl" w:eastAsia="en-US"/>
        </w:rPr>
        <w:t xml:space="preserve">veinticuatro </w:t>
      </w:r>
      <w:r w:rsidRPr="003E5C0B">
        <w:rPr>
          <w:rFonts w:eastAsia="Batang" w:cs="Tahoma"/>
          <w:color w:val="000000"/>
          <w:lang w:val="es-ES_tradnl" w:eastAsia="en-US"/>
        </w:rPr>
        <w:t>del mismo</w:t>
      </w:r>
      <w:r w:rsidR="00AE7907" w:rsidRPr="003E5C0B">
        <w:rPr>
          <w:rFonts w:eastAsia="Batang" w:cs="Tahoma"/>
          <w:color w:val="000000"/>
          <w:lang w:val="es-ES_tradnl" w:eastAsia="en-US"/>
        </w:rPr>
        <w:t xml:space="preserve"> mes y</w:t>
      </w:r>
      <w:r w:rsidRPr="003E5C0B">
        <w:rPr>
          <w:rFonts w:eastAsia="Batang" w:cs="Tahoma"/>
          <w:color w:val="000000"/>
          <w:lang w:val="es-ES_tradnl" w:eastAsia="en-US"/>
        </w:rPr>
        <w:t xml:space="preserve"> año, a través del Sistema de Acceso a la Información Mexiquense (SAIMEX), en el que se les otorgó un plazo de siete días hábiles posteriores a la misma, para que manifestaran lo que a su derecho conviniera y formularan alegatos.</w:t>
      </w:r>
    </w:p>
    <w:p w14:paraId="059B0D63" w14:textId="77777777" w:rsidR="00A61F3B" w:rsidRPr="003E5C0B" w:rsidRDefault="00A61F3B" w:rsidP="00566970">
      <w:pPr>
        <w:spacing w:after="0" w:line="360" w:lineRule="auto"/>
        <w:rPr>
          <w:rFonts w:eastAsia="Calibri" w:cs="Tahoma"/>
          <w:color w:val="000000"/>
          <w:lang w:eastAsia="en-US"/>
        </w:rPr>
      </w:pPr>
    </w:p>
    <w:p w14:paraId="285D3BEC" w14:textId="6397D5D8" w:rsidR="00A61F3B" w:rsidRPr="003E5C0B" w:rsidRDefault="00A61F3B" w:rsidP="00566970">
      <w:pPr>
        <w:spacing w:after="0" w:line="360" w:lineRule="auto"/>
        <w:rPr>
          <w:rFonts w:cs="Tahoma"/>
          <w:bCs/>
          <w:iCs/>
          <w:lang w:val="es-ES"/>
        </w:rPr>
      </w:pPr>
      <w:r w:rsidRPr="003E5C0B">
        <w:rPr>
          <w:rFonts w:eastAsia="Calibri" w:cs="Tahoma"/>
          <w:b/>
          <w:color w:val="000000"/>
          <w:lang w:eastAsia="en-US"/>
        </w:rPr>
        <w:t xml:space="preserve">c) </w:t>
      </w:r>
      <w:r w:rsidR="006932C5" w:rsidRPr="003E5C0B">
        <w:rPr>
          <w:rFonts w:eastAsia="Calibri" w:cs="Tahoma"/>
          <w:b/>
          <w:bCs/>
          <w:iCs/>
          <w:color w:val="000000"/>
          <w:lang w:val="es-ES" w:eastAsia="en-US"/>
        </w:rPr>
        <w:t xml:space="preserve">Informes Justificados. </w:t>
      </w:r>
      <w:r w:rsidR="00873F59" w:rsidRPr="003E5C0B">
        <w:rPr>
          <w:rFonts w:cs="Tahoma"/>
          <w:iCs/>
          <w:lang w:val="es-ES"/>
        </w:rPr>
        <w:t>Las partes fueron omisas en emitir manifestaciones o alegatos</w:t>
      </w:r>
      <w:r w:rsidR="00873F59" w:rsidRPr="003E5C0B">
        <w:rPr>
          <w:rFonts w:cs="Tahoma"/>
        </w:rPr>
        <w:t>.</w:t>
      </w:r>
    </w:p>
    <w:p w14:paraId="70DFD9AC" w14:textId="77777777" w:rsidR="00704336" w:rsidRPr="003E5C0B" w:rsidRDefault="00704336" w:rsidP="00566970">
      <w:pPr>
        <w:spacing w:after="0" w:line="360" w:lineRule="auto"/>
        <w:rPr>
          <w:rFonts w:eastAsia="Calibri" w:cs="Tahoma"/>
          <w:color w:val="000000"/>
          <w:lang w:eastAsia="en-US"/>
        </w:rPr>
      </w:pPr>
    </w:p>
    <w:p w14:paraId="6793467F" w14:textId="5F099C39" w:rsidR="006932C5" w:rsidRPr="003E5C0B" w:rsidRDefault="00A61F3B" w:rsidP="00566970">
      <w:pPr>
        <w:spacing w:after="0" w:line="360" w:lineRule="auto"/>
        <w:rPr>
          <w:rFonts w:eastAsia="Calibri" w:cs="Tahoma"/>
          <w:color w:val="000000"/>
          <w:lang w:eastAsia="en-US"/>
        </w:rPr>
      </w:pPr>
      <w:r w:rsidRPr="003E5C0B">
        <w:rPr>
          <w:rFonts w:eastAsia="Calibri" w:cs="Tahoma"/>
          <w:b/>
          <w:color w:val="000000"/>
          <w:lang w:eastAsia="en-US"/>
        </w:rPr>
        <w:t>d)</w:t>
      </w:r>
      <w:r w:rsidR="006932C5" w:rsidRPr="003E5C0B">
        <w:rPr>
          <w:rFonts w:eastAsia="Calibri" w:cs="Tahoma"/>
          <w:b/>
          <w:color w:val="000000"/>
          <w:lang w:eastAsia="en-US"/>
        </w:rPr>
        <w:t xml:space="preserve"> Acumulación de los Recursos de Revisión.</w:t>
      </w:r>
      <w:r w:rsidR="006932C5" w:rsidRPr="003E5C0B">
        <w:rPr>
          <w:rFonts w:eastAsia="Calibri" w:cs="Tahoma"/>
          <w:color w:val="000000"/>
          <w:lang w:eastAsia="en-US"/>
        </w:rPr>
        <w:t xml:space="preserve"> El </w:t>
      </w:r>
      <w:r w:rsidR="006640E8" w:rsidRPr="003E5C0B">
        <w:rPr>
          <w:rFonts w:eastAsia="Calibri" w:cs="Tahoma"/>
          <w:color w:val="000000"/>
          <w:lang w:eastAsia="en-US"/>
        </w:rPr>
        <w:t xml:space="preserve">diez de octubre </w:t>
      </w:r>
      <w:r w:rsidR="006932C5" w:rsidRPr="003E5C0B">
        <w:rPr>
          <w:rFonts w:eastAsia="Calibri" w:cs="Tahoma"/>
          <w:color w:val="000000"/>
          <w:lang w:eastAsia="en-US"/>
        </w:rPr>
        <w:t xml:space="preserve">de dos mil veinticuatro, el Pleno del Instituto de Transparencia, Acceso a la Información Pública y Protección de Datos Personales del Estado de México y Municipios, durante la </w:t>
      </w:r>
      <w:r w:rsidR="006640E8" w:rsidRPr="003E5C0B">
        <w:rPr>
          <w:rFonts w:eastAsia="Calibri" w:cs="Tahoma"/>
          <w:color w:val="000000"/>
          <w:lang w:eastAsia="en-US"/>
        </w:rPr>
        <w:t>Trigésima Quinta</w:t>
      </w:r>
      <w:r w:rsidR="006932C5" w:rsidRPr="003E5C0B">
        <w:rPr>
          <w:rFonts w:eastAsia="Calibri" w:cs="Tahoma"/>
          <w:color w:val="000000"/>
          <w:lang w:eastAsia="en-US"/>
        </w:rPr>
        <w:t xml:space="preserve"> Sesión Ordinaria celebrada el </w:t>
      </w:r>
      <w:r w:rsidR="006640E8" w:rsidRPr="003E5C0B">
        <w:rPr>
          <w:rFonts w:eastAsia="Calibri" w:cs="Tahoma"/>
          <w:color w:val="000000"/>
          <w:lang w:eastAsia="en-US"/>
        </w:rPr>
        <w:t>tres de octubre</w:t>
      </w:r>
      <w:r w:rsidR="006932C5" w:rsidRPr="003E5C0B">
        <w:rPr>
          <w:rFonts w:eastAsia="Calibri" w:cs="Tahoma"/>
          <w:color w:val="000000"/>
          <w:lang w:eastAsia="en-US"/>
        </w:rPr>
        <w:t xml:space="preserve"> de dos mil veinticuatro,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6932C5" w:rsidRPr="003E5C0B">
        <w:rPr>
          <w:rFonts w:eastAsia="Calibri" w:cs="Tahoma"/>
          <w:b/>
          <w:bCs/>
          <w:color w:val="000000"/>
          <w:lang w:eastAsia="en-US"/>
        </w:rPr>
        <w:t xml:space="preserve">decretó </w:t>
      </w:r>
      <w:r w:rsidR="006932C5" w:rsidRPr="003E5C0B">
        <w:rPr>
          <w:rFonts w:eastAsia="Calibri" w:cs="Tahoma"/>
          <w:color w:val="000000"/>
          <w:lang w:eastAsia="en-US"/>
        </w:rPr>
        <w:t>la acumulación del Recurso de Revisión</w:t>
      </w:r>
      <w:r w:rsidR="006932C5" w:rsidRPr="003E5C0B">
        <w:rPr>
          <w:rFonts w:eastAsia="Calibri" w:cs="Tahoma"/>
          <w:b/>
          <w:color w:val="0D0D0D"/>
          <w:lang w:val="es-ES_tradnl" w:eastAsia="en-US"/>
        </w:rPr>
        <w:t xml:space="preserve"> 0</w:t>
      </w:r>
      <w:r w:rsidR="006640E8" w:rsidRPr="003E5C0B">
        <w:rPr>
          <w:rFonts w:eastAsia="Calibri" w:cs="Tahoma"/>
          <w:b/>
          <w:color w:val="0D0D0D"/>
          <w:lang w:val="es-ES_tradnl" w:eastAsia="en-US"/>
        </w:rPr>
        <w:t>5737</w:t>
      </w:r>
      <w:r w:rsidR="006932C5" w:rsidRPr="003E5C0B">
        <w:rPr>
          <w:rFonts w:eastAsia="Calibri" w:cs="Tahoma"/>
          <w:b/>
          <w:color w:val="0D0D0D"/>
          <w:lang w:val="es-ES_tradnl" w:eastAsia="en-US"/>
        </w:rPr>
        <w:t xml:space="preserve">/INFOEM/IP/RR/2024 </w:t>
      </w:r>
      <w:r w:rsidR="006932C5" w:rsidRPr="003E5C0B">
        <w:rPr>
          <w:rFonts w:eastAsia="Calibri" w:cs="Tahoma"/>
          <w:color w:val="000000"/>
          <w:lang w:eastAsia="en-US"/>
        </w:rPr>
        <w:t>al diverso</w:t>
      </w:r>
      <w:r w:rsidR="006932C5" w:rsidRPr="003E5C0B">
        <w:rPr>
          <w:rFonts w:eastAsia="Calibri" w:cs="Tahoma"/>
          <w:b/>
          <w:bCs/>
          <w:color w:val="0D0D0D"/>
          <w:lang w:val="es-ES_tradnl" w:eastAsia="en-US"/>
        </w:rPr>
        <w:t xml:space="preserve"> </w:t>
      </w:r>
      <w:r w:rsidR="006932C5" w:rsidRPr="003E5C0B">
        <w:rPr>
          <w:rFonts w:eastAsia="Calibri" w:cs="Tahoma"/>
          <w:b/>
          <w:color w:val="0D0D0D"/>
          <w:lang w:val="es-ES_tradnl" w:eastAsia="en-US"/>
        </w:rPr>
        <w:t>0</w:t>
      </w:r>
      <w:r w:rsidR="006640E8" w:rsidRPr="003E5C0B">
        <w:rPr>
          <w:rFonts w:eastAsia="Calibri" w:cs="Tahoma"/>
          <w:b/>
          <w:color w:val="0D0D0D"/>
          <w:lang w:val="es-ES_tradnl" w:eastAsia="en-US"/>
        </w:rPr>
        <w:t>5736</w:t>
      </w:r>
      <w:r w:rsidR="006932C5" w:rsidRPr="003E5C0B">
        <w:rPr>
          <w:rFonts w:eastAsia="Calibri" w:cs="Tahoma"/>
          <w:b/>
          <w:color w:val="0D0D0D"/>
          <w:lang w:val="es-ES_tradnl" w:eastAsia="en-US"/>
        </w:rPr>
        <w:t>/INFOEM/IP/RR/2024</w:t>
      </w:r>
      <w:r w:rsidR="006932C5" w:rsidRPr="003E5C0B">
        <w:rPr>
          <w:rFonts w:eastAsia="Calibri" w:cs="Tahoma"/>
          <w:b/>
          <w:bCs/>
          <w:color w:val="000000"/>
          <w:lang w:eastAsia="en-US"/>
        </w:rPr>
        <w:t>,</w:t>
      </w:r>
      <w:r w:rsidR="006932C5" w:rsidRPr="003E5C0B">
        <w:rPr>
          <w:rFonts w:eastAsia="Calibri" w:cs="Tahoma"/>
          <w:color w:val="000000"/>
          <w:lang w:eastAsia="en-US"/>
        </w:rPr>
        <w:t xml:space="preserve"> por ser este último el más antiguo, sustanciado bajo el índice de esta Ponencia.</w:t>
      </w:r>
    </w:p>
    <w:p w14:paraId="208B8DD3" w14:textId="77777777" w:rsidR="00605132" w:rsidRPr="003E5C0B" w:rsidRDefault="00605132" w:rsidP="00566970">
      <w:pPr>
        <w:spacing w:after="0" w:line="360" w:lineRule="auto"/>
        <w:rPr>
          <w:b/>
          <w:color w:val="000000"/>
        </w:rPr>
      </w:pPr>
    </w:p>
    <w:p w14:paraId="775FDF08" w14:textId="6520D28F" w:rsidR="00A61F3B" w:rsidRPr="003E5C0B" w:rsidRDefault="006640E8" w:rsidP="00566970">
      <w:pPr>
        <w:spacing w:after="0" w:line="360" w:lineRule="auto"/>
        <w:rPr>
          <w:rFonts w:eastAsia="Times New Roman" w:cs="Tahoma"/>
          <w:szCs w:val="24"/>
          <w:lang w:eastAsia="es-ES"/>
        </w:rPr>
      </w:pPr>
      <w:r w:rsidRPr="003E5C0B">
        <w:rPr>
          <w:rFonts w:eastAsia="Times New Roman" w:cs="Tahoma"/>
          <w:b/>
          <w:szCs w:val="24"/>
          <w:lang w:eastAsia="es-ES"/>
        </w:rPr>
        <w:t>e</w:t>
      </w:r>
      <w:r w:rsidR="00A61F3B" w:rsidRPr="003E5C0B">
        <w:rPr>
          <w:rFonts w:eastAsia="Times New Roman" w:cs="Tahoma"/>
          <w:b/>
          <w:szCs w:val="24"/>
          <w:lang w:eastAsia="es-ES"/>
        </w:rPr>
        <w:t>) Cierre de instrucción.</w:t>
      </w:r>
      <w:r w:rsidR="00A61F3B" w:rsidRPr="003E5C0B">
        <w:rPr>
          <w:rFonts w:eastAsia="Times New Roman" w:cs="Tahoma"/>
          <w:szCs w:val="24"/>
          <w:lang w:eastAsia="es-ES"/>
        </w:rPr>
        <w:t xml:space="preserve"> El </w:t>
      </w:r>
      <w:r w:rsidRPr="003E5C0B">
        <w:rPr>
          <w:rFonts w:eastAsia="Times New Roman" w:cs="Tahoma"/>
          <w:szCs w:val="24"/>
          <w:lang w:eastAsia="es-ES"/>
        </w:rPr>
        <w:t>diez de octubre</w:t>
      </w:r>
      <w:r w:rsidR="00FE3790" w:rsidRPr="003E5C0B">
        <w:rPr>
          <w:rFonts w:eastAsia="Times New Roman" w:cs="Tahoma"/>
          <w:szCs w:val="24"/>
          <w:lang w:eastAsia="es-ES"/>
        </w:rPr>
        <w:t xml:space="preserve"> </w:t>
      </w:r>
      <w:r w:rsidR="00A61F3B" w:rsidRPr="003E5C0B">
        <w:rPr>
          <w:rFonts w:eastAsia="Times New Roman" w:cs="Tahoma"/>
          <w:szCs w:val="24"/>
          <w:lang w:eastAsia="es-ES"/>
        </w:rPr>
        <w:t xml:space="preserve">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respectivamente, a través del </w:t>
      </w:r>
      <w:r w:rsidR="00A61F3B" w:rsidRPr="003E5C0B">
        <w:rPr>
          <w:rFonts w:eastAsia="Times New Roman" w:cs="Tahoma"/>
          <w:szCs w:val="20"/>
          <w:lang w:val="es-ES" w:eastAsia="es-ES"/>
        </w:rPr>
        <w:t>Sistema de Acceso a la Información Mexiquense (SAIMEX)</w:t>
      </w:r>
      <w:r w:rsidR="00A61F3B" w:rsidRPr="003E5C0B">
        <w:rPr>
          <w:rFonts w:eastAsia="Times New Roman" w:cs="Tahoma"/>
          <w:szCs w:val="24"/>
          <w:lang w:eastAsia="es-ES"/>
        </w:rPr>
        <w:t xml:space="preserve">. </w:t>
      </w:r>
    </w:p>
    <w:p w14:paraId="33FC245A" w14:textId="77777777" w:rsidR="00A61F3B" w:rsidRPr="003E5C0B" w:rsidRDefault="00A61F3B" w:rsidP="00566970">
      <w:pPr>
        <w:spacing w:after="0" w:line="360" w:lineRule="auto"/>
        <w:rPr>
          <w:rFonts w:eastAsia="Times New Roman" w:cs="Tahoma"/>
          <w:szCs w:val="24"/>
          <w:lang w:eastAsia="es-ES"/>
        </w:rPr>
      </w:pPr>
    </w:p>
    <w:p w14:paraId="6B0B60A4" w14:textId="77777777" w:rsidR="00A61F3B" w:rsidRPr="003E5C0B" w:rsidRDefault="00A61F3B" w:rsidP="00566970">
      <w:pPr>
        <w:spacing w:after="0" w:line="360" w:lineRule="auto"/>
        <w:rPr>
          <w:rFonts w:eastAsia="Times New Roman" w:cs="Tahoma"/>
          <w:color w:val="000000"/>
          <w:szCs w:val="24"/>
          <w:lang w:eastAsia="es-ES"/>
        </w:rPr>
      </w:pPr>
      <w:r w:rsidRPr="003E5C0B">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10C4ACA" w14:textId="77777777" w:rsidR="00EC0824" w:rsidRPr="003E5C0B" w:rsidRDefault="00EC0824" w:rsidP="00566970">
      <w:pPr>
        <w:spacing w:after="0" w:line="360" w:lineRule="auto"/>
        <w:rPr>
          <w:b/>
          <w:color w:val="000000"/>
        </w:rPr>
      </w:pPr>
    </w:p>
    <w:p w14:paraId="4F9DDB9B" w14:textId="77777777" w:rsidR="00EC0824" w:rsidRPr="003E5C0B" w:rsidRDefault="00BE3668" w:rsidP="00566970">
      <w:pPr>
        <w:spacing w:after="0" w:line="360" w:lineRule="auto"/>
        <w:jc w:val="center"/>
        <w:rPr>
          <w:b/>
          <w:color w:val="000000"/>
        </w:rPr>
      </w:pPr>
      <w:r w:rsidRPr="003E5C0B">
        <w:rPr>
          <w:b/>
          <w:color w:val="000000"/>
        </w:rPr>
        <w:t>C O N S I D E R A N D O S</w:t>
      </w:r>
    </w:p>
    <w:p w14:paraId="75FEBA4C" w14:textId="77777777" w:rsidR="00EC0824" w:rsidRPr="003E5C0B" w:rsidRDefault="00EC0824" w:rsidP="00566970">
      <w:pPr>
        <w:spacing w:after="0" w:line="360" w:lineRule="auto"/>
        <w:jc w:val="center"/>
        <w:rPr>
          <w:b/>
          <w:color w:val="000000"/>
        </w:rPr>
      </w:pPr>
    </w:p>
    <w:p w14:paraId="483DFDFB" w14:textId="77777777" w:rsidR="00EC0824" w:rsidRPr="003E5C0B" w:rsidRDefault="00BE3668" w:rsidP="00566970">
      <w:pPr>
        <w:spacing w:after="0" w:line="360" w:lineRule="auto"/>
        <w:rPr>
          <w:b/>
          <w:color w:val="000000"/>
        </w:rPr>
      </w:pPr>
      <w:r w:rsidRPr="003E5C0B">
        <w:rPr>
          <w:b/>
          <w:color w:val="000000"/>
        </w:rPr>
        <w:t>PRIMERO</w:t>
      </w:r>
      <w:r w:rsidRPr="003E5C0B">
        <w:rPr>
          <w:color w:val="000000"/>
        </w:rPr>
        <w:t xml:space="preserve">. </w:t>
      </w:r>
      <w:r w:rsidRPr="003E5C0B">
        <w:rPr>
          <w:b/>
          <w:color w:val="000000"/>
        </w:rPr>
        <w:t>Competencia</w:t>
      </w:r>
    </w:p>
    <w:p w14:paraId="0D455024" w14:textId="77777777" w:rsidR="00EC0824" w:rsidRPr="003E5C0B" w:rsidRDefault="00EC0824" w:rsidP="00566970">
      <w:pPr>
        <w:spacing w:after="0" w:line="360" w:lineRule="auto"/>
        <w:rPr>
          <w:b/>
          <w:color w:val="000000"/>
        </w:rPr>
      </w:pPr>
    </w:p>
    <w:p w14:paraId="37203345" w14:textId="77777777" w:rsidR="00EC0824" w:rsidRPr="003E5C0B" w:rsidRDefault="00BE3668" w:rsidP="00566970">
      <w:pPr>
        <w:spacing w:after="0" w:line="360" w:lineRule="auto"/>
        <w:rPr>
          <w:color w:val="000000"/>
        </w:rPr>
      </w:pPr>
      <w:bookmarkStart w:id="2" w:name="_heading=h.30j0zll" w:colFirst="0" w:colLast="0"/>
      <w:bookmarkEnd w:id="2"/>
      <w:r w:rsidRPr="003E5C0B">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sidRPr="003E5C0B">
        <w:rPr>
          <w:color w:val="000000"/>
        </w:rPr>
        <w:lastRenderedPageBreak/>
        <w:t>y Municipios; 7°, 9°, fracciones I y XXIII y 11 del Reglamento Interior del Instituto de Transparencia, Acceso a la Información Pública y Protección de Datos Personales del Estado de México y Municipios.</w:t>
      </w:r>
    </w:p>
    <w:p w14:paraId="695BAEC3" w14:textId="77777777" w:rsidR="00EC0824" w:rsidRPr="003E5C0B" w:rsidRDefault="00EC0824" w:rsidP="00566970">
      <w:pPr>
        <w:spacing w:after="0" w:line="360" w:lineRule="auto"/>
        <w:rPr>
          <w:b/>
          <w:color w:val="000000"/>
        </w:rPr>
      </w:pPr>
    </w:p>
    <w:p w14:paraId="7D4C60BA" w14:textId="77777777" w:rsidR="00EC0824" w:rsidRPr="003E5C0B" w:rsidRDefault="00BE3668" w:rsidP="00566970">
      <w:pPr>
        <w:spacing w:after="0" w:line="360" w:lineRule="auto"/>
        <w:rPr>
          <w:color w:val="000000"/>
        </w:rPr>
      </w:pPr>
      <w:r w:rsidRPr="003E5C0B">
        <w:rPr>
          <w:b/>
          <w:color w:val="000000"/>
        </w:rPr>
        <w:t>SEGUNDO</w:t>
      </w:r>
      <w:r w:rsidRPr="003E5C0B">
        <w:rPr>
          <w:color w:val="000000"/>
        </w:rPr>
        <w:t xml:space="preserve">. </w:t>
      </w:r>
      <w:r w:rsidRPr="003E5C0B">
        <w:rPr>
          <w:b/>
          <w:color w:val="000000"/>
        </w:rPr>
        <w:t>Causales de improcedencia y sobreseimiento</w:t>
      </w:r>
    </w:p>
    <w:p w14:paraId="7627C35E" w14:textId="77777777" w:rsidR="00EC0824" w:rsidRPr="003E5C0B" w:rsidRDefault="00EC0824" w:rsidP="00566970">
      <w:pPr>
        <w:spacing w:after="0" w:line="360" w:lineRule="auto"/>
        <w:rPr>
          <w:color w:val="000000"/>
        </w:rPr>
      </w:pPr>
    </w:p>
    <w:p w14:paraId="6E7EDA77" w14:textId="77777777" w:rsidR="00EC0824" w:rsidRPr="003E5C0B" w:rsidRDefault="00BE3668" w:rsidP="00566970">
      <w:pPr>
        <w:spacing w:after="0" w:line="360" w:lineRule="auto"/>
        <w:rPr>
          <w:color w:val="000000"/>
        </w:rPr>
      </w:pPr>
      <w:r w:rsidRPr="003E5C0B">
        <w:rPr>
          <w:color w:val="000000"/>
        </w:rPr>
        <w:t xml:space="preserve">De las constancias que forma parte del Recurso de Revisión que se analiza, se advierte que previo al estudio del fondo de la </w:t>
      </w:r>
      <w:r w:rsidRPr="003E5C0B">
        <w:rPr>
          <w:i/>
          <w:color w:val="000000"/>
        </w:rPr>
        <w:t>litis</w:t>
      </w:r>
      <w:r w:rsidRPr="003E5C0B">
        <w:rPr>
          <w:color w:val="000000"/>
        </w:rPr>
        <w:t>, es necesario estudiar las causales de improcedencia y sobreseimiento que se adviertan, para determinar lo que en Derecho proceda.</w:t>
      </w:r>
    </w:p>
    <w:p w14:paraId="13900809" w14:textId="77777777" w:rsidR="00EC0824" w:rsidRPr="003E5C0B" w:rsidRDefault="00EC0824" w:rsidP="00566970">
      <w:pPr>
        <w:spacing w:after="0" w:line="360" w:lineRule="auto"/>
        <w:rPr>
          <w:b/>
        </w:rPr>
      </w:pPr>
    </w:p>
    <w:p w14:paraId="1790FE0A" w14:textId="77777777" w:rsidR="00EC0824" w:rsidRPr="003E5C0B" w:rsidRDefault="00BE3668" w:rsidP="00566970">
      <w:pPr>
        <w:spacing w:after="0" w:line="360" w:lineRule="auto"/>
        <w:rPr>
          <w:b/>
        </w:rPr>
      </w:pPr>
      <w:r w:rsidRPr="003E5C0B">
        <w:rPr>
          <w:b/>
        </w:rPr>
        <w:t>Causales de improcedencia</w:t>
      </w:r>
    </w:p>
    <w:p w14:paraId="306E8506" w14:textId="77777777" w:rsidR="00EC0824" w:rsidRPr="003E5C0B" w:rsidRDefault="00EC0824" w:rsidP="00566970">
      <w:pPr>
        <w:spacing w:after="0" w:line="360" w:lineRule="auto"/>
      </w:pPr>
    </w:p>
    <w:p w14:paraId="1AF20449" w14:textId="77777777" w:rsidR="00EC0824" w:rsidRPr="003E5C0B" w:rsidRDefault="00BE3668" w:rsidP="00566970">
      <w:pPr>
        <w:spacing w:after="0" w:line="360" w:lineRule="auto"/>
        <w:rPr>
          <w:color w:val="000000"/>
        </w:rPr>
      </w:pPr>
      <w:r w:rsidRPr="003E5C0B">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9B1479" w14:textId="77777777" w:rsidR="00EC0824" w:rsidRPr="003E5C0B" w:rsidRDefault="00EC0824" w:rsidP="00566970">
      <w:pPr>
        <w:spacing w:after="0" w:line="360" w:lineRule="auto"/>
        <w:rPr>
          <w:color w:val="000000"/>
        </w:rPr>
      </w:pPr>
    </w:p>
    <w:p w14:paraId="456D4963" w14:textId="77777777" w:rsidR="00EC0824" w:rsidRPr="003E5C0B" w:rsidRDefault="00BE3668" w:rsidP="00566970">
      <w:pPr>
        <w:spacing w:after="0" w:line="360" w:lineRule="auto"/>
        <w:rPr>
          <w:color w:val="000000"/>
        </w:rPr>
      </w:pPr>
      <w:r w:rsidRPr="003E5C0B">
        <w:rPr>
          <w:color w:val="000000"/>
        </w:rPr>
        <w:t>En el presente caso, </w:t>
      </w:r>
      <w:r w:rsidRPr="003E5C0B">
        <w:rPr>
          <w:b/>
          <w:color w:val="000000"/>
        </w:rPr>
        <w:t>no se actualiza ninguna de las causales de improcedencia</w:t>
      </w:r>
      <w:r w:rsidRPr="003E5C0B">
        <w:rPr>
          <w:color w:val="000000"/>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w:t>
      </w:r>
      <w:r w:rsidRPr="003E5C0B">
        <w:rPr>
          <w:color w:val="000000"/>
        </w:rPr>
        <w:lastRenderedPageBreak/>
        <w:t>formó parte del agravio; ni se realizó una consulta o ampliación a los alcances del requerimiento informativo.</w:t>
      </w:r>
    </w:p>
    <w:p w14:paraId="0CA5363B" w14:textId="77777777" w:rsidR="00EC0824" w:rsidRPr="003E5C0B" w:rsidRDefault="00EC0824" w:rsidP="00566970">
      <w:pPr>
        <w:spacing w:after="0" w:line="360" w:lineRule="auto"/>
        <w:rPr>
          <w:color w:val="000000"/>
        </w:rPr>
      </w:pPr>
    </w:p>
    <w:p w14:paraId="391E320D" w14:textId="693AF209" w:rsidR="00EC0824" w:rsidRPr="003E5C0B" w:rsidRDefault="00BE3668" w:rsidP="00566970">
      <w:pPr>
        <w:spacing w:after="0" w:line="360" w:lineRule="auto"/>
      </w:pPr>
      <w:r w:rsidRPr="003E5C0B">
        <w:t xml:space="preserve">Por lo cual, se actualiza la causal de procedencia del Recurso de Revisión señalada en el artículo 179, fracción </w:t>
      </w:r>
      <w:r w:rsidR="00F76B4C" w:rsidRPr="003E5C0B">
        <w:t>VI</w:t>
      </w:r>
      <w:r w:rsidRPr="003E5C0B">
        <w:t xml:space="preserve">, de la Ley en cita, pues la parte Recurrente se inconformó de la </w:t>
      </w:r>
      <w:r w:rsidR="00F76B4C" w:rsidRPr="003E5C0B">
        <w:t>entrega de información que no corresponde con lo solicitado.</w:t>
      </w:r>
    </w:p>
    <w:p w14:paraId="5672F48A" w14:textId="77777777" w:rsidR="00EC0824" w:rsidRPr="003E5C0B" w:rsidRDefault="00EC0824" w:rsidP="00566970">
      <w:pPr>
        <w:spacing w:after="0" w:line="360" w:lineRule="auto"/>
      </w:pPr>
    </w:p>
    <w:p w14:paraId="131C277B" w14:textId="77777777" w:rsidR="00EC0824" w:rsidRPr="003E5C0B" w:rsidRDefault="00BE3668" w:rsidP="00566970">
      <w:pPr>
        <w:spacing w:after="0" w:line="360" w:lineRule="auto"/>
        <w:rPr>
          <w:color w:val="0D0D0D"/>
        </w:rPr>
      </w:pPr>
      <w:r w:rsidRPr="003E5C0B">
        <w:rPr>
          <w:b/>
          <w:color w:val="0D0D0D"/>
        </w:rPr>
        <w:t>Causales de sobreseimiento</w:t>
      </w:r>
    </w:p>
    <w:p w14:paraId="3A2348E4" w14:textId="77777777" w:rsidR="00EC0824" w:rsidRPr="003E5C0B" w:rsidRDefault="00EC0824" w:rsidP="00566970">
      <w:pPr>
        <w:spacing w:after="0" w:line="360" w:lineRule="auto"/>
        <w:rPr>
          <w:color w:val="0D0D0D"/>
        </w:rPr>
      </w:pPr>
    </w:p>
    <w:p w14:paraId="76B016EF" w14:textId="77777777" w:rsidR="00EC0824" w:rsidRPr="003E5C0B" w:rsidRDefault="00BE3668" w:rsidP="00566970">
      <w:pPr>
        <w:spacing w:after="0" w:line="360" w:lineRule="auto"/>
        <w:rPr>
          <w:color w:val="0D0D0D"/>
        </w:rPr>
      </w:pPr>
      <w:r w:rsidRPr="003E5C0B">
        <w:rPr>
          <w:color w:val="0D0D0D"/>
        </w:rPr>
        <w:t>Por ser de previo y especial pronunciamiento, este Instituto analiza si se actualiza alguna causal de sobreseimiento.</w:t>
      </w:r>
    </w:p>
    <w:p w14:paraId="5C6CD34C" w14:textId="77777777" w:rsidR="00EC0824" w:rsidRPr="003E5C0B" w:rsidRDefault="00EC0824" w:rsidP="00566970">
      <w:pPr>
        <w:spacing w:after="0" w:line="360" w:lineRule="auto"/>
        <w:rPr>
          <w:color w:val="0D0D0D"/>
        </w:rPr>
      </w:pPr>
    </w:p>
    <w:p w14:paraId="55F2E9D8" w14:textId="77777777" w:rsidR="00EC0824" w:rsidRPr="003E5C0B" w:rsidRDefault="00BE3668" w:rsidP="00566970">
      <w:pPr>
        <w:spacing w:after="0" w:line="360" w:lineRule="auto"/>
        <w:rPr>
          <w:color w:val="000000"/>
        </w:rPr>
      </w:pPr>
      <w:r w:rsidRPr="003E5C0B">
        <w:rPr>
          <w:color w:val="0D0D0D"/>
        </w:rPr>
        <w:t>Sobre el tema, e</w:t>
      </w:r>
      <w:r w:rsidRPr="003E5C0B">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301D823" w14:textId="77777777" w:rsidR="00EC0824" w:rsidRPr="003E5C0B" w:rsidRDefault="00EC0824" w:rsidP="00566970">
      <w:pPr>
        <w:spacing w:after="0" w:line="360" w:lineRule="auto"/>
        <w:rPr>
          <w:color w:val="000000"/>
        </w:rPr>
      </w:pPr>
    </w:p>
    <w:p w14:paraId="58CD9A4B" w14:textId="77777777" w:rsidR="00EC0824" w:rsidRPr="003E5C0B" w:rsidRDefault="00BE3668" w:rsidP="00566970">
      <w:pPr>
        <w:spacing w:after="0" w:line="360" w:lineRule="auto"/>
        <w:rPr>
          <w:color w:val="0D0D0D"/>
        </w:rPr>
      </w:pPr>
      <w:r w:rsidRPr="003E5C0B">
        <w:rPr>
          <w:color w:val="0D0D0D"/>
        </w:rPr>
        <w:t xml:space="preserve">Por tales motivos, se considera procedente entrar al fondo del presente asunto. </w:t>
      </w:r>
    </w:p>
    <w:p w14:paraId="62A51872" w14:textId="77777777" w:rsidR="00EC0824" w:rsidRPr="003E5C0B" w:rsidRDefault="00EC0824" w:rsidP="00566970">
      <w:pPr>
        <w:spacing w:after="0" w:line="360" w:lineRule="auto"/>
        <w:rPr>
          <w:b/>
          <w:color w:val="000000"/>
        </w:rPr>
      </w:pPr>
    </w:p>
    <w:p w14:paraId="72A7A826" w14:textId="77777777" w:rsidR="00EC0824" w:rsidRPr="003E5C0B" w:rsidRDefault="00BE3668" w:rsidP="00566970">
      <w:pPr>
        <w:spacing w:after="0" w:line="360" w:lineRule="auto"/>
        <w:rPr>
          <w:b/>
          <w:color w:val="000000"/>
        </w:rPr>
      </w:pPr>
      <w:r w:rsidRPr="003E5C0B">
        <w:rPr>
          <w:b/>
          <w:color w:val="000000"/>
        </w:rPr>
        <w:t>TERCERO. Determinación de la Controversia</w:t>
      </w:r>
    </w:p>
    <w:p w14:paraId="4A8EB2F9" w14:textId="77777777" w:rsidR="00A00F9F" w:rsidRPr="003E5C0B" w:rsidRDefault="00A00F9F" w:rsidP="00566970">
      <w:pPr>
        <w:tabs>
          <w:tab w:val="left" w:pos="4962"/>
        </w:tabs>
        <w:spacing w:after="0" w:line="360" w:lineRule="auto"/>
        <w:rPr>
          <w:rFonts w:eastAsia="Calibri" w:cs="Tahoma"/>
          <w:b/>
          <w:iCs/>
          <w:lang w:val="es-ES" w:eastAsia="es-ES_tradnl"/>
        </w:rPr>
      </w:pPr>
    </w:p>
    <w:p w14:paraId="74E00A47" w14:textId="7506DD0F" w:rsidR="00427C44" w:rsidRPr="003E5C0B" w:rsidRDefault="00A00F9F" w:rsidP="00566970">
      <w:pPr>
        <w:spacing w:after="0" w:line="360" w:lineRule="auto"/>
        <w:rPr>
          <w:rFonts w:eastAsia="Times New Roman" w:cs="Tahoma"/>
          <w:lang w:eastAsia="es-ES"/>
        </w:rPr>
      </w:pPr>
      <w:r w:rsidRPr="003E5C0B">
        <w:rPr>
          <w:rFonts w:eastAsia="Times New Roman" w:cs="Tahoma"/>
          <w:lang w:eastAsia="es-ES"/>
        </w:rPr>
        <w:lastRenderedPageBreak/>
        <w:t>Con el objetivo de ilustrar la controversia planteada, resulta conveniente precisar, que una vez realizado el estudio de las constancias que integran el expediente en el que se actúa, se desprende que la persona Recurrente requirió</w:t>
      </w:r>
      <w:r w:rsidR="00427C44" w:rsidRPr="003E5C0B">
        <w:rPr>
          <w:rFonts w:eastAsia="Times New Roman" w:cs="Tahoma"/>
          <w:lang w:eastAsia="es-ES"/>
        </w:rPr>
        <w:t xml:space="preserve">, de todo el personal adscrito al Ayuntamiento de </w:t>
      </w:r>
      <w:r w:rsidR="00C2724D" w:rsidRPr="003E5C0B">
        <w:rPr>
          <w:rFonts w:eastAsia="Times New Roman" w:cs="Tahoma"/>
          <w:lang w:eastAsia="es-ES"/>
        </w:rPr>
        <w:t>Huehuetoca, de la segunda quincena de julio de dos mil veinticuatro, lo siguiente:</w:t>
      </w:r>
    </w:p>
    <w:p w14:paraId="077F9879" w14:textId="77777777" w:rsidR="00C2724D" w:rsidRPr="003E5C0B" w:rsidRDefault="00C2724D" w:rsidP="00566970">
      <w:pPr>
        <w:spacing w:after="0" w:line="360" w:lineRule="auto"/>
        <w:rPr>
          <w:rFonts w:eastAsia="Times New Roman" w:cs="Tahoma"/>
          <w:lang w:eastAsia="es-ES"/>
        </w:rPr>
      </w:pPr>
    </w:p>
    <w:p w14:paraId="0832830B" w14:textId="651D893A" w:rsidR="00C2724D" w:rsidRPr="003E5C0B" w:rsidRDefault="00C2724D" w:rsidP="00566970">
      <w:pPr>
        <w:pStyle w:val="Prrafodelista"/>
        <w:numPr>
          <w:ilvl w:val="0"/>
          <w:numId w:val="3"/>
        </w:numPr>
        <w:spacing w:line="360" w:lineRule="auto"/>
        <w:rPr>
          <w:rFonts w:cs="Tahoma"/>
        </w:rPr>
      </w:pPr>
      <w:r w:rsidRPr="003E5C0B">
        <w:rPr>
          <w:rFonts w:cs="Tahoma"/>
        </w:rPr>
        <w:t>Recibos de nómina</w:t>
      </w:r>
      <w:r w:rsidR="00566970" w:rsidRPr="003E5C0B">
        <w:rPr>
          <w:rFonts w:cs="Tahoma"/>
        </w:rPr>
        <w:t>, y</w:t>
      </w:r>
    </w:p>
    <w:p w14:paraId="6D8E707E" w14:textId="7ED674A0" w:rsidR="00C2724D" w:rsidRPr="003E5C0B" w:rsidRDefault="00C2724D" w:rsidP="00566970">
      <w:pPr>
        <w:pStyle w:val="Prrafodelista"/>
        <w:numPr>
          <w:ilvl w:val="0"/>
          <w:numId w:val="3"/>
        </w:numPr>
        <w:spacing w:line="360" w:lineRule="auto"/>
        <w:rPr>
          <w:rFonts w:cs="Tahoma"/>
        </w:rPr>
      </w:pPr>
      <w:r w:rsidRPr="003E5C0B">
        <w:rPr>
          <w:rFonts w:cs="Tahoma"/>
        </w:rPr>
        <w:t>Nómina</w:t>
      </w:r>
    </w:p>
    <w:p w14:paraId="133FDC40" w14:textId="77777777" w:rsidR="00427C44" w:rsidRPr="003E5C0B" w:rsidRDefault="00427C44" w:rsidP="00566970">
      <w:pPr>
        <w:spacing w:after="0" w:line="360" w:lineRule="auto"/>
        <w:rPr>
          <w:rFonts w:eastAsia="Times New Roman" w:cs="Tahoma"/>
          <w:lang w:eastAsia="es-ES"/>
        </w:rPr>
      </w:pPr>
    </w:p>
    <w:p w14:paraId="2E82587E" w14:textId="698FFC4E" w:rsidR="00A00F9F" w:rsidRPr="003E5C0B" w:rsidRDefault="00A00F9F" w:rsidP="00566970">
      <w:pPr>
        <w:spacing w:after="0" w:line="360" w:lineRule="auto"/>
        <w:rPr>
          <w:rFonts w:eastAsia="Times New Roman" w:cs="Times New Roman"/>
          <w:lang w:eastAsia="es-ES"/>
        </w:rPr>
      </w:pPr>
      <w:r w:rsidRPr="003E5C0B">
        <w:rPr>
          <w:rFonts w:eastAsia="Times New Roman" w:cs="Times New Roman"/>
          <w:lang w:eastAsia="es-ES"/>
        </w:rPr>
        <w:t xml:space="preserve">En respuesta, </w:t>
      </w:r>
      <w:r w:rsidR="00F43D06" w:rsidRPr="003E5C0B">
        <w:rPr>
          <w:rFonts w:eastAsia="Times New Roman" w:cs="Times New Roman"/>
          <w:lang w:eastAsia="es-ES"/>
        </w:rPr>
        <w:t xml:space="preserve">el Sujeto Obligado </w:t>
      </w:r>
      <w:r w:rsidR="007C1BA1" w:rsidRPr="003E5C0B">
        <w:rPr>
          <w:rFonts w:eastAsia="Times New Roman" w:cs="Times New Roman"/>
          <w:lang w:eastAsia="es-ES"/>
        </w:rPr>
        <w:t xml:space="preserve">a través de la Tesorera Municipal entregó seiscientos noventa y uno recibos de nómina de la segunda quincena de julio de dos mil veinticuatro en versión pública y la nómina de la segunda quincena de julio de dos mil veinticuatro que contiene </w:t>
      </w:r>
      <w:r w:rsidR="00AC5808" w:rsidRPr="003E5C0B">
        <w:rPr>
          <w:rFonts w:eastAsia="Times New Roman" w:cs="Times New Roman"/>
          <w:lang w:eastAsia="es-ES"/>
        </w:rPr>
        <w:t>nombre completo, departamento, puesto, tipo de empleado y sueldo neto en versión íntegra</w:t>
      </w:r>
      <w:r w:rsidRPr="003E5C0B">
        <w:rPr>
          <w:rFonts w:eastAsia="Times New Roman" w:cs="Times New Roman"/>
          <w:lang w:eastAsia="es-ES"/>
        </w:rPr>
        <w:t>; ante dicha circunstancia, la p</w:t>
      </w:r>
      <w:r w:rsidR="00D1715D" w:rsidRPr="003E5C0B">
        <w:rPr>
          <w:rFonts w:eastAsia="Times New Roman" w:cs="Times New Roman"/>
          <w:lang w:eastAsia="es-ES"/>
        </w:rPr>
        <w:t>ersona</w:t>
      </w:r>
      <w:r w:rsidRPr="003E5C0B">
        <w:rPr>
          <w:rFonts w:eastAsia="Times New Roman" w:cs="Times New Roman"/>
          <w:lang w:eastAsia="es-ES"/>
        </w:rPr>
        <w:t xml:space="preserve"> Recurrente se inconformó </w:t>
      </w:r>
      <w:r w:rsidR="0024307C" w:rsidRPr="003E5C0B">
        <w:rPr>
          <w:rFonts w:eastAsia="Times New Roman" w:cs="Times New Roman"/>
          <w:lang w:eastAsia="es-ES"/>
        </w:rPr>
        <w:t xml:space="preserve">de la </w:t>
      </w:r>
      <w:r w:rsidR="00AC5808" w:rsidRPr="003E5C0B">
        <w:rPr>
          <w:rFonts w:eastAsia="Times New Roman" w:cs="Times New Roman"/>
          <w:lang w:eastAsia="es-ES"/>
        </w:rPr>
        <w:t>entrega de información que no corresponde con lo solicitado, al mencionar que no le entregaron lo solicitado</w:t>
      </w:r>
      <w:r w:rsidRPr="003E5C0B">
        <w:rPr>
          <w:rFonts w:eastAsia="Times New Roman" w:cs="Times New Roman"/>
          <w:lang w:eastAsia="es-ES"/>
        </w:rPr>
        <w:t xml:space="preserve">, </w:t>
      </w:r>
      <w:r w:rsidRPr="003E5C0B">
        <w:rPr>
          <w:rFonts w:eastAsia="Calibri" w:cs="Tahoma"/>
          <w:bCs/>
          <w:iCs/>
          <w:color w:val="000000"/>
          <w:lang w:val="es-ES" w:eastAsia="en-US"/>
        </w:rPr>
        <w:t xml:space="preserve">lo cual actualiza el supuesto previsto en el artículo 179, fracción </w:t>
      </w:r>
      <w:r w:rsidR="00AC5808" w:rsidRPr="003E5C0B">
        <w:rPr>
          <w:rFonts w:eastAsia="Calibri" w:cs="Tahoma"/>
          <w:bCs/>
          <w:iCs/>
          <w:color w:val="000000"/>
          <w:lang w:val="es-ES" w:eastAsia="en-US"/>
        </w:rPr>
        <w:t>VI</w:t>
      </w:r>
      <w:r w:rsidRPr="003E5C0B">
        <w:rPr>
          <w:rFonts w:eastAsia="Calibri" w:cs="Tahoma"/>
          <w:bCs/>
          <w:iCs/>
          <w:color w:val="000000"/>
          <w:lang w:val="es-ES" w:eastAsia="en-US"/>
        </w:rPr>
        <w:t>, de la Ley de Transparencia y Acceso a la Información Pública del Estado de México y Municipios</w:t>
      </w:r>
      <w:r w:rsidRPr="003E5C0B">
        <w:rPr>
          <w:rFonts w:eastAsia="Calibri" w:cs="Tahoma"/>
          <w:bCs/>
          <w:iCs/>
          <w:color w:val="000000"/>
          <w:shd w:val="clear" w:color="auto" w:fill="FFFFFF"/>
          <w:lang w:eastAsia="en-US"/>
        </w:rPr>
        <w:t>.</w:t>
      </w:r>
      <w:r w:rsidRPr="003E5C0B">
        <w:rPr>
          <w:rFonts w:eastAsia="Calibri" w:cs="Tahoma"/>
          <w:bCs/>
          <w:iCs/>
          <w:color w:val="000000"/>
          <w:lang w:val="es-ES_tradnl" w:eastAsia="en-US"/>
        </w:rPr>
        <w:t xml:space="preserve"> </w:t>
      </w:r>
      <w:r w:rsidRPr="003E5C0B">
        <w:rPr>
          <w:rFonts w:eastAsia="Calibri" w:cs="Tahoma"/>
          <w:color w:val="000000"/>
          <w:lang w:val="es-ES" w:eastAsia="en-US"/>
        </w:rPr>
        <w:t xml:space="preserve">Así las cosas, una vez admitido y notificado los Recursos de Revisión a las partes, </w:t>
      </w:r>
      <w:r w:rsidR="00DA1ADC" w:rsidRPr="003E5C0B">
        <w:rPr>
          <w:rFonts w:eastAsia="Calibri" w:cs="Tahoma"/>
          <w:color w:val="000000"/>
          <w:lang w:val="es-ES" w:eastAsia="en-US"/>
        </w:rPr>
        <w:t>estas fueron omisas de emitir manifestaciones o alegatos.</w:t>
      </w:r>
    </w:p>
    <w:p w14:paraId="5989ADB1" w14:textId="77777777" w:rsidR="00A00F9F" w:rsidRPr="003E5C0B" w:rsidRDefault="00A00F9F" w:rsidP="00566970">
      <w:pPr>
        <w:spacing w:after="0" w:line="360" w:lineRule="auto"/>
        <w:rPr>
          <w:rFonts w:eastAsia="Times New Roman" w:cs="Tahoma"/>
          <w:iCs/>
          <w:shd w:val="clear" w:color="auto" w:fill="FFFFFF"/>
          <w:lang w:val="es-ES" w:eastAsia="es-ES"/>
        </w:rPr>
      </w:pPr>
    </w:p>
    <w:p w14:paraId="11D949ED" w14:textId="204C3123" w:rsidR="00A00F9F" w:rsidRPr="003E5C0B" w:rsidRDefault="00A00F9F" w:rsidP="00566970">
      <w:pPr>
        <w:spacing w:after="0" w:line="360" w:lineRule="auto"/>
        <w:rPr>
          <w:rFonts w:eastAsia="Times New Roman" w:cs="Times New Roman"/>
          <w:lang w:eastAsia="es-ES"/>
        </w:rPr>
      </w:pPr>
      <w:r w:rsidRPr="003E5C0B">
        <w:rPr>
          <w:rFonts w:eastAsia="Times New Roman" w:cs="Times New Roman"/>
          <w:lang w:eastAsia="es-ES"/>
        </w:rPr>
        <w:t xml:space="preserve">Lo anterior, se desprende de las documentales que obran en el expediente de referencia, materia de la presente resolución, consistentes en: la solicitud de acceso a la información; la respuesta proporcionada,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57F5CEC8" w14:textId="77777777" w:rsidR="00A00F9F" w:rsidRPr="003E5C0B" w:rsidRDefault="00A00F9F" w:rsidP="00566970">
      <w:pPr>
        <w:spacing w:after="0" w:line="360" w:lineRule="auto"/>
        <w:rPr>
          <w:rFonts w:eastAsia="Times New Roman" w:cs="Tahoma"/>
          <w:lang w:eastAsia="es-ES"/>
        </w:rPr>
      </w:pPr>
    </w:p>
    <w:p w14:paraId="0C0AA5A7" w14:textId="62B5A82D" w:rsidR="00A00F9F" w:rsidRPr="003E5C0B" w:rsidRDefault="00A00F9F" w:rsidP="00566970">
      <w:pPr>
        <w:spacing w:after="0" w:line="360" w:lineRule="auto"/>
        <w:rPr>
          <w:rFonts w:eastAsia="Times New Roman" w:cs="Tahoma"/>
          <w:b/>
          <w:lang w:eastAsia="es-ES"/>
        </w:rPr>
      </w:pPr>
      <w:r w:rsidRPr="003E5C0B">
        <w:rPr>
          <w:rFonts w:eastAsia="Times New Roman" w:cs="Tahoma"/>
          <w:b/>
          <w:lang w:eastAsia="es-ES"/>
        </w:rPr>
        <w:lastRenderedPageBreak/>
        <w:t>CUARTO. Marco normativo aplicable en materia de transparencia y acceso a la información pública</w:t>
      </w:r>
    </w:p>
    <w:p w14:paraId="0F81A6BA" w14:textId="77777777" w:rsidR="00A00F9F" w:rsidRPr="003E5C0B" w:rsidRDefault="00A00F9F" w:rsidP="00566970">
      <w:pPr>
        <w:spacing w:after="0" w:line="360" w:lineRule="auto"/>
        <w:rPr>
          <w:rFonts w:eastAsia="Times New Roman" w:cs="Tahoma"/>
          <w:b/>
          <w:lang w:eastAsia="es-ES"/>
        </w:rPr>
      </w:pPr>
    </w:p>
    <w:p w14:paraId="7BE5E3BD"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D5ED660" w14:textId="77777777" w:rsidR="00A00F9F" w:rsidRPr="003E5C0B" w:rsidRDefault="00A00F9F" w:rsidP="00566970">
      <w:pPr>
        <w:spacing w:after="0" w:line="360" w:lineRule="auto"/>
        <w:rPr>
          <w:rFonts w:eastAsia="Times New Roman" w:cs="Tahoma"/>
          <w:lang w:eastAsia="es-ES"/>
        </w:rPr>
      </w:pPr>
    </w:p>
    <w:p w14:paraId="7A52FF82"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5D2107E0" w14:textId="77777777" w:rsidR="00A00F9F" w:rsidRPr="003E5C0B" w:rsidRDefault="00A00F9F" w:rsidP="00566970">
      <w:pPr>
        <w:spacing w:after="0" w:line="360" w:lineRule="auto"/>
        <w:rPr>
          <w:rFonts w:eastAsia="Times New Roman" w:cs="Tahoma"/>
          <w:lang w:eastAsia="es-ES"/>
        </w:rPr>
      </w:pPr>
    </w:p>
    <w:p w14:paraId="5737FAB5"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999E5E5" w14:textId="77777777" w:rsidR="00A00F9F" w:rsidRPr="003E5C0B" w:rsidRDefault="00A00F9F" w:rsidP="00566970">
      <w:pPr>
        <w:spacing w:after="0" w:line="360" w:lineRule="auto"/>
        <w:rPr>
          <w:rFonts w:eastAsia="Times New Roman" w:cs="Tahoma"/>
          <w:lang w:eastAsia="es-ES"/>
        </w:rPr>
      </w:pPr>
    </w:p>
    <w:p w14:paraId="40154A7F"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t>Por su parte, la Ley de Transparencia y Acceso a la Información Pública del Estado de México y Municipios (Reglamentaria del artículo 5° de la Constitución Local), establece lo siguiente:</w:t>
      </w:r>
    </w:p>
    <w:p w14:paraId="0BD7CED8" w14:textId="77777777" w:rsidR="00A00F9F" w:rsidRPr="003E5C0B" w:rsidRDefault="00A00F9F" w:rsidP="00566970">
      <w:pPr>
        <w:spacing w:after="0" w:line="360" w:lineRule="auto"/>
        <w:rPr>
          <w:rFonts w:eastAsia="Times New Roman" w:cs="Tahoma"/>
          <w:lang w:eastAsia="es-ES"/>
        </w:rPr>
      </w:pPr>
    </w:p>
    <w:p w14:paraId="7126ECBD"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t>El artículo 12, que, quienes generen, recopilen, administren, manejen, procesen, archiven o conserven información pública serán responsables de la misma.</w:t>
      </w:r>
    </w:p>
    <w:p w14:paraId="7D54F84E" w14:textId="77777777" w:rsidR="00A00F9F" w:rsidRPr="003E5C0B" w:rsidRDefault="00A00F9F" w:rsidP="00566970">
      <w:pPr>
        <w:spacing w:after="0" w:line="360" w:lineRule="auto"/>
        <w:rPr>
          <w:rFonts w:eastAsia="Times New Roman" w:cs="Tahoma"/>
          <w:lang w:eastAsia="es-ES"/>
        </w:rPr>
      </w:pPr>
    </w:p>
    <w:p w14:paraId="3FC6CD09"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48B4A01F" w14:textId="77777777" w:rsidR="00A00F9F" w:rsidRPr="003E5C0B" w:rsidRDefault="00A00F9F" w:rsidP="00566970">
      <w:pPr>
        <w:spacing w:after="0" w:line="360" w:lineRule="auto"/>
        <w:rPr>
          <w:rFonts w:eastAsia="Times New Roman" w:cs="Tahoma"/>
          <w:lang w:eastAsia="es-ES"/>
        </w:rPr>
      </w:pPr>
    </w:p>
    <w:p w14:paraId="546F9489" w14:textId="77777777" w:rsidR="00A00F9F" w:rsidRPr="003E5C0B" w:rsidRDefault="00A00F9F" w:rsidP="00566970">
      <w:pPr>
        <w:spacing w:after="0" w:line="360" w:lineRule="auto"/>
        <w:rPr>
          <w:rFonts w:eastAsia="Times New Roman" w:cs="Tahoma"/>
          <w:lang w:eastAsia="es-ES"/>
        </w:rPr>
      </w:pPr>
      <w:r w:rsidRPr="003E5C0B">
        <w:rPr>
          <w:rFonts w:eastAsia="Times New Roman" w:cs="Tahoma"/>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22209E6" w14:textId="77777777" w:rsidR="00A00F9F" w:rsidRPr="003E5C0B" w:rsidRDefault="00A00F9F" w:rsidP="00566970">
      <w:pPr>
        <w:spacing w:after="0" w:line="360" w:lineRule="auto"/>
        <w:rPr>
          <w:rFonts w:eastAsia="Times New Roman" w:cs="Tahoma"/>
          <w:iCs/>
          <w:lang w:eastAsia="es-ES"/>
        </w:rPr>
      </w:pPr>
    </w:p>
    <w:p w14:paraId="5EE27E44" w14:textId="6E01AFC5" w:rsidR="00A00F9F" w:rsidRPr="003E5C0B" w:rsidRDefault="00A00F9F" w:rsidP="00566970">
      <w:pPr>
        <w:spacing w:after="0" w:line="360" w:lineRule="auto"/>
        <w:rPr>
          <w:rFonts w:eastAsia="Times New Roman" w:cs="Tahoma"/>
          <w:b/>
          <w:lang w:eastAsia="es-ES"/>
        </w:rPr>
      </w:pPr>
      <w:r w:rsidRPr="003E5C0B">
        <w:rPr>
          <w:rFonts w:eastAsia="Times New Roman" w:cs="Tahoma"/>
          <w:b/>
          <w:lang w:eastAsia="es-ES"/>
        </w:rPr>
        <w:t>QUINTO. Estudio de Fondo</w:t>
      </w:r>
    </w:p>
    <w:p w14:paraId="0D3648ED" w14:textId="77777777" w:rsidR="00DF5026" w:rsidRPr="003E5C0B" w:rsidRDefault="00DF5026" w:rsidP="00566970">
      <w:pPr>
        <w:spacing w:after="0" w:line="360" w:lineRule="auto"/>
        <w:rPr>
          <w:rFonts w:eastAsia="Times New Roman" w:cs="Tahoma"/>
          <w:b/>
          <w:lang w:eastAsia="es-ES"/>
        </w:rPr>
      </w:pPr>
    </w:p>
    <w:p w14:paraId="2C9141A3" w14:textId="148335EC" w:rsidR="00066E6D" w:rsidRPr="003E5C0B" w:rsidRDefault="00066E6D" w:rsidP="00566970">
      <w:pPr>
        <w:spacing w:after="0" w:line="360" w:lineRule="auto"/>
        <w:rPr>
          <w:rFonts w:eastAsia="Times New Roman" w:cs="Tahoma"/>
          <w:lang w:eastAsia="es-ES"/>
        </w:rPr>
      </w:pPr>
      <w:r w:rsidRPr="003E5C0B">
        <w:rPr>
          <w:rFonts w:eastAsia="Times New Roman" w:cs="Tahoma"/>
          <w:iCs/>
          <w:lang w:eastAsia="es-ES"/>
        </w:rPr>
        <w:t xml:space="preserve">Expuestas las posturas de las partes, se procede al análisis del agravio hecho valer por la persona Recurrente, </w:t>
      </w:r>
      <w:r w:rsidR="00384DEB" w:rsidRPr="003E5C0B">
        <w:rPr>
          <w:color w:val="000000"/>
        </w:rPr>
        <w:t xml:space="preserve">concerniente </w:t>
      </w:r>
      <w:r w:rsidR="00384DEB" w:rsidRPr="003E5C0B">
        <w:t xml:space="preserve">a la </w:t>
      </w:r>
      <w:r w:rsidR="009C5B6E" w:rsidRPr="003E5C0B">
        <w:t>entrega de información que no corresponde con lo solicitado</w:t>
      </w:r>
      <w:r w:rsidRPr="003E5C0B">
        <w:rPr>
          <w:rFonts w:eastAsia="Times New Roman" w:cs="Tahoma"/>
          <w:lang w:eastAsia="es-ES"/>
        </w:rPr>
        <w:t xml:space="preserve">, para lo cual, en principio es necesario contextualizar la solicitud de información. </w:t>
      </w:r>
    </w:p>
    <w:p w14:paraId="32951165" w14:textId="77777777" w:rsidR="00A46AA1" w:rsidRPr="003E5C0B" w:rsidRDefault="00A46AA1" w:rsidP="00566970">
      <w:pPr>
        <w:spacing w:after="0" w:line="360" w:lineRule="auto"/>
        <w:rPr>
          <w:rFonts w:eastAsia="Times New Roman" w:cs="Tahoma"/>
          <w:lang w:eastAsia="es-ES"/>
        </w:rPr>
      </w:pPr>
    </w:p>
    <w:p w14:paraId="42D725B3" w14:textId="77777777" w:rsidR="00A46AA1" w:rsidRPr="003E5C0B" w:rsidRDefault="00A46AA1" w:rsidP="00566970">
      <w:pPr>
        <w:spacing w:after="0" w:line="360" w:lineRule="auto"/>
        <w:ind w:right="-28"/>
        <w:contextualSpacing/>
        <w:rPr>
          <w:rFonts w:eastAsia="Calibri" w:cs="Tahoma"/>
          <w:b/>
        </w:rPr>
      </w:pPr>
      <w:r w:rsidRPr="003E5C0B">
        <w:rPr>
          <w:rFonts w:eastAsia="Times New Roman" w:cs="Tahoma"/>
          <w:lang w:eastAsia="es-ES"/>
        </w:rPr>
        <w:t xml:space="preserve">Al respecto, </w:t>
      </w:r>
      <w:r w:rsidRPr="003E5C0B">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52CE2043" w14:textId="77777777" w:rsidR="00A46AA1" w:rsidRPr="003E5C0B" w:rsidRDefault="00A46AA1" w:rsidP="00566970">
      <w:pPr>
        <w:spacing w:after="0" w:line="360" w:lineRule="auto"/>
        <w:ind w:right="-28"/>
        <w:contextualSpacing/>
        <w:rPr>
          <w:rFonts w:eastAsia="Calibri" w:cs="Tahoma"/>
          <w:b/>
        </w:rPr>
      </w:pPr>
    </w:p>
    <w:p w14:paraId="48B89B2F" w14:textId="77777777" w:rsidR="00A46AA1" w:rsidRPr="003E5C0B" w:rsidRDefault="00A46AA1" w:rsidP="00566970">
      <w:pPr>
        <w:spacing w:after="0" w:line="360" w:lineRule="auto"/>
        <w:rPr>
          <w:rFonts w:cs="Tahoma"/>
          <w:bCs/>
          <w:iCs/>
        </w:rPr>
      </w:pPr>
      <w:r w:rsidRPr="003E5C0B">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3E5C0B">
        <w:t xml:space="preserve">os funcionarios y empleados y, en general, a toda persona que desempeñe un empleo, cargo o comisión de cualquier naturaleza dentro </w:t>
      </w:r>
      <w:r w:rsidRPr="003E5C0B">
        <w:lastRenderedPageBreak/>
        <w:t>de la Administración Pública</w:t>
      </w:r>
      <w:r w:rsidRPr="003E5C0B">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13BDA2B3" w14:textId="77777777" w:rsidR="00A46AA1" w:rsidRPr="003E5C0B" w:rsidRDefault="00A46AA1" w:rsidP="00566970">
      <w:pPr>
        <w:spacing w:after="0" w:line="360" w:lineRule="auto"/>
        <w:rPr>
          <w:rFonts w:cs="Tahoma"/>
          <w:bCs/>
          <w:iCs/>
        </w:rPr>
      </w:pPr>
    </w:p>
    <w:p w14:paraId="68095AF3" w14:textId="77777777" w:rsidR="00A46AA1" w:rsidRPr="003E5C0B" w:rsidRDefault="00A46AA1" w:rsidP="00566970">
      <w:pPr>
        <w:spacing w:after="0" w:line="360" w:lineRule="auto"/>
        <w:ind w:right="-28"/>
        <w:contextualSpacing/>
        <w:rPr>
          <w:rFonts w:eastAsia="Calibri" w:cs="Tahoma"/>
          <w:bCs/>
          <w:color w:val="000000"/>
          <w:lang w:val="es-ES"/>
        </w:rPr>
      </w:pPr>
      <w:r w:rsidRPr="003E5C0B">
        <w:rPr>
          <w:rFonts w:eastAsia="Calibri" w:cs="Tahoma"/>
          <w:bCs/>
          <w:color w:val="000000"/>
          <w:lang w:val="es-ES"/>
        </w:rPr>
        <w:t xml:space="preserve">Además, el artículo 4°, fracción VI, de la Ley del Trabajo de los servidores públicos del Estado y Municipios, precisa que son </w:t>
      </w:r>
      <w:r w:rsidRPr="003E5C0B">
        <w:rPr>
          <w:rFonts w:eastAsia="Calibri" w:cs="Tahoma"/>
          <w:b/>
          <w:bCs/>
          <w:color w:val="000000"/>
          <w:lang w:val="es-ES"/>
        </w:rPr>
        <w:t>servidores públicos</w:t>
      </w:r>
      <w:r w:rsidRPr="003E5C0B">
        <w:rPr>
          <w:rFonts w:eastAsia="Calibri" w:cs="Tahoma"/>
          <w:bCs/>
          <w:color w:val="000000"/>
          <w:lang w:val="es-ES"/>
        </w:rPr>
        <w:t>, todas las personas físicas que presten a una institución pública un trabajo personal subordinado, mediante el pago de un sueldo.</w:t>
      </w:r>
    </w:p>
    <w:p w14:paraId="49F31C7B" w14:textId="77777777" w:rsidR="00A46AA1" w:rsidRPr="003E5C0B" w:rsidRDefault="00A46AA1" w:rsidP="00566970">
      <w:pPr>
        <w:spacing w:after="0" w:line="360" w:lineRule="auto"/>
        <w:ind w:right="-28"/>
        <w:contextualSpacing/>
        <w:rPr>
          <w:rFonts w:eastAsia="Calibri" w:cs="Tahoma"/>
          <w:bCs/>
          <w:color w:val="000000"/>
          <w:lang w:val="es-ES"/>
        </w:rPr>
      </w:pPr>
    </w:p>
    <w:p w14:paraId="0E986C5C" w14:textId="77777777" w:rsidR="00A46AA1" w:rsidRPr="003E5C0B" w:rsidRDefault="00A46AA1" w:rsidP="00566970">
      <w:pPr>
        <w:spacing w:after="0" w:line="360" w:lineRule="auto"/>
        <w:contextualSpacing/>
        <w:rPr>
          <w:rFonts w:eastAsia="Calibri" w:cs="Times New Roman"/>
          <w:bCs/>
        </w:rPr>
      </w:pPr>
      <w:r w:rsidRPr="003E5C0B">
        <w:rPr>
          <w:rFonts w:eastAsia="Calibri" w:cs="Times New Roman"/>
          <w:bCs/>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881B874" w14:textId="77777777" w:rsidR="00A46AA1" w:rsidRPr="003E5C0B" w:rsidRDefault="00A46AA1" w:rsidP="00566970">
      <w:pPr>
        <w:spacing w:after="0" w:line="360" w:lineRule="auto"/>
        <w:contextualSpacing/>
        <w:rPr>
          <w:rFonts w:eastAsia="Calibri" w:cs="Times New Roman"/>
          <w:bCs/>
        </w:rPr>
      </w:pPr>
    </w:p>
    <w:p w14:paraId="738DE200" w14:textId="77777777" w:rsidR="00A46AA1" w:rsidRPr="003E5C0B" w:rsidRDefault="00A46AA1" w:rsidP="00566970">
      <w:pPr>
        <w:spacing w:after="0" w:line="360" w:lineRule="auto"/>
        <w:contextualSpacing/>
        <w:rPr>
          <w:rFonts w:eastAsia="Calibri" w:cs="Times New Roman"/>
          <w:bCs/>
        </w:rPr>
      </w:pPr>
      <w:r w:rsidRPr="003E5C0B">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25240C1E" w14:textId="77777777" w:rsidR="00A46AA1" w:rsidRPr="003E5C0B" w:rsidRDefault="00A46AA1" w:rsidP="00566970">
      <w:pPr>
        <w:spacing w:after="0" w:line="360" w:lineRule="auto"/>
        <w:contextualSpacing/>
        <w:rPr>
          <w:rFonts w:eastAsia="Calibri" w:cs="Times New Roman"/>
          <w:bCs/>
        </w:rPr>
      </w:pPr>
    </w:p>
    <w:p w14:paraId="72F1A6F3" w14:textId="77777777" w:rsidR="00A46AA1" w:rsidRPr="003E5C0B" w:rsidRDefault="00A46AA1" w:rsidP="00566970">
      <w:pPr>
        <w:spacing w:after="0" w:line="360" w:lineRule="auto"/>
        <w:rPr>
          <w:color w:val="000000"/>
        </w:rPr>
      </w:pPr>
      <w:r w:rsidRPr="003E5C0B">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F7B79C2" w14:textId="77777777" w:rsidR="00A46AA1" w:rsidRPr="003E5C0B" w:rsidRDefault="00A46AA1" w:rsidP="00566970">
      <w:pPr>
        <w:spacing w:after="0" w:line="360" w:lineRule="auto"/>
        <w:rPr>
          <w:rFonts w:eastAsiaTheme="minorHAnsi" w:cs="Tahoma"/>
          <w:bCs/>
          <w:iCs/>
        </w:rPr>
      </w:pPr>
    </w:p>
    <w:p w14:paraId="665B380A" w14:textId="70C6CA7C" w:rsidR="00A46AA1" w:rsidRPr="003E5C0B" w:rsidRDefault="00A46AA1" w:rsidP="00566970">
      <w:pPr>
        <w:spacing w:after="0" w:line="360" w:lineRule="auto"/>
        <w:rPr>
          <w:b/>
        </w:rPr>
      </w:pPr>
      <w:r w:rsidRPr="003E5C0B">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3E5C0B">
        <w:rPr>
          <w:b/>
        </w:rPr>
        <w:t>1000 Servicios Personales</w:t>
      </w:r>
      <w:r w:rsidRPr="003E5C0B">
        <w:t>,</w:t>
      </w:r>
      <w:r w:rsidRPr="003E5C0B">
        <w:rPr>
          <w:b/>
        </w:rPr>
        <w:t xml:space="preserve"> que agrupa las remuneraciones del personal al servicio de los entes públicos, tales como el sueldo, salarios, dietas, honorarios, prestaciones, aguinaldo, obligaciones laborales, entre otras.</w:t>
      </w:r>
    </w:p>
    <w:p w14:paraId="2801654F" w14:textId="77777777" w:rsidR="00A46AA1" w:rsidRPr="003E5C0B" w:rsidRDefault="00A46AA1" w:rsidP="00566970">
      <w:pPr>
        <w:spacing w:after="0" w:line="360" w:lineRule="auto"/>
        <w:rPr>
          <w:b/>
        </w:rPr>
      </w:pPr>
    </w:p>
    <w:p w14:paraId="51AB5485" w14:textId="62E74D5A" w:rsidR="00A46AA1" w:rsidRPr="003E5C0B" w:rsidRDefault="00A46AA1" w:rsidP="00566970">
      <w:pPr>
        <w:autoSpaceDE w:val="0"/>
        <w:autoSpaceDN w:val="0"/>
        <w:adjustRightInd w:val="0"/>
        <w:spacing w:after="0" w:line="360" w:lineRule="auto"/>
        <w:rPr>
          <w:rFonts w:eastAsia="Calibri" w:cs="Tahoma"/>
          <w:bCs/>
          <w:iCs/>
          <w:color w:val="000000"/>
          <w:lang w:val="es-ES"/>
        </w:rPr>
      </w:pPr>
      <w:r w:rsidRPr="003E5C0B">
        <w:rPr>
          <w:rFonts w:eastAsia="Calibri" w:cs="Tahoma"/>
          <w:bCs/>
          <w:iCs/>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3E5C0B">
        <w:rPr>
          <w:rFonts w:eastAsia="Calibri" w:cs="Tahoma"/>
          <w:b/>
          <w:bCs/>
          <w:iCs/>
          <w:color w:val="000000"/>
        </w:rPr>
        <w:t>recibos de pago de salarios o las</w:t>
      </w:r>
      <w:r w:rsidRPr="003E5C0B">
        <w:rPr>
          <w:rFonts w:eastAsia="Calibri" w:cs="Tahoma"/>
          <w:bCs/>
          <w:iCs/>
          <w:color w:val="000000"/>
        </w:rPr>
        <w:t xml:space="preserve"> </w:t>
      </w:r>
      <w:r w:rsidRPr="003E5C0B">
        <w:rPr>
          <w:rFonts w:eastAsia="Calibri" w:cs="Tahoma"/>
          <w:b/>
          <w:bCs/>
          <w:iCs/>
          <w:color w:val="000000"/>
        </w:rPr>
        <w:t xml:space="preserve">constancias documentales del pago de sueldos, </w:t>
      </w:r>
      <w:r w:rsidRPr="003E5C0B">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3E5C0B">
        <w:rPr>
          <w:rFonts w:eastAsia="Calibri" w:cs="Tahoma"/>
          <w:bCs/>
          <w:iCs/>
          <w:color w:val="000000"/>
          <w:lang w:val="es-ES"/>
        </w:rPr>
        <w:t xml:space="preserve">vacacional, aguinaldo y demás prestaciones. </w:t>
      </w:r>
    </w:p>
    <w:p w14:paraId="34D65F0A" w14:textId="77777777" w:rsidR="00A46AA1" w:rsidRPr="003E5C0B" w:rsidRDefault="00A46AA1" w:rsidP="00566970">
      <w:pPr>
        <w:spacing w:after="0" w:line="360" w:lineRule="auto"/>
        <w:ind w:right="-28"/>
        <w:rPr>
          <w:rFonts w:eastAsia="Times New Roman" w:cs="Tahoma"/>
          <w:iCs/>
          <w:lang w:eastAsia="es-ES"/>
        </w:rPr>
      </w:pPr>
    </w:p>
    <w:p w14:paraId="1F08CB9E" w14:textId="77777777" w:rsidR="00A46AA1" w:rsidRPr="003E5C0B" w:rsidRDefault="00A46AA1" w:rsidP="00566970">
      <w:pPr>
        <w:spacing w:after="0" w:line="360" w:lineRule="auto"/>
        <w:rPr>
          <w:rFonts w:eastAsia="Calibri" w:cs="Times New Roman"/>
          <w:bCs/>
          <w:color w:val="000000"/>
        </w:rPr>
      </w:pPr>
      <w:r w:rsidRPr="003E5C0B">
        <w:rPr>
          <w:rFonts w:eastAsia="Calibri" w:cs="Times New Roman"/>
          <w:bCs/>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2F781CBB" w14:textId="77777777" w:rsidR="00A46AA1" w:rsidRPr="003E5C0B" w:rsidRDefault="00A46AA1" w:rsidP="00566970">
      <w:pPr>
        <w:spacing w:after="0" w:line="360" w:lineRule="auto"/>
        <w:rPr>
          <w:rFonts w:eastAsia="Calibri" w:cs="Times New Roman"/>
          <w:bCs/>
          <w:color w:val="000000"/>
        </w:rPr>
      </w:pPr>
    </w:p>
    <w:p w14:paraId="2DF2EB7B" w14:textId="77777777" w:rsidR="00A46AA1" w:rsidRPr="003E5C0B" w:rsidRDefault="00A46AA1" w:rsidP="00566970">
      <w:pPr>
        <w:spacing w:after="0" w:line="360" w:lineRule="auto"/>
        <w:ind w:left="567" w:right="567"/>
        <w:rPr>
          <w:rFonts w:eastAsia="Calibri" w:cs="Times New Roman"/>
          <w:bCs/>
          <w:i/>
          <w:iCs/>
          <w:color w:val="000000"/>
          <w:sz w:val="20"/>
          <w:szCs w:val="20"/>
          <w:lang w:val="es-ES"/>
        </w:rPr>
      </w:pPr>
      <w:r w:rsidRPr="003E5C0B">
        <w:rPr>
          <w:rFonts w:eastAsia="Calibri" w:cs="Times New Roman"/>
          <w:b/>
          <w:bCs/>
          <w:i/>
          <w:iCs/>
          <w:color w:val="000000"/>
          <w:sz w:val="20"/>
          <w:szCs w:val="20"/>
          <w:lang w:val="es-ES"/>
        </w:rPr>
        <w:t>“RECIBOS DE PAGO</w:t>
      </w:r>
      <w:r w:rsidRPr="003E5C0B">
        <w:rPr>
          <w:rFonts w:eastAsia="Calibri" w:cs="Times New Roman"/>
          <w:bCs/>
          <w:i/>
          <w:iCs/>
          <w:color w:val="000000"/>
          <w:sz w:val="20"/>
          <w:szCs w:val="20"/>
          <w:lang w:val="es-ES"/>
        </w:rPr>
        <w:t xml:space="preserve"> </w:t>
      </w:r>
      <w:r w:rsidRPr="003E5C0B">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3E5C0B">
        <w:rPr>
          <w:rFonts w:eastAsia="Calibri" w:cs="Times New Roman"/>
          <w:bCs/>
          <w:i/>
          <w:iCs/>
          <w:color w:val="000000"/>
          <w:sz w:val="20"/>
          <w:szCs w:val="20"/>
          <w:lang w:val="es-ES"/>
        </w:rPr>
        <w:t xml:space="preserve">En materia burocrática los </w:t>
      </w:r>
      <w:r w:rsidRPr="003E5C0B">
        <w:rPr>
          <w:rFonts w:eastAsia="Calibri" w:cs="Times New Roman"/>
          <w:bCs/>
          <w:i/>
          <w:iCs/>
          <w:color w:val="000000"/>
          <w:sz w:val="20"/>
          <w:szCs w:val="20"/>
          <w:lang w:val="es-ES"/>
        </w:rPr>
        <w:lastRenderedPageBreak/>
        <w:t>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5B409457" w14:textId="77777777" w:rsidR="00A46AA1" w:rsidRPr="003E5C0B" w:rsidRDefault="00A46AA1" w:rsidP="00566970">
      <w:pPr>
        <w:spacing w:after="0" w:line="360" w:lineRule="auto"/>
        <w:rPr>
          <w:rFonts w:eastAsia="Calibri" w:cs="Times New Roman"/>
          <w:b/>
          <w:bCs/>
          <w:i/>
          <w:iCs/>
          <w:color w:val="000000"/>
          <w:lang w:val="es-ES"/>
        </w:rPr>
      </w:pPr>
    </w:p>
    <w:p w14:paraId="5787B275" w14:textId="77777777" w:rsidR="00A46AA1" w:rsidRPr="003E5C0B" w:rsidRDefault="00A46AA1" w:rsidP="00566970">
      <w:pPr>
        <w:spacing w:after="0" w:line="360" w:lineRule="auto"/>
        <w:rPr>
          <w:rFonts w:eastAsia="Calibri" w:cs="Times New Roman"/>
          <w:bCs/>
          <w:color w:val="000000"/>
          <w:lang w:val="es-ES"/>
        </w:rPr>
      </w:pPr>
      <w:r w:rsidRPr="003E5C0B">
        <w:rPr>
          <w:rFonts w:eastAsia="Calibri" w:cs="Times New Roman"/>
          <w:bCs/>
          <w:color w:val="000000"/>
          <w:lang w:val="es-ES"/>
        </w:rPr>
        <w:t xml:space="preserve">De la tesis transcrita, se desprende que </w:t>
      </w:r>
      <w:r w:rsidRPr="003E5C0B">
        <w:rPr>
          <w:rFonts w:eastAsia="Calibri" w:cs="Times New Roman"/>
          <w:b/>
          <w:bCs/>
          <w:color w:val="000000"/>
          <w:lang w:val="es-ES"/>
        </w:rPr>
        <w:t>en materia burocrática</w:t>
      </w:r>
      <w:r w:rsidRPr="003E5C0B">
        <w:rPr>
          <w:rFonts w:eastAsia="Calibri" w:cs="Times New Roman"/>
          <w:bCs/>
          <w:color w:val="000000"/>
          <w:lang w:val="es-ES"/>
        </w:rPr>
        <w:t xml:space="preserve"> </w:t>
      </w:r>
      <w:r w:rsidRPr="003E5C0B">
        <w:rPr>
          <w:rFonts w:eastAsia="Calibri" w:cs="Times New Roman"/>
          <w:b/>
          <w:bCs/>
          <w:color w:val="000000"/>
          <w:lang w:val="es-ES"/>
        </w:rPr>
        <w:t>los recibos de pago acreditan los conceptos y montos que en ellos se insertan</w:t>
      </w:r>
      <w:r w:rsidRPr="003E5C0B">
        <w:rPr>
          <w:rFonts w:eastAsia="Calibri" w:cs="Times New Roman"/>
          <w:bCs/>
          <w:color w:val="000000"/>
          <w:lang w:val="es-ES"/>
        </w:rPr>
        <w:t>, y constituyen prueba para demostrar las percepciones y montos que reciben los servidores públicos.</w:t>
      </w:r>
    </w:p>
    <w:p w14:paraId="5481D5E3" w14:textId="77777777" w:rsidR="00A46AA1" w:rsidRPr="003E5C0B" w:rsidRDefault="00A46AA1" w:rsidP="00566970">
      <w:pPr>
        <w:spacing w:after="0" w:line="360" w:lineRule="auto"/>
        <w:contextualSpacing/>
        <w:rPr>
          <w:rFonts w:eastAsia="Calibri" w:cs="Times New Roman"/>
          <w:bCs/>
        </w:rPr>
      </w:pPr>
    </w:p>
    <w:p w14:paraId="13F741C8" w14:textId="16D28AD9" w:rsidR="00A46AA1" w:rsidRPr="003E5C0B" w:rsidRDefault="00A46AA1" w:rsidP="00566970">
      <w:pPr>
        <w:spacing w:after="0" w:line="360" w:lineRule="auto"/>
        <w:rPr>
          <w:b/>
          <w:color w:val="000000"/>
        </w:rPr>
      </w:pPr>
      <w:r w:rsidRPr="003E5C0B">
        <w:rPr>
          <w:color w:val="000000"/>
        </w:rPr>
        <w:t>Ahora bien, respecto de la nómina</w:t>
      </w:r>
      <w:r w:rsidRPr="003E5C0B">
        <w:rPr>
          <w:b/>
          <w:color w:val="000000"/>
        </w:rPr>
        <w:t xml:space="preserve">, </w:t>
      </w:r>
      <w:r w:rsidRPr="003E5C0B">
        <w:rPr>
          <w:color w:val="000000"/>
        </w:rPr>
        <w:t>el Glosario localizado en la página de Transparencia Presupuestaria de la Secretaría de Hacienda y Crédito Público (</w:t>
      </w:r>
      <w:hyperlink r:id="rId9" w:history="1">
        <w:r w:rsidRPr="003E5C0B">
          <w:rPr>
            <w:rStyle w:val="Hipervnculo"/>
            <w:color w:val="0563C1"/>
          </w:rPr>
          <w:t>http://www.transparenciapresupuestaria.gob.mx/es/PTP/Glosario</w:t>
        </w:r>
      </w:hyperlink>
      <w:r w:rsidRPr="003E5C0B">
        <w:rPr>
          <w:color w:val="000000"/>
        </w:rPr>
        <w:t xml:space="preserve">), establece que la </w:t>
      </w:r>
      <w:r w:rsidRPr="003E5C0B">
        <w:rPr>
          <w:b/>
          <w:color w:val="000000"/>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0FA340BE" w14:textId="77777777" w:rsidR="00A46AA1" w:rsidRPr="003E5C0B" w:rsidRDefault="00A46AA1" w:rsidP="00566970">
      <w:pPr>
        <w:spacing w:after="0" w:line="360" w:lineRule="auto"/>
        <w:contextualSpacing/>
        <w:rPr>
          <w:rFonts w:eastAsia="Calibri" w:cs="Times New Roman"/>
          <w:bCs/>
        </w:rPr>
      </w:pPr>
    </w:p>
    <w:p w14:paraId="04F77D83" w14:textId="77777777" w:rsidR="00A46AA1" w:rsidRPr="003E5C0B" w:rsidRDefault="00A46AA1" w:rsidP="00566970">
      <w:pPr>
        <w:spacing w:after="0" w:line="360" w:lineRule="auto"/>
        <w:rPr>
          <w:b/>
          <w:color w:val="000000"/>
        </w:rPr>
      </w:pPr>
      <w:r w:rsidRPr="003E5C0B">
        <w:rPr>
          <w:color w:val="000000"/>
        </w:rPr>
        <w:t>De la misma manera, el Glosario de términos más usuales en la Administración Pública Federal, emitido por la Secretaría de Hacienda y Crédito Público (</w:t>
      </w:r>
      <w:hyperlink r:id="rId10" w:history="1">
        <w:r w:rsidRPr="003E5C0B">
          <w:rPr>
            <w:rStyle w:val="Hipervnculo"/>
            <w:color w:val="0563C1"/>
          </w:rPr>
          <w:t>http://www.apartados.hacienda.gob.mx/contabilidad/documentos/informe_cuenta/1998/c</w:t>
        </w:r>
        <w:r w:rsidRPr="003E5C0B">
          <w:rPr>
            <w:rStyle w:val="Hipervnculo"/>
            <w:color w:val="0563C1"/>
          </w:rPr>
          <w:lastRenderedPageBreak/>
          <w:t>uenta_publica/Glosario/n.htm</w:t>
        </w:r>
      </w:hyperlink>
      <w:r w:rsidRPr="003E5C0B">
        <w:rPr>
          <w:color w:val="000000"/>
        </w:rPr>
        <w:t xml:space="preserve">), establece que la </w:t>
      </w:r>
      <w:r w:rsidRPr="003E5C0B">
        <w:rPr>
          <w:b/>
          <w:color w:val="000000"/>
          <w:u w:val="single"/>
        </w:rPr>
        <w:t>nómina es un listado general</w:t>
      </w:r>
      <w:r w:rsidRPr="003E5C0B">
        <w:rPr>
          <w:b/>
          <w:color w:val="000000"/>
        </w:rPr>
        <w:t xml:space="preserve"> de los trabajadores de una institución, en el cual se asientan las percepciones brutas, deducciones y alcance neto de las mismas.</w:t>
      </w:r>
    </w:p>
    <w:p w14:paraId="2596BED1" w14:textId="77777777" w:rsidR="00A46AA1" w:rsidRPr="003E5C0B" w:rsidRDefault="00A46AA1" w:rsidP="00566970">
      <w:pPr>
        <w:spacing w:after="0" w:line="360" w:lineRule="auto"/>
        <w:rPr>
          <w:color w:val="000000"/>
        </w:rPr>
      </w:pPr>
    </w:p>
    <w:p w14:paraId="2323228E" w14:textId="77777777" w:rsidR="00A46AA1" w:rsidRPr="003E5C0B" w:rsidRDefault="00A46AA1" w:rsidP="00566970">
      <w:pPr>
        <w:spacing w:after="0" w:line="360" w:lineRule="auto"/>
        <w:rPr>
          <w:color w:val="000000"/>
        </w:rPr>
      </w:pPr>
      <w:r w:rsidRPr="003E5C0B">
        <w:rPr>
          <w:color w:val="000000"/>
        </w:rPr>
        <w:t>Conforme a lo anterior, se puede advertir que la nómina se puede referir a lo siguiente:</w:t>
      </w:r>
    </w:p>
    <w:p w14:paraId="15F17822" w14:textId="77777777" w:rsidR="00A46AA1" w:rsidRPr="003E5C0B" w:rsidRDefault="00A46AA1" w:rsidP="00566970">
      <w:pPr>
        <w:spacing w:after="0" w:line="360" w:lineRule="auto"/>
        <w:rPr>
          <w:color w:val="000000"/>
        </w:rPr>
      </w:pPr>
    </w:p>
    <w:p w14:paraId="6B9A5BF5" w14:textId="77777777" w:rsidR="00A46AA1" w:rsidRPr="003E5C0B" w:rsidRDefault="00A46AA1" w:rsidP="00566970">
      <w:pPr>
        <w:numPr>
          <w:ilvl w:val="0"/>
          <w:numId w:val="4"/>
        </w:numPr>
        <w:spacing w:after="0" w:line="360" w:lineRule="auto"/>
        <w:rPr>
          <w:color w:val="000000"/>
        </w:rPr>
      </w:pPr>
      <w:r w:rsidRPr="003E5C0B">
        <w:rPr>
          <w:color w:val="000000"/>
        </w:rPr>
        <w:t>Relación de trabajadores con las percepciones monetarias de cada uno.</w:t>
      </w:r>
    </w:p>
    <w:p w14:paraId="320B03E2" w14:textId="77777777" w:rsidR="00A46AA1" w:rsidRPr="003E5C0B" w:rsidRDefault="00A46AA1" w:rsidP="00566970">
      <w:pPr>
        <w:numPr>
          <w:ilvl w:val="0"/>
          <w:numId w:val="4"/>
        </w:numPr>
        <w:spacing w:after="0" w:line="360" w:lineRule="auto"/>
        <w:rPr>
          <w:color w:val="000000"/>
        </w:rPr>
      </w:pPr>
      <w:r w:rsidRPr="003E5C0B">
        <w:rPr>
          <w:color w:val="000000"/>
        </w:rPr>
        <w:t>Recibo individual que contiene las prestaciones y deducciones de un trabajador.</w:t>
      </w:r>
    </w:p>
    <w:p w14:paraId="12582EED" w14:textId="77777777" w:rsidR="00A46AA1" w:rsidRPr="003E5C0B" w:rsidRDefault="00A46AA1" w:rsidP="00566970">
      <w:pPr>
        <w:numPr>
          <w:ilvl w:val="0"/>
          <w:numId w:val="4"/>
        </w:numPr>
        <w:spacing w:after="0" w:line="360" w:lineRule="auto"/>
        <w:rPr>
          <w:b/>
          <w:color w:val="000000"/>
        </w:rPr>
      </w:pPr>
      <w:r w:rsidRPr="003E5C0B">
        <w:rPr>
          <w:b/>
          <w:color w:val="000000"/>
        </w:rPr>
        <w:t>Listado general de los servidores públicos de una institución o dependencia, en el cual se asientan las percepciones brutas, deducciones y alcance neto de las mismas.</w:t>
      </w:r>
    </w:p>
    <w:p w14:paraId="5C0CEF5F" w14:textId="77777777" w:rsidR="00A46AA1" w:rsidRPr="003E5C0B" w:rsidRDefault="00A46AA1" w:rsidP="00566970">
      <w:pPr>
        <w:spacing w:after="0" w:line="360" w:lineRule="auto"/>
        <w:rPr>
          <w:color w:val="000000"/>
        </w:rPr>
      </w:pPr>
    </w:p>
    <w:p w14:paraId="7747EEF8" w14:textId="21080BCC" w:rsidR="00A46AA1" w:rsidRPr="003E5C0B" w:rsidRDefault="00A46AA1" w:rsidP="00566970">
      <w:pPr>
        <w:spacing w:after="0" w:line="360" w:lineRule="auto"/>
      </w:pPr>
      <w:r w:rsidRPr="003E5C0B">
        <w:t xml:space="preserve">En ese contexto, los Lineamientos para la Integración y Entrega del Informe Trimestral Municipal, dos mil veinticuatro, emitidos por el Órgano Superior de Fiscalización del Estado de México, el cual precisa que los Ayuntamientos deben de proporcionar, para su fiscalización, diversos documentos, entre los cuales se encuentran aquellos del </w:t>
      </w:r>
      <w:r w:rsidR="00693A44" w:rsidRPr="003E5C0B">
        <w:rPr>
          <w:rFonts w:eastAsia="Calibri" w:cs="Times New Roman"/>
          <w:b/>
          <w:color w:val="000000"/>
        </w:rPr>
        <w:t>Módulo 1</w:t>
      </w:r>
      <w:r w:rsidR="00693A44" w:rsidRPr="003E5C0B">
        <w:rPr>
          <w:rFonts w:eastAsia="Calibri" w:cs="Times New Roman"/>
          <w:bCs/>
          <w:color w:val="000000"/>
        </w:rPr>
        <w:t xml:space="preserve">, se advierte que se encuentran </w:t>
      </w:r>
      <w:r w:rsidR="00693A44" w:rsidRPr="003E5C0B">
        <w:rPr>
          <w:rFonts w:eastAsia="Calibri" w:cs="Times New Roman"/>
          <w:b/>
          <w:color w:val="000000"/>
        </w:rPr>
        <w:t xml:space="preserve">los Comprobantes Fiscales Digitales por Internet por concepto de </w:t>
      </w:r>
      <w:r w:rsidR="00693A44" w:rsidRPr="003E5C0B">
        <w:rPr>
          <w:rFonts w:eastAsia="Calibri" w:cs="Times New Roman"/>
          <w:bCs/>
          <w:color w:val="000000"/>
        </w:rPr>
        <w:t>Nómina</w:t>
      </w:r>
      <w:r w:rsidR="00693A44" w:rsidRPr="003E5C0B">
        <w:rPr>
          <w:bCs/>
        </w:rPr>
        <w:t xml:space="preserve">; así como del </w:t>
      </w:r>
      <w:r w:rsidRPr="003E5C0B">
        <w:rPr>
          <w:b/>
        </w:rPr>
        <w:t>Módulo 4</w:t>
      </w:r>
      <w:r w:rsidRPr="003E5C0B">
        <w:t xml:space="preserve">, que contienen la </w:t>
      </w:r>
      <w:r w:rsidRPr="003E5C0B">
        <w:rPr>
          <w:b/>
        </w:rPr>
        <w:t xml:space="preserve">Conciliación de Nómina, </w:t>
      </w:r>
      <w:r w:rsidRPr="003E5C0B">
        <w:t xml:space="preserve">el cual se conforma de </w:t>
      </w:r>
      <w:r w:rsidRPr="003E5C0B">
        <w:rPr>
          <w:b/>
          <w:bCs/>
        </w:rPr>
        <w:t>del listado de servidores públicos, con todas sus percepciones y deducciones, mismo que se genera de manera quincenal.</w:t>
      </w:r>
    </w:p>
    <w:p w14:paraId="1AEBF73D" w14:textId="77777777" w:rsidR="00A46AA1" w:rsidRPr="003E5C0B" w:rsidRDefault="00A46AA1" w:rsidP="00566970">
      <w:pPr>
        <w:spacing w:after="0" w:line="360" w:lineRule="auto"/>
      </w:pPr>
    </w:p>
    <w:p w14:paraId="71CD3EAB" w14:textId="63E76B9D" w:rsidR="00C251CA" w:rsidRPr="003E5C0B" w:rsidRDefault="00C251CA" w:rsidP="00C251CA">
      <w:pPr>
        <w:spacing w:after="0" w:line="360" w:lineRule="auto"/>
        <w:ind w:right="-93"/>
        <w:rPr>
          <w:rFonts w:eastAsia="Calibri" w:cs="Tahoma"/>
          <w:b/>
          <w:bCs/>
        </w:rPr>
      </w:pPr>
      <w:r w:rsidRPr="003E5C0B">
        <w:rPr>
          <w:rFonts w:eastAsia="Calibri" w:cs="Tahoma"/>
          <w:bCs/>
        </w:rPr>
        <w:t xml:space="preserve">Además, el Manual para la Planeación, Programación y Presupuesto de Egresos Municipal, para el Ejercicio Fiscal dos mil veinticuatro, en su apartado Glosario de Términos, establece que los servidores públicos son todos aquellos que prestan sus servicios en la Administración Pública Estatal y Municipal, sean de carácter </w:t>
      </w:r>
      <w:r w:rsidRPr="003E5C0B">
        <w:rPr>
          <w:rFonts w:eastAsia="Calibri" w:cs="Tahoma"/>
          <w:b/>
        </w:rPr>
        <w:t>permanente o transitorio</w:t>
      </w:r>
      <w:r w:rsidRPr="003E5C0B">
        <w:rPr>
          <w:rFonts w:eastAsia="Calibri" w:cs="Tahoma"/>
          <w:b/>
          <w:bCs/>
        </w:rPr>
        <w:t xml:space="preserve">; </w:t>
      </w:r>
      <w:r w:rsidRPr="003E5C0B">
        <w:rPr>
          <w:rFonts w:eastAsia="Calibri" w:cs="Tahoma"/>
          <w:bCs/>
        </w:rPr>
        <w:t xml:space="preserve">además dicho ordenamiento, establece la estructura del Clasificador por Objeto del Gasto, que establece el </w:t>
      </w:r>
      <w:r w:rsidRPr="003E5C0B">
        <w:rPr>
          <w:rFonts w:eastAsia="Calibri" w:cs="Tahoma"/>
          <w:bCs/>
        </w:rPr>
        <w:lastRenderedPageBreak/>
        <w:t xml:space="preserve">Concepto, así como, la partida genérica y específica, entre las cuales se encuentra la denominada </w:t>
      </w:r>
      <w:r w:rsidRPr="003E5C0B">
        <w:rPr>
          <w:rFonts w:eastAsia="Calibri" w:cs="Tahoma"/>
          <w:b/>
          <w:bCs/>
        </w:rPr>
        <w:t xml:space="preserve">Remuneraciones al Personal de Carácter Transitorio (1200): </w:t>
      </w:r>
      <w:r w:rsidRPr="003E5C0B">
        <w:rPr>
          <w:rFonts w:eastAsia="Calibri" w:cs="Tahoma"/>
          <w:bCs/>
        </w:rPr>
        <w:t>Asignaciones destinadas a cubrir las percepciones correspondientes al personal eventual, se subdivide en:</w:t>
      </w:r>
    </w:p>
    <w:p w14:paraId="69EA1670" w14:textId="77777777" w:rsidR="00C251CA" w:rsidRPr="003E5C0B" w:rsidRDefault="00C251CA" w:rsidP="00C251CA">
      <w:pPr>
        <w:spacing w:after="0" w:line="360" w:lineRule="auto"/>
        <w:ind w:left="720" w:right="-93"/>
        <w:contextualSpacing/>
        <w:rPr>
          <w:rFonts w:eastAsia="Calibri" w:cs="Tahoma"/>
          <w:b/>
          <w:bCs/>
        </w:rPr>
      </w:pPr>
    </w:p>
    <w:p w14:paraId="4B52EFF6" w14:textId="7D0421A6" w:rsidR="00C251CA" w:rsidRPr="003E5C0B" w:rsidRDefault="00C251CA" w:rsidP="00566970">
      <w:pPr>
        <w:numPr>
          <w:ilvl w:val="0"/>
          <w:numId w:val="33"/>
        </w:numPr>
        <w:spacing w:after="0" w:line="360" w:lineRule="auto"/>
        <w:ind w:right="-93"/>
        <w:contextualSpacing/>
        <w:rPr>
          <w:rFonts w:eastAsia="Calibri" w:cs="Tahoma"/>
          <w:b/>
          <w:bCs/>
        </w:rPr>
      </w:pPr>
      <w:r w:rsidRPr="003E5C0B">
        <w:rPr>
          <w:rFonts w:eastAsia="Calibri" w:cs="Tahoma"/>
          <w:b/>
          <w:bCs/>
        </w:rPr>
        <w:t xml:space="preserve">Honorarios asimilables a salario (1210 y 1211): </w:t>
      </w:r>
      <w:r w:rsidRPr="003E5C0B">
        <w:rPr>
          <w:rFonts w:eastAsia="Calibri" w:cs="Tahoma"/>
          <w:bCs/>
        </w:rPr>
        <w:t>Asignaciones destinadas a cubrir el pago por la prestación de servicios contratados, por personas físicas, como profesionistas, técnicos, expertos y peritos, por estudios, obras o trabajos determinados, o bien, para que realicen una actividad específica;</w:t>
      </w:r>
    </w:p>
    <w:p w14:paraId="0B5516A6" w14:textId="77777777" w:rsidR="00C251CA" w:rsidRPr="003E5C0B" w:rsidRDefault="00C251CA" w:rsidP="00566970">
      <w:pPr>
        <w:spacing w:after="0" w:line="360" w:lineRule="auto"/>
      </w:pPr>
    </w:p>
    <w:p w14:paraId="47D49E03" w14:textId="563F8D07" w:rsidR="001845AC" w:rsidRPr="003E5C0B" w:rsidRDefault="001845AC" w:rsidP="00566970">
      <w:pPr>
        <w:spacing w:after="0" w:line="360" w:lineRule="auto"/>
      </w:pPr>
      <w:r w:rsidRPr="003E5C0B">
        <w:t xml:space="preserve">Además, se realizó una búsqueda en el Portal de Información Pública de Oficio Mexiquense (IPOMEX), Artículo 92, fracción XI “Contrataciones de servicios profesionales por honorarios”, en la liga electrónica </w:t>
      </w:r>
      <w:hyperlink r:id="rId11" w:anchor="/info-fraccion/16/126/1" w:history="1">
        <w:r w:rsidRPr="003E5C0B">
          <w:rPr>
            <w:rStyle w:val="Hipervnculo"/>
          </w:rPr>
          <w:t>https://infoem2.ipomex.org.mx/ipomex/#/info-fraccion/16/126/1</w:t>
        </w:r>
      </w:hyperlink>
      <w:r w:rsidRPr="003E5C0B">
        <w:t xml:space="preserve"> , donde se localizaron seis registros y contratos de servicios profesionales por honorarios, como se muestra a continuación:</w:t>
      </w:r>
    </w:p>
    <w:p w14:paraId="2AD54F8E" w14:textId="77777777" w:rsidR="001845AC" w:rsidRPr="003E5C0B" w:rsidRDefault="001845AC" w:rsidP="00566970">
      <w:pPr>
        <w:spacing w:after="0" w:line="360" w:lineRule="auto"/>
      </w:pPr>
    </w:p>
    <w:p w14:paraId="15AD05F8" w14:textId="22E0BA33" w:rsidR="001845AC" w:rsidRPr="003E5C0B" w:rsidRDefault="001845AC" w:rsidP="001845AC">
      <w:pPr>
        <w:spacing w:after="0" w:line="360" w:lineRule="auto"/>
        <w:jc w:val="center"/>
      </w:pPr>
      <w:r w:rsidRPr="003E5C0B">
        <w:rPr>
          <w:noProof/>
        </w:rPr>
        <w:drawing>
          <wp:inline distT="0" distB="0" distL="0" distR="0" wp14:anchorId="2254092D" wp14:editId="2ADFDB7E">
            <wp:extent cx="4333875" cy="1857097"/>
            <wp:effectExtent l="0" t="0" r="0" b="0"/>
            <wp:docPr id="736631835"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31835" name="Imagen 4" descr="Tabl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0447" cy="1864198"/>
                    </a:xfrm>
                    <a:prstGeom prst="rect">
                      <a:avLst/>
                    </a:prstGeom>
                  </pic:spPr>
                </pic:pic>
              </a:graphicData>
            </a:graphic>
          </wp:inline>
        </w:drawing>
      </w:r>
    </w:p>
    <w:p w14:paraId="0066A1D0" w14:textId="67876FA0" w:rsidR="00CC0DA7" w:rsidRPr="003E5C0B" w:rsidRDefault="00CC0DA7" w:rsidP="00CC0DA7">
      <w:pPr>
        <w:spacing w:after="0" w:line="360" w:lineRule="auto"/>
      </w:pPr>
      <w:r w:rsidRPr="003E5C0B">
        <w:t>Además, se localizaron en dichos registros que existen registros para todo el ejercicio fiscal dos mil veinticuatro, es decir, que concluyen en diciembre de dicho año; por lo que, es claro que cuenta con la información de servidores públicos por honorarios.</w:t>
      </w:r>
    </w:p>
    <w:p w14:paraId="609BF2B5" w14:textId="77777777" w:rsidR="00632F9D" w:rsidRPr="003E5C0B" w:rsidRDefault="00632F9D" w:rsidP="00566970">
      <w:pPr>
        <w:spacing w:after="0" w:line="360" w:lineRule="auto"/>
      </w:pPr>
    </w:p>
    <w:p w14:paraId="63BB35F6" w14:textId="72C3BAFC" w:rsidR="00831C13" w:rsidRPr="003E5C0B" w:rsidRDefault="00E64648" w:rsidP="00566970">
      <w:pPr>
        <w:spacing w:after="0" w:line="360" w:lineRule="auto"/>
      </w:pPr>
      <w:r w:rsidRPr="003E5C0B">
        <w:lastRenderedPageBreak/>
        <w:t>Ahora bien, el artículo 93, del Bando Municipal de Huehuetoca, dos mil veinticuatro,</w:t>
      </w:r>
      <w:r w:rsidR="00831C13" w:rsidRPr="003E5C0B">
        <w:t xml:space="preserve"> establece que, para el desarrollo de los asuntos administrativos y la prestación de los servicios públicos, la Administración Pública Municipal Centralizada se integrará de</w:t>
      </w:r>
      <w:r w:rsidRPr="003E5C0B">
        <w:t xml:space="preserve"> </w:t>
      </w:r>
      <w:r w:rsidR="00831C13" w:rsidRPr="003E5C0B">
        <w:t>las dependencias administrativas siguientes:</w:t>
      </w:r>
    </w:p>
    <w:p w14:paraId="65B12DE9" w14:textId="77777777" w:rsidR="00831C13" w:rsidRPr="003E5C0B" w:rsidRDefault="00831C13" w:rsidP="00566970">
      <w:pPr>
        <w:spacing w:after="0" w:line="360" w:lineRule="auto"/>
      </w:pPr>
    </w:p>
    <w:p w14:paraId="2B4CB7F8" w14:textId="77777777" w:rsidR="00C320C4" w:rsidRPr="003E5C0B" w:rsidRDefault="00831C13" w:rsidP="00566970">
      <w:pPr>
        <w:pStyle w:val="Prrafodelista"/>
        <w:numPr>
          <w:ilvl w:val="0"/>
          <w:numId w:val="5"/>
        </w:numPr>
        <w:spacing w:line="360" w:lineRule="auto"/>
      </w:pPr>
      <w:r w:rsidRPr="003E5C0B">
        <w:t xml:space="preserve">Presidencia Municipal; </w:t>
      </w:r>
    </w:p>
    <w:p w14:paraId="56F99451" w14:textId="77777777" w:rsidR="00C320C4" w:rsidRPr="003E5C0B" w:rsidRDefault="00831C13" w:rsidP="00566970">
      <w:pPr>
        <w:pStyle w:val="Prrafodelista"/>
        <w:numPr>
          <w:ilvl w:val="0"/>
          <w:numId w:val="5"/>
        </w:numPr>
        <w:spacing w:line="360" w:lineRule="auto"/>
      </w:pPr>
      <w:r w:rsidRPr="003E5C0B">
        <w:t xml:space="preserve">Secretaría del Ayuntamiento; </w:t>
      </w:r>
    </w:p>
    <w:p w14:paraId="1A22078D" w14:textId="77777777" w:rsidR="00C320C4" w:rsidRPr="003E5C0B" w:rsidRDefault="00831C13" w:rsidP="00566970">
      <w:pPr>
        <w:pStyle w:val="Prrafodelista"/>
        <w:numPr>
          <w:ilvl w:val="0"/>
          <w:numId w:val="5"/>
        </w:numPr>
        <w:spacing w:line="360" w:lineRule="auto"/>
      </w:pPr>
      <w:r w:rsidRPr="003E5C0B">
        <w:t>Contraloría Interna Municipal;</w:t>
      </w:r>
    </w:p>
    <w:p w14:paraId="1BF0FAEF" w14:textId="77777777" w:rsidR="00C320C4" w:rsidRPr="003E5C0B" w:rsidRDefault="00831C13" w:rsidP="00566970">
      <w:pPr>
        <w:pStyle w:val="Prrafodelista"/>
        <w:numPr>
          <w:ilvl w:val="0"/>
          <w:numId w:val="5"/>
        </w:numPr>
        <w:spacing w:line="360" w:lineRule="auto"/>
      </w:pPr>
      <w:r w:rsidRPr="003E5C0B">
        <w:t>Tesorería Municipal;</w:t>
      </w:r>
    </w:p>
    <w:p w14:paraId="0F05F57F" w14:textId="77777777" w:rsidR="00C320C4" w:rsidRPr="003E5C0B" w:rsidRDefault="00831C13" w:rsidP="00566970">
      <w:pPr>
        <w:pStyle w:val="Prrafodelista"/>
        <w:numPr>
          <w:ilvl w:val="0"/>
          <w:numId w:val="5"/>
        </w:numPr>
        <w:spacing w:line="360" w:lineRule="auto"/>
      </w:pPr>
      <w:r w:rsidRPr="003E5C0B">
        <w:t>Secretaria Técnica;</w:t>
      </w:r>
    </w:p>
    <w:p w14:paraId="0E5D4E4B" w14:textId="77777777" w:rsidR="00C320C4" w:rsidRPr="003E5C0B" w:rsidRDefault="00831C13" w:rsidP="00566970">
      <w:pPr>
        <w:pStyle w:val="Prrafodelista"/>
        <w:numPr>
          <w:ilvl w:val="0"/>
          <w:numId w:val="5"/>
        </w:numPr>
        <w:spacing w:line="360" w:lineRule="auto"/>
      </w:pPr>
      <w:r w:rsidRPr="003E5C0B">
        <w:t>Dirección de Comunicación Social;</w:t>
      </w:r>
    </w:p>
    <w:p w14:paraId="1342A220" w14:textId="77777777" w:rsidR="00C320C4" w:rsidRPr="003E5C0B" w:rsidRDefault="00831C13" w:rsidP="00566970">
      <w:pPr>
        <w:pStyle w:val="Prrafodelista"/>
        <w:numPr>
          <w:ilvl w:val="0"/>
          <w:numId w:val="5"/>
        </w:numPr>
        <w:spacing w:line="360" w:lineRule="auto"/>
      </w:pPr>
      <w:r w:rsidRPr="003E5C0B">
        <w:t>Dirección de Gobierno;</w:t>
      </w:r>
    </w:p>
    <w:p w14:paraId="5A7AE7E1" w14:textId="77777777" w:rsidR="00C320C4" w:rsidRPr="003E5C0B" w:rsidRDefault="00831C13" w:rsidP="00566970">
      <w:pPr>
        <w:pStyle w:val="Prrafodelista"/>
        <w:numPr>
          <w:ilvl w:val="0"/>
          <w:numId w:val="5"/>
        </w:numPr>
        <w:spacing w:line="360" w:lineRule="auto"/>
      </w:pPr>
      <w:r w:rsidRPr="003E5C0B">
        <w:t>Dirección Jurídica - Consultiva;</w:t>
      </w:r>
    </w:p>
    <w:p w14:paraId="5AE93D29" w14:textId="77777777" w:rsidR="00C320C4" w:rsidRPr="003E5C0B" w:rsidRDefault="00831C13" w:rsidP="00566970">
      <w:pPr>
        <w:pStyle w:val="Prrafodelista"/>
        <w:numPr>
          <w:ilvl w:val="0"/>
          <w:numId w:val="5"/>
        </w:numPr>
        <w:spacing w:line="360" w:lineRule="auto"/>
      </w:pPr>
      <w:r w:rsidRPr="003E5C0B">
        <w:t>Dirección de Administración de Recursos Humanos y Servicios Generales;</w:t>
      </w:r>
    </w:p>
    <w:p w14:paraId="789AE481" w14:textId="77777777" w:rsidR="00C320C4" w:rsidRPr="003E5C0B" w:rsidRDefault="00831C13" w:rsidP="00566970">
      <w:pPr>
        <w:pStyle w:val="Prrafodelista"/>
        <w:numPr>
          <w:ilvl w:val="0"/>
          <w:numId w:val="5"/>
        </w:numPr>
        <w:spacing w:line="360" w:lineRule="auto"/>
      </w:pPr>
      <w:r w:rsidRPr="003E5C0B">
        <w:t>Dirección de Obras y Mantenimiento Urbano;</w:t>
      </w:r>
    </w:p>
    <w:p w14:paraId="44743EA6" w14:textId="77777777" w:rsidR="00C320C4" w:rsidRPr="003E5C0B" w:rsidRDefault="00831C13" w:rsidP="00566970">
      <w:pPr>
        <w:pStyle w:val="Prrafodelista"/>
        <w:numPr>
          <w:ilvl w:val="0"/>
          <w:numId w:val="5"/>
        </w:numPr>
        <w:spacing w:line="360" w:lineRule="auto"/>
      </w:pPr>
      <w:r w:rsidRPr="003E5C0B">
        <w:t>Dirección de Desarrollo Urbano;</w:t>
      </w:r>
    </w:p>
    <w:p w14:paraId="01965996" w14:textId="77777777" w:rsidR="00C320C4" w:rsidRPr="003E5C0B" w:rsidRDefault="00831C13" w:rsidP="00566970">
      <w:pPr>
        <w:pStyle w:val="Prrafodelista"/>
        <w:numPr>
          <w:ilvl w:val="0"/>
          <w:numId w:val="5"/>
        </w:numPr>
        <w:spacing w:line="360" w:lineRule="auto"/>
      </w:pPr>
      <w:r w:rsidRPr="003E5C0B">
        <w:t>Dirección de Ecología y Medio Ambiente;</w:t>
      </w:r>
    </w:p>
    <w:p w14:paraId="3D1225CC" w14:textId="77777777" w:rsidR="00C320C4" w:rsidRPr="003E5C0B" w:rsidRDefault="00831C13" w:rsidP="00566970">
      <w:pPr>
        <w:pStyle w:val="Prrafodelista"/>
        <w:numPr>
          <w:ilvl w:val="0"/>
          <w:numId w:val="5"/>
        </w:numPr>
        <w:spacing w:line="360" w:lineRule="auto"/>
      </w:pPr>
      <w:r w:rsidRPr="003E5C0B">
        <w:t>Dirección de Desarrollo Económico y Ordenamiento Comercial;</w:t>
      </w:r>
    </w:p>
    <w:p w14:paraId="560BC3FB" w14:textId="77777777" w:rsidR="00C320C4" w:rsidRPr="003E5C0B" w:rsidRDefault="00831C13" w:rsidP="00566970">
      <w:pPr>
        <w:pStyle w:val="Prrafodelista"/>
        <w:numPr>
          <w:ilvl w:val="0"/>
          <w:numId w:val="5"/>
        </w:numPr>
        <w:spacing w:line="360" w:lineRule="auto"/>
      </w:pPr>
      <w:r w:rsidRPr="003E5C0B">
        <w:t>Dirección de Seguridad Pública y Vialidad Municipal;</w:t>
      </w:r>
    </w:p>
    <w:p w14:paraId="32833722" w14:textId="77777777" w:rsidR="00C320C4" w:rsidRPr="003E5C0B" w:rsidRDefault="00831C13" w:rsidP="00566970">
      <w:pPr>
        <w:pStyle w:val="Prrafodelista"/>
        <w:numPr>
          <w:ilvl w:val="0"/>
          <w:numId w:val="5"/>
        </w:numPr>
        <w:spacing w:line="360" w:lineRule="auto"/>
      </w:pPr>
      <w:r w:rsidRPr="003E5C0B">
        <w:t>Dirección de Agua Potable, Alcantarillado y Saneamiento;</w:t>
      </w:r>
    </w:p>
    <w:p w14:paraId="6D392463" w14:textId="77777777" w:rsidR="00C320C4" w:rsidRPr="003E5C0B" w:rsidRDefault="00831C13" w:rsidP="00566970">
      <w:pPr>
        <w:pStyle w:val="Prrafodelista"/>
        <w:numPr>
          <w:ilvl w:val="0"/>
          <w:numId w:val="5"/>
        </w:numPr>
        <w:spacing w:line="360" w:lineRule="auto"/>
      </w:pPr>
      <w:r w:rsidRPr="003E5C0B">
        <w:t>Dirección de Servicios Públicos;</w:t>
      </w:r>
    </w:p>
    <w:p w14:paraId="68BCF7F8" w14:textId="77777777" w:rsidR="00C320C4" w:rsidRPr="003E5C0B" w:rsidRDefault="00831C13" w:rsidP="00566970">
      <w:pPr>
        <w:pStyle w:val="Prrafodelista"/>
        <w:numPr>
          <w:ilvl w:val="0"/>
          <w:numId w:val="5"/>
        </w:numPr>
        <w:spacing w:line="360" w:lineRule="auto"/>
      </w:pPr>
      <w:r w:rsidRPr="003E5C0B">
        <w:t>Dirección de Fomento Agrícola y Pecuario;</w:t>
      </w:r>
    </w:p>
    <w:p w14:paraId="325D3748" w14:textId="77777777" w:rsidR="00C320C4" w:rsidRPr="003E5C0B" w:rsidRDefault="00831C13" w:rsidP="00566970">
      <w:pPr>
        <w:pStyle w:val="Prrafodelista"/>
        <w:numPr>
          <w:ilvl w:val="0"/>
          <w:numId w:val="5"/>
        </w:numPr>
        <w:spacing w:line="360" w:lineRule="auto"/>
      </w:pPr>
      <w:r w:rsidRPr="003E5C0B">
        <w:t>Dirección de Desarrollo Social y Atención Integral de la Mujer;</w:t>
      </w:r>
    </w:p>
    <w:p w14:paraId="798A8DB8" w14:textId="642F0943" w:rsidR="00C320C4" w:rsidRPr="003E5C0B" w:rsidRDefault="00831C13" w:rsidP="00566970">
      <w:pPr>
        <w:pStyle w:val="Prrafodelista"/>
        <w:numPr>
          <w:ilvl w:val="0"/>
          <w:numId w:val="5"/>
        </w:numPr>
        <w:spacing w:line="360" w:lineRule="auto"/>
      </w:pPr>
      <w:r w:rsidRPr="003E5C0B">
        <w:t>Dirección de Fomento al Trabajo</w:t>
      </w:r>
      <w:r w:rsidR="00C320C4" w:rsidRPr="003E5C0B">
        <w:t>, y</w:t>
      </w:r>
    </w:p>
    <w:p w14:paraId="7310E2CA" w14:textId="7780DCC2" w:rsidR="00831C13" w:rsidRPr="003E5C0B" w:rsidRDefault="00831C13" w:rsidP="00566970">
      <w:pPr>
        <w:pStyle w:val="Prrafodelista"/>
        <w:numPr>
          <w:ilvl w:val="0"/>
          <w:numId w:val="5"/>
        </w:numPr>
        <w:spacing w:line="360" w:lineRule="auto"/>
      </w:pPr>
      <w:r w:rsidRPr="003E5C0B">
        <w:t>Dirección de Educación y Fomento a la Cultura</w:t>
      </w:r>
      <w:r w:rsidR="00C320C4" w:rsidRPr="003E5C0B">
        <w:t>.</w:t>
      </w:r>
    </w:p>
    <w:p w14:paraId="628BB9E8" w14:textId="77777777" w:rsidR="00831C13" w:rsidRPr="003E5C0B" w:rsidRDefault="00831C13" w:rsidP="00566970">
      <w:pPr>
        <w:spacing w:after="0" w:line="360" w:lineRule="auto"/>
      </w:pPr>
    </w:p>
    <w:p w14:paraId="54028D57" w14:textId="1FEBBDD1" w:rsidR="00A46AA1" w:rsidRPr="003E5C0B" w:rsidRDefault="00C320C4" w:rsidP="00566970">
      <w:pPr>
        <w:spacing w:after="0" w:line="360" w:lineRule="auto"/>
      </w:pPr>
      <w:r w:rsidRPr="003E5C0B">
        <w:lastRenderedPageBreak/>
        <w:t>En ese sentido,</w:t>
      </w:r>
      <w:r w:rsidR="00E64648" w:rsidRPr="003E5C0B">
        <w:t xml:space="preserve"> los artículos 152 y 166, del Reglamento Orgánico Municipal de Huehuetoca, vigente, establecen que, para el desarrollo de los asuntos administrativos y la prestación de los servicios públicos, la Administración Pública Municipal Centralizada se integrará de una Tesorería Municipal, la cual a través de su Coordinación de Nóminas se encargará de garantizar la programación y pago oportuno de nómina, elaborar la solicitud de transferencia bancaria para la dispersión y pago de nóminas e integrar y registrar las nóminas y sus recibos originales. </w:t>
      </w:r>
    </w:p>
    <w:p w14:paraId="266B6D5C" w14:textId="77777777" w:rsidR="003B61E8" w:rsidRPr="003E5C0B" w:rsidRDefault="003B61E8" w:rsidP="00566970">
      <w:pPr>
        <w:spacing w:after="0" w:line="360" w:lineRule="auto"/>
        <w:rPr>
          <w:rFonts w:eastAsia="Times New Roman" w:cs="Tahoma"/>
          <w:lang w:eastAsia="es-ES"/>
        </w:rPr>
      </w:pPr>
    </w:p>
    <w:p w14:paraId="3424BDF4" w14:textId="77777777" w:rsidR="003D7889" w:rsidRPr="003E5C0B" w:rsidRDefault="002B6F70" w:rsidP="00566970">
      <w:pPr>
        <w:spacing w:after="0" w:line="360" w:lineRule="auto"/>
        <w:rPr>
          <w:rFonts w:eastAsia="Times New Roman" w:cs="Tahoma"/>
          <w:lang w:eastAsia="es-ES"/>
        </w:rPr>
      </w:pPr>
      <w:r w:rsidRPr="003E5C0B">
        <w:rPr>
          <w:rFonts w:cs="Tahoma"/>
        </w:rPr>
        <w:t xml:space="preserve">Conforme a lo anterior, se logra vislumbrar que la pretensión de la persona recurrente es obtener, </w:t>
      </w:r>
      <w:r w:rsidR="003D7889" w:rsidRPr="003E5C0B">
        <w:rPr>
          <w:rFonts w:eastAsia="Times New Roman" w:cs="Tahoma"/>
          <w:lang w:eastAsia="es-ES"/>
        </w:rPr>
        <w:t>de todo el personal adscrito al Ayuntamiento de Huehuetoca, de la segunda quincena de julio de dos mil veinticuatro, lo siguiente:</w:t>
      </w:r>
    </w:p>
    <w:p w14:paraId="00980F83" w14:textId="77777777" w:rsidR="003D7889" w:rsidRPr="003E5C0B" w:rsidRDefault="003D7889" w:rsidP="00566970">
      <w:pPr>
        <w:spacing w:after="0" w:line="360" w:lineRule="auto"/>
        <w:rPr>
          <w:rFonts w:eastAsia="Times New Roman" w:cs="Tahoma"/>
          <w:lang w:eastAsia="es-ES"/>
        </w:rPr>
      </w:pPr>
    </w:p>
    <w:p w14:paraId="6497CE35" w14:textId="4B82446F" w:rsidR="003D7889" w:rsidRPr="003E5C0B" w:rsidRDefault="003D7889" w:rsidP="00566970">
      <w:pPr>
        <w:pStyle w:val="Prrafodelista"/>
        <w:numPr>
          <w:ilvl w:val="0"/>
          <w:numId w:val="3"/>
        </w:numPr>
        <w:spacing w:line="360" w:lineRule="auto"/>
        <w:rPr>
          <w:rFonts w:cs="Tahoma"/>
        </w:rPr>
      </w:pPr>
      <w:r w:rsidRPr="003E5C0B">
        <w:rPr>
          <w:rFonts w:cs="Tahoma"/>
        </w:rPr>
        <w:t>Recibos de nómina</w:t>
      </w:r>
      <w:r w:rsidR="00693A44" w:rsidRPr="003E5C0B">
        <w:rPr>
          <w:rFonts w:cs="Tahoma"/>
        </w:rPr>
        <w:t>, y</w:t>
      </w:r>
    </w:p>
    <w:p w14:paraId="2ECEBB3F" w14:textId="55074E74" w:rsidR="003D7889" w:rsidRPr="003E5C0B" w:rsidRDefault="003D7889" w:rsidP="00566970">
      <w:pPr>
        <w:pStyle w:val="Prrafodelista"/>
        <w:numPr>
          <w:ilvl w:val="0"/>
          <w:numId w:val="3"/>
        </w:numPr>
        <w:spacing w:line="360" w:lineRule="auto"/>
        <w:rPr>
          <w:rFonts w:cs="Tahoma"/>
        </w:rPr>
      </w:pPr>
      <w:r w:rsidRPr="003E5C0B">
        <w:rPr>
          <w:rFonts w:cs="Tahoma"/>
        </w:rPr>
        <w:t>Conciliación de Nómina</w:t>
      </w:r>
    </w:p>
    <w:p w14:paraId="613CC51B" w14:textId="6D510FB5" w:rsidR="00C251CA" w:rsidRPr="003E5C0B" w:rsidRDefault="00C251CA" w:rsidP="00C251CA">
      <w:pPr>
        <w:pStyle w:val="Prrafodelista"/>
        <w:numPr>
          <w:ilvl w:val="0"/>
          <w:numId w:val="28"/>
        </w:numPr>
        <w:spacing w:line="360" w:lineRule="auto"/>
        <w:ind w:right="-28"/>
        <w:rPr>
          <w:rFonts w:eastAsia="Calibri" w:cs="Tahoma"/>
          <w:bCs/>
          <w:color w:val="auto"/>
          <w:lang w:val="x-none"/>
        </w:rPr>
      </w:pPr>
      <w:r w:rsidRPr="003E5C0B">
        <w:rPr>
          <w:rFonts w:cs="Tahoma"/>
        </w:rPr>
        <w:t xml:space="preserve">Documento donde conste el pago a </w:t>
      </w:r>
      <w:r w:rsidRPr="003E5C0B">
        <w:rPr>
          <w:rFonts w:eastAsia="Calibri" w:cs="Tahoma"/>
          <w:bCs/>
          <w:color w:val="auto"/>
        </w:rPr>
        <w:t>prestadores de servicios por honorarios.</w:t>
      </w:r>
    </w:p>
    <w:p w14:paraId="7B928E12" w14:textId="4BF225B8" w:rsidR="003D7889" w:rsidRPr="003E5C0B" w:rsidRDefault="003D7889" w:rsidP="00566970">
      <w:pPr>
        <w:spacing w:after="0" w:line="360" w:lineRule="auto"/>
        <w:rPr>
          <w:rFonts w:cs="Tahoma"/>
        </w:rPr>
      </w:pPr>
    </w:p>
    <w:p w14:paraId="194BFCEB" w14:textId="416FB208" w:rsidR="00041403" w:rsidRPr="003E5C0B" w:rsidRDefault="00041403" w:rsidP="00566970">
      <w:pPr>
        <w:spacing w:after="0" w:line="360" w:lineRule="auto"/>
        <w:ind w:right="-93"/>
        <w:rPr>
          <w:color w:val="000000"/>
        </w:rPr>
      </w:pPr>
      <w:r w:rsidRPr="003E5C0B">
        <w:rPr>
          <w:color w:val="000000"/>
        </w:rPr>
        <w:t>Ahora bien, se procede analizar la información proporcionada por el Sujeto Obligado, para lo cual, cabe señalar que este, turnó la solicitud de información, a la Tesorería Municipal;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332908D" w14:textId="77777777" w:rsidR="00041403" w:rsidRPr="003E5C0B" w:rsidRDefault="00041403" w:rsidP="00566970">
      <w:pPr>
        <w:spacing w:after="0" w:line="360" w:lineRule="auto"/>
        <w:ind w:right="-93"/>
        <w:rPr>
          <w:color w:val="000000"/>
        </w:rPr>
      </w:pPr>
    </w:p>
    <w:p w14:paraId="15E02826" w14:textId="77777777" w:rsidR="00041403" w:rsidRPr="003E5C0B" w:rsidRDefault="00041403" w:rsidP="00566970">
      <w:pPr>
        <w:numPr>
          <w:ilvl w:val="0"/>
          <w:numId w:val="2"/>
        </w:numPr>
        <w:spacing w:after="0" w:line="360" w:lineRule="auto"/>
        <w:ind w:right="-93"/>
        <w:rPr>
          <w:color w:val="000000"/>
        </w:rPr>
      </w:pPr>
      <w:r w:rsidRPr="003E5C0B">
        <w:rPr>
          <w:color w:val="000000"/>
        </w:rPr>
        <w:t xml:space="preserve">Las Unidades de Transparencia garantizarán que las solicitudes de acceso a la información se turnen a todas las áreas competentes que cuenten con la información o deban tenerla -de acuerdo a las facultades, competencias y funciones-, con el objeto </w:t>
      </w:r>
      <w:r w:rsidRPr="003E5C0B">
        <w:rPr>
          <w:color w:val="000000"/>
        </w:rPr>
        <w:lastRenderedPageBreak/>
        <w:t xml:space="preserve">de que dichas áreas realicen una búsqueda exhaustiva y razonable de la información requerida, y </w:t>
      </w:r>
    </w:p>
    <w:p w14:paraId="5370F2C0" w14:textId="77777777" w:rsidR="00041403" w:rsidRPr="003E5C0B" w:rsidRDefault="00041403" w:rsidP="00566970">
      <w:pPr>
        <w:spacing w:after="0" w:line="360" w:lineRule="auto"/>
        <w:ind w:left="720" w:right="-93"/>
        <w:rPr>
          <w:color w:val="000000"/>
        </w:rPr>
      </w:pPr>
    </w:p>
    <w:p w14:paraId="2F1D8B63" w14:textId="77777777" w:rsidR="00041403" w:rsidRPr="003E5C0B" w:rsidRDefault="00041403" w:rsidP="00566970">
      <w:pPr>
        <w:numPr>
          <w:ilvl w:val="0"/>
          <w:numId w:val="2"/>
        </w:numPr>
        <w:spacing w:after="0" w:line="360" w:lineRule="auto"/>
        <w:ind w:right="-93"/>
        <w:rPr>
          <w:color w:val="000000"/>
        </w:rPr>
      </w:pPr>
      <w:r w:rsidRPr="003E5C0B">
        <w:rPr>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1EE52BB3" w14:textId="77777777" w:rsidR="00041403" w:rsidRPr="003E5C0B" w:rsidRDefault="00041403" w:rsidP="00566970">
      <w:pPr>
        <w:spacing w:after="0" w:line="360" w:lineRule="auto"/>
        <w:ind w:right="-93"/>
        <w:rPr>
          <w:color w:val="000000"/>
        </w:rPr>
      </w:pPr>
    </w:p>
    <w:p w14:paraId="20ABF88E" w14:textId="77777777" w:rsidR="00041403" w:rsidRPr="003E5C0B" w:rsidRDefault="00041403" w:rsidP="00566970">
      <w:pPr>
        <w:spacing w:after="0" w:line="360" w:lineRule="auto"/>
        <w:ind w:right="-93"/>
        <w:rPr>
          <w:color w:val="000000"/>
        </w:rPr>
      </w:pPr>
      <w:r w:rsidRPr="003E5C0B">
        <w:rPr>
          <w:color w:val="000000"/>
        </w:rPr>
        <w:t>Así y de lo anteriormente expuesto, se advierte que el Sujeto Obligado cumplió con el procedimiento de búsqueda referido, al turnar la solicitud de información al área competente para conocer sobre la conciliación de nómina y recibos de nómina quincenales.</w:t>
      </w:r>
    </w:p>
    <w:p w14:paraId="28A728E3" w14:textId="77777777" w:rsidR="00041403" w:rsidRPr="003E5C0B" w:rsidRDefault="00041403" w:rsidP="00566970">
      <w:pPr>
        <w:spacing w:after="0" w:line="360" w:lineRule="auto"/>
        <w:ind w:right="-93"/>
        <w:rPr>
          <w:color w:val="000000"/>
        </w:rPr>
      </w:pPr>
    </w:p>
    <w:p w14:paraId="58CA45F2" w14:textId="693A22A4" w:rsidR="00041403" w:rsidRPr="003E5C0B" w:rsidRDefault="004961DF" w:rsidP="00566970">
      <w:pPr>
        <w:spacing w:after="0" w:line="360" w:lineRule="auto"/>
        <w:ind w:right="-93"/>
        <w:rPr>
          <w:color w:val="000000"/>
        </w:rPr>
      </w:pPr>
      <w:r w:rsidRPr="003E5C0B">
        <w:rPr>
          <w:color w:val="000000"/>
        </w:rPr>
        <w:t xml:space="preserve">Ahora bien, en respuesta, la Tesorería Municipal, </w:t>
      </w:r>
      <w:r w:rsidR="005C6E97" w:rsidRPr="003E5C0B">
        <w:rPr>
          <w:color w:val="000000"/>
        </w:rPr>
        <w:t xml:space="preserve">entregó seiscientos noventa y uno recibos de nómina </w:t>
      </w:r>
      <w:r w:rsidR="00FA096A" w:rsidRPr="003E5C0B">
        <w:rPr>
          <w:color w:val="000000"/>
        </w:rPr>
        <w:t>de la segunda quincena de julio de dos mil veinticuatro, así como, la nómina de la segunda quincena de julio de dos mil veinticuatro, que contiene nombre completo, departamento, puesto, tipo de empleado y sueldo neto, como se muestra a continuación:</w:t>
      </w:r>
    </w:p>
    <w:p w14:paraId="731FD4B0" w14:textId="77777777" w:rsidR="00FA096A" w:rsidRPr="003E5C0B" w:rsidRDefault="00FA096A" w:rsidP="00566970">
      <w:pPr>
        <w:spacing w:after="0" w:line="360" w:lineRule="auto"/>
        <w:ind w:right="-93"/>
        <w:rPr>
          <w:color w:val="000000"/>
        </w:rPr>
      </w:pPr>
    </w:p>
    <w:p w14:paraId="5C5036CB" w14:textId="66EE3540" w:rsidR="00FA096A" w:rsidRPr="003E5C0B" w:rsidRDefault="00FA096A" w:rsidP="00566970">
      <w:pPr>
        <w:spacing w:after="0" w:line="360" w:lineRule="auto"/>
        <w:ind w:right="-93"/>
        <w:rPr>
          <w:color w:val="000000"/>
        </w:rPr>
      </w:pPr>
      <w:r w:rsidRPr="003E5C0B">
        <w:rPr>
          <w:noProof/>
          <w:color w:val="000000"/>
        </w:rPr>
        <w:drawing>
          <wp:inline distT="0" distB="0" distL="0" distR="0" wp14:anchorId="5B7DD2D5" wp14:editId="302B1FFE">
            <wp:extent cx="5671185" cy="1911350"/>
            <wp:effectExtent l="0" t="0" r="5715" b="0"/>
            <wp:docPr id="4606967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96706" name="Imagen 460696706"/>
                    <pic:cNvPicPr/>
                  </pic:nvPicPr>
                  <pic:blipFill rotWithShape="1">
                    <a:blip r:embed="rId13">
                      <a:extLst>
                        <a:ext uri="{28A0092B-C50C-407E-A947-70E740481C1C}">
                          <a14:useLocalDpi xmlns:a14="http://schemas.microsoft.com/office/drawing/2010/main" val="0"/>
                        </a:ext>
                      </a:extLst>
                    </a:blip>
                    <a:srcRect t="12245"/>
                    <a:stretch/>
                  </pic:blipFill>
                  <pic:spPr bwMode="auto">
                    <a:xfrm>
                      <a:off x="0" y="0"/>
                      <a:ext cx="5671185" cy="1911350"/>
                    </a:xfrm>
                    <a:prstGeom prst="rect">
                      <a:avLst/>
                    </a:prstGeom>
                    <a:ln>
                      <a:noFill/>
                    </a:ln>
                    <a:extLst>
                      <a:ext uri="{53640926-AAD7-44D8-BBD7-CCE9431645EC}">
                        <a14:shadowObscured xmlns:a14="http://schemas.microsoft.com/office/drawing/2010/main"/>
                      </a:ext>
                    </a:extLst>
                  </pic:spPr>
                </pic:pic>
              </a:graphicData>
            </a:graphic>
          </wp:inline>
        </w:drawing>
      </w:r>
    </w:p>
    <w:p w14:paraId="4C8C266B" w14:textId="2A69A65E" w:rsidR="00FA096A" w:rsidRPr="003E5C0B" w:rsidRDefault="00FA096A" w:rsidP="00566970">
      <w:pPr>
        <w:spacing w:after="0" w:line="360" w:lineRule="auto"/>
        <w:ind w:right="-93"/>
        <w:rPr>
          <w:color w:val="000000"/>
        </w:rPr>
      </w:pPr>
      <w:r w:rsidRPr="003E5C0B">
        <w:rPr>
          <w:noProof/>
          <w:color w:val="000000"/>
        </w:rPr>
        <w:lastRenderedPageBreak/>
        <w:drawing>
          <wp:inline distT="0" distB="0" distL="0" distR="0" wp14:anchorId="32203692" wp14:editId="6A3E1E25">
            <wp:extent cx="5671185" cy="1467485"/>
            <wp:effectExtent l="0" t="0" r="5715" b="0"/>
            <wp:docPr id="325578517"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78517" name="Imagen 2" descr="Tabla&#10;&#10;Descripción generada automáticamente con confianza media"/>
                    <pic:cNvPicPr/>
                  </pic:nvPicPr>
                  <pic:blipFill rotWithShape="1">
                    <a:blip r:embed="rId14">
                      <a:extLst>
                        <a:ext uri="{28A0092B-C50C-407E-A947-70E740481C1C}">
                          <a14:useLocalDpi xmlns:a14="http://schemas.microsoft.com/office/drawing/2010/main" val="0"/>
                        </a:ext>
                      </a:extLst>
                    </a:blip>
                    <a:srcRect t="5866"/>
                    <a:stretch/>
                  </pic:blipFill>
                  <pic:spPr bwMode="auto">
                    <a:xfrm>
                      <a:off x="0" y="0"/>
                      <a:ext cx="5671185" cy="1467485"/>
                    </a:xfrm>
                    <a:prstGeom prst="rect">
                      <a:avLst/>
                    </a:prstGeom>
                    <a:ln>
                      <a:noFill/>
                    </a:ln>
                    <a:extLst>
                      <a:ext uri="{53640926-AAD7-44D8-BBD7-CCE9431645EC}">
                        <a14:shadowObscured xmlns:a14="http://schemas.microsoft.com/office/drawing/2010/main"/>
                      </a:ext>
                    </a:extLst>
                  </pic:spPr>
                </pic:pic>
              </a:graphicData>
            </a:graphic>
          </wp:inline>
        </w:drawing>
      </w:r>
    </w:p>
    <w:p w14:paraId="6DC494C9" w14:textId="77777777" w:rsidR="00041403" w:rsidRPr="003E5C0B" w:rsidRDefault="00041403" w:rsidP="00566970">
      <w:pPr>
        <w:spacing w:after="0" w:line="360" w:lineRule="auto"/>
        <w:rPr>
          <w:rFonts w:cs="Tahoma"/>
        </w:rPr>
      </w:pPr>
    </w:p>
    <w:p w14:paraId="5DDD3C0E" w14:textId="599D8DA4" w:rsidR="00693A44" w:rsidRPr="003E5C0B" w:rsidRDefault="0056093D" w:rsidP="00566970">
      <w:pPr>
        <w:spacing w:after="0" w:line="360" w:lineRule="auto"/>
        <w:rPr>
          <w:rFonts w:cs="Tahoma"/>
        </w:rPr>
      </w:pPr>
      <w:r w:rsidRPr="003E5C0B">
        <w:rPr>
          <w:rFonts w:cs="Tahoma"/>
        </w:rPr>
        <w:t>De l</w:t>
      </w:r>
      <w:r w:rsidR="0023305D" w:rsidRPr="003E5C0B">
        <w:rPr>
          <w:rFonts w:cs="Tahoma"/>
        </w:rPr>
        <w:t>o anterior</w:t>
      </w:r>
      <w:r w:rsidRPr="003E5C0B">
        <w:rPr>
          <w:rFonts w:cs="Tahoma"/>
        </w:rPr>
        <w:t>, s</w:t>
      </w:r>
      <w:r w:rsidR="0023305D" w:rsidRPr="003E5C0B">
        <w:rPr>
          <w:rFonts w:cs="Tahoma"/>
        </w:rPr>
        <w:t>e observa que</w:t>
      </w:r>
      <w:r w:rsidR="00094059" w:rsidRPr="003E5C0B">
        <w:rPr>
          <w:rFonts w:cs="Tahoma"/>
        </w:rPr>
        <w:t>,</w:t>
      </w:r>
      <w:r w:rsidR="0023305D" w:rsidRPr="003E5C0B">
        <w:rPr>
          <w:rFonts w:cs="Tahoma"/>
        </w:rPr>
        <w:t xml:space="preserve"> </w:t>
      </w:r>
      <w:r w:rsidR="00094059" w:rsidRPr="003E5C0B">
        <w:rPr>
          <w:rFonts w:cs="Tahoma"/>
        </w:rPr>
        <w:t>el Sujeto Obligado</w:t>
      </w:r>
      <w:r w:rsidR="0023305D" w:rsidRPr="003E5C0B">
        <w:rPr>
          <w:rFonts w:cs="Tahoma"/>
        </w:rPr>
        <w:t xml:space="preserve"> entregó </w:t>
      </w:r>
      <w:r w:rsidR="00693A44" w:rsidRPr="003E5C0B">
        <w:rPr>
          <w:rFonts w:cs="Tahoma"/>
        </w:rPr>
        <w:t>información relacionada con lo solicitado, lo cierto es que no atiende el requerimiento de información, por las siguientes circunstancias:</w:t>
      </w:r>
    </w:p>
    <w:p w14:paraId="65A1F4B3" w14:textId="77777777" w:rsidR="00693A44" w:rsidRPr="003E5C0B" w:rsidRDefault="00693A44" w:rsidP="00566970">
      <w:pPr>
        <w:spacing w:after="0" w:line="360" w:lineRule="auto"/>
        <w:rPr>
          <w:rFonts w:cs="Tahoma"/>
        </w:rPr>
      </w:pPr>
    </w:p>
    <w:p w14:paraId="45EAA0A1" w14:textId="79C2CBF7" w:rsidR="00693A44" w:rsidRPr="003E5C0B" w:rsidRDefault="00693A44" w:rsidP="00693A44">
      <w:pPr>
        <w:pStyle w:val="Prrafodelista"/>
        <w:numPr>
          <w:ilvl w:val="0"/>
          <w:numId w:val="27"/>
        </w:numPr>
        <w:spacing w:line="360" w:lineRule="auto"/>
        <w:rPr>
          <w:rFonts w:cs="Tahoma"/>
        </w:rPr>
      </w:pPr>
      <w:r w:rsidRPr="003E5C0B">
        <w:rPr>
          <w:rFonts w:cs="Tahoma"/>
        </w:rPr>
        <w:t xml:space="preserve">No proporcionó la información de la </w:t>
      </w:r>
      <w:r w:rsidRPr="003E5C0B">
        <w:t>Dirección de Seguridad Pública y Vialidad Municipal, por lo que, no entregó la información de todos los servidores públicos adscritos al Sujeto Obligado.</w:t>
      </w:r>
    </w:p>
    <w:p w14:paraId="08052109" w14:textId="77777777" w:rsidR="00C251CA" w:rsidRPr="003E5C0B" w:rsidRDefault="00C251CA" w:rsidP="00C251CA">
      <w:pPr>
        <w:pStyle w:val="Prrafodelista"/>
        <w:spacing w:line="360" w:lineRule="auto"/>
        <w:rPr>
          <w:rFonts w:cs="Tahoma"/>
        </w:rPr>
      </w:pPr>
    </w:p>
    <w:p w14:paraId="4550D728" w14:textId="197E6D87" w:rsidR="00693A44" w:rsidRPr="003E5C0B" w:rsidRDefault="00693A44" w:rsidP="00693A44">
      <w:pPr>
        <w:pStyle w:val="Prrafodelista"/>
        <w:numPr>
          <w:ilvl w:val="0"/>
          <w:numId w:val="27"/>
        </w:numPr>
        <w:spacing w:line="360" w:lineRule="auto"/>
        <w:rPr>
          <w:rFonts w:cs="Tahoma"/>
        </w:rPr>
      </w:pPr>
      <w:r w:rsidRPr="003E5C0B">
        <w:rPr>
          <w:rFonts w:cs="Tahoma"/>
        </w:rPr>
        <w:t xml:space="preserve">La nómina únicamente contiene el neto pagado, sin embargo, no contiene </w:t>
      </w:r>
      <w:r w:rsidR="00C251CA" w:rsidRPr="003E5C0B">
        <w:rPr>
          <w:rFonts w:cs="Tahoma"/>
        </w:rPr>
        <w:t>todas las prestaciones y deducciones pagadas, aunado a que no se pronunció si contaba con servidores públicos por honorarios.</w:t>
      </w:r>
    </w:p>
    <w:p w14:paraId="35C6850F" w14:textId="77777777" w:rsidR="00C251CA" w:rsidRPr="003E5C0B" w:rsidRDefault="00C251CA" w:rsidP="00C251CA">
      <w:pPr>
        <w:pStyle w:val="Prrafodelista"/>
        <w:rPr>
          <w:rFonts w:cs="Tahoma"/>
        </w:rPr>
      </w:pPr>
    </w:p>
    <w:p w14:paraId="68C3ACBC" w14:textId="2253EAA9" w:rsidR="00C251CA" w:rsidRPr="003E5C0B" w:rsidRDefault="00C251CA" w:rsidP="00693A44">
      <w:pPr>
        <w:pStyle w:val="Prrafodelista"/>
        <w:numPr>
          <w:ilvl w:val="0"/>
          <w:numId w:val="27"/>
        </w:numPr>
        <w:spacing w:line="360" w:lineRule="auto"/>
        <w:rPr>
          <w:rFonts w:cs="Tahoma"/>
        </w:rPr>
      </w:pPr>
      <w:r w:rsidRPr="003E5C0B">
        <w:rPr>
          <w:rFonts w:cs="Tahoma"/>
        </w:rPr>
        <w:t>En los recibos se testaron dados de naturaleza pública y se dejaron visibles datos personales.</w:t>
      </w:r>
    </w:p>
    <w:p w14:paraId="74C96D69" w14:textId="77777777" w:rsidR="00693A44" w:rsidRPr="003E5C0B" w:rsidRDefault="00693A44" w:rsidP="00566970">
      <w:pPr>
        <w:spacing w:after="0" w:line="360" w:lineRule="auto"/>
        <w:rPr>
          <w:rFonts w:cs="Tahoma"/>
        </w:rPr>
      </w:pPr>
    </w:p>
    <w:p w14:paraId="37A4597A" w14:textId="6246559F" w:rsidR="003545D4" w:rsidRPr="003E5C0B" w:rsidRDefault="003545D4" w:rsidP="00566970">
      <w:pPr>
        <w:widowControl w:val="0"/>
        <w:autoSpaceDE w:val="0"/>
        <w:autoSpaceDN w:val="0"/>
        <w:adjustRightInd w:val="0"/>
        <w:spacing w:after="0" w:line="360" w:lineRule="auto"/>
        <w:contextualSpacing/>
      </w:pPr>
      <w:r w:rsidRPr="003E5C0B">
        <w:rPr>
          <w:rFonts w:eastAsia="Calibri" w:cs="Times New Roman"/>
          <w:color w:val="000000"/>
        </w:rPr>
        <w:t xml:space="preserve">En esa tesitura, se concluye </w:t>
      </w:r>
      <w:r w:rsidR="007B6A4B" w:rsidRPr="003E5C0B">
        <w:rPr>
          <w:rFonts w:eastAsia="Calibri" w:cs="Times New Roman"/>
          <w:color w:val="000000"/>
        </w:rPr>
        <w:t>que,</w:t>
      </w:r>
      <w:r w:rsidR="00C251CA" w:rsidRPr="003E5C0B">
        <w:rPr>
          <w:rFonts w:eastAsia="Calibri" w:cs="Times New Roman"/>
          <w:color w:val="000000"/>
        </w:rPr>
        <w:t xml:space="preserve"> si bien</w:t>
      </w:r>
      <w:r w:rsidRPr="003E5C0B">
        <w:rPr>
          <w:rFonts w:eastAsia="Calibri" w:cs="Times New Roman"/>
          <w:color w:val="000000"/>
        </w:rPr>
        <w:t xml:space="preserve"> el Sujeto Obligado</w:t>
      </w:r>
      <w:r w:rsidR="00C251CA" w:rsidRPr="003E5C0B">
        <w:rPr>
          <w:rFonts w:eastAsia="Calibri" w:cs="Times New Roman"/>
          <w:color w:val="000000"/>
        </w:rPr>
        <w:t xml:space="preserve"> proporcionó parte de la información solicitada, lo cierto es que esta no satisface el derecho de acceso a la información del Particular, por </w:t>
      </w:r>
      <w:r w:rsidRPr="003E5C0B">
        <w:t xml:space="preserve">lo que, el agravió resulta </w:t>
      </w:r>
      <w:r w:rsidRPr="003E5C0B">
        <w:rPr>
          <w:b/>
          <w:bCs/>
        </w:rPr>
        <w:t>PARCIALMENTE FUNDADO</w:t>
      </w:r>
      <w:r w:rsidRPr="003E5C0B">
        <w:t>.</w:t>
      </w:r>
    </w:p>
    <w:p w14:paraId="56662D6D" w14:textId="77777777" w:rsidR="003545D4" w:rsidRPr="003E5C0B" w:rsidRDefault="003545D4" w:rsidP="00566970">
      <w:pPr>
        <w:widowControl w:val="0"/>
        <w:autoSpaceDE w:val="0"/>
        <w:autoSpaceDN w:val="0"/>
        <w:adjustRightInd w:val="0"/>
        <w:spacing w:after="0" w:line="360" w:lineRule="auto"/>
        <w:contextualSpacing/>
      </w:pPr>
    </w:p>
    <w:p w14:paraId="3E4F94E8" w14:textId="5DD39E90" w:rsidR="007B6A4B" w:rsidRPr="003E5C0B" w:rsidRDefault="003545D4" w:rsidP="00566970">
      <w:pPr>
        <w:spacing w:after="0" w:line="360" w:lineRule="auto"/>
        <w:rPr>
          <w:rFonts w:eastAsia="Times New Roman" w:cs="Times New Roman"/>
          <w:bCs/>
          <w:iCs/>
          <w:szCs w:val="20"/>
          <w:lang w:val="es-ES" w:eastAsia="es-ES"/>
        </w:rPr>
      </w:pPr>
      <w:r w:rsidRPr="003E5C0B">
        <w:rPr>
          <w:rFonts w:eastAsia="Times New Roman" w:cs="Tahoma"/>
          <w:bCs/>
          <w:lang w:eastAsia="es-ES"/>
        </w:rPr>
        <w:lastRenderedPageBreak/>
        <w:t>Así, este Instituto considera que, para atender el requerimiento de información, el</w:t>
      </w:r>
      <w:r w:rsidRPr="003E5C0B">
        <w:rPr>
          <w:rFonts w:eastAsia="Times New Roman" w:cs="Times New Roman"/>
          <w:bCs/>
          <w:iCs/>
          <w:szCs w:val="20"/>
          <w:lang w:val="es-ES" w:eastAsia="es-ES"/>
        </w:rPr>
        <w:t xml:space="preserve"> Sujeto Obligado deberá realizar una búsqueda exhaustiva y razonable en los archivos de la Tesorería Municipal y la</w:t>
      </w:r>
      <w:r w:rsidR="007C13E1" w:rsidRPr="003E5C0B">
        <w:rPr>
          <w:rFonts w:eastAsia="Times New Roman" w:cs="Times New Roman"/>
          <w:bCs/>
          <w:iCs/>
          <w:szCs w:val="20"/>
          <w:lang w:val="es-ES" w:eastAsia="es-ES"/>
        </w:rPr>
        <w:t xml:space="preserve"> Coordinación de Nóminas</w:t>
      </w:r>
      <w:r w:rsidRPr="003E5C0B">
        <w:rPr>
          <w:rFonts w:eastAsia="Times New Roman" w:cs="Times New Roman"/>
          <w:bCs/>
          <w:iCs/>
          <w:szCs w:val="20"/>
          <w:lang w:val="es-ES" w:eastAsia="es-ES"/>
        </w:rPr>
        <w:t xml:space="preserve">, a efecto de que proporcione </w:t>
      </w:r>
      <w:r w:rsidR="007B6A4B" w:rsidRPr="003E5C0B">
        <w:rPr>
          <w:rFonts w:eastAsia="Times New Roman" w:cs="Times New Roman"/>
          <w:bCs/>
          <w:iCs/>
          <w:szCs w:val="20"/>
          <w:lang w:val="es-ES" w:eastAsia="es-ES"/>
        </w:rPr>
        <w:t>lo siguiente:</w:t>
      </w:r>
    </w:p>
    <w:p w14:paraId="5BBE4D73" w14:textId="77777777" w:rsidR="007B6A4B" w:rsidRPr="003E5C0B" w:rsidRDefault="007B6A4B" w:rsidP="00566970">
      <w:pPr>
        <w:spacing w:after="0" w:line="360" w:lineRule="auto"/>
        <w:rPr>
          <w:rFonts w:eastAsia="Times New Roman" w:cs="Times New Roman"/>
          <w:bCs/>
          <w:iCs/>
          <w:szCs w:val="20"/>
          <w:lang w:val="es-ES" w:eastAsia="es-ES"/>
        </w:rPr>
      </w:pPr>
    </w:p>
    <w:p w14:paraId="5A877BAD" w14:textId="40CF7C29" w:rsidR="007B6A4B" w:rsidRPr="003E5C0B" w:rsidRDefault="007B6A4B" w:rsidP="007B6A4B">
      <w:pPr>
        <w:pStyle w:val="Prrafodelista"/>
        <w:numPr>
          <w:ilvl w:val="0"/>
          <w:numId w:val="34"/>
        </w:numPr>
        <w:spacing w:line="360" w:lineRule="auto"/>
        <w:rPr>
          <w:bCs/>
          <w:iCs/>
          <w:szCs w:val="20"/>
          <w:lang w:val="es-ES"/>
        </w:rPr>
      </w:pPr>
      <w:r w:rsidRPr="003E5C0B">
        <w:rPr>
          <w:bCs/>
          <w:iCs/>
          <w:szCs w:val="20"/>
          <w:lang w:val="es-ES"/>
        </w:rPr>
        <w:t>Conciliación de nómina;</w:t>
      </w:r>
    </w:p>
    <w:p w14:paraId="553542A1" w14:textId="1D2AA7BE" w:rsidR="007B6A4B" w:rsidRPr="003E5C0B" w:rsidRDefault="007B6A4B" w:rsidP="007B6A4B">
      <w:pPr>
        <w:pStyle w:val="Prrafodelista"/>
        <w:numPr>
          <w:ilvl w:val="0"/>
          <w:numId w:val="34"/>
        </w:numPr>
        <w:spacing w:line="360" w:lineRule="auto"/>
        <w:rPr>
          <w:bCs/>
          <w:iCs/>
          <w:szCs w:val="20"/>
          <w:lang w:val="es-ES"/>
        </w:rPr>
      </w:pPr>
      <w:r w:rsidRPr="003E5C0B">
        <w:rPr>
          <w:bCs/>
          <w:iCs/>
          <w:szCs w:val="20"/>
          <w:lang w:val="es-ES"/>
        </w:rPr>
        <w:t>Recibos de nómina, y</w:t>
      </w:r>
    </w:p>
    <w:p w14:paraId="15DA7358" w14:textId="4DE734C2" w:rsidR="007B6A4B" w:rsidRPr="003E5C0B" w:rsidRDefault="007B6A4B" w:rsidP="007B6A4B">
      <w:pPr>
        <w:pStyle w:val="Prrafodelista"/>
        <w:numPr>
          <w:ilvl w:val="0"/>
          <w:numId w:val="34"/>
        </w:numPr>
        <w:spacing w:line="360" w:lineRule="auto"/>
        <w:rPr>
          <w:bCs/>
          <w:iCs/>
          <w:szCs w:val="20"/>
          <w:lang w:val="es-ES"/>
        </w:rPr>
      </w:pPr>
      <w:r w:rsidRPr="003E5C0B">
        <w:rPr>
          <w:bCs/>
          <w:iCs/>
          <w:szCs w:val="20"/>
          <w:lang w:val="es-ES"/>
        </w:rPr>
        <w:t xml:space="preserve">Documento donde conste el pago </w:t>
      </w:r>
      <w:r w:rsidRPr="003E5C0B">
        <w:rPr>
          <w:rFonts w:cs="Tahoma"/>
        </w:rPr>
        <w:t xml:space="preserve">a </w:t>
      </w:r>
      <w:r w:rsidRPr="003E5C0B">
        <w:rPr>
          <w:rFonts w:eastAsia="Calibri" w:cs="Tahoma"/>
          <w:bCs/>
          <w:color w:val="auto"/>
        </w:rPr>
        <w:t>prestadores de servicios por honorarios.</w:t>
      </w:r>
    </w:p>
    <w:p w14:paraId="2055250C" w14:textId="77777777" w:rsidR="003545D4" w:rsidRPr="003E5C0B" w:rsidRDefault="003545D4" w:rsidP="00566970">
      <w:pPr>
        <w:spacing w:after="0" w:line="360" w:lineRule="auto"/>
        <w:rPr>
          <w:rFonts w:eastAsia="Calibri" w:cs="Tahoma"/>
          <w:color w:val="000000"/>
          <w:szCs w:val="24"/>
          <w:lang w:val="es-ES"/>
        </w:rPr>
      </w:pPr>
    </w:p>
    <w:p w14:paraId="7D7B0A62" w14:textId="77777777" w:rsidR="003545D4" w:rsidRPr="003E5C0B" w:rsidRDefault="003545D4" w:rsidP="00566970">
      <w:pPr>
        <w:spacing w:after="0" w:line="360" w:lineRule="auto"/>
        <w:rPr>
          <w:rFonts w:cs="Tahoma"/>
        </w:rPr>
      </w:pPr>
      <w:r w:rsidRPr="003E5C0B">
        <w:rPr>
          <w:rFonts w:eastAsia="Calibri" w:cs="Tahoma"/>
          <w:bCs/>
          <w:iC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44A4750" w14:textId="77777777" w:rsidR="003545D4" w:rsidRPr="003E5C0B" w:rsidRDefault="003545D4" w:rsidP="00566970">
      <w:pPr>
        <w:spacing w:after="0" w:line="360" w:lineRule="auto"/>
        <w:contextualSpacing/>
        <w:rPr>
          <w:rFonts w:eastAsia="Calibri" w:cs="Tahoma"/>
          <w:bCs/>
          <w:iCs/>
        </w:rPr>
      </w:pPr>
    </w:p>
    <w:p w14:paraId="609EAFB0" w14:textId="77777777" w:rsidR="003545D4" w:rsidRPr="003E5C0B" w:rsidRDefault="003545D4" w:rsidP="00566970">
      <w:pPr>
        <w:spacing w:after="0" w:line="360" w:lineRule="auto"/>
        <w:contextualSpacing/>
        <w:rPr>
          <w:rFonts w:eastAsia="Calibri" w:cs="Tahoma"/>
          <w:bCs/>
          <w:iCs/>
        </w:rPr>
      </w:pPr>
      <w:r w:rsidRPr="003E5C0B">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42C6D4DE" w14:textId="77777777" w:rsidR="003545D4" w:rsidRPr="003E5C0B" w:rsidRDefault="003545D4" w:rsidP="00566970">
      <w:pPr>
        <w:spacing w:after="0" w:line="360" w:lineRule="auto"/>
        <w:contextualSpacing/>
        <w:rPr>
          <w:rFonts w:eastAsia="Calibri" w:cs="Tahoma"/>
          <w:bCs/>
          <w:iCs/>
        </w:rPr>
      </w:pPr>
    </w:p>
    <w:p w14:paraId="2631B3AD" w14:textId="37A35804" w:rsidR="003545D4" w:rsidRPr="003E5C0B" w:rsidRDefault="003545D4" w:rsidP="00566970">
      <w:pPr>
        <w:widowControl w:val="0"/>
        <w:autoSpaceDE w:val="0"/>
        <w:autoSpaceDN w:val="0"/>
        <w:adjustRightInd w:val="0"/>
        <w:spacing w:after="0" w:line="360" w:lineRule="auto"/>
        <w:contextualSpacing/>
        <w:rPr>
          <w:rFonts w:eastAsia="Times New Roman" w:cs="Times New Roman"/>
          <w:bCs/>
          <w:iCs/>
          <w:szCs w:val="20"/>
          <w:lang w:val="es-ES" w:eastAsia="es-ES"/>
        </w:rPr>
      </w:pPr>
      <w:r w:rsidRPr="003E5C0B">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3E5C0B">
        <w:rPr>
          <w:rFonts w:eastAsia="Times New Roman" w:cs="Tahoma"/>
          <w:szCs w:val="24"/>
          <w:lang w:val="es-ES" w:eastAsia="es-ES"/>
        </w:rPr>
        <w:t xml:space="preserve">por </w:t>
      </w:r>
      <w:r w:rsidRPr="003E5C0B">
        <w:rPr>
          <w:rFonts w:eastAsia="Times New Roman" w:cs="Tahoma"/>
          <w:szCs w:val="24"/>
          <w:lang w:val="es-ES" w:eastAsia="es-ES"/>
        </w:rPr>
        <w:lastRenderedPageBreak/>
        <w:t>lo que, en el presente caso, el Sujeto Obligado deberá entregar</w:t>
      </w:r>
      <w:r w:rsidRPr="003E5C0B">
        <w:t xml:space="preserve"> </w:t>
      </w:r>
      <w:r w:rsidR="007B6A4B" w:rsidRPr="003E5C0B">
        <w:rPr>
          <w:rFonts w:eastAsia="Times New Roman" w:cs="Times New Roman"/>
          <w:bCs/>
          <w:iCs/>
          <w:szCs w:val="20"/>
          <w:lang w:val="es-ES" w:eastAsia="es-ES"/>
        </w:rPr>
        <w:t>la información referida previamente, de todos los servidores públicos.</w:t>
      </w:r>
    </w:p>
    <w:p w14:paraId="5CE6122F" w14:textId="77777777" w:rsidR="007B6A4B" w:rsidRPr="003E5C0B" w:rsidRDefault="007B6A4B" w:rsidP="00566970">
      <w:pPr>
        <w:widowControl w:val="0"/>
        <w:autoSpaceDE w:val="0"/>
        <w:autoSpaceDN w:val="0"/>
        <w:adjustRightInd w:val="0"/>
        <w:spacing w:after="0" w:line="360" w:lineRule="auto"/>
        <w:contextualSpacing/>
        <w:rPr>
          <w:rFonts w:eastAsia="Times New Roman" w:cs="Times New Roman"/>
          <w:bCs/>
          <w:iCs/>
          <w:szCs w:val="20"/>
          <w:lang w:val="es-ES" w:eastAsia="es-ES"/>
        </w:rPr>
      </w:pPr>
    </w:p>
    <w:p w14:paraId="22409560" w14:textId="1AF23A72" w:rsidR="007B6A4B" w:rsidRPr="003E5C0B" w:rsidRDefault="007B6A4B" w:rsidP="00566970">
      <w:pPr>
        <w:widowControl w:val="0"/>
        <w:autoSpaceDE w:val="0"/>
        <w:autoSpaceDN w:val="0"/>
        <w:adjustRightInd w:val="0"/>
        <w:spacing w:after="0" w:line="360" w:lineRule="auto"/>
        <w:contextualSpacing/>
        <w:rPr>
          <w:rFonts w:eastAsia="Times New Roman" w:cs="Times New Roman"/>
          <w:bCs/>
          <w:iCs/>
          <w:szCs w:val="20"/>
          <w:lang w:val="es-ES" w:eastAsia="es-ES"/>
        </w:rPr>
      </w:pPr>
      <w:r w:rsidRPr="003E5C0B">
        <w:rPr>
          <w:rFonts w:eastAsia="Times New Roman" w:cs="Times New Roman"/>
          <w:bCs/>
          <w:iCs/>
          <w:szCs w:val="20"/>
          <w:lang w:val="es-ES" w:eastAsia="es-ES"/>
        </w:rPr>
        <w:t xml:space="preserve">Ahora bien, para el caso de </w:t>
      </w:r>
      <w:r w:rsidR="000D00FB" w:rsidRPr="003E5C0B">
        <w:rPr>
          <w:rFonts w:eastAsia="Times New Roman" w:cs="Times New Roman"/>
          <w:bCs/>
          <w:iCs/>
          <w:szCs w:val="20"/>
          <w:lang w:val="es-ES" w:eastAsia="es-ES"/>
        </w:rPr>
        <w:t>que,</w:t>
      </w:r>
      <w:r w:rsidRPr="003E5C0B">
        <w:rPr>
          <w:rFonts w:eastAsia="Times New Roman" w:cs="Times New Roman"/>
          <w:bCs/>
          <w:iCs/>
          <w:szCs w:val="20"/>
          <w:lang w:val="es-ES" w:eastAsia="es-ES"/>
        </w:rPr>
        <w:t xml:space="preserve"> en la quincena referida, no contará con trabajadores por honorarios, deberá hacerlo del conocimiento de la parte Recurrente, de manera clara y precisa, en términos del artículo 19, párrafo segundo, de la Ley de la materia.</w:t>
      </w:r>
    </w:p>
    <w:p w14:paraId="7DDC322F" w14:textId="77777777" w:rsidR="00B4211B" w:rsidRPr="003E5C0B" w:rsidRDefault="00B4211B" w:rsidP="00566970">
      <w:pPr>
        <w:widowControl w:val="0"/>
        <w:autoSpaceDE w:val="0"/>
        <w:autoSpaceDN w:val="0"/>
        <w:adjustRightInd w:val="0"/>
        <w:spacing w:after="0" w:line="360" w:lineRule="auto"/>
        <w:contextualSpacing/>
        <w:rPr>
          <w:rFonts w:eastAsia="Times New Roman" w:cs="Times New Roman"/>
          <w:bCs/>
          <w:iCs/>
          <w:szCs w:val="20"/>
          <w:lang w:val="es-ES" w:eastAsia="es-ES"/>
        </w:rPr>
      </w:pPr>
    </w:p>
    <w:p w14:paraId="634C8906" w14:textId="74DBA1D6" w:rsidR="00B4211B" w:rsidRPr="003E5C0B" w:rsidRDefault="00B4211B" w:rsidP="00566970">
      <w:pPr>
        <w:spacing w:after="0" w:line="360" w:lineRule="auto"/>
        <w:ind w:right="-28"/>
        <w:rPr>
          <w:color w:val="000000"/>
        </w:rPr>
      </w:pPr>
      <w:r w:rsidRPr="003E5C0B">
        <w:rPr>
          <w:color w:val="000000"/>
        </w:rPr>
        <w:t>Ahora bien, del análisis de los documentos entregado en respuesta, se logra vislumbrar que el Sujeto Obligado clasificó los siguientes datos:</w:t>
      </w:r>
    </w:p>
    <w:p w14:paraId="0A31A637" w14:textId="77777777" w:rsidR="00B4211B" w:rsidRPr="003E5C0B" w:rsidRDefault="00B4211B" w:rsidP="00566970">
      <w:pPr>
        <w:spacing w:after="0" w:line="360" w:lineRule="auto"/>
        <w:ind w:right="-28"/>
        <w:rPr>
          <w:color w:val="000000"/>
        </w:rPr>
      </w:pPr>
    </w:p>
    <w:p w14:paraId="2DC24933" w14:textId="77777777" w:rsidR="00B4211B" w:rsidRPr="003E5C0B" w:rsidRDefault="00B4211B" w:rsidP="00566970">
      <w:pPr>
        <w:numPr>
          <w:ilvl w:val="0"/>
          <w:numId w:val="6"/>
        </w:numPr>
        <w:spacing w:after="0" w:line="360" w:lineRule="auto"/>
        <w:rPr>
          <w:color w:val="000000"/>
        </w:rPr>
      </w:pPr>
      <w:bookmarkStart w:id="3" w:name="_Hlk179971039"/>
      <w:r w:rsidRPr="003E5C0B">
        <w:rPr>
          <w:color w:val="000000"/>
        </w:rPr>
        <w:t>Clave Única de Registro de Población (CURP);</w:t>
      </w:r>
    </w:p>
    <w:p w14:paraId="117EEC5E" w14:textId="77777777" w:rsidR="00B4211B" w:rsidRPr="003E5C0B" w:rsidRDefault="00B4211B" w:rsidP="00566970">
      <w:pPr>
        <w:numPr>
          <w:ilvl w:val="0"/>
          <w:numId w:val="6"/>
        </w:numPr>
        <w:spacing w:after="0" w:line="360" w:lineRule="auto"/>
        <w:rPr>
          <w:color w:val="000000"/>
        </w:rPr>
      </w:pPr>
      <w:r w:rsidRPr="003E5C0B">
        <w:rPr>
          <w:color w:val="000000"/>
        </w:rPr>
        <w:t>Registro Federal de Contribuyentes del servidor público (RFC);</w:t>
      </w:r>
    </w:p>
    <w:p w14:paraId="4D3E8686" w14:textId="77777777" w:rsidR="00B4211B" w:rsidRPr="003E5C0B" w:rsidRDefault="00B4211B" w:rsidP="00566970">
      <w:pPr>
        <w:numPr>
          <w:ilvl w:val="0"/>
          <w:numId w:val="6"/>
        </w:numPr>
        <w:spacing w:after="0" w:line="360" w:lineRule="auto"/>
        <w:rPr>
          <w:color w:val="000000"/>
        </w:rPr>
      </w:pPr>
      <w:r w:rsidRPr="003E5C0B">
        <w:rPr>
          <w:color w:val="000000"/>
        </w:rPr>
        <w:t>Número de seguridad social del Instituto de Seguridad Social del Estado de México y Municipios;</w:t>
      </w:r>
    </w:p>
    <w:p w14:paraId="1D425817" w14:textId="6CBCBCCF" w:rsidR="00F046FB" w:rsidRPr="003E5C0B" w:rsidRDefault="00B4211B" w:rsidP="00566970">
      <w:pPr>
        <w:numPr>
          <w:ilvl w:val="0"/>
          <w:numId w:val="6"/>
        </w:numPr>
        <w:spacing w:after="0" w:line="360" w:lineRule="auto"/>
        <w:rPr>
          <w:color w:val="000000"/>
        </w:rPr>
      </w:pPr>
      <w:r w:rsidRPr="003E5C0B">
        <w:rPr>
          <w:color w:val="000000"/>
        </w:rPr>
        <w:t>Deducciones personales;</w:t>
      </w:r>
    </w:p>
    <w:p w14:paraId="34B53025" w14:textId="795372AA" w:rsidR="00F046FB" w:rsidRPr="003E5C0B" w:rsidRDefault="00F046FB" w:rsidP="00566970">
      <w:pPr>
        <w:numPr>
          <w:ilvl w:val="0"/>
          <w:numId w:val="6"/>
        </w:numPr>
        <w:spacing w:after="0" w:line="360" w:lineRule="auto"/>
        <w:rPr>
          <w:color w:val="000000"/>
        </w:rPr>
      </w:pPr>
      <w:r w:rsidRPr="003E5C0B">
        <w:rPr>
          <w:color w:val="000000"/>
        </w:rPr>
        <w:t>Número de empleado</w:t>
      </w:r>
      <w:r w:rsidR="007B6A4B" w:rsidRPr="003E5C0B">
        <w:rPr>
          <w:color w:val="000000"/>
        </w:rPr>
        <w:t>;</w:t>
      </w:r>
    </w:p>
    <w:p w14:paraId="03019949" w14:textId="425BAD89" w:rsidR="00F046FB" w:rsidRPr="003E5C0B" w:rsidRDefault="00F046FB" w:rsidP="00566970">
      <w:pPr>
        <w:numPr>
          <w:ilvl w:val="0"/>
          <w:numId w:val="6"/>
        </w:numPr>
        <w:spacing w:after="0" w:line="360" w:lineRule="auto"/>
        <w:rPr>
          <w:color w:val="000000"/>
        </w:rPr>
      </w:pPr>
      <w:r w:rsidRPr="003E5C0B">
        <w:rPr>
          <w:rFonts w:eastAsia="Times New Roman" w:cs="Tahoma"/>
          <w:bCs/>
          <w:lang w:val="es-ES"/>
        </w:rPr>
        <w:t>Código bidimensional o QR</w:t>
      </w:r>
      <w:r w:rsidR="007B6A4B" w:rsidRPr="003E5C0B">
        <w:rPr>
          <w:rFonts w:eastAsia="Times New Roman" w:cs="Tahoma"/>
          <w:bCs/>
          <w:lang w:val="es-ES"/>
        </w:rPr>
        <w:t>;</w:t>
      </w:r>
    </w:p>
    <w:bookmarkEnd w:id="3"/>
    <w:p w14:paraId="30A55750" w14:textId="77777777" w:rsidR="007B6A4B" w:rsidRPr="003E5C0B" w:rsidRDefault="007B6A4B" w:rsidP="007B6A4B">
      <w:pPr>
        <w:pStyle w:val="Prrafodelista"/>
        <w:numPr>
          <w:ilvl w:val="0"/>
          <w:numId w:val="6"/>
        </w:numPr>
        <w:spacing w:line="360" w:lineRule="auto"/>
        <w:rPr>
          <w:iCs/>
          <w:lang w:val="es-ES"/>
        </w:rPr>
      </w:pPr>
      <w:r w:rsidRPr="003E5C0B">
        <w:rPr>
          <w:iCs/>
          <w:lang w:val="es-ES"/>
        </w:rPr>
        <w:t xml:space="preserve">Sellos digitales del emisor y del Servicio de Administración Tributaria; </w:t>
      </w:r>
    </w:p>
    <w:p w14:paraId="521361B7" w14:textId="77777777" w:rsidR="007B6A4B" w:rsidRPr="003E5C0B" w:rsidRDefault="007B6A4B" w:rsidP="007B6A4B">
      <w:pPr>
        <w:pStyle w:val="Prrafodelista"/>
        <w:numPr>
          <w:ilvl w:val="0"/>
          <w:numId w:val="6"/>
        </w:numPr>
        <w:spacing w:line="360" w:lineRule="auto"/>
        <w:rPr>
          <w:iCs/>
          <w:lang w:val="es-ES"/>
        </w:rPr>
      </w:pPr>
      <w:r w:rsidRPr="003E5C0B">
        <w:rPr>
          <w:iCs/>
          <w:lang w:val="es-ES"/>
        </w:rPr>
        <w:t>Cadena original del complemento de certificación digital del organismo previamente señalado;</w:t>
      </w:r>
    </w:p>
    <w:p w14:paraId="4C989886" w14:textId="081B40D8" w:rsidR="007B6A4B" w:rsidRPr="003E5C0B" w:rsidRDefault="007B6A4B" w:rsidP="007B6A4B">
      <w:pPr>
        <w:pStyle w:val="Prrafodelista"/>
        <w:numPr>
          <w:ilvl w:val="0"/>
          <w:numId w:val="6"/>
        </w:numPr>
        <w:spacing w:line="360" w:lineRule="auto"/>
        <w:rPr>
          <w:iCs/>
          <w:lang w:val="es-ES"/>
        </w:rPr>
      </w:pPr>
      <w:r w:rsidRPr="003E5C0B">
        <w:rPr>
          <w:iCs/>
          <w:lang w:val="es-ES"/>
        </w:rPr>
        <w:t>Números de serie de los certificados de sellos digitales, y</w:t>
      </w:r>
    </w:p>
    <w:p w14:paraId="15202DDD" w14:textId="79125A86" w:rsidR="007B6A4B" w:rsidRPr="003E5C0B" w:rsidRDefault="007B6A4B" w:rsidP="007B6A4B">
      <w:pPr>
        <w:pStyle w:val="Prrafodelista"/>
        <w:numPr>
          <w:ilvl w:val="0"/>
          <w:numId w:val="6"/>
        </w:numPr>
        <w:spacing w:line="360" w:lineRule="auto"/>
        <w:rPr>
          <w:rFonts w:cs="Tahoma"/>
          <w:lang w:val="es-ES"/>
        </w:rPr>
      </w:pPr>
      <w:r w:rsidRPr="003E5C0B">
        <w:rPr>
          <w:rFonts w:cs="Tahoma"/>
          <w:lang w:val="es-ES"/>
        </w:rPr>
        <w:t>Folio fiscal.</w:t>
      </w:r>
    </w:p>
    <w:p w14:paraId="06BFEA68" w14:textId="77777777" w:rsidR="00F046FB" w:rsidRPr="003E5C0B" w:rsidRDefault="00F046FB" w:rsidP="00566970">
      <w:pPr>
        <w:spacing w:after="0" w:line="360" w:lineRule="auto"/>
        <w:ind w:left="420"/>
        <w:rPr>
          <w:color w:val="000000"/>
        </w:rPr>
      </w:pPr>
    </w:p>
    <w:p w14:paraId="1F18DAD4" w14:textId="335291E8" w:rsidR="0055185E" w:rsidRPr="003E5C0B" w:rsidRDefault="0055185E" w:rsidP="00566970">
      <w:pPr>
        <w:spacing w:after="0" w:line="360" w:lineRule="auto"/>
        <w:ind w:right="-28"/>
        <w:rPr>
          <w:color w:val="000000"/>
        </w:rPr>
      </w:pPr>
      <w:r w:rsidRPr="003E5C0B">
        <w:rPr>
          <w:color w:val="000000"/>
        </w:rPr>
        <w:t xml:space="preserve">De lo anterior, resulta procedente analizar si dichos datos son públicos o privados; en principio, cabe mencionar que el artículo 6°, Apartado A), fracción II, de la Constitución Política de los Estados Unidos Mexicanos, prevé que la información que se refiere a la vida </w:t>
      </w:r>
      <w:r w:rsidRPr="003E5C0B">
        <w:rPr>
          <w:color w:val="000000"/>
        </w:rPr>
        <w:lastRenderedPageBreak/>
        <w:t xml:space="preserve">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178FBC41" w14:textId="77777777" w:rsidR="0055185E" w:rsidRPr="003E5C0B" w:rsidRDefault="0055185E" w:rsidP="00566970">
      <w:pPr>
        <w:spacing w:after="0" w:line="360" w:lineRule="auto"/>
        <w:ind w:right="-28"/>
        <w:rPr>
          <w:color w:val="000000"/>
        </w:rPr>
      </w:pPr>
    </w:p>
    <w:p w14:paraId="0035B6CD" w14:textId="77777777" w:rsidR="0055185E" w:rsidRPr="003E5C0B" w:rsidRDefault="0055185E" w:rsidP="00566970">
      <w:pPr>
        <w:spacing w:after="0" w:line="360" w:lineRule="auto"/>
        <w:rPr>
          <w:color w:val="000000"/>
        </w:rPr>
      </w:pPr>
      <w:r w:rsidRPr="003E5C0B">
        <w:rPr>
          <w:color w:val="000000"/>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7B277E4" w14:textId="77777777" w:rsidR="0055185E" w:rsidRPr="003E5C0B" w:rsidRDefault="0055185E" w:rsidP="00566970">
      <w:pPr>
        <w:spacing w:after="0" w:line="360" w:lineRule="auto"/>
        <w:rPr>
          <w:color w:val="000000"/>
        </w:rPr>
      </w:pPr>
    </w:p>
    <w:p w14:paraId="04AE401F" w14:textId="77777777" w:rsidR="0055185E" w:rsidRPr="003E5C0B" w:rsidRDefault="0055185E" w:rsidP="00566970">
      <w:pPr>
        <w:spacing w:after="0" w:line="360" w:lineRule="auto"/>
        <w:rPr>
          <w:color w:val="000000"/>
        </w:rPr>
      </w:pPr>
      <w:r w:rsidRPr="003E5C0B">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BDEA268" w14:textId="77777777" w:rsidR="0055185E" w:rsidRPr="003E5C0B" w:rsidRDefault="0055185E" w:rsidP="00566970">
      <w:pPr>
        <w:spacing w:after="0" w:line="360" w:lineRule="auto"/>
        <w:rPr>
          <w:color w:val="000000"/>
        </w:rPr>
      </w:pPr>
    </w:p>
    <w:p w14:paraId="17092BA7" w14:textId="77777777" w:rsidR="0055185E" w:rsidRPr="003E5C0B" w:rsidRDefault="0055185E" w:rsidP="00566970">
      <w:pPr>
        <w:spacing w:after="0" w:line="360" w:lineRule="auto"/>
        <w:rPr>
          <w:color w:val="000000"/>
        </w:rPr>
      </w:pPr>
      <w:r w:rsidRPr="003E5C0B">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5DC5E2A" w14:textId="77777777" w:rsidR="0055185E" w:rsidRPr="003E5C0B" w:rsidRDefault="0055185E" w:rsidP="00566970">
      <w:pPr>
        <w:spacing w:after="0" w:line="360" w:lineRule="auto"/>
        <w:rPr>
          <w:color w:val="000000"/>
        </w:rPr>
      </w:pPr>
    </w:p>
    <w:p w14:paraId="02154974" w14:textId="77777777" w:rsidR="0055185E" w:rsidRPr="003E5C0B" w:rsidRDefault="0055185E" w:rsidP="00566970">
      <w:pPr>
        <w:spacing w:after="0" w:line="360" w:lineRule="auto"/>
        <w:rPr>
          <w:color w:val="000000"/>
        </w:rPr>
      </w:pPr>
      <w:r w:rsidRPr="003E5C0B">
        <w:rPr>
          <w:color w:val="000000"/>
        </w:rPr>
        <w:lastRenderedPageBreak/>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5AF929A" w14:textId="77777777" w:rsidR="0055185E" w:rsidRPr="003E5C0B" w:rsidRDefault="0055185E" w:rsidP="00566970">
      <w:pPr>
        <w:spacing w:after="0" w:line="360" w:lineRule="auto"/>
        <w:rPr>
          <w:color w:val="000000"/>
        </w:rPr>
      </w:pPr>
    </w:p>
    <w:p w14:paraId="3B97DEE9" w14:textId="77777777" w:rsidR="0055185E" w:rsidRPr="003E5C0B" w:rsidRDefault="0055185E" w:rsidP="00566970">
      <w:pPr>
        <w:spacing w:after="0" w:line="360" w:lineRule="auto"/>
        <w:rPr>
          <w:color w:val="000000"/>
        </w:rPr>
      </w:pPr>
      <w:r w:rsidRPr="003E5C0B">
        <w:rPr>
          <w:color w:val="000000"/>
        </w:rPr>
        <w:t>En términos de lo expuesto, la documentación y aquellos datos que se consideren confidenciales, serán una limitante del derecho de acceso a la información, siempre y cuando:</w:t>
      </w:r>
    </w:p>
    <w:p w14:paraId="4C4F6D9F" w14:textId="77777777" w:rsidR="0055185E" w:rsidRPr="003E5C0B" w:rsidRDefault="0055185E" w:rsidP="00566970">
      <w:pPr>
        <w:spacing w:after="0" w:line="360" w:lineRule="auto"/>
        <w:rPr>
          <w:color w:val="000000"/>
        </w:rPr>
      </w:pPr>
    </w:p>
    <w:p w14:paraId="1E2D4747" w14:textId="77777777" w:rsidR="0055185E" w:rsidRPr="003E5C0B" w:rsidRDefault="0055185E" w:rsidP="00566970">
      <w:pPr>
        <w:numPr>
          <w:ilvl w:val="0"/>
          <w:numId w:val="7"/>
        </w:numPr>
        <w:spacing w:after="0" w:line="360" w:lineRule="auto"/>
        <w:rPr>
          <w:color w:val="000000"/>
        </w:rPr>
      </w:pPr>
      <w:r w:rsidRPr="003E5C0B">
        <w:rPr>
          <w:color w:val="000000"/>
        </w:rPr>
        <w:t xml:space="preserve">Se trate de datos personales o información privada; esto es, información concerniente a una persona física o jurídico colectiva y que esta sea identificada o identificable. </w:t>
      </w:r>
    </w:p>
    <w:p w14:paraId="03E066CF" w14:textId="77777777" w:rsidR="0055185E" w:rsidRPr="003E5C0B" w:rsidRDefault="0055185E" w:rsidP="00566970">
      <w:pPr>
        <w:numPr>
          <w:ilvl w:val="0"/>
          <w:numId w:val="7"/>
        </w:numPr>
        <w:spacing w:after="0" w:line="360" w:lineRule="auto"/>
        <w:rPr>
          <w:color w:val="000000"/>
        </w:rPr>
      </w:pPr>
      <w:r w:rsidRPr="003E5C0B">
        <w:rPr>
          <w:color w:val="000000"/>
        </w:rPr>
        <w:t xml:space="preserve">Para la difusión de los datos, se requiera el consentimiento del titular. </w:t>
      </w:r>
    </w:p>
    <w:p w14:paraId="52D4BE6F" w14:textId="77777777" w:rsidR="0055185E" w:rsidRPr="003E5C0B" w:rsidRDefault="0055185E" w:rsidP="00566970">
      <w:pPr>
        <w:spacing w:after="0" w:line="360" w:lineRule="auto"/>
        <w:rPr>
          <w:color w:val="000000"/>
        </w:rPr>
      </w:pPr>
    </w:p>
    <w:p w14:paraId="469A7ABF" w14:textId="77777777" w:rsidR="0055185E" w:rsidRPr="003E5C0B" w:rsidRDefault="0055185E" w:rsidP="00566970">
      <w:pPr>
        <w:spacing w:after="0" w:line="360" w:lineRule="auto"/>
        <w:rPr>
          <w:color w:val="000000"/>
        </w:rPr>
      </w:pPr>
      <w:r w:rsidRPr="003E5C0B">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F63C3BC" w14:textId="77777777" w:rsidR="0055185E" w:rsidRPr="003E5C0B" w:rsidRDefault="0055185E" w:rsidP="00566970">
      <w:pPr>
        <w:spacing w:after="0" w:line="360" w:lineRule="auto"/>
        <w:rPr>
          <w:color w:val="000000"/>
        </w:rPr>
      </w:pPr>
    </w:p>
    <w:p w14:paraId="2158CEAD" w14:textId="77777777" w:rsidR="0055185E" w:rsidRPr="003E5C0B" w:rsidRDefault="0055185E" w:rsidP="00566970">
      <w:pPr>
        <w:spacing w:after="0" w:line="360" w:lineRule="auto"/>
        <w:rPr>
          <w:color w:val="000000"/>
        </w:rPr>
      </w:pPr>
      <w:r w:rsidRPr="003E5C0B">
        <w:rPr>
          <w:color w:val="000000"/>
        </w:rPr>
        <w:t>Además, en el artículo 5° de dicho ordenamiento jurídico, establece que es la Ley aplicable para todo tratamiento de datos personales.</w:t>
      </w:r>
    </w:p>
    <w:p w14:paraId="66FD9258" w14:textId="77777777" w:rsidR="0055185E" w:rsidRPr="003E5C0B" w:rsidRDefault="0055185E" w:rsidP="00566970">
      <w:pPr>
        <w:spacing w:after="0" w:line="360" w:lineRule="auto"/>
        <w:rPr>
          <w:color w:val="000000"/>
        </w:rPr>
      </w:pPr>
    </w:p>
    <w:p w14:paraId="28E42F75" w14:textId="77777777" w:rsidR="0055185E" w:rsidRPr="003E5C0B" w:rsidRDefault="0055185E" w:rsidP="00566970">
      <w:pPr>
        <w:spacing w:after="0" w:line="360" w:lineRule="auto"/>
        <w:rPr>
          <w:color w:val="000000"/>
        </w:rPr>
      </w:pPr>
      <w:r w:rsidRPr="003E5C0B">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4FD6E26" w14:textId="77777777" w:rsidR="0055185E" w:rsidRPr="003E5C0B" w:rsidRDefault="0055185E" w:rsidP="00566970">
      <w:pPr>
        <w:spacing w:after="0" w:line="360" w:lineRule="auto"/>
        <w:rPr>
          <w:color w:val="000000"/>
        </w:rPr>
      </w:pPr>
    </w:p>
    <w:p w14:paraId="19778F0F" w14:textId="77777777" w:rsidR="0055185E" w:rsidRPr="003E5C0B" w:rsidRDefault="0055185E" w:rsidP="00566970">
      <w:pPr>
        <w:spacing w:after="0" w:line="360" w:lineRule="auto"/>
        <w:rPr>
          <w:color w:val="000000"/>
        </w:rPr>
      </w:pPr>
      <w:r w:rsidRPr="003E5C0B">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AB7F177" w14:textId="77777777" w:rsidR="0055185E" w:rsidRPr="003E5C0B" w:rsidRDefault="0055185E" w:rsidP="00566970">
      <w:pPr>
        <w:spacing w:after="0" w:line="360" w:lineRule="auto"/>
        <w:rPr>
          <w:color w:val="000000"/>
        </w:rPr>
      </w:pPr>
    </w:p>
    <w:p w14:paraId="1DB732DB" w14:textId="77777777" w:rsidR="0055185E" w:rsidRPr="003E5C0B" w:rsidRDefault="0055185E" w:rsidP="00566970">
      <w:pPr>
        <w:spacing w:after="0" w:line="360" w:lineRule="auto"/>
        <w:rPr>
          <w:color w:val="000000"/>
        </w:rPr>
      </w:pPr>
      <w:r w:rsidRPr="003E5C0B">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826C01F" w14:textId="77777777" w:rsidR="0055185E" w:rsidRPr="003E5C0B" w:rsidRDefault="0055185E" w:rsidP="00566970">
      <w:pPr>
        <w:spacing w:after="0" w:line="360" w:lineRule="auto"/>
        <w:rPr>
          <w:color w:val="000000"/>
        </w:rPr>
      </w:pPr>
    </w:p>
    <w:p w14:paraId="21A52075" w14:textId="77777777" w:rsidR="0055185E" w:rsidRPr="003E5C0B" w:rsidRDefault="0055185E" w:rsidP="00566970">
      <w:pPr>
        <w:spacing w:after="0" w:line="360" w:lineRule="auto"/>
        <w:rPr>
          <w:color w:val="000000"/>
        </w:rPr>
      </w:pPr>
      <w:r w:rsidRPr="003E5C0B">
        <w:rPr>
          <w:color w:val="000000"/>
        </w:rPr>
        <w:t>De tal suerte, las instituciones públicas tienen la doble responsabilidad, por un lado, de proteger los datos personales y por otro, darles publicidad cuando la relevancia de esos datos sea de interés público.</w:t>
      </w:r>
    </w:p>
    <w:p w14:paraId="56DAEF03" w14:textId="77777777" w:rsidR="0055185E" w:rsidRPr="003E5C0B" w:rsidRDefault="0055185E" w:rsidP="00566970">
      <w:pPr>
        <w:spacing w:after="0" w:line="360" w:lineRule="auto"/>
        <w:rPr>
          <w:color w:val="000000"/>
        </w:rPr>
      </w:pPr>
    </w:p>
    <w:p w14:paraId="28101D02" w14:textId="77777777" w:rsidR="0055185E" w:rsidRPr="003E5C0B" w:rsidRDefault="0055185E" w:rsidP="00566970">
      <w:pPr>
        <w:spacing w:after="0" w:line="360" w:lineRule="auto"/>
        <w:rPr>
          <w:color w:val="000000"/>
        </w:rPr>
      </w:pPr>
      <w:r w:rsidRPr="003E5C0B">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D35A42E" w14:textId="77777777" w:rsidR="0055185E" w:rsidRPr="003E5C0B" w:rsidRDefault="0055185E" w:rsidP="00566970">
      <w:pPr>
        <w:spacing w:after="0" w:line="360" w:lineRule="auto"/>
        <w:rPr>
          <w:color w:val="000000"/>
        </w:rPr>
      </w:pPr>
    </w:p>
    <w:p w14:paraId="5DE83301" w14:textId="77777777" w:rsidR="0055185E" w:rsidRPr="003E5C0B" w:rsidRDefault="0055185E" w:rsidP="00566970">
      <w:pPr>
        <w:spacing w:after="0" w:line="360" w:lineRule="auto"/>
        <w:rPr>
          <w:color w:val="000000"/>
        </w:rPr>
      </w:pPr>
      <w:r w:rsidRPr="003E5C0B">
        <w:rPr>
          <w:color w:val="000000"/>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FF99358" w14:textId="77777777" w:rsidR="0055185E" w:rsidRPr="003E5C0B" w:rsidRDefault="0055185E" w:rsidP="00566970">
      <w:pPr>
        <w:spacing w:after="0" w:line="360" w:lineRule="auto"/>
        <w:rPr>
          <w:color w:val="000000"/>
        </w:rPr>
      </w:pPr>
    </w:p>
    <w:p w14:paraId="1496529D" w14:textId="77777777" w:rsidR="0055185E" w:rsidRPr="003E5C0B" w:rsidRDefault="0055185E" w:rsidP="00566970">
      <w:pPr>
        <w:spacing w:after="0" w:line="360" w:lineRule="auto"/>
        <w:rPr>
          <w:color w:val="000000"/>
        </w:rPr>
      </w:pPr>
      <w:r w:rsidRPr="003E5C0B">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65EC1AFD" w14:textId="77777777" w:rsidR="0055185E" w:rsidRPr="003E5C0B" w:rsidRDefault="0055185E" w:rsidP="00566970">
      <w:pPr>
        <w:spacing w:after="0" w:line="360" w:lineRule="auto"/>
        <w:rPr>
          <w:color w:val="000000"/>
        </w:rPr>
      </w:pPr>
    </w:p>
    <w:p w14:paraId="2DD44077" w14:textId="77777777" w:rsidR="0055185E" w:rsidRPr="003E5C0B" w:rsidRDefault="0055185E" w:rsidP="00566970">
      <w:pPr>
        <w:spacing w:after="0" w:line="360" w:lineRule="auto"/>
        <w:rPr>
          <w:color w:val="000000"/>
        </w:rPr>
      </w:pPr>
      <w:r w:rsidRPr="003E5C0B">
        <w:rPr>
          <w:color w:val="000000"/>
        </w:rPr>
        <w:t>Bajo ese contexto, se analizarán si los datos mencionados, deben ser considerados confidenciales, en términos del artículo 143, fracción I, de la Ley de Transparencia y Acceso a la Información Pública del Estado de México y Municipios, o públicos.</w:t>
      </w:r>
    </w:p>
    <w:p w14:paraId="42B9E5EE" w14:textId="77777777" w:rsidR="0055185E" w:rsidRPr="003E5C0B" w:rsidRDefault="0055185E" w:rsidP="00566970">
      <w:pPr>
        <w:spacing w:after="0" w:line="360" w:lineRule="auto"/>
        <w:rPr>
          <w:color w:val="000000"/>
        </w:rPr>
      </w:pPr>
    </w:p>
    <w:p w14:paraId="70B6A6FC" w14:textId="77777777" w:rsidR="0055185E" w:rsidRPr="003E5C0B" w:rsidRDefault="0055185E" w:rsidP="00566970">
      <w:pPr>
        <w:numPr>
          <w:ilvl w:val="0"/>
          <w:numId w:val="8"/>
        </w:numPr>
        <w:spacing w:after="0" w:line="360" w:lineRule="auto"/>
        <w:rPr>
          <w:b/>
          <w:color w:val="000000"/>
        </w:rPr>
      </w:pPr>
      <w:r w:rsidRPr="003E5C0B">
        <w:rPr>
          <w:b/>
          <w:color w:val="000000"/>
        </w:rPr>
        <w:t>Clave Única de Registro de Población (CURP)</w:t>
      </w:r>
    </w:p>
    <w:p w14:paraId="2A311559" w14:textId="77777777" w:rsidR="0055185E" w:rsidRPr="003E5C0B" w:rsidRDefault="0055185E" w:rsidP="00566970">
      <w:pPr>
        <w:spacing w:after="0" w:line="360" w:lineRule="auto"/>
        <w:rPr>
          <w:color w:val="000000"/>
        </w:rPr>
      </w:pPr>
    </w:p>
    <w:p w14:paraId="380CBE4A" w14:textId="77777777" w:rsidR="0055185E" w:rsidRPr="003E5C0B" w:rsidRDefault="0055185E" w:rsidP="00566970">
      <w:pPr>
        <w:spacing w:after="0" w:line="360" w:lineRule="auto"/>
        <w:rPr>
          <w:color w:val="000000"/>
        </w:rPr>
      </w:pPr>
      <w:r w:rsidRPr="003E5C0B">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BECF73F" w14:textId="77777777" w:rsidR="0055185E" w:rsidRPr="003E5C0B" w:rsidRDefault="0055185E" w:rsidP="00566970">
      <w:pPr>
        <w:spacing w:after="0" w:line="360" w:lineRule="auto"/>
        <w:rPr>
          <w:color w:val="000000"/>
        </w:rPr>
      </w:pPr>
    </w:p>
    <w:p w14:paraId="2CD607FA" w14:textId="77777777" w:rsidR="0055185E" w:rsidRPr="003E5C0B" w:rsidRDefault="0055185E" w:rsidP="00566970">
      <w:pPr>
        <w:spacing w:after="0" w:line="360" w:lineRule="auto"/>
        <w:rPr>
          <w:color w:val="000000"/>
        </w:rPr>
      </w:pPr>
      <w:r w:rsidRPr="003E5C0B">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9FCBE5D" w14:textId="77777777" w:rsidR="0055185E" w:rsidRPr="003E5C0B" w:rsidRDefault="0055185E" w:rsidP="00566970">
      <w:pPr>
        <w:spacing w:after="0" w:line="360" w:lineRule="auto"/>
        <w:rPr>
          <w:color w:val="000000"/>
        </w:rPr>
      </w:pPr>
    </w:p>
    <w:p w14:paraId="601FC6A2" w14:textId="77777777" w:rsidR="0055185E" w:rsidRPr="003E5C0B" w:rsidRDefault="0055185E" w:rsidP="00566970">
      <w:pPr>
        <w:spacing w:after="0" w:line="360" w:lineRule="auto"/>
        <w:rPr>
          <w:color w:val="000000"/>
        </w:rPr>
      </w:pPr>
      <w:r w:rsidRPr="003E5C0B">
        <w:rPr>
          <w:color w:val="000000"/>
        </w:rPr>
        <w:lastRenderedPageBreak/>
        <w:t xml:space="preserve">En ese orden de ideas, la Secretaría de Gobernación en las direcciones </w:t>
      </w:r>
      <w:hyperlink r:id="rId15" w:history="1">
        <w:r w:rsidRPr="003E5C0B">
          <w:rPr>
            <w:rStyle w:val="Hipervnculo"/>
            <w:color w:val="0563C1"/>
          </w:rPr>
          <w:t>https://consultas.curp.gob.mx/CurpSP/html/informacionecurpPS.html</w:t>
        </w:r>
      </w:hyperlink>
      <w:r w:rsidRPr="003E5C0B">
        <w:rPr>
          <w:color w:val="000000"/>
        </w:rPr>
        <w:t xml:space="preserve"> y </w:t>
      </w:r>
      <w:hyperlink r:id="rId16" w:history="1">
        <w:r w:rsidRPr="003E5C0B">
          <w:rPr>
            <w:rStyle w:val="Hipervnculo"/>
            <w:color w:val="0563C1"/>
          </w:rPr>
          <w:t>https://www.gob.mx/segob/renapo/acciones-y-programas/clave-unica-de-registro-de-poblacion-curp-142226</w:t>
        </w:r>
      </w:hyperlink>
      <w:r w:rsidRPr="003E5C0B">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3E5C0B">
        <w:rPr>
          <w:b/>
          <w:color w:val="000000"/>
        </w:rPr>
        <w:t>se generan a partir de los datos contenidos en el documento probatorio de la identidad</w:t>
      </w:r>
      <w:r w:rsidRPr="003E5C0B">
        <w:rPr>
          <w:color w:val="000000"/>
        </w:rPr>
        <w:t xml:space="preserve"> </w:t>
      </w:r>
      <w:r w:rsidRPr="003E5C0B">
        <w:rPr>
          <w:b/>
          <w:color w:val="000000"/>
        </w:rPr>
        <w:t xml:space="preserve">del interesado </w:t>
      </w:r>
      <w:r w:rsidRPr="003E5C0B">
        <w:rPr>
          <w:color w:val="000000"/>
        </w:rPr>
        <w:t>(acta de nacimiento, carta de naturalización o documento migratorio) de la siguiente forma:</w:t>
      </w:r>
    </w:p>
    <w:p w14:paraId="3E140E51" w14:textId="77777777" w:rsidR="0055185E" w:rsidRPr="003E5C0B" w:rsidRDefault="0055185E" w:rsidP="00566970">
      <w:pPr>
        <w:spacing w:after="0" w:line="360" w:lineRule="auto"/>
        <w:rPr>
          <w:color w:val="000000"/>
        </w:rPr>
      </w:pPr>
    </w:p>
    <w:p w14:paraId="22760E9F" w14:textId="77777777" w:rsidR="0055185E" w:rsidRPr="003E5C0B" w:rsidRDefault="0055185E" w:rsidP="00566970">
      <w:pPr>
        <w:numPr>
          <w:ilvl w:val="0"/>
          <w:numId w:val="9"/>
        </w:numPr>
        <w:spacing w:after="0" w:line="360" w:lineRule="auto"/>
        <w:rPr>
          <w:color w:val="000000"/>
        </w:rPr>
      </w:pPr>
      <w:r w:rsidRPr="003E5C0B">
        <w:rPr>
          <w:color w:val="000000"/>
        </w:rPr>
        <w:t>El primero y segundo apellidos, así como al nombre de pila;</w:t>
      </w:r>
    </w:p>
    <w:p w14:paraId="261BB165" w14:textId="77777777" w:rsidR="0055185E" w:rsidRPr="003E5C0B" w:rsidRDefault="0055185E" w:rsidP="00566970">
      <w:pPr>
        <w:numPr>
          <w:ilvl w:val="0"/>
          <w:numId w:val="9"/>
        </w:numPr>
        <w:spacing w:after="0" w:line="360" w:lineRule="auto"/>
        <w:rPr>
          <w:color w:val="000000"/>
        </w:rPr>
      </w:pPr>
      <w:r w:rsidRPr="003E5C0B">
        <w:rPr>
          <w:color w:val="000000"/>
        </w:rPr>
        <w:t>La fecha de nacimiento;</w:t>
      </w:r>
    </w:p>
    <w:p w14:paraId="0F713C0C" w14:textId="77777777" w:rsidR="0055185E" w:rsidRPr="003E5C0B" w:rsidRDefault="0055185E" w:rsidP="00566970">
      <w:pPr>
        <w:numPr>
          <w:ilvl w:val="0"/>
          <w:numId w:val="9"/>
        </w:numPr>
        <w:spacing w:after="0" w:line="360" w:lineRule="auto"/>
        <w:rPr>
          <w:color w:val="000000"/>
        </w:rPr>
      </w:pPr>
      <w:r w:rsidRPr="003E5C0B">
        <w:rPr>
          <w:color w:val="000000"/>
        </w:rPr>
        <w:t>El sexo, y</w:t>
      </w:r>
    </w:p>
    <w:p w14:paraId="06194F5C" w14:textId="77777777" w:rsidR="0055185E" w:rsidRPr="003E5C0B" w:rsidRDefault="0055185E" w:rsidP="00566970">
      <w:pPr>
        <w:numPr>
          <w:ilvl w:val="0"/>
          <w:numId w:val="9"/>
        </w:numPr>
        <w:spacing w:after="0" w:line="360" w:lineRule="auto"/>
        <w:rPr>
          <w:color w:val="000000"/>
        </w:rPr>
      </w:pPr>
      <w:r w:rsidRPr="003E5C0B">
        <w:rPr>
          <w:color w:val="000000"/>
        </w:rPr>
        <w:t>La entidad federativa de nacimiento.</w:t>
      </w:r>
    </w:p>
    <w:p w14:paraId="14063C57" w14:textId="77777777" w:rsidR="0055185E" w:rsidRPr="003E5C0B" w:rsidRDefault="0055185E" w:rsidP="00566970">
      <w:pPr>
        <w:spacing w:after="0" w:line="360" w:lineRule="auto"/>
        <w:rPr>
          <w:color w:val="000000"/>
        </w:rPr>
      </w:pPr>
    </w:p>
    <w:p w14:paraId="4E4586C2" w14:textId="77777777" w:rsidR="0055185E" w:rsidRPr="003E5C0B" w:rsidRDefault="0055185E" w:rsidP="00566970">
      <w:pPr>
        <w:spacing w:after="0" w:line="360" w:lineRule="auto"/>
        <w:rPr>
          <w:color w:val="000000"/>
        </w:rPr>
      </w:pPr>
      <w:r w:rsidRPr="003E5C0B">
        <w:rPr>
          <w:color w:val="000000"/>
        </w:rPr>
        <w:t>Los dos últimos elementos de la Clave Única de Registro de Población evitan la duplicidad de la Clave y garantizan su correcta integración.</w:t>
      </w:r>
    </w:p>
    <w:p w14:paraId="5C4FA04F" w14:textId="77777777" w:rsidR="0055185E" w:rsidRPr="003E5C0B" w:rsidRDefault="0055185E" w:rsidP="00566970">
      <w:pPr>
        <w:spacing w:after="0" w:line="360" w:lineRule="auto"/>
        <w:rPr>
          <w:color w:val="000000"/>
        </w:rPr>
      </w:pPr>
    </w:p>
    <w:p w14:paraId="75C5DCC0" w14:textId="77777777" w:rsidR="0055185E" w:rsidRPr="003E5C0B" w:rsidRDefault="0055185E" w:rsidP="00566970">
      <w:pPr>
        <w:spacing w:after="0" w:line="360" w:lineRule="auto"/>
        <w:rPr>
          <w:color w:val="000000"/>
        </w:rPr>
      </w:pPr>
      <w:r w:rsidRPr="003E5C0B">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2B29ABA" w14:textId="77777777" w:rsidR="0055185E" w:rsidRPr="003E5C0B" w:rsidRDefault="0055185E" w:rsidP="00566970">
      <w:pPr>
        <w:spacing w:after="0" w:line="360" w:lineRule="auto"/>
        <w:rPr>
          <w:color w:val="000000"/>
        </w:rPr>
      </w:pPr>
    </w:p>
    <w:p w14:paraId="58E6977A" w14:textId="77777777" w:rsidR="0055185E" w:rsidRPr="003E5C0B" w:rsidRDefault="0055185E" w:rsidP="00566970">
      <w:pPr>
        <w:spacing w:after="0" w:line="360" w:lineRule="auto"/>
        <w:rPr>
          <w:color w:val="000000"/>
        </w:rPr>
      </w:pPr>
      <w:r w:rsidRPr="003E5C0B">
        <w:rPr>
          <w:color w:val="000000"/>
        </w:rPr>
        <w:lastRenderedPageBreak/>
        <w:t>Situación que se robustece, con el Criterio de Interpretación, de la Segunda Época, con número de registro SO/018/2017, emitido por el Instituto Nacional de Transparencia, Acceso a la Información y Protección de Datos Personales, que establece lo siguiente:</w:t>
      </w:r>
    </w:p>
    <w:p w14:paraId="214E0F38" w14:textId="77777777" w:rsidR="0055185E" w:rsidRPr="003E5C0B" w:rsidRDefault="0055185E" w:rsidP="00566970">
      <w:pPr>
        <w:spacing w:after="0" w:line="360" w:lineRule="auto"/>
        <w:ind w:left="567" w:right="567"/>
        <w:rPr>
          <w:color w:val="000000"/>
          <w:sz w:val="20"/>
          <w:szCs w:val="20"/>
        </w:rPr>
      </w:pPr>
    </w:p>
    <w:p w14:paraId="4AAAA066" w14:textId="77777777" w:rsidR="0055185E" w:rsidRPr="003E5C0B" w:rsidRDefault="0055185E" w:rsidP="00566970">
      <w:pPr>
        <w:spacing w:after="0" w:line="360" w:lineRule="auto"/>
        <w:ind w:left="567" w:right="567"/>
        <w:rPr>
          <w:i/>
          <w:color w:val="000000"/>
          <w:sz w:val="20"/>
          <w:szCs w:val="20"/>
        </w:rPr>
      </w:pPr>
      <w:r w:rsidRPr="003E5C0B">
        <w:rPr>
          <w:b/>
          <w:i/>
          <w:color w:val="000000"/>
          <w:sz w:val="20"/>
          <w:szCs w:val="20"/>
        </w:rPr>
        <w:t xml:space="preserve">“Clave Única de Registro de Población (CURP). </w:t>
      </w:r>
      <w:r w:rsidRPr="003E5C0B">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ED846B8" w14:textId="77777777" w:rsidR="0055185E" w:rsidRPr="003E5C0B" w:rsidRDefault="0055185E" w:rsidP="00566970">
      <w:pPr>
        <w:spacing w:after="0" w:line="360" w:lineRule="auto"/>
        <w:rPr>
          <w:color w:val="000000"/>
        </w:rPr>
      </w:pPr>
    </w:p>
    <w:p w14:paraId="1A1DB645" w14:textId="77777777" w:rsidR="0055185E" w:rsidRPr="003E5C0B" w:rsidRDefault="0055185E" w:rsidP="00566970">
      <w:pPr>
        <w:spacing w:after="0" w:line="360" w:lineRule="auto"/>
        <w:rPr>
          <w:color w:val="000000"/>
        </w:rPr>
      </w:pPr>
      <w:r w:rsidRPr="003E5C0B">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00E63C1A" w14:textId="77777777" w:rsidR="0055185E" w:rsidRPr="003E5C0B" w:rsidRDefault="0055185E" w:rsidP="00566970">
      <w:pPr>
        <w:spacing w:after="0" w:line="360" w:lineRule="auto"/>
        <w:rPr>
          <w:color w:val="000000"/>
        </w:rPr>
      </w:pPr>
    </w:p>
    <w:p w14:paraId="1B9C6C6B" w14:textId="77777777" w:rsidR="0055185E" w:rsidRPr="003E5C0B" w:rsidRDefault="0055185E" w:rsidP="00566970">
      <w:pPr>
        <w:numPr>
          <w:ilvl w:val="0"/>
          <w:numId w:val="8"/>
        </w:numPr>
        <w:spacing w:after="0" w:line="360" w:lineRule="auto"/>
        <w:rPr>
          <w:b/>
          <w:color w:val="000000"/>
        </w:rPr>
      </w:pPr>
      <w:r w:rsidRPr="003E5C0B">
        <w:rPr>
          <w:b/>
          <w:color w:val="000000"/>
        </w:rPr>
        <w:t>Registro Federal de Contribuyentes (RFC)</w:t>
      </w:r>
    </w:p>
    <w:p w14:paraId="5AF7F679" w14:textId="77777777" w:rsidR="0055185E" w:rsidRPr="003E5C0B" w:rsidRDefault="0055185E" w:rsidP="00566970">
      <w:pPr>
        <w:spacing w:after="0" w:line="360" w:lineRule="auto"/>
        <w:rPr>
          <w:color w:val="000000"/>
        </w:rPr>
      </w:pPr>
    </w:p>
    <w:p w14:paraId="75B76EBC" w14:textId="77777777" w:rsidR="0055185E" w:rsidRPr="003E5C0B" w:rsidRDefault="0055185E" w:rsidP="00566970">
      <w:pPr>
        <w:spacing w:after="0" w:line="360" w:lineRule="auto"/>
        <w:rPr>
          <w:color w:val="000000"/>
        </w:rPr>
      </w:pPr>
      <w:r w:rsidRPr="003E5C0B">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92024AD" w14:textId="77777777" w:rsidR="0055185E" w:rsidRPr="003E5C0B" w:rsidRDefault="0055185E" w:rsidP="00566970">
      <w:pPr>
        <w:spacing w:after="0" w:line="360" w:lineRule="auto"/>
        <w:rPr>
          <w:color w:val="000000"/>
        </w:rPr>
      </w:pPr>
    </w:p>
    <w:p w14:paraId="012BB66D" w14:textId="77777777" w:rsidR="0055185E" w:rsidRPr="003E5C0B" w:rsidRDefault="0055185E" w:rsidP="00566970">
      <w:pPr>
        <w:spacing w:after="0" w:line="360" w:lineRule="auto"/>
        <w:rPr>
          <w:color w:val="000000"/>
        </w:rPr>
      </w:pPr>
      <w:r w:rsidRPr="003E5C0B">
        <w:rPr>
          <w:color w:val="000000"/>
        </w:rPr>
        <w:t xml:space="preserve">De acuerdo a lo establecido en el artículo en comento, esta clave se compone de trece caracteres alfanuméricos, con datos obtenidos de los apellidos, nombre(s), fecha de </w:t>
      </w:r>
      <w:r w:rsidRPr="003E5C0B">
        <w:rPr>
          <w:color w:val="000000"/>
        </w:rPr>
        <w:lastRenderedPageBreak/>
        <w:t>nacimiento del titular, más una homoclave que establece el sistema automático del Servicio de Administración Tributaria.</w:t>
      </w:r>
    </w:p>
    <w:p w14:paraId="05022235" w14:textId="77777777" w:rsidR="0055185E" w:rsidRPr="003E5C0B" w:rsidRDefault="0055185E" w:rsidP="00566970">
      <w:pPr>
        <w:spacing w:after="0" w:line="360" w:lineRule="auto"/>
        <w:rPr>
          <w:color w:val="000000"/>
        </w:rPr>
      </w:pPr>
    </w:p>
    <w:p w14:paraId="3DE6FDFB" w14:textId="77777777" w:rsidR="0055185E" w:rsidRPr="003E5C0B" w:rsidRDefault="0055185E" w:rsidP="00566970">
      <w:pPr>
        <w:spacing w:after="0" w:line="360" w:lineRule="auto"/>
        <w:rPr>
          <w:color w:val="000000"/>
        </w:rPr>
      </w:pPr>
      <w:r w:rsidRPr="003E5C0B">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1AA6A65" w14:textId="77777777" w:rsidR="0055185E" w:rsidRPr="003E5C0B" w:rsidRDefault="0055185E" w:rsidP="00566970">
      <w:pPr>
        <w:spacing w:after="0" w:line="360" w:lineRule="auto"/>
        <w:rPr>
          <w:color w:val="000000"/>
        </w:rPr>
      </w:pPr>
    </w:p>
    <w:p w14:paraId="61C087F8" w14:textId="77777777" w:rsidR="0055185E" w:rsidRPr="003E5C0B" w:rsidRDefault="0055185E" w:rsidP="00566970">
      <w:pPr>
        <w:spacing w:after="0" w:line="360" w:lineRule="auto"/>
        <w:rPr>
          <w:color w:val="000000"/>
        </w:rPr>
      </w:pPr>
      <w:r w:rsidRPr="003E5C0B">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322D28C9" w14:textId="77777777" w:rsidR="0055185E" w:rsidRPr="003E5C0B" w:rsidRDefault="0055185E" w:rsidP="00566970">
      <w:pPr>
        <w:spacing w:after="0" w:line="360" w:lineRule="auto"/>
        <w:rPr>
          <w:color w:val="000000"/>
        </w:rPr>
      </w:pPr>
    </w:p>
    <w:p w14:paraId="09826BE2" w14:textId="77777777" w:rsidR="0055185E" w:rsidRPr="003E5C0B" w:rsidRDefault="0055185E" w:rsidP="00566970">
      <w:pPr>
        <w:spacing w:after="0" w:line="360" w:lineRule="auto"/>
        <w:rPr>
          <w:color w:val="000000"/>
        </w:rPr>
      </w:pPr>
      <w:r w:rsidRPr="003E5C0B">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6B716DCD" w14:textId="77777777" w:rsidR="0055185E" w:rsidRPr="003E5C0B" w:rsidRDefault="0055185E" w:rsidP="00566970">
      <w:pPr>
        <w:spacing w:after="0" w:line="360" w:lineRule="auto"/>
        <w:rPr>
          <w:color w:val="000000"/>
        </w:rPr>
      </w:pPr>
    </w:p>
    <w:p w14:paraId="798E5438" w14:textId="77777777" w:rsidR="0055185E" w:rsidRPr="003E5C0B" w:rsidRDefault="0055185E" w:rsidP="00566970">
      <w:pPr>
        <w:spacing w:after="0" w:line="360" w:lineRule="auto"/>
        <w:ind w:left="567" w:right="567"/>
        <w:rPr>
          <w:i/>
          <w:color w:val="000000"/>
          <w:sz w:val="20"/>
          <w:szCs w:val="20"/>
        </w:rPr>
      </w:pPr>
      <w:r w:rsidRPr="003E5C0B">
        <w:rPr>
          <w:b/>
          <w:i/>
          <w:color w:val="000000"/>
          <w:sz w:val="20"/>
          <w:szCs w:val="20"/>
        </w:rPr>
        <w:t>“Registro Federal de Contribuyentes (RFC) de personas físicas.</w:t>
      </w:r>
      <w:r w:rsidRPr="003E5C0B">
        <w:rPr>
          <w:i/>
          <w:color w:val="000000"/>
          <w:sz w:val="20"/>
          <w:szCs w:val="20"/>
        </w:rPr>
        <w:t xml:space="preserve"> El RFC es una clave de carácter fiscal, única e irrepetible, que permite identificar al titular, su edad y fecha de nacimiento, por lo que es un dato personal de carácter confidencial.”</w:t>
      </w:r>
    </w:p>
    <w:p w14:paraId="6441E732" w14:textId="77777777" w:rsidR="0055185E" w:rsidRPr="003E5C0B" w:rsidRDefault="0055185E" w:rsidP="00566970">
      <w:pPr>
        <w:spacing w:after="0" w:line="360" w:lineRule="auto"/>
        <w:rPr>
          <w:color w:val="000000"/>
        </w:rPr>
      </w:pPr>
    </w:p>
    <w:p w14:paraId="4F4F56EF" w14:textId="77777777" w:rsidR="0055185E" w:rsidRPr="003E5C0B" w:rsidRDefault="0055185E" w:rsidP="00566970">
      <w:pPr>
        <w:spacing w:after="0" w:line="360" w:lineRule="auto"/>
        <w:rPr>
          <w:color w:val="000000"/>
        </w:rPr>
      </w:pPr>
      <w:r w:rsidRPr="003E5C0B">
        <w:rPr>
          <w:color w:val="000000"/>
        </w:rPr>
        <w:t xml:space="preserve">De tal suerte, el Registro Federal de Contribuyentes de los servidores públicos no guarda relación con la transparencia de los recursos públicos, así como tampoco con el desempeño </w:t>
      </w:r>
      <w:r w:rsidRPr="003E5C0B">
        <w:rPr>
          <w:color w:val="000000"/>
        </w:rPr>
        <w:lastRenderedPageBreak/>
        <w:t>laboral que pueda tener una persona, por lo que constituye un dato personal confidencial al actualizar el supuesto normativo del artículo 143, fracción I, de la Ley de Transparencia y Acceso a la Información Pública del Estado de México y Municipios.</w:t>
      </w:r>
    </w:p>
    <w:p w14:paraId="31C6ECA3" w14:textId="77777777" w:rsidR="0055185E" w:rsidRPr="003E5C0B" w:rsidRDefault="0055185E" w:rsidP="00566970">
      <w:pPr>
        <w:tabs>
          <w:tab w:val="center" w:pos="4522"/>
        </w:tabs>
        <w:spacing w:after="0" w:line="360" w:lineRule="auto"/>
        <w:rPr>
          <w:color w:val="000000"/>
        </w:rPr>
      </w:pPr>
    </w:p>
    <w:p w14:paraId="05A0953D" w14:textId="77777777" w:rsidR="007B6A4B" w:rsidRPr="003E5C0B" w:rsidRDefault="007B6A4B" w:rsidP="007B6A4B">
      <w:pPr>
        <w:numPr>
          <w:ilvl w:val="0"/>
          <w:numId w:val="21"/>
        </w:numPr>
        <w:spacing w:after="0" w:line="360" w:lineRule="auto"/>
        <w:contextualSpacing/>
        <w:jc w:val="left"/>
        <w:rPr>
          <w:rFonts w:eastAsia="Calibri" w:cs="Tahoma"/>
          <w:b/>
          <w:bCs/>
          <w:iCs/>
        </w:rPr>
      </w:pPr>
      <w:r w:rsidRPr="003E5C0B">
        <w:rPr>
          <w:rFonts w:eastAsia="Calibri" w:cs="Tahoma"/>
          <w:b/>
          <w:bCs/>
          <w:iCs/>
        </w:rPr>
        <w:t xml:space="preserve">Código bidimensional o </w:t>
      </w:r>
      <w:proofErr w:type="spellStart"/>
      <w:r w:rsidRPr="003E5C0B">
        <w:rPr>
          <w:rFonts w:eastAsia="Calibri" w:cs="Tahoma"/>
          <w:b/>
          <w:bCs/>
          <w:iCs/>
        </w:rPr>
        <w:t>Qr</w:t>
      </w:r>
      <w:proofErr w:type="spellEnd"/>
    </w:p>
    <w:p w14:paraId="7C89F7A9" w14:textId="77777777" w:rsidR="007B6A4B" w:rsidRPr="003E5C0B" w:rsidRDefault="007B6A4B" w:rsidP="007B6A4B">
      <w:pPr>
        <w:spacing w:after="0" w:line="360" w:lineRule="auto"/>
        <w:contextualSpacing/>
        <w:rPr>
          <w:rFonts w:eastAsia="Calibri" w:cs="Tahoma"/>
          <w:b/>
          <w:bCs/>
          <w:iCs/>
        </w:rPr>
      </w:pPr>
    </w:p>
    <w:p w14:paraId="53EEF891" w14:textId="77777777" w:rsidR="007B6A4B" w:rsidRPr="003E5C0B" w:rsidRDefault="007B6A4B" w:rsidP="007B6A4B">
      <w:pPr>
        <w:spacing w:after="0" w:line="360" w:lineRule="auto"/>
        <w:contextualSpacing/>
        <w:rPr>
          <w:rFonts w:eastAsia="Calibri" w:cs="Tahoma"/>
          <w:bCs/>
        </w:rPr>
      </w:pPr>
      <w:r w:rsidRPr="003E5C0B">
        <w:rPr>
          <w:rFonts w:eastAsia="Calibri" w:cs="Tahoma"/>
          <w:bCs/>
        </w:rPr>
        <w:t xml:space="preserve">En principio, resulta necesario señalar que los comprobantes fiscales digitales por Internet, deben de incluir un código bidimensional conforme al formato </w:t>
      </w:r>
      <w:r w:rsidRPr="003E5C0B">
        <w:rPr>
          <w:rFonts w:eastAsia="Calibri" w:cs="Tahoma"/>
          <w:bCs/>
          <w:i/>
        </w:rPr>
        <w:t xml:space="preserve">QR </w:t>
      </w:r>
      <w:proofErr w:type="spellStart"/>
      <w:r w:rsidRPr="003E5C0B">
        <w:rPr>
          <w:rFonts w:eastAsia="Calibri" w:cs="Tahoma"/>
          <w:bCs/>
          <w:i/>
        </w:rPr>
        <w:t>Code</w:t>
      </w:r>
      <w:proofErr w:type="spellEnd"/>
      <w:r w:rsidRPr="003E5C0B">
        <w:rPr>
          <w:rFonts w:eastAsia="Calibri" w:cs="Tahoma"/>
          <w:bCs/>
          <w:i/>
        </w:rPr>
        <w:t xml:space="preserve"> (Quick Response </w:t>
      </w:r>
      <w:proofErr w:type="spellStart"/>
      <w:r w:rsidRPr="003E5C0B">
        <w:rPr>
          <w:rFonts w:eastAsia="Calibri" w:cs="Tahoma"/>
          <w:bCs/>
          <w:i/>
        </w:rPr>
        <w:t>Code</w:t>
      </w:r>
      <w:proofErr w:type="spellEnd"/>
      <w:r w:rsidRPr="003E5C0B">
        <w:rPr>
          <w:rFonts w:eastAsia="Calibri" w:cs="Tahoma"/>
          <w:bCs/>
          <w:i/>
        </w:rPr>
        <w:t>)</w:t>
      </w:r>
      <w:r w:rsidRPr="003E5C0B">
        <w:rPr>
          <w:rFonts w:eastAsia="Calibri"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7" w:history="1">
        <w:r w:rsidRPr="003E5C0B">
          <w:rPr>
            <w:rStyle w:val="Hipervnculo"/>
            <w:rFonts w:eastAsia="Calibri" w:cs="Tahoma"/>
            <w:bCs/>
            <w:color w:val="0563C1"/>
          </w:rPr>
          <w:t>http://dof.gob.mx/nota_detalle.php?codigo=5492254&amp;fecha=28/07/2017</w:t>
        </w:r>
      </w:hyperlink>
      <w:r w:rsidRPr="003E5C0B">
        <w:rPr>
          <w:rFonts w:eastAsia="Calibri" w:cs="Tahoma"/>
          <w:bCs/>
        </w:rPr>
        <w:t>. Incluso con la captura de dicho código, a través de la aplicación móvil del Servicio de Administración Tributaria, permite el acceso al Registro Federal de Contribuyentes, como del Sujeto Obligado, como de los servidores públicos.</w:t>
      </w:r>
    </w:p>
    <w:p w14:paraId="11C2BB5B" w14:textId="77777777" w:rsidR="007B6A4B" w:rsidRPr="003E5C0B" w:rsidRDefault="007B6A4B" w:rsidP="007B6A4B">
      <w:pPr>
        <w:spacing w:after="0" w:line="360" w:lineRule="auto"/>
        <w:contextualSpacing/>
        <w:rPr>
          <w:rFonts w:eastAsia="Calibri" w:cs="Tahoma"/>
          <w:bCs/>
        </w:rPr>
      </w:pPr>
    </w:p>
    <w:p w14:paraId="769A3C04" w14:textId="77777777" w:rsidR="007B6A4B" w:rsidRPr="003E5C0B" w:rsidRDefault="007B6A4B" w:rsidP="007B6A4B">
      <w:pPr>
        <w:spacing w:after="0" w:line="360" w:lineRule="auto"/>
        <w:contextualSpacing/>
        <w:rPr>
          <w:rFonts w:eastAsia="Calibri" w:cs="Tahoma"/>
          <w:bCs/>
        </w:rPr>
      </w:pPr>
      <w:r w:rsidRPr="003E5C0B">
        <w:rPr>
          <w:rFonts w:eastAsia="Calibri"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2AA7E247" w14:textId="77777777" w:rsidR="007B6A4B" w:rsidRPr="003E5C0B" w:rsidRDefault="007B6A4B" w:rsidP="00566970">
      <w:pPr>
        <w:tabs>
          <w:tab w:val="center" w:pos="4522"/>
        </w:tabs>
        <w:spacing w:after="0" w:line="360" w:lineRule="auto"/>
        <w:rPr>
          <w:color w:val="000000"/>
        </w:rPr>
      </w:pPr>
    </w:p>
    <w:p w14:paraId="3770EC94" w14:textId="77777777" w:rsidR="0055185E" w:rsidRPr="003E5C0B" w:rsidRDefault="0055185E" w:rsidP="00566970">
      <w:pPr>
        <w:numPr>
          <w:ilvl w:val="0"/>
          <w:numId w:val="8"/>
        </w:numPr>
        <w:spacing w:after="0" w:line="360" w:lineRule="auto"/>
        <w:rPr>
          <w:b/>
          <w:color w:val="000000"/>
        </w:rPr>
      </w:pPr>
      <w:r w:rsidRPr="003E5C0B">
        <w:rPr>
          <w:b/>
          <w:color w:val="000000"/>
        </w:rPr>
        <w:t>Número de seguridad social del Instituto de Seguridad Social del Estado de México y Municipios</w:t>
      </w:r>
    </w:p>
    <w:p w14:paraId="0230A88F" w14:textId="77777777" w:rsidR="0055185E" w:rsidRPr="003E5C0B" w:rsidRDefault="0055185E" w:rsidP="00566970">
      <w:pPr>
        <w:spacing w:after="0" w:line="360" w:lineRule="auto"/>
        <w:rPr>
          <w:b/>
          <w:color w:val="000000"/>
        </w:rPr>
      </w:pPr>
    </w:p>
    <w:p w14:paraId="1FBF31AB" w14:textId="77777777" w:rsidR="0055185E" w:rsidRPr="003E5C0B" w:rsidRDefault="0055185E" w:rsidP="00566970">
      <w:pPr>
        <w:spacing w:after="0" w:line="360" w:lineRule="auto"/>
        <w:rPr>
          <w:color w:val="000000"/>
        </w:rPr>
      </w:pPr>
      <w:r w:rsidRPr="003E5C0B">
        <w:rPr>
          <w:color w:val="000000"/>
        </w:rPr>
        <w:t xml:space="preserve">El Instituto de Seguridad Social del Estado de México y Municipios (ISSEMYM) es el organismo público encargado de proporcionar los servicios de seguridad social a los </w:t>
      </w:r>
      <w:r w:rsidRPr="003E5C0B">
        <w:rPr>
          <w:color w:val="000000"/>
        </w:rPr>
        <w:lastRenderedPageBreak/>
        <w:t>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4E13E0D" w14:textId="77777777" w:rsidR="0055185E" w:rsidRPr="003E5C0B" w:rsidRDefault="0055185E" w:rsidP="00566970">
      <w:pPr>
        <w:spacing w:after="0" w:line="360" w:lineRule="auto"/>
        <w:rPr>
          <w:color w:val="000000"/>
        </w:rPr>
      </w:pPr>
    </w:p>
    <w:p w14:paraId="5016236E" w14:textId="77777777" w:rsidR="0055185E" w:rsidRPr="003E5C0B" w:rsidRDefault="0055185E" w:rsidP="00566970">
      <w:pPr>
        <w:spacing w:after="0" w:line="360" w:lineRule="auto"/>
        <w:rPr>
          <w:color w:val="000000"/>
        </w:rPr>
      </w:pPr>
      <w:r w:rsidRPr="003E5C0B">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7C5A2154" w14:textId="77777777" w:rsidR="0055185E" w:rsidRPr="003E5C0B" w:rsidRDefault="0055185E" w:rsidP="00566970">
      <w:pPr>
        <w:spacing w:after="0" w:line="360" w:lineRule="auto"/>
        <w:rPr>
          <w:color w:val="000000"/>
        </w:rPr>
      </w:pPr>
    </w:p>
    <w:p w14:paraId="28BD82B6" w14:textId="77777777" w:rsidR="0055185E" w:rsidRPr="003E5C0B" w:rsidRDefault="0055185E" w:rsidP="00566970">
      <w:pPr>
        <w:spacing w:after="0" w:line="360" w:lineRule="auto"/>
        <w:rPr>
          <w:color w:val="000000"/>
        </w:rPr>
      </w:pPr>
      <w:r w:rsidRPr="003E5C0B">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94C48E0" w14:textId="77777777" w:rsidR="0055185E" w:rsidRPr="003E5C0B" w:rsidRDefault="0055185E" w:rsidP="00566970">
      <w:pPr>
        <w:spacing w:after="0" w:line="360" w:lineRule="auto"/>
        <w:rPr>
          <w:color w:val="000000"/>
        </w:rPr>
      </w:pPr>
    </w:p>
    <w:p w14:paraId="4E947B29" w14:textId="77777777" w:rsidR="0055185E" w:rsidRPr="003E5C0B" w:rsidRDefault="0055185E" w:rsidP="00566970">
      <w:pPr>
        <w:spacing w:after="0" w:line="360" w:lineRule="auto"/>
        <w:rPr>
          <w:color w:val="000000"/>
        </w:rPr>
      </w:pPr>
      <w:r w:rsidRPr="003E5C0B">
        <w:rPr>
          <w:color w:val="000000"/>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w:t>
      </w:r>
      <w:r w:rsidRPr="003E5C0B">
        <w:rPr>
          <w:color w:val="000000"/>
        </w:rPr>
        <w:lastRenderedPageBreak/>
        <w:t>confidencialidad, establecido en el artículo 143, fracción I, de la Ley de Transparencia y Acceso a la Información Pública del Estado de México y Municipios.</w:t>
      </w:r>
    </w:p>
    <w:p w14:paraId="3145C02B" w14:textId="77777777" w:rsidR="0055185E" w:rsidRPr="003E5C0B" w:rsidRDefault="0055185E" w:rsidP="00566970">
      <w:pPr>
        <w:spacing w:after="0" w:line="360" w:lineRule="auto"/>
        <w:rPr>
          <w:color w:val="000000"/>
        </w:rPr>
      </w:pPr>
    </w:p>
    <w:p w14:paraId="5BE9F727" w14:textId="64D1A35C" w:rsidR="0055185E" w:rsidRPr="003E5C0B" w:rsidRDefault="0055185E" w:rsidP="00566970">
      <w:pPr>
        <w:numPr>
          <w:ilvl w:val="0"/>
          <w:numId w:val="10"/>
        </w:numPr>
        <w:spacing w:after="0" w:line="360" w:lineRule="auto"/>
        <w:jc w:val="left"/>
        <w:rPr>
          <w:b/>
          <w:color w:val="000000"/>
        </w:rPr>
      </w:pPr>
      <w:r w:rsidRPr="003E5C0B">
        <w:rPr>
          <w:b/>
          <w:color w:val="000000"/>
        </w:rPr>
        <w:t>Deducciones personales</w:t>
      </w:r>
    </w:p>
    <w:p w14:paraId="39BB8296" w14:textId="77777777" w:rsidR="0055185E" w:rsidRPr="003E5C0B" w:rsidRDefault="0055185E" w:rsidP="00566970">
      <w:pPr>
        <w:spacing w:after="0" w:line="360" w:lineRule="auto"/>
        <w:ind w:left="720"/>
        <w:rPr>
          <w:b/>
          <w:color w:val="000000"/>
        </w:rPr>
      </w:pPr>
    </w:p>
    <w:p w14:paraId="698D9226" w14:textId="77777777" w:rsidR="0055185E" w:rsidRPr="003E5C0B" w:rsidRDefault="0055185E" w:rsidP="00566970">
      <w:pPr>
        <w:spacing w:after="0" w:line="360" w:lineRule="auto"/>
        <w:rPr>
          <w:color w:val="000000"/>
        </w:rPr>
      </w:pPr>
      <w:r w:rsidRPr="003E5C0B">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772CBDF4" w14:textId="77777777" w:rsidR="0055185E" w:rsidRPr="003E5C0B" w:rsidRDefault="0055185E" w:rsidP="00566970">
      <w:pPr>
        <w:spacing w:after="0" w:line="360" w:lineRule="auto"/>
        <w:rPr>
          <w:color w:val="000000"/>
        </w:rPr>
      </w:pPr>
    </w:p>
    <w:p w14:paraId="0A80270A" w14:textId="77777777" w:rsidR="0055185E" w:rsidRPr="003E5C0B" w:rsidRDefault="0055185E" w:rsidP="00566970">
      <w:pPr>
        <w:spacing w:after="0" w:line="360" w:lineRule="auto"/>
        <w:rPr>
          <w:color w:val="000000"/>
        </w:rPr>
      </w:pPr>
      <w:r w:rsidRPr="003E5C0B">
        <w:rPr>
          <w:color w:val="000000"/>
        </w:rPr>
        <w:t xml:space="preserve">Asimismo, hay otras que se generan con motivo de una sentencia judicial, como es la pensión alimenticia que periódicamente se retira de la cuenta de un empleado, a efecto de que sea entregado a un tercero.  </w:t>
      </w:r>
    </w:p>
    <w:p w14:paraId="71666599" w14:textId="77777777" w:rsidR="0055185E" w:rsidRPr="003E5C0B" w:rsidRDefault="0055185E" w:rsidP="00566970">
      <w:pPr>
        <w:spacing w:after="0" w:line="360" w:lineRule="auto"/>
        <w:rPr>
          <w:color w:val="000000"/>
        </w:rPr>
      </w:pPr>
    </w:p>
    <w:p w14:paraId="00549CEA" w14:textId="77777777" w:rsidR="0055185E" w:rsidRPr="003E5C0B" w:rsidRDefault="0055185E" w:rsidP="00566970">
      <w:pPr>
        <w:spacing w:after="0" w:line="360" w:lineRule="auto"/>
        <w:rPr>
          <w:color w:val="000000"/>
        </w:rPr>
      </w:pPr>
      <w:r w:rsidRPr="003E5C0B">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9147A13" w14:textId="77777777" w:rsidR="0055185E" w:rsidRPr="003E5C0B" w:rsidRDefault="0055185E" w:rsidP="00566970">
      <w:pPr>
        <w:spacing w:after="0" w:line="360" w:lineRule="auto"/>
        <w:rPr>
          <w:color w:val="000000"/>
        </w:rPr>
      </w:pPr>
    </w:p>
    <w:p w14:paraId="319C062B" w14:textId="57515E50" w:rsidR="0055185E" w:rsidRPr="003E5C0B" w:rsidRDefault="0055185E" w:rsidP="00566970">
      <w:pPr>
        <w:spacing w:after="0" w:line="360" w:lineRule="auto"/>
        <w:rPr>
          <w:b/>
          <w:bCs/>
          <w:color w:val="000000"/>
        </w:rPr>
      </w:pPr>
      <w:r w:rsidRPr="003E5C0B">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w:t>
      </w:r>
      <w:r w:rsidRPr="003E5C0B">
        <w:rPr>
          <w:color w:val="000000"/>
        </w:rPr>
        <w:lastRenderedPageBreak/>
        <w:t xml:space="preserve">Ley de Transparencia y Acceso a la Información Pública del Estado de México y Municipios. </w:t>
      </w:r>
      <w:r w:rsidR="007B6A4B" w:rsidRPr="003E5C0B">
        <w:rPr>
          <w:b/>
          <w:bCs/>
          <w:color w:val="000000"/>
        </w:rPr>
        <w:t>Cabe precisar que el Sujeto Obligado dejó visible la cuota sindical.</w:t>
      </w:r>
    </w:p>
    <w:p w14:paraId="49A56AA0" w14:textId="77777777" w:rsidR="0055185E" w:rsidRPr="003E5C0B" w:rsidRDefault="0055185E" w:rsidP="00566970">
      <w:pPr>
        <w:spacing w:after="0" w:line="360" w:lineRule="auto"/>
        <w:rPr>
          <w:color w:val="000000"/>
        </w:rPr>
      </w:pPr>
    </w:p>
    <w:p w14:paraId="4B2817C8" w14:textId="77777777" w:rsidR="003C7E46" w:rsidRPr="003E5C0B" w:rsidRDefault="003C7E46" w:rsidP="00566970">
      <w:pPr>
        <w:numPr>
          <w:ilvl w:val="0"/>
          <w:numId w:val="21"/>
        </w:numPr>
        <w:spacing w:after="0" w:line="360" w:lineRule="auto"/>
        <w:contextualSpacing/>
        <w:jc w:val="left"/>
        <w:rPr>
          <w:rFonts w:eastAsia="Times New Roman" w:cs="Tahoma"/>
          <w:b/>
          <w:kern w:val="2"/>
          <w:lang w:eastAsia="es-ES"/>
          <w14:ligatures w14:val="standardContextual"/>
        </w:rPr>
      </w:pPr>
      <w:r w:rsidRPr="003E5C0B">
        <w:rPr>
          <w:rFonts w:eastAsia="Times New Roman" w:cs="Tahoma"/>
          <w:b/>
          <w:kern w:val="2"/>
          <w:lang w:eastAsia="es-ES"/>
          <w14:ligatures w14:val="standardContextual"/>
        </w:rPr>
        <w:t>Número de empleado</w:t>
      </w:r>
    </w:p>
    <w:p w14:paraId="5C252733" w14:textId="77777777" w:rsidR="003C7E46" w:rsidRPr="003E5C0B" w:rsidRDefault="003C7E46" w:rsidP="00566970">
      <w:pPr>
        <w:spacing w:after="0" w:line="360" w:lineRule="auto"/>
        <w:rPr>
          <w:rFonts w:eastAsia="Times New Roman" w:cs="Tahoma"/>
          <w:b/>
          <w:lang w:eastAsia="es-ES"/>
        </w:rPr>
      </w:pPr>
    </w:p>
    <w:p w14:paraId="185DBDAD" w14:textId="77777777" w:rsidR="003C7E46" w:rsidRPr="003E5C0B" w:rsidRDefault="003C7E46" w:rsidP="00566970">
      <w:pPr>
        <w:spacing w:after="0" w:line="360" w:lineRule="auto"/>
        <w:rPr>
          <w:rFonts w:eastAsia="Calibri" w:cs="Tahoma"/>
          <w:bCs/>
          <w:iCs/>
          <w:lang w:eastAsia="es-ES"/>
        </w:rPr>
      </w:pPr>
      <w:r w:rsidRPr="003E5C0B">
        <w:rPr>
          <w:rFonts w:eastAsia="Calibri" w:cs="Tahoma"/>
          <w:bCs/>
          <w:iCs/>
          <w:lang w:eastAsia="es-ES"/>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5F4249C5" w14:textId="77777777" w:rsidR="003C7E46" w:rsidRPr="003E5C0B" w:rsidRDefault="003C7E46" w:rsidP="00566970">
      <w:pPr>
        <w:spacing w:after="0" w:line="360" w:lineRule="auto"/>
        <w:rPr>
          <w:rFonts w:eastAsia="Calibri" w:cs="Tahoma"/>
          <w:bCs/>
          <w:iCs/>
          <w:lang w:eastAsia="es-ES"/>
        </w:rPr>
      </w:pPr>
    </w:p>
    <w:p w14:paraId="0D15060D" w14:textId="77777777" w:rsidR="003C7E46" w:rsidRPr="003E5C0B" w:rsidRDefault="003C7E46" w:rsidP="00566970">
      <w:pPr>
        <w:spacing w:after="0" w:line="360" w:lineRule="auto"/>
        <w:rPr>
          <w:rFonts w:eastAsia="Calibri" w:cs="Tahoma"/>
          <w:bCs/>
          <w:iCs/>
          <w:lang w:eastAsia="es-ES"/>
        </w:rPr>
      </w:pPr>
      <w:r w:rsidRPr="003E5C0B">
        <w:rPr>
          <w:rFonts w:eastAsia="Calibri" w:cs="Tahoma"/>
          <w:bCs/>
          <w:iCs/>
          <w:lang w:eastAsia="es-E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A95E162" w14:textId="77777777" w:rsidR="003C7E46" w:rsidRPr="003E5C0B" w:rsidRDefault="003C7E46" w:rsidP="00566970">
      <w:pPr>
        <w:spacing w:after="0" w:line="360" w:lineRule="auto"/>
        <w:rPr>
          <w:rFonts w:eastAsia="Calibri" w:cs="Tahoma"/>
          <w:bCs/>
          <w:iCs/>
          <w:lang w:eastAsia="es-ES"/>
        </w:rPr>
      </w:pPr>
    </w:p>
    <w:p w14:paraId="77769A77" w14:textId="77777777" w:rsidR="007B6A4B" w:rsidRPr="003E5C0B" w:rsidRDefault="007B6A4B" w:rsidP="007B6A4B">
      <w:pPr>
        <w:spacing w:after="0" w:line="360" w:lineRule="auto"/>
        <w:contextualSpacing/>
        <w:rPr>
          <w:rFonts w:eastAsia="Calibri" w:cs="Tahoma"/>
          <w:bCs/>
          <w:iCs/>
        </w:rPr>
      </w:pPr>
      <w:r w:rsidRPr="003E5C0B">
        <w:rPr>
          <w:rFonts w:eastAsia="Calibri" w:cs="Tahoma"/>
          <w:bCs/>
          <w:iCs/>
        </w:rPr>
        <w:t xml:space="preserve">Lo anterior, toma sustento en el </w:t>
      </w:r>
      <w:r w:rsidRPr="003E5C0B">
        <w:rPr>
          <w:rFonts w:eastAsia="Calibri" w:cs="Tahoma"/>
          <w:bCs/>
          <w:lang w:val="es-ES"/>
        </w:rPr>
        <w:t xml:space="preserve">Criterio de Interpretación, de la Segunda Época, con número de registro </w:t>
      </w:r>
      <w:r w:rsidRPr="003E5C0B">
        <w:rPr>
          <w:rFonts w:eastAsia="Calibri" w:cs="Tahoma"/>
          <w:bCs/>
        </w:rPr>
        <w:t>SO/006/2019</w:t>
      </w:r>
      <w:r w:rsidRPr="003E5C0B">
        <w:rPr>
          <w:rFonts w:eastAsia="Calibri" w:cs="Tahoma"/>
          <w:bCs/>
          <w:iCs/>
        </w:rPr>
        <w:t>, emitido por el Instituto Nacional de Transparencia, Acceso a la Información y Protección de Datos Personales, que solamente procederá la clasificación del número de empleado, cuando se integre con datos personales de los servidores públicos o funcione como clave de acceso que no requiera una contraseña para ingresar a sistemas o bases de datos.</w:t>
      </w:r>
    </w:p>
    <w:p w14:paraId="1C10C1BE" w14:textId="77777777" w:rsidR="007B6A4B" w:rsidRPr="003E5C0B" w:rsidRDefault="007B6A4B" w:rsidP="007B6A4B">
      <w:pPr>
        <w:spacing w:after="0" w:line="360" w:lineRule="auto"/>
        <w:contextualSpacing/>
        <w:rPr>
          <w:rFonts w:eastAsia="Calibri" w:cs="Tahoma"/>
          <w:b/>
          <w:bCs/>
          <w:iCs/>
        </w:rPr>
      </w:pPr>
    </w:p>
    <w:p w14:paraId="49E548E6" w14:textId="74F14225" w:rsidR="007B6A4B" w:rsidRPr="003E5C0B" w:rsidRDefault="007B6A4B" w:rsidP="007B6A4B">
      <w:pPr>
        <w:spacing w:after="0" w:line="360" w:lineRule="auto"/>
        <w:ind w:right="-93"/>
        <w:rPr>
          <w:rFonts w:eastAsia="Times New Roman" w:cs="Tahoma"/>
          <w:lang w:val="es-ES" w:eastAsia="es-ES"/>
        </w:rPr>
      </w:pPr>
      <w:r w:rsidRPr="003E5C0B">
        <w:rPr>
          <w:rFonts w:eastAsia="Times New Roman" w:cs="Tahoma"/>
          <w:lang w:val="es-ES" w:eastAsia="es-ES"/>
        </w:rPr>
        <w:t xml:space="preserve">Conforme a lo anterior, se considera que el Ente Recurrido </w:t>
      </w:r>
      <w:r w:rsidRPr="003E5C0B">
        <w:rPr>
          <w:rFonts w:eastAsia="Times New Roman" w:cs="Tahoma"/>
          <w:b/>
          <w:bCs/>
          <w:lang w:val="es-ES" w:eastAsia="es-ES"/>
        </w:rPr>
        <w:t xml:space="preserve">deberá proporcionar dicho dato, en el caso, de que no se conforme de datos personales o bien, de que de ninguna manera </w:t>
      </w:r>
      <w:r w:rsidRPr="003E5C0B">
        <w:rPr>
          <w:rFonts w:eastAsia="Times New Roman" w:cs="Tahoma"/>
          <w:b/>
          <w:bCs/>
          <w:lang w:val="es-ES" w:eastAsia="es-ES"/>
        </w:rPr>
        <w:lastRenderedPageBreak/>
        <w:t>puedan dar acceso a sistemas con información de los trabajadores</w:t>
      </w:r>
      <w:r w:rsidRPr="003E5C0B">
        <w:rPr>
          <w:rFonts w:eastAsia="Times New Roman" w:cs="Tahoma"/>
          <w:lang w:val="es-ES" w:eastAsia="es-ES"/>
        </w:rPr>
        <w:t>; en el caso contrario, esto es que, de acceso a sistemas o base de datos, procederá su clasificación, en términos del artículo 143, fracción I de la Ley de la materia.</w:t>
      </w:r>
    </w:p>
    <w:p w14:paraId="706E7331" w14:textId="717B0E44" w:rsidR="003C7E46" w:rsidRPr="003E5C0B" w:rsidRDefault="003C7E46" w:rsidP="00566970">
      <w:pPr>
        <w:spacing w:after="0" w:line="360" w:lineRule="auto"/>
        <w:ind w:right="-93"/>
        <w:rPr>
          <w:rFonts w:eastAsia="Calibri" w:cs="Tahoma"/>
          <w:b/>
          <w:bCs/>
          <w:iCs/>
          <w:lang w:val="es-ES"/>
        </w:rPr>
      </w:pPr>
    </w:p>
    <w:p w14:paraId="38F4216E" w14:textId="77777777" w:rsidR="007B6A4B" w:rsidRPr="003E5C0B" w:rsidRDefault="007B6A4B" w:rsidP="007B6A4B">
      <w:pPr>
        <w:numPr>
          <w:ilvl w:val="0"/>
          <w:numId w:val="21"/>
        </w:numPr>
        <w:spacing w:after="0" w:line="360" w:lineRule="auto"/>
        <w:contextualSpacing/>
        <w:rPr>
          <w:rFonts w:eastAsia="Times New Roman" w:cs="Tahoma"/>
          <w:bCs/>
          <w:lang w:eastAsia="es-ES"/>
        </w:rPr>
      </w:pPr>
      <w:r w:rsidRPr="003E5C0B">
        <w:rPr>
          <w:rFonts w:eastAsia="Times New Roman" w:cs="Tahoma"/>
          <w:b/>
          <w:bCs/>
          <w:szCs w:val="24"/>
          <w:lang w:eastAsia="es-ES"/>
        </w:rPr>
        <w:t>Sellos digitales del emisor y del Servicio de Administración Tributaria y cadena original del complemento de certificación digital del organismo previamente señalado; así como sus respectivos números de serie de los certificados de sellos digitales, folio fiscal y folio interno</w:t>
      </w:r>
    </w:p>
    <w:p w14:paraId="08B33FD9" w14:textId="77777777" w:rsidR="007B6A4B" w:rsidRPr="003E5C0B" w:rsidRDefault="007B6A4B" w:rsidP="007B6A4B">
      <w:pPr>
        <w:spacing w:after="0" w:line="360" w:lineRule="auto"/>
        <w:ind w:left="720"/>
        <w:contextualSpacing/>
        <w:rPr>
          <w:rFonts w:eastAsia="Times New Roman" w:cs="Tahoma"/>
          <w:b/>
          <w:lang w:eastAsia="es-ES"/>
        </w:rPr>
      </w:pPr>
    </w:p>
    <w:p w14:paraId="5FA514DD"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B1E427E"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w:t>
      </w:r>
    </w:p>
    <w:p w14:paraId="32E9BE4E"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lang w:val="es-ES" w:eastAsia="es-ES"/>
        </w:rPr>
        <w:t>Las cadenas originales y sellos que se agregan a las facturas</w:t>
      </w:r>
      <w:r w:rsidRPr="003E5C0B">
        <w:rPr>
          <w:rFonts w:eastAsia="Times New Roman" w:cs="Tahoma"/>
          <w:b/>
          <w:bCs/>
          <w:lang w:val="es-ES" w:eastAsia="es-ES"/>
        </w:rPr>
        <w:t>,</w:t>
      </w:r>
      <w:r w:rsidRPr="003E5C0B">
        <w:rPr>
          <w:rFonts w:eastAsia="Times New Roman" w:cs="Tahoma"/>
          <w:bCs/>
          <w:lang w:val="es-ES" w:eastAsia="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w:t>
      </w:r>
      <w:r w:rsidRPr="003E5C0B">
        <w:rPr>
          <w:rFonts w:eastAsia="Times New Roman" w:cs="Tahoma"/>
          <w:bCs/>
          <w:lang w:val="es-ES" w:eastAsia="es-ES"/>
        </w:rPr>
        <w:lastRenderedPageBreak/>
        <w:t>datos de los que se componen los elementos de seguridad y se puntualiza que dicha información está encriptada.</w:t>
      </w:r>
    </w:p>
    <w:p w14:paraId="4C368AB4"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w:t>
      </w:r>
    </w:p>
    <w:p w14:paraId="63740975"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w:t>
      </w:r>
    </w:p>
    <w:p w14:paraId="759BC72F"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Elementos utilizados en la generación de Sellos Digitales:</w:t>
      </w:r>
    </w:p>
    <w:p w14:paraId="743555AD" w14:textId="77777777" w:rsidR="007B6A4B" w:rsidRPr="003E5C0B" w:rsidRDefault="007B6A4B" w:rsidP="007B6A4B">
      <w:pPr>
        <w:spacing w:after="0" w:line="360" w:lineRule="auto"/>
        <w:ind w:left="567" w:right="539"/>
        <w:contextualSpacing/>
        <w:rPr>
          <w:rFonts w:eastAsia="Calibri" w:cs="Tahoma"/>
          <w:bCs/>
          <w:i/>
          <w:sz w:val="20"/>
          <w:szCs w:val="20"/>
          <w:lang w:val="es-ES"/>
        </w:rPr>
      </w:pPr>
    </w:p>
    <w:p w14:paraId="3D24B493"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w:t>
      </w:r>
      <w:r w:rsidRPr="003E5C0B">
        <w:rPr>
          <w:rFonts w:eastAsia="Calibri" w:cs="Tahoma"/>
          <w:bCs/>
          <w:i/>
          <w:sz w:val="20"/>
          <w:szCs w:val="20"/>
          <w:lang w:val="es-ES"/>
        </w:rPr>
        <w:tab/>
        <w:t>Cadena Original, el elemento a sellar, en este caso de un comprobante fiscal digital a través de Internet.</w:t>
      </w:r>
    </w:p>
    <w:p w14:paraId="44304671"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w:t>
      </w:r>
      <w:r w:rsidRPr="003E5C0B">
        <w:rPr>
          <w:rFonts w:eastAsia="Calibri" w:cs="Tahoma"/>
          <w:bCs/>
          <w:i/>
          <w:sz w:val="20"/>
          <w:szCs w:val="20"/>
          <w:lang w:val="es-ES"/>
        </w:rPr>
        <w:tab/>
        <w:t>Certificado de Sello Digital y su correspondiente clave privada.</w:t>
      </w:r>
    </w:p>
    <w:p w14:paraId="0B0B2B21"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w:t>
      </w:r>
      <w:r w:rsidRPr="003E5C0B">
        <w:rPr>
          <w:rFonts w:eastAsia="Calibri" w:cs="Tahoma"/>
          <w:bCs/>
          <w:i/>
          <w:sz w:val="20"/>
          <w:szCs w:val="20"/>
          <w:lang w:val="es-ES"/>
        </w:rPr>
        <w:tab/>
        <w:t>Algoritmos de criptografía de clave pública para firma electrónica avanzada.</w:t>
      </w:r>
    </w:p>
    <w:p w14:paraId="46824ECE"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w:t>
      </w:r>
      <w:r w:rsidRPr="003E5C0B">
        <w:rPr>
          <w:rFonts w:eastAsia="Calibri" w:cs="Tahoma"/>
          <w:bCs/>
          <w:i/>
          <w:sz w:val="20"/>
          <w:szCs w:val="20"/>
          <w:lang w:val="es-ES"/>
        </w:rPr>
        <w:tab/>
        <w:t>Especificaciones de conversión de la firma electrónica avanzada a Base 64.</w:t>
      </w:r>
    </w:p>
    <w:p w14:paraId="1016090F"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Para la generación de sellos digitales se utiliza criptografía de clave pública aplicada a una cadena original.</w:t>
      </w:r>
    </w:p>
    <w:p w14:paraId="38663E38" w14:textId="77777777" w:rsidR="007B6A4B" w:rsidRPr="003E5C0B" w:rsidRDefault="007B6A4B" w:rsidP="007B6A4B">
      <w:pPr>
        <w:spacing w:after="0" w:line="360" w:lineRule="auto"/>
        <w:ind w:left="567" w:right="539"/>
        <w:contextualSpacing/>
        <w:rPr>
          <w:rFonts w:eastAsia="Calibri" w:cs="Tahoma"/>
          <w:bCs/>
          <w:i/>
          <w:sz w:val="20"/>
          <w:szCs w:val="20"/>
          <w:lang w:val="es-ES"/>
        </w:rPr>
      </w:pPr>
    </w:p>
    <w:p w14:paraId="456DC5E8"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Criptografía de la Clave Pública</w:t>
      </w:r>
    </w:p>
    <w:p w14:paraId="1F4E2DC6"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 xml:space="preserve">La criptografía de Clave Pública se basa en la generación de una pareja de números muy grandes relacionados íntimamente entre sí, de tal manera que una operación de </w:t>
      </w:r>
      <w:proofErr w:type="spellStart"/>
      <w:r w:rsidRPr="003E5C0B">
        <w:rPr>
          <w:rFonts w:eastAsia="Calibri" w:cs="Tahoma"/>
          <w:bCs/>
          <w:i/>
          <w:sz w:val="20"/>
          <w:szCs w:val="20"/>
          <w:lang w:val="es-ES"/>
        </w:rPr>
        <w:t>encripción</w:t>
      </w:r>
      <w:proofErr w:type="spellEnd"/>
      <w:r w:rsidRPr="003E5C0B">
        <w:rPr>
          <w:rFonts w:eastAsia="Calibri" w:cs="Tahoma"/>
          <w:bCs/>
          <w:i/>
          <w:sz w:val="20"/>
          <w:szCs w:val="20"/>
          <w:lang w:val="es-ES"/>
        </w:rPr>
        <w:t xml:space="preserve"> sobre un mensaje tomando como clave de </w:t>
      </w:r>
      <w:proofErr w:type="spellStart"/>
      <w:r w:rsidRPr="003E5C0B">
        <w:rPr>
          <w:rFonts w:eastAsia="Calibri" w:cs="Tahoma"/>
          <w:bCs/>
          <w:i/>
          <w:sz w:val="20"/>
          <w:szCs w:val="20"/>
          <w:lang w:val="es-ES"/>
        </w:rPr>
        <w:t>encripción</w:t>
      </w:r>
      <w:proofErr w:type="spellEnd"/>
      <w:r w:rsidRPr="003E5C0B">
        <w:rPr>
          <w:rFonts w:eastAsia="Calibri" w:cs="Tahoma"/>
          <w:bCs/>
          <w:i/>
          <w:sz w:val="20"/>
          <w:szCs w:val="20"/>
          <w:lang w:val="es-ES"/>
        </w:rPr>
        <w:t xml:space="preserve"> a uno de los dos números, produce un mensaje alterado en su significado que solo puede ser devuelto a su estado original mediante la operación de </w:t>
      </w:r>
      <w:proofErr w:type="spellStart"/>
      <w:r w:rsidRPr="003E5C0B">
        <w:rPr>
          <w:rFonts w:eastAsia="Calibri" w:cs="Tahoma"/>
          <w:bCs/>
          <w:i/>
          <w:sz w:val="20"/>
          <w:szCs w:val="20"/>
          <w:lang w:val="es-ES"/>
        </w:rPr>
        <w:t>desencripción</w:t>
      </w:r>
      <w:proofErr w:type="spellEnd"/>
      <w:r w:rsidRPr="003E5C0B">
        <w:rPr>
          <w:rFonts w:eastAsia="Calibri" w:cs="Tahoma"/>
          <w:bCs/>
          <w:i/>
          <w:sz w:val="20"/>
          <w:szCs w:val="20"/>
          <w:lang w:val="es-ES"/>
        </w:rPr>
        <w:t xml:space="preserve"> correspondiente tomando como clave de </w:t>
      </w:r>
      <w:proofErr w:type="spellStart"/>
      <w:r w:rsidRPr="003E5C0B">
        <w:rPr>
          <w:rFonts w:eastAsia="Calibri" w:cs="Tahoma"/>
          <w:bCs/>
          <w:i/>
          <w:sz w:val="20"/>
          <w:szCs w:val="20"/>
          <w:lang w:val="es-ES"/>
        </w:rPr>
        <w:t>desencripción</w:t>
      </w:r>
      <w:proofErr w:type="spellEnd"/>
      <w:r w:rsidRPr="003E5C0B">
        <w:rPr>
          <w:rFonts w:eastAsia="Calibri" w:cs="Tahoma"/>
          <w:bCs/>
          <w:i/>
          <w:sz w:val="20"/>
          <w:szCs w:val="20"/>
          <w:lang w:val="es-ES"/>
        </w:rPr>
        <w:t xml:space="preserve"> al otro número de la pareja.</w:t>
      </w:r>
    </w:p>
    <w:p w14:paraId="153ECC44" w14:textId="77777777" w:rsidR="007B6A4B" w:rsidRPr="003E5C0B" w:rsidRDefault="007B6A4B" w:rsidP="007B6A4B">
      <w:pPr>
        <w:spacing w:after="0" w:line="360" w:lineRule="auto"/>
        <w:ind w:left="567" w:right="539"/>
        <w:contextualSpacing/>
        <w:rPr>
          <w:rFonts w:eastAsia="Calibri" w:cs="Tahoma"/>
          <w:bCs/>
          <w:i/>
          <w:sz w:val="20"/>
          <w:szCs w:val="20"/>
          <w:lang w:val="es-ES"/>
        </w:rPr>
      </w:pPr>
      <w:r w:rsidRPr="003E5C0B">
        <w:rPr>
          <w:rFonts w:eastAsia="Calibri" w:cs="Tahoma"/>
          <w:bCs/>
          <w:i/>
          <w:sz w:val="20"/>
          <w:szCs w:val="20"/>
          <w:lang w:val="es-ES"/>
        </w:rPr>
        <w:t>…”</w:t>
      </w:r>
    </w:p>
    <w:p w14:paraId="252EFD2F"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w:t>
      </w:r>
    </w:p>
    <w:p w14:paraId="16B3BB8F"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xml:space="preserve">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w:t>
      </w:r>
      <w:r w:rsidRPr="003E5C0B">
        <w:rPr>
          <w:rFonts w:eastAsia="Times New Roman" w:cs="Tahoma"/>
          <w:bCs/>
          <w:lang w:val="es-ES" w:eastAsia="es-ES"/>
        </w:rPr>
        <w:lastRenderedPageBreak/>
        <w:t>información que permite corroborar la legitimidad de la factura, de ser el caso, por lo que guardan el carácter de público.</w:t>
      </w:r>
    </w:p>
    <w:p w14:paraId="082F1B5E" w14:textId="77777777" w:rsidR="007B6A4B" w:rsidRPr="003E5C0B" w:rsidRDefault="007B6A4B" w:rsidP="007B6A4B">
      <w:pPr>
        <w:spacing w:after="0" w:line="360" w:lineRule="auto"/>
        <w:contextualSpacing/>
        <w:rPr>
          <w:rFonts w:eastAsia="Times New Roman" w:cs="Tahoma"/>
          <w:bCs/>
          <w:lang w:val="es-ES" w:eastAsia="es-ES"/>
        </w:rPr>
      </w:pPr>
    </w:p>
    <w:p w14:paraId="1239A464"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14:paraId="48644F7E" w14:textId="77777777" w:rsidR="007B6A4B" w:rsidRPr="003E5C0B" w:rsidRDefault="007B6A4B" w:rsidP="007B6A4B">
      <w:pPr>
        <w:spacing w:after="0" w:line="360" w:lineRule="auto"/>
        <w:contextualSpacing/>
        <w:rPr>
          <w:rFonts w:eastAsia="Times New Roman" w:cs="Tahoma"/>
          <w:bCs/>
          <w:lang w:val="es-ES" w:eastAsia="es-ES"/>
        </w:rPr>
      </w:pPr>
    </w:p>
    <w:p w14:paraId="4B4A7355" w14:textId="77777777" w:rsidR="007B6A4B" w:rsidRPr="003E5C0B" w:rsidRDefault="007B6A4B" w:rsidP="007B6A4B">
      <w:pPr>
        <w:spacing w:after="0" w:line="360" w:lineRule="auto"/>
        <w:contextualSpacing/>
        <w:rPr>
          <w:rFonts w:eastAsia="Times New Roman" w:cs="Tahoma"/>
          <w:bCs/>
          <w:lang w:eastAsia="es-ES"/>
        </w:rPr>
      </w:pPr>
      <w:r w:rsidRPr="003E5C0B">
        <w:rPr>
          <w:rFonts w:eastAsia="Times New Roman" w:cs="Tahoma"/>
          <w:bCs/>
          <w:lang w:val="es-ES" w:eastAsia="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diecinueve de mayo de dos mil veintidós, a las once horas con diez minutos, en la página electrónica </w:t>
      </w:r>
      <w:hyperlink r:id="rId18" w:history="1">
        <w:r w:rsidRPr="003E5C0B">
          <w:rPr>
            <w:rFonts w:eastAsia="Yu Gothic Light" w:cs="Tahoma"/>
            <w:bCs/>
            <w:color w:val="0563C1"/>
            <w:u w:val="single"/>
            <w:lang w:eastAsia="es-ES"/>
          </w:rPr>
          <w:t>https://portalanterior.ine.mx/archivos2/tutoriales/sistemas/ApoyoInstitucional/SIF/docs/candidatos/folioFiscalFactura.pdf</w:t>
        </w:r>
      </w:hyperlink>
      <w:r w:rsidRPr="003E5C0B">
        <w:rPr>
          <w:rFonts w:eastAsia="Times New Roman" w:cs="Tahoma"/>
          <w:bCs/>
          <w:lang w:val="es-ES" w:eastAsia="es-ES"/>
        </w:rPr>
        <w:t>), en la cual se advierte que únicamente se encuentra conformado por números, se muestra a continuación:</w:t>
      </w:r>
    </w:p>
    <w:p w14:paraId="02376690"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w:t>
      </w:r>
    </w:p>
    <w:p w14:paraId="22665E42" w14:textId="77777777" w:rsidR="007B6A4B" w:rsidRPr="003E5C0B" w:rsidRDefault="007B6A4B" w:rsidP="007B6A4B">
      <w:pPr>
        <w:spacing w:after="0" w:line="360" w:lineRule="auto"/>
        <w:contextualSpacing/>
        <w:jc w:val="center"/>
        <w:rPr>
          <w:rFonts w:eastAsia="Times New Roman" w:cs="Tahoma"/>
          <w:bCs/>
          <w:lang w:eastAsia="es-ES"/>
        </w:rPr>
      </w:pPr>
      <w:r w:rsidRPr="003E5C0B">
        <w:rPr>
          <w:rFonts w:eastAsia="Calibri" w:cs="Times New Roman"/>
          <w:noProof/>
          <w:color w:val="000000"/>
        </w:rPr>
        <mc:AlternateContent>
          <mc:Choice Requires="wps">
            <w:drawing>
              <wp:anchor distT="0" distB="0" distL="114300" distR="114300" simplePos="0" relativeHeight="251659264" behindDoc="0" locked="0" layoutInCell="1" allowOverlap="1" wp14:anchorId="1605C980" wp14:editId="770FF62F">
                <wp:simplePos x="0" y="0"/>
                <wp:positionH relativeFrom="column">
                  <wp:posOffset>853441</wp:posOffset>
                </wp:positionH>
                <wp:positionV relativeFrom="paragraph">
                  <wp:posOffset>658494</wp:posOffset>
                </wp:positionV>
                <wp:extent cx="2762250" cy="161925"/>
                <wp:effectExtent l="19050" t="19050" r="19050" b="28575"/>
                <wp:wrapNone/>
                <wp:docPr id="39" name="Rectángulo 20"/>
                <wp:cNvGraphicFramePr/>
                <a:graphic xmlns:a="http://schemas.openxmlformats.org/drawingml/2006/main">
                  <a:graphicData uri="http://schemas.microsoft.com/office/word/2010/wordprocessingShape">
                    <wps:wsp>
                      <wps:cNvSpPr/>
                      <wps:spPr>
                        <a:xfrm>
                          <a:off x="0" y="0"/>
                          <a:ext cx="2762250" cy="161925"/>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93A4A" id="Rectángulo 20" o:spid="_x0000_s1026" style="position:absolute;margin-left:67.2pt;margin-top:51.85pt;width:21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" filled="f" strokecolor="windowText" strokeweight="2.25pt"/>
            </w:pict>
          </mc:Fallback>
        </mc:AlternateContent>
      </w:r>
      <w:r w:rsidRPr="003E5C0B">
        <w:rPr>
          <w:rFonts w:eastAsia="Times New Roman" w:cs="Tahoma"/>
          <w:noProof/>
        </w:rPr>
        <w:drawing>
          <wp:inline distT="0" distB="0" distL="0" distR="0" wp14:anchorId="3A645C3D" wp14:editId="3733710B">
            <wp:extent cx="4210050" cy="815523"/>
            <wp:effectExtent l="0" t="0" r="0" b="3810"/>
            <wp:docPr id="5183918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0503" cy="819485"/>
                    </a:xfrm>
                    <a:prstGeom prst="rect">
                      <a:avLst/>
                    </a:prstGeom>
                    <a:noFill/>
                    <a:ln>
                      <a:noFill/>
                    </a:ln>
                  </pic:spPr>
                </pic:pic>
              </a:graphicData>
            </a:graphic>
          </wp:inline>
        </w:drawing>
      </w:r>
    </w:p>
    <w:p w14:paraId="4C3AC971"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w:t>
      </w:r>
    </w:p>
    <w:p w14:paraId="064EDF21" w14:textId="77777777" w:rsidR="007B6A4B" w:rsidRPr="003E5C0B" w:rsidRDefault="007B6A4B" w:rsidP="007B6A4B">
      <w:pPr>
        <w:spacing w:after="0" w:line="360" w:lineRule="auto"/>
        <w:contextualSpacing/>
        <w:rPr>
          <w:rFonts w:eastAsia="Times New Roman" w:cs="Tahoma"/>
          <w:lang w:val="es-ES" w:eastAsia="es-ES"/>
        </w:rPr>
      </w:pPr>
      <w:r w:rsidRPr="003E5C0B">
        <w:rPr>
          <w:rFonts w:eastAsia="Times New Roman" w:cs="Tahoma"/>
          <w:bCs/>
          <w:lang w:val="es-ES" w:eastAsia="es-ES"/>
        </w:rPr>
        <w:lastRenderedPageBreak/>
        <w:t>Como se logra observar, los números de serie del certificado de sello digital no contiene datos personales y con dichos dígitos tampoco se puede obtener información de carácter confidencial,</w:t>
      </w:r>
      <w:r w:rsidRPr="003E5C0B">
        <w:rPr>
          <w:rFonts w:eastAsia="Times New Roman" w:cs="Tahoma"/>
          <w:b/>
          <w:bCs/>
          <w:lang w:val="es-ES" w:eastAsia="es-ES"/>
        </w:rPr>
        <w:t xml:space="preserve"> </w:t>
      </w:r>
      <w:r w:rsidRPr="003E5C0B">
        <w:rPr>
          <w:rFonts w:eastAsia="Times New Roman" w:cs="Tahoma"/>
          <w:lang w:val="es-ES" w:eastAsia="es-ES"/>
        </w:rPr>
        <w:t xml:space="preserve">por lo que, tampoco actualizan la causal de clasificación, establecida en el artículo 143, fracción I, de la Ley de Transparencia y Acceso a la Información Pública del Estado de México y Municipios. </w:t>
      </w:r>
    </w:p>
    <w:p w14:paraId="1AD297C2" w14:textId="77777777" w:rsidR="007B6A4B" w:rsidRPr="003E5C0B" w:rsidRDefault="007B6A4B" w:rsidP="007B6A4B">
      <w:pPr>
        <w:spacing w:after="0" w:line="360" w:lineRule="auto"/>
        <w:contextualSpacing/>
        <w:rPr>
          <w:rFonts w:eastAsia="Times New Roman" w:cs="Tahoma"/>
          <w:bCs/>
          <w:lang w:val="es-ES" w:eastAsia="es-ES"/>
        </w:rPr>
      </w:pPr>
    </w:p>
    <w:p w14:paraId="1C14ABBF"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00D6FB0"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w:t>
      </w:r>
    </w:p>
    <w:p w14:paraId="7E82A0B4" w14:textId="77777777" w:rsidR="007B6A4B" w:rsidRPr="003E5C0B" w:rsidRDefault="007B6A4B" w:rsidP="007B6A4B">
      <w:pPr>
        <w:spacing w:after="0" w:line="360" w:lineRule="auto"/>
        <w:contextualSpacing/>
        <w:jc w:val="center"/>
        <w:rPr>
          <w:rFonts w:eastAsia="Times New Roman" w:cs="Tahoma"/>
          <w:bCs/>
          <w:lang w:eastAsia="es-ES"/>
        </w:rPr>
      </w:pPr>
      <w:r w:rsidRPr="003E5C0B">
        <w:rPr>
          <w:rFonts w:eastAsia="Times New Roman" w:cs="Tahoma"/>
          <w:noProof/>
        </w:rPr>
        <w:drawing>
          <wp:inline distT="0" distB="0" distL="0" distR="0" wp14:anchorId="4B848784" wp14:editId="364FA899">
            <wp:extent cx="3838575" cy="862676"/>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b="47096"/>
                    <a:stretch>
                      <a:fillRect/>
                    </a:stretch>
                  </pic:blipFill>
                  <pic:spPr bwMode="auto">
                    <a:xfrm>
                      <a:off x="0" y="0"/>
                      <a:ext cx="3871199" cy="870008"/>
                    </a:xfrm>
                    <a:prstGeom prst="rect">
                      <a:avLst/>
                    </a:prstGeom>
                    <a:noFill/>
                    <a:ln>
                      <a:noFill/>
                    </a:ln>
                  </pic:spPr>
                </pic:pic>
              </a:graphicData>
            </a:graphic>
          </wp:inline>
        </w:drawing>
      </w:r>
    </w:p>
    <w:p w14:paraId="745C1D90" w14:textId="77777777" w:rsidR="007B6A4B" w:rsidRPr="003E5C0B" w:rsidRDefault="007B6A4B" w:rsidP="007B6A4B">
      <w:pPr>
        <w:spacing w:after="0" w:line="360" w:lineRule="auto"/>
        <w:contextualSpacing/>
        <w:rPr>
          <w:rFonts w:eastAsia="Times New Roman" w:cs="Tahoma"/>
          <w:bCs/>
          <w:lang w:val="es-ES" w:eastAsia="es-ES"/>
        </w:rPr>
      </w:pPr>
    </w:p>
    <w:p w14:paraId="0CE7070A" w14:textId="77777777" w:rsidR="007B6A4B" w:rsidRPr="003E5C0B" w:rsidRDefault="007B6A4B" w:rsidP="007B6A4B">
      <w:pPr>
        <w:spacing w:after="0" w:line="360" w:lineRule="auto"/>
        <w:contextualSpacing/>
        <w:rPr>
          <w:rFonts w:eastAsia="Times New Roman" w:cs="Tahoma"/>
          <w:bCs/>
          <w:lang w:val="es-ES" w:eastAsia="es-ES"/>
        </w:rPr>
      </w:pPr>
      <w:r w:rsidRPr="003E5C0B">
        <w:rPr>
          <w:rFonts w:eastAsia="Times New Roman" w:cs="Tahoma"/>
          <w:bCs/>
          <w:lang w:val="es-ES" w:eastAsia="es-ES"/>
        </w:rPr>
        <w:t xml:space="preserve">En ese contexto, de la misma manera que en los casos previamente analizados, </w:t>
      </w:r>
      <w:r w:rsidRPr="003E5C0B">
        <w:rPr>
          <w:rFonts w:eastAsia="Times New Roman" w:cs="Tahoma"/>
          <w:lang w:val="es-ES" w:eastAsia="es-ES"/>
        </w:rPr>
        <w:t xml:space="preserve">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w:t>
      </w:r>
      <w:r w:rsidRPr="003E5C0B">
        <w:rPr>
          <w:rFonts w:eastAsia="Times New Roman" w:cs="Tahoma"/>
          <w:lang w:val="es-ES" w:eastAsia="es-ES"/>
        </w:rPr>
        <w:lastRenderedPageBreak/>
        <w:t xml:space="preserve">tampoco actualiza la clasificación, en términos del artículo 143, fracción I de la Ley de la materia. </w:t>
      </w:r>
    </w:p>
    <w:p w14:paraId="782D376C" w14:textId="77777777" w:rsidR="00145C87" w:rsidRPr="003E5C0B" w:rsidRDefault="00145C87" w:rsidP="00566970">
      <w:pPr>
        <w:tabs>
          <w:tab w:val="left" w:pos="4962"/>
        </w:tabs>
        <w:spacing w:after="0" w:line="360" w:lineRule="auto"/>
        <w:rPr>
          <w:rFonts w:eastAsia="Times New Roman" w:cs="Tahoma"/>
          <w:b/>
          <w:bCs/>
          <w:szCs w:val="24"/>
          <w:lang w:val="es-ES" w:eastAsia="es-ES"/>
        </w:rPr>
      </w:pPr>
    </w:p>
    <w:p w14:paraId="768F42F0" w14:textId="7291B0B9" w:rsidR="007B6A4B" w:rsidRPr="003E5C0B" w:rsidRDefault="00DD2261" w:rsidP="00566970">
      <w:pPr>
        <w:tabs>
          <w:tab w:val="left" w:pos="4962"/>
        </w:tabs>
        <w:spacing w:after="0" w:line="360" w:lineRule="auto"/>
        <w:rPr>
          <w:rFonts w:eastAsia="Times New Roman" w:cs="Tahoma"/>
          <w:szCs w:val="24"/>
          <w:lang w:eastAsia="es-ES"/>
        </w:rPr>
      </w:pPr>
      <w:r w:rsidRPr="003E5C0B">
        <w:rPr>
          <w:rFonts w:eastAsia="Times New Roman" w:cs="Tahoma"/>
          <w:szCs w:val="24"/>
          <w:lang w:eastAsia="es-ES"/>
        </w:rPr>
        <w:t>De tal circunstancia, el Sujeto Obligado al entregar la información, deberá tomar en cuenta lo establecido en párrafos anteriores, para que únicamente clasifique aquellos datos que sean confidenciales o den acceso de manera directa a datos personales.</w:t>
      </w:r>
    </w:p>
    <w:p w14:paraId="79F80EAA" w14:textId="77777777" w:rsidR="0055185E" w:rsidRPr="003E5C0B" w:rsidRDefault="0055185E" w:rsidP="00566970">
      <w:pPr>
        <w:spacing w:after="0" w:line="360" w:lineRule="auto"/>
        <w:ind w:right="-93"/>
        <w:rPr>
          <w:rFonts w:eastAsia="Calibri" w:cs="Tahoma"/>
          <w:bCs/>
          <w:iCs/>
          <w:color w:val="000000"/>
        </w:rPr>
      </w:pPr>
    </w:p>
    <w:p w14:paraId="2D2198AF" w14:textId="77777777" w:rsidR="00DD2261" w:rsidRPr="003E5C0B" w:rsidRDefault="00DD2261" w:rsidP="00566970">
      <w:pPr>
        <w:spacing w:after="0" w:line="360" w:lineRule="auto"/>
        <w:ind w:right="-93"/>
        <w:rPr>
          <w:rFonts w:eastAsia="Calibri" w:cs="Tahoma"/>
          <w:bCs/>
          <w:iCs/>
          <w:color w:val="000000"/>
        </w:rPr>
      </w:pPr>
    </w:p>
    <w:p w14:paraId="0199B3C9" w14:textId="21DE9160" w:rsidR="00145C87" w:rsidRPr="003E5C0B" w:rsidRDefault="0055185E" w:rsidP="00566970">
      <w:pPr>
        <w:spacing w:after="0" w:line="360" w:lineRule="auto"/>
        <w:rPr>
          <w:color w:val="000000"/>
        </w:rPr>
      </w:pPr>
      <w:r w:rsidRPr="003E5C0B">
        <w:rPr>
          <w:color w:val="000000"/>
        </w:rPr>
        <w:t xml:space="preserve">Ahora bien, </w:t>
      </w:r>
      <w:r w:rsidR="00DD2261" w:rsidRPr="003E5C0B">
        <w:rPr>
          <w:color w:val="000000"/>
        </w:rPr>
        <w:t xml:space="preserve">de manera oficiosa, </w:t>
      </w:r>
      <w:r w:rsidRPr="003E5C0B">
        <w:rPr>
          <w:color w:val="000000"/>
        </w:rPr>
        <w:t>se procede analizar si procede la clasificación del nombre de los elementos operativos en materia de seguridad pública</w:t>
      </w:r>
      <w:r w:rsidR="00145C87" w:rsidRPr="003E5C0B">
        <w:rPr>
          <w:rFonts w:eastAsia="Calibri" w:cs="Times New Roman"/>
        </w:rPr>
        <w:t>;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0092CE69" w14:textId="77777777" w:rsidR="00145C87" w:rsidRPr="003E5C0B" w:rsidRDefault="00145C87" w:rsidP="00566970">
      <w:pPr>
        <w:tabs>
          <w:tab w:val="left" w:pos="4962"/>
        </w:tabs>
        <w:spacing w:after="0" w:line="360" w:lineRule="auto"/>
        <w:ind w:left="567" w:right="567"/>
        <w:contextualSpacing/>
        <w:rPr>
          <w:rFonts w:eastAsia="Calibri" w:cs="Tahoma"/>
          <w:i/>
          <w:iCs/>
          <w:sz w:val="20"/>
          <w:szCs w:val="20"/>
          <w:lang w:val="es-ES" w:eastAsia="es-ES_tradnl"/>
        </w:rPr>
      </w:pPr>
    </w:p>
    <w:p w14:paraId="1B0541F4" w14:textId="77777777" w:rsidR="00145C87" w:rsidRPr="003E5C0B" w:rsidRDefault="00145C87" w:rsidP="00566970">
      <w:pPr>
        <w:tabs>
          <w:tab w:val="left" w:pos="4962"/>
        </w:tabs>
        <w:spacing w:after="0" w:line="360" w:lineRule="auto"/>
        <w:ind w:left="567" w:right="567"/>
        <w:contextualSpacing/>
        <w:rPr>
          <w:rFonts w:eastAsia="Calibri" w:cs="Tahoma"/>
          <w:i/>
          <w:iCs/>
          <w:sz w:val="20"/>
          <w:szCs w:val="20"/>
          <w:lang w:val="es-ES" w:eastAsia="es-ES_tradnl"/>
        </w:rPr>
      </w:pPr>
      <w:r w:rsidRPr="003E5C0B">
        <w:rPr>
          <w:rFonts w:eastAsia="Calibri" w:cs="Tahoma"/>
          <w:i/>
          <w:iCs/>
          <w:sz w:val="20"/>
          <w:szCs w:val="20"/>
          <w:lang w:val="es-ES" w:eastAsia="es-ES_tradnl"/>
        </w:rPr>
        <w:t xml:space="preserve"> “</w:t>
      </w:r>
      <w:r w:rsidRPr="003E5C0B">
        <w:rPr>
          <w:rFonts w:eastAsia="Calibri" w:cs="Tahoma"/>
          <w:b/>
          <w:i/>
          <w:iCs/>
          <w:sz w:val="20"/>
          <w:szCs w:val="20"/>
          <w:lang w:val="es-ES" w:eastAsia="es-ES_tradnl"/>
        </w:rPr>
        <w:t>Artículo 140.</w:t>
      </w:r>
      <w:r w:rsidRPr="003E5C0B">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33BFE845" w14:textId="77777777" w:rsidR="00145C87" w:rsidRPr="003E5C0B" w:rsidRDefault="00145C87" w:rsidP="00566970">
      <w:pPr>
        <w:tabs>
          <w:tab w:val="left" w:pos="4962"/>
        </w:tabs>
        <w:spacing w:after="0" w:line="360" w:lineRule="auto"/>
        <w:ind w:left="567" w:right="567"/>
        <w:contextualSpacing/>
        <w:rPr>
          <w:rFonts w:eastAsia="Calibri" w:cs="Tahoma"/>
          <w:i/>
          <w:iCs/>
          <w:sz w:val="20"/>
          <w:szCs w:val="20"/>
          <w:lang w:val="es-ES" w:eastAsia="es-ES_tradnl"/>
        </w:rPr>
      </w:pPr>
      <w:r w:rsidRPr="003E5C0B">
        <w:rPr>
          <w:rFonts w:eastAsia="Calibri" w:cs="Tahoma"/>
          <w:i/>
          <w:iCs/>
          <w:sz w:val="20"/>
          <w:szCs w:val="20"/>
          <w:lang w:val="es-ES" w:eastAsia="es-ES_tradnl"/>
        </w:rPr>
        <w:t>…</w:t>
      </w:r>
    </w:p>
    <w:p w14:paraId="643E7A37" w14:textId="77777777" w:rsidR="00145C87" w:rsidRPr="003E5C0B" w:rsidRDefault="00145C87" w:rsidP="00566970">
      <w:pPr>
        <w:tabs>
          <w:tab w:val="left" w:pos="4962"/>
        </w:tabs>
        <w:spacing w:after="0" w:line="360" w:lineRule="auto"/>
        <w:ind w:left="567" w:right="567"/>
        <w:contextualSpacing/>
        <w:rPr>
          <w:rFonts w:eastAsia="Calibri" w:cs="Tahoma"/>
          <w:i/>
          <w:iCs/>
          <w:sz w:val="20"/>
          <w:szCs w:val="20"/>
          <w:lang w:eastAsia="es-ES_tradnl"/>
        </w:rPr>
      </w:pPr>
      <w:r w:rsidRPr="003E5C0B">
        <w:rPr>
          <w:rFonts w:eastAsia="Calibri" w:cs="Tahoma"/>
          <w:i/>
          <w:iCs/>
          <w:sz w:val="20"/>
          <w:szCs w:val="20"/>
          <w:lang w:eastAsia="es-ES_tradnl"/>
        </w:rPr>
        <w:t>IV. Ponga en riesgo la vida, la seguridad o la salud de una persona física;</w:t>
      </w:r>
    </w:p>
    <w:p w14:paraId="4BE37BB1" w14:textId="77777777" w:rsidR="00145C87" w:rsidRPr="003E5C0B" w:rsidRDefault="00145C87" w:rsidP="00566970">
      <w:pPr>
        <w:tabs>
          <w:tab w:val="left" w:pos="4962"/>
        </w:tabs>
        <w:spacing w:after="0" w:line="360" w:lineRule="auto"/>
        <w:ind w:left="567" w:right="567"/>
        <w:contextualSpacing/>
        <w:rPr>
          <w:rFonts w:eastAsia="Calibri" w:cs="Tahoma"/>
          <w:i/>
          <w:iCs/>
          <w:sz w:val="20"/>
          <w:szCs w:val="20"/>
          <w:lang w:val="es-ES" w:eastAsia="es-ES_tradnl"/>
        </w:rPr>
      </w:pPr>
      <w:r w:rsidRPr="003E5C0B">
        <w:rPr>
          <w:rFonts w:eastAsia="Calibri" w:cs="Tahoma"/>
          <w:i/>
          <w:iCs/>
          <w:sz w:val="20"/>
          <w:szCs w:val="20"/>
          <w:lang w:val="es-ES" w:eastAsia="es-ES_tradnl"/>
        </w:rPr>
        <w:t xml:space="preserve">…” </w:t>
      </w:r>
    </w:p>
    <w:p w14:paraId="710D0014" w14:textId="77777777" w:rsidR="00145C87" w:rsidRPr="003E5C0B" w:rsidRDefault="00145C87" w:rsidP="00566970">
      <w:pPr>
        <w:spacing w:after="0" w:line="360" w:lineRule="auto"/>
        <w:rPr>
          <w:rFonts w:eastAsia="Calibri" w:cs="Tahoma"/>
          <w:bCs/>
        </w:rPr>
      </w:pPr>
    </w:p>
    <w:p w14:paraId="1AC8E3BF" w14:textId="77777777" w:rsidR="00145C87" w:rsidRPr="003E5C0B" w:rsidRDefault="00145C87" w:rsidP="00566970">
      <w:pPr>
        <w:spacing w:after="0" w:line="360" w:lineRule="auto"/>
        <w:rPr>
          <w:rFonts w:eastAsia="Calibri" w:cs="Tahoma"/>
          <w:bCs/>
        </w:rPr>
      </w:pPr>
      <w:r w:rsidRPr="003E5C0B">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3E5C0B">
        <w:rPr>
          <w:rFonts w:eastAsia="Calibri" w:cs="Tahoma"/>
          <w:bCs/>
          <w:lang w:val="es-ES"/>
        </w:rPr>
        <w:t xml:space="preserve">Lineamientos Generales, </w:t>
      </w:r>
      <w:r w:rsidRPr="003E5C0B">
        <w:rPr>
          <w:rFonts w:eastAsia="Calibri" w:cs="Tahoma"/>
          <w:bCs/>
        </w:rPr>
        <w:t>establecen lo siguiente:</w:t>
      </w:r>
    </w:p>
    <w:p w14:paraId="27D5E031" w14:textId="77777777" w:rsidR="00145C87" w:rsidRPr="003E5C0B" w:rsidRDefault="00145C87" w:rsidP="00566970">
      <w:pPr>
        <w:spacing w:after="0" w:line="360" w:lineRule="auto"/>
        <w:rPr>
          <w:rFonts w:eastAsia="Calibri" w:cs="Tahoma"/>
          <w:bCs/>
        </w:rPr>
      </w:pPr>
    </w:p>
    <w:p w14:paraId="53068E6B" w14:textId="77777777" w:rsidR="00145C87" w:rsidRPr="003E5C0B" w:rsidRDefault="00145C87" w:rsidP="00566970">
      <w:pPr>
        <w:spacing w:after="0" w:line="360" w:lineRule="auto"/>
        <w:ind w:left="567" w:right="567"/>
        <w:contextualSpacing/>
        <w:rPr>
          <w:rFonts w:eastAsia="Calibri" w:cs="Tahoma"/>
          <w:bCs/>
          <w:i/>
          <w:sz w:val="20"/>
          <w:szCs w:val="20"/>
        </w:rPr>
      </w:pPr>
      <w:r w:rsidRPr="003E5C0B">
        <w:rPr>
          <w:rFonts w:eastAsia="Calibri" w:cs="Tahoma"/>
          <w:b/>
          <w:bCs/>
          <w:i/>
          <w:sz w:val="20"/>
          <w:szCs w:val="20"/>
        </w:rPr>
        <w:t xml:space="preserve">“Vigésimo tercero. </w:t>
      </w:r>
      <w:r w:rsidRPr="003E5C0B">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3D9277D0" w14:textId="77777777" w:rsidR="00145C87" w:rsidRPr="003E5C0B" w:rsidRDefault="00145C87" w:rsidP="00566970">
      <w:pPr>
        <w:spacing w:after="0" w:line="360" w:lineRule="auto"/>
        <w:ind w:left="567" w:right="567"/>
        <w:contextualSpacing/>
        <w:rPr>
          <w:rFonts w:eastAsia="Calibri" w:cs="Tahoma"/>
          <w:bCs/>
          <w:i/>
          <w:sz w:val="20"/>
          <w:szCs w:val="20"/>
        </w:rPr>
      </w:pPr>
    </w:p>
    <w:p w14:paraId="370B3158" w14:textId="77777777" w:rsidR="00145C87" w:rsidRPr="003E5C0B" w:rsidRDefault="00145C87" w:rsidP="00566970">
      <w:pPr>
        <w:spacing w:after="0" w:line="360" w:lineRule="auto"/>
        <w:rPr>
          <w:rFonts w:eastAsia="Calibri" w:cs="Tahoma"/>
          <w:b/>
          <w:bCs/>
        </w:rPr>
      </w:pPr>
      <w:r w:rsidRPr="003E5C0B">
        <w:rPr>
          <w:rFonts w:eastAsia="Calibri" w:cs="Tahoma"/>
          <w:bC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4370BB16" w14:textId="77777777" w:rsidR="00145C87" w:rsidRPr="003E5C0B" w:rsidRDefault="00145C87" w:rsidP="00566970">
      <w:pPr>
        <w:spacing w:after="0" w:line="360" w:lineRule="auto"/>
        <w:rPr>
          <w:rFonts w:eastAsia="Calibri" w:cs="Tahoma"/>
          <w:bCs/>
        </w:rPr>
      </w:pPr>
    </w:p>
    <w:p w14:paraId="56C604B8" w14:textId="77777777" w:rsidR="00145C87" w:rsidRPr="003E5C0B" w:rsidRDefault="00145C87" w:rsidP="00566970">
      <w:pPr>
        <w:spacing w:after="0" w:line="360" w:lineRule="auto"/>
        <w:rPr>
          <w:rFonts w:eastAsia="Calibri" w:cs="Tahoma"/>
          <w:bCs/>
        </w:rPr>
      </w:pPr>
      <w:r w:rsidRPr="003E5C0B">
        <w:rPr>
          <w:rFonts w:eastAsia="Calibri" w:cs="Tahoma"/>
          <w:bCs/>
        </w:rPr>
        <w:t>Además, el artículo 81, fracción III, de la Ley de Seguridad del Estado de México, establece lo siguiente:</w:t>
      </w:r>
    </w:p>
    <w:p w14:paraId="124416E3" w14:textId="77777777" w:rsidR="00DD2261" w:rsidRPr="003E5C0B" w:rsidRDefault="00DD2261" w:rsidP="00566970">
      <w:pPr>
        <w:spacing w:after="0" w:line="360" w:lineRule="auto"/>
        <w:rPr>
          <w:rFonts w:eastAsia="Calibri" w:cs="Tahoma"/>
          <w:bCs/>
        </w:rPr>
      </w:pPr>
    </w:p>
    <w:p w14:paraId="4B843A9F" w14:textId="77777777" w:rsidR="00145C87" w:rsidRPr="003E5C0B" w:rsidRDefault="00145C87" w:rsidP="00566970">
      <w:pPr>
        <w:spacing w:after="0" w:line="360" w:lineRule="auto"/>
        <w:ind w:left="567" w:right="567"/>
        <w:contextualSpacing/>
        <w:rPr>
          <w:rFonts w:eastAsia="Calibri" w:cs="Tahoma"/>
          <w:bCs/>
          <w:i/>
          <w:sz w:val="20"/>
          <w:szCs w:val="20"/>
        </w:rPr>
      </w:pPr>
      <w:r w:rsidRPr="003E5C0B">
        <w:rPr>
          <w:rFonts w:eastAsia="Calibri" w:cs="Tahoma"/>
          <w:b/>
          <w:bCs/>
          <w:i/>
          <w:sz w:val="20"/>
          <w:szCs w:val="20"/>
        </w:rPr>
        <w:t>“Artículo 81.-</w:t>
      </w:r>
      <w:r w:rsidRPr="003E5C0B">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AC9B02B" w14:textId="77777777" w:rsidR="00145C87" w:rsidRPr="003E5C0B" w:rsidRDefault="00145C87" w:rsidP="00566970">
      <w:pPr>
        <w:spacing w:after="0" w:line="360" w:lineRule="auto"/>
        <w:ind w:left="567" w:right="567"/>
        <w:contextualSpacing/>
        <w:rPr>
          <w:rFonts w:eastAsia="Calibri" w:cs="Tahoma"/>
          <w:bCs/>
          <w:i/>
          <w:sz w:val="20"/>
          <w:szCs w:val="20"/>
        </w:rPr>
      </w:pPr>
      <w:r w:rsidRPr="003E5C0B">
        <w:rPr>
          <w:rFonts w:eastAsia="Calibri" w:cs="Tahoma"/>
          <w:bCs/>
          <w:i/>
          <w:sz w:val="20"/>
          <w:szCs w:val="20"/>
        </w:rPr>
        <w:t>…</w:t>
      </w:r>
    </w:p>
    <w:p w14:paraId="16782343" w14:textId="77777777" w:rsidR="00145C87" w:rsidRPr="003E5C0B" w:rsidRDefault="00145C87" w:rsidP="00566970">
      <w:pPr>
        <w:spacing w:after="0" w:line="360" w:lineRule="auto"/>
        <w:ind w:left="567" w:right="567"/>
        <w:contextualSpacing/>
        <w:rPr>
          <w:rFonts w:eastAsia="Calibri" w:cs="Tahoma"/>
          <w:bCs/>
          <w:i/>
          <w:sz w:val="20"/>
          <w:szCs w:val="20"/>
        </w:rPr>
      </w:pPr>
      <w:r w:rsidRPr="003E5C0B">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19ED7950" w14:textId="77777777" w:rsidR="00145C87" w:rsidRPr="003E5C0B" w:rsidRDefault="00145C87" w:rsidP="00566970">
      <w:pPr>
        <w:spacing w:after="0" w:line="360" w:lineRule="auto"/>
        <w:ind w:left="567" w:right="567"/>
        <w:contextualSpacing/>
        <w:rPr>
          <w:rFonts w:eastAsia="Calibri" w:cs="Tahoma"/>
          <w:bCs/>
          <w:i/>
          <w:sz w:val="20"/>
          <w:szCs w:val="20"/>
        </w:rPr>
      </w:pPr>
      <w:r w:rsidRPr="003E5C0B">
        <w:rPr>
          <w:rFonts w:eastAsia="Calibri" w:cs="Tahoma"/>
          <w:bCs/>
          <w:i/>
          <w:sz w:val="20"/>
          <w:szCs w:val="20"/>
        </w:rPr>
        <w:t>…”</w:t>
      </w:r>
    </w:p>
    <w:p w14:paraId="4653BFD7" w14:textId="77777777" w:rsidR="00145C87" w:rsidRPr="003E5C0B" w:rsidRDefault="00145C87" w:rsidP="00566970">
      <w:pPr>
        <w:spacing w:after="0" w:line="360" w:lineRule="auto"/>
        <w:rPr>
          <w:rFonts w:eastAsia="Calibri" w:cs="Tahoma"/>
          <w:bCs/>
          <w:sz w:val="20"/>
          <w:szCs w:val="20"/>
        </w:rPr>
      </w:pPr>
    </w:p>
    <w:p w14:paraId="15F3636A" w14:textId="77777777" w:rsidR="00145C87" w:rsidRPr="003E5C0B" w:rsidRDefault="00145C87" w:rsidP="00566970">
      <w:pPr>
        <w:spacing w:after="0" w:line="360" w:lineRule="auto"/>
        <w:rPr>
          <w:rFonts w:eastAsia="Times New Roman" w:cs="Tahoma"/>
          <w:lang w:eastAsia="es-ES"/>
        </w:rPr>
      </w:pPr>
      <w:r w:rsidRPr="003E5C0B">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353997D9" w14:textId="77777777" w:rsidR="00145C87" w:rsidRPr="003E5C0B" w:rsidRDefault="00145C87" w:rsidP="00566970">
      <w:pPr>
        <w:spacing w:after="0" w:line="360" w:lineRule="auto"/>
        <w:rPr>
          <w:rFonts w:eastAsia="Times New Roman" w:cs="Tahoma"/>
          <w:bCs/>
          <w:iCs/>
          <w:color w:val="000000"/>
          <w:lang w:val="es-ES_tradnl" w:eastAsia="es-ES"/>
        </w:rPr>
      </w:pPr>
    </w:p>
    <w:p w14:paraId="7D833E77" w14:textId="77777777" w:rsidR="00145C87" w:rsidRPr="003E5C0B" w:rsidRDefault="00145C87" w:rsidP="00566970">
      <w:pPr>
        <w:spacing w:after="0" w:line="360" w:lineRule="auto"/>
        <w:rPr>
          <w:rFonts w:eastAsia="Calibri" w:cs="Tahoma"/>
          <w:bCs/>
        </w:rPr>
      </w:pPr>
      <w:r w:rsidRPr="003E5C0B">
        <w:rPr>
          <w:rFonts w:eastAsia="Calibri" w:cs="Tahoma"/>
          <w:bCs/>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2F0044E1" w14:textId="77777777" w:rsidR="00145C87" w:rsidRPr="003E5C0B" w:rsidRDefault="00145C87" w:rsidP="00566970">
      <w:pPr>
        <w:spacing w:after="0" w:line="360" w:lineRule="auto"/>
        <w:rPr>
          <w:rFonts w:eastAsia="Calibri" w:cs="Tahoma"/>
          <w:bCs/>
        </w:rPr>
      </w:pPr>
    </w:p>
    <w:p w14:paraId="385F4A13" w14:textId="77777777" w:rsidR="00145C87" w:rsidRPr="003E5C0B" w:rsidRDefault="00145C87" w:rsidP="00566970">
      <w:pPr>
        <w:spacing w:after="0" w:line="360" w:lineRule="auto"/>
        <w:rPr>
          <w:rFonts w:eastAsia="Times New Roman" w:cs="Tahoma"/>
          <w:lang w:eastAsia="es-ES"/>
        </w:rPr>
      </w:pPr>
      <w:r w:rsidRPr="003E5C0B">
        <w:rPr>
          <w:rFonts w:eastAsia="Calibri" w:cs="Tahoma"/>
          <w:bCs/>
        </w:rPr>
        <w:t xml:space="preserve">No obstante, resulta necesario traer a colación por analogía, el </w:t>
      </w:r>
      <w:r w:rsidRPr="003E5C0B">
        <w:rPr>
          <w:rFonts w:eastAsia="Calibri" w:cs="Times New Roman"/>
          <w:color w:val="000000"/>
          <w:lang w:val="es-ES"/>
        </w:rPr>
        <w:t xml:space="preserve">Criterio de interpretación, con número de registro SO/006/2009, de la Primera Época, </w:t>
      </w:r>
      <w:r w:rsidRPr="003E5C0B">
        <w:rPr>
          <w:rFonts w:eastAsia="Calibri" w:cs="Tahoma"/>
          <w:bCs/>
        </w:rPr>
        <w:t xml:space="preserve">emitido por </w:t>
      </w:r>
      <w:r w:rsidRPr="003E5C0B">
        <w:rPr>
          <w:rFonts w:eastAsia="Times New Roman" w:cs="Tahoma"/>
          <w:lang w:eastAsia="es-ES"/>
        </w:rPr>
        <w:t>el entonces Instituto Federal de Acceso a la Información y Protección de Datos ahora Instituto Nacional de Transparencia, Acceso a la Información y Protección de Datos Personales, que establece lo siguiente:</w:t>
      </w:r>
    </w:p>
    <w:p w14:paraId="14ED4385" w14:textId="77777777" w:rsidR="00145C87" w:rsidRPr="003E5C0B" w:rsidRDefault="00145C87" w:rsidP="00566970">
      <w:pPr>
        <w:tabs>
          <w:tab w:val="left" w:pos="4962"/>
        </w:tabs>
        <w:spacing w:after="0" w:line="360" w:lineRule="auto"/>
        <w:ind w:left="567" w:right="567"/>
        <w:contextualSpacing/>
        <w:rPr>
          <w:rFonts w:eastAsia="Times New Roman" w:cs="Tahoma"/>
          <w:i/>
          <w:sz w:val="20"/>
          <w:lang w:eastAsia="es-ES"/>
        </w:rPr>
      </w:pPr>
      <w:r w:rsidRPr="003E5C0B">
        <w:rPr>
          <w:rFonts w:eastAsia="Times New Roman" w:cs="Tahoma"/>
          <w:b/>
          <w:i/>
          <w:sz w:val="20"/>
          <w:lang w:eastAsia="es-ES"/>
        </w:rPr>
        <w:t>“Nombres de servidores públicos dedicados a actividades en materia de seguridad, por excepción pueden considerarse información reservada.</w:t>
      </w:r>
      <w:r w:rsidRPr="003E5C0B">
        <w:rPr>
          <w:rFonts w:eastAsia="Times New Roman" w:cs="Tahoma"/>
          <w:i/>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w:t>
      </w:r>
      <w:r w:rsidRPr="003E5C0B">
        <w:rPr>
          <w:rFonts w:eastAsia="Times New Roman" w:cs="Tahoma"/>
          <w:i/>
          <w:sz w:val="20"/>
          <w:lang w:eastAsia="es-ES"/>
        </w:rPr>
        <w:lastRenderedPageBreak/>
        <w:t>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D4403A8" w14:textId="77777777" w:rsidR="00145C87" w:rsidRPr="003E5C0B" w:rsidRDefault="00145C87" w:rsidP="00566970">
      <w:pPr>
        <w:spacing w:after="0" w:line="360" w:lineRule="auto"/>
        <w:rPr>
          <w:rFonts w:eastAsia="Calibri" w:cs="Tahoma"/>
          <w:bCs/>
        </w:rPr>
      </w:pPr>
    </w:p>
    <w:p w14:paraId="654D22AA" w14:textId="77777777" w:rsidR="00145C87" w:rsidRPr="003E5C0B" w:rsidRDefault="00145C87" w:rsidP="00566970">
      <w:pPr>
        <w:spacing w:after="0" w:line="360" w:lineRule="auto"/>
        <w:rPr>
          <w:rFonts w:eastAsia="Calibri" w:cs="Tahoma"/>
          <w:bCs/>
        </w:rPr>
      </w:pPr>
      <w:r w:rsidRPr="003E5C0B">
        <w:rPr>
          <w:rFonts w:eastAsia="Calibri" w:cs="Tahoma"/>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5B37BD7B" w14:textId="77777777" w:rsidR="00145C87" w:rsidRPr="003E5C0B" w:rsidRDefault="00145C87" w:rsidP="00566970">
      <w:pPr>
        <w:spacing w:after="0" w:line="360" w:lineRule="auto"/>
        <w:rPr>
          <w:rFonts w:eastAsia="Calibri" w:cs="Tahoma"/>
          <w:bCs/>
        </w:rPr>
      </w:pPr>
    </w:p>
    <w:p w14:paraId="5DC6C651" w14:textId="77777777" w:rsidR="00DD2261" w:rsidRPr="003E5C0B" w:rsidRDefault="00DD2261" w:rsidP="00DD2261">
      <w:pPr>
        <w:spacing w:after="0" w:line="360" w:lineRule="auto"/>
        <w:rPr>
          <w:color w:val="000000"/>
        </w:rPr>
      </w:pPr>
      <w:r w:rsidRPr="003E5C0B">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2F3BC77C" w14:textId="77777777" w:rsidR="00DD2261" w:rsidRPr="003E5C0B" w:rsidRDefault="00DD2261" w:rsidP="00566970">
      <w:pPr>
        <w:spacing w:after="0" w:line="360" w:lineRule="auto"/>
        <w:rPr>
          <w:rFonts w:eastAsia="Calibri" w:cs="Tahoma"/>
          <w:bCs/>
        </w:rPr>
      </w:pPr>
    </w:p>
    <w:p w14:paraId="046CFCD7" w14:textId="77777777" w:rsidR="00145C87" w:rsidRPr="003E5C0B" w:rsidRDefault="00145C87" w:rsidP="00566970">
      <w:pPr>
        <w:spacing w:after="0" w:line="360" w:lineRule="auto"/>
        <w:rPr>
          <w:rFonts w:eastAsia="Calibri" w:cs="Tahoma"/>
          <w:bCs/>
        </w:rPr>
      </w:pPr>
      <w:r w:rsidRPr="003E5C0B">
        <w:rPr>
          <w:rFonts w:eastAsia="Calibri" w:cs="Tahoma"/>
          <w:bCs/>
        </w:rPr>
        <w:t xml:space="preserve">En ese orden de ideas, si bien por regla general los nombres de los trabajadores gubernamentales son información pública de oficio, existe una excepción relativa a </w:t>
      </w:r>
      <w:r w:rsidRPr="003E5C0B">
        <w:rPr>
          <w:rFonts w:eastAsia="Calibri" w:cs="Tahoma"/>
          <w:b/>
          <w:bCs/>
        </w:rPr>
        <w:t>aquellos que realicen actividades operativas en materia de seguridad,</w:t>
      </w:r>
      <w:r w:rsidRPr="003E5C0B">
        <w:rPr>
          <w:rFonts w:eastAsia="Calibri" w:cs="Tahoma"/>
          <w:bCs/>
        </w:rPr>
        <w:t xml:space="preserve"> como es el caso de los elementos operativos y la policía municipal.</w:t>
      </w:r>
    </w:p>
    <w:p w14:paraId="642C7FD2" w14:textId="77777777" w:rsidR="00145C87" w:rsidRPr="003E5C0B" w:rsidRDefault="00145C87" w:rsidP="00566970">
      <w:pPr>
        <w:spacing w:after="0" w:line="360" w:lineRule="auto"/>
        <w:rPr>
          <w:rFonts w:eastAsia="Calibri" w:cs="Tahoma"/>
          <w:bCs/>
        </w:rPr>
      </w:pPr>
    </w:p>
    <w:p w14:paraId="1A309294" w14:textId="77777777" w:rsidR="00145C87" w:rsidRPr="003E5C0B" w:rsidRDefault="00145C87" w:rsidP="00566970">
      <w:pPr>
        <w:spacing w:after="0" w:line="360" w:lineRule="auto"/>
        <w:rPr>
          <w:rFonts w:eastAsia="Calibri" w:cs="Tahoma"/>
          <w:bCs/>
        </w:rPr>
      </w:pPr>
      <w:r w:rsidRPr="003E5C0B">
        <w:rPr>
          <w:rFonts w:eastAsia="Calibri" w:cs="Tahoma"/>
          <w:bCs/>
        </w:rPr>
        <w:t xml:space="preserve">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w:t>
      </w:r>
      <w:r w:rsidRPr="003E5C0B">
        <w:rPr>
          <w:rFonts w:eastAsia="Calibri" w:cs="Tahoma"/>
          <w:bCs/>
        </w:rPr>
        <w:lastRenderedPageBreak/>
        <w:t>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5473F1D6" w14:textId="77777777" w:rsidR="00145C87" w:rsidRPr="003E5C0B" w:rsidRDefault="00145C87" w:rsidP="00566970">
      <w:pPr>
        <w:spacing w:after="0" w:line="360" w:lineRule="auto"/>
        <w:rPr>
          <w:rFonts w:eastAsia="Calibri" w:cs="Tahoma"/>
          <w:bCs/>
        </w:rPr>
      </w:pPr>
    </w:p>
    <w:p w14:paraId="7F116FD0" w14:textId="77777777" w:rsidR="00145C87" w:rsidRPr="003E5C0B" w:rsidRDefault="00145C87" w:rsidP="00566970">
      <w:pPr>
        <w:spacing w:after="0" w:line="360" w:lineRule="auto"/>
        <w:rPr>
          <w:rFonts w:eastAsia="Calibri" w:cs="Tahoma"/>
          <w:bCs/>
        </w:rPr>
      </w:pPr>
      <w:r w:rsidRPr="003E5C0B">
        <w:rPr>
          <w:rFonts w:eastAsia="Calibri" w:cs="Tahoma"/>
          <w:bCs/>
        </w:rPr>
        <w:t>En ese contexto, el artículo 6°, fracciones XI y XII de dicho ordenamiento jurídico, establece los siguientes conceptos:</w:t>
      </w:r>
    </w:p>
    <w:p w14:paraId="5AFB6CEE" w14:textId="77777777" w:rsidR="00145C87" w:rsidRPr="003E5C0B" w:rsidRDefault="00145C87" w:rsidP="00566970">
      <w:pPr>
        <w:spacing w:after="0" w:line="360" w:lineRule="auto"/>
        <w:rPr>
          <w:rFonts w:eastAsia="Calibri" w:cs="Tahoma"/>
          <w:bCs/>
        </w:rPr>
      </w:pPr>
    </w:p>
    <w:p w14:paraId="7A8ED5BA" w14:textId="77777777" w:rsidR="00145C87" w:rsidRPr="003E5C0B" w:rsidRDefault="00145C87" w:rsidP="00566970">
      <w:pPr>
        <w:numPr>
          <w:ilvl w:val="0"/>
          <w:numId w:val="23"/>
        </w:numPr>
        <w:spacing w:after="0" w:line="360" w:lineRule="auto"/>
        <w:jc w:val="left"/>
        <w:rPr>
          <w:rFonts w:eastAsia="Calibri" w:cs="Tahoma"/>
          <w:b/>
          <w:bCs/>
        </w:rPr>
      </w:pPr>
      <w:r w:rsidRPr="003E5C0B">
        <w:rPr>
          <w:rFonts w:eastAsia="Calibri" w:cs="Tahoma"/>
          <w:b/>
          <w:bCs/>
        </w:rPr>
        <w:t xml:space="preserve">Instituciones Policiales: </w:t>
      </w:r>
      <w:r w:rsidRPr="003E5C0B">
        <w:rPr>
          <w:rFonts w:eastAsia="Calibri" w:cs="Tahoma"/>
          <w:bCs/>
        </w:rPr>
        <w:t xml:space="preserve">Son los cuerpos de policía, de vigilancia y custodia de los establecimientos penitenciarios, detención preventiva, centros de arraigo y en general, </w:t>
      </w:r>
      <w:r w:rsidRPr="003E5C0B">
        <w:rPr>
          <w:rFonts w:eastAsia="Calibri" w:cs="Tahoma"/>
          <w:b/>
          <w:bCs/>
        </w:rPr>
        <w:t>todas las dependencias encargadas de la seguridad pública a nivel</w:t>
      </w:r>
      <w:r w:rsidRPr="003E5C0B">
        <w:rPr>
          <w:rFonts w:eastAsia="Calibri" w:cs="Tahoma"/>
          <w:bCs/>
        </w:rPr>
        <w:t xml:space="preserve"> estatal y </w:t>
      </w:r>
      <w:r w:rsidRPr="003E5C0B">
        <w:rPr>
          <w:rFonts w:eastAsia="Calibri" w:cs="Tahoma"/>
          <w:b/>
          <w:bCs/>
        </w:rPr>
        <w:t>municipal.</w:t>
      </w:r>
    </w:p>
    <w:p w14:paraId="54AA36A8" w14:textId="77777777" w:rsidR="00145C87" w:rsidRPr="003E5C0B" w:rsidRDefault="00145C87" w:rsidP="00566970">
      <w:pPr>
        <w:spacing w:after="0" w:line="360" w:lineRule="auto"/>
        <w:ind w:left="720"/>
        <w:contextualSpacing/>
        <w:rPr>
          <w:rFonts w:eastAsia="Calibri" w:cs="Tahoma"/>
          <w:bCs/>
        </w:rPr>
      </w:pPr>
    </w:p>
    <w:p w14:paraId="20FFAF10" w14:textId="77777777" w:rsidR="00145C87" w:rsidRPr="003E5C0B" w:rsidRDefault="00145C87" w:rsidP="00566970">
      <w:pPr>
        <w:numPr>
          <w:ilvl w:val="0"/>
          <w:numId w:val="23"/>
        </w:numPr>
        <w:spacing w:after="0" w:line="360" w:lineRule="auto"/>
        <w:jc w:val="left"/>
        <w:rPr>
          <w:rFonts w:eastAsia="Calibri" w:cs="Tahoma"/>
          <w:b/>
          <w:bCs/>
        </w:rPr>
      </w:pPr>
      <w:r w:rsidRPr="003E5C0B">
        <w:rPr>
          <w:rFonts w:eastAsia="Calibri" w:cs="Tahoma"/>
          <w:b/>
          <w:bCs/>
        </w:rPr>
        <w:t xml:space="preserve">Instituciones de Seguridad Pública: </w:t>
      </w:r>
      <w:r w:rsidRPr="003E5C0B">
        <w:rPr>
          <w:rFonts w:eastAsia="Calibri" w:cs="Tahoma"/>
          <w:bCs/>
        </w:rPr>
        <w:t xml:space="preserve">Instituciones Policiales, Procuración de Justicia, Sistema Penitenciario y </w:t>
      </w:r>
      <w:r w:rsidRPr="003E5C0B">
        <w:rPr>
          <w:rFonts w:eastAsia="Calibri" w:cs="Tahoma"/>
          <w:b/>
          <w:bCs/>
        </w:rPr>
        <w:t xml:space="preserve">dependencias encargadas de la seguridad pública a nivel </w:t>
      </w:r>
      <w:r w:rsidRPr="003E5C0B">
        <w:rPr>
          <w:rFonts w:eastAsia="Calibri" w:cs="Tahoma"/>
          <w:bCs/>
        </w:rPr>
        <w:t xml:space="preserve">estatal y </w:t>
      </w:r>
      <w:r w:rsidRPr="003E5C0B">
        <w:rPr>
          <w:rFonts w:eastAsia="Calibri" w:cs="Tahoma"/>
          <w:b/>
          <w:bCs/>
        </w:rPr>
        <w:t>municipal.</w:t>
      </w:r>
    </w:p>
    <w:p w14:paraId="0BEBBF19" w14:textId="77777777" w:rsidR="00145C87" w:rsidRPr="003E5C0B" w:rsidRDefault="00145C87" w:rsidP="00566970">
      <w:pPr>
        <w:spacing w:after="0" w:line="360" w:lineRule="auto"/>
        <w:rPr>
          <w:rFonts w:eastAsia="Calibri" w:cs="Tahoma"/>
          <w:b/>
          <w:bCs/>
        </w:rPr>
      </w:pPr>
    </w:p>
    <w:p w14:paraId="6E0EE417" w14:textId="35A03ADA" w:rsidR="00145C87" w:rsidRPr="003E5C0B" w:rsidRDefault="00145C87" w:rsidP="00566970">
      <w:pPr>
        <w:spacing w:after="0" w:line="360" w:lineRule="auto"/>
        <w:rPr>
          <w:rFonts w:eastAsia="Calibri" w:cs="Times New Roman"/>
          <w:szCs w:val="20"/>
          <w:lang w:eastAsia="es-ES"/>
        </w:rPr>
      </w:pPr>
      <w:r w:rsidRPr="003E5C0B">
        <w:rPr>
          <w:rFonts w:eastAsia="Calibri" w:cs="Tahoma"/>
          <w:iCs/>
          <w:szCs w:val="20"/>
          <w:lang w:val="es-ES" w:eastAsia="es-ES_tradnl"/>
        </w:rPr>
        <w:t>Conforme a lo anterior</w:t>
      </w:r>
      <w:r w:rsidRPr="003E5C0B">
        <w:rPr>
          <w:rFonts w:eastAsia="Calibri" w:cs="Tahoma"/>
          <w:bCs/>
        </w:rPr>
        <w:t>, se puede deducir que la</w:t>
      </w:r>
      <w:r w:rsidRPr="003E5C0B">
        <w:rPr>
          <w:rFonts w:eastAsia="Calibri" w:cs="Tahoma"/>
          <w:bCs/>
          <w:color w:val="000000"/>
          <w:lang w:val="es-ES_tradnl"/>
        </w:rPr>
        <w:t xml:space="preserve"> </w:t>
      </w:r>
      <w:r w:rsidRPr="003E5C0B">
        <w:rPr>
          <w:rFonts w:eastAsia="Calibri" w:cs="Tahoma"/>
          <w:bCs/>
          <w:color w:val="000000"/>
        </w:rPr>
        <w:t>Dirección de Seguridad Pública y Vialidad Municipal</w:t>
      </w:r>
      <w:r w:rsidRPr="003E5C0B">
        <w:rPr>
          <w:rFonts w:eastAsia="Calibri" w:cs="Tahoma"/>
          <w:bCs/>
        </w:rPr>
        <w:t xml:space="preserve">, es una institución de seguridad pública, pues tiene como atribución principal, la prevención de delitos </w:t>
      </w:r>
      <w:r w:rsidRPr="003E5C0B">
        <w:rPr>
          <w:rFonts w:eastAsia="Calibri" w:cs="Times New Roman"/>
          <w:szCs w:val="20"/>
          <w:lang w:eastAsia="es-ES"/>
        </w:rPr>
        <w:t>y proteger a las personas, sus propiedades, posesiones y derechos.</w:t>
      </w:r>
    </w:p>
    <w:p w14:paraId="4C514788" w14:textId="77777777" w:rsidR="00145C87" w:rsidRPr="003E5C0B" w:rsidRDefault="00145C87" w:rsidP="00566970">
      <w:pPr>
        <w:spacing w:after="0" w:line="360" w:lineRule="auto"/>
        <w:rPr>
          <w:rFonts w:eastAsia="Calibri" w:cs="Times New Roman"/>
          <w:szCs w:val="20"/>
          <w:lang w:eastAsia="es-ES"/>
        </w:rPr>
      </w:pPr>
    </w:p>
    <w:p w14:paraId="65320BF0" w14:textId="77777777" w:rsidR="00145C87" w:rsidRPr="003E5C0B" w:rsidRDefault="00145C87" w:rsidP="00566970">
      <w:pPr>
        <w:tabs>
          <w:tab w:val="left" w:pos="4962"/>
        </w:tabs>
        <w:spacing w:after="0" w:line="360" w:lineRule="auto"/>
        <w:ind w:right="-28"/>
        <w:contextualSpacing/>
        <w:rPr>
          <w:rFonts w:eastAsia="Calibri" w:cs="Tahoma"/>
          <w:bCs/>
        </w:rPr>
      </w:pPr>
      <w:r w:rsidRPr="003E5C0B">
        <w:rPr>
          <w:rFonts w:eastAsia="Calibri" w:cs="Tahoma"/>
          <w:bCs/>
          <w:lang w:val="es-ES"/>
        </w:rPr>
        <w:t xml:space="preserve">Además, </w:t>
      </w:r>
      <w:r w:rsidRPr="003E5C0B">
        <w:rPr>
          <w:rFonts w:eastAsia="Calibri" w:cs="Tahoma"/>
          <w:bCs/>
        </w:rPr>
        <w:t xml:space="preserve">el Instructivo de llenado del Formato “Personal de Seguridad Pública”, del Secretariado Ejecutivo del Sistema Nacional de Seguridad Pública (consultado el quince de junio de dos mil veintitrés, en la liga electrónica </w:t>
      </w:r>
      <w:hyperlink r:id="rId21" w:history="1">
        <w:r w:rsidRPr="003E5C0B">
          <w:rPr>
            <w:rFonts w:eastAsia="Calibri" w:cs="Tahoma"/>
            <w:bCs/>
            <w:color w:val="0563C1"/>
            <w:u w:val="single"/>
          </w:rPr>
          <w:t>http://secretariadoejecutivo.gob.mx/work/models/SecretariadoEjecutivo/Resource/328/1/images/instructivo_final_edo_fuerza(1).pdf</w:t>
        </w:r>
      </w:hyperlink>
      <w:r w:rsidRPr="003E5C0B">
        <w:rPr>
          <w:rFonts w:eastAsia="Calibri" w:cs="Tahoma"/>
          <w:bCs/>
        </w:rPr>
        <w:t xml:space="preserve">), establece que los elementos operativos de </w:t>
      </w:r>
      <w:r w:rsidRPr="003E5C0B">
        <w:rPr>
          <w:rFonts w:eastAsia="Calibri" w:cs="Tahoma"/>
          <w:bCs/>
        </w:rPr>
        <w:lastRenderedPageBreak/>
        <w:t xml:space="preserve">seguridad pública, son aquellos que desempeñan funciones de campo (policiacas, especializadas o equivalentes y que no </w:t>
      </w:r>
      <w:r w:rsidRPr="003E5C0B">
        <w:rPr>
          <w:rFonts w:eastAsia="Calibri" w:cs="Tahoma"/>
          <w:b/>
          <w:bCs/>
        </w:rPr>
        <w:t>desempeña funciones de mando</w:t>
      </w:r>
      <w:r w:rsidRPr="003E5C0B">
        <w:rPr>
          <w:rFonts w:eastAsia="Calibri" w:cs="Tahoma"/>
          <w:bCs/>
        </w:rPr>
        <w:t xml:space="preserve">), entre los cuales, se encuentra </w:t>
      </w:r>
      <w:r w:rsidRPr="003E5C0B">
        <w:rPr>
          <w:rFonts w:eastAsia="Calibri" w:cs="Tahoma"/>
          <w:b/>
          <w:bCs/>
        </w:rPr>
        <w:t>la Policía Municipal</w:t>
      </w:r>
      <w:r w:rsidRPr="003E5C0B">
        <w:rPr>
          <w:rFonts w:eastAsia="Calibri" w:cs="Tahoma"/>
          <w:bCs/>
        </w:rPr>
        <w:t>.</w:t>
      </w:r>
    </w:p>
    <w:p w14:paraId="4C00E6BB" w14:textId="77777777" w:rsidR="00145C87" w:rsidRPr="003E5C0B" w:rsidRDefault="00145C87" w:rsidP="00566970">
      <w:pPr>
        <w:tabs>
          <w:tab w:val="left" w:pos="4962"/>
        </w:tabs>
        <w:spacing w:after="0" w:line="360" w:lineRule="auto"/>
        <w:ind w:right="-28"/>
        <w:contextualSpacing/>
        <w:rPr>
          <w:rFonts w:eastAsia="Calibri" w:cs="Tahoma"/>
          <w:bCs/>
        </w:rPr>
      </w:pPr>
    </w:p>
    <w:p w14:paraId="59A06707" w14:textId="3143C9F7" w:rsidR="00145C87" w:rsidRPr="003E5C0B" w:rsidRDefault="00DD2261" w:rsidP="00566970">
      <w:pPr>
        <w:tabs>
          <w:tab w:val="left" w:pos="4962"/>
        </w:tabs>
        <w:spacing w:after="0" w:line="360" w:lineRule="auto"/>
        <w:ind w:right="-28"/>
        <w:contextualSpacing/>
        <w:rPr>
          <w:rFonts w:eastAsia="Calibri" w:cs="Tahoma"/>
          <w:bCs/>
        </w:rPr>
      </w:pPr>
      <w:r w:rsidRPr="003E5C0B">
        <w:rPr>
          <w:rFonts w:eastAsia="Calibri" w:cs="Tahoma"/>
          <w:bCs/>
        </w:rPr>
        <w:t>Asimismo</w:t>
      </w:r>
      <w:r w:rsidR="00145C87" w:rsidRPr="003E5C0B">
        <w:rPr>
          <w:rFonts w:eastAsia="Calibri" w:cs="Tahoma"/>
          <w:bCs/>
        </w:rPr>
        <w:t xml:space="preserve">, se advierte que las Instituciones Policiales, se conforman del personal </w:t>
      </w:r>
      <w:r w:rsidR="00145C87" w:rsidRPr="003E5C0B">
        <w:rPr>
          <w:rFonts w:eastAsia="Calibri" w:cs="Tahoma"/>
          <w:b/>
        </w:rPr>
        <w:t>administrativo,</w:t>
      </w:r>
      <w:r w:rsidR="00145C87" w:rsidRPr="003E5C0B">
        <w:rPr>
          <w:rFonts w:eastAsia="Calibri" w:cs="Tahoma"/>
          <w:bCs/>
        </w:rPr>
        <w:t xml:space="preserve"> que son los trabajadores de apoyo (chofer, personal de mantenimiento, servicios generales y área secretaria); </w:t>
      </w:r>
      <w:r w:rsidR="00145C87" w:rsidRPr="003E5C0B">
        <w:rPr>
          <w:rFonts w:eastAsia="Calibri" w:cs="Tahoma"/>
          <w:b/>
        </w:rPr>
        <w:t>así como, el personal de mando</w:t>
      </w:r>
      <w:r w:rsidR="00145C87" w:rsidRPr="003E5C0B">
        <w:rPr>
          <w:rFonts w:eastAsia="Calibri" w:cs="Tahoma"/>
          <w:bCs/>
        </w:rPr>
        <w:t xml:space="preserve"> (alto, medio y superior), que es aquel que realiza funciones de dirección, coordinación y supervisión, por lo cual, corresponde a aquel que tenga trabajadores a su cargo.</w:t>
      </w:r>
    </w:p>
    <w:p w14:paraId="799D623D" w14:textId="77777777" w:rsidR="00145C87" w:rsidRPr="003E5C0B" w:rsidRDefault="00145C87" w:rsidP="00566970">
      <w:pPr>
        <w:spacing w:after="0" w:line="360" w:lineRule="auto"/>
        <w:contextualSpacing/>
        <w:rPr>
          <w:rFonts w:eastAsia="Times New Roman" w:cs="Tahoma"/>
          <w:szCs w:val="24"/>
          <w:lang w:val="es-ES" w:eastAsia="es-ES"/>
        </w:rPr>
      </w:pPr>
    </w:p>
    <w:p w14:paraId="25CEB12D" w14:textId="77777777" w:rsidR="00145C87" w:rsidRPr="003E5C0B" w:rsidRDefault="00145C87" w:rsidP="00566970">
      <w:pPr>
        <w:spacing w:after="0" w:line="360" w:lineRule="auto"/>
        <w:contextualSpacing/>
        <w:rPr>
          <w:rFonts w:eastAsia="Calibri" w:cs="Tahoma"/>
          <w:bCs/>
        </w:rPr>
      </w:pPr>
      <w:r w:rsidRPr="003E5C0B">
        <w:rPr>
          <w:rFonts w:eastAsia="Calibri" w:cs="Tahoma"/>
          <w:bCs/>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056FDE4C" w14:textId="77777777" w:rsidR="00145C87" w:rsidRPr="003E5C0B" w:rsidRDefault="00145C87" w:rsidP="00566970">
      <w:pPr>
        <w:spacing w:after="0" w:line="360" w:lineRule="auto"/>
        <w:contextualSpacing/>
        <w:rPr>
          <w:rFonts w:eastAsia="Calibri" w:cs="Tahoma"/>
          <w:bCs/>
        </w:rPr>
      </w:pPr>
    </w:p>
    <w:p w14:paraId="2FAFC002" w14:textId="77777777" w:rsidR="00145C87" w:rsidRPr="003E5C0B" w:rsidRDefault="00145C87" w:rsidP="00566970">
      <w:pPr>
        <w:spacing w:after="0" w:line="360" w:lineRule="auto"/>
        <w:contextualSpacing/>
        <w:rPr>
          <w:rFonts w:eastAsia="Calibri" w:cs="Tahoma"/>
          <w:bCs/>
        </w:rPr>
      </w:pPr>
      <w:r w:rsidRPr="003E5C0B">
        <w:rPr>
          <w:rFonts w:eastAsia="Calibri" w:cs="Tahoma"/>
          <w:bCs/>
        </w:rPr>
        <w:t xml:space="preserve">Sin embargo, por lo que hace al </w:t>
      </w:r>
      <w:r w:rsidRPr="003E5C0B">
        <w:rPr>
          <w:rFonts w:eastAsia="Calibri" w:cs="Tahoma"/>
          <w:b/>
        </w:rPr>
        <w:t>personal administrativo y los mandos medios y superiores</w:t>
      </w:r>
      <w:r w:rsidRPr="003E5C0B">
        <w:rPr>
          <w:rFonts w:eastAsia="Calibri" w:cs="Tahoma"/>
          <w:bCs/>
        </w:rPr>
        <w:t xml:space="preserve">, se advierte que estos no realizan funciones operativas, sino únicamente realizan actividades de apoyo y dirección respectivamente, por lo que, no procede la causal de reserva establecida en el artículo 140, fracción IV, de la Ley de la materia, pues por el tipo de </w:t>
      </w:r>
      <w:r w:rsidRPr="003E5C0B">
        <w:rPr>
          <w:rFonts w:eastAsia="Calibri" w:cs="Tahoma"/>
          <w:bCs/>
        </w:rPr>
        <w:lastRenderedPageBreak/>
        <w:t>funciones que realizan, no se pone en peligro su vida, seguridad o salud de este tipo de trabajadores.</w:t>
      </w:r>
    </w:p>
    <w:p w14:paraId="0465E1A0" w14:textId="77777777" w:rsidR="00145C87" w:rsidRPr="003E5C0B" w:rsidRDefault="00145C87" w:rsidP="00566970">
      <w:pPr>
        <w:spacing w:after="0" w:line="360" w:lineRule="auto"/>
        <w:contextualSpacing/>
        <w:rPr>
          <w:rFonts w:eastAsia="Calibri" w:cs="Tahoma"/>
          <w:bCs/>
        </w:rPr>
      </w:pPr>
    </w:p>
    <w:p w14:paraId="538D62E2" w14:textId="77777777" w:rsidR="00145C87" w:rsidRPr="003E5C0B" w:rsidRDefault="00145C87" w:rsidP="00566970">
      <w:pPr>
        <w:spacing w:after="0" w:line="360" w:lineRule="auto"/>
        <w:rPr>
          <w:rFonts w:eastAsia="Calibri" w:cs="Tahoma"/>
          <w:bCs/>
        </w:rPr>
      </w:pPr>
      <w:r w:rsidRPr="003E5C0B">
        <w:rPr>
          <w:rFonts w:eastAsia="Calibri" w:cs="Tahoma"/>
          <w:bCs/>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21754EF" w14:textId="77777777" w:rsidR="00145C87" w:rsidRPr="003E5C0B" w:rsidRDefault="00145C87" w:rsidP="00566970">
      <w:pPr>
        <w:spacing w:after="0" w:line="360" w:lineRule="auto"/>
        <w:contextualSpacing/>
        <w:rPr>
          <w:rFonts w:eastAsia="Calibri" w:cs="Tahoma"/>
          <w:bCs/>
        </w:rPr>
      </w:pPr>
    </w:p>
    <w:p w14:paraId="0422570E" w14:textId="77777777" w:rsidR="00145C87" w:rsidRPr="003E5C0B" w:rsidRDefault="00145C87" w:rsidP="00566970">
      <w:pPr>
        <w:spacing w:after="0" w:line="360" w:lineRule="auto"/>
        <w:rPr>
          <w:rFonts w:eastAsia="Calibri" w:cs="Tahoma"/>
          <w:bCs/>
        </w:rPr>
      </w:pPr>
      <w:r w:rsidRPr="003E5C0B">
        <w:rPr>
          <w:rFonts w:eastAsia="Calibri" w:cs="Tahoma"/>
          <w:bC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34725BE0" w14:textId="77777777" w:rsidR="00145C87" w:rsidRPr="003E5C0B" w:rsidRDefault="00145C87" w:rsidP="00566970">
      <w:pPr>
        <w:spacing w:after="0" w:line="360" w:lineRule="auto"/>
        <w:rPr>
          <w:rFonts w:eastAsia="Calibri" w:cs="Tahoma"/>
          <w:bCs/>
        </w:rPr>
      </w:pPr>
    </w:p>
    <w:p w14:paraId="223B6529" w14:textId="781B4E60" w:rsidR="00145C87" w:rsidRPr="003E5C0B" w:rsidRDefault="00145C87" w:rsidP="00566970">
      <w:pPr>
        <w:spacing w:after="0" w:line="360" w:lineRule="auto"/>
        <w:rPr>
          <w:rFonts w:eastAsia="Calibri" w:cs="Tahoma"/>
          <w:b/>
          <w:iCs/>
          <w:lang w:val="es-ES" w:eastAsia="es-ES_tradnl"/>
        </w:rPr>
      </w:pPr>
      <w:r w:rsidRPr="003E5C0B">
        <w:rPr>
          <w:rFonts w:eastAsia="Calibri" w:cs="Tahoma"/>
          <w:bCs/>
        </w:rPr>
        <w:t xml:space="preserve">Por tales consideraciones, </w:t>
      </w:r>
      <w:r w:rsidRPr="003E5C0B">
        <w:rPr>
          <w:rFonts w:eastAsia="Calibri" w:cs="Tahoma"/>
          <w:b/>
          <w:bCs/>
        </w:rPr>
        <w:t>resulta procedente la reserva del nombre de los elementos operativos adscritos a la</w:t>
      </w:r>
      <w:r w:rsidRPr="003E5C0B">
        <w:rPr>
          <w:rFonts w:eastAsia="Calibri" w:cs="Tahoma"/>
          <w:b/>
          <w:color w:val="000000"/>
        </w:rPr>
        <w:t xml:space="preserve"> Dirección de Seguridad Pública y Vialidad Municipal</w:t>
      </w:r>
      <w:r w:rsidRPr="003E5C0B">
        <w:rPr>
          <w:rFonts w:eastAsia="Calibri" w:cs="Tahoma"/>
          <w:b/>
          <w:bCs/>
        </w:rPr>
        <w:t xml:space="preserve">, en términos del artículo 140, fracción IV, de </w:t>
      </w:r>
      <w:r w:rsidRPr="003E5C0B">
        <w:rPr>
          <w:rFonts w:eastAsia="Calibri" w:cs="Tahoma"/>
          <w:b/>
          <w:iCs/>
          <w:lang w:val="es-ES" w:eastAsia="es-ES_tradnl"/>
        </w:rPr>
        <w:t>de la Ley de Transparencia y Acceso a la Información Pública del Estado de México y Municipios.</w:t>
      </w:r>
    </w:p>
    <w:p w14:paraId="6665FCDB" w14:textId="77777777" w:rsidR="00DD2261" w:rsidRPr="003E5C0B" w:rsidRDefault="00DD2261" w:rsidP="00566970">
      <w:pPr>
        <w:spacing w:after="0" w:line="360" w:lineRule="auto"/>
        <w:rPr>
          <w:rFonts w:eastAsia="Calibri" w:cs="Tahoma"/>
          <w:b/>
          <w:iCs/>
          <w:lang w:val="es-ES" w:eastAsia="es-ES_tradnl"/>
        </w:rPr>
      </w:pPr>
    </w:p>
    <w:p w14:paraId="5BA4A5FE" w14:textId="77777777" w:rsidR="00145C87" w:rsidRPr="003E5C0B" w:rsidRDefault="00145C87" w:rsidP="00566970">
      <w:pPr>
        <w:tabs>
          <w:tab w:val="left" w:pos="4962"/>
        </w:tabs>
        <w:spacing w:after="0" w:line="360" w:lineRule="auto"/>
        <w:rPr>
          <w:rFonts w:eastAsia="Calibri" w:cs="Tahoma"/>
          <w:iCs/>
          <w:lang w:val="es-ES" w:eastAsia="es-ES_tradnl"/>
        </w:rPr>
      </w:pPr>
      <w:r w:rsidRPr="003E5C0B">
        <w:rPr>
          <w:rFonts w:eastAsia="Calibri" w:cs="Tahoma"/>
          <w:iCs/>
          <w:lang w:val="es-ES" w:eastAsia="es-ES_tradnl"/>
        </w:rPr>
        <w:t xml:space="preserve">Sobre el particular, cabe traer a colación el artículo 141 de la Ley de Transparencia y Acceso a la Información Pública del Estado de México y Municipios, que establece que las causales de reserva se deberán fundar y motivar, a través de la aplicación de la prueba de daño </w:t>
      </w:r>
      <w:r w:rsidRPr="003E5C0B">
        <w:rPr>
          <w:rFonts w:eastAsia="Calibri" w:cs="Tahoma"/>
          <w:iCs/>
          <w:lang w:val="es-ES" w:eastAsia="es-ES_tradnl"/>
        </w:rPr>
        <w:lastRenderedPageBreak/>
        <w:t>establecida en el artículo 129 de dicho ordenamiento, que se debe justificar de la siguiente manera:</w:t>
      </w:r>
    </w:p>
    <w:p w14:paraId="5680E1C8" w14:textId="77777777" w:rsidR="00145C87" w:rsidRPr="003E5C0B" w:rsidRDefault="00145C87" w:rsidP="00566970">
      <w:pPr>
        <w:tabs>
          <w:tab w:val="left" w:pos="4962"/>
        </w:tabs>
        <w:spacing w:after="0" w:line="360" w:lineRule="auto"/>
        <w:rPr>
          <w:rFonts w:eastAsia="Calibri" w:cs="Tahoma"/>
          <w:iCs/>
          <w:lang w:val="es-ES" w:eastAsia="es-ES_tradnl"/>
        </w:rPr>
      </w:pPr>
    </w:p>
    <w:p w14:paraId="29628DB3" w14:textId="77777777" w:rsidR="00145C87" w:rsidRPr="003E5C0B" w:rsidRDefault="00145C87" w:rsidP="00566970">
      <w:pPr>
        <w:numPr>
          <w:ilvl w:val="0"/>
          <w:numId w:val="24"/>
        </w:numPr>
        <w:tabs>
          <w:tab w:val="left" w:pos="4962"/>
        </w:tabs>
        <w:spacing w:after="0" w:line="360" w:lineRule="auto"/>
        <w:ind w:left="709" w:hanging="436"/>
        <w:rPr>
          <w:rFonts w:eastAsia="Calibri" w:cs="Tahoma"/>
          <w:iCs/>
          <w:lang w:val="es-ES_tradnl" w:eastAsia="es-ES_tradnl"/>
        </w:rPr>
      </w:pPr>
      <w:r w:rsidRPr="003E5C0B">
        <w:rPr>
          <w:rFonts w:eastAsia="Calibri" w:cs="Tahoma"/>
          <w:iCs/>
          <w:lang w:val="es-ES_tradnl" w:eastAsia="es-ES_tradnl"/>
        </w:rPr>
        <w:t>La divulgación de la información representa un riesgo real, demostrable e identificable de perjuicio significativo al interés público o a la seguridad nacional.</w:t>
      </w:r>
    </w:p>
    <w:p w14:paraId="4C4F0D36" w14:textId="77777777" w:rsidR="00145C87" w:rsidRPr="003E5C0B" w:rsidRDefault="00145C87" w:rsidP="00566970">
      <w:pPr>
        <w:numPr>
          <w:ilvl w:val="0"/>
          <w:numId w:val="24"/>
        </w:numPr>
        <w:tabs>
          <w:tab w:val="left" w:pos="4962"/>
        </w:tabs>
        <w:spacing w:after="0" w:line="360" w:lineRule="auto"/>
        <w:ind w:left="709" w:hanging="436"/>
        <w:jc w:val="left"/>
        <w:rPr>
          <w:rFonts w:eastAsia="Calibri" w:cs="Tahoma"/>
          <w:iCs/>
          <w:lang w:val="es-ES_tradnl" w:eastAsia="es-ES_tradnl"/>
        </w:rPr>
      </w:pPr>
      <w:r w:rsidRPr="003E5C0B">
        <w:rPr>
          <w:rFonts w:eastAsia="Calibri" w:cs="Tahoma"/>
          <w:iCs/>
          <w:lang w:val="es-ES_tradnl" w:eastAsia="es-ES_tradnl"/>
        </w:rPr>
        <w:t>El riesgo de perjuicio supera el interés público general de que se difunda.</w:t>
      </w:r>
    </w:p>
    <w:p w14:paraId="09D35D87" w14:textId="77777777" w:rsidR="00145C87" w:rsidRPr="003E5C0B" w:rsidRDefault="00145C87" w:rsidP="00566970">
      <w:pPr>
        <w:numPr>
          <w:ilvl w:val="0"/>
          <w:numId w:val="24"/>
        </w:numPr>
        <w:tabs>
          <w:tab w:val="left" w:pos="4962"/>
        </w:tabs>
        <w:spacing w:after="0" w:line="360" w:lineRule="auto"/>
        <w:ind w:left="709" w:hanging="436"/>
        <w:jc w:val="left"/>
        <w:rPr>
          <w:rFonts w:eastAsia="Calibri" w:cs="Tahoma"/>
          <w:iCs/>
          <w:lang w:val="es-ES_tradnl" w:eastAsia="es-ES_tradnl"/>
        </w:rPr>
      </w:pPr>
      <w:r w:rsidRPr="003E5C0B">
        <w:rPr>
          <w:rFonts w:eastAsia="Calibri" w:cs="Tahoma"/>
          <w:iCs/>
          <w:lang w:val="es-ES_tradnl" w:eastAsia="es-ES_tradnl"/>
        </w:rPr>
        <w:t>Que la limitación se adecua al principio de proporcionalidad y representa el medio menos restrictivo disponible para evitar el perjuicio.</w:t>
      </w:r>
    </w:p>
    <w:p w14:paraId="0CB7CBD4" w14:textId="77777777" w:rsidR="00145C87" w:rsidRPr="003E5C0B" w:rsidRDefault="00145C87" w:rsidP="00566970">
      <w:pPr>
        <w:spacing w:after="0" w:line="360" w:lineRule="auto"/>
        <w:jc w:val="left"/>
        <w:rPr>
          <w:rFonts w:eastAsia="Calibri" w:cs="Tahoma"/>
          <w:iCs/>
          <w:lang w:eastAsia="es-ES_tradnl"/>
        </w:rPr>
      </w:pPr>
    </w:p>
    <w:p w14:paraId="021337F2" w14:textId="4D7D4547" w:rsidR="00145C87" w:rsidRPr="003E5C0B" w:rsidRDefault="00145C87" w:rsidP="00566970">
      <w:pPr>
        <w:autoSpaceDE w:val="0"/>
        <w:autoSpaceDN w:val="0"/>
        <w:spacing w:after="0" w:line="360" w:lineRule="auto"/>
        <w:rPr>
          <w:rFonts w:eastAsia="Times New Roman" w:cs="Tahoma"/>
          <w:lang w:eastAsia="es-ES"/>
        </w:rPr>
      </w:pPr>
      <w:r w:rsidRPr="003E5C0B">
        <w:rPr>
          <w:rFonts w:eastAsia="Calibri" w:cs="Tahoma"/>
          <w:bCs/>
        </w:rPr>
        <w:t xml:space="preserve">Además, el artículo 125 de la Ley de la materia, establece </w:t>
      </w:r>
      <w:r w:rsidRPr="003E5C0B">
        <w:rPr>
          <w:rFonts w:eastAsia="Times New Roman" w:cs="Tahoma"/>
          <w:bCs/>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3E5C0B">
        <w:rPr>
          <w:rFonts w:eastAsia="Times New Roman" w:cs="Tahoma"/>
          <w:lang w:eastAsia="es-ES"/>
        </w:rPr>
        <w:t>versiones públicas, deberá clasificar el nombre de los elementos operativos de la</w:t>
      </w:r>
      <w:r w:rsidRPr="003E5C0B">
        <w:rPr>
          <w:rFonts w:eastAsia="Calibri" w:cs="Tahoma"/>
          <w:bCs/>
          <w:color w:val="000000"/>
        </w:rPr>
        <w:t xml:space="preserve"> Dirección de Seguridad Pública y Vialidad Municipal</w:t>
      </w:r>
      <w:r w:rsidRPr="003E5C0B">
        <w:t>,</w:t>
      </w:r>
      <w:r w:rsidRPr="003E5C0B">
        <w:rPr>
          <w:rFonts w:eastAsia="Times New Roman" w:cs="Tahoma"/>
          <w:lang w:eastAsia="es-ES"/>
        </w:rPr>
        <w:t xml:space="preserve"> de manera fundada y motivada, mediante la respectiva prueba de daño</w:t>
      </w:r>
      <w:r w:rsidR="000D00FB" w:rsidRPr="003E5C0B">
        <w:rPr>
          <w:rFonts w:eastAsia="Times New Roman" w:cs="Tahoma"/>
          <w:lang w:eastAsia="es-ES"/>
        </w:rPr>
        <w:t>, y deberá proporcionar la información del personal administrativo y mandos medios y superiores de dicha área.</w:t>
      </w:r>
    </w:p>
    <w:p w14:paraId="3E6D345A" w14:textId="77777777" w:rsidR="0055185E" w:rsidRPr="003E5C0B" w:rsidRDefault="0055185E" w:rsidP="00566970">
      <w:pPr>
        <w:tabs>
          <w:tab w:val="center" w:pos="4522"/>
        </w:tabs>
        <w:spacing w:after="0" w:line="360" w:lineRule="auto"/>
        <w:rPr>
          <w:color w:val="000000"/>
        </w:rPr>
      </w:pPr>
    </w:p>
    <w:p w14:paraId="7E7E3822" w14:textId="77777777" w:rsidR="0055185E" w:rsidRPr="003E5C0B" w:rsidRDefault="0055185E" w:rsidP="00566970">
      <w:pPr>
        <w:spacing w:after="0" w:line="360" w:lineRule="auto"/>
        <w:ind w:right="-28"/>
        <w:rPr>
          <w:color w:val="000000"/>
        </w:rPr>
      </w:pPr>
      <w:r w:rsidRPr="003E5C0B">
        <w:t>Por lo que, para atender el requerimiento deberá proporcionar los documentos solicitados en versión pública; p</w:t>
      </w:r>
      <w:r w:rsidRPr="003E5C0B">
        <w:rPr>
          <w:color w:val="000000"/>
        </w:rPr>
        <w:t xml:space="preserve">ara tal situación, el Sujeto Obligado deberá seguir el procedimiento establecido en el artículo 168 de dicho ordenamiento jurídico; esto es, que el área competente </w:t>
      </w:r>
      <w:r w:rsidRPr="003E5C0B">
        <w:rPr>
          <w:color w:val="000000"/>
        </w:rPr>
        <w:lastRenderedPageBreak/>
        <w:t>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4B3C6F94" w14:textId="77777777" w:rsidR="0055185E" w:rsidRPr="003E5C0B" w:rsidRDefault="0055185E" w:rsidP="00566970">
      <w:pPr>
        <w:spacing w:after="0" w:line="360" w:lineRule="auto"/>
        <w:ind w:right="-28"/>
        <w:rPr>
          <w:color w:val="000000"/>
        </w:rPr>
      </w:pPr>
    </w:p>
    <w:p w14:paraId="68916B16" w14:textId="77777777" w:rsidR="0055185E" w:rsidRPr="003E5C0B" w:rsidRDefault="0055185E" w:rsidP="00566970">
      <w:pPr>
        <w:spacing w:after="0" w:line="360" w:lineRule="auto"/>
        <w:contextualSpacing/>
        <w:rPr>
          <w:rFonts w:eastAsia="Times New Roman" w:cs="Tahoma"/>
          <w:bCs/>
          <w:iCs/>
          <w:lang w:val="es-ES" w:eastAsia="es-ES"/>
        </w:rPr>
      </w:pPr>
      <w:r w:rsidRPr="003E5C0B">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8D6A893" w14:textId="77777777" w:rsidR="00D721E3" w:rsidRPr="003E5C0B" w:rsidRDefault="00D721E3" w:rsidP="00566970">
      <w:pPr>
        <w:spacing w:after="0" w:line="360" w:lineRule="auto"/>
        <w:contextualSpacing/>
        <w:rPr>
          <w:rFonts w:eastAsia="Times New Roman" w:cs="Tahoma"/>
          <w:bCs/>
          <w:iCs/>
          <w:lang w:val="es-ES" w:eastAsia="es-ES"/>
        </w:rPr>
      </w:pPr>
    </w:p>
    <w:p w14:paraId="2BD8AB6B" w14:textId="77777777" w:rsidR="00D721E3" w:rsidRPr="003E5C0B" w:rsidRDefault="00D721E3" w:rsidP="00566970">
      <w:pPr>
        <w:spacing w:after="0" w:line="360" w:lineRule="auto"/>
        <w:rPr>
          <w:b/>
        </w:rPr>
      </w:pPr>
      <w:r w:rsidRPr="003E5C0B">
        <w:rPr>
          <w:b/>
        </w:rPr>
        <w:t>SEXTO. Decisión</w:t>
      </w:r>
    </w:p>
    <w:p w14:paraId="3234FB44" w14:textId="77777777" w:rsidR="00D721E3" w:rsidRPr="003E5C0B" w:rsidRDefault="00D721E3" w:rsidP="00566970">
      <w:pPr>
        <w:spacing w:after="0" w:line="360" w:lineRule="auto"/>
        <w:rPr>
          <w:b/>
        </w:rPr>
      </w:pPr>
    </w:p>
    <w:p w14:paraId="36F985BD" w14:textId="5373E6CC" w:rsidR="00D721E3" w:rsidRPr="003E5C0B" w:rsidRDefault="00D721E3" w:rsidP="00566970">
      <w:pPr>
        <w:spacing w:after="0" w:line="360" w:lineRule="auto"/>
        <w:rPr>
          <w:rFonts w:cs="Tahoma"/>
        </w:rPr>
      </w:pPr>
      <w:r w:rsidRPr="003E5C0B">
        <w:rPr>
          <w:rFonts w:cs="Tahoma"/>
        </w:rPr>
        <w:t xml:space="preserve">Con fundamento en el artículo 186, fracción III, de la Ley de Transparencia y Acceso a la Información Pública del Estado de México y Municipios, este Instituto considera procedente </w:t>
      </w:r>
      <w:r w:rsidRPr="003E5C0B">
        <w:rPr>
          <w:b/>
          <w:bCs/>
        </w:rPr>
        <w:t>MODIFICAR</w:t>
      </w:r>
      <w:r w:rsidRPr="003E5C0B">
        <w:rPr>
          <w:rFonts w:cs="Tahoma"/>
        </w:rPr>
        <w:t xml:space="preserve"> la respuesta otorgada por el Sujeto Obligado a las solicitudes de información </w:t>
      </w:r>
      <w:r w:rsidRPr="003E5C0B">
        <w:rPr>
          <w:rFonts w:eastAsia="Calibri" w:cs="Tahoma"/>
          <w:color w:val="0D0D0D"/>
          <w:lang w:eastAsia="en-US"/>
        </w:rPr>
        <w:t>00313/HUEHUETO/IP/2024 y 00310/HUEHUETO/IP/2024</w:t>
      </w:r>
      <w:r w:rsidRPr="003E5C0B">
        <w:rPr>
          <w:rFonts w:cs="Tahoma"/>
        </w:rPr>
        <w:t>, a efecto de que entregue, la información de manera completa.</w:t>
      </w:r>
    </w:p>
    <w:p w14:paraId="0BF07008" w14:textId="77777777" w:rsidR="00913135" w:rsidRPr="003E5C0B" w:rsidRDefault="00913135" w:rsidP="00566970">
      <w:pPr>
        <w:spacing w:after="0" w:line="360" w:lineRule="auto"/>
        <w:rPr>
          <w:rFonts w:cs="Tahoma"/>
        </w:rPr>
      </w:pPr>
    </w:p>
    <w:p w14:paraId="2FEF7AE9" w14:textId="51C10835" w:rsidR="00913135" w:rsidRPr="003E5C0B" w:rsidRDefault="00913135" w:rsidP="00566970">
      <w:pPr>
        <w:autoSpaceDE w:val="0"/>
        <w:autoSpaceDN w:val="0"/>
        <w:adjustRightInd w:val="0"/>
        <w:spacing w:after="0" w:line="360" w:lineRule="auto"/>
        <w:rPr>
          <w:rFonts w:eastAsia="Calibri" w:cs="Tahoma"/>
          <w:b/>
          <w:bCs/>
          <w:iCs/>
          <w:lang w:val="es-ES_tradnl"/>
        </w:rPr>
      </w:pPr>
      <w:r w:rsidRPr="003E5C0B">
        <w:rPr>
          <w:rFonts w:eastAsia="Calibri" w:cs="Tahoma"/>
          <w:b/>
          <w:bCs/>
          <w:iCs/>
          <w:lang w:val="es-ES_tradnl"/>
        </w:rPr>
        <w:t>SÉPTIMO. Vista la Dirección General de Protección de Datos Personales</w:t>
      </w:r>
    </w:p>
    <w:p w14:paraId="114B08B3" w14:textId="77777777" w:rsidR="00913135" w:rsidRPr="003E5C0B" w:rsidRDefault="00913135" w:rsidP="00566970">
      <w:pPr>
        <w:autoSpaceDE w:val="0"/>
        <w:autoSpaceDN w:val="0"/>
        <w:adjustRightInd w:val="0"/>
        <w:spacing w:after="0" w:line="360" w:lineRule="auto"/>
        <w:contextualSpacing/>
        <w:rPr>
          <w:rFonts w:eastAsia="Calibri" w:cs="Tahoma"/>
          <w:b/>
          <w:bCs/>
          <w:iCs/>
          <w:lang w:val="es-ES_tradnl"/>
        </w:rPr>
      </w:pPr>
    </w:p>
    <w:p w14:paraId="06997C85" w14:textId="321608D8" w:rsidR="00913135" w:rsidRPr="003E5C0B" w:rsidRDefault="00913135" w:rsidP="00566970">
      <w:pPr>
        <w:tabs>
          <w:tab w:val="left" w:pos="4962"/>
        </w:tabs>
        <w:spacing w:after="0" w:line="360" w:lineRule="auto"/>
        <w:contextualSpacing/>
        <w:rPr>
          <w:rFonts w:eastAsia="Calibri" w:cs="Tahoma"/>
          <w:bCs/>
          <w:iCs/>
          <w:lang w:val="es-ES_tradnl"/>
        </w:rPr>
      </w:pPr>
      <w:r w:rsidRPr="003E5C0B">
        <w:rPr>
          <w:rFonts w:eastAsia="Calibri" w:cs="Tahoma"/>
          <w:bCs/>
          <w:iCs/>
          <w:lang w:val="es-ES_tradnl"/>
        </w:rPr>
        <w:t>Ahora bien, toda vez que el Sujeto Obligado proporcionó los recibos de nómina de los servidores públicos donde dejó visible</w:t>
      </w:r>
      <w:r w:rsidR="002547C2" w:rsidRPr="003E5C0B">
        <w:rPr>
          <w:rFonts w:eastAsia="Calibri" w:cs="Tahoma"/>
          <w:bCs/>
          <w:iCs/>
          <w:lang w:val="es-ES_tradnl"/>
        </w:rPr>
        <w:t>s</w:t>
      </w:r>
      <w:r w:rsidRPr="003E5C0B">
        <w:rPr>
          <w:rFonts w:eastAsia="Calibri" w:cs="Tahoma"/>
          <w:bCs/>
          <w:iCs/>
          <w:lang w:val="es-ES_tradnl"/>
        </w:rPr>
        <w:t xml:space="preserve"> deducciones personales</w:t>
      </w:r>
      <w:r w:rsidR="000D00FB" w:rsidRPr="003E5C0B">
        <w:rPr>
          <w:rFonts w:eastAsia="Calibri" w:cs="Tahoma"/>
          <w:bCs/>
          <w:iCs/>
          <w:lang w:val="es-ES_tradnl"/>
        </w:rPr>
        <w:t>, como la cuota sindical</w:t>
      </w:r>
      <w:r w:rsidRPr="003E5C0B">
        <w:rPr>
          <w:rFonts w:eastAsia="Times New Roman" w:cs="Tahoma"/>
          <w:lang w:eastAsia="es-ES"/>
        </w:rPr>
        <w:t xml:space="preserve">, </w:t>
      </w:r>
      <w:r w:rsidRPr="003E5C0B">
        <w:rPr>
          <w:rFonts w:eastAsia="Calibri" w:cs="Tahoma"/>
          <w:bCs/>
          <w:iCs/>
          <w:lang w:val="es-ES_tradnl"/>
        </w:rPr>
        <w:t xml:space="preserve">circunstancia que vulnera lo previsto en el artículo 143, fracción I, de la Ley de Transparencia y Acceso a la Información Pública del Estado de México y Municipios. </w:t>
      </w:r>
    </w:p>
    <w:p w14:paraId="494AA45A" w14:textId="77777777" w:rsidR="00913135" w:rsidRPr="003E5C0B" w:rsidRDefault="00913135" w:rsidP="00566970">
      <w:pPr>
        <w:tabs>
          <w:tab w:val="left" w:pos="4962"/>
        </w:tabs>
        <w:spacing w:after="0" w:line="360" w:lineRule="auto"/>
        <w:contextualSpacing/>
        <w:rPr>
          <w:rFonts w:eastAsia="Calibri" w:cs="Tahoma"/>
          <w:bCs/>
          <w:iCs/>
          <w:lang w:val="es-ES_tradnl"/>
        </w:rPr>
      </w:pPr>
    </w:p>
    <w:p w14:paraId="4F8FE6B6" w14:textId="77777777" w:rsidR="00913135" w:rsidRPr="003E5C0B" w:rsidRDefault="00913135" w:rsidP="00566970">
      <w:pPr>
        <w:tabs>
          <w:tab w:val="left" w:pos="4962"/>
        </w:tabs>
        <w:spacing w:after="0" w:line="360" w:lineRule="auto"/>
        <w:contextualSpacing/>
        <w:rPr>
          <w:rFonts w:eastAsia="Calibri" w:cs="Tahoma"/>
          <w:bCs/>
          <w:iCs/>
          <w:lang w:val="es-ES_tradnl"/>
        </w:rPr>
      </w:pPr>
      <w:r w:rsidRPr="003E5C0B">
        <w:rPr>
          <w:rFonts w:eastAsia="Calibri" w:cs="Tahoma"/>
          <w:bCs/>
          <w:iCs/>
          <w:lang w:val="es-ES_tradnl"/>
        </w:rPr>
        <w:lastRenderedPageBreak/>
        <w:t>Por lo tanto, el Ente Recurrido, inobservó la Ley de Transparencia y Acceso a la Información Pública del Estado de México y Municipios y la Ley de Protección de Datos Personales en Posesión de Sujetos Obligados del Estado de México y Municipios.</w:t>
      </w:r>
    </w:p>
    <w:p w14:paraId="5E92C209" w14:textId="77777777" w:rsidR="00913135" w:rsidRPr="003E5C0B" w:rsidRDefault="00913135" w:rsidP="00566970">
      <w:pPr>
        <w:tabs>
          <w:tab w:val="left" w:pos="4962"/>
        </w:tabs>
        <w:spacing w:after="0" w:line="360" w:lineRule="auto"/>
        <w:contextualSpacing/>
        <w:rPr>
          <w:rFonts w:eastAsia="Calibri" w:cs="Tahoma"/>
          <w:bCs/>
          <w:iCs/>
          <w:lang w:val="es-ES_tradnl"/>
        </w:rPr>
      </w:pPr>
    </w:p>
    <w:p w14:paraId="75253858" w14:textId="485EBD0A" w:rsidR="00913135" w:rsidRPr="003E5C0B" w:rsidRDefault="00913135" w:rsidP="00566970">
      <w:pPr>
        <w:autoSpaceDE w:val="0"/>
        <w:autoSpaceDN w:val="0"/>
        <w:adjustRightInd w:val="0"/>
        <w:spacing w:after="0" w:line="360" w:lineRule="auto"/>
        <w:contextualSpacing/>
        <w:rPr>
          <w:rFonts w:eastAsia="Calibri" w:cs="Tahoma"/>
          <w:bCs/>
          <w:iCs/>
          <w:lang w:val="es-ES_tradnl"/>
        </w:rPr>
      </w:pPr>
      <w:r w:rsidRPr="003E5C0B">
        <w:rPr>
          <w:rFonts w:eastAsia="Calibri" w:cs="Tahoma"/>
          <w:bCs/>
          <w:iCs/>
          <w:lang w:val="es-ES_tradnl"/>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1D75A7A4" w14:textId="77777777" w:rsidR="00D721E3" w:rsidRPr="003E5C0B" w:rsidRDefault="00D721E3" w:rsidP="00566970">
      <w:pPr>
        <w:spacing w:after="0" w:line="360" w:lineRule="auto"/>
        <w:rPr>
          <w:rFonts w:eastAsia="Times New Roman" w:cs="Times New Roman"/>
          <w:bCs/>
          <w:iCs/>
          <w:szCs w:val="20"/>
          <w:lang w:val="es-ES" w:eastAsia="es-ES"/>
        </w:rPr>
      </w:pPr>
    </w:p>
    <w:p w14:paraId="1D8C63F3" w14:textId="77777777" w:rsidR="00D721E3" w:rsidRPr="003E5C0B" w:rsidRDefault="00D721E3" w:rsidP="00566970">
      <w:pPr>
        <w:spacing w:after="0" w:line="360" w:lineRule="auto"/>
        <w:rPr>
          <w:b/>
        </w:rPr>
      </w:pPr>
      <w:r w:rsidRPr="003E5C0B">
        <w:rPr>
          <w:b/>
        </w:rPr>
        <w:t>Términos de la Resolución para conocimiento del Particular</w:t>
      </w:r>
    </w:p>
    <w:p w14:paraId="2DE33546" w14:textId="77777777" w:rsidR="00D721E3" w:rsidRPr="003E5C0B" w:rsidRDefault="00D721E3" w:rsidP="00566970">
      <w:pPr>
        <w:spacing w:after="0" w:line="360" w:lineRule="auto"/>
        <w:rPr>
          <w:b/>
        </w:rPr>
      </w:pPr>
    </w:p>
    <w:p w14:paraId="49411D20" w14:textId="77777777" w:rsidR="000D00FB" w:rsidRPr="003E5C0B" w:rsidRDefault="00D721E3" w:rsidP="00566970">
      <w:pPr>
        <w:spacing w:after="0" w:line="360" w:lineRule="auto"/>
      </w:pPr>
      <w:bookmarkStart w:id="4" w:name="_heading=h.1fob9te"/>
      <w:bookmarkEnd w:id="4"/>
      <w:r w:rsidRPr="003E5C0B">
        <w:t xml:space="preserve">Se le hace del conocimiento a la persona Recurrente que, en el presente asunto, se le da parcialmente la razón, pues el Sujeto Obligado si bien proporcionó parte de la información solicitada, omitió pronunciarse de diversos servidores públicos, del sueldo bruto de los entregados y en versión pública incorrecta, por lo que, deberá hacer la entrega de la información completa. </w:t>
      </w:r>
    </w:p>
    <w:p w14:paraId="4AB923F1" w14:textId="77777777" w:rsidR="000D00FB" w:rsidRPr="003E5C0B" w:rsidRDefault="000D00FB" w:rsidP="00566970">
      <w:pPr>
        <w:spacing w:after="0" w:line="360" w:lineRule="auto"/>
      </w:pPr>
    </w:p>
    <w:p w14:paraId="007F89A9" w14:textId="09BA41CF" w:rsidR="00D721E3" w:rsidRPr="003E5C0B" w:rsidRDefault="00D721E3" w:rsidP="00566970">
      <w:pPr>
        <w:spacing w:after="0" w:line="360" w:lineRule="auto"/>
      </w:pPr>
      <w:r w:rsidRPr="003E5C0B">
        <w:rPr>
          <w:color w:val="000000"/>
        </w:rPr>
        <w:t>Finalmente,</w:t>
      </w:r>
      <w:r w:rsidR="000D00FB" w:rsidRPr="003E5C0B">
        <w:rPr>
          <w:color w:val="000000"/>
        </w:rPr>
        <w:t xml:space="preserve"> se le informa que </w:t>
      </w:r>
      <w:r w:rsidRPr="003E5C0B">
        <w:rPr>
          <w:color w:val="000000"/>
        </w:rPr>
        <w:t>la labor de este Instituto</w:t>
      </w:r>
      <w:r w:rsidR="000D00FB" w:rsidRPr="003E5C0B">
        <w:rPr>
          <w:color w:val="000000"/>
        </w:rPr>
        <w:t xml:space="preserve"> de Transparencia, Acceso a la Información Pública y Protección de Datos Personales del Estado de México y Municipios</w:t>
      </w:r>
      <w:r w:rsidRPr="003E5C0B">
        <w:rPr>
          <w:color w:val="000000"/>
        </w:rPr>
        <w:t xml:space="preserve"> es apoyar a la población a acceder a la información pública y garantizar la protección de sus datos personales.</w:t>
      </w:r>
    </w:p>
    <w:p w14:paraId="37D0D9F5" w14:textId="77777777" w:rsidR="00D721E3" w:rsidRPr="003E5C0B" w:rsidRDefault="00D721E3" w:rsidP="00566970">
      <w:pPr>
        <w:spacing w:after="0" w:line="360" w:lineRule="auto"/>
      </w:pPr>
    </w:p>
    <w:p w14:paraId="6246635F" w14:textId="77777777" w:rsidR="00D721E3" w:rsidRPr="003E5C0B" w:rsidRDefault="00D721E3" w:rsidP="00566970">
      <w:pPr>
        <w:spacing w:after="0" w:line="360" w:lineRule="auto"/>
      </w:pPr>
      <w:r w:rsidRPr="003E5C0B">
        <w:lastRenderedPageBreak/>
        <w:t>Por lo expuesto y fundado, este Pleno:</w:t>
      </w:r>
    </w:p>
    <w:p w14:paraId="415F10DF" w14:textId="77777777" w:rsidR="00D721E3" w:rsidRPr="003E5C0B" w:rsidRDefault="00D721E3" w:rsidP="00566970">
      <w:pPr>
        <w:spacing w:after="0" w:line="360" w:lineRule="auto"/>
        <w:rPr>
          <w:b/>
        </w:rPr>
      </w:pPr>
    </w:p>
    <w:p w14:paraId="77172149" w14:textId="77777777" w:rsidR="00D721E3" w:rsidRPr="003E5C0B" w:rsidRDefault="00D721E3" w:rsidP="00566970">
      <w:pPr>
        <w:spacing w:after="0" w:line="360" w:lineRule="auto"/>
        <w:ind w:left="720" w:hanging="720"/>
        <w:jc w:val="center"/>
        <w:rPr>
          <w:b/>
        </w:rPr>
      </w:pPr>
      <w:r w:rsidRPr="003E5C0B">
        <w:rPr>
          <w:b/>
        </w:rPr>
        <w:t>R E S U E L V E</w:t>
      </w:r>
    </w:p>
    <w:p w14:paraId="4D64EB66" w14:textId="77777777" w:rsidR="00D721E3" w:rsidRPr="003E5C0B" w:rsidRDefault="00D721E3" w:rsidP="00566970">
      <w:pPr>
        <w:spacing w:after="0" w:line="360" w:lineRule="auto"/>
      </w:pPr>
    </w:p>
    <w:p w14:paraId="33A787E4" w14:textId="64D8FACB" w:rsidR="00D721E3" w:rsidRPr="003E5C0B" w:rsidRDefault="00D721E3" w:rsidP="00566970">
      <w:pPr>
        <w:spacing w:after="0" w:line="360" w:lineRule="auto"/>
      </w:pPr>
      <w:r w:rsidRPr="003E5C0B">
        <w:rPr>
          <w:b/>
        </w:rPr>
        <w:t xml:space="preserve">PRIMERO. </w:t>
      </w:r>
      <w:r w:rsidRPr="003E5C0B">
        <w:t xml:space="preserve">Se </w:t>
      </w:r>
      <w:r w:rsidRPr="003E5C0B">
        <w:rPr>
          <w:b/>
        </w:rPr>
        <w:t xml:space="preserve">MODIFICA </w:t>
      </w:r>
      <w:r w:rsidRPr="003E5C0B">
        <w:t>la respuesta entregada por el Ayuntamiento de Huehuetoca, a las solicitudes de información</w:t>
      </w:r>
      <w:r w:rsidRPr="003E5C0B">
        <w:rPr>
          <w:rFonts w:cs="Tahoma"/>
        </w:rPr>
        <w:t xml:space="preserve"> </w:t>
      </w:r>
      <w:r w:rsidRPr="003E5C0B">
        <w:rPr>
          <w:rFonts w:eastAsia="Calibri" w:cs="Tahoma"/>
          <w:color w:val="0D0D0D"/>
          <w:lang w:eastAsia="en-US"/>
        </w:rPr>
        <w:t>00313/HUEHUETO/IP/2024 y 00310/HUEHUETO/IP/2024</w:t>
      </w:r>
      <w:r w:rsidRPr="003E5C0B">
        <w:rPr>
          <w:color w:val="000000"/>
        </w:rPr>
        <w:t>,</w:t>
      </w:r>
      <w:r w:rsidRPr="003E5C0B">
        <w:t xml:space="preserve"> por resultar </w:t>
      </w:r>
      <w:r w:rsidRPr="003E5C0B">
        <w:rPr>
          <w:b/>
          <w:bCs/>
        </w:rPr>
        <w:t>PARCIALMENTE</w:t>
      </w:r>
      <w:r w:rsidRPr="003E5C0B">
        <w:t xml:space="preserve"> </w:t>
      </w:r>
      <w:r w:rsidRPr="003E5C0B">
        <w:rPr>
          <w:b/>
          <w:bCs/>
        </w:rPr>
        <w:t>FUNDADAS</w:t>
      </w:r>
      <w:r w:rsidRPr="003E5C0B">
        <w:rPr>
          <w:b/>
        </w:rPr>
        <w:t xml:space="preserve"> </w:t>
      </w:r>
      <w:r w:rsidRPr="003E5C0B">
        <w:t>las razones o motivos de inconformidad hechos valer por la persona Recurrente, en términos de los considerandos QUINTO y SEXTO de la presente Resolución.</w:t>
      </w:r>
    </w:p>
    <w:p w14:paraId="3D14F585" w14:textId="77777777" w:rsidR="00D721E3" w:rsidRPr="003E5C0B" w:rsidRDefault="00D721E3" w:rsidP="00566970">
      <w:pPr>
        <w:spacing w:after="0" w:line="360" w:lineRule="auto"/>
      </w:pPr>
    </w:p>
    <w:p w14:paraId="3FB67D80" w14:textId="4247C056" w:rsidR="00D721E3" w:rsidRPr="003E5C0B" w:rsidRDefault="00D721E3" w:rsidP="00566970">
      <w:pPr>
        <w:spacing w:after="0" w:line="360" w:lineRule="auto"/>
        <w:rPr>
          <w:rFonts w:eastAsia="Times New Roman" w:cs="Tahoma"/>
          <w:lang w:eastAsia="es-ES"/>
        </w:rPr>
      </w:pPr>
      <w:r w:rsidRPr="003E5C0B">
        <w:rPr>
          <w:b/>
        </w:rPr>
        <w:t xml:space="preserve">SEGUNDO. </w:t>
      </w:r>
      <w:r w:rsidRPr="003E5C0B">
        <w:t xml:space="preserve">Se </w:t>
      </w:r>
      <w:r w:rsidRPr="003E5C0B">
        <w:rPr>
          <w:b/>
        </w:rPr>
        <w:t>ORDENA</w:t>
      </w:r>
      <w:r w:rsidRPr="003E5C0B">
        <w:t xml:space="preserve"> al Sujeto Obligado</w:t>
      </w:r>
      <w:r w:rsidRPr="003E5C0B">
        <w:rPr>
          <w:b/>
        </w:rPr>
        <w:t xml:space="preserve">, </w:t>
      </w:r>
      <w:r w:rsidRPr="003E5C0B">
        <w:t xml:space="preserve">a efecto de que entregue a través del Sistema de Acceso a la Información Mexiquense (SAIMEX), en versión pública y de manera completa, </w:t>
      </w:r>
      <w:r w:rsidRPr="003E5C0B">
        <w:rPr>
          <w:rFonts w:eastAsia="Times New Roman" w:cs="Tahoma"/>
          <w:lang w:eastAsia="es-ES"/>
        </w:rPr>
        <w:t>de todo el personal adscrito al Ayuntamiento de Huehuetoca, de la segunda quincena de julio de dos mil veinticuatro, lo siguiente:</w:t>
      </w:r>
    </w:p>
    <w:p w14:paraId="56F96161" w14:textId="77777777" w:rsidR="00D721E3" w:rsidRPr="003E5C0B" w:rsidRDefault="00D721E3" w:rsidP="00566970">
      <w:pPr>
        <w:spacing w:after="0" w:line="360" w:lineRule="auto"/>
        <w:rPr>
          <w:rFonts w:eastAsia="Times New Roman" w:cs="Tahoma"/>
          <w:lang w:eastAsia="es-ES"/>
        </w:rPr>
      </w:pPr>
    </w:p>
    <w:p w14:paraId="3819A3D3" w14:textId="0AB35B00" w:rsidR="00D721E3" w:rsidRPr="003E5C0B" w:rsidRDefault="00D721E3" w:rsidP="00566970">
      <w:pPr>
        <w:pStyle w:val="Prrafodelista"/>
        <w:numPr>
          <w:ilvl w:val="0"/>
          <w:numId w:val="3"/>
        </w:numPr>
        <w:spacing w:line="360" w:lineRule="auto"/>
        <w:rPr>
          <w:rFonts w:cs="Tahoma"/>
        </w:rPr>
      </w:pPr>
      <w:r w:rsidRPr="003E5C0B">
        <w:rPr>
          <w:rFonts w:cs="Tahoma"/>
        </w:rPr>
        <w:t>Recibos de nómina</w:t>
      </w:r>
      <w:r w:rsidR="000D00FB" w:rsidRPr="003E5C0B">
        <w:rPr>
          <w:rFonts w:cs="Tahoma"/>
        </w:rPr>
        <w:t>;</w:t>
      </w:r>
    </w:p>
    <w:p w14:paraId="6C19BAE1" w14:textId="7347EC92" w:rsidR="00D721E3" w:rsidRPr="003E5C0B" w:rsidRDefault="00D721E3" w:rsidP="00566970">
      <w:pPr>
        <w:pStyle w:val="Prrafodelista"/>
        <w:numPr>
          <w:ilvl w:val="0"/>
          <w:numId w:val="3"/>
        </w:numPr>
        <w:spacing w:line="360" w:lineRule="auto"/>
        <w:rPr>
          <w:rFonts w:cs="Tahoma"/>
        </w:rPr>
      </w:pPr>
      <w:r w:rsidRPr="003E5C0B">
        <w:rPr>
          <w:rFonts w:cs="Tahoma"/>
        </w:rPr>
        <w:t>Conciliación de Nómina</w:t>
      </w:r>
      <w:r w:rsidR="000D00FB" w:rsidRPr="003E5C0B">
        <w:rPr>
          <w:rFonts w:cs="Tahoma"/>
        </w:rPr>
        <w:t>, y</w:t>
      </w:r>
    </w:p>
    <w:p w14:paraId="20161A96" w14:textId="25FC941F" w:rsidR="00DD2261" w:rsidRPr="003E5C0B" w:rsidRDefault="000D00FB" w:rsidP="00566970">
      <w:pPr>
        <w:pStyle w:val="Prrafodelista"/>
        <w:numPr>
          <w:ilvl w:val="0"/>
          <w:numId w:val="3"/>
        </w:numPr>
        <w:spacing w:line="360" w:lineRule="auto"/>
        <w:rPr>
          <w:rFonts w:cs="Tahoma"/>
        </w:rPr>
      </w:pPr>
      <w:r w:rsidRPr="003E5C0B">
        <w:rPr>
          <w:bCs/>
          <w:iCs/>
          <w:szCs w:val="20"/>
          <w:lang w:val="es-ES"/>
        </w:rPr>
        <w:t xml:space="preserve">Documento donde conste el pago </w:t>
      </w:r>
      <w:r w:rsidRPr="003E5C0B">
        <w:rPr>
          <w:rFonts w:cs="Tahoma"/>
        </w:rPr>
        <w:t xml:space="preserve">a </w:t>
      </w:r>
      <w:r w:rsidRPr="003E5C0B">
        <w:rPr>
          <w:rFonts w:eastAsia="Calibri" w:cs="Tahoma"/>
          <w:bCs/>
          <w:color w:val="auto"/>
        </w:rPr>
        <w:t>prestadores de servicios por honorarios.</w:t>
      </w:r>
    </w:p>
    <w:p w14:paraId="0C9C6DF6" w14:textId="77777777" w:rsidR="00D721E3" w:rsidRPr="003E5C0B" w:rsidRDefault="00D721E3" w:rsidP="00566970">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5C298A0A" w14:textId="561799B2" w:rsidR="00D721E3" w:rsidRPr="003E5C0B" w:rsidRDefault="00D721E3" w:rsidP="00566970">
      <w:pPr>
        <w:spacing w:after="0" w:line="360" w:lineRule="auto"/>
        <w:rPr>
          <w:rFonts w:eastAsia="Calibri" w:cs="Tahoma"/>
          <w:bCs/>
          <w:iCs/>
          <w:color w:val="000000"/>
          <w:lang w:eastAsia="es-ES"/>
        </w:rPr>
      </w:pPr>
      <w:r w:rsidRPr="003E5C0B">
        <w:rPr>
          <w:rFonts w:eastAsia="Calibri" w:cs="Tahoma"/>
          <w:bCs/>
          <w:iCs/>
          <w:color w:val="000000"/>
          <w:lang w:eastAsia="es-ES"/>
        </w:rPr>
        <w:t>Además,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429D855F" w14:textId="77777777" w:rsidR="000D00FB" w:rsidRPr="003E5C0B" w:rsidRDefault="000D00FB" w:rsidP="00566970">
      <w:pPr>
        <w:spacing w:after="0" w:line="360" w:lineRule="auto"/>
        <w:ind w:right="-28"/>
        <w:rPr>
          <w:b/>
        </w:rPr>
      </w:pPr>
    </w:p>
    <w:p w14:paraId="0E4F9F87" w14:textId="77777777" w:rsidR="00D721E3" w:rsidRPr="003E5C0B" w:rsidRDefault="00D721E3" w:rsidP="00566970">
      <w:pPr>
        <w:spacing w:after="0" w:line="360" w:lineRule="auto"/>
        <w:ind w:right="-28"/>
        <w:rPr>
          <w:b/>
        </w:rPr>
      </w:pPr>
      <w:r w:rsidRPr="003E5C0B">
        <w:rPr>
          <w:b/>
        </w:rPr>
        <w:t xml:space="preserve">TERCERO. NOTIFÍQUESE POR SAIMEX </w:t>
      </w:r>
      <w:r w:rsidRPr="003E5C0B">
        <w:t xml:space="preserve">la presente resolución al Titular de la Unidad de Transparencia del Sujeto Obligado, para que conforme al artículo 186, último párrafo, 189, </w:t>
      </w:r>
      <w:r w:rsidRPr="003E5C0B">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FA7C142" w14:textId="77777777" w:rsidR="00D721E3" w:rsidRPr="003E5C0B" w:rsidRDefault="00D721E3" w:rsidP="00566970">
      <w:pPr>
        <w:spacing w:after="0" w:line="360" w:lineRule="auto"/>
        <w:ind w:right="-28"/>
        <w:rPr>
          <w:color w:val="000000"/>
        </w:rPr>
      </w:pPr>
    </w:p>
    <w:p w14:paraId="01ADB1D5" w14:textId="77777777" w:rsidR="00D721E3" w:rsidRPr="003E5C0B" w:rsidRDefault="00D721E3" w:rsidP="00566970">
      <w:pPr>
        <w:spacing w:after="0" w:line="360" w:lineRule="auto"/>
        <w:rPr>
          <w:color w:val="000000"/>
        </w:rPr>
      </w:pPr>
      <w:r w:rsidRPr="003E5C0B">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F8BFC56" w14:textId="77777777" w:rsidR="00D721E3" w:rsidRPr="003E5C0B" w:rsidRDefault="00D721E3" w:rsidP="00566970">
      <w:pPr>
        <w:spacing w:after="0" w:line="360" w:lineRule="auto"/>
        <w:rPr>
          <w:color w:val="000000"/>
        </w:rPr>
      </w:pPr>
    </w:p>
    <w:p w14:paraId="385C65C8" w14:textId="77777777" w:rsidR="00D721E3" w:rsidRPr="003E5C0B" w:rsidRDefault="00D721E3" w:rsidP="00566970">
      <w:pPr>
        <w:spacing w:after="0" w:line="360" w:lineRule="auto"/>
        <w:ind w:right="-93"/>
        <w:rPr>
          <w:color w:val="000000"/>
        </w:rPr>
      </w:pPr>
      <w:r w:rsidRPr="003E5C0B">
        <w:rPr>
          <w:b/>
          <w:bCs/>
          <w:color w:val="000000"/>
        </w:rPr>
        <w:t xml:space="preserve">CUARTO. </w:t>
      </w:r>
      <w:r w:rsidRPr="003E5C0B">
        <w:rPr>
          <w:b/>
        </w:rPr>
        <w:t>NOTIFÍQUESE POR SAIMEX</w:t>
      </w:r>
      <w:r w:rsidRPr="003E5C0B">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9D91A17" w14:textId="77777777" w:rsidR="00913135" w:rsidRPr="003E5C0B" w:rsidRDefault="00913135" w:rsidP="00566970">
      <w:pPr>
        <w:spacing w:after="0" w:line="360" w:lineRule="auto"/>
        <w:ind w:right="-93"/>
        <w:rPr>
          <w:color w:val="000000"/>
        </w:rPr>
      </w:pPr>
    </w:p>
    <w:p w14:paraId="05FAA9D0" w14:textId="1381E9CF" w:rsidR="00913135" w:rsidRPr="003E5C0B" w:rsidRDefault="00913135" w:rsidP="00566970">
      <w:pPr>
        <w:spacing w:after="0" w:line="360" w:lineRule="auto"/>
        <w:rPr>
          <w:color w:val="000000"/>
        </w:rPr>
      </w:pPr>
      <w:r w:rsidRPr="003E5C0B">
        <w:rPr>
          <w:b/>
          <w:bCs/>
          <w:color w:val="000000"/>
        </w:rPr>
        <w:t>QUINTO.</w:t>
      </w:r>
      <w:r w:rsidRPr="003E5C0B">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w:t>
      </w:r>
      <w:r w:rsidRPr="003E5C0B">
        <w:rPr>
          <w:b/>
          <w:bCs/>
          <w:color w:val="000000"/>
        </w:rPr>
        <w:t xml:space="preserve"> </w:t>
      </w:r>
      <w:r w:rsidRPr="003E5C0B">
        <w:rPr>
          <w:color w:val="000000"/>
        </w:rPr>
        <w:t>de la presente Resolución.</w:t>
      </w:r>
    </w:p>
    <w:p w14:paraId="4BB981D9" w14:textId="77777777" w:rsidR="00D721E3" w:rsidRPr="003E5C0B" w:rsidRDefault="00D721E3" w:rsidP="00566970">
      <w:pPr>
        <w:spacing w:after="0" w:line="360" w:lineRule="auto"/>
        <w:contextualSpacing/>
        <w:rPr>
          <w:color w:val="000000"/>
        </w:rPr>
      </w:pPr>
    </w:p>
    <w:p w14:paraId="26B733A8" w14:textId="7F689EE6" w:rsidR="00D721E3" w:rsidRDefault="00D721E3" w:rsidP="00566970">
      <w:pPr>
        <w:spacing w:after="0" w:line="360" w:lineRule="auto"/>
      </w:pPr>
      <w:r w:rsidRPr="003E5C0B">
        <w:t>ASÍ LO RESUELVE, POR </w:t>
      </w:r>
      <w:r w:rsidRPr="003E5C0B">
        <w:rPr>
          <w:b/>
        </w:rPr>
        <w:t>UNANIMIDAD</w:t>
      </w:r>
      <w:r w:rsidRPr="003E5C0B">
        <w:t xml:space="preserve"> DE VOTOS EL PLENO DEL INSTITUTO DE TRANSPARENCIA, ACCESO A LA INFORMACIÓN PÚBLICA Y PROTECCIÓN DE </w:t>
      </w:r>
      <w:r w:rsidRPr="003E5C0B">
        <w:lastRenderedPageBreak/>
        <w:t>DATOS PERSONALES DEL ESTADO DE MÉXICO Y MUNICIPIOS, CONFORMADO POR LOS COMISIONADOS JOSÉ MARTÍNEZ VILCHIS, MARÍA DEL ROSARIO MEJÍA AYALA, SHARON CRISTINA MORALES MARTÍNEZ, LUIS GUSTAVO PARRA NORIEGA</w:t>
      </w:r>
      <w:r w:rsidR="00E514B2" w:rsidRPr="003E5C0B">
        <w:t xml:space="preserve"> CON VOTO PARTICULAR</w:t>
      </w:r>
      <w:r w:rsidRPr="003E5C0B">
        <w:t xml:space="preserve"> Y GUADALUPE RAMÍREZ PEÑA</w:t>
      </w:r>
      <w:r w:rsidR="00E514B2" w:rsidRPr="003E5C0B">
        <w:t xml:space="preserve"> CON VOTO PARTICULAR</w:t>
      </w:r>
      <w:r w:rsidRPr="003E5C0B">
        <w:t xml:space="preserve">, EN LA TRIGÉSIMA </w:t>
      </w:r>
      <w:r w:rsidR="001E5B0F" w:rsidRPr="003E5C0B">
        <w:t>OCTAVA</w:t>
      </w:r>
      <w:r w:rsidRPr="003E5C0B">
        <w:t xml:space="preserve"> SESIÓN ORDINARIA, CELEBRADA EL </w:t>
      </w:r>
      <w:r w:rsidR="00E514B2" w:rsidRPr="003E5C0B">
        <w:t>SEIS DE NOVIEMBRE</w:t>
      </w:r>
      <w:r w:rsidR="001E5B0F" w:rsidRPr="003E5C0B">
        <w:t xml:space="preserve"> </w:t>
      </w:r>
      <w:r w:rsidRPr="003E5C0B">
        <w:t>DE DOS MIL VEINTICUATRO, ANTE EL SECRETARIO TÉCNICO DEL PLENO, ALEXIS TAPIA RAMÍREZ.</w:t>
      </w:r>
    </w:p>
    <w:p w14:paraId="5ED4FC1C" w14:textId="77777777" w:rsidR="00D721E3" w:rsidRPr="00F40927" w:rsidRDefault="00D721E3" w:rsidP="00566970">
      <w:pPr>
        <w:spacing w:after="0" w:line="360" w:lineRule="auto"/>
        <w:contextualSpacing/>
        <w:rPr>
          <w:rFonts w:eastAsia="Times New Roman" w:cs="Tahoma"/>
          <w:bCs/>
          <w:iCs/>
          <w:lang w:val="es-ES" w:eastAsia="es-ES"/>
        </w:rPr>
      </w:pPr>
    </w:p>
    <w:p w14:paraId="567AFD99" w14:textId="77777777" w:rsidR="0055185E" w:rsidRDefault="0055185E" w:rsidP="00566970">
      <w:pPr>
        <w:spacing w:after="0" w:line="360" w:lineRule="auto"/>
        <w:ind w:left="420"/>
        <w:rPr>
          <w:color w:val="000000"/>
        </w:rPr>
      </w:pPr>
    </w:p>
    <w:p w14:paraId="0BC72717" w14:textId="77777777" w:rsidR="0055185E" w:rsidRPr="00F40927" w:rsidRDefault="0055185E" w:rsidP="00566970">
      <w:pPr>
        <w:spacing w:after="0" w:line="360" w:lineRule="auto"/>
        <w:ind w:left="420"/>
        <w:rPr>
          <w:color w:val="000000"/>
        </w:rPr>
      </w:pPr>
    </w:p>
    <w:p w14:paraId="1A61A6E4" w14:textId="77777777" w:rsidR="00B4211B" w:rsidRDefault="00B4211B" w:rsidP="00566970">
      <w:pPr>
        <w:widowControl w:val="0"/>
        <w:autoSpaceDE w:val="0"/>
        <w:autoSpaceDN w:val="0"/>
        <w:adjustRightInd w:val="0"/>
        <w:spacing w:after="0" w:line="360" w:lineRule="auto"/>
        <w:contextualSpacing/>
        <w:rPr>
          <w:rFonts w:eastAsia="Calibri" w:cs="Times New Roman"/>
          <w:b/>
          <w:bCs/>
        </w:rPr>
      </w:pPr>
    </w:p>
    <w:p w14:paraId="6ED5558D" w14:textId="77777777" w:rsidR="004779F1" w:rsidRPr="00094059" w:rsidRDefault="004779F1" w:rsidP="00566970">
      <w:pPr>
        <w:spacing w:after="0" w:line="360" w:lineRule="auto"/>
      </w:pPr>
    </w:p>
    <w:p w14:paraId="1C6721DF" w14:textId="261DDE4C" w:rsidR="0056093D" w:rsidRDefault="0056093D" w:rsidP="00566970">
      <w:pPr>
        <w:spacing w:after="0" w:line="360" w:lineRule="auto"/>
        <w:rPr>
          <w:rFonts w:cs="Tahoma"/>
        </w:rPr>
      </w:pPr>
    </w:p>
    <w:p w14:paraId="37715B05" w14:textId="77777777" w:rsidR="00041403" w:rsidRDefault="00041403" w:rsidP="00566970">
      <w:pPr>
        <w:spacing w:after="0" w:line="360" w:lineRule="auto"/>
        <w:rPr>
          <w:rFonts w:cs="Tahoma"/>
        </w:rPr>
      </w:pPr>
    </w:p>
    <w:p w14:paraId="5A52D9E8" w14:textId="77777777" w:rsidR="00FA096A" w:rsidRDefault="00FA096A" w:rsidP="00566970">
      <w:pPr>
        <w:spacing w:after="0" w:line="360" w:lineRule="auto"/>
        <w:rPr>
          <w:rFonts w:cs="Tahoma"/>
        </w:rPr>
      </w:pPr>
    </w:p>
    <w:p w14:paraId="0F8097C7" w14:textId="77777777" w:rsidR="00041403" w:rsidRDefault="00041403" w:rsidP="00566970">
      <w:pPr>
        <w:spacing w:after="0" w:line="360" w:lineRule="auto"/>
        <w:rPr>
          <w:rFonts w:cs="Tahoma"/>
        </w:rPr>
      </w:pPr>
    </w:p>
    <w:p w14:paraId="0EC36C1F" w14:textId="77777777" w:rsidR="00041403" w:rsidRDefault="00041403" w:rsidP="00566970">
      <w:pPr>
        <w:spacing w:after="0" w:line="360" w:lineRule="auto"/>
        <w:rPr>
          <w:rFonts w:cs="Tahoma"/>
        </w:rPr>
      </w:pPr>
    </w:p>
    <w:p w14:paraId="7441F8E2" w14:textId="77777777" w:rsidR="00041403" w:rsidRDefault="00041403" w:rsidP="00566970">
      <w:pPr>
        <w:spacing w:after="0" w:line="360" w:lineRule="auto"/>
        <w:rPr>
          <w:rFonts w:cs="Tahoma"/>
        </w:rPr>
      </w:pPr>
    </w:p>
    <w:p w14:paraId="727B7127" w14:textId="77777777" w:rsidR="00041403" w:rsidRDefault="00041403" w:rsidP="00566970">
      <w:pPr>
        <w:spacing w:after="0" w:line="360" w:lineRule="auto"/>
        <w:rPr>
          <w:rFonts w:cs="Tahoma"/>
        </w:rPr>
      </w:pPr>
    </w:p>
    <w:p w14:paraId="17FAC272" w14:textId="77777777" w:rsidR="00041403" w:rsidRDefault="00041403" w:rsidP="00566970">
      <w:pPr>
        <w:spacing w:after="0" w:line="360" w:lineRule="auto"/>
        <w:rPr>
          <w:rFonts w:cs="Tahoma"/>
        </w:rPr>
      </w:pPr>
    </w:p>
    <w:p w14:paraId="163CBA70" w14:textId="77777777" w:rsidR="00041403" w:rsidRDefault="00041403" w:rsidP="00566970">
      <w:pPr>
        <w:spacing w:after="0" w:line="360" w:lineRule="auto"/>
        <w:rPr>
          <w:rFonts w:cs="Tahoma"/>
        </w:rPr>
      </w:pPr>
    </w:p>
    <w:p w14:paraId="6A16A60D" w14:textId="77777777" w:rsidR="00041403" w:rsidRDefault="00041403" w:rsidP="00566970">
      <w:pPr>
        <w:spacing w:after="0" w:line="360" w:lineRule="auto"/>
        <w:rPr>
          <w:rFonts w:cs="Tahoma"/>
        </w:rPr>
      </w:pPr>
    </w:p>
    <w:p w14:paraId="043A08C9" w14:textId="77777777" w:rsidR="00041403" w:rsidRDefault="00041403" w:rsidP="00566970">
      <w:pPr>
        <w:spacing w:after="0" w:line="360" w:lineRule="auto"/>
        <w:rPr>
          <w:rFonts w:cs="Tahoma"/>
        </w:rPr>
      </w:pPr>
    </w:p>
    <w:p w14:paraId="1A4F71FA" w14:textId="77777777" w:rsidR="00041403" w:rsidRDefault="00041403" w:rsidP="00566970">
      <w:pPr>
        <w:spacing w:after="0" w:line="360" w:lineRule="auto"/>
        <w:rPr>
          <w:rFonts w:cs="Tahoma"/>
        </w:rPr>
      </w:pPr>
    </w:p>
    <w:p w14:paraId="421211C4" w14:textId="77777777" w:rsidR="00793222" w:rsidRPr="00C6696F" w:rsidRDefault="00793222" w:rsidP="00566970">
      <w:pPr>
        <w:spacing w:after="0" w:line="360" w:lineRule="auto"/>
        <w:rPr>
          <w:rFonts w:eastAsia="Times New Roman" w:cs="Tahoma"/>
          <w:bCs/>
          <w:lang w:eastAsia="es-ES"/>
        </w:rPr>
      </w:pPr>
    </w:p>
    <w:p w14:paraId="7DF0E2CB" w14:textId="17196F1B" w:rsidR="008E6202" w:rsidRDefault="008E6202" w:rsidP="00566970">
      <w:pPr>
        <w:spacing w:after="0" w:line="360" w:lineRule="auto"/>
        <w:rPr>
          <w:rFonts w:eastAsia="Times New Roman" w:cs="Tahoma"/>
          <w:lang w:eastAsia="es-ES"/>
        </w:rPr>
      </w:pPr>
    </w:p>
    <w:p w14:paraId="71044962" w14:textId="5893AA3B" w:rsidR="00342047" w:rsidRPr="002B6F70" w:rsidRDefault="00342047" w:rsidP="00566970">
      <w:pPr>
        <w:spacing w:after="0" w:line="360" w:lineRule="auto"/>
        <w:rPr>
          <w:rFonts w:cs="Tahoma"/>
        </w:rPr>
      </w:pPr>
    </w:p>
    <w:p w14:paraId="189C9243" w14:textId="77777777" w:rsidR="00E80E9E" w:rsidRDefault="00E80E9E" w:rsidP="00566970">
      <w:pPr>
        <w:spacing w:after="0" w:line="360" w:lineRule="auto"/>
        <w:rPr>
          <w:rFonts w:cs="Tahoma"/>
        </w:rPr>
      </w:pPr>
    </w:p>
    <w:p w14:paraId="27EA4E09" w14:textId="77777777" w:rsidR="000B05AF" w:rsidRPr="000B05AF" w:rsidRDefault="000B05AF" w:rsidP="00566970">
      <w:pPr>
        <w:spacing w:after="0" w:line="360" w:lineRule="auto"/>
        <w:rPr>
          <w:rFonts w:cs="Tahoma"/>
        </w:rPr>
      </w:pPr>
    </w:p>
    <w:p w14:paraId="32D3A181" w14:textId="77777777" w:rsidR="007D6915" w:rsidRPr="00066E6D" w:rsidRDefault="007D6915" w:rsidP="00566970">
      <w:pPr>
        <w:spacing w:after="0" w:line="360" w:lineRule="auto"/>
        <w:rPr>
          <w:rFonts w:eastAsia="Times New Roman" w:cs="Tahoma"/>
          <w:lang w:eastAsia="es-ES"/>
        </w:rPr>
      </w:pPr>
    </w:p>
    <w:p w14:paraId="4CCB70C4" w14:textId="77777777" w:rsidR="00DF5026" w:rsidRPr="00A00F9F" w:rsidRDefault="00DF5026" w:rsidP="00566970">
      <w:pPr>
        <w:spacing w:after="0" w:line="360" w:lineRule="auto"/>
        <w:rPr>
          <w:rFonts w:eastAsia="Times New Roman" w:cs="Tahoma"/>
          <w:b/>
          <w:lang w:eastAsia="es-ES"/>
        </w:rPr>
      </w:pPr>
    </w:p>
    <w:p w14:paraId="6780F74D" w14:textId="77777777" w:rsidR="00EC0824" w:rsidRDefault="00EC0824" w:rsidP="00566970">
      <w:pPr>
        <w:spacing w:after="0" w:line="360" w:lineRule="auto"/>
        <w:rPr>
          <w:rFonts w:eastAsia="Times New Roman" w:cs="Times New Roman"/>
          <w:lang w:eastAsia="es-ES"/>
        </w:rPr>
      </w:pPr>
    </w:p>
    <w:p w14:paraId="6A1CEFD6" w14:textId="77777777" w:rsidR="000B05AF" w:rsidRDefault="000B05AF" w:rsidP="00566970">
      <w:pPr>
        <w:spacing w:after="0" w:line="360" w:lineRule="auto"/>
      </w:pPr>
    </w:p>
    <w:p w14:paraId="599C3750" w14:textId="77777777" w:rsidR="00EC0824" w:rsidRDefault="00EC0824" w:rsidP="00566970">
      <w:pPr>
        <w:spacing w:after="0" w:line="360" w:lineRule="auto"/>
      </w:pPr>
    </w:p>
    <w:p w14:paraId="5902D8F2" w14:textId="77777777" w:rsidR="00EC0824" w:rsidRDefault="00EC0824" w:rsidP="00566970">
      <w:pPr>
        <w:spacing w:after="0" w:line="360" w:lineRule="auto"/>
      </w:pPr>
    </w:p>
    <w:p w14:paraId="5D49906F" w14:textId="77777777" w:rsidR="00EC0824" w:rsidRDefault="00EC0824" w:rsidP="00566970">
      <w:pPr>
        <w:spacing w:after="0" w:line="360" w:lineRule="auto"/>
      </w:pPr>
    </w:p>
    <w:p w14:paraId="6A36C7F7" w14:textId="77777777" w:rsidR="00EC0824" w:rsidRDefault="00EC0824" w:rsidP="00566970">
      <w:pPr>
        <w:spacing w:after="0" w:line="360" w:lineRule="auto"/>
      </w:pPr>
    </w:p>
    <w:sectPr w:rsidR="00EC0824" w:rsidSect="00990815">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850" w:footer="73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07D2E" w14:textId="77777777" w:rsidR="005670E3" w:rsidRDefault="005670E3">
      <w:pPr>
        <w:spacing w:after="0" w:line="240" w:lineRule="auto"/>
      </w:pPr>
      <w:r>
        <w:separator/>
      </w:r>
    </w:p>
  </w:endnote>
  <w:endnote w:type="continuationSeparator" w:id="0">
    <w:p w14:paraId="2FF7D021" w14:textId="77777777" w:rsidR="005670E3" w:rsidRDefault="005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CE02"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4A34F2AD"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4E28"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F0BED">
      <w:rPr>
        <w:b/>
        <w:noProof/>
        <w:color w:val="000000"/>
        <w:sz w:val="24"/>
        <w:szCs w:val="24"/>
      </w:rPr>
      <w:t>49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F0BED">
      <w:rPr>
        <w:b/>
        <w:noProof/>
        <w:color w:val="000000"/>
        <w:sz w:val="24"/>
        <w:szCs w:val="24"/>
      </w:rPr>
      <w:t>51</w:t>
    </w:r>
    <w:r>
      <w:rPr>
        <w:b/>
        <w:color w:val="000000"/>
        <w:sz w:val="24"/>
        <w:szCs w:val="24"/>
      </w:rPr>
      <w:fldChar w:fldCharType="end"/>
    </w:r>
  </w:p>
  <w:p w14:paraId="72B117BD"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C296"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F0BE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F0BED">
      <w:rPr>
        <w:b/>
        <w:noProof/>
        <w:color w:val="000000"/>
        <w:sz w:val="24"/>
        <w:szCs w:val="24"/>
      </w:rPr>
      <w:t>51</w:t>
    </w:r>
    <w:r>
      <w:rPr>
        <w:b/>
        <w:color w:val="000000"/>
        <w:sz w:val="24"/>
        <w:szCs w:val="24"/>
      </w:rPr>
      <w:fldChar w:fldCharType="end"/>
    </w:r>
  </w:p>
  <w:p w14:paraId="353DAE0A"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FAA05" w14:textId="77777777" w:rsidR="005670E3" w:rsidRDefault="005670E3">
      <w:pPr>
        <w:spacing w:after="0" w:line="240" w:lineRule="auto"/>
      </w:pPr>
      <w:r>
        <w:separator/>
      </w:r>
    </w:p>
  </w:footnote>
  <w:footnote w:type="continuationSeparator" w:id="0">
    <w:p w14:paraId="28BE4ABF" w14:textId="77777777" w:rsidR="005670E3" w:rsidRDefault="00567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BB60" w14:textId="77777777" w:rsidR="00807A19" w:rsidRDefault="00807A19">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07A19" w14:paraId="1270BCE3" w14:textId="77777777">
      <w:trPr>
        <w:trHeight w:val="132"/>
      </w:trPr>
      <w:tc>
        <w:tcPr>
          <w:tcW w:w="2691" w:type="dxa"/>
        </w:tcPr>
        <w:p w14:paraId="698E2B7D" w14:textId="77777777" w:rsidR="00807A19" w:rsidRDefault="00807A19">
          <w:pPr>
            <w:tabs>
              <w:tab w:val="right" w:pos="8838"/>
            </w:tabs>
            <w:ind w:right="-105"/>
            <w:rPr>
              <w:b/>
            </w:rPr>
          </w:pPr>
          <w:r>
            <w:rPr>
              <w:b/>
            </w:rPr>
            <w:t>Recurso de Revisión:</w:t>
          </w:r>
        </w:p>
      </w:tc>
      <w:tc>
        <w:tcPr>
          <w:tcW w:w="3405" w:type="dxa"/>
        </w:tcPr>
        <w:p w14:paraId="0E273D8B" w14:textId="77777777" w:rsidR="00807A19" w:rsidRDefault="00807A19">
          <w:pPr>
            <w:tabs>
              <w:tab w:val="right" w:pos="8838"/>
            </w:tabs>
            <w:ind w:left="-28" w:right="-32"/>
          </w:pPr>
          <w:r>
            <w:t>03846/INFOEM/IP/RR/2020</w:t>
          </w:r>
        </w:p>
      </w:tc>
    </w:tr>
    <w:tr w:rsidR="00807A19" w14:paraId="524408B4" w14:textId="77777777">
      <w:trPr>
        <w:trHeight w:val="261"/>
      </w:trPr>
      <w:tc>
        <w:tcPr>
          <w:tcW w:w="2691" w:type="dxa"/>
        </w:tcPr>
        <w:p w14:paraId="0A0B1D92" w14:textId="77777777" w:rsidR="00807A19" w:rsidRDefault="00807A19">
          <w:pPr>
            <w:tabs>
              <w:tab w:val="right" w:pos="8838"/>
            </w:tabs>
            <w:ind w:right="-105"/>
            <w:rPr>
              <w:b/>
            </w:rPr>
          </w:pPr>
          <w:r>
            <w:rPr>
              <w:b/>
            </w:rPr>
            <w:t>Sujeto Obligado:</w:t>
          </w:r>
        </w:p>
      </w:tc>
      <w:tc>
        <w:tcPr>
          <w:tcW w:w="3405" w:type="dxa"/>
        </w:tcPr>
        <w:p w14:paraId="677A19FE" w14:textId="77777777" w:rsidR="00807A19" w:rsidRDefault="00807A19">
          <w:pPr>
            <w:tabs>
              <w:tab w:val="right" w:pos="8838"/>
            </w:tabs>
            <w:ind w:right="-32"/>
          </w:pPr>
          <w:r>
            <w:t>Ayuntamiento de Temascalcingo</w:t>
          </w:r>
        </w:p>
      </w:tc>
    </w:tr>
    <w:tr w:rsidR="00807A19" w14:paraId="57DEF91F" w14:textId="77777777">
      <w:trPr>
        <w:trHeight w:val="261"/>
      </w:trPr>
      <w:tc>
        <w:tcPr>
          <w:tcW w:w="2691" w:type="dxa"/>
        </w:tcPr>
        <w:p w14:paraId="170EBCA8" w14:textId="77777777" w:rsidR="00807A19" w:rsidRDefault="00807A19">
          <w:pPr>
            <w:tabs>
              <w:tab w:val="right" w:pos="8838"/>
            </w:tabs>
            <w:ind w:right="-105"/>
            <w:rPr>
              <w:b/>
            </w:rPr>
          </w:pPr>
          <w:r>
            <w:rPr>
              <w:b/>
            </w:rPr>
            <w:t>Comisionado Ponente:</w:t>
          </w:r>
        </w:p>
      </w:tc>
      <w:tc>
        <w:tcPr>
          <w:tcW w:w="3405" w:type="dxa"/>
        </w:tcPr>
        <w:p w14:paraId="2B6835A6" w14:textId="77777777" w:rsidR="00807A19" w:rsidRDefault="00807A19">
          <w:pPr>
            <w:tabs>
              <w:tab w:val="right" w:pos="8838"/>
            </w:tabs>
            <w:ind w:right="-32"/>
            <w:rPr>
              <w:b/>
            </w:rPr>
          </w:pPr>
          <w:r>
            <w:t>Luis Gustavo Parra Noriega</w:t>
          </w:r>
        </w:p>
      </w:tc>
    </w:tr>
  </w:tbl>
  <w:p w14:paraId="2007EF9B" w14:textId="77777777" w:rsidR="00807A19" w:rsidRDefault="005670E3">
    <w:pPr>
      <w:pBdr>
        <w:top w:val="nil"/>
        <w:left w:val="nil"/>
        <w:bottom w:val="nil"/>
        <w:right w:val="nil"/>
        <w:between w:val="nil"/>
      </w:pBdr>
      <w:tabs>
        <w:tab w:val="center" w:pos="4419"/>
        <w:tab w:val="right" w:pos="8838"/>
      </w:tabs>
      <w:spacing w:after="0" w:line="240" w:lineRule="auto"/>
      <w:rPr>
        <w:color w:val="000000"/>
      </w:rPr>
    </w:pPr>
    <w:r>
      <w:rPr>
        <w:color w:val="000000"/>
      </w:rPr>
      <w:pict w14:anchorId="2828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95DA" w14:textId="77777777" w:rsidR="00807A19" w:rsidRDefault="005670E3">
    <w:pPr>
      <w:widowControl w:val="0"/>
      <w:pBdr>
        <w:top w:val="nil"/>
        <w:left w:val="nil"/>
        <w:bottom w:val="nil"/>
        <w:right w:val="nil"/>
        <w:between w:val="nil"/>
      </w:pBdr>
      <w:spacing w:after="0" w:line="276" w:lineRule="auto"/>
      <w:jc w:val="left"/>
    </w:pPr>
    <w:r>
      <w:rPr>
        <w:color w:val="000000"/>
      </w:rPr>
      <w:pict w14:anchorId="3A235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5.35pt;margin-top:-137.4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tbl>
    <w:tblPr>
      <w:tblStyle w:val="a3"/>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409"/>
      <w:gridCol w:w="4395"/>
    </w:tblGrid>
    <w:tr w:rsidR="009666A2" w14:paraId="14E26965" w14:textId="77777777" w:rsidTr="00BF6D3F">
      <w:trPr>
        <w:trHeight w:val="138"/>
      </w:trPr>
      <w:tc>
        <w:tcPr>
          <w:tcW w:w="2409" w:type="dxa"/>
          <w:vAlign w:val="center"/>
        </w:tcPr>
        <w:p w14:paraId="50948404" w14:textId="77777777" w:rsidR="00807A19" w:rsidRDefault="00807A19">
          <w:pPr>
            <w:tabs>
              <w:tab w:val="right" w:pos="8838"/>
            </w:tabs>
            <w:ind w:left="-108" w:right="-105"/>
            <w:jc w:val="left"/>
            <w:rPr>
              <w:b/>
            </w:rPr>
          </w:pPr>
        </w:p>
        <w:p w14:paraId="6C9973A7" w14:textId="77777777" w:rsidR="00807A19" w:rsidRDefault="00807A19">
          <w:pPr>
            <w:tabs>
              <w:tab w:val="right" w:pos="8838"/>
            </w:tabs>
            <w:ind w:left="-108" w:right="-105"/>
            <w:jc w:val="left"/>
            <w:rPr>
              <w:b/>
            </w:rPr>
          </w:pPr>
          <w:r>
            <w:rPr>
              <w:b/>
            </w:rPr>
            <w:t>Recurso de Revisión:</w:t>
          </w:r>
        </w:p>
      </w:tc>
      <w:tc>
        <w:tcPr>
          <w:tcW w:w="4395" w:type="dxa"/>
        </w:tcPr>
        <w:p w14:paraId="55F6C494" w14:textId="77777777" w:rsidR="00807A19" w:rsidRDefault="00807A19">
          <w:pPr>
            <w:tabs>
              <w:tab w:val="right" w:pos="8838"/>
            </w:tabs>
            <w:ind w:right="57"/>
          </w:pPr>
        </w:p>
        <w:p w14:paraId="76E045CB" w14:textId="54236B1B" w:rsidR="00807A19" w:rsidRDefault="00565DFF">
          <w:pPr>
            <w:tabs>
              <w:tab w:val="right" w:pos="8838"/>
            </w:tabs>
            <w:ind w:right="57"/>
          </w:pPr>
          <w:r w:rsidRPr="00565DFF">
            <w:t>0</w:t>
          </w:r>
          <w:r w:rsidR="00BF6D3F">
            <w:t>5736</w:t>
          </w:r>
          <w:r w:rsidRPr="00565DFF">
            <w:t>/INFOEM/IP/RR/2024 y acumulado</w:t>
          </w:r>
        </w:p>
      </w:tc>
    </w:tr>
    <w:tr w:rsidR="009666A2" w14:paraId="103F9335" w14:textId="77777777" w:rsidTr="00BF6D3F">
      <w:trPr>
        <w:trHeight w:val="273"/>
      </w:trPr>
      <w:tc>
        <w:tcPr>
          <w:tcW w:w="2409" w:type="dxa"/>
        </w:tcPr>
        <w:p w14:paraId="4CF209DA" w14:textId="77777777" w:rsidR="00807A19" w:rsidRDefault="00807A19">
          <w:pPr>
            <w:tabs>
              <w:tab w:val="right" w:pos="8838"/>
            </w:tabs>
            <w:ind w:left="-108" w:right="-105"/>
            <w:rPr>
              <w:b/>
            </w:rPr>
          </w:pPr>
          <w:r>
            <w:rPr>
              <w:b/>
            </w:rPr>
            <w:t>Sujeto Obligado:</w:t>
          </w:r>
        </w:p>
      </w:tc>
      <w:tc>
        <w:tcPr>
          <w:tcW w:w="4395" w:type="dxa"/>
        </w:tcPr>
        <w:p w14:paraId="7C70D8F1" w14:textId="29F37790" w:rsidR="00807A19" w:rsidRDefault="00BF6D3F">
          <w:pPr>
            <w:tabs>
              <w:tab w:val="right" w:pos="8838"/>
            </w:tabs>
            <w:ind w:right="33"/>
          </w:pPr>
          <w:r>
            <w:t>Ayuntamiento de Huehuetoca</w:t>
          </w:r>
        </w:p>
      </w:tc>
    </w:tr>
    <w:tr w:rsidR="009666A2" w14:paraId="4C0DEDEC" w14:textId="77777777" w:rsidTr="00BF6D3F">
      <w:trPr>
        <w:trHeight w:val="273"/>
      </w:trPr>
      <w:tc>
        <w:tcPr>
          <w:tcW w:w="2409" w:type="dxa"/>
        </w:tcPr>
        <w:p w14:paraId="71FF2341" w14:textId="77777777" w:rsidR="00807A19" w:rsidRDefault="00807A19">
          <w:pPr>
            <w:tabs>
              <w:tab w:val="right" w:pos="8838"/>
            </w:tabs>
            <w:ind w:left="-108" w:right="-105"/>
            <w:rPr>
              <w:b/>
            </w:rPr>
          </w:pPr>
          <w:r>
            <w:rPr>
              <w:b/>
            </w:rPr>
            <w:t>Comisionado Ponente:</w:t>
          </w:r>
        </w:p>
      </w:tc>
      <w:tc>
        <w:tcPr>
          <w:tcW w:w="4395" w:type="dxa"/>
        </w:tcPr>
        <w:p w14:paraId="63F86DFF" w14:textId="77777777" w:rsidR="00807A19" w:rsidRDefault="00807A19">
          <w:pPr>
            <w:tabs>
              <w:tab w:val="right" w:pos="8838"/>
            </w:tabs>
            <w:ind w:right="-170"/>
          </w:pPr>
          <w:r>
            <w:t>Luis Gustavo Parra Noriega</w:t>
          </w:r>
        </w:p>
        <w:p w14:paraId="4CA0B35E" w14:textId="77777777" w:rsidR="00807A19" w:rsidRDefault="00807A19">
          <w:pPr>
            <w:tabs>
              <w:tab w:val="right" w:pos="8838"/>
            </w:tabs>
            <w:ind w:right="-170"/>
            <w:rPr>
              <w:b/>
            </w:rPr>
          </w:pPr>
        </w:p>
      </w:tc>
    </w:tr>
  </w:tbl>
  <w:p w14:paraId="4D6D493B"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2D7D" w14:textId="3650B226" w:rsidR="00807A19" w:rsidRDefault="005670E3">
    <w:pPr>
      <w:widowControl w:val="0"/>
      <w:pBdr>
        <w:top w:val="nil"/>
        <w:left w:val="nil"/>
        <w:bottom w:val="nil"/>
        <w:right w:val="nil"/>
        <w:between w:val="nil"/>
      </w:pBdr>
      <w:spacing w:after="0" w:line="276" w:lineRule="auto"/>
      <w:jc w:val="left"/>
      <w:rPr>
        <w:color w:val="000000"/>
      </w:rPr>
    </w:pPr>
    <w:r>
      <w:rPr>
        <w:color w:val="000000"/>
      </w:rPr>
      <w:pict w14:anchorId="79B5C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89.1pt;margin-top:-125pt;width:653pt;height:850.4pt;z-index:-251658752;mso-wrap-edited:f;mso-position-horizontal-relative:margin;mso-position-vertical-relative:margin">
          <v:imagedata r:id="rId1" o:title="image1"/>
          <w10:wrap anchorx="margin" anchory="margin"/>
        </v:shape>
      </w:pict>
    </w:r>
  </w:p>
  <w:tbl>
    <w:tblPr>
      <w:tblStyle w:val="a5"/>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9666A2" w14:paraId="6460B935" w14:textId="77777777" w:rsidTr="00BF6D3F">
      <w:trPr>
        <w:trHeight w:val="132"/>
      </w:trPr>
      <w:tc>
        <w:tcPr>
          <w:tcW w:w="2551" w:type="dxa"/>
        </w:tcPr>
        <w:p w14:paraId="4823BE38" w14:textId="77777777" w:rsidR="00807A19" w:rsidRDefault="00807A19">
          <w:pPr>
            <w:tabs>
              <w:tab w:val="right" w:pos="8838"/>
            </w:tabs>
            <w:ind w:right="-105"/>
            <w:rPr>
              <w:b/>
            </w:rPr>
          </w:pPr>
          <w:r>
            <w:rPr>
              <w:b/>
            </w:rPr>
            <w:t>Recurso de Revisión:</w:t>
          </w:r>
        </w:p>
      </w:tc>
      <w:tc>
        <w:tcPr>
          <w:tcW w:w="4253" w:type="dxa"/>
        </w:tcPr>
        <w:p w14:paraId="1E4551D2" w14:textId="362ED9C7" w:rsidR="00807A19" w:rsidRDefault="00565DFF">
          <w:pPr>
            <w:tabs>
              <w:tab w:val="right" w:pos="8838"/>
            </w:tabs>
            <w:ind w:left="-111" w:right="-32"/>
          </w:pPr>
          <w:r w:rsidRPr="00565DFF">
            <w:t>0</w:t>
          </w:r>
          <w:r w:rsidR="00BF6D3F">
            <w:t>5736</w:t>
          </w:r>
          <w:r w:rsidRPr="00565DFF">
            <w:t>/INFOEM/IP/RR/2024 y acumulado</w:t>
          </w:r>
        </w:p>
      </w:tc>
    </w:tr>
    <w:tr w:rsidR="009666A2" w14:paraId="7108FF60" w14:textId="77777777" w:rsidTr="00BF6D3F">
      <w:trPr>
        <w:trHeight w:val="132"/>
      </w:trPr>
      <w:tc>
        <w:tcPr>
          <w:tcW w:w="2551" w:type="dxa"/>
          <w:shd w:val="clear" w:color="auto" w:fill="auto"/>
        </w:tcPr>
        <w:p w14:paraId="6DAE10E0" w14:textId="77777777" w:rsidR="00807A19" w:rsidRDefault="00807A19">
          <w:pPr>
            <w:tabs>
              <w:tab w:val="left" w:pos="1875"/>
            </w:tabs>
            <w:ind w:right="-105"/>
            <w:rPr>
              <w:b/>
            </w:rPr>
          </w:pPr>
          <w:r>
            <w:rPr>
              <w:b/>
            </w:rPr>
            <w:t>Recurrente:</w:t>
          </w:r>
          <w:r>
            <w:rPr>
              <w:b/>
            </w:rPr>
            <w:tab/>
          </w:r>
        </w:p>
      </w:tc>
      <w:tc>
        <w:tcPr>
          <w:tcW w:w="4253" w:type="dxa"/>
          <w:shd w:val="clear" w:color="auto" w:fill="auto"/>
        </w:tcPr>
        <w:p w14:paraId="49CA4D6C" w14:textId="5DDB38F6" w:rsidR="00807A19" w:rsidRDefault="005124DB">
          <w:pPr>
            <w:tabs>
              <w:tab w:val="right" w:pos="8838"/>
            </w:tabs>
            <w:ind w:left="-113"/>
          </w:pPr>
          <w:r w:rsidRPr="005124DB">
            <w:rPr>
              <w:highlight w:val="black"/>
            </w:rPr>
            <w:t>XXXXXXXXXXXXXXXXXXX</w:t>
          </w:r>
        </w:p>
      </w:tc>
    </w:tr>
    <w:tr w:rsidR="009666A2" w14:paraId="37EC966A" w14:textId="77777777" w:rsidTr="00BF6D3F">
      <w:trPr>
        <w:trHeight w:val="261"/>
      </w:trPr>
      <w:tc>
        <w:tcPr>
          <w:tcW w:w="2551" w:type="dxa"/>
        </w:tcPr>
        <w:p w14:paraId="0139E93C" w14:textId="77777777" w:rsidR="00807A19" w:rsidRDefault="00807A19">
          <w:pPr>
            <w:tabs>
              <w:tab w:val="right" w:pos="8838"/>
            </w:tabs>
            <w:ind w:right="-105"/>
            <w:rPr>
              <w:b/>
            </w:rPr>
          </w:pPr>
          <w:r>
            <w:rPr>
              <w:b/>
            </w:rPr>
            <w:t>Sujeto Obligado:</w:t>
          </w:r>
        </w:p>
      </w:tc>
      <w:tc>
        <w:tcPr>
          <w:tcW w:w="4253" w:type="dxa"/>
        </w:tcPr>
        <w:p w14:paraId="25B550E1" w14:textId="2A8433A5" w:rsidR="00807A19" w:rsidRDefault="00BF6D3F">
          <w:pPr>
            <w:tabs>
              <w:tab w:val="right" w:pos="8838"/>
            </w:tabs>
            <w:ind w:left="-111" w:right="-32"/>
          </w:pPr>
          <w:r>
            <w:t>Ayuntamiento de Huehuetoca</w:t>
          </w:r>
        </w:p>
      </w:tc>
    </w:tr>
    <w:tr w:rsidR="009666A2" w14:paraId="1CD3436F" w14:textId="77777777" w:rsidTr="00BF6D3F">
      <w:trPr>
        <w:trHeight w:val="261"/>
      </w:trPr>
      <w:tc>
        <w:tcPr>
          <w:tcW w:w="2551" w:type="dxa"/>
        </w:tcPr>
        <w:p w14:paraId="0A533B36" w14:textId="77777777" w:rsidR="00807A19" w:rsidRDefault="00807A19">
          <w:pPr>
            <w:tabs>
              <w:tab w:val="right" w:pos="8838"/>
            </w:tabs>
            <w:ind w:right="-105"/>
            <w:rPr>
              <w:b/>
            </w:rPr>
          </w:pPr>
          <w:r>
            <w:rPr>
              <w:b/>
            </w:rPr>
            <w:t>Comisionado Ponente:</w:t>
          </w:r>
        </w:p>
      </w:tc>
      <w:tc>
        <w:tcPr>
          <w:tcW w:w="4253" w:type="dxa"/>
        </w:tcPr>
        <w:p w14:paraId="3613488E" w14:textId="77777777" w:rsidR="00807A19" w:rsidRDefault="00807A19">
          <w:pPr>
            <w:tabs>
              <w:tab w:val="right" w:pos="8838"/>
            </w:tabs>
            <w:ind w:left="-111" w:right="-32"/>
            <w:rPr>
              <w:b/>
            </w:rPr>
          </w:pPr>
          <w:r>
            <w:t>Luis Gustavo Parra Noriega</w:t>
          </w:r>
        </w:p>
      </w:tc>
    </w:tr>
  </w:tbl>
  <w:p w14:paraId="6FCEB69D" w14:textId="55FF1836" w:rsidR="00807A19" w:rsidRDefault="00807A19">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8ED"/>
    <w:multiLevelType w:val="hybridMultilevel"/>
    <w:tmpl w:val="F0105FF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31146"/>
    <w:multiLevelType w:val="hybridMultilevel"/>
    <w:tmpl w:val="DA6CE4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464966"/>
    <w:multiLevelType w:val="hybridMultilevel"/>
    <w:tmpl w:val="29ECA4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55045E1"/>
    <w:multiLevelType w:val="multilevel"/>
    <w:tmpl w:val="0DFE2D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64934"/>
    <w:multiLevelType w:val="hybridMultilevel"/>
    <w:tmpl w:val="2490F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0B1CCF"/>
    <w:multiLevelType w:val="hybridMultilevel"/>
    <w:tmpl w:val="B4966C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9F011C"/>
    <w:multiLevelType w:val="hybridMultilevel"/>
    <w:tmpl w:val="9A820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3D7909"/>
    <w:multiLevelType w:val="multilevel"/>
    <w:tmpl w:val="52D4FBE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D51750"/>
    <w:multiLevelType w:val="multilevel"/>
    <w:tmpl w:val="405685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AC5A28"/>
    <w:multiLevelType w:val="hybridMultilevel"/>
    <w:tmpl w:val="92FA0B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30B1C1E"/>
    <w:multiLevelType w:val="multilevel"/>
    <w:tmpl w:val="D6C28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361FF2"/>
    <w:multiLevelType w:val="multilevel"/>
    <w:tmpl w:val="7BF8492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6D36BF"/>
    <w:multiLevelType w:val="hybridMultilevel"/>
    <w:tmpl w:val="10EA1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668C42E5"/>
    <w:multiLevelType w:val="hybridMultilevel"/>
    <w:tmpl w:val="2F66A89E"/>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7A0848"/>
    <w:multiLevelType w:val="multilevel"/>
    <w:tmpl w:val="C744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821B35"/>
    <w:multiLevelType w:val="hybridMultilevel"/>
    <w:tmpl w:val="D474E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00310E"/>
    <w:multiLevelType w:val="multilevel"/>
    <w:tmpl w:val="41082B8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654553A"/>
    <w:multiLevelType w:val="hybridMultilevel"/>
    <w:tmpl w:val="BDB67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D9250A"/>
    <w:multiLevelType w:val="hybridMultilevel"/>
    <w:tmpl w:val="9BAE02CC"/>
    <w:lvl w:ilvl="0" w:tplc="04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8361068"/>
    <w:multiLevelType w:val="multilevel"/>
    <w:tmpl w:val="3E8E37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C505DB5"/>
    <w:multiLevelType w:val="multilevel"/>
    <w:tmpl w:val="86722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20"/>
  </w:num>
  <w:num w:numId="11">
    <w:abstractNumId w:val="25"/>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
  </w:num>
  <w:num w:numId="27">
    <w:abstractNumId w:val="21"/>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
  </w:num>
  <w:num w:numId="33">
    <w:abstractNumId w:val="6"/>
  </w:num>
  <w:num w:numId="34">
    <w:abstractNumId w:val="9"/>
  </w:num>
  <w:num w:numId="3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24"/>
    <w:rsid w:val="00020066"/>
    <w:rsid w:val="000222E9"/>
    <w:rsid w:val="00026CE1"/>
    <w:rsid w:val="00031276"/>
    <w:rsid w:val="00041403"/>
    <w:rsid w:val="000645CE"/>
    <w:rsid w:val="00065991"/>
    <w:rsid w:val="00066E6D"/>
    <w:rsid w:val="00085494"/>
    <w:rsid w:val="00085FE0"/>
    <w:rsid w:val="000861FE"/>
    <w:rsid w:val="00090905"/>
    <w:rsid w:val="00092957"/>
    <w:rsid w:val="00094059"/>
    <w:rsid w:val="000B05AF"/>
    <w:rsid w:val="000B36EC"/>
    <w:rsid w:val="000B39FD"/>
    <w:rsid w:val="000B5240"/>
    <w:rsid w:val="000C1D48"/>
    <w:rsid w:val="000C4011"/>
    <w:rsid w:val="000D00FB"/>
    <w:rsid w:val="000D2D04"/>
    <w:rsid w:val="000D5409"/>
    <w:rsid w:val="000E64BD"/>
    <w:rsid w:val="000F41AF"/>
    <w:rsid w:val="00100069"/>
    <w:rsid w:val="0010168D"/>
    <w:rsid w:val="00107F70"/>
    <w:rsid w:val="001101B3"/>
    <w:rsid w:val="00113693"/>
    <w:rsid w:val="001140DD"/>
    <w:rsid w:val="00114536"/>
    <w:rsid w:val="001238DE"/>
    <w:rsid w:val="001240F2"/>
    <w:rsid w:val="00125310"/>
    <w:rsid w:val="001377A9"/>
    <w:rsid w:val="00145C87"/>
    <w:rsid w:val="00151F11"/>
    <w:rsid w:val="0017404C"/>
    <w:rsid w:val="001845AC"/>
    <w:rsid w:val="00186AC9"/>
    <w:rsid w:val="001904F2"/>
    <w:rsid w:val="001945EA"/>
    <w:rsid w:val="001A10D9"/>
    <w:rsid w:val="001B745E"/>
    <w:rsid w:val="001E09F7"/>
    <w:rsid w:val="001E5B0F"/>
    <w:rsid w:val="001E787A"/>
    <w:rsid w:val="002002A6"/>
    <w:rsid w:val="00202827"/>
    <w:rsid w:val="00206773"/>
    <w:rsid w:val="00217311"/>
    <w:rsid w:val="00223A62"/>
    <w:rsid w:val="00223CC0"/>
    <w:rsid w:val="0023305D"/>
    <w:rsid w:val="002330FD"/>
    <w:rsid w:val="002416A7"/>
    <w:rsid w:val="0024307C"/>
    <w:rsid w:val="002547C2"/>
    <w:rsid w:val="00254C08"/>
    <w:rsid w:val="002604CB"/>
    <w:rsid w:val="0026539A"/>
    <w:rsid w:val="0027286B"/>
    <w:rsid w:val="0028336F"/>
    <w:rsid w:val="0029314B"/>
    <w:rsid w:val="00293390"/>
    <w:rsid w:val="00297C44"/>
    <w:rsid w:val="002A753B"/>
    <w:rsid w:val="002B3C9E"/>
    <w:rsid w:val="002B6296"/>
    <w:rsid w:val="002B6F70"/>
    <w:rsid w:val="002C4B48"/>
    <w:rsid w:val="002C7A05"/>
    <w:rsid w:val="002D089F"/>
    <w:rsid w:val="002D25A5"/>
    <w:rsid w:val="002D2EEB"/>
    <w:rsid w:val="002E1E8E"/>
    <w:rsid w:val="002E6C40"/>
    <w:rsid w:val="002E7A5E"/>
    <w:rsid w:val="002F4A8E"/>
    <w:rsid w:val="003008CD"/>
    <w:rsid w:val="003062AB"/>
    <w:rsid w:val="00342047"/>
    <w:rsid w:val="003545D4"/>
    <w:rsid w:val="00361380"/>
    <w:rsid w:val="003614D8"/>
    <w:rsid w:val="003635C1"/>
    <w:rsid w:val="00363E99"/>
    <w:rsid w:val="003645E5"/>
    <w:rsid w:val="00364A61"/>
    <w:rsid w:val="00364F7C"/>
    <w:rsid w:val="00383AD7"/>
    <w:rsid w:val="00384DEB"/>
    <w:rsid w:val="003877DC"/>
    <w:rsid w:val="0039302A"/>
    <w:rsid w:val="00395A37"/>
    <w:rsid w:val="003A288A"/>
    <w:rsid w:val="003A3270"/>
    <w:rsid w:val="003A4B5C"/>
    <w:rsid w:val="003A5E7D"/>
    <w:rsid w:val="003B2C1F"/>
    <w:rsid w:val="003B61E8"/>
    <w:rsid w:val="003B6A3E"/>
    <w:rsid w:val="003C0079"/>
    <w:rsid w:val="003C16DB"/>
    <w:rsid w:val="003C7E46"/>
    <w:rsid w:val="003D540B"/>
    <w:rsid w:val="003D6244"/>
    <w:rsid w:val="003D7889"/>
    <w:rsid w:val="003E5C0B"/>
    <w:rsid w:val="003F0B0F"/>
    <w:rsid w:val="003F2A4E"/>
    <w:rsid w:val="003F51DF"/>
    <w:rsid w:val="00402F01"/>
    <w:rsid w:val="00410013"/>
    <w:rsid w:val="00414CEE"/>
    <w:rsid w:val="0041769C"/>
    <w:rsid w:val="00422600"/>
    <w:rsid w:val="00423201"/>
    <w:rsid w:val="00427C44"/>
    <w:rsid w:val="0043329F"/>
    <w:rsid w:val="00446390"/>
    <w:rsid w:val="00446C0E"/>
    <w:rsid w:val="00450129"/>
    <w:rsid w:val="00464B42"/>
    <w:rsid w:val="004779F1"/>
    <w:rsid w:val="004850C4"/>
    <w:rsid w:val="0049174C"/>
    <w:rsid w:val="0049321A"/>
    <w:rsid w:val="004961DF"/>
    <w:rsid w:val="004A037A"/>
    <w:rsid w:val="004C1172"/>
    <w:rsid w:val="004C664E"/>
    <w:rsid w:val="004F3C13"/>
    <w:rsid w:val="004F5A69"/>
    <w:rsid w:val="005073AB"/>
    <w:rsid w:val="00507E95"/>
    <w:rsid w:val="005124DB"/>
    <w:rsid w:val="00512DD4"/>
    <w:rsid w:val="0051514D"/>
    <w:rsid w:val="0052229D"/>
    <w:rsid w:val="00526364"/>
    <w:rsid w:val="005340D2"/>
    <w:rsid w:val="00540E1C"/>
    <w:rsid w:val="005442E3"/>
    <w:rsid w:val="0055185E"/>
    <w:rsid w:val="005565C4"/>
    <w:rsid w:val="0056093D"/>
    <w:rsid w:val="00565DFF"/>
    <w:rsid w:val="00566970"/>
    <w:rsid w:val="005670E3"/>
    <w:rsid w:val="00582F43"/>
    <w:rsid w:val="0058370C"/>
    <w:rsid w:val="005858D7"/>
    <w:rsid w:val="00593187"/>
    <w:rsid w:val="005964A8"/>
    <w:rsid w:val="005A16ED"/>
    <w:rsid w:val="005B036C"/>
    <w:rsid w:val="005C1927"/>
    <w:rsid w:val="005C6E97"/>
    <w:rsid w:val="005E23BE"/>
    <w:rsid w:val="005E3F52"/>
    <w:rsid w:val="005F12CE"/>
    <w:rsid w:val="005F6933"/>
    <w:rsid w:val="0060445E"/>
    <w:rsid w:val="00605132"/>
    <w:rsid w:val="00614447"/>
    <w:rsid w:val="00614FF4"/>
    <w:rsid w:val="0062305F"/>
    <w:rsid w:val="00632C2F"/>
    <w:rsid w:val="00632E1C"/>
    <w:rsid w:val="00632F9D"/>
    <w:rsid w:val="00642789"/>
    <w:rsid w:val="00656492"/>
    <w:rsid w:val="00657CAC"/>
    <w:rsid w:val="006640E8"/>
    <w:rsid w:val="006643C7"/>
    <w:rsid w:val="006701ED"/>
    <w:rsid w:val="00675025"/>
    <w:rsid w:val="00675B1B"/>
    <w:rsid w:val="006932C5"/>
    <w:rsid w:val="00693A44"/>
    <w:rsid w:val="006B72B9"/>
    <w:rsid w:val="006D1E29"/>
    <w:rsid w:val="006D3B35"/>
    <w:rsid w:val="006F0BF6"/>
    <w:rsid w:val="00704336"/>
    <w:rsid w:val="0072342B"/>
    <w:rsid w:val="00724D51"/>
    <w:rsid w:val="00742D38"/>
    <w:rsid w:val="00747F44"/>
    <w:rsid w:val="00755615"/>
    <w:rsid w:val="0076761E"/>
    <w:rsid w:val="007761FC"/>
    <w:rsid w:val="00777F4A"/>
    <w:rsid w:val="007900FF"/>
    <w:rsid w:val="00793222"/>
    <w:rsid w:val="007A2ACC"/>
    <w:rsid w:val="007A33EA"/>
    <w:rsid w:val="007A3E5A"/>
    <w:rsid w:val="007A42F5"/>
    <w:rsid w:val="007A76C9"/>
    <w:rsid w:val="007B6A4B"/>
    <w:rsid w:val="007C13E1"/>
    <w:rsid w:val="007C1BA1"/>
    <w:rsid w:val="007C5BD8"/>
    <w:rsid w:val="007D6915"/>
    <w:rsid w:val="007D6974"/>
    <w:rsid w:val="007E568B"/>
    <w:rsid w:val="007E61FA"/>
    <w:rsid w:val="007F1B99"/>
    <w:rsid w:val="007F3B98"/>
    <w:rsid w:val="007F4887"/>
    <w:rsid w:val="00800B58"/>
    <w:rsid w:val="00807A19"/>
    <w:rsid w:val="00827FD0"/>
    <w:rsid w:val="00831C13"/>
    <w:rsid w:val="008326FC"/>
    <w:rsid w:val="008475EC"/>
    <w:rsid w:val="00851C95"/>
    <w:rsid w:val="00862357"/>
    <w:rsid w:val="00873F59"/>
    <w:rsid w:val="00881409"/>
    <w:rsid w:val="0088189A"/>
    <w:rsid w:val="00886224"/>
    <w:rsid w:val="008D77A7"/>
    <w:rsid w:val="008E34A2"/>
    <w:rsid w:val="008E6202"/>
    <w:rsid w:val="008F4681"/>
    <w:rsid w:val="008F4FFD"/>
    <w:rsid w:val="00913135"/>
    <w:rsid w:val="00926FD0"/>
    <w:rsid w:val="00963431"/>
    <w:rsid w:val="00966327"/>
    <w:rsid w:val="009666A2"/>
    <w:rsid w:val="00975272"/>
    <w:rsid w:val="00983235"/>
    <w:rsid w:val="00990815"/>
    <w:rsid w:val="00991FF9"/>
    <w:rsid w:val="00992E6D"/>
    <w:rsid w:val="00994FF5"/>
    <w:rsid w:val="009B4CBA"/>
    <w:rsid w:val="009C5B6E"/>
    <w:rsid w:val="009C774B"/>
    <w:rsid w:val="009E1BC5"/>
    <w:rsid w:val="00A00F9F"/>
    <w:rsid w:val="00A012C4"/>
    <w:rsid w:val="00A0461B"/>
    <w:rsid w:val="00A46AA1"/>
    <w:rsid w:val="00A50401"/>
    <w:rsid w:val="00A54C96"/>
    <w:rsid w:val="00A61F3B"/>
    <w:rsid w:val="00A73690"/>
    <w:rsid w:val="00A77A76"/>
    <w:rsid w:val="00A865DC"/>
    <w:rsid w:val="00A9442A"/>
    <w:rsid w:val="00AB2E49"/>
    <w:rsid w:val="00AC2486"/>
    <w:rsid w:val="00AC5808"/>
    <w:rsid w:val="00AD3783"/>
    <w:rsid w:val="00AE6A3C"/>
    <w:rsid w:val="00AE7907"/>
    <w:rsid w:val="00AF59EF"/>
    <w:rsid w:val="00AF5E5D"/>
    <w:rsid w:val="00B06DDE"/>
    <w:rsid w:val="00B26B85"/>
    <w:rsid w:val="00B27DBB"/>
    <w:rsid w:val="00B32F06"/>
    <w:rsid w:val="00B4211B"/>
    <w:rsid w:val="00B47059"/>
    <w:rsid w:val="00B5148B"/>
    <w:rsid w:val="00B61FDA"/>
    <w:rsid w:val="00B63A8C"/>
    <w:rsid w:val="00B66F87"/>
    <w:rsid w:val="00B81F2C"/>
    <w:rsid w:val="00B848EE"/>
    <w:rsid w:val="00B877F1"/>
    <w:rsid w:val="00B91014"/>
    <w:rsid w:val="00B92FDB"/>
    <w:rsid w:val="00B93494"/>
    <w:rsid w:val="00BA7E34"/>
    <w:rsid w:val="00BB000B"/>
    <w:rsid w:val="00BB47AC"/>
    <w:rsid w:val="00BC14A3"/>
    <w:rsid w:val="00BC69AB"/>
    <w:rsid w:val="00BC7841"/>
    <w:rsid w:val="00BD45BC"/>
    <w:rsid w:val="00BD59F9"/>
    <w:rsid w:val="00BD6791"/>
    <w:rsid w:val="00BE3668"/>
    <w:rsid w:val="00BE57DF"/>
    <w:rsid w:val="00BF054F"/>
    <w:rsid w:val="00BF0BED"/>
    <w:rsid w:val="00BF23DF"/>
    <w:rsid w:val="00BF5784"/>
    <w:rsid w:val="00BF58EB"/>
    <w:rsid w:val="00BF6233"/>
    <w:rsid w:val="00BF6D3F"/>
    <w:rsid w:val="00C01A40"/>
    <w:rsid w:val="00C1380A"/>
    <w:rsid w:val="00C1592C"/>
    <w:rsid w:val="00C251CA"/>
    <w:rsid w:val="00C25F9C"/>
    <w:rsid w:val="00C2724D"/>
    <w:rsid w:val="00C30F54"/>
    <w:rsid w:val="00C320C4"/>
    <w:rsid w:val="00C36C9A"/>
    <w:rsid w:val="00C441BC"/>
    <w:rsid w:val="00C477E7"/>
    <w:rsid w:val="00C57314"/>
    <w:rsid w:val="00C6696F"/>
    <w:rsid w:val="00C7685F"/>
    <w:rsid w:val="00CA01A1"/>
    <w:rsid w:val="00CA09B5"/>
    <w:rsid w:val="00CB68EE"/>
    <w:rsid w:val="00CC0785"/>
    <w:rsid w:val="00CC0DA7"/>
    <w:rsid w:val="00CE4371"/>
    <w:rsid w:val="00CE7D34"/>
    <w:rsid w:val="00D15F50"/>
    <w:rsid w:val="00D1715D"/>
    <w:rsid w:val="00D2153D"/>
    <w:rsid w:val="00D36060"/>
    <w:rsid w:val="00D44C64"/>
    <w:rsid w:val="00D47851"/>
    <w:rsid w:val="00D56273"/>
    <w:rsid w:val="00D721E3"/>
    <w:rsid w:val="00D748C7"/>
    <w:rsid w:val="00D8176B"/>
    <w:rsid w:val="00D81A9B"/>
    <w:rsid w:val="00D92BE5"/>
    <w:rsid w:val="00DA1ADC"/>
    <w:rsid w:val="00DA1E3A"/>
    <w:rsid w:val="00DA3842"/>
    <w:rsid w:val="00DA39EB"/>
    <w:rsid w:val="00DA48A3"/>
    <w:rsid w:val="00DB5DE3"/>
    <w:rsid w:val="00DC7F3A"/>
    <w:rsid w:val="00DD2261"/>
    <w:rsid w:val="00DD615E"/>
    <w:rsid w:val="00DE31F7"/>
    <w:rsid w:val="00DF3D59"/>
    <w:rsid w:val="00DF4A00"/>
    <w:rsid w:val="00DF5026"/>
    <w:rsid w:val="00E05679"/>
    <w:rsid w:val="00E06956"/>
    <w:rsid w:val="00E076EF"/>
    <w:rsid w:val="00E07F11"/>
    <w:rsid w:val="00E11E04"/>
    <w:rsid w:val="00E26374"/>
    <w:rsid w:val="00E31817"/>
    <w:rsid w:val="00E419BC"/>
    <w:rsid w:val="00E4397F"/>
    <w:rsid w:val="00E43BBB"/>
    <w:rsid w:val="00E44EB6"/>
    <w:rsid w:val="00E514B2"/>
    <w:rsid w:val="00E51679"/>
    <w:rsid w:val="00E51F52"/>
    <w:rsid w:val="00E64648"/>
    <w:rsid w:val="00E66528"/>
    <w:rsid w:val="00E70C17"/>
    <w:rsid w:val="00E752C9"/>
    <w:rsid w:val="00E75809"/>
    <w:rsid w:val="00E80E9E"/>
    <w:rsid w:val="00E81F7E"/>
    <w:rsid w:val="00E83112"/>
    <w:rsid w:val="00E841C1"/>
    <w:rsid w:val="00EA26D0"/>
    <w:rsid w:val="00EB1814"/>
    <w:rsid w:val="00EC0824"/>
    <w:rsid w:val="00ED2EC9"/>
    <w:rsid w:val="00EF3C59"/>
    <w:rsid w:val="00F046FB"/>
    <w:rsid w:val="00F06881"/>
    <w:rsid w:val="00F24CEB"/>
    <w:rsid w:val="00F34F84"/>
    <w:rsid w:val="00F37ECD"/>
    <w:rsid w:val="00F4161D"/>
    <w:rsid w:val="00F43D06"/>
    <w:rsid w:val="00F44D55"/>
    <w:rsid w:val="00F66C2E"/>
    <w:rsid w:val="00F6760D"/>
    <w:rsid w:val="00F70245"/>
    <w:rsid w:val="00F76B4C"/>
    <w:rsid w:val="00F95662"/>
    <w:rsid w:val="00FA01D4"/>
    <w:rsid w:val="00FA096A"/>
    <w:rsid w:val="00FB2CF6"/>
    <w:rsid w:val="00FC3F1D"/>
    <w:rsid w:val="00FD320A"/>
    <w:rsid w:val="00FD55B0"/>
    <w:rsid w:val="00FE3790"/>
    <w:rsid w:val="00FF4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8B4D3"/>
  <w15:docId w15:val="{660662F7-DAE7-4F96-B9BA-76C7AD3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1E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Tablaconcuadrcula2">
    <w:name w:val="Tabla con cuadrícula2"/>
    <w:basedOn w:val="Tablanormal"/>
    <w:next w:val="Tablaconcuadrcula"/>
    <w:uiPriority w:val="59"/>
    <w:qFormat/>
    <w:rsid w:val="00A61F3B"/>
    <w:pPr>
      <w:spacing w:after="0" w:line="240" w:lineRule="auto"/>
      <w:jc w:val="left"/>
    </w:pPr>
    <w:rPr>
      <w:rFonts w:ascii="Calibri" w:eastAsia="Calibri" w:hAnsi="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61F3B"/>
    <w:pPr>
      <w:spacing w:after="0" w:line="240" w:lineRule="auto"/>
      <w:jc w:val="left"/>
    </w:pPr>
    <w:rPr>
      <w:rFonts w:ascii="Calibri" w:eastAsia="Calibri" w:hAnsi="Calibri" w:cs="Times New Roman"/>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030">
      <w:bodyDiv w:val="1"/>
      <w:marLeft w:val="0"/>
      <w:marRight w:val="0"/>
      <w:marTop w:val="0"/>
      <w:marBottom w:val="0"/>
      <w:divBdr>
        <w:top w:val="none" w:sz="0" w:space="0" w:color="auto"/>
        <w:left w:val="none" w:sz="0" w:space="0" w:color="auto"/>
        <w:bottom w:val="none" w:sz="0" w:space="0" w:color="auto"/>
        <w:right w:val="none" w:sz="0" w:space="0" w:color="auto"/>
      </w:divBdr>
    </w:div>
    <w:div w:id="604314967">
      <w:bodyDiv w:val="1"/>
      <w:marLeft w:val="0"/>
      <w:marRight w:val="0"/>
      <w:marTop w:val="0"/>
      <w:marBottom w:val="0"/>
      <w:divBdr>
        <w:top w:val="none" w:sz="0" w:space="0" w:color="auto"/>
        <w:left w:val="none" w:sz="0" w:space="0" w:color="auto"/>
        <w:bottom w:val="none" w:sz="0" w:space="0" w:color="auto"/>
        <w:right w:val="none" w:sz="0" w:space="0" w:color="auto"/>
      </w:divBdr>
    </w:div>
    <w:div w:id="631129506">
      <w:bodyDiv w:val="1"/>
      <w:marLeft w:val="0"/>
      <w:marRight w:val="0"/>
      <w:marTop w:val="0"/>
      <w:marBottom w:val="0"/>
      <w:divBdr>
        <w:top w:val="none" w:sz="0" w:space="0" w:color="auto"/>
        <w:left w:val="none" w:sz="0" w:space="0" w:color="auto"/>
        <w:bottom w:val="none" w:sz="0" w:space="0" w:color="auto"/>
        <w:right w:val="none" w:sz="0" w:space="0" w:color="auto"/>
      </w:divBdr>
    </w:div>
    <w:div w:id="786506420">
      <w:bodyDiv w:val="1"/>
      <w:marLeft w:val="0"/>
      <w:marRight w:val="0"/>
      <w:marTop w:val="0"/>
      <w:marBottom w:val="0"/>
      <w:divBdr>
        <w:top w:val="none" w:sz="0" w:space="0" w:color="auto"/>
        <w:left w:val="none" w:sz="0" w:space="0" w:color="auto"/>
        <w:bottom w:val="none" w:sz="0" w:space="0" w:color="auto"/>
        <w:right w:val="none" w:sz="0" w:space="0" w:color="auto"/>
      </w:divBdr>
    </w:div>
    <w:div w:id="1052343789">
      <w:bodyDiv w:val="1"/>
      <w:marLeft w:val="0"/>
      <w:marRight w:val="0"/>
      <w:marTop w:val="0"/>
      <w:marBottom w:val="0"/>
      <w:divBdr>
        <w:top w:val="none" w:sz="0" w:space="0" w:color="auto"/>
        <w:left w:val="none" w:sz="0" w:space="0" w:color="auto"/>
        <w:bottom w:val="none" w:sz="0" w:space="0" w:color="auto"/>
        <w:right w:val="none" w:sz="0" w:space="0" w:color="auto"/>
      </w:divBdr>
    </w:div>
    <w:div w:id="1285774703">
      <w:bodyDiv w:val="1"/>
      <w:marLeft w:val="0"/>
      <w:marRight w:val="0"/>
      <w:marTop w:val="0"/>
      <w:marBottom w:val="0"/>
      <w:divBdr>
        <w:top w:val="none" w:sz="0" w:space="0" w:color="auto"/>
        <w:left w:val="none" w:sz="0" w:space="0" w:color="auto"/>
        <w:bottom w:val="none" w:sz="0" w:space="0" w:color="auto"/>
        <w:right w:val="none" w:sz="0" w:space="0" w:color="auto"/>
      </w:divBdr>
    </w:div>
    <w:div w:id="1340230424">
      <w:bodyDiv w:val="1"/>
      <w:marLeft w:val="0"/>
      <w:marRight w:val="0"/>
      <w:marTop w:val="0"/>
      <w:marBottom w:val="0"/>
      <w:divBdr>
        <w:top w:val="none" w:sz="0" w:space="0" w:color="auto"/>
        <w:left w:val="none" w:sz="0" w:space="0" w:color="auto"/>
        <w:bottom w:val="none" w:sz="0" w:space="0" w:color="auto"/>
        <w:right w:val="none" w:sz="0" w:space="0" w:color="auto"/>
      </w:divBdr>
    </w:div>
    <w:div w:id="1353993039">
      <w:bodyDiv w:val="1"/>
      <w:marLeft w:val="0"/>
      <w:marRight w:val="0"/>
      <w:marTop w:val="0"/>
      <w:marBottom w:val="0"/>
      <w:divBdr>
        <w:top w:val="none" w:sz="0" w:space="0" w:color="auto"/>
        <w:left w:val="none" w:sz="0" w:space="0" w:color="auto"/>
        <w:bottom w:val="none" w:sz="0" w:space="0" w:color="auto"/>
        <w:right w:val="none" w:sz="0" w:space="0" w:color="auto"/>
      </w:divBdr>
    </w:div>
    <w:div w:id="1433623828">
      <w:bodyDiv w:val="1"/>
      <w:marLeft w:val="0"/>
      <w:marRight w:val="0"/>
      <w:marTop w:val="0"/>
      <w:marBottom w:val="0"/>
      <w:divBdr>
        <w:top w:val="none" w:sz="0" w:space="0" w:color="auto"/>
        <w:left w:val="none" w:sz="0" w:space="0" w:color="auto"/>
        <w:bottom w:val="none" w:sz="0" w:space="0" w:color="auto"/>
        <w:right w:val="none" w:sz="0" w:space="0" w:color="auto"/>
      </w:divBdr>
    </w:div>
    <w:div w:id="1460799078">
      <w:bodyDiv w:val="1"/>
      <w:marLeft w:val="0"/>
      <w:marRight w:val="0"/>
      <w:marTop w:val="0"/>
      <w:marBottom w:val="0"/>
      <w:divBdr>
        <w:top w:val="none" w:sz="0" w:space="0" w:color="auto"/>
        <w:left w:val="none" w:sz="0" w:space="0" w:color="auto"/>
        <w:bottom w:val="none" w:sz="0" w:space="0" w:color="auto"/>
        <w:right w:val="none" w:sz="0" w:space="0" w:color="auto"/>
      </w:divBdr>
    </w:div>
    <w:div w:id="1488590030">
      <w:bodyDiv w:val="1"/>
      <w:marLeft w:val="0"/>
      <w:marRight w:val="0"/>
      <w:marTop w:val="0"/>
      <w:marBottom w:val="0"/>
      <w:divBdr>
        <w:top w:val="none" w:sz="0" w:space="0" w:color="auto"/>
        <w:left w:val="none" w:sz="0" w:space="0" w:color="auto"/>
        <w:bottom w:val="none" w:sz="0" w:space="0" w:color="auto"/>
        <w:right w:val="none" w:sz="0" w:space="0" w:color="auto"/>
      </w:divBdr>
    </w:div>
    <w:div w:id="1781025305">
      <w:bodyDiv w:val="1"/>
      <w:marLeft w:val="0"/>
      <w:marRight w:val="0"/>
      <w:marTop w:val="0"/>
      <w:marBottom w:val="0"/>
      <w:divBdr>
        <w:top w:val="none" w:sz="0" w:space="0" w:color="auto"/>
        <w:left w:val="none" w:sz="0" w:space="0" w:color="auto"/>
        <w:bottom w:val="none" w:sz="0" w:space="0" w:color="auto"/>
        <w:right w:val="none" w:sz="0" w:space="0" w:color="auto"/>
      </w:divBdr>
    </w:div>
    <w:div w:id="1831553359">
      <w:bodyDiv w:val="1"/>
      <w:marLeft w:val="0"/>
      <w:marRight w:val="0"/>
      <w:marTop w:val="0"/>
      <w:marBottom w:val="0"/>
      <w:divBdr>
        <w:top w:val="none" w:sz="0" w:space="0" w:color="auto"/>
        <w:left w:val="none" w:sz="0" w:space="0" w:color="auto"/>
        <w:bottom w:val="none" w:sz="0" w:space="0" w:color="auto"/>
        <w:right w:val="none" w:sz="0" w:space="0" w:color="auto"/>
      </w:divBdr>
    </w:div>
    <w:div w:id="1844851798">
      <w:bodyDiv w:val="1"/>
      <w:marLeft w:val="0"/>
      <w:marRight w:val="0"/>
      <w:marTop w:val="0"/>
      <w:marBottom w:val="0"/>
      <w:divBdr>
        <w:top w:val="none" w:sz="0" w:space="0" w:color="auto"/>
        <w:left w:val="none" w:sz="0" w:space="0" w:color="auto"/>
        <w:bottom w:val="none" w:sz="0" w:space="0" w:color="auto"/>
        <w:right w:val="none" w:sz="0" w:space="0" w:color="auto"/>
      </w:divBdr>
    </w:div>
    <w:div w:id="1913344261">
      <w:bodyDiv w:val="1"/>
      <w:marLeft w:val="0"/>
      <w:marRight w:val="0"/>
      <w:marTop w:val="0"/>
      <w:marBottom w:val="0"/>
      <w:divBdr>
        <w:top w:val="none" w:sz="0" w:space="0" w:color="auto"/>
        <w:left w:val="none" w:sz="0" w:space="0" w:color="auto"/>
        <w:bottom w:val="none" w:sz="0" w:space="0" w:color="auto"/>
        <w:right w:val="none" w:sz="0" w:space="0" w:color="auto"/>
      </w:divBdr>
    </w:div>
    <w:div w:id="1916932592">
      <w:bodyDiv w:val="1"/>
      <w:marLeft w:val="0"/>
      <w:marRight w:val="0"/>
      <w:marTop w:val="0"/>
      <w:marBottom w:val="0"/>
      <w:divBdr>
        <w:top w:val="none" w:sz="0" w:space="0" w:color="auto"/>
        <w:left w:val="none" w:sz="0" w:space="0" w:color="auto"/>
        <w:bottom w:val="none" w:sz="0" w:space="0" w:color="auto"/>
        <w:right w:val="none" w:sz="0" w:space="0" w:color="auto"/>
      </w:divBdr>
    </w:div>
    <w:div w:id="2003239254">
      <w:bodyDiv w:val="1"/>
      <w:marLeft w:val="0"/>
      <w:marRight w:val="0"/>
      <w:marTop w:val="0"/>
      <w:marBottom w:val="0"/>
      <w:divBdr>
        <w:top w:val="none" w:sz="0" w:space="0" w:color="auto"/>
        <w:left w:val="none" w:sz="0" w:space="0" w:color="auto"/>
        <w:bottom w:val="none" w:sz="0" w:space="0" w:color="auto"/>
        <w:right w:val="none" w:sz="0" w:space="0" w:color="auto"/>
      </w:divBdr>
    </w:div>
    <w:div w:id="2056663308">
      <w:bodyDiv w:val="1"/>
      <w:marLeft w:val="0"/>
      <w:marRight w:val="0"/>
      <w:marTop w:val="0"/>
      <w:marBottom w:val="0"/>
      <w:divBdr>
        <w:top w:val="none" w:sz="0" w:space="0" w:color="auto"/>
        <w:left w:val="none" w:sz="0" w:space="0" w:color="auto"/>
        <w:bottom w:val="none" w:sz="0" w:space="0" w:color="auto"/>
        <w:right w:val="none" w:sz="0" w:space="0" w:color="auto"/>
      </w:divBdr>
    </w:div>
    <w:div w:id="214303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mp"/><Relationship Id="rId18" Type="http://schemas.openxmlformats.org/officeDocument/2006/relationships/hyperlink" Target="https://portalanterior.ine.mx/archivos2/tutoriales/sistemas/ApoyoInstitucional/SIF/docs/candidatos/folioFiscalFactura.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ecretariadoejecutivo.gob.mx/work/models/SecretariadoEjecutivo/Resource/328/1/images/instructivo_final_edo_fuerza(1).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dof.gob.mx/nota_detalle.php?codigo=5492254&amp;fecha=28/07/201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b.mx/segob/renapo/acciones-y-programas/clave-unica-de-registro-de-poblacion-curp-142226"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em2.ipomex.org.mx/ipome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onsultas.curp.gob.mx/CurpSP/html/informacionecurpP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partados.hacienda.gob.mx/contabilidad/documentos/informe_cuenta/1998/cuenta_publica/Glosario/n.htm"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www.transparenciapresupuestaria.gob.mx/es/PTP/Glosario" TargetMode="External"/><Relationship Id="rId14" Type="http://schemas.openxmlformats.org/officeDocument/2006/relationships/image" Target="media/image3.tmp"/><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zM/5AQ4Pp8wTYqWxSRpm9+3vA==">CgMxLjAyCWguMzBqMHpsbDIJaC4zem55c2g3MgloLjFmb2I5dGU4AHIhMUZvX0FDc0t4LVlqcUtXRmk5QWh4TW5Cb3kyd0JsNHhj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912D3F-283A-4971-A8D8-D835C5C9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12227</Words>
  <Characters>67252</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INFOEM415</cp:lastModifiedBy>
  <cp:revision>8</cp:revision>
  <dcterms:created xsi:type="dcterms:W3CDTF">2024-10-24T22:31:00Z</dcterms:created>
  <dcterms:modified xsi:type="dcterms:W3CDTF">2025-02-07T18:56:00Z</dcterms:modified>
</cp:coreProperties>
</file>