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3550EF"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bookmarkStart w:id="0" w:name="_gjdgxs" w:colFirst="0" w:colLast="0"/>
      <w:bookmarkStart w:id="1" w:name="_GoBack"/>
      <w:bookmarkEnd w:id="0"/>
      <w:bookmarkEnd w:id="1"/>
      <w:r w:rsidRPr="00CD142C">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de trece de marzo de dos mil veinticuatro. </w:t>
      </w:r>
    </w:p>
    <w:p w14:paraId="716EBE1B"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4080177B"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Visto el expediente relativo al recurso de revisión </w:t>
      </w:r>
      <w:r w:rsidRPr="00CD142C">
        <w:rPr>
          <w:rFonts w:ascii="Palatino Linotype" w:eastAsia="Palatino Linotype" w:hAnsi="Palatino Linotype" w:cs="Palatino Linotype"/>
          <w:b/>
          <w:sz w:val="24"/>
          <w:szCs w:val="24"/>
        </w:rPr>
        <w:t>05464/INFOEM/IP/RR/2023</w:t>
      </w:r>
      <w:r w:rsidRPr="00CD142C">
        <w:rPr>
          <w:rFonts w:ascii="Palatino Linotype" w:eastAsia="Palatino Linotype" w:hAnsi="Palatino Linotype" w:cs="Palatino Linotype"/>
          <w:sz w:val="24"/>
          <w:szCs w:val="24"/>
        </w:rPr>
        <w:t>, interpuesto por</w:t>
      </w:r>
      <w:r w:rsidRPr="00CD142C">
        <w:t xml:space="preserve"> </w:t>
      </w:r>
      <w:r w:rsidRPr="00CD142C">
        <w:rPr>
          <w:rFonts w:ascii="Palatino Linotype" w:eastAsia="Palatino Linotype" w:hAnsi="Palatino Linotype" w:cs="Palatino Linotype"/>
          <w:b/>
          <w:sz w:val="24"/>
          <w:szCs w:val="24"/>
        </w:rPr>
        <w:t>una persona usuaria del Sistema de Acceso a la Información Mexiquense que no proporcionó nombre</w:t>
      </w:r>
      <w:r w:rsidRPr="00CD142C">
        <w:rPr>
          <w:rFonts w:ascii="Palatino Linotype" w:eastAsia="Palatino Linotype" w:hAnsi="Palatino Linotype" w:cs="Palatino Linotype"/>
          <w:sz w:val="24"/>
          <w:szCs w:val="24"/>
        </w:rPr>
        <w:t xml:space="preserve">, a quien en lo sucesivo se le denominará </w:t>
      </w:r>
      <w:r w:rsidRPr="00CD142C">
        <w:rPr>
          <w:rFonts w:ascii="Palatino Linotype" w:eastAsia="Palatino Linotype" w:hAnsi="Palatino Linotype" w:cs="Palatino Linotype"/>
          <w:b/>
          <w:sz w:val="24"/>
          <w:szCs w:val="24"/>
        </w:rPr>
        <w:t>la parte Recurrente</w:t>
      </w:r>
      <w:r w:rsidRPr="00CD142C">
        <w:rPr>
          <w:rFonts w:ascii="Palatino Linotype" w:eastAsia="Palatino Linotype" w:hAnsi="Palatino Linotype" w:cs="Palatino Linotype"/>
          <w:sz w:val="24"/>
          <w:szCs w:val="24"/>
        </w:rPr>
        <w:t>, en contra de la respuesta a su solicitud de información identificada con número de folio</w:t>
      </w:r>
      <w:r w:rsidRPr="00CD142C">
        <w:t xml:space="preserve"> </w:t>
      </w:r>
      <w:r w:rsidRPr="00CD142C">
        <w:rPr>
          <w:rFonts w:ascii="Palatino Linotype" w:eastAsia="Palatino Linotype" w:hAnsi="Palatino Linotype" w:cs="Palatino Linotype"/>
          <w:b/>
          <w:sz w:val="24"/>
          <w:szCs w:val="24"/>
        </w:rPr>
        <w:t>00487/SSEM/IP/2023,</w:t>
      </w:r>
      <w:r w:rsidRPr="00CD142C">
        <w:rPr>
          <w:rFonts w:ascii="Palatino Linotype" w:eastAsia="Palatino Linotype" w:hAnsi="Palatino Linotype" w:cs="Palatino Linotype"/>
          <w:sz w:val="24"/>
          <w:szCs w:val="24"/>
        </w:rPr>
        <w:t xml:space="preserve"> proporcionada por la </w:t>
      </w:r>
      <w:r w:rsidRPr="00CD142C">
        <w:rPr>
          <w:rFonts w:ascii="Palatino Linotype" w:eastAsia="Palatino Linotype" w:hAnsi="Palatino Linotype" w:cs="Palatino Linotype"/>
          <w:b/>
          <w:sz w:val="24"/>
          <w:szCs w:val="24"/>
        </w:rPr>
        <w:t>Secretaría de Seguridad</w:t>
      </w:r>
      <w:r w:rsidRPr="00CD142C">
        <w:rPr>
          <w:rFonts w:ascii="Palatino Linotype" w:eastAsia="Palatino Linotype" w:hAnsi="Palatino Linotype" w:cs="Palatino Linotype"/>
          <w:sz w:val="24"/>
          <w:szCs w:val="24"/>
        </w:rPr>
        <w:t xml:space="preserve">, en lo sucesivo 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se procede a dictar la presente resolución, con base en los siguientes:</w:t>
      </w:r>
    </w:p>
    <w:p w14:paraId="0D11A553"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79001A3F" w14:textId="77777777" w:rsidR="00D55228" w:rsidRPr="00CD142C" w:rsidRDefault="001540D8">
      <w:pPr>
        <w:spacing w:after="0" w:line="360" w:lineRule="auto"/>
        <w:ind w:right="49"/>
        <w:jc w:val="center"/>
        <w:rPr>
          <w:rFonts w:ascii="Palatino Linotype" w:eastAsia="Palatino Linotype" w:hAnsi="Palatino Linotype" w:cs="Palatino Linotype"/>
          <w:b/>
          <w:sz w:val="24"/>
          <w:szCs w:val="24"/>
        </w:rPr>
      </w:pPr>
      <w:r w:rsidRPr="00CD142C">
        <w:rPr>
          <w:rFonts w:ascii="Palatino Linotype" w:eastAsia="Palatino Linotype" w:hAnsi="Palatino Linotype" w:cs="Palatino Linotype"/>
          <w:b/>
          <w:sz w:val="24"/>
          <w:szCs w:val="24"/>
        </w:rPr>
        <w:t>I.</w:t>
      </w:r>
      <w:r w:rsidRPr="00CD142C">
        <w:rPr>
          <w:rFonts w:ascii="Palatino Linotype" w:eastAsia="Palatino Linotype" w:hAnsi="Palatino Linotype" w:cs="Palatino Linotype"/>
          <w:b/>
          <w:sz w:val="24"/>
          <w:szCs w:val="24"/>
        </w:rPr>
        <w:tab/>
        <w:t>A N T E C E D E N T E S</w:t>
      </w:r>
    </w:p>
    <w:p w14:paraId="13FBCC77" w14:textId="77777777" w:rsidR="00D55228" w:rsidRPr="00CD142C" w:rsidRDefault="00D5522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bookmarkStart w:id="2" w:name="_30j0zll" w:colFirst="0" w:colLast="0"/>
      <w:bookmarkEnd w:id="2"/>
    </w:p>
    <w:p w14:paraId="3DDFA229" w14:textId="77777777" w:rsidR="00D55228" w:rsidRPr="00CD142C" w:rsidRDefault="001540D8">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bookmarkStart w:id="3" w:name="_1fob9te" w:colFirst="0" w:colLast="0"/>
      <w:bookmarkEnd w:id="3"/>
      <w:r w:rsidRPr="00CD142C">
        <w:rPr>
          <w:rFonts w:ascii="Palatino Linotype" w:eastAsia="Palatino Linotype" w:hAnsi="Palatino Linotype" w:cs="Palatino Linotype"/>
          <w:b/>
          <w:sz w:val="24"/>
          <w:szCs w:val="24"/>
        </w:rPr>
        <w:t>Solicitud de acceso a la información.</w:t>
      </w:r>
      <w:r w:rsidRPr="00CD142C">
        <w:rPr>
          <w:rFonts w:ascii="Palatino Linotype" w:eastAsia="Palatino Linotype" w:hAnsi="Palatino Linotype" w:cs="Palatino Linotype"/>
          <w:sz w:val="24"/>
          <w:szCs w:val="24"/>
        </w:rPr>
        <w:t xml:space="preserve"> Con fecha </w:t>
      </w:r>
      <w:r w:rsidRPr="00CD142C">
        <w:rPr>
          <w:rFonts w:ascii="Palatino Linotype" w:eastAsia="Palatino Linotype" w:hAnsi="Palatino Linotype" w:cs="Palatino Linotype"/>
          <w:b/>
          <w:sz w:val="24"/>
          <w:szCs w:val="24"/>
        </w:rPr>
        <w:t>siete de agosto de dos mil veintitrés</w:t>
      </w:r>
      <w:r w:rsidRPr="00CD142C">
        <w:rPr>
          <w:rFonts w:ascii="Palatino Linotype" w:eastAsia="Palatino Linotype" w:hAnsi="Palatino Linotype" w:cs="Palatino Linotype"/>
          <w:sz w:val="24"/>
          <w:szCs w:val="24"/>
        </w:rPr>
        <w:t>, la persona solicitante formuló solicitud de acceso a información pública al</w:t>
      </w:r>
      <w:r w:rsidRPr="00CD142C">
        <w:rPr>
          <w:rFonts w:ascii="Palatino Linotype" w:eastAsia="Palatino Linotype" w:hAnsi="Palatino Linotype" w:cs="Palatino Linotype"/>
          <w:b/>
          <w:sz w:val="24"/>
          <w:szCs w:val="24"/>
        </w:rPr>
        <w:t xml:space="preserve"> Sujeto Obligado</w:t>
      </w:r>
      <w:r w:rsidRPr="00CD142C">
        <w:rPr>
          <w:rFonts w:ascii="Palatino Linotype" w:eastAsia="Palatino Linotype" w:hAnsi="Palatino Linotype" w:cs="Palatino Linotype"/>
          <w:sz w:val="24"/>
          <w:szCs w:val="24"/>
        </w:rPr>
        <w:t xml:space="preserve"> a través del Sistema de Acceso a la Información Mexiquense, en adelante SAIMEX, en la que requirió lo siguiente: </w:t>
      </w:r>
    </w:p>
    <w:p w14:paraId="475CC9D3" w14:textId="77777777" w:rsidR="00D55228" w:rsidRPr="00CD142C" w:rsidRDefault="00D55228">
      <w:pPr>
        <w:tabs>
          <w:tab w:val="left" w:pos="8505"/>
        </w:tabs>
        <w:spacing w:after="0" w:line="360" w:lineRule="auto"/>
        <w:ind w:left="567" w:right="560"/>
        <w:jc w:val="both"/>
        <w:rPr>
          <w:rFonts w:ascii="Palatino Linotype" w:eastAsia="Palatino Linotype" w:hAnsi="Palatino Linotype" w:cs="Palatino Linotype"/>
          <w:i/>
        </w:rPr>
      </w:pPr>
      <w:bookmarkStart w:id="4" w:name="_3znysh7" w:colFirst="0" w:colLast="0"/>
      <w:bookmarkEnd w:id="4"/>
    </w:p>
    <w:p w14:paraId="4DB76FB4" w14:textId="77777777" w:rsidR="00D55228" w:rsidRPr="00CD142C" w:rsidRDefault="001540D8">
      <w:pPr>
        <w:tabs>
          <w:tab w:val="left" w:pos="8505"/>
        </w:tabs>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 xml:space="preserve">“Solicito la siguiente información de la Secretaría: 1. Se me informe sobre todos los inmuebles que esta Secretaría tiene arrendados para todos sus usos (agregar lista) así como la información acerca de los arrendatarios. 2. Cuántos contratos de personal tiene la Secretaría vía el sistema de subcontratación conocido como Outsourcing desde el año 2022 y lo que se lleva hasta este momento así como la empresa que hizo las contrataciones. 3. Con </w:t>
      </w:r>
      <w:r w:rsidRPr="00CD142C">
        <w:rPr>
          <w:rFonts w:ascii="Palatino Linotype" w:eastAsia="Palatino Linotype" w:hAnsi="Palatino Linotype" w:cs="Palatino Linotype"/>
          <w:i/>
        </w:rPr>
        <w:lastRenderedPageBreak/>
        <w:t>cuántos vehículos cuenta la Secretaría (la lista de los mismos), cuántos de ellos son propios y cuántos están bajo el esquema de arrendamiento, para estos últimos, qué empresa o empresas son las que prestan el servicio del arrendamiento. 4. Se me informe sobre los equipos de cómputo, impresoras, multifuncionales, cuántos son propios y cuántos arrendados y sobre este último, qué empresa o empresas son las que prestan el servicio del arrendamiento. 5. Anexar el capítulo 4000 del presupuesto de ingresos y egresos 2021, 2022 y 2023 de esta Secretaría.” (Sic)</w:t>
      </w:r>
    </w:p>
    <w:p w14:paraId="1145343F" w14:textId="77777777" w:rsidR="00D55228" w:rsidRPr="00CD142C" w:rsidRDefault="00D55228">
      <w:pPr>
        <w:tabs>
          <w:tab w:val="left" w:pos="8505"/>
        </w:tabs>
        <w:spacing w:after="0" w:line="360" w:lineRule="auto"/>
        <w:ind w:left="567" w:right="560"/>
        <w:jc w:val="both"/>
        <w:rPr>
          <w:rFonts w:ascii="Palatino Linotype" w:eastAsia="Palatino Linotype" w:hAnsi="Palatino Linotype" w:cs="Palatino Linotype"/>
          <w:i/>
        </w:rPr>
      </w:pPr>
    </w:p>
    <w:p w14:paraId="26F1FEEC"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Modalidad elegida para la entrega de la información:</w:t>
      </w:r>
      <w:r w:rsidRPr="00CD142C">
        <w:rPr>
          <w:rFonts w:ascii="Palatino Linotype" w:eastAsia="Palatino Linotype" w:hAnsi="Palatino Linotype" w:cs="Palatino Linotype"/>
          <w:sz w:val="24"/>
          <w:szCs w:val="24"/>
        </w:rPr>
        <w:t xml:space="preserve"> a través del Sistema de Acceso a la Información Mexiquense (SAIMEX). </w:t>
      </w:r>
    </w:p>
    <w:p w14:paraId="2CCD79C1"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61C4A8AB" w14:textId="77777777" w:rsidR="00D55228" w:rsidRPr="00CD142C" w:rsidRDefault="001540D8">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Respuesta.</w:t>
      </w:r>
      <w:r w:rsidRPr="00CD142C">
        <w:rPr>
          <w:rFonts w:ascii="Palatino Linotype" w:eastAsia="Palatino Linotype" w:hAnsi="Palatino Linotype" w:cs="Palatino Linotype"/>
          <w:sz w:val="24"/>
          <w:szCs w:val="24"/>
        </w:rPr>
        <w:t xml:space="preserve"> En fecha </w:t>
      </w:r>
      <w:r w:rsidRPr="00CD142C">
        <w:rPr>
          <w:rFonts w:ascii="Palatino Linotype" w:eastAsia="Palatino Linotype" w:hAnsi="Palatino Linotype" w:cs="Palatino Linotype"/>
          <w:b/>
          <w:sz w:val="24"/>
          <w:szCs w:val="24"/>
        </w:rPr>
        <w:t>veintiocho de agosto de dos mil veintitrés</w:t>
      </w:r>
      <w:r w:rsidRPr="00CD142C">
        <w:rPr>
          <w:rFonts w:ascii="Palatino Linotype" w:eastAsia="Palatino Linotype" w:hAnsi="Palatino Linotype" w:cs="Palatino Linotype"/>
          <w:sz w:val="24"/>
          <w:szCs w:val="24"/>
        </w:rPr>
        <w:t xml:space="preserve">, 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 xml:space="preserve">remitió respuesta a la solicitud de información, al tenor de lo siguiente: </w:t>
      </w:r>
    </w:p>
    <w:p w14:paraId="508793DE" w14:textId="77777777" w:rsidR="00D55228" w:rsidRPr="00CD142C" w:rsidRDefault="00D5522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C408D20"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 (Sic)</w:t>
      </w:r>
    </w:p>
    <w:p w14:paraId="537310E4" w14:textId="77777777" w:rsidR="00D55228" w:rsidRPr="00CD142C" w:rsidRDefault="00D55228">
      <w:pPr>
        <w:spacing w:after="0" w:line="360" w:lineRule="auto"/>
        <w:ind w:right="560"/>
        <w:jc w:val="both"/>
        <w:rPr>
          <w:rFonts w:ascii="Palatino Linotype" w:eastAsia="Palatino Linotype" w:hAnsi="Palatino Linotype" w:cs="Palatino Linotype"/>
          <w:i/>
        </w:rPr>
      </w:pPr>
    </w:p>
    <w:p w14:paraId="005BD5DF" w14:textId="77777777" w:rsidR="00D55228" w:rsidRPr="00CD142C" w:rsidRDefault="001540D8">
      <w:pPr>
        <w:spacing w:after="0" w:line="360" w:lineRule="auto"/>
        <w:ind w:right="-7"/>
        <w:jc w:val="both"/>
        <w:rPr>
          <w:rFonts w:ascii="Palatino Linotype" w:eastAsia="Palatino Linotype" w:hAnsi="Palatino Linotype" w:cs="Palatino Linotype"/>
        </w:rPr>
      </w:pPr>
      <w:r w:rsidRPr="00CD142C">
        <w:rPr>
          <w:rFonts w:ascii="Palatino Linotype" w:eastAsia="Palatino Linotype" w:hAnsi="Palatino Linotype" w:cs="Palatino Linotype"/>
        </w:rPr>
        <w:t xml:space="preserve">Adjunto a la respuesta, el </w:t>
      </w:r>
      <w:r w:rsidR="00C56011" w:rsidRPr="00CD142C">
        <w:rPr>
          <w:rFonts w:ascii="Palatino Linotype" w:eastAsia="Palatino Linotype" w:hAnsi="Palatino Linotype" w:cs="Palatino Linotype"/>
          <w:b/>
        </w:rPr>
        <w:t>S</w:t>
      </w:r>
      <w:r w:rsidRPr="00CD142C">
        <w:rPr>
          <w:rFonts w:ascii="Palatino Linotype" w:eastAsia="Palatino Linotype" w:hAnsi="Palatino Linotype" w:cs="Palatino Linotype"/>
          <w:b/>
        </w:rPr>
        <w:t xml:space="preserve">ujeto Obligado </w:t>
      </w:r>
      <w:r w:rsidRPr="00CD142C">
        <w:rPr>
          <w:rFonts w:ascii="Palatino Linotype" w:eastAsia="Palatino Linotype" w:hAnsi="Palatino Linotype" w:cs="Palatino Linotype"/>
        </w:rPr>
        <w:t>entregó el archivo electrónico denominado “</w:t>
      </w:r>
      <w:r w:rsidRPr="00CD142C">
        <w:rPr>
          <w:rFonts w:ascii="Palatino Linotype" w:eastAsia="Palatino Linotype" w:hAnsi="Palatino Linotype" w:cs="Palatino Linotype"/>
          <w:b/>
          <w:i/>
        </w:rPr>
        <w:t>Respuesta 487.pdf</w:t>
      </w:r>
      <w:r w:rsidRPr="00CD142C">
        <w:rPr>
          <w:rFonts w:ascii="Palatino Linotype" w:eastAsia="Palatino Linotype" w:hAnsi="Palatino Linotype" w:cs="Palatino Linotype"/>
        </w:rPr>
        <w:t>” que contiene la información siguiente:</w:t>
      </w:r>
    </w:p>
    <w:p w14:paraId="5E2873B9" w14:textId="77777777" w:rsidR="00D55228" w:rsidRPr="00CD142C" w:rsidRDefault="00D55228">
      <w:pPr>
        <w:spacing w:after="0" w:line="360" w:lineRule="auto"/>
        <w:ind w:right="-7"/>
        <w:jc w:val="both"/>
        <w:rPr>
          <w:rFonts w:ascii="Palatino Linotype" w:eastAsia="Palatino Linotype" w:hAnsi="Palatino Linotype" w:cs="Palatino Linotype"/>
        </w:rPr>
      </w:pPr>
    </w:p>
    <w:p w14:paraId="50EC6463" w14:textId="77777777" w:rsidR="00D55228" w:rsidRPr="00CD142C" w:rsidRDefault="001540D8">
      <w:pPr>
        <w:numPr>
          <w:ilvl w:val="0"/>
          <w:numId w:val="2"/>
        </w:numPr>
        <w:pBdr>
          <w:top w:val="nil"/>
          <w:left w:val="nil"/>
          <w:bottom w:val="nil"/>
          <w:right w:val="nil"/>
          <w:between w:val="nil"/>
        </w:pBdr>
        <w:spacing w:after="0" w:line="276" w:lineRule="auto"/>
        <w:ind w:right="-7"/>
        <w:jc w:val="both"/>
      </w:pPr>
      <w:r w:rsidRPr="00CD142C">
        <w:rPr>
          <w:rFonts w:ascii="Palatino Linotype" w:eastAsia="Palatino Linotype" w:hAnsi="Palatino Linotype" w:cs="Palatino Linotype"/>
        </w:rPr>
        <w:t>Oficio del veinticinco de agosto de dos mil veintitrés, a través del cual la Titular de la Unidad de Transparencia informa a la persona solicitante que, con relación a su solicitud de información, lo peticionado se requirió al Servidor Público Habilitado de Oficialía Mayor, quien mediante diverso oficio informó sobre cada punto de la solicitud lo siguiente:</w:t>
      </w:r>
    </w:p>
    <w:p w14:paraId="17D40C93" w14:textId="77777777" w:rsidR="00D55228" w:rsidRPr="00CD142C" w:rsidRDefault="00D5522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3CF31861" w14:textId="77777777" w:rsidR="00D55228" w:rsidRPr="00CD142C" w:rsidRDefault="001540D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r w:rsidRPr="00CD142C">
        <w:rPr>
          <w:rFonts w:ascii="Palatino Linotype" w:eastAsia="Palatino Linotype" w:hAnsi="Palatino Linotype" w:cs="Palatino Linotype"/>
        </w:rPr>
        <w:lastRenderedPageBreak/>
        <w:t>-Sobre el numeral 1, informó que la Secretaría de Seguridad cuenta con 22 inmuebles arrendados en el año 2023, y que sobre la lista de arrendatarios corresponde a la Dirección de Recursos Materiales de la Secretaría de Finanzas dicha información, sugiriendo se requiera la información a esta última, señalando para tal efecto el domicilio de su Módulo de Información Pública.</w:t>
      </w:r>
    </w:p>
    <w:p w14:paraId="54FB04D3" w14:textId="77777777" w:rsidR="00D55228" w:rsidRPr="00CD142C" w:rsidRDefault="00D5522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3CF4E659" w14:textId="77777777" w:rsidR="00D55228" w:rsidRPr="00CD142C" w:rsidRDefault="001540D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r w:rsidRPr="00CD142C">
        <w:rPr>
          <w:rFonts w:ascii="Palatino Linotype" w:eastAsia="Palatino Linotype" w:hAnsi="Palatino Linotype" w:cs="Palatino Linotype"/>
        </w:rPr>
        <w:t>-Sobre el numeral 2, informó que dicho ente público no contaba con contratos de personal vía sistema de subcontratación conocido como Outsourcing.</w:t>
      </w:r>
    </w:p>
    <w:p w14:paraId="1A35BA0D" w14:textId="77777777" w:rsidR="00D55228" w:rsidRPr="00CD142C" w:rsidRDefault="00D5522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1A2F56C6" w14:textId="77777777" w:rsidR="00D55228" w:rsidRPr="00CD142C" w:rsidRDefault="001540D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r w:rsidRPr="00CD142C">
        <w:rPr>
          <w:rFonts w:ascii="Palatino Linotype" w:eastAsia="Palatino Linotype" w:hAnsi="Palatino Linotype" w:cs="Palatino Linotype"/>
        </w:rPr>
        <w:t>-Sobre el numeral 3, informó que al once de agosto de dos mil veintitrés se tenía un total de 2,895 vehículos, de los cuales 2,512 eran propios y 383 arrendadas, siendo la empresa Integra Arrenda, S.A. de C.V. SOFOM E.N.R. la prestadora del servicio.</w:t>
      </w:r>
    </w:p>
    <w:p w14:paraId="25209970" w14:textId="77777777" w:rsidR="00D55228" w:rsidRPr="00CD142C" w:rsidRDefault="00D5522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6EAB174E" w14:textId="77777777" w:rsidR="00D55228" w:rsidRPr="00CD142C" w:rsidRDefault="001540D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r w:rsidRPr="00CD142C">
        <w:rPr>
          <w:rFonts w:ascii="Palatino Linotype" w:eastAsia="Palatino Linotype" w:hAnsi="Palatino Linotype" w:cs="Palatino Linotype"/>
        </w:rPr>
        <w:t>-Sobre el numeral 4, indicó que al once de agosto de dos mil veintitrés se contaba con 3,657 equipos de cómputo, 589 impresoras y 98 multifuncionales, los cuales son propiedad del Gobierno del Estado de México.</w:t>
      </w:r>
    </w:p>
    <w:p w14:paraId="34A9FF53" w14:textId="77777777" w:rsidR="00D55228" w:rsidRPr="00CD142C" w:rsidRDefault="00D5522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78B4F3E2" w14:textId="77777777" w:rsidR="00D55228" w:rsidRPr="00CD142C" w:rsidRDefault="001540D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r w:rsidRPr="00CD142C">
        <w:rPr>
          <w:rFonts w:ascii="Palatino Linotype" w:eastAsia="Palatino Linotype" w:hAnsi="Palatino Linotype" w:cs="Palatino Linotype"/>
        </w:rPr>
        <w:t>Asimismo, se informó que se tienen 3,197 equipos de cómputo bajo la modalidad de arrendamiento, con la empresa ALTUM TECNOLOGIC, S.A. de C.V.  en propuesta conjunta con Comercializadora de Valor Agregado S.A. de C.V. y ALUXEN LUMINI S.A. de C.V.</w:t>
      </w:r>
    </w:p>
    <w:p w14:paraId="50FD120C" w14:textId="77777777" w:rsidR="00D55228" w:rsidRPr="00CD142C" w:rsidRDefault="00D5522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17AA3466" w14:textId="77777777" w:rsidR="00D55228" w:rsidRPr="00CD142C" w:rsidRDefault="001540D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r w:rsidRPr="00CD142C">
        <w:rPr>
          <w:rFonts w:ascii="Palatino Linotype" w:eastAsia="Palatino Linotype" w:hAnsi="Palatino Linotype" w:cs="Palatino Linotype"/>
        </w:rPr>
        <w:t>-Sobre el numeral 5, se proporcionaron las ligas electrónicas de la Secretaría de Finanzas donde se podía localizar la información:</w:t>
      </w:r>
    </w:p>
    <w:p w14:paraId="77A8DEF4" w14:textId="77777777" w:rsidR="00D55228" w:rsidRPr="00CD142C" w:rsidRDefault="00D5522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247E35CC" w14:textId="77777777" w:rsidR="00D55228" w:rsidRPr="00CD142C" w:rsidRDefault="001540D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r w:rsidRPr="00CD142C">
        <w:rPr>
          <w:rFonts w:ascii="Palatino Linotype" w:eastAsia="Palatino Linotype" w:hAnsi="Palatino Linotype" w:cs="Palatino Linotype"/>
          <w:noProof/>
        </w:rPr>
        <w:drawing>
          <wp:inline distT="0" distB="0" distL="0" distR="0" wp14:anchorId="30E4E46D" wp14:editId="581BE5EA">
            <wp:extent cx="5687254" cy="1495643"/>
            <wp:effectExtent l="0" t="0" r="0" b="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687254" cy="1495643"/>
                    </a:xfrm>
                    <a:prstGeom prst="rect">
                      <a:avLst/>
                    </a:prstGeom>
                    <a:ln/>
                  </pic:spPr>
                </pic:pic>
              </a:graphicData>
            </a:graphic>
          </wp:inline>
        </w:drawing>
      </w:r>
    </w:p>
    <w:p w14:paraId="18E29007" w14:textId="77777777" w:rsidR="00D55228" w:rsidRPr="00CD142C" w:rsidRDefault="00D5522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p>
    <w:p w14:paraId="46BC29DE" w14:textId="77777777" w:rsidR="00D55228" w:rsidRPr="00CD142C" w:rsidRDefault="001540D8">
      <w:pPr>
        <w:pBdr>
          <w:top w:val="nil"/>
          <w:left w:val="nil"/>
          <w:bottom w:val="nil"/>
          <w:right w:val="nil"/>
          <w:between w:val="nil"/>
        </w:pBdr>
        <w:spacing w:after="0" w:line="276" w:lineRule="auto"/>
        <w:ind w:left="360" w:right="-7"/>
        <w:jc w:val="both"/>
        <w:rPr>
          <w:rFonts w:ascii="Palatino Linotype" w:eastAsia="Palatino Linotype" w:hAnsi="Palatino Linotype" w:cs="Palatino Linotype"/>
        </w:rPr>
      </w:pPr>
      <w:r w:rsidRPr="00CD142C">
        <w:rPr>
          <w:rFonts w:ascii="Palatino Linotype" w:eastAsia="Palatino Linotype" w:hAnsi="Palatino Linotype" w:cs="Palatino Linotype"/>
        </w:rPr>
        <w:lastRenderedPageBreak/>
        <w:t>De igual forma, se indicó que respecto al capítulo 4000 del presupuesto de ingresos 2021, 2022 y 2023 de esa Secretaría de Seguridad, conforme lo dispuesto por el artículo 24, fracción II de la Ley Orgánica de la Administración Pública del Estado de México, es la Secretaría de Finanzas la dependencia encargada de recaudar los impuestos, derechos, aportaciones de mejoras, productos y aprovechamientos que correspondan al Estado, y por tanto, no se contaba con la información referente a los ingresos de la solicitud, sugiriendo dirigir dicha petición al Módulo de Información Pública de la Secretaría de Finanzas.</w:t>
      </w:r>
    </w:p>
    <w:p w14:paraId="3B9F14DF" w14:textId="77777777" w:rsidR="00D55228" w:rsidRPr="00CD142C" w:rsidRDefault="00D55228">
      <w:pPr>
        <w:spacing w:after="0" w:line="360" w:lineRule="auto"/>
        <w:ind w:right="560"/>
        <w:jc w:val="both"/>
        <w:rPr>
          <w:rFonts w:ascii="Palatino Linotype" w:eastAsia="Palatino Linotype" w:hAnsi="Palatino Linotype" w:cs="Palatino Linotype"/>
          <w:i/>
        </w:rPr>
      </w:pPr>
    </w:p>
    <w:p w14:paraId="60F08614" w14:textId="77777777" w:rsidR="00D55228" w:rsidRPr="00CD142C" w:rsidRDefault="001540D8">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Recurso de revisión.</w:t>
      </w:r>
      <w:r w:rsidRPr="00CD142C">
        <w:rPr>
          <w:rFonts w:ascii="Palatino Linotype" w:eastAsia="Palatino Linotype" w:hAnsi="Palatino Linotype" w:cs="Palatino Linotype"/>
          <w:sz w:val="24"/>
          <w:szCs w:val="24"/>
        </w:rPr>
        <w:t xml:space="preserve"> Derivado de la respuesta del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 xml:space="preserve">la persona solicitante interpuso Recurso de Revisión a través del </w:t>
      </w:r>
      <w:r w:rsidRPr="00CD142C">
        <w:rPr>
          <w:rFonts w:ascii="Palatino Linotype" w:eastAsia="Palatino Linotype" w:hAnsi="Palatino Linotype" w:cs="Palatino Linotype"/>
          <w:b/>
          <w:sz w:val="24"/>
          <w:szCs w:val="24"/>
        </w:rPr>
        <w:t>SAIMEX</w:t>
      </w:r>
      <w:r w:rsidRPr="00CD142C">
        <w:rPr>
          <w:rFonts w:ascii="Palatino Linotype" w:eastAsia="Palatino Linotype" w:hAnsi="Palatino Linotype" w:cs="Palatino Linotype"/>
          <w:sz w:val="24"/>
          <w:szCs w:val="24"/>
        </w:rPr>
        <w:t xml:space="preserve"> en fecha </w:t>
      </w:r>
      <w:r w:rsidRPr="00CD142C">
        <w:rPr>
          <w:rFonts w:ascii="Palatino Linotype" w:eastAsia="Palatino Linotype" w:hAnsi="Palatino Linotype" w:cs="Palatino Linotype"/>
          <w:b/>
          <w:sz w:val="24"/>
          <w:szCs w:val="24"/>
        </w:rPr>
        <w:t>seis de septiembre de dos mil veintitrés</w:t>
      </w:r>
      <w:r w:rsidRPr="00CD142C">
        <w:rPr>
          <w:rFonts w:ascii="Palatino Linotype" w:eastAsia="Palatino Linotype" w:hAnsi="Palatino Linotype" w:cs="Palatino Linotype"/>
          <w:sz w:val="24"/>
          <w:szCs w:val="24"/>
        </w:rPr>
        <w:t>, a través del cual expresó lo siguiente:</w:t>
      </w:r>
    </w:p>
    <w:p w14:paraId="065489A8" w14:textId="77777777" w:rsidR="00D55228" w:rsidRPr="00CD142C" w:rsidRDefault="00D55228">
      <w:pPr>
        <w:pBdr>
          <w:top w:val="nil"/>
          <w:left w:val="nil"/>
          <w:bottom w:val="nil"/>
          <w:right w:val="nil"/>
          <w:between w:val="nil"/>
        </w:pBdr>
        <w:tabs>
          <w:tab w:val="left" w:pos="851"/>
        </w:tabs>
        <w:spacing w:after="0" w:line="360" w:lineRule="auto"/>
        <w:ind w:left="567" w:right="701"/>
        <w:jc w:val="both"/>
        <w:rPr>
          <w:rFonts w:ascii="Palatino Linotype" w:eastAsia="Palatino Linotype" w:hAnsi="Palatino Linotype" w:cs="Palatino Linotype"/>
          <w:b/>
          <w:sz w:val="24"/>
          <w:szCs w:val="24"/>
        </w:rPr>
      </w:pPr>
    </w:p>
    <w:p w14:paraId="7431A415" w14:textId="77777777" w:rsidR="00D55228" w:rsidRPr="00CD142C" w:rsidRDefault="001540D8">
      <w:pPr>
        <w:pBdr>
          <w:top w:val="nil"/>
          <w:left w:val="nil"/>
          <w:bottom w:val="nil"/>
          <w:right w:val="nil"/>
          <w:between w:val="nil"/>
        </w:pBdr>
        <w:tabs>
          <w:tab w:val="left" w:pos="851"/>
        </w:tabs>
        <w:spacing w:after="0" w:line="240" w:lineRule="auto"/>
        <w:ind w:left="567" w:right="701"/>
        <w:jc w:val="both"/>
        <w:rPr>
          <w:rFonts w:ascii="Palatino Linotype" w:eastAsia="Palatino Linotype" w:hAnsi="Palatino Linotype" w:cs="Palatino Linotype"/>
          <w:i/>
        </w:rPr>
      </w:pPr>
      <w:r w:rsidRPr="00CD142C">
        <w:rPr>
          <w:rFonts w:ascii="Palatino Linotype" w:eastAsia="Palatino Linotype" w:hAnsi="Palatino Linotype" w:cs="Palatino Linotype"/>
          <w:b/>
          <w:sz w:val="24"/>
          <w:szCs w:val="24"/>
        </w:rPr>
        <w:t xml:space="preserve">Acto impugnado. </w:t>
      </w:r>
      <w:r w:rsidRPr="00CD142C">
        <w:rPr>
          <w:rFonts w:ascii="Palatino Linotype" w:eastAsia="Palatino Linotype" w:hAnsi="Palatino Linotype" w:cs="Palatino Linotype"/>
          <w:i/>
        </w:rPr>
        <w:t>“La respuesta a la solicitud de información con Folio: 00487/SSEM/IP/2023.</w:t>
      </w:r>
      <w:r w:rsidRPr="00CD142C">
        <w:rPr>
          <w:rFonts w:ascii="Palatino Linotype" w:eastAsia="Palatino Linotype" w:hAnsi="Palatino Linotype" w:cs="Palatino Linotype"/>
          <w:i/>
          <w:sz w:val="24"/>
          <w:szCs w:val="24"/>
        </w:rPr>
        <w:t xml:space="preserve">” </w:t>
      </w:r>
      <w:r w:rsidRPr="00CD142C">
        <w:rPr>
          <w:rFonts w:ascii="Palatino Linotype" w:eastAsia="Palatino Linotype" w:hAnsi="Palatino Linotype" w:cs="Palatino Linotype"/>
          <w:i/>
        </w:rPr>
        <w:t>(Sic)</w:t>
      </w:r>
    </w:p>
    <w:p w14:paraId="2F70A05B" w14:textId="77777777" w:rsidR="00D55228" w:rsidRPr="00CD142C" w:rsidRDefault="00D55228">
      <w:pPr>
        <w:pBdr>
          <w:top w:val="nil"/>
          <w:left w:val="nil"/>
          <w:bottom w:val="nil"/>
          <w:right w:val="nil"/>
          <w:between w:val="nil"/>
        </w:pBdr>
        <w:tabs>
          <w:tab w:val="left" w:pos="993"/>
        </w:tabs>
        <w:spacing w:after="0" w:line="276" w:lineRule="auto"/>
        <w:ind w:left="567" w:right="701"/>
        <w:jc w:val="both"/>
        <w:rPr>
          <w:rFonts w:ascii="Palatino Linotype" w:eastAsia="Palatino Linotype" w:hAnsi="Palatino Linotype" w:cs="Palatino Linotype"/>
          <w:b/>
          <w:sz w:val="24"/>
          <w:szCs w:val="24"/>
        </w:rPr>
      </w:pPr>
    </w:p>
    <w:p w14:paraId="0EC49E1A" w14:textId="77777777" w:rsidR="00D55228" w:rsidRPr="00CD142C" w:rsidRDefault="001540D8">
      <w:pPr>
        <w:pBdr>
          <w:top w:val="nil"/>
          <w:left w:val="nil"/>
          <w:bottom w:val="nil"/>
          <w:right w:val="nil"/>
          <w:between w:val="nil"/>
        </w:pBdr>
        <w:tabs>
          <w:tab w:val="left" w:pos="709"/>
          <w:tab w:val="left" w:pos="851"/>
        </w:tabs>
        <w:spacing w:after="0" w:line="240" w:lineRule="auto"/>
        <w:ind w:left="567" w:right="701"/>
        <w:jc w:val="both"/>
        <w:rPr>
          <w:rFonts w:ascii="Palatino Linotype" w:eastAsia="Palatino Linotype" w:hAnsi="Palatino Linotype" w:cs="Palatino Linotype"/>
          <w:i/>
        </w:rPr>
      </w:pPr>
      <w:r w:rsidRPr="00CD142C">
        <w:rPr>
          <w:rFonts w:ascii="Palatino Linotype" w:eastAsia="Palatino Linotype" w:hAnsi="Palatino Linotype" w:cs="Palatino Linotype"/>
          <w:b/>
          <w:sz w:val="24"/>
          <w:szCs w:val="24"/>
        </w:rPr>
        <w:t xml:space="preserve">Razones o motivos de la inconformidad: </w:t>
      </w:r>
      <w:r w:rsidRPr="00CD142C">
        <w:rPr>
          <w:rFonts w:ascii="Palatino Linotype" w:eastAsia="Palatino Linotype" w:hAnsi="Palatino Linotype" w:cs="Palatino Linotype"/>
          <w:i/>
        </w:rPr>
        <w:t>“La respuesta que me fue enviada de parte de la Secretaría de Seguridad, no cumple con lo que estipulado en el artículo 222, fracción X. de la Ley de Transparencia y Acceso a la Información Pública del Estado de México y Municipios. toda vez que considero que la información fue entregada de manera incompleta, pues hacen falta la lista de arrendatarios de inmuebles de la Secretaría argumentando que le corresponde a Finanzas, sin embargo, esta información debe obrar dentro de la información con la que cuentan. En el caso del punto en el que se solicita la lista de vehículos propios y arrendados, no se entrega sin justificación alguna. Y en la solicitud donde se refiere la parte del capítulo 4000, se remiten ligas para consulta, sin embargo, la información solicitada fue de manera puntual sobre diversos aspectos y al parecer, no se dieron el tiempo de buscar la información específica y enviarla como se pidió, trasgrediendo así mi derecho al acceso a la información pública que esta dependencia debe poner a disposición de la ciudadanía de manera clara y puntual.</w:t>
      </w:r>
      <w:r w:rsidRPr="00CD142C">
        <w:rPr>
          <w:rFonts w:ascii="Palatino Linotype" w:eastAsia="Palatino Linotype" w:hAnsi="Palatino Linotype" w:cs="Palatino Linotype"/>
          <w:i/>
          <w:sz w:val="24"/>
          <w:szCs w:val="24"/>
        </w:rPr>
        <w:t xml:space="preserve">” </w:t>
      </w:r>
      <w:r w:rsidRPr="00CD142C">
        <w:rPr>
          <w:rFonts w:ascii="Palatino Linotype" w:eastAsia="Palatino Linotype" w:hAnsi="Palatino Linotype" w:cs="Palatino Linotype"/>
          <w:i/>
        </w:rPr>
        <w:t>(Sic)</w:t>
      </w:r>
    </w:p>
    <w:p w14:paraId="27F1F329" w14:textId="77777777" w:rsidR="00D55228" w:rsidRPr="00CD142C" w:rsidRDefault="00D55228">
      <w:pPr>
        <w:pBdr>
          <w:top w:val="nil"/>
          <w:left w:val="nil"/>
          <w:bottom w:val="nil"/>
          <w:right w:val="nil"/>
          <w:between w:val="nil"/>
        </w:pBdr>
        <w:tabs>
          <w:tab w:val="left" w:pos="709"/>
          <w:tab w:val="left" w:pos="851"/>
        </w:tabs>
        <w:spacing w:after="0" w:line="276" w:lineRule="auto"/>
        <w:ind w:right="701"/>
        <w:jc w:val="both"/>
        <w:rPr>
          <w:rFonts w:ascii="Palatino Linotype" w:eastAsia="Palatino Linotype" w:hAnsi="Palatino Linotype" w:cs="Palatino Linotype"/>
          <w:i/>
        </w:rPr>
      </w:pPr>
    </w:p>
    <w:p w14:paraId="080A29B7" w14:textId="77777777" w:rsidR="00D55228" w:rsidRPr="00CD142C" w:rsidRDefault="001540D8">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Turno.</w:t>
      </w:r>
      <w:r w:rsidRPr="00CD142C">
        <w:rPr>
          <w:rFonts w:ascii="Palatino Linotype" w:eastAsia="Palatino Linotype" w:hAnsi="Palatino Linotype" w:cs="Palatino Linotype"/>
          <w:sz w:val="24"/>
          <w:szCs w:val="24"/>
        </w:rPr>
        <w:t xml:space="preserve"> De conformidad con el artículo 185, fracción I de la Ley de Transparencia y Acceso a la Información Pública del Estado de México y Municipios, el recurso de </w:t>
      </w:r>
      <w:r w:rsidRPr="00CD142C">
        <w:rPr>
          <w:rFonts w:ascii="Palatino Linotype" w:eastAsia="Palatino Linotype" w:hAnsi="Palatino Linotype" w:cs="Palatino Linotype"/>
          <w:sz w:val="24"/>
          <w:szCs w:val="24"/>
        </w:rPr>
        <w:lastRenderedPageBreak/>
        <w:t xml:space="preserve">revisión número </w:t>
      </w:r>
      <w:r w:rsidRPr="00CD142C">
        <w:rPr>
          <w:rFonts w:ascii="Palatino Linotype" w:eastAsia="Palatino Linotype" w:hAnsi="Palatino Linotype" w:cs="Palatino Linotype"/>
          <w:b/>
          <w:sz w:val="24"/>
          <w:szCs w:val="24"/>
        </w:rPr>
        <w:t>05464/INFOEM/IP/RR/2023</w:t>
      </w:r>
      <w:r w:rsidRPr="00CD142C">
        <w:rPr>
          <w:rFonts w:ascii="Palatino Linotype" w:eastAsia="Palatino Linotype" w:hAnsi="Palatino Linotype" w:cs="Palatino Linotype"/>
          <w:sz w:val="24"/>
          <w:szCs w:val="24"/>
        </w:rPr>
        <w:t xml:space="preserve">, se turnó por el sistema electrónico del Instituto de Transparencia, Acceso a la Información Pública y Protección de Datos Personales del Estado de México y Municipios, a la </w:t>
      </w:r>
      <w:r w:rsidRPr="00CD142C">
        <w:rPr>
          <w:rFonts w:ascii="Palatino Linotype" w:eastAsia="Palatino Linotype" w:hAnsi="Palatino Linotype" w:cs="Palatino Linotype"/>
          <w:b/>
          <w:sz w:val="24"/>
          <w:szCs w:val="24"/>
        </w:rPr>
        <w:t>Comisionada Guadalupe Ramírez Peña</w:t>
      </w:r>
      <w:r w:rsidRPr="00CD142C">
        <w:rPr>
          <w:rFonts w:ascii="Palatino Linotype" w:eastAsia="Palatino Linotype" w:hAnsi="Palatino Linotype" w:cs="Palatino Linotype"/>
          <w:sz w:val="24"/>
          <w:szCs w:val="24"/>
        </w:rPr>
        <w:t xml:space="preserve"> para su análisis, estudio, elaboración del proyecto y presentación ante el Pleno de este Instituto.</w:t>
      </w:r>
    </w:p>
    <w:p w14:paraId="08EEFF57" w14:textId="77777777" w:rsidR="00D55228" w:rsidRPr="00CD142C" w:rsidRDefault="00D5522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3C66660" w14:textId="77777777" w:rsidR="00D55228" w:rsidRPr="00CD142C" w:rsidRDefault="001540D8">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Admisión del recurso de revisión</w:t>
      </w:r>
      <w:r w:rsidRPr="00CD142C">
        <w:rPr>
          <w:rFonts w:ascii="Palatino Linotype" w:eastAsia="Palatino Linotype" w:hAnsi="Palatino Linotype" w:cs="Palatino Linotype"/>
          <w:sz w:val="24"/>
          <w:szCs w:val="24"/>
        </w:rPr>
        <w:t xml:space="preserve">: En fecha </w:t>
      </w:r>
      <w:r w:rsidRPr="00CD142C">
        <w:rPr>
          <w:rFonts w:ascii="Palatino Linotype" w:eastAsia="Palatino Linotype" w:hAnsi="Palatino Linotype" w:cs="Palatino Linotype"/>
          <w:b/>
          <w:sz w:val="24"/>
          <w:szCs w:val="24"/>
        </w:rPr>
        <w:t>once de septiembre de dos mil veintitrés</w:t>
      </w:r>
      <w:r w:rsidRPr="00CD142C">
        <w:rPr>
          <w:rFonts w:ascii="Palatino Linotype" w:eastAsia="Palatino Linotype" w:hAnsi="Palatino Linotype" w:cs="Palatino Linotype"/>
          <w:sz w:val="24"/>
          <w:szCs w:val="24"/>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presentara su informe justificado. </w:t>
      </w:r>
    </w:p>
    <w:p w14:paraId="7D524C6F" w14:textId="77777777" w:rsidR="00D55228" w:rsidRPr="00CD142C" w:rsidRDefault="00D5522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594B3D2D" w14:textId="77777777" w:rsidR="00D55228" w:rsidRPr="00CD142C" w:rsidRDefault="001540D8">
      <w:pPr>
        <w:numPr>
          <w:ilvl w:val="0"/>
          <w:numId w:val="5"/>
        </w:numPr>
        <w:pBdr>
          <w:top w:val="nil"/>
          <w:left w:val="nil"/>
          <w:bottom w:val="nil"/>
          <w:right w:val="nil"/>
          <w:between w:val="nil"/>
        </w:pBdr>
        <w:tabs>
          <w:tab w:val="left" w:pos="284"/>
        </w:tabs>
        <w:spacing w:after="0" w:line="360" w:lineRule="auto"/>
        <w:ind w:left="0" w:right="49" w:firstLine="0"/>
        <w:jc w:val="both"/>
        <w:rPr>
          <w:rFonts w:ascii="Palatino Linotype" w:eastAsia="Palatino Linotype" w:hAnsi="Palatino Linotype" w:cs="Palatino Linotype"/>
        </w:rPr>
      </w:pPr>
      <w:r w:rsidRPr="00CD142C">
        <w:rPr>
          <w:rFonts w:ascii="Palatino Linotype" w:eastAsia="Palatino Linotype" w:hAnsi="Palatino Linotype" w:cs="Palatino Linotype"/>
          <w:b/>
          <w:sz w:val="24"/>
          <w:szCs w:val="24"/>
        </w:rPr>
        <w:t xml:space="preserve">Informe Justificado. </w:t>
      </w:r>
      <w:r w:rsidRPr="00CD142C">
        <w:rPr>
          <w:rFonts w:ascii="Palatino Linotype" w:eastAsia="Palatino Linotype" w:hAnsi="Palatino Linotype" w:cs="Palatino Linotype"/>
          <w:sz w:val="24"/>
          <w:szCs w:val="24"/>
        </w:rPr>
        <w:t xml:space="preserve">De las constancias que obran en el expediente electrónico aperturado con motivo del presente medio de impugnación, se advierte que durante el periodo de manifestaciones 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 xml:space="preserve">en fecha </w:t>
      </w:r>
      <w:r w:rsidRPr="00CD142C">
        <w:rPr>
          <w:rFonts w:ascii="Palatino Linotype" w:eastAsia="Palatino Linotype" w:hAnsi="Palatino Linotype" w:cs="Palatino Linotype"/>
          <w:b/>
          <w:sz w:val="24"/>
          <w:szCs w:val="24"/>
        </w:rPr>
        <w:t xml:space="preserve">veinte de septiembre de dos mil veintitrés </w:t>
      </w:r>
      <w:r w:rsidRPr="00CD142C">
        <w:rPr>
          <w:rFonts w:ascii="Palatino Linotype" w:eastAsia="Palatino Linotype" w:hAnsi="Palatino Linotype" w:cs="Palatino Linotype"/>
          <w:sz w:val="24"/>
          <w:szCs w:val="24"/>
        </w:rPr>
        <w:t xml:space="preserve">rindió su informe justificado, a través de los archivos electrónicos que contienen la información siguiente: </w:t>
      </w:r>
    </w:p>
    <w:p w14:paraId="3676D51E" w14:textId="77777777" w:rsidR="00D55228" w:rsidRPr="00CD142C" w:rsidRDefault="00D55228">
      <w:pPr>
        <w:pBdr>
          <w:top w:val="nil"/>
          <w:left w:val="nil"/>
          <w:bottom w:val="nil"/>
          <w:right w:val="nil"/>
          <w:between w:val="nil"/>
        </w:pBdr>
        <w:spacing w:after="0"/>
        <w:ind w:left="720"/>
        <w:rPr>
          <w:rFonts w:ascii="Palatino Linotype" w:eastAsia="Palatino Linotype" w:hAnsi="Palatino Linotype" w:cs="Palatino Linotype"/>
          <w:b/>
        </w:rPr>
      </w:pPr>
    </w:p>
    <w:p w14:paraId="07DABDB6" w14:textId="77777777" w:rsidR="00D55228" w:rsidRPr="00CD142C" w:rsidRDefault="001540D8">
      <w:pPr>
        <w:numPr>
          <w:ilvl w:val="0"/>
          <w:numId w:val="7"/>
        </w:numPr>
        <w:pBdr>
          <w:top w:val="nil"/>
          <w:left w:val="nil"/>
          <w:bottom w:val="nil"/>
          <w:right w:val="nil"/>
          <w:between w:val="nil"/>
        </w:pBdr>
        <w:spacing w:after="0"/>
        <w:jc w:val="both"/>
        <w:rPr>
          <w:b/>
        </w:rPr>
      </w:pPr>
      <w:r w:rsidRPr="00CD142C">
        <w:rPr>
          <w:rFonts w:ascii="Palatino Linotype" w:eastAsia="Palatino Linotype" w:hAnsi="Palatino Linotype" w:cs="Palatino Linotype"/>
          <w:b/>
          <w:i/>
        </w:rPr>
        <w:t>“Informe justificado RR-5464.pdf”</w:t>
      </w:r>
      <w:r w:rsidRPr="00CD142C">
        <w:rPr>
          <w:rFonts w:ascii="Palatino Linotype" w:eastAsia="Palatino Linotype" w:hAnsi="Palatino Linotype" w:cs="Palatino Linotype"/>
          <w:b/>
        </w:rPr>
        <w:t xml:space="preserve">: </w:t>
      </w:r>
      <w:r w:rsidRPr="00CD142C">
        <w:rPr>
          <w:rFonts w:ascii="Palatino Linotype" w:eastAsia="Palatino Linotype" w:hAnsi="Palatino Linotype" w:cs="Palatino Linotype"/>
        </w:rPr>
        <w:t>Oficio número 20600007000000S/UIPPE/1481/2023 del diecinueve de septiembre de dos mil veintitrés, a través del cual la Jefa de la UIPPE y Titular de la Unidad de Transparencia rindió informe justificado, señalando que con relación al acto impugnado así como las razones o motivos de inconformidad hechas valer en el recurso de revisión, se ampliaba y fortalecía la respuesta otorgada inicialmente; y, en tal virtud, se indicó que se volvió a requerir lo peticionado al servidor público habilitado de la Oficialía Mayor obteniendo lo siguiente:</w:t>
      </w:r>
    </w:p>
    <w:p w14:paraId="6DACB27A" w14:textId="77777777" w:rsidR="00D55228" w:rsidRPr="00CD142C" w:rsidRDefault="00D55228">
      <w:pPr>
        <w:pBdr>
          <w:top w:val="nil"/>
          <w:left w:val="nil"/>
          <w:bottom w:val="nil"/>
          <w:right w:val="nil"/>
          <w:between w:val="nil"/>
        </w:pBdr>
        <w:spacing w:after="0"/>
        <w:ind w:left="360"/>
        <w:jc w:val="both"/>
        <w:rPr>
          <w:rFonts w:ascii="Palatino Linotype" w:eastAsia="Palatino Linotype" w:hAnsi="Palatino Linotype" w:cs="Palatino Linotype"/>
          <w:b/>
          <w:i/>
        </w:rPr>
      </w:pPr>
    </w:p>
    <w:p w14:paraId="1547D77A" w14:textId="77777777" w:rsidR="00D55228" w:rsidRPr="00CD142C" w:rsidRDefault="001540D8">
      <w:pPr>
        <w:pBdr>
          <w:top w:val="nil"/>
          <w:left w:val="nil"/>
          <w:bottom w:val="nil"/>
          <w:right w:val="nil"/>
          <w:between w:val="nil"/>
        </w:pBdr>
        <w:spacing w:after="0"/>
        <w:ind w:left="360"/>
        <w:jc w:val="both"/>
        <w:rPr>
          <w:rFonts w:ascii="Palatino Linotype" w:eastAsia="Palatino Linotype" w:hAnsi="Palatino Linotype" w:cs="Palatino Linotype"/>
        </w:rPr>
      </w:pPr>
      <w:r w:rsidRPr="00CD142C">
        <w:rPr>
          <w:rFonts w:ascii="Palatino Linotype" w:eastAsia="Palatino Linotype" w:hAnsi="Palatino Linotype" w:cs="Palatino Linotype"/>
          <w:b/>
        </w:rPr>
        <w:lastRenderedPageBreak/>
        <w:t>-</w:t>
      </w:r>
      <w:r w:rsidRPr="00CD142C">
        <w:rPr>
          <w:rFonts w:ascii="Palatino Linotype" w:eastAsia="Palatino Linotype" w:hAnsi="Palatino Linotype" w:cs="Palatino Linotype"/>
        </w:rPr>
        <w:t>Sobre los inmuebles que la Secretaría de Seguridad tiene arrendados, se indicó que se adjuntaba el listado que contiene el nombre del arrendador y la ubicación de los mismos.</w:t>
      </w:r>
    </w:p>
    <w:p w14:paraId="00221F31" w14:textId="77777777" w:rsidR="00D55228" w:rsidRPr="00CD142C" w:rsidRDefault="00D55228">
      <w:pPr>
        <w:pBdr>
          <w:top w:val="nil"/>
          <w:left w:val="nil"/>
          <w:bottom w:val="nil"/>
          <w:right w:val="nil"/>
          <w:between w:val="nil"/>
        </w:pBdr>
        <w:spacing w:after="0"/>
        <w:ind w:left="360"/>
        <w:jc w:val="both"/>
        <w:rPr>
          <w:rFonts w:ascii="Palatino Linotype" w:eastAsia="Palatino Linotype" w:hAnsi="Palatino Linotype" w:cs="Palatino Linotype"/>
        </w:rPr>
      </w:pPr>
    </w:p>
    <w:p w14:paraId="3813534C" w14:textId="77777777" w:rsidR="00D55228" w:rsidRPr="00CD142C" w:rsidRDefault="001540D8">
      <w:pPr>
        <w:pBdr>
          <w:top w:val="nil"/>
          <w:left w:val="nil"/>
          <w:bottom w:val="nil"/>
          <w:right w:val="nil"/>
          <w:between w:val="nil"/>
        </w:pBdr>
        <w:spacing w:after="0"/>
        <w:ind w:left="360"/>
        <w:jc w:val="both"/>
        <w:rPr>
          <w:rFonts w:ascii="Palatino Linotype" w:eastAsia="Palatino Linotype" w:hAnsi="Palatino Linotype" w:cs="Palatino Linotype"/>
        </w:rPr>
      </w:pPr>
      <w:r w:rsidRPr="00CD142C">
        <w:rPr>
          <w:rFonts w:ascii="Palatino Linotype" w:eastAsia="Palatino Linotype" w:hAnsi="Palatino Linotype" w:cs="Palatino Linotype"/>
        </w:rPr>
        <w:t>-En lo relativo al listado de vehículos, se informaba que únicamente se informaron las cifras en razón de que el listado de mérito se encuentra clasificado como información reservada por tratarse del Estado de Fuerza con que cuenta la Secretaría, en atención al acuerdo SS/CT/EXT/IX/001/2022, celebrado en la Novena Sesión Extraordinaria del Comité de Transparencia de la Secretaría de Seguridad, en términos de los artículos 4, 106, fracción I y 113 fracciones I y V de la Ley General de Transparencia y Acceso a la Información Pública; 140, fracciones I y IV de la Ley de Transparencia y Acceso a la Información Pública del Estado de México y Municipios, Y, 81 Fracción II de la Ley de Seguridad del Estado de México, y, Numerales, Séptimo Fracción I, Décimo Octavo y Vigésimo Tercero de los Lineamientos Generales en materia de Clasificación y Desclasificación de la Información, así como para la Elaboración de Versiones Publicas.</w:t>
      </w:r>
    </w:p>
    <w:p w14:paraId="586F62CD" w14:textId="77777777" w:rsidR="00D55228" w:rsidRPr="00CD142C" w:rsidRDefault="00D55228">
      <w:pPr>
        <w:pBdr>
          <w:top w:val="nil"/>
          <w:left w:val="nil"/>
          <w:bottom w:val="nil"/>
          <w:right w:val="nil"/>
          <w:between w:val="nil"/>
        </w:pBdr>
        <w:spacing w:after="0"/>
        <w:ind w:left="360"/>
        <w:jc w:val="both"/>
        <w:rPr>
          <w:rFonts w:ascii="Palatino Linotype" w:eastAsia="Palatino Linotype" w:hAnsi="Palatino Linotype" w:cs="Palatino Linotype"/>
        </w:rPr>
      </w:pPr>
    </w:p>
    <w:p w14:paraId="442E32AE" w14:textId="77777777" w:rsidR="00D55228" w:rsidRPr="00CD142C" w:rsidRDefault="001540D8">
      <w:pPr>
        <w:pBdr>
          <w:top w:val="nil"/>
          <w:left w:val="nil"/>
          <w:bottom w:val="nil"/>
          <w:right w:val="nil"/>
          <w:between w:val="nil"/>
        </w:pBdr>
        <w:spacing w:after="0"/>
        <w:ind w:left="360"/>
        <w:jc w:val="both"/>
        <w:rPr>
          <w:rFonts w:ascii="Palatino Linotype" w:eastAsia="Palatino Linotype" w:hAnsi="Palatino Linotype" w:cs="Palatino Linotype"/>
        </w:rPr>
      </w:pPr>
      <w:r w:rsidRPr="00CD142C">
        <w:rPr>
          <w:rFonts w:ascii="Palatino Linotype" w:eastAsia="Palatino Linotype" w:hAnsi="Palatino Linotype" w:cs="Palatino Linotype"/>
        </w:rPr>
        <w:t>-Finalmente, sobre el capítulo 4000 relativo al presupuesto de ingresos y egresos 2021, 2022 y 2023 de la Secretaría, indica que se le proporcionaron al ahora recurrente los links electrónicos, con el objeto de consultar de manera directa su contenido; no obstante, se indica que de nueva cuenta se ponen a la vista los links de consulta y las capturas de pantalla de la información que se encuentra disponible en los mismos:</w:t>
      </w:r>
    </w:p>
    <w:p w14:paraId="3B5B1FBE" w14:textId="77777777" w:rsidR="00D55228" w:rsidRPr="00CD142C" w:rsidRDefault="00D55228">
      <w:pPr>
        <w:pBdr>
          <w:top w:val="nil"/>
          <w:left w:val="nil"/>
          <w:bottom w:val="nil"/>
          <w:right w:val="nil"/>
          <w:between w:val="nil"/>
        </w:pBdr>
        <w:spacing w:after="0"/>
        <w:ind w:left="360"/>
        <w:jc w:val="both"/>
        <w:rPr>
          <w:rFonts w:ascii="Palatino Linotype" w:eastAsia="Palatino Linotype" w:hAnsi="Palatino Linotype" w:cs="Palatino Linotype"/>
        </w:rPr>
      </w:pPr>
    </w:p>
    <w:p w14:paraId="31DD9065" w14:textId="77777777" w:rsidR="00D55228" w:rsidRPr="00CD142C" w:rsidRDefault="001540D8">
      <w:pPr>
        <w:pBdr>
          <w:top w:val="nil"/>
          <w:left w:val="nil"/>
          <w:bottom w:val="nil"/>
          <w:right w:val="nil"/>
          <w:between w:val="nil"/>
        </w:pBdr>
        <w:spacing w:after="0"/>
        <w:ind w:left="360"/>
        <w:jc w:val="both"/>
        <w:rPr>
          <w:rFonts w:ascii="Palatino Linotype" w:eastAsia="Palatino Linotype" w:hAnsi="Palatino Linotype" w:cs="Palatino Linotype"/>
        </w:rPr>
      </w:pPr>
      <w:r w:rsidRPr="00CD142C">
        <w:rPr>
          <w:rFonts w:ascii="Palatino Linotype" w:eastAsia="Palatino Linotype" w:hAnsi="Palatino Linotype" w:cs="Palatino Linotype"/>
          <w:noProof/>
        </w:rPr>
        <w:drawing>
          <wp:inline distT="0" distB="0" distL="0" distR="0" wp14:anchorId="41502450" wp14:editId="3A8DF6E4">
            <wp:extent cx="5610225" cy="2571750"/>
            <wp:effectExtent l="0" t="0" r="0" b="0"/>
            <wp:docPr id="1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8"/>
                    <a:srcRect/>
                    <a:stretch>
                      <a:fillRect/>
                    </a:stretch>
                  </pic:blipFill>
                  <pic:spPr>
                    <a:xfrm>
                      <a:off x="0" y="0"/>
                      <a:ext cx="5610225" cy="2571750"/>
                    </a:xfrm>
                    <a:prstGeom prst="rect">
                      <a:avLst/>
                    </a:prstGeom>
                    <a:ln/>
                  </pic:spPr>
                </pic:pic>
              </a:graphicData>
            </a:graphic>
          </wp:inline>
        </w:drawing>
      </w:r>
    </w:p>
    <w:p w14:paraId="1BF93A66" w14:textId="77777777" w:rsidR="00D55228" w:rsidRPr="00CD142C" w:rsidRDefault="001540D8">
      <w:pPr>
        <w:pBdr>
          <w:top w:val="nil"/>
          <w:left w:val="nil"/>
          <w:bottom w:val="nil"/>
          <w:right w:val="nil"/>
          <w:between w:val="nil"/>
        </w:pBdr>
        <w:spacing w:after="0"/>
        <w:ind w:left="360"/>
        <w:jc w:val="center"/>
        <w:rPr>
          <w:rFonts w:ascii="Palatino Linotype" w:eastAsia="Palatino Linotype" w:hAnsi="Palatino Linotype" w:cs="Palatino Linotype"/>
          <w:b/>
        </w:rPr>
      </w:pPr>
      <w:r w:rsidRPr="00CD142C">
        <w:rPr>
          <w:rFonts w:ascii="Palatino Linotype" w:eastAsia="Palatino Linotype" w:hAnsi="Palatino Linotype" w:cs="Palatino Linotype"/>
          <w:b/>
        </w:rPr>
        <w:t>[…]</w:t>
      </w:r>
    </w:p>
    <w:p w14:paraId="43422E60" w14:textId="77777777" w:rsidR="00D55228" w:rsidRPr="00CD142C" w:rsidRDefault="001540D8">
      <w:pPr>
        <w:pBdr>
          <w:top w:val="nil"/>
          <w:left w:val="nil"/>
          <w:bottom w:val="nil"/>
          <w:right w:val="nil"/>
          <w:between w:val="nil"/>
        </w:pBdr>
        <w:spacing w:after="0"/>
        <w:ind w:left="360"/>
        <w:rPr>
          <w:rFonts w:ascii="Palatino Linotype" w:eastAsia="Palatino Linotype" w:hAnsi="Palatino Linotype" w:cs="Palatino Linotype"/>
          <w:b/>
          <w:u w:val="single"/>
        </w:rPr>
      </w:pPr>
      <w:r w:rsidRPr="00CD142C">
        <w:rPr>
          <w:rFonts w:ascii="Palatino Linotype" w:eastAsia="Palatino Linotype" w:hAnsi="Palatino Linotype" w:cs="Palatino Linotype"/>
          <w:b/>
          <w:u w:val="single"/>
        </w:rPr>
        <w:t>Respecto del Ejercicio 2021:</w:t>
      </w:r>
    </w:p>
    <w:p w14:paraId="5CF9F21D" w14:textId="77777777" w:rsidR="00D55228" w:rsidRPr="00CD142C" w:rsidRDefault="001540D8">
      <w:pPr>
        <w:pBdr>
          <w:top w:val="nil"/>
          <w:left w:val="nil"/>
          <w:bottom w:val="nil"/>
          <w:right w:val="nil"/>
          <w:between w:val="nil"/>
        </w:pBdr>
        <w:spacing w:after="0"/>
        <w:ind w:left="360"/>
        <w:jc w:val="center"/>
      </w:pPr>
      <w:r w:rsidRPr="00CD142C">
        <w:rPr>
          <w:rFonts w:ascii="Palatino Linotype" w:eastAsia="Palatino Linotype" w:hAnsi="Palatino Linotype" w:cs="Palatino Linotype"/>
          <w:b/>
          <w:noProof/>
        </w:rPr>
        <w:lastRenderedPageBreak/>
        <w:drawing>
          <wp:inline distT="0" distB="0" distL="0" distR="0" wp14:anchorId="73455CE5" wp14:editId="4709B5C0">
            <wp:extent cx="2600325" cy="3133725"/>
            <wp:effectExtent l="3175" t="3175" r="3175" b="3175"/>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600325" cy="3133725"/>
                    </a:xfrm>
                    <a:prstGeom prst="rect">
                      <a:avLst/>
                    </a:prstGeom>
                    <a:ln w="3175">
                      <a:solidFill>
                        <a:srgbClr val="000000"/>
                      </a:solidFill>
                      <a:prstDash val="solid"/>
                    </a:ln>
                  </pic:spPr>
                </pic:pic>
              </a:graphicData>
            </a:graphic>
          </wp:inline>
        </w:drawing>
      </w:r>
      <w:r w:rsidRPr="00CD142C">
        <w:t xml:space="preserve"> </w:t>
      </w:r>
      <w:r w:rsidRPr="00CD142C">
        <w:rPr>
          <w:rFonts w:ascii="Palatino Linotype" w:eastAsia="Palatino Linotype" w:hAnsi="Palatino Linotype" w:cs="Palatino Linotype"/>
          <w:b/>
          <w:noProof/>
        </w:rPr>
        <w:drawing>
          <wp:inline distT="0" distB="0" distL="0" distR="0" wp14:anchorId="5A8E6AA1" wp14:editId="249D8133">
            <wp:extent cx="2721773" cy="3162624"/>
            <wp:effectExtent l="3175" t="3175" r="3175" b="3175"/>
            <wp:docPr id="1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l="9864" r="9524"/>
                    <a:stretch>
                      <a:fillRect/>
                    </a:stretch>
                  </pic:blipFill>
                  <pic:spPr>
                    <a:xfrm>
                      <a:off x="0" y="0"/>
                      <a:ext cx="2721773" cy="3162624"/>
                    </a:xfrm>
                    <a:prstGeom prst="rect">
                      <a:avLst/>
                    </a:prstGeom>
                    <a:ln w="3175">
                      <a:solidFill>
                        <a:srgbClr val="000000"/>
                      </a:solidFill>
                      <a:prstDash val="solid"/>
                    </a:ln>
                  </pic:spPr>
                </pic:pic>
              </a:graphicData>
            </a:graphic>
          </wp:inline>
        </w:drawing>
      </w:r>
    </w:p>
    <w:p w14:paraId="7BCA292F" w14:textId="77777777" w:rsidR="00D55228" w:rsidRPr="00CD142C" w:rsidRDefault="00D55228">
      <w:pPr>
        <w:pBdr>
          <w:top w:val="nil"/>
          <w:left w:val="nil"/>
          <w:bottom w:val="nil"/>
          <w:right w:val="nil"/>
          <w:between w:val="nil"/>
        </w:pBdr>
        <w:spacing w:after="0"/>
        <w:ind w:left="360"/>
        <w:jc w:val="center"/>
      </w:pPr>
    </w:p>
    <w:p w14:paraId="159AEA6F" w14:textId="77777777" w:rsidR="00D55228" w:rsidRPr="00CD142C" w:rsidRDefault="001540D8">
      <w:pPr>
        <w:pBdr>
          <w:top w:val="nil"/>
          <w:left w:val="nil"/>
          <w:bottom w:val="nil"/>
          <w:right w:val="nil"/>
          <w:between w:val="nil"/>
        </w:pBdr>
        <w:spacing w:after="0"/>
        <w:ind w:left="360"/>
        <w:rPr>
          <w:rFonts w:ascii="Palatino Linotype" w:eastAsia="Palatino Linotype" w:hAnsi="Palatino Linotype" w:cs="Palatino Linotype"/>
          <w:b/>
          <w:u w:val="single"/>
        </w:rPr>
      </w:pPr>
      <w:r w:rsidRPr="00CD142C">
        <w:rPr>
          <w:rFonts w:ascii="Palatino Linotype" w:eastAsia="Palatino Linotype" w:hAnsi="Palatino Linotype" w:cs="Palatino Linotype"/>
          <w:b/>
          <w:u w:val="single"/>
        </w:rPr>
        <w:t>Respecto del Ejercicio 2022:</w:t>
      </w:r>
    </w:p>
    <w:p w14:paraId="73206FA0" w14:textId="77777777" w:rsidR="00D55228" w:rsidRPr="00CD142C" w:rsidRDefault="00D55228">
      <w:pPr>
        <w:pBdr>
          <w:top w:val="nil"/>
          <w:left w:val="nil"/>
          <w:bottom w:val="nil"/>
          <w:right w:val="nil"/>
          <w:between w:val="nil"/>
        </w:pBdr>
        <w:spacing w:after="0"/>
        <w:ind w:left="360"/>
        <w:rPr>
          <w:rFonts w:ascii="Palatino Linotype" w:eastAsia="Palatino Linotype" w:hAnsi="Palatino Linotype" w:cs="Palatino Linotype"/>
          <w:b/>
        </w:rPr>
      </w:pPr>
    </w:p>
    <w:p w14:paraId="3E673C05" w14:textId="77777777" w:rsidR="00D55228" w:rsidRPr="00CD142C" w:rsidRDefault="001540D8">
      <w:pPr>
        <w:pBdr>
          <w:top w:val="nil"/>
          <w:left w:val="nil"/>
          <w:bottom w:val="nil"/>
          <w:right w:val="nil"/>
          <w:between w:val="nil"/>
        </w:pBdr>
        <w:spacing w:after="0"/>
        <w:ind w:left="360"/>
      </w:pPr>
      <w:r w:rsidRPr="00CD142C">
        <w:rPr>
          <w:rFonts w:ascii="Palatino Linotype" w:eastAsia="Palatino Linotype" w:hAnsi="Palatino Linotype" w:cs="Palatino Linotype"/>
          <w:b/>
          <w:noProof/>
        </w:rPr>
        <w:drawing>
          <wp:inline distT="0" distB="0" distL="0" distR="0" wp14:anchorId="49724BC8" wp14:editId="40D211B8">
            <wp:extent cx="2614206" cy="2995842"/>
            <wp:effectExtent l="3175" t="3175" r="3175" b="3175"/>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2614206" cy="2995842"/>
                    </a:xfrm>
                    <a:prstGeom prst="rect">
                      <a:avLst/>
                    </a:prstGeom>
                    <a:ln w="3175">
                      <a:solidFill>
                        <a:srgbClr val="000000"/>
                      </a:solidFill>
                      <a:prstDash val="solid"/>
                    </a:ln>
                  </pic:spPr>
                </pic:pic>
              </a:graphicData>
            </a:graphic>
          </wp:inline>
        </w:drawing>
      </w:r>
      <w:r w:rsidRPr="00CD142C">
        <w:t xml:space="preserve"> </w:t>
      </w:r>
      <w:r w:rsidRPr="00CD142C">
        <w:rPr>
          <w:rFonts w:ascii="Palatino Linotype" w:eastAsia="Palatino Linotype" w:hAnsi="Palatino Linotype" w:cs="Palatino Linotype"/>
          <w:b/>
          <w:noProof/>
        </w:rPr>
        <w:drawing>
          <wp:inline distT="0" distB="0" distL="0" distR="0" wp14:anchorId="55FEA66B" wp14:editId="25434A43">
            <wp:extent cx="2800749" cy="2981750"/>
            <wp:effectExtent l="3175" t="3175" r="3175" b="3175"/>
            <wp:docPr id="1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2"/>
                    <a:srcRect/>
                    <a:stretch>
                      <a:fillRect/>
                    </a:stretch>
                  </pic:blipFill>
                  <pic:spPr>
                    <a:xfrm>
                      <a:off x="0" y="0"/>
                      <a:ext cx="2800749" cy="2981750"/>
                    </a:xfrm>
                    <a:prstGeom prst="rect">
                      <a:avLst/>
                    </a:prstGeom>
                    <a:ln w="3175">
                      <a:solidFill>
                        <a:srgbClr val="000000"/>
                      </a:solidFill>
                      <a:prstDash val="solid"/>
                    </a:ln>
                  </pic:spPr>
                </pic:pic>
              </a:graphicData>
            </a:graphic>
          </wp:inline>
        </w:drawing>
      </w:r>
    </w:p>
    <w:p w14:paraId="19765F10" w14:textId="77777777" w:rsidR="00D55228" w:rsidRPr="00CD142C" w:rsidRDefault="001540D8">
      <w:pPr>
        <w:pBdr>
          <w:top w:val="nil"/>
          <w:left w:val="nil"/>
          <w:bottom w:val="nil"/>
          <w:right w:val="nil"/>
          <w:between w:val="nil"/>
        </w:pBdr>
        <w:spacing w:after="0"/>
        <w:ind w:left="360"/>
        <w:jc w:val="center"/>
        <w:rPr>
          <w:rFonts w:ascii="Palatino Linotype" w:eastAsia="Palatino Linotype" w:hAnsi="Palatino Linotype" w:cs="Palatino Linotype"/>
          <w:b/>
        </w:rPr>
      </w:pPr>
      <w:r w:rsidRPr="00CD142C">
        <w:rPr>
          <w:rFonts w:ascii="Palatino Linotype" w:eastAsia="Palatino Linotype" w:hAnsi="Palatino Linotype" w:cs="Palatino Linotype"/>
          <w:b/>
          <w:noProof/>
        </w:rPr>
        <w:lastRenderedPageBreak/>
        <w:drawing>
          <wp:inline distT="0" distB="0" distL="0" distR="0" wp14:anchorId="2184BBB1" wp14:editId="7C21367C">
            <wp:extent cx="4143953" cy="3439005"/>
            <wp:effectExtent l="3175" t="3175" r="3175" b="3175"/>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3"/>
                    <a:srcRect/>
                    <a:stretch>
                      <a:fillRect/>
                    </a:stretch>
                  </pic:blipFill>
                  <pic:spPr>
                    <a:xfrm>
                      <a:off x="0" y="0"/>
                      <a:ext cx="4143953" cy="3439005"/>
                    </a:xfrm>
                    <a:prstGeom prst="rect">
                      <a:avLst/>
                    </a:prstGeom>
                    <a:ln w="3175">
                      <a:solidFill>
                        <a:srgbClr val="000000"/>
                      </a:solidFill>
                      <a:prstDash val="solid"/>
                    </a:ln>
                  </pic:spPr>
                </pic:pic>
              </a:graphicData>
            </a:graphic>
          </wp:inline>
        </w:drawing>
      </w:r>
    </w:p>
    <w:p w14:paraId="6D29BB15" w14:textId="77777777" w:rsidR="00D55228" w:rsidRPr="00CD142C" w:rsidRDefault="00D55228">
      <w:pPr>
        <w:pBdr>
          <w:top w:val="nil"/>
          <w:left w:val="nil"/>
          <w:bottom w:val="nil"/>
          <w:right w:val="nil"/>
          <w:between w:val="nil"/>
        </w:pBdr>
        <w:spacing w:after="0"/>
        <w:ind w:left="360"/>
        <w:rPr>
          <w:rFonts w:ascii="Palatino Linotype" w:eastAsia="Palatino Linotype" w:hAnsi="Palatino Linotype" w:cs="Palatino Linotype"/>
          <w:b/>
          <w:u w:val="single"/>
        </w:rPr>
      </w:pPr>
    </w:p>
    <w:p w14:paraId="74FAFF66" w14:textId="77777777" w:rsidR="00D55228" w:rsidRPr="00CD142C" w:rsidRDefault="001540D8">
      <w:pPr>
        <w:pBdr>
          <w:top w:val="nil"/>
          <w:left w:val="nil"/>
          <w:bottom w:val="nil"/>
          <w:right w:val="nil"/>
          <w:between w:val="nil"/>
        </w:pBdr>
        <w:spacing w:after="0"/>
        <w:ind w:left="360"/>
        <w:rPr>
          <w:rFonts w:ascii="Palatino Linotype" w:eastAsia="Palatino Linotype" w:hAnsi="Palatino Linotype" w:cs="Palatino Linotype"/>
          <w:b/>
        </w:rPr>
      </w:pPr>
      <w:r w:rsidRPr="00CD142C">
        <w:rPr>
          <w:rFonts w:ascii="Palatino Linotype" w:eastAsia="Palatino Linotype" w:hAnsi="Palatino Linotype" w:cs="Palatino Linotype"/>
          <w:b/>
          <w:u w:val="single"/>
        </w:rPr>
        <w:t>Respecto del Ejercicio 2023:</w:t>
      </w:r>
    </w:p>
    <w:p w14:paraId="5C24E61D" w14:textId="77777777" w:rsidR="00D55228" w:rsidRPr="00CD142C" w:rsidRDefault="001540D8">
      <w:pPr>
        <w:pBdr>
          <w:top w:val="nil"/>
          <w:left w:val="nil"/>
          <w:bottom w:val="nil"/>
          <w:right w:val="nil"/>
          <w:between w:val="nil"/>
        </w:pBdr>
        <w:spacing w:after="0"/>
        <w:ind w:left="360"/>
        <w:jc w:val="center"/>
        <w:rPr>
          <w:rFonts w:ascii="Palatino Linotype" w:eastAsia="Palatino Linotype" w:hAnsi="Palatino Linotype" w:cs="Palatino Linotype"/>
        </w:rPr>
      </w:pPr>
      <w:r w:rsidRPr="00CD142C">
        <w:rPr>
          <w:rFonts w:ascii="Palatino Linotype" w:eastAsia="Palatino Linotype" w:hAnsi="Palatino Linotype" w:cs="Palatino Linotype"/>
          <w:b/>
          <w:noProof/>
        </w:rPr>
        <w:drawing>
          <wp:inline distT="0" distB="0" distL="0" distR="0" wp14:anchorId="2134344D" wp14:editId="6AC72E2F">
            <wp:extent cx="2650963" cy="2467281"/>
            <wp:effectExtent l="3175" t="3175" r="3175" b="3175"/>
            <wp:docPr id="2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4"/>
                    <a:srcRect/>
                    <a:stretch>
                      <a:fillRect/>
                    </a:stretch>
                  </pic:blipFill>
                  <pic:spPr>
                    <a:xfrm>
                      <a:off x="0" y="0"/>
                      <a:ext cx="2650963" cy="2467281"/>
                    </a:xfrm>
                    <a:prstGeom prst="rect">
                      <a:avLst/>
                    </a:prstGeom>
                    <a:ln w="3175">
                      <a:solidFill>
                        <a:srgbClr val="000000"/>
                      </a:solidFill>
                      <a:prstDash val="solid"/>
                    </a:ln>
                  </pic:spPr>
                </pic:pic>
              </a:graphicData>
            </a:graphic>
          </wp:inline>
        </w:drawing>
      </w:r>
      <w:r w:rsidRPr="00CD142C">
        <w:rPr>
          <w:rFonts w:ascii="Palatino Linotype" w:eastAsia="Palatino Linotype" w:hAnsi="Palatino Linotype" w:cs="Palatino Linotype"/>
          <w:b/>
          <w:noProof/>
        </w:rPr>
        <w:drawing>
          <wp:inline distT="0" distB="0" distL="0" distR="0" wp14:anchorId="7643B476" wp14:editId="1E6F0895">
            <wp:extent cx="2686433" cy="2448274"/>
            <wp:effectExtent l="3175" t="3175" r="3175" b="3175"/>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5"/>
                    <a:srcRect/>
                    <a:stretch>
                      <a:fillRect/>
                    </a:stretch>
                  </pic:blipFill>
                  <pic:spPr>
                    <a:xfrm>
                      <a:off x="0" y="0"/>
                      <a:ext cx="2686433" cy="2448274"/>
                    </a:xfrm>
                    <a:prstGeom prst="rect">
                      <a:avLst/>
                    </a:prstGeom>
                    <a:ln w="3175">
                      <a:solidFill>
                        <a:srgbClr val="000000"/>
                      </a:solidFill>
                      <a:prstDash val="solid"/>
                    </a:ln>
                  </pic:spPr>
                </pic:pic>
              </a:graphicData>
            </a:graphic>
          </wp:inline>
        </w:drawing>
      </w:r>
    </w:p>
    <w:p w14:paraId="0E9CBC55" w14:textId="77777777" w:rsidR="00D55228" w:rsidRPr="00CD142C" w:rsidRDefault="00D55228">
      <w:pPr>
        <w:pBdr>
          <w:top w:val="nil"/>
          <w:left w:val="nil"/>
          <w:bottom w:val="nil"/>
          <w:right w:val="nil"/>
          <w:between w:val="nil"/>
        </w:pBdr>
        <w:spacing w:after="0"/>
        <w:ind w:left="360"/>
        <w:jc w:val="center"/>
        <w:rPr>
          <w:rFonts w:ascii="Palatino Linotype" w:eastAsia="Palatino Linotype" w:hAnsi="Palatino Linotype" w:cs="Palatino Linotype"/>
        </w:rPr>
      </w:pPr>
    </w:p>
    <w:p w14:paraId="2DF1BB88" w14:textId="77777777" w:rsidR="00D55228" w:rsidRPr="00CD142C" w:rsidRDefault="001540D8">
      <w:pPr>
        <w:numPr>
          <w:ilvl w:val="0"/>
          <w:numId w:val="7"/>
        </w:numPr>
        <w:pBdr>
          <w:top w:val="nil"/>
          <w:left w:val="nil"/>
          <w:bottom w:val="nil"/>
          <w:right w:val="nil"/>
          <w:between w:val="nil"/>
        </w:pBdr>
        <w:spacing w:after="0"/>
        <w:jc w:val="both"/>
      </w:pPr>
      <w:r w:rsidRPr="00CD142C">
        <w:rPr>
          <w:rFonts w:ascii="Palatino Linotype" w:eastAsia="Palatino Linotype" w:hAnsi="Palatino Linotype" w:cs="Palatino Linotype"/>
        </w:rPr>
        <w:t>“</w:t>
      </w:r>
      <w:r w:rsidRPr="00CD142C">
        <w:rPr>
          <w:rFonts w:ascii="Palatino Linotype" w:eastAsia="Palatino Linotype" w:hAnsi="Palatino Linotype" w:cs="Palatino Linotype"/>
          <w:b/>
          <w:i/>
        </w:rPr>
        <w:t>ANEXO RR-5464.pdf</w:t>
      </w:r>
      <w:r w:rsidRPr="00CD142C">
        <w:rPr>
          <w:rFonts w:ascii="Palatino Linotype" w:eastAsia="Palatino Linotype" w:hAnsi="Palatino Linotype" w:cs="Palatino Linotype"/>
        </w:rPr>
        <w:t>”: Listado que contiene el nombre del arrendador, la ubicación de los 22 inmuebles que tiene arrendados la Secretaría de Seguridad y el monto con impuesto al valor agregado que se paga por concepto de renta.</w:t>
      </w:r>
    </w:p>
    <w:p w14:paraId="2DB42228" w14:textId="77777777" w:rsidR="00D55228" w:rsidRPr="00CD142C" w:rsidRDefault="001540D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lastRenderedPageBreak/>
        <w:t xml:space="preserve">Documentos los anteriores que se pusieron a la vista de la parte </w:t>
      </w:r>
      <w:r w:rsidRPr="00CD142C">
        <w:rPr>
          <w:rFonts w:ascii="Palatino Linotype" w:eastAsia="Palatino Linotype" w:hAnsi="Palatino Linotype" w:cs="Palatino Linotype"/>
          <w:b/>
          <w:sz w:val="24"/>
          <w:szCs w:val="24"/>
        </w:rPr>
        <w:t>Recurrente</w:t>
      </w:r>
      <w:r w:rsidRPr="00CD142C">
        <w:rPr>
          <w:rFonts w:ascii="Palatino Linotype" w:eastAsia="Palatino Linotype" w:hAnsi="Palatino Linotype" w:cs="Palatino Linotype"/>
          <w:sz w:val="24"/>
          <w:szCs w:val="24"/>
        </w:rPr>
        <w:t xml:space="preserve"> a efecto de que hiciera valer manifestaciones que a su derecho resultaran convenientes, o bien rindiera alegatos; no obstante fue omisa en ejercer dicha prerrogativa.</w:t>
      </w:r>
    </w:p>
    <w:p w14:paraId="728F1286" w14:textId="77777777" w:rsidR="00D55228" w:rsidRPr="00CD142C" w:rsidRDefault="00D55228">
      <w:pPr>
        <w:pBdr>
          <w:top w:val="nil"/>
          <w:left w:val="nil"/>
          <w:bottom w:val="nil"/>
          <w:right w:val="nil"/>
          <w:between w:val="nil"/>
        </w:pBdr>
        <w:tabs>
          <w:tab w:val="left" w:pos="284"/>
        </w:tabs>
        <w:spacing w:after="0" w:line="360" w:lineRule="auto"/>
        <w:ind w:right="49"/>
        <w:jc w:val="both"/>
        <w:rPr>
          <w:rFonts w:ascii="Palatino Linotype" w:eastAsia="Palatino Linotype" w:hAnsi="Palatino Linotype" w:cs="Palatino Linotype"/>
          <w:b/>
        </w:rPr>
      </w:pPr>
    </w:p>
    <w:p w14:paraId="75C68F25" w14:textId="77777777" w:rsidR="00D55228" w:rsidRPr="00CD142C" w:rsidRDefault="001540D8">
      <w:pPr>
        <w:numPr>
          <w:ilvl w:val="0"/>
          <w:numId w:val="5"/>
        </w:numPr>
        <w:pBdr>
          <w:top w:val="nil"/>
          <w:left w:val="nil"/>
          <w:bottom w:val="nil"/>
          <w:right w:val="nil"/>
          <w:between w:val="nil"/>
        </w:pBdr>
        <w:tabs>
          <w:tab w:val="left" w:pos="360"/>
        </w:tabs>
        <w:spacing w:after="0" w:line="360" w:lineRule="auto"/>
        <w:ind w:left="0" w:right="49" w:firstLine="0"/>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Ampliación de plazo:</w:t>
      </w:r>
      <w:r w:rsidRPr="00CD142C">
        <w:rPr>
          <w:rFonts w:ascii="Palatino Linotype" w:eastAsia="Palatino Linotype" w:hAnsi="Palatino Linotype" w:cs="Palatino Linotype"/>
          <w:sz w:val="24"/>
          <w:szCs w:val="24"/>
        </w:rPr>
        <w:t xml:space="preserve"> El</w:t>
      </w:r>
      <w:r w:rsidRPr="00CD142C">
        <w:rPr>
          <w:rFonts w:ascii="Palatino Linotype" w:eastAsia="Palatino Linotype" w:hAnsi="Palatino Linotype" w:cs="Palatino Linotype"/>
          <w:b/>
          <w:sz w:val="24"/>
          <w:szCs w:val="24"/>
        </w:rPr>
        <w:t xml:space="preserve"> veintitrés de febrero de dos mil veinticuatro</w:t>
      </w:r>
      <w:r w:rsidRPr="00CD142C">
        <w:rPr>
          <w:rFonts w:ascii="Palatino Linotype" w:eastAsia="Palatino Linotype" w:hAnsi="Palatino Linotype" w:cs="Palatino Linotype"/>
          <w:sz w:val="24"/>
          <w:szCs w:val="24"/>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5D6E7101"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70F22939"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15246533"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 </w:t>
      </w:r>
    </w:p>
    <w:p w14:paraId="304B01D0"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48914973"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 </w:t>
      </w:r>
    </w:p>
    <w:p w14:paraId="08BBA629"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1E21D28"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7A854C16"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6C4EFE9"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2C34AAAB"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7B84209C"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16E3ED3F" w14:textId="77777777" w:rsidR="00D55228" w:rsidRPr="00CD142C" w:rsidRDefault="001540D8">
      <w:pPr>
        <w:tabs>
          <w:tab w:val="left" w:pos="709"/>
        </w:tabs>
        <w:spacing w:after="0" w:line="360" w:lineRule="auto"/>
        <w:ind w:left="567" w:right="560"/>
        <w:jc w:val="both"/>
        <w:rPr>
          <w:rFonts w:ascii="Palatino Linotype" w:eastAsia="Palatino Linotype" w:hAnsi="Palatino Linotype" w:cs="Palatino Linotype"/>
        </w:rPr>
      </w:pPr>
      <w:r w:rsidRPr="00CD142C">
        <w:rPr>
          <w:rFonts w:ascii="Palatino Linotype" w:eastAsia="Palatino Linotype" w:hAnsi="Palatino Linotype" w:cs="Palatino Linotype"/>
          <w:b/>
          <w:sz w:val="24"/>
          <w:szCs w:val="24"/>
        </w:rPr>
        <w:t>a</w:t>
      </w:r>
      <w:r w:rsidRPr="00CD142C">
        <w:rPr>
          <w:rFonts w:ascii="Palatino Linotype" w:eastAsia="Palatino Linotype" w:hAnsi="Palatino Linotype" w:cs="Palatino Linotype"/>
          <w:b/>
        </w:rPr>
        <w:t>)    Complejidad del asunto:</w:t>
      </w:r>
      <w:r w:rsidRPr="00CD142C">
        <w:rPr>
          <w:rFonts w:ascii="Palatino Linotype" w:eastAsia="Palatino Linotype" w:hAnsi="Palatino Linotype" w:cs="Palatino Linotype"/>
        </w:rPr>
        <w:t xml:space="preserve"> La complejidad de la prueba, la pluralidad de sujetos procesales, el tiempo transcurrido, las características y contexto del recurso.</w:t>
      </w:r>
    </w:p>
    <w:p w14:paraId="41114501" w14:textId="77777777" w:rsidR="00D55228" w:rsidRPr="00CD142C" w:rsidRDefault="001540D8">
      <w:pPr>
        <w:tabs>
          <w:tab w:val="left" w:pos="709"/>
        </w:tabs>
        <w:spacing w:after="0" w:line="360" w:lineRule="auto"/>
        <w:ind w:left="567" w:right="560"/>
        <w:jc w:val="both"/>
        <w:rPr>
          <w:rFonts w:ascii="Palatino Linotype" w:eastAsia="Palatino Linotype" w:hAnsi="Palatino Linotype" w:cs="Palatino Linotype"/>
        </w:rPr>
      </w:pPr>
      <w:r w:rsidRPr="00CD142C">
        <w:rPr>
          <w:rFonts w:ascii="Palatino Linotype" w:eastAsia="Palatino Linotype" w:hAnsi="Palatino Linotype" w:cs="Palatino Linotype"/>
          <w:b/>
        </w:rPr>
        <w:t>b)   Actividad Procesal del interesado</w:t>
      </w:r>
      <w:r w:rsidRPr="00CD142C">
        <w:rPr>
          <w:rFonts w:ascii="Palatino Linotype" w:eastAsia="Palatino Linotype" w:hAnsi="Palatino Linotype" w:cs="Palatino Linotype"/>
        </w:rPr>
        <w:t>: Acciones u omisiones del interesado.</w:t>
      </w:r>
    </w:p>
    <w:p w14:paraId="4E911D44" w14:textId="77777777" w:rsidR="00D55228" w:rsidRPr="00CD142C" w:rsidRDefault="001540D8">
      <w:pPr>
        <w:tabs>
          <w:tab w:val="left" w:pos="851"/>
        </w:tabs>
        <w:spacing w:after="0" w:line="360" w:lineRule="auto"/>
        <w:ind w:left="567" w:right="560"/>
        <w:jc w:val="both"/>
        <w:rPr>
          <w:rFonts w:ascii="Palatino Linotype" w:eastAsia="Palatino Linotype" w:hAnsi="Palatino Linotype" w:cs="Palatino Linotype"/>
        </w:rPr>
      </w:pPr>
      <w:r w:rsidRPr="00CD142C">
        <w:rPr>
          <w:rFonts w:ascii="Palatino Linotype" w:eastAsia="Palatino Linotype" w:hAnsi="Palatino Linotype" w:cs="Palatino Linotype"/>
          <w:b/>
        </w:rPr>
        <w:t>c)  Conducta de la Autoridad:</w:t>
      </w:r>
      <w:r w:rsidRPr="00CD142C">
        <w:rPr>
          <w:rFonts w:ascii="Palatino Linotype" w:eastAsia="Palatino Linotype" w:hAnsi="Palatino Linotype" w:cs="Palatino Linotype"/>
        </w:rPr>
        <w:t xml:space="preserve"> Las Acciones u omisiones realizadas en el procedimiento. Así como si la autoridad actuó con la debida diligencia.</w:t>
      </w:r>
    </w:p>
    <w:p w14:paraId="301C94BE" w14:textId="77777777" w:rsidR="00D55228" w:rsidRPr="00CD142C" w:rsidRDefault="001540D8">
      <w:pPr>
        <w:tabs>
          <w:tab w:val="left" w:pos="851"/>
        </w:tabs>
        <w:spacing w:after="0" w:line="360" w:lineRule="auto"/>
        <w:ind w:left="567" w:right="560"/>
        <w:jc w:val="both"/>
        <w:rPr>
          <w:rFonts w:ascii="Palatino Linotype" w:eastAsia="Palatino Linotype" w:hAnsi="Palatino Linotype" w:cs="Palatino Linotype"/>
        </w:rPr>
      </w:pPr>
      <w:r w:rsidRPr="00CD142C">
        <w:rPr>
          <w:rFonts w:ascii="Palatino Linotype" w:eastAsia="Palatino Linotype" w:hAnsi="Palatino Linotype" w:cs="Palatino Linotype"/>
          <w:b/>
        </w:rPr>
        <w:t>d) La afectación generada en la situación jurídica de la persona involucrada en el proceso:</w:t>
      </w:r>
      <w:r w:rsidRPr="00CD142C">
        <w:rPr>
          <w:rFonts w:ascii="Palatino Linotype" w:eastAsia="Palatino Linotype" w:hAnsi="Palatino Linotype" w:cs="Palatino Linotype"/>
        </w:rPr>
        <w:t xml:space="preserve"> Violación a sus derechos humanos.</w:t>
      </w:r>
    </w:p>
    <w:p w14:paraId="53830B19" w14:textId="77777777" w:rsidR="00D55228" w:rsidRPr="00CD142C" w:rsidRDefault="00D55228">
      <w:pPr>
        <w:tabs>
          <w:tab w:val="left" w:pos="851"/>
        </w:tabs>
        <w:spacing w:after="0" w:line="360" w:lineRule="auto"/>
        <w:ind w:left="567" w:right="560"/>
        <w:jc w:val="both"/>
        <w:rPr>
          <w:rFonts w:ascii="Palatino Linotype" w:eastAsia="Palatino Linotype" w:hAnsi="Palatino Linotype" w:cs="Palatino Linotype"/>
        </w:rPr>
      </w:pPr>
    </w:p>
    <w:p w14:paraId="654DA242"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w:t>
      </w:r>
      <w:r w:rsidRPr="00CD142C">
        <w:rPr>
          <w:rFonts w:ascii="Palatino Linotype" w:eastAsia="Palatino Linotype" w:hAnsi="Palatino Linotype" w:cs="Palatino Linotype"/>
          <w:sz w:val="24"/>
          <w:szCs w:val="24"/>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6E56B88F"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 </w:t>
      </w:r>
    </w:p>
    <w:p w14:paraId="0FF32616"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Argumento que encuentra sustento en la jurisprudencia P./J. 32/92 emitida por el Pleno de la Suprema Corte de Justicia de la Nación de rubro “</w:t>
      </w:r>
      <w:r w:rsidRPr="00CD142C">
        <w:rPr>
          <w:rFonts w:ascii="Palatino Linotype" w:eastAsia="Palatino Linotype" w:hAnsi="Palatino Linotype" w:cs="Palatino Linotype"/>
          <w:b/>
          <w:sz w:val="24"/>
          <w:szCs w:val="24"/>
        </w:rPr>
        <w:t>TÉRMINOS PROCESALES. PARA DETERMINAR SI UN FUNCIONARIO JUDICIAL ACTUÓ INDEBIDAMENTE POR NO RESPETARLOS SE DEBE ATENDER AL PRESUPUESTO QUE CONSIDERÓ EL LEGISLADOR AL FIJARLOS Y LAS CARACTERÍSTICAS DEL CASO.”</w:t>
      </w:r>
      <w:r w:rsidRPr="00CD142C">
        <w:rPr>
          <w:rFonts w:ascii="Palatino Linotype" w:eastAsia="Palatino Linotype" w:hAnsi="Palatino Linotype" w:cs="Palatino Linotype"/>
          <w:sz w:val="24"/>
          <w:szCs w:val="24"/>
        </w:rPr>
        <w:t>, visible en la Gaceta del Seminario Judicial de la Federación con el registro digital 205635.</w:t>
      </w:r>
    </w:p>
    <w:p w14:paraId="7E08CF43"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 </w:t>
      </w:r>
    </w:p>
    <w:p w14:paraId="3304432A"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591659E"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75F4438C"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lastRenderedPageBreak/>
        <w:t>Al respecto, también son de considerar los criterios sostenidos por el Cuarto Tribunal Colegiado en Materia Administrativa del Primer Circuito, cuyos rubros y datos de identificación son los siguientes:</w:t>
      </w:r>
    </w:p>
    <w:p w14:paraId="36D05A4E"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 </w:t>
      </w:r>
    </w:p>
    <w:p w14:paraId="72253355" w14:textId="77777777" w:rsidR="00D55228" w:rsidRPr="00CD142C" w:rsidRDefault="001540D8">
      <w:pPr>
        <w:spacing w:after="0" w:line="276" w:lineRule="auto"/>
        <w:ind w:left="567" w:right="560"/>
        <w:jc w:val="both"/>
        <w:rPr>
          <w:rFonts w:ascii="Palatino Linotype" w:eastAsia="Palatino Linotype" w:hAnsi="Palatino Linotype" w:cs="Palatino Linotype"/>
        </w:rPr>
      </w:pPr>
      <w:r w:rsidRPr="00CD142C">
        <w:rPr>
          <w:rFonts w:ascii="Palatino Linotype" w:eastAsia="Palatino Linotype" w:hAnsi="Palatino Linotype" w:cs="Palatino Linotype"/>
          <w:b/>
        </w:rPr>
        <w:t xml:space="preserve"> “PLAZO RAZONABLE PARA RESOLVER. DIMENSIÓN Y EFECTOS DE ESTE CONCEPTO CUANDO SE ADUCE EXCESIVA CARGA DE TRABAJO.”</w:t>
      </w:r>
      <w:r w:rsidRPr="00CD142C">
        <w:rPr>
          <w:rFonts w:ascii="Palatino Linotype" w:eastAsia="Palatino Linotype" w:hAnsi="Palatino Linotype" w:cs="Palatino Linotype"/>
        </w:rPr>
        <w:t xml:space="preserve"> consultable en el Seminario Judicial de la Federación y su gaceta, con el registro digital 2002351.</w:t>
      </w:r>
    </w:p>
    <w:p w14:paraId="182F2B48" w14:textId="77777777" w:rsidR="00D55228" w:rsidRPr="00CD142C" w:rsidRDefault="001540D8">
      <w:pPr>
        <w:spacing w:after="0" w:line="276" w:lineRule="auto"/>
        <w:ind w:left="567" w:right="560"/>
        <w:jc w:val="both"/>
        <w:rPr>
          <w:rFonts w:ascii="Palatino Linotype" w:eastAsia="Palatino Linotype" w:hAnsi="Palatino Linotype" w:cs="Palatino Linotype"/>
        </w:rPr>
      </w:pPr>
      <w:r w:rsidRPr="00CD142C">
        <w:rPr>
          <w:rFonts w:ascii="Palatino Linotype" w:eastAsia="Palatino Linotype" w:hAnsi="Palatino Linotype" w:cs="Palatino Linotype"/>
        </w:rPr>
        <w:t xml:space="preserve"> </w:t>
      </w:r>
    </w:p>
    <w:p w14:paraId="649C361B" w14:textId="77777777" w:rsidR="00D55228" w:rsidRPr="00CD142C" w:rsidRDefault="001540D8">
      <w:pPr>
        <w:spacing w:after="0" w:line="276" w:lineRule="auto"/>
        <w:ind w:left="567" w:right="560"/>
        <w:jc w:val="both"/>
        <w:rPr>
          <w:rFonts w:ascii="Palatino Linotype" w:eastAsia="Palatino Linotype" w:hAnsi="Palatino Linotype" w:cs="Palatino Linotype"/>
        </w:rPr>
      </w:pPr>
      <w:r w:rsidRPr="00CD142C">
        <w:rPr>
          <w:rFonts w:ascii="Palatino Linotype" w:eastAsia="Palatino Linotype" w:hAnsi="Palatino Linotype" w:cs="Palatino Linotype"/>
          <w:b/>
        </w:rPr>
        <w:t>“PLAZO RAZONABLE PARA RESOLVER. CONCEPTO Y ELEMENTOS QUE LO INTEGRAN A LA LUZ DEL DERECHO INTERNACIONAL DE LOS DERECHOS HUMANOS.”,</w:t>
      </w:r>
      <w:r w:rsidRPr="00CD142C">
        <w:rPr>
          <w:rFonts w:ascii="Palatino Linotype" w:eastAsia="Palatino Linotype" w:hAnsi="Palatino Linotype" w:cs="Palatino Linotype"/>
        </w:rPr>
        <w:t xml:space="preserve"> visible en el Seminario Judicial de la Federación y su gaceta, con el registro digital 2002350.</w:t>
      </w:r>
    </w:p>
    <w:p w14:paraId="57D4988D" w14:textId="77777777" w:rsidR="00D55228" w:rsidRPr="00CD142C" w:rsidRDefault="00D5522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11ED44E6" w14:textId="77777777" w:rsidR="00D55228" w:rsidRPr="00CD142C" w:rsidRDefault="001540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14:paraId="5678DFB4" w14:textId="77777777" w:rsidR="00D55228" w:rsidRPr="00CD142C" w:rsidRDefault="00D5522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62AE669" w14:textId="77777777" w:rsidR="00D55228" w:rsidRPr="00CD142C" w:rsidRDefault="001540D8">
      <w:pPr>
        <w:numPr>
          <w:ilvl w:val="0"/>
          <w:numId w:val="5"/>
        </w:numPr>
        <w:pBdr>
          <w:top w:val="nil"/>
          <w:left w:val="nil"/>
          <w:bottom w:val="nil"/>
          <w:right w:val="nil"/>
          <w:between w:val="nil"/>
        </w:pBdr>
        <w:tabs>
          <w:tab w:val="left" w:pos="142"/>
          <w:tab w:val="left" w:pos="284"/>
        </w:tabs>
        <w:spacing w:after="0" w:line="360" w:lineRule="auto"/>
        <w:ind w:left="0" w:right="49" w:firstLine="0"/>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Cierre de instrucción</w:t>
      </w:r>
      <w:r w:rsidRPr="00CD142C">
        <w:rPr>
          <w:rFonts w:ascii="Palatino Linotype" w:eastAsia="Palatino Linotype" w:hAnsi="Palatino Linotype" w:cs="Palatino Linotype"/>
          <w:sz w:val="24"/>
          <w:szCs w:val="24"/>
        </w:rPr>
        <w:t xml:space="preserve">. En fecha </w:t>
      </w:r>
      <w:r w:rsidRPr="00CD142C">
        <w:rPr>
          <w:rFonts w:ascii="Palatino Linotype" w:eastAsia="Palatino Linotype" w:hAnsi="Palatino Linotype" w:cs="Palatino Linotype"/>
          <w:b/>
          <w:sz w:val="24"/>
          <w:szCs w:val="24"/>
        </w:rPr>
        <w:t>cinco de marzo de dos mil veinticuatro</w:t>
      </w:r>
      <w:r w:rsidRPr="00CD142C">
        <w:rPr>
          <w:rFonts w:ascii="Palatino Linotype" w:eastAsia="Palatino Linotype" w:hAnsi="Palatino Linotype" w:cs="Palatino Linotype"/>
          <w:sz w:val="24"/>
          <w:szCs w:val="24"/>
        </w:rPr>
        <w:t>, la Comisionada Ponente determinó el cierre de instrucción en términos de la fracción VI del artículo 185 de la Ley de Transparencia y Acceso a la Información Pública del Estado de México y Municipios.</w:t>
      </w:r>
    </w:p>
    <w:p w14:paraId="66D64B2B" w14:textId="77777777" w:rsidR="00D55228" w:rsidRPr="00CD142C" w:rsidRDefault="00D5522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60EA8BB"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Debido a que fue debidamente sustanciado el expediente electrónico y no existe diligencia pendiente de desahogo, se emite la Resolución que conforme a Derecho proceda, de acuerdo con los siguientes: </w:t>
      </w:r>
    </w:p>
    <w:p w14:paraId="3B6BEE4B" w14:textId="77777777" w:rsidR="00D55228" w:rsidRPr="00CD142C" w:rsidRDefault="00D5522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36A17D5A" w14:textId="77777777" w:rsidR="00D55228" w:rsidRPr="00CD142C" w:rsidRDefault="001540D8">
      <w:pPr>
        <w:spacing w:after="0" w:line="360" w:lineRule="auto"/>
        <w:ind w:right="49"/>
        <w:jc w:val="center"/>
        <w:rPr>
          <w:rFonts w:ascii="Palatino Linotype" w:eastAsia="Palatino Linotype" w:hAnsi="Palatino Linotype" w:cs="Palatino Linotype"/>
          <w:b/>
          <w:sz w:val="24"/>
          <w:szCs w:val="24"/>
        </w:rPr>
      </w:pPr>
      <w:r w:rsidRPr="00CD142C">
        <w:rPr>
          <w:rFonts w:ascii="Palatino Linotype" w:eastAsia="Palatino Linotype" w:hAnsi="Palatino Linotype" w:cs="Palatino Linotype"/>
          <w:b/>
          <w:sz w:val="24"/>
          <w:szCs w:val="24"/>
        </w:rPr>
        <w:t>II.</w:t>
      </w:r>
      <w:r w:rsidRPr="00CD142C">
        <w:rPr>
          <w:rFonts w:ascii="Palatino Linotype" w:eastAsia="Palatino Linotype" w:hAnsi="Palatino Linotype" w:cs="Palatino Linotype"/>
          <w:b/>
          <w:sz w:val="24"/>
          <w:szCs w:val="24"/>
        </w:rPr>
        <w:tab/>
        <w:t>C O N S I D E R A N D O:</w:t>
      </w:r>
    </w:p>
    <w:p w14:paraId="6C52B1D2"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3B7CB41C"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Primero. Competencia.</w:t>
      </w:r>
      <w:r w:rsidRPr="00CD142C">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A166286"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07CE8C0B"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Segundo. Oportunidad y Procedibilidad del Recurso de Revisión</w:t>
      </w:r>
      <w:r w:rsidRPr="00CD142C">
        <w:rPr>
          <w:rFonts w:ascii="Palatino Linotype" w:eastAsia="Palatino Linotype" w:hAnsi="Palatino Linotype" w:cs="Palatino Linotype"/>
          <w:sz w:val="24"/>
          <w:szCs w:val="24"/>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9DF41EA" w14:textId="77777777" w:rsidR="00D55228" w:rsidRPr="00CD142C" w:rsidRDefault="00D55228">
      <w:pPr>
        <w:spacing w:after="0" w:line="360" w:lineRule="auto"/>
        <w:jc w:val="both"/>
        <w:rPr>
          <w:rFonts w:ascii="Palatino Linotype" w:eastAsia="Palatino Linotype" w:hAnsi="Palatino Linotype" w:cs="Palatino Linotype"/>
        </w:rPr>
      </w:pPr>
    </w:p>
    <w:p w14:paraId="24F05F2A" w14:textId="77777777" w:rsidR="00D55228" w:rsidRPr="00CD142C" w:rsidRDefault="001540D8">
      <w:pPr>
        <w:spacing w:after="0" w:line="360" w:lineRule="auto"/>
        <w:jc w:val="both"/>
        <w:rPr>
          <w:rFonts w:ascii="Palatino Linotype" w:eastAsia="Palatino Linotype" w:hAnsi="Palatino Linotype" w:cs="Palatino Linotype"/>
          <w:sz w:val="24"/>
          <w:szCs w:val="24"/>
        </w:rPr>
      </w:pPr>
      <w:bookmarkStart w:id="5" w:name="_2et92p0" w:colFirst="0" w:colLast="0"/>
      <w:bookmarkEnd w:id="5"/>
      <w:r w:rsidRPr="00CD142C">
        <w:rPr>
          <w:rFonts w:ascii="Palatino Linotype" w:eastAsia="Palatino Linotype" w:hAnsi="Palatino Linotype" w:cs="Palatino Linotype"/>
          <w:sz w:val="24"/>
          <w:szCs w:val="24"/>
        </w:rPr>
        <w:t xml:space="preserve">El recurso de revisión fue interpuesto dentro del plazo de quince días hábiles, previsto en el artículo 178 de la Ley de Transparencia y Acceso a la Información Pública del Estado de México y Municipios, toda vez que 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remitió su respuesta </w:t>
      </w:r>
      <w:r w:rsidRPr="00CD142C">
        <w:rPr>
          <w:rFonts w:ascii="Palatino Linotype" w:eastAsia="Palatino Linotype" w:hAnsi="Palatino Linotype" w:cs="Palatino Linotype"/>
          <w:sz w:val="24"/>
          <w:szCs w:val="24"/>
        </w:rPr>
        <w:lastRenderedPageBreak/>
        <w:t xml:space="preserve">en fecha </w:t>
      </w:r>
      <w:r w:rsidRPr="00CD142C">
        <w:rPr>
          <w:rFonts w:ascii="Palatino Linotype" w:eastAsia="Palatino Linotype" w:hAnsi="Palatino Linotype" w:cs="Palatino Linotype"/>
          <w:b/>
          <w:sz w:val="24"/>
          <w:szCs w:val="24"/>
        </w:rPr>
        <w:t>veintiocho de agosto de dos mil veintitrés</w:t>
      </w:r>
      <w:r w:rsidRPr="00CD142C">
        <w:rPr>
          <w:rFonts w:ascii="Palatino Linotype" w:eastAsia="Palatino Linotype" w:hAnsi="Palatino Linotype" w:cs="Palatino Linotype"/>
          <w:sz w:val="24"/>
          <w:szCs w:val="24"/>
        </w:rPr>
        <w:t>,</w:t>
      </w:r>
      <w:r w:rsidRPr="00CD142C">
        <w:rPr>
          <w:rFonts w:ascii="Palatino Linotype" w:eastAsia="Palatino Linotype" w:hAnsi="Palatino Linotype" w:cs="Palatino Linotype"/>
          <w:b/>
          <w:sz w:val="24"/>
          <w:szCs w:val="24"/>
        </w:rPr>
        <w:t xml:space="preserve"> </w:t>
      </w:r>
      <w:r w:rsidRPr="00CD142C">
        <w:rPr>
          <w:rFonts w:ascii="Palatino Linotype" w:eastAsia="Palatino Linotype" w:hAnsi="Palatino Linotype" w:cs="Palatino Linotype"/>
          <w:sz w:val="24"/>
          <w:szCs w:val="24"/>
        </w:rPr>
        <w:t xml:space="preserve">mientras que el recurso de revisión interpuesto por la parte </w:t>
      </w:r>
      <w:r w:rsidRPr="00CD142C">
        <w:rPr>
          <w:rFonts w:ascii="Palatino Linotype" w:eastAsia="Palatino Linotype" w:hAnsi="Palatino Linotype" w:cs="Palatino Linotype"/>
          <w:b/>
          <w:sz w:val="24"/>
          <w:szCs w:val="24"/>
        </w:rPr>
        <w:t>Recurrente</w:t>
      </w:r>
      <w:r w:rsidRPr="00CD142C">
        <w:rPr>
          <w:rFonts w:ascii="Palatino Linotype" w:eastAsia="Palatino Linotype" w:hAnsi="Palatino Linotype" w:cs="Palatino Linotype"/>
          <w:sz w:val="24"/>
          <w:szCs w:val="24"/>
        </w:rPr>
        <w:t xml:space="preserve"> se tuvo por presentado el </w:t>
      </w:r>
      <w:r w:rsidRPr="00CD142C">
        <w:rPr>
          <w:rFonts w:ascii="Palatino Linotype" w:eastAsia="Palatino Linotype" w:hAnsi="Palatino Linotype" w:cs="Palatino Linotype"/>
          <w:b/>
          <w:sz w:val="24"/>
          <w:szCs w:val="24"/>
        </w:rPr>
        <w:t>seis de septiembre de dos mil veintitrés</w:t>
      </w:r>
      <w:r w:rsidRPr="00CD142C">
        <w:rPr>
          <w:rFonts w:ascii="Palatino Linotype" w:eastAsia="Palatino Linotype" w:hAnsi="Palatino Linotype" w:cs="Palatino Linotype"/>
          <w:sz w:val="24"/>
          <w:szCs w:val="24"/>
        </w:rPr>
        <w:t>, esto es al sexto día hábil siguiente a la fecha en que se tuvo conocimiento de la respuesta impugnada. En este sentido, se concluye que el presente recurso de revisión se encuentra dentro de los márgenes temporales previstos en las disposiciones legales referidas.</w:t>
      </w:r>
    </w:p>
    <w:p w14:paraId="347F87BB"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1B86D0A0" w14:textId="77777777" w:rsidR="00D55228" w:rsidRPr="00CD142C" w:rsidRDefault="001540D8">
      <w:pPr>
        <w:spacing w:after="0" w:line="360" w:lineRule="auto"/>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sz w:val="24"/>
          <w:szCs w:val="24"/>
        </w:rPr>
        <w:t xml:space="preserve">Así también,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w:t>
      </w:r>
      <w:r w:rsidRPr="00CD142C">
        <w:rPr>
          <w:rFonts w:ascii="Palatino Linotype" w:eastAsia="Palatino Linotype" w:hAnsi="Palatino Linotype" w:cs="Palatino Linotype"/>
          <w:b/>
          <w:sz w:val="24"/>
          <w:szCs w:val="24"/>
        </w:rPr>
        <w:t>SAIMEX.</w:t>
      </w:r>
    </w:p>
    <w:p w14:paraId="1DFE4CBD" w14:textId="77777777" w:rsidR="00D55228" w:rsidRPr="00CD142C" w:rsidRDefault="00D55228">
      <w:pPr>
        <w:spacing w:after="0" w:line="360" w:lineRule="auto"/>
        <w:jc w:val="both"/>
        <w:rPr>
          <w:rFonts w:ascii="Palatino Linotype" w:eastAsia="Palatino Linotype" w:hAnsi="Palatino Linotype" w:cs="Palatino Linotype"/>
          <w:b/>
          <w:sz w:val="24"/>
          <w:szCs w:val="24"/>
        </w:rPr>
      </w:pPr>
    </w:p>
    <w:p w14:paraId="3FD2B47E"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Por otro lado, es de suma importancia mencionar que, si bien la parte</w:t>
      </w:r>
      <w:r w:rsidRPr="00CD142C">
        <w:rPr>
          <w:rFonts w:ascii="Palatino Linotype" w:eastAsia="Palatino Linotype" w:hAnsi="Palatino Linotype" w:cs="Palatino Linotype"/>
          <w:b/>
          <w:sz w:val="24"/>
          <w:szCs w:val="24"/>
        </w:rPr>
        <w:t xml:space="preserve"> Recurrente</w:t>
      </w:r>
      <w:r w:rsidRPr="00CD142C">
        <w:rPr>
          <w:rFonts w:ascii="Palatino Linotype" w:eastAsia="Palatino Linotype" w:hAnsi="Palatino Linotype" w:cs="Palatino Linotype"/>
          <w:sz w:val="24"/>
          <w:szCs w:val="24"/>
        </w:rPr>
        <w:t xml:space="preserve"> no proporcionó nombre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11632AB4"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246A0892" w14:textId="77777777" w:rsidR="00D55228" w:rsidRPr="00CD142C" w:rsidRDefault="001540D8">
      <w:pPr>
        <w:spacing w:after="0" w:line="276" w:lineRule="auto"/>
        <w:ind w:left="851" w:right="902"/>
        <w:jc w:val="both"/>
        <w:rPr>
          <w:rFonts w:ascii="Palatino Linotype" w:eastAsia="Palatino Linotype" w:hAnsi="Palatino Linotype" w:cs="Palatino Linotype"/>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Las solicitudes anónimas,</w:t>
      </w:r>
      <w:r w:rsidRPr="00CD142C">
        <w:rPr>
          <w:rFonts w:ascii="Palatino Linotype" w:eastAsia="Palatino Linotype" w:hAnsi="Palatino Linotype" w:cs="Palatino Linotype"/>
          <w:i/>
        </w:rPr>
        <w:t xml:space="preserve"> </w:t>
      </w:r>
      <w:r w:rsidRPr="00CD142C">
        <w:rPr>
          <w:rFonts w:ascii="Palatino Linotype" w:eastAsia="Palatino Linotype" w:hAnsi="Palatino Linotype" w:cs="Palatino Linotype"/>
          <w:b/>
          <w:i/>
        </w:rPr>
        <w:t>con</w:t>
      </w:r>
      <w:r w:rsidRPr="00CD142C">
        <w:rPr>
          <w:rFonts w:ascii="Palatino Linotype" w:eastAsia="Palatino Linotype" w:hAnsi="Palatino Linotype" w:cs="Palatino Linotype"/>
          <w:i/>
        </w:rPr>
        <w:t xml:space="preserve"> nombre incompleto o seudónimo </w:t>
      </w:r>
      <w:r w:rsidRPr="00CD142C">
        <w:rPr>
          <w:rFonts w:ascii="Palatino Linotype" w:eastAsia="Palatino Linotype" w:hAnsi="Palatino Linotype" w:cs="Palatino Linotype"/>
          <w:b/>
          <w:i/>
        </w:rPr>
        <w:t>serán procedentes para su trámite por parte del sujeto obligado ante quien se presente.</w:t>
      </w:r>
      <w:r w:rsidRPr="00CD142C">
        <w:rPr>
          <w:rFonts w:ascii="Palatino Linotype" w:eastAsia="Palatino Linotype" w:hAnsi="Palatino Linotype" w:cs="Palatino Linotype"/>
          <w:i/>
        </w:rPr>
        <w:t xml:space="preserve"> No podrá requerirse información adicional con motivo del nombre proporcionado por el solicitante."</w:t>
      </w:r>
    </w:p>
    <w:p w14:paraId="12D77FF7"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7054DFAC"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Finalmente, se advierte que resulta procedente la interposición del recurso, según lo manifestado por la parte </w:t>
      </w:r>
      <w:r w:rsidRPr="00CD142C">
        <w:rPr>
          <w:rFonts w:ascii="Palatino Linotype" w:eastAsia="Palatino Linotype" w:hAnsi="Palatino Linotype" w:cs="Palatino Linotype"/>
          <w:b/>
          <w:sz w:val="24"/>
          <w:szCs w:val="24"/>
        </w:rPr>
        <w:t>Recurrente</w:t>
      </w:r>
      <w:r w:rsidRPr="00CD142C">
        <w:rPr>
          <w:rFonts w:ascii="Palatino Linotype" w:eastAsia="Palatino Linotype" w:hAnsi="Palatino Linotype" w:cs="Palatino Linotype"/>
          <w:sz w:val="24"/>
          <w:szCs w:val="24"/>
        </w:rPr>
        <w:t xml:space="preserve"> en sus motivos de inconformidad, de acuerdo con el artículo 179, fracción V del ordenamiento legal citado, que a la letra dice: </w:t>
      </w:r>
    </w:p>
    <w:p w14:paraId="0315CB7D" w14:textId="77777777" w:rsidR="00D55228" w:rsidRPr="00CD142C" w:rsidRDefault="00D55228">
      <w:pPr>
        <w:spacing w:after="0" w:line="360" w:lineRule="auto"/>
        <w:jc w:val="both"/>
        <w:rPr>
          <w:rFonts w:ascii="Palatino Linotype" w:eastAsia="Palatino Linotype" w:hAnsi="Palatino Linotype" w:cs="Palatino Linotype"/>
        </w:rPr>
      </w:pPr>
    </w:p>
    <w:p w14:paraId="762C3394" w14:textId="77777777" w:rsidR="00D55228" w:rsidRPr="00CD142C" w:rsidRDefault="001540D8">
      <w:pPr>
        <w:spacing w:after="0" w:line="276" w:lineRule="auto"/>
        <w:ind w:left="567" w:right="902"/>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Artículo 179.</w:t>
      </w:r>
      <w:r w:rsidRPr="00CD142C">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14:paraId="18C3A550" w14:textId="77777777" w:rsidR="00D55228" w:rsidRPr="00CD142C" w:rsidRDefault="001540D8">
      <w:pPr>
        <w:spacing w:after="0" w:line="276" w:lineRule="auto"/>
        <w:ind w:left="567" w:right="902"/>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24A9B1E0" w14:textId="77777777" w:rsidR="001540D8" w:rsidRPr="00CD142C" w:rsidRDefault="001540D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b/>
          <w:i/>
        </w:rPr>
      </w:pPr>
      <w:r w:rsidRPr="00CD142C">
        <w:rPr>
          <w:rFonts w:ascii="Palatino Linotype" w:eastAsia="Palatino Linotype" w:hAnsi="Palatino Linotype" w:cs="Palatino Linotype"/>
          <w:b/>
          <w:i/>
        </w:rPr>
        <w:t>V. La entrega de información incompleta;</w:t>
      </w:r>
    </w:p>
    <w:p w14:paraId="1D19A09D" w14:textId="77777777" w:rsidR="00D55228" w:rsidRPr="00CD142C" w:rsidRDefault="001540D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D142C">
        <w:rPr>
          <w:rFonts w:ascii="Palatino Linotype" w:eastAsia="Palatino Linotype" w:hAnsi="Palatino Linotype" w:cs="Palatino Linotype"/>
          <w:i/>
        </w:rPr>
        <w:t xml:space="preserve"> […]”</w:t>
      </w:r>
    </w:p>
    <w:p w14:paraId="7B337063" w14:textId="77777777" w:rsidR="00D55228" w:rsidRPr="00CD142C" w:rsidRDefault="001540D8">
      <w:pPr>
        <w:pBdr>
          <w:top w:val="nil"/>
          <w:left w:val="nil"/>
          <w:bottom w:val="nil"/>
          <w:right w:val="nil"/>
          <w:between w:val="nil"/>
        </w:pBdr>
        <w:spacing w:after="0" w:line="276" w:lineRule="auto"/>
        <w:ind w:left="567" w:right="902"/>
        <w:jc w:val="right"/>
        <w:rPr>
          <w:rFonts w:ascii="Palatino Linotype" w:eastAsia="Palatino Linotype" w:hAnsi="Palatino Linotype" w:cs="Palatino Linotype"/>
          <w:i/>
        </w:rPr>
      </w:pPr>
      <w:r w:rsidRPr="00CD142C">
        <w:rPr>
          <w:rFonts w:ascii="Palatino Linotype" w:eastAsia="Palatino Linotype" w:hAnsi="Palatino Linotype" w:cs="Palatino Linotype"/>
          <w:i/>
        </w:rPr>
        <w:t>(Énfasis añadido)</w:t>
      </w:r>
    </w:p>
    <w:p w14:paraId="7F6B7F7F" w14:textId="77777777" w:rsidR="00D55228" w:rsidRPr="00CD142C" w:rsidRDefault="00D55228">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5A071CF4" w14:textId="77777777" w:rsidR="00D55228" w:rsidRPr="00CD142C" w:rsidRDefault="001540D8">
      <w:pPr>
        <w:spacing w:after="0" w:line="360" w:lineRule="auto"/>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b/>
          <w:sz w:val="24"/>
          <w:szCs w:val="24"/>
        </w:rPr>
        <w:t xml:space="preserve">Tercero. Materia de la revisión. </w:t>
      </w:r>
      <w:r w:rsidRPr="00CD142C">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w:t>
      </w:r>
      <w:r w:rsidRPr="00CD142C">
        <w:rPr>
          <w:rFonts w:ascii="Palatino Linotype" w:eastAsia="Palatino Linotype" w:hAnsi="Palatino Linotype" w:cs="Palatino Linotype"/>
          <w:b/>
          <w:sz w:val="24"/>
          <w:szCs w:val="24"/>
        </w:rPr>
        <w:t>verificar si la respuesta e informe justificado otorgado por el Sujeto Obligado son adecuados y suficientes para satisfacer el derecho de acceso a la información pública de la parte Recurrente,</w:t>
      </w:r>
      <w:r w:rsidRPr="00CD142C">
        <w:rPr>
          <w:rFonts w:ascii="Palatino Linotype" w:eastAsia="Palatino Linotype" w:hAnsi="Palatino Linotype" w:cs="Palatino Linotype"/>
          <w:sz w:val="24"/>
          <w:szCs w:val="24"/>
        </w:rPr>
        <w:t xml:space="preserve"> o en su defecto, en caso de ser procedente, ordenar la entrega de información oportuna.</w:t>
      </w:r>
    </w:p>
    <w:p w14:paraId="5DEE932E"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2491440C" w14:textId="77777777" w:rsidR="00D55228" w:rsidRPr="00CD142C" w:rsidRDefault="001540D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 xml:space="preserve">Cuarto. Estudio del asunto. </w:t>
      </w:r>
      <w:r w:rsidRPr="00CD142C">
        <w:rPr>
          <w:rFonts w:ascii="Palatino Linotype" w:eastAsia="Palatino Linotype" w:hAnsi="Palatino Linotype" w:cs="Palatino Linotype"/>
          <w:sz w:val="24"/>
          <w:szCs w:val="24"/>
        </w:rPr>
        <w:t xml:space="preserve">Antes de entrar al análisis de los pronunciamientos del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w:t>
      </w:r>
      <w:r w:rsidRPr="00CD142C">
        <w:rPr>
          <w:rFonts w:ascii="Palatino Linotype" w:eastAsia="Palatino Linotype" w:hAnsi="Palatino Linotype" w:cs="Palatino Linotype"/>
          <w:sz w:val="24"/>
          <w:szCs w:val="24"/>
        </w:rPr>
        <w:lastRenderedPageBreak/>
        <w:t>a nivel Constitucional, tal y como lo prevén los arábigos 1 párrafos primero, segundo y tercero y 6 apartado A fracciones I, II, III, IV, V, VI y VII que a la letra señalan:</w:t>
      </w:r>
    </w:p>
    <w:p w14:paraId="73EC4F42" w14:textId="77777777" w:rsidR="00D55228" w:rsidRPr="00CD142C" w:rsidRDefault="00D55228">
      <w:pPr>
        <w:pBdr>
          <w:top w:val="nil"/>
          <w:left w:val="nil"/>
          <w:bottom w:val="nil"/>
          <w:right w:val="nil"/>
          <w:between w:val="nil"/>
        </w:pBdr>
        <w:spacing w:after="0" w:line="360" w:lineRule="auto"/>
        <w:jc w:val="both"/>
      </w:pPr>
    </w:p>
    <w:p w14:paraId="4BA97B15" w14:textId="77777777" w:rsidR="00D55228" w:rsidRPr="00CD142C" w:rsidRDefault="001540D8">
      <w:pPr>
        <w:pBdr>
          <w:top w:val="nil"/>
          <w:left w:val="nil"/>
          <w:bottom w:val="nil"/>
          <w:right w:val="nil"/>
          <w:between w:val="nil"/>
        </w:pBdr>
        <w:spacing w:after="0" w:line="276" w:lineRule="auto"/>
        <w:ind w:left="851" w:right="850"/>
        <w:jc w:val="both"/>
      </w:pPr>
      <w:r w:rsidRPr="00CD142C">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CD142C">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14:paraId="3FE3A1E1" w14:textId="77777777" w:rsidR="00D55228" w:rsidRPr="00CD142C" w:rsidRDefault="001540D8">
      <w:pPr>
        <w:pBdr>
          <w:top w:val="nil"/>
          <w:left w:val="nil"/>
          <w:bottom w:val="nil"/>
          <w:right w:val="nil"/>
          <w:between w:val="nil"/>
        </w:pBdr>
        <w:spacing w:after="0" w:line="276" w:lineRule="auto"/>
        <w:ind w:left="851" w:right="850"/>
        <w:jc w:val="both"/>
      </w:pPr>
      <w:r w:rsidRPr="00CD142C">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14:paraId="1AC618FF" w14:textId="77777777" w:rsidR="00D55228" w:rsidRPr="00CD142C" w:rsidRDefault="001540D8">
      <w:pPr>
        <w:pBdr>
          <w:top w:val="nil"/>
          <w:left w:val="nil"/>
          <w:bottom w:val="nil"/>
          <w:right w:val="nil"/>
          <w:between w:val="nil"/>
        </w:pBdr>
        <w:spacing w:after="0" w:line="276" w:lineRule="auto"/>
        <w:ind w:left="851" w:right="850"/>
        <w:jc w:val="both"/>
      </w:pPr>
      <w:r w:rsidRPr="00CD142C">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CD142C">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14:paraId="3CB9A376" w14:textId="77777777" w:rsidR="00D55228" w:rsidRPr="00CD142C" w:rsidRDefault="001540D8">
      <w:pPr>
        <w:pBdr>
          <w:top w:val="nil"/>
          <w:left w:val="nil"/>
          <w:bottom w:val="nil"/>
          <w:right w:val="nil"/>
          <w:between w:val="nil"/>
        </w:pBdr>
        <w:spacing w:after="0" w:line="276" w:lineRule="auto"/>
        <w:ind w:left="851" w:right="850"/>
        <w:jc w:val="both"/>
      </w:pPr>
      <w:r w:rsidRPr="00CD142C">
        <w:rPr>
          <w:rFonts w:ascii="Palatino Linotype" w:eastAsia="Palatino Linotype" w:hAnsi="Palatino Linotype" w:cs="Palatino Linotype"/>
          <w:i/>
        </w:rPr>
        <w:t>[…]</w:t>
      </w:r>
    </w:p>
    <w:p w14:paraId="38C0C1E1" w14:textId="77777777" w:rsidR="00D55228" w:rsidRPr="00CD142C" w:rsidRDefault="001540D8">
      <w:pPr>
        <w:pBdr>
          <w:top w:val="nil"/>
          <w:left w:val="nil"/>
          <w:bottom w:val="nil"/>
          <w:right w:val="nil"/>
          <w:between w:val="nil"/>
        </w:pBdr>
        <w:spacing w:after="0" w:line="276" w:lineRule="auto"/>
        <w:ind w:left="851" w:right="901"/>
        <w:jc w:val="both"/>
      </w:pPr>
      <w:r w:rsidRPr="00CD142C">
        <w:rPr>
          <w:rFonts w:ascii="Palatino Linotype" w:eastAsia="Palatino Linotype" w:hAnsi="Palatino Linotype" w:cs="Palatino Linotype"/>
          <w:b/>
          <w:i/>
        </w:rPr>
        <w:t>“Artículo 6o.</w:t>
      </w:r>
    </w:p>
    <w:p w14:paraId="55DAB0AD" w14:textId="77777777" w:rsidR="00D55228" w:rsidRPr="00CD142C" w:rsidRDefault="001540D8">
      <w:pPr>
        <w:pBdr>
          <w:top w:val="nil"/>
          <w:left w:val="nil"/>
          <w:bottom w:val="nil"/>
          <w:right w:val="nil"/>
          <w:between w:val="nil"/>
        </w:pBdr>
        <w:spacing w:after="0" w:line="276" w:lineRule="auto"/>
        <w:ind w:left="851" w:right="901"/>
        <w:jc w:val="both"/>
      </w:pPr>
      <w:r w:rsidRPr="00CD142C">
        <w:rPr>
          <w:rFonts w:ascii="Palatino Linotype" w:eastAsia="Palatino Linotype" w:hAnsi="Palatino Linotype" w:cs="Palatino Linotype"/>
          <w:i/>
        </w:rPr>
        <w:t>[...]</w:t>
      </w:r>
    </w:p>
    <w:p w14:paraId="41B8B1D1" w14:textId="77777777" w:rsidR="00D55228" w:rsidRPr="00CD142C" w:rsidRDefault="001540D8">
      <w:pPr>
        <w:pBdr>
          <w:top w:val="nil"/>
          <w:left w:val="nil"/>
          <w:bottom w:val="nil"/>
          <w:right w:val="nil"/>
          <w:between w:val="nil"/>
        </w:pBdr>
        <w:spacing w:after="0" w:line="276" w:lineRule="auto"/>
        <w:ind w:left="851" w:right="851"/>
        <w:jc w:val="both"/>
      </w:pPr>
      <w:r w:rsidRPr="00CD142C">
        <w:rPr>
          <w:rFonts w:ascii="Palatino Linotype" w:eastAsia="Palatino Linotype" w:hAnsi="Palatino Linotype" w:cs="Palatino Linotype"/>
          <w:b/>
          <w:i/>
        </w:rPr>
        <w:t xml:space="preserve">A. Para el ejercicio del derecho de acceso a la información, la Federación y </w:t>
      </w:r>
      <w:r w:rsidRPr="00CD142C">
        <w:rPr>
          <w:rFonts w:ascii="Palatino Linotype" w:eastAsia="Palatino Linotype" w:hAnsi="Palatino Linotype" w:cs="Palatino Linotype"/>
          <w:b/>
          <w:i/>
          <w:u w:val="single"/>
        </w:rPr>
        <w:t>las entidades federativas</w:t>
      </w:r>
      <w:r w:rsidRPr="00CD142C">
        <w:rPr>
          <w:rFonts w:ascii="Palatino Linotype" w:eastAsia="Palatino Linotype" w:hAnsi="Palatino Linotype" w:cs="Palatino Linotype"/>
          <w:b/>
          <w:i/>
        </w:rPr>
        <w:t>,</w:t>
      </w:r>
      <w:r w:rsidRPr="00CD142C">
        <w:rPr>
          <w:rFonts w:ascii="Palatino Linotype" w:eastAsia="Palatino Linotype" w:hAnsi="Palatino Linotype" w:cs="Palatino Linotype"/>
          <w:i/>
        </w:rPr>
        <w:t xml:space="preserve"> en el ámbito de sus respectivas competencias, se regirán por los siguientes principios y bases:</w:t>
      </w:r>
    </w:p>
    <w:p w14:paraId="658A7803" w14:textId="77777777" w:rsidR="00D55228" w:rsidRPr="00CD142C" w:rsidRDefault="001540D8">
      <w:pPr>
        <w:pBdr>
          <w:top w:val="nil"/>
          <w:left w:val="nil"/>
          <w:bottom w:val="nil"/>
          <w:right w:val="nil"/>
          <w:between w:val="nil"/>
        </w:pBdr>
        <w:spacing w:after="0" w:line="276" w:lineRule="auto"/>
        <w:ind w:left="851" w:right="851"/>
        <w:jc w:val="both"/>
      </w:pPr>
      <w:r w:rsidRPr="00CD142C">
        <w:rPr>
          <w:rFonts w:ascii="Palatino Linotype" w:eastAsia="Palatino Linotype" w:hAnsi="Palatino Linotype" w:cs="Palatino Linotype"/>
          <w:i/>
        </w:rPr>
        <w:t> </w:t>
      </w:r>
      <w:r w:rsidRPr="00CD142C">
        <w:rPr>
          <w:rFonts w:ascii="Palatino Linotype" w:eastAsia="Palatino Linotype" w:hAnsi="Palatino Linotype" w:cs="Palatino Linotype"/>
          <w:b/>
          <w:i/>
        </w:rPr>
        <w:t xml:space="preserve">I. </w:t>
      </w:r>
      <w:r w:rsidRPr="00CD142C">
        <w:rPr>
          <w:rFonts w:ascii="Palatino Linotype" w:eastAsia="Palatino Linotype" w:hAnsi="Palatino Linotype" w:cs="Palatino Linotype"/>
          <w:b/>
          <w:i/>
          <w:u w:val="single"/>
        </w:rPr>
        <w:t>Toda la información en posesión de cualquier autoridad, entidad, órgano y organismo de los Poderes</w:t>
      </w:r>
      <w:r w:rsidRPr="00CD142C">
        <w:rPr>
          <w:rFonts w:ascii="Palatino Linotype" w:eastAsia="Palatino Linotype" w:hAnsi="Palatino Linotype" w:cs="Palatino Linotype"/>
          <w:i/>
        </w:rPr>
        <w:t xml:space="preserve"> Ejecutivo, Legislativo </w:t>
      </w:r>
      <w:r w:rsidRPr="00CD142C">
        <w:rPr>
          <w:rFonts w:ascii="Palatino Linotype" w:eastAsia="Palatino Linotype" w:hAnsi="Palatino Linotype" w:cs="Palatino Linotype"/>
          <w:b/>
          <w:i/>
          <w:u w:val="single"/>
        </w:rPr>
        <w:t>y Judicial</w:t>
      </w:r>
      <w:r w:rsidRPr="00CD142C">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CD142C">
        <w:rPr>
          <w:rFonts w:ascii="Palatino Linotype" w:eastAsia="Palatino Linotype" w:hAnsi="Palatino Linotype" w:cs="Palatino Linotype"/>
          <w:b/>
          <w:i/>
        </w:rPr>
        <w:t>es pública y sólo podrá ser reservada temporalmente por razones de interés público y seguridad nacional,</w:t>
      </w:r>
      <w:r w:rsidRPr="00CD142C">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w:t>
      </w:r>
      <w:r w:rsidRPr="00CD142C">
        <w:rPr>
          <w:rFonts w:ascii="Palatino Linotype" w:eastAsia="Palatino Linotype" w:hAnsi="Palatino Linotype" w:cs="Palatino Linotype"/>
          <w:i/>
        </w:rPr>
        <w:lastRenderedPageBreak/>
        <w:t>funciones, la ley determinará los supuestos específicos bajo los cuales procederá la declaración de inexistencia de la información.</w:t>
      </w:r>
    </w:p>
    <w:p w14:paraId="0C2B0A2C" w14:textId="77777777" w:rsidR="00D55228" w:rsidRPr="00CD142C" w:rsidRDefault="001540D8">
      <w:pPr>
        <w:pBdr>
          <w:top w:val="nil"/>
          <w:left w:val="nil"/>
          <w:bottom w:val="nil"/>
          <w:right w:val="nil"/>
          <w:between w:val="nil"/>
        </w:pBdr>
        <w:spacing w:after="0" w:line="276" w:lineRule="auto"/>
        <w:ind w:left="851" w:right="851"/>
        <w:jc w:val="both"/>
      </w:pPr>
      <w:r w:rsidRPr="00CD142C">
        <w:rPr>
          <w:rFonts w:ascii="Palatino Linotype" w:eastAsia="Palatino Linotype" w:hAnsi="Palatino Linotype" w:cs="Palatino Linotype"/>
          <w:i/>
        </w:rPr>
        <w:t> </w:t>
      </w:r>
      <w:r w:rsidRPr="00CD142C">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14:paraId="6A31EFDB" w14:textId="77777777" w:rsidR="00D55228" w:rsidRPr="00CD142C" w:rsidRDefault="001540D8">
      <w:pPr>
        <w:pBdr>
          <w:top w:val="nil"/>
          <w:left w:val="nil"/>
          <w:bottom w:val="nil"/>
          <w:right w:val="nil"/>
          <w:between w:val="nil"/>
        </w:pBdr>
        <w:spacing w:after="0" w:line="276" w:lineRule="auto"/>
        <w:ind w:left="851" w:right="851"/>
        <w:jc w:val="both"/>
      </w:pPr>
      <w:r w:rsidRPr="00CD142C">
        <w:rPr>
          <w:rFonts w:ascii="Palatino Linotype" w:eastAsia="Palatino Linotype" w:hAnsi="Palatino Linotype" w:cs="Palatino Linotype"/>
          <w:i/>
        </w:rPr>
        <w:t> </w:t>
      </w:r>
      <w:r w:rsidRPr="00CD142C">
        <w:rPr>
          <w:rFonts w:ascii="Palatino Linotype" w:eastAsia="Palatino Linotype" w:hAnsi="Palatino Linotype" w:cs="Palatino Linotype"/>
          <w:b/>
          <w:i/>
        </w:rPr>
        <w:t xml:space="preserve">III. </w:t>
      </w:r>
      <w:r w:rsidRPr="00CD142C">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CD142C">
        <w:rPr>
          <w:rFonts w:ascii="Palatino Linotype" w:eastAsia="Palatino Linotype" w:hAnsi="Palatino Linotype" w:cs="Palatino Linotype"/>
          <w:i/>
        </w:rPr>
        <w:t xml:space="preserve"> a sus datos personales o a la rectificación de éstos.</w:t>
      </w:r>
    </w:p>
    <w:p w14:paraId="18CB9567" w14:textId="77777777" w:rsidR="00D55228" w:rsidRPr="00CD142C" w:rsidRDefault="001540D8">
      <w:pPr>
        <w:pBdr>
          <w:top w:val="nil"/>
          <w:left w:val="nil"/>
          <w:bottom w:val="nil"/>
          <w:right w:val="nil"/>
          <w:between w:val="nil"/>
        </w:pBdr>
        <w:spacing w:after="0" w:line="276" w:lineRule="auto"/>
        <w:ind w:left="851" w:right="851"/>
        <w:jc w:val="both"/>
      </w:pPr>
      <w:r w:rsidRPr="00CD142C">
        <w:rPr>
          <w:rFonts w:ascii="Palatino Linotype" w:eastAsia="Palatino Linotype" w:hAnsi="Palatino Linotype" w:cs="Palatino Linotype"/>
          <w:i/>
        </w:rPr>
        <w:t> </w:t>
      </w:r>
      <w:r w:rsidRPr="00CD142C">
        <w:rPr>
          <w:rFonts w:ascii="Palatino Linotype" w:eastAsia="Palatino Linotype" w:hAnsi="Palatino Linotype" w:cs="Palatino Linotype"/>
          <w:b/>
          <w:i/>
        </w:rPr>
        <w:t xml:space="preserve">IV. </w:t>
      </w:r>
      <w:r w:rsidRPr="00CD142C">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14:paraId="552F5906" w14:textId="77777777" w:rsidR="00D55228" w:rsidRPr="00CD142C" w:rsidRDefault="001540D8">
      <w:pPr>
        <w:pBdr>
          <w:top w:val="nil"/>
          <w:left w:val="nil"/>
          <w:bottom w:val="nil"/>
          <w:right w:val="nil"/>
          <w:between w:val="nil"/>
        </w:pBdr>
        <w:spacing w:after="0" w:line="276" w:lineRule="auto"/>
        <w:ind w:left="851" w:right="851"/>
        <w:jc w:val="both"/>
      </w:pPr>
      <w:r w:rsidRPr="00CD142C">
        <w:rPr>
          <w:rFonts w:ascii="Palatino Linotype" w:eastAsia="Palatino Linotype" w:hAnsi="Palatino Linotype" w:cs="Palatino Linotype"/>
          <w:b/>
          <w:i/>
        </w:rPr>
        <w:t xml:space="preserve">V. </w:t>
      </w:r>
      <w:r w:rsidRPr="00CD142C">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4771565" w14:textId="77777777" w:rsidR="00D55228" w:rsidRPr="00CD142C" w:rsidRDefault="001540D8">
      <w:pPr>
        <w:pBdr>
          <w:top w:val="nil"/>
          <w:left w:val="nil"/>
          <w:bottom w:val="nil"/>
          <w:right w:val="nil"/>
          <w:between w:val="nil"/>
        </w:pBdr>
        <w:spacing w:after="0" w:line="276" w:lineRule="auto"/>
        <w:ind w:left="851" w:right="851"/>
        <w:jc w:val="both"/>
      </w:pPr>
      <w:r w:rsidRPr="00CD142C">
        <w:rPr>
          <w:rFonts w:ascii="Palatino Linotype" w:eastAsia="Palatino Linotype" w:hAnsi="Palatino Linotype" w:cs="Palatino Linotype"/>
          <w:i/>
        </w:rPr>
        <w:t> </w:t>
      </w:r>
      <w:r w:rsidRPr="00CD142C">
        <w:rPr>
          <w:rFonts w:ascii="Palatino Linotype" w:eastAsia="Palatino Linotype" w:hAnsi="Palatino Linotype" w:cs="Palatino Linotype"/>
          <w:b/>
          <w:i/>
        </w:rPr>
        <w:t xml:space="preserve">VI. </w:t>
      </w:r>
      <w:r w:rsidRPr="00CD142C">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14:paraId="377C91D8" w14:textId="77777777" w:rsidR="00D55228" w:rsidRPr="00CD142C" w:rsidRDefault="001540D8">
      <w:pPr>
        <w:pBdr>
          <w:top w:val="nil"/>
          <w:left w:val="nil"/>
          <w:bottom w:val="nil"/>
          <w:right w:val="nil"/>
          <w:between w:val="nil"/>
        </w:pBdr>
        <w:spacing w:after="0" w:line="276" w:lineRule="auto"/>
        <w:ind w:left="851" w:right="851"/>
        <w:jc w:val="both"/>
        <w:rPr>
          <w:rFonts w:ascii="Palatino Linotype" w:eastAsia="Palatino Linotype" w:hAnsi="Palatino Linotype" w:cs="Palatino Linotype"/>
          <w:i/>
        </w:rPr>
      </w:pPr>
      <w:r w:rsidRPr="00CD142C">
        <w:rPr>
          <w:rFonts w:ascii="Palatino Linotype" w:eastAsia="Palatino Linotype" w:hAnsi="Palatino Linotype" w:cs="Palatino Linotype"/>
          <w:i/>
        </w:rPr>
        <w:t> </w:t>
      </w:r>
      <w:r w:rsidRPr="00CD142C">
        <w:rPr>
          <w:rFonts w:ascii="Palatino Linotype" w:eastAsia="Palatino Linotype" w:hAnsi="Palatino Linotype" w:cs="Palatino Linotype"/>
          <w:b/>
          <w:i/>
        </w:rPr>
        <w:t xml:space="preserve">VII. </w:t>
      </w:r>
      <w:r w:rsidRPr="00CD142C">
        <w:rPr>
          <w:rFonts w:ascii="Palatino Linotype" w:eastAsia="Palatino Linotype" w:hAnsi="Palatino Linotype" w:cs="Palatino Linotype"/>
          <w:i/>
        </w:rPr>
        <w:t>La inobservancia a las disposiciones en materia de acceso a la información pública será sancionada en los términos que dispongan las leyes. [...]”</w:t>
      </w:r>
    </w:p>
    <w:p w14:paraId="40F3D041" w14:textId="77777777" w:rsidR="00D55228" w:rsidRPr="00CD142C" w:rsidRDefault="00D55228">
      <w:pPr>
        <w:pBdr>
          <w:top w:val="nil"/>
          <w:left w:val="nil"/>
          <w:bottom w:val="nil"/>
          <w:right w:val="nil"/>
          <w:between w:val="nil"/>
        </w:pBdr>
        <w:spacing w:after="0" w:line="276" w:lineRule="auto"/>
        <w:ind w:left="851" w:right="851"/>
        <w:jc w:val="both"/>
      </w:pPr>
    </w:p>
    <w:p w14:paraId="64891DB6" w14:textId="77777777" w:rsidR="00D55228" w:rsidRPr="00CD142C" w:rsidRDefault="001540D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B45AF9F" w14:textId="77777777" w:rsidR="00D55228" w:rsidRPr="00CD142C" w:rsidRDefault="00D55228">
      <w:pPr>
        <w:pBdr>
          <w:top w:val="nil"/>
          <w:left w:val="nil"/>
          <w:bottom w:val="nil"/>
          <w:right w:val="nil"/>
          <w:between w:val="nil"/>
        </w:pBdr>
        <w:spacing w:after="0" w:line="360" w:lineRule="auto"/>
        <w:jc w:val="both"/>
        <w:rPr>
          <w:sz w:val="24"/>
          <w:szCs w:val="24"/>
        </w:rPr>
      </w:pPr>
    </w:p>
    <w:p w14:paraId="3B6F652B" w14:textId="77777777" w:rsidR="00D55228" w:rsidRPr="00CD142C" w:rsidRDefault="001540D8">
      <w:pPr>
        <w:spacing w:after="0" w:line="276" w:lineRule="auto"/>
        <w:ind w:left="567" w:right="616"/>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Artículo 4</w:t>
      </w:r>
      <w:r w:rsidRPr="00CD142C">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B88E695" w14:textId="77777777" w:rsidR="00D55228" w:rsidRPr="00CD142C" w:rsidRDefault="00D55228">
      <w:pPr>
        <w:spacing w:after="0" w:line="276" w:lineRule="auto"/>
        <w:ind w:left="567" w:right="616"/>
        <w:jc w:val="both"/>
        <w:rPr>
          <w:rFonts w:ascii="Palatino Linotype" w:eastAsia="Palatino Linotype" w:hAnsi="Palatino Linotype" w:cs="Palatino Linotype"/>
          <w:i/>
        </w:rPr>
      </w:pPr>
    </w:p>
    <w:p w14:paraId="0E02B24E" w14:textId="77777777" w:rsidR="00D55228" w:rsidRPr="00CD142C" w:rsidRDefault="001540D8">
      <w:pPr>
        <w:spacing w:after="0" w:line="276" w:lineRule="auto"/>
        <w:ind w:left="567" w:right="616"/>
        <w:jc w:val="both"/>
        <w:rPr>
          <w:rFonts w:ascii="Palatino Linotype" w:eastAsia="Palatino Linotype" w:hAnsi="Palatino Linotype" w:cs="Palatino Linotype"/>
          <w:i/>
        </w:rPr>
      </w:pPr>
      <w:r w:rsidRPr="00CD142C">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CD142C">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187F1B74" w14:textId="77777777" w:rsidR="00D55228" w:rsidRPr="00CD142C" w:rsidRDefault="00D55228">
      <w:pPr>
        <w:spacing w:after="0" w:line="276" w:lineRule="auto"/>
        <w:ind w:left="567" w:right="616"/>
        <w:jc w:val="both"/>
        <w:rPr>
          <w:rFonts w:ascii="Palatino Linotype" w:eastAsia="Palatino Linotype" w:hAnsi="Palatino Linotype" w:cs="Palatino Linotype"/>
          <w:i/>
        </w:rPr>
      </w:pPr>
    </w:p>
    <w:p w14:paraId="5F4CDEB2" w14:textId="77777777" w:rsidR="00D55228" w:rsidRPr="00CD142C" w:rsidRDefault="001540D8">
      <w:pPr>
        <w:spacing w:after="0" w:line="276" w:lineRule="auto"/>
        <w:ind w:left="567" w:right="616"/>
        <w:jc w:val="both"/>
        <w:rPr>
          <w:rFonts w:ascii="Palatino Linotype" w:eastAsia="Palatino Linotype" w:hAnsi="Palatino Linotype" w:cs="Palatino Linotype"/>
          <w:i/>
        </w:rPr>
      </w:pPr>
      <w:r w:rsidRPr="00CD142C">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CD142C">
        <w:rPr>
          <w:rFonts w:ascii="Palatino Linotype" w:eastAsia="Palatino Linotype" w:hAnsi="Palatino Linotype" w:cs="Palatino Linotype"/>
          <w:i/>
        </w:rPr>
        <w:t>.”</w:t>
      </w:r>
    </w:p>
    <w:p w14:paraId="23083D4A" w14:textId="77777777" w:rsidR="00D55228" w:rsidRPr="00CD142C" w:rsidRDefault="00D55228">
      <w:pPr>
        <w:spacing w:after="0" w:line="360" w:lineRule="auto"/>
        <w:jc w:val="both"/>
        <w:rPr>
          <w:rFonts w:ascii="Palatino Linotype" w:eastAsia="Palatino Linotype" w:hAnsi="Palatino Linotype" w:cs="Palatino Linotype"/>
        </w:rPr>
      </w:pPr>
    </w:p>
    <w:p w14:paraId="0E240592"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6F662AC"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05340F8B" w14:textId="77777777" w:rsidR="00D55228" w:rsidRPr="00CD142C" w:rsidRDefault="001540D8">
      <w:pPr>
        <w:spacing w:after="0" w:line="276" w:lineRule="auto"/>
        <w:ind w:left="567" w:right="616"/>
        <w:jc w:val="both"/>
        <w:rPr>
          <w:rFonts w:ascii="Palatino Linotype" w:eastAsia="Palatino Linotype" w:hAnsi="Palatino Linotype" w:cs="Palatino Linotype"/>
          <w:i/>
        </w:rPr>
      </w:pPr>
      <w:r w:rsidRPr="00CD142C">
        <w:rPr>
          <w:rFonts w:ascii="Palatino Linotype" w:eastAsia="Palatino Linotype" w:hAnsi="Palatino Linotype" w:cs="Palatino Linotype"/>
          <w:b/>
          <w:i/>
        </w:rPr>
        <w:t>“Artículo 12.-</w:t>
      </w:r>
      <w:r w:rsidRPr="00CD142C">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3944FDAC" w14:textId="77777777" w:rsidR="00D55228" w:rsidRPr="00CD142C" w:rsidRDefault="00D55228">
      <w:pPr>
        <w:spacing w:after="0" w:line="276" w:lineRule="auto"/>
        <w:ind w:left="567" w:right="616"/>
        <w:jc w:val="both"/>
        <w:rPr>
          <w:rFonts w:ascii="Palatino Linotype" w:eastAsia="Palatino Linotype" w:hAnsi="Palatino Linotype" w:cs="Palatino Linotype"/>
          <w:i/>
        </w:rPr>
      </w:pPr>
    </w:p>
    <w:p w14:paraId="26C46F7A" w14:textId="77777777" w:rsidR="00D55228" w:rsidRPr="00CD142C" w:rsidRDefault="001540D8">
      <w:pPr>
        <w:spacing w:after="0" w:line="276" w:lineRule="auto"/>
        <w:ind w:left="567" w:right="616"/>
        <w:jc w:val="both"/>
        <w:rPr>
          <w:rFonts w:ascii="Palatino Linotype" w:eastAsia="Palatino Linotype" w:hAnsi="Palatino Linotype" w:cs="Palatino Linotype"/>
          <w:b/>
          <w:i/>
        </w:rPr>
      </w:pPr>
      <w:r w:rsidRPr="00CD142C">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sidRPr="00CD142C">
        <w:rPr>
          <w:rFonts w:ascii="Palatino Linotype" w:eastAsia="Palatino Linotype" w:hAnsi="Palatino Linotype" w:cs="Palatino Linotype"/>
          <w:i/>
        </w:rPr>
        <w:t xml:space="preserve">. </w:t>
      </w:r>
      <w:r w:rsidRPr="00CD142C">
        <w:rPr>
          <w:rFonts w:ascii="Palatino Linotype" w:eastAsia="Palatino Linotype" w:hAnsi="Palatino Linotype" w:cs="Palatino Linotype"/>
          <w:b/>
          <w:i/>
        </w:rPr>
        <w:t xml:space="preserve">La obligación de proporcionar información no comprende el procesamiento de la misma, ni el presentarla conforme al interés del solicitante; no estarán obligados a generarla, resumirla, efectuar cálculos o practicar investigaciones”. </w:t>
      </w:r>
    </w:p>
    <w:p w14:paraId="58F55371" w14:textId="77777777" w:rsidR="00D55228" w:rsidRPr="00CD142C" w:rsidRDefault="00D55228">
      <w:pPr>
        <w:spacing w:after="0" w:line="360" w:lineRule="auto"/>
        <w:ind w:left="567" w:right="616"/>
        <w:jc w:val="both"/>
        <w:rPr>
          <w:rFonts w:ascii="Palatino Linotype" w:eastAsia="Palatino Linotype" w:hAnsi="Palatino Linotype" w:cs="Palatino Linotype"/>
          <w:i/>
          <w:sz w:val="24"/>
          <w:szCs w:val="24"/>
        </w:rPr>
      </w:pPr>
    </w:p>
    <w:p w14:paraId="568EF1C3" w14:textId="77777777" w:rsidR="00D55228" w:rsidRPr="00CD142C" w:rsidRDefault="001540D8">
      <w:pPr>
        <w:spacing w:after="0" w:line="360" w:lineRule="auto"/>
        <w:ind w:right="-93"/>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44DDAC44" w14:textId="77777777" w:rsidR="00D55228" w:rsidRPr="00CD142C" w:rsidRDefault="00D55228">
      <w:pPr>
        <w:spacing w:after="0" w:line="360" w:lineRule="auto"/>
        <w:ind w:right="-93"/>
        <w:jc w:val="both"/>
        <w:rPr>
          <w:rFonts w:ascii="Palatino Linotype" w:eastAsia="Palatino Linotype" w:hAnsi="Palatino Linotype" w:cs="Palatino Linotype"/>
          <w:sz w:val="24"/>
          <w:szCs w:val="24"/>
        </w:rPr>
      </w:pPr>
    </w:p>
    <w:p w14:paraId="07269229" w14:textId="77777777" w:rsidR="00D55228" w:rsidRPr="00CD142C" w:rsidRDefault="001540D8">
      <w:pPr>
        <w:spacing w:after="0" w:line="360" w:lineRule="auto"/>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sz w:val="24"/>
          <w:szCs w:val="24"/>
        </w:rPr>
        <w:t>Sirve de apoyo a lo anterior, el criterio 03-17, expuesto por el Instituto Nacional de Transparencia, Acceso a la Información y Protección de Datos Personales, que dice:</w:t>
      </w:r>
      <w:r w:rsidRPr="00CD142C">
        <w:rPr>
          <w:rFonts w:ascii="Palatino Linotype" w:eastAsia="Palatino Linotype" w:hAnsi="Palatino Linotype" w:cs="Palatino Linotype"/>
          <w:b/>
          <w:sz w:val="24"/>
          <w:szCs w:val="24"/>
        </w:rPr>
        <w:t xml:space="preserve"> </w:t>
      </w:r>
    </w:p>
    <w:p w14:paraId="6DC1E01F" w14:textId="77777777" w:rsidR="00D55228" w:rsidRPr="00CD142C" w:rsidRDefault="00D55228">
      <w:pPr>
        <w:spacing w:after="0" w:line="360" w:lineRule="auto"/>
        <w:jc w:val="both"/>
        <w:rPr>
          <w:rFonts w:ascii="Palatino Linotype" w:eastAsia="Palatino Linotype" w:hAnsi="Palatino Linotype" w:cs="Palatino Linotype"/>
          <w:b/>
          <w:sz w:val="24"/>
          <w:szCs w:val="24"/>
        </w:rPr>
      </w:pPr>
    </w:p>
    <w:p w14:paraId="41BFEC10" w14:textId="77777777" w:rsidR="00D55228" w:rsidRPr="00CD142C" w:rsidRDefault="001540D8">
      <w:pPr>
        <w:spacing w:after="0" w:line="276" w:lineRule="auto"/>
        <w:ind w:left="567" w:right="616"/>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No existe obligación de elaborar documentos ad hoc para atender las solicitudes de acceso a la información.</w:t>
      </w:r>
      <w:r w:rsidRPr="00CD142C">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AD003BE" w14:textId="77777777" w:rsidR="00D55228" w:rsidRPr="00CD142C" w:rsidRDefault="00D55228">
      <w:pPr>
        <w:spacing w:after="0" w:line="360" w:lineRule="auto"/>
        <w:ind w:right="-93"/>
        <w:jc w:val="both"/>
        <w:rPr>
          <w:rFonts w:ascii="Palatino Linotype" w:eastAsia="Palatino Linotype" w:hAnsi="Palatino Linotype" w:cs="Palatino Linotype"/>
        </w:rPr>
      </w:pPr>
    </w:p>
    <w:p w14:paraId="192C7960"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A391A56" w14:textId="77777777" w:rsidR="00D55228" w:rsidRPr="00CD142C" w:rsidRDefault="00D55228">
      <w:pPr>
        <w:spacing w:after="0" w:line="360" w:lineRule="auto"/>
        <w:jc w:val="both"/>
        <w:rPr>
          <w:rFonts w:ascii="Palatino Linotype" w:eastAsia="Palatino Linotype" w:hAnsi="Palatino Linotype" w:cs="Palatino Linotype"/>
        </w:rPr>
      </w:pPr>
    </w:p>
    <w:p w14:paraId="5BB43380"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B28A2AC"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50F56CE9"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2600AF9" w14:textId="77777777" w:rsidR="00D55228" w:rsidRPr="00CD142C" w:rsidRDefault="00D55228">
      <w:pPr>
        <w:spacing w:after="0" w:line="360" w:lineRule="auto"/>
        <w:ind w:left="851" w:right="899"/>
        <w:jc w:val="both"/>
        <w:rPr>
          <w:rFonts w:ascii="Palatino Linotype" w:eastAsia="Palatino Linotype" w:hAnsi="Palatino Linotype" w:cs="Palatino Linotype"/>
          <w:i/>
        </w:rPr>
      </w:pPr>
    </w:p>
    <w:p w14:paraId="6991D49C" w14:textId="77777777" w:rsidR="00D55228" w:rsidRPr="00CD142C" w:rsidRDefault="001540D8">
      <w:pPr>
        <w:spacing w:after="0" w:line="276" w:lineRule="auto"/>
        <w:ind w:left="567" w:right="616"/>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 xml:space="preserve">Artículo 3. </w:t>
      </w:r>
      <w:r w:rsidRPr="00CD142C">
        <w:rPr>
          <w:rFonts w:ascii="Palatino Linotype" w:eastAsia="Palatino Linotype" w:hAnsi="Palatino Linotype" w:cs="Palatino Linotype"/>
          <w:i/>
        </w:rPr>
        <w:t>Para los efectos de la presente Ley se entenderá por:</w:t>
      </w:r>
    </w:p>
    <w:p w14:paraId="1A966314" w14:textId="77777777" w:rsidR="00D55228" w:rsidRPr="00CD142C" w:rsidRDefault="001540D8">
      <w:pPr>
        <w:spacing w:after="0" w:line="276" w:lineRule="auto"/>
        <w:ind w:left="567" w:right="616"/>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1663BA27" w14:textId="77777777" w:rsidR="00D55228" w:rsidRPr="00CD142C" w:rsidRDefault="001540D8">
      <w:pPr>
        <w:spacing w:after="0" w:line="276" w:lineRule="auto"/>
        <w:ind w:left="567" w:right="616"/>
        <w:jc w:val="both"/>
        <w:rPr>
          <w:rFonts w:ascii="Palatino Linotype" w:eastAsia="Palatino Linotype" w:hAnsi="Palatino Linotype" w:cs="Palatino Linotype"/>
          <w:i/>
        </w:rPr>
      </w:pPr>
      <w:r w:rsidRPr="00CD142C">
        <w:rPr>
          <w:rFonts w:ascii="Palatino Linotype" w:eastAsia="Palatino Linotype" w:hAnsi="Palatino Linotype" w:cs="Palatino Linotype"/>
          <w:b/>
          <w:i/>
        </w:rPr>
        <w:t>XI. Documento:</w:t>
      </w:r>
      <w:r w:rsidRPr="00CD142C">
        <w:rPr>
          <w:rFonts w:ascii="Palatino Linotype" w:eastAsia="Palatino Linotype" w:hAnsi="Palatino Linotype" w:cs="Palatino Linotype"/>
          <w:i/>
        </w:rPr>
        <w:t xml:space="preserve"> Los expedientes, reportes, estudios, actas</w:t>
      </w:r>
      <w:r w:rsidRPr="00CD142C">
        <w:rPr>
          <w:rFonts w:ascii="Palatino Linotype" w:eastAsia="Palatino Linotype" w:hAnsi="Palatino Linotype" w:cs="Palatino Linotype"/>
          <w:b/>
          <w:i/>
        </w:rPr>
        <w:t>,</w:t>
      </w:r>
      <w:r w:rsidRPr="00CD142C">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AE93360" w14:textId="77777777" w:rsidR="00D55228" w:rsidRPr="00CD142C" w:rsidRDefault="00D55228">
      <w:pPr>
        <w:spacing w:after="0" w:line="360" w:lineRule="auto"/>
        <w:ind w:left="851" w:right="899"/>
        <w:jc w:val="both"/>
        <w:rPr>
          <w:rFonts w:ascii="Palatino Linotype" w:eastAsia="Palatino Linotype" w:hAnsi="Palatino Linotype" w:cs="Palatino Linotype"/>
          <w:sz w:val="24"/>
          <w:szCs w:val="24"/>
        </w:rPr>
      </w:pPr>
    </w:p>
    <w:p w14:paraId="2F64AF1C"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49E98B8"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135592A1" w14:textId="77777777" w:rsidR="00D55228" w:rsidRPr="00CD142C" w:rsidRDefault="001540D8">
      <w:pPr>
        <w:spacing w:after="0" w:line="276" w:lineRule="auto"/>
        <w:ind w:left="567" w:right="616"/>
        <w:jc w:val="both"/>
        <w:rPr>
          <w:rFonts w:ascii="Palatino Linotype" w:eastAsia="Palatino Linotype" w:hAnsi="Palatino Linotype" w:cs="Palatino Linotype"/>
          <w:b/>
          <w:i/>
        </w:rPr>
      </w:pPr>
      <w:r w:rsidRPr="00CD142C">
        <w:rPr>
          <w:rFonts w:ascii="Palatino Linotype" w:eastAsia="Palatino Linotype" w:hAnsi="Palatino Linotype" w:cs="Palatino Linotype"/>
          <w:b/>
        </w:rPr>
        <w:t>“</w:t>
      </w:r>
      <w:r w:rsidRPr="00CD142C">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CD142C">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4E6DE6A" w14:textId="77777777" w:rsidR="00D55228" w:rsidRPr="00CD142C" w:rsidRDefault="001540D8">
      <w:pPr>
        <w:spacing w:after="0" w:line="276" w:lineRule="auto"/>
        <w:ind w:left="567" w:right="616"/>
        <w:jc w:val="both"/>
        <w:rPr>
          <w:rFonts w:ascii="Palatino Linotype" w:eastAsia="Palatino Linotype" w:hAnsi="Palatino Linotype" w:cs="Palatino Linotype"/>
          <w:i/>
        </w:rPr>
      </w:pPr>
      <w:r w:rsidRPr="00CD142C">
        <w:rPr>
          <w:rFonts w:ascii="Palatino Linotype" w:eastAsia="Palatino Linotype" w:hAnsi="Palatino Linotype" w:cs="Palatino Linotype"/>
          <w:i/>
        </w:rPr>
        <w:t>En consecuencia el acceso a la información se refiere a que se cumplan cualquiera de los siguientes tres supuestos:</w:t>
      </w:r>
    </w:p>
    <w:p w14:paraId="37EF5DA1" w14:textId="77777777" w:rsidR="00D55228" w:rsidRPr="00CD142C" w:rsidRDefault="001540D8">
      <w:pPr>
        <w:spacing w:after="0" w:line="276" w:lineRule="auto"/>
        <w:ind w:left="567" w:right="616"/>
        <w:jc w:val="both"/>
        <w:rPr>
          <w:rFonts w:ascii="Palatino Linotype" w:eastAsia="Palatino Linotype" w:hAnsi="Palatino Linotype" w:cs="Palatino Linotype"/>
          <w:i/>
        </w:rPr>
      </w:pPr>
      <w:r w:rsidRPr="00CD142C">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74E7AA26" w14:textId="77777777" w:rsidR="00D55228" w:rsidRPr="00CD142C" w:rsidRDefault="001540D8">
      <w:pPr>
        <w:spacing w:after="0" w:line="276" w:lineRule="auto"/>
        <w:ind w:left="567" w:right="616"/>
        <w:jc w:val="both"/>
        <w:rPr>
          <w:rFonts w:ascii="Palatino Linotype" w:eastAsia="Palatino Linotype" w:hAnsi="Palatino Linotype" w:cs="Palatino Linotype"/>
          <w:b/>
          <w:i/>
        </w:rPr>
      </w:pPr>
      <w:r w:rsidRPr="00CD142C">
        <w:rPr>
          <w:rFonts w:ascii="Palatino Linotype" w:eastAsia="Palatino Linotype" w:hAnsi="Palatino Linotype" w:cs="Palatino Linotype"/>
          <w:b/>
          <w:i/>
        </w:rPr>
        <w:lastRenderedPageBreak/>
        <w:t>2) Que se trate de información registrada en cualquier soporte documental, que en ejercicio de las atribuciones conferidas, sea administrada por los Sujetos Obligados, y</w:t>
      </w:r>
    </w:p>
    <w:p w14:paraId="76776AA3" w14:textId="77777777" w:rsidR="00D55228" w:rsidRPr="00CD142C" w:rsidRDefault="001540D8">
      <w:pPr>
        <w:spacing w:after="0" w:line="276" w:lineRule="auto"/>
        <w:ind w:left="567" w:right="616"/>
        <w:jc w:val="both"/>
        <w:rPr>
          <w:rFonts w:ascii="Palatino Linotype" w:eastAsia="Palatino Linotype" w:hAnsi="Palatino Linotype" w:cs="Palatino Linotype"/>
          <w:b/>
          <w:i/>
        </w:rPr>
      </w:pPr>
      <w:r w:rsidRPr="00CD142C">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5E42F2B6" w14:textId="77777777" w:rsidR="00D55228" w:rsidRPr="00CD142C" w:rsidRDefault="00D55228">
      <w:pPr>
        <w:spacing w:after="0" w:line="276" w:lineRule="auto"/>
        <w:ind w:left="567" w:right="616"/>
        <w:jc w:val="both"/>
        <w:rPr>
          <w:rFonts w:ascii="Palatino Linotype" w:eastAsia="Palatino Linotype" w:hAnsi="Palatino Linotype" w:cs="Palatino Linotype"/>
          <w:b/>
          <w:i/>
        </w:rPr>
      </w:pPr>
    </w:p>
    <w:p w14:paraId="496627ED"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De ahí que 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CD142C">
        <w:rPr>
          <w:rFonts w:ascii="Palatino Linotype" w:eastAsia="Palatino Linotype" w:hAnsi="Palatino Linotype" w:cs="Palatino Linotype"/>
          <w:sz w:val="24"/>
          <w:szCs w:val="24"/>
          <w:vertAlign w:val="superscript"/>
        </w:rPr>
        <w:footnoteReference w:id="1"/>
      </w:r>
      <w:r w:rsidRPr="00CD142C">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CD142C">
        <w:rPr>
          <w:rFonts w:ascii="Palatino Linotype" w:eastAsia="Palatino Linotype" w:hAnsi="Palatino Linotype" w:cs="Palatino Linotype"/>
          <w:sz w:val="24"/>
          <w:szCs w:val="24"/>
          <w:vertAlign w:val="superscript"/>
        </w:rPr>
        <w:footnoteReference w:id="2"/>
      </w:r>
      <w:r w:rsidRPr="00CD142C">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14:paraId="6F1699F1"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511CB380" w14:textId="77777777" w:rsidR="00D55228" w:rsidRPr="00CD142C" w:rsidRDefault="001540D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Dicho lo anterior, en el caso se analizará el agravio hecho valer por la parte </w:t>
      </w:r>
      <w:r w:rsidRPr="00CD142C">
        <w:rPr>
          <w:rFonts w:ascii="Palatino Linotype" w:eastAsia="Palatino Linotype" w:hAnsi="Palatino Linotype" w:cs="Palatino Linotype"/>
          <w:b/>
          <w:sz w:val="24"/>
          <w:szCs w:val="24"/>
        </w:rPr>
        <w:t>Recurrente</w:t>
      </w:r>
      <w:r w:rsidRPr="00CD142C">
        <w:rPr>
          <w:rFonts w:ascii="Palatino Linotype" w:eastAsia="Palatino Linotype" w:hAnsi="Palatino Linotype" w:cs="Palatino Linotype"/>
          <w:sz w:val="24"/>
          <w:szCs w:val="24"/>
        </w:rPr>
        <w:t xml:space="preserve"> que actualiza la causal de procedencia prevista en la fracción V del artículo 179 de la </w:t>
      </w:r>
      <w:r w:rsidRPr="00CD142C">
        <w:rPr>
          <w:rFonts w:ascii="Palatino Linotype" w:eastAsia="Palatino Linotype" w:hAnsi="Palatino Linotype" w:cs="Palatino Linotype"/>
          <w:sz w:val="24"/>
          <w:szCs w:val="24"/>
        </w:rPr>
        <w:lastRenderedPageBreak/>
        <w:t xml:space="preserve">Ley de Transparencia y Acceso a la Información del Estado de México y Municipios, relativa a </w:t>
      </w:r>
      <w:r w:rsidRPr="00CD142C">
        <w:rPr>
          <w:rFonts w:ascii="Palatino Linotype" w:eastAsia="Palatino Linotype" w:hAnsi="Palatino Linotype" w:cs="Palatino Linotype"/>
          <w:b/>
          <w:sz w:val="24"/>
          <w:szCs w:val="24"/>
          <w:u w:val="single"/>
        </w:rPr>
        <w:t>la entrega de información incompleta.</w:t>
      </w:r>
    </w:p>
    <w:p w14:paraId="551F2691" w14:textId="77777777" w:rsidR="00D55228" w:rsidRPr="00CD142C" w:rsidRDefault="00D5522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p>
    <w:p w14:paraId="27176630" w14:textId="77777777" w:rsidR="00D55228" w:rsidRPr="00CD142C" w:rsidRDefault="001540D8">
      <w:pPr>
        <w:pBdr>
          <w:top w:val="nil"/>
          <w:left w:val="nil"/>
          <w:bottom w:val="nil"/>
          <w:right w:val="nil"/>
          <w:between w:val="nil"/>
        </w:pBdr>
        <w:spacing w:after="0" w:line="360" w:lineRule="auto"/>
        <w:ind w:right="-150"/>
        <w:jc w:val="both"/>
        <w:rPr>
          <w:rFonts w:ascii="Palatino Linotype" w:eastAsia="Palatino Linotype" w:hAnsi="Palatino Linotype" w:cs="Palatino Linotype"/>
          <w:sz w:val="24"/>
          <w:szCs w:val="24"/>
        </w:rPr>
      </w:pPr>
      <w:bookmarkStart w:id="6" w:name="_tyjcwt" w:colFirst="0" w:colLast="0"/>
      <w:bookmarkEnd w:id="6"/>
      <w:r w:rsidRPr="00CD142C">
        <w:rPr>
          <w:rFonts w:ascii="Palatino Linotype" w:eastAsia="Palatino Linotype" w:hAnsi="Palatino Linotype" w:cs="Palatino Linotype"/>
          <w:sz w:val="24"/>
          <w:szCs w:val="24"/>
        </w:rPr>
        <w:t xml:space="preserve">En principio, resulta conveniente recordar que la pretensión de la parte </w:t>
      </w:r>
      <w:r w:rsidRPr="00CD142C">
        <w:rPr>
          <w:rFonts w:ascii="Palatino Linotype" w:eastAsia="Palatino Linotype" w:hAnsi="Palatino Linotype" w:cs="Palatino Linotype"/>
          <w:b/>
          <w:sz w:val="24"/>
          <w:szCs w:val="24"/>
        </w:rPr>
        <w:t>Recurrente</w:t>
      </w:r>
      <w:r w:rsidRPr="00CD142C">
        <w:rPr>
          <w:rFonts w:ascii="Palatino Linotype" w:eastAsia="Palatino Linotype" w:hAnsi="Palatino Linotype" w:cs="Palatino Linotype"/>
          <w:sz w:val="24"/>
          <w:szCs w:val="24"/>
        </w:rPr>
        <w:t xml:space="preserve"> es obtener del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la siguiente información: </w:t>
      </w:r>
    </w:p>
    <w:p w14:paraId="47B80D4A" w14:textId="77777777" w:rsidR="00D55228" w:rsidRPr="00CD142C" w:rsidRDefault="00D55228">
      <w:pPr>
        <w:pBdr>
          <w:top w:val="nil"/>
          <w:left w:val="nil"/>
          <w:bottom w:val="nil"/>
          <w:right w:val="nil"/>
          <w:between w:val="nil"/>
        </w:pBdr>
        <w:spacing w:after="0" w:line="360" w:lineRule="auto"/>
        <w:ind w:right="-150"/>
        <w:jc w:val="both"/>
        <w:rPr>
          <w:rFonts w:ascii="Palatino Linotype" w:eastAsia="Palatino Linotype" w:hAnsi="Palatino Linotype" w:cs="Palatino Linotype"/>
          <w:sz w:val="16"/>
          <w:szCs w:val="16"/>
        </w:rPr>
      </w:pPr>
    </w:p>
    <w:p w14:paraId="7AE29F27" w14:textId="77777777" w:rsidR="00D55228" w:rsidRPr="00CD142C" w:rsidRDefault="001540D8">
      <w:pPr>
        <w:numPr>
          <w:ilvl w:val="3"/>
          <w:numId w:val="3"/>
        </w:num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b/>
          <w:sz w:val="24"/>
          <w:szCs w:val="24"/>
        </w:rPr>
        <w:t>Todos los inmuebles que posee por arrendamiento para todos sus usos, así como la información acerca de los arrendatarios. (Sobre este requerimiento la persona solicitante requiere se entregue la lista)</w:t>
      </w:r>
    </w:p>
    <w:p w14:paraId="6300A21D" w14:textId="77777777" w:rsidR="00D55228" w:rsidRPr="00CD142C" w:rsidRDefault="00D55228">
      <w:p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szCs w:val="24"/>
        </w:rPr>
      </w:pPr>
    </w:p>
    <w:p w14:paraId="2A58119F" w14:textId="77777777" w:rsidR="00D55228" w:rsidRPr="00CD142C" w:rsidRDefault="001540D8">
      <w:pPr>
        <w:numPr>
          <w:ilvl w:val="3"/>
          <w:numId w:val="3"/>
        </w:num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b/>
          <w:sz w:val="24"/>
          <w:szCs w:val="24"/>
        </w:rPr>
        <w:t>Cuántos contratos de personal tiene vía sistema de subcontratación conocido como Outsourcing desde el año 2022 y lo que se lleva hasta este momento, así como la empresa que hizo las contrataciones. (Sobre este requerimiento la persona solicitante requiere se entregue listado de los mismos)</w:t>
      </w:r>
    </w:p>
    <w:p w14:paraId="0FA8C77F" w14:textId="77777777" w:rsidR="00D55228" w:rsidRPr="00CD142C" w:rsidRDefault="00D55228">
      <w:p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szCs w:val="24"/>
        </w:rPr>
      </w:pPr>
    </w:p>
    <w:p w14:paraId="58FA1898" w14:textId="77777777" w:rsidR="00D55228" w:rsidRPr="00CD142C" w:rsidRDefault="001540D8">
      <w:pPr>
        <w:numPr>
          <w:ilvl w:val="3"/>
          <w:numId w:val="3"/>
        </w:num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b/>
          <w:sz w:val="24"/>
          <w:szCs w:val="24"/>
        </w:rPr>
        <w:t xml:space="preserve">Con cuantos vehículos cuenta y agregar lista de los mismos; cuántos de ellos son propios y cuántos están bajo el esquema de arrendamiento, y de estos últimos indicar la empresa o empresas que prestan el servicio del arrendamiento. </w:t>
      </w:r>
    </w:p>
    <w:p w14:paraId="0D8E67AC" w14:textId="77777777" w:rsidR="00D55228" w:rsidRPr="00CD142C" w:rsidRDefault="00D55228">
      <w:p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szCs w:val="24"/>
        </w:rPr>
      </w:pPr>
    </w:p>
    <w:p w14:paraId="2B2BECE7" w14:textId="77777777" w:rsidR="00D55228" w:rsidRPr="00CD142C" w:rsidRDefault="001540D8">
      <w:pPr>
        <w:numPr>
          <w:ilvl w:val="3"/>
          <w:numId w:val="3"/>
        </w:num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b/>
          <w:sz w:val="24"/>
          <w:szCs w:val="24"/>
        </w:rPr>
        <w:t xml:space="preserve">De los equipos de cómputo, impresoras y multifuncionales con los que cuenta, ¿Cuántos son propios y cuántos arrendados? y sobre estos últimos, señalar la empresa o empresas que prestan el servicio del arrendamiento. </w:t>
      </w:r>
    </w:p>
    <w:p w14:paraId="4F2C3554" w14:textId="77777777" w:rsidR="00D55228" w:rsidRPr="00CD142C" w:rsidRDefault="00D55228">
      <w:p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szCs w:val="24"/>
        </w:rPr>
      </w:pPr>
    </w:p>
    <w:p w14:paraId="6E06C86E" w14:textId="77777777" w:rsidR="00D55228" w:rsidRPr="00CD142C" w:rsidRDefault="001540D8">
      <w:pPr>
        <w:numPr>
          <w:ilvl w:val="3"/>
          <w:numId w:val="3"/>
        </w:numPr>
        <w:pBdr>
          <w:top w:val="nil"/>
          <w:left w:val="nil"/>
          <w:bottom w:val="nil"/>
          <w:right w:val="nil"/>
          <w:between w:val="nil"/>
        </w:pBdr>
        <w:spacing w:after="0" w:line="276" w:lineRule="auto"/>
        <w:ind w:left="426" w:right="96"/>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b/>
          <w:sz w:val="24"/>
          <w:szCs w:val="24"/>
        </w:rPr>
        <w:t>El capítulo 4000 del presupuesto de ingresos y egresos de los ejercicios 2021, 2022 y 2023.</w:t>
      </w:r>
    </w:p>
    <w:p w14:paraId="154419E7" w14:textId="77777777" w:rsidR="00D55228" w:rsidRPr="00CD142C" w:rsidRDefault="00D5522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70A262CB" w14:textId="77777777" w:rsidR="00D55228" w:rsidRPr="00CD142C" w:rsidRDefault="001540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Así, 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por conducto de la Oficial Mayor en respuesta aportó la información precisada en el antecedente segundo de la presente resolución,</w:t>
      </w:r>
    </w:p>
    <w:p w14:paraId="20B50893" w14:textId="77777777" w:rsidR="00D55228" w:rsidRPr="00CD142C" w:rsidRDefault="001540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lastRenderedPageBreak/>
        <w:t xml:space="preserve">No obstante, al no estar conforme con la respuesta, se advierte que la </w:t>
      </w:r>
      <w:r w:rsidRPr="00CD142C">
        <w:rPr>
          <w:rFonts w:ascii="Palatino Linotype" w:eastAsia="Palatino Linotype" w:hAnsi="Palatino Linotype" w:cs="Palatino Linotype"/>
          <w:b/>
          <w:sz w:val="24"/>
          <w:szCs w:val="24"/>
        </w:rPr>
        <w:t xml:space="preserve">parte Recurrente </w:t>
      </w:r>
      <w:r w:rsidRPr="00CD142C">
        <w:rPr>
          <w:rFonts w:ascii="Palatino Linotype" w:eastAsia="Palatino Linotype" w:hAnsi="Palatino Linotype" w:cs="Palatino Linotype"/>
          <w:sz w:val="24"/>
          <w:szCs w:val="24"/>
        </w:rPr>
        <w:t>promueve el presente medio de impugnación, en el que en sus motivos de inconformidad se advierte que se adolece únicamente por la falta de entrega de lo siguiente</w:t>
      </w:r>
      <w:r w:rsidRPr="00CD142C">
        <w:rPr>
          <w:rFonts w:ascii="Palatino Linotype" w:eastAsia="Palatino Linotype" w:hAnsi="Palatino Linotype" w:cs="Palatino Linotype"/>
          <w:b/>
          <w:sz w:val="24"/>
          <w:szCs w:val="24"/>
        </w:rPr>
        <w:t>: la lista de los arrendatarios de los inmuebles que tiene arrendados la Secretaría de Seguridad, la lista de los vehículos propios y arrendados, y que sobre el capítulo 4000 a su consideración si bien se remitieron ligas para su consulta el Sujeto Obligado no proporcionó lo requerido en dicho punto ni se entregó como se solicitó.</w:t>
      </w:r>
    </w:p>
    <w:p w14:paraId="5C16A892" w14:textId="77777777" w:rsidR="00D55228" w:rsidRPr="00CD142C" w:rsidRDefault="00D5522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6C4DD994" w14:textId="77777777" w:rsidR="00D55228" w:rsidRPr="00CD142C" w:rsidRDefault="001540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Acotado lo anterior, y atendiendo que en el caso los motivos de inconformidad no versan sobre la totalidad de la información proporcionada por 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 xml:space="preserve">ya que la parte </w:t>
      </w:r>
      <w:r w:rsidRPr="00CD142C">
        <w:rPr>
          <w:rFonts w:ascii="Palatino Linotype" w:eastAsia="Palatino Linotype" w:hAnsi="Palatino Linotype" w:cs="Palatino Linotype"/>
          <w:b/>
          <w:sz w:val="24"/>
          <w:szCs w:val="24"/>
        </w:rPr>
        <w:t xml:space="preserve">Recurrente </w:t>
      </w:r>
      <w:r w:rsidRPr="00CD142C">
        <w:rPr>
          <w:rFonts w:ascii="Palatino Linotype" w:eastAsia="Palatino Linotype" w:hAnsi="Palatino Linotype" w:cs="Palatino Linotype"/>
          <w:sz w:val="24"/>
          <w:szCs w:val="24"/>
        </w:rPr>
        <w:t xml:space="preserve">únicamente se adolece de que no le fue proporcionado lo indicado en el párrafo que antecede; en consecuencia, se determina que,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satisface la solicitud presentada.</w:t>
      </w:r>
    </w:p>
    <w:p w14:paraId="01A0FC3B"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17F9017C"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Lo anterior es así, debido a que cuando la parte </w:t>
      </w:r>
      <w:r w:rsidRPr="00CD142C">
        <w:rPr>
          <w:rFonts w:ascii="Palatino Linotype" w:eastAsia="Palatino Linotype" w:hAnsi="Palatino Linotype" w:cs="Palatino Linotype"/>
          <w:b/>
          <w:sz w:val="24"/>
          <w:szCs w:val="24"/>
        </w:rPr>
        <w:t xml:space="preserve">Recurrente </w:t>
      </w:r>
      <w:r w:rsidRPr="00CD142C">
        <w:rPr>
          <w:rFonts w:ascii="Palatino Linotype" w:eastAsia="Palatino Linotype" w:hAnsi="Palatino Linotype" w:cs="Palatino Linotype"/>
          <w:sz w:val="24"/>
          <w:szCs w:val="24"/>
        </w:rPr>
        <w:t xml:space="preserve">impugna la respuesta del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y este no expresa Razón o Motivo de Inconformidad en contra de todos los rubros solicitados, dichos rubros deben declararse atendidos, pues se entiende que la parte </w:t>
      </w:r>
      <w:r w:rsidRPr="00CD142C">
        <w:rPr>
          <w:rFonts w:ascii="Palatino Linotype" w:eastAsia="Palatino Linotype" w:hAnsi="Palatino Linotype" w:cs="Palatino Linotype"/>
          <w:b/>
          <w:sz w:val="24"/>
          <w:szCs w:val="24"/>
        </w:rPr>
        <w:t>Recurrente</w:t>
      </w:r>
      <w:r w:rsidRPr="00CD142C">
        <w:rPr>
          <w:rFonts w:ascii="Palatino Linotype" w:eastAsia="Palatino Linotype" w:hAnsi="Palatino Linotype" w:cs="Palatino Linotype"/>
          <w:sz w:val="24"/>
          <w:szCs w:val="24"/>
        </w:rPr>
        <w:t xml:space="preserve"> ésta conforme con la información entregada al no contravenir la misma. Sirve de Apoyo a lo anterior, por analogía la Tesis </w:t>
      </w:r>
      <w:r w:rsidRPr="00CD142C">
        <w:rPr>
          <w:rFonts w:ascii="Palatino Linotype" w:eastAsia="Palatino Linotype" w:hAnsi="Palatino Linotype" w:cs="Palatino Linotype"/>
          <w:sz w:val="24"/>
          <w:szCs w:val="24"/>
        </w:rPr>
        <w:lastRenderedPageBreak/>
        <w:t>Jurisprudencial Número 3ª./J.7/91, Publicada en el Semanario Judicial de la Federación y su Gaceta bajo el número de registro 174,177, que establece lo siguiente:</w:t>
      </w:r>
    </w:p>
    <w:p w14:paraId="46BA9F4E"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007E4D97" w14:textId="77777777" w:rsidR="00D55228" w:rsidRPr="00CD142C" w:rsidRDefault="001540D8">
      <w:pPr>
        <w:spacing w:after="0" w:line="276" w:lineRule="auto"/>
        <w:ind w:left="567" w:right="616"/>
        <w:jc w:val="both"/>
        <w:rPr>
          <w:rFonts w:ascii="Palatino Linotype" w:eastAsia="Palatino Linotype" w:hAnsi="Palatino Linotype" w:cs="Palatino Linotype"/>
          <w:i/>
        </w:rPr>
      </w:pPr>
      <w:r w:rsidRPr="00CD142C">
        <w:rPr>
          <w:rFonts w:ascii="Palatino Linotype" w:eastAsia="Palatino Linotype" w:hAnsi="Palatino Linotype" w:cs="Palatino Linotype"/>
          <w:b/>
          <w:i/>
        </w:rPr>
        <w:t xml:space="preserve">“REVISIÓN EN AMPARO. LOS RESOLUTIVOS NO COMBATIDOS DEBEN DECLARARSE FIRMES. </w:t>
      </w:r>
      <w:r w:rsidRPr="00CD142C">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08735859" w14:textId="77777777" w:rsidR="00D55228" w:rsidRPr="00CD142C" w:rsidRDefault="00D55228">
      <w:pPr>
        <w:spacing w:after="0" w:line="276" w:lineRule="auto"/>
        <w:ind w:left="567" w:right="616"/>
        <w:jc w:val="both"/>
        <w:rPr>
          <w:rFonts w:ascii="Palatino Linotype" w:eastAsia="Palatino Linotype" w:hAnsi="Palatino Linotype" w:cs="Palatino Linotype"/>
          <w:i/>
        </w:rPr>
      </w:pPr>
    </w:p>
    <w:p w14:paraId="4C11148A"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Consecuentemente, se insiste, ante la falta de impugnación eficaz, la respuesta entregada debe declararse consentida por la persona solicitante.</w:t>
      </w:r>
    </w:p>
    <w:p w14:paraId="464DDF0B"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3472702E"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Lo anterior se sustenta con lo plasmado en el criterio 01/20 emitido por el Instituto Nacional de Transparencia, Acceso a la Información, y Protección de Datos Personales, INAI, que lleva por rubro y texto los siguientes: </w:t>
      </w:r>
    </w:p>
    <w:p w14:paraId="25465D9E"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17824620" w14:textId="77777777" w:rsidR="00D55228" w:rsidRPr="00CD142C" w:rsidRDefault="001540D8">
      <w:pPr>
        <w:pBdr>
          <w:top w:val="nil"/>
          <w:left w:val="nil"/>
          <w:bottom w:val="nil"/>
          <w:right w:val="nil"/>
          <w:between w:val="nil"/>
        </w:pBdr>
        <w:spacing w:after="0" w:line="276" w:lineRule="auto"/>
        <w:ind w:left="567" w:right="902"/>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 xml:space="preserve">Actos consentidos tácitamente. Improcedencia de su análisis. </w:t>
      </w:r>
      <w:r w:rsidRPr="00CD142C">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7BC8F74A" w14:textId="77777777" w:rsidR="00D55228" w:rsidRPr="00CD142C" w:rsidRDefault="00D55228">
      <w:pPr>
        <w:pBdr>
          <w:top w:val="nil"/>
          <w:left w:val="nil"/>
          <w:bottom w:val="nil"/>
          <w:right w:val="nil"/>
          <w:between w:val="nil"/>
        </w:pBdr>
        <w:spacing w:after="0" w:line="360" w:lineRule="auto"/>
        <w:ind w:left="567" w:right="902"/>
        <w:jc w:val="both"/>
        <w:rPr>
          <w:rFonts w:ascii="Palatino Linotype" w:eastAsia="Palatino Linotype" w:hAnsi="Palatino Linotype" w:cs="Palatino Linotype"/>
          <w:i/>
          <w:sz w:val="24"/>
          <w:szCs w:val="24"/>
        </w:rPr>
      </w:pPr>
    </w:p>
    <w:p w14:paraId="67C3BE87"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Asimismo, resulta aplicable por analogía la tesis jurisprudencial número VI.3o.C. J/60, publicada en el Semanario Judicial de la Federación y su Gaceta bajo el número de registro 176,608 que a la letra dice:</w:t>
      </w:r>
    </w:p>
    <w:p w14:paraId="5B712991" w14:textId="77777777" w:rsidR="00D55228" w:rsidRPr="00CD142C" w:rsidRDefault="00D55228">
      <w:pPr>
        <w:spacing w:after="0" w:line="360" w:lineRule="auto"/>
        <w:ind w:left="851" w:right="900"/>
        <w:jc w:val="both"/>
        <w:rPr>
          <w:rFonts w:ascii="Palatino Linotype" w:eastAsia="Palatino Linotype" w:hAnsi="Palatino Linotype" w:cs="Palatino Linotype"/>
          <w:b/>
          <w:i/>
          <w:smallCaps/>
          <w:sz w:val="24"/>
          <w:szCs w:val="24"/>
        </w:rPr>
      </w:pPr>
    </w:p>
    <w:p w14:paraId="1F54886E" w14:textId="77777777" w:rsidR="00D55228" w:rsidRPr="00CD142C" w:rsidRDefault="001540D8">
      <w:pPr>
        <w:tabs>
          <w:tab w:val="left" w:pos="851"/>
          <w:tab w:val="left" w:pos="1276"/>
        </w:tabs>
        <w:spacing w:after="0" w:line="276" w:lineRule="auto"/>
        <w:ind w:left="567" w:right="709"/>
        <w:jc w:val="both"/>
        <w:rPr>
          <w:rFonts w:ascii="Palatino Linotype" w:eastAsia="Palatino Linotype" w:hAnsi="Palatino Linotype" w:cs="Palatino Linotype"/>
        </w:rPr>
      </w:pPr>
      <w:r w:rsidRPr="00CD142C">
        <w:rPr>
          <w:rFonts w:ascii="Palatino Linotype" w:eastAsia="Palatino Linotype" w:hAnsi="Palatino Linotype" w:cs="Palatino Linotype"/>
          <w:b/>
          <w:i/>
          <w:smallCaps/>
        </w:rPr>
        <w:lastRenderedPageBreak/>
        <w:t xml:space="preserve">“ACTOS CONSENTIDOS. SON LOS QUE NO SE IMPUGNAN MEDIANTE EL RECURSO IDÓNEO. </w:t>
      </w:r>
      <w:r w:rsidRPr="00CD142C">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90294E5" w14:textId="77777777" w:rsidR="00D55228" w:rsidRPr="00CD142C" w:rsidRDefault="00D5522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4316B9C2" w14:textId="77777777" w:rsidR="00D55228" w:rsidRPr="00CD142C" w:rsidRDefault="001540D8">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u w:val="single"/>
        </w:rPr>
      </w:pPr>
      <w:r w:rsidRPr="00CD142C">
        <w:rPr>
          <w:rFonts w:ascii="Palatino Linotype" w:eastAsia="Palatino Linotype" w:hAnsi="Palatino Linotype" w:cs="Palatino Linotype"/>
          <w:sz w:val="24"/>
          <w:szCs w:val="24"/>
        </w:rPr>
        <w:t xml:space="preserve">Dicho lo anterior, se procede al análisis del agravio hecho valer por la parte </w:t>
      </w:r>
      <w:r w:rsidRPr="00CD142C">
        <w:rPr>
          <w:rFonts w:ascii="Palatino Linotype" w:eastAsia="Palatino Linotype" w:hAnsi="Palatino Linotype" w:cs="Palatino Linotype"/>
          <w:b/>
          <w:sz w:val="24"/>
          <w:szCs w:val="24"/>
        </w:rPr>
        <w:t>Recurrente</w:t>
      </w:r>
      <w:r w:rsidRPr="00CD142C">
        <w:rPr>
          <w:rFonts w:ascii="Palatino Linotype" w:eastAsia="Palatino Linotype" w:hAnsi="Palatino Linotype" w:cs="Palatino Linotype"/>
          <w:sz w:val="24"/>
          <w:szCs w:val="24"/>
        </w:rPr>
        <w:t xml:space="preserve">, relacionado con la </w:t>
      </w:r>
      <w:r w:rsidRPr="00CD142C">
        <w:rPr>
          <w:rFonts w:ascii="Palatino Linotype" w:eastAsia="Palatino Linotype" w:hAnsi="Palatino Linotype" w:cs="Palatino Linotype"/>
          <w:b/>
          <w:sz w:val="24"/>
          <w:szCs w:val="24"/>
          <w:u w:val="single"/>
        </w:rPr>
        <w:t>falta de entrega de la siguiente información:</w:t>
      </w:r>
    </w:p>
    <w:p w14:paraId="59E11387" w14:textId="77777777" w:rsidR="00D55228" w:rsidRPr="00CD142C" w:rsidRDefault="00D55228">
      <w:pPr>
        <w:pBdr>
          <w:top w:val="nil"/>
          <w:left w:val="nil"/>
          <w:bottom w:val="nil"/>
          <w:right w:val="nil"/>
          <w:between w:val="nil"/>
        </w:pBdr>
        <w:spacing w:after="0" w:line="360" w:lineRule="auto"/>
        <w:ind w:right="49"/>
        <w:jc w:val="both"/>
        <w:rPr>
          <w:rFonts w:ascii="Palatino Linotype" w:eastAsia="Palatino Linotype" w:hAnsi="Palatino Linotype" w:cs="Palatino Linotype"/>
          <w:b/>
          <w:sz w:val="24"/>
          <w:szCs w:val="24"/>
          <w:u w:val="single"/>
        </w:rPr>
      </w:pPr>
    </w:p>
    <w:p w14:paraId="2AB709E5" w14:textId="77777777" w:rsidR="00D55228" w:rsidRPr="00CD142C" w:rsidRDefault="001540D8">
      <w:pPr>
        <w:numPr>
          <w:ilvl w:val="3"/>
          <w:numId w:val="5"/>
        </w:numPr>
        <w:pBdr>
          <w:top w:val="nil"/>
          <w:left w:val="nil"/>
          <w:bottom w:val="nil"/>
          <w:right w:val="nil"/>
          <w:between w:val="nil"/>
        </w:pBdr>
        <w:spacing w:after="0" w:line="360" w:lineRule="auto"/>
        <w:ind w:left="284" w:right="49"/>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b/>
          <w:sz w:val="24"/>
          <w:szCs w:val="24"/>
        </w:rPr>
        <w:t>Lista de los arrendatarios de los inmuebles que tiene arrendados la Secretaría de Seguridad.</w:t>
      </w:r>
    </w:p>
    <w:p w14:paraId="4B036697" w14:textId="77777777" w:rsidR="00D55228" w:rsidRPr="00CD142C" w:rsidRDefault="001540D8">
      <w:pPr>
        <w:numPr>
          <w:ilvl w:val="3"/>
          <w:numId w:val="5"/>
        </w:numPr>
        <w:pBdr>
          <w:top w:val="nil"/>
          <w:left w:val="nil"/>
          <w:bottom w:val="nil"/>
          <w:right w:val="nil"/>
          <w:between w:val="nil"/>
        </w:pBdr>
        <w:spacing w:after="0" w:line="360" w:lineRule="auto"/>
        <w:ind w:left="284" w:right="49"/>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b/>
          <w:sz w:val="24"/>
          <w:szCs w:val="24"/>
        </w:rPr>
        <w:t>Lista de los vehículos propios y arrendados.</w:t>
      </w:r>
    </w:p>
    <w:p w14:paraId="5C8384DF" w14:textId="77777777" w:rsidR="00D55228" w:rsidRPr="00CD142C" w:rsidRDefault="001540D8">
      <w:pPr>
        <w:numPr>
          <w:ilvl w:val="3"/>
          <w:numId w:val="5"/>
        </w:numPr>
        <w:pBdr>
          <w:top w:val="nil"/>
          <w:left w:val="nil"/>
          <w:bottom w:val="nil"/>
          <w:right w:val="nil"/>
          <w:between w:val="nil"/>
        </w:pBdr>
        <w:spacing w:after="0" w:line="360" w:lineRule="auto"/>
        <w:ind w:left="284" w:right="49"/>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b/>
          <w:sz w:val="24"/>
          <w:szCs w:val="24"/>
        </w:rPr>
        <w:t>El capítulo 4000 del presupuesto de ingresos y egresos de los ejercicios 2021, 2022 y 2023.</w:t>
      </w:r>
    </w:p>
    <w:p w14:paraId="3C8D4CEF" w14:textId="77777777" w:rsidR="00D55228" w:rsidRPr="00CD142C" w:rsidRDefault="00D55228">
      <w:pPr>
        <w:pBdr>
          <w:top w:val="nil"/>
          <w:left w:val="nil"/>
          <w:bottom w:val="nil"/>
          <w:right w:val="nil"/>
          <w:between w:val="nil"/>
        </w:pBdr>
        <w:spacing w:after="0" w:line="360" w:lineRule="auto"/>
        <w:ind w:right="96"/>
        <w:jc w:val="both"/>
        <w:rPr>
          <w:rFonts w:ascii="Palatino Linotype" w:eastAsia="Palatino Linotype" w:hAnsi="Palatino Linotype" w:cs="Palatino Linotype"/>
          <w:sz w:val="16"/>
          <w:szCs w:val="16"/>
        </w:rPr>
      </w:pPr>
    </w:p>
    <w:p w14:paraId="13CD3236" w14:textId="77777777" w:rsidR="00D55228" w:rsidRPr="00CD142C" w:rsidRDefault="001540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Para un mejor estudio del asunto, se procederá  a subdividir el análisis de los requerimientos efectuados por la persona solicitante, de los que se adolece vía recurso de revisión, en los siguientes </w:t>
      </w:r>
      <w:r w:rsidRPr="00CD142C">
        <w:rPr>
          <w:rFonts w:ascii="Palatino Linotype" w:eastAsia="Palatino Linotype" w:hAnsi="Palatino Linotype" w:cs="Palatino Linotype"/>
          <w:b/>
          <w:sz w:val="24"/>
          <w:szCs w:val="24"/>
          <w:u w:val="single"/>
        </w:rPr>
        <w:t>tres</w:t>
      </w:r>
      <w:r w:rsidRPr="00CD142C">
        <w:rPr>
          <w:rFonts w:ascii="Palatino Linotype" w:eastAsia="Palatino Linotype" w:hAnsi="Palatino Linotype" w:cs="Palatino Linotype"/>
          <w:sz w:val="24"/>
          <w:szCs w:val="24"/>
        </w:rPr>
        <w:t xml:space="preserve"> apartados:</w:t>
      </w:r>
    </w:p>
    <w:p w14:paraId="420BFCBC" w14:textId="77777777" w:rsidR="00D55228" w:rsidRPr="00CD142C" w:rsidRDefault="00D5522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60EB9E33" w14:textId="77777777" w:rsidR="00D55228" w:rsidRPr="00CD142C" w:rsidRDefault="001540D8">
      <w:pPr>
        <w:numPr>
          <w:ilvl w:val="0"/>
          <w:numId w:val="4"/>
        </w:numPr>
        <w:pBdr>
          <w:top w:val="nil"/>
          <w:left w:val="nil"/>
          <w:bottom w:val="nil"/>
          <w:right w:val="nil"/>
          <w:between w:val="nil"/>
        </w:pBdr>
        <w:spacing w:after="0" w:line="360" w:lineRule="auto"/>
        <w:ind w:right="49"/>
        <w:jc w:val="both"/>
        <w:rPr>
          <w:sz w:val="24"/>
          <w:szCs w:val="24"/>
        </w:rPr>
      </w:pPr>
      <w:r w:rsidRPr="00CD142C">
        <w:rPr>
          <w:rFonts w:ascii="Palatino Linotype" w:eastAsia="Palatino Linotype" w:hAnsi="Palatino Linotype" w:cs="Palatino Linotype"/>
          <w:b/>
          <w:sz w:val="24"/>
          <w:szCs w:val="24"/>
        </w:rPr>
        <w:t>Lista de los arrendatarios de los inmuebles que tiene arrendados la Secretaría de Seguridad.</w:t>
      </w:r>
    </w:p>
    <w:p w14:paraId="4A20E591" w14:textId="77777777" w:rsidR="00D55228" w:rsidRPr="00CD142C" w:rsidRDefault="00D55228">
      <w:pPr>
        <w:pBdr>
          <w:top w:val="nil"/>
          <w:left w:val="nil"/>
          <w:bottom w:val="nil"/>
          <w:right w:val="nil"/>
          <w:between w:val="nil"/>
        </w:pBdr>
        <w:spacing w:after="0" w:line="360" w:lineRule="auto"/>
        <w:ind w:left="426" w:right="49"/>
        <w:jc w:val="both"/>
        <w:rPr>
          <w:rFonts w:ascii="Palatino Linotype" w:eastAsia="Palatino Linotype" w:hAnsi="Palatino Linotype" w:cs="Palatino Linotype"/>
          <w:b/>
          <w:sz w:val="24"/>
          <w:szCs w:val="24"/>
        </w:rPr>
      </w:pPr>
    </w:p>
    <w:p w14:paraId="6B13B9C0" w14:textId="77777777" w:rsidR="00D55228" w:rsidRPr="00CD142C" w:rsidRDefault="001540D8">
      <w:pPr>
        <w:pBdr>
          <w:top w:val="nil"/>
          <w:left w:val="nil"/>
          <w:bottom w:val="nil"/>
          <w:right w:val="nil"/>
          <w:between w:val="nil"/>
        </w:pBdr>
        <w:spacing w:after="0" w:line="360" w:lineRule="auto"/>
        <w:ind w:left="66"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Ahora, antes de iniciar con el análisis al presente requerimiento, es importante mencionar, que la persona solicitante requirió obtener, la información acerca de los arrendatarios de los inmuebles que tiene en arrendamiento la Secretaría de </w:t>
      </w:r>
      <w:r w:rsidRPr="00CD142C">
        <w:rPr>
          <w:rFonts w:ascii="Palatino Linotype" w:eastAsia="Palatino Linotype" w:hAnsi="Palatino Linotype" w:cs="Palatino Linotype"/>
          <w:sz w:val="24"/>
          <w:szCs w:val="24"/>
        </w:rPr>
        <w:lastRenderedPageBreak/>
        <w:t>Seguridad, sin embargo del artículo 7.670 del Código Civil del Estado de México vigente, se advierte que tiene carácter de “</w:t>
      </w:r>
      <w:r w:rsidRPr="00CD142C">
        <w:rPr>
          <w:rFonts w:ascii="Palatino Linotype" w:eastAsia="Palatino Linotype" w:hAnsi="Palatino Linotype" w:cs="Palatino Linotype"/>
          <w:i/>
          <w:sz w:val="24"/>
          <w:szCs w:val="24"/>
        </w:rPr>
        <w:t>arrendatario</w:t>
      </w:r>
      <w:r w:rsidRPr="00CD142C">
        <w:rPr>
          <w:rFonts w:ascii="Palatino Linotype" w:eastAsia="Palatino Linotype" w:hAnsi="Palatino Linotype" w:cs="Palatino Linotype"/>
          <w:sz w:val="24"/>
          <w:szCs w:val="24"/>
        </w:rPr>
        <w:t>” la persona que adquiere el derecho a usar un bien o un inmueble a cambio de un precio, y como “</w:t>
      </w:r>
      <w:r w:rsidRPr="00CD142C">
        <w:rPr>
          <w:rFonts w:ascii="Palatino Linotype" w:eastAsia="Palatino Linotype" w:hAnsi="Palatino Linotype" w:cs="Palatino Linotype"/>
          <w:i/>
          <w:sz w:val="24"/>
          <w:szCs w:val="24"/>
        </w:rPr>
        <w:t>arrendador</w:t>
      </w:r>
      <w:r w:rsidRPr="00CD142C">
        <w:rPr>
          <w:rFonts w:ascii="Palatino Linotype" w:eastAsia="Palatino Linotype" w:hAnsi="Palatino Linotype" w:cs="Palatino Linotype"/>
          <w:sz w:val="24"/>
          <w:szCs w:val="24"/>
        </w:rPr>
        <w:t>” a la persona que transmite el uso o goce temporal de un bien al arrendatario.</w:t>
      </w:r>
    </w:p>
    <w:p w14:paraId="6EC9DEED" w14:textId="77777777" w:rsidR="00D55228" w:rsidRPr="00CD142C" w:rsidRDefault="00D55228">
      <w:pPr>
        <w:pBdr>
          <w:top w:val="nil"/>
          <w:left w:val="nil"/>
          <w:bottom w:val="nil"/>
          <w:right w:val="nil"/>
          <w:between w:val="nil"/>
        </w:pBdr>
        <w:spacing w:after="0" w:line="360" w:lineRule="auto"/>
        <w:ind w:left="66" w:right="49"/>
        <w:jc w:val="both"/>
        <w:rPr>
          <w:rFonts w:ascii="Palatino Linotype" w:eastAsia="Palatino Linotype" w:hAnsi="Palatino Linotype" w:cs="Palatino Linotype"/>
          <w:sz w:val="24"/>
          <w:szCs w:val="24"/>
        </w:rPr>
      </w:pPr>
    </w:p>
    <w:p w14:paraId="517A24C1" w14:textId="77777777" w:rsidR="00D55228" w:rsidRPr="00CD142C" w:rsidRDefault="001540D8">
      <w:pPr>
        <w:pBdr>
          <w:top w:val="nil"/>
          <w:left w:val="nil"/>
          <w:bottom w:val="nil"/>
          <w:right w:val="nil"/>
          <w:between w:val="nil"/>
        </w:pBdr>
        <w:spacing w:after="0" w:line="360" w:lineRule="auto"/>
        <w:ind w:left="66" w:right="49"/>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sz w:val="24"/>
          <w:szCs w:val="24"/>
        </w:rPr>
        <w:t xml:space="preserve">De esta manera, y del análisis armónico al requerimiento marcado en el numeral </w:t>
      </w:r>
      <w:r w:rsidRPr="00CD142C">
        <w:rPr>
          <w:rFonts w:ascii="Palatino Linotype" w:eastAsia="Palatino Linotype" w:hAnsi="Palatino Linotype" w:cs="Palatino Linotype"/>
          <w:b/>
          <w:sz w:val="24"/>
          <w:szCs w:val="24"/>
        </w:rPr>
        <w:t>1</w:t>
      </w:r>
      <w:r w:rsidRPr="00CD142C">
        <w:rPr>
          <w:rFonts w:ascii="Palatino Linotype" w:eastAsia="Palatino Linotype" w:hAnsi="Palatino Linotype" w:cs="Palatino Linotype"/>
          <w:sz w:val="24"/>
          <w:szCs w:val="24"/>
        </w:rPr>
        <w:t xml:space="preserve"> de la solicitud de información, se advierte que a la información a la que pretende acceder el particular, además de todos los inmuebles que posee en arrendamiento la Secretaría de Seguridad para todos sus usos,</w:t>
      </w:r>
      <w:r w:rsidRPr="00CD142C">
        <w:rPr>
          <w:rFonts w:ascii="Palatino Linotype" w:eastAsia="Palatino Linotype" w:hAnsi="Palatino Linotype" w:cs="Palatino Linotype"/>
          <w:b/>
          <w:sz w:val="24"/>
          <w:szCs w:val="24"/>
        </w:rPr>
        <w:t xml:space="preserve"> es la información acerca de los arrendadores de dichos inmuebles.</w:t>
      </w:r>
    </w:p>
    <w:p w14:paraId="55E0E74A" w14:textId="77777777" w:rsidR="00D55228" w:rsidRPr="00CD142C" w:rsidRDefault="00D55228">
      <w:pPr>
        <w:pBdr>
          <w:top w:val="nil"/>
          <w:left w:val="nil"/>
          <w:bottom w:val="nil"/>
          <w:right w:val="nil"/>
          <w:between w:val="nil"/>
        </w:pBdr>
        <w:spacing w:after="0" w:line="360" w:lineRule="auto"/>
        <w:ind w:left="66" w:right="49"/>
        <w:jc w:val="both"/>
        <w:rPr>
          <w:rFonts w:ascii="Palatino Linotype" w:eastAsia="Palatino Linotype" w:hAnsi="Palatino Linotype" w:cs="Palatino Linotype"/>
          <w:b/>
          <w:sz w:val="24"/>
          <w:szCs w:val="24"/>
        </w:rPr>
      </w:pPr>
    </w:p>
    <w:p w14:paraId="3015E04B" w14:textId="77777777" w:rsidR="00D55228" w:rsidRPr="00CD142C" w:rsidRDefault="001540D8">
      <w:pPr>
        <w:pBdr>
          <w:top w:val="nil"/>
          <w:left w:val="nil"/>
          <w:bottom w:val="nil"/>
          <w:right w:val="nil"/>
          <w:between w:val="nil"/>
        </w:pBdr>
        <w:spacing w:after="0" w:line="360" w:lineRule="auto"/>
        <w:ind w:left="66" w:right="49"/>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sz w:val="24"/>
          <w:szCs w:val="24"/>
        </w:rPr>
        <w:t xml:space="preserve">Por lo que, la persona solicitante al no ser experto en la materia y atendiendo a lo dispuesto en el artículo 13 de la Ley de Transparencia y Acceso a la Información Pública del Estado de México y Municipios, se procede a suplir la deficiencia de la solicitud, y en tal virtud, se tiene que la pretensión de la persona solicitante es acceder, entre otra, </w:t>
      </w:r>
      <w:r w:rsidRPr="00CD142C">
        <w:rPr>
          <w:rFonts w:ascii="Palatino Linotype" w:eastAsia="Palatino Linotype" w:hAnsi="Palatino Linotype" w:cs="Palatino Linotype"/>
          <w:b/>
          <w:sz w:val="24"/>
          <w:szCs w:val="24"/>
        </w:rPr>
        <w:t>al listado de los arrendadores de los inmuebles que posee en calidad de arrendamiento la Secretaría de Seguridad.</w:t>
      </w:r>
    </w:p>
    <w:p w14:paraId="524A71FD" w14:textId="77777777" w:rsidR="00D55228" w:rsidRPr="00CD142C" w:rsidRDefault="00D55228">
      <w:pPr>
        <w:pBdr>
          <w:top w:val="nil"/>
          <w:left w:val="nil"/>
          <w:bottom w:val="nil"/>
          <w:right w:val="nil"/>
          <w:between w:val="nil"/>
        </w:pBdr>
        <w:spacing w:after="0" w:line="360" w:lineRule="auto"/>
        <w:ind w:left="66" w:right="49"/>
        <w:jc w:val="both"/>
        <w:rPr>
          <w:rFonts w:ascii="Palatino Linotype" w:eastAsia="Palatino Linotype" w:hAnsi="Palatino Linotype" w:cs="Palatino Linotype"/>
          <w:sz w:val="24"/>
          <w:szCs w:val="24"/>
        </w:rPr>
      </w:pPr>
    </w:p>
    <w:p w14:paraId="0D03E176"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Ahora, por cuanto hace a la competencia del ente público, para poseer, generar y/o administrar la información requerida, </w:t>
      </w:r>
      <w:r w:rsidRPr="00CD142C">
        <w:rPr>
          <w:rFonts w:ascii="Palatino Linotype" w:eastAsia="Palatino Linotype" w:hAnsi="Palatino Linotype" w:cs="Palatino Linotype"/>
          <w:b/>
          <w:sz w:val="24"/>
          <w:szCs w:val="24"/>
        </w:rPr>
        <w:t xml:space="preserve">es de recordar que quien dio atención al requerimiento de mérito fue el servidor público habilitado de la </w:t>
      </w:r>
      <w:r w:rsidRPr="00CD142C">
        <w:rPr>
          <w:rFonts w:ascii="Palatino Linotype" w:eastAsia="Palatino Linotype" w:hAnsi="Palatino Linotype" w:cs="Palatino Linotype"/>
          <w:b/>
          <w:sz w:val="24"/>
          <w:szCs w:val="24"/>
          <w:u w:val="single"/>
        </w:rPr>
        <w:t>Oficialía Mayor;</w:t>
      </w:r>
      <w:r w:rsidRPr="00CD142C">
        <w:rPr>
          <w:rFonts w:ascii="Palatino Linotype" w:eastAsia="Palatino Linotype" w:hAnsi="Palatino Linotype" w:cs="Palatino Linotype"/>
          <w:sz w:val="24"/>
          <w:szCs w:val="24"/>
        </w:rPr>
        <w:t xml:space="preserve"> unidad administrativa que conforme el Manual General de Organización de la Secretaría de Seguridad vigente, </w:t>
      </w:r>
      <w:r w:rsidR="006A004D" w:rsidRPr="00CD142C">
        <w:rPr>
          <w:rFonts w:ascii="Palatino Linotype" w:eastAsia="Palatino Linotype" w:hAnsi="Palatino Linotype" w:cs="Palatino Linotype"/>
          <w:sz w:val="24"/>
          <w:szCs w:val="24"/>
        </w:rPr>
        <w:t xml:space="preserve">con relación a lo requerido en este apartado, </w:t>
      </w:r>
      <w:r w:rsidRPr="00CD142C">
        <w:rPr>
          <w:rFonts w:ascii="Palatino Linotype" w:eastAsia="Palatino Linotype" w:hAnsi="Palatino Linotype" w:cs="Palatino Linotype"/>
          <w:sz w:val="24"/>
          <w:szCs w:val="24"/>
        </w:rPr>
        <w:t>tiene como objetivo y dentro de sus atribuciones, las siguientes:</w:t>
      </w:r>
    </w:p>
    <w:p w14:paraId="68ED2A94"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6D87713D" w14:textId="77777777" w:rsidR="00D55228" w:rsidRPr="00CD142C" w:rsidRDefault="001540D8">
      <w:pPr>
        <w:spacing w:after="0" w:line="240" w:lineRule="auto"/>
        <w:ind w:left="567" w:right="560"/>
        <w:jc w:val="both"/>
        <w:rPr>
          <w:rFonts w:ascii="Palatino Linotype" w:eastAsia="Palatino Linotype" w:hAnsi="Palatino Linotype" w:cs="Palatino Linotype"/>
          <w:b/>
          <w:i/>
        </w:rPr>
      </w:pPr>
      <w:r w:rsidRPr="00CD142C">
        <w:rPr>
          <w:rFonts w:ascii="Palatino Linotype" w:eastAsia="Palatino Linotype" w:hAnsi="Palatino Linotype" w:cs="Palatino Linotype"/>
          <w:b/>
          <w:i/>
        </w:rPr>
        <w:t xml:space="preserve">20603000000000L OFICIALÍA MAYOR </w:t>
      </w:r>
    </w:p>
    <w:p w14:paraId="00102C92" w14:textId="77777777" w:rsidR="00D55228" w:rsidRPr="00CD142C" w:rsidRDefault="00D55228">
      <w:pPr>
        <w:spacing w:after="0" w:line="240" w:lineRule="auto"/>
        <w:ind w:left="567" w:right="560"/>
        <w:jc w:val="both"/>
        <w:rPr>
          <w:rFonts w:ascii="Palatino Linotype" w:eastAsia="Palatino Linotype" w:hAnsi="Palatino Linotype" w:cs="Palatino Linotype"/>
          <w:b/>
          <w:i/>
        </w:rPr>
      </w:pPr>
    </w:p>
    <w:p w14:paraId="078A96D0" w14:textId="77777777" w:rsidR="00D55228" w:rsidRPr="00CD142C" w:rsidRDefault="001540D8">
      <w:pPr>
        <w:spacing w:after="0" w:line="240" w:lineRule="auto"/>
        <w:ind w:left="567" w:right="560"/>
        <w:jc w:val="both"/>
        <w:rPr>
          <w:rFonts w:ascii="Palatino Linotype" w:eastAsia="Palatino Linotype" w:hAnsi="Palatino Linotype" w:cs="Palatino Linotype"/>
          <w:b/>
          <w:i/>
        </w:rPr>
      </w:pPr>
      <w:r w:rsidRPr="00CD142C">
        <w:rPr>
          <w:rFonts w:ascii="Palatino Linotype" w:eastAsia="Palatino Linotype" w:hAnsi="Palatino Linotype" w:cs="Palatino Linotype"/>
          <w:b/>
          <w:i/>
        </w:rPr>
        <w:t>OBJETIVO: Administrar, controlar y evaluar los recursos humanos, materiales y financieros, así como los servicios generales asignados para el funcionamiento de la Secretaría de Seguridad, de conformidad con la normatividad, políticas y lineamientos vigentes en la materia y en cumplimiento a las disposiciones de racionalidad, austeridad y disciplina presupuestales. FUNCIONES:</w:t>
      </w:r>
    </w:p>
    <w:p w14:paraId="6AC85EC3" w14:textId="77777777" w:rsidR="00D55228" w:rsidRPr="00CD142C" w:rsidRDefault="00D55228">
      <w:pPr>
        <w:spacing w:after="0" w:line="240" w:lineRule="auto"/>
        <w:ind w:left="567" w:right="560"/>
        <w:jc w:val="both"/>
        <w:rPr>
          <w:rFonts w:ascii="Palatino Linotype" w:eastAsia="Palatino Linotype" w:hAnsi="Palatino Linotype" w:cs="Palatino Linotype"/>
          <w:i/>
        </w:rPr>
      </w:pPr>
    </w:p>
    <w:p w14:paraId="23E844FD" w14:textId="77777777" w:rsidR="00D55228" w:rsidRPr="00CD142C" w:rsidRDefault="001540D8">
      <w:pPr>
        <w:spacing w:after="0" w:line="240" w:lineRule="auto"/>
        <w:ind w:left="567" w:right="560"/>
        <w:jc w:val="both"/>
        <w:rPr>
          <w:rFonts w:ascii="Palatino Linotype" w:eastAsia="Palatino Linotype" w:hAnsi="Palatino Linotype" w:cs="Palatino Linotype"/>
          <w:b/>
          <w:i/>
        </w:rPr>
      </w:pPr>
      <w:r w:rsidRPr="00CD142C">
        <w:rPr>
          <w:rFonts w:ascii="Palatino Linotype" w:eastAsia="Palatino Linotype" w:hAnsi="Palatino Linotype" w:cs="Palatino Linotype"/>
          <w:b/>
          <w:i/>
        </w:rPr>
        <w:t>FUNCIONES:</w:t>
      </w:r>
    </w:p>
    <w:p w14:paraId="20AB5FC6" w14:textId="77777777" w:rsidR="00D55228" w:rsidRPr="00CD142C" w:rsidRDefault="001540D8">
      <w:pPr>
        <w:spacing w:after="0" w:line="240"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6985FBCE" w14:textId="77777777" w:rsidR="00D55228" w:rsidRPr="00CD142C" w:rsidRDefault="001540D8">
      <w:pPr>
        <w:spacing w:after="0" w:line="240" w:lineRule="auto"/>
        <w:ind w:left="567" w:right="560"/>
        <w:jc w:val="both"/>
        <w:rPr>
          <w:rFonts w:ascii="Palatino Linotype" w:eastAsia="Palatino Linotype" w:hAnsi="Palatino Linotype" w:cs="Palatino Linotype"/>
          <w:b/>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Coordinar la actualización permanente de los inventarios de la Secretaría de Seguridad, así como dictaminar y dirigir los procesos de control, enajenación, baja y destino final de los bienes muebles.</w:t>
      </w:r>
    </w:p>
    <w:p w14:paraId="5419F59C" w14:textId="77777777" w:rsidR="00D55228" w:rsidRPr="00CD142C" w:rsidRDefault="001540D8">
      <w:pPr>
        <w:spacing w:after="0" w:line="240" w:lineRule="auto"/>
        <w:ind w:left="567" w:right="560"/>
        <w:jc w:val="both"/>
        <w:rPr>
          <w:rFonts w:ascii="Palatino Linotype" w:eastAsia="Palatino Linotype" w:hAnsi="Palatino Linotype" w:cs="Palatino Linotype"/>
          <w:b/>
          <w:i/>
        </w:rPr>
      </w:pPr>
      <w:r w:rsidRPr="00CD142C">
        <w:rPr>
          <w:rFonts w:ascii="Palatino Linotype" w:eastAsia="Palatino Linotype" w:hAnsi="Palatino Linotype" w:cs="Palatino Linotype"/>
          <w:b/>
          <w:i/>
        </w:rPr>
        <w:t>[…]</w:t>
      </w:r>
    </w:p>
    <w:p w14:paraId="02F05178" w14:textId="77777777" w:rsidR="00D55228" w:rsidRPr="00CD142C" w:rsidRDefault="001540D8">
      <w:pPr>
        <w:spacing w:after="0" w:line="240"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-Coordinar las contrataciones de bienes y servicios de acuerdo con la normatividad vigente y aplicable.</w:t>
      </w:r>
    </w:p>
    <w:p w14:paraId="58721C5E" w14:textId="77777777" w:rsidR="00D55228" w:rsidRPr="00CD142C" w:rsidRDefault="001540D8">
      <w:pPr>
        <w:spacing w:after="0" w:line="240"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2CB72FB3" w14:textId="77777777" w:rsidR="00D55228" w:rsidRPr="00CD142C" w:rsidRDefault="001540D8">
      <w:pPr>
        <w:spacing w:after="0" w:line="240" w:lineRule="auto"/>
        <w:ind w:left="567" w:right="560"/>
        <w:jc w:val="right"/>
        <w:rPr>
          <w:rFonts w:ascii="Palatino Linotype" w:eastAsia="Palatino Linotype" w:hAnsi="Palatino Linotype" w:cs="Palatino Linotype"/>
          <w:i/>
        </w:rPr>
      </w:pPr>
      <w:r w:rsidRPr="00CD142C">
        <w:rPr>
          <w:rFonts w:ascii="Palatino Linotype" w:eastAsia="Palatino Linotype" w:hAnsi="Palatino Linotype" w:cs="Palatino Linotype"/>
          <w:i/>
        </w:rPr>
        <w:t>(Énfasis añadido)</w:t>
      </w:r>
    </w:p>
    <w:p w14:paraId="0AAD9F93"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41CF910F" w14:textId="77777777" w:rsidR="00D55228" w:rsidRPr="00CD142C" w:rsidRDefault="006A004D">
      <w:pPr>
        <w:spacing w:after="0" w:line="360" w:lineRule="auto"/>
        <w:ind w:right="49"/>
        <w:jc w:val="both"/>
        <w:rPr>
          <w:rFonts w:ascii="Palatino Linotype" w:eastAsia="Palatino Linotype" w:hAnsi="Palatino Linotype" w:cs="Palatino Linotype"/>
          <w:b/>
          <w:sz w:val="24"/>
          <w:szCs w:val="24"/>
          <w:u w:val="single"/>
        </w:rPr>
      </w:pPr>
      <w:r w:rsidRPr="00CD142C">
        <w:rPr>
          <w:rFonts w:ascii="Palatino Linotype" w:eastAsia="Palatino Linotype" w:hAnsi="Palatino Linotype" w:cs="Palatino Linotype"/>
          <w:sz w:val="24"/>
          <w:szCs w:val="24"/>
        </w:rPr>
        <w:t>D</w:t>
      </w:r>
      <w:r w:rsidR="001540D8" w:rsidRPr="00CD142C">
        <w:rPr>
          <w:rFonts w:ascii="Palatino Linotype" w:eastAsia="Palatino Linotype" w:hAnsi="Palatino Linotype" w:cs="Palatino Linotype"/>
          <w:sz w:val="24"/>
          <w:szCs w:val="24"/>
        </w:rPr>
        <w:t>e lo anterior,</w:t>
      </w:r>
      <w:r w:rsidRPr="00CD142C">
        <w:rPr>
          <w:rFonts w:ascii="Palatino Linotype" w:eastAsia="Palatino Linotype" w:hAnsi="Palatino Linotype" w:cs="Palatino Linotype"/>
          <w:sz w:val="24"/>
          <w:szCs w:val="24"/>
        </w:rPr>
        <w:t xml:space="preserve"> se desprende que</w:t>
      </w:r>
      <w:r w:rsidR="001540D8" w:rsidRPr="00CD142C">
        <w:rPr>
          <w:rFonts w:ascii="Palatino Linotype" w:eastAsia="Palatino Linotype" w:hAnsi="Palatino Linotype" w:cs="Palatino Linotype"/>
          <w:sz w:val="24"/>
          <w:szCs w:val="24"/>
        </w:rPr>
        <w:t xml:space="preserve"> la </w:t>
      </w:r>
      <w:r w:rsidR="001540D8" w:rsidRPr="00CD142C">
        <w:rPr>
          <w:rFonts w:ascii="Palatino Linotype" w:eastAsia="Palatino Linotype" w:hAnsi="Palatino Linotype" w:cs="Palatino Linotype"/>
          <w:b/>
          <w:sz w:val="24"/>
          <w:szCs w:val="24"/>
          <w:u w:val="single"/>
        </w:rPr>
        <w:t xml:space="preserve">Oficialía Mayor </w:t>
      </w:r>
      <w:r w:rsidR="001540D8" w:rsidRPr="00CD142C">
        <w:rPr>
          <w:rFonts w:ascii="Palatino Linotype" w:eastAsia="Palatino Linotype" w:hAnsi="Palatino Linotype" w:cs="Palatino Linotype"/>
          <w:sz w:val="24"/>
          <w:szCs w:val="24"/>
        </w:rPr>
        <w:t>tiene dentro de sus atribuciones</w:t>
      </w:r>
      <w:r w:rsidR="001540D8" w:rsidRPr="00CD142C">
        <w:t xml:space="preserve"> </w:t>
      </w:r>
      <w:r w:rsidR="001540D8" w:rsidRPr="00CD142C">
        <w:rPr>
          <w:rFonts w:ascii="Palatino Linotype" w:eastAsia="Palatino Linotype" w:hAnsi="Palatino Linotype" w:cs="Palatino Linotype"/>
          <w:sz w:val="24"/>
          <w:szCs w:val="24"/>
        </w:rPr>
        <w:t>administrar y controlar los recursos humanos, materiales y financieros, así como los servicios generales asignados para el funcionamiento de la Secretaría de Seguridad</w:t>
      </w:r>
      <w:r w:rsidRPr="00CD142C">
        <w:rPr>
          <w:rFonts w:ascii="Palatino Linotype" w:eastAsia="Palatino Linotype" w:hAnsi="Palatino Linotype" w:cs="Palatino Linotype"/>
          <w:sz w:val="24"/>
          <w:szCs w:val="24"/>
        </w:rPr>
        <w:t>;</w:t>
      </w:r>
      <w:r w:rsidR="001540D8" w:rsidRPr="00CD142C">
        <w:t xml:space="preserve"> </w:t>
      </w:r>
      <w:r w:rsidR="001540D8" w:rsidRPr="00CD142C">
        <w:rPr>
          <w:b/>
          <w:u w:val="single"/>
        </w:rPr>
        <w:t>c</w:t>
      </w:r>
      <w:r w:rsidR="001540D8" w:rsidRPr="00CD142C">
        <w:rPr>
          <w:rFonts w:ascii="Palatino Linotype" w:eastAsia="Palatino Linotype" w:hAnsi="Palatino Linotype" w:cs="Palatino Linotype"/>
          <w:b/>
          <w:sz w:val="24"/>
          <w:szCs w:val="24"/>
          <w:u w:val="single"/>
        </w:rPr>
        <w:t>oordinar la actualización permanente de los inventarios</w:t>
      </w:r>
      <w:r w:rsidR="001540D8" w:rsidRPr="00CD142C">
        <w:rPr>
          <w:rFonts w:ascii="Palatino Linotype" w:eastAsia="Palatino Linotype" w:hAnsi="Palatino Linotype" w:cs="Palatino Linotype"/>
          <w:sz w:val="24"/>
          <w:szCs w:val="24"/>
        </w:rPr>
        <w:t xml:space="preserve">, </w:t>
      </w:r>
      <w:r w:rsidR="001540D8" w:rsidRPr="00CD142C">
        <w:rPr>
          <w:rFonts w:ascii="Palatino Linotype" w:eastAsia="Palatino Linotype" w:hAnsi="Palatino Linotype" w:cs="Palatino Linotype"/>
          <w:b/>
          <w:sz w:val="24"/>
          <w:szCs w:val="24"/>
          <w:u w:val="single"/>
        </w:rPr>
        <w:t>así como coordinar las contrataciones de bienes y servicios de acuerdo con la normatividad vigente y aplicable.</w:t>
      </w:r>
    </w:p>
    <w:p w14:paraId="52FCD14D"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47F6638B" w14:textId="77777777" w:rsidR="00D55228" w:rsidRPr="00CD142C" w:rsidRDefault="001540D8">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En virtud de lo anterior, se tiene que en el caso concreto, se dio cabal cumplimiento con el requisito de turnar la solicitud de información al área competente que puede poseer, generar y/o administrar </w:t>
      </w:r>
      <w:r w:rsidR="006A004D" w:rsidRPr="00CD142C">
        <w:rPr>
          <w:rFonts w:ascii="Palatino Linotype" w:eastAsia="Palatino Linotype" w:hAnsi="Palatino Linotype" w:cs="Palatino Linotype"/>
          <w:sz w:val="24"/>
          <w:szCs w:val="24"/>
        </w:rPr>
        <w:t xml:space="preserve">la información requerida, consistente en el listado o documento donde obre el nombre de los arrendadores de los bienes inmuebles que </w:t>
      </w:r>
      <w:r w:rsidR="006A004D" w:rsidRPr="00CD142C">
        <w:rPr>
          <w:rFonts w:ascii="Palatino Linotype" w:eastAsia="Palatino Linotype" w:hAnsi="Palatino Linotype" w:cs="Palatino Linotype"/>
          <w:sz w:val="24"/>
          <w:szCs w:val="24"/>
        </w:rPr>
        <w:lastRenderedPageBreak/>
        <w:t>tiene en calidad de arrendamiento la Secretaría de Seguridad.</w:t>
      </w:r>
    </w:p>
    <w:p w14:paraId="5255ACE7" w14:textId="77777777" w:rsidR="00D55228" w:rsidRPr="00CD142C" w:rsidRDefault="00D55228">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p>
    <w:p w14:paraId="3BD6F8DA" w14:textId="77777777" w:rsidR="00D55228" w:rsidRPr="00CD142C" w:rsidRDefault="001540D8">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CD142C">
        <w:rPr>
          <w:rFonts w:ascii="Palatino Linotype" w:eastAsia="Palatino Linotype" w:hAnsi="Palatino Linotype" w:cs="Palatino Linotype"/>
          <w:sz w:val="24"/>
          <w:szCs w:val="24"/>
        </w:rPr>
        <w:t>A mayor abundamiento, conviene indicar que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4115A25B" w14:textId="77777777" w:rsidR="00D55228" w:rsidRPr="00CD142C" w:rsidRDefault="00D55228">
      <w:pPr>
        <w:spacing w:after="0" w:line="360" w:lineRule="auto"/>
        <w:rPr>
          <w:rFonts w:ascii="Times New Roman" w:eastAsia="Times New Roman" w:hAnsi="Times New Roman" w:cs="Times New Roman"/>
          <w:sz w:val="24"/>
          <w:szCs w:val="24"/>
        </w:rPr>
      </w:pPr>
    </w:p>
    <w:p w14:paraId="76024AC2" w14:textId="77777777" w:rsidR="00D55228" w:rsidRPr="00CD142C" w:rsidRDefault="001540D8">
      <w:pPr>
        <w:numPr>
          <w:ilvl w:val="0"/>
          <w:numId w:val="6"/>
        </w:numPr>
        <w:pBdr>
          <w:top w:val="nil"/>
          <w:left w:val="nil"/>
          <w:bottom w:val="nil"/>
          <w:right w:val="nil"/>
          <w:between w:val="nil"/>
        </w:pBdr>
        <w:spacing w:after="0" w:line="360" w:lineRule="auto"/>
        <w:jc w:val="both"/>
      </w:pPr>
      <w:r w:rsidRPr="00CD142C">
        <w:rPr>
          <w:rFonts w:ascii="Palatino Linotype" w:eastAsia="Palatino Linotype" w:hAnsi="Palatino Linotype" w:cs="Palatino Linotype"/>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50FADC2D" w14:textId="77777777" w:rsidR="00D55228" w:rsidRPr="00CD142C" w:rsidRDefault="00D55228">
      <w:pPr>
        <w:pBdr>
          <w:top w:val="nil"/>
          <w:left w:val="nil"/>
          <w:bottom w:val="nil"/>
          <w:right w:val="nil"/>
          <w:between w:val="nil"/>
        </w:pBdr>
        <w:spacing w:after="0" w:line="360" w:lineRule="auto"/>
        <w:ind w:left="360"/>
        <w:jc w:val="both"/>
        <w:rPr>
          <w:rFonts w:ascii="Palatino Linotype" w:eastAsia="Palatino Linotype" w:hAnsi="Palatino Linotype" w:cs="Palatino Linotype"/>
        </w:rPr>
      </w:pPr>
    </w:p>
    <w:p w14:paraId="42DD932C" w14:textId="77777777" w:rsidR="00D55228" w:rsidRPr="00CD142C" w:rsidRDefault="001540D8">
      <w:pPr>
        <w:numPr>
          <w:ilvl w:val="0"/>
          <w:numId w:val="6"/>
        </w:numPr>
        <w:pBdr>
          <w:top w:val="nil"/>
          <w:left w:val="nil"/>
          <w:bottom w:val="nil"/>
          <w:right w:val="nil"/>
          <w:between w:val="nil"/>
        </w:pBdr>
        <w:spacing w:after="0" w:line="360" w:lineRule="auto"/>
        <w:jc w:val="both"/>
      </w:pPr>
      <w:r w:rsidRPr="00CD142C">
        <w:rPr>
          <w:rFonts w:ascii="Palatino Linotype" w:eastAsia="Palatino Linotype" w:hAnsi="Palatino Linotype" w:cs="Palatino Linotype"/>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4963DD3E" w14:textId="77777777" w:rsidR="00D55228" w:rsidRPr="00CD142C" w:rsidRDefault="00D55228">
      <w:pPr>
        <w:pBdr>
          <w:top w:val="nil"/>
          <w:left w:val="nil"/>
          <w:bottom w:val="nil"/>
          <w:right w:val="nil"/>
          <w:between w:val="nil"/>
        </w:pBdr>
        <w:ind w:left="720"/>
        <w:rPr>
          <w:rFonts w:ascii="Palatino Linotype" w:eastAsia="Palatino Linotype" w:hAnsi="Palatino Linotype" w:cs="Palatino Linotype"/>
        </w:rPr>
      </w:pPr>
    </w:p>
    <w:p w14:paraId="172B80B2" w14:textId="77777777" w:rsidR="00D55228" w:rsidRPr="00CD142C" w:rsidRDefault="001540D8">
      <w:pPr>
        <w:numPr>
          <w:ilvl w:val="0"/>
          <w:numId w:val="6"/>
        </w:numPr>
        <w:pBdr>
          <w:top w:val="nil"/>
          <w:left w:val="nil"/>
          <w:bottom w:val="nil"/>
          <w:right w:val="nil"/>
          <w:between w:val="nil"/>
        </w:pBdr>
        <w:spacing w:after="0" w:line="360" w:lineRule="auto"/>
        <w:jc w:val="both"/>
      </w:pPr>
      <w:r w:rsidRPr="00CD142C">
        <w:rPr>
          <w:rFonts w:ascii="Palatino Linotype" w:eastAsia="Palatino Linotype" w:hAnsi="Palatino Linotype" w:cs="Palatino Linotype"/>
        </w:rPr>
        <w:t xml:space="preserve">Las respuestas a los requerimientos informativos deberán notificarse al interesado en el menor tiempo posible, que no podrá exceder </w:t>
      </w:r>
      <w:r w:rsidRPr="00CD142C">
        <w:rPr>
          <w:rFonts w:ascii="Palatino Linotype" w:eastAsia="Palatino Linotype" w:hAnsi="Palatino Linotype" w:cs="Palatino Linotype"/>
          <w:b/>
        </w:rPr>
        <w:t>quince días, contados a partir del día siguiente a la presentación de ésta.</w:t>
      </w:r>
      <w:r w:rsidRPr="00CD142C">
        <w:rPr>
          <w:rFonts w:ascii="Palatino Linotype" w:eastAsia="Palatino Linotype" w:hAnsi="Palatino Linotype" w:cs="Palatino Linotype"/>
        </w:rPr>
        <w:t xml:space="preserve"> Excepcionalmente, el plazo referido podrá ampliarse por siete días hábiles más, cuando existan razones fundadas y motivadas, a través del Comité de Transparencia;</w:t>
      </w:r>
    </w:p>
    <w:p w14:paraId="7AF4F916" w14:textId="77777777" w:rsidR="00D55228" w:rsidRPr="00CD142C" w:rsidRDefault="00D55228">
      <w:pPr>
        <w:pBdr>
          <w:top w:val="nil"/>
          <w:left w:val="nil"/>
          <w:bottom w:val="nil"/>
          <w:right w:val="nil"/>
          <w:between w:val="nil"/>
        </w:pBdr>
        <w:ind w:left="720"/>
        <w:rPr>
          <w:rFonts w:ascii="Palatino Linotype" w:eastAsia="Palatino Linotype" w:hAnsi="Palatino Linotype" w:cs="Palatino Linotype"/>
        </w:rPr>
      </w:pPr>
    </w:p>
    <w:p w14:paraId="2304CBB0" w14:textId="77777777" w:rsidR="00D55228" w:rsidRPr="00CD142C" w:rsidRDefault="001540D8">
      <w:pPr>
        <w:numPr>
          <w:ilvl w:val="0"/>
          <w:numId w:val="6"/>
        </w:numPr>
        <w:pBdr>
          <w:top w:val="nil"/>
          <w:left w:val="nil"/>
          <w:bottom w:val="nil"/>
          <w:right w:val="nil"/>
          <w:between w:val="nil"/>
        </w:pBdr>
        <w:spacing w:after="0" w:line="360" w:lineRule="auto"/>
        <w:jc w:val="both"/>
        <w:rPr>
          <w:b/>
          <w:u w:val="single"/>
        </w:rPr>
      </w:pPr>
      <w:r w:rsidRPr="00CD142C">
        <w:rPr>
          <w:rFonts w:ascii="Palatino Linotype" w:eastAsia="Palatino Linotype" w:hAnsi="Palatino Linotype" w:cs="Palatino Linotype"/>
          <w:b/>
          <w:u w:val="single"/>
        </w:rPr>
        <w:lastRenderedPageBreak/>
        <w:t>Las Unidades de Transparencia garantizarán que las solicitudes se turnen a todas las áreas competentes que cuenten con la información o deban tenerla de acuerdo 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0A06DACF" w14:textId="77777777" w:rsidR="00D55228" w:rsidRPr="00CD142C" w:rsidRDefault="00D55228">
      <w:pPr>
        <w:pBdr>
          <w:top w:val="nil"/>
          <w:left w:val="nil"/>
          <w:bottom w:val="nil"/>
          <w:right w:val="nil"/>
          <w:between w:val="nil"/>
        </w:pBdr>
        <w:ind w:left="720"/>
        <w:rPr>
          <w:rFonts w:ascii="Palatino Linotype" w:eastAsia="Palatino Linotype" w:hAnsi="Palatino Linotype" w:cs="Palatino Linotype"/>
          <w:b/>
          <w:u w:val="single"/>
        </w:rPr>
      </w:pPr>
    </w:p>
    <w:p w14:paraId="4404EFB2" w14:textId="77777777" w:rsidR="00D55228" w:rsidRPr="00CD142C" w:rsidRDefault="001540D8">
      <w:pPr>
        <w:numPr>
          <w:ilvl w:val="0"/>
          <w:numId w:val="6"/>
        </w:numPr>
        <w:pBdr>
          <w:top w:val="nil"/>
          <w:left w:val="nil"/>
          <w:bottom w:val="nil"/>
          <w:right w:val="nil"/>
          <w:between w:val="nil"/>
        </w:pBdr>
        <w:spacing w:after="0" w:line="360" w:lineRule="auto"/>
        <w:jc w:val="both"/>
        <w:rPr>
          <w:b/>
        </w:rPr>
      </w:pPr>
      <w:r w:rsidRPr="00CD142C">
        <w:rPr>
          <w:rFonts w:ascii="Palatino Linotype" w:eastAsia="Palatino Linotype" w:hAnsi="Palatino Linotype" w:cs="Palatino Linotype"/>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0C6C57DC" w14:textId="77777777" w:rsidR="00D55228" w:rsidRPr="00CD142C" w:rsidRDefault="00D55228">
      <w:pPr>
        <w:pBdr>
          <w:top w:val="nil"/>
          <w:left w:val="nil"/>
          <w:bottom w:val="nil"/>
          <w:right w:val="nil"/>
          <w:between w:val="nil"/>
        </w:pBdr>
        <w:spacing w:after="0" w:line="360" w:lineRule="auto"/>
        <w:ind w:left="360"/>
        <w:jc w:val="both"/>
        <w:rPr>
          <w:rFonts w:ascii="Palatino Linotype" w:eastAsia="Palatino Linotype" w:hAnsi="Palatino Linotype" w:cs="Palatino Linotype"/>
          <w:b/>
        </w:rPr>
      </w:pPr>
    </w:p>
    <w:p w14:paraId="33733E62" w14:textId="77777777" w:rsidR="00D55228" w:rsidRPr="00CD142C" w:rsidRDefault="001540D8">
      <w:pPr>
        <w:numPr>
          <w:ilvl w:val="0"/>
          <w:numId w:val="6"/>
        </w:numPr>
        <w:pBdr>
          <w:top w:val="nil"/>
          <w:left w:val="nil"/>
          <w:bottom w:val="nil"/>
          <w:right w:val="nil"/>
          <w:between w:val="nil"/>
        </w:pBdr>
        <w:spacing w:after="0" w:line="360" w:lineRule="auto"/>
        <w:jc w:val="both"/>
        <w:rPr>
          <w:b/>
        </w:rPr>
      </w:pPr>
      <w:r w:rsidRPr="00CD142C">
        <w:rPr>
          <w:rFonts w:ascii="Palatino Linotype" w:eastAsia="Palatino Linotype" w:hAnsi="Palatino Linotype" w:cs="Palatino Linotype"/>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672CF690" w14:textId="77777777" w:rsidR="00D55228" w:rsidRPr="00CD142C" w:rsidRDefault="00D55228">
      <w:pPr>
        <w:spacing w:after="0" w:line="360" w:lineRule="auto"/>
        <w:rPr>
          <w:rFonts w:ascii="Times New Roman" w:eastAsia="Times New Roman" w:hAnsi="Times New Roman" w:cs="Times New Roman"/>
          <w:sz w:val="24"/>
          <w:szCs w:val="24"/>
        </w:rPr>
      </w:pPr>
    </w:p>
    <w:p w14:paraId="42FBDEA9" w14:textId="77777777" w:rsidR="00D55228" w:rsidRPr="00CD142C" w:rsidRDefault="001540D8">
      <w:pPr>
        <w:pBdr>
          <w:top w:val="nil"/>
          <w:left w:val="nil"/>
          <w:bottom w:val="nil"/>
          <w:right w:val="nil"/>
          <w:between w:val="nil"/>
        </w:pBdr>
        <w:spacing w:after="0" w:line="360" w:lineRule="auto"/>
        <w:ind w:right="49"/>
        <w:jc w:val="both"/>
        <w:rPr>
          <w:rFonts w:ascii="Times New Roman" w:eastAsia="Times New Roman" w:hAnsi="Times New Roman" w:cs="Times New Roman"/>
          <w:sz w:val="24"/>
          <w:szCs w:val="24"/>
        </w:rPr>
      </w:pPr>
      <w:r w:rsidRPr="00CD142C">
        <w:rPr>
          <w:rFonts w:ascii="Palatino Linotype" w:eastAsia="Palatino Linotype" w:hAnsi="Palatino Linotype" w:cs="Palatino Linotype"/>
          <w:sz w:val="24"/>
          <w:szCs w:val="24"/>
        </w:rPr>
        <w:t xml:space="preserve">En el caso se desprende que la Unidad de Transparencia, turnó la solicitud de información al área competente, por lo que,  </w:t>
      </w:r>
      <w:r w:rsidRPr="00CD142C">
        <w:rPr>
          <w:rFonts w:ascii="Palatino Linotype" w:eastAsia="Palatino Linotype" w:hAnsi="Palatino Linotype" w:cs="Palatino Linotype"/>
          <w:b/>
          <w:sz w:val="24"/>
          <w:szCs w:val="24"/>
          <w:u w:val="single"/>
        </w:rPr>
        <w:t>el procedimiento de búsqueda de la información se tiene por atendido. </w:t>
      </w:r>
    </w:p>
    <w:p w14:paraId="5399C5E5"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4D49CD7D"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Ahora, como se desprende del antecedente segundo de la presente resolución, con relación al requerimiento de nuestra atención, el servidor público habilitado en </w:t>
      </w:r>
      <w:r w:rsidRPr="00CD142C">
        <w:rPr>
          <w:rFonts w:ascii="Palatino Linotype" w:eastAsia="Palatino Linotype" w:hAnsi="Palatino Linotype" w:cs="Palatino Linotype"/>
          <w:sz w:val="24"/>
          <w:szCs w:val="24"/>
        </w:rPr>
        <w:lastRenderedPageBreak/>
        <w:t xml:space="preserve">respuesta </w:t>
      </w:r>
      <w:r w:rsidR="006A004D" w:rsidRPr="00CD142C">
        <w:rPr>
          <w:rFonts w:ascii="Palatino Linotype" w:eastAsia="Palatino Linotype" w:hAnsi="Palatino Linotype" w:cs="Palatino Linotype"/>
          <w:sz w:val="24"/>
          <w:szCs w:val="24"/>
        </w:rPr>
        <w:t xml:space="preserve">únicamente indicó </w:t>
      </w:r>
      <w:r w:rsidRPr="00CD142C">
        <w:rPr>
          <w:rFonts w:ascii="Palatino Linotype" w:eastAsia="Palatino Linotype" w:hAnsi="Palatino Linotype" w:cs="Palatino Linotype"/>
          <w:sz w:val="24"/>
          <w:szCs w:val="24"/>
        </w:rPr>
        <w:t xml:space="preserve">que contaba con 22 inmuebles arrendados en el ejercicio 2023; </w:t>
      </w:r>
      <w:r w:rsidR="006A004D" w:rsidRPr="00CD142C">
        <w:rPr>
          <w:rFonts w:ascii="Palatino Linotype" w:eastAsia="Palatino Linotype" w:hAnsi="Palatino Linotype" w:cs="Palatino Linotype"/>
          <w:sz w:val="24"/>
          <w:szCs w:val="24"/>
        </w:rPr>
        <w:t>siendo</w:t>
      </w:r>
      <w:r w:rsidRPr="00CD142C">
        <w:rPr>
          <w:rFonts w:ascii="Palatino Linotype" w:eastAsia="Palatino Linotype" w:hAnsi="Palatino Linotype" w:cs="Palatino Linotype"/>
          <w:sz w:val="24"/>
          <w:szCs w:val="24"/>
        </w:rPr>
        <w:t xml:space="preserve"> omiso en remitir la lista de los mismos en la que se advirtiera la información de los arrendadores.</w:t>
      </w:r>
    </w:p>
    <w:p w14:paraId="235D1272"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449977AE"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Así, derivado de la interposición del medio de impugnación que nos ocupa, y con la finalidad de atender los motivos de inconformidad de la parte </w:t>
      </w:r>
      <w:r w:rsidRPr="00CD142C">
        <w:rPr>
          <w:rFonts w:ascii="Palatino Linotype" w:eastAsia="Palatino Linotype" w:hAnsi="Palatino Linotype" w:cs="Palatino Linotype"/>
          <w:b/>
          <w:sz w:val="24"/>
          <w:szCs w:val="24"/>
        </w:rPr>
        <w:t xml:space="preserve">Recurrente </w:t>
      </w:r>
      <w:r w:rsidRPr="00CD142C">
        <w:rPr>
          <w:rFonts w:ascii="Palatino Linotype" w:eastAsia="Palatino Linotype" w:hAnsi="Palatino Linotype" w:cs="Palatino Linotype"/>
          <w:sz w:val="24"/>
          <w:szCs w:val="24"/>
        </w:rPr>
        <w:t xml:space="preserve">se advierte que 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vía informe justificado aportó el siguiente listado que contiene el nombre de</w:t>
      </w:r>
      <w:r w:rsidR="006A004D" w:rsidRPr="00CD142C">
        <w:rPr>
          <w:rFonts w:ascii="Palatino Linotype" w:eastAsia="Palatino Linotype" w:hAnsi="Palatino Linotype" w:cs="Palatino Linotype"/>
          <w:sz w:val="24"/>
          <w:szCs w:val="24"/>
        </w:rPr>
        <w:t xml:space="preserve"> </w:t>
      </w:r>
      <w:r w:rsidRPr="00CD142C">
        <w:rPr>
          <w:rFonts w:ascii="Palatino Linotype" w:eastAsia="Palatino Linotype" w:hAnsi="Palatino Linotype" w:cs="Palatino Linotype"/>
          <w:sz w:val="24"/>
          <w:szCs w:val="24"/>
        </w:rPr>
        <w:t>l</w:t>
      </w:r>
      <w:r w:rsidR="006A004D" w:rsidRPr="00CD142C">
        <w:rPr>
          <w:rFonts w:ascii="Palatino Linotype" w:eastAsia="Palatino Linotype" w:hAnsi="Palatino Linotype" w:cs="Palatino Linotype"/>
          <w:sz w:val="24"/>
          <w:szCs w:val="24"/>
        </w:rPr>
        <w:t>os</w:t>
      </w:r>
      <w:r w:rsidRPr="00CD142C">
        <w:rPr>
          <w:rFonts w:ascii="Palatino Linotype" w:eastAsia="Palatino Linotype" w:hAnsi="Palatino Linotype" w:cs="Palatino Linotype"/>
          <w:sz w:val="24"/>
          <w:szCs w:val="24"/>
        </w:rPr>
        <w:t xml:space="preserve"> arrendador</w:t>
      </w:r>
      <w:r w:rsidR="006A004D" w:rsidRPr="00CD142C">
        <w:rPr>
          <w:rFonts w:ascii="Palatino Linotype" w:eastAsia="Palatino Linotype" w:hAnsi="Palatino Linotype" w:cs="Palatino Linotype"/>
          <w:sz w:val="24"/>
          <w:szCs w:val="24"/>
        </w:rPr>
        <w:t>es</w:t>
      </w:r>
      <w:r w:rsidRPr="00CD142C">
        <w:rPr>
          <w:rFonts w:ascii="Palatino Linotype" w:eastAsia="Palatino Linotype" w:hAnsi="Palatino Linotype" w:cs="Palatino Linotype"/>
          <w:sz w:val="24"/>
          <w:szCs w:val="24"/>
        </w:rPr>
        <w:t>, la ubicación de los 22 inmuebles que tiene arrendados la Secretaría de Seguridad y el monto con impuesto al valor agregado que se paga por concepto de renta:</w:t>
      </w:r>
    </w:p>
    <w:p w14:paraId="4E912700" w14:textId="77777777" w:rsidR="00D55228" w:rsidRPr="00CD142C" w:rsidRDefault="001540D8">
      <w:pPr>
        <w:spacing w:after="0" w:line="360" w:lineRule="auto"/>
        <w:ind w:right="49"/>
        <w:jc w:val="center"/>
        <w:rPr>
          <w:rFonts w:ascii="Palatino Linotype" w:eastAsia="Palatino Linotype" w:hAnsi="Palatino Linotype" w:cs="Palatino Linotype"/>
          <w:sz w:val="24"/>
          <w:szCs w:val="24"/>
        </w:rPr>
      </w:pPr>
      <w:r w:rsidRPr="00CD142C">
        <w:rPr>
          <w:rFonts w:ascii="Palatino Linotype" w:eastAsia="Palatino Linotype" w:hAnsi="Palatino Linotype" w:cs="Palatino Linotype"/>
          <w:noProof/>
          <w:sz w:val="24"/>
          <w:szCs w:val="24"/>
        </w:rPr>
        <w:drawing>
          <wp:inline distT="0" distB="0" distL="0" distR="0" wp14:anchorId="24A8FD65" wp14:editId="020DC730">
            <wp:extent cx="4762500" cy="4029075"/>
            <wp:effectExtent l="19050" t="19050" r="19050" b="28575"/>
            <wp:docPr id="2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4762500" cy="4029075"/>
                    </a:xfrm>
                    <a:prstGeom prst="rect">
                      <a:avLst/>
                    </a:prstGeom>
                    <a:ln w="3175">
                      <a:solidFill>
                        <a:srgbClr val="000000"/>
                      </a:solidFill>
                      <a:prstDash val="solid"/>
                    </a:ln>
                  </pic:spPr>
                </pic:pic>
              </a:graphicData>
            </a:graphic>
          </wp:inline>
        </w:drawing>
      </w:r>
    </w:p>
    <w:p w14:paraId="31920E35" w14:textId="77777777" w:rsidR="00D55228" w:rsidRPr="00CD142C" w:rsidRDefault="001540D8">
      <w:pPr>
        <w:spacing w:after="0" w:line="360" w:lineRule="auto"/>
        <w:ind w:right="49"/>
        <w:jc w:val="center"/>
        <w:rPr>
          <w:rFonts w:ascii="Palatino Linotype" w:eastAsia="Palatino Linotype" w:hAnsi="Palatino Linotype" w:cs="Palatino Linotype"/>
          <w:sz w:val="24"/>
          <w:szCs w:val="24"/>
        </w:rPr>
      </w:pPr>
      <w:r w:rsidRPr="00CD142C">
        <w:rPr>
          <w:rFonts w:ascii="Palatino Linotype" w:eastAsia="Palatino Linotype" w:hAnsi="Palatino Linotype" w:cs="Palatino Linotype"/>
          <w:noProof/>
          <w:sz w:val="24"/>
          <w:szCs w:val="24"/>
        </w:rPr>
        <w:lastRenderedPageBreak/>
        <w:drawing>
          <wp:inline distT="0" distB="0" distL="0" distR="0" wp14:anchorId="659F3874" wp14:editId="2845A6F1">
            <wp:extent cx="4756150" cy="1133475"/>
            <wp:effectExtent l="19050" t="19050" r="25400" b="28575"/>
            <wp:docPr id="2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4756150" cy="1133475"/>
                    </a:xfrm>
                    <a:prstGeom prst="rect">
                      <a:avLst/>
                    </a:prstGeom>
                    <a:ln w="3175">
                      <a:solidFill>
                        <a:srgbClr val="000000"/>
                      </a:solidFill>
                      <a:prstDash val="solid"/>
                    </a:ln>
                  </pic:spPr>
                </pic:pic>
              </a:graphicData>
            </a:graphic>
          </wp:inline>
        </w:drawing>
      </w:r>
    </w:p>
    <w:p w14:paraId="4B37CD9C"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Por lo tanto, toda vez que hubo pronunciamiento sobre lo peticionado por parte del servidor público habilitado competente, quien vía informe justificado remitió el listado anteriormente inserto, a criterio de este Órgano Garante con ello se colma el requerimiento en análisis.</w:t>
      </w:r>
    </w:p>
    <w:p w14:paraId="36D7C904"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0F477526"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Máxime que este Organismo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Sistema de Acceso a la Información Mexiquense (SAIMEX).</w:t>
      </w:r>
    </w:p>
    <w:p w14:paraId="4365EC5A"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3828FF5A" w14:textId="77777777" w:rsidR="00D55228" w:rsidRPr="00CD142C" w:rsidRDefault="001540D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Sirviendo de apoyo a lo anterior por analogía, el criterio 31-10 emitido por el ahora Instituto Nacional de Transparencia, Acceso a la Información y Protección de Datos Personales, que a la letra dice:</w:t>
      </w:r>
    </w:p>
    <w:p w14:paraId="17D9048D" w14:textId="77777777" w:rsidR="00D55228" w:rsidRPr="00CD142C" w:rsidRDefault="00D55228">
      <w:pPr>
        <w:pBdr>
          <w:top w:val="nil"/>
          <w:left w:val="nil"/>
          <w:bottom w:val="nil"/>
          <w:right w:val="nil"/>
          <w:between w:val="nil"/>
        </w:pBdr>
        <w:spacing w:after="0" w:line="360" w:lineRule="auto"/>
        <w:ind w:right="49"/>
        <w:jc w:val="both"/>
        <w:rPr>
          <w:rFonts w:ascii="Palatino Linotype" w:eastAsia="Palatino Linotype" w:hAnsi="Palatino Linotype" w:cs="Palatino Linotype"/>
          <w:sz w:val="24"/>
          <w:szCs w:val="24"/>
        </w:rPr>
      </w:pPr>
    </w:p>
    <w:p w14:paraId="7B905B6D" w14:textId="77777777" w:rsidR="00D55228" w:rsidRPr="00CD142C" w:rsidRDefault="001540D8">
      <w:pPr>
        <w:spacing w:after="0" w:line="276" w:lineRule="auto"/>
        <w:ind w:left="567" w:right="618"/>
        <w:jc w:val="both"/>
        <w:rPr>
          <w:rFonts w:ascii="Palatino Linotype" w:eastAsia="Palatino Linotype" w:hAnsi="Palatino Linotype" w:cs="Palatino Linotype"/>
          <w:i/>
        </w:rPr>
      </w:pPr>
      <w:r w:rsidRPr="00CD142C">
        <w:rPr>
          <w:rFonts w:ascii="Palatino Linotype" w:eastAsia="Palatino Linotype" w:hAnsi="Palatino Linotype" w:cs="Palatino Linotype"/>
          <w:i/>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w:t>
      </w:r>
      <w:r w:rsidRPr="00CD142C">
        <w:rPr>
          <w:rFonts w:ascii="Palatino Linotype" w:eastAsia="Palatino Linotype" w:hAnsi="Palatino Linotype" w:cs="Palatino Linotype"/>
          <w:i/>
        </w:rPr>
        <w:lastRenderedPageBreak/>
        <w:t>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6C106C5E"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4D1A3115"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Por lo tanto, el presente requerimiento se tiene por colmado.</w:t>
      </w:r>
    </w:p>
    <w:p w14:paraId="00D9D1DE" w14:textId="77777777" w:rsidR="00D55228" w:rsidRPr="00CD142C" w:rsidRDefault="00D55228">
      <w:pPr>
        <w:pBdr>
          <w:top w:val="nil"/>
          <w:left w:val="nil"/>
          <w:bottom w:val="nil"/>
          <w:right w:val="nil"/>
          <w:between w:val="nil"/>
        </w:pBdr>
        <w:spacing w:after="0" w:line="276" w:lineRule="auto"/>
        <w:ind w:right="96"/>
        <w:jc w:val="both"/>
        <w:rPr>
          <w:rFonts w:ascii="Palatino Linotype" w:eastAsia="Palatino Linotype" w:hAnsi="Palatino Linotype" w:cs="Palatino Linotype"/>
          <w:b/>
          <w:sz w:val="24"/>
          <w:szCs w:val="24"/>
        </w:rPr>
      </w:pPr>
    </w:p>
    <w:p w14:paraId="3F54DFF4" w14:textId="77777777" w:rsidR="00D55228" w:rsidRPr="00CD142C" w:rsidRDefault="001540D8">
      <w:pPr>
        <w:numPr>
          <w:ilvl w:val="0"/>
          <w:numId w:val="4"/>
        </w:numPr>
        <w:pBdr>
          <w:top w:val="nil"/>
          <w:left w:val="nil"/>
          <w:bottom w:val="nil"/>
          <w:right w:val="nil"/>
          <w:between w:val="nil"/>
        </w:pBdr>
        <w:rPr>
          <w:sz w:val="24"/>
          <w:szCs w:val="24"/>
        </w:rPr>
      </w:pPr>
      <w:r w:rsidRPr="00CD142C">
        <w:rPr>
          <w:rFonts w:ascii="Palatino Linotype" w:eastAsia="Palatino Linotype" w:hAnsi="Palatino Linotype" w:cs="Palatino Linotype"/>
          <w:b/>
          <w:sz w:val="24"/>
          <w:szCs w:val="24"/>
        </w:rPr>
        <w:t>Lista de los vehículos propios y arrendados.</w:t>
      </w:r>
    </w:p>
    <w:p w14:paraId="36207739" w14:textId="77777777" w:rsidR="00D55228" w:rsidRPr="00CD142C" w:rsidRDefault="00D552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68A9403" w14:textId="77777777" w:rsidR="007C3B68" w:rsidRPr="00CD142C" w:rsidRDefault="007C3B68" w:rsidP="001E0CF3">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Atendiendo la naturaleza de la información peticionada en el requerimiento de mérito, conviene precisar que, constituye </w:t>
      </w:r>
      <w:r w:rsidR="001E0CF3" w:rsidRPr="00CD142C">
        <w:rPr>
          <w:rFonts w:ascii="Palatino Linotype" w:eastAsia="Palatino Linotype" w:hAnsi="Palatino Linotype" w:cs="Palatino Linotype"/>
          <w:sz w:val="24"/>
          <w:szCs w:val="24"/>
        </w:rPr>
        <w:t>una</w:t>
      </w:r>
      <w:r w:rsidRPr="00CD142C">
        <w:rPr>
          <w:rFonts w:ascii="Palatino Linotype" w:eastAsia="Palatino Linotype" w:hAnsi="Palatino Linotype" w:cs="Palatino Linotype"/>
          <w:sz w:val="24"/>
          <w:szCs w:val="24"/>
        </w:rPr>
        <w:t xml:space="preserve"> obligación de transparencia común de los sujetos obligados, </w:t>
      </w:r>
      <w:r w:rsidRPr="00CD142C">
        <w:rPr>
          <w:rFonts w:ascii="Palatino Linotype" w:eastAsia="Palatino Linotype" w:hAnsi="Palatino Linotype" w:cs="Palatino Linotype"/>
          <w:b/>
          <w:sz w:val="24"/>
          <w:szCs w:val="24"/>
          <w:u w:val="single"/>
        </w:rPr>
        <w:t>contar con el inventario de los bienes muebles e inmuebles en posesión y propiedad,</w:t>
      </w:r>
      <w:r w:rsidRPr="00CD142C">
        <w:rPr>
          <w:rFonts w:ascii="Palatino Linotype" w:eastAsia="Palatino Linotype" w:hAnsi="Palatino Linotype" w:cs="Palatino Linotype"/>
          <w:b/>
          <w:sz w:val="24"/>
          <w:szCs w:val="24"/>
        </w:rPr>
        <w:t xml:space="preserve"> </w:t>
      </w:r>
      <w:r w:rsidRPr="00CD142C">
        <w:rPr>
          <w:rFonts w:ascii="Palatino Linotype" w:eastAsia="Palatino Linotype" w:hAnsi="Palatino Linotype" w:cs="Palatino Linotype"/>
          <w:sz w:val="24"/>
          <w:szCs w:val="24"/>
        </w:rPr>
        <w:t>conforme la fracción XXXVIII del artículo 92 de la Ley de Transparencia Local, en relación con la fracción XXXIV del artículo 70 de la Ley General de Transparencia y Acceso a la Información Pública, como se sigue:</w:t>
      </w:r>
    </w:p>
    <w:p w14:paraId="5D5CE372" w14:textId="77777777" w:rsidR="007C3B68" w:rsidRPr="00CD142C" w:rsidRDefault="007C3B68" w:rsidP="007C3B6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4F8E7AA2" w14:textId="77777777" w:rsidR="007C3B68" w:rsidRPr="00CD142C" w:rsidRDefault="007C3B68" w:rsidP="007C3B68">
      <w:pPr>
        <w:ind w:left="567" w:right="474"/>
        <w:jc w:val="center"/>
        <w:rPr>
          <w:rFonts w:ascii="Palatino Linotype" w:eastAsia="Palatino Linotype" w:hAnsi="Palatino Linotype" w:cs="Palatino Linotype"/>
          <w:b/>
          <w:i/>
          <w:u w:val="single"/>
        </w:rPr>
      </w:pPr>
      <w:r w:rsidRPr="00CD142C">
        <w:rPr>
          <w:rFonts w:ascii="Palatino Linotype" w:eastAsia="Palatino Linotype" w:hAnsi="Palatino Linotype" w:cs="Palatino Linotype"/>
          <w:b/>
          <w:i/>
          <w:u w:val="single"/>
        </w:rPr>
        <w:t>Ley de Transparencia y Acceso a la Información Pública del Estado de México y Municipios</w:t>
      </w:r>
    </w:p>
    <w:p w14:paraId="28037A1C" w14:textId="77777777" w:rsidR="007C3B68" w:rsidRPr="00CD142C" w:rsidRDefault="007C3B68" w:rsidP="007C3B68">
      <w:pPr>
        <w:ind w:left="567" w:right="474"/>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 xml:space="preserve">Artículo 92. </w:t>
      </w:r>
      <w:r w:rsidRPr="00CD142C">
        <w:rPr>
          <w:rFonts w:ascii="Palatino Linotype" w:eastAsia="Palatino Linotype" w:hAnsi="Palatino Linotype" w:cs="Palatino Linotype"/>
          <w:i/>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870552C" w14:textId="77777777" w:rsidR="007C3B68" w:rsidRPr="00CD142C" w:rsidRDefault="007C3B68" w:rsidP="007C3B68">
      <w:pPr>
        <w:tabs>
          <w:tab w:val="left" w:pos="4965"/>
        </w:tabs>
        <w:ind w:left="567" w:right="474"/>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i/>
        </w:rPr>
        <w:tab/>
      </w:r>
    </w:p>
    <w:p w14:paraId="78803A05" w14:textId="77777777" w:rsidR="007C3B68" w:rsidRPr="00CD142C" w:rsidRDefault="007C3B68" w:rsidP="007C3B68">
      <w:pPr>
        <w:ind w:left="567" w:right="474"/>
        <w:jc w:val="both"/>
        <w:rPr>
          <w:rFonts w:ascii="Palatino Linotype" w:eastAsia="Palatino Linotype" w:hAnsi="Palatino Linotype" w:cs="Palatino Linotype"/>
          <w:b/>
          <w:i/>
        </w:rPr>
      </w:pPr>
      <w:r w:rsidRPr="00CD142C">
        <w:rPr>
          <w:rFonts w:ascii="Palatino Linotype" w:eastAsia="Palatino Linotype" w:hAnsi="Palatino Linotype" w:cs="Palatino Linotype"/>
          <w:b/>
          <w:i/>
        </w:rPr>
        <w:lastRenderedPageBreak/>
        <w:t>XXXVIII. El inventario de bienes muebles e inmuebles en posesión y propiedad;</w:t>
      </w:r>
    </w:p>
    <w:p w14:paraId="6A3EC521" w14:textId="77777777" w:rsidR="007C3B68" w:rsidRPr="00CD142C" w:rsidRDefault="007C3B68" w:rsidP="007C3B68">
      <w:pPr>
        <w:ind w:left="567" w:right="474"/>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051D71D0" w14:textId="77777777" w:rsidR="007C3B68" w:rsidRPr="00CD142C" w:rsidRDefault="007C3B68" w:rsidP="007C3B68">
      <w:pPr>
        <w:ind w:left="567" w:right="474"/>
        <w:jc w:val="center"/>
        <w:rPr>
          <w:rFonts w:ascii="Palatino Linotype" w:eastAsia="Palatino Linotype" w:hAnsi="Palatino Linotype" w:cs="Palatino Linotype"/>
          <w:b/>
          <w:i/>
          <w:u w:val="single"/>
        </w:rPr>
      </w:pPr>
      <w:r w:rsidRPr="00CD142C">
        <w:rPr>
          <w:rFonts w:ascii="Palatino Linotype" w:eastAsia="Palatino Linotype" w:hAnsi="Palatino Linotype" w:cs="Palatino Linotype"/>
          <w:b/>
          <w:i/>
          <w:u w:val="single"/>
        </w:rPr>
        <w:t>Ley General de Transparencia y Acceso a la Información Pública</w:t>
      </w:r>
    </w:p>
    <w:p w14:paraId="55A3DE7A" w14:textId="77777777" w:rsidR="007C3B68" w:rsidRPr="00CD142C" w:rsidRDefault="007C3B68" w:rsidP="007C3B68">
      <w:pPr>
        <w:ind w:left="567" w:right="474"/>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Artículo 70.</w:t>
      </w:r>
      <w:r w:rsidRPr="00CD142C">
        <w:rPr>
          <w:rFonts w:ascii="Palatino Linotype" w:eastAsia="Palatino Linotype" w:hAnsi="Palatino Linotype" w:cs="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0A9AC4B7" w14:textId="77777777" w:rsidR="007C3B68" w:rsidRPr="00CD142C" w:rsidRDefault="007C3B68" w:rsidP="007C3B68">
      <w:pPr>
        <w:ind w:left="567" w:right="474"/>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6E796483" w14:textId="77777777" w:rsidR="007C3B68" w:rsidRPr="00CD142C" w:rsidRDefault="007C3B68" w:rsidP="007C3B68">
      <w:pPr>
        <w:ind w:left="567" w:right="474"/>
        <w:jc w:val="both"/>
        <w:rPr>
          <w:rFonts w:ascii="Palatino Linotype" w:eastAsia="Palatino Linotype" w:hAnsi="Palatino Linotype" w:cs="Palatino Linotype"/>
          <w:b/>
          <w:i/>
        </w:rPr>
      </w:pPr>
      <w:r w:rsidRPr="00CD142C">
        <w:rPr>
          <w:rFonts w:ascii="Palatino Linotype" w:eastAsia="Palatino Linotype" w:hAnsi="Palatino Linotype" w:cs="Palatino Linotype"/>
          <w:b/>
          <w:i/>
        </w:rPr>
        <w:t>XXXIV. El inventario de bienes muebles e inmuebles en posesión y propiedad;</w:t>
      </w:r>
    </w:p>
    <w:p w14:paraId="4211F318" w14:textId="77777777" w:rsidR="007C3B68" w:rsidRPr="00CD142C" w:rsidRDefault="007C3B68" w:rsidP="007C3B68">
      <w:pPr>
        <w:ind w:left="567" w:right="474"/>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45A7C326" w14:textId="77777777" w:rsidR="007C3B68" w:rsidRPr="00CD142C" w:rsidRDefault="007C3B68" w:rsidP="007C3B68">
      <w:pPr>
        <w:ind w:left="567" w:right="474"/>
        <w:jc w:val="right"/>
        <w:rPr>
          <w:rFonts w:ascii="Palatino Linotype" w:eastAsia="Palatino Linotype" w:hAnsi="Palatino Linotype" w:cs="Palatino Linotype"/>
          <w:i/>
        </w:rPr>
      </w:pPr>
      <w:r w:rsidRPr="00CD142C">
        <w:rPr>
          <w:rFonts w:ascii="Palatino Linotype" w:eastAsia="Palatino Linotype" w:hAnsi="Palatino Linotype" w:cs="Palatino Linotype"/>
          <w:i/>
        </w:rPr>
        <w:t>(Énfasis añadido)</w:t>
      </w:r>
    </w:p>
    <w:p w14:paraId="4FF66411" w14:textId="77777777" w:rsidR="007C3B68" w:rsidRPr="00CD142C" w:rsidRDefault="007C3B68" w:rsidP="007C3B68">
      <w:pPr>
        <w:spacing w:after="0" w:line="360" w:lineRule="auto"/>
        <w:ind w:right="49"/>
        <w:jc w:val="both"/>
        <w:rPr>
          <w:rFonts w:ascii="Palatino Linotype" w:eastAsia="Palatino Linotype" w:hAnsi="Palatino Linotype" w:cs="Palatino Linotype"/>
          <w:sz w:val="24"/>
          <w:szCs w:val="24"/>
        </w:rPr>
      </w:pPr>
    </w:p>
    <w:p w14:paraId="3A69C328" w14:textId="77777777" w:rsidR="007C3B68" w:rsidRPr="00CD142C" w:rsidRDefault="007C3B68" w:rsidP="007C3B6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Incluso, en los propios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w:t>
      </w:r>
      <w:r w:rsidRPr="00CD142C">
        <w:rPr>
          <w:rFonts w:ascii="Palatino Linotype" w:eastAsia="Palatino Linotype" w:hAnsi="Palatino Linotype" w:cs="Palatino Linotype"/>
          <w:b/>
          <w:sz w:val="24"/>
          <w:szCs w:val="24"/>
        </w:rPr>
        <w:t>establecen que, respecto al inventario de bienes muebles o inmuebles en posesión o propiedad de Sujetos Obligados</w:t>
      </w:r>
      <w:r w:rsidRPr="00CD142C">
        <w:rPr>
          <w:rFonts w:ascii="Palatino Linotype" w:eastAsia="Palatino Linotype" w:hAnsi="Palatino Linotype" w:cs="Palatino Linotype"/>
          <w:sz w:val="24"/>
          <w:szCs w:val="24"/>
        </w:rPr>
        <w:t xml:space="preserve">, respecto de los bienes muebles, </w:t>
      </w:r>
      <w:r w:rsidRPr="00CD142C">
        <w:rPr>
          <w:rFonts w:ascii="Palatino Linotype" w:eastAsia="Palatino Linotype" w:hAnsi="Palatino Linotype" w:cs="Palatino Linotype"/>
          <w:b/>
          <w:sz w:val="24"/>
          <w:szCs w:val="24"/>
        </w:rPr>
        <w:t>se deben registrar, entre otros, los vehículos al servicio de los sujetos obligados</w:t>
      </w:r>
      <w:r w:rsidRPr="00CD142C">
        <w:rPr>
          <w:rFonts w:ascii="Palatino Linotype" w:eastAsia="Palatino Linotype" w:hAnsi="Palatino Linotype" w:cs="Palatino Linotype"/>
          <w:sz w:val="24"/>
          <w:szCs w:val="24"/>
        </w:rPr>
        <w:t>, como se muestra:</w:t>
      </w:r>
    </w:p>
    <w:p w14:paraId="0670AD5A" w14:textId="77777777" w:rsidR="007C3B68" w:rsidRPr="00CD142C" w:rsidRDefault="007C3B68" w:rsidP="007C3B68">
      <w:pPr>
        <w:spacing w:after="0" w:line="360" w:lineRule="auto"/>
        <w:ind w:right="49"/>
        <w:jc w:val="both"/>
        <w:rPr>
          <w:rFonts w:ascii="Palatino Linotype" w:eastAsia="Palatino Linotype" w:hAnsi="Palatino Linotype" w:cs="Palatino Linotype"/>
          <w:sz w:val="24"/>
          <w:szCs w:val="24"/>
        </w:rPr>
      </w:pPr>
    </w:p>
    <w:p w14:paraId="2BB704AD" w14:textId="77777777" w:rsidR="007C3B68" w:rsidRPr="00CD142C" w:rsidRDefault="007C3B68" w:rsidP="007C3B68">
      <w:pPr>
        <w:spacing w:after="0" w:line="276" w:lineRule="auto"/>
        <w:ind w:left="567" w:right="701"/>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XXXIV. El inventario de bienes muebles e inmuebles en posesión y propiedad</w:t>
      </w:r>
      <w:r w:rsidRPr="00CD142C">
        <w:rPr>
          <w:rFonts w:ascii="Palatino Linotype" w:eastAsia="Palatino Linotype" w:hAnsi="Palatino Linotype" w:cs="Palatino Linotype"/>
          <w:i/>
        </w:rPr>
        <w:t xml:space="preserve"> </w:t>
      </w:r>
    </w:p>
    <w:p w14:paraId="273B366B" w14:textId="77777777" w:rsidR="007C3B68" w:rsidRPr="00CD142C" w:rsidRDefault="007C3B68" w:rsidP="007C3B68">
      <w:pPr>
        <w:spacing w:after="0" w:line="276" w:lineRule="auto"/>
        <w:ind w:left="567" w:right="701"/>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25A36AFC" w14:textId="77777777" w:rsidR="007C3B68" w:rsidRPr="00CD142C" w:rsidRDefault="007C3B68" w:rsidP="007C3B68">
      <w:pPr>
        <w:spacing w:after="0" w:line="276" w:lineRule="auto"/>
        <w:ind w:left="567" w:right="701"/>
        <w:jc w:val="both"/>
        <w:rPr>
          <w:rFonts w:ascii="Palatino Linotype" w:eastAsia="Palatino Linotype" w:hAnsi="Palatino Linotype" w:cs="Palatino Linotype"/>
          <w:i/>
        </w:rPr>
      </w:pPr>
      <w:r w:rsidRPr="00CD142C">
        <w:rPr>
          <w:rFonts w:ascii="Palatino Linotype" w:eastAsia="Palatino Linotype" w:hAnsi="Palatino Linotype" w:cs="Palatino Linotype"/>
          <w:b/>
          <w:i/>
        </w:rPr>
        <w:lastRenderedPageBreak/>
        <w:t xml:space="preserve">Respecto de los bienes muebles se registrará </w:t>
      </w:r>
      <w:r w:rsidRPr="00CD142C">
        <w:rPr>
          <w:rFonts w:ascii="Palatino Linotype" w:eastAsia="Palatino Linotype" w:hAnsi="Palatino Linotype" w:cs="Palatino Linotype"/>
          <w:i/>
        </w:rPr>
        <w:t>tanto el mobiliario y equipo –incluido el de cómputo</w:t>
      </w:r>
      <w:r w:rsidRPr="00CD142C">
        <w:rPr>
          <w:rFonts w:ascii="Palatino Linotype" w:eastAsia="Palatino Linotype" w:hAnsi="Palatino Linotype" w:cs="Palatino Linotype"/>
          <w:b/>
          <w:i/>
          <w:u w:val="single"/>
        </w:rPr>
        <w:t>– como los vehículos</w:t>
      </w:r>
      <w:r w:rsidRPr="00CD142C">
        <w:rPr>
          <w:rFonts w:ascii="Palatino Linotype" w:eastAsia="Palatino Linotype" w:hAnsi="Palatino Linotype" w:cs="Palatino Linotype"/>
          <w:i/>
        </w:rPr>
        <w:t xml:space="preserve"> y demás bienes muebles al servicio de los sujetos obligados, de conformidad con la Ley General de Contabilidad Gubernamental.”</w:t>
      </w:r>
    </w:p>
    <w:p w14:paraId="094BFD4C" w14:textId="77777777" w:rsidR="007C3B68" w:rsidRPr="00CD142C" w:rsidRDefault="007C3B68" w:rsidP="007C3B68">
      <w:pPr>
        <w:spacing w:after="0" w:line="276" w:lineRule="auto"/>
        <w:ind w:left="567" w:right="701"/>
        <w:jc w:val="both"/>
        <w:rPr>
          <w:rFonts w:ascii="Palatino Linotype" w:eastAsia="Palatino Linotype" w:hAnsi="Palatino Linotype" w:cs="Palatino Linotype"/>
          <w:i/>
        </w:rPr>
      </w:pPr>
    </w:p>
    <w:p w14:paraId="4341057B" w14:textId="77777777" w:rsidR="007C3B68" w:rsidRPr="00CD142C" w:rsidRDefault="007C3B68" w:rsidP="007C3B68">
      <w:pPr>
        <w:spacing w:after="0" w:line="276" w:lineRule="auto"/>
        <w:ind w:left="567" w:right="701"/>
        <w:jc w:val="right"/>
        <w:rPr>
          <w:rFonts w:ascii="Palatino Linotype" w:eastAsia="Palatino Linotype" w:hAnsi="Palatino Linotype" w:cs="Palatino Linotype"/>
          <w:i/>
        </w:rPr>
      </w:pPr>
      <w:r w:rsidRPr="00CD142C">
        <w:rPr>
          <w:rFonts w:ascii="Palatino Linotype" w:eastAsia="Palatino Linotype" w:hAnsi="Palatino Linotype" w:cs="Palatino Linotype"/>
          <w:i/>
        </w:rPr>
        <w:t>(Énfasis añadido)</w:t>
      </w:r>
    </w:p>
    <w:p w14:paraId="307C145B" w14:textId="77777777" w:rsidR="007C3B68" w:rsidRPr="00CD142C" w:rsidRDefault="007C3B68" w:rsidP="007C3B68">
      <w:pPr>
        <w:spacing w:before="240" w:after="240" w:line="360" w:lineRule="auto"/>
        <w:ind w:right="49"/>
        <w:jc w:val="both"/>
        <w:rPr>
          <w:rFonts w:ascii="Palatino Linotype" w:eastAsia="Palatino Linotype" w:hAnsi="Palatino Linotype" w:cs="Palatino Linotype"/>
          <w:sz w:val="24"/>
          <w:szCs w:val="24"/>
        </w:rPr>
      </w:pPr>
    </w:p>
    <w:p w14:paraId="2325A447" w14:textId="77777777" w:rsidR="007C3B68" w:rsidRPr="00CD142C" w:rsidRDefault="007C3B68" w:rsidP="007C3B68">
      <w:pPr>
        <w:pBdr>
          <w:top w:val="nil"/>
          <w:left w:val="nil"/>
          <w:bottom w:val="nil"/>
          <w:right w:val="nil"/>
          <w:between w:val="nil"/>
        </w:pBdr>
        <w:spacing w:after="0" w:line="360" w:lineRule="auto"/>
        <w:ind w:right="96"/>
        <w:jc w:val="both"/>
        <w:rPr>
          <w:rFonts w:ascii="Palatino Linotype" w:eastAsia="Palatino Linotype" w:hAnsi="Palatino Linotype" w:cs="Palatino Linotype"/>
          <w:b/>
          <w:sz w:val="24"/>
          <w:szCs w:val="24"/>
          <w:u w:val="single"/>
        </w:rPr>
      </w:pPr>
      <w:r w:rsidRPr="00CD142C">
        <w:rPr>
          <w:rFonts w:ascii="Palatino Linotype" w:eastAsia="Palatino Linotype" w:hAnsi="Palatino Linotype" w:cs="Palatino Linotype"/>
          <w:sz w:val="24"/>
          <w:szCs w:val="24"/>
        </w:rPr>
        <w:t xml:space="preserve">Como se desprende de lo anterior, todos los sujetos obligados deberán publicar el inventario de bienes muebles e inmuebles que utilicen, tengan a su cargo y/o les hayan sido asignados para el ejercicio de sus funciones; que destinen a un servicio público conforme a la normatividad aplicable o por cualquier concepto, </w:t>
      </w:r>
      <w:r w:rsidRPr="00CD142C">
        <w:rPr>
          <w:rFonts w:ascii="Palatino Linotype" w:eastAsia="Palatino Linotype" w:hAnsi="Palatino Linotype" w:cs="Palatino Linotype"/>
          <w:b/>
          <w:sz w:val="24"/>
          <w:szCs w:val="24"/>
          <w:u w:val="single"/>
        </w:rPr>
        <w:t>tanto si son propiedad de</w:t>
      </w:r>
      <w:r w:rsidR="001E0CF3" w:rsidRPr="00CD142C">
        <w:rPr>
          <w:rFonts w:ascii="Palatino Linotype" w:eastAsia="Palatino Linotype" w:hAnsi="Palatino Linotype" w:cs="Palatino Linotype"/>
          <w:b/>
          <w:sz w:val="24"/>
          <w:szCs w:val="24"/>
          <w:u w:val="single"/>
        </w:rPr>
        <w:t xml:space="preserve"> </w:t>
      </w:r>
      <w:r w:rsidRPr="00CD142C">
        <w:rPr>
          <w:rFonts w:ascii="Palatino Linotype" w:eastAsia="Palatino Linotype" w:hAnsi="Palatino Linotype" w:cs="Palatino Linotype"/>
          <w:b/>
          <w:sz w:val="24"/>
          <w:szCs w:val="24"/>
          <w:u w:val="single"/>
        </w:rPr>
        <w:t>l</w:t>
      </w:r>
      <w:r w:rsidR="001E0CF3" w:rsidRPr="00CD142C">
        <w:rPr>
          <w:rFonts w:ascii="Palatino Linotype" w:eastAsia="Palatino Linotype" w:hAnsi="Palatino Linotype" w:cs="Palatino Linotype"/>
          <w:b/>
          <w:sz w:val="24"/>
          <w:szCs w:val="24"/>
          <w:u w:val="single"/>
        </w:rPr>
        <w:t>os</w:t>
      </w:r>
      <w:r w:rsidRPr="00CD142C">
        <w:rPr>
          <w:rFonts w:ascii="Palatino Linotype" w:eastAsia="Palatino Linotype" w:hAnsi="Palatino Linotype" w:cs="Palatino Linotype"/>
          <w:b/>
          <w:sz w:val="24"/>
          <w:szCs w:val="24"/>
          <w:u w:val="single"/>
        </w:rPr>
        <w:t xml:space="preserve"> sujeto</w:t>
      </w:r>
      <w:r w:rsidR="001E0CF3" w:rsidRPr="00CD142C">
        <w:rPr>
          <w:rFonts w:ascii="Palatino Linotype" w:eastAsia="Palatino Linotype" w:hAnsi="Palatino Linotype" w:cs="Palatino Linotype"/>
          <w:b/>
          <w:sz w:val="24"/>
          <w:szCs w:val="24"/>
          <w:u w:val="single"/>
        </w:rPr>
        <w:t>s</w:t>
      </w:r>
      <w:r w:rsidRPr="00CD142C">
        <w:rPr>
          <w:rFonts w:ascii="Palatino Linotype" w:eastAsia="Palatino Linotype" w:hAnsi="Palatino Linotype" w:cs="Palatino Linotype"/>
          <w:b/>
          <w:sz w:val="24"/>
          <w:szCs w:val="24"/>
          <w:u w:val="single"/>
        </w:rPr>
        <w:t xml:space="preserve"> obligado</w:t>
      </w:r>
      <w:r w:rsidR="001E0CF3" w:rsidRPr="00CD142C">
        <w:rPr>
          <w:rFonts w:ascii="Palatino Linotype" w:eastAsia="Palatino Linotype" w:hAnsi="Palatino Linotype" w:cs="Palatino Linotype"/>
          <w:b/>
          <w:sz w:val="24"/>
          <w:szCs w:val="24"/>
          <w:u w:val="single"/>
        </w:rPr>
        <w:t>s</w:t>
      </w:r>
      <w:r w:rsidRPr="00CD142C">
        <w:rPr>
          <w:rFonts w:ascii="Palatino Linotype" w:eastAsia="Palatino Linotype" w:hAnsi="Palatino Linotype" w:cs="Palatino Linotype"/>
          <w:b/>
          <w:sz w:val="24"/>
          <w:szCs w:val="24"/>
          <w:u w:val="single"/>
        </w:rPr>
        <w:t xml:space="preserve"> como </w:t>
      </w:r>
      <w:r w:rsidR="001E0CF3" w:rsidRPr="00CD142C">
        <w:rPr>
          <w:rFonts w:ascii="Palatino Linotype" w:eastAsia="Palatino Linotype" w:hAnsi="Palatino Linotype" w:cs="Palatino Linotype"/>
          <w:b/>
          <w:sz w:val="24"/>
          <w:szCs w:val="24"/>
          <w:u w:val="single"/>
        </w:rPr>
        <w:t xml:space="preserve">los </w:t>
      </w:r>
      <w:r w:rsidRPr="00CD142C">
        <w:rPr>
          <w:rFonts w:ascii="Palatino Linotype" w:eastAsia="Palatino Linotype" w:hAnsi="Palatino Linotype" w:cs="Palatino Linotype"/>
          <w:b/>
          <w:sz w:val="24"/>
          <w:szCs w:val="24"/>
          <w:u w:val="single"/>
        </w:rPr>
        <w:t>que se encuentren en posesión de éstos; inventario que debe incluir los vehículos al servicio de</w:t>
      </w:r>
      <w:r w:rsidR="001E0CF3" w:rsidRPr="00CD142C">
        <w:rPr>
          <w:rFonts w:ascii="Palatino Linotype" w:eastAsia="Palatino Linotype" w:hAnsi="Palatino Linotype" w:cs="Palatino Linotype"/>
          <w:b/>
          <w:sz w:val="24"/>
          <w:szCs w:val="24"/>
          <w:u w:val="single"/>
        </w:rPr>
        <w:t>l ente público.</w:t>
      </w:r>
    </w:p>
    <w:p w14:paraId="761BFAA0" w14:textId="77777777" w:rsidR="007C3B68" w:rsidRPr="00CD142C" w:rsidRDefault="007C3B68" w:rsidP="007C3B6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p>
    <w:p w14:paraId="2A6ACD3A" w14:textId="77777777" w:rsidR="007C3B68" w:rsidRPr="00CD142C" w:rsidRDefault="007C3B68" w:rsidP="007C3B6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En tal sentido, se colige que la información a la que pretende acceder la persona solicitante se encuentra relacionada con obligaciones de transparencia comunes que 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w:t>
      </w:r>
      <w:r w:rsidR="001E0CF3" w:rsidRPr="00CD142C">
        <w:rPr>
          <w:rFonts w:ascii="Palatino Linotype" w:eastAsia="Palatino Linotype" w:hAnsi="Palatino Linotype" w:cs="Palatino Linotype"/>
          <w:sz w:val="24"/>
          <w:szCs w:val="24"/>
        </w:rPr>
        <w:t>está obligado a transparentar de manera permanente</w:t>
      </w:r>
      <w:r w:rsidRPr="00CD142C">
        <w:rPr>
          <w:rFonts w:ascii="Palatino Linotype" w:eastAsia="Palatino Linotype" w:hAnsi="Palatino Linotype" w:cs="Palatino Linotype"/>
          <w:sz w:val="24"/>
          <w:szCs w:val="24"/>
        </w:rPr>
        <w:t xml:space="preserve"> de conformidad con la normativa aplicable.</w:t>
      </w:r>
    </w:p>
    <w:p w14:paraId="5E5002B5" w14:textId="77777777" w:rsidR="007C3B68" w:rsidRPr="00CD142C" w:rsidRDefault="007C3B6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3E84D563"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De esta manera, atendiendo la naturaleza de la información peticionada en el requerimiento de nuestra atención, conviene indicar que quien se pronunció sobre lo solicitado fue la </w:t>
      </w:r>
      <w:r w:rsidRPr="00CD142C">
        <w:rPr>
          <w:rFonts w:ascii="Palatino Linotype" w:eastAsia="Palatino Linotype" w:hAnsi="Palatino Linotype" w:cs="Palatino Linotype"/>
          <w:b/>
          <w:sz w:val="24"/>
          <w:szCs w:val="24"/>
          <w:u w:val="single"/>
        </w:rPr>
        <w:t xml:space="preserve">Oficialía Mayor: </w:t>
      </w:r>
      <w:r w:rsidRPr="00CD142C">
        <w:rPr>
          <w:rFonts w:ascii="Palatino Linotype" w:eastAsia="Palatino Linotype" w:hAnsi="Palatino Linotype" w:cs="Palatino Linotype"/>
          <w:sz w:val="24"/>
          <w:szCs w:val="24"/>
        </w:rPr>
        <w:t xml:space="preserve">unidad administrativa que conforme lo analizado en el apartado anterior, de acuerdo con el Manual General de Organización de la Secretaría de Seguridad vigente, tiene dentro de sus atribuciones administrar y controlar los recursos materiales, así como los servicios generales asignados para el </w:t>
      </w:r>
      <w:r w:rsidRPr="00CD142C">
        <w:rPr>
          <w:rFonts w:ascii="Palatino Linotype" w:eastAsia="Palatino Linotype" w:hAnsi="Palatino Linotype" w:cs="Palatino Linotype"/>
          <w:sz w:val="24"/>
          <w:szCs w:val="24"/>
        </w:rPr>
        <w:lastRenderedPageBreak/>
        <w:t xml:space="preserve">funcionamiento de la Secretaría de Seguridad, </w:t>
      </w:r>
      <w:r w:rsidRPr="00CD142C">
        <w:rPr>
          <w:rFonts w:ascii="Palatino Linotype" w:eastAsia="Palatino Linotype" w:hAnsi="Palatino Linotype" w:cs="Palatino Linotype"/>
          <w:b/>
          <w:sz w:val="24"/>
          <w:szCs w:val="24"/>
          <w:u w:val="single"/>
        </w:rPr>
        <w:t>coordinar la actualización permanente de los inventarios,</w:t>
      </w:r>
      <w:r w:rsidRPr="00CD142C">
        <w:rPr>
          <w:rFonts w:ascii="Palatino Linotype" w:eastAsia="Palatino Linotype" w:hAnsi="Palatino Linotype" w:cs="Palatino Linotype"/>
          <w:sz w:val="24"/>
          <w:szCs w:val="24"/>
        </w:rPr>
        <w:t xml:space="preserve"> así como coordinar las contrataciones de bienes y servicios de acuerdo con la normatividad vigente y aplicable.</w:t>
      </w:r>
    </w:p>
    <w:p w14:paraId="08FB0591"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211153E9" w14:textId="77777777" w:rsidR="00D55228" w:rsidRPr="00CD142C" w:rsidRDefault="001540D8">
      <w:pPr>
        <w:widowControl w:val="0"/>
        <w:tabs>
          <w:tab w:val="left" w:pos="1701"/>
          <w:tab w:val="left" w:pos="1843"/>
        </w:tabs>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En virtud de lo anterior, se tiene que en el caso concreto, se dio cabal cumplimiento con el requisito de turnar la solicitud de información al área competente que puede poseer, generar y/o administrar la información requerida; cumpliéndose así el procedimiento para la atención a las solicitudes de acceso a la información, establecido en los artículos 151, 159, 160, 162, 163, 164, 165 y 166, de la Ley de Transparencia y Acceso a la Información Pública del Estado de México y Municipios, anteriormente analizado; por lo que,  </w:t>
      </w:r>
      <w:r w:rsidRPr="00CD142C">
        <w:rPr>
          <w:rFonts w:ascii="Palatino Linotype" w:eastAsia="Palatino Linotype" w:hAnsi="Palatino Linotype" w:cs="Palatino Linotype"/>
          <w:b/>
          <w:sz w:val="24"/>
          <w:szCs w:val="24"/>
          <w:u w:val="single"/>
        </w:rPr>
        <w:t>el procedimiento de búsqueda de la información se tiene por atendido. </w:t>
      </w:r>
    </w:p>
    <w:p w14:paraId="30CCC905"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3B488136"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No obstante que, sobre lo requerido se pronunció el servidor público habilitado competente, conforme el antecedente segundo de la presente resolución, se desprende que en respuesta al presente requerimiento, se indicó que al </w:t>
      </w:r>
      <w:r w:rsidRPr="00CD142C">
        <w:rPr>
          <w:rFonts w:ascii="Palatino Linotype" w:eastAsia="Palatino Linotype" w:hAnsi="Palatino Linotype" w:cs="Palatino Linotype"/>
          <w:b/>
          <w:sz w:val="24"/>
          <w:szCs w:val="24"/>
        </w:rPr>
        <w:t>once de agosto de dos mil veintitrés</w:t>
      </w:r>
      <w:r w:rsidRPr="00CD142C">
        <w:rPr>
          <w:rFonts w:ascii="Palatino Linotype" w:eastAsia="Palatino Linotype" w:hAnsi="Palatino Linotype" w:cs="Palatino Linotype"/>
          <w:sz w:val="24"/>
          <w:szCs w:val="24"/>
        </w:rPr>
        <w:t xml:space="preserve"> la Secretaría de Seguridad tenía un total de 2,895 vehículos, de los cuales 2,512 eran propios y 383 arrendados, siendo la empresa Integra Arrenda, S.A. de C.V. SOFOM E.N.R. la prestadora del servicio; sin embargo, 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 xml:space="preserve">fue omiso en proporcionar el listado de los vehículos propios y arrendados como lo peticionó la hoy parte </w:t>
      </w:r>
      <w:r w:rsidRPr="00CD142C">
        <w:rPr>
          <w:rFonts w:ascii="Palatino Linotype" w:eastAsia="Palatino Linotype" w:hAnsi="Palatino Linotype" w:cs="Palatino Linotype"/>
          <w:b/>
          <w:sz w:val="24"/>
          <w:szCs w:val="24"/>
        </w:rPr>
        <w:t>Recurrente</w:t>
      </w:r>
      <w:r w:rsidRPr="00CD142C">
        <w:rPr>
          <w:rFonts w:ascii="Palatino Linotype" w:eastAsia="Palatino Linotype" w:hAnsi="Palatino Linotype" w:cs="Palatino Linotype"/>
          <w:sz w:val="24"/>
          <w:szCs w:val="24"/>
        </w:rPr>
        <w:t>; lo cual constituyó uno de los motivos de inconformidad que hizo valer vía recurso de revisión.</w:t>
      </w:r>
    </w:p>
    <w:p w14:paraId="6791B787"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5C3A97C0"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lastRenderedPageBreak/>
        <w:t xml:space="preserve">Ahora, como se desprende del antecedente sexto de la presente resolución, derivado de la interposición del medio de impugnación que nos ocupa, 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 xml:space="preserve">vía informe justificado con relación al listado de vehículos propios y en arrendamiento, informó que el mismo se encontraba clasificado como información reservada por tratarse del Estado de Fuerza con que cuenta la Secretaría de Seguridad, en atención al acuerdo SS/CT/EXT/IX/001/2022, celebrado en la Novena Sesión Extraordinaria del Comité de Transparencia de la Secretaría de Seguridad, en términos de los artículos 4, 106, fracción I y 113 fracciones I y V de la Ley General de Transparencia y Acceso a la Información Pública; 140, fracciones I y IV de la Ley de Transparencia y Acceso a la Información Pública del Estado de México y Municipios, y, 81 Fracción II de la Ley de Seguridad del Estado de México, y, Numerales, Séptimo Fracción I, Décimo Octavo y Vigésimo Tercero de los Lineamientos Generales en materia de Clasificación y Desclasificación de la Información, así como para la Elaboración de Versiones Publicas; </w:t>
      </w:r>
      <w:r w:rsidRPr="00CD142C">
        <w:rPr>
          <w:rFonts w:ascii="Palatino Linotype" w:eastAsia="Palatino Linotype" w:hAnsi="Palatino Linotype" w:cs="Palatino Linotype"/>
          <w:b/>
          <w:sz w:val="24"/>
          <w:szCs w:val="24"/>
        </w:rPr>
        <w:t>siendo además, omiso el ente público en remitir dicho acuerdo de clasificación.</w:t>
      </w:r>
    </w:p>
    <w:p w14:paraId="4EDC7532"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7A88CDD6" w14:textId="77777777" w:rsidR="00D55228" w:rsidRPr="00CD142C" w:rsidRDefault="001540D8">
      <w:pPr>
        <w:spacing w:after="0" w:line="360" w:lineRule="auto"/>
        <w:ind w:right="49"/>
        <w:jc w:val="both"/>
        <w:rPr>
          <w:rFonts w:ascii="Palatino Linotype" w:eastAsia="Palatino Linotype" w:hAnsi="Palatino Linotype" w:cs="Palatino Linotype"/>
        </w:rPr>
      </w:pPr>
      <w:r w:rsidRPr="00CD142C">
        <w:rPr>
          <w:rFonts w:ascii="Palatino Linotype" w:eastAsia="Palatino Linotype" w:hAnsi="Palatino Linotype" w:cs="Palatino Linotype"/>
          <w:sz w:val="24"/>
          <w:szCs w:val="24"/>
        </w:rPr>
        <w:t>Bajo ese contexto,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6D4D804D" w14:textId="77777777" w:rsidR="00D55228" w:rsidRPr="00CD142C" w:rsidRDefault="00D55228">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51400A06"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b/>
          <w:i/>
          <w:u w:val="single"/>
        </w:rPr>
      </w:pPr>
      <w:r w:rsidRPr="00CD142C">
        <w:rPr>
          <w:rFonts w:ascii="Palatino Linotype" w:eastAsia="Palatino Linotype" w:hAnsi="Palatino Linotype" w:cs="Palatino Linotype"/>
          <w:b/>
          <w:i/>
        </w:rPr>
        <w:lastRenderedPageBreak/>
        <w:t xml:space="preserve">Artículo 91. </w:t>
      </w:r>
      <w:r w:rsidRPr="00CD142C">
        <w:rPr>
          <w:rFonts w:ascii="Palatino Linotype" w:eastAsia="Palatino Linotype" w:hAnsi="Palatino Linotype" w:cs="Palatino Linotype"/>
          <w:i/>
        </w:rPr>
        <w:t xml:space="preserve">El acceso a la información pública será restringido excepcionalmente, cuando ésta sea clasificada como </w:t>
      </w:r>
      <w:r w:rsidRPr="00CD142C">
        <w:rPr>
          <w:rFonts w:ascii="Palatino Linotype" w:eastAsia="Palatino Linotype" w:hAnsi="Palatino Linotype" w:cs="Palatino Linotype"/>
          <w:b/>
          <w:i/>
          <w:u w:val="single"/>
        </w:rPr>
        <w:t xml:space="preserve">reservada </w:t>
      </w:r>
      <w:r w:rsidRPr="00CD142C">
        <w:rPr>
          <w:rFonts w:ascii="Palatino Linotype" w:eastAsia="Palatino Linotype" w:hAnsi="Palatino Linotype" w:cs="Palatino Linotype"/>
          <w:i/>
        </w:rPr>
        <w:t>o confidencial.</w:t>
      </w:r>
    </w:p>
    <w:p w14:paraId="20CD725B" w14:textId="77777777" w:rsidR="00D55228" w:rsidRPr="00CD142C" w:rsidRDefault="00D55228">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04A8CF4D" w14:textId="77777777" w:rsidR="00D55228" w:rsidRPr="00CD142C" w:rsidRDefault="001540D8">
      <w:pPr>
        <w:spacing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Entendiéndose como </w:t>
      </w:r>
      <w:r w:rsidRPr="00CD142C">
        <w:rPr>
          <w:rFonts w:ascii="Palatino Linotype" w:eastAsia="Palatino Linotype" w:hAnsi="Palatino Linotype" w:cs="Palatino Linotype"/>
          <w:b/>
          <w:sz w:val="24"/>
          <w:szCs w:val="24"/>
          <w:u w:val="single"/>
        </w:rPr>
        <w:t xml:space="preserve">información reservada </w:t>
      </w:r>
      <w:r w:rsidRPr="00CD142C">
        <w:rPr>
          <w:rFonts w:ascii="Palatino Linotype" w:eastAsia="Palatino Linotype" w:hAnsi="Palatino Linotype" w:cs="Palatino Linotype"/>
          <w:sz w:val="24"/>
          <w:szCs w:val="24"/>
        </w:rPr>
        <w:t>aquella que se clasifica de manera temporal cuya divulgación pueda causar algún daño; y como información confidencial,</w:t>
      </w:r>
      <w:r w:rsidRPr="00CD142C">
        <w:rPr>
          <w:rFonts w:ascii="Palatino Linotype" w:eastAsia="Palatino Linotype" w:hAnsi="Palatino Linotype" w:cs="Palatino Linotype"/>
          <w:b/>
          <w:sz w:val="24"/>
          <w:szCs w:val="24"/>
        </w:rPr>
        <w:t xml:space="preserve"> </w:t>
      </w:r>
      <w:r w:rsidRPr="00CD142C">
        <w:rPr>
          <w:rFonts w:ascii="Palatino Linotype" w:eastAsia="Palatino Linotype" w:hAnsi="Palatino Linotype" w:cs="Palatino Linotype"/>
          <w:sz w:val="24"/>
          <w:szCs w:val="24"/>
        </w:rPr>
        <w:t>la que se refiera a la información privada y los datos personales concernientes a una persona física o jurídico colectiva identificada o identificable que no son de acceso público, asimismo, haga referencia a los secretos bancario, fiduciario, industrial, comercial, fiscal, bursátil y postal, cuya titularidad corresponde a particulares, sujetos de derecho internacional o a Sujetos Obligados cuando no involucren el ejercicio de recursos públicos.</w:t>
      </w:r>
    </w:p>
    <w:p w14:paraId="5B255FF6" w14:textId="77777777" w:rsidR="00D55228" w:rsidRPr="00CD142C" w:rsidRDefault="00D55228">
      <w:pPr>
        <w:spacing w:line="360" w:lineRule="auto"/>
        <w:jc w:val="both"/>
        <w:rPr>
          <w:rFonts w:ascii="Palatino Linotype" w:eastAsia="Palatino Linotype" w:hAnsi="Palatino Linotype" w:cs="Palatino Linotype"/>
          <w:sz w:val="12"/>
          <w:szCs w:val="12"/>
        </w:rPr>
      </w:pPr>
    </w:p>
    <w:p w14:paraId="43DF59E7" w14:textId="77777777" w:rsidR="00D55228" w:rsidRPr="00CD142C" w:rsidRDefault="001540D8">
      <w:pPr>
        <w:spacing w:line="360" w:lineRule="auto"/>
        <w:ind w:right="51"/>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En tal virtud, la clasificación de la información no se da por el simple mandato de la ley, sino que es necesario que el</w:t>
      </w:r>
      <w:r w:rsidRPr="00CD142C">
        <w:rPr>
          <w:rFonts w:ascii="Palatino Linotype" w:eastAsia="Palatino Linotype" w:hAnsi="Palatino Linotype" w:cs="Palatino Linotype"/>
          <w:b/>
          <w:sz w:val="24"/>
          <w:szCs w:val="24"/>
        </w:rPr>
        <w:t xml:space="preserve"> Sujeto Obligado,</w:t>
      </w:r>
      <w:r w:rsidRPr="00CD142C">
        <w:rPr>
          <w:rFonts w:ascii="Palatino Linotype" w:eastAsia="Palatino Linotype" w:hAnsi="Palatino Linotype" w:cs="Palatino Linotype"/>
          <w:sz w:val="24"/>
          <w:szCs w:val="24"/>
        </w:rPr>
        <w:t xml:space="preserve"> cuando clasifique algún documento o información, </w:t>
      </w:r>
      <w:r w:rsidRPr="00CD142C">
        <w:rPr>
          <w:rFonts w:ascii="Palatino Linotype" w:eastAsia="Palatino Linotype" w:hAnsi="Palatino Linotype" w:cs="Palatino Linotype"/>
          <w:b/>
          <w:sz w:val="24"/>
          <w:szCs w:val="24"/>
        </w:rPr>
        <w:t>ya sea todo</w:t>
      </w:r>
      <w:r w:rsidRPr="00CD142C">
        <w:rPr>
          <w:rFonts w:ascii="Palatino Linotype" w:eastAsia="Palatino Linotype" w:hAnsi="Palatino Linotype" w:cs="Palatino Linotype"/>
          <w:sz w:val="24"/>
          <w:szCs w:val="24"/>
        </w:rPr>
        <w:t xml:space="preserve"> o en parte, atienda lo dispuesto por la ley de la materia, siendo que la clasificación de información es un trabajo en conjunto tanto de los Servidores Públicos Habilitados, de las Unidades de Transparencia y del Comité de Transparencia del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 53 fracción X, y 49 fracciones II y VIII de la Ley de Transparencia y Acceso a la Información Pública del Estado de México y Municipios.</w:t>
      </w:r>
    </w:p>
    <w:p w14:paraId="6A88BE38" w14:textId="77777777" w:rsidR="00D55228" w:rsidRPr="00CD142C" w:rsidRDefault="00D55228">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1AF6593D"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Artículo 59. Los servidores públicos habilitados tendrán las funciones siguientes:</w:t>
      </w:r>
    </w:p>
    <w:p w14:paraId="77CA4C67"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26E2040E"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V. Integrar y presentar al responsable de la Unidad de Transparencia la propuesta de clasificación de información, la cual tendrá los fundamentos y argumentos en que se basa dicha propuesta;</w:t>
      </w:r>
    </w:p>
    <w:p w14:paraId="47C251A5"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04C30881" w14:textId="77777777" w:rsidR="00D55228" w:rsidRPr="00CD142C" w:rsidRDefault="00D55228">
      <w:pPr>
        <w:pBdr>
          <w:top w:val="nil"/>
          <w:left w:val="nil"/>
          <w:bottom w:val="nil"/>
          <w:right w:val="nil"/>
          <w:between w:val="nil"/>
        </w:pBdr>
        <w:spacing w:after="0"/>
        <w:ind w:left="864" w:right="864"/>
        <w:jc w:val="both"/>
        <w:rPr>
          <w:rFonts w:ascii="Palatino Linotype" w:eastAsia="Palatino Linotype" w:hAnsi="Palatino Linotype" w:cs="Palatino Linotype"/>
          <w:i/>
          <w:vertAlign w:val="superscript"/>
        </w:rPr>
      </w:pPr>
    </w:p>
    <w:p w14:paraId="4929DD02"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Artículo 53. Las Unidades de Transparencia tendrán las siguientes funciones:</w:t>
      </w:r>
    </w:p>
    <w:p w14:paraId="66106CA4"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1F24C465"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X. Presentar ante el Comité, el proyecto de clasificación de información;</w:t>
      </w:r>
    </w:p>
    <w:p w14:paraId="608F10FC"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 xml:space="preserve">(…) </w:t>
      </w:r>
    </w:p>
    <w:p w14:paraId="6B8B7986" w14:textId="77777777" w:rsidR="00D55228" w:rsidRPr="00CD142C" w:rsidRDefault="00D55228">
      <w:pPr>
        <w:pBdr>
          <w:top w:val="nil"/>
          <w:left w:val="nil"/>
          <w:bottom w:val="nil"/>
          <w:right w:val="nil"/>
          <w:between w:val="nil"/>
        </w:pBdr>
        <w:spacing w:after="0"/>
        <w:ind w:left="864" w:right="864"/>
        <w:jc w:val="both"/>
        <w:rPr>
          <w:rFonts w:ascii="Palatino Linotype" w:eastAsia="Palatino Linotype" w:hAnsi="Palatino Linotype" w:cs="Palatino Linotype"/>
          <w:i/>
          <w:vertAlign w:val="superscript"/>
        </w:rPr>
      </w:pPr>
    </w:p>
    <w:p w14:paraId="60C1EBAF"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Artículo 49. Los Comités de Transparencia tendrán las siguientes atribuciones:</w:t>
      </w:r>
    </w:p>
    <w:p w14:paraId="0A7B88E5"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403F7762"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5DD3BB4C"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1EC54481"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VIII. Aprobar, modificar o revocar la clasificación de la información;</w:t>
      </w:r>
    </w:p>
    <w:p w14:paraId="10E1BFF0" w14:textId="77777777" w:rsidR="00D55228" w:rsidRPr="00CD142C" w:rsidRDefault="001540D8">
      <w:pPr>
        <w:pBdr>
          <w:top w:val="nil"/>
          <w:left w:val="nil"/>
          <w:bottom w:val="nil"/>
          <w:right w:val="nil"/>
          <w:between w:val="nil"/>
        </w:pBdr>
        <w:spacing w:after="0"/>
        <w:ind w:left="864" w:right="864"/>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3F8D2112" w14:textId="77777777" w:rsidR="00D55228" w:rsidRPr="00CD142C" w:rsidRDefault="00D55228">
      <w:pPr>
        <w:pBdr>
          <w:top w:val="nil"/>
          <w:left w:val="nil"/>
          <w:bottom w:val="nil"/>
          <w:right w:val="nil"/>
          <w:between w:val="nil"/>
        </w:pBdr>
        <w:spacing w:after="0"/>
        <w:ind w:left="864" w:right="864"/>
        <w:jc w:val="both"/>
        <w:rPr>
          <w:rFonts w:ascii="Palatino Linotype" w:eastAsia="Palatino Linotype" w:hAnsi="Palatino Linotype" w:cs="Palatino Linotype"/>
          <w:i/>
        </w:rPr>
      </w:pPr>
    </w:p>
    <w:p w14:paraId="243A82F0"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Bajo tales consideraciones, cuando los sujetos obligados adviertan que la información solicitada contiene datos personales que sean susceptibles de ser clasificados como confidenciales,</w:t>
      </w:r>
      <w:r w:rsidRPr="00CD142C">
        <w:rPr>
          <w:rFonts w:ascii="Palatino Linotype" w:eastAsia="Palatino Linotype" w:hAnsi="Palatino Linotype" w:cs="Palatino Linotype"/>
          <w:b/>
          <w:sz w:val="24"/>
          <w:szCs w:val="24"/>
        </w:rPr>
        <w:t xml:space="preserve"> </w:t>
      </w:r>
      <w:r w:rsidRPr="00CD142C">
        <w:rPr>
          <w:rFonts w:ascii="Palatino Linotype" w:eastAsia="Palatino Linotype" w:hAnsi="Palatino Linotype" w:cs="Palatino Linotype"/>
          <w:sz w:val="24"/>
          <w:szCs w:val="24"/>
        </w:rPr>
        <w:t xml:space="preserve">o, si por otro lado, por su propia y especial naturaleza, encuadra en alguno de los supuestos de </w:t>
      </w:r>
      <w:r w:rsidRPr="00CD142C">
        <w:rPr>
          <w:rFonts w:ascii="Palatino Linotype" w:eastAsia="Palatino Linotype" w:hAnsi="Palatino Linotype" w:cs="Palatino Linotype"/>
          <w:b/>
          <w:sz w:val="24"/>
          <w:szCs w:val="24"/>
        </w:rPr>
        <w:t>reserva</w:t>
      </w:r>
      <w:r w:rsidRPr="00CD142C">
        <w:rPr>
          <w:rFonts w:ascii="Palatino Linotype" w:eastAsia="Palatino Linotype" w:hAnsi="Palatino Linotype" w:cs="Palatino Linotype"/>
          <w:sz w:val="24"/>
          <w:szCs w:val="24"/>
        </w:rPr>
        <w:t xml:space="preserve"> o de confidencialidad </w:t>
      </w:r>
      <w:r w:rsidRPr="00CD142C">
        <w:rPr>
          <w:rFonts w:ascii="Palatino Linotype" w:eastAsia="Palatino Linotype" w:hAnsi="Palatino Linotype" w:cs="Palatino Linotype"/>
          <w:b/>
          <w:sz w:val="24"/>
          <w:szCs w:val="24"/>
        </w:rPr>
        <w:t>en su totalidad,</w:t>
      </w:r>
      <w:r w:rsidRPr="00CD142C">
        <w:rPr>
          <w:rFonts w:ascii="Palatino Linotype" w:eastAsia="Palatino Linotype" w:hAnsi="Palatino Linotype" w:cs="Palatino Linotype"/>
          <w:sz w:val="24"/>
          <w:szCs w:val="24"/>
        </w:rPr>
        <w:t xml:space="preserve"> deberá emitir un Acuerdo de Clasificación debidamente fundado y motivado </w:t>
      </w:r>
      <w:r w:rsidRPr="00CD142C">
        <w:rPr>
          <w:rFonts w:ascii="Palatino Linotype" w:eastAsia="Palatino Linotype" w:hAnsi="Palatino Linotype" w:cs="Palatino Linotype"/>
          <w:b/>
          <w:sz w:val="24"/>
          <w:szCs w:val="24"/>
        </w:rPr>
        <w:t xml:space="preserve">que sustente </w:t>
      </w:r>
      <w:r w:rsidRPr="00CD142C">
        <w:rPr>
          <w:rFonts w:ascii="Palatino Linotype" w:eastAsia="Palatino Linotype" w:hAnsi="Palatino Linotype" w:cs="Palatino Linotype"/>
          <w:sz w:val="24"/>
          <w:szCs w:val="24"/>
        </w:rPr>
        <w:t xml:space="preserve">la clasificación parcial, a través de la versión pública que emita, o bien, </w:t>
      </w:r>
      <w:r w:rsidRPr="00CD142C">
        <w:rPr>
          <w:rFonts w:ascii="Palatino Linotype" w:eastAsia="Palatino Linotype" w:hAnsi="Palatino Linotype" w:cs="Palatino Linotype"/>
          <w:b/>
          <w:sz w:val="24"/>
          <w:szCs w:val="24"/>
          <w:u w:val="single"/>
        </w:rPr>
        <w:t>la restricción total del derecho de acceso a la información.</w:t>
      </w:r>
    </w:p>
    <w:p w14:paraId="73BDEB08"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57EE7470" w14:textId="77777777" w:rsidR="00D55228" w:rsidRPr="00CD142C" w:rsidRDefault="001540D8">
      <w:pPr>
        <w:spacing w:after="0" w:line="360" w:lineRule="auto"/>
        <w:ind w:right="51"/>
        <w:jc w:val="both"/>
        <w:rPr>
          <w:rFonts w:ascii="Palatino Linotype" w:eastAsia="Palatino Linotype" w:hAnsi="Palatino Linotype" w:cs="Palatino Linotype"/>
          <w:sz w:val="24"/>
          <w:szCs w:val="24"/>
        </w:rPr>
      </w:pPr>
      <w:bookmarkStart w:id="7" w:name="_3dy6vkm" w:colFirst="0" w:colLast="0"/>
      <w:bookmarkEnd w:id="7"/>
      <w:r w:rsidRPr="00CD142C">
        <w:rPr>
          <w:rFonts w:ascii="Palatino Linotype" w:eastAsia="Palatino Linotype" w:hAnsi="Palatino Linotype" w:cs="Palatino Linotype"/>
          <w:sz w:val="24"/>
          <w:szCs w:val="24"/>
        </w:rPr>
        <w:lastRenderedPageBreak/>
        <w:t xml:space="preserve">Asimismo, no obsta mencionar que el Acuerdo del Comité de Transparencia mediante el cual se clasifique la información </w:t>
      </w:r>
      <w:r w:rsidRPr="00CD142C">
        <w:rPr>
          <w:rFonts w:ascii="Palatino Linotype" w:eastAsia="Palatino Linotype" w:hAnsi="Palatino Linotype" w:cs="Palatino Linotype"/>
          <w:b/>
          <w:sz w:val="24"/>
          <w:szCs w:val="24"/>
          <w:u w:val="single"/>
        </w:rPr>
        <w:t>como reservada</w:t>
      </w:r>
      <w:r w:rsidRPr="00CD142C">
        <w:rPr>
          <w:rFonts w:ascii="Palatino Linotype" w:eastAsia="Palatino Linotype" w:hAnsi="Palatino Linotype" w:cs="Palatino Linotype"/>
          <w:sz w:val="24"/>
          <w:szCs w:val="24"/>
        </w:rPr>
        <w:t xml:space="preserve"> o confidencial, de manera total o parcial</w:t>
      </w:r>
      <w:r w:rsidRPr="00CD142C">
        <w:rPr>
          <w:rFonts w:ascii="Palatino Linotype" w:eastAsia="Palatino Linotype" w:hAnsi="Palatino Linotype" w:cs="Palatino Linotype"/>
          <w:b/>
          <w:sz w:val="24"/>
          <w:szCs w:val="24"/>
        </w:rPr>
        <w:t xml:space="preserve"> </w:t>
      </w:r>
      <w:r w:rsidRPr="00CD142C">
        <w:rPr>
          <w:rFonts w:ascii="Palatino Linotype" w:eastAsia="Palatino Linotype" w:hAnsi="Palatino Linotype" w:cs="Palatino Linotype"/>
          <w:sz w:val="24"/>
          <w:szCs w:val="24"/>
        </w:rPr>
        <w:t>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 de igual forma en dicho acuerdo se deben exponer de manera clara los fundamentos y razones que llevaron a la autoridad a clasificar la información de acuerdo con lo establecido en el artículo 149 de la Ley de la materia, de lo contrario, implicaría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71F5C121" w14:textId="77777777" w:rsidR="00D55228" w:rsidRPr="00CD142C" w:rsidRDefault="00D55228">
      <w:pPr>
        <w:spacing w:after="0" w:line="360" w:lineRule="auto"/>
        <w:ind w:right="51"/>
        <w:jc w:val="both"/>
        <w:rPr>
          <w:rFonts w:ascii="Palatino Linotype" w:eastAsia="Palatino Linotype" w:hAnsi="Palatino Linotype" w:cs="Palatino Linotype"/>
          <w:sz w:val="24"/>
          <w:szCs w:val="24"/>
        </w:rPr>
      </w:pPr>
    </w:p>
    <w:p w14:paraId="7BFF0406"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En tal virtud, como se señaló el artículo 49, fracción VIII, de nuestra Ley de Transparencia,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a concluir que el caso particular se ajusta al supuesto previsto por la norma legal invocada como fundamento; siendo que, además, 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debe, en todo momento, aplicar una prueba de daño. </w:t>
      </w:r>
    </w:p>
    <w:p w14:paraId="014A4FE5"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1AE7C575" w14:textId="77777777" w:rsidR="005F0AB1" w:rsidRPr="00CD142C" w:rsidRDefault="001540D8" w:rsidP="005F0AB1">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488ED4FF" w14:textId="77777777" w:rsidR="005F0AB1" w:rsidRPr="00CD142C" w:rsidRDefault="005F0AB1" w:rsidP="005F0AB1">
      <w:pPr>
        <w:spacing w:after="0" w:line="360" w:lineRule="auto"/>
        <w:jc w:val="both"/>
        <w:rPr>
          <w:rFonts w:ascii="Palatino Linotype" w:eastAsia="Palatino Linotype" w:hAnsi="Palatino Linotype" w:cs="Palatino Linotype"/>
          <w:sz w:val="24"/>
          <w:szCs w:val="24"/>
        </w:rPr>
      </w:pPr>
    </w:p>
    <w:p w14:paraId="2A8E2885" w14:textId="77777777" w:rsidR="00D55228" w:rsidRPr="00CD142C" w:rsidRDefault="001540D8" w:rsidP="005F0AB1">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Siendo importante referir, lo que al respecto establece el Lineamiento Segundo, fracción XIII, de los Lineamientos Generales en Materia de Clasificación y Desclasificación de la Información, así como para la elaboración de Versiones Públicas, que a la letra dice:</w:t>
      </w:r>
    </w:p>
    <w:p w14:paraId="2AB54B70" w14:textId="77777777" w:rsidR="00D55228" w:rsidRPr="00CD142C" w:rsidRDefault="00D55228">
      <w:pPr>
        <w:spacing w:line="360" w:lineRule="auto"/>
        <w:jc w:val="both"/>
        <w:rPr>
          <w:rFonts w:ascii="Palatino Linotype" w:eastAsia="Palatino Linotype" w:hAnsi="Palatino Linotype" w:cs="Palatino Linotype"/>
          <w:sz w:val="10"/>
          <w:szCs w:val="10"/>
        </w:rPr>
      </w:pPr>
    </w:p>
    <w:p w14:paraId="081BC85B" w14:textId="77777777" w:rsidR="00D55228" w:rsidRPr="00CD142C" w:rsidRDefault="001540D8">
      <w:pPr>
        <w:ind w:left="851" w:right="902"/>
        <w:jc w:val="both"/>
        <w:rPr>
          <w:rFonts w:ascii="Palatino Linotype" w:eastAsia="Palatino Linotype" w:hAnsi="Palatino Linotype" w:cs="Palatino Linotype"/>
          <w:i/>
        </w:rPr>
      </w:pPr>
      <w:r w:rsidRPr="00CD142C">
        <w:rPr>
          <w:rFonts w:ascii="Palatino Linotype" w:eastAsia="Palatino Linotype" w:hAnsi="Palatino Linotype" w:cs="Palatino Linotype"/>
          <w:b/>
          <w:i/>
        </w:rPr>
        <w:t>“Segundo.</w:t>
      </w:r>
      <w:r w:rsidRPr="00CD142C">
        <w:rPr>
          <w:rFonts w:ascii="Palatino Linotype" w:eastAsia="Palatino Linotype" w:hAnsi="Palatino Linotype" w:cs="Palatino Linotype"/>
          <w:i/>
        </w:rPr>
        <w:t xml:space="preserve"> Para efectos de los presentes Lineamientos Generales, se entenderá por: </w:t>
      </w:r>
    </w:p>
    <w:p w14:paraId="2CE1F52B" w14:textId="77777777" w:rsidR="00D55228" w:rsidRPr="00CD142C" w:rsidRDefault="001540D8">
      <w:pPr>
        <w:ind w:left="1134" w:right="902"/>
        <w:jc w:val="both"/>
        <w:rPr>
          <w:rFonts w:ascii="Palatino Linotype" w:eastAsia="Palatino Linotype" w:hAnsi="Palatino Linotype" w:cs="Palatino Linotype"/>
          <w:b/>
          <w:i/>
        </w:rPr>
      </w:pPr>
      <w:r w:rsidRPr="00CD142C">
        <w:rPr>
          <w:rFonts w:ascii="Palatino Linotype" w:eastAsia="Palatino Linotype" w:hAnsi="Palatino Linotype" w:cs="Palatino Linotype"/>
          <w:b/>
          <w:i/>
        </w:rPr>
        <w:t>...</w:t>
      </w:r>
    </w:p>
    <w:p w14:paraId="73874F9B" w14:textId="77777777" w:rsidR="00D55228" w:rsidRPr="00CD142C" w:rsidRDefault="001540D8">
      <w:pPr>
        <w:ind w:left="1134" w:right="902"/>
        <w:jc w:val="both"/>
        <w:rPr>
          <w:rFonts w:ascii="Palatino Linotype" w:eastAsia="Palatino Linotype" w:hAnsi="Palatino Linotype" w:cs="Palatino Linotype"/>
          <w:b/>
          <w:i/>
        </w:rPr>
      </w:pPr>
      <w:r w:rsidRPr="00CD142C">
        <w:rPr>
          <w:rFonts w:ascii="Palatino Linotype" w:eastAsia="Palatino Linotype" w:hAnsi="Palatino Linotype" w:cs="Palatino Linotype"/>
          <w:b/>
          <w:i/>
        </w:rPr>
        <w:t>XIII.    Prueba de daño</w:t>
      </w:r>
      <w:r w:rsidRPr="00CD142C">
        <w:rPr>
          <w:rFonts w:ascii="Palatino Linotype" w:eastAsia="Palatino Linotype" w:hAnsi="Palatino Linotype" w:cs="Palatino Linotype"/>
          <w:i/>
        </w:rPr>
        <w:t>: La argumentación fundada y motivada que deben realizar los sujetos obligados tendiente a acreditar que la divulgación de información lesiona el interés jurídicamente protegido por la normativa aplicable y que el daño que puede producirse con la publicidad de la información es mayor que el interés de conocerla;</w:t>
      </w:r>
      <w:r w:rsidRPr="00CD142C">
        <w:rPr>
          <w:rFonts w:ascii="Palatino Linotype" w:eastAsia="Palatino Linotype" w:hAnsi="Palatino Linotype" w:cs="Palatino Linotype"/>
          <w:b/>
          <w:i/>
        </w:rPr>
        <w:t>”</w:t>
      </w:r>
    </w:p>
    <w:p w14:paraId="2905D71C" w14:textId="77777777" w:rsidR="00D55228" w:rsidRPr="00CD142C" w:rsidRDefault="00D55228">
      <w:pPr>
        <w:spacing w:line="360" w:lineRule="auto"/>
        <w:ind w:right="51"/>
        <w:jc w:val="both"/>
        <w:rPr>
          <w:rFonts w:ascii="Palatino Linotype" w:eastAsia="Palatino Linotype" w:hAnsi="Palatino Linotype" w:cs="Palatino Linotype"/>
          <w:sz w:val="24"/>
          <w:szCs w:val="24"/>
        </w:rPr>
      </w:pPr>
    </w:p>
    <w:p w14:paraId="601A12EE"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Bajo tales precisiones, además de advertirse que 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 xml:space="preserve">fue omiso en remitir el acuerdo de clasificación emitido por el Comité de Transparencia, en donde de manera debidamente fundada y motivada, a través de una prueba de daño, confirmara la clasificación como reservada de lo peticionado en el presente apartado, a consideración de este Órgano Garante </w:t>
      </w:r>
      <w:r w:rsidRPr="00CD142C">
        <w:rPr>
          <w:rFonts w:ascii="Palatino Linotype" w:eastAsia="Palatino Linotype" w:hAnsi="Palatino Linotype" w:cs="Palatino Linotype"/>
          <w:b/>
          <w:sz w:val="24"/>
          <w:szCs w:val="24"/>
        </w:rPr>
        <w:t>NO</w:t>
      </w:r>
      <w:r w:rsidRPr="00CD142C">
        <w:rPr>
          <w:rFonts w:ascii="Palatino Linotype" w:eastAsia="Palatino Linotype" w:hAnsi="Palatino Linotype" w:cs="Palatino Linotype"/>
          <w:sz w:val="24"/>
          <w:szCs w:val="24"/>
        </w:rPr>
        <w:t xml:space="preserve"> operaba la clasificación del listado de </w:t>
      </w:r>
      <w:r w:rsidRPr="00CD142C">
        <w:rPr>
          <w:rFonts w:ascii="Palatino Linotype" w:eastAsia="Palatino Linotype" w:hAnsi="Palatino Linotype" w:cs="Palatino Linotype"/>
          <w:sz w:val="24"/>
          <w:szCs w:val="24"/>
        </w:rPr>
        <w:lastRenderedPageBreak/>
        <w:t>vehículos propios y arrendados con que cuenta la Secretaría de Seguridad como información reservada.</w:t>
      </w:r>
    </w:p>
    <w:p w14:paraId="6355126B"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51B08A88" w14:textId="77777777" w:rsidR="00D55228" w:rsidRPr="00CD142C" w:rsidRDefault="001540D8">
      <w:pPr>
        <w:spacing w:after="0" w:line="360" w:lineRule="auto"/>
        <w:ind w:right="49"/>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sz w:val="24"/>
          <w:szCs w:val="24"/>
        </w:rPr>
        <w:t xml:space="preserve">Se afirma lo anterior, pues además de que el listado requerido se relaciona con la obligación de transparencia común que 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 xml:space="preserve">esta constreñido a transparentar y mantener permanentemente a disposición del público en general, </w:t>
      </w:r>
      <w:r w:rsidRPr="00CD142C">
        <w:rPr>
          <w:rFonts w:ascii="Palatino Linotype" w:eastAsia="Palatino Linotype" w:hAnsi="Palatino Linotype" w:cs="Palatino Linotype"/>
          <w:b/>
          <w:sz w:val="24"/>
          <w:szCs w:val="24"/>
          <w:u w:val="single"/>
        </w:rPr>
        <w:t>relativa al inventario de bienes muebles del ente público</w:t>
      </w:r>
      <w:r w:rsidRPr="00CD142C">
        <w:rPr>
          <w:rFonts w:ascii="Palatino Linotype" w:eastAsia="Palatino Linotype" w:hAnsi="Palatino Linotype" w:cs="Palatino Linotype"/>
          <w:sz w:val="24"/>
          <w:szCs w:val="24"/>
        </w:rPr>
        <w:t xml:space="preserve"> señalada en la fracción XXXVIII del artículo 92 de la Ley de Transparencia Local, que debe incluir los vehículos con los que cuenta el sujeto obligado, en el caso, </w:t>
      </w:r>
      <w:r w:rsidRPr="00CD142C">
        <w:rPr>
          <w:rFonts w:ascii="Palatino Linotype" w:eastAsia="Palatino Linotype" w:hAnsi="Palatino Linotype" w:cs="Palatino Linotype"/>
          <w:b/>
          <w:sz w:val="24"/>
          <w:szCs w:val="24"/>
        </w:rPr>
        <w:t>no se actualiza la causal por la que se procedió a la reserva de la información.</w:t>
      </w:r>
    </w:p>
    <w:p w14:paraId="7CBF6050"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54DEE641"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En efecto, como se desprende de los motivos y fundamentos con base en los cuales, en su informe justificado el ente público pretendió sustentar la clasificación del listado de vehículos propios y arrendados, se advierte que este lo clasifica por tratarse del Estado de Fuerza con que cuenta la Secretaría de Seguridad, encausando la reserva en la hipótesis prevista, entre otros, sustancialmente en el artículo 140, fracción I de la Ley de Transparencia y Acceso a la Información Pública del Estado de México y Municipios, que dispone lo siguiente:</w:t>
      </w:r>
    </w:p>
    <w:p w14:paraId="06343BEF"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1CEBFE04" w14:textId="77777777" w:rsidR="00D55228" w:rsidRPr="00CD142C" w:rsidRDefault="001540D8">
      <w:pPr>
        <w:spacing w:after="0" w:line="240" w:lineRule="auto"/>
        <w:ind w:left="567" w:right="560"/>
        <w:jc w:val="both"/>
        <w:rPr>
          <w:rFonts w:ascii="Palatino Linotype" w:eastAsia="Palatino Linotype" w:hAnsi="Palatino Linotype" w:cs="Palatino Linotype"/>
          <w:i/>
          <w:sz w:val="24"/>
          <w:szCs w:val="24"/>
        </w:rPr>
      </w:pPr>
      <w:r w:rsidRPr="00CD142C">
        <w:rPr>
          <w:rFonts w:ascii="Palatino Linotype" w:eastAsia="Palatino Linotype" w:hAnsi="Palatino Linotype" w:cs="Palatino Linotype"/>
          <w:i/>
          <w:sz w:val="24"/>
          <w:szCs w:val="24"/>
        </w:rPr>
        <w:t xml:space="preserve">“Artículo 140. El acceso a la información pública será restringido excepcionalmente, cuando por razones de interés público, ésta sea clasificada como reservada, conforme a los criterios siguientes: </w:t>
      </w:r>
    </w:p>
    <w:p w14:paraId="247CB027" w14:textId="77777777" w:rsidR="00D55228" w:rsidRPr="00CD142C" w:rsidRDefault="00D55228">
      <w:pPr>
        <w:spacing w:after="0" w:line="240" w:lineRule="auto"/>
        <w:ind w:left="567" w:right="560"/>
        <w:jc w:val="both"/>
        <w:rPr>
          <w:rFonts w:ascii="Palatino Linotype" w:eastAsia="Palatino Linotype" w:hAnsi="Palatino Linotype" w:cs="Palatino Linotype"/>
          <w:i/>
          <w:sz w:val="24"/>
          <w:szCs w:val="24"/>
        </w:rPr>
      </w:pPr>
    </w:p>
    <w:p w14:paraId="5E7E93B2" w14:textId="77777777" w:rsidR="00D55228" w:rsidRPr="00CD142C" w:rsidRDefault="001540D8">
      <w:pPr>
        <w:spacing w:after="0" w:line="240" w:lineRule="auto"/>
        <w:ind w:left="567" w:right="560"/>
        <w:jc w:val="both"/>
        <w:rPr>
          <w:rFonts w:ascii="Palatino Linotype" w:eastAsia="Palatino Linotype" w:hAnsi="Palatino Linotype" w:cs="Palatino Linotype"/>
          <w:b/>
          <w:i/>
          <w:sz w:val="24"/>
          <w:szCs w:val="24"/>
        </w:rPr>
      </w:pPr>
      <w:r w:rsidRPr="00CD142C">
        <w:rPr>
          <w:rFonts w:ascii="Palatino Linotype" w:eastAsia="Palatino Linotype" w:hAnsi="Palatino Linotype" w:cs="Palatino Linotype"/>
          <w:b/>
          <w:i/>
          <w:sz w:val="24"/>
          <w:szCs w:val="24"/>
        </w:rPr>
        <w:t>I. Comprometa la seguridad pública y cuente con un propósito genuino y un efecto demostrable;</w:t>
      </w:r>
    </w:p>
    <w:p w14:paraId="38F4F11A" w14:textId="77777777" w:rsidR="00D55228" w:rsidRPr="00CD142C" w:rsidRDefault="001540D8">
      <w:pPr>
        <w:spacing w:after="0" w:line="240" w:lineRule="auto"/>
        <w:ind w:left="567" w:right="560"/>
        <w:jc w:val="both"/>
        <w:rPr>
          <w:rFonts w:ascii="Palatino Linotype" w:eastAsia="Palatino Linotype" w:hAnsi="Palatino Linotype" w:cs="Palatino Linotype"/>
          <w:i/>
          <w:sz w:val="24"/>
          <w:szCs w:val="24"/>
        </w:rPr>
      </w:pPr>
      <w:r w:rsidRPr="00CD142C">
        <w:rPr>
          <w:rFonts w:ascii="Palatino Linotype" w:eastAsia="Palatino Linotype" w:hAnsi="Palatino Linotype" w:cs="Palatino Linotype"/>
          <w:i/>
          <w:sz w:val="24"/>
          <w:szCs w:val="24"/>
        </w:rPr>
        <w:t>[…]”</w:t>
      </w:r>
    </w:p>
    <w:p w14:paraId="27D23954" w14:textId="77777777" w:rsidR="00D55228" w:rsidRPr="00CD142C" w:rsidRDefault="001540D8">
      <w:pPr>
        <w:spacing w:after="0" w:line="240" w:lineRule="auto"/>
        <w:ind w:left="567" w:right="560"/>
        <w:jc w:val="right"/>
        <w:rPr>
          <w:rFonts w:ascii="Palatino Linotype" w:eastAsia="Palatino Linotype" w:hAnsi="Palatino Linotype" w:cs="Palatino Linotype"/>
          <w:i/>
          <w:sz w:val="24"/>
          <w:szCs w:val="24"/>
        </w:rPr>
      </w:pPr>
      <w:r w:rsidRPr="00CD142C">
        <w:rPr>
          <w:rFonts w:ascii="Palatino Linotype" w:eastAsia="Palatino Linotype" w:hAnsi="Palatino Linotype" w:cs="Palatino Linotype"/>
          <w:i/>
          <w:sz w:val="24"/>
          <w:szCs w:val="24"/>
        </w:rPr>
        <w:lastRenderedPageBreak/>
        <w:t>(Énfasis añadido)</w:t>
      </w:r>
    </w:p>
    <w:p w14:paraId="46EE1EE9"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3824B0DA"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Como se desprende de la porción legal transcrita, el acceso a la información pública será restringido excepcionalmente cuando se trate de información que </w:t>
      </w:r>
      <w:r w:rsidRPr="00CD142C">
        <w:rPr>
          <w:rFonts w:ascii="Palatino Linotype" w:eastAsia="Palatino Linotype" w:hAnsi="Palatino Linotype" w:cs="Palatino Linotype"/>
          <w:b/>
          <w:sz w:val="24"/>
          <w:szCs w:val="24"/>
        </w:rPr>
        <w:t>comprometa la seguridad pública y cuente con un propósito genuino y un efecto demostrable.</w:t>
      </w:r>
    </w:p>
    <w:p w14:paraId="72A17DB9"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 </w:t>
      </w:r>
    </w:p>
    <w:p w14:paraId="38611CF1"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Sin embargo, en el caso es de recordar que el listado al que se pretende accesar es al relativo al total de los vehículos (en posesión o propiedad) que conforman el parque vehicular de la Secretaría de Seguridad, es decir, no se requirió específicamente de vehículos que son utilizados como patrullas, por lo tanto se considera que su entrega no revelaría el </w:t>
      </w:r>
      <w:r w:rsidRPr="00CD142C">
        <w:rPr>
          <w:rFonts w:ascii="Palatino Linotype" w:eastAsia="Palatino Linotype" w:hAnsi="Palatino Linotype" w:cs="Palatino Linotype"/>
          <w:b/>
          <w:sz w:val="24"/>
          <w:szCs w:val="24"/>
        </w:rPr>
        <w:t>Estado de Fuerza</w:t>
      </w:r>
      <w:r w:rsidRPr="00CD142C">
        <w:rPr>
          <w:rFonts w:ascii="Palatino Linotype" w:eastAsia="Palatino Linotype" w:hAnsi="Palatino Linotype" w:cs="Palatino Linotype"/>
          <w:sz w:val="24"/>
          <w:szCs w:val="24"/>
        </w:rPr>
        <w:t xml:space="preserve"> de dicha Secretaria y no comprometería la seguridad pública.</w:t>
      </w:r>
    </w:p>
    <w:p w14:paraId="00A01169"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17C8A40A"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Recordemos que la información que puede revelar el </w:t>
      </w:r>
      <w:r w:rsidRPr="00CD142C">
        <w:rPr>
          <w:rFonts w:ascii="Palatino Linotype" w:eastAsia="Palatino Linotype" w:hAnsi="Palatino Linotype" w:cs="Palatino Linotype"/>
          <w:b/>
          <w:i/>
          <w:sz w:val="24"/>
          <w:szCs w:val="24"/>
        </w:rPr>
        <w:t>estado de fuerza</w:t>
      </w:r>
      <w:r w:rsidRPr="00CD142C">
        <w:rPr>
          <w:rFonts w:ascii="Palatino Linotype" w:eastAsia="Palatino Linotype" w:hAnsi="Palatino Linotype" w:cs="Palatino Linotype"/>
          <w:sz w:val="24"/>
          <w:szCs w:val="24"/>
        </w:rPr>
        <w:t>, corresponde a aquella que revele datos que pudieran ser aprovechados para conocer la capacidad de reacción de las instituciones encargadas de la seguridad pública, sus planes, estrategias, tecnología, información, sistemas de comunicaciones.</w:t>
      </w:r>
    </w:p>
    <w:p w14:paraId="0749E4A3"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38D4E764"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Con base lo anterior y atendiendo el pronunciamiento del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 xml:space="preserve">con relación al requerimiento de nuestra atención, se desprende que la reserva del listado de los vehículos en propiedad y en posesión de la Secretaría de Seguridad no procede, en virtud de que no se identifica en términos concretos cómo es que la información requerida podría comprometer el ejercicio de sus facultades constitucionales y, con ello, la seguridad pública, además de que no existe una relación causal general entre </w:t>
      </w:r>
      <w:r w:rsidRPr="00CD142C">
        <w:rPr>
          <w:rFonts w:ascii="Palatino Linotype" w:eastAsia="Palatino Linotype" w:hAnsi="Palatino Linotype" w:cs="Palatino Linotype"/>
          <w:sz w:val="24"/>
          <w:szCs w:val="24"/>
        </w:rPr>
        <w:lastRenderedPageBreak/>
        <w:t>la entrega de la información y la afectación a la seguridad pública, es decir, no se advierte que dar a conocer el listado de referencia genere una mayor probabilidad de que la información pueda implementarse como medio para actualizar o potenciar una amenaza en contra de la seguridad pública.</w:t>
      </w:r>
    </w:p>
    <w:p w14:paraId="5ABDC2ED"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3CEBED4B"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De ahí, que al no advertirse la actualización del supuesto de clasificación como información reservada del listado de los vehículos propios y en posesión con que cuenta la Secretaría de Seguridad que pretende señalar 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este Órgano Garante estima que fue transgredido el derecho de acceso a la información de la parte </w:t>
      </w:r>
      <w:r w:rsidRPr="00CD142C">
        <w:rPr>
          <w:rFonts w:ascii="Palatino Linotype" w:eastAsia="Palatino Linotype" w:hAnsi="Palatino Linotype" w:cs="Palatino Linotype"/>
          <w:b/>
          <w:sz w:val="24"/>
          <w:szCs w:val="24"/>
        </w:rPr>
        <w:t xml:space="preserve">Recurrente, </w:t>
      </w:r>
      <w:r w:rsidRPr="00CD142C">
        <w:rPr>
          <w:rFonts w:ascii="Palatino Linotype" w:eastAsia="Palatino Linotype" w:hAnsi="Palatino Linotype" w:cs="Palatino Linotype"/>
          <w:sz w:val="24"/>
          <w:szCs w:val="24"/>
        </w:rPr>
        <w:t xml:space="preserve">y para efecto de restituirlo en el ejercicio de dicha prerrogativa, se considera oportuno </w:t>
      </w:r>
      <w:r w:rsidRPr="00CD142C">
        <w:rPr>
          <w:rFonts w:ascii="Palatino Linotype" w:eastAsia="Palatino Linotype" w:hAnsi="Palatino Linotype" w:cs="Palatino Linotype"/>
          <w:b/>
          <w:sz w:val="24"/>
          <w:szCs w:val="24"/>
        </w:rPr>
        <w:t xml:space="preserve">Modificar </w:t>
      </w:r>
      <w:r w:rsidRPr="00CD142C">
        <w:rPr>
          <w:rFonts w:ascii="Palatino Linotype" w:eastAsia="Palatino Linotype" w:hAnsi="Palatino Linotype" w:cs="Palatino Linotype"/>
          <w:sz w:val="24"/>
          <w:szCs w:val="24"/>
        </w:rPr>
        <w:t>la respuesta del ente público y ordenar la entrega de la siguiente información, de ser procedente en versión pública:</w:t>
      </w:r>
    </w:p>
    <w:p w14:paraId="41FB1F00"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59E12B26" w14:textId="77777777" w:rsidR="00D55228" w:rsidRPr="00CD142C" w:rsidRDefault="001540D8">
      <w:pPr>
        <w:numPr>
          <w:ilvl w:val="0"/>
          <w:numId w:val="7"/>
        </w:numPr>
        <w:pBdr>
          <w:top w:val="nil"/>
          <w:left w:val="nil"/>
          <w:bottom w:val="nil"/>
          <w:right w:val="nil"/>
          <w:between w:val="nil"/>
        </w:pBdr>
        <w:spacing w:after="0" w:line="360" w:lineRule="auto"/>
        <w:ind w:right="49"/>
        <w:jc w:val="both"/>
        <w:rPr>
          <w:b/>
          <w:sz w:val="24"/>
          <w:szCs w:val="24"/>
        </w:rPr>
      </w:pPr>
      <w:r w:rsidRPr="00CD142C">
        <w:rPr>
          <w:rFonts w:ascii="Palatino Linotype" w:eastAsia="Palatino Linotype" w:hAnsi="Palatino Linotype" w:cs="Palatino Linotype"/>
          <w:b/>
          <w:sz w:val="24"/>
          <w:szCs w:val="24"/>
        </w:rPr>
        <w:t>Listado de los vehículos propios y arrendados con que cuenta al once de agosto de dos mil veintitrés, señalados en respuesta.</w:t>
      </w:r>
    </w:p>
    <w:p w14:paraId="2E413D14" w14:textId="77777777" w:rsidR="00D55228" w:rsidRPr="00CD142C" w:rsidRDefault="00D55228">
      <w:p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p>
    <w:p w14:paraId="17D0EDCD" w14:textId="77777777" w:rsidR="00D55228" w:rsidRPr="00CD142C" w:rsidRDefault="001540D8">
      <w:pPr>
        <w:numPr>
          <w:ilvl w:val="0"/>
          <w:numId w:val="4"/>
        </w:numPr>
        <w:pBdr>
          <w:top w:val="nil"/>
          <w:left w:val="nil"/>
          <w:bottom w:val="nil"/>
          <w:right w:val="nil"/>
          <w:between w:val="nil"/>
        </w:pBdr>
        <w:spacing w:after="0" w:line="276" w:lineRule="auto"/>
        <w:ind w:right="96"/>
        <w:jc w:val="both"/>
        <w:rPr>
          <w:sz w:val="24"/>
          <w:szCs w:val="24"/>
        </w:rPr>
      </w:pPr>
      <w:r w:rsidRPr="00CD142C">
        <w:rPr>
          <w:rFonts w:ascii="Palatino Linotype" w:eastAsia="Palatino Linotype" w:hAnsi="Palatino Linotype" w:cs="Palatino Linotype"/>
          <w:b/>
          <w:sz w:val="24"/>
          <w:szCs w:val="24"/>
        </w:rPr>
        <w:t>El capítulo 4000 del presupuesto de ingresos y egresos de los ejercicios 2021, 2022 y 2023.</w:t>
      </w:r>
    </w:p>
    <w:p w14:paraId="453F9A87" w14:textId="77777777" w:rsidR="00D55228" w:rsidRPr="00CD142C" w:rsidRDefault="00D55228">
      <w:pPr>
        <w:pBdr>
          <w:top w:val="nil"/>
          <w:left w:val="nil"/>
          <w:bottom w:val="nil"/>
          <w:right w:val="nil"/>
          <w:between w:val="nil"/>
        </w:pBdr>
        <w:spacing w:after="0" w:line="360" w:lineRule="auto"/>
        <w:ind w:right="560"/>
        <w:jc w:val="both"/>
        <w:rPr>
          <w:rFonts w:ascii="Palatino Linotype" w:eastAsia="Palatino Linotype" w:hAnsi="Palatino Linotype" w:cs="Palatino Linotype"/>
          <w:sz w:val="24"/>
          <w:szCs w:val="24"/>
        </w:rPr>
      </w:pPr>
    </w:p>
    <w:p w14:paraId="34180AB4" w14:textId="77777777" w:rsidR="00D55228" w:rsidRPr="00CD142C" w:rsidRDefault="001540D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Sobre el requerimiento de nuestra atención, resulta oportuno contextualizar la naturaleza de la información solicitada, y para ello es conveniente traer a contexto el contenido, en la parte de nuestro interés de los presupuestos de egresos del Gobierno del Estado de México de los ejercicios fiscales 2021, 2022 y 2023:</w:t>
      </w:r>
    </w:p>
    <w:p w14:paraId="195F772E" w14:textId="77777777" w:rsidR="00D55228" w:rsidRPr="00CD142C" w:rsidRDefault="00D5522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7E6BE6BD" w14:textId="77777777" w:rsidR="00D55228" w:rsidRPr="00CD142C" w:rsidRDefault="001540D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lastRenderedPageBreak/>
        <w:t>Presupuesto de egresos 2021:</w:t>
      </w:r>
    </w:p>
    <w:p w14:paraId="0C7FE85C" w14:textId="77777777" w:rsidR="00D55228" w:rsidRPr="00CD142C" w:rsidRDefault="001540D8">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Artículo 14. Las erogaciones previstas en el Poder Ejecutivo para el gasto corriente y de inversión de las dependencias, en su clasificación administrativa, ascienden a la cantidad de $111,709,730,146 de los cuales $105,671,497,955 se encuentran asignados a las Dependencias y se distribuyen de la siguiente manera:</w:t>
      </w:r>
    </w:p>
    <w:p w14:paraId="2201C31A" w14:textId="77777777" w:rsidR="00D55228" w:rsidRPr="00CD142C" w:rsidRDefault="001540D8">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rPr>
      </w:pPr>
      <w:r w:rsidRPr="00CD142C">
        <w:rPr>
          <w:rFonts w:ascii="Palatino Linotype" w:eastAsia="Palatino Linotype" w:hAnsi="Palatino Linotype" w:cs="Palatino Linotype"/>
          <w:i/>
          <w:noProof/>
        </w:rPr>
        <w:drawing>
          <wp:inline distT="0" distB="0" distL="0" distR="0" wp14:anchorId="13222C24" wp14:editId="21042A96">
            <wp:extent cx="4556125" cy="2524125"/>
            <wp:effectExtent l="0" t="0" r="0" b="0"/>
            <wp:docPr id="2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8"/>
                    <a:srcRect/>
                    <a:stretch>
                      <a:fillRect/>
                    </a:stretch>
                  </pic:blipFill>
                  <pic:spPr>
                    <a:xfrm>
                      <a:off x="0" y="0"/>
                      <a:ext cx="4556125" cy="2524125"/>
                    </a:xfrm>
                    <a:prstGeom prst="rect">
                      <a:avLst/>
                    </a:prstGeom>
                    <a:ln/>
                  </pic:spPr>
                </pic:pic>
              </a:graphicData>
            </a:graphic>
          </wp:inline>
        </w:drawing>
      </w:r>
    </w:p>
    <w:p w14:paraId="38A68055" w14:textId="77777777" w:rsidR="00D55228" w:rsidRPr="00CD142C" w:rsidRDefault="001540D8">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66960615" w14:textId="77777777" w:rsidR="00D55228" w:rsidRPr="00CD142C" w:rsidRDefault="001540D8">
      <w:pPr>
        <w:pBdr>
          <w:top w:val="nil"/>
          <w:left w:val="nil"/>
          <w:bottom w:val="nil"/>
          <w:right w:val="nil"/>
          <w:between w:val="nil"/>
        </w:pBdr>
        <w:spacing w:after="0" w:line="276" w:lineRule="auto"/>
        <w:ind w:left="567" w:right="560"/>
        <w:rPr>
          <w:rFonts w:ascii="Palatino Linotype" w:eastAsia="Palatino Linotype" w:hAnsi="Palatino Linotype" w:cs="Palatino Linotype"/>
          <w:b/>
          <w:i/>
        </w:rPr>
      </w:pPr>
      <w:r w:rsidRPr="00CD142C">
        <w:rPr>
          <w:rFonts w:ascii="Palatino Linotype" w:eastAsia="Palatino Linotype" w:hAnsi="Palatino Linotype" w:cs="Palatino Linotype"/>
          <w:b/>
          <w:i/>
        </w:rPr>
        <w:t>“Artículo 15. Las erogaciones previstas en el artículo anterior se distribuyen en la clasificación económica de la siguiente forma:</w:t>
      </w:r>
    </w:p>
    <w:p w14:paraId="24743F3A" w14:textId="77777777" w:rsidR="00D55228" w:rsidRPr="00CD142C" w:rsidRDefault="001540D8">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rPr>
      </w:pPr>
      <w:r w:rsidRPr="00CD142C">
        <w:rPr>
          <w:rFonts w:ascii="Palatino Linotype" w:eastAsia="Palatino Linotype" w:hAnsi="Palatino Linotype" w:cs="Palatino Linotype"/>
          <w:i/>
          <w:noProof/>
        </w:rPr>
        <w:drawing>
          <wp:inline distT="0" distB="0" distL="0" distR="0" wp14:anchorId="37E2773D" wp14:editId="0605223A">
            <wp:extent cx="4887018" cy="1743322"/>
            <wp:effectExtent l="0" t="0" r="0" b="0"/>
            <wp:docPr id="2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9"/>
                    <a:srcRect/>
                    <a:stretch>
                      <a:fillRect/>
                    </a:stretch>
                  </pic:blipFill>
                  <pic:spPr>
                    <a:xfrm>
                      <a:off x="0" y="0"/>
                      <a:ext cx="4887018" cy="1743322"/>
                    </a:xfrm>
                    <a:prstGeom prst="rect">
                      <a:avLst/>
                    </a:prstGeom>
                    <a:ln/>
                  </pic:spPr>
                </pic:pic>
              </a:graphicData>
            </a:graphic>
          </wp:inline>
        </w:drawing>
      </w:r>
    </w:p>
    <w:p w14:paraId="1AAA679E" w14:textId="77777777" w:rsidR="00D55228" w:rsidRPr="00CD142C" w:rsidRDefault="001540D8">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1655E02F" w14:textId="77777777" w:rsidR="00D55228" w:rsidRPr="00CD142C" w:rsidRDefault="00D5522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77861EFF" w14:textId="77777777" w:rsidR="00D55228" w:rsidRPr="00CD142C" w:rsidRDefault="001540D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Presupuesto de egresos 2022:</w:t>
      </w:r>
    </w:p>
    <w:p w14:paraId="6F60181E" w14:textId="77777777" w:rsidR="00D55228" w:rsidRPr="00CD142C" w:rsidRDefault="001540D8">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rPr>
      </w:pPr>
      <w:r w:rsidRPr="00CD142C">
        <w:rPr>
          <w:rFonts w:ascii="Palatino Linotype" w:eastAsia="Palatino Linotype" w:hAnsi="Palatino Linotype" w:cs="Palatino Linotype"/>
          <w:i/>
        </w:rPr>
        <w:lastRenderedPageBreak/>
        <w:t>“</w:t>
      </w:r>
      <w:r w:rsidRPr="00CD142C">
        <w:rPr>
          <w:rFonts w:ascii="Palatino Linotype" w:eastAsia="Palatino Linotype" w:hAnsi="Palatino Linotype" w:cs="Palatino Linotype"/>
          <w:b/>
          <w:i/>
        </w:rPr>
        <w:t>Artículo 15. Las erogaciones previstas en el Poder Ejecutivo para el gasto corriente y de inversión de las dependencias, en su clasificación administrativa, ascienden a la cantidad de $117,853,789,855, y se distribuyen de la siguiente manera:</w:t>
      </w:r>
    </w:p>
    <w:p w14:paraId="548A1DED" w14:textId="77777777" w:rsidR="00D55228" w:rsidRPr="00CD142C" w:rsidRDefault="001540D8">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rPr>
      </w:pPr>
      <w:r w:rsidRPr="00CD142C">
        <w:rPr>
          <w:rFonts w:ascii="Palatino Linotype" w:eastAsia="Palatino Linotype" w:hAnsi="Palatino Linotype" w:cs="Palatino Linotype"/>
          <w:i/>
          <w:noProof/>
        </w:rPr>
        <w:drawing>
          <wp:inline distT="0" distB="0" distL="0" distR="0" wp14:anchorId="0DFEADFE" wp14:editId="7E658F1C">
            <wp:extent cx="4743450" cy="2656840"/>
            <wp:effectExtent l="0" t="0" r="0" b="0"/>
            <wp:docPr id="2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4743450" cy="2656840"/>
                    </a:xfrm>
                    <a:prstGeom prst="rect">
                      <a:avLst/>
                    </a:prstGeom>
                    <a:ln/>
                  </pic:spPr>
                </pic:pic>
              </a:graphicData>
            </a:graphic>
          </wp:inline>
        </w:drawing>
      </w:r>
    </w:p>
    <w:p w14:paraId="51AADDA5" w14:textId="77777777" w:rsidR="00D55228" w:rsidRPr="00CD142C" w:rsidRDefault="001540D8">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2305E6E6" w14:textId="77777777" w:rsidR="00D55228" w:rsidRPr="00CD142C" w:rsidRDefault="001540D8">
      <w:pPr>
        <w:pBdr>
          <w:top w:val="nil"/>
          <w:left w:val="nil"/>
          <w:bottom w:val="nil"/>
          <w:right w:val="nil"/>
          <w:between w:val="nil"/>
        </w:pBdr>
        <w:spacing w:after="0" w:line="276" w:lineRule="auto"/>
        <w:ind w:left="567" w:right="560"/>
        <w:rPr>
          <w:rFonts w:ascii="Palatino Linotype" w:eastAsia="Palatino Linotype" w:hAnsi="Palatino Linotype" w:cs="Palatino Linotype"/>
          <w:b/>
          <w:i/>
        </w:rPr>
      </w:pPr>
      <w:r w:rsidRPr="00CD142C">
        <w:rPr>
          <w:rFonts w:ascii="Palatino Linotype" w:eastAsia="Palatino Linotype" w:hAnsi="Palatino Linotype" w:cs="Palatino Linotype"/>
          <w:b/>
          <w:i/>
        </w:rPr>
        <w:t>“Artículo 16. Las erogaciones previstas en el artículo anterior se distribuyen en la clasificación económica de la siguiente forma:</w:t>
      </w:r>
    </w:p>
    <w:p w14:paraId="3477C4DF" w14:textId="77777777" w:rsidR="00D55228" w:rsidRPr="00CD142C" w:rsidRDefault="001540D8">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rPr>
      </w:pPr>
      <w:r w:rsidRPr="00CD142C">
        <w:rPr>
          <w:rFonts w:ascii="Palatino Linotype" w:eastAsia="Palatino Linotype" w:hAnsi="Palatino Linotype" w:cs="Palatino Linotype"/>
          <w:i/>
          <w:noProof/>
        </w:rPr>
        <w:drawing>
          <wp:inline distT="0" distB="0" distL="0" distR="0" wp14:anchorId="19301AF6" wp14:editId="65871785">
            <wp:extent cx="4620274" cy="2238689"/>
            <wp:effectExtent l="0" t="0" r="0" b="0"/>
            <wp:docPr id="2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4620274" cy="2238689"/>
                    </a:xfrm>
                    <a:prstGeom prst="rect">
                      <a:avLst/>
                    </a:prstGeom>
                    <a:ln/>
                  </pic:spPr>
                </pic:pic>
              </a:graphicData>
            </a:graphic>
          </wp:inline>
        </w:drawing>
      </w:r>
    </w:p>
    <w:p w14:paraId="71C86524" w14:textId="77777777" w:rsidR="00D55228" w:rsidRPr="00CD142C" w:rsidRDefault="001540D8">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2FDD16E2" w14:textId="77777777" w:rsidR="00D55228" w:rsidRPr="00CD142C" w:rsidRDefault="00D5522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4FC398DE" w14:textId="77777777" w:rsidR="00D55228" w:rsidRPr="00CD142C" w:rsidRDefault="001540D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Presupuesto de egresos 2023:</w:t>
      </w:r>
    </w:p>
    <w:p w14:paraId="1DCC6267" w14:textId="77777777" w:rsidR="00D55228" w:rsidRPr="00CD142C" w:rsidRDefault="001540D8">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rPr>
      </w:pPr>
      <w:r w:rsidRPr="00CD142C">
        <w:rPr>
          <w:rFonts w:ascii="Palatino Linotype" w:eastAsia="Palatino Linotype" w:hAnsi="Palatino Linotype" w:cs="Palatino Linotype"/>
          <w:i/>
        </w:rPr>
        <w:lastRenderedPageBreak/>
        <w:t>“</w:t>
      </w:r>
      <w:r w:rsidRPr="00CD142C">
        <w:rPr>
          <w:rFonts w:ascii="Palatino Linotype" w:eastAsia="Palatino Linotype" w:hAnsi="Palatino Linotype" w:cs="Palatino Linotype"/>
          <w:b/>
          <w:i/>
        </w:rPr>
        <w:t>Artículo 15. Las erogaciones previstas para el Poder Ejecutivo por concepto de Gasto Corriente y de Inversión de las Dependencias, en su Clasificación Administrativa, ascienden a la cantidad de $127,232,187,427 y se distribuyen de la siguiente manera:</w:t>
      </w:r>
    </w:p>
    <w:p w14:paraId="44E7D685" w14:textId="77777777" w:rsidR="00D55228" w:rsidRPr="00CD142C" w:rsidRDefault="001540D8">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rPr>
      </w:pPr>
      <w:r w:rsidRPr="00CD142C">
        <w:rPr>
          <w:rFonts w:ascii="Palatino Linotype" w:eastAsia="Palatino Linotype" w:hAnsi="Palatino Linotype" w:cs="Palatino Linotype"/>
          <w:i/>
          <w:noProof/>
        </w:rPr>
        <w:drawing>
          <wp:inline distT="0" distB="0" distL="0" distR="0" wp14:anchorId="0A9E4673" wp14:editId="75016A4A">
            <wp:extent cx="4582768" cy="2669294"/>
            <wp:effectExtent l="0" t="0" r="0" b="0"/>
            <wp:docPr id="2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2"/>
                    <a:srcRect/>
                    <a:stretch>
                      <a:fillRect/>
                    </a:stretch>
                  </pic:blipFill>
                  <pic:spPr>
                    <a:xfrm>
                      <a:off x="0" y="0"/>
                      <a:ext cx="4582768" cy="2669294"/>
                    </a:xfrm>
                    <a:prstGeom prst="rect">
                      <a:avLst/>
                    </a:prstGeom>
                    <a:ln/>
                  </pic:spPr>
                </pic:pic>
              </a:graphicData>
            </a:graphic>
          </wp:inline>
        </w:drawing>
      </w:r>
    </w:p>
    <w:p w14:paraId="0D1D82A3" w14:textId="77777777" w:rsidR="00D55228" w:rsidRPr="00CD142C" w:rsidRDefault="001540D8">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40296448" w14:textId="77777777" w:rsidR="00D55228" w:rsidRPr="00CD142C" w:rsidRDefault="001540D8">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rPr>
      </w:pPr>
      <w:r w:rsidRPr="00CD142C">
        <w:rPr>
          <w:rFonts w:ascii="Palatino Linotype" w:eastAsia="Palatino Linotype" w:hAnsi="Palatino Linotype" w:cs="Palatino Linotype"/>
          <w:b/>
          <w:i/>
        </w:rPr>
        <w:t>“Artículo 16. Las erogaciones previstas en el artículo anterior se distribuyen en la Clasificación Económica de la siguiente forma:</w:t>
      </w:r>
    </w:p>
    <w:p w14:paraId="0EF8F96C" w14:textId="77777777" w:rsidR="00D55228" w:rsidRPr="00CD142C" w:rsidRDefault="001540D8">
      <w:pPr>
        <w:pBdr>
          <w:top w:val="nil"/>
          <w:left w:val="nil"/>
          <w:bottom w:val="nil"/>
          <w:right w:val="nil"/>
          <w:between w:val="nil"/>
        </w:pBdr>
        <w:spacing w:after="0" w:line="276" w:lineRule="auto"/>
        <w:ind w:left="567" w:right="560"/>
        <w:jc w:val="center"/>
        <w:rPr>
          <w:rFonts w:ascii="Palatino Linotype" w:eastAsia="Palatino Linotype" w:hAnsi="Palatino Linotype" w:cs="Palatino Linotype"/>
          <w:i/>
        </w:rPr>
      </w:pPr>
      <w:r w:rsidRPr="00CD142C">
        <w:rPr>
          <w:rFonts w:ascii="Palatino Linotype" w:eastAsia="Palatino Linotype" w:hAnsi="Palatino Linotype" w:cs="Palatino Linotype"/>
          <w:i/>
          <w:noProof/>
        </w:rPr>
        <w:drawing>
          <wp:inline distT="0" distB="0" distL="0" distR="0" wp14:anchorId="525781C8" wp14:editId="021ABAE3">
            <wp:extent cx="4696480" cy="2229161"/>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3"/>
                    <a:srcRect/>
                    <a:stretch>
                      <a:fillRect/>
                    </a:stretch>
                  </pic:blipFill>
                  <pic:spPr>
                    <a:xfrm>
                      <a:off x="0" y="0"/>
                      <a:ext cx="4696480" cy="2229161"/>
                    </a:xfrm>
                    <a:prstGeom prst="rect">
                      <a:avLst/>
                    </a:prstGeom>
                    <a:ln/>
                  </pic:spPr>
                </pic:pic>
              </a:graphicData>
            </a:graphic>
          </wp:inline>
        </w:drawing>
      </w:r>
    </w:p>
    <w:p w14:paraId="008560DB" w14:textId="77777777" w:rsidR="00D55228" w:rsidRPr="00CD142C" w:rsidRDefault="001540D8">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17E16304" w14:textId="77777777" w:rsidR="00D55228" w:rsidRPr="00CD142C" w:rsidRDefault="00D55228">
      <w:pPr>
        <w:pBdr>
          <w:top w:val="nil"/>
          <w:left w:val="nil"/>
          <w:bottom w:val="nil"/>
          <w:right w:val="nil"/>
          <w:between w:val="nil"/>
        </w:pBdr>
        <w:spacing w:after="0" w:line="276" w:lineRule="auto"/>
        <w:ind w:left="567" w:right="560"/>
        <w:jc w:val="both"/>
        <w:rPr>
          <w:rFonts w:ascii="Palatino Linotype" w:eastAsia="Palatino Linotype" w:hAnsi="Palatino Linotype" w:cs="Palatino Linotype"/>
          <w:b/>
          <w:i/>
        </w:rPr>
      </w:pPr>
    </w:p>
    <w:p w14:paraId="3CA03F6F" w14:textId="77777777" w:rsidR="00D55228" w:rsidRPr="00CD142C" w:rsidRDefault="001540D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lastRenderedPageBreak/>
        <w:t>Como se desprende de lo anterior, las erogaciones previstas en el Poder Ejecutivo para el gasto corriente y de inversión de las dependencias, se distribuyen bajo un esquema de clasificación económica, bajo una clave, unidad responsable –dependencia de la administración pública estatal- y monto –presupuesto asignado para el ejercicio fiscal-.</w:t>
      </w:r>
    </w:p>
    <w:p w14:paraId="6AAE6664" w14:textId="77777777" w:rsidR="00D55228" w:rsidRPr="00CD142C" w:rsidRDefault="00D5522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3F9B036A" w14:textId="77777777" w:rsidR="00D55228" w:rsidRPr="00CD142C" w:rsidRDefault="001540D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De esta manera, el presupuesto de egresos de la entidad se puede clasificar en ramos autónomos, administrativos y generales, los cuales se integran por unidades responsables que se pueden desagregar en capítulos y conceptos de gastos.</w:t>
      </w:r>
    </w:p>
    <w:p w14:paraId="38DEC15D" w14:textId="77777777" w:rsidR="00D55228" w:rsidRPr="00CD142C" w:rsidRDefault="00D5522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54ACEE0B" w14:textId="77777777" w:rsidR="00D55228" w:rsidRPr="00CD142C" w:rsidRDefault="001540D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Por lo que, este tipo de información permite exponer el presupuesto de egresos de la entidad para el ejercicio fiscal correspondiente en el máximo nivel de desagregación existente, debido a que las unidades responsables – las dependencias de la administración pública estatal, como lo es la Secretaría de Seguridad-, que componen cada uno de los ramos se descomponen en capítulos y concepto de gasto.</w:t>
      </w:r>
    </w:p>
    <w:p w14:paraId="0934ECFF" w14:textId="77777777" w:rsidR="00D55228" w:rsidRPr="00CD142C" w:rsidRDefault="00D5522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4E74B3AD" w14:textId="77777777" w:rsidR="00D55228" w:rsidRPr="00CD142C" w:rsidRDefault="001540D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En ese sentido, las erogaciones o bien el presupuesto asignado a cada unidad responsable, se distribuyen bajo una Clasificación Económica que se compone por capítulos de gasto, encontrándose dentro de ellos, el 4000 relativo a “</w:t>
      </w:r>
      <w:r w:rsidRPr="00CD142C">
        <w:rPr>
          <w:rFonts w:ascii="Palatino Linotype" w:eastAsia="Palatino Linotype" w:hAnsi="Palatino Linotype" w:cs="Palatino Linotype"/>
          <w:b/>
          <w:i/>
          <w:sz w:val="24"/>
          <w:szCs w:val="24"/>
        </w:rPr>
        <w:t>Transferencias, asignaciones, subsidios y otras ayudas</w:t>
      </w:r>
      <w:r w:rsidRPr="00CD142C">
        <w:rPr>
          <w:rFonts w:ascii="Palatino Linotype" w:eastAsia="Palatino Linotype" w:hAnsi="Palatino Linotype" w:cs="Palatino Linotype"/>
          <w:sz w:val="24"/>
          <w:szCs w:val="24"/>
        </w:rPr>
        <w:t>”.</w:t>
      </w:r>
    </w:p>
    <w:p w14:paraId="6E1DC0CC" w14:textId="77777777" w:rsidR="00D55228" w:rsidRPr="00CD142C" w:rsidRDefault="00D5522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067A40DB" w14:textId="77777777" w:rsidR="00D55228" w:rsidRPr="00CD142C" w:rsidRDefault="001540D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A mayor abundamiento, de acuerdo con el Clasificador por Objeto del Gasto (Capítulo, Concepto y Partida Genérica), del Consejo Nacional de Armonización Contable (CONAC), publicado en el Diario Oficial de la Federación el 09 de diciembre </w:t>
      </w:r>
      <w:r w:rsidRPr="00CD142C">
        <w:rPr>
          <w:rFonts w:ascii="Palatino Linotype" w:eastAsia="Palatino Linotype" w:hAnsi="Palatino Linotype" w:cs="Palatino Linotype"/>
          <w:sz w:val="24"/>
          <w:szCs w:val="24"/>
        </w:rPr>
        <w:lastRenderedPageBreak/>
        <w:t xml:space="preserve">de 2009, con última reforma el 22 de diciembre de 2014, la estructura del Clasificador por Objeto del Gasto se diseñó con un nivel de desagregación que permite que las cuentas del ente público faciliten el registro único de todas las transacciones con incidencia económica-financiera, </w:t>
      </w:r>
      <w:r w:rsidRPr="00CD142C">
        <w:rPr>
          <w:rFonts w:ascii="Palatino Linotype" w:eastAsia="Palatino Linotype" w:hAnsi="Palatino Linotype" w:cs="Palatino Linotype"/>
          <w:b/>
          <w:sz w:val="24"/>
          <w:szCs w:val="24"/>
          <w:u w:val="single"/>
        </w:rPr>
        <w:t>considerándose el capítulo, como el mayor nivel de agregación que identifica el conjunto homogéneo y ordenado de los bienes y servicios requeridos por los entes públicos.</w:t>
      </w:r>
    </w:p>
    <w:p w14:paraId="1B16D705" w14:textId="77777777" w:rsidR="00D55228" w:rsidRPr="00CD142C" w:rsidRDefault="00D5522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56439CE7" w14:textId="77777777" w:rsidR="00D55228" w:rsidRPr="00CD142C" w:rsidRDefault="001540D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Así, conforme el Clasificador por Objeto del Gasto (Capítulo, Concepto y Partida Genérica), del CONAC, el Capítulo 4000 “TRANSFERENCIAS, ASIGNACIONES, SUBSIDIOS Y OTRAS AYUDAS” de los entes públicos, es relativo a las asignaciones destinadas en forma directa o indirecta a los sectores público, privado y externo, organismos y empresas paraestatales y apoyos como parte de su política económica y social, de acuerdo con las estrategias y prioridades de desarrollo para el sostenimiento y desempeño de sus actividades.</w:t>
      </w:r>
    </w:p>
    <w:p w14:paraId="7AE72BB2" w14:textId="77777777" w:rsidR="00D55228" w:rsidRPr="00CD142C" w:rsidRDefault="00D5522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11844D71" w14:textId="77777777" w:rsidR="00D55228" w:rsidRPr="00CD142C" w:rsidRDefault="001540D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Por lo que, como se puede desprender de lo anterior, el capítulo 4000 al que pretende acceder la persona solicitante de los ejercicios fiscales 2021, 2022 y 2023, pertenece al presupuesto de egresos aprobado para dichos ejercicios, más no así a los presupuestos de ingresos, pues el presupuesto asignado a los entes públicos, se distribuyen, bajo una clasificación económica, es decir por objeto del gasto, entre otros, a través de dicho capítulo 4000. </w:t>
      </w:r>
    </w:p>
    <w:p w14:paraId="1B9BB29B" w14:textId="77777777" w:rsidR="00D55228" w:rsidRPr="00CD142C" w:rsidRDefault="00D55228">
      <w:pPr>
        <w:pBdr>
          <w:top w:val="nil"/>
          <w:left w:val="nil"/>
          <w:bottom w:val="nil"/>
          <w:right w:val="nil"/>
          <w:between w:val="nil"/>
        </w:pBdr>
        <w:spacing w:after="0" w:line="360" w:lineRule="auto"/>
        <w:ind w:right="560"/>
        <w:jc w:val="both"/>
        <w:rPr>
          <w:rFonts w:ascii="Palatino Linotype" w:eastAsia="Palatino Linotype" w:hAnsi="Palatino Linotype" w:cs="Palatino Linotype"/>
          <w:sz w:val="24"/>
          <w:szCs w:val="24"/>
        </w:rPr>
      </w:pPr>
    </w:p>
    <w:p w14:paraId="3F1FB3E2" w14:textId="77777777" w:rsidR="00D55228" w:rsidRPr="00CD142C" w:rsidRDefault="001540D8">
      <w:pPr>
        <w:pBdr>
          <w:top w:val="nil"/>
          <w:left w:val="nil"/>
          <w:bottom w:val="nil"/>
          <w:right w:val="nil"/>
          <w:between w:val="nil"/>
        </w:pBdr>
        <w:spacing w:after="0" w:line="360" w:lineRule="auto"/>
        <w:ind w:right="96"/>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En tal sentido, se colige que la información a la que pretende acceder la persona solicitante al encontrarse relacionada con el presupuesto de egresos asignado a la </w:t>
      </w:r>
      <w:r w:rsidRPr="00CD142C">
        <w:rPr>
          <w:rFonts w:ascii="Palatino Linotype" w:eastAsia="Palatino Linotype" w:hAnsi="Palatino Linotype" w:cs="Palatino Linotype"/>
          <w:sz w:val="24"/>
          <w:szCs w:val="24"/>
        </w:rPr>
        <w:lastRenderedPageBreak/>
        <w:t xml:space="preserve">Secretaría de Seguridad, por ende se trata de información de naturaleza pública que 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se encuentra constreñido a transparentar.</w:t>
      </w:r>
    </w:p>
    <w:p w14:paraId="3E44BB32"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6DCE3BB0"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Máxime que en el caso es de indicar que la información requerida en el presente apartado, se encuentra relacionada con la obligación de transparencia común prevista en la fracción XXV del artículo 92 de la Ley de Transparencia Local, relativa a la información financiera sobre el presupuesto asignado, como se sigue:</w:t>
      </w:r>
    </w:p>
    <w:p w14:paraId="1BD4B691"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4A6C943E" w14:textId="77777777" w:rsidR="00D55228" w:rsidRPr="00CD142C" w:rsidRDefault="001540D8">
      <w:pPr>
        <w:spacing w:after="0" w:line="240"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27FF7DF" w14:textId="77777777" w:rsidR="00D55228" w:rsidRPr="00CD142C" w:rsidRDefault="001540D8">
      <w:pPr>
        <w:spacing w:after="0" w:line="240"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42550EB0" w14:textId="77777777" w:rsidR="00D55228" w:rsidRPr="00CD142C" w:rsidRDefault="001540D8">
      <w:pPr>
        <w:spacing w:after="0" w:line="240"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XXV. La información financiera sobre el presupuesto asignado</w:t>
      </w:r>
      <w:r w:rsidRPr="00CD142C">
        <w:rPr>
          <w:rFonts w:ascii="Palatino Linotype" w:eastAsia="Palatino Linotype" w:hAnsi="Palatino Linotype" w:cs="Palatino Linotype"/>
          <w:i/>
        </w:rPr>
        <w:t>, así como los informes del ejercicio trimestral del gasto, en términos de la Ley General de Contabilidad Gubernamental y demás disposiciones jurídicas aplicables;</w:t>
      </w:r>
    </w:p>
    <w:p w14:paraId="54214642" w14:textId="77777777" w:rsidR="00D55228" w:rsidRPr="00CD142C" w:rsidRDefault="001540D8">
      <w:pPr>
        <w:spacing w:after="0" w:line="240"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1B914764" w14:textId="77777777" w:rsidR="00D55228" w:rsidRPr="00CD142C" w:rsidRDefault="001540D8">
      <w:pPr>
        <w:spacing w:after="0" w:line="240" w:lineRule="auto"/>
        <w:ind w:left="567" w:right="560"/>
        <w:jc w:val="right"/>
        <w:rPr>
          <w:rFonts w:ascii="Palatino Linotype" w:eastAsia="Palatino Linotype" w:hAnsi="Palatino Linotype" w:cs="Palatino Linotype"/>
          <w:i/>
        </w:rPr>
      </w:pPr>
      <w:r w:rsidRPr="00CD142C">
        <w:rPr>
          <w:rFonts w:ascii="Palatino Linotype" w:eastAsia="Palatino Linotype" w:hAnsi="Palatino Linotype" w:cs="Palatino Linotype"/>
          <w:i/>
        </w:rPr>
        <w:t>(Énfasis añadido)</w:t>
      </w:r>
    </w:p>
    <w:p w14:paraId="2F6C9302"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735078BC"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Ahora, con la finalidad de precisar el documento donde pudiera obrar la información analizada en el presente apartado, se advierte que el CONAC emitió la NORMA para establecer la estructura del Calendario del Presupuesto de Egresos base mensual</w:t>
      </w:r>
      <w:r w:rsidRPr="00CD142C">
        <w:rPr>
          <w:rFonts w:ascii="Palatino Linotype" w:eastAsia="Palatino Linotype" w:hAnsi="Palatino Linotype" w:cs="Palatino Linotype"/>
          <w:sz w:val="24"/>
          <w:szCs w:val="24"/>
          <w:vertAlign w:val="superscript"/>
        </w:rPr>
        <w:footnoteReference w:id="3"/>
      </w:r>
      <w:r w:rsidRPr="00CD142C">
        <w:rPr>
          <w:rFonts w:ascii="Palatino Linotype" w:eastAsia="Palatino Linotype" w:hAnsi="Palatino Linotype" w:cs="Palatino Linotype"/>
          <w:sz w:val="24"/>
          <w:szCs w:val="24"/>
        </w:rPr>
        <w:t xml:space="preserve">, el cual tiene por objeto establecer la estructura del formato para publicar en internet el Calendario del Presupuesto de Egresos base mensual para que la información financiera que generen y publiquen los entes obligados sea con base en estructuras y formatos armonizados; el cual, los entes públicos deben publicar a más tardar el </w:t>
      </w:r>
      <w:r w:rsidRPr="00CD142C">
        <w:rPr>
          <w:rFonts w:ascii="Palatino Linotype" w:eastAsia="Palatino Linotype" w:hAnsi="Palatino Linotype" w:cs="Palatino Linotype"/>
          <w:sz w:val="24"/>
          <w:szCs w:val="24"/>
        </w:rPr>
        <w:lastRenderedPageBreak/>
        <w:t>último día de enero, en su respectiva página de internet bajo el siguiente formato con relación al Presupuesto de Egresos:</w:t>
      </w:r>
    </w:p>
    <w:p w14:paraId="7134A94C"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0C4FC31F" w14:textId="77777777" w:rsidR="00D55228" w:rsidRPr="00CD142C" w:rsidRDefault="001540D8">
      <w:pPr>
        <w:spacing w:after="0" w:line="360" w:lineRule="auto"/>
        <w:ind w:right="49"/>
        <w:jc w:val="center"/>
        <w:rPr>
          <w:rFonts w:ascii="Palatino Linotype" w:eastAsia="Palatino Linotype" w:hAnsi="Palatino Linotype" w:cs="Palatino Linotype"/>
          <w:sz w:val="24"/>
          <w:szCs w:val="24"/>
        </w:rPr>
      </w:pPr>
      <w:r w:rsidRPr="00CD142C">
        <w:rPr>
          <w:rFonts w:ascii="Palatino Linotype" w:eastAsia="Palatino Linotype" w:hAnsi="Palatino Linotype" w:cs="Palatino Linotype"/>
          <w:noProof/>
          <w:sz w:val="24"/>
          <w:szCs w:val="24"/>
        </w:rPr>
        <w:drawing>
          <wp:inline distT="0" distB="0" distL="0" distR="0" wp14:anchorId="56805926" wp14:editId="14E8F9FA">
            <wp:extent cx="4693101" cy="2990603"/>
            <wp:effectExtent l="3175" t="3175" r="3175" b="3175"/>
            <wp:docPr id="2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4693101" cy="2990603"/>
                    </a:xfrm>
                    <a:prstGeom prst="rect">
                      <a:avLst/>
                    </a:prstGeom>
                    <a:ln w="3175">
                      <a:solidFill>
                        <a:srgbClr val="000000"/>
                      </a:solidFill>
                      <a:prstDash val="solid"/>
                    </a:ln>
                  </pic:spPr>
                </pic:pic>
              </a:graphicData>
            </a:graphic>
          </wp:inline>
        </w:drawing>
      </w:r>
    </w:p>
    <w:p w14:paraId="6AFD2F23" w14:textId="77777777" w:rsidR="00D55228" w:rsidRPr="00CD142C" w:rsidRDefault="001540D8">
      <w:pPr>
        <w:spacing w:after="0" w:line="360" w:lineRule="auto"/>
        <w:ind w:right="49"/>
        <w:jc w:val="center"/>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w:t>
      </w:r>
    </w:p>
    <w:p w14:paraId="0E06385F" w14:textId="77777777" w:rsidR="00D55228" w:rsidRPr="00CD142C" w:rsidRDefault="001540D8">
      <w:pPr>
        <w:spacing w:after="0" w:line="360" w:lineRule="auto"/>
        <w:ind w:right="49"/>
        <w:jc w:val="center"/>
        <w:rPr>
          <w:rFonts w:ascii="Palatino Linotype" w:eastAsia="Palatino Linotype" w:hAnsi="Palatino Linotype" w:cs="Palatino Linotype"/>
          <w:sz w:val="24"/>
          <w:szCs w:val="24"/>
        </w:rPr>
      </w:pPr>
      <w:r w:rsidRPr="00CD142C">
        <w:rPr>
          <w:rFonts w:ascii="Palatino Linotype" w:eastAsia="Palatino Linotype" w:hAnsi="Palatino Linotype" w:cs="Palatino Linotype"/>
          <w:noProof/>
          <w:sz w:val="24"/>
          <w:szCs w:val="24"/>
        </w:rPr>
        <w:drawing>
          <wp:inline distT="0" distB="0" distL="0" distR="0" wp14:anchorId="48CA96E7" wp14:editId="1F0C06C5">
            <wp:extent cx="4738797" cy="2734540"/>
            <wp:effectExtent l="3175" t="3175" r="3175" b="3175"/>
            <wp:docPr id="30"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5"/>
                    <a:srcRect/>
                    <a:stretch>
                      <a:fillRect/>
                    </a:stretch>
                  </pic:blipFill>
                  <pic:spPr>
                    <a:xfrm>
                      <a:off x="0" y="0"/>
                      <a:ext cx="4738797" cy="2734540"/>
                    </a:xfrm>
                    <a:prstGeom prst="rect">
                      <a:avLst/>
                    </a:prstGeom>
                    <a:ln w="3175">
                      <a:solidFill>
                        <a:srgbClr val="000000"/>
                      </a:solidFill>
                      <a:prstDash val="solid"/>
                    </a:ln>
                  </pic:spPr>
                </pic:pic>
              </a:graphicData>
            </a:graphic>
          </wp:inline>
        </w:drawing>
      </w:r>
    </w:p>
    <w:p w14:paraId="1FAD424C"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54D51069"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Como se advierte de lo anterior, el formato que los entes públicos emiten y en el que de manera enunciativa más no limitativa contiene la información relativa al capítulo del gasto 4000 “TRANSFERENCIAS, ASIGNACIONES, SUBSIDIOS Y OTRAS AYUDAS” es el Calendario del Presupuesto de Egresos base mensual, del ejercicio fiscal correspondiente. </w:t>
      </w:r>
    </w:p>
    <w:p w14:paraId="0CE36BD5"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0BAC7C23"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Precisado lo anterior, por cuanto hace a la competencia del ente público, para poseer, generar y/o administrar la información requerida, </w:t>
      </w:r>
      <w:r w:rsidRPr="00CD142C">
        <w:rPr>
          <w:rFonts w:ascii="Palatino Linotype" w:eastAsia="Palatino Linotype" w:hAnsi="Palatino Linotype" w:cs="Palatino Linotype"/>
          <w:b/>
          <w:sz w:val="24"/>
          <w:szCs w:val="24"/>
        </w:rPr>
        <w:t xml:space="preserve">es de recordar que quien dio atención al requerimiento de mérito, fue el servidor público habilitado de la </w:t>
      </w:r>
      <w:r w:rsidRPr="00CD142C">
        <w:rPr>
          <w:rFonts w:ascii="Palatino Linotype" w:eastAsia="Palatino Linotype" w:hAnsi="Palatino Linotype" w:cs="Palatino Linotype"/>
          <w:b/>
          <w:sz w:val="24"/>
          <w:szCs w:val="24"/>
          <w:u w:val="single"/>
        </w:rPr>
        <w:t>Oficialía Mayor;</w:t>
      </w:r>
      <w:r w:rsidRPr="00CD142C">
        <w:rPr>
          <w:rFonts w:ascii="Palatino Linotype" w:eastAsia="Palatino Linotype" w:hAnsi="Palatino Linotype" w:cs="Palatino Linotype"/>
          <w:sz w:val="24"/>
          <w:szCs w:val="24"/>
        </w:rPr>
        <w:t xml:space="preserve"> unidad administrativa que conforme el Manual General de Organización de la Secretaría de Seguridad vigente, tiene como objetivo y dentro de sus atribuciones, con relación a lo requerido en este apartado, las siguientes:</w:t>
      </w:r>
    </w:p>
    <w:p w14:paraId="7322EF34" w14:textId="77777777" w:rsidR="00D55228" w:rsidRPr="00CD142C" w:rsidRDefault="00D55228">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p>
    <w:p w14:paraId="1E3F8957" w14:textId="77777777" w:rsidR="00D55228" w:rsidRPr="00CD142C" w:rsidRDefault="001540D8">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20603000000000L OFICIALÍA MAYOR</w:t>
      </w:r>
    </w:p>
    <w:p w14:paraId="0684945E" w14:textId="77777777" w:rsidR="00D55228" w:rsidRPr="00CD142C" w:rsidRDefault="001540D8">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273C91BF" w14:textId="77777777" w:rsidR="00D55228" w:rsidRPr="00CD142C" w:rsidRDefault="001540D8">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CD142C">
        <w:rPr>
          <w:rFonts w:ascii="Palatino Linotype" w:eastAsia="Palatino Linotype" w:hAnsi="Palatino Linotype" w:cs="Palatino Linotype"/>
          <w:i/>
        </w:rPr>
        <w:t xml:space="preserve">FUNCIONES: </w:t>
      </w:r>
    </w:p>
    <w:p w14:paraId="59B01DAF" w14:textId="77777777" w:rsidR="00D55228" w:rsidRPr="00CD142C" w:rsidRDefault="001540D8">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546F9F7C" w14:textId="77777777" w:rsidR="00D55228" w:rsidRPr="00CD142C" w:rsidRDefault="001540D8">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t xml:space="preserve"> </w:t>
      </w:r>
      <w:r w:rsidRPr="00CD142C">
        <w:rPr>
          <w:rFonts w:ascii="Palatino Linotype" w:eastAsia="Palatino Linotype" w:hAnsi="Palatino Linotype" w:cs="Palatino Linotype"/>
          <w:i/>
        </w:rPr>
        <w:t>Coordinar la integración del anteproyecto de presupuesto anual de la Secretaría de Seguridad conforme a la información proporcionada por las unidades administrativas y someterlo a la aprobación de la o el titular de la dependencia.</w:t>
      </w:r>
    </w:p>
    <w:p w14:paraId="59463AE0" w14:textId="77777777" w:rsidR="00D55228" w:rsidRPr="00CD142C" w:rsidRDefault="001540D8">
      <w:pPr>
        <w:pBdr>
          <w:top w:val="nil"/>
          <w:left w:val="nil"/>
          <w:bottom w:val="nil"/>
          <w:right w:val="nil"/>
          <w:between w:val="nil"/>
        </w:pBdr>
        <w:spacing w:after="0" w:line="276" w:lineRule="auto"/>
        <w:ind w:left="567" w:right="701"/>
        <w:jc w:val="both"/>
      </w:pPr>
      <w:r w:rsidRPr="00CD142C">
        <w:rPr>
          <w:rFonts w:ascii="Palatino Linotype" w:eastAsia="Palatino Linotype" w:hAnsi="Palatino Linotype" w:cs="Palatino Linotype"/>
          <w:i/>
        </w:rPr>
        <w:t>[…]</w:t>
      </w:r>
    </w:p>
    <w:p w14:paraId="764D939D" w14:textId="77777777" w:rsidR="00D55228" w:rsidRPr="00CD142C" w:rsidRDefault="001540D8">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CD142C">
        <w:t>-</w:t>
      </w:r>
      <w:r w:rsidRPr="00CD142C">
        <w:rPr>
          <w:rFonts w:ascii="Palatino Linotype" w:eastAsia="Palatino Linotype" w:hAnsi="Palatino Linotype" w:cs="Palatino Linotype"/>
          <w:i/>
        </w:rPr>
        <w:t>Dirigir la evaluación del avance del ejercicio de los recursos programados y autorizados a efecto de proponer las modificaciones programáticas para atender los requerimientos de las unidades administrativas, de conformidad con la normatividad vigente y aplicable.</w:t>
      </w:r>
    </w:p>
    <w:p w14:paraId="1924F1FD" w14:textId="77777777" w:rsidR="00D55228" w:rsidRPr="00CD142C" w:rsidRDefault="001540D8">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39642571" w14:textId="77777777" w:rsidR="00D55228" w:rsidRPr="00CD142C" w:rsidRDefault="001540D8">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CD142C">
        <w:rPr>
          <w:rFonts w:ascii="Palatino Linotype" w:eastAsia="Palatino Linotype" w:hAnsi="Palatino Linotype" w:cs="Palatino Linotype"/>
          <w:i/>
        </w:rPr>
        <w:t>-Emitir, conforme a la disponibilidad presupuestal por capítulo de gasto, la suficiencia presupuestal que requieran las unidades administrativas de la Secretaría de Seguridad.</w:t>
      </w:r>
    </w:p>
    <w:p w14:paraId="51FD322C" w14:textId="77777777" w:rsidR="00D55228" w:rsidRPr="00CD142C" w:rsidRDefault="001540D8">
      <w:pPr>
        <w:pBdr>
          <w:top w:val="nil"/>
          <w:left w:val="nil"/>
          <w:bottom w:val="nil"/>
          <w:right w:val="nil"/>
          <w:between w:val="nil"/>
        </w:pBdr>
        <w:spacing w:after="0" w:line="276" w:lineRule="auto"/>
        <w:ind w:left="567" w:right="701"/>
        <w:jc w:val="both"/>
        <w:rPr>
          <w:rFonts w:ascii="Palatino Linotype" w:eastAsia="Palatino Linotype" w:hAnsi="Palatino Linotype" w:cs="Palatino Linotype"/>
          <w:i/>
        </w:rPr>
      </w:pPr>
      <w:r w:rsidRPr="00CD142C">
        <w:rPr>
          <w:rFonts w:ascii="Palatino Linotype" w:eastAsia="Palatino Linotype" w:hAnsi="Palatino Linotype" w:cs="Palatino Linotype"/>
          <w:i/>
        </w:rPr>
        <w:lastRenderedPageBreak/>
        <w:t>[…]”</w:t>
      </w:r>
    </w:p>
    <w:p w14:paraId="797A9ED1"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Como se desprende de lo anterior, la Oficialía Mayor tiene dentro de sus funciones: coordinar la integración del anteproyecto de presupuesto anual de la Secretaría de Seguridad; dirigir la evaluación del avance del ejercicio de los recursos programados y autorizados a efecto de proponer las modificaciones programáticas para atender los requerimientos de las unidades administrativas; así como, emitir, conforme a la disponibilidad presupuestal por capítulo de gasto, la suficiencia presupuestal que requieran las unidades administrativas.</w:t>
      </w:r>
    </w:p>
    <w:p w14:paraId="702BBA26"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58913851" w14:textId="77777777" w:rsidR="00D55228" w:rsidRPr="00CD142C" w:rsidRDefault="001540D8">
      <w:pPr>
        <w:widowControl w:val="0"/>
        <w:tabs>
          <w:tab w:val="left" w:pos="1701"/>
          <w:tab w:val="left" w:pos="1843"/>
        </w:tabs>
        <w:spacing w:after="0" w:line="360" w:lineRule="auto"/>
        <w:ind w:right="49"/>
        <w:jc w:val="both"/>
        <w:rPr>
          <w:rFonts w:ascii="Times New Roman" w:eastAsia="Times New Roman" w:hAnsi="Times New Roman" w:cs="Times New Roman"/>
          <w:sz w:val="24"/>
          <w:szCs w:val="24"/>
        </w:rPr>
      </w:pPr>
      <w:r w:rsidRPr="00CD142C">
        <w:rPr>
          <w:rFonts w:ascii="Palatino Linotype" w:eastAsia="Palatino Linotype" w:hAnsi="Palatino Linotype" w:cs="Palatino Linotype"/>
          <w:sz w:val="24"/>
          <w:szCs w:val="24"/>
        </w:rPr>
        <w:t xml:space="preserve">En virtud de lo anterior, se tiene que en el caso concreto, se dio cabal cumplimiento con el requisito de turnar la solicitud de información al área competente que puede poseer, generar y/o administrar la información requerida; cumpliéndose así el procedimiento para la atención a las solicitudes de acceso a la información, establecido en los artículos 151, 159, 160, 162, 163, 164, 165 y 166, de la Ley de Transparencia y Acceso a la Información Pública del Estado de México y Municipios, anteriormente analizado; por lo que, </w:t>
      </w:r>
      <w:r w:rsidRPr="00CD142C">
        <w:rPr>
          <w:rFonts w:ascii="Palatino Linotype" w:eastAsia="Palatino Linotype" w:hAnsi="Palatino Linotype" w:cs="Palatino Linotype"/>
          <w:b/>
          <w:sz w:val="24"/>
          <w:szCs w:val="24"/>
          <w:u w:val="single"/>
        </w:rPr>
        <w:t>el procedimiento de búsqueda de la información se tiene por atendido. </w:t>
      </w:r>
    </w:p>
    <w:p w14:paraId="562A66A6"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33B0C55F"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Ahora bien, del análisis realizado a la información proporcionada en respuesta e informe justificado sobre el requerimiento en análisis, como se desprende de los antecedentes segundo y sexto de la presente resolución, se advierte que el mismo entregó tres ligas electrónicas, en las que respecto de los ejercicios 2021, 2022 y 2023, remiten al presupuesto de egresos de dichos ejercicios en el capítulo 4000 requerido, y </w:t>
      </w:r>
      <w:r w:rsidRPr="00CD142C">
        <w:rPr>
          <w:rFonts w:ascii="Palatino Linotype" w:eastAsia="Palatino Linotype" w:hAnsi="Palatino Linotype" w:cs="Palatino Linotype"/>
          <w:sz w:val="24"/>
          <w:szCs w:val="24"/>
        </w:rPr>
        <w:lastRenderedPageBreak/>
        <w:t>a manera de tabla, se indicaron el número de página en el que se encontraría la información requerida, como se muestra:</w:t>
      </w:r>
    </w:p>
    <w:p w14:paraId="1F90A9E7"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0BD2B4F9"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noProof/>
        </w:rPr>
        <w:drawing>
          <wp:inline distT="0" distB="0" distL="0" distR="0" wp14:anchorId="2B6C67CB" wp14:editId="78D6A15F">
            <wp:extent cx="5687254" cy="149564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5687254" cy="1495643"/>
                    </a:xfrm>
                    <a:prstGeom prst="rect">
                      <a:avLst/>
                    </a:prstGeom>
                    <a:ln/>
                  </pic:spPr>
                </pic:pic>
              </a:graphicData>
            </a:graphic>
          </wp:inline>
        </w:drawing>
      </w:r>
    </w:p>
    <w:p w14:paraId="2D7574D2"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0E0F7741"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Por lo que, a fin de verificar si en las ligas de referencia se advierte la información peticionada, este Órgano Garante se dio a la tarea de revisar lo proporcionado por 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advirtiéndose lo siguiente:</w:t>
      </w:r>
    </w:p>
    <w:p w14:paraId="025EBFB9"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07EDDE26"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Respecto del ejercicio 2021, se consultó la liga electrónica proporcionada -</w:t>
      </w:r>
      <w:hyperlink r:id="rId26">
        <w:r w:rsidRPr="00CD142C">
          <w:rPr>
            <w:rFonts w:ascii="Palatino Linotype" w:eastAsia="Palatino Linotype" w:hAnsi="Palatino Linotype" w:cs="Palatino Linotype"/>
            <w:sz w:val="24"/>
            <w:szCs w:val="24"/>
            <w:u w:val="single"/>
          </w:rPr>
          <w:t>https://transparenciafiscal.edomex.gob.mx/CP2021_TIII</w:t>
        </w:r>
      </w:hyperlink>
      <w:r w:rsidRPr="00CD142C">
        <w:rPr>
          <w:rFonts w:ascii="Palatino Linotype" w:eastAsia="Palatino Linotype" w:hAnsi="Palatino Linotype" w:cs="Palatino Linotype"/>
          <w:sz w:val="24"/>
          <w:szCs w:val="24"/>
        </w:rPr>
        <w:t>, en el Tomo III, páginas 41 y 47, advirtiéndose lo siguiente:</w:t>
      </w:r>
    </w:p>
    <w:p w14:paraId="4B70054A"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noProof/>
          <w:sz w:val="24"/>
          <w:szCs w:val="24"/>
        </w:rPr>
        <w:drawing>
          <wp:inline distT="0" distB="0" distL="0" distR="0" wp14:anchorId="5CF9B66A" wp14:editId="72D7F8EA">
            <wp:extent cx="5753100" cy="2038350"/>
            <wp:effectExtent l="19050" t="19050" r="19050" b="1905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5753100" cy="2038350"/>
                    </a:xfrm>
                    <a:prstGeom prst="rect">
                      <a:avLst/>
                    </a:prstGeom>
                    <a:ln w="3175">
                      <a:solidFill>
                        <a:srgbClr val="000000"/>
                      </a:solidFill>
                      <a:prstDash val="solid"/>
                    </a:ln>
                  </pic:spPr>
                </pic:pic>
              </a:graphicData>
            </a:graphic>
          </wp:inline>
        </w:drawing>
      </w:r>
    </w:p>
    <w:p w14:paraId="2387BC2B"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noProof/>
          <w:sz w:val="24"/>
          <w:szCs w:val="24"/>
        </w:rPr>
        <w:lastRenderedPageBreak/>
        <w:drawing>
          <wp:inline distT="0" distB="0" distL="0" distR="0" wp14:anchorId="6275253D" wp14:editId="4322754B">
            <wp:extent cx="5746977" cy="3404972"/>
            <wp:effectExtent l="3175" t="3175" r="3175" b="3175"/>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5746977" cy="3404972"/>
                    </a:xfrm>
                    <a:prstGeom prst="rect">
                      <a:avLst/>
                    </a:prstGeom>
                    <a:ln w="3175">
                      <a:solidFill>
                        <a:srgbClr val="000000"/>
                      </a:solidFill>
                      <a:prstDash val="solid"/>
                    </a:ln>
                  </pic:spPr>
                </pic:pic>
              </a:graphicData>
            </a:graphic>
          </wp:inline>
        </w:drawing>
      </w:r>
    </w:p>
    <w:p w14:paraId="294A9570"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Respecto del ejercicio 2022, se consultó la liga electrónica proporcionada -</w:t>
      </w:r>
      <w:r w:rsidRPr="00CD142C">
        <w:rPr>
          <w:rFonts w:ascii="Palatino Linotype" w:eastAsia="Palatino Linotype" w:hAnsi="Palatino Linotype" w:cs="Palatino Linotype"/>
          <w:b/>
          <w:sz w:val="24"/>
          <w:szCs w:val="24"/>
          <w:u w:val="single"/>
        </w:rPr>
        <w:t>https://transparenciafiscal.edomex.gob.mx/CP2022_TIII</w:t>
      </w:r>
      <w:r w:rsidRPr="00CD142C">
        <w:rPr>
          <w:rFonts w:ascii="Palatino Linotype" w:eastAsia="Palatino Linotype" w:hAnsi="Palatino Linotype" w:cs="Palatino Linotype"/>
          <w:sz w:val="24"/>
          <w:szCs w:val="24"/>
        </w:rPr>
        <w:t>, en el Tomo III, páginas 39, 44 y 45, advirtiéndose lo siguiente:</w:t>
      </w:r>
    </w:p>
    <w:p w14:paraId="2D53BF08"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noProof/>
          <w:sz w:val="24"/>
          <w:szCs w:val="24"/>
        </w:rPr>
        <w:drawing>
          <wp:inline distT="0" distB="0" distL="0" distR="0" wp14:anchorId="1BFA99D0" wp14:editId="77EB72B0">
            <wp:extent cx="5787515" cy="2574435"/>
            <wp:effectExtent l="3175" t="3175" r="3175" b="3175"/>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787515" cy="2574435"/>
                    </a:xfrm>
                    <a:prstGeom prst="rect">
                      <a:avLst/>
                    </a:prstGeom>
                    <a:ln w="3175">
                      <a:solidFill>
                        <a:srgbClr val="000000"/>
                      </a:solidFill>
                      <a:prstDash val="solid"/>
                    </a:ln>
                  </pic:spPr>
                </pic:pic>
              </a:graphicData>
            </a:graphic>
          </wp:inline>
        </w:drawing>
      </w:r>
    </w:p>
    <w:p w14:paraId="00D46B7B"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702BEB6D"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noProof/>
          <w:sz w:val="24"/>
          <w:szCs w:val="24"/>
        </w:rPr>
        <w:lastRenderedPageBreak/>
        <w:drawing>
          <wp:inline distT="0" distB="0" distL="0" distR="0" wp14:anchorId="1E9BB7A3" wp14:editId="56E098B1">
            <wp:extent cx="5706110" cy="4178300"/>
            <wp:effectExtent l="3175" t="3175" r="3175" b="317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706110" cy="4178300"/>
                    </a:xfrm>
                    <a:prstGeom prst="rect">
                      <a:avLst/>
                    </a:prstGeom>
                    <a:ln w="3175">
                      <a:solidFill>
                        <a:srgbClr val="000000"/>
                      </a:solidFill>
                      <a:prstDash val="solid"/>
                    </a:ln>
                  </pic:spPr>
                </pic:pic>
              </a:graphicData>
            </a:graphic>
          </wp:inline>
        </w:drawing>
      </w:r>
    </w:p>
    <w:p w14:paraId="5FF3B912"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noProof/>
          <w:sz w:val="24"/>
          <w:szCs w:val="24"/>
        </w:rPr>
        <w:drawing>
          <wp:inline distT="0" distB="0" distL="0" distR="0" wp14:anchorId="014EAC26" wp14:editId="422EEC38">
            <wp:extent cx="5760719" cy="2218345"/>
            <wp:effectExtent l="3175" t="3175" r="3175" b="3175"/>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5760719" cy="2218345"/>
                    </a:xfrm>
                    <a:prstGeom prst="rect">
                      <a:avLst/>
                    </a:prstGeom>
                    <a:ln w="3175">
                      <a:solidFill>
                        <a:srgbClr val="000000"/>
                      </a:solidFill>
                      <a:prstDash val="solid"/>
                    </a:ln>
                  </pic:spPr>
                </pic:pic>
              </a:graphicData>
            </a:graphic>
          </wp:inline>
        </w:drawing>
      </w:r>
    </w:p>
    <w:p w14:paraId="240FD250"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0E041AB0"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lastRenderedPageBreak/>
        <w:t>Respecto del ejercicio 2023</w:t>
      </w:r>
      <w:r w:rsidRPr="00CD142C">
        <w:rPr>
          <w:rFonts w:ascii="Palatino Linotype" w:eastAsia="Palatino Linotype" w:hAnsi="Palatino Linotype" w:cs="Palatino Linotype"/>
          <w:sz w:val="24"/>
          <w:szCs w:val="24"/>
        </w:rPr>
        <w:t>, se consultó la liga electrónica proporcionada -</w:t>
      </w:r>
      <w:r w:rsidRPr="00CD142C">
        <w:rPr>
          <w:rFonts w:ascii="Cambria" w:eastAsia="Cambria" w:hAnsi="Cambria" w:cs="Cambria"/>
          <w:u w:val="single"/>
        </w:rPr>
        <w:t xml:space="preserve"> </w:t>
      </w:r>
      <w:hyperlink r:id="rId32">
        <w:r w:rsidRPr="00CD142C">
          <w:rPr>
            <w:rFonts w:ascii="Palatino Linotype" w:eastAsia="Palatino Linotype" w:hAnsi="Palatino Linotype" w:cs="Palatino Linotype"/>
            <w:sz w:val="24"/>
            <w:szCs w:val="24"/>
            <w:u w:val="single"/>
          </w:rPr>
          <w:t>https://transparenciafiscal.edomex.gob.mx/sites/transparenciafiscal.edomex.gob.mx/files/files/pdf/marco-programatico-presupuestal/gaceta-presupuesto-egresos-2023.pdf</w:t>
        </w:r>
      </w:hyperlink>
    </w:p>
    <w:p w14:paraId="4E807A53"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en la página 122, artículo Décimo Quinto, del Presupuesto de Egresos del Gobierno del Estado de México para el ejercicio 2023, advirtiéndose lo siguiente:</w:t>
      </w:r>
    </w:p>
    <w:p w14:paraId="31E19852" w14:textId="77777777" w:rsidR="00D55228" w:rsidRPr="00CD142C" w:rsidRDefault="00D55228">
      <w:pPr>
        <w:pBdr>
          <w:top w:val="nil"/>
          <w:left w:val="nil"/>
          <w:bottom w:val="nil"/>
          <w:right w:val="nil"/>
          <w:between w:val="nil"/>
        </w:pBdr>
        <w:tabs>
          <w:tab w:val="left" w:pos="8222"/>
        </w:tabs>
        <w:spacing w:after="0" w:line="360" w:lineRule="auto"/>
        <w:ind w:right="-7"/>
        <w:jc w:val="center"/>
        <w:rPr>
          <w:rFonts w:ascii="Palatino Linotype" w:eastAsia="Palatino Linotype" w:hAnsi="Palatino Linotype" w:cs="Palatino Linotype"/>
          <w:sz w:val="24"/>
          <w:szCs w:val="24"/>
        </w:rPr>
      </w:pPr>
    </w:p>
    <w:p w14:paraId="369D5748" w14:textId="77777777" w:rsidR="00D55228" w:rsidRPr="00CD142C" w:rsidRDefault="001540D8">
      <w:pPr>
        <w:pBdr>
          <w:top w:val="nil"/>
          <w:left w:val="nil"/>
          <w:bottom w:val="nil"/>
          <w:right w:val="nil"/>
          <w:between w:val="nil"/>
        </w:pBdr>
        <w:tabs>
          <w:tab w:val="left" w:pos="8222"/>
        </w:tabs>
        <w:spacing w:after="0" w:line="360" w:lineRule="auto"/>
        <w:ind w:right="-7"/>
        <w:jc w:val="center"/>
        <w:rPr>
          <w:rFonts w:ascii="Palatino Linotype" w:eastAsia="Palatino Linotype" w:hAnsi="Palatino Linotype" w:cs="Palatino Linotype"/>
          <w:sz w:val="24"/>
          <w:szCs w:val="24"/>
        </w:rPr>
      </w:pPr>
      <w:r w:rsidRPr="00CD142C">
        <w:rPr>
          <w:rFonts w:ascii="Palatino Linotype" w:eastAsia="Palatino Linotype" w:hAnsi="Palatino Linotype" w:cs="Palatino Linotype"/>
          <w:noProof/>
          <w:sz w:val="24"/>
          <w:szCs w:val="24"/>
        </w:rPr>
        <w:drawing>
          <wp:inline distT="0" distB="0" distL="0" distR="0" wp14:anchorId="1D2905F3" wp14:editId="49D605E8">
            <wp:extent cx="5326326" cy="5256106"/>
            <wp:effectExtent l="3175" t="3175" r="3175" b="3175"/>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3"/>
                    <a:srcRect/>
                    <a:stretch>
                      <a:fillRect/>
                    </a:stretch>
                  </pic:blipFill>
                  <pic:spPr>
                    <a:xfrm>
                      <a:off x="0" y="0"/>
                      <a:ext cx="5326326" cy="5256106"/>
                    </a:xfrm>
                    <a:prstGeom prst="rect">
                      <a:avLst/>
                    </a:prstGeom>
                    <a:ln w="3175">
                      <a:solidFill>
                        <a:srgbClr val="000000"/>
                      </a:solidFill>
                      <a:prstDash val="solid"/>
                    </a:ln>
                  </pic:spPr>
                </pic:pic>
              </a:graphicData>
            </a:graphic>
          </wp:inline>
        </w:drawing>
      </w:r>
    </w:p>
    <w:p w14:paraId="4D2A48A9" w14:textId="77777777" w:rsidR="00D55228" w:rsidRPr="00CD142C" w:rsidRDefault="001540D8">
      <w:pPr>
        <w:pBdr>
          <w:top w:val="nil"/>
          <w:left w:val="nil"/>
          <w:bottom w:val="nil"/>
          <w:right w:val="nil"/>
          <w:between w:val="nil"/>
        </w:pBdr>
        <w:tabs>
          <w:tab w:val="left" w:pos="8222"/>
        </w:tabs>
        <w:spacing w:after="0" w:line="360" w:lineRule="auto"/>
        <w:ind w:right="-7"/>
        <w:jc w:val="center"/>
        <w:rPr>
          <w:rFonts w:ascii="Palatino Linotype" w:eastAsia="Palatino Linotype" w:hAnsi="Palatino Linotype" w:cs="Palatino Linotype"/>
          <w:sz w:val="24"/>
          <w:szCs w:val="24"/>
        </w:rPr>
      </w:pPr>
      <w:r w:rsidRPr="00CD142C">
        <w:rPr>
          <w:rFonts w:ascii="Palatino Linotype" w:eastAsia="Palatino Linotype" w:hAnsi="Palatino Linotype" w:cs="Palatino Linotype"/>
          <w:noProof/>
          <w:sz w:val="24"/>
          <w:szCs w:val="24"/>
        </w:rPr>
        <w:lastRenderedPageBreak/>
        <w:drawing>
          <wp:inline distT="0" distB="0" distL="0" distR="0" wp14:anchorId="32AD6BD3" wp14:editId="420E4FA0">
            <wp:extent cx="5534797" cy="2905530"/>
            <wp:effectExtent l="3175" t="3175" r="3175" b="3175"/>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4"/>
                    <a:srcRect/>
                    <a:stretch>
                      <a:fillRect/>
                    </a:stretch>
                  </pic:blipFill>
                  <pic:spPr>
                    <a:xfrm>
                      <a:off x="0" y="0"/>
                      <a:ext cx="5534797" cy="2905530"/>
                    </a:xfrm>
                    <a:prstGeom prst="rect">
                      <a:avLst/>
                    </a:prstGeom>
                    <a:ln w="3175">
                      <a:solidFill>
                        <a:srgbClr val="000000"/>
                      </a:solidFill>
                      <a:prstDash val="solid"/>
                    </a:ln>
                  </pic:spPr>
                </pic:pic>
              </a:graphicData>
            </a:graphic>
          </wp:inline>
        </w:drawing>
      </w:r>
    </w:p>
    <w:p w14:paraId="6A325DA0"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293EA1FC"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De lo anterior, se desprende que respecto de los ejercicios fiscales 2021 y 2022 el Sujeto Obligado aportó el capítulo 4000 del presupuesto de egresos asignado a la Secretaría de Seguridad en dichos ejercicios.</w:t>
      </w:r>
    </w:p>
    <w:p w14:paraId="62D918BC"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3D96DC7B"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Sin embargo, en el caso del ejercicio fiscal 2023, como se pudo apreciar, lo que el ente público aportó fue información relativa a los montos por conceptos de previsión que serían aplicados a distintos programas, e incluidos en el Capítulo 4000 “Transferencias, asignaciones, subsidios y otras ayudas”, del Presupuesto de Egresos asignado al Gobierno del Estado de México para dicho ejercicio, más no el asignado de manera específica a la Secretaría de Seguridad como lo peticionó la persona solicitante; lo que  conlleva a determinar que hubo un cumplimiento parcial al requerimiento de nuestra atención.</w:t>
      </w:r>
    </w:p>
    <w:p w14:paraId="5F954202"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7C123312"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lastRenderedPageBreak/>
        <w:t>Ahora, no pasa por desapercibido que sobre el presente requerimiento la persona solicitante a manera de motivos de inconformidad señaló que, si bien se remitieron ligas para la consulta del capítulo 4000, el Sujeto Obligado no proporcionó lo requerido en dicho punto ni se entregó como se solicitó.</w:t>
      </w:r>
    </w:p>
    <w:p w14:paraId="613E2C67"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293A56CB"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Al respecto, se considera que dichos motivos de inconformidad devienen parcialmente fundados, en virtud de que si bien, se advierte por parte de este Instituto que el </w:t>
      </w:r>
      <w:r w:rsidRPr="00CD142C">
        <w:rPr>
          <w:rFonts w:ascii="Palatino Linotype" w:eastAsia="Palatino Linotype" w:hAnsi="Palatino Linotype" w:cs="Palatino Linotype"/>
          <w:b/>
          <w:sz w:val="24"/>
          <w:szCs w:val="24"/>
        </w:rPr>
        <w:t xml:space="preserve">Sujeto Obligado </w:t>
      </w:r>
      <w:r w:rsidRPr="00CD142C">
        <w:rPr>
          <w:rFonts w:ascii="Palatino Linotype" w:eastAsia="Palatino Linotype" w:hAnsi="Palatino Linotype" w:cs="Palatino Linotype"/>
          <w:sz w:val="24"/>
          <w:szCs w:val="24"/>
        </w:rPr>
        <w:t>no proporcionó el documento donde conste el presupuesto asignado a la Secretaría de Seguridad, para el capítulo de gasto 4000 “</w:t>
      </w:r>
      <w:r w:rsidRPr="00CD142C">
        <w:rPr>
          <w:rFonts w:ascii="Palatino Linotype" w:eastAsia="Palatino Linotype" w:hAnsi="Palatino Linotype" w:cs="Palatino Linotype"/>
          <w:i/>
          <w:sz w:val="24"/>
          <w:szCs w:val="24"/>
        </w:rPr>
        <w:t>Transferencias, asignaciones, subsidios y otras ayudas</w:t>
      </w:r>
      <w:r w:rsidRPr="00CD142C">
        <w:rPr>
          <w:rFonts w:ascii="Palatino Linotype" w:eastAsia="Palatino Linotype" w:hAnsi="Palatino Linotype" w:cs="Palatino Linotype"/>
          <w:sz w:val="24"/>
          <w:szCs w:val="24"/>
        </w:rPr>
        <w:t>”, del ejercicio fiscal 2023, el hecho de que la demás información la remitiera dicho ente público vía liga electrónica señalando los pasos para localizar lo peticionado, ello no transgrede el derecho de acceso a la información de la persona solicitante.</w:t>
      </w:r>
    </w:p>
    <w:p w14:paraId="3E206863"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7C51721B"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Para precisar lo anterior, conviene traer a contexto el contenido del primer párrafo del artículo 166 de la Ley de Transparencia Local, que a la letra dispone lo siguiente:</w:t>
      </w:r>
    </w:p>
    <w:p w14:paraId="5B937556"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43094413" w14:textId="77777777" w:rsidR="00D55228" w:rsidRPr="00CD142C" w:rsidRDefault="001540D8">
      <w:pPr>
        <w:pBdr>
          <w:top w:val="nil"/>
          <w:left w:val="nil"/>
          <w:bottom w:val="nil"/>
          <w:right w:val="nil"/>
          <w:between w:val="nil"/>
        </w:pBdr>
        <w:tabs>
          <w:tab w:val="left" w:pos="8222"/>
        </w:tabs>
        <w:spacing w:after="0" w:line="276" w:lineRule="auto"/>
        <w:ind w:left="567" w:right="701"/>
        <w:jc w:val="both"/>
        <w:rPr>
          <w:rFonts w:ascii="Palatino Linotype" w:eastAsia="Palatino Linotype" w:hAnsi="Palatino Linotype" w:cs="Palatino Linotype"/>
          <w:i/>
          <w:sz w:val="24"/>
          <w:szCs w:val="24"/>
        </w:rPr>
      </w:pPr>
      <w:r w:rsidRPr="00CD142C">
        <w:rPr>
          <w:rFonts w:ascii="Palatino Linotype" w:eastAsia="Palatino Linotype" w:hAnsi="Palatino Linotype" w:cs="Palatino Linotype"/>
          <w:i/>
          <w:sz w:val="24"/>
          <w:szCs w:val="24"/>
        </w:rPr>
        <w:t>“Artículo 166. La obligación de acceso a la información pública se tendrá por cumplida cuando el solicitante tenga a su disposición la información requerida, o cuando realice la consulta de la misma en el lugar en el que ésta se localice.</w:t>
      </w:r>
    </w:p>
    <w:p w14:paraId="558572F4" w14:textId="77777777" w:rsidR="00D55228" w:rsidRPr="00CD142C" w:rsidRDefault="001540D8">
      <w:pPr>
        <w:pBdr>
          <w:top w:val="nil"/>
          <w:left w:val="nil"/>
          <w:bottom w:val="nil"/>
          <w:right w:val="nil"/>
          <w:between w:val="nil"/>
        </w:pBdr>
        <w:tabs>
          <w:tab w:val="left" w:pos="8222"/>
        </w:tabs>
        <w:spacing w:after="0" w:line="276" w:lineRule="auto"/>
        <w:ind w:left="567" w:right="701"/>
        <w:jc w:val="both"/>
        <w:rPr>
          <w:rFonts w:ascii="Palatino Linotype" w:eastAsia="Palatino Linotype" w:hAnsi="Palatino Linotype" w:cs="Palatino Linotype"/>
          <w:i/>
          <w:sz w:val="24"/>
          <w:szCs w:val="24"/>
        </w:rPr>
      </w:pPr>
      <w:r w:rsidRPr="00CD142C">
        <w:rPr>
          <w:rFonts w:ascii="Palatino Linotype" w:eastAsia="Palatino Linotype" w:hAnsi="Palatino Linotype" w:cs="Palatino Linotype"/>
          <w:i/>
          <w:sz w:val="24"/>
          <w:szCs w:val="24"/>
        </w:rPr>
        <w:t>[…]”</w:t>
      </w:r>
    </w:p>
    <w:p w14:paraId="7B97E39D"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0D03EA3C"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De la porción normativa citada, se desprende que, el derecho de acceso a la información se tendrá por cumplida cuando la persona solicitante tenga a su disposición la información peticionada; lo cual, en relación al requerimiento de nuestra </w:t>
      </w:r>
      <w:r w:rsidRPr="00CD142C">
        <w:rPr>
          <w:rFonts w:ascii="Palatino Linotype" w:eastAsia="Palatino Linotype" w:hAnsi="Palatino Linotype" w:cs="Palatino Linotype"/>
          <w:sz w:val="24"/>
          <w:szCs w:val="24"/>
        </w:rPr>
        <w:lastRenderedPageBreak/>
        <w:t>atención se cumplió de manera parcial, no obstante, cabe aclarar que el incumplimiento del ente público no radico por la forma en la que fue entregada la información –ligas electrónicas- sino porque no se aportó la totalidad de la misma.</w:t>
      </w:r>
    </w:p>
    <w:p w14:paraId="6A3DBE5C"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5DBCC2F6"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Aunado a que del análisis a la solicitud se advierte que la persona solicitante señalo como modalidad de entrega de la información vía </w:t>
      </w:r>
      <w:proofErr w:type="spellStart"/>
      <w:r w:rsidRPr="00CD142C">
        <w:rPr>
          <w:rFonts w:ascii="Palatino Linotype" w:eastAsia="Palatino Linotype" w:hAnsi="Palatino Linotype" w:cs="Palatino Linotype"/>
          <w:sz w:val="24"/>
          <w:szCs w:val="24"/>
        </w:rPr>
        <w:t>Saimex</w:t>
      </w:r>
      <w:proofErr w:type="spellEnd"/>
      <w:r w:rsidRPr="00CD142C">
        <w:rPr>
          <w:rFonts w:ascii="Palatino Linotype" w:eastAsia="Palatino Linotype" w:hAnsi="Palatino Linotype" w:cs="Palatino Linotype"/>
          <w:sz w:val="24"/>
          <w:szCs w:val="24"/>
        </w:rPr>
        <w:t>, y fue por dicha vía que el ente público emitió su respuesta.</w:t>
      </w:r>
    </w:p>
    <w:p w14:paraId="2D9034A8"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1040C9FB" w14:textId="77777777" w:rsidR="00D55228" w:rsidRPr="00CD142C" w:rsidRDefault="001540D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Por lo tanto, atendiendo que los motivos de inconformidad de la parte </w:t>
      </w:r>
      <w:r w:rsidRPr="00CD142C">
        <w:rPr>
          <w:rFonts w:ascii="Palatino Linotype" w:eastAsia="Palatino Linotype" w:hAnsi="Palatino Linotype" w:cs="Palatino Linotype"/>
          <w:b/>
          <w:sz w:val="24"/>
          <w:szCs w:val="24"/>
        </w:rPr>
        <w:t xml:space="preserve">Recurrente </w:t>
      </w:r>
      <w:r w:rsidRPr="00CD142C">
        <w:rPr>
          <w:rFonts w:ascii="Palatino Linotype" w:eastAsia="Palatino Linotype" w:hAnsi="Palatino Linotype" w:cs="Palatino Linotype"/>
          <w:sz w:val="24"/>
          <w:szCs w:val="24"/>
        </w:rPr>
        <w:t>devienen parcialmente fundados, a criterio de este Órgano Garante, a fin de satisfacer en su totalidad el requerimiento en análisis, en cumplimiento a la presente resolución se deberá hacer entrega de lo siguiente:</w:t>
      </w:r>
    </w:p>
    <w:p w14:paraId="20915776"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02D502F7" w14:textId="77777777" w:rsidR="00D55228" w:rsidRPr="00CD142C" w:rsidRDefault="001540D8">
      <w:pPr>
        <w:numPr>
          <w:ilvl w:val="0"/>
          <w:numId w:val="1"/>
        </w:numPr>
        <w:pBdr>
          <w:top w:val="nil"/>
          <w:left w:val="nil"/>
          <w:bottom w:val="nil"/>
          <w:right w:val="nil"/>
          <w:between w:val="nil"/>
        </w:pBdr>
        <w:spacing w:after="0" w:line="360" w:lineRule="auto"/>
        <w:jc w:val="both"/>
        <w:rPr>
          <w:sz w:val="24"/>
          <w:szCs w:val="24"/>
        </w:rPr>
      </w:pPr>
      <w:r w:rsidRPr="00CD142C">
        <w:rPr>
          <w:rFonts w:ascii="Palatino Linotype" w:eastAsia="Palatino Linotype" w:hAnsi="Palatino Linotype" w:cs="Palatino Linotype"/>
          <w:sz w:val="24"/>
          <w:szCs w:val="24"/>
        </w:rPr>
        <w:t>El documento donde conste el presupuesto asignado al capítulo de gasto 4000 “</w:t>
      </w:r>
      <w:r w:rsidRPr="00CD142C">
        <w:rPr>
          <w:rFonts w:ascii="Palatino Linotype" w:eastAsia="Palatino Linotype" w:hAnsi="Palatino Linotype" w:cs="Palatino Linotype"/>
          <w:i/>
          <w:sz w:val="24"/>
          <w:szCs w:val="24"/>
        </w:rPr>
        <w:t>Transferencias, asignaciones, subsidios y otras ayudas</w:t>
      </w:r>
      <w:r w:rsidRPr="00CD142C">
        <w:rPr>
          <w:rFonts w:ascii="Palatino Linotype" w:eastAsia="Palatino Linotype" w:hAnsi="Palatino Linotype" w:cs="Palatino Linotype"/>
          <w:sz w:val="24"/>
          <w:szCs w:val="24"/>
        </w:rPr>
        <w:t>”, del ejercicio fiscal 2023.</w:t>
      </w:r>
    </w:p>
    <w:p w14:paraId="40DF80F1" w14:textId="77777777" w:rsidR="00D55228" w:rsidRPr="00CD142C" w:rsidRDefault="00D55228">
      <w:pPr>
        <w:pBdr>
          <w:top w:val="nil"/>
          <w:left w:val="nil"/>
          <w:bottom w:val="nil"/>
          <w:right w:val="nil"/>
          <w:between w:val="nil"/>
        </w:pBdr>
        <w:tabs>
          <w:tab w:val="left" w:pos="8222"/>
        </w:tabs>
        <w:spacing w:after="0" w:line="360" w:lineRule="auto"/>
        <w:ind w:right="-7"/>
        <w:jc w:val="both"/>
        <w:rPr>
          <w:rFonts w:ascii="Palatino Linotype" w:eastAsia="Palatino Linotype" w:hAnsi="Palatino Linotype" w:cs="Palatino Linotype"/>
          <w:sz w:val="24"/>
          <w:szCs w:val="24"/>
        </w:rPr>
      </w:pPr>
    </w:p>
    <w:p w14:paraId="596274C5" w14:textId="77777777" w:rsidR="00D55228" w:rsidRPr="00CD142C" w:rsidRDefault="001540D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De lo hasta aquí expuesto, se concluye que los motivos de inconformidad de la parte </w:t>
      </w:r>
      <w:r w:rsidRPr="00CD142C">
        <w:rPr>
          <w:rFonts w:ascii="Palatino Linotype" w:eastAsia="Palatino Linotype" w:hAnsi="Palatino Linotype" w:cs="Palatino Linotype"/>
          <w:b/>
          <w:sz w:val="24"/>
          <w:szCs w:val="24"/>
        </w:rPr>
        <w:t>Recurrente</w:t>
      </w:r>
      <w:r w:rsidRPr="00CD142C">
        <w:rPr>
          <w:rFonts w:ascii="Palatino Linotype" w:eastAsia="Palatino Linotype" w:hAnsi="Palatino Linotype" w:cs="Palatino Linotype"/>
          <w:sz w:val="24"/>
          <w:szCs w:val="24"/>
        </w:rPr>
        <w:t xml:space="preserve"> esgrimidos en su recurso de revisión </w:t>
      </w:r>
      <w:r w:rsidRPr="00CD142C">
        <w:rPr>
          <w:rFonts w:ascii="Palatino Linotype" w:eastAsia="Palatino Linotype" w:hAnsi="Palatino Linotype" w:cs="Palatino Linotype"/>
          <w:b/>
          <w:sz w:val="24"/>
          <w:szCs w:val="24"/>
        </w:rPr>
        <w:t>05464/INFOEM/IP/RR/2023</w:t>
      </w:r>
      <w:r w:rsidRPr="00CD142C">
        <w:rPr>
          <w:rFonts w:ascii="Palatino Linotype" w:eastAsia="Palatino Linotype" w:hAnsi="Palatino Linotype" w:cs="Palatino Linotype"/>
          <w:sz w:val="24"/>
          <w:szCs w:val="24"/>
        </w:rPr>
        <w:t xml:space="preserve"> devienen parcialmente </w:t>
      </w:r>
      <w:r w:rsidRPr="00CD142C">
        <w:rPr>
          <w:rFonts w:ascii="Palatino Linotype" w:eastAsia="Palatino Linotype" w:hAnsi="Palatino Linotype" w:cs="Palatino Linotype"/>
          <w:b/>
          <w:sz w:val="24"/>
          <w:szCs w:val="24"/>
        </w:rPr>
        <w:t>fundados</w:t>
      </w:r>
      <w:r w:rsidRPr="00CD142C">
        <w:rPr>
          <w:rFonts w:ascii="Palatino Linotype" w:eastAsia="Palatino Linotype" w:hAnsi="Palatino Linotype" w:cs="Palatino Linotype"/>
          <w:sz w:val="24"/>
          <w:szCs w:val="24"/>
        </w:rPr>
        <w:t xml:space="preserve">, siendo procedente </w:t>
      </w:r>
      <w:r w:rsidRPr="00CD142C">
        <w:rPr>
          <w:rFonts w:ascii="Palatino Linotype" w:eastAsia="Palatino Linotype" w:hAnsi="Palatino Linotype" w:cs="Palatino Linotype"/>
          <w:b/>
          <w:sz w:val="24"/>
          <w:szCs w:val="24"/>
        </w:rPr>
        <w:t>Modificar</w:t>
      </w:r>
      <w:r w:rsidRPr="00CD142C">
        <w:rPr>
          <w:rFonts w:ascii="Palatino Linotype" w:eastAsia="Palatino Linotype" w:hAnsi="Palatino Linotype" w:cs="Palatino Linotype"/>
          <w:sz w:val="24"/>
          <w:szCs w:val="24"/>
        </w:rPr>
        <w:t xml:space="preserve"> la respuesta proporcionada por 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y ordenar la entrega de la información precisada en cada apartado, y de ser procedente en versión pública en los casos que aplique.</w:t>
      </w:r>
    </w:p>
    <w:p w14:paraId="31268488" w14:textId="77777777" w:rsidR="00D55228" w:rsidRPr="00CD142C" w:rsidRDefault="00D55228">
      <w:pPr>
        <w:pBdr>
          <w:top w:val="nil"/>
          <w:left w:val="nil"/>
          <w:bottom w:val="nil"/>
          <w:right w:val="nil"/>
          <w:between w:val="nil"/>
        </w:pBdr>
        <w:spacing w:after="0" w:line="360" w:lineRule="auto"/>
        <w:ind w:right="560"/>
        <w:jc w:val="both"/>
        <w:rPr>
          <w:rFonts w:ascii="Palatino Linotype" w:eastAsia="Palatino Linotype" w:hAnsi="Palatino Linotype" w:cs="Palatino Linotype"/>
          <w:b/>
        </w:rPr>
      </w:pPr>
    </w:p>
    <w:p w14:paraId="2DB71C84" w14:textId="77777777" w:rsidR="00D55228" w:rsidRPr="00CD142C" w:rsidRDefault="001540D8">
      <w:pPr>
        <w:spacing w:after="0" w:line="360" w:lineRule="auto"/>
        <w:ind w:right="51"/>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lastRenderedPageBreak/>
        <w:t xml:space="preserve">Quinto. Versión Pública. </w:t>
      </w:r>
      <w:r w:rsidRPr="00CD142C">
        <w:rPr>
          <w:rFonts w:ascii="Palatino Linotype" w:eastAsia="Palatino Linotype" w:hAnsi="Palatino Linotype" w:cs="Palatino Linotype"/>
          <w:sz w:val="24"/>
          <w:szCs w:val="24"/>
        </w:rPr>
        <w:t xml:space="preserve">Finalmente para la entrega de los soportes documentales que deberá proporcionar 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64CDB5E3"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42C7BFAC"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Lo anterior, de conformidad a lo que señalan los artículos 3 fracciones IX, XX, XXI y XLV, 91, 132 fracciones II y III, y 143 fracción I de la Ley de Transparencia y Acceso a la Información Pública del Estado de México y Municipios que establecen:</w:t>
      </w:r>
    </w:p>
    <w:p w14:paraId="04110D25"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1D31E7E3"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Artículo 3</w:t>
      </w:r>
      <w:r w:rsidRPr="00CD142C">
        <w:rPr>
          <w:rFonts w:ascii="Palatino Linotype" w:eastAsia="Palatino Linotype" w:hAnsi="Palatino Linotype" w:cs="Palatino Linotype"/>
          <w:i/>
        </w:rPr>
        <w:t>. Para los efectos de la presente Ley se entenderá por:</w:t>
      </w:r>
    </w:p>
    <w:p w14:paraId="1E999FB9"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06912ECA"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IX. Datos personales</w:t>
      </w:r>
      <w:r w:rsidRPr="00CD142C">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14:paraId="0ABC9FCD"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XX. Información clasificada</w:t>
      </w:r>
      <w:r w:rsidRPr="00CD142C">
        <w:rPr>
          <w:rFonts w:ascii="Palatino Linotype" w:eastAsia="Palatino Linotype" w:hAnsi="Palatino Linotype" w:cs="Palatino Linotype"/>
          <w:i/>
        </w:rPr>
        <w:t>: Aquella considerada por la presente Ley como reservada o confidencial;</w:t>
      </w:r>
    </w:p>
    <w:p w14:paraId="014B3998"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XXI. Información confidencial</w:t>
      </w:r>
      <w:r w:rsidRPr="00CD142C">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3DED1F96"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lastRenderedPageBreak/>
        <w:t>XLV. Versión pública</w:t>
      </w:r>
      <w:r w:rsidRPr="00CD142C">
        <w:rPr>
          <w:rFonts w:ascii="Palatino Linotype" w:eastAsia="Palatino Linotype" w:hAnsi="Palatino Linotype" w:cs="Palatino Linotype"/>
          <w:i/>
        </w:rPr>
        <w:t>: Documento en el que se elimine, suprime o borra la información clasificada como reservada o confidencial para permitir su acceso.</w:t>
      </w:r>
    </w:p>
    <w:p w14:paraId="4CE18D24"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03F0869B"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Artículo 91.</w:t>
      </w:r>
      <w:r w:rsidRPr="00CD142C">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3D68AAB2"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Artículo 132</w:t>
      </w:r>
      <w:r w:rsidRPr="00CD142C">
        <w:rPr>
          <w:rFonts w:ascii="Palatino Linotype" w:eastAsia="Palatino Linotype" w:hAnsi="Palatino Linotype" w:cs="Palatino Linotype"/>
          <w:i/>
        </w:rPr>
        <w:t>. La clasificación de la información se llevará a cabo en el momento en que:</w:t>
      </w:r>
    </w:p>
    <w:p w14:paraId="736945F4"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I.</w:t>
      </w:r>
      <w:r w:rsidRPr="00CD142C">
        <w:rPr>
          <w:rFonts w:ascii="Palatino Linotype" w:eastAsia="Palatino Linotype" w:hAnsi="Palatino Linotype" w:cs="Palatino Linotype"/>
          <w:i/>
        </w:rPr>
        <w:t xml:space="preserve"> Se reciba una solicitud de acceso a la información;</w:t>
      </w:r>
    </w:p>
    <w:p w14:paraId="28AD92EF"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II.</w:t>
      </w:r>
      <w:r w:rsidRPr="00CD142C">
        <w:rPr>
          <w:rFonts w:ascii="Palatino Linotype" w:eastAsia="Palatino Linotype" w:hAnsi="Palatino Linotype" w:cs="Palatino Linotype"/>
          <w:i/>
        </w:rPr>
        <w:t xml:space="preserve"> Se determine mediante resolución de autoridad competente; o</w:t>
      </w:r>
    </w:p>
    <w:p w14:paraId="25EAA6E1"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III.</w:t>
      </w:r>
      <w:r w:rsidRPr="00CD142C">
        <w:rPr>
          <w:rFonts w:ascii="Palatino Linotype" w:eastAsia="Palatino Linotype" w:hAnsi="Palatino Linotype" w:cs="Palatino Linotype"/>
          <w:i/>
        </w:rPr>
        <w:t xml:space="preserve"> Se generen versiones públicas para dar cumplimiento a las obligaciones de transparencia previstas en esta Ley.</w:t>
      </w:r>
    </w:p>
    <w:p w14:paraId="3610C73A"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p>
    <w:p w14:paraId="3CB7CC78"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Artículo 143.</w:t>
      </w:r>
      <w:r w:rsidRPr="00CD142C">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14:paraId="722BED9C"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I.</w:t>
      </w:r>
      <w:r w:rsidRPr="00CD142C">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14:paraId="1A476798"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II.</w:t>
      </w:r>
      <w:r w:rsidRPr="00CD142C">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405DF7AD"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III.</w:t>
      </w:r>
      <w:r w:rsidRPr="00CD142C">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14:paraId="6FF3904C"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6DF39563"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34B6F8D1" w14:textId="77777777" w:rsidR="00D55228" w:rsidRPr="00CD142C" w:rsidRDefault="00D55228">
      <w:pPr>
        <w:spacing w:after="0" w:line="360" w:lineRule="auto"/>
        <w:ind w:left="1134" w:right="902"/>
        <w:jc w:val="both"/>
        <w:rPr>
          <w:rFonts w:ascii="Palatino Linotype" w:eastAsia="Palatino Linotype" w:hAnsi="Palatino Linotype" w:cs="Palatino Linotype"/>
          <w:i/>
          <w:sz w:val="24"/>
          <w:szCs w:val="24"/>
        </w:rPr>
      </w:pPr>
    </w:p>
    <w:p w14:paraId="6A743B85"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w:t>
      </w:r>
      <w:r w:rsidRPr="00CD142C">
        <w:rPr>
          <w:rFonts w:ascii="Palatino Linotype" w:eastAsia="Palatino Linotype" w:hAnsi="Palatino Linotype" w:cs="Palatino Linotype"/>
          <w:sz w:val="24"/>
          <w:szCs w:val="24"/>
        </w:rPr>
        <w:lastRenderedPageBreak/>
        <w:t>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081C561B"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421FF5CB"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14:paraId="5F25381F"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31E6F320"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Quincuagésimo sexto.</w:t>
      </w:r>
      <w:r w:rsidRPr="00CD142C">
        <w:rPr>
          <w:rFonts w:ascii="Palatino Linotype" w:eastAsia="Palatino Linotype" w:hAnsi="Palatino Linotype" w:cs="Palatino Linotype"/>
          <w:i/>
        </w:rPr>
        <w:t xml:space="preserve">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409E1C1"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Quincuagésimo séptimo.</w:t>
      </w:r>
      <w:r w:rsidRPr="00CD142C">
        <w:rPr>
          <w:rFonts w:ascii="Palatino Linotype" w:eastAsia="Palatino Linotype" w:hAnsi="Palatino Linotype" w:cs="Palatino Linotype"/>
          <w:i/>
        </w:rPr>
        <w:t xml:space="preserve"> Se considera, en principio, como información pública y no podrá omitirse de las versiones públicas la siguiente: </w:t>
      </w:r>
    </w:p>
    <w:p w14:paraId="0A265566"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I.</w:t>
      </w:r>
      <w:r w:rsidRPr="00CD142C">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7BA6EAF0"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II.</w:t>
      </w:r>
      <w:r w:rsidRPr="00CD142C">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14:paraId="4D9004EE"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III.</w:t>
      </w:r>
      <w:r w:rsidRPr="00CD142C">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2919EF29"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i/>
        </w:rPr>
        <w:t xml:space="preserve">Lo anterior, siempre y cuando no se acredite alguna causal de clasificación, prevista en las leyes o en los tratados internaciones suscritos por el Estado mexicano. </w:t>
      </w:r>
    </w:p>
    <w:p w14:paraId="62F8C36C" w14:textId="77777777" w:rsidR="00D55228" w:rsidRPr="00CD142C" w:rsidRDefault="001540D8">
      <w:pPr>
        <w:spacing w:after="0" w:line="276" w:lineRule="auto"/>
        <w:ind w:left="567" w:right="560"/>
        <w:jc w:val="both"/>
        <w:rPr>
          <w:rFonts w:ascii="Palatino Linotype" w:eastAsia="Palatino Linotype" w:hAnsi="Palatino Linotype" w:cs="Palatino Linotype"/>
          <w:i/>
        </w:rPr>
      </w:pPr>
      <w:r w:rsidRPr="00CD142C">
        <w:rPr>
          <w:rFonts w:ascii="Palatino Linotype" w:eastAsia="Palatino Linotype" w:hAnsi="Palatino Linotype" w:cs="Palatino Linotype"/>
          <w:b/>
          <w:i/>
        </w:rPr>
        <w:t>Quincuagésimo octavo</w:t>
      </w:r>
      <w:r w:rsidRPr="00CD142C">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14:paraId="7C6DE3AB" w14:textId="77777777" w:rsidR="00D55228" w:rsidRPr="00CD142C" w:rsidRDefault="00D55228">
      <w:pPr>
        <w:spacing w:after="0" w:line="360" w:lineRule="auto"/>
        <w:ind w:left="851" w:right="902"/>
        <w:jc w:val="both"/>
        <w:rPr>
          <w:rFonts w:ascii="Palatino Linotype" w:eastAsia="Palatino Linotype" w:hAnsi="Palatino Linotype" w:cs="Palatino Linotype"/>
          <w:i/>
          <w:sz w:val="24"/>
          <w:szCs w:val="24"/>
        </w:rPr>
      </w:pPr>
    </w:p>
    <w:p w14:paraId="1EC4045E"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lastRenderedPageBreak/>
        <w:t>Asimismo, se destaca que la versión pública que elabore el</w:t>
      </w:r>
      <w:r w:rsidRPr="00CD142C">
        <w:rPr>
          <w:rFonts w:ascii="Palatino Linotype" w:eastAsia="Palatino Linotype" w:hAnsi="Palatino Linotype" w:cs="Palatino Linotype"/>
          <w:b/>
          <w:sz w:val="24"/>
          <w:szCs w:val="24"/>
        </w:rPr>
        <w:t xml:space="preserve"> Sujeto Obligado</w:t>
      </w:r>
      <w:r w:rsidRPr="00CD142C">
        <w:rPr>
          <w:rFonts w:ascii="Palatino Linotype" w:eastAsia="Palatino Linotype" w:hAnsi="Palatino Linotype" w:cs="Palatino Linotype"/>
          <w:sz w:val="24"/>
          <w:szCs w:val="24"/>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w:t>
      </w:r>
      <w:r w:rsidRPr="00CD142C">
        <w:rPr>
          <w:rFonts w:ascii="Palatino Linotype" w:eastAsia="Palatino Linotype" w:hAnsi="Palatino Linotype" w:cs="Palatino Linotype"/>
          <w:b/>
          <w:sz w:val="24"/>
          <w:szCs w:val="24"/>
        </w:rPr>
        <w:t xml:space="preserve"> </w:t>
      </w:r>
      <w:r w:rsidRPr="00CD142C">
        <w:rPr>
          <w:rFonts w:ascii="Palatino Linotype" w:eastAsia="Palatino Linotype" w:hAnsi="Palatino Linotype" w:cs="Palatino Linotype"/>
          <w:sz w:val="24"/>
          <w:szCs w:val="24"/>
        </w:rPr>
        <w:t>parte</w:t>
      </w:r>
      <w:r w:rsidRPr="00CD142C">
        <w:rPr>
          <w:rFonts w:ascii="Palatino Linotype" w:eastAsia="Palatino Linotype" w:hAnsi="Palatino Linotype" w:cs="Palatino Linotype"/>
          <w:b/>
          <w:sz w:val="24"/>
          <w:szCs w:val="24"/>
        </w:rPr>
        <w:t> </w:t>
      </w:r>
      <w:r w:rsidRPr="00CD142C">
        <w:rPr>
          <w:rFonts w:ascii="Palatino Linotype" w:eastAsia="Palatino Linotype" w:hAnsi="Palatino Linotype" w:cs="Palatino Linotype"/>
          <w:sz w:val="24"/>
          <w:szCs w:val="24"/>
        </w:rPr>
        <w:t>Recurrente.</w:t>
      </w:r>
    </w:p>
    <w:p w14:paraId="60E85DB1"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4D5F3D72"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Entorno a lo que aquí nos interesa, el Lineamiento Quincuagésimo segundo de los Lineamientos Generales en Materia de Clasificación y Desclasificación de la Información, así como para la Elaboración de Versiones Públicas, establece lo siguiente:</w:t>
      </w:r>
    </w:p>
    <w:p w14:paraId="59C518B4"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79518682" w14:textId="77777777" w:rsidR="00D55228" w:rsidRPr="00CD142C" w:rsidRDefault="001540D8">
      <w:pPr>
        <w:spacing w:after="0" w:line="276" w:lineRule="auto"/>
        <w:ind w:left="567" w:right="900"/>
        <w:jc w:val="both"/>
        <w:rPr>
          <w:rFonts w:ascii="Palatino Linotype" w:eastAsia="Palatino Linotype" w:hAnsi="Palatino Linotype" w:cs="Palatino Linotype"/>
          <w:i/>
        </w:rPr>
      </w:pPr>
      <w:r w:rsidRPr="00CD142C">
        <w:rPr>
          <w:rFonts w:ascii="Palatino Linotype" w:eastAsia="Palatino Linotype" w:hAnsi="Palatino Linotype" w:cs="Palatino Linotype"/>
          <w:b/>
          <w:i/>
        </w:rPr>
        <w:t>“Quincuagésimo segundo</w:t>
      </w:r>
      <w:r w:rsidRPr="00CD142C">
        <w:rPr>
          <w:rFonts w:ascii="Palatino Linotype" w:eastAsia="Palatino Linotype" w:hAnsi="Palatino Linotype" w:cs="Palatino Linotype"/>
          <w:i/>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47A21041" w14:textId="77777777" w:rsidR="00D55228" w:rsidRPr="00CD142C" w:rsidRDefault="001540D8">
      <w:pPr>
        <w:spacing w:after="0" w:line="276" w:lineRule="auto"/>
        <w:ind w:left="567" w:right="900"/>
        <w:jc w:val="both"/>
        <w:rPr>
          <w:rFonts w:ascii="Palatino Linotype" w:eastAsia="Palatino Linotype" w:hAnsi="Palatino Linotype" w:cs="Palatino Linotype"/>
          <w:i/>
        </w:rPr>
      </w:pPr>
      <w:r w:rsidRPr="00CD142C">
        <w:rPr>
          <w:rFonts w:ascii="Palatino Linotype" w:eastAsia="Palatino Linotype" w:hAnsi="Palatino Linotype" w:cs="Palatino Linotype"/>
          <w:i/>
        </w:rPr>
        <w:t xml:space="preserve">En el caso </w:t>
      </w:r>
      <w:proofErr w:type="spellStart"/>
      <w:r w:rsidRPr="00CD142C">
        <w:rPr>
          <w:rFonts w:ascii="Palatino Linotype" w:eastAsia="Palatino Linotype" w:hAnsi="Palatino Linotype" w:cs="Palatino Linotype"/>
          <w:i/>
        </w:rPr>
        <w:t>especifico</w:t>
      </w:r>
      <w:proofErr w:type="spellEnd"/>
      <w:r w:rsidRPr="00CD142C">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14:paraId="2F565E2A" w14:textId="77777777" w:rsidR="00D55228" w:rsidRPr="00CD142C" w:rsidRDefault="001540D8">
      <w:pPr>
        <w:spacing w:after="0" w:line="276" w:lineRule="auto"/>
        <w:ind w:left="567" w:right="900"/>
        <w:jc w:val="both"/>
        <w:rPr>
          <w:rFonts w:ascii="Palatino Linotype" w:eastAsia="Palatino Linotype" w:hAnsi="Palatino Linotype" w:cs="Palatino Linotype"/>
          <w:i/>
        </w:rPr>
      </w:pPr>
      <w:r w:rsidRPr="00CD142C">
        <w:rPr>
          <w:rFonts w:ascii="Palatino Linotype" w:eastAsia="Palatino Linotype" w:hAnsi="Palatino Linotype" w:cs="Palatino Linotype"/>
          <w:b/>
          <w:i/>
        </w:rPr>
        <w:lastRenderedPageBreak/>
        <w:t>I.</w:t>
      </w:r>
      <w:r w:rsidRPr="00CD142C">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14:paraId="1F672EDA" w14:textId="77777777" w:rsidR="00D55228" w:rsidRPr="00CD142C" w:rsidRDefault="001540D8">
      <w:pPr>
        <w:spacing w:after="0" w:line="276" w:lineRule="auto"/>
        <w:ind w:left="567" w:right="900"/>
        <w:jc w:val="both"/>
        <w:rPr>
          <w:rFonts w:ascii="Palatino Linotype" w:eastAsia="Palatino Linotype" w:hAnsi="Palatino Linotype" w:cs="Palatino Linotype"/>
          <w:i/>
        </w:rPr>
      </w:pPr>
      <w:r w:rsidRPr="00CD142C">
        <w:rPr>
          <w:rFonts w:ascii="Palatino Linotype" w:eastAsia="Palatino Linotype" w:hAnsi="Palatino Linotype" w:cs="Palatino Linotype"/>
          <w:b/>
          <w:i/>
        </w:rPr>
        <w:t>II.</w:t>
      </w:r>
      <w:r w:rsidRPr="00CD142C">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14:paraId="547D2082" w14:textId="77777777" w:rsidR="00D55228" w:rsidRPr="00CD142C" w:rsidRDefault="001540D8">
      <w:pPr>
        <w:spacing w:after="0" w:line="276" w:lineRule="auto"/>
        <w:ind w:left="567" w:right="900"/>
        <w:jc w:val="both"/>
        <w:rPr>
          <w:rFonts w:ascii="Palatino Linotype" w:eastAsia="Palatino Linotype" w:hAnsi="Palatino Linotype" w:cs="Palatino Linotype"/>
          <w:i/>
        </w:rPr>
      </w:pPr>
      <w:r w:rsidRPr="00CD142C">
        <w:rPr>
          <w:rFonts w:ascii="Palatino Linotype" w:eastAsia="Palatino Linotype" w:hAnsi="Palatino Linotype" w:cs="Palatino Linotype"/>
          <w:b/>
          <w:i/>
        </w:rPr>
        <w:t>III.</w:t>
      </w:r>
      <w:r w:rsidRPr="00CD142C">
        <w:rPr>
          <w:rFonts w:ascii="Palatino Linotype" w:eastAsia="Palatino Linotype" w:hAnsi="Palatino Linotype" w:cs="Palatino Linotype"/>
          <w:i/>
        </w:rPr>
        <w:t xml:space="preserve"> Señalar las personas o instancias autorizadas a acceder a la información clasificada.</w:t>
      </w:r>
    </w:p>
    <w:p w14:paraId="5F5507B9" w14:textId="77777777" w:rsidR="00D55228" w:rsidRPr="00CD142C" w:rsidRDefault="001540D8">
      <w:pPr>
        <w:spacing w:after="0" w:line="276" w:lineRule="auto"/>
        <w:ind w:left="567" w:right="900"/>
        <w:jc w:val="both"/>
        <w:rPr>
          <w:rFonts w:ascii="Palatino Linotype" w:eastAsia="Palatino Linotype" w:hAnsi="Palatino Linotype" w:cs="Palatino Linotype"/>
          <w:i/>
          <w:sz w:val="24"/>
          <w:szCs w:val="24"/>
        </w:rPr>
      </w:pPr>
      <w:r w:rsidRPr="00CD142C">
        <w:rPr>
          <w:rFonts w:ascii="Palatino Linotype" w:eastAsia="Palatino Linotype" w:hAnsi="Palatino Linotype" w:cs="Palatino Linotype"/>
          <w:i/>
        </w:rPr>
        <w:t>En los documentos de difusión electrónica, señalar en la primera hoja y en el nombre del archivo, que la versión pública c</w:t>
      </w:r>
      <w:r w:rsidRPr="00CD142C">
        <w:rPr>
          <w:rFonts w:ascii="Palatino Linotype" w:eastAsia="Palatino Linotype" w:hAnsi="Palatino Linotype" w:cs="Palatino Linotype"/>
          <w:i/>
          <w:sz w:val="24"/>
          <w:szCs w:val="24"/>
        </w:rPr>
        <w:t>orresponde a un documento que contiene información confidencial.”</w:t>
      </w:r>
    </w:p>
    <w:p w14:paraId="5C161EA5" w14:textId="77777777" w:rsidR="00D55228" w:rsidRPr="00CD142C" w:rsidRDefault="00D55228">
      <w:pPr>
        <w:spacing w:after="0" w:line="360" w:lineRule="auto"/>
        <w:ind w:left="851" w:right="900"/>
        <w:jc w:val="both"/>
        <w:rPr>
          <w:rFonts w:ascii="Palatino Linotype" w:eastAsia="Palatino Linotype" w:hAnsi="Palatino Linotype" w:cs="Palatino Linotype"/>
          <w:i/>
          <w:sz w:val="24"/>
          <w:szCs w:val="24"/>
        </w:rPr>
      </w:pPr>
    </w:p>
    <w:p w14:paraId="57A282FF" w14:textId="77777777" w:rsidR="00D55228" w:rsidRPr="00CD142C" w:rsidRDefault="001540D8">
      <w:pPr>
        <w:spacing w:after="0" w:line="360" w:lineRule="auto"/>
        <w:ind w:right="50"/>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Deberá observar el Lineamiento Quincuagésimo tercero de los Lineamientos Generales en Materia de Clasificación y Desclasificación de la Información </w:t>
      </w:r>
      <w:proofErr w:type="spellStart"/>
      <w:r w:rsidRPr="00CD142C">
        <w:rPr>
          <w:rFonts w:ascii="Palatino Linotype" w:eastAsia="Palatino Linotype" w:hAnsi="Palatino Linotype" w:cs="Palatino Linotype"/>
          <w:sz w:val="24"/>
          <w:szCs w:val="24"/>
        </w:rPr>
        <w:t>supraindicados</w:t>
      </w:r>
      <w:proofErr w:type="spellEnd"/>
      <w:r w:rsidRPr="00CD142C">
        <w:rPr>
          <w:rFonts w:ascii="Palatino Linotype" w:eastAsia="Palatino Linotype" w:hAnsi="Palatino Linotype" w:cs="Palatino Linotype"/>
          <w:sz w:val="24"/>
          <w:szCs w:val="24"/>
        </w:rPr>
        <w:t xml:space="preserve">, que establece los formatos para la clasificación de los documentos, conforme a lo siguiente: </w:t>
      </w:r>
    </w:p>
    <w:p w14:paraId="10884F6D" w14:textId="77777777" w:rsidR="00D55228" w:rsidRPr="00CD142C" w:rsidRDefault="00D55228">
      <w:pPr>
        <w:spacing w:after="0" w:line="276" w:lineRule="auto"/>
        <w:ind w:right="50"/>
        <w:jc w:val="both"/>
        <w:rPr>
          <w:rFonts w:ascii="Palatino Linotype" w:eastAsia="Palatino Linotype" w:hAnsi="Palatino Linotype" w:cs="Palatino Linotype"/>
          <w:sz w:val="24"/>
          <w:szCs w:val="24"/>
        </w:rPr>
      </w:pPr>
    </w:p>
    <w:p w14:paraId="585BB375" w14:textId="77777777" w:rsidR="00D55228" w:rsidRPr="00CD142C" w:rsidRDefault="001540D8">
      <w:pPr>
        <w:spacing w:after="0" w:line="276" w:lineRule="auto"/>
        <w:ind w:left="851" w:right="900"/>
        <w:jc w:val="center"/>
        <w:rPr>
          <w:rFonts w:ascii="Palatino Linotype" w:eastAsia="Palatino Linotype" w:hAnsi="Palatino Linotype" w:cs="Palatino Linotype"/>
          <w:b/>
          <w:i/>
        </w:rPr>
      </w:pPr>
      <w:r w:rsidRPr="00CD142C">
        <w:rPr>
          <w:rFonts w:ascii="Palatino Linotype" w:eastAsia="Palatino Linotype" w:hAnsi="Palatino Linotype" w:cs="Palatino Linotype"/>
          <w:b/>
          <w:i/>
        </w:rPr>
        <w:t>CAPÍTULO VIII</w:t>
      </w:r>
    </w:p>
    <w:p w14:paraId="51006572" w14:textId="77777777" w:rsidR="00D55228" w:rsidRPr="00CD142C" w:rsidRDefault="001540D8">
      <w:pPr>
        <w:spacing w:after="0" w:line="276" w:lineRule="auto"/>
        <w:ind w:left="851" w:right="900"/>
        <w:jc w:val="center"/>
        <w:rPr>
          <w:rFonts w:ascii="Palatino Linotype" w:eastAsia="Palatino Linotype" w:hAnsi="Palatino Linotype" w:cs="Palatino Linotype"/>
          <w:b/>
          <w:i/>
        </w:rPr>
      </w:pPr>
      <w:r w:rsidRPr="00CD142C">
        <w:rPr>
          <w:rFonts w:ascii="Palatino Linotype" w:eastAsia="Palatino Linotype" w:hAnsi="Palatino Linotype" w:cs="Palatino Linotype"/>
          <w:b/>
          <w:i/>
        </w:rPr>
        <w:t xml:space="preserve">DE LOS ELEMENTOS PARA LA CLASIFICACIÓN </w:t>
      </w:r>
    </w:p>
    <w:p w14:paraId="1740AD5E" w14:textId="77777777" w:rsidR="00D55228" w:rsidRPr="00CD142C" w:rsidRDefault="001540D8">
      <w:pPr>
        <w:spacing w:after="0" w:line="276" w:lineRule="auto"/>
        <w:ind w:left="851" w:right="902"/>
        <w:jc w:val="both"/>
        <w:rPr>
          <w:rFonts w:ascii="Palatino Linotype" w:eastAsia="Palatino Linotype" w:hAnsi="Palatino Linotype" w:cs="Palatino Linotype"/>
          <w:i/>
        </w:rPr>
      </w:pPr>
      <w:r w:rsidRPr="00CD142C">
        <w:rPr>
          <w:rFonts w:ascii="Palatino Linotype" w:eastAsia="Palatino Linotype" w:hAnsi="Palatino Linotype" w:cs="Palatino Linotype"/>
          <w:i/>
        </w:rPr>
        <w:t xml:space="preserve">Quincuagésimo tercero. </w:t>
      </w:r>
      <w:r w:rsidRPr="00CD142C">
        <w:rPr>
          <w:rFonts w:ascii="Palatino Linotype" w:eastAsia="Palatino Linotype" w:hAnsi="Palatino Linotype" w:cs="Palatino Linotype"/>
          <w:i/>
          <w:u w:val="single"/>
        </w:rPr>
        <w:t>El formato para señalar la clasificación de un documento o expediente que contenga información reservada</w:t>
      </w:r>
      <w:r w:rsidRPr="00CD142C">
        <w:rPr>
          <w:rFonts w:ascii="Palatino Linotype" w:eastAsia="Palatino Linotype" w:hAnsi="Palatino Linotype" w:cs="Palatino Linotype"/>
          <w:i/>
        </w:rPr>
        <w:t xml:space="preserve">, es el siguiente: </w:t>
      </w:r>
    </w:p>
    <w:p w14:paraId="2747B8A8" w14:textId="77777777" w:rsidR="00D55228" w:rsidRPr="00CD142C" w:rsidRDefault="00D55228">
      <w:pPr>
        <w:spacing w:after="0" w:line="276" w:lineRule="auto"/>
        <w:ind w:left="851" w:right="902"/>
        <w:jc w:val="both"/>
        <w:rPr>
          <w:rFonts w:ascii="Palatino Linotype" w:eastAsia="Palatino Linotype" w:hAnsi="Palatino Linotype" w:cs="Palatino Linotype"/>
          <w:i/>
        </w:rPr>
      </w:pPr>
    </w:p>
    <w:tbl>
      <w:tblPr>
        <w:tblStyle w:val="a"/>
        <w:tblW w:w="76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2693"/>
        <w:gridCol w:w="3691"/>
      </w:tblGrid>
      <w:tr w:rsidR="00CD142C" w:rsidRPr="00CD142C" w14:paraId="44F5C9CF" w14:textId="77777777">
        <w:trPr>
          <w:trHeight w:val="262"/>
          <w:jc w:val="center"/>
        </w:trPr>
        <w:tc>
          <w:tcPr>
            <w:tcW w:w="1271" w:type="dxa"/>
            <w:tcBorders>
              <w:top w:val="nil"/>
              <w:left w:val="nil"/>
            </w:tcBorders>
          </w:tcPr>
          <w:p w14:paraId="0583BFC7" w14:textId="77777777" w:rsidR="00D55228" w:rsidRPr="00CD142C" w:rsidRDefault="00D55228">
            <w:pPr>
              <w:spacing w:after="0" w:line="276" w:lineRule="auto"/>
              <w:rPr>
                <w:rFonts w:ascii="Palatino Linotype" w:eastAsia="Palatino Linotype" w:hAnsi="Palatino Linotype" w:cs="Palatino Linotype"/>
                <w:sz w:val="20"/>
                <w:szCs w:val="20"/>
              </w:rPr>
            </w:pPr>
          </w:p>
        </w:tc>
        <w:tc>
          <w:tcPr>
            <w:tcW w:w="2693" w:type="dxa"/>
            <w:shd w:val="clear" w:color="auto" w:fill="D9D9D9"/>
          </w:tcPr>
          <w:p w14:paraId="2A60F85B" w14:textId="77777777" w:rsidR="00D55228" w:rsidRPr="00CD142C" w:rsidRDefault="001540D8">
            <w:pPr>
              <w:tabs>
                <w:tab w:val="center" w:pos="1238"/>
                <w:tab w:val="right" w:pos="2477"/>
              </w:tabs>
              <w:spacing w:after="0" w:line="276" w:lineRule="auto"/>
              <w:rPr>
                <w:rFonts w:ascii="Palatino Linotype" w:eastAsia="Palatino Linotype" w:hAnsi="Palatino Linotype" w:cs="Palatino Linotype"/>
                <w:b/>
                <w:sz w:val="20"/>
                <w:szCs w:val="20"/>
              </w:rPr>
            </w:pPr>
            <w:r w:rsidRPr="00CD142C">
              <w:rPr>
                <w:rFonts w:ascii="Palatino Linotype" w:eastAsia="Palatino Linotype" w:hAnsi="Palatino Linotype" w:cs="Palatino Linotype"/>
                <w:b/>
                <w:sz w:val="20"/>
                <w:szCs w:val="20"/>
              </w:rPr>
              <w:tab/>
              <w:t>Concepto</w:t>
            </w:r>
            <w:r w:rsidRPr="00CD142C">
              <w:rPr>
                <w:rFonts w:ascii="Palatino Linotype" w:eastAsia="Palatino Linotype" w:hAnsi="Palatino Linotype" w:cs="Palatino Linotype"/>
                <w:b/>
                <w:sz w:val="20"/>
                <w:szCs w:val="20"/>
              </w:rPr>
              <w:tab/>
            </w:r>
          </w:p>
        </w:tc>
        <w:tc>
          <w:tcPr>
            <w:tcW w:w="3691" w:type="dxa"/>
            <w:shd w:val="clear" w:color="auto" w:fill="D9D9D9"/>
          </w:tcPr>
          <w:p w14:paraId="65248456" w14:textId="77777777" w:rsidR="00D55228" w:rsidRPr="00CD142C" w:rsidRDefault="001540D8">
            <w:pPr>
              <w:spacing w:after="0" w:line="276" w:lineRule="auto"/>
              <w:jc w:val="center"/>
              <w:rPr>
                <w:rFonts w:ascii="Palatino Linotype" w:eastAsia="Palatino Linotype" w:hAnsi="Palatino Linotype" w:cs="Palatino Linotype"/>
                <w:b/>
                <w:sz w:val="20"/>
                <w:szCs w:val="20"/>
              </w:rPr>
            </w:pPr>
            <w:r w:rsidRPr="00CD142C">
              <w:rPr>
                <w:rFonts w:ascii="Palatino Linotype" w:eastAsia="Palatino Linotype" w:hAnsi="Palatino Linotype" w:cs="Palatino Linotype"/>
                <w:b/>
                <w:sz w:val="20"/>
                <w:szCs w:val="20"/>
              </w:rPr>
              <w:t>Dónde</w:t>
            </w:r>
          </w:p>
        </w:tc>
      </w:tr>
      <w:tr w:rsidR="00CD142C" w:rsidRPr="00CD142C" w14:paraId="68B84B20" w14:textId="77777777">
        <w:trPr>
          <w:jc w:val="center"/>
        </w:trPr>
        <w:tc>
          <w:tcPr>
            <w:tcW w:w="1271" w:type="dxa"/>
            <w:vMerge w:val="restart"/>
            <w:shd w:val="clear" w:color="auto" w:fill="D9D9D9"/>
          </w:tcPr>
          <w:p w14:paraId="244BD9A0" w14:textId="77777777" w:rsidR="00D55228" w:rsidRPr="00CD142C" w:rsidRDefault="00D55228">
            <w:pPr>
              <w:spacing w:after="0" w:line="276" w:lineRule="auto"/>
              <w:jc w:val="both"/>
              <w:rPr>
                <w:rFonts w:ascii="Palatino Linotype" w:eastAsia="Palatino Linotype" w:hAnsi="Palatino Linotype" w:cs="Palatino Linotype"/>
                <w:b/>
                <w:sz w:val="20"/>
                <w:szCs w:val="20"/>
              </w:rPr>
            </w:pPr>
          </w:p>
          <w:p w14:paraId="0CE89749" w14:textId="77777777" w:rsidR="00D55228" w:rsidRPr="00CD142C" w:rsidRDefault="00D55228">
            <w:pPr>
              <w:spacing w:after="0" w:line="276" w:lineRule="auto"/>
              <w:jc w:val="both"/>
              <w:rPr>
                <w:rFonts w:ascii="Palatino Linotype" w:eastAsia="Palatino Linotype" w:hAnsi="Palatino Linotype" w:cs="Palatino Linotype"/>
                <w:b/>
                <w:sz w:val="20"/>
                <w:szCs w:val="20"/>
              </w:rPr>
            </w:pPr>
          </w:p>
          <w:p w14:paraId="52007BEC" w14:textId="77777777" w:rsidR="00D55228" w:rsidRPr="00CD142C" w:rsidRDefault="00D55228">
            <w:pPr>
              <w:spacing w:after="0" w:line="276" w:lineRule="auto"/>
              <w:jc w:val="both"/>
              <w:rPr>
                <w:rFonts w:ascii="Palatino Linotype" w:eastAsia="Palatino Linotype" w:hAnsi="Palatino Linotype" w:cs="Palatino Linotype"/>
                <w:b/>
                <w:sz w:val="20"/>
                <w:szCs w:val="20"/>
              </w:rPr>
            </w:pPr>
          </w:p>
          <w:p w14:paraId="779EF39C" w14:textId="77777777" w:rsidR="00D55228" w:rsidRPr="00CD142C" w:rsidRDefault="00D55228">
            <w:pPr>
              <w:spacing w:after="0" w:line="276" w:lineRule="auto"/>
              <w:jc w:val="both"/>
              <w:rPr>
                <w:rFonts w:ascii="Palatino Linotype" w:eastAsia="Palatino Linotype" w:hAnsi="Palatino Linotype" w:cs="Palatino Linotype"/>
                <w:b/>
                <w:sz w:val="20"/>
                <w:szCs w:val="20"/>
              </w:rPr>
            </w:pPr>
          </w:p>
          <w:p w14:paraId="27F49093" w14:textId="77777777" w:rsidR="00D55228" w:rsidRPr="00CD142C" w:rsidRDefault="00D55228">
            <w:pPr>
              <w:spacing w:after="0" w:line="276" w:lineRule="auto"/>
              <w:jc w:val="both"/>
              <w:rPr>
                <w:rFonts w:ascii="Palatino Linotype" w:eastAsia="Palatino Linotype" w:hAnsi="Palatino Linotype" w:cs="Palatino Linotype"/>
                <w:b/>
                <w:sz w:val="20"/>
                <w:szCs w:val="20"/>
              </w:rPr>
            </w:pPr>
          </w:p>
          <w:p w14:paraId="6C5B1644" w14:textId="77777777" w:rsidR="00D55228" w:rsidRPr="00CD142C" w:rsidRDefault="00D55228">
            <w:pPr>
              <w:spacing w:after="0" w:line="276" w:lineRule="auto"/>
              <w:jc w:val="both"/>
              <w:rPr>
                <w:rFonts w:ascii="Palatino Linotype" w:eastAsia="Palatino Linotype" w:hAnsi="Palatino Linotype" w:cs="Palatino Linotype"/>
                <w:b/>
                <w:sz w:val="20"/>
                <w:szCs w:val="20"/>
              </w:rPr>
            </w:pPr>
          </w:p>
          <w:p w14:paraId="7D7217C0" w14:textId="77777777" w:rsidR="00D55228" w:rsidRPr="00CD142C" w:rsidRDefault="001540D8">
            <w:pPr>
              <w:spacing w:after="0" w:line="276" w:lineRule="auto"/>
              <w:jc w:val="both"/>
              <w:rPr>
                <w:rFonts w:ascii="Palatino Linotype" w:eastAsia="Palatino Linotype" w:hAnsi="Palatino Linotype" w:cs="Palatino Linotype"/>
                <w:b/>
                <w:sz w:val="20"/>
                <w:szCs w:val="20"/>
              </w:rPr>
            </w:pPr>
            <w:r w:rsidRPr="00CD142C">
              <w:rPr>
                <w:rFonts w:ascii="Palatino Linotype" w:eastAsia="Palatino Linotype" w:hAnsi="Palatino Linotype" w:cs="Palatino Linotype"/>
                <w:b/>
                <w:sz w:val="20"/>
                <w:szCs w:val="20"/>
              </w:rPr>
              <w:t xml:space="preserve">Sello oficial o logotipo del sujeto obligado </w:t>
            </w:r>
          </w:p>
        </w:tc>
        <w:tc>
          <w:tcPr>
            <w:tcW w:w="2693" w:type="dxa"/>
          </w:tcPr>
          <w:p w14:paraId="1D061411" w14:textId="77777777" w:rsidR="00D55228" w:rsidRPr="00CD142C" w:rsidRDefault="001540D8">
            <w:pPr>
              <w:spacing w:after="0" w:line="276" w:lineRule="auto"/>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Fecha de clasificación</w:t>
            </w:r>
          </w:p>
        </w:tc>
        <w:tc>
          <w:tcPr>
            <w:tcW w:w="3691" w:type="dxa"/>
          </w:tcPr>
          <w:p w14:paraId="0D3C98A3" w14:textId="77777777" w:rsidR="00D55228" w:rsidRPr="00CD142C" w:rsidRDefault="001540D8">
            <w:pPr>
              <w:spacing w:after="0" w:line="276" w:lineRule="auto"/>
              <w:jc w:val="both"/>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 xml:space="preserve">Se anotará la fecha en la que el Comité de Transparencia confirmó la clasificación del documento o expediente, en su caso. </w:t>
            </w:r>
          </w:p>
        </w:tc>
      </w:tr>
      <w:tr w:rsidR="00CD142C" w:rsidRPr="00CD142C" w14:paraId="216BB3E1" w14:textId="77777777">
        <w:trPr>
          <w:jc w:val="center"/>
        </w:trPr>
        <w:tc>
          <w:tcPr>
            <w:tcW w:w="1271" w:type="dxa"/>
            <w:vMerge/>
            <w:shd w:val="clear" w:color="auto" w:fill="D9D9D9"/>
          </w:tcPr>
          <w:p w14:paraId="01270762" w14:textId="77777777" w:rsidR="00D55228" w:rsidRPr="00CD142C" w:rsidRDefault="00D55228">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rPr>
            </w:pPr>
          </w:p>
        </w:tc>
        <w:tc>
          <w:tcPr>
            <w:tcW w:w="2693" w:type="dxa"/>
          </w:tcPr>
          <w:p w14:paraId="5152FEA3" w14:textId="77777777" w:rsidR="00D55228" w:rsidRPr="00CD142C" w:rsidRDefault="001540D8">
            <w:pPr>
              <w:spacing w:after="0" w:line="276" w:lineRule="auto"/>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 xml:space="preserve">Área </w:t>
            </w:r>
          </w:p>
        </w:tc>
        <w:tc>
          <w:tcPr>
            <w:tcW w:w="3691" w:type="dxa"/>
          </w:tcPr>
          <w:p w14:paraId="77FF8A5B" w14:textId="77777777" w:rsidR="00D55228" w:rsidRPr="00CD142C" w:rsidRDefault="001540D8">
            <w:pPr>
              <w:spacing w:after="0" w:line="276" w:lineRule="auto"/>
              <w:jc w:val="both"/>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 xml:space="preserve">Se señalará el nombre del área del cual es titular quien clasifica. </w:t>
            </w:r>
          </w:p>
        </w:tc>
      </w:tr>
      <w:tr w:rsidR="00CD142C" w:rsidRPr="00CD142C" w14:paraId="591771FE" w14:textId="77777777">
        <w:trPr>
          <w:jc w:val="center"/>
        </w:trPr>
        <w:tc>
          <w:tcPr>
            <w:tcW w:w="1271" w:type="dxa"/>
            <w:vMerge/>
            <w:shd w:val="clear" w:color="auto" w:fill="D9D9D9"/>
          </w:tcPr>
          <w:p w14:paraId="3BE08B17" w14:textId="77777777" w:rsidR="00D55228" w:rsidRPr="00CD142C" w:rsidRDefault="00D55228">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rPr>
            </w:pPr>
          </w:p>
        </w:tc>
        <w:tc>
          <w:tcPr>
            <w:tcW w:w="2693" w:type="dxa"/>
          </w:tcPr>
          <w:p w14:paraId="3044CEB8" w14:textId="77777777" w:rsidR="00D55228" w:rsidRPr="00CD142C" w:rsidRDefault="001540D8">
            <w:pPr>
              <w:spacing w:after="0" w:line="276" w:lineRule="auto"/>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Información Reservada</w:t>
            </w:r>
          </w:p>
        </w:tc>
        <w:tc>
          <w:tcPr>
            <w:tcW w:w="3691" w:type="dxa"/>
          </w:tcPr>
          <w:p w14:paraId="5ABB28C2" w14:textId="77777777" w:rsidR="00D55228" w:rsidRPr="00CD142C" w:rsidRDefault="001540D8">
            <w:pPr>
              <w:spacing w:after="0" w:line="276" w:lineRule="auto"/>
              <w:jc w:val="both"/>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Se indicarán las partes o páginas del documento que se clasifican como reservadas, o, en su caso, se precisará que se ha reservado el documento o expediente en su totalidad.</w:t>
            </w:r>
          </w:p>
        </w:tc>
      </w:tr>
      <w:tr w:rsidR="00CD142C" w:rsidRPr="00CD142C" w14:paraId="49728721" w14:textId="77777777">
        <w:trPr>
          <w:jc w:val="center"/>
        </w:trPr>
        <w:tc>
          <w:tcPr>
            <w:tcW w:w="1271" w:type="dxa"/>
            <w:vMerge/>
            <w:shd w:val="clear" w:color="auto" w:fill="D9D9D9"/>
          </w:tcPr>
          <w:p w14:paraId="737CFD1B" w14:textId="77777777" w:rsidR="00D55228" w:rsidRPr="00CD142C" w:rsidRDefault="00D55228">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rPr>
            </w:pPr>
          </w:p>
        </w:tc>
        <w:tc>
          <w:tcPr>
            <w:tcW w:w="2693" w:type="dxa"/>
          </w:tcPr>
          <w:p w14:paraId="1D06DADD" w14:textId="77777777" w:rsidR="00D55228" w:rsidRPr="00CD142C" w:rsidRDefault="001540D8">
            <w:pPr>
              <w:spacing w:after="0" w:line="276" w:lineRule="auto"/>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 xml:space="preserve">Periodo de Reserva </w:t>
            </w:r>
          </w:p>
        </w:tc>
        <w:tc>
          <w:tcPr>
            <w:tcW w:w="3691" w:type="dxa"/>
          </w:tcPr>
          <w:p w14:paraId="2B07130C" w14:textId="77777777" w:rsidR="00D55228" w:rsidRPr="00CD142C" w:rsidRDefault="001540D8">
            <w:pPr>
              <w:spacing w:after="0" w:line="276" w:lineRule="auto"/>
              <w:jc w:val="both"/>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 xml:space="preserve">Se anotará el número de años o meses por los que se mantendrá reservado el documento, el expediente o, en su caso, las partes o secciones reservadas. </w:t>
            </w:r>
          </w:p>
        </w:tc>
      </w:tr>
      <w:tr w:rsidR="00CD142C" w:rsidRPr="00CD142C" w14:paraId="1CA4F573" w14:textId="77777777">
        <w:trPr>
          <w:jc w:val="center"/>
        </w:trPr>
        <w:tc>
          <w:tcPr>
            <w:tcW w:w="1271" w:type="dxa"/>
            <w:vMerge/>
            <w:shd w:val="clear" w:color="auto" w:fill="D9D9D9"/>
          </w:tcPr>
          <w:p w14:paraId="49B6D9AD" w14:textId="77777777" w:rsidR="00D55228" w:rsidRPr="00CD142C" w:rsidRDefault="00D55228">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rPr>
            </w:pPr>
          </w:p>
        </w:tc>
        <w:tc>
          <w:tcPr>
            <w:tcW w:w="2693" w:type="dxa"/>
          </w:tcPr>
          <w:p w14:paraId="06C98FC7" w14:textId="77777777" w:rsidR="00D55228" w:rsidRPr="00CD142C" w:rsidRDefault="001540D8">
            <w:pPr>
              <w:spacing w:after="0" w:line="276" w:lineRule="auto"/>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Fundamento legal</w:t>
            </w:r>
          </w:p>
        </w:tc>
        <w:tc>
          <w:tcPr>
            <w:tcW w:w="3691" w:type="dxa"/>
          </w:tcPr>
          <w:p w14:paraId="7D9D752B" w14:textId="77777777" w:rsidR="00D55228" w:rsidRPr="00CD142C" w:rsidRDefault="001540D8">
            <w:pPr>
              <w:spacing w:after="0" w:line="276" w:lineRule="auto"/>
              <w:jc w:val="both"/>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 xml:space="preserve">Se señalará el nombre del ordenamiento el o los artículos, fracciones, párrafos con base en los cuales se sustente la reserva. </w:t>
            </w:r>
          </w:p>
        </w:tc>
      </w:tr>
      <w:tr w:rsidR="00CD142C" w:rsidRPr="00CD142C" w14:paraId="5B2D4418" w14:textId="77777777">
        <w:trPr>
          <w:jc w:val="center"/>
        </w:trPr>
        <w:tc>
          <w:tcPr>
            <w:tcW w:w="1271" w:type="dxa"/>
            <w:vMerge/>
            <w:shd w:val="clear" w:color="auto" w:fill="D9D9D9"/>
          </w:tcPr>
          <w:p w14:paraId="7F68F5F2" w14:textId="77777777" w:rsidR="00D55228" w:rsidRPr="00CD142C" w:rsidRDefault="00D55228">
            <w:pPr>
              <w:widowControl w:val="0"/>
              <w:pBdr>
                <w:top w:val="nil"/>
                <w:left w:val="nil"/>
                <w:bottom w:val="nil"/>
                <w:right w:val="nil"/>
                <w:between w:val="nil"/>
              </w:pBdr>
              <w:spacing w:after="0" w:line="276" w:lineRule="auto"/>
              <w:rPr>
                <w:rFonts w:ascii="Palatino Linotype" w:eastAsia="Palatino Linotype" w:hAnsi="Palatino Linotype" w:cs="Palatino Linotype"/>
                <w:sz w:val="20"/>
                <w:szCs w:val="20"/>
              </w:rPr>
            </w:pPr>
          </w:p>
        </w:tc>
        <w:tc>
          <w:tcPr>
            <w:tcW w:w="2693" w:type="dxa"/>
          </w:tcPr>
          <w:p w14:paraId="78B03574" w14:textId="77777777" w:rsidR="00D55228" w:rsidRPr="00CD142C" w:rsidRDefault="001540D8">
            <w:pPr>
              <w:spacing w:after="0" w:line="276" w:lineRule="auto"/>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Ampliación del periodo de reserva</w:t>
            </w:r>
          </w:p>
        </w:tc>
        <w:tc>
          <w:tcPr>
            <w:tcW w:w="3691" w:type="dxa"/>
          </w:tcPr>
          <w:p w14:paraId="1AFF9CC0" w14:textId="77777777" w:rsidR="00D55228" w:rsidRPr="00CD142C" w:rsidRDefault="001540D8">
            <w:pPr>
              <w:spacing w:after="0" w:line="276" w:lineRule="auto"/>
              <w:jc w:val="both"/>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 xml:space="preserve">En caso de haber solicitado la ampliación del periodo de reserva originalmente establecido, se deberá anotar el número de años o meses por los que se amplía la reserva. </w:t>
            </w:r>
          </w:p>
        </w:tc>
      </w:tr>
      <w:tr w:rsidR="00CD142C" w:rsidRPr="00CD142C" w14:paraId="18C3595A" w14:textId="77777777">
        <w:trPr>
          <w:jc w:val="center"/>
        </w:trPr>
        <w:tc>
          <w:tcPr>
            <w:tcW w:w="3964" w:type="dxa"/>
            <w:gridSpan w:val="2"/>
            <w:shd w:val="clear" w:color="auto" w:fill="D9D9D9"/>
          </w:tcPr>
          <w:p w14:paraId="729A3E75" w14:textId="77777777" w:rsidR="00D55228" w:rsidRPr="00CD142C" w:rsidRDefault="001540D8">
            <w:pPr>
              <w:spacing w:after="0" w:line="276" w:lineRule="auto"/>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Rúbrica del titular del área</w:t>
            </w:r>
          </w:p>
        </w:tc>
        <w:tc>
          <w:tcPr>
            <w:tcW w:w="3691" w:type="dxa"/>
            <w:shd w:val="clear" w:color="auto" w:fill="D9D9D9"/>
          </w:tcPr>
          <w:p w14:paraId="225B045E" w14:textId="77777777" w:rsidR="00D55228" w:rsidRPr="00CD142C" w:rsidRDefault="001540D8">
            <w:pPr>
              <w:spacing w:after="0" w:line="276" w:lineRule="auto"/>
              <w:jc w:val="both"/>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 xml:space="preserve">Rúbrica autógrafa o firma digital de quien clasifica. </w:t>
            </w:r>
          </w:p>
        </w:tc>
      </w:tr>
      <w:tr w:rsidR="00CD142C" w:rsidRPr="00CD142C" w14:paraId="694E5ABF" w14:textId="77777777">
        <w:trPr>
          <w:jc w:val="center"/>
        </w:trPr>
        <w:tc>
          <w:tcPr>
            <w:tcW w:w="3964" w:type="dxa"/>
            <w:gridSpan w:val="2"/>
            <w:shd w:val="clear" w:color="auto" w:fill="D9D9D9"/>
          </w:tcPr>
          <w:p w14:paraId="194784F3" w14:textId="77777777" w:rsidR="00D55228" w:rsidRPr="00CD142C" w:rsidRDefault="001540D8">
            <w:pPr>
              <w:spacing w:after="0" w:line="276" w:lineRule="auto"/>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 xml:space="preserve">Fecha de desclasificación </w:t>
            </w:r>
          </w:p>
        </w:tc>
        <w:tc>
          <w:tcPr>
            <w:tcW w:w="3691" w:type="dxa"/>
            <w:shd w:val="clear" w:color="auto" w:fill="D9D9D9"/>
          </w:tcPr>
          <w:p w14:paraId="67C41B0B" w14:textId="77777777" w:rsidR="00D55228" w:rsidRPr="00CD142C" w:rsidRDefault="001540D8">
            <w:pPr>
              <w:spacing w:after="0" w:line="276" w:lineRule="auto"/>
              <w:jc w:val="both"/>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 xml:space="preserve">Se anotará la fecha en que se desclasifica el documento. </w:t>
            </w:r>
          </w:p>
        </w:tc>
      </w:tr>
      <w:tr w:rsidR="00CD142C" w:rsidRPr="00CD142C" w14:paraId="2113C606" w14:textId="77777777">
        <w:trPr>
          <w:jc w:val="center"/>
        </w:trPr>
        <w:tc>
          <w:tcPr>
            <w:tcW w:w="3964" w:type="dxa"/>
            <w:gridSpan w:val="2"/>
            <w:shd w:val="clear" w:color="auto" w:fill="D9D9D9"/>
          </w:tcPr>
          <w:p w14:paraId="7DFC44D9" w14:textId="77777777" w:rsidR="00D55228" w:rsidRPr="00CD142C" w:rsidRDefault="001540D8">
            <w:pPr>
              <w:spacing w:after="0" w:line="276" w:lineRule="auto"/>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 xml:space="preserve">Rúbrica y cargo del servidor público </w:t>
            </w:r>
          </w:p>
        </w:tc>
        <w:tc>
          <w:tcPr>
            <w:tcW w:w="3691" w:type="dxa"/>
            <w:shd w:val="clear" w:color="auto" w:fill="D9D9D9"/>
          </w:tcPr>
          <w:p w14:paraId="51EA3583" w14:textId="77777777" w:rsidR="00D55228" w:rsidRPr="00CD142C" w:rsidRDefault="001540D8">
            <w:pPr>
              <w:spacing w:after="0" w:line="276" w:lineRule="auto"/>
              <w:jc w:val="both"/>
              <w:rPr>
                <w:rFonts w:ascii="Palatino Linotype" w:eastAsia="Palatino Linotype" w:hAnsi="Palatino Linotype" w:cs="Palatino Linotype"/>
                <w:sz w:val="20"/>
                <w:szCs w:val="20"/>
              </w:rPr>
            </w:pPr>
            <w:r w:rsidRPr="00CD142C">
              <w:rPr>
                <w:rFonts w:ascii="Palatino Linotype" w:eastAsia="Palatino Linotype" w:hAnsi="Palatino Linotype" w:cs="Palatino Linotype"/>
                <w:sz w:val="20"/>
                <w:szCs w:val="20"/>
              </w:rPr>
              <w:t xml:space="preserve">Rúbrica autógrafa o firma digital de quien desclasifica. </w:t>
            </w:r>
          </w:p>
        </w:tc>
      </w:tr>
    </w:tbl>
    <w:p w14:paraId="0EA08915" w14:textId="77777777" w:rsidR="00D55228" w:rsidRPr="00CD142C" w:rsidRDefault="00D55228">
      <w:pPr>
        <w:spacing w:after="0" w:line="276" w:lineRule="auto"/>
        <w:ind w:right="902"/>
        <w:rPr>
          <w:rFonts w:ascii="Palatino Linotype" w:eastAsia="Palatino Linotype" w:hAnsi="Palatino Linotype" w:cs="Palatino Linotype"/>
          <w:i/>
        </w:rPr>
      </w:pPr>
    </w:p>
    <w:p w14:paraId="3FB7A73F" w14:textId="77777777" w:rsidR="00D55228" w:rsidRPr="00CD142C" w:rsidRDefault="001540D8">
      <w:pPr>
        <w:spacing w:after="0" w:line="276" w:lineRule="auto"/>
        <w:ind w:left="567" w:right="902"/>
        <w:jc w:val="both"/>
        <w:rPr>
          <w:rFonts w:ascii="Palatino Linotype" w:eastAsia="Palatino Linotype" w:hAnsi="Palatino Linotype" w:cs="Palatino Linotype"/>
          <w:i/>
        </w:rPr>
      </w:pPr>
      <w:r w:rsidRPr="00CD142C">
        <w:rPr>
          <w:rFonts w:ascii="Palatino Linotype" w:eastAsia="Palatino Linotype" w:hAnsi="Palatino Linotype" w:cs="Palatino Linotype"/>
          <w:i/>
        </w:rPr>
        <w:t>Los documentos que integren un expediente reservado en su totalidad no deberán marcarse en lo individual.</w:t>
      </w:r>
    </w:p>
    <w:p w14:paraId="0397F3B5" w14:textId="77777777" w:rsidR="00D55228" w:rsidRPr="00CD142C" w:rsidRDefault="00D55228">
      <w:pPr>
        <w:spacing w:after="0" w:line="276" w:lineRule="auto"/>
        <w:ind w:left="567" w:right="902"/>
        <w:jc w:val="both"/>
        <w:rPr>
          <w:rFonts w:ascii="Palatino Linotype" w:eastAsia="Palatino Linotype" w:hAnsi="Palatino Linotype" w:cs="Palatino Linotype"/>
          <w:i/>
        </w:rPr>
      </w:pPr>
    </w:p>
    <w:p w14:paraId="776D15BB" w14:textId="77777777" w:rsidR="00D55228" w:rsidRPr="00CD142C" w:rsidRDefault="001540D8">
      <w:pPr>
        <w:spacing w:after="0" w:line="276" w:lineRule="auto"/>
        <w:ind w:left="567" w:right="902"/>
        <w:jc w:val="both"/>
        <w:rPr>
          <w:rFonts w:ascii="Palatino Linotype" w:eastAsia="Palatino Linotype" w:hAnsi="Palatino Linotype" w:cs="Palatino Linotype"/>
          <w:i/>
        </w:rPr>
      </w:pPr>
      <w:r w:rsidRPr="00CD142C">
        <w:rPr>
          <w:rFonts w:ascii="Palatino Linotype" w:eastAsia="Palatino Linotype" w:hAnsi="Palatino Linotype" w:cs="Palatino Linotype"/>
          <w:i/>
        </w:rPr>
        <w:t>Una vez desclasificados los expedientes, si existieren documentos que tuvieran el carácter de reservados deberán permanecer o ser marcados</w:t>
      </w:r>
      <w:r w:rsidRPr="00CD142C">
        <w:rPr>
          <w:rFonts w:ascii="Palatino Linotype" w:eastAsia="Palatino Linotype" w:hAnsi="Palatino Linotype" w:cs="Palatino Linotype"/>
          <w:sz w:val="24"/>
          <w:szCs w:val="24"/>
        </w:rPr>
        <w:t xml:space="preserve"> </w:t>
      </w:r>
    </w:p>
    <w:p w14:paraId="2EE7A2DE"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075FE2E9"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Asimismo, deberá observar los Lineamientos Quincuagésimo sexto, Quincuagésimo séptimo y Quincuagésimo octavo, establecen lo siguiente:</w:t>
      </w:r>
    </w:p>
    <w:p w14:paraId="0490CA55"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41AECF82" w14:textId="77777777" w:rsidR="00D55228" w:rsidRPr="00CD142C" w:rsidRDefault="001540D8">
      <w:pPr>
        <w:spacing w:after="0" w:line="276" w:lineRule="auto"/>
        <w:ind w:left="567" w:right="843"/>
        <w:jc w:val="both"/>
        <w:rPr>
          <w:rFonts w:ascii="Palatino Linotype" w:eastAsia="Palatino Linotype" w:hAnsi="Palatino Linotype" w:cs="Palatino Linotype"/>
          <w:i/>
        </w:rPr>
      </w:pPr>
      <w:r w:rsidRPr="00CD142C">
        <w:rPr>
          <w:rFonts w:ascii="Palatino Linotype" w:eastAsia="Palatino Linotype" w:hAnsi="Palatino Linotype" w:cs="Palatino Linotype"/>
          <w:i/>
        </w:rPr>
        <w:t>“</w:t>
      </w:r>
      <w:r w:rsidRPr="00CD142C">
        <w:rPr>
          <w:rFonts w:ascii="Palatino Linotype" w:eastAsia="Palatino Linotype" w:hAnsi="Palatino Linotype" w:cs="Palatino Linotype"/>
          <w:b/>
          <w:i/>
        </w:rPr>
        <w:t>Quincuagésimo sexto</w:t>
      </w:r>
      <w:r w:rsidRPr="00CD142C">
        <w:rPr>
          <w:rFonts w:ascii="Palatino Linotype" w:eastAsia="Palatino Linotype" w:hAnsi="Palatino Linotype" w:cs="Palatino Linotype"/>
          <w:i/>
        </w:rPr>
        <w:t xml:space="preserve">. Cuando la elaboración de la versión pública del documento o expediente que contenga partes o secciones reservadas o confidenciales, genere costos por reproducción por derivar de una solicitud de información o determinación de una </w:t>
      </w:r>
      <w:r w:rsidRPr="00CD142C">
        <w:rPr>
          <w:rFonts w:ascii="Palatino Linotype" w:eastAsia="Palatino Linotype" w:hAnsi="Palatino Linotype" w:cs="Palatino Linotype"/>
          <w:i/>
        </w:rPr>
        <w:lastRenderedPageBreak/>
        <w:t>autoridad competente, ésta será elaborada hasta que se haya acreditado el pago correspondiente.</w:t>
      </w:r>
    </w:p>
    <w:p w14:paraId="6A5B83A4" w14:textId="77777777" w:rsidR="00D55228" w:rsidRPr="00CD142C" w:rsidRDefault="001540D8">
      <w:pPr>
        <w:spacing w:after="0" w:line="276" w:lineRule="auto"/>
        <w:ind w:left="567" w:right="843"/>
        <w:jc w:val="both"/>
        <w:rPr>
          <w:rFonts w:ascii="Palatino Linotype" w:eastAsia="Palatino Linotype" w:hAnsi="Palatino Linotype" w:cs="Palatino Linotype"/>
          <w:i/>
        </w:rPr>
      </w:pPr>
      <w:r w:rsidRPr="00CD142C">
        <w:rPr>
          <w:rFonts w:ascii="Palatino Linotype" w:eastAsia="Palatino Linotype" w:hAnsi="Palatino Linotype" w:cs="Palatino Linotype"/>
          <w:b/>
          <w:i/>
        </w:rPr>
        <w:t>Quincuagésimo séptimo</w:t>
      </w:r>
      <w:r w:rsidRPr="00CD142C">
        <w:rPr>
          <w:rFonts w:ascii="Palatino Linotype" w:eastAsia="Palatino Linotype" w:hAnsi="Palatino Linotype" w:cs="Palatino Linotype"/>
          <w:i/>
        </w:rPr>
        <w:t xml:space="preserve">. Se considera, en principio, como información pública y no podrá omitirse de las versiones públicas la siguiente: </w:t>
      </w:r>
    </w:p>
    <w:p w14:paraId="53D62D7A" w14:textId="77777777" w:rsidR="00D55228" w:rsidRPr="00CD142C" w:rsidRDefault="001540D8">
      <w:pPr>
        <w:spacing w:after="0" w:line="276" w:lineRule="auto"/>
        <w:ind w:left="567" w:right="843"/>
        <w:jc w:val="both"/>
        <w:rPr>
          <w:rFonts w:ascii="Palatino Linotype" w:eastAsia="Palatino Linotype" w:hAnsi="Palatino Linotype" w:cs="Palatino Linotype"/>
          <w:i/>
        </w:rPr>
      </w:pPr>
      <w:r w:rsidRPr="00CD142C">
        <w:rPr>
          <w:rFonts w:ascii="Palatino Linotype" w:eastAsia="Palatino Linotype" w:hAnsi="Palatino Linotype" w:cs="Palatino Linotype"/>
          <w:b/>
          <w:i/>
        </w:rPr>
        <w:t>I</w:t>
      </w:r>
      <w:r w:rsidRPr="00CD142C">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14:paraId="5A9B87AC" w14:textId="77777777" w:rsidR="00D55228" w:rsidRPr="00CD142C" w:rsidRDefault="001540D8">
      <w:pPr>
        <w:spacing w:after="0" w:line="276" w:lineRule="auto"/>
        <w:ind w:left="567" w:right="843"/>
        <w:jc w:val="both"/>
        <w:rPr>
          <w:rFonts w:ascii="Palatino Linotype" w:eastAsia="Palatino Linotype" w:hAnsi="Palatino Linotype" w:cs="Palatino Linotype"/>
          <w:i/>
        </w:rPr>
      </w:pPr>
      <w:r w:rsidRPr="00CD142C">
        <w:rPr>
          <w:rFonts w:ascii="Palatino Linotype" w:eastAsia="Palatino Linotype" w:hAnsi="Palatino Linotype" w:cs="Palatino Linotype"/>
          <w:b/>
          <w:i/>
        </w:rPr>
        <w:t>II.</w:t>
      </w:r>
      <w:r w:rsidRPr="00CD142C">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14:paraId="1BB0AFF9" w14:textId="77777777" w:rsidR="00D55228" w:rsidRPr="00CD142C" w:rsidRDefault="001540D8">
      <w:pPr>
        <w:spacing w:after="0" w:line="276" w:lineRule="auto"/>
        <w:ind w:left="567" w:right="843"/>
        <w:jc w:val="both"/>
        <w:rPr>
          <w:rFonts w:ascii="Palatino Linotype" w:eastAsia="Palatino Linotype" w:hAnsi="Palatino Linotype" w:cs="Palatino Linotype"/>
          <w:i/>
        </w:rPr>
      </w:pPr>
      <w:r w:rsidRPr="00CD142C">
        <w:rPr>
          <w:rFonts w:ascii="Palatino Linotype" w:eastAsia="Palatino Linotype" w:hAnsi="Palatino Linotype" w:cs="Palatino Linotype"/>
          <w:b/>
          <w:i/>
        </w:rPr>
        <w:t>III</w:t>
      </w:r>
      <w:r w:rsidRPr="00CD142C">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645B98CE" w14:textId="77777777" w:rsidR="00D55228" w:rsidRPr="00CD142C" w:rsidRDefault="001540D8">
      <w:pPr>
        <w:spacing w:after="0" w:line="276" w:lineRule="auto"/>
        <w:ind w:left="567" w:right="843"/>
        <w:jc w:val="both"/>
        <w:rPr>
          <w:rFonts w:ascii="Palatino Linotype" w:eastAsia="Palatino Linotype" w:hAnsi="Palatino Linotype" w:cs="Palatino Linotype"/>
          <w:i/>
        </w:rPr>
      </w:pPr>
      <w:r w:rsidRPr="00CD142C">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2901FD44" w14:textId="77777777" w:rsidR="00D55228" w:rsidRPr="00CD142C" w:rsidRDefault="001540D8">
      <w:pPr>
        <w:spacing w:after="0" w:line="276" w:lineRule="auto"/>
        <w:ind w:left="567" w:right="843"/>
        <w:jc w:val="both"/>
        <w:rPr>
          <w:rFonts w:ascii="Palatino Linotype" w:eastAsia="Palatino Linotype" w:hAnsi="Palatino Linotype" w:cs="Palatino Linotype"/>
          <w:i/>
        </w:rPr>
      </w:pPr>
      <w:r w:rsidRPr="00CD142C">
        <w:rPr>
          <w:rFonts w:ascii="Palatino Linotype" w:eastAsia="Palatino Linotype" w:hAnsi="Palatino Linotype" w:cs="Palatino Linotype"/>
          <w:b/>
          <w:i/>
        </w:rPr>
        <w:t>Quincuagésimo octavo</w:t>
      </w:r>
      <w:r w:rsidRPr="00CD142C">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14:paraId="4C5DD8CB" w14:textId="77777777" w:rsidR="00D55228" w:rsidRPr="00CD142C" w:rsidRDefault="00D55228">
      <w:pPr>
        <w:spacing w:after="0" w:line="360" w:lineRule="auto"/>
        <w:ind w:left="851" w:right="902"/>
        <w:jc w:val="both"/>
        <w:rPr>
          <w:rFonts w:ascii="Palatino Linotype" w:eastAsia="Palatino Linotype" w:hAnsi="Palatino Linotype" w:cs="Palatino Linotype"/>
          <w:i/>
          <w:sz w:val="24"/>
          <w:szCs w:val="24"/>
        </w:rPr>
      </w:pPr>
    </w:p>
    <w:p w14:paraId="4752BB56" w14:textId="77777777" w:rsidR="00D60B1C" w:rsidRPr="00CD142C" w:rsidRDefault="001540D8" w:rsidP="00D60B1C">
      <w:pPr>
        <w:spacing w:line="360" w:lineRule="auto"/>
        <w:jc w:val="both"/>
        <w:rPr>
          <w:rFonts w:ascii="Palatino Linotype" w:eastAsia="Times New Roman" w:hAnsi="Palatino Linotype" w:cs="Tahoma"/>
          <w:iCs/>
          <w:lang w:val="es-ES" w:eastAsia="es-ES"/>
        </w:rPr>
      </w:pPr>
      <w:r w:rsidRPr="00CD142C">
        <w:rPr>
          <w:rFonts w:ascii="Palatino Linotype" w:eastAsia="Palatino Linotype" w:hAnsi="Palatino Linotype" w:cs="Palatino Linotype"/>
          <w:sz w:val="24"/>
          <w:szCs w:val="24"/>
        </w:rPr>
        <w:t xml:space="preserve">No escapa de la óptica de este organismo garante que de ser el caso en el que la documentación que se ordena entregar, contenga especificaciones técnicas </w:t>
      </w:r>
      <w:r w:rsidR="00D60B1C" w:rsidRPr="00CD142C">
        <w:rPr>
          <w:rFonts w:ascii="Palatino Linotype" w:eastAsia="Palatino Linotype" w:hAnsi="Palatino Linotype" w:cs="Palatino Linotype"/>
          <w:sz w:val="24"/>
          <w:szCs w:val="24"/>
        </w:rPr>
        <w:t xml:space="preserve">y equipamiento </w:t>
      </w:r>
      <w:r w:rsidRPr="00CD142C">
        <w:rPr>
          <w:rFonts w:ascii="Palatino Linotype" w:eastAsia="Palatino Linotype" w:hAnsi="Palatino Linotype" w:cs="Palatino Linotype"/>
          <w:sz w:val="24"/>
          <w:szCs w:val="24"/>
        </w:rPr>
        <w:t xml:space="preserve">de las patrullas, dichos datos deberá clasificarse como reservados, </w:t>
      </w:r>
      <w:r w:rsidR="00D60B1C" w:rsidRPr="00CD142C">
        <w:rPr>
          <w:rFonts w:ascii="Palatino Linotype" w:eastAsia="Times New Roman" w:hAnsi="Palatino Linotype" w:cs="Tahoma"/>
          <w:iCs/>
          <w:sz w:val="24"/>
          <w:lang w:val="es-ES" w:eastAsia="es-ES"/>
        </w:rPr>
        <w:t xml:space="preserve">pues revelaría la tecnología, sistemas y equipos, con los que cuenta la Secretaría de Seguridad, para el combate a la delincuencia en el Estado de México, pues al proporcionar información sobre el </w:t>
      </w:r>
      <w:r w:rsidR="00D60B1C" w:rsidRPr="00CD142C">
        <w:rPr>
          <w:rFonts w:ascii="Palatino Linotype" w:eastAsia="Times New Roman" w:hAnsi="Palatino Linotype" w:cs="Tahoma"/>
          <w:b/>
          <w:iCs/>
          <w:sz w:val="24"/>
          <w:lang w:val="es-ES" w:eastAsia="es-ES"/>
        </w:rPr>
        <w:t>armamento, blindaje y radios con los que cuentan las patrullas adquiridas,</w:t>
      </w:r>
      <w:r w:rsidR="00D60B1C" w:rsidRPr="00CD142C">
        <w:rPr>
          <w:rFonts w:ascii="Palatino Linotype" w:eastAsia="Times New Roman" w:hAnsi="Palatino Linotype" w:cs="Tahoma"/>
          <w:iCs/>
          <w:sz w:val="24"/>
          <w:lang w:val="es-ES" w:eastAsia="es-ES"/>
        </w:rPr>
        <w:t xml:space="preserve"> se estaría dando cuenta de los aparatos que se utilizan para estar en comunicación los policías, así como, el equipo y armamento especial, con el que cuentan los vehículos, y que es utilizado para mantener la seguridad dentro del territorio Estatal.</w:t>
      </w:r>
    </w:p>
    <w:p w14:paraId="4BE9B90B" w14:textId="77777777" w:rsidR="00D60B1C" w:rsidRPr="00CD142C" w:rsidRDefault="00D60B1C" w:rsidP="00D60B1C">
      <w:pPr>
        <w:spacing w:after="0" w:line="360" w:lineRule="auto"/>
        <w:jc w:val="both"/>
        <w:rPr>
          <w:rFonts w:ascii="Palatino Linotype" w:eastAsia="Times New Roman" w:hAnsi="Palatino Linotype" w:cs="Tahoma"/>
          <w:iCs/>
          <w:lang w:val="es-ES" w:eastAsia="es-ES"/>
        </w:rPr>
      </w:pPr>
    </w:p>
    <w:p w14:paraId="606CBCED" w14:textId="77777777" w:rsidR="00D60B1C" w:rsidRPr="00CD142C" w:rsidRDefault="00D60B1C" w:rsidP="00D60B1C">
      <w:pPr>
        <w:spacing w:after="0" w:line="360" w:lineRule="auto"/>
        <w:jc w:val="both"/>
        <w:rPr>
          <w:rFonts w:ascii="Palatino Linotype" w:eastAsia="Times New Roman" w:hAnsi="Palatino Linotype" w:cs="Tahoma"/>
          <w:iCs/>
          <w:sz w:val="24"/>
          <w:lang w:val="es-ES" w:eastAsia="es-ES"/>
        </w:rPr>
      </w:pPr>
      <w:r w:rsidRPr="00CD142C">
        <w:rPr>
          <w:rFonts w:ascii="Palatino Linotype" w:eastAsia="Times New Roman" w:hAnsi="Palatino Linotype" w:cs="Tahoma"/>
          <w:iCs/>
          <w:sz w:val="24"/>
          <w:lang w:val="es-ES" w:eastAsia="es-ES"/>
        </w:rPr>
        <w:t>Inclusive, dar a conocer las especificaciones de las patrullas, podría ocasionar que los entes delincuenciales busquen clonar dichos vehículos, con el fin de aumentar la inseguridad de la Entidad, pues podrían hacerse pasar como elementos de seguridad, o bien, podría ser utilizada dicha información para buscar las debilidades de las mismas y poderse aprovechar de dichas situaciones para realizar diversos delitos, lo cual va en detrimento de la paz y orden social.</w:t>
      </w:r>
    </w:p>
    <w:p w14:paraId="4698B972" w14:textId="77777777" w:rsidR="00D60B1C" w:rsidRPr="00CD142C" w:rsidRDefault="00D60B1C" w:rsidP="00D60B1C">
      <w:pPr>
        <w:spacing w:after="0" w:line="360" w:lineRule="auto"/>
        <w:jc w:val="both"/>
        <w:rPr>
          <w:rFonts w:ascii="Palatino Linotype" w:eastAsia="Times New Roman" w:hAnsi="Palatino Linotype" w:cs="Tahoma"/>
          <w:iCs/>
          <w:sz w:val="24"/>
          <w:lang w:val="es-ES" w:eastAsia="es-ES"/>
        </w:rPr>
      </w:pPr>
    </w:p>
    <w:p w14:paraId="6C0F3316" w14:textId="77777777" w:rsidR="00D60B1C" w:rsidRPr="00CD142C" w:rsidRDefault="00D60B1C" w:rsidP="00D60B1C">
      <w:pPr>
        <w:spacing w:after="0" w:line="360" w:lineRule="auto"/>
        <w:jc w:val="both"/>
        <w:rPr>
          <w:rFonts w:ascii="Palatino Linotype" w:eastAsia="Times New Roman" w:hAnsi="Palatino Linotype" w:cs="Tahoma"/>
          <w:b/>
          <w:bCs/>
          <w:iCs/>
          <w:sz w:val="24"/>
          <w:lang w:eastAsia="es-ES"/>
        </w:rPr>
      </w:pPr>
      <w:r w:rsidRPr="00CD142C">
        <w:rPr>
          <w:rFonts w:ascii="Palatino Linotype" w:eastAsia="Times New Roman" w:hAnsi="Palatino Linotype" w:cs="Tahoma"/>
          <w:bCs/>
          <w:iCs/>
          <w:sz w:val="24"/>
          <w:lang w:eastAsia="es-ES"/>
        </w:rPr>
        <w:t xml:space="preserve">Conforme a lo anterior, se puede colegir que proporcionar la información en análisis podría comprometer la seguridad pública, al poner en peligro las funciones a cargo del Municipio, </w:t>
      </w:r>
      <w:r w:rsidRPr="00CD142C">
        <w:rPr>
          <w:rFonts w:ascii="Palatino Linotype" w:eastAsia="Times New Roman" w:hAnsi="Palatino Linotype" w:cs="Tahoma"/>
          <w:iCs/>
          <w:sz w:val="24"/>
          <w:lang w:eastAsia="es-ES"/>
        </w:rPr>
        <w:t xml:space="preserve"> </w:t>
      </w:r>
      <w:r w:rsidRPr="00CD142C">
        <w:rPr>
          <w:rFonts w:ascii="Palatino Linotype" w:eastAsia="Times New Roman" w:hAnsi="Palatino Linotype" w:cs="Tahoma"/>
          <w:bCs/>
          <w:iCs/>
          <w:sz w:val="24"/>
          <w:lang w:eastAsia="es-ES"/>
        </w:rPr>
        <w:t xml:space="preserve">tendientes a preservar y resguardar la vida, la salud, la integridad y el ejercicio de los derechos de las personas, así como para el mantenimiento del orden público, toda vez </w:t>
      </w:r>
      <w:r w:rsidRPr="00CD142C">
        <w:rPr>
          <w:rFonts w:ascii="Palatino Linotype" w:eastAsia="Times New Roman" w:hAnsi="Palatino Linotype" w:cs="Tahoma"/>
          <w:b/>
          <w:bCs/>
          <w:iCs/>
          <w:sz w:val="24"/>
          <w:lang w:eastAsia="es-ES"/>
        </w:rPr>
        <w:t xml:space="preserve">que da cuenta de las tecnologías, equipos y sistemas con que cuentan las patrullas con que cuenta la Secretaría de Seguridad, </w:t>
      </w:r>
      <w:r w:rsidRPr="00CD142C">
        <w:rPr>
          <w:rFonts w:ascii="Palatino Linotype" w:eastAsia="Times New Roman" w:hAnsi="Palatino Linotype" w:cs="Tahoma"/>
          <w:bCs/>
          <w:iCs/>
          <w:sz w:val="24"/>
          <w:lang w:eastAsia="es-ES"/>
        </w:rPr>
        <w:t>y por lo tanto, acredita la causal de clasificación prevista en el artículo 140, fracción I, de la Ley de Transparencia y Acceso a la Información Pública del Estado de México</w:t>
      </w:r>
      <w:r w:rsidRPr="00CD142C">
        <w:rPr>
          <w:rFonts w:ascii="Palatino Linotype" w:eastAsia="Times New Roman" w:hAnsi="Palatino Linotype" w:cs="Tahoma"/>
          <w:b/>
          <w:bCs/>
          <w:iCs/>
          <w:sz w:val="24"/>
          <w:lang w:eastAsia="es-ES"/>
        </w:rPr>
        <w:t>.</w:t>
      </w:r>
    </w:p>
    <w:p w14:paraId="1E27C9AE" w14:textId="77777777" w:rsidR="00D60B1C" w:rsidRPr="00CD142C" w:rsidRDefault="00D60B1C" w:rsidP="00D60B1C">
      <w:pPr>
        <w:spacing w:after="0" w:line="360" w:lineRule="auto"/>
        <w:jc w:val="both"/>
        <w:rPr>
          <w:rFonts w:ascii="Palatino Linotype" w:eastAsia="Times New Roman" w:hAnsi="Palatino Linotype" w:cs="Tahoma"/>
          <w:iCs/>
          <w:sz w:val="24"/>
          <w:lang w:val="es-ES" w:eastAsia="es-ES"/>
        </w:rPr>
      </w:pPr>
    </w:p>
    <w:p w14:paraId="7770E742" w14:textId="77777777" w:rsidR="00D60B1C" w:rsidRPr="00CD142C" w:rsidRDefault="00D60B1C" w:rsidP="00D60B1C">
      <w:pPr>
        <w:spacing w:after="0" w:line="360" w:lineRule="auto"/>
        <w:jc w:val="both"/>
        <w:rPr>
          <w:rFonts w:ascii="Palatino Linotype" w:eastAsia="Times New Roman" w:hAnsi="Palatino Linotype" w:cs="Tahoma"/>
          <w:iCs/>
          <w:sz w:val="24"/>
          <w:lang w:val="es-ES" w:eastAsia="es-ES"/>
        </w:rPr>
      </w:pPr>
      <w:r w:rsidRPr="00CD142C">
        <w:rPr>
          <w:rFonts w:ascii="Palatino Linotype" w:eastAsia="Times New Roman" w:hAnsi="Palatino Linotype" w:cs="Tahoma"/>
          <w:iCs/>
          <w:sz w:val="24"/>
          <w:lang w:val="es-ES" w:eastAsia="es-ES"/>
        </w:rPr>
        <w:t>Ahora bien,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4164C105" w14:textId="77777777" w:rsidR="00D60B1C" w:rsidRPr="00CD142C" w:rsidRDefault="00D60B1C" w:rsidP="00D60B1C">
      <w:pPr>
        <w:spacing w:after="0" w:line="360" w:lineRule="auto"/>
        <w:jc w:val="both"/>
        <w:rPr>
          <w:rFonts w:ascii="Palatino Linotype" w:eastAsia="Times New Roman" w:hAnsi="Palatino Linotype" w:cs="Tahoma"/>
          <w:iCs/>
          <w:lang w:val="es-ES" w:eastAsia="es-ES"/>
        </w:rPr>
      </w:pPr>
    </w:p>
    <w:p w14:paraId="514DA1F9" w14:textId="77777777" w:rsidR="00D60B1C" w:rsidRPr="00CD142C" w:rsidRDefault="00D60B1C" w:rsidP="00D60B1C">
      <w:pPr>
        <w:numPr>
          <w:ilvl w:val="0"/>
          <w:numId w:val="8"/>
        </w:numPr>
        <w:spacing w:after="0" w:line="360" w:lineRule="auto"/>
        <w:jc w:val="both"/>
        <w:rPr>
          <w:rFonts w:ascii="Palatino Linotype" w:eastAsia="Times New Roman" w:hAnsi="Palatino Linotype" w:cs="Tahoma"/>
          <w:iCs/>
          <w:sz w:val="24"/>
          <w:lang w:val="es-ES_tradnl" w:eastAsia="es-ES"/>
        </w:rPr>
      </w:pPr>
      <w:r w:rsidRPr="00CD142C">
        <w:rPr>
          <w:rFonts w:ascii="Palatino Linotype" w:eastAsia="Times New Roman" w:hAnsi="Palatino Linotype" w:cs="Tahoma"/>
          <w:iCs/>
          <w:sz w:val="24"/>
          <w:lang w:val="es-ES_tradnl" w:eastAsia="es-ES"/>
        </w:rPr>
        <w:lastRenderedPageBreak/>
        <w:t>La divulgación de la información representa un riesgo real, demostrable e identificable de perjuicio significativo al interés público o a la seguridad nacional.</w:t>
      </w:r>
    </w:p>
    <w:p w14:paraId="2A4BC066" w14:textId="77777777" w:rsidR="00D60B1C" w:rsidRPr="00CD142C" w:rsidRDefault="00D60B1C" w:rsidP="00D60B1C">
      <w:pPr>
        <w:numPr>
          <w:ilvl w:val="0"/>
          <w:numId w:val="8"/>
        </w:numPr>
        <w:spacing w:after="0" w:line="360" w:lineRule="auto"/>
        <w:jc w:val="both"/>
        <w:rPr>
          <w:rFonts w:ascii="Palatino Linotype" w:eastAsia="Times New Roman" w:hAnsi="Palatino Linotype" w:cs="Tahoma"/>
          <w:iCs/>
          <w:sz w:val="24"/>
          <w:lang w:val="es-ES_tradnl" w:eastAsia="es-ES"/>
        </w:rPr>
      </w:pPr>
      <w:r w:rsidRPr="00CD142C">
        <w:rPr>
          <w:rFonts w:ascii="Palatino Linotype" w:eastAsia="Times New Roman" w:hAnsi="Palatino Linotype" w:cs="Tahoma"/>
          <w:iCs/>
          <w:sz w:val="24"/>
          <w:lang w:val="es-ES_tradnl" w:eastAsia="es-ES"/>
        </w:rPr>
        <w:t>El riesgo de perjuicio supera el interés público general de que se difunda.</w:t>
      </w:r>
    </w:p>
    <w:p w14:paraId="3720D4F5" w14:textId="77777777" w:rsidR="00D60B1C" w:rsidRPr="00CD142C" w:rsidRDefault="00D60B1C" w:rsidP="00D60B1C">
      <w:pPr>
        <w:numPr>
          <w:ilvl w:val="0"/>
          <w:numId w:val="8"/>
        </w:numPr>
        <w:spacing w:after="0" w:line="360" w:lineRule="auto"/>
        <w:jc w:val="both"/>
        <w:rPr>
          <w:rFonts w:ascii="Palatino Linotype" w:eastAsia="Times New Roman" w:hAnsi="Palatino Linotype" w:cs="Tahoma"/>
          <w:iCs/>
          <w:sz w:val="24"/>
          <w:lang w:val="es-ES_tradnl" w:eastAsia="es-ES"/>
        </w:rPr>
      </w:pPr>
      <w:r w:rsidRPr="00CD142C">
        <w:rPr>
          <w:rFonts w:ascii="Palatino Linotype" w:eastAsia="Times New Roman" w:hAnsi="Palatino Linotype" w:cs="Tahoma"/>
          <w:iCs/>
          <w:sz w:val="24"/>
          <w:lang w:val="es-ES_tradnl" w:eastAsia="es-ES"/>
        </w:rPr>
        <w:t>Que la limitación se adecua al principio de proporcionalidad y representa el medio menos restrictivo disponible para evitar el perjuicio.</w:t>
      </w:r>
    </w:p>
    <w:p w14:paraId="019694EC" w14:textId="77777777" w:rsidR="00D60B1C" w:rsidRPr="00CD142C" w:rsidRDefault="00D60B1C">
      <w:pPr>
        <w:spacing w:after="0" w:line="360" w:lineRule="auto"/>
        <w:jc w:val="both"/>
        <w:rPr>
          <w:rFonts w:ascii="Palatino Linotype" w:eastAsia="Palatino Linotype" w:hAnsi="Palatino Linotype" w:cs="Palatino Linotype"/>
          <w:sz w:val="24"/>
          <w:szCs w:val="24"/>
        </w:rPr>
      </w:pPr>
    </w:p>
    <w:p w14:paraId="08DBD404"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xml:space="preserve">Así, se desprende que es reservada toda aquella información que revele el estado de fuerza, y que puede ser utilizada para poner en riesgo la seguridad pública, como en el caso serían las especificaciones técnicas </w:t>
      </w:r>
      <w:r w:rsidR="00D60B1C" w:rsidRPr="00CD142C">
        <w:rPr>
          <w:rFonts w:ascii="Palatino Linotype" w:eastAsia="Palatino Linotype" w:hAnsi="Palatino Linotype" w:cs="Palatino Linotype"/>
          <w:sz w:val="24"/>
          <w:szCs w:val="24"/>
        </w:rPr>
        <w:t xml:space="preserve">y equipamiento </w:t>
      </w:r>
      <w:r w:rsidRPr="00CD142C">
        <w:rPr>
          <w:rFonts w:ascii="Palatino Linotype" w:eastAsia="Palatino Linotype" w:hAnsi="Palatino Linotype" w:cs="Palatino Linotype"/>
          <w:sz w:val="24"/>
          <w:szCs w:val="24"/>
        </w:rPr>
        <w:t>de patrullas, de advertirse estas en el listado de vehículos del que se ordena su entrega; se deberá entregar en versión pública cumpliéndose a cabalidad las formalidades antes indicadas.</w:t>
      </w:r>
    </w:p>
    <w:p w14:paraId="74614C5B"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 </w:t>
      </w:r>
    </w:p>
    <w:p w14:paraId="53BB3F86"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t>De esta manera,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180CEAC" w14:textId="77777777" w:rsidR="00D55228" w:rsidRPr="00CD142C" w:rsidRDefault="00D55228">
      <w:pPr>
        <w:spacing w:after="0" w:line="360" w:lineRule="auto"/>
        <w:jc w:val="both"/>
        <w:rPr>
          <w:rFonts w:ascii="Palatino Linotype" w:eastAsia="Palatino Linotype" w:hAnsi="Palatino Linotype" w:cs="Palatino Linotype"/>
          <w:sz w:val="24"/>
          <w:szCs w:val="24"/>
        </w:rPr>
      </w:pPr>
    </w:p>
    <w:p w14:paraId="558571E7"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sz w:val="24"/>
          <w:szCs w:val="24"/>
        </w:rPr>
        <w:lastRenderedPageBreak/>
        <w:t>Así, con fundamento en lo prescrito en los artículos 5 párrafos trigésimo segundo, trigésimo tercero y trigésimo cuarto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7B6F8773"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00AC537F" w14:textId="77777777" w:rsidR="00D55228" w:rsidRPr="00CD142C" w:rsidRDefault="001540D8">
      <w:pPr>
        <w:spacing w:after="0" w:line="360" w:lineRule="auto"/>
        <w:ind w:right="49"/>
        <w:jc w:val="center"/>
        <w:rPr>
          <w:rFonts w:ascii="Palatino Linotype" w:eastAsia="Palatino Linotype" w:hAnsi="Palatino Linotype" w:cs="Palatino Linotype"/>
          <w:b/>
          <w:sz w:val="24"/>
          <w:szCs w:val="24"/>
        </w:rPr>
      </w:pPr>
      <w:r w:rsidRPr="00CD142C">
        <w:rPr>
          <w:rFonts w:ascii="Palatino Linotype" w:eastAsia="Palatino Linotype" w:hAnsi="Palatino Linotype" w:cs="Palatino Linotype"/>
          <w:b/>
          <w:sz w:val="24"/>
          <w:szCs w:val="24"/>
        </w:rPr>
        <w:t>III.</w:t>
      </w:r>
      <w:r w:rsidRPr="00CD142C">
        <w:rPr>
          <w:rFonts w:ascii="Palatino Linotype" w:eastAsia="Palatino Linotype" w:hAnsi="Palatino Linotype" w:cs="Palatino Linotype"/>
          <w:b/>
          <w:sz w:val="24"/>
          <w:szCs w:val="24"/>
        </w:rPr>
        <w:tab/>
        <w:t>R E S U E L V E:</w:t>
      </w:r>
    </w:p>
    <w:p w14:paraId="6E0BE768"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59B96A6E" w14:textId="77777777" w:rsidR="00D55228" w:rsidRPr="00CD142C" w:rsidRDefault="001540D8">
      <w:pPr>
        <w:spacing w:after="0" w:line="360" w:lineRule="auto"/>
        <w:jc w:val="both"/>
        <w:rPr>
          <w:rFonts w:ascii="Palatino Linotype" w:eastAsia="Palatino Linotype" w:hAnsi="Palatino Linotype" w:cs="Palatino Linotype"/>
          <w:b/>
          <w:sz w:val="24"/>
          <w:szCs w:val="24"/>
        </w:rPr>
      </w:pPr>
      <w:r w:rsidRPr="00CD142C">
        <w:rPr>
          <w:rFonts w:ascii="Palatino Linotype" w:eastAsia="Palatino Linotype" w:hAnsi="Palatino Linotype" w:cs="Palatino Linotype"/>
          <w:b/>
          <w:sz w:val="24"/>
          <w:szCs w:val="24"/>
        </w:rPr>
        <w:t xml:space="preserve">Primero. </w:t>
      </w:r>
      <w:r w:rsidRPr="00CD142C">
        <w:rPr>
          <w:rFonts w:ascii="Palatino Linotype" w:eastAsia="Palatino Linotype" w:hAnsi="Palatino Linotype" w:cs="Palatino Linotype"/>
          <w:sz w:val="24"/>
          <w:szCs w:val="24"/>
        </w:rPr>
        <w:t xml:space="preserve">Resultan </w:t>
      </w:r>
      <w:r w:rsidRPr="00CD142C">
        <w:rPr>
          <w:rFonts w:ascii="Palatino Linotype" w:eastAsia="Palatino Linotype" w:hAnsi="Palatino Linotype" w:cs="Palatino Linotype"/>
          <w:b/>
          <w:sz w:val="24"/>
          <w:szCs w:val="24"/>
        </w:rPr>
        <w:t>parcialmente</w:t>
      </w:r>
      <w:r w:rsidRPr="00CD142C">
        <w:rPr>
          <w:rFonts w:ascii="Palatino Linotype" w:eastAsia="Palatino Linotype" w:hAnsi="Palatino Linotype" w:cs="Palatino Linotype"/>
          <w:sz w:val="24"/>
          <w:szCs w:val="24"/>
        </w:rPr>
        <w:t xml:space="preserve"> </w:t>
      </w:r>
      <w:r w:rsidRPr="00CD142C">
        <w:rPr>
          <w:rFonts w:ascii="Palatino Linotype" w:eastAsia="Palatino Linotype" w:hAnsi="Palatino Linotype" w:cs="Palatino Linotype"/>
          <w:b/>
          <w:sz w:val="24"/>
          <w:szCs w:val="24"/>
        </w:rPr>
        <w:t>fundadas</w:t>
      </w:r>
      <w:r w:rsidRPr="00CD142C">
        <w:rPr>
          <w:rFonts w:ascii="Palatino Linotype" w:eastAsia="Palatino Linotype" w:hAnsi="Palatino Linotype" w:cs="Palatino Linotype"/>
          <w:sz w:val="24"/>
          <w:szCs w:val="24"/>
        </w:rPr>
        <w:t xml:space="preserve"> las</w:t>
      </w:r>
      <w:r w:rsidRPr="00CD142C">
        <w:rPr>
          <w:rFonts w:ascii="Palatino Linotype" w:eastAsia="Palatino Linotype" w:hAnsi="Palatino Linotype" w:cs="Palatino Linotype"/>
          <w:b/>
          <w:sz w:val="24"/>
          <w:szCs w:val="24"/>
        </w:rPr>
        <w:t xml:space="preserve"> </w:t>
      </w:r>
      <w:r w:rsidRPr="00CD142C">
        <w:rPr>
          <w:rFonts w:ascii="Palatino Linotype" w:eastAsia="Palatino Linotype" w:hAnsi="Palatino Linotype" w:cs="Palatino Linotype"/>
          <w:sz w:val="24"/>
          <w:szCs w:val="24"/>
        </w:rPr>
        <w:t xml:space="preserve">razones o motivos de inconformidad hechos valer por la parte </w:t>
      </w:r>
      <w:r w:rsidRPr="00CD142C">
        <w:rPr>
          <w:rFonts w:ascii="Palatino Linotype" w:eastAsia="Palatino Linotype" w:hAnsi="Palatino Linotype" w:cs="Palatino Linotype"/>
          <w:b/>
          <w:sz w:val="24"/>
          <w:szCs w:val="24"/>
        </w:rPr>
        <w:t>Recurrente</w:t>
      </w:r>
      <w:r w:rsidRPr="00CD142C">
        <w:rPr>
          <w:rFonts w:ascii="Palatino Linotype" w:eastAsia="Palatino Linotype" w:hAnsi="Palatino Linotype" w:cs="Palatino Linotype"/>
          <w:sz w:val="24"/>
          <w:szCs w:val="24"/>
        </w:rPr>
        <w:t xml:space="preserve"> en el Recurso de Revisión </w:t>
      </w:r>
      <w:r w:rsidRPr="00CD142C">
        <w:rPr>
          <w:rFonts w:ascii="Palatino Linotype" w:eastAsia="Palatino Linotype" w:hAnsi="Palatino Linotype" w:cs="Palatino Linotype"/>
          <w:b/>
          <w:sz w:val="24"/>
          <w:szCs w:val="24"/>
        </w:rPr>
        <w:t xml:space="preserve">05464/INFOEM/IP/RR/2023; </w:t>
      </w:r>
      <w:r w:rsidRPr="00CD142C">
        <w:rPr>
          <w:rFonts w:ascii="Palatino Linotype" w:eastAsia="Palatino Linotype" w:hAnsi="Palatino Linotype" w:cs="Palatino Linotype"/>
          <w:sz w:val="24"/>
          <w:szCs w:val="24"/>
        </w:rPr>
        <w:t xml:space="preserve">por lo que, en términos del Considerando </w:t>
      </w:r>
      <w:r w:rsidRPr="00CD142C">
        <w:rPr>
          <w:rFonts w:ascii="Palatino Linotype" w:eastAsia="Palatino Linotype" w:hAnsi="Palatino Linotype" w:cs="Palatino Linotype"/>
          <w:b/>
          <w:sz w:val="24"/>
          <w:szCs w:val="24"/>
        </w:rPr>
        <w:t>Cuarto</w:t>
      </w:r>
      <w:r w:rsidRPr="00CD142C">
        <w:rPr>
          <w:rFonts w:ascii="Palatino Linotype" w:eastAsia="Palatino Linotype" w:hAnsi="Palatino Linotype" w:cs="Palatino Linotype"/>
          <w:sz w:val="24"/>
          <w:szCs w:val="24"/>
        </w:rPr>
        <w:t xml:space="preserve"> de la presente resolución se </w:t>
      </w:r>
      <w:r w:rsidRPr="00CD142C">
        <w:rPr>
          <w:rFonts w:ascii="Palatino Linotype" w:eastAsia="Palatino Linotype" w:hAnsi="Palatino Linotype" w:cs="Palatino Linotype"/>
          <w:b/>
          <w:sz w:val="24"/>
          <w:szCs w:val="24"/>
        </w:rPr>
        <w:t xml:space="preserve">Modifica </w:t>
      </w:r>
      <w:r w:rsidRPr="00CD142C">
        <w:rPr>
          <w:rFonts w:ascii="Palatino Linotype" w:eastAsia="Palatino Linotype" w:hAnsi="Palatino Linotype" w:cs="Palatino Linotype"/>
          <w:sz w:val="24"/>
          <w:szCs w:val="24"/>
        </w:rPr>
        <w:t xml:space="preserve">la respuesta emitida por el </w:t>
      </w:r>
      <w:r w:rsidRPr="00CD142C">
        <w:rPr>
          <w:rFonts w:ascii="Palatino Linotype" w:eastAsia="Palatino Linotype" w:hAnsi="Palatino Linotype" w:cs="Palatino Linotype"/>
          <w:b/>
          <w:sz w:val="24"/>
          <w:szCs w:val="24"/>
        </w:rPr>
        <w:t xml:space="preserve">Sujeto Obligado. </w:t>
      </w:r>
    </w:p>
    <w:p w14:paraId="3934E7AF" w14:textId="77777777" w:rsidR="00D55228" w:rsidRPr="00CD142C" w:rsidRDefault="00D55228">
      <w:pPr>
        <w:spacing w:after="0" w:line="360" w:lineRule="auto"/>
        <w:jc w:val="both"/>
        <w:rPr>
          <w:rFonts w:ascii="Palatino Linotype" w:eastAsia="Palatino Linotype" w:hAnsi="Palatino Linotype" w:cs="Palatino Linotype"/>
          <w:b/>
          <w:sz w:val="24"/>
          <w:szCs w:val="24"/>
        </w:rPr>
      </w:pPr>
    </w:p>
    <w:p w14:paraId="3DA909BA" w14:textId="77777777" w:rsidR="00D55228" w:rsidRPr="00CD142C" w:rsidRDefault="001540D8">
      <w:pPr>
        <w:spacing w:after="0" w:line="360" w:lineRule="auto"/>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 xml:space="preserve">Segundo. </w:t>
      </w:r>
      <w:r w:rsidRPr="00CD142C">
        <w:rPr>
          <w:rFonts w:ascii="Palatino Linotype" w:eastAsia="Palatino Linotype" w:hAnsi="Palatino Linotype" w:cs="Palatino Linotype"/>
          <w:sz w:val="24"/>
          <w:szCs w:val="24"/>
        </w:rPr>
        <w:t xml:space="preserve">Se </w:t>
      </w:r>
      <w:r w:rsidRPr="00CD142C">
        <w:rPr>
          <w:rFonts w:ascii="Palatino Linotype" w:eastAsia="Palatino Linotype" w:hAnsi="Palatino Linotype" w:cs="Palatino Linotype"/>
          <w:b/>
          <w:sz w:val="24"/>
          <w:szCs w:val="24"/>
        </w:rPr>
        <w:t>ordena</w:t>
      </w:r>
      <w:r w:rsidRPr="00CD142C">
        <w:rPr>
          <w:rFonts w:ascii="Palatino Linotype" w:eastAsia="Palatino Linotype" w:hAnsi="Palatino Linotype" w:cs="Palatino Linotype"/>
          <w:sz w:val="24"/>
          <w:szCs w:val="24"/>
        </w:rPr>
        <w:t xml:space="preserve"> al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que, en términos de los Considerandos </w:t>
      </w:r>
      <w:r w:rsidRPr="00CD142C">
        <w:rPr>
          <w:rFonts w:ascii="Palatino Linotype" w:eastAsia="Palatino Linotype" w:hAnsi="Palatino Linotype" w:cs="Palatino Linotype"/>
          <w:b/>
          <w:sz w:val="24"/>
          <w:szCs w:val="24"/>
        </w:rPr>
        <w:t xml:space="preserve">Cuarto </w:t>
      </w:r>
      <w:r w:rsidRPr="00CD142C">
        <w:rPr>
          <w:rFonts w:ascii="Palatino Linotype" w:eastAsia="Palatino Linotype" w:hAnsi="Palatino Linotype" w:cs="Palatino Linotype"/>
          <w:sz w:val="24"/>
          <w:szCs w:val="24"/>
        </w:rPr>
        <w:t xml:space="preserve">y </w:t>
      </w:r>
      <w:r w:rsidRPr="00CD142C">
        <w:rPr>
          <w:rFonts w:ascii="Palatino Linotype" w:eastAsia="Palatino Linotype" w:hAnsi="Palatino Linotype" w:cs="Palatino Linotype"/>
          <w:b/>
          <w:sz w:val="24"/>
          <w:szCs w:val="24"/>
        </w:rPr>
        <w:t>Quinto</w:t>
      </w:r>
      <w:r w:rsidRPr="00CD142C">
        <w:rPr>
          <w:rFonts w:ascii="Palatino Linotype" w:eastAsia="Palatino Linotype" w:hAnsi="Palatino Linotype" w:cs="Palatino Linotype"/>
          <w:sz w:val="24"/>
          <w:szCs w:val="24"/>
        </w:rPr>
        <w:t>, haga entrega vía Sistema de Acceso a la Información Mexiquense, de ser procedente en versión pública, los documentos en donde conste lo siguiente:</w:t>
      </w:r>
    </w:p>
    <w:p w14:paraId="18E706A7" w14:textId="77777777" w:rsidR="00D55228" w:rsidRPr="00CD142C" w:rsidRDefault="00D55228">
      <w:pPr>
        <w:spacing w:after="0" w:line="360" w:lineRule="auto"/>
        <w:ind w:right="560"/>
        <w:jc w:val="both"/>
        <w:rPr>
          <w:rFonts w:ascii="Palatino Linotype" w:eastAsia="Palatino Linotype" w:hAnsi="Palatino Linotype" w:cs="Palatino Linotype"/>
          <w:b/>
        </w:rPr>
      </w:pPr>
    </w:p>
    <w:p w14:paraId="71F70596" w14:textId="77777777" w:rsidR="00D55228" w:rsidRPr="00CD142C" w:rsidRDefault="00C56011">
      <w:pPr>
        <w:numPr>
          <w:ilvl w:val="6"/>
          <w:numId w:val="5"/>
        </w:numPr>
        <w:pBdr>
          <w:top w:val="nil"/>
          <w:left w:val="nil"/>
          <w:bottom w:val="nil"/>
          <w:right w:val="nil"/>
          <w:between w:val="nil"/>
        </w:pBdr>
        <w:spacing w:after="0" w:line="360" w:lineRule="auto"/>
        <w:ind w:left="851" w:right="560"/>
        <w:jc w:val="both"/>
        <w:rPr>
          <w:rFonts w:ascii="Palatino Linotype" w:eastAsia="Palatino Linotype" w:hAnsi="Palatino Linotype" w:cs="Palatino Linotype"/>
          <w:b/>
        </w:rPr>
      </w:pPr>
      <w:r w:rsidRPr="00CD142C">
        <w:rPr>
          <w:rFonts w:ascii="Palatino Linotype" w:eastAsia="Palatino Linotype" w:hAnsi="Palatino Linotype" w:cs="Palatino Linotype"/>
          <w:b/>
        </w:rPr>
        <w:t>El listado</w:t>
      </w:r>
      <w:r w:rsidR="001540D8" w:rsidRPr="00CD142C">
        <w:rPr>
          <w:rFonts w:ascii="Palatino Linotype" w:eastAsia="Palatino Linotype" w:hAnsi="Palatino Linotype" w:cs="Palatino Linotype"/>
          <w:b/>
        </w:rPr>
        <w:t xml:space="preserve"> de los vehículos propios y arrendados con que cuenta al once de agosto de dos mil veintitrés, señalados en respuesta.</w:t>
      </w:r>
    </w:p>
    <w:p w14:paraId="2C9E524A" w14:textId="77777777" w:rsidR="00D55228" w:rsidRPr="00CD142C" w:rsidRDefault="00D55228">
      <w:pPr>
        <w:pBdr>
          <w:top w:val="nil"/>
          <w:left w:val="nil"/>
          <w:bottom w:val="nil"/>
          <w:right w:val="nil"/>
          <w:between w:val="nil"/>
        </w:pBdr>
        <w:spacing w:after="0" w:line="360" w:lineRule="auto"/>
        <w:ind w:left="851" w:right="560"/>
        <w:jc w:val="both"/>
        <w:rPr>
          <w:rFonts w:ascii="Palatino Linotype" w:eastAsia="Palatino Linotype" w:hAnsi="Palatino Linotype" w:cs="Palatino Linotype"/>
          <w:b/>
        </w:rPr>
      </w:pPr>
    </w:p>
    <w:p w14:paraId="50C7B208" w14:textId="77777777" w:rsidR="00D55228" w:rsidRPr="00CD142C" w:rsidRDefault="001540D8">
      <w:pPr>
        <w:numPr>
          <w:ilvl w:val="6"/>
          <w:numId w:val="5"/>
        </w:numPr>
        <w:pBdr>
          <w:top w:val="nil"/>
          <w:left w:val="nil"/>
          <w:bottom w:val="nil"/>
          <w:right w:val="nil"/>
          <w:between w:val="nil"/>
        </w:pBdr>
        <w:spacing w:after="0" w:line="360" w:lineRule="auto"/>
        <w:ind w:left="851" w:right="560"/>
        <w:jc w:val="both"/>
        <w:rPr>
          <w:rFonts w:ascii="Palatino Linotype" w:eastAsia="Palatino Linotype" w:hAnsi="Palatino Linotype" w:cs="Palatino Linotype"/>
          <w:b/>
        </w:rPr>
      </w:pPr>
      <w:r w:rsidRPr="00CD142C">
        <w:rPr>
          <w:rFonts w:ascii="Palatino Linotype" w:eastAsia="Palatino Linotype" w:hAnsi="Palatino Linotype" w:cs="Palatino Linotype"/>
          <w:b/>
        </w:rPr>
        <w:t>El presupuesto asignado al capítulo de gasto 4000 “Transferencias, asignaciones, subsidios y otras ayudas”, del ejercicio fiscal 2023.</w:t>
      </w:r>
    </w:p>
    <w:p w14:paraId="1805ABE2" w14:textId="77777777" w:rsidR="00D55228" w:rsidRPr="00CD142C" w:rsidRDefault="00D55228">
      <w:pPr>
        <w:pBdr>
          <w:top w:val="nil"/>
          <w:left w:val="nil"/>
          <w:bottom w:val="nil"/>
          <w:right w:val="nil"/>
          <w:between w:val="nil"/>
        </w:pBdr>
        <w:spacing w:after="0" w:line="360" w:lineRule="auto"/>
        <w:ind w:left="720" w:right="560"/>
        <w:jc w:val="both"/>
        <w:rPr>
          <w:rFonts w:ascii="Palatino Linotype" w:eastAsia="Palatino Linotype" w:hAnsi="Palatino Linotype" w:cs="Palatino Linotype"/>
          <w:b/>
        </w:rPr>
      </w:pPr>
    </w:p>
    <w:p w14:paraId="2C9FC1D0" w14:textId="77777777" w:rsidR="00D55228" w:rsidRPr="00CD142C" w:rsidRDefault="001540D8">
      <w:pPr>
        <w:spacing w:after="0" w:line="276" w:lineRule="auto"/>
        <w:ind w:left="567" w:right="615"/>
        <w:jc w:val="both"/>
        <w:rPr>
          <w:rFonts w:ascii="Palatino Linotype" w:eastAsia="Palatino Linotype" w:hAnsi="Palatino Linotype" w:cs="Palatino Linotype"/>
          <w:i/>
        </w:rPr>
      </w:pPr>
      <w:bookmarkStart w:id="8" w:name="_1t3h5sf" w:colFirst="0" w:colLast="0"/>
      <w:bookmarkEnd w:id="8"/>
      <w:r w:rsidRPr="00CD142C">
        <w:rPr>
          <w:rFonts w:ascii="Palatino Linotype" w:eastAsia="Palatino Linotype" w:hAnsi="Palatino Linotype" w:cs="Palatino Linotype"/>
          <w:i/>
        </w:rPr>
        <w:t xml:space="preserve">Respecto de lo ordenado en el </w:t>
      </w:r>
      <w:r w:rsidRPr="00CD142C">
        <w:rPr>
          <w:rFonts w:ascii="Palatino Linotype" w:eastAsia="Palatino Linotype" w:hAnsi="Palatino Linotype" w:cs="Palatino Linotype"/>
          <w:b/>
          <w:i/>
        </w:rPr>
        <w:t>numeral 1,</w:t>
      </w:r>
      <w:r w:rsidRPr="00CD142C">
        <w:rPr>
          <w:rFonts w:ascii="Palatino Linotype" w:eastAsia="Palatino Linotype" w:hAnsi="Palatino Linotype" w:cs="Palatino Linotype"/>
          <w:i/>
        </w:rPr>
        <w:t xml:space="preserve"> deberá emitir el Acuerdo del Comité de Transparencia de conformidad con la Ley de Transparencia y Acceso a la Información </w:t>
      </w:r>
      <w:r w:rsidRPr="00CD142C">
        <w:rPr>
          <w:rFonts w:ascii="Palatino Linotype" w:eastAsia="Palatino Linotype" w:hAnsi="Palatino Linotype" w:cs="Palatino Linotype"/>
          <w:i/>
        </w:rPr>
        <w:lastRenderedPageBreak/>
        <w:t xml:space="preserve">Pública del Estado de México y Municipios, en el que funde y motive las razones sobre los datos que se supriman, eliminen o testen de los soportes documentales objeto de las versiones públicas que se formulen y se pongan a disposición de la parte </w:t>
      </w:r>
      <w:r w:rsidRPr="00CD142C">
        <w:rPr>
          <w:rFonts w:ascii="Palatino Linotype" w:eastAsia="Palatino Linotype" w:hAnsi="Palatino Linotype" w:cs="Palatino Linotype"/>
          <w:b/>
          <w:i/>
        </w:rPr>
        <w:t>Recurrente,</w:t>
      </w:r>
      <w:r w:rsidRPr="00CD142C">
        <w:rPr>
          <w:rFonts w:ascii="Palatino Linotype" w:eastAsia="Palatino Linotype" w:hAnsi="Palatino Linotype" w:cs="Palatino Linotype"/>
          <w:i/>
        </w:rPr>
        <w:t xml:space="preserve"> mismo que igualmente hará de su conocimiento.</w:t>
      </w:r>
    </w:p>
    <w:p w14:paraId="07DB11B2" w14:textId="77777777" w:rsidR="00D55228" w:rsidRPr="00CD142C" w:rsidRDefault="00D55228">
      <w:pPr>
        <w:spacing w:after="0" w:line="360" w:lineRule="auto"/>
        <w:ind w:right="49"/>
        <w:jc w:val="both"/>
        <w:rPr>
          <w:rFonts w:ascii="Palatino Linotype" w:eastAsia="Palatino Linotype" w:hAnsi="Palatino Linotype" w:cs="Palatino Linotype"/>
          <w:b/>
        </w:rPr>
      </w:pPr>
    </w:p>
    <w:p w14:paraId="7A4297ED" w14:textId="77777777" w:rsidR="00D55228" w:rsidRPr="00CD142C" w:rsidRDefault="001540D8">
      <w:pPr>
        <w:spacing w:after="20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Tercero.</w:t>
      </w:r>
      <w:r w:rsidRPr="00CD142C">
        <w:rPr>
          <w:rFonts w:ascii="Palatino Linotype" w:eastAsia="Palatino Linotype" w:hAnsi="Palatino Linotype" w:cs="Palatino Linotype"/>
          <w:sz w:val="24"/>
          <w:szCs w:val="24"/>
        </w:rPr>
        <w:t xml:space="preserve"> </w:t>
      </w:r>
      <w:r w:rsidRPr="00CD142C">
        <w:rPr>
          <w:rFonts w:ascii="Palatino Linotype" w:eastAsia="Palatino Linotype" w:hAnsi="Palatino Linotype" w:cs="Palatino Linotype"/>
          <w:b/>
          <w:sz w:val="24"/>
          <w:szCs w:val="24"/>
        </w:rPr>
        <w:t xml:space="preserve">Notifíquese </w:t>
      </w:r>
      <w:r w:rsidRPr="00CD142C">
        <w:rPr>
          <w:rFonts w:ascii="Palatino Linotype" w:eastAsia="Palatino Linotype" w:hAnsi="Palatino Linotype" w:cs="Palatino Linotype"/>
          <w:sz w:val="24"/>
          <w:szCs w:val="24"/>
        </w:rPr>
        <w:t>la presente resolución al T</w:t>
      </w:r>
      <w:r w:rsidRPr="00CD142C">
        <w:rPr>
          <w:rFonts w:ascii="Palatino Linotype" w:eastAsia="Palatino Linotype" w:hAnsi="Palatino Linotype" w:cs="Palatino Linotype"/>
          <w:b/>
          <w:sz w:val="24"/>
          <w:szCs w:val="24"/>
        </w:rPr>
        <w:t xml:space="preserve">itular de la Unidad de Transparencia </w:t>
      </w:r>
      <w:r w:rsidRPr="00CD142C">
        <w:rPr>
          <w:rFonts w:ascii="Palatino Linotype" w:eastAsia="Palatino Linotype" w:hAnsi="Palatino Linotype" w:cs="Palatino Linotype"/>
          <w:sz w:val="24"/>
          <w:szCs w:val="24"/>
        </w:rPr>
        <w:t xml:space="preserve">del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67CB5D20"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7FC0828B"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Cuarto.</w:t>
      </w:r>
      <w:r w:rsidRPr="00CD142C">
        <w:rPr>
          <w:rFonts w:ascii="Palatino Linotype" w:eastAsia="Palatino Linotype" w:hAnsi="Palatino Linotype" w:cs="Palatino Linotype"/>
          <w:sz w:val="24"/>
          <w:szCs w:val="24"/>
        </w:rPr>
        <w:t xml:space="preserve"> </w:t>
      </w:r>
      <w:r w:rsidRPr="00CD142C">
        <w:rPr>
          <w:rFonts w:ascii="Palatino Linotype" w:eastAsia="Palatino Linotype" w:hAnsi="Palatino Linotype" w:cs="Palatino Linotype"/>
          <w:b/>
          <w:sz w:val="24"/>
          <w:szCs w:val="24"/>
        </w:rPr>
        <w:t>Notifíquese vía SAIMEX</w:t>
      </w:r>
      <w:r w:rsidRPr="00CD142C">
        <w:rPr>
          <w:rFonts w:ascii="Palatino Linotype" w:eastAsia="Palatino Linotype" w:hAnsi="Palatino Linotype" w:cs="Palatino Linotype"/>
          <w:sz w:val="24"/>
          <w:szCs w:val="24"/>
        </w:rPr>
        <w:t xml:space="preserve"> a la parte </w:t>
      </w:r>
      <w:r w:rsidRPr="00CD142C">
        <w:rPr>
          <w:rFonts w:ascii="Palatino Linotype" w:eastAsia="Palatino Linotype" w:hAnsi="Palatino Linotype" w:cs="Palatino Linotype"/>
          <w:b/>
          <w:sz w:val="24"/>
          <w:szCs w:val="24"/>
        </w:rPr>
        <w:t xml:space="preserve">Recurrente </w:t>
      </w:r>
      <w:r w:rsidRPr="00CD142C">
        <w:rPr>
          <w:rFonts w:ascii="Palatino Linotype" w:eastAsia="Palatino Linotype" w:hAnsi="Palatino Linotype" w:cs="Palatino Linotype"/>
          <w:sz w:val="24"/>
          <w:szCs w:val="24"/>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175CFA3F" w14:textId="77777777" w:rsidR="00D55228" w:rsidRPr="00CD142C" w:rsidRDefault="00D55228">
      <w:pPr>
        <w:spacing w:after="0" w:line="360" w:lineRule="auto"/>
        <w:ind w:right="49"/>
        <w:jc w:val="both"/>
        <w:rPr>
          <w:rFonts w:ascii="Palatino Linotype" w:eastAsia="Palatino Linotype" w:hAnsi="Palatino Linotype" w:cs="Palatino Linotype"/>
          <w:sz w:val="24"/>
          <w:szCs w:val="24"/>
        </w:rPr>
      </w:pPr>
    </w:p>
    <w:p w14:paraId="64F8FE27" w14:textId="77777777" w:rsidR="00D55228" w:rsidRPr="00CD142C" w:rsidRDefault="001540D8">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b/>
          <w:sz w:val="24"/>
          <w:szCs w:val="24"/>
        </w:rPr>
        <w:t>Quinto.</w:t>
      </w:r>
      <w:r w:rsidRPr="00CD142C">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w:t>
      </w:r>
      <w:r w:rsidRPr="00CD142C">
        <w:rPr>
          <w:rFonts w:ascii="Palatino Linotype" w:eastAsia="Palatino Linotype" w:hAnsi="Palatino Linotype" w:cs="Palatino Linotype"/>
          <w:sz w:val="24"/>
          <w:szCs w:val="24"/>
        </w:rPr>
        <w:lastRenderedPageBreak/>
        <w:t xml:space="preserve">el </w:t>
      </w:r>
      <w:r w:rsidRPr="00CD142C">
        <w:rPr>
          <w:rFonts w:ascii="Palatino Linotype" w:eastAsia="Palatino Linotype" w:hAnsi="Palatino Linotype" w:cs="Palatino Linotype"/>
          <w:b/>
          <w:sz w:val="24"/>
          <w:szCs w:val="24"/>
        </w:rPr>
        <w:t>Sujeto Obligado</w:t>
      </w:r>
      <w:r w:rsidRPr="00CD142C">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14:paraId="3F3B1202" w14:textId="77777777" w:rsidR="00D55228" w:rsidRPr="00CD142C" w:rsidRDefault="00D55228">
      <w:pPr>
        <w:pBdr>
          <w:top w:val="nil"/>
          <w:left w:val="nil"/>
          <w:bottom w:val="nil"/>
          <w:right w:val="nil"/>
          <w:between w:val="nil"/>
        </w:pBdr>
        <w:spacing w:after="0" w:line="360" w:lineRule="auto"/>
        <w:ind w:right="-7"/>
        <w:jc w:val="both"/>
        <w:rPr>
          <w:rFonts w:ascii="Palatino Linotype" w:eastAsia="Palatino Linotype" w:hAnsi="Palatino Linotype" w:cs="Palatino Linotype"/>
          <w:sz w:val="24"/>
          <w:szCs w:val="24"/>
        </w:rPr>
      </w:pPr>
    </w:p>
    <w:p w14:paraId="582EA985" w14:textId="77777777" w:rsidR="00D55228" w:rsidRPr="00CD142C" w:rsidRDefault="0028691C">
      <w:pPr>
        <w:spacing w:after="0" w:line="360" w:lineRule="auto"/>
        <w:ind w:right="49"/>
        <w:jc w:val="both"/>
        <w:rPr>
          <w:rFonts w:ascii="Palatino Linotype" w:eastAsia="Palatino Linotype" w:hAnsi="Palatino Linotype" w:cs="Palatino Linotype"/>
          <w:sz w:val="24"/>
          <w:szCs w:val="24"/>
        </w:rPr>
      </w:pPr>
      <w:r w:rsidRPr="00CD142C">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14:anchorId="3A117C06" wp14:editId="57475840">
                <wp:simplePos x="0" y="0"/>
                <wp:positionH relativeFrom="column">
                  <wp:posOffset>180975</wp:posOffset>
                </wp:positionH>
                <wp:positionV relativeFrom="paragraph">
                  <wp:posOffset>2702560</wp:posOffset>
                </wp:positionV>
                <wp:extent cx="5591175" cy="3762375"/>
                <wp:effectExtent l="38100" t="19050" r="66675" b="85725"/>
                <wp:wrapNone/>
                <wp:docPr id="1" name="Conector recto 1"/>
                <wp:cNvGraphicFramePr/>
                <a:graphic xmlns:a="http://schemas.openxmlformats.org/drawingml/2006/main">
                  <a:graphicData uri="http://schemas.microsoft.com/office/word/2010/wordprocessingShape">
                    <wps:wsp>
                      <wps:cNvCnPr/>
                      <wps:spPr>
                        <a:xfrm>
                          <a:off x="0" y="0"/>
                          <a:ext cx="5591175" cy="3762375"/>
                        </a:xfrm>
                        <a:prstGeom prst="line">
                          <a:avLst/>
                        </a:prstGeom>
                        <a:ln w="12700">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2FC440"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4.25pt,212.8pt" to="454.5pt,50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" strokecolor="black [3213]" strokeweight="1pt">
                <v:shadow on="t" color="black" opacity="24903f" origin=",.5" offset="0,.55556mm"/>
              </v:line>
            </w:pict>
          </mc:Fallback>
        </mc:AlternateContent>
      </w:r>
      <w:r w:rsidR="001540D8" w:rsidRPr="00CD142C">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w:t>
      </w:r>
      <w:r w:rsidR="000B2A9E" w:rsidRPr="00CD142C">
        <w:rPr>
          <w:rFonts w:ascii="Palatino Linotype" w:eastAsia="Palatino Linotype" w:hAnsi="Palatino Linotype" w:cs="Palatino Linotype"/>
          <w:sz w:val="24"/>
          <w:szCs w:val="24"/>
        </w:rPr>
        <w:t>; MARÍA DEL ROSARIO MEJÍA AYALA;</w:t>
      </w:r>
      <w:r w:rsidR="001540D8" w:rsidRPr="00CD142C">
        <w:rPr>
          <w:rFonts w:ascii="Palatino Linotype" w:eastAsia="Palatino Linotype" w:hAnsi="Palatino Linotype" w:cs="Palatino Linotype"/>
          <w:sz w:val="24"/>
          <w:szCs w:val="24"/>
        </w:rPr>
        <w:t xml:space="preserve"> S</w:t>
      </w:r>
      <w:r w:rsidR="000B2A9E" w:rsidRPr="00CD142C">
        <w:rPr>
          <w:rFonts w:ascii="Palatino Linotype" w:eastAsia="Palatino Linotype" w:hAnsi="Palatino Linotype" w:cs="Palatino Linotype"/>
          <w:sz w:val="24"/>
          <w:szCs w:val="24"/>
        </w:rPr>
        <w:t>HARON CRISTINA MORALES MARTÍNEZ;</w:t>
      </w:r>
      <w:r w:rsidR="001540D8" w:rsidRPr="00CD142C">
        <w:rPr>
          <w:rFonts w:ascii="Palatino Linotype" w:eastAsia="Palatino Linotype" w:hAnsi="Palatino Linotype" w:cs="Palatino Linotype"/>
          <w:sz w:val="24"/>
          <w:szCs w:val="24"/>
        </w:rPr>
        <w:t xml:space="preserve"> LUIS GUSTAVO PARRA NORIEGA</w:t>
      </w:r>
      <w:r w:rsidR="000B2A9E" w:rsidRPr="00CD142C">
        <w:rPr>
          <w:rFonts w:ascii="Palatino Linotype" w:eastAsia="Palatino Linotype" w:hAnsi="Palatino Linotype" w:cs="Palatino Linotype"/>
          <w:sz w:val="24"/>
          <w:szCs w:val="24"/>
        </w:rPr>
        <w:t>;</w:t>
      </w:r>
      <w:r w:rsidR="001540D8" w:rsidRPr="00CD142C">
        <w:rPr>
          <w:rFonts w:ascii="Palatino Linotype" w:eastAsia="Palatino Linotype" w:hAnsi="Palatino Linotype" w:cs="Palatino Linotype"/>
          <w:sz w:val="24"/>
          <w:szCs w:val="24"/>
        </w:rPr>
        <w:t xml:space="preserve"> Y</w:t>
      </w:r>
      <w:r w:rsidR="000B2A9E" w:rsidRPr="00CD142C">
        <w:rPr>
          <w:rFonts w:ascii="Palatino Linotype" w:eastAsia="Palatino Linotype" w:hAnsi="Palatino Linotype" w:cs="Palatino Linotype"/>
          <w:sz w:val="24"/>
          <w:szCs w:val="24"/>
        </w:rPr>
        <w:t>,</w:t>
      </w:r>
      <w:r w:rsidR="001540D8" w:rsidRPr="00CD142C">
        <w:rPr>
          <w:rFonts w:ascii="Palatino Linotype" w:eastAsia="Palatino Linotype" w:hAnsi="Palatino Linotype" w:cs="Palatino Linotype"/>
          <w:sz w:val="24"/>
          <w:szCs w:val="24"/>
        </w:rPr>
        <w:t xml:space="preserve"> GUADALUPE RAMÍREZ PEÑA</w:t>
      </w:r>
      <w:r w:rsidR="000B2A9E" w:rsidRPr="00CD142C">
        <w:rPr>
          <w:rFonts w:ascii="Palatino Linotype" w:eastAsia="Palatino Linotype" w:hAnsi="Palatino Linotype" w:cs="Palatino Linotype"/>
          <w:sz w:val="24"/>
          <w:szCs w:val="24"/>
        </w:rPr>
        <w:t>, EMITIENDO VOTO PARTICULAR</w:t>
      </w:r>
      <w:r w:rsidR="001540D8" w:rsidRPr="00CD142C">
        <w:rPr>
          <w:rFonts w:ascii="Palatino Linotype" w:eastAsia="Palatino Linotype" w:hAnsi="Palatino Linotype" w:cs="Palatino Linotype"/>
          <w:sz w:val="24"/>
          <w:szCs w:val="24"/>
        </w:rPr>
        <w:t xml:space="preserve">; EN LA </w:t>
      </w:r>
      <w:r w:rsidR="00D60B1C" w:rsidRPr="00CD142C">
        <w:rPr>
          <w:rFonts w:ascii="Palatino Linotype" w:eastAsia="Palatino Linotype" w:hAnsi="Palatino Linotype" w:cs="Palatino Linotype"/>
          <w:sz w:val="24"/>
          <w:szCs w:val="24"/>
        </w:rPr>
        <w:t>NOVENA</w:t>
      </w:r>
      <w:r w:rsidR="001540D8" w:rsidRPr="00CD142C">
        <w:rPr>
          <w:rFonts w:ascii="Palatino Linotype" w:eastAsia="Palatino Linotype" w:hAnsi="Palatino Linotype" w:cs="Palatino Linotype"/>
          <w:sz w:val="24"/>
          <w:szCs w:val="24"/>
        </w:rPr>
        <w:t xml:space="preserve"> SESIÓN ORDINARIA CELEBRADA EL </w:t>
      </w:r>
      <w:r w:rsidR="00D60B1C" w:rsidRPr="00CD142C">
        <w:rPr>
          <w:rFonts w:ascii="Palatino Linotype" w:eastAsia="Palatino Linotype" w:hAnsi="Palatino Linotype" w:cs="Palatino Linotype"/>
          <w:sz w:val="24"/>
          <w:szCs w:val="24"/>
        </w:rPr>
        <w:t>TRECE DE MARZO</w:t>
      </w:r>
      <w:r w:rsidR="001540D8" w:rsidRPr="00CD142C">
        <w:rPr>
          <w:rFonts w:ascii="Palatino Linotype" w:eastAsia="Palatino Linotype" w:hAnsi="Palatino Linotype" w:cs="Palatino Linotype"/>
          <w:sz w:val="24"/>
          <w:szCs w:val="24"/>
        </w:rPr>
        <w:t xml:space="preserve"> DE DOS MIL VEINTICUATRO, ANTE EL SECRETARIO TÉCNICO DEL PLENO ALEXIS TAPIA RAMÍREZ. </w:t>
      </w:r>
    </w:p>
    <w:p w14:paraId="112A4882"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1E2C5A00"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26858360"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6B0DB764"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0841560B"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4D8E87E3"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6FFFE987"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47AEC69F"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17068EDE"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71A38A9A"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2A091960"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3A1F5337"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5EC82890"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3FC9165F" w14:textId="77777777" w:rsidR="0028691C" w:rsidRPr="00CD142C" w:rsidRDefault="0028691C">
      <w:pPr>
        <w:spacing w:after="0" w:line="360" w:lineRule="auto"/>
        <w:ind w:right="49"/>
        <w:jc w:val="both"/>
        <w:rPr>
          <w:rFonts w:ascii="Palatino Linotype" w:eastAsia="Palatino Linotype" w:hAnsi="Palatino Linotype" w:cs="Palatino Linotype"/>
          <w:sz w:val="24"/>
          <w:szCs w:val="24"/>
        </w:rPr>
      </w:pPr>
    </w:p>
    <w:p w14:paraId="206C103B" w14:textId="77777777" w:rsidR="00D55228" w:rsidRPr="00CD142C" w:rsidRDefault="00D55228">
      <w:pPr>
        <w:spacing w:after="0" w:line="360" w:lineRule="auto"/>
        <w:ind w:right="-93"/>
        <w:jc w:val="both"/>
        <w:rPr>
          <w:rFonts w:ascii="Palatino Linotype" w:eastAsia="Palatino Linotype" w:hAnsi="Palatino Linotype" w:cs="Palatino Linotype"/>
          <w:sz w:val="24"/>
          <w:szCs w:val="24"/>
        </w:rPr>
      </w:pPr>
    </w:p>
    <w:p w14:paraId="6CB7797A" w14:textId="77777777" w:rsidR="00D55228" w:rsidRPr="00CD142C" w:rsidRDefault="00D55228">
      <w:pPr>
        <w:spacing w:after="0" w:line="360" w:lineRule="auto"/>
        <w:ind w:right="-93"/>
        <w:jc w:val="both"/>
        <w:rPr>
          <w:rFonts w:ascii="Palatino Linotype" w:eastAsia="Palatino Linotype" w:hAnsi="Palatino Linotype" w:cs="Palatino Linotype"/>
          <w:sz w:val="24"/>
          <w:szCs w:val="24"/>
        </w:rPr>
      </w:pPr>
    </w:p>
    <w:p w14:paraId="55BC398D" w14:textId="77777777" w:rsidR="00D55228" w:rsidRPr="00CD142C" w:rsidRDefault="00D55228">
      <w:pPr>
        <w:spacing w:after="0" w:line="360" w:lineRule="auto"/>
        <w:ind w:right="-93"/>
        <w:jc w:val="both"/>
        <w:rPr>
          <w:rFonts w:ascii="Palatino Linotype" w:eastAsia="Palatino Linotype" w:hAnsi="Palatino Linotype" w:cs="Palatino Linotype"/>
          <w:sz w:val="24"/>
          <w:szCs w:val="24"/>
        </w:rPr>
      </w:pPr>
    </w:p>
    <w:p w14:paraId="30F8B65B" w14:textId="77777777" w:rsidR="00D55228" w:rsidRPr="00CD142C" w:rsidRDefault="00D55228">
      <w:pPr>
        <w:spacing w:after="0" w:line="360" w:lineRule="auto"/>
        <w:ind w:right="-93"/>
        <w:jc w:val="both"/>
        <w:rPr>
          <w:rFonts w:ascii="Palatino Linotype" w:eastAsia="Palatino Linotype" w:hAnsi="Palatino Linotype" w:cs="Palatino Linotype"/>
          <w:sz w:val="24"/>
          <w:szCs w:val="24"/>
        </w:rPr>
      </w:pPr>
    </w:p>
    <w:p w14:paraId="50789C9F" w14:textId="77777777" w:rsidR="00D55228" w:rsidRPr="00CD142C" w:rsidRDefault="00D55228">
      <w:pPr>
        <w:spacing w:after="0" w:line="360" w:lineRule="auto"/>
        <w:ind w:right="-93"/>
        <w:jc w:val="both"/>
        <w:rPr>
          <w:rFonts w:ascii="Palatino Linotype" w:eastAsia="Palatino Linotype" w:hAnsi="Palatino Linotype" w:cs="Palatino Linotype"/>
          <w:sz w:val="24"/>
          <w:szCs w:val="24"/>
        </w:rPr>
      </w:pPr>
    </w:p>
    <w:p w14:paraId="3E1D5841" w14:textId="77777777" w:rsidR="00D55228" w:rsidRPr="00CD142C" w:rsidRDefault="00D55228">
      <w:pPr>
        <w:spacing w:after="0" w:line="360" w:lineRule="auto"/>
        <w:ind w:right="-93"/>
        <w:jc w:val="both"/>
        <w:rPr>
          <w:rFonts w:ascii="Palatino Linotype" w:eastAsia="Palatino Linotype" w:hAnsi="Palatino Linotype" w:cs="Palatino Linotype"/>
          <w:sz w:val="24"/>
          <w:szCs w:val="24"/>
        </w:rPr>
      </w:pPr>
    </w:p>
    <w:p w14:paraId="06CF7CF3" w14:textId="77777777" w:rsidR="00D55228" w:rsidRPr="00CD142C" w:rsidRDefault="00D55228">
      <w:pPr>
        <w:spacing w:after="0" w:line="360" w:lineRule="auto"/>
        <w:ind w:right="-93"/>
        <w:jc w:val="both"/>
        <w:rPr>
          <w:rFonts w:ascii="Palatino Linotype" w:eastAsia="Palatino Linotype" w:hAnsi="Palatino Linotype" w:cs="Palatino Linotype"/>
          <w:sz w:val="24"/>
          <w:szCs w:val="24"/>
        </w:rPr>
      </w:pPr>
    </w:p>
    <w:p w14:paraId="60F926C1" w14:textId="77777777" w:rsidR="00D55228" w:rsidRPr="00CD142C" w:rsidRDefault="00D55228">
      <w:pPr>
        <w:spacing w:after="0" w:line="360" w:lineRule="auto"/>
        <w:ind w:right="-93"/>
        <w:jc w:val="both"/>
        <w:rPr>
          <w:rFonts w:ascii="Palatino Linotype" w:eastAsia="Palatino Linotype" w:hAnsi="Palatino Linotype" w:cs="Palatino Linotype"/>
          <w:sz w:val="24"/>
          <w:szCs w:val="24"/>
        </w:rPr>
      </w:pPr>
    </w:p>
    <w:p w14:paraId="5150A7F5" w14:textId="77777777" w:rsidR="00D55228" w:rsidRPr="00CD142C" w:rsidRDefault="00D55228">
      <w:pPr>
        <w:spacing w:after="0" w:line="360" w:lineRule="auto"/>
        <w:ind w:right="-93"/>
        <w:jc w:val="both"/>
        <w:rPr>
          <w:rFonts w:ascii="Palatino Linotype" w:eastAsia="Palatino Linotype" w:hAnsi="Palatino Linotype" w:cs="Palatino Linotype"/>
          <w:sz w:val="24"/>
          <w:szCs w:val="24"/>
        </w:rPr>
      </w:pPr>
    </w:p>
    <w:p w14:paraId="1E4846C9" w14:textId="77777777" w:rsidR="00D55228" w:rsidRPr="00CD142C" w:rsidRDefault="00D55228">
      <w:pPr>
        <w:spacing w:after="0" w:line="360" w:lineRule="auto"/>
        <w:ind w:right="-93"/>
        <w:jc w:val="both"/>
        <w:rPr>
          <w:rFonts w:ascii="Palatino Linotype" w:eastAsia="Palatino Linotype" w:hAnsi="Palatino Linotype" w:cs="Palatino Linotype"/>
          <w:sz w:val="24"/>
          <w:szCs w:val="24"/>
        </w:rPr>
      </w:pPr>
    </w:p>
    <w:p w14:paraId="55D04C42" w14:textId="77777777" w:rsidR="00D55228" w:rsidRPr="00CD142C" w:rsidRDefault="00D55228">
      <w:pPr>
        <w:spacing w:after="0" w:line="360" w:lineRule="auto"/>
        <w:ind w:right="-93"/>
        <w:jc w:val="both"/>
        <w:rPr>
          <w:rFonts w:ascii="Palatino Linotype" w:eastAsia="Palatino Linotype" w:hAnsi="Palatino Linotype" w:cs="Palatino Linotype"/>
          <w:sz w:val="24"/>
          <w:szCs w:val="24"/>
        </w:rPr>
      </w:pPr>
    </w:p>
    <w:p w14:paraId="330A6581" w14:textId="77777777" w:rsidR="00D55228" w:rsidRPr="00CD142C" w:rsidRDefault="00D55228">
      <w:pPr>
        <w:spacing w:after="0" w:line="360" w:lineRule="auto"/>
        <w:ind w:right="-93"/>
        <w:jc w:val="both"/>
        <w:rPr>
          <w:rFonts w:ascii="Palatino Linotype" w:eastAsia="Palatino Linotype" w:hAnsi="Palatino Linotype" w:cs="Palatino Linotype"/>
          <w:sz w:val="24"/>
          <w:szCs w:val="24"/>
        </w:rPr>
      </w:pPr>
    </w:p>
    <w:sectPr w:rsidR="00D55228" w:rsidRPr="00CD142C">
      <w:headerReference w:type="default" r:id="rId35"/>
      <w:footerReference w:type="default" r:id="rId36"/>
      <w:headerReference w:type="first" r:id="rId37"/>
      <w:footerReference w:type="first" r:id="rId38"/>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1BC3E8" w14:textId="77777777" w:rsidR="00F20460" w:rsidRDefault="00F20460">
      <w:pPr>
        <w:spacing w:after="0" w:line="240" w:lineRule="auto"/>
      </w:pPr>
      <w:r>
        <w:separator/>
      </w:r>
    </w:p>
  </w:endnote>
  <w:endnote w:type="continuationSeparator" w:id="0">
    <w:p w14:paraId="6F95D17B" w14:textId="77777777" w:rsidR="00F20460" w:rsidRDefault="00F204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A5CC5" w14:textId="77777777" w:rsidR="00C56011" w:rsidRDefault="00C5601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51180">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51180">
      <w:rPr>
        <w:b/>
        <w:noProof/>
        <w:color w:val="000000"/>
        <w:sz w:val="24"/>
        <w:szCs w:val="24"/>
      </w:rPr>
      <w:t>73</w:t>
    </w:r>
    <w:r>
      <w:rPr>
        <w:b/>
        <w:color w:val="000000"/>
        <w:sz w:val="24"/>
        <w:szCs w:val="24"/>
      </w:rPr>
      <w:fldChar w:fldCharType="end"/>
    </w:r>
  </w:p>
  <w:p w14:paraId="6F65D897" w14:textId="77777777" w:rsidR="00C56011" w:rsidRDefault="00C56011">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807080" w14:textId="77777777" w:rsidR="00C56011" w:rsidRDefault="00C56011">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151180">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151180">
      <w:rPr>
        <w:b/>
        <w:noProof/>
        <w:color w:val="000000"/>
        <w:sz w:val="24"/>
        <w:szCs w:val="24"/>
      </w:rPr>
      <w:t>73</w:t>
    </w:r>
    <w:r>
      <w:rPr>
        <w:b/>
        <w:color w:val="000000"/>
        <w:sz w:val="24"/>
        <w:szCs w:val="24"/>
      </w:rPr>
      <w:fldChar w:fldCharType="end"/>
    </w:r>
  </w:p>
  <w:p w14:paraId="5F68C36D" w14:textId="77777777" w:rsidR="00C56011" w:rsidRDefault="00C56011">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B50397" w14:textId="77777777" w:rsidR="00F20460" w:rsidRDefault="00F20460">
      <w:pPr>
        <w:spacing w:after="0" w:line="240" w:lineRule="auto"/>
      </w:pPr>
      <w:r>
        <w:separator/>
      </w:r>
    </w:p>
  </w:footnote>
  <w:footnote w:type="continuationSeparator" w:id="0">
    <w:p w14:paraId="77F84351" w14:textId="77777777" w:rsidR="00F20460" w:rsidRDefault="00F20460">
      <w:pPr>
        <w:spacing w:after="0" w:line="240" w:lineRule="auto"/>
      </w:pPr>
      <w:r>
        <w:continuationSeparator/>
      </w:r>
    </w:p>
  </w:footnote>
  <w:footnote w:id="1">
    <w:p w14:paraId="6C40880D" w14:textId="77777777" w:rsidR="00C56011" w:rsidRDefault="00C5601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2B0456D" w14:textId="77777777" w:rsidR="00C56011" w:rsidRDefault="00C5601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3F640CE3" w14:textId="77777777" w:rsidR="00C56011" w:rsidRDefault="00C5601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https://www.conac.gob.mx/work/models/CONAC/normatividad/NOR_01_14_005.pdf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78D88F" w14:textId="77777777" w:rsidR="00C56011" w:rsidRDefault="00C56011">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14:anchorId="6F102B4E" wp14:editId="5A5A5156">
          <wp:simplePos x="0" y="0"/>
          <wp:positionH relativeFrom="column">
            <wp:posOffset>-746119</wp:posOffset>
          </wp:positionH>
          <wp:positionV relativeFrom="paragraph">
            <wp:posOffset>-448304</wp:posOffset>
          </wp:positionV>
          <wp:extent cx="7809876" cy="10165823"/>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1"/>
      <w:tblW w:w="5603" w:type="dxa"/>
      <w:tblInd w:w="3611" w:type="dxa"/>
      <w:tblLayout w:type="fixed"/>
      <w:tblLook w:val="0400" w:firstRow="0" w:lastRow="0" w:firstColumn="0" w:lastColumn="0" w:noHBand="0" w:noVBand="1"/>
    </w:tblPr>
    <w:tblGrid>
      <w:gridCol w:w="2551"/>
      <w:gridCol w:w="3052"/>
    </w:tblGrid>
    <w:tr w:rsidR="00C56011" w14:paraId="4BBBD85F" w14:textId="77777777">
      <w:tc>
        <w:tcPr>
          <w:tcW w:w="2551" w:type="dxa"/>
          <w:vAlign w:val="center"/>
        </w:tcPr>
        <w:p w14:paraId="7A18B392" w14:textId="77777777" w:rsidR="00C56011" w:rsidRDefault="00C5601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0ADEF23" w14:textId="77777777" w:rsidR="00C56011" w:rsidRDefault="00C5601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05464/INFOEM/IP/RR/2023</w:t>
          </w:r>
        </w:p>
      </w:tc>
    </w:tr>
    <w:tr w:rsidR="00C56011" w14:paraId="786E6F8C" w14:textId="77777777">
      <w:trPr>
        <w:trHeight w:val="228"/>
      </w:trPr>
      <w:tc>
        <w:tcPr>
          <w:tcW w:w="2551" w:type="dxa"/>
          <w:vAlign w:val="center"/>
        </w:tcPr>
        <w:p w14:paraId="0068995F" w14:textId="77777777" w:rsidR="00C56011" w:rsidRDefault="00C5601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7D0715B" w14:textId="77777777" w:rsidR="00C56011" w:rsidRDefault="00C5601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22999178" w14:textId="77777777" w:rsidR="00C56011" w:rsidRDefault="00C56011">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 Seguridad</w:t>
          </w:r>
        </w:p>
      </w:tc>
    </w:tr>
    <w:tr w:rsidR="00C56011" w14:paraId="7CA04C69" w14:textId="77777777">
      <w:tc>
        <w:tcPr>
          <w:tcW w:w="2551" w:type="dxa"/>
          <w:vAlign w:val="center"/>
        </w:tcPr>
        <w:p w14:paraId="3FBA4E96" w14:textId="77777777" w:rsidR="00C56011" w:rsidRDefault="00C5601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6965ACBA" w14:textId="77777777" w:rsidR="00C56011" w:rsidRDefault="00C5601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2CA0471D" w14:textId="77777777" w:rsidR="00C56011" w:rsidRDefault="00C56011">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DD671" w14:textId="77777777" w:rsidR="00C56011" w:rsidRDefault="00C56011">
    <w:pPr>
      <w:widowControl w:val="0"/>
      <w:pBdr>
        <w:top w:val="nil"/>
        <w:left w:val="nil"/>
        <w:bottom w:val="nil"/>
        <w:right w:val="nil"/>
        <w:between w:val="nil"/>
      </w:pBdr>
      <w:spacing w:after="0" w:line="276" w:lineRule="auto"/>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55EF2FC6" wp14:editId="5408AF79">
          <wp:simplePos x="0" y="0"/>
          <wp:positionH relativeFrom="column">
            <wp:posOffset>-713099</wp:posOffset>
          </wp:positionH>
          <wp:positionV relativeFrom="paragraph">
            <wp:posOffset>-154934</wp:posOffset>
          </wp:positionV>
          <wp:extent cx="7809876" cy="10165823"/>
          <wp:effectExtent l="0" t="0" r="0" b="0"/>
          <wp:wrapNone/>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0"/>
      <w:tblW w:w="5603" w:type="dxa"/>
      <w:tblInd w:w="3611" w:type="dxa"/>
      <w:tblLayout w:type="fixed"/>
      <w:tblLook w:val="0400" w:firstRow="0" w:lastRow="0" w:firstColumn="0" w:lastColumn="0" w:noHBand="0" w:noVBand="1"/>
    </w:tblPr>
    <w:tblGrid>
      <w:gridCol w:w="2551"/>
      <w:gridCol w:w="3052"/>
    </w:tblGrid>
    <w:tr w:rsidR="00C56011" w14:paraId="3590443A" w14:textId="77777777">
      <w:tc>
        <w:tcPr>
          <w:tcW w:w="2551" w:type="dxa"/>
          <w:vAlign w:val="center"/>
        </w:tcPr>
        <w:p w14:paraId="5548580F" w14:textId="77777777" w:rsidR="00C56011" w:rsidRDefault="00C5601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53671B54" w14:textId="77777777" w:rsidR="00C56011" w:rsidRDefault="00C5601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05464/INFOEM/IP/RR/2023</w:t>
          </w:r>
        </w:p>
      </w:tc>
    </w:tr>
    <w:tr w:rsidR="00C56011" w14:paraId="65DEEDB5" w14:textId="77777777">
      <w:tc>
        <w:tcPr>
          <w:tcW w:w="2551" w:type="dxa"/>
          <w:vAlign w:val="center"/>
        </w:tcPr>
        <w:p w14:paraId="7A962F52" w14:textId="77777777" w:rsidR="00C56011" w:rsidRDefault="00C5601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Recurrente:</w:t>
          </w:r>
        </w:p>
      </w:tc>
      <w:tc>
        <w:tcPr>
          <w:tcW w:w="3052" w:type="dxa"/>
          <w:vAlign w:val="center"/>
        </w:tcPr>
        <w:p w14:paraId="6EA25D37" w14:textId="77777777" w:rsidR="00C56011" w:rsidRDefault="00C56011">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rPr>
          </w:pPr>
        </w:p>
      </w:tc>
    </w:tr>
    <w:tr w:rsidR="00C56011" w14:paraId="225B5BD1" w14:textId="77777777">
      <w:trPr>
        <w:trHeight w:val="228"/>
      </w:trPr>
      <w:tc>
        <w:tcPr>
          <w:tcW w:w="2551" w:type="dxa"/>
          <w:vAlign w:val="center"/>
        </w:tcPr>
        <w:p w14:paraId="345213CB" w14:textId="77777777" w:rsidR="00C56011" w:rsidRDefault="00C5601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4BCE20D2" w14:textId="77777777" w:rsidR="00C56011" w:rsidRDefault="00C5601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3DCDFC78" w14:textId="77777777" w:rsidR="00C56011" w:rsidRDefault="00C56011">
          <w:pPr>
            <w:pBdr>
              <w:top w:val="nil"/>
              <w:left w:val="nil"/>
              <w:bottom w:val="nil"/>
              <w:right w:val="nil"/>
              <w:between w:val="nil"/>
            </w:pBdr>
            <w:tabs>
              <w:tab w:val="center" w:pos="4419"/>
              <w:tab w:val="right" w:pos="8838"/>
            </w:tabs>
            <w:ind w:right="316"/>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Secretaría de Seguridad</w:t>
          </w:r>
        </w:p>
      </w:tc>
    </w:tr>
    <w:tr w:rsidR="00C56011" w14:paraId="71365B8F" w14:textId="77777777">
      <w:tc>
        <w:tcPr>
          <w:tcW w:w="2551" w:type="dxa"/>
          <w:vAlign w:val="center"/>
        </w:tcPr>
        <w:p w14:paraId="25DE1AB3" w14:textId="77777777" w:rsidR="00C56011" w:rsidRDefault="00C5601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54B2FA3A" w14:textId="77777777" w:rsidR="00C56011" w:rsidRDefault="00C56011">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D636AA5" w14:textId="77777777" w:rsidR="00C56011" w:rsidRDefault="00C56011">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47777F"/>
    <w:multiLevelType w:val="multilevel"/>
    <w:tmpl w:val="2EC0034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879481E"/>
    <w:multiLevelType w:val="multilevel"/>
    <w:tmpl w:val="EA489302"/>
    <w:lvl w:ilvl="0">
      <w:start w:val="1"/>
      <w:numFmt w:val="bullet"/>
      <w:lvlText w:val="-"/>
      <w:lvlJc w:val="left"/>
      <w:pPr>
        <w:ind w:left="426" w:hanging="360"/>
      </w:pPr>
      <w:rPr>
        <w:rFonts w:ascii="Palatino Linotype" w:eastAsia="Palatino Linotype" w:hAnsi="Palatino Linotype" w:cs="Palatino Linotype"/>
        <w:b w:val="0"/>
      </w:rPr>
    </w:lvl>
    <w:lvl w:ilvl="1">
      <w:start w:val="1"/>
      <w:numFmt w:val="bullet"/>
      <w:lvlText w:val="o"/>
      <w:lvlJc w:val="left"/>
      <w:pPr>
        <w:ind w:left="1146" w:hanging="360"/>
      </w:pPr>
      <w:rPr>
        <w:rFonts w:ascii="Courier New" w:eastAsia="Courier New" w:hAnsi="Courier New" w:cs="Courier New"/>
      </w:rPr>
    </w:lvl>
    <w:lvl w:ilvl="2">
      <w:start w:val="1"/>
      <w:numFmt w:val="bullet"/>
      <w:lvlText w:val="▪"/>
      <w:lvlJc w:val="left"/>
      <w:pPr>
        <w:ind w:left="1866" w:hanging="360"/>
      </w:pPr>
      <w:rPr>
        <w:rFonts w:ascii="Noto Sans Symbols" w:eastAsia="Noto Sans Symbols" w:hAnsi="Noto Sans Symbols" w:cs="Noto Sans Symbols"/>
      </w:rPr>
    </w:lvl>
    <w:lvl w:ilvl="3">
      <w:start w:val="1"/>
      <w:numFmt w:val="bullet"/>
      <w:lvlText w:val="●"/>
      <w:lvlJc w:val="left"/>
      <w:pPr>
        <w:ind w:left="2586" w:hanging="360"/>
      </w:pPr>
      <w:rPr>
        <w:rFonts w:ascii="Noto Sans Symbols" w:eastAsia="Noto Sans Symbols" w:hAnsi="Noto Sans Symbols" w:cs="Noto Sans Symbols"/>
      </w:rPr>
    </w:lvl>
    <w:lvl w:ilvl="4">
      <w:start w:val="1"/>
      <w:numFmt w:val="bullet"/>
      <w:lvlText w:val="o"/>
      <w:lvlJc w:val="left"/>
      <w:pPr>
        <w:ind w:left="3306" w:hanging="360"/>
      </w:pPr>
      <w:rPr>
        <w:rFonts w:ascii="Courier New" w:eastAsia="Courier New" w:hAnsi="Courier New" w:cs="Courier New"/>
      </w:rPr>
    </w:lvl>
    <w:lvl w:ilvl="5">
      <w:start w:val="1"/>
      <w:numFmt w:val="bullet"/>
      <w:lvlText w:val="▪"/>
      <w:lvlJc w:val="left"/>
      <w:pPr>
        <w:ind w:left="4026" w:hanging="360"/>
      </w:pPr>
      <w:rPr>
        <w:rFonts w:ascii="Noto Sans Symbols" w:eastAsia="Noto Sans Symbols" w:hAnsi="Noto Sans Symbols" w:cs="Noto Sans Symbols"/>
      </w:rPr>
    </w:lvl>
    <w:lvl w:ilvl="6">
      <w:start w:val="1"/>
      <w:numFmt w:val="bullet"/>
      <w:lvlText w:val="●"/>
      <w:lvlJc w:val="left"/>
      <w:pPr>
        <w:ind w:left="4746" w:hanging="360"/>
      </w:pPr>
      <w:rPr>
        <w:rFonts w:ascii="Noto Sans Symbols" w:eastAsia="Noto Sans Symbols" w:hAnsi="Noto Sans Symbols" w:cs="Noto Sans Symbols"/>
      </w:rPr>
    </w:lvl>
    <w:lvl w:ilvl="7">
      <w:start w:val="1"/>
      <w:numFmt w:val="bullet"/>
      <w:lvlText w:val="o"/>
      <w:lvlJc w:val="left"/>
      <w:pPr>
        <w:ind w:left="5466" w:hanging="360"/>
      </w:pPr>
      <w:rPr>
        <w:rFonts w:ascii="Courier New" w:eastAsia="Courier New" w:hAnsi="Courier New" w:cs="Courier New"/>
      </w:rPr>
    </w:lvl>
    <w:lvl w:ilvl="8">
      <w:start w:val="1"/>
      <w:numFmt w:val="bullet"/>
      <w:lvlText w:val="▪"/>
      <w:lvlJc w:val="left"/>
      <w:pPr>
        <w:ind w:left="6186" w:hanging="360"/>
      </w:pPr>
      <w:rPr>
        <w:rFonts w:ascii="Noto Sans Symbols" w:eastAsia="Noto Sans Symbols" w:hAnsi="Noto Sans Symbols" w:cs="Noto Sans Symbols"/>
      </w:rPr>
    </w:lvl>
  </w:abstractNum>
  <w:abstractNum w:abstractNumId="2" w15:restartNumberingAfterBreak="0">
    <w:nsid w:val="391A51B2"/>
    <w:multiLevelType w:val="multilevel"/>
    <w:tmpl w:val="DED88826"/>
    <w:lvl w:ilvl="0">
      <w:start w:val="5"/>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B7C2679"/>
    <w:multiLevelType w:val="hybridMultilevel"/>
    <w:tmpl w:val="C8C48654"/>
    <w:lvl w:ilvl="0" w:tplc="6F6ABC3C">
      <w:start w:val="1"/>
      <w:numFmt w:val="upperRoman"/>
      <w:lvlText w:val="%1."/>
      <w:lvlJc w:val="left"/>
      <w:pPr>
        <w:ind w:left="720" w:hanging="72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4E81644B"/>
    <w:multiLevelType w:val="multilevel"/>
    <w:tmpl w:val="A876302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53FC4006"/>
    <w:multiLevelType w:val="multilevel"/>
    <w:tmpl w:val="BB9CEE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2576CA"/>
    <w:multiLevelType w:val="multilevel"/>
    <w:tmpl w:val="05AE417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7" w15:restartNumberingAfterBreak="0">
    <w:nsid w:val="61D501C8"/>
    <w:multiLevelType w:val="multilevel"/>
    <w:tmpl w:val="2CFACB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2"/>
  </w:num>
  <w:num w:numId="3">
    <w:abstractNumId w:val="7"/>
  </w:num>
  <w:num w:numId="4">
    <w:abstractNumId w:val="1"/>
  </w:num>
  <w:num w:numId="5">
    <w:abstractNumId w:val="0"/>
  </w:num>
  <w:num w:numId="6">
    <w:abstractNumId w:val="6"/>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228"/>
    <w:rsid w:val="000B2A9E"/>
    <w:rsid w:val="000B7B8E"/>
    <w:rsid w:val="00151180"/>
    <w:rsid w:val="001540D8"/>
    <w:rsid w:val="00160269"/>
    <w:rsid w:val="001E0CF3"/>
    <w:rsid w:val="0028691C"/>
    <w:rsid w:val="00353E3C"/>
    <w:rsid w:val="003A48EA"/>
    <w:rsid w:val="003B325D"/>
    <w:rsid w:val="004D5279"/>
    <w:rsid w:val="005467E4"/>
    <w:rsid w:val="005E5C33"/>
    <w:rsid w:val="005F0AB1"/>
    <w:rsid w:val="006A004D"/>
    <w:rsid w:val="007C2A54"/>
    <w:rsid w:val="007C3B68"/>
    <w:rsid w:val="008173A7"/>
    <w:rsid w:val="00C56011"/>
    <w:rsid w:val="00CD142C"/>
    <w:rsid w:val="00D55228"/>
    <w:rsid w:val="00D60B1C"/>
    <w:rsid w:val="00F20460"/>
    <w:rsid w:val="00F803AB"/>
    <w:rsid w:val="00FD24B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4EA94"/>
  <w15:docId w15:val="{F07306E8-D865-4781-866E-38D64618C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top w:w="15" w:type="dxa"/>
        <w:left w:w="115" w:type="dxa"/>
        <w:bottom w:w="15" w:type="dxa"/>
        <w:right w:w="115" w:type="dxa"/>
      </w:tblCellMar>
    </w:tblPr>
  </w:style>
  <w:style w:type="table" w:customStyle="1" w:styleId="a1">
    <w:basedOn w:val="TableNormal"/>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transparenciafiscal.edomex.gob.mx/CP2021_TIII" TargetMode="External"/><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transparenciafiscal.edomex.gob.mx/sites/transparenciafiscal.edomex.gob.mx/files/files/pdf/marco-programatico-presupuestal/gaceta-presupuesto-egresos-2023.pdf"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73</Pages>
  <Words>15454</Words>
  <Characters>84997</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100251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INFOEM563</cp:lastModifiedBy>
  <cp:revision>2</cp:revision>
  <cp:lastPrinted>2024-03-15T18:29:00Z</cp:lastPrinted>
  <dcterms:created xsi:type="dcterms:W3CDTF">2024-04-03T17:21:00Z</dcterms:created>
  <dcterms:modified xsi:type="dcterms:W3CDTF">2024-04-03T17:21:00Z</dcterms:modified>
</cp:coreProperties>
</file>