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949B2" w:rsidRDefault="00AE3DA7" w:rsidP="00C949B2">
          <w:pPr>
            <w:pStyle w:val="TtulodeTDC"/>
            <w:spacing w:before="0" w:line="240" w:lineRule="auto"/>
            <w:rPr>
              <w:rFonts w:ascii="Palatino Linotype" w:hAnsi="Palatino Linotype"/>
              <w:color w:val="auto"/>
              <w:sz w:val="24"/>
              <w:szCs w:val="24"/>
              <w:lang w:val="es-ES"/>
            </w:rPr>
          </w:pPr>
          <w:r w:rsidRPr="00C949B2">
            <w:rPr>
              <w:rFonts w:ascii="Palatino Linotype" w:hAnsi="Palatino Linotype"/>
              <w:color w:val="auto"/>
              <w:sz w:val="24"/>
              <w:szCs w:val="24"/>
              <w:lang w:val="es-ES"/>
            </w:rPr>
            <w:t>Contenido</w:t>
          </w:r>
        </w:p>
        <w:p w14:paraId="3EB312A7" w14:textId="77777777" w:rsidR="00AA6EA9" w:rsidRPr="00C949B2" w:rsidRDefault="00AA6EA9" w:rsidP="00C949B2">
          <w:pPr>
            <w:spacing w:line="240" w:lineRule="auto"/>
            <w:rPr>
              <w:sz w:val="16"/>
              <w:szCs w:val="16"/>
              <w:lang w:val="es-ES" w:eastAsia="es-MX"/>
            </w:rPr>
          </w:pPr>
        </w:p>
        <w:p w14:paraId="6DD6BD2A" w14:textId="5BFCC1E6" w:rsidR="00C949B2" w:rsidRPr="00C949B2" w:rsidRDefault="00AE3DA7" w:rsidP="00C949B2">
          <w:pPr>
            <w:pStyle w:val="TDC1"/>
            <w:tabs>
              <w:tab w:val="right" w:leader="dot" w:pos="9034"/>
            </w:tabs>
            <w:rPr>
              <w:rFonts w:asciiTheme="minorHAnsi" w:eastAsiaTheme="minorEastAsia" w:hAnsiTheme="minorHAnsi" w:cstheme="minorBidi"/>
              <w:noProof/>
              <w:szCs w:val="22"/>
              <w:lang w:eastAsia="es-MX"/>
            </w:rPr>
          </w:pPr>
          <w:r w:rsidRPr="00C949B2">
            <w:rPr>
              <w:sz w:val="16"/>
              <w:szCs w:val="16"/>
            </w:rPr>
            <w:fldChar w:fldCharType="begin"/>
          </w:r>
          <w:r w:rsidRPr="00C949B2">
            <w:rPr>
              <w:sz w:val="16"/>
              <w:szCs w:val="16"/>
            </w:rPr>
            <w:instrText xml:space="preserve"> TOC \o "1-3" \h \z \u </w:instrText>
          </w:r>
          <w:r w:rsidRPr="00C949B2">
            <w:rPr>
              <w:sz w:val="16"/>
              <w:szCs w:val="16"/>
            </w:rPr>
            <w:fldChar w:fldCharType="separate"/>
          </w:r>
          <w:hyperlink w:anchor="_Toc181265217" w:history="1">
            <w:r w:rsidR="00C949B2" w:rsidRPr="00C949B2">
              <w:rPr>
                <w:rStyle w:val="Hipervnculo"/>
                <w:noProof/>
                <w:color w:val="auto"/>
              </w:rPr>
              <w:t>ANTECEDENTES</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_Toc181265217 \h </w:instrText>
            </w:r>
            <w:r w:rsidR="00C949B2" w:rsidRPr="00C949B2">
              <w:rPr>
                <w:noProof/>
                <w:webHidden/>
              </w:rPr>
            </w:r>
            <w:r w:rsidR="00C949B2" w:rsidRPr="00C949B2">
              <w:rPr>
                <w:noProof/>
                <w:webHidden/>
              </w:rPr>
              <w:fldChar w:fldCharType="separate"/>
            </w:r>
            <w:r w:rsidR="0031450E">
              <w:rPr>
                <w:noProof/>
                <w:webHidden/>
              </w:rPr>
              <w:t>1</w:t>
            </w:r>
            <w:r w:rsidR="00C949B2" w:rsidRPr="00C949B2">
              <w:rPr>
                <w:noProof/>
                <w:webHidden/>
              </w:rPr>
              <w:fldChar w:fldCharType="end"/>
            </w:r>
          </w:hyperlink>
        </w:p>
        <w:p w14:paraId="6223DC42" w14:textId="20A26468" w:rsidR="00C949B2" w:rsidRPr="00C949B2" w:rsidRDefault="0030573B" w:rsidP="00C949B2">
          <w:pPr>
            <w:pStyle w:val="TDC2"/>
            <w:rPr>
              <w:rFonts w:asciiTheme="minorHAnsi" w:eastAsiaTheme="minorEastAsia" w:hAnsiTheme="minorHAnsi" w:cstheme="minorBidi"/>
              <w:noProof/>
              <w:szCs w:val="22"/>
              <w:lang w:eastAsia="es-MX"/>
            </w:rPr>
          </w:pPr>
          <w:hyperlink w:anchor="_Toc181265218" w:history="1">
            <w:r w:rsidR="00C949B2" w:rsidRPr="00C949B2">
              <w:rPr>
                <w:rStyle w:val="Hipervnculo"/>
                <w:noProof/>
                <w:color w:val="auto"/>
              </w:rPr>
              <w:t>DE LA SOLICITUD DE INFORMACIÓN</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_Toc181265218 \h </w:instrText>
            </w:r>
            <w:r w:rsidR="00C949B2" w:rsidRPr="00C949B2">
              <w:rPr>
                <w:noProof/>
                <w:webHidden/>
              </w:rPr>
            </w:r>
            <w:r w:rsidR="00C949B2" w:rsidRPr="00C949B2">
              <w:rPr>
                <w:noProof/>
                <w:webHidden/>
              </w:rPr>
              <w:fldChar w:fldCharType="separate"/>
            </w:r>
            <w:r w:rsidR="0031450E">
              <w:rPr>
                <w:noProof/>
                <w:webHidden/>
              </w:rPr>
              <w:t>1</w:t>
            </w:r>
            <w:r w:rsidR="00C949B2" w:rsidRPr="00C949B2">
              <w:rPr>
                <w:noProof/>
                <w:webHidden/>
              </w:rPr>
              <w:fldChar w:fldCharType="end"/>
            </w:r>
          </w:hyperlink>
        </w:p>
        <w:p w14:paraId="14C5AE50" w14:textId="5727E2D8" w:rsidR="00C949B2" w:rsidRPr="00C949B2" w:rsidRDefault="0030573B" w:rsidP="00C949B2">
          <w:pPr>
            <w:pStyle w:val="TDC3"/>
            <w:rPr>
              <w:rFonts w:asciiTheme="minorHAnsi" w:eastAsiaTheme="minorEastAsia" w:hAnsiTheme="minorHAnsi" w:cstheme="minorBidi"/>
              <w:noProof/>
              <w:szCs w:val="22"/>
              <w:lang w:eastAsia="es-MX"/>
            </w:rPr>
          </w:pPr>
          <w:hyperlink w:anchor="_Toc181265219" w:history="1">
            <w:r w:rsidR="00C949B2" w:rsidRPr="00C949B2">
              <w:rPr>
                <w:rStyle w:val="Hipervnculo"/>
                <w:noProof/>
                <w:color w:val="auto"/>
              </w:rPr>
              <w:t>a) Solicitud de información</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_Toc181265219 \h </w:instrText>
            </w:r>
            <w:r w:rsidR="00C949B2" w:rsidRPr="00C949B2">
              <w:rPr>
                <w:noProof/>
                <w:webHidden/>
              </w:rPr>
            </w:r>
            <w:r w:rsidR="00C949B2" w:rsidRPr="00C949B2">
              <w:rPr>
                <w:noProof/>
                <w:webHidden/>
              </w:rPr>
              <w:fldChar w:fldCharType="separate"/>
            </w:r>
            <w:r w:rsidR="0031450E">
              <w:rPr>
                <w:noProof/>
                <w:webHidden/>
              </w:rPr>
              <w:t>1</w:t>
            </w:r>
            <w:r w:rsidR="00C949B2" w:rsidRPr="00C949B2">
              <w:rPr>
                <w:noProof/>
                <w:webHidden/>
              </w:rPr>
              <w:fldChar w:fldCharType="end"/>
            </w:r>
          </w:hyperlink>
        </w:p>
        <w:p w14:paraId="7EBD00D6" w14:textId="512111DA" w:rsidR="00C949B2" w:rsidRPr="00C949B2" w:rsidRDefault="0030573B" w:rsidP="00C949B2">
          <w:pPr>
            <w:pStyle w:val="TDC3"/>
            <w:rPr>
              <w:rFonts w:asciiTheme="minorHAnsi" w:eastAsiaTheme="minorEastAsia" w:hAnsiTheme="minorHAnsi" w:cstheme="minorBidi"/>
              <w:noProof/>
              <w:szCs w:val="22"/>
              <w:lang w:eastAsia="es-MX"/>
            </w:rPr>
          </w:pPr>
          <w:hyperlink w:anchor="_Toc181265220" w:history="1">
            <w:r w:rsidR="00C949B2" w:rsidRPr="00C949B2">
              <w:rPr>
                <w:rStyle w:val="Hipervnculo"/>
                <w:noProof/>
                <w:color w:val="auto"/>
              </w:rPr>
              <w:t>b) Turno de la solicitud de información</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_Toc181265220 \h </w:instrText>
            </w:r>
            <w:r w:rsidR="00C949B2" w:rsidRPr="00C949B2">
              <w:rPr>
                <w:noProof/>
                <w:webHidden/>
              </w:rPr>
            </w:r>
            <w:r w:rsidR="00C949B2" w:rsidRPr="00C949B2">
              <w:rPr>
                <w:noProof/>
                <w:webHidden/>
              </w:rPr>
              <w:fldChar w:fldCharType="separate"/>
            </w:r>
            <w:r w:rsidR="0031450E">
              <w:rPr>
                <w:noProof/>
                <w:webHidden/>
              </w:rPr>
              <w:t>2</w:t>
            </w:r>
            <w:r w:rsidR="00C949B2" w:rsidRPr="00C949B2">
              <w:rPr>
                <w:noProof/>
                <w:webHidden/>
              </w:rPr>
              <w:fldChar w:fldCharType="end"/>
            </w:r>
          </w:hyperlink>
        </w:p>
        <w:p w14:paraId="33D6006A" w14:textId="5FA2A9B2" w:rsidR="00C949B2" w:rsidRPr="00C949B2" w:rsidRDefault="0030573B" w:rsidP="00C949B2">
          <w:pPr>
            <w:pStyle w:val="TDC3"/>
            <w:rPr>
              <w:rFonts w:asciiTheme="minorHAnsi" w:eastAsiaTheme="minorEastAsia" w:hAnsiTheme="minorHAnsi" w:cstheme="minorBidi"/>
              <w:noProof/>
              <w:szCs w:val="22"/>
              <w:lang w:eastAsia="es-MX"/>
            </w:rPr>
          </w:pPr>
          <w:hyperlink w:anchor="_Toc181265221" w:history="1">
            <w:r w:rsidR="00C949B2" w:rsidRPr="00C949B2">
              <w:rPr>
                <w:rStyle w:val="Hipervnculo"/>
                <w:noProof/>
                <w:color w:val="auto"/>
              </w:rPr>
              <w:t>c) Prórroga</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_Toc181265221 \h </w:instrText>
            </w:r>
            <w:r w:rsidR="00C949B2" w:rsidRPr="00C949B2">
              <w:rPr>
                <w:noProof/>
                <w:webHidden/>
              </w:rPr>
            </w:r>
            <w:r w:rsidR="00C949B2" w:rsidRPr="00C949B2">
              <w:rPr>
                <w:noProof/>
                <w:webHidden/>
              </w:rPr>
              <w:fldChar w:fldCharType="separate"/>
            </w:r>
            <w:r w:rsidR="0031450E">
              <w:rPr>
                <w:noProof/>
                <w:webHidden/>
              </w:rPr>
              <w:t>2</w:t>
            </w:r>
            <w:r w:rsidR="00C949B2" w:rsidRPr="00C949B2">
              <w:rPr>
                <w:noProof/>
                <w:webHidden/>
              </w:rPr>
              <w:fldChar w:fldCharType="end"/>
            </w:r>
          </w:hyperlink>
        </w:p>
        <w:p w14:paraId="33DAA0ED" w14:textId="406801CD" w:rsidR="00C949B2" w:rsidRPr="00C949B2" w:rsidRDefault="0030573B" w:rsidP="00C949B2">
          <w:pPr>
            <w:pStyle w:val="TDC3"/>
            <w:rPr>
              <w:rFonts w:asciiTheme="minorHAnsi" w:eastAsiaTheme="minorEastAsia" w:hAnsiTheme="minorHAnsi" w:cstheme="minorBidi"/>
              <w:noProof/>
              <w:szCs w:val="22"/>
              <w:lang w:eastAsia="es-MX"/>
            </w:rPr>
          </w:pPr>
          <w:hyperlink w:anchor="_Toc181265222" w:history="1">
            <w:r w:rsidR="00C949B2" w:rsidRPr="00C949B2">
              <w:rPr>
                <w:rStyle w:val="Hipervnculo"/>
                <w:noProof/>
                <w:color w:val="auto"/>
                <w:lang w:val="es-ES"/>
              </w:rPr>
              <w:t xml:space="preserve">d) Respuesta </w:t>
            </w:r>
            <w:r w:rsidR="00C949B2" w:rsidRPr="00C949B2">
              <w:rPr>
                <w:rStyle w:val="Hipervnculo"/>
                <w:rFonts w:eastAsia="Calibri"/>
                <w:noProof/>
                <w:color w:val="auto"/>
                <w:lang w:eastAsia="en-US"/>
              </w:rPr>
              <w:t>del Sujeto Obligado</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_Toc181265222 \h </w:instrText>
            </w:r>
            <w:r w:rsidR="00C949B2" w:rsidRPr="00C949B2">
              <w:rPr>
                <w:noProof/>
                <w:webHidden/>
              </w:rPr>
            </w:r>
            <w:r w:rsidR="00C949B2" w:rsidRPr="00C949B2">
              <w:rPr>
                <w:noProof/>
                <w:webHidden/>
              </w:rPr>
              <w:fldChar w:fldCharType="separate"/>
            </w:r>
            <w:r w:rsidR="0031450E">
              <w:rPr>
                <w:noProof/>
                <w:webHidden/>
              </w:rPr>
              <w:t>3</w:t>
            </w:r>
            <w:r w:rsidR="00C949B2" w:rsidRPr="00C949B2">
              <w:rPr>
                <w:noProof/>
                <w:webHidden/>
              </w:rPr>
              <w:fldChar w:fldCharType="end"/>
            </w:r>
          </w:hyperlink>
        </w:p>
        <w:p w14:paraId="655C6356" w14:textId="729455DA" w:rsidR="00C949B2" w:rsidRPr="00C949B2" w:rsidRDefault="0030573B" w:rsidP="00C949B2">
          <w:pPr>
            <w:pStyle w:val="TDC2"/>
            <w:rPr>
              <w:rFonts w:asciiTheme="minorHAnsi" w:eastAsiaTheme="minorEastAsia" w:hAnsiTheme="minorHAnsi" w:cstheme="minorBidi"/>
              <w:noProof/>
              <w:szCs w:val="22"/>
              <w:lang w:eastAsia="es-MX"/>
            </w:rPr>
          </w:pPr>
          <w:hyperlink w:anchor="_Toc181265223" w:history="1">
            <w:r w:rsidR="00C949B2" w:rsidRPr="00C949B2">
              <w:rPr>
                <w:rStyle w:val="Hipervnculo"/>
                <w:noProof/>
                <w:color w:val="auto"/>
              </w:rPr>
              <w:t>DEL RECURSO DE REVISIÓN</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_Toc181265223 \h </w:instrText>
            </w:r>
            <w:r w:rsidR="00C949B2" w:rsidRPr="00C949B2">
              <w:rPr>
                <w:noProof/>
                <w:webHidden/>
              </w:rPr>
            </w:r>
            <w:r w:rsidR="00C949B2" w:rsidRPr="00C949B2">
              <w:rPr>
                <w:noProof/>
                <w:webHidden/>
              </w:rPr>
              <w:fldChar w:fldCharType="separate"/>
            </w:r>
            <w:r w:rsidR="0031450E">
              <w:rPr>
                <w:noProof/>
                <w:webHidden/>
              </w:rPr>
              <w:t>4</w:t>
            </w:r>
            <w:r w:rsidR="00C949B2" w:rsidRPr="00C949B2">
              <w:rPr>
                <w:noProof/>
                <w:webHidden/>
              </w:rPr>
              <w:fldChar w:fldCharType="end"/>
            </w:r>
          </w:hyperlink>
        </w:p>
        <w:p w14:paraId="245BBFC6" w14:textId="0464BCC7" w:rsidR="00C949B2" w:rsidRPr="00C949B2" w:rsidRDefault="0030573B" w:rsidP="00C949B2">
          <w:pPr>
            <w:pStyle w:val="TDC3"/>
            <w:rPr>
              <w:rFonts w:asciiTheme="minorHAnsi" w:eastAsiaTheme="minorEastAsia" w:hAnsiTheme="minorHAnsi" w:cstheme="minorBidi"/>
              <w:noProof/>
              <w:szCs w:val="22"/>
              <w:lang w:eastAsia="es-MX"/>
            </w:rPr>
          </w:pPr>
          <w:hyperlink w:anchor="_Toc181265224" w:history="1">
            <w:r w:rsidR="00C949B2" w:rsidRPr="00C949B2">
              <w:rPr>
                <w:rStyle w:val="Hipervnculo"/>
                <w:noProof/>
                <w:color w:val="auto"/>
              </w:rPr>
              <w:t>a) Interposición del Recurso de Revisión</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_Toc181265224 \h </w:instrText>
            </w:r>
            <w:r w:rsidR="00C949B2" w:rsidRPr="00C949B2">
              <w:rPr>
                <w:noProof/>
                <w:webHidden/>
              </w:rPr>
            </w:r>
            <w:r w:rsidR="00C949B2" w:rsidRPr="00C949B2">
              <w:rPr>
                <w:noProof/>
                <w:webHidden/>
              </w:rPr>
              <w:fldChar w:fldCharType="separate"/>
            </w:r>
            <w:r w:rsidR="0031450E">
              <w:rPr>
                <w:noProof/>
                <w:webHidden/>
              </w:rPr>
              <w:t>4</w:t>
            </w:r>
            <w:r w:rsidR="00C949B2" w:rsidRPr="00C949B2">
              <w:rPr>
                <w:noProof/>
                <w:webHidden/>
              </w:rPr>
              <w:fldChar w:fldCharType="end"/>
            </w:r>
          </w:hyperlink>
        </w:p>
        <w:p w14:paraId="6ED8C720" w14:textId="57AE4CAE" w:rsidR="00C949B2" w:rsidRPr="00C949B2" w:rsidRDefault="0030573B" w:rsidP="00C949B2">
          <w:pPr>
            <w:pStyle w:val="TDC3"/>
            <w:rPr>
              <w:rFonts w:asciiTheme="minorHAnsi" w:eastAsiaTheme="minorEastAsia" w:hAnsiTheme="minorHAnsi" w:cstheme="minorBidi"/>
              <w:noProof/>
              <w:szCs w:val="22"/>
              <w:lang w:eastAsia="es-MX"/>
            </w:rPr>
          </w:pPr>
          <w:hyperlink w:anchor="_Toc181265225" w:history="1">
            <w:r w:rsidR="00C949B2" w:rsidRPr="00C949B2">
              <w:rPr>
                <w:rStyle w:val="Hipervnculo"/>
                <w:noProof/>
                <w:color w:val="auto"/>
              </w:rPr>
              <w:t>b) Turno del Recurso de Revisión</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_Toc181265225 \h </w:instrText>
            </w:r>
            <w:r w:rsidR="00C949B2" w:rsidRPr="00C949B2">
              <w:rPr>
                <w:noProof/>
                <w:webHidden/>
              </w:rPr>
            </w:r>
            <w:r w:rsidR="00C949B2" w:rsidRPr="00C949B2">
              <w:rPr>
                <w:noProof/>
                <w:webHidden/>
              </w:rPr>
              <w:fldChar w:fldCharType="separate"/>
            </w:r>
            <w:r w:rsidR="0031450E">
              <w:rPr>
                <w:noProof/>
                <w:webHidden/>
              </w:rPr>
              <w:t>4</w:t>
            </w:r>
            <w:r w:rsidR="00C949B2" w:rsidRPr="00C949B2">
              <w:rPr>
                <w:noProof/>
                <w:webHidden/>
              </w:rPr>
              <w:fldChar w:fldCharType="end"/>
            </w:r>
          </w:hyperlink>
        </w:p>
        <w:p w14:paraId="0D5BF94F" w14:textId="48715EAA" w:rsidR="00C949B2" w:rsidRPr="00C949B2" w:rsidRDefault="0030573B" w:rsidP="00C949B2">
          <w:pPr>
            <w:pStyle w:val="TDC3"/>
            <w:rPr>
              <w:rFonts w:asciiTheme="minorHAnsi" w:eastAsiaTheme="minorEastAsia" w:hAnsiTheme="minorHAnsi" w:cstheme="minorBidi"/>
              <w:noProof/>
              <w:szCs w:val="22"/>
              <w:lang w:eastAsia="es-MX"/>
            </w:rPr>
          </w:pPr>
          <w:hyperlink w:anchor="_Toc181265226" w:history="1">
            <w:r w:rsidR="00C949B2" w:rsidRPr="00C949B2">
              <w:rPr>
                <w:rStyle w:val="Hipervnculo"/>
                <w:noProof/>
                <w:color w:val="auto"/>
              </w:rPr>
              <w:t>c) Admisión del Recurso de Revisión</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_Toc181265226 \h </w:instrText>
            </w:r>
            <w:r w:rsidR="00C949B2" w:rsidRPr="00C949B2">
              <w:rPr>
                <w:noProof/>
                <w:webHidden/>
              </w:rPr>
            </w:r>
            <w:r w:rsidR="00C949B2" w:rsidRPr="00C949B2">
              <w:rPr>
                <w:noProof/>
                <w:webHidden/>
              </w:rPr>
              <w:fldChar w:fldCharType="separate"/>
            </w:r>
            <w:r w:rsidR="0031450E">
              <w:rPr>
                <w:noProof/>
                <w:webHidden/>
              </w:rPr>
              <w:t>5</w:t>
            </w:r>
            <w:r w:rsidR="00C949B2" w:rsidRPr="00C949B2">
              <w:rPr>
                <w:noProof/>
                <w:webHidden/>
              </w:rPr>
              <w:fldChar w:fldCharType="end"/>
            </w:r>
          </w:hyperlink>
        </w:p>
        <w:p w14:paraId="1C7807B8" w14:textId="00EB88E5" w:rsidR="00C949B2" w:rsidRPr="00C949B2" w:rsidRDefault="0030573B" w:rsidP="00C949B2">
          <w:pPr>
            <w:pStyle w:val="TDC3"/>
            <w:rPr>
              <w:rFonts w:asciiTheme="minorHAnsi" w:eastAsiaTheme="minorEastAsia" w:hAnsiTheme="minorHAnsi" w:cstheme="minorBidi"/>
              <w:noProof/>
              <w:szCs w:val="22"/>
              <w:lang w:eastAsia="es-MX"/>
            </w:rPr>
          </w:pPr>
          <w:hyperlink w:anchor="_Toc181265227" w:history="1">
            <w:r w:rsidR="00C949B2" w:rsidRPr="00C949B2">
              <w:rPr>
                <w:rStyle w:val="Hipervnculo"/>
                <w:noProof/>
                <w:color w:val="auto"/>
              </w:rPr>
              <w:t>d) Informe Justificado del Sujeto Obligado</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_Toc181265227 \h </w:instrText>
            </w:r>
            <w:r w:rsidR="00C949B2" w:rsidRPr="00C949B2">
              <w:rPr>
                <w:noProof/>
                <w:webHidden/>
              </w:rPr>
            </w:r>
            <w:r w:rsidR="00C949B2" w:rsidRPr="00C949B2">
              <w:rPr>
                <w:noProof/>
                <w:webHidden/>
              </w:rPr>
              <w:fldChar w:fldCharType="separate"/>
            </w:r>
            <w:r w:rsidR="0031450E">
              <w:rPr>
                <w:noProof/>
                <w:webHidden/>
              </w:rPr>
              <w:t>5</w:t>
            </w:r>
            <w:r w:rsidR="00C949B2" w:rsidRPr="00C949B2">
              <w:rPr>
                <w:noProof/>
                <w:webHidden/>
              </w:rPr>
              <w:fldChar w:fldCharType="end"/>
            </w:r>
          </w:hyperlink>
        </w:p>
        <w:p w14:paraId="43CCE447" w14:textId="49B79E72" w:rsidR="00C949B2" w:rsidRPr="00C949B2" w:rsidRDefault="0030573B" w:rsidP="00C949B2">
          <w:pPr>
            <w:pStyle w:val="TDC3"/>
            <w:rPr>
              <w:rFonts w:asciiTheme="minorHAnsi" w:eastAsiaTheme="minorEastAsia" w:hAnsiTheme="minorHAnsi" w:cstheme="minorBidi"/>
              <w:noProof/>
              <w:szCs w:val="22"/>
              <w:lang w:eastAsia="es-MX"/>
            </w:rPr>
          </w:pPr>
          <w:hyperlink w:anchor="_Toc181265228" w:history="1">
            <w:r w:rsidR="00C949B2" w:rsidRPr="00C949B2">
              <w:rPr>
                <w:rStyle w:val="Hipervnculo"/>
                <w:rFonts w:eastAsia="Calibri"/>
                <w:bCs/>
                <w:noProof/>
                <w:color w:val="auto"/>
                <w:lang w:eastAsia="en-US"/>
              </w:rPr>
              <w:t>e)</w:t>
            </w:r>
            <w:r w:rsidR="00C949B2" w:rsidRPr="00C949B2">
              <w:rPr>
                <w:rStyle w:val="Hipervnculo"/>
                <w:noProof/>
                <w:color w:val="auto"/>
              </w:rPr>
              <w:t xml:space="preserve"> </w:t>
            </w:r>
            <w:r w:rsidR="00C949B2" w:rsidRPr="00C949B2">
              <w:rPr>
                <w:rStyle w:val="Hipervnculo"/>
                <w:noProof/>
                <w:color w:val="auto"/>
                <w:lang w:val="es-ES"/>
              </w:rPr>
              <w:t>Manifestaciones de la Parte Recurrente</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_Toc181265228 \h </w:instrText>
            </w:r>
            <w:r w:rsidR="00C949B2" w:rsidRPr="00C949B2">
              <w:rPr>
                <w:noProof/>
                <w:webHidden/>
              </w:rPr>
            </w:r>
            <w:r w:rsidR="00C949B2" w:rsidRPr="00C949B2">
              <w:rPr>
                <w:noProof/>
                <w:webHidden/>
              </w:rPr>
              <w:fldChar w:fldCharType="separate"/>
            </w:r>
            <w:r w:rsidR="0031450E">
              <w:rPr>
                <w:noProof/>
                <w:webHidden/>
              </w:rPr>
              <w:t>5</w:t>
            </w:r>
            <w:r w:rsidR="00C949B2" w:rsidRPr="00C949B2">
              <w:rPr>
                <w:noProof/>
                <w:webHidden/>
              </w:rPr>
              <w:fldChar w:fldCharType="end"/>
            </w:r>
          </w:hyperlink>
        </w:p>
        <w:p w14:paraId="265E47BE" w14:textId="7CF05D48" w:rsidR="00C949B2" w:rsidRPr="00C949B2" w:rsidRDefault="0030573B" w:rsidP="00C949B2">
          <w:pPr>
            <w:pStyle w:val="TDC3"/>
            <w:rPr>
              <w:rFonts w:asciiTheme="minorHAnsi" w:eastAsiaTheme="minorEastAsia" w:hAnsiTheme="minorHAnsi" w:cstheme="minorBidi"/>
              <w:noProof/>
              <w:szCs w:val="22"/>
              <w:lang w:eastAsia="es-MX"/>
            </w:rPr>
          </w:pPr>
          <w:hyperlink w:anchor="_Toc181265229" w:history="1">
            <w:r w:rsidR="00C949B2" w:rsidRPr="00C949B2">
              <w:rPr>
                <w:rStyle w:val="Hipervnculo"/>
                <w:noProof/>
                <w:color w:val="auto"/>
              </w:rPr>
              <w:t>f) Cierre de instrucción</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_Toc181265229 \h </w:instrText>
            </w:r>
            <w:r w:rsidR="00C949B2" w:rsidRPr="00C949B2">
              <w:rPr>
                <w:noProof/>
                <w:webHidden/>
              </w:rPr>
            </w:r>
            <w:r w:rsidR="00C949B2" w:rsidRPr="00C949B2">
              <w:rPr>
                <w:noProof/>
                <w:webHidden/>
              </w:rPr>
              <w:fldChar w:fldCharType="separate"/>
            </w:r>
            <w:r w:rsidR="0031450E">
              <w:rPr>
                <w:noProof/>
                <w:webHidden/>
              </w:rPr>
              <w:t>6</w:t>
            </w:r>
            <w:r w:rsidR="00C949B2" w:rsidRPr="00C949B2">
              <w:rPr>
                <w:noProof/>
                <w:webHidden/>
              </w:rPr>
              <w:fldChar w:fldCharType="end"/>
            </w:r>
          </w:hyperlink>
        </w:p>
        <w:p w14:paraId="09F31699" w14:textId="75E813D9" w:rsidR="00C949B2" w:rsidRPr="00C949B2" w:rsidRDefault="0030573B" w:rsidP="00C949B2">
          <w:pPr>
            <w:pStyle w:val="TDC1"/>
            <w:tabs>
              <w:tab w:val="right" w:leader="dot" w:pos="9034"/>
            </w:tabs>
            <w:rPr>
              <w:rFonts w:asciiTheme="minorHAnsi" w:eastAsiaTheme="minorEastAsia" w:hAnsiTheme="minorHAnsi" w:cstheme="minorBidi"/>
              <w:noProof/>
              <w:szCs w:val="22"/>
              <w:lang w:eastAsia="es-MX"/>
            </w:rPr>
          </w:pPr>
          <w:hyperlink w:anchor="_Toc181265230" w:history="1">
            <w:r w:rsidR="00C949B2" w:rsidRPr="00C949B2">
              <w:rPr>
                <w:rStyle w:val="Hipervnculo"/>
                <w:rFonts w:eastAsiaTheme="minorHAnsi"/>
                <w:noProof/>
                <w:color w:val="auto"/>
                <w:lang w:eastAsia="en-US"/>
              </w:rPr>
              <w:t>CONSIDERANDOS</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_Toc181265230 \h </w:instrText>
            </w:r>
            <w:r w:rsidR="00C949B2" w:rsidRPr="00C949B2">
              <w:rPr>
                <w:noProof/>
                <w:webHidden/>
              </w:rPr>
            </w:r>
            <w:r w:rsidR="00C949B2" w:rsidRPr="00C949B2">
              <w:rPr>
                <w:noProof/>
                <w:webHidden/>
              </w:rPr>
              <w:fldChar w:fldCharType="separate"/>
            </w:r>
            <w:r w:rsidR="0031450E">
              <w:rPr>
                <w:noProof/>
                <w:webHidden/>
              </w:rPr>
              <w:t>6</w:t>
            </w:r>
            <w:r w:rsidR="00C949B2" w:rsidRPr="00C949B2">
              <w:rPr>
                <w:noProof/>
                <w:webHidden/>
              </w:rPr>
              <w:fldChar w:fldCharType="end"/>
            </w:r>
          </w:hyperlink>
        </w:p>
        <w:p w14:paraId="4DB6A580" w14:textId="22A00821" w:rsidR="00C949B2" w:rsidRPr="00C949B2" w:rsidRDefault="0030573B" w:rsidP="00C949B2">
          <w:pPr>
            <w:pStyle w:val="TDC2"/>
            <w:rPr>
              <w:rFonts w:asciiTheme="minorHAnsi" w:eastAsiaTheme="minorEastAsia" w:hAnsiTheme="minorHAnsi" w:cstheme="minorBidi"/>
              <w:noProof/>
              <w:szCs w:val="22"/>
              <w:lang w:eastAsia="es-MX"/>
            </w:rPr>
          </w:pPr>
          <w:hyperlink w:anchor="_Toc181265231" w:history="1">
            <w:r w:rsidR="00C949B2" w:rsidRPr="00C949B2">
              <w:rPr>
                <w:rStyle w:val="Hipervnculo"/>
                <w:rFonts w:eastAsia="Batang"/>
                <w:noProof/>
                <w:color w:val="auto"/>
              </w:rPr>
              <w:t>PRIMERO. Procedibilidad</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_Toc181265231 \h </w:instrText>
            </w:r>
            <w:r w:rsidR="00C949B2" w:rsidRPr="00C949B2">
              <w:rPr>
                <w:noProof/>
                <w:webHidden/>
              </w:rPr>
            </w:r>
            <w:r w:rsidR="00C949B2" w:rsidRPr="00C949B2">
              <w:rPr>
                <w:noProof/>
                <w:webHidden/>
              </w:rPr>
              <w:fldChar w:fldCharType="separate"/>
            </w:r>
            <w:r w:rsidR="0031450E">
              <w:rPr>
                <w:noProof/>
                <w:webHidden/>
              </w:rPr>
              <w:t>6</w:t>
            </w:r>
            <w:r w:rsidR="00C949B2" w:rsidRPr="00C949B2">
              <w:rPr>
                <w:noProof/>
                <w:webHidden/>
              </w:rPr>
              <w:fldChar w:fldCharType="end"/>
            </w:r>
          </w:hyperlink>
        </w:p>
        <w:p w14:paraId="72F808FF" w14:textId="0EAE144B" w:rsidR="00C949B2" w:rsidRPr="00C949B2" w:rsidRDefault="0030573B" w:rsidP="00C949B2">
          <w:pPr>
            <w:pStyle w:val="TDC3"/>
            <w:rPr>
              <w:rFonts w:asciiTheme="minorHAnsi" w:eastAsiaTheme="minorEastAsia" w:hAnsiTheme="minorHAnsi" w:cstheme="minorBidi"/>
              <w:noProof/>
              <w:szCs w:val="22"/>
              <w:lang w:eastAsia="es-MX"/>
            </w:rPr>
          </w:pPr>
          <w:hyperlink w:anchor="_Toc181265232" w:history="1">
            <w:r w:rsidR="00C949B2" w:rsidRPr="00C949B2">
              <w:rPr>
                <w:rStyle w:val="Hipervnculo"/>
                <w:noProof/>
                <w:color w:val="auto"/>
              </w:rPr>
              <w:t>a) Competencia del Instituto</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_Toc181265232 \h </w:instrText>
            </w:r>
            <w:r w:rsidR="00C949B2" w:rsidRPr="00C949B2">
              <w:rPr>
                <w:noProof/>
                <w:webHidden/>
              </w:rPr>
            </w:r>
            <w:r w:rsidR="00C949B2" w:rsidRPr="00C949B2">
              <w:rPr>
                <w:noProof/>
                <w:webHidden/>
              </w:rPr>
              <w:fldChar w:fldCharType="separate"/>
            </w:r>
            <w:r w:rsidR="0031450E">
              <w:rPr>
                <w:noProof/>
                <w:webHidden/>
              </w:rPr>
              <w:t>6</w:t>
            </w:r>
            <w:r w:rsidR="00C949B2" w:rsidRPr="00C949B2">
              <w:rPr>
                <w:noProof/>
                <w:webHidden/>
              </w:rPr>
              <w:fldChar w:fldCharType="end"/>
            </w:r>
          </w:hyperlink>
        </w:p>
        <w:p w14:paraId="307E1540" w14:textId="78C4EF29" w:rsidR="00C949B2" w:rsidRPr="00C949B2" w:rsidRDefault="0030573B" w:rsidP="00C949B2">
          <w:pPr>
            <w:pStyle w:val="TDC3"/>
            <w:rPr>
              <w:rFonts w:asciiTheme="minorHAnsi" w:eastAsiaTheme="minorEastAsia" w:hAnsiTheme="minorHAnsi" w:cstheme="minorBidi"/>
              <w:noProof/>
              <w:szCs w:val="22"/>
              <w:lang w:eastAsia="es-MX"/>
            </w:rPr>
          </w:pPr>
          <w:hyperlink w:anchor="_Toc181265233" w:history="1">
            <w:r w:rsidR="00C949B2" w:rsidRPr="00C949B2">
              <w:rPr>
                <w:rStyle w:val="Hipervnculo"/>
                <w:noProof/>
                <w:color w:val="auto"/>
              </w:rPr>
              <w:t>b) Legitimidad de la parte recurrente</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_Toc181265233 \h </w:instrText>
            </w:r>
            <w:r w:rsidR="00C949B2" w:rsidRPr="00C949B2">
              <w:rPr>
                <w:noProof/>
                <w:webHidden/>
              </w:rPr>
            </w:r>
            <w:r w:rsidR="00C949B2" w:rsidRPr="00C949B2">
              <w:rPr>
                <w:noProof/>
                <w:webHidden/>
              </w:rPr>
              <w:fldChar w:fldCharType="separate"/>
            </w:r>
            <w:r w:rsidR="0031450E">
              <w:rPr>
                <w:noProof/>
                <w:webHidden/>
              </w:rPr>
              <w:t>7</w:t>
            </w:r>
            <w:r w:rsidR="00C949B2" w:rsidRPr="00C949B2">
              <w:rPr>
                <w:noProof/>
                <w:webHidden/>
              </w:rPr>
              <w:fldChar w:fldCharType="end"/>
            </w:r>
          </w:hyperlink>
        </w:p>
        <w:p w14:paraId="70020067" w14:textId="2B8B2D30" w:rsidR="00C949B2" w:rsidRPr="00C949B2" w:rsidRDefault="0030573B" w:rsidP="00C949B2">
          <w:pPr>
            <w:pStyle w:val="TDC3"/>
            <w:rPr>
              <w:rFonts w:asciiTheme="minorHAnsi" w:eastAsiaTheme="minorEastAsia" w:hAnsiTheme="minorHAnsi" w:cstheme="minorBidi"/>
              <w:noProof/>
              <w:szCs w:val="22"/>
              <w:lang w:eastAsia="es-MX"/>
            </w:rPr>
          </w:pPr>
          <w:hyperlink w:anchor="_Toc181265234" w:history="1">
            <w:r w:rsidR="00C949B2" w:rsidRPr="00C949B2">
              <w:rPr>
                <w:rStyle w:val="Hipervnculo"/>
                <w:rFonts w:eastAsia="Calibri"/>
                <w:noProof/>
                <w:color w:val="auto"/>
                <w:lang w:eastAsia="es-ES_tradnl"/>
              </w:rPr>
              <w:t>c) Plazo para interponer el recurso</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_Toc181265234 \h </w:instrText>
            </w:r>
            <w:r w:rsidR="00C949B2" w:rsidRPr="00C949B2">
              <w:rPr>
                <w:noProof/>
                <w:webHidden/>
              </w:rPr>
            </w:r>
            <w:r w:rsidR="00C949B2" w:rsidRPr="00C949B2">
              <w:rPr>
                <w:noProof/>
                <w:webHidden/>
              </w:rPr>
              <w:fldChar w:fldCharType="separate"/>
            </w:r>
            <w:r w:rsidR="0031450E">
              <w:rPr>
                <w:noProof/>
                <w:webHidden/>
              </w:rPr>
              <w:t>7</w:t>
            </w:r>
            <w:r w:rsidR="00C949B2" w:rsidRPr="00C949B2">
              <w:rPr>
                <w:noProof/>
                <w:webHidden/>
              </w:rPr>
              <w:fldChar w:fldCharType="end"/>
            </w:r>
          </w:hyperlink>
        </w:p>
        <w:p w14:paraId="17D66C8D" w14:textId="5D3366EE" w:rsidR="00C949B2" w:rsidRPr="00C949B2" w:rsidRDefault="0030573B" w:rsidP="00C949B2">
          <w:pPr>
            <w:pStyle w:val="TDC3"/>
            <w:rPr>
              <w:rFonts w:asciiTheme="minorHAnsi" w:eastAsiaTheme="minorEastAsia" w:hAnsiTheme="minorHAnsi" w:cstheme="minorBidi"/>
              <w:noProof/>
              <w:szCs w:val="22"/>
              <w:lang w:eastAsia="es-MX"/>
            </w:rPr>
          </w:pPr>
          <w:hyperlink w:anchor="_Toc181265235" w:history="1">
            <w:r w:rsidR="00C949B2" w:rsidRPr="00C949B2">
              <w:rPr>
                <w:rStyle w:val="Hipervnculo"/>
                <w:rFonts w:eastAsia="Calibri"/>
                <w:noProof/>
                <w:color w:val="auto"/>
                <w:lang w:eastAsia="es-ES_tradnl"/>
              </w:rPr>
              <w:t>d) Causal de Procedencia</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_Toc181265235 \h </w:instrText>
            </w:r>
            <w:r w:rsidR="00C949B2" w:rsidRPr="00C949B2">
              <w:rPr>
                <w:noProof/>
                <w:webHidden/>
              </w:rPr>
            </w:r>
            <w:r w:rsidR="00C949B2" w:rsidRPr="00C949B2">
              <w:rPr>
                <w:noProof/>
                <w:webHidden/>
              </w:rPr>
              <w:fldChar w:fldCharType="separate"/>
            </w:r>
            <w:r w:rsidR="0031450E">
              <w:rPr>
                <w:noProof/>
                <w:webHidden/>
              </w:rPr>
              <w:t>7</w:t>
            </w:r>
            <w:r w:rsidR="00C949B2" w:rsidRPr="00C949B2">
              <w:rPr>
                <w:noProof/>
                <w:webHidden/>
              </w:rPr>
              <w:fldChar w:fldCharType="end"/>
            </w:r>
          </w:hyperlink>
        </w:p>
        <w:p w14:paraId="180F1DE3" w14:textId="3C322D7E" w:rsidR="00C949B2" w:rsidRPr="00C949B2" w:rsidRDefault="0030573B" w:rsidP="00C949B2">
          <w:pPr>
            <w:pStyle w:val="TDC3"/>
            <w:rPr>
              <w:rFonts w:asciiTheme="minorHAnsi" w:eastAsiaTheme="minorEastAsia" w:hAnsiTheme="minorHAnsi" w:cstheme="minorBidi"/>
              <w:noProof/>
              <w:szCs w:val="22"/>
              <w:lang w:eastAsia="es-MX"/>
            </w:rPr>
          </w:pPr>
          <w:hyperlink w:anchor="_Toc181265236" w:history="1">
            <w:r w:rsidR="00C949B2" w:rsidRPr="00C949B2">
              <w:rPr>
                <w:rStyle w:val="Hipervnculo"/>
                <w:noProof/>
                <w:color w:val="auto"/>
              </w:rPr>
              <w:t>e) Requisitos formales para la interposición del recurso</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_Toc181265236 \h </w:instrText>
            </w:r>
            <w:r w:rsidR="00C949B2" w:rsidRPr="00C949B2">
              <w:rPr>
                <w:noProof/>
                <w:webHidden/>
              </w:rPr>
            </w:r>
            <w:r w:rsidR="00C949B2" w:rsidRPr="00C949B2">
              <w:rPr>
                <w:noProof/>
                <w:webHidden/>
              </w:rPr>
              <w:fldChar w:fldCharType="separate"/>
            </w:r>
            <w:r w:rsidR="0031450E">
              <w:rPr>
                <w:noProof/>
                <w:webHidden/>
              </w:rPr>
              <w:t>7</w:t>
            </w:r>
            <w:r w:rsidR="00C949B2" w:rsidRPr="00C949B2">
              <w:rPr>
                <w:noProof/>
                <w:webHidden/>
              </w:rPr>
              <w:fldChar w:fldCharType="end"/>
            </w:r>
          </w:hyperlink>
        </w:p>
        <w:p w14:paraId="16FA5DF1" w14:textId="0635E53B" w:rsidR="00C949B2" w:rsidRPr="00C949B2" w:rsidRDefault="0030573B" w:rsidP="00C949B2">
          <w:pPr>
            <w:pStyle w:val="TDC2"/>
            <w:rPr>
              <w:rFonts w:asciiTheme="minorHAnsi" w:eastAsiaTheme="minorEastAsia" w:hAnsiTheme="minorHAnsi" w:cstheme="minorBidi"/>
              <w:noProof/>
              <w:szCs w:val="22"/>
              <w:lang w:eastAsia="es-MX"/>
            </w:rPr>
          </w:pPr>
          <w:hyperlink w:anchor="_Toc181265237" w:history="1">
            <w:r w:rsidR="00C949B2" w:rsidRPr="00C949B2">
              <w:rPr>
                <w:rStyle w:val="Hipervnculo"/>
                <w:noProof/>
                <w:color w:val="auto"/>
              </w:rPr>
              <w:t>SEGUNDO. Estudio de Fondo</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_Toc181265237 \h </w:instrText>
            </w:r>
            <w:r w:rsidR="00C949B2" w:rsidRPr="00C949B2">
              <w:rPr>
                <w:noProof/>
                <w:webHidden/>
              </w:rPr>
            </w:r>
            <w:r w:rsidR="00C949B2" w:rsidRPr="00C949B2">
              <w:rPr>
                <w:noProof/>
                <w:webHidden/>
              </w:rPr>
              <w:fldChar w:fldCharType="separate"/>
            </w:r>
            <w:r w:rsidR="0031450E">
              <w:rPr>
                <w:noProof/>
                <w:webHidden/>
              </w:rPr>
              <w:t>8</w:t>
            </w:r>
            <w:r w:rsidR="00C949B2" w:rsidRPr="00C949B2">
              <w:rPr>
                <w:noProof/>
                <w:webHidden/>
              </w:rPr>
              <w:fldChar w:fldCharType="end"/>
            </w:r>
          </w:hyperlink>
        </w:p>
        <w:p w14:paraId="1DF29D2D" w14:textId="21252AA3" w:rsidR="00C949B2" w:rsidRPr="00C949B2" w:rsidRDefault="0030573B" w:rsidP="00C949B2">
          <w:pPr>
            <w:pStyle w:val="TDC3"/>
            <w:rPr>
              <w:rFonts w:asciiTheme="minorHAnsi" w:eastAsiaTheme="minorEastAsia" w:hAnsiTheme="minorHAnsi" w:cstheme="minorBidi"/>
              <w:noProof/>
              <w:szCs w:val="22"/>
              <w:lang w:eastAsia="es-MX"/>
            </w:rPr>
          </w:pPr>
          <w:hyperlink w:anchor="_Toc181265238" w:history="1">
            <w:r w:rsidR="00C949B2" w:rsidRPr="00C949B2">
              <w:rPr>
                <w:rStyle w:val="Hipervnculo"/>
                <w:noProof/>
                <w:color w:val="auto"/>
              </w:rPr>
              <w:t>a) Mandato de transparencia y responsabilidad del Sujeto Obligado</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_Toc181265238 \h </w:instrText>
            </w:r>
            <w:r w:rsidR="00C949B2" w:rsidRPr="00C949B2">
              <w:rPr>
                <w:noProof/>
                <w:webHidden/>
              </w:rPr>
            </w:r>
            <w:r w:rsidR="00C949B2" w:rsidRPr="00C949B2">
              <w:rPr>
                <w:noProof/>
                <w:webHidden/>
              </w:rPr>
              <w:fldChar w:fldCharType="separate"/>
            </w:r>
            <w:r w:rsidR="0031450E">
              <w:rPr>
                <w:noProof/>
                <w:webHidden/>
              </w:rPr>
              <w:t>8</w:t>
            </w:r>
            <w:r w:rsidR="00C949B2" w:rsidRPr="00C949B2">
              <w:rPr>
                <w:noProof/>
                <w:webHidden/>
              </w:rPr>
              <w:fldChar w:fldCharType="end"/>
            </w:r>
          </w:hyperlink>
        </w:p>
        <w:p w14:paraId="7F848AC8" w14:textId="511F212B" w:rsidR="00C949B2" w:rsidRPr="00C949B2" w:rsidRDefault="0030573B" w:rsidP="00C949B2">
          <w:pPr>
            <w:pStyle w:val="TDC3"/>
            <w:rPr>
              <w:rFonts w:asciiTheme="minorHAnsi" w:eastAsiaTheme="minorEastAsia" w:hAnsiTheme="minorHAnsi" w:cstheme="minorBidi"/>
              <w:noProof/>
              <w:szCs w:val="22"/>
              <w:lang w:eastAsia="es-MX"/>
            </w:rPr>
          </w:pPr>
          <w:hyperlink w:anchor="_Toc181265239" w:history="1">
            <w:r w:rsidR="00C949B2" w:rsidRPr="00C949B2">
              <w:rPr>
                <w:rStyle w:val="Hipervnculo"/>
                <w:rFonts w:eastAsia="Calibri"/>
                <w:noProof/>
                <w:color w:val="auto"/>
                <w:lang w:eastAsia="es-ES_tradnl"/>
              </w:rPr>
              <w:t>b) Controversia a resolver</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_Toc181265239 \h </w:instrText>
            </w:r>
            <w:r w:rsidR="00C949B2" w:rsidRPr="00C949B2">
              <w:rPr>
                <w:noProof/>
                <w:webHidden/>
              </w:rPr>
            </w:r>
            <w:r w:rsidR="00C949B2" w:rsidRPr="00C949B2">
              <w:rPr>
                <w:noProof/>
                <w:webHidden/>
              </w:rPr>
              <w:fldChar w:fldCharType="separate"/>
            </w:r>
            <w:r w:rsidR="0031450E">
              <w:rPr>
                <w:noProof/>
                <w:webHidden/>
              </w:rPr>
              <w:t>11</w:t>
            </w:r>
            <w:r w:rsidR="00C949B2" w:rsidRPr="00C949B2">
              <w:rPr>
                <w:noProof/>
                <w:webHidden/>
              </w:rPr>
              <w:fldChar w:fldCharType="end"/>
            </w:r>
          </w:hyperlink>
        </w:p>
        <w:p w14:paraId="1ACD06C8" w14:textId="18DC8AD8" w:rsidR="00C949B2" w:rsidRPr="00C949B2" w:rsidRDefault="0030573B" w:rsidP="00C949B2">
          <w:pPr>
            <w:pStyle w:val="TDC3"/>
            <w:rPr>
              <w:rFonts w:asciiTheme="minorHAnsi" w:eastAsiaTheme="minorEastAsia" w:hAnsiTheme="minorHAnsi" w:cstheme="minorBidi"/>
              <w:noProof/>
              <w:szCs w:val="22"/>
              <w:lang w:eastAsia="es-MX"/>
            </w:rPr>
          </w:pPr>
          <w:hyperlink w:anchor="_Toc181265240" w:history="1">
            <w:r w:rsidR="00C949B2" w:rsidRPr="00C949B2">
              <w:rPr>
                <w:rStyle w:val="Hipervnculo"/>
                <w:noProof/>
                <w:color w:val="auto"/>
              </w:rPr>
              <w:t>c) Estudio de la controversia</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_Toc181265240 \h </w:instrText>
            </w:r>
            <w:r w:rsidR="00C949B2" w:rsidRPr="00C949B2">
              <w:rPr>
                <w:noProof/>
                <w:webHidden/>
              </w:rPr>
            </w:r>
            <w:r w:rsidR="00C949B2" w:rsidRPr="00C949B2">
              <w:rPr>
                <w:noProof/>
                <w:webHidden/>
              </w:rPr>
              <w:fldChar w:fldCharType="separate"/>
            </w:r>
            <w:r w:rsidR="0031450E">
              <w:rPr>
                <w:noProof/>
                <w:webHidden/>
              </w:rPr>
              <w:t>12</w:t>
            </w:r>
            <w:r w:rsidR="00C949B2" w:rsidRPr="00C949B2">
              <w:rPr>
                <w:noProof/>
                <w:webHidden/>
              </w:rPr>
              <w:fldChar w:fldCharType="end"/>
            </w:r>
          </w:hyperlink>
        </w:p>
        <w:p w14:paraId="4689DE54" w14:textId="2BEFD88D" w:rsidR="00C949B2" w:rsidRPr="00C949B2" w:rsidRDefault="0030573B" w:rsidP="00C949B2">
          <w:pPr>
            <w:pStyle w:val="TDC3"/>
            <w:rPr>
              <w:rFonts w:asciiTheme="minorHAnsi" w:eastAsiaTheme="minorEastAsia" w:hAnsiTheme="minorHAnsi" w:cstheme="minorBidi"/>
              <w:noProof/>
              <w:szCs w:val="22"/>
              <w:lang w:eastAsia="es-MX"/>
            </w:rPr>
          </w:pPr>
          <w:hyperlink w:anchor="_Toc181265241" w:history="1">
            <w:r w:rsidR="00C949B2" w:rsidRPr="00C949B2">
              <w:rPr>
                <w:rStyle w:val="Hipervnculo"/>
                <w:noProof/>
                <w:color w:val="auto"/>
              </w:rPr>
              <w:t>d) Versión pública.</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_Toc181265241 \h </w:instrText>
            </w:r>
            <w:r w:rsidR="00C949B2" w:rsidRPr="00C949B2">
              <w:rPr>
                <w:noProof/>
                <w:webHidden/>
              </w:rPr>
            </w:r>
            <w:r w:rsidR="00C949B2" w:rsidRPr="00C949B2">
              <w:rPr>
                <w:noProof/>
                <w:webHidden/>
              </w:rPr>
              <w:fldChar w:fldCharType="separate"/>
            </w:r>
            <w:r w:rsidR="0031450E">
              <w:rPr>
                <w:noProof/>
                <w:webHidden/>
              </w:rPr>
              <w:t>23</w:t>
            </w:r>
            <w:r w:rsidR="00C949B2" w:rsidRPr="00C949B2">
              <w:rPr>
                <w:noProof/>
                <w:webHidden/>
              </w:rPr>
              <w:fldChar w:fldCharType="end"/>
            </w:r>
          </w:hyperlink>
        </w:p>
        <w:p w14:paraId="322314C8" w14:textId="3786AA47" w:rsidR="00C949B2" w:rsidRPr="00C949B2" w:rsidRDefault="0030573B" w:rsidP="00C949B2">
          <w:pPr>
            <w:pStyle w:val="TDC3"/>
            <w:rPr>
              <w:rFonts w:asciiTheme="minorHAnsi" w:eastAsiaTheme="minorEastAsia" w:hAnsiTheme="minorHAnsi" w:cstheme="minorBidi"/>
              <w:noProof/>
              <w:szCs w:val="22"/>
              <w:lang w:eastAsia="es-MX"/>
            </w:rPr>
          </w:pPr>
          <w:hyperlink w:anchor="_Toc181265242" w:history="1">
            <w:r w:rsidR="00C949B2" w:rsidRPr="00C949B2">
              <w:rPr>
                <w:rStyle w:val="Hipervnculo"/>
                <w:noProof/>
                <w:color w:val="auto"/>
              </w:rPr>
              <w:t>e) De la reserva de la información</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_Toc181265242 \h </w:instrText>
            </w:r>
            <w:r w:rsidR="00C949B2" w:rsidRPr="00C949B2">
              <w:rPr>
                <w:noProof/>
                <w:webHidden/>
              </w:rPr>
            </w:r>
            <w:r w:rsidR="00C949B2" w:rsidRPr="00C949B2">
              <w:rPr>
                <w:noProof/>
                <w:webHidden/>
              </w:rPr>
              <w:fldChar w:fldCharType="separate"/>
            </w:r>
            <w:r w:rsidR="0031450E">
              <w:rPr>
                <w:noProof/>
                <w:webHidden/>
              </w:rPr>
              <w:t>29</w:t>
            </w:r>
            <w:r w:rsidR="00C949B2" w:rsidRPr="00C949B2">
              <w:rPr>
                <w:noProof/>
                <w:webHidden/>
              </w:rPr>
              <w:fldChar w:fldCharType="end"/>
            </w:r>
          </w:hyperlink>
        </w:p>
        <w:p w14:paraId="06E11573" w14:textId="33008C9F" w:rsidR="00C949B2" w:rsidRPr="00C949B2" w:rsidRDefault="0030573B" w:rsidP="00C949B2">
          <w:pPr>
            <w:pStyle w:val="TDC3"/>
            <w:rPr>
              <w:rFonts w:asciiTheme="minorHAnsi" w:eastAsiaTheme="minorEastAsia" w:hAnsiTheme="minorHAnsi" w:cstheme="minorBidi"/>
              <w:noProof/>
              <w:szCs w:val="22"/>
              <w:lang w:eastAsia="es-MX"/>
            </w:rPr>
          </w:pPr>
          <w:hyperlink w:anchor="_Toc181265243" w:history="1">
            <w:r w:rsidR="00C949B2" w:rsidRPr="00C949B2">
              <w:rPr>
                <w:rStyle w:val="Hipervnculo"/>
                <w:noProof/>
                <w:color w:val="auto"/>
              </w:rPr>
              <w:t>f) Conclusión</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_Toc181265243 \h </w:instrText>
            </w:r>
            <w:r w:rsidR="00C949B2" w:rsidRPr="00C949B2">
              <w:rPr>
                <w:noProof/>
                <w:webHidden/>
              </w:rPr>
            </w:r>
            <w:r w:rsidR="00C949B2" w:rsidRPr="00C949B2">
              <w:rPr>
                <w:noProof/>
                <w:webHidden/>
              </w:rPr>
              <w:fldChar w:fldCharType="separate"/>
            </w:r>
            <w:r w:rsidR="0031450E">
              <w:rPr>
                <w:noProof/>
                <w:webHidden/>
              </w:rPr>
              <w:t>38</w:t>
            </w:r>
            <w:r w:rsidR="00C949B2" w:rsidRPr="00C949B2">
              <w:rPr>
                <w:noProof/>
                <w:webHidden/>
              </w:rPr>
              <w:fldChar w:fldCharType="end"/>
            </w:r>
          </w:hyperlink>
        </w:p>
        <w:p w14:paraId="040099A0" w14:textId="6E535166" w:rsidR="00C949B2" w:rsidRPr="00C949B2" w:rsidRDefault="0030573B" w:rsidP="00C949B2">
          <w:pPr>
            <w:pStyle w:val="TDC1"/>
            <w:tabs>
              <w:tab w:val="right" w:leader="dot" w:pos="9034"/>
            </w:tabs>
            <w:rPr>
              <w:rFonts w:asciiTheme="minorHAnsi" w:eastAsiaTheme="minorEastAsia" w:hAnsiTheme="minorHAnsi" w:cstheme="minorBidi"/>
              <w:noProof/>
              <w:szCs w:val="22"/>
              <w:lang w:eastAsia="es-MX"/>
            </w:rPr>
          </w:pPr>
          <w:hyperlink w:anchor="_Toc181265244" w:history="1">
            <w:r w:rsidR="00C949B2" w:rsidRPr="00C949B2">
              <w:rPr>
                <w:rStyle w:val="Hipervnculo"/>
                <w:noProof/>
                <w:color w:val="auto"/>
              </w:rPr>
              <w:t>RESUELVE</w:t>
            </w:r>
            <w:r w:rsidR="00C949B2" w:rsidRPr="00C949B2">
              <w:rPr>
                <w:noProof/>
                <w:webHidden/>
              </w:rPr>
              <w:tab/>
            </w:r>
            <w:r w:rsidR="00C949B2" w:rsidRPr="00C949B2">
              <w:rPr>
                <w:noProof/>
                <w:webHidden/>
              </w:rPr>
              <w:fldChar w:fldCharType="begin"/>
            </w:r>
            <w:r w:rsidR="00C949B2" w:rsidRPr="00C949B2">
              <w:rPr>
                <w:noProof/>
                <w:webHidden/>
              </w:rPr>
              <w:instrText xml:space="preserve"> PAGEREF _Toc181265244 \h </w:instrText>
            </w:r>
            <w:r w:rsidR="00C949B2" w:rsidRPr="00C949B2">
              <w:rPr>
                <w:noProof/>
                <w:webHidden/>
              </w:rPr>
            </w:r>
            <w:r w:rsidR="00C949B2" w:rsidRPr="00C949B2">
              <w:rPr>
                <w:noProof/>
                <w:webHidden/>
              </w:rPr>
              <w:fldChar w:fldCharType="separate"/>
            </w:r>
            <w:r w:rsidR="0031450E">
              <w:rPr>
                <w:noProof/>
                <w:webHidden/>
              </w:rPr>
              <w:t>39</w:t>
            </w:r>
            <w:r w:rsidR="00C949B2" w:rsidRPr="00C949B2">
              <w:rPr>
                <w:noProof/>
                <w:webHidden/>
              </w:rPr>
              <w:fldChar w:fldCharType="end"/>
            </w:r>
          </w:hyperlink>
        </w:p>
        <w:p w14:paraId="0C82FD7A" w14:textId="26122F1F" w:rsidR="009B2945" w:rsidRPr="00C949B2" w:rsidRDefault="00AE3DA7" w:rsidP="00C949B2">
          <w:pPr>
            <w:pStyle w:val="TDC1"/>
            <w:tabs>
              <w:tab w:val="right" w:leader="dot" w:pos="9034"/>
            </w:tabs>
            <w:rPr>
              <w:b/>
              <w:bCs/>
              <w:lang w:val="es-ES"/>
            </w:rPr>
          </w:pPr>
          <w:r w:rsidRPr="00C949B2">
            <w:rPr>
              <w:b/>
              <w:bCs/>
              <w:sz w:val="16"/>
              <w:szCs w:val="16"/>
              <w:lang w:val="es-ES"/>
            </w:rPr>
            <w:fldChar w:fldCharType="end"/>
          </w:r>
        </w:p>
      </w:sdtContent>
    </w:sdt>
    <w:p w14:paraId="603A07E2" w14:textId="77777777" w:rsidR="00646436" w:rsidRPr="00C949B2" w:rsidRDefault="00646436" w:rsidP="00C949B2">
      <w:pPr>
        <w:rPr>
          <w:rFonts w:cs="Tahoma"/>
          <w:szCs w:val="22"/>
        </w:rPr>
        <w:sectPr w:rsidR="00646436" w:rsidRPr="00C949B2"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456E75C" w:rsidR="00775BFC" w:rsidRPr="00C949B2" w:rsidRDefault="00775BFC" w:rsidP="00C949B2">
      <w:r w:rsidRPr="00C949B2">
        <w:lastRenderedPageBreak/>
        <w:t>Resolución del Pleno del Instituto de Transparencia, Acceso a la Información Pública y Protección de Datos Personales del Estado de México y Municipios, con domicilio en Metepec, Estado de México, de</w:t>
      </w:r>
      <w:r w:rsidR="00747061" w:rsidRPr="00C949B2">
        <w:t>l</w:t>
      </w:r>
      <w:r w:rsidRPr="00C949B2">
        <w:t xml:space="preserve"> </w:t>
      </w:r>
      <w:r w:rsidR="00F57086" w:rsidRPr="00C949B2">
        <w:rPr>
          <w:b/>
        </w:rPr>
        <w:t>seis de noviembre</w:t>
      </w:r>
      <w:r w:rsidRPr="00C949B2">
        <w:rPr>
          <w:b/>
        </w:rPr>
        <w:t xml:space="preserve"> de dos mil </w:t>
      </w:r>
      <w:r w:rsidR="00CF1837" w:rsidRPr="00C949B2">
        <w:rPr>
          <w:b/>
        </w:rPr>
        <w:t>veinticuatro</w:t>
      </w:r>
      <w:r w:rsidR="00747061" w:rsidRPr="00C949B2">
        <w:rPr>
          <w:b/>
        </w:rPr>
        <w:t>.</w:t>
      </w:r>
    </w:p>
    <w:p w14:paraId="0AF3AAC4" w14:textId="77777777" w:rsidR="00775BFC" w:rsidRPr="00C949B2" w:rsidRDefault="00775BFC" w:rsidP="00C949B2"/>
    <w:p w14:paraId="40EAE038" w14:textId="7DA3D9F4" w:rsidR="00775BFC" w:rsidRPr="00C949B2" w:rsidRDefault="00775BFC" w:rsidP="00C949B2">
      <w:r w:rsidRPr="00C949B2">
        <w:rPr>
          <w:b/>
        </w:rPr>
        <w:t xml:space="preserve">VISTO </w:t>
      </w:r>
      <w:r w:rsidRPr="00C949B2">
        <w:t xml:space="preserve">el expediente formado con motivo del Recurso de Revisión </w:t>
      </w:r>
      <w:r w:rsidR="004F67D0" w:rsidRPr="00C949B2">
        <w:rPr>
          <w:rFonts w:eastAsia="Calibri"/>
          <w:b/>
          <w:lang w:eastAsia="en-US"/>
        </w:rPr>
        <w:t>0</w:t>
      </w:r>
      <w:r w:rsidR="00E65D28" w:rsidRPr="00C949B2">
        <w:rPr>
          <w:rFonts w:eastAsia="Calibri"/>
          <w:b/>
          <w:lang w:eastAsia="en-US"/>
        </w:rPr>
        <w:t>59</w:t>
      </w:r>
      <w:r w:rsidR="004F67D0" w:rsidRPr="00C949B2">
        <w:rPr>
          <w:rFonts w:eastAsia="Calibri"/>
          <w:b/>
          <w:lang w:eastAsia="en-US"/>
        </w:rPr>
        <w:t>2</w:t>
      </w:r>
      <w:r w:rsidR="00E65D28" w:rsidRPr="00C949B2">
        <w:rPr>
          <w:rFonts w:eastAsia="Calibri"/>
          <w:b/>
          <w:lang w:eastAsia="en-US"/>
        </w:rPr>
        <w:t>7</w:t>
      </w:r>
      <w:r w:rsidR="004F67D0" w:rsidRPr="00C949B2">
        <w:rPr>
          <w:rFonts w:eastAsia="Calibri"/>
          <w:b/>
          <w:lang w:eastAsia="en-US"/>
        </w:rPr>
        <w:t>/INFOEM/IP/RR/202</w:t>
      </w:r>
      <w:r w:rsidR="00D60C0E" w:rsidRPr="00C949B2">
        <w:rPr>
          <w:rFonts w:eastAsia="Calibri"/>
          <w:b/>
          <w:lang w:eastAsia="en-US"/>
        </w:rPr>
        <w:t>4</w:t>
      </w:r>
      <w:r w:rsidR="00CF1837" w:rsidRPr="00C949B2">
        <w:rPr>
          <w:rFonts w:eastAsia="Calibri"/>
          <w:b/>
          <w:lang w:eastAsia="en-US"/>
        </w:rPr>
        <w:t xml:space="preserve"> </w:t>
      </w:r>
      <w:r w:rsidRPr="00C949B2">
        <w:t xml:space="preserve">interpuesto por </w:t>
      </w:r>
      <w:r w:rsidR="00D60C0E" w:rsidRPr="00C949B2">
        <w:rPr>
          <w:b/>
          <w:bCs/>
        </w:rPr>
        <w:t>una persona de manera anónima</w:t>
      </w:r>
      <w:r w:rsidRPr="00C949B2">
        <w:t xml:space="preserve">, a quien en lo subsecuente se le denominará </w:t>
      </w:r>
      <w:r w:rsidRPr="00C949B2">
        <w:rPr>
          <w:b/>
          <w:bCs/>
        </w:rPr>
        <w:t>LA PARTE RECURRENTE</w:t>
      </w:r>
      <w:r w:rsidRPr="00C949B2">
        <w:t>, en contra de la respuesta emitida por</w:t>
      </w:r>
      <w:r w:rsidR="00F57086" w:rsidRPr="00C949B2">
        <w:t xml:space="preserve"> el</w:t>
      </w:r>
      <w:r w:rsidRPr="00C949B2">
        <w:t xml:space="preserve"> </w:t>
      </w:r>
      <w:r w:rsidR="00F57086" w:rsidRPr="00C949B2">
        <w:rPr>
          <w:b/>
          <w:bCs/>
        </w:rPr>
        <w:t>Ayuntamiento de Toluca</w:t>
      </w:r>
      <w:r w:rsidRPr="00C949B2">
        <w:t xml:space="preserve">, en adelante </w:t>
      </w:r>
      <w:r w:rsidRPr="00C949B2">
        <w:rPr>
          <w:b/>
          <w:bCs/>
        </w:rPr>
        <w:t>EL SUJETO OBLIGADO</w:t>
      </w:r>
      <w:r w:rsidRPr="00C949B2">
        <w:rPr>
          <w:rFonts w:eastAsia="Calibri"/>
          <w:lang w:eastAsia="en-US"/>
        </w:rPr>
        <w:t xml:space="preserve">, </w:t>
      </w:r>
      <w:r w:rsidRPr="00C949B2">
        <w:t>se emite la presente Resolución con base en los Antecedentes y Considerandos que se exponen a continuación:</w:t>
      </w:r>
    </w:p>
    <w:p w14:paraId="2116968C" w14:textId="77777777" w:rsidR="00775BFC" w:rsidRPr="00C949B2" w:rsidRDefault="00775BFC" w:rsidP="00C949B2"/>
    <w:p w14:paraId="5A444FB6" w14:textId="639D3567" w:rsidR="00664420" w:rsidRPr="00C949B2" w:rsidRDefault="00664420" w:rsidP="00C949B2">
      <w:pPr>
        <w:pStyle w:val="Ttulo1"/>
      </w:pPr>
      <w:bookmarkStart w:id="3" w:name="_Toc181265217"/>
      <w:r w:rsidRPr="00C949B2">
        <w:t>ANTECEDENTES</w:t>
      </w:r>
      <w:bookmarkEnd w:id="3"/>
    </w:p>
    <w:p w14:paraId="5CB5034E" w14:textId="77777777" w:rsidR="00AC2DB8" w:rsidRPr="00C949B2" w:rsidRDefault="00AC2DB8" w:rsidP="00C949B2"/>
    <w:p w14:paraId="09B2D38F" w14:textId="6E49D146" w:rsidR="00664420" w:rsidRPr="00C949B2" w:rsidRDefault="00E37A3F" w:rsidP="00C949B2">
      <w:pPr>
        <w:pStyle w:val="Ttulo2"/>
        <w:jc w:val="left"/>
      </w:pPr>
      <w:bookmarkStart w:id="4" w:name="_Toc181265218"/>
      <w:r w:rsidRPr="00C949B2">
        <w:t>DE LA SOLICITUD DE INFORMACIÓN</w:t>
      </w:r>
      <w:bookmarkEnd w:id="4"/>
    </w:p>
    <w:p w14:paraId="7B7535DF" w14:textId="77777777" w:rsidR="00E37A3F" w:rsidRPr="00C949B2" w:rsidRDefault="00E37A3F" w:rsidP="00C949B2"/>
    <w:p w14:paraId="2C6AD1A5" w14:textId="0405B3CD" w:rsidR="00664420" w:rsidRPr="00C949B2" w:rsidRDefault="00E37A3F" w:rsidP="00C949B2">
      <w:pPr>
        <w:pStyle w:val="Ttulo3"/>
      </w:pPr>
      <w:bookmarkStart w:id="5" w:name="_Toc181265219"/>
      <w:r w:rsidRPr="00C949B2">
        <w:t xml:space="preserve">a) </w:t>
      </w:r>
      <w:r w:rsidR="006B10B0" w:rsidRPr="00C949B2">
        <w:t>S</w:t>
      </w:r>
      <w:r w:rsidR="00664420" w:rsidRPr="00C949B2">
        <w:t xml:space="preserve">olicitud de </w:t>
      </w:r>
      <w:r w:rsidR="006B10B0" w:rsidRPr="00C949B2">
        <w:t>i</w:t>
      </w:r>
      <w:r w:rsidR="00664420" w:rsidRPr="00C949B2">
        <w:t>nformación</w:t>
      </w:r>
      <w:bookmarkEnd w:id="5"/>
    </w:p>
    <w:p w14:paraId="06DCD29D" w14:textId="48FF9E1B" w:rsidR="009A2D78" w:rsidRPr="00C949B2" w:rsidRDefault="006B10B0" w:rsidP="00C949B2">
      <w:pPr>
        <w:spacing w:after="240"/>
        <w:rPr>
          <w:rFonts w:cs="Tahoma"/>
        </w:rPr>
      </w:pPr>
      <w:r w:rsidRPr="00C949B2">
        <w:rPr>
          <w:rFonts w:cs="Tahoma"/>
        </w:rPr>
        <w:t>El</w:t>
      </w:r>
      <w:r w:rsidR="00664420" w:rsidRPr="00C949B2">
        <w:rPr>
          <w:rFonts w:cs="Tahoma"/>
        </w:rPr>
        <w:t xml:space="preserve"> </w:t>
      </w:r>
      <w:r w:rsidR="005B762D" w:rsidRPr="00C949B2">
        <w:rPr>
          <w:rFonts w:cs="Tahoma"/>
          <w:b/>
          <w:bCs/>
        </w:rPr>
        <w:t>veintiséis</w:t>
      </w:r>
      <w:r w:rsidR="004F67D0" w:rsidRPr="00C949B2">
        <w:rPr>
          <w:rFonts w:cs="Tahoma"/>
          <w:b/>
          <w:bCs/>
        </w:rPr>
        <w:t xml:space="preserve"> de agosto</w:t>
      </w:r>
      <w:r w:rsidR="00664420" w:rsidRPr="00C949B2">
        <w:rPr>
          <w:rFonts w:cs="Tahoma"/>
          <w:b/>
          <w:bCs/>
        </w:rPr>
        <w:t xml:space="preserve"> de dos mil </w:t>
      </w:r>
      <w:r w:rsidR="00EA472C" w:rsidRPr="00C949B2">
        <w:rPr>
          <w:rFonts w:cs="Tahoma"/>
          <w:b/>
          <w:bCs/>
        </w:rPr>
        <w:t>veinticuatro</w:t>
      </w:r>
      <w:r w:rsidR="00664420" w:rsidRPr="00C949B2">
        <w:rPr>
          <w:rFonts w:cs="Tahoma"/>
        </w:rPr>
        <w:t xml:space="preserve">, </w:t>
      </w:r>
      <w:r w:rsidRPr="00C949B2">
        <w:rPr>
          <w:b/>
          <w:bCs/>
        </w:rPr>
        <w:t>LA PARTE RECURRENTE</w:t>
      </w:r>
      <w:r w:rsidR="00664420" w:rsidRPr="00C949B2">
        <w:rPr>
          <w:rFonts w:cs="Tahoma"/>
        </w:rPr>
        <w:t xml:space="preserve"> presentó una solicitud de acceso a la información pública </w:t>
      </w:r>
      <w:r w:rsidR="001F3515" w:rsidRPr="00C949B2">
        <w:rPr>
          <w:rFonts w:cs="Tahoma"/>
        </w:rPr>
        <w:t xml:space="preserve">ante </w:t>
      </w:r>
      <w:r w:rsidR="00D60C0E" w:rsidRPr="00C949B2">
        <w:rPr>
          <w:rFonts w:cs="Tahoma"/>
          <w:b/>
        </w:rPr>
        <w:t>EL</w:t>
      </w:r>
      <w:r w:rsidR="001F3515" w:rsidRPr="00C949B2">
        <w:rPr>
          <w:rFonts w:cs="Tahoma"/>
        </w:rPr>
        <w:t xml:space="preserve"> </w:t>
      </w:r>
      <w:r w:rsidR="001F3515" w:rsidRPr="00C949B2">
        <w:rPr>
          <w:rFonts w:cs="Tahoma"/>
          <w:b/>
          <w:bCs/>
        </w:rPr>
        <w:t>SUJETO OBLIGADO</w:t>
      </w:r>
      <w:r w:rsidR="001F3515" w:rsidRPr="00C949B2">
        <w:rPr>
          <w:rFonts w:cs="Tahoma"/>
        </w:rPr>
        <w:t xml:space="preserve">, </w:t>
      </w:r>
      <w:r w:rsidR="00664420" w:rsidRPr="00C949B2">
        <w:rPr>
          <w:rFonts w:cs="Tahoma"/>
        </w:rPr>
        <w:t xml:space="preserve">a través del Sistema de Acceso a la Información </w:t>
      </w:r>
      <w:r w:rsidR="009A2D78" w:rsidRPr="00C949B2">
        <w:rPr>
          <w:rFonts w:cs="Tahoma"/>
        </w:rPr>
        <w:t>(</w:t>
      </w:r>
      <w:r w:rsidRPr="00C949B2">
        <w:rPr>
          <w:rFonts w:cs="Tahoma"/>
        </w:rPr>
        <w:t>SAIMEX</w:t>
      </w:r>
      <w:r w:rsidR="009A2D78" w:rsidRPr="00C949B2">
        <w:rPr>
          <w:rFonts w:cs="Tahoma"/>
        </w:rPr>
        <w:t>)</w:t>
      </w:r>
      <w:r w:rsidR="001E0B1E" w:rsidRPr="00C949B2">
        <w:rPr>
          <w:rFonts w:eastAsia="Palatino Linotype" w:cs="Palatino Linotype"/>
        </w:rPr>
        <w:t xml:space="preserve">. </w:t>
      </w:r>
      <w:r w:rsidR="009A2D78" w:rsidRPr="00C949B2">
        <w:rPr>
          <w:rFonts w:cs="Tahoma"/>
        </w:rPr>
        <w:t>Dicha solicitud quedó</w:t>
      </w:r>
      <w:r w:rsidRPr="00C949B2">
        <w:rPr>
          <w:rFonts w:cs="Tahoma"/>
        </w:rPr>
        <w:t xml:space="preserve"> registrada c</w:t>
      </w:r>
      <w:r w:rsidR="00664420" w:rsidRPr="00C949B2">
        <w:rPr>
          <w:rFonts w:cs="Tahoma"/>
        </w:rPr>
        <w:t>on el número de folio</w:t>
      </w:r>
      <w:r w:rsidR="00664420" w:rsidRPr="00C949B2">
        <w:rPr>
          <w:rFonts w:cs="Tahoma"/>
          <w:b/>
          <w:bCs/>
        </w:rPr>
        <w:t xml:space="preserve"> </w:t>
      </w:r>
      <w:r w:rsidR="00F57086" w:rsidRPr="00C949B2">
        <w:rPr>
          <w:rFonts w:cs="Tahoma"/>
          <w:b/>
          <w:bCs/>
        </w:rPr>
        <w:t>01963/TOLUCA/IP/2024</w:t>
      </w:r>
      <w:r w:rsidR="002A3601" w:rsidRPr="00C949B2">
        <w:rPr>
          <w:rFonts w:cs="Tahoma"/>
        </w:rPr>
        <w:t xml:space="preserve"> y en ella </w:t>
      </w:r>
      <w:r w:rsidR="009A2D78" w:rsidRPr="00C949B2">
        <w:rPr>
          <w:rFonts w:cs="Tahoma"/>
        </w:rPr>
        <w:t>se requirió la siguiente información:</w:t>
      </w:r>
    </w:p>
    <w:p w14:paraId="179FB369" w14:textId="321CDB57" w:rsidR="00664420" w:rsidRPr="00C949B2" w:rsidRDefault="00EA472C" w:rsidP="00C949B2">
      <w:pPr>
        <w:pStyle w:val="Puesto"/>
        <w:rPr>
          <w:szCs w:val="22"/>
        </w:rPr>
      </w:pPr>
      <w:r w:rsidRPr="00C949B2">
        <w:rPr>
          <w:szCs w:val="22"/>
        </w:rPr>
        <w:t>“</w:t>
      </w:r>
      <w:r w:rsidR="00F57086" w:rsidRPr="00C949B2">
        <w:rPr>
          <w:szCs w:val="22"/>
        </w:rPr>
        <w:t xml:space="preserve">Del bien inmueble conocido como ex delegación o como mayor referencia en donde se encuentran la </w:t>
      </w:r>
      <w:proofErr w:type="spellStart"/>
      <w:r w:rsidR="00F57086" w:rsidRPr="00C949B2">
        <w:rPr>
          <w:szCs w:val="22"/>
        </w:rPr>
        <w:t>oficialia</w:t>
      </w:r>
      <w:proofErr w:type="spellEnd"/>
      <w:r w:rsidR="00F57086" w:rsidRPr="00C949B2">
        <w:rPr>
          <w:szCs w:val="22"/>
        </w:rPr>
        <w:t xml:space="preserve"> del registro Civil ubicado en San Pablo </w:t>
      </w:r>
      <w:proofErr w:type="spellStart"/>
      <w:r w:rsidR="00F57086" w:rsidRPr="00C949B2">
        <w:rPr>
          <w:szCs w:val="22"/>
        </w:rPr>
        <w:t>Autopan</w:t>
      </w:r>
      <w:proofErr w:type="spellEnd"/>
      <w:r w:rsidR="00F57086" w:rsidRPr="00C949B2">
        <w:rPr>
          <w:szCs w:val="22"/>
        </w:rPr>
        <w:t>: -Documento con el que acredita la propiedad. -Documento con el que se realizó la donación, o compra-venta al Ayuntamiento de Toluca</w:t>
      </w:r>
      <w:r w:rsidRPr="00C949B2">
        <w:rPr>
          <w:szCs w:val="22"/>
        </w:rPr>
        <w:t>” (Sic)</w:t>
      </w:r>
    </w:p>
    <w:p w14:paraId="64B27DE3" w14:textId="77777777" w:rsidR="00664420" w:rsidRPr="00C949B2" w:rsidRDefault="00664420" w:rsidP="00C949B2">
      <w:pPr>
        <w:tabs>
          <w:tab w:val="left" w:pos="4667"/>
        </w:tabs>
        <w:ind w:left="567" w:right="567"/>
        <w:rPr>
          <w:rFonts w:cs="Tahoma"/>
          <w:bCs/>
          <w:i/>
          <w:szCs w:val="22"/>
        </w:rPr>
      </w:pPr>
    </w:p>
    <w:p w14:paraId="0BD6321D" w14:textId="56D9ABBC" w:rsidR="00664420" w:rsidRPr="00C949B2" w:rsidRDefault="009A2D78" w:rsidP="00C949B2">
      <w:pPr>
        <w:tabs>
          <w:tab w:val="left" w:pos="4667"/>
        </w:tabs>
        <w:ind w:left="567" w:right="567"/>
        <w:rPr>
          <w:rFonts w:cs="Tahoma"/>
          <w:bCs/>
          <w:szCs w:val="22"/>
        </w:rPr>
      </w:pPr>
      <w:r w:rsidRPr="00C949B2">
        <w:rPr>
          <w:rFonts w:cs="Tahoma"/>
          <w:b/>
          <w:bCs/>
          <w:szCs w:val="22"/>
        </w:rPr>
        <w:t>Modalidad de entrega</w:t>
      </w:r>
      <w:r w:rsidRPr="00C949B2">
        <w:rPr>
          <w:rFonts w:cs="Tahoma"/>
          <w:bCs/>
          <w:szCs w:val="22"/>
        </w:rPr>
        <w:t>: a</w:t>
      </w:r>
      <w:r w:rsidR="00664420" w:rsidRPr="00C949B2">
        <w:rPr>
          <w:rFonts w:cs="Tahoma"/>
          <w:bCs/>
          <w:i/>
          <w:szCs w:val="22"/>
        </w:rPr>
        <w:t xml:space="preserve"> través del </w:t>
      </w:r>
      <w:r w:rsidR="00664420" w:rsidRPr="00C949B2">
        <w:rPr>
          <w:rFonts w:cs="Tahoma"/>
          <w:b/>
          <w:bCs/>
          <w:i/>
          <w:szCs w:val="22"/>
        </w:rPr>
        <w:t>SAIMEX</w:t>
      </w:r>
      <w:r w:rsidRPr="00C949B2">
        <w:rPr>
          <w:rFonts w:cs="Tahoma"/>
          <w:bCs/>
          <w:i/>
          <w:szCs w:val="22"/>
        </w:rPr>
        <w:t>.</w:t>
      </w:r>
    </w:p>
    <w:p w14:paraId="334D2860" w14:textId="77777777" w:rsidR="00664420" w:rsidRPr="00C949B2" w:rsidRDefault="00664420" w:rsidP="00C949B2">
      <w:pPr>
        <w:autoSpaceDE w:val="0"/>
        <w:autoSpaceDN w:val="0"/>
        <w:adjustRightInd w:val="0"/>
        <w:ind w:right="-28"/>
        <w:rPr>
          <w:rFonts w:cs="Tahoma"/>
          <w:bCs/>
          <w:i/>
          <w:szCs w:val="22"/>
        </w:rPr>
      </w:pPr>
    </w:p>
    <w:p w14:paraId="5AC1EE52" w14:textId="2D75EC90" w:rsidR="00D036D3" w:rsidRPr="00C949B2" w:rsidRDefault="004F67D0" w:rsidP="00C949B2">
      <w:pPr>
        <w:pStyle w:val="Ttulo3"/>
        <w:rPr>
          <w:szCs w:val="22"/>
        </w:rPr>
      </w:pPr>
      <w:bookmarkStart w:id="6" w:name="_Toc181265220"/>
      <w:r w:rsidRPr="00C949B2">
        <w:rPr>
          <w:szCs w:val="22"/>
        </w:rPr>
        <w:lastRenderedPageBreak/>
        <w:t>b</w:t>
      </w:r>
      <w:r w:rsidR="00E37A3F" w:rsidRPr="00C949B2">
        <w:rPr>
          <w:szCs w:val="22"/>
        </w:rPr>
        <w:t xml:space="preserve">) </w:t>
      </w:r>
      <w:r w:rsidR="00D036D3" w:rsidRPr="00C949B2">
        <w:rPr>
          <w:szCs w:val="22"/>
        </w:rPr>
        <w:t>Turno de la solicitud de información</w:t>
      </w:r>
      <w:bookmarkEnd w:id="6"/>
    </w:p>
    <w:p w14:paraId="7CEE6F8C" w14:textId="54AA7C55" w:rsidR="007D1C55" w:rsidRPr="00C949B2" w:rsidRDefault="00D036D3" w:rsidP="00C949B2">
      <w:pPr>
        <w:spacing w:after="240"/>
        <w:rPr>
          <w:szCs w:val="22"/>
        </w:rPr>
      </w:pPr>
      <w:r w:rsidRPr="00C949B2">
        <w:rPr>
          <w:szCs w:val="22"/>
        </w:rPr>
        <w:t xml:space="preserve">En cumplimiento al artículo 162 de la Ley de Transparencia y Acceso a la Información Pública del Estado de México y Municipios, el </w:t>
      </w:r>
      <w:proofErr w:type="spellStart"/>
      <w:r w:rsidR="00F57086" w:rsidRPr="00C949B2">
        <w:rPr>
          <w:rFonts w:eastAsia="Palatino Linotype" w:cs="Palatino Linotype"/>
          <w:b/>
          <w:szCs w:val="22"/>
        </w:rPr>
        <w:t>veintiseis</w:t>
      </w:r>
      <w:proofErr w:type="spellEnd"/>
      <w:r w:rsidR="00747061" w:rsidRPr="00C949B2">
        <w:rPr>
          <w:rFonts w:eastAsia="Palatino Linotype" w:cs="Palatino Linotype"/>
          <w:b/>
          <w:szCs w:val="22"/>
        </w:rPr>
        <w:t xml:space="preserve"> de agosto</w:t>
      </w:r>
      <w:r w:rsidRPr="00C949B2">
        <w:rPr>
          <w:rFonts w:eastAsia="Palatino Linotype" w:cs="Palatino Linotype"/>
          <w:b/>
          <w:szCs w:val="22"/>
        </w:rPr>
        <w:t xml:space="preserve"> de dos mil </w:t>
      </w:r>
      <w:r w:rsidR="00747061" w:rsidRPr="00C949B2">
        <w:rPr>
          <w:rFonts w:eastAsia="Palatino Linotype" w:cs="Palatino Linotype"/>
          <w:b/>
          <w:szCs w:val="22"/>
        </w:rPr>
        <w:t>veinticuatro</w:t>
      </w:r>
      <w:r w:rsidR="00EA472C" w:rsidRPr="00C949B2">
        <w:rPr>
          <w:rFonts w:eastAsia="Palatino Linotype" w:cs="Palatino Linotype"/>
          <w:b/>
          <w:szCs w:val="22"/>
        </w:rPr>
        <w:t>,</w:t>
      </w:r>
      <w:r w:rsidR="00EA472C" w:rsidRPr="00C949B2">
        <w:rPr>
          <w:szCs w:val="22"/>
        </w:rPr>
        <w:t xml:space="preserve"> </w:t>
      </w:r>
      <w:r w:rsidR="00747061" w:rsidRPr="00C949B2">
        <w:rPr>
          <w:szCs w:val="22"/>
        </w:rPr>
        <w:t>l</w:t>
      </w:r>
      <w:r w:rsidR="00F57086" w:rsidRPr="00C949B2">
        <w:rPr>
          <w:szCs w:val="22"/>
        </w:rPr>
        <w:t>a</w:t>
      </w:r>
      <w:r w:rsidRPr="00C949B2">
        <w:rPr>
          <w:szCs w:val="22"/>
        </w:rPr>
        <w:t xml:space="preserve"> Titular de la Unidad de Transparencia del </w:t>
      </w:r>
      <w:r w:rsidRPr="00C949B2">
        <w:rPr>
          <w:b/>
          <w:szCs w:val="22"/>
        </w:rPr>
        <w:t>SUJETO OBLIGADO</w:t>
      </w:r>
      <w:r w:rsidRPr="00C949B2">
        <w:rPr>
          <w:szCs w:val="22"/>
        </w:rPr>
        <w:t xml:space="preserve"> turnó la solicitud de información </w:t>
      </w:r>
      <w:r w:rsidR="00EA472C" w:rsidRPr="00C949B2">
        <w:rPr>
          <w:szCs w:val="22"/>
        </w:rPr>
        <w:t>a</w:t>
      </w:r>
      <w:r w:rsidR="00747061" w:rsidRPr="00C949B2">
        <w:rPr>
          <w:szCs w:val="22"/>
        </w:rPr>
        <w:t>l</w:t>
      </w:r>
      <w:r w:rsidR="007D1C55" w:rsidRPr="00C949B2">
        <w:rPr>
          <w:szCs w:val="22"/>
        </w:rPr>
        <w:t xml:space="preserve"> </w:t>
      </w:r>
      <w:r w:rsidRPr="00C949B2">
        <w:rPr>
          <w:szCs w:val="22"/>
        </w:rPr>
        <w:t>servidor público habilitado que estimó pertinente</w:t>
      </w:r>
      <w:r w:rsidR="007D1C55" w:rsidRPr="00C949B2">
        <w:rPr>
          <w:szCs w:val="22"/>
        </w:rPr>
        <w:t>.</w:t>
      </w:r>
    </w:p>
    <w:p w14:paraId="053D262E" w14:textId="77777777" w:rsidR="00F57086" w:rsidRPr="00C949B2" w:rsidRDefault="00F57086" w:rsidP="00C949B2">
      <w:pPr>
        <w:pStyle w:val="Ttulo3"/>
      </w:pPr>
      <w:bookmarkStart w:id="7" w:name="_Toc165402841"/>
      <w:bookmarkStart w:id="8" w:name="_Toc180581263"/>
      <w:bookmarkStart w:id="9" w:name="_Toc181265221"/>
      <w:r w:rsidRPr="00C949B2">
        <w:t>c) Prórroga</w:t>
      </w:r>
      <w:bookmarkEnd w:id="7"/>
      <w:bookmarkEnd w:id="8"/>
      <w:bookmarkEnd w:id="9"/>
    </w:p>
    <w:p w14:paraId="15EE7819" w14:textId="44A70477" w:rsidR="00F57086" w:rsidRPr="00C949B2" w:rsidRDefault="00F57086" w:rsidP="00C949B2">
      <w:pPr>
        <w:spacing w:after="240"/>
      </w:pPr>
      <w:r w:rsidRPr="00C949B2">
        <w:t xml:space="preserve">De las constancias que obran en el SAIMEX, se advierte que el </w:t>
      </w:r>
      <w:r w:rsidRPr="00C949B2">
        <w:rPr>
          <w:b/>
          <w:bCs/>
        </w:rPr>
        <w:t>diecisiete de septiembre de dos mil veinticuatro</w:t>
      </w:r>
      <w:r w:rsidRPr="00C949B2">
        <w:t xml:space="preserve">, </w:t>
      </w:r>
      <w:r w:rsidRPr="00C949B2">
        <w:rPr>
          <w:b/>
          <w:bCs/>
        </w:rPr>
        <w:t>EL SUJETO OBLIGADO</w:t>
      </w:r>
      <w:r w:rsidRPr="00C949B2">
        <w:t xml:space="preserve"> notificó una prórroga de siete días para dar respuesta a la solicitud de información planteada por </w:t>
      </w:r>
      <w:r w:rsidRPr="00C949B2">
        <w:rPr>
          <w:b/>
          <w:bCs/>
        </w:rPr>
        <w:t>LA PARTE RECURRENTE</w:t>
      </w:r>
      <w:r w:rsidRPr="00C949B2">
        <w:t>, en los siguientes términos:</w:t>
      </w:r>
    </w:p>
    <w:p w14:paraId="22B0184E" w14:textId="77777777" w:rsidR="00F57086" w:rsidRPr="00C949B2" w:rsidRDefault="00F57086" w:rsidP="00C949B2">
      <w:pPr>
        <w:pStyle w:val="Puesto"/>
        <w:ind w:left="851" w:right="822"/>
      </w:pPr>
      <w:r w:rsidRPr="00C949B2">
        <w:t>“Folio de la solicitud: 01963/TOLUCA/IP/2024</w:t>
      </w:r>
    </w:p>
    <w:p w14:paraId="58A12AA5" w14:textId="77777777" w:rsidR="00F57086" w:rsidRPr="00C949B2" w:rsidRDefault="00F57086" w:rsidP="00C949B2">
      <w:pPr>
        <w:pStyle w:val="Puesto"/>
        <w:ind w:left="851" w:right="822"/>
      </w:pPr>
      <w:r w:rsidRPr="00C949B2">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9EDF2A1" w14:textId="77777777" w:rsidR="00F57086" w:rsidRPr="00C949B2" w:rsidRDefault="00F57086" w:rsidP="00C949B2">
      <w:pPr>
        <w:pStyle w:val="Puesto"/>
        <w:ind w:left="851" w:right="822"/>
      </w:pPr>
      <w:proofErr w:type="gramStart"/>
      <w:r w:rsidRPr="00C949B2">
        <w:t>en</w:t>
      </w:r>
      <w:proofErr w:type="gramEnd"/>
      <w:r w:rsidRPr="00C949B2">
        <w:t xml:space="preserve"> atención a la solicitud de información 01963/TOLUCA/IP/2024, de conformidad con el artículo 163 segundo párrafo de la Ley de Transparencia y Acceso a la Información Pública del Estado de México y Municipios, se solicitó una ampliación de plazo hasta por siete días hábiles más, misma que se consideró procedente mediante acuerdo número AT/CT/01/2024 aprobado por el Comité de Transparencia en la Septingentésima Segunda Sesión Extraordinaria 2024.</w:t>
      </w:r>
    </w:p>
    <w:p w14:paraId="7881D989" w14:textId="77777777" w:rsidR="00F57086" w:rsidRPr="00C949B2" w:rsidRDefault="00F57086" w:rsidP="00C949B2">
      <w:pPr>
        <w:pStyle w:val="Puesto"/>
        <w:ind w:left="851" w:right="822"/>
      </w:pPr>
      <w:r w:rsidRPr="00C949B2">
        <w:t>Lic. Norma Sofía Pérez Martínez</w:t>
      </w:r>
    </w:p>
    <w:p w14:paraId="7A344614" w14:textId="28834ED0" w:rsidR="00F57086" w:rsidRPr="00C949B2" w:rsidRDefault="00F57086" w:rsidP="00C949B2">
      <w:pPr>
        <w:pStyle w:val="Puesto"/>
        <w:spacing w:after="240"/>
        <w:ind w:left="851" w:right="822"/>
      </w:pPr>
      <w:r w:rsidRPr="00C949B2">
        <w:t>Responsable de la Unidad de Transparencia” (Sic)</w:t>
      </w:r>
    </w:p>
    <w:p w14:paraId="10EA519E" w14:textId="7AFDDDFD" w:rsidR="00F57086" w:rsidRPr="00C949B2" w:rsidRDefault="00F57086" w:rsidP="00C949B2">
      <w:r w:rsidRPr="00C949B2">
        <w:t xml:space="preserve">Asimismo, en el expediente que obra en el SAIMEX se advierte que </w:t>
      </w:r>
      <w:r w:rsidRPr="00C949B2">
        <w:rPr>
          <w:b/>
          <w:bCs/>
        </w:rPr>
        <w:t>EL SUJETO OBLIGADO</w:t>
      </w:r>
      <w:r w:rsidRPr="00C949B2">
        <w:t xml:space="preserve"> acompañó a la solicitud de prórroga el archivo electrónico denominado </w:t>
      </w:r>
      <w:r w:rsidRPr="00C949B2">
        <w:rPr>
          <w:b/>
          <w:bCs/>
          <w:i/>
          <w:iCs/>
        </w:rPr>
        <w:t>“ACTA SEPTINGENTÉSIMA SEGUNDA SESIÓN EXTRAORDINARÍA 2024.pdf,”</w:t>
      </w:r>
      <w:r w:rsidRPr="00C949B2">
        <w:t xml:space="preserve"> el cual contiene el Acuerdo número AT/CT/01/2024, por medio del cual el Comité de Transparencia aprobó la ampliación de plazo para dar respuesta a la solicitud de información.</w:t>
      </w:r>
    </w:p>
    <w:p w14:paraId="3212BA4D" w14:textId="33FC22B5" w:rsidR="00664420" w:rsidRPr="00C949B2" w:rsidRDefault="00F57086" w:rsidP="00C949B2">
      <w:pPr>
        <w:pStyle w:val="Ttulo3"/>
        <w:rPr>
          <w:rFonts w:eastAsia="Calibri"/>
          <w:szCs w:val="22"/>
          <w:lang w:eastAsia="en-US"/>
        </w:rPr>
      </w:pPr>
      <w:bookmarkStart w:id="10" w:name="_Toc181265222"/>
      <w:r w:rsidRPr="00C949B2">
        <w:rPr>
          <w:szCs w:val="22"/>
          <w:lang w:val="es-ES"/>
        </w:rPr>
        <w:lastRenderedPageBreak/>
        <w:t>d</w:t>
      </w:r>
      <w:r w:rsidR="00E37A3F" w:rsidRPr="00C949B2">
        <w:rPr>
          <w:szCs w:val="22"/>
          <w:lang w:val="es-ES"/>
        </w:rPr>
        <w:t xml:space="preserve">) </w:t>
      </w:r>
      <w:r w:rsidR="00664420" w:rsidRPr="00C949B2">
        <w:rPr>
          <w:szCs w:val="22"/>
          <w:lang w:val="es-ES"/>
        </w:rPr>
        <w:t xml:space="preserve">Respuesta </w:t>
      </w:r>
      <w:r w:rsidR="00664420" w:rsidRPr="00C949B2">
        <w:rPr>
          <w:rFonts w:eastAsia="Calibri"/>
          <w:szCs w:val="22"/>
          <w:lang w:eastAsia="en-US"/>
        </w:rPr>
        <w:t>del Sujeto Obligado</w:t>
      </w:r>
      <w:bookmarkEnd w:id="10"/>
    </w:p>
    <w:p w14:paraId="79199CC1" w14:textId="27ABFFD0" w:rsidR="00664420" w:rsidRPr="00C949B2" w:rsidRDefault="00664420" w:rsidP="00C949B2">
      <w:pPr>
        <w:pStyle w:val="Sinespaciado"/>
        <w:spacing w:line="360" w:lineRule="auto"/>
        <w:rPr>
          <w:szCs w:val="22"/>
          <w:lang w:val="es-ES"/>
        </w:rPr>
      </w:pPr>
      <w:r w:rsidRPr="00C949B2">
        <w:rPr>
          <w:szCs w:val="22"/>
          <w:lang w:val="es-ES"/>
        </w:rPr>
        <w:t xml:space="preserve">El </w:t>
      </w:r>
      <w:r w:rsidR="00A8142F" w:rsidRPr="00C949B2">
        <w:rPr>
          <w:b/>
          <w:bCs/>
          <w:szCs w:val="22"/>
          <w:lang w:val="es-ES"/>
        </w:rPr>
        <w:t>veintiséis</w:t>
      </w:r>
      <w:r w:rsidR="004F67D0" w:rsidRPr="00C949B2">
        <w:rPr>
          <w:b/>
          <w:bCs/>
          <w:szCs w:val="22"/>
          <w:lang w:val="es-ES"/>
        </w:rPr>
        <w:t xml:space="preserve"> de septiembre</w:t>
      </w:r>
      <w:r w:rsidR="00FA491C" w:rsidRPr="00C949B2">
        <w:rPr>
          <w:b/>
          <w:bCs/>
          <w:szCs w:val="22"/>
          <w:lang w:val="es-ES"/>
        </w:rPr>
        <w:t xml:space="preserve"> </w:t>
      </w:r>
      <w:r w:rsidRPr="00C949B2">
        <w:rPr>
          <w:b/>
          <w:bCs/>
          <w:szCs w:val="22"/>
          <w:lang w:val="es-ES"/>
        </w:rPr>
        <w:t xml:space="preserve">de dos mil </w:t>
      </w:r>
      <w:r w:rsidR="00EA472C" w:rsidRPr="00C949B2">
        <w:rPr>
          <w:b/>
          <w:bCs/>
          <w:szCs w:val="22"/>
          <w:lang w:val="es-ES"/>
        </w:rPr>
        <w:t>veinticuatro</w:t>
      </w:r>
      <w:r w:rsidRPr="00C949B2">
        <w:rPr>
          <w:szCs w:val="22"/>
          <w:lang w:val="es-ES"/>
        </w:rPr>
        <w:t xml:space="preserve">, </w:t>
      </w:r>
      <w:r w:rsidR="004F67D0" w:rsidRPr="00C949B2">
        <w:rPr>
          <w:szCs w:val="22"/>
          <w:lang w:val="es-ES"/>
        </w:rPr>
        <w:t>el</w:t>
      </w:r>
      <w:r w:rsidR="00F07EE6" w:rsidRPr="00C949B2">
        <w:rPr>
          <w:szCs w:val="22"/>
          <w:lang w:val="es-ES"/>
        </w:rPr>
        <w:t xml:space="preserve"> Titular de la Unidad de Transparencia del </w:t>
      </w:r>
      <w:r w:rsidR="00F07EE6" w:rsidRPr="00C949B2">
        <w:rPr>
          <w:b/>
          <w:szCs w:val="22"/>
          <w:lang w:val="es-ES"/>
        </w:rPr>
        <w:t>SUJETO OBLIGADO</w:t>
      </w:r>
      <w:r w:rsidR="00F07EE6" w:rsidRPr="00C949B2">
        <w:rPr>
          <w:szCs w:val="22"/>
          <w:lang w:val="es-ES"/>
        </w:rPr>
        <w:t xml:space="preserve"> notificó la siguiente respuesta a través del </w:t>
      </w:r>
      <w:r w:rsidRPr="00C949B2">
        <w:rPr>
          <w:szCs w:val="22"/>
          <w:lang w:val="es-ES"/>
        </w:rPr>
        <w:t>SAIMEX</w:t>
      </w:r>
      <w:r w:rsidR="00F07EE6" w:rsidRPr="00C949B2">
        <w:rPr>
          <w:szCs w:val="22"/>
          <w:lang w:val="es-ES"/>
        </w:rPr>
        <w:t>:</w:t>
      </w:r>
    </w:p>
    <w:p w14:paraId="669F7EFD" w14:textId="77777777" w:rsidR="00664420" w:rsidRPr="00C949B2" w:rsidRDefault="00664420" w:rsidP="00C949B2">
      <w:pPr>
        <w:tabs>
          <w:tab w:val="left" w:pos="4667"/>
        </w:tabs>
        <w:ind w:left="567" w:right="567"/>
        <w:rPr>
          <w:rFonts w:cs="Tahoma"/>
          <w:b/>
          <w:bCs/>
          <w:szCs w:val="22"/>
        </w:rPr>
      </w:pPr>
    </w:p>
    <w:p w14:paraId="559DFF81" w14:textId="77777777" w:rsidR="00F57086" w:rsidRPr="00C949B2" w:rsidRDefault="00EA472C" w:rsidP="00C949B2">
      <w:pPr>
        <w:pStyle w:val="Puesto"/>
        <w:rPr>
          <w:szCs w:val="22"/>
        </w:rPr>
      </w:pPr>
      <w:r w:rsidRPr="00C949B2">
        <w:rPr>
          <w:szCs w:val="22"/>
        </w:rPr>
        <w:t>“</w:t>
      </w:r>
      <w:r w:rsidR="00F57086" w:rsidRPr="00C949B2">
        <w:rPr>
          <w:szCs w:val="22"/>
        </w:rPr>
        <w:t>Folio de la solicitud: 01963/TOLUCA/IP/2024</w:t>
      </w:r>
    </w:p>
    <w:p w14:paraId="295FDFF1" w14:textId="77777777" w:rsidR="00F57086" w:rsidRPr="00C949B2" w:rsidRDefault="00F57086" w:rsidP="00C949B2">
      <w:pPr>
        <w:pStyle w:val="Puesto"/>
        <w:rPr>
          <w:szCs w:val="22"/>
        </w:rPr>
      </w:pPr>
      <w:r w:rsidRPr="00C949B2">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E1EDF7D" w14:textId="77777777" w:rsidR="00F57086" w:rsidRPr="00C949B2" w:rsidRDefault="00F57086" w:rsidP="00C949B2">
      <w:pPr>
        <w:pStyle w:val="Puesto"/>
        <w:rPr>
          <w:szCs w:val="22"/>
        </w:rPr>
      </w:pPr>
      <w:r w:rsidRPr="00C949B2">
        <w:rPr>
          <w:szCs w:val="22"/>
        </w:rPr>
        <w:t>En atención a la solicitud con folio 01963/TOLUCA/IP/2024, me permito adjuntar al presente la respuesta correspondiente. Sin más por el momento, reciba un saludo.</w:t>
      </w:r>
    </w:p>
    <w:p w14:paraId="6170AE6D" w14:textId="77777777" w:rsidR="00F57086" w:rsidRPr="00C949B2" w:rsidRDefault="00F57086" w:rsidP="00C949B2">
      <w:pPr>
        <w:pStyle w:val="Puesto"/>
        <w:rPr>
          <w:szCs w:val="22"/>
        </w:rPr>
      </w:pPr>
      <w:r w:rsidRPr="00C949B2">
        <w:rPr>
          <w:szCs w:val="22"/>
        </w:rPr>
        <w:t>ATENTAMENTE</w:t>
      </w:r>
    </w:p>
    <w:p w14:paraId="042FE73D" w14:textId="3AE07AA4" w:rsidR="00F07EE6" w:rsidRPr="00C949B2" w:rsidRDefault="00F57086" w:rsidP="00C949B2">
      <w:pPr>
        <w:pStyle w:val="Puesto"/>
        <w:rPr>
          <w:szCs w:val="22"/>
        </w:rPr>
      </w:pPr>
      <w:r w:rsidRPr="00C949B2">
        <w:rPr>
          <w:szCs w:val="22"/>
        </w:rPr>
        <w:t>Lic. Norma Sofía Pérez Martínez</w:t>
      </w:r>
      <w:r w:rsidR="00EA472C" w:rsidRPr="00C949B2">
        <w:rPr>
          <w:szCs w:val="22"/>
        </w:rPr>
        <w:t>” (Sic)</w:t>
      </w:r>
    </w:p>
    <w:p w14:paraId="5D11024C" w14:textId="77777777" w:rsidR="00664420" w:rsidRPr="00C949B2" w:rsidRDefault="00664420" w:rsidP="00C949B2">
      <w:pPr>
        <w:autoSpaceDE w:val="0"/>
        <w:autoSpaceDN w:val="0"/>
        <w:adjustRightInd w:val="0"/>
        <w:ind w:right="-28"/>
        <w:rPr>
          <w:rFonts w:cs="Tahoma"/>
          <w:bCs/>
          <w:szCs w:val="22"/>
        </w:rPr>
      </w:pPr>
    </w:p>
    <w:p w14:paraId="6A8B6F0B" w14:textId="77777777" w:rsidR="007A3424" w:rsidRPr="00C949B2" w:rsidRDefault="00F07EE6" w:rsidP="00C949B2">
      <w:pPr>
        <w:autoSpaceDE w:val="0"/>
        <w:autoSpaceDN w:val="0"/>
        <w:adjustRightInd w:val="0"/>
        <w:ind w:right="-28"/>
        <w:rPr>
          <w:rFonts w:cs="Tahoma"/>
          <w:bCs/>
          <w:szCs w:val="22"/>
          <w:lang w:val="es-ES"/>
        </w:rPr>
      </w:pPr>
      <w:r w:rsidRPr="00C949B2">
        <w:rPr>
          <w:rFonts w:cs="Tahoma"/>
          <w:bCs/>
          <w:szCs w:val="22"/>
          <w:lang w:val="es-ES"/>
        </w:rPr>
        <w:t xml:space="preserve">Asimismo, </w:t>
      </w:r>
      <w:r w:rsidRPr="00C949B2">
        <w:rPr>
          <w:rFonts w:cs="Tahoma"/>
          <w:b/>
          <w:szCs w:val="22"/>
          <w:lang w:val="es-ES"/>
        </w:rPr>
        <w:t xml:space="preserve">EL SUJETO OBLIGADO </w:t>
      </w:r>
      <w:r w:rsidRPr="00C949B2">
        <w:rPr>
          <w:rFonts w:cs="Tahoma"/>
          <w:bCs/>
          <w:szCs w:val="22"/>
          <w:lang w:val="es-ES"/>
        </w:rPr>
        <w:t xml:space="preserve">adjuntó a su respuesta </w:t>
      </w:r>
      <w:r w:rsidR="00747061" w:rsidRPr="00C949B2">
        <w:rPr>
          <w:rFonts w:cs="Tahoma"/>
          <w:bCs/>
          <w:szCs w:val="22"/>
          <w:lang w:val="es-ES"/>
        </w:rPr>
        <w:t>l</w:t>
      </w:r>
      <w:r w:rsidR="007A3424" w:rsidRPr="00C949B2">
        <w:rPr>
          <w:rFonts w:cs="Tahoma"/>
          <w:bCs/>
          <w:szCs w:val="22"/>
          <w:lang w:val="es-ES"/>
        </w:rPr>
        <w:t>os siguientes</w:t>
      </w:r>
      <w:r w:rsidR="00747061" w:rsidRPr="00C949B2">
        <w:rPr>
          <w:rFonts w:cs="Tahoma"/>
          <w:bCs/>
          <w:szCs w:val="22"/>
          <w:lang w:val="es-ES"/>
        </w:rPr>
        <w:t xml:space="preserve"> </w:t>
      </w:r>
      <w:r w:rsidRPr="00C949B2">
        <w:rPr>
          <w:rFonts w:cs="Tahoma"/>
          <w:bCs/>
          <w:szCs w:val="22"/>
          <w:lang w:val="es-ES"/>
        </w:rPr>
        <w:t>archivo</w:t>
      </w:r>
      <w:r w:rsidR="007A3424" w:rsidRPr="00C949B2">
        <w:rPr>
          <w:rFonts w:cs="Tahoma"/>
          <w:bCs/>
          <w:szCs w:val="22"/>
          <w:lang w:val="es-ES"/>
        </w:rPr>
        <w:t>s</w:t>
      </w:r>
      <w:r w:rsidRPr="00C949B2">
        <w:rPr>
          <w:rFonts w:cs="Tahoma"/>
          <w:bCs/>
          <w:szCs w:val="22"/>
          <w:lang w:val="es-ES"/>
        </w:rPr>
        <w:t xml:space="preserve"> electrónico</w:t>
      </w:r>
      <w:r w:rsidR="007A3424" w:rsidRPr="00C949B2">
        <w:rPr>
          <w:rFonts w:cs="Tahoma"/>
          <w:bCs/>
          <w:szCs w:val="22"/>
          <w:lang w:val="es-ES"/>
        </w:rPr>
        <w:t>s:</w:t>
      </w:r>
    </w:p>
    <w:p w14:paraId="2964A392" w14:textId="5A24AD8E" w:rsidR="00B277EC" w:rsidRPr="00C949B2" w:rsidRDefault="00EA472C" w:rsidP="00C949B2">
      <w:pPr>
        <w:pStyle w:val="Prrafodelista"/>
        <w:numPr>
          <w:ilvl w:val="0"/>
          <w:numId w:val="23"/>
        </w:numPr>
        <w:autoSpaceDE w:val="0"/>
        <w:autoSpaceDN w:val="0"/>
        <w:adjustRightInd w:val="0"/>
        <w:ind w:right="-28"/>
        <w:rPr>
          <w:rFonts w:cs="Tahoma"/>
          <w:szCs w:val="22"/>
          <w:lang w:val="es-ES"/>
        </w:rPr>
      </w:pPr>
      <w:r w:rsidRPr="00C949B2">
        <w:rPr>
          <w:rFonts w:cs="Tahoma"/>
          <w:b/>
          <w:i/>
          <w:szCs w:val="22"/>
          <w:lang w:val="es-ES"/>
        </w:rPr>
        <w:t>“</w:t>
      </w:r>
      <w:r w:rsidR="007A3424" w:rsidRPr="00C949B2">
        <w:rPr>
          <w:rFonts w:cs="Tahoma"/>
          <w:b/>
          <w:i/>
          <w:szCs w:val="22"/>
          <w:lang w:val="es-ES"/>
        </w:rPr>
        <w:t>Respuesta 01963_24.pdf</w:t>
      </w:r>
      <w:r w:rsidR="0089420F" w:rsidRPr="00C949B2">
        <w:rPr>
          <w:rFonts w:cs="Tahoma"/>
          <w:b/>
          <w:i/>
          <w:szCs w:val="22"/>
          <w:lang w:val="es-ES"/>
        </w:rPr>
        <w:t xml:space="preserve">” </w:t>
      </w:r>
      <w:r w:rsidR="0089420F" w:rsidRPr="00C949B2">
        <w:rPr>
          <w:rFonts w:cs="Tahoma"/>
          <w:szCs w:val="22"/>
          <w:lang w:val="es-ES"/>
        </w:rPr>
        <w:t xml:space="preserve">archivo de cuyo contenido se advierte el oficio </w:t>
      </w:r>
      <w:r w:rsidR="007A3424" w:rsidRPr="00C949B2">
        <w:rPr>
          <w:rFonts w:cs="Tahoma"/>
          <w:szCs w:val="22"/>
          <w:lang w:val="es-ES"/>
        </w:rPr>
        <w:t>sin</w:t>
      </w:r>
      <w:r w:rsidR="0089420F" w:rsidRPr="00C949B2">
        <w:rPr>
          <w:rFonts w:cs="Tahoma"/>
          <w:szCs w:val="22"/>
          <w:lang w:val="es-ES"/>
        </w:rPr>
        <w:t xml:space="preserve"> número</w:t>
      </w:r>
      <w:r w:rsidR="00830EEF" w:rsidRPr="00C949B2">
        <w:rPr>
          <w:rFonts w:cs="Tahoma"/>
          <w:szCs w:val="22"/>
          <w:lang w:val="es-ES"/>
        </w:rPr>
        <w:t>,</w:t>
      </w:r>
      <w:r w:rsidR="0089420F" w:rsidRPr="00C949B2">
        <w:rPr>
          <w:rFonts w:cs="Tahoma"/>
          <w:szCs w:val="22"/>
          <w:lang w:val="es-ES"/>
        </w:rPr>
        <w:t xml:space="preserve"> del </w:t>
      </w:r>
      <w:r w:rsidR="005B762D" w:rsidRPr="00C949B2">
        <w:rPr>
          <w:rFonts w:cs="Tahoma"/>
          <w:szCs w:val="22"/>
          <w:lang w:val="es-ES"/>
        </w:rPr>
        <w:t>veintiséis</w:t>
      </w:r>
      <w:r w:rsidR="004F67D0" w:rsidRPr="00C949B2">
        <w:rPr>
          <w:rFonts w:cs="Tahoma"/>
          <w:szCs w:val="22"/>
          <w:lang w:val="es-ES"/>
        </w:rPr>
        <w:t xml:space="preserve"> de septiembre</w:t>
      </w:r>
      <w:r w:rsidR="0089420F" w:rsidRPr="00C949B2">
        <w:rPr>
          <w:rFonts w:cs="Tahoma"/>
          <w:szCs w:val="22"/>
          <w:lang w:val="es-ES"/>
        </w:rPr>
        <w:t xml:space="preserve"> de dos mil veinticuatro, dirigido a</w:t>
      </w:r>
      <w:r w:rsidR="00747061" w:rsidRPr="00C949B2">
        <w:rPr>
          <w:rFonts w:cs="Tahoma"/>
          <w:szCs w:val="22"/>
          <w:lang w:val="es-ES"/>
        </w:rPr>
        <w:t>l</w:t>
      </w:r>
      <w:r w:rsidR="0089420F" w:rsidRPr="00C949B2">
        <w:rPr>
          <w:rFonts w:cs="Tahoma"/>
          <w:szCs w:val="22"/>
          <w:lang w:val="es-ES"/>
        </w:rPr>
        <w:t xml:space="preserve"> </w:t>
      </w:r>
      <w:r w:rsidR="004F67D0" w:rsidRPr="00C949B2">
        <w:rPr>
          <w:rFonts w:cs="Tahoma"/>
          <w:szCs w:val="22"/>
          <w:lang w:val="es-ES"/>
        </w:rPr>
        <w:t>Solicitante y firmado por l</w:t>
      </w:r>
      <w:r w:rsidR="007A3424" w:rsidRPr="00C949B2">
        <w:rPr>
          <w:rFonts w:cs="Tahoma"/>
          <w:szCs w:val="22"/>
          <w:lang w:val="es-ES"/>
        </w:rPr>
        <w:t>a</w:t>
      </w:r>
      <w:r w:rsidR="004F67D0" w:rsidRPr="00C949B2">
        <w:rPr>
          <w:rFonts w:cs="Tahoma"/>
          <w:szCs w:val="22"/>
          <w:lang w:val="es-ES"/>
        </w:rPr>
        <w:t xml:space="preserve"> </w:t>
      </w:r>
      <w:r w:rsidR="0089420F" w:rsidRPr="00C949B2">
        <w:rPr>
          <w:rFonts w:cs="Tahoma"/>
          <w:szCs w:val="22"/>
          <w:lang w:val="es-ES"/>
        </w:rPr>
        <w:t xml:space="preserve">Titular de la Unidad de Transparencia, mediante el cual </w:t>
      </w:r>
      <w:r w:rsidR="004F67D0" w:rsidRPr="00C949B2">
        <w:rPr>
          <w:rFonts w:cs="Tahoma"/>
          <w:szCs w:val="22"/>
          <w:lang w:val="es-ES"/>
        </w:rPr>
        <w:t xml:space="preserve">hace del conocimiento del particular </w:t>
      </w:r>
      <w:r w:rsidR="007A3424" w:rsidRPr="00C949B2">
        <w:rPr>
          <w:rFonts w:cs="Tahoma"/>
          <w:szCs w:val="22"/>
          <w:lang w:val="es-ES"/>
        </w:rPr>
        <w:t xml:space="preserve">que la Secretaría del Ayuntamiento y Servidor Público Habilitado, informó que después de realizar la búsqueda exhaustiva y razonable de la información requerida, en los archivos que obran en el Departamento de Patrimonio Municipal de la Secretaria del Ayuntamiento, el cual señalo que la información que solicita se encuentra inmersa en un procedimiento administrativo por lo que nos posible entregar la información hasta que </w:t>
      </w:r>
      <w:r w:rsidR="00652B18" w:rsidRPr="00C949B2">
        <w:rPr>
          <w:rFonts w:cs="Tahoma"/>
          <w:szCs w:val="22"/>
          <w:lang w:val="es-ES"/>
        </w:rPr>
        <w:t xml:space="preserve">quede </w:t>
      </w:r>
      <w:r w:rsidR="007A3424" w:rsidRPr="00C949B2">
        <w:rPr>
          <w:rFonts w:cs="Tahoma"/>
          <w:szCs w:val="22"/>
          <w:lang w:val="es-ES"/>
        </w:rPr>
        <w:t xml:space="preserve">formalmente </w:t>
      </w:r>
      <w:r w:rsidR="00652B18" w:rsidRPr="00C949B2">
        <w:rPr>
          <w:rFonts w:cs="Tahoma"/>
          <w:szCs w:val="22"/>
          <w:lang w:val="es-ES"/>
        </w:rPr>
        <w:t>concluido el proceso por lo que solicitó al Comité de Transparencia del Ayuntamiento de Toluca la reserva de la información</w:t>
      </w:r>
      <w:r w:rsidR="000D2E8D" w:rsidRPr="00C949B2">
        <w:rPr>
          <w:rFonts w:cs="Tahoma"/>
          <w:szCs w:val="22"/>
          <w:lang w:val="es-ES"/>
        </w:rPr>
        <w:t>.</w:t>
      </w:r>
    </w:p>
    <w:p w14:paraId="472A42CD" w14:textId="3029A306" w:rsidR="00652B18" w:rsidRPr="00C949B2" w:rsidRDefault="00652B18" w:rsidP="00C949B2">
      <w:pPr>
        <w:pStyle w:val="Prrafodelista"/>
        <w:numPr>
          <w:ilvl w:val="0"/>
          <w:numId w:val="23"/>
        </w:numPr>
        <w:autoSpaceDE w:val="0"/>
        <w:autoSpaceDN w:val="0"/>
        <w:adjustRightInd w:val="0"/>
        <w:ind w:right="-28"/>
        <w:rPr>
          <w:rFonts w:cs="Tahoma"/>
          <w:szCs w:val="22"/>
          <w:lang w:val="es-ES"/>
        </w:rPr>
      </w:pPr>
      <w:r w:rsidRPr="00C949B2">
        <w:rPr>
          <w:rFonts w:cs="Tahoma"/>
          <w:b/>
          <w:i/>
          <w:szCs w:val="22"/>
          <w:lang w:val="es-ES"/>
        </w:rPr>
        <w:t xml:space="preserve">“Acta 735.pdf”, </w:t>
      </w:r>
      <w:r w:rsidRPr="00C949B2">
        <w:rPr>
          <w:rFonts w:cs="Tahoma"/>
          <w:bCs/>
          <w:iCs/>
          <w:szCs w:val="22"/>
          <w:lang w:val="es-ES"/>
        </w:rPr>
        <w:t xml:space="preserve">archivo que contiene el Acta de la Septingentésima Trigésima Quinta Sesión Extraordinaria 2024 del Comité De Transparencia del Municipio de Toluca Administración 2022-2024 del día veintiséis de septiembre del año dos mil veinticuatro, </w:t>
      </w:r>
      <w:r w:rsidRPr="00C949B2">
        <w:rPr>
          <w:rFonts w:cs="Tahoma"/>
          <w:bCs/>
          <w:iCs/>
          <w:szCs w:val="22"/>
          <w:lang w:val="es-ES"/>
        </w:rPr>
        <w:lastRenderedPageBreak/>
        <w:t>por medio de la cual se aprobó la propuesta de clasificación como información reservada en su totalidad por un periodo de un año de la información referente a la documentación que acredite la propiedad del inmueble solicitado a través de la solic</w:t>
      </w:r>
      <w:r w:rsidR="009E31A6" w:rsidRPr="00C949B2">
        <w:rPr>
          <w:rFonts w:cs="Tahoma"/>
          <w:bCs/>
          <w:iCs/>
          <w:szCs w:val="22"/>
          <w:lang w:val="es-ES"/>
        </w:rPr>
        <w:t>itu</w:t>
      </w:r>
      <w:r w:rsidRPr="00C949B2">
        <w:rPr>
          <w:rFonts w:cs="Tahoma"/>
          <w:bCs/>
          <w:iCs/>
          <w:szCs w:val="22"/>
          <w:lang w:val="es-ES"/>
        </w:rPr>
        <w:t>d</w:t>
      </w:r>
      <w:r w:rsidR="009E31A6" w:rsidRPr="00C949B2">
        <w:rPr>
          <w:rFonts w:cs="Tahoma"/>
          <w:bCs/>
          <w:iCs/>
          <w:szCs w:val="22"/>
          <w:lang w:val="es-ES"/>
        </w:rPr>
        <w:t xml:space="preserve"> con número de folio </w:t>
      </w:r>
      <w:r w:rsidR="009E31A6" w:rsidRPr="00C949B2">
        <w:rPr>
          <w:rFonts w:cs="Tahoma"/>
          <w:b/>
          <w:bCs/>
          <w:iCs/>
          <w:szCs w:val="22"/>
        </w:rPr>
        <w:t>01963/TOLUCA/IP/2024.</w:t>
      </w:r>
    </w:p>
    <w:p w14:paraId="470FDBE9" w14:textId="77777777" w:rsidR="000D2E8D" w:rsidRPr="00C949B2" w:rsidRDefault="000D2E8D" w:rsidP="00C949B2">
      <w:pPr>
        <w:autoSpaceDE w:val="0"/>
        <w:autoSpaceDN w:val="0"/>
        <w:adjustRightInd w:val="0"/>
        <w:ind w:right="-28"/>
        <w:rPr>
          <w:rFonts w:cs="Tahoma"/>
          <w:szCs w:val="22"/>
          <w:lang w:val="es-ES"/>
        </w:rPr>
      </w:pPr>
    </w:p>
    <w:p w14:paraId="5A5DAB9E" w14:textId="77777777" w:rsidR="00E37A3F" w:rsidRPr="00C949B2" w:rsidRDefault="00E37A3F" w:rsidP="00C949B2">
      <w:pPr>
        <w:pStyle w:val="Ttulo2"/>
        <w:jc w:val="left"/>
        <w:rPr>
          <w:szCs w:val="22"/>
        </w:rPr>
      </w:pPr>
      <w:bookmarkStart w:id="11" w:name="_Toc181265223"/>
      <w:r w:rsidRPr="00C949B2">
        <w:rPr>
          <w:szCs w:val="22"/>
        </w:rPr>
        <w:t>DEL RECURSO DE REVISIÓN</w:t>
      </w:r>
      <w:bookmarkEnd w:id="11"/>
    </w:p>
    <w:p w14:paraId="0B17CD08" w14:textId="77777777" w:rsidR="00664420" w:rsidRPr="00C949B2" w:rsidRDefault="00664420" w:rsidP="00C949B2">
      <w:pPr>
        <w:autoSpaceDE w:val="0"/>
        <w:autoSpaceDN w:val="0"/>
        <w:adjustRightInd w:val="0"/>
        <w:ind w:right="-28"/>
        <w:rPr>
          <w:rFonts w:cs="Tahoma"/>
          <w:bCs/>
          <w:szCs w:val="22"/>
          <w:lang w:val="es-ES"/>
        </w:rPr>
      </w:pPr>
    </w:p>
    <w:p w14:paraId="2B216813" w14:textId="61ADBB2B" w:rsidR="00664420" w:rsidRPr="00C949B2" w:rsidRDefault="006E25BC" w:rsidP="00C949B2">
      <w:pPr>
        <w:pStyle w:val="Ttulo3"/>
        <w:rPr>
          <w:szCs w:val="22"/>
        </w:rPr>
      </w:pPr>
      <w:bookmarkStart w:id="12" w:name="_Toc181265224"/>
      <w:r w:rsidRPr="00C949B2">
        <w:rPr>
          <w:szCs w:val="22"/>
        </w:rPr>
        <w:t xml:space="preserve">a) </w:t>
      </w:r>
      <w:r w:rsidR="00664420" w:rsidRPr="00C949B2">
        <w:rPr>
          <w:szCs w:val="22"/>
        </w:rPr>
        <w:t>Interposición del Recurso de Revisión</w:t>
      </w:r>
      <w:bookmarkEnd w:id="12"/>
    </w:p>
    <w:p w14:paraId="6279C622" w14:textId="426F863E" w:rsidR="00664420" w:rsidRPr="00C949B2" w:rsidRDefault="00664420" w:rsidP="00C949B2">
      <w:pPr>
        <w:autoSpaceDE w:val="0"/>
        <w:autoSpaceDN w:val="0"/>
        <w:adjustRightInd w:val="0"/>
        <w:ind w:right="-28"/>
        <w:rPr>
          <w:rFonts w:cs="Tahoma"/>
          <w:szCs w:val="22"/>
        </w:rPr>
      </w:pPr>
      <w:r w:rsidRPr="00C949B2">
        <w:rPr>
          <w:rFonts w:cs="Tahoma"/>
          <w:szCs w:val="22"/>
        </w:rPr>
        <w:t xml:space="preserve">El </w:t>
      </w:r>
      <w:r w:rsidR="009E31A6" w:rsidRPr="00C949B2">
        <w:rPr>
          <w:rFonts w:cs="Tahoma"/>
          <w:b/>
          <w:bCs/>
          <w:szCs w:val="22"/>
        </w:rPr>
        <w:t>treinta</w:t>
      </w:r>
      <w:r w:rsidR="00BC36F3" w:rsidRPr="00C949B2">
        <w:rPr>
          <w:rFonts w:cs="Tahoma"/>
          <w:b/>
          <w:bCs/>
          <w:szCs w:val="22"/>
        </w:rPr>
        <w:t xml:space="preserve"> de septiembre</w:t>
      </w:r>
      <w:r w:rsidRPr="00C949B2">
        <w:rPr>
          <w:rFonts w:cs="Tahoma"/>
          <w:b/>
          <w:bCs/>
          <w:szCs w:val="22"/>
        </w:rPr>
        <w:t xml:space="preserve"> de dos mil </w:t>
      </w:r>
      <w:r w:rsidR="00591869" w:rsidRPr="00C949B2">
        <w:rPr>
          <w:rFonts w:cs="Tahoma"/>
          <w:b/>
          <w:bCs/>
          <w:szCs w:val="22"/>
        </w:rPr>
        <w:t>veinticuatro,</w:t>
      </w:r>
      <w:r w:rsidRPr="00C949B2">
        <w:rPr>
          <w:rFonts w:cs="Tahoma"/>
          <w:szCs w:val="22"/>
        </w:rPr>
        <w:t xml:space="preserve"> </w:t>
      </w:r>
      <w:r w:rsidR="00F75D23" w:rsidRPr="00C949B2">
        <w:rPr>
          <w:rFonts w:cs="Tahoma"/>
          <w:b/>
          <w:bCs/>
          <w:szCs w:val="22"/>
        </w:rPr>
        <w:t>LA PARTE RECURRENTE</w:t>
      </w:r>
      <w:r w:rsidR="00F75D23" w:rsidRPr="00C949B2">
        <w:rPr>
          <w:rFonts w:cs="Tahoma"/>
          <w:szCs w:val="22"/>
        </w:rPr>
        <w:t xml:space="preserve"> interpuso el recurso de revisión en contra de la respuesta emitida por </w:t>
      </w:r>
      <w:r w:rsidR="0053398E" w:rsidRPr="00C949B2">
        <w:rPr>
          <w:rFonts w:cs="Tahoma"/>
          <w:b/>
          <w:szCs w:val="22"/>
        </w:rPr>
        <w:t>EL</w:t>
      </w:r>
      <w:r w:rsidR="00F75D23" w:rsidRPr="00C949B2">
        <w:rPr>
          <w:rFonts w:cs="Tahoma"/>
          <w:szCs w:val="22"/>
        </w:rPr>
        <w:t xml:space="preserve"> </w:t>
      </w:r>
      <w:r w:rsidR="00F75D23" w:rsidRPr="00C949B2">
        <w:rPr>
          <w:rFonts w:cs="Tahoma"/>
          <w:b/>
          <w:bCs/>
          <w:szCs w:val="22"/>
        </w:rPr>
        <w:t>SUJETO OBLIGADO</w:t>
      </w:r>
      <w:r w:rsidR="00953430" w:rsidRPr="00C949B2">
        <w:rPr>
          <w:rFonts w:cs="Tahoma"/>
          <w:szCs w:val="22"/>
        </w:rPr>
        <w:t xml:space="preserve">, mismo que fue registrado en el SAIMEX con el número de expediente </w:t>
      </w:r>
      <w:r w:rsidR="009E31A6" w:rsidRPr="00C949B2">
        <w:rPr>
          <w:rFonts w:cs="Tahoma"/>
          <w:b/>
          <w:bCs/>
          <w:szCs w:val="22"/>
        </w:rPr>
        <w:t>05927/INFOEM/IP/RR/2024</w:t>
      </w:r>
      <w:r w:rsidR="00953430" w:rsidRPr="00C949B2">
        <w:rPr>
          <w:rFonts w:cs="Tahoma"/>
          <w:szCs w:val="22"/>
        </w:rPr>
        <w:t>, y en el cual manifiesta lo siguiente</w:t>
      </w:r>
      <w:r w:rsidRPr="00C949B2">
        <w:rPr>
          <w:rFonts w:cs="Tahoma"/>
          <w:szCs w:val="22"/>
        </w:rPr>
        <w:t>:</w:t>
      </w:r>
    </w:p>
    <w:p w14:paraId="74B30008" w14:textId="77777777" w:rsidR="00664420" w:rsidRPr="00C949B2" w:rsidRDefault="00664420" w:rsidP="00C949B2">
      <w:pPr>
        <w:tabs>
          <w:tab w:val="left" w:pos="4667"/>
        </w:tabs>
        <w:ind w:right="539"/>
        <w:rPr>
          <w:rFonts w:cs="Tahoma"/>
          <w:szCs w:val="22"/>
        </w:rPr>
      </w:pPr>
    </w:p>
    <w:p w14:paraId="12153283" w14:textId="0B4E81B0" w:rsidR="00664420" w:rsidRPr="00C949B2" w:rsidRDefault="0053398E" w:rsidP="00C949B2">
      <w:pPr>
        <w:tabs>
          <w:tab w:val="left" w:pos="4667"/>
        </w:tabs>
        <w:ind w:left="567" w:right="539"/>
        <w:rPr>
          <w:rFonts w:cs="Tahoma"/>
          <w:b/>
          <w:iCs/>
          <w:szCs w:val="22"/>
        </w:rPr>
      </w:pPr>
      <w:r w:rsidRPr="00C949B2">
        <w:rPr>
          <w:rFonts w:cs="Tahoma"/>
          <w:b/>
          <w:iCs/>
          <w:szCs w:val="22"/>
        </w:rPr>
        <w:t>ACTO IMPUGNADO</w:t>
      </w:r>
    </w:p>
    <w:p w14:paraId="6AE8EA9A" w14:textId="440D955B" w:rsidR="00664420" w:rsidRPr="00C949B2" w:rsidRDefault="00591869" w:rsidP="00C949B2">
      <w:pPr>
        <w:tabs>
          <w:tab w:val="left" w:pos="4667"/>
        </w:tabs>
        <w:ind w:left="567" w:right="539"/>
        <w:rPr>
          <w:rFonts w:cs="Tahoma"/>
          <w:bCs/>
          <w:i/>
          <w:szCs w:val="22"/>
        </w:rPr>
      </w:pPr>
      <w:r w:rsidRPr="00C949B2">
        <w:rPr>
          <w:rFonts w:cs="Tahoma"/>
          <w:bCs/>
          <w:i/>
          <w:szCs w:val="22"/>
        </w:rPr>
        <w:t>“</w:t>
      </w:r>
      <w:r w:rsidR="009E31A6" w:rsidRPr="00C949B2">
        <w:rPr>
          <w:rFonts w:cs="Tahoma"/>
          <w:bCs/>
          <w:i/>
          <w:szCs w:val="22"/>
        </w:rPr>
        <w:t>No entrega la información</w:t>
      </w:r>
      <w:r w:rsidRPr="00C949B2">
        <w:rPr>
          <w:rFonts w:cs="Tahoma"/>
          <w:bCs/>
          <w:i/>
          <w:szCs w:val="22"/>
        </w:rPr>
        <w:t>” (Sic)</w:t>
      </w:r>
    </w:p>
    <w:p w14:paraId="0370B787" w14:textId="77777777" w:rsidR="00EC74E6" w:rsidRPr="00C949B2" w:rsidRDefault="00EC74E6" w:rsidP="00C949B2">
      <w:pPr>
        <w:tabs>
          <w:tab w:val="left" w:pos="4667"/>
        </w:tabs>
        <w:ind w:left="567" w:right="539"/>
        <w:rPr>
          <w:rFonts w:cs="Tahoma"/>
          <w:bCs/>
          <w:i/>
          <w:szCs w:val="22"/>
        </w:rPr>
      </w:pPr>
    </w:p>
    <w:p w14:paraId="047D036B" w14:textId="77777777" w:rsidR="00664420" w:rsidRPr="00C949B2" w:rsidRDefault="00664420" w:rsidP="00C949B2">
      <w:pPr>
        <w:tabs>
          <w:tab w:val="left" w:pos="4667"/>
        </w:tabs>
        <w:ind w:left="567" w:right="539"/>
        <w:rPr>
          <w:rFonts w:cs="Tahoma"/>
          <w:b/>
          <w:iCs/>
          <w:szCs w:val="22"/>
        </w:rPr>
      </w:pPr>
      <w:r w:rsidRPr="00C949B2">
        <w:rPr>
          <w:rFonts w:cs="Tahoma"/>
          <w:b/>
          <w:iCs/>
          <w:szCs w:val="22"/>
        </w:rPr>
        <w:t>RAZONES O MOTIVOS DE LA INCONFORMIDAD</w:t>
      </w:r>
      <w:r w:rsidRPr="00C949B2">
        <w:rPr>
          <w:rFonts w:cs="Tahoma"/>
          <w:b/>
          <w:iCs/>
          <w:szCs w:val="22"/>
        </w:rPr>
        <w:tab/>
      </w:r>
    </w:p>
    <w:p w14:paraId="1DAE2563" w14:textId="044AD28D" w:rsidR="00953430" w:rsidRPr="00C949B2" w:rsidRDefault="00591869" w:rsidP="00C949B2">
      <w:pPr>
        <w:tabs>
          <w:tab w:val="left" w:pos="4667"/>
        </w:tabs>
        <w:spacing w:line="240" w:lineRule="auto"/>
        <w:ind w:left="567" w:right="539"/>
        <w:rPr>
          <w:rFonts w:cs="Tahoma"/>
          <w:bCs/>
          <w:i/>
          <w:szCs w:val="22"/>
        </w:rPr>
      </w:pPr>
      <w:r w:rsidRPr="00C949B2">
        <w:rPr>
          <w:rFonts w:cs="Tahoma"/>
          <w:bCs/>
          <w:i/>
          <w:szCs w:val="22"/>
        </w:rPr>
        <w:t>“</w:t>
      </w:r>
      <w:r w:rsidR="009E31A6" w:rsidRPr="00C949B2">
        <w:rPr>
          <w:rFonts w:cs="Tahoma"/>
          <w:bCs/>
          <w:i/>
          <w:szCs w:val="22"/>
        </w:rPr>
        <w:t>No entrega la información</w:t>
      </w:r>
      <w:r w:rsidRPr="00C949B2">
        <w:rPr>
          <w:rFonts w:cs="Tahoma"/>
          <w:bCs/>
          <w:i/>
          <w:szCs w:val="22"/>
        </w:rPr>
        <w:t>” (Sic)</w:t>
      </w:r>
    </w:p>
    <w:p w14:paraId="48FE75EA" w14:textId="77777777" w:rsidR="00664420" w:rsidRPr="00C949B2" w:rsidRDefault="00664420" w:rsidP="00C949B2">
      <w:pPr>
        <w:tabs>
          <w:tab w:val="left" w:pos="4667"/>
        </w:tabs>
        <w:ind w:right="567"/>
        <w:rPr>
          <w:rFonts w:cs="Tahoma"/>
          <w:b/>
          <w:bCs/>
          <w:szCs w:val="22"/>
        </w:rPr>
      </w:pPr>
    </w:p>
    <w:p w14:paraId="6804DEF1" w14:textId="3C4F6CB5" w:rsidR="00664420" w:rsidRPr="00C949B2" w:rsidRDefault="006E25BC" w:rsidP="00C949B2">
      <w:pPr>
        <w:pStyle w:val="Ttulo3"/>
        <w:rPr>
          <w:szCs w:val="22"/>
        </w:rPr>
      </w:pPr>
      <w:bookmarkStart w:id="13" w:name="_Toc181265225"/>
      <w:r w:rsidRPr="00C949B2">
        <w:rPr>
          <w:szCs w:val="22"/>
        </w:rPr>
        <w:t>b</w:t>
      </w:r>
      <w:r w:rsidR="00664420" w:rsidRPr="00C949B2">
        <w:rPr>
          <w:szCs w:val="22"/>
        </w:rPr>
        <w:t>) Turno del Recurso de Revisión</w:t>
      </w:r>
      <w:bookmarkEnd w:id="13"/>
    </w:p>
    <w:p w14:paraId="1173671B" w14:textId="0CCF3DDF" w:rsidR="00C72DAA" w:rsidRPr="00C949B2" w:rsidRDefault="00C72DAA" w:rsidP="00C949B2">
      <w:pPr>
        <w:rPr>
          <w:szCs w:val="22"/>
        </w:rPr>
      </w:pPr>
      <w:r w:rsidRPr="00C949B2">
        <w:rPr>
          <w:szCs w:val="22"/>
        </w:rPr>
        <w:t>Con fundamento en el artículo 185, fracción I de la Ley de Transparencia y Acceso a la Información Pública del Estado de México y Municipios,</w:t>
      </w:r>
      <w:r w:rsidR="00591869" w:rsidRPr="00C949B2">
        <w:rPr>
          <w:szCs w:val="22"/>
        </w:rPr>
        <w:t xml:space="preserve"> el</w:t>
      </w:r>
      <w:r w:rsidRPr="00C949B2">
        <w:rPr>
          <w:szCs w:val="22"/>
        </w:rPr>
        <w:t xml:space="preserve"> </w:t>
      </w:r>
      <w:r w:rsidR="009E31A6" w:rsidRPr="00C949B2">
        <w:rPr>
          <w:rFonts w:cs="Tahoma"/>
          <w:b/>
          <w:bCs/>
          <w:szCs w:val="22"/>
        </w:rPr>
        <w:t>treinta</w:t>
      </w:r>
      <w:r w:rsidR="00BC36F3" w:rsidRPr="00C949B2">
        <w:rPr>
          <w:rFonts w:cs="Tahoma"/>
          <w:b/>
          <w:bCs/>
          <w:szCs w:val="22"/>
        </w:rPr>
        <w:t xml:space="preserve"> de septiembre de dos mil veinticuatro,</w:t>
      </w:r>
      <w:r w:rsidR="00591869" w:rsidRPr="00C949B2">
        <w:rPr>
          <w:rFonts w:cs="Tahoma"/>
          <w:szCs w:val="22"/>
        </w:rPr>
        <w:t xml:space="preserve"> </w:t>
      </w:r>
      <w:r w:rsidRPr="00C949B2">
        <w:rPr>
          <w:szCs w:val="22"/>
        </w:rPr>
        <w:t>se turnó el recurso de revisión a través del</w:t>
      </w:r>
      <w:r w:rsidRPr="00C949B2">
        <w:rPr>
          <w:rFonts w:eastAsia="Arial Unicode MS"/>
          <w:szCs w:val="22"/>
        </w:rPr>
        <w:t xml:space="preserve"> </w:t>
      </w:r>
      <w:r w:rsidRPr="00C949B2">
        <w:rPr>
          <w:rFonts w:eastAsia="Arial Unicode MS"/>
          <w:bCs/>
          <w:szCs w:val="22"/>
        </w:rPr>
        <w:t>SAIMEX</w:t>
      </w:r>
      <w:r w:rsidRPr="00C949B2">
        <w:rPr>
          <w:szCs w:val="22"/>
        </w:rPr>
        <w:t xml:space="preserve"> a la </w:t>
      </w:r>
      <w:r w:rsidRPr="00C949B2">
        <w:rPr>
          <w:b/>
          <w:szCs w:val="22"/>
        </w:rPr>
        <w:t>Comisionada Sharon Cristina Morales Martínez</w:t>
      </w:r>
      <w:r w:rsidRPr="00C949B2">
        <w:rPr>
          <w:bCs/>
          <w:szCs w:val="22"/>
        </w:rPr>
        <w:t xml:space="preserve">, </w:t>
      </w:r>
      <w:r w:rsidRPr="00C949B2">
        <w:rPr>
          <w:szCs w:val="22"/>
        </w:rPr>
        <w:t xml:space="preserve">a efecto de decretar su admisión o </w:t>
      </w:r>
      <w:proofErr w:type="spellStart"/>
      <w:r w:rsidRPr="00C949B2">
        <w:rPr>
          <w:szCs w:val="22"/>
        </w:rPr>
        <w:t>desechamiento</w:t>
      </w:r>
      <w:proofErr w:type="spellEnd"/>
      <w:r w:rsidRPr="00C949B2">
        <w:rPr>
          <w:szCs w:val="22"/>
        </w:rPr>
        <w:t xml:space="preserve">. </w:t>
      </w:r>
    </w:p>
    <w:p w14:paraId="18F305CB" w14:textId="77777777" w:rsidR="00664420" w:rsidRPr="00C949B2" w:rsidRDefault="00664420" w:rsidP="00C949B2">
      <w:pPr>
        <w:rPr>
          <w:rFonts w:eastAsia="Batang" w:cs="Tahoma"/>
          <w:bCs/>
          <w:szCs w:val="22"/>
        </w:rPr>
      </w:pPr>
    </w:p>
    <w:p w14:paraId="3E31EC2D" w14:textId="295256A1" w:rsidR="00664420" w:rsidRPr="00C949B2" w:rsidRDefault="006E25BC" w:rsidP="00C949B2">
      <w:pPr>
        <w:pStyle w:val="Ttulo3"/>
        <w:rPr>
          <w:szCs w:val="22"/>
        </w:rPr>
      </w:pPr>
      <w:bookmarkStart w:id="14" w:name="_Toc181265226"/>
      <w:r w:rsidRPr="00C949B2">
        <w:rPr>
          <w:szCs w:val="22"/>
        </w:rPr>
        <w:lastRenderedPageBreak/>
        <w:t>c</w:t>
      </w:r>
      <w:r w:rsidR="00664420" w:rsidRPr="00C949B2">
        <w:rPr>
          <w:szCs w:val="22"/>
        </w:rPr>
        <w:t>) Admisión del Recurso de Revisión</w:t>
      </w:r>
      <w:bookmarkEnd w:id="14"/>
    </w:p>
    <w:p w14:paraId="240447D5" w14:textId="7AA8FF71" w:rsidR="000E09C4" w:rsidRPr="00C949B2" w:rsidRDefault="000E09C4" w:rsidP="00C949B2">
      <w:pPr>
        <w:rPr>
          <w:rFonts w:cs="Arial"/>
          <w:szCs w:val="22"/>
        </w:rPr>
      </w:pPr>
      <w:r w:rsidRPr="00C949B2">
        <w:rPr>
          <w:rFonts w:cs="Arial"/>
          <w:szCs w:val="22"/>
        </w:rPr>
        <w:t xml:space="preserve">El </w:t>
      </w:r>
      <w:r w:rsidR="009E31A6" w:rsidRPr="00C949B2">
        <w:rPr>
          <w:rFonts w:cs="Tahoma"/>
          <w:b/>
          <w:szCs w:val="22"/>
        </w:rPr>
        <w:t>cuatro de octubre</w:t>
      </w:r>
      <w:r w:rsidR="00591869" w:rsidRPr="00C949B2">
        <w:rPr>
          <w:rFonts w:eastAsia="Palatino Linotype" w:cs="Palatino Linotype"/>
          <w:b/>
          <w:szCs w:val="22"/>
        </w:rPr>
        <w:t xml:space="preserve"> </w:t>
      </w:r>
      <w:r w:rsidRPr="00C949B2">
        <w:rPr>
          <w:rFonts w:eastAsia="Palatino Linotype" w:cs="Palatino Linotype"/>
          <w:b/>
          <w:szCs w:val="22"/>
        </w:rPr>
        <w:t xml:space="preserve">de dos mil </w:t>
      </w:r>
      <w:r w:rsidR="00591869" w:rsidRPr="00C949B2">
        <w:rPr>
          <w:rFonts w:eastAsia="Palatino Linotype" w:cs="Palatino Linotype"/>
          <w:b/>
          <w:szCs w:val="22"/>
        </w:rPr>
        <w:t xml:space="preserve">veinticuatro, </w:t>
      </w:r>
      <w:r w:rsidRPr="00C949B2">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949B2">
        <w:rPr>
          <w:rFonts w:cs="Arial"/>
          <w:szCs w:val="22"/>
        </w:rPr>
        <w:t>, fracción II</w:t>
      </w:r>
      <w:r w:rsidRPr="00C949B2">
        <w:rPr>
          <w:rFonts w:cs="Arial"/>
          <w:szCs w:val="22"/>
        </w:rPr>
        <w:t xml:space="preserve"> de la Ley de Transparencia y Acceso a la Información Pública del Estado de México y Municipios.</w:t>
      </w:r>
    </w:p>
    <w:p w14:paraId="34EC3F86" w14:textId="77777777" w:rsidR="00D2790D" w:rsidRPr="00C949B2" w:rsidRDefault="00D2790D" w:rsidP="00C949B2">
      <w:pPr>
        <w:rPr>
          <w:rFonts w:cs="Arial"/>
          <w:szCs w:val="22"/>
        </w:rPr>
      </w:pPr>
    </w:p>
    <w:p w14:paraId="3B820F58" w14:textId="7AC7C2A8" w:rsidR="00865CF4" w:rsidRPr="00C949B2" w:rsidRDefault="00591869" w:rsidP="00C949B2">
      <w:pPr>
        <w:pStyle w:val="Ttulo3"/>
        <w:rPr>
          <w:szCs w:val="22"/>
        </w:rPr>
      </w:pPr>
      <w:bookmarkStart w:id="15" w:name="_Toc181265227"/>
      <w:r w:rsidRPr="00C949B2">
        <w:rPr>
          <w:szCs w:val="22"/>
        </w:rPr>
        <w:t>d</w:t>
      </w:r>
      <w:r w:rsidR="00664420" w:rsidRPr="00C949B2">
        <w:rPr>
          <w:szCs w:val="22"/>
        </w:rPr>
        <w:t xml:space="preserve">) </w:t>
      </w:r>
      <w:r w:rsidR="00865CF4" w:rsidRPr="00C949B2">
        <w:rPr>
          <w:szCs w:val="22"/>
        </w:rPr>
        <w:t>Informe Justificado del Sujeto Obligado</w:t>
      </w:r>
      <w:bookmarkEnd w:id="15"/>
    </w:p>
    <w:p w14:paraId="26C9F6F0" w14:textId="4011430D" w:rsidR="00865CF4" w:rsidRPr="00C949B2" w:rsidRDefault="00865CF4" w:rsidP="00C949B2">
      <w:pPr>
        <w:rPr>
          <w:rFonts w:eastAsia="Calibri" w:cs="Tahoma"/>
          <w:szCs w:val="22"/>
          <w:lang w:eastAsia="en-US"/>
        </w:rPr>
      </w:pPr>
      <w:r w:rsidRPr="00C949B2">
        <w:rPr>
          <w:rFonts w:cs="Tahoma"/>
          <w:bCs/>
          <w:szCs w:val="22"/>
        </w:rPr>
        <w:t xml:space="preserve">El </w:t>
      </w:r>
      <w:r w:rsidR="00EF01C0" w:rsidRPr="00C949B2">
        <w:rPr>
          <w:rFonts w:cs="Tahoma"/>
          <w:b/>
          <w:szCs w:val="22"/>
        </w:rPr>
        <w:t>quince</w:t>
      </w:r>
      <w:r w:rsidR="009E31A6" w:rsidRPr="00C949B2">
        <w:rPr>
          <w:rFonts w:cs="Tahoma"/>
          <w:b/>
          <w:szCs w:val="22"/>
        </w:rPr>
        <w:t xml:space="preserve"> de octubre</w:t>
      </w:r>
      <w:r w:rsidRPr="00C949B2">
        <w:rPr>
          <w:rFonts w:cs="Tahoma"/>
          <w:b/>
          <w:szCs w:val="22"/>
        </w:rPr>
        <w:t xml:space="preserve"> de dos mil </w:t>
      </w:r>
      <w:r w:rsidR="00591869" w:rsidRPr="00C949B2">
        <w:rPr>
          <w:rFonts w:cs="Tahoma"/>
          <w:b/>
          <w:szCs w:val="22"/>
        </w:rPr>
        <w:t>veinticuatro</w:t>
      </w:r>
      <w:r w:rsidRPr="00C949B2">
        <w:rPr>
          <w:rFonts w:cs="Tahoma"/>
          <w:b/>
          <w:szCs w:val="22"/>
        </w:rPr>
        <w:t xml:space="preserve"> EL SUJETO OBLIGADO</w:t>
      </w:r>
      <w:r w:rsidRPr="00C949B2">
        <w:rPr>
          <w:rFonts w:cs="Tahoma"/>
          <w:bCs/>
          <w:szCs w:val="22"/>
        </w:rPr>
        <w:t xml:space="preserve"> rindió su informe justificado a través del SAIMEX,</w:t>
      </w:r>
      <w:r w:rsidR="00591869" w:rsidRPr="00C949B2">
        <w:rPr>
          <w:rFonts w:cs="Tahoma"/>
          <w:bCs/>
          <w:szCs w:val="22"/>
        </w:rPr>
        <w:t xml:space="preserve"> mediante al documento electrónico denominado </w:t>
      </w:r>
      <w:r w:rsidR="00591869" w:rsidRPr="00C949B2">
        <w:rPr>
          <w:rFonts w:cs="Tahoma"/>
          <w:bCs/>
          <w:i/>
          <w:szCs w:val="22"/>
        </w:rPr>
        <w:t>“</w:t>
      </w:r>
      <w:r w:rsidR="009E31A6" w:rsidRPr="00C949B2">
        <w:rPr>
          <w:rFonts w:cs="Tahoma"/>
          <w:bCs/>
          <w:i/>
          <w:szCs w:val="22"/>
        </w:rPr>
        <w:t>5927.pdf</w:t>
      </w:r>
      <w:r w:rsidR="00591869" w:rsidRPr="00C949B2">
        <w:rPr>
          <w:rFonts w:cs="Tahoma"/>
          <w:bCs/>
          <w:i/>
          <w:szCs w:val="22"/>
        </w:rPr>
        <w:t>”</w:t>
      </w:r>
      <w:r w:rsidR="00591869" w:rsidRPr="00C949B2">
        <w:rPr>
          <w:rFonts w:cs="Tahoma"/>
          <w:bCs/>
          <w:szCs w:val="22"/>
        </w:rPr>
        <w:t>,</w:t>
      </w:r>
      <w:r w:rsidRPr="00C949B2">
        <w:rPr>
          <w:rFonts w:cs="Tahoma"/>
          <w:bCs/>
          <w:szCs w:val="22"/>
        </w:rPr>
        <w:t xml:space="preserve"> </w:t>
      </w:r>
      <w:r w:rsidR="00591869" w:rsidRPr="00C949B2">
        <w:rPr>
          <w:rFonts w:cs="Tahoma"/>
          <w:bCs/>
          <w:szCs w:val="22"/>
        </w:rPr>
        <w:t xml:space="preserve"> de cuyo contenido se advierte el </w:t>
      </w:r>
      <w:r w:rsidR="001E53C7" w:rsidRPr="00C949B2">
        <w:rPr>
          <w:rFonts w:cs="Tahoma"/>
          <w:bCs/>
          <w:szCs w:val="22"/>
        </w:rPr>
        <w:t xml:space="preserve">oficio </w:t>
      </w:r>
      <w:r w:rsidR="009E31A6" w:rsidRPr="00C949B2">
        <w:rPr>
          <w:rFonts w:cs="Tahoma"/>
          <w:bCs/>
          <w:szCs w:val="22"/>
        </w:rPr>
        <w:t>2010A4000</w:t>
      </w:r>
      <w:r w:rsidR="0053398E" w:rsidRPr="00C949B2">
        <w:rPr>
          <w:rFonts w:cs="Tahoma"/>
          <w:bCs/>
          <w:szCs w:val="22"/>
        </w:rPr>
        <w:t>/UT/</w:t>
      </w:r>
      <w:r w:rsidR="009E31A6" w:rsidRPr="00C949B2">
        <w:rPr>
          <w:rFonts w:cs="Tahoma"/>
          <w:bCs/>
          <w:szCs w:val="22"/>
        </w:rPr>
        <w:t>RR/0536</w:t>
      </w:r>
      <w:r w:rsidR="0053398E" w:rsidRPr="00C949B2">
        <w:rPr>
          <w:rFonts w:cs="Tahoma"/>
          <w:bCs/>
          <w:szCs w:val="22"/>
        </w:rPr>
        <w:t>/2024</w:t>
      </w:r>
      <w:r w:rsidR="001E53C7" w:rsidRPr="00C949B2">
        <w:rPr>
          <w:rFonts w:cs="Tahoma"/>
          <w:bCs/>
          <w:szCs w:val="22"/>
        </w:rPr>
        <w:t xml:space="preserve"> del </w:t>
      </w:r>
      <w:r w:rsidR="009E31A6" w:rsidRPr="00C949B2">
        <w:rPr>
          <w:rFonts w:cs="Tahoma"/>
          <w:bCs/>
          <w:szCs w:val="22"/>
        </w:rPr>
        <w:t>quince</w:t>
      </w:r>
      <w:r w:rsidR="0053398E" w:rsidRPr="00C949B2">
        <w:rPr>
          <w:rFonts w:cs="Tahoma"/>
          <w:bCs/>
          <w:szCs w:val="22"/>
        </w:rPr>
        <w:t xml:space="preserve"> de </w:t>
      </w:r>
      <w:r w:rsidR="009E31A6" w:rsidRPr="00C949B2">
        <w:rPr>
          <w:rFonts w:cs="Tahoma"/>
          <w:bCs/>
          <w:szCs w:val="22"/>
        </w:rPr>
        <w:t>octu</w:t>
      </w:r>
      <w:r w:rsidR="0053398E" w:rsidRPr="00C949B2">
        <w:rPr>
          <w:rFonts w:cs="Tahoma"/>
          <w:bCs/>
          <w:szCs w:val="22"/>
        </w:rPr>
        <w:t xml:space="preserve">bre de </w:t>
      </w:r>
      <w:r w:rsidR="001E53C7" w:rsidRPr="00C949B2">
        <w:rPr>
          <w:rFonts w:cs="Tahoma"/>
          <w:bCs/>
          <w:szCs w:val="22"/>
        </w:rPr>
        <w:t>dos mil veinticuatro</w:t>
      </w:r>
      <w:r w:rsidR="00830EEF" w:rsidRPr="00C949B2">
        <w:rPr>
          <w:rFonts w:cs="Tahoma"/>
          <w:bCs/>
          <w:szCs w:val="22"/>
        </w:rPr>
        <w:t xml:space="preserve">, mediante el cual de manera sustancial </w:t>
      </w:r>
      <w:r w:rsidR="009E31A6" w:rsidRPr="00C949B2">
        <w:rPr>
          <w:rFonts w:cs="Tahoma"/>
          <w:bCs/>
          <w:szCs w:val="22"/>
        </w:rPr>
        <w:t>ratifica su respuesta inicial solicitando se confirme el presente Recurso de Revisión</w:t>
      </w:r>
      <w:r w:rsidR="00F333F9" w:rsidRPr="00C949B2">
        <w:rPr>
          <w:rFonts w:eastAsia="Calibri" w:cs="Tahoma"/>
          <w:szCs w:val="22"/>
          <w:lang w:eastAsia="en-US"/>
        </w:rPr>
        <w:t>.</w:t>
      </w:r>
    </w:p>
    <w:p w14:paraId="52D3B005" w14:textId="77777777" w:rsidR="001E53C7" w:rsidRPr="00C949B2" w:rsidRDefault="001E53C7" w:rsidP="00C949B2">
      <w:pPr>
        <w:rPr>
          <w:rFonts w:eastAsia="Calibri" w:cs="Tahoma"/>
          <w:szCs w:val="22"/>
          <w:lang w:eastAsia="en-US"/>
        </w:rPr>
      </w:pPr>
    </w:p>
    <w:p w14:paraId="2D130A9D" w14:textId="67FBEEDA" w:rsidR="00865CF4" w:rsidRPr="00C949B2" w:rsidRDefault="00865CF4" w:rsidP="00C949B2">
      <w:pPr>
        <w:rPr>
          <w:rFonts w:cs="Tahoma"/>
          <w:bCs/>
          <w:szCs w:val="22"/>
        </w:rPr>
      </w:pPr>
      <w:r w:rsidRPr="00C949B2">
        <w:rPr>
          <w:rFonts w:cs="Tahoma"/>
          <w:bCs/>
          <w:szCs w:val="22"/>
        </w:rPr>
        <w:t xml:space="preserve">Esta información fue puesta a la vista de </w:t>
      </w:r>
      <w:r w:rsidRPr="00C949B2">
        <w:rPr>
          <w:rFonts w:cs="Tahoma"/>
          <w:b/>
          <w:szCs w:val="22"/>
        </w:rPr>
        <w:t xml:space="preserve">LA PARTE RECURRENTE </w:t>
      </w:r>
      <w:r w:rsidRPr="00C949B2">
        <w:rPr>
          <w:rFonts w:cs="Tahoma"/>
          <w:bCs/>
          <w:szCs w:val="22"/>
        </w:rPr>
        <w:t>el</w:t>
      </w:r>
      <w:r w:rsidR="001E53C7" w:rsidRPr="00C949B2">
        <w:rPr>
          <w:rFonts w:cs="Tahoma"/>
          <w:bCs/>
          <w:szCs w:val="22"/>
        </w:rPr>
        <w:t xml:space="preserve"> </w:t>
      </w:r>
      <w:r w:rsidR="009E31A6" w:rsidRPr="00C949B2">
        <w:rPr>
          <w:rFonts w:cs="Tahoma"/>
          <w:b/>
          <w:szCs w:val="22"/>
        </w:rPr>
        <w:t>dieci</w:t>
      </w:r>
      <w:r w:rsidR="00405721" w:rsidRPr="00C949B2">
        <w:rPr>
          <w:rFonts w:cs="Tahoma"/>
          <w:b/>
          <w:szCs w:val="22"/>
        </w:rPr>
        <w:t xml:space="preserve">siete </w:t>
      </w:r>
      <w:r w:rsidR="00830EEF" w:rsidRPr="00C949B2">
        <w:rPr>
          <w:rFonts w:cs="Tahoma"/>
          <w:b/>
          <w:szCs w:val="22"/>
        </w:rPr>
        <w:t>de octubre</w:t>
      </w:r>
      <w:r w:rsidRPr="00C949B2">
        <w:rPr>
          <w:rFonts w:cs="Tahoma"/>
          <w:b/>
          <w:szCs w:val="22"/>
        </w:rPr>
        <w:t xml:space="preserve"> de dos mil </w:t>
      </w:r>
      <w:r w:rsidR="001E53C7" w:rsidRPr="00C949B2">
        <w:rPr>
          <w:rFonts w:cs="Tahoma"/>
          <w:b/>
          <w:szCs w:val="22"/>
        </w:rPr>
        <w:t>veinticuatro,</w:t>
      </w:r>
      <w:r w:rsidRPr="00C949B2">
        <w:rPr>
          <w:rFonts w:cs="Tahoma"/>
          <w:bCs/>
          <w:szCs w:val="22"/>
        </w:rPr>
        <w:t xml:space="preserve"> para que, en un plazo de tres días hábiles, manifestara lo que a su derecho conviniera, de conformidad con lo establecido en el </w:t>
      </w:r>
      <w:r w:rsidRPr="00C949B2">
        <w:rPr>
          <w:rFonts w:cs="Arial"/>
          <w:szCs w:val="22"/>
        </w:rPr>
        <w:t>artículo 185, fracción III de la Ley de Transparencia y Acceso a la Información Pública del Estado de México y Municipios</w:t>
      </w:r>
      <w:r w:rsidRPr="00C949B2">
        <w:rPr>
          <w:rFonts w:cs="Tahoma"/>
          <w:bCs/>
          <w:szCs w:val="22"/>
        </w:rPr>
        <w:t>.</w:t>
      </w:r>
    </w:p>
    <w:p w14:paraId="3B386B4C" w14:textId="77777777" w:rsidR="003A40C1" w:rsidRPr="00C949B2" w:rsidRDefault="003A40C1" w:rsidP="00C949B2">
      <w:pPr>
        <w:ind w:right="539"/>
        <w:rPr>
          <w:rFonts w:cs="Tahoma"/>
          <w:bCs/>
          <w:szCs w:val="22"/>
        </w:rPr>
      </w:pPr>
    </w:p>
    <w:p w14:paraId="755B7730" w14:textId="2AC13C6D" w:rsidR="00664420" w:rsidRPr="00C949B2" w:rsidRDefault="001E53C7" w:rsidP="00C949B2">
      <w:pPr>
        <w:pStyle w:val="Ttulo3"/>
        <w:rPr>
          <w:szCs w:val="22"/>
          <w:lang w:val="es-ES"/>
        </w:rPr>
      </w:pPr>
      <w:bookmarkStart w:id="16" w:name="_Toc181265228"/>
      <w:r w:rsidRPr="00C949B2">
        <w:rPr>
          <w:rFonts w:eastAsia="Calibri"/>
          <w:bCs/>
          <w:szCs w:val="22"/>
          <w:lang w:eastAsia="en-US"/>
        </w:rPr>
        <w:t>e</w:t>
      </w:r>
      <w:r w:rsidR="00664420" w:rsidRPr="00C949B2">
        <w:rPr>
          <w:rFonts w:eastAsia="Calibri"/>
          <w:bCs/>
          <w:szCs w:val="22"/>
          <w:lang w:eastAsia="en-US"/>
        </w:rPr>
        <w:t>)</w:t>
      </w:r>
      <w:r w:rsidR="00664420" w:rsidRPr="00C949B2">
        <w:rPr>
          <w:szCs w:val="22"/>
        </w:rPr>
        <w:t xml:space="preserve"> </w:t>
      </w:r>
      <w:r w:rsidR="00865CF4" w:rsidRPr="00C949B2">
        <w:rPr>
          <w:szCs w:val="22"/>
          <w:lang w:val="es-ES"/>
        </w:rPr>
        <w:t>Manifestaciones de la Parte Recurrente</w:t>
      </w:r>
      <w:bookmarkEnd w:id="16"/>
    </w:p>
    <w:p w14:paraId="4E8AF011" w14:textId="77777777" w:rsidR="00865CF4" w:rsidRPr="00C949B2" w:rsidRDefault="00865CF4" w:rsidP="00C949B2">
      <w:pPr>
        <w:rPr>
          <w:rFonts w:eastAsia="Arial Unicode MS" w:cs="Arial"/>
          <w:szCs w:val="22"/>
        </w:rPr>
      </w:pPr>
      <w:r w:rsidRPr="00C949B2">
        <w:rPr>
          <w:rFonts w:cs="Tahoma"/>
          <w:b/>
          <w:szCs w:val="22"/>
        </w:rPr>
        <w:t xml:space="preserve">LA PARTE RECURRENTE </w:t>
      </w:r>
      <w:r w:rsidRPr="00C949B2">
        <w:rPr>
          <w:rFonts w:eastAsia="Arial Unicode MS" w:cs="Arial"/>
          <w:szCs w:val="22"/>
        </w:rPr>
        <w:t>no realizó manifestación alguna dentro del término legalmente concedido para tal efecto, ni presentó pruebas o alegatos.</w:t>
      </w:r>
    </w:p>
    <w:p w14:paraId="04F99AAC" w14:textId="77777777" w:rsidR="00830EEF" w:rsidRPr="00C949B2" w:rsidRDefault="00830EEF" w:rsidP="00C949B2">
      <w:pPr>
        <w:rPr>
          <w:rFonts w:eastAsia="Arial Unicode MS" w:cs="Arial"/>
          <w:szCs w:val="22"/>
        </w:rPr>
      </w:pPr>
    </w:p>
    <w:p w14:paraId="0E651988" w14:textId="4380055E" w:rsidR="00664420" w:rsidRPr="00C949B2" w:rsidRDefault="001E53C7" w:rsidP="00C949B2">
      <w:pPr>
        <w:pStyle w:val="Ttulo3"/>
        <w:rPr>
          <w:szCs w:val="22"/>
        </w:rPr>
      </w:pPr>
      <w:bookmarkStart w:id="17" w:name="_Toc181265229"/>
      <w:r w:rsidRPr="00C949B2">
        <w:rPr>
          <w:szCs w:val="22"/>
        </w:rPr>
        <w:lastRenderedPageBreak/>
        <w:t>f</w:t>
      </w:r>
      <w:r w:rsidR="00664420" w:rsidRPr="00C949B2">
        <w:rPr>
          <w:szCs w:val="22"/>
        </w:rPr>
        <w:t>) Cierre de instrucción</w:t>
      </w:r>
      <w:bookmarkEnd w:id="17"/>
    </w:p>
    <w:p w14:paraId="79AF95DC" w14:textId="1F9E4F3B" w:rsidR="00664420" w:rsidRPr="00C949B2" w:rsidRDefault="00BF091A" w:rsidP="00C949B2">
      <w:pPr>
        <w:rPr>
          <w:szCs w:val="22"/>
        </w:rPr>
      </w:pPr>
      <w:r w:rsidRPr="00C949B2">
        <w:rPr>
          <w:rFonts w:cs="Tahoma"/>
          <w:szCs w:val="22"/>
        </w:rPr>
        <w:t>Al no existir diligencias pendientes por desahogar</w:t>
      </w:r>
      <w:r w:rsidRPr="00C949B2">
        <w:rPr>
          <w:rFonts w:cs="Arial"/>
          <w:szCs w:val="22"/>
        </w:rPr>
        <w:t xml:space="preserve">, el </w:t>
      </w:r>
      <w:bookmarkStart w:id="18" w:name="_Hlk104892386"/>
      <w:r w:rsidR="00497EAB" w:rsidRPr="00C949B2">
        <w:rPr>
          <w:rFonts w:cs="Arial"/>
          <w:b/>
          <w:szCs w:val="22"/>
        </w:rPr>
        <w:t>veintinueve</w:t>
      </w:r>
      <w:r w:rsidR="00F333F9" w:rsidRPr="00C949B2">
        <w:rPr>
          <w:rFonts w:cs="Arial"/>
          <w:b/>
          <w:szCs w:val="22"/>
        </w:rPr>
        <w:t xml:space="preserve"> de octubre</w:t>
      </w:r>
      <w:bookmarkEnd w:id="18"/>
      <w:r w:rsidRPr="00C949B2">
        <w:rPr>
          <w:rFonts w:cs="Arial"/>
          <w:b/>
          <w:szCs w:val="22"/>
        </w:rPr>
        <w:t xml:space="preserve"> de dos mil </w:t>
      </w:r>
      <w:r w:rsidR="001E53C7" w:rsidRPr="00C949B2">
        <w:rPr>
          <w:rFonts w:cs="Arial"/>
          <w:b/>
          <w:szCs w:val="22"/>
        </w:rPr>
        <w:t>veinticuatro</w:t>
      </w:r>
      <w:r w:rsidRPr="00C949B2">
        <w:rPr>
          <w:rFonts w:cs="Arial"/>
          <w:szCs w:val="22"/>
        </w:rPr>
        <w:t xml:space="preserve"> la </w:t>
      </w:r>
      <w:r w:rsidRPr="00C949B2">
        <w:rPr>
          <w:rFonts w:cs="Arial"/>
          <w:b/>
          <w:bCs/>
          <w:szCs w:val="22"/>
        </w:rPr>
        <w:t xml:space="preserve">Comisionada </w:t>
      </w:r>
      <w:r w:rsidRPr="00C949B2">
        <w:rPr>
          <w:b/>
          <w:szCs w:val="22"/>
        </w:rPr>
        <w:t xml:space="preserve">Sharon Cristina Morales Martínez </w:t>
      </w:r>
      <w:r w:rsidRPr="00C949B2">
        <w:rPr>
          <w:rFonts w:cs="Arial"/>
          <w:szCs w:val="22"/>
        </w:rPr>
        <w:t>acordó el cierre de instrucción</w:t>
      </w:r>
      <w:r w:rsidR="0011350D" w:rsidRPr="00C949B2">
        <w:rPr>
          <w:rFonts w:cs="Arial"/>
          <w:szCs w:val="22"/>
        </w:rPr>
        <w:t xml:space="preserve"> y</w:t>
      </w:r>
      <w:r w:rsidRPr="00C949B2">
        <w:rPr>
          <w:rFonts w:cs="Arial"/>
          <w:szCs w:val="22"/>
        </w:rPr>
        <w:t xml:space="preserve"> </w:t>
      </w:r>
      <w:r w:rsidR="0011350D" w:rsidRPr="00C949B2">
        <w:rPr>
          <w:rFonts w:cs="Arial"/>
          <w:szCs w:val="22"/>
        </w:rPr>
        <w:t xml:space="preserve">la </w:t>
      </w:r>
      <w:r w:rsidRPr="00C949B2">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C949B2">
        <w:rPr>
          <w:szCs w:val="22"/>
        </w:rPr>
        <w:t>.</w:t>
      </w:r>
      <w:r w:rsidR="0011350D" w:rsidRPr="00C949B2">
        <w:rPr>
          <w:szCs w:val="22"/>
        </w:rPr>
        <w:t xml:space="preserve"> Dicho acuerdo </w:t>
      </w:r>
      <w:r w:rsidR="00664420" w:rsidRPr="00C949B2">
        <w:rPr>
          <w:rFonts w:cs="Tahoma"/>
          <w:szCs w:val="22"/>
        </w:rPr>
        <w:t xml:space="preserve">fue notificado a las partes el mismo día a través del </w:t>
      </w:r>
      <w:r w:rsidR="00664420" w:rsidRPr="00C949B2">
        <w:rPr>
          <w:rFonts w:cs="Tahoma"/>
          <w:szCs w:val="22"/>
          <w:lang w:val="es-ES"/>
        </w:rPr>
        <w:t>SAIMEX</w:t>
      </w:r>
      <w:r w:rsidR="00664420" w:rsidRPr="00C949B2">
        <w:rPr>
          <w:rFonts w:cs="Tahoma"/>
          <w:szCs w:val="22"/>
        </w:rPr>
        <w:t>.</w:t>
      </w:r>
    </w:p>
    <w:p w14:paraId="741683E3" w14:textId="77777777" w:rsidR="0011350D" w:rsidRPr="00C949B2" w:rsidRDefault="0011350D" w:rsidP="00C949B2">
      <w:pPr>
        <w:rPr>
          <w:rFonts w:cs="Tahoma"/>
          <w:szCs w:val="22"/>
        </w:rPr>
      </w:pPr>
    </w:p>
    <w:p w14:paraId="7A9629DE" w14:textId="77777777" w:rsidR="00664420" w:rsidRPr="00C949B2" w:rsidRDefault="00664420" w:rsidP="00C949B2">
      <w:pPr>
        <w:pStyle w:val="Ttulo1"/>
        <w:rPr>
          <w:rFonts w:eastAsiaTheme="minorHAnsi"/>
          <w:szCs w:val="22"/>
          <w:lang w:eastAsia="en-US"/>
        </w:rPr>
      </w:pPr>
      <w:bookmarkStart w:id="19" w:name="_Toc181265230"/>
      <w:r w:rsidRPr="00C949B2">
        <w:rPr>
          <w:rFonts w:eastAsiaTheme="minorHAnsi"/>
          <w:szCs w:val="22"/>
          <w:lang w:eastAsia="en-US"/>
        </w:rPr>
        <w:t>CONSIDERANDOS</w:t>
      </w:r>
      <w:bookmarkEnd w:id="19"/>
    </w:p>
    <w:p w14:paraId="6DD1243B" w14:textId="77777777" w:rsidR="00664420" w:rsidRPr="00C949B2" w:rsidRDefault="00664420" w:rsidP="00C949B2">
      <w:pPr>
        <w:contextualSpacing/>
        <w:jc w:val="center"/>
        <w:rPr>
          <w:rFonts w:eastAsiaTheme="minorHAnsi" w:cs="Tahoma"/>
          <w:b/>
          <w:szCs w:val="22"/>
          <w:lang w:eastAsia="en-US"/>
        </w:rPr>
      </w:pPr>
    </w:p>
    <w:p w14:paraId="0B67CB92" w14:textId="2E307D3B" w:rsidR="00664420" w:rsidRPr="00C949B2" w:rsidRDefault="00664420" w:rsidP="00C949B2">
      <w:pPr>
        <w:pStyle w:val="Ttulo2"/>
        <w:rPr>
          <w:rFonts w:eastAsia="Batang"/>
          <w:szCs w:val="22"/>
        </w:rPr>
      </w:pPr>
      <w:bookmarkStart w:id="20" w:name="_Toc181265231"/>
      <w:r w:rsidRPr="00C949B2">
        <w:rPr>
          <w:rFonts w:eastAsia="Batang"/>
          <w:szCs w:val="22"/>
        </w:rPr>
        <w:t xml:space="preserve">PRIMERO. </w:t>
      </w:r>
      <w:proofErr w:type="spellStart"/>
      <w:r w:rsidR="00BA55A8" w:rsidRPr="00C949B2">
        <w:rPr>
          <w:rFonts w:eastAsia="Batang"/>
          <w:szCs w:val="22"/>
        </w:rPr>
        <w:t>Procedibilidad</w:t>
      </w:r>
      <w:bookmarkEnd w:id="20"/>
      <w:proofErr w:type="spellEnd"/>
    </w:p>
    <w:p w14:paraId="39C52BC1" w14:textId="56FCC20D" w:rsidR="00BA55A8" w:rsidRPr="00C949B2" w:rsidRDefault="00BA55A8" w:rsidP="00C949B2">
      <w:pPr>
        <w:pStyle w:val="Ttulo3"/>
        <w:rPr>
          <w:szCs w:val="22"/>
        </w:rPr>
      </w:pPr>
      <w:bookmarkStart w:id="21" w:name="_Toc181265232"/>
      <w:r w:rsidRPr="00C949B2">
        <w:rPr>
          <w:szCs w:val="22"/>
        </w:rPr>
        <w:t>a) Competencia</w:t>
      </w:r>
      <w:r w:rsidR="00150C49" w:rsidRPr="00C949B2">
        <w:rPr>
          <w:szCs w:val="22"/>
        </w:rPr>
        <w:t xml:space="preserve"> del Instituto</w:t>
      </w:r>
      <w:bookmarkEnd w:id="21"/>
    </w:p>
    <w:p w14:paraId="56E64942" w14:textId="6572EDF7" w:rsidR="0011350D" w:rsidRPr="00C949B2" w:rsidRDefault="0011350D" w:rsidP="00C949B2">
      <w:pPr>
        <w:rPr>
          <w:rFonts w:cs="Arial"/>
          <w:szCs w:val="22"/>
        </w:rPr>
      </w:pPr>
      <w:r w:rsidRPr="00C949B2">
        <w:rPr>
          <w:szCs w:val="22"/>
        </w:rPr>
        <w:t xml:space="preserve">Este Instituto de Transparencia, Acceso a la Información Pública y Protección de Datos Personales del Estado de México y Municipios es competente para conocer y resolver </w:t>
      </w:r>
      <w:r w:rsidR="005F65B7" w:rsidRPr="00C949B2">
        <w:rPr>
          <w:szCs w:val="22"/>
        </w:rPr>
        <w:t xml:space="preserve">el </w:t>
      </w:r>
      <w:r w:rsidRPr="00C949B2">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949B2">
        <w:rPr>
          <w:rFonts w:cs="Arial"/>
          <w:szCs w:val="22"/>
        </w:rPr>
        <w:t>; y 9, fracciones I y XXIII y 11 del Reglamento Interior del Instituto de Transparencia, Acceso a la Información Pública y Protección de Datos Personales del Estado de México y Municipios.</w:t>
      </w:r>
    </w:p>
    <w:p w14:paraId="43A74BC9" w14:textId="77777777" w:rsidR="006946E4" w:rsidRPr="00C949B2" w:rsidRDefault="006946E4" w:rsidP="00C949B2">
      <w:pPr>
        <w:rPr>
          <w:rFonts w:cs="Arial"/>
          <w:szCs w:val="22"/>
        </w:rPr>
      </w:pPr>
    </w:p>
    <w:p w14:paraId="517A2DD6" w14:textId="4169BE4D" w:rsidR="00664420" w:rsidRPr="00C949B2" w:rsidRDefault="00BA55A8" w:rsidP="00C949B2">
      <w:pPr>
        <w:pStyle w:val="Ttulo3"/>
        <w:rPr>
          <w:szCs w:val="22"/>
        </w:rPr>
      </w:pPr>
      <w:bookmarkStart w:id="22" w:name="_Toc181265233"/>
      <w:r w:rsidRPr="00C949B2">
        <w:rPr>
          <w:szCs w:val="22"/>
        </w:rPr>
        <w:lastRenderedPageBreak/>
        <w:t>b)</w:t>
      </w:r>
      <w:r w:rsidR="00664420" w:rsidRPr="00C949B2">
        <w:rPr>
          <w:szCs w:val="22"/>
        </w:rPr>
        <w:t xml:space="preserve"> </w:t>
      </w:r>
      <w:r w:rsidR="00D91CB4" w:rsidRPr="00C949B2">
        <w:rPr>
          <w:szCs w:val="22"/>
        </w:rPr>
        <w:t>Legitimidad</w:t>
      </w:r>
      <w:r w:rsidRPr="00C949B2">
        <w:rPr>
          <w:szCs w:val="22"/>
        </w:rPr>
        <w:t xml:space="preserve"> de la parte recurrente</w:t>
      </w:r>
      <w:bookmarkEnd w:id="22"/>
    </w:p>
    <w:p w14:paraId="26FEA382" w14:textId="0B06695C" w:rsidR="00D91CB4" w:rsidRPr="00C949B2" w:rsidRDefault="00D91CB4" w:rsidP="00C949B2">
      <w:pPr>
        <w:rPr>
          <w:rFonts w:cs="Arial"/>
          <w:bCs/>
          <w:szCs w:val="22"/>
        </w:rPr>
      </w:pPr>
      <w:r w:rsidRPr="00C949B2">
        <w:rPr>
          <w:rFonts w:cs="Arial"/>
          <w:bCs/>
          <w:szCs w:val="22"/>
        </w:rPr>
        <w:t>El recurso de revisión fue interpuesto por parte legítima, ya que se presentó por la misma persona que formuló la solicitud de acceso a la Información Pública,</w:t>
      </w:r>
      <w:r w:rsidRPr="00C949B2">
        <w:rPr>
          <w:rFonts w:cs="Arial"/>
          <w:b/>
          <w:bCs/>
          <w:szCs w:val="22"/>
        </w:rPr>
        <w:t xml:space="preserve"> </w:t>
      </w:r>
      <w:r w:rsidRPr="00C949B2">
        <w:rPr>
          <w:rFonts w:cs="Arial"/>
          <w:szCs w:val="22"/>
        </w:rPr>
        <w:t>debido a que los datos de acceso</w:t>
      </w:r>
      <w:r w:rsidRPr="00C949B2">
        <w:rPr>
          <w:rFonts w:cs="Arial"/>
          <w:b/>
          <w:bCs/>
          <w:szCs w:val="22"/>
        </w:rPr>
        <w:t xml:space="preserve"> </w:t>
      </w:r>
      <w:r w:rsidRPr="00C949B2">
        <w:rPr>
          <w:rFonts w:cs="Arial"/>
          <w:szCs w:val="22"/>
        </w:rPr>
        <w:t>SAIMEX</w:t>
      </w:r>
      <w:r w:rsidRPr="00C949B2">
        <w:rPr>
          <w:rFonts w:eastAsia="Calibri" w:cs="Arial"/>
          <w:szCs w:val="22"/>
          <w:lang w:eastAsia="en-US"/>
        </w:rPr>
        <w:t xml:space="preserve"> son personales e irrepetibles.</w:t>
      </w:r>
    </w:p>
    <w:p w14:paraId="2C367810" w14:textId="77777777" w:rsidR="00D91CB4" w:rsidRPr="00C949B2" w:rsidRDefault="00D91CB4" w:rsidP="00C949B2">
      <w:pPr>
        <w:rPr>
          <w:szCs w:val="22"/>
        </w:rPr>
      </w:pPr>
    </w:p>
    <w:p w14:paraId="496490FC" w14:textId="1A5F3FDB" w:rsidR="00D91CB4" w:rsidRPr="00C949B2" w:rsidRDefault="00BA55A8" w:rsidP="00C949B2">
      <w:pPr>
        <w:pStyle w:val="Ttulo3"/>
        <w:rPr>
          <w:rFonts w:eastAsia="Calibri"/>
          <w:szCs w:val="22"/>
          <w:lang w:eastAsia="es-ES_tradnl"/>
        </w:rPr>
      </w:pPr>
      <w:bookmarkStart w:id="23" w:name="_Toc181265234"/>
      <w:r w:rsidRPr="00C949B2">
        <w:rPr>
          <w:rFonts w:eastAsia="Calibri"/>
          <w:szCs w:val="22"/>
          <w:lang w:eastAsia="es-ES_tradnl"/>
        </w:rPr>
        <w:t>c)</w:t>
      </w:r>
      <w:r w:rsidR="00664420" w:rsidRPr="00C949B2">
        <w:rPr>
          <w:rFonts w:eastAsia="Calibri"/>
          <w:szCs w:val="22"/>
          <w:lang w:eastAsia="es-ES_tradnl"/>
        </w:rPr>
        <w:t xml:space="preserve"> </w:t>
      </w:r>
      <w:r w:rsidR="00D91CB4" w:rsidRPr="00C949B2">
        <w:rPr>
          <w:rFonts w:eastAsia="Calibri"/>
          <w:szCs w:val="22"/>
          <w:lang w:eastAsia="es-ES_tradnl"/>
        </w:rPr>
        <w:t>Plazo para interponer el recurso</w:t>
      </w:r>
      <w:bookmarkEnd w:id="23"/>
    </w:p>
    <w:p w14:paraId="106D37EE" w14:textId="791E2907" w:rsidR="00D91CB4" w:rsidRPr="00C949B2" w:rsidRDefault="00D91CB4" w:rsidP="00C949B2">
      <w:pPr>
        <w:rPr>
          <w:rFonts w:eastAsia="Calibri"/>
          <w:szCs w:val="22"/>
          <w:lang w:eastAsia="es-ES_tradnl"/>
        </w:rPr>
      </w:pPr>
      <w:r w:rsidRPr="00C949B2">
        <w:rPr>
          <w:rFonts w:cs="Arial"/>
          <w:b/>
          <w:szCs w:val="22"/>
        </w:rPr>
        <w:t>EL SUJETO OBLIGADO</w:t>
      </w:r>
      <w:r w:rsidRPr="00C949B2">
        <w:rPr>
          <w:rFonts w:cs="Arial"/>
          <w:szCs w:val="22"/>
        </w:rPr>
        <w:t xml:space="preserve"> notificó la respuesta a la solicitud de acceso a la Información Pública el </w:t>
      </w:r>
      <w:r w:rsidR="005B762D" w:rsidRPr="00C949B2">
        <w:rPr>
          <w:rFonts w:eastAsia="Palatino Linotype" w:cs="Palatino Linotype"/>
          <w:b/>
          <w:szCs w:val="22"/>
        </w:rPr>
        <w:t>veintiséis</w:t>
      </w:r>
      <w:bookmarkStart w:id="24" w:name="_GoBack"/>
      <w:bookmarkEnd w:id="24"/>
      <w:r w:rsidR="00830EEF" w:rsidRPr="00C949B2">
        <w:rPr>
          <w:rFonts w:eastAsia="Palatino Linotype" w:cs="Palatino Linotype"/>
          <w:b/>
          <w:szCs w:val="22"/>
        </w:rPr>
        <w:t xml:space="preserve"> de septiembre</w:t>
      </w:r>
      <w:r w:rsidR="00076E38" w:rsidRPr="00C949B2">
        <w:rPr>
          <w:rFonts w:eastAsia="Palatino Linotype" w:cs="Palatino Linotype"/>
          <w:b/>
          <w:szCs w:val="22"/>
        </w:rPr>
        <w:t xml:space="preserve"> de dos mil </w:t>
      </w:r>
      <w:r w:rsidRPr="00C949B2">
        <w:rPr>
          <w:rFonts w:eastAsia="Palatino Linotype" w:cs="Palatino Linotype"/>
          <w:b/>
          <w:szCs w:val="22"/>
        </w:rPr>
        <w:t xml:space="preserve">de dos mil </w:t>
      </w:r>
      <w:r w:rsidR="00076E38" w:rsidRPr="00C949B2">
        <w:rPr>
          <w:rFonts w:eastAsia="Palatino Linotype" w:cs="Palatino Linotype"/>
          <w:b/>
          <w:szCs w:val="22"/>
        </w:rPr>
        <w:t xml:space="preserve">veinticuatro </w:t>
      </w:r>
      <w:r w:rsidR="00A53315" w:rsidRPr="00C949B2">
        <w:rPr>
          <w:rFonts w:cs="Arial"/>
          <w:szCs w:val="22"/>
        </w:rPr>
        <w:t xml:space="preserve">y el recurso </w:t>
      </w:r>
      <w:r w:rsidR="00A53315" w:rsidRPr="00C949B2">
        <w:rPr>
          <w:rFonts w:eastAsia="Palatino Linotype" w:cs="Palatino Linotype"/>
          <w:szCs w:val="22"/>
        </w:rPr>
        <w:t>que nos ocupa se interpuso el</w:t>
      </w:r>
      <w:r w:rsidR="00076E38" w:rsidRPr="00C949B2">
        <w:rPr>
          <w:rFonts w:eastAsia="Palatino Linotype" w:cs="Palatino Linotype"/>
          <w:szCs w:val="22"/>
        </w:rPr>
        <w:t xml:space="preserve"> </w:t>
      </w:r>
      <w:r w:rsidR="00405721" w:rsidRPr="00C949B2">
        <w:rPr>
          <w:rFonts w:eastAsia="Palatino Linotype" w:cs="Palatino Linotype"/>
          <w:b/>
          <w:szCs w:val="22"/>
        </w:rPr>
        <w:t>treinta</w:t>
      </w:r>
      <w:r w:rsidR="00830EEF" w:rsidRPr="00C949B2">
        <w:rPr>
          <w:rFonts w:eastAsia="Palatino Linotype" w:cs="Palatino Linotype"/>
          <w:b/>
          <w:szCs w:val="22"/>
        </w:rPr>
        <w:t xml:space="preserve"> de septiembre</w:t>
      </w:r>
      <w:r w:rsidR="00076E38" w:rsidRPr="00C949B2">
        <w:rPr>
          <w:rFonts w:eastAsia="Palatino Linotype" w:cs="Palatino Linotype"/>
          <w:b/>
          <w:szCs w:val="22"/>
        </w:rPr>
        <w:t xml:space="preserve"> </w:t>
      </w:r>
      <w:r w:rsidR="00A53315" w:rsidRPr="00C949B2">
        <w:rPr>
          <w:rFonts w:eastAsia="Palatino Linotype" w:cs="Palatino Linotype"/>
          <w:b/>
          <w:szCs w:val="22"/>
        </w:rPr>
        <w:t xml:space="preserve">de dos mil </w:t>
      </w:r>
      <w:r w:rsidR="00076E38" w:rsidRPr="00C949B2">
        <w:rPr>
          <w:rFonts w:eastAsia="Palatino Linotype" w:cs="Palatino Linotype"/>
          <w:b/>
          <w:szCs w:val="22"/>
        </w:rPr>
        <w:t>veinticuatro,</w:t>
      </w:r>
      <w:r w:rsidR="00A53315" w:rsidRPr="00C949B2">
        <w:rPr>
          <w:rFonts w:eastAsia="Palatino Linotype" w:cs="Palatino Linotype"/>
          <w:szCs w:val="22"/>
        </w:rPr>
        <w:t xml:space="preserve"> por lo tanto, éste se encuentra dentro del margen temporal previsto en el artículo 178 de la </w:t>
      </w:r>
      <w:r w:rsidR="00A53315" w:rsidRPr="00C949B2">
        <w:rPr>
          <w:rFonts w:cs="Arial"/>
          <w:szCs w:val="22"/>
        </w:rPr>
        <w:t xml:space="preserve">Ley de Transparencia y Acceso a la Información Pública del Estado de México y Municipios, </w:t>
      </w:r>
      <w:r w:rsidR="00A53315" w:rsidRPr="00C949B2">
        <w:rPr>
          <w:rFonts w:eastAsia="Calibri"/>
          <w:szCs w:val="22"/>
          <w:lang w:eastAsia="es-ES_tradnl"/>
        </w:rPr>
        <w:t xml:space="preserve">el cual </w:t>
      </w:r>
      <w:r w:rsidRPr="00C949B2">
        <w:rPr>
          <w:rFonts w:cs="Arial"/>
          <w:szCs w:val="22"/>
        </w:rPr>
        <w:t xml:space="preserve">transcurrió del </w:t>
      </w:r>
      <w:r w:rsidR="00405721" w:rsidRPr="00C949B2">
        <w:rPr>
          <w:rFonts w:cs="Arial"/>
          <w:b/>
          <w:szCs w:val="22"/>
        </w:rPr>
        <w:t xml:space="preserve">veintisiete de septiembre </w:t>
      </w:r>
      <w:r w:rsidRPr="00C949B2">
        <w:rPr>
          <w:rFonts w:cs="Arial"/>
          <w:b/>
          <w:szCs w:val="22"/>
        </w:rPr>
        <w:t xml:space="preserve">al </w:t>
      </w:r>
      <w:r w:rsidR="00405721" w:rsidRPr="00C949B2">
        <w:rPr>
          <w:rFonts w:cs="Arial"/>
          <w:b/>
          <w:szCs w:val="22"/>
        </w:rPr>
        <w:t>dieciocho de octubre</w:t>
      </w:r>
      <w:r w:rsidR="00F333F9" w:rsidRPr="00C949B2">
        <w:rPr>
          <w:rFonts w:cs="Arial"/>
          <w:b/>
          <w:szCs w:val="22"/>
        </w:rPr>
        <w:t xml:space="preserve"> </w:t>
      </w:r>
      <w:r w:rsidR="00076E38" w:rsidRPr="00C949B2">
        <w:rPr>
          <w:rFonts w:cs="Arial"/>
          <w:b/>
          <w:szCs w:val="22"/>
        </w:rPr>
        <w:t>d</w:t>
      </w:r>
      <w:r w:rsidRPr="00C949B2">
        <w:rPr>
          <w:rFonts w:cs="Arial"/>
          <w:b/>
          <w:szCs w:val="22"/>
        </w:rPr>
        <w:t xml:space="preserve">e dos mil </w:t>
      </w:r>
      <w:r w:rsidR="00076E38" w:rsidRPr="00C949B2">
        <w:rPr>
          <w:rFonts w:cs="Arial"/>
          <w:b/>
          <w:szCs w:val="22"/>
        </w:rPr>
        <w:t>veinticuatro</w:t>
      </w:r>
      <w:r w:rsidRPr="00C949B2">
        <w:rPr>
          <w:rFonts w:cs="Arial"/>
          <w:szCs w:val="22"/>
        </w:rPr>
        <w:t xml:space="preserve">, </w:t>
      </w:r>
      <w:r w:rsidR="0023177F" w:rsidRPr="00C949B2">
        <w:rPr>
          <w:rFonts w:eastAsiaTheme="minorEastAsia" w:cs="Arial"/>
          <w:szCs w:val="22"/>
          <w:lang w:val="es-ES_tradnl"/>
        </w:rPr>
        <w:t xml:space="preserve">sin contemplar en el cómputo los días </w:t>
      </w:r>
      <w:bookmarkStart w:id="25" w:name="_Hlk62134391"/>
      <w:r w:rsidR="0023177F" w:rsidRPr="00C949B2">
        <w:rPr>
          <w:rFonts w:eastAsiaTheme="minorEastAsia" w:cs="Arial"/>
          <w:szCs w:val="22"/>
          <w:lang w:val="es-ES_tradnl"/>
        </w:rPr>
        <w:t xml:space="preserve">sábados, domingos y aquellos considerados como días inhábiles en términos del </w:t>
      </w:r>
      <w:bookmarkEnd w:id="25"/>
      <w:r w:rsidR="0023177F" w:rsidRPr="00C949B2">
        <w:rPr>
          <w:rFonts w:eastAsiaTheme="minorEastAsia" w:cs="Arial"/>
          <w:szCs w:val="22"/>
          <w:lang w:val="es-ES_tradnl"/>
        </w:rPr>
        <w:t>Calendario oficial en Materia de Transparencia, Acceso a la Información Pública y Protección de Datos Personales del Estado de México y Municipios, así como de labores del Instituto</w:t>
      </w:r>
      <w:r w:rsidRPr="00C949B2">
        <w:rPr>
          <w:rFonts w:eastAsiaTheme="minorEastAsia" w:cs="Arial"/>
          <w:szCs w:val="22"/>
          <w:lang w:val="es-ES_tradnl"/>
        </w:rPr>
        <w:t>.</w:t>
      </w:r>
    </w:p>
    <w:p w14:paraId="49076992" w14:textId="77777777" w:rsidR="00D91CB4" w:rsidRPr="00C949B2" w:rsidRDefault="00D91CB4" w:rsidP="00C949B2">
      <w:pPr>
        <w:rPr>
          <w:rFonts w:eastAsia="Palatino Linotype" w:cs="Palatino Linotype"/>
          <w:szCs w:val="22"/>
        </w:rPr>
      </w:pPr>
    </w:p>
    <w:p w14:paraId="46C0EB3A" w14:textId="309E8C2D" w:rsidR="00A53315" w:rsidRPr="00C949B2" w:rsidRDefault="00BA55A8" w:rsidP="00C949B2">
      <w:pPr>
        <w:pStyle w:val="Ttulo3"/>
        <w:rPr>
          <w:rFonts w:eastAsia="Calibri"/>
          <w:szCs w:val="22"/>
          <w:lang w:eastAsia="es-ES_tradnl"/>
        </w:rPr>
      </w:pPr>
      <w:bookmarkStart w:id="26" w:name="_Toc181265235"/>
      <w:r w:rsidRPr="00C949B2">
        <w:rPr>
          <w:rFonts w:eastAsia="Calibri"/>
          <w:szCs w:val="22"/>
          <w:lang w:eastAsia="es-ES_tradnl"/>
        </w:rPr>
        <w:t>d)</w:t>
      </w:r>
      <w:r w:rsidR="00D91CB4" w:rsidRPr="00C949B2">
        <w:rPr>
          <w:rFonts w:eastAsia="Calibri"/>
          <w:szCs w:val="22"/>
          <w:lang w:eastAsia="es-ES_tradnl"/>
        </w:rPr>
        <w:t xml:space="preserve"> </w:t>
      </w:r>
      <w:r w:rsidR="00A8142F" w:rsidRPr="00C949B2">
        <w:rPr>
          <w:rFonts w:eastAsia="Calibri"/>
          <w:szCs w:val="22"/>
          <w:lang w:eastAsia="es-ES_tradnl"/>
        </w:rPr>
        <w:t>Causal de Procedencia</w:t>
      </w:r>
      <w:bookmarkEnd w:id="26"/>
    </w:p>
    <w:p w14:paraId="190404A6" w14:textId="10F613C4" w:rsidR="00BA55A8" w:rsidRPr="00C949B2" w:rsidRDefault="00BA55A8" w:rsidP="00C949B2">
      <w:pPr>
        <w:rPr>
          <w:szCs w:val="22"/>
        </w:rPr>
      </w:pPr>
      <w:r w:rsidRPr="00C949B2">
        <w:rPr>
          <w:rFonts w:cs="Arial"/>
          <w:szCs w:val="22"/>
        </w:rPr>
        <w:t xml:space="preserve">Resulta procedente la interposición del recurso de revisión, ya que </w:t>
      </w:r>
      <w:r w:rsidRPr="00C949B2">
        <w:rPr>
          <w:rFonts w:eastAsia="Calibri" w:cs="Tahoma"/>
          <w:szCs w:val="22"/>
          <w:lang w:eastAsia="es-MX"/>
        </w:rPr>
        <w:t xml:space="preserve">se actualiza la causal de procedencia señalada en el artículo 179, fracción </w:t>
      </w:r>
      <w:r w:rsidR="00405721" w:rsidRPr="00C949B2">
        <w:rPr>
          <w:rFonts w:eastAsia="Calibri" w:cs="Tahoma"/>
          <w:szCs w:val="22"/>
          <w:lang w:eastAsia="es-MX"/>
        </w:rPr>
        <w:t>I</w:t>
      </w:r>
      <w:r w:rsidRPr="00C949B2">
        <w:rPr>
          <w:rFonts w:cs="Arial"/>
          <w:szCs w:val="22"/>
        </w:rPr>
        <w:t xml:space="preserve"> de la </w:t>
      </w:r>
      <w:r w:rsidRPr="00C949B2">
        <w:rPr>
          <w:szCs w:val="22"/>
        </w:rPr>
        <w:t>Ley de Transparencia y Acceso a la Información Pública del Estado de México y Municipios.</w:t>
      </w:r>
    </w:p>
    <w:p w14:paraId="0EFF7141" w14:textId="77777777" w:rsidR="00362A11" w:rsidRPr="00C949B2" w:rsidRDefault="00362A11" w:rsidP="00C949B2">
      <w:pPr>
        <w:rPr>
          <w:szCs w:val="22"/>
        </w:rPr>
      </w:pPr>
    </w:p>
    <w:p w14:paraId="2284D7EB" w14:textId="3EE1D036" w:rsidR="00BA55A8" w:rsidRPr="00C949B2" w:rsidRDefault="00362A11" w:rsidP="00C949B2">
      <w:pPr>
        <w:pStyle w:val="Ttulo3"/>
        <w:rPr>
          <w:szCs w:val="22"/>
        </w:rPr>
      </w:pPr>
      <w:bookmarkStart w:id="27" w:name="_Toc181265236"/>
      <w:r w:rsidRPr="00C949B2">
        <w:rPr>
          <w:szCs w:val="22"/>
        </w:rPr>
        <w:t>e) Requisitos formales para la interposición del recurso</w:t>
      </w:r>
      <w:bookmarkEnd w:id="27"/>
    </w:p>
    <w:p w14:paraId="0DAFB4C2" w14:textId="77777777" w:rsidR="00F333F9" w:rsidRPr="00C949B2" w:rsidRDefault="00F333F9" w:rsidP="00C949B2">
      <w:pPr>
        <w:rPr>
          <w:rFonts w:cs="Arial"/>
          <w:szCs w:val="22"/>
          <w:lang w:val="es-ES"/>
        </w:rPr>
      </w:pPr>
      <w:r w:rsidRPr="00C949B2">
        <w:rPr>
          <w:szCs w:val="22"/>
          <w:lang w:val="es-ES"/>
        </w:rPr>
        <w:t xml:space="preserve">Es importante mencionar que, de la revisión del expediente electrónico del </w:t>
      </w:r>
      <w:r w:rsidRPr="00C949B2">
        <w:rPr>
          <w:bCs/>
          <w:szCs w:val="22"/>
          <w:lang w:val="es-ES"/>
        </w:rPr>
        <w:t>SAIMEX,</w:t>
      </w:r>
      <w:r w:rsidRPr="00C949B2">
        <w:rPr>
          <w:szCs w:val="22"/>
          <w:lang w:val="es-ES"/>
        </w:rPr>
        <w:t xml:space="preserve"> se observa que </w:t>
      </w:r>
      <w:r w:rsidRPr="00C949B2">
        <w:rPr>
          <w:b/>
          <w:bCs/>
          <w:szCs w:val="22"/>
          <w:lang w:val="es-ES"/>
        </w:rPr>
        <w:t>LA PARTE RECURRENTE</w:t>
      </w:r>
      <w:r w:rsidRPr="00C949B2">
        <w:rPr>
          <w:szCs w:val="22"/>
          <w:lang w:val="es-ES"/>
        </w:rPr>
        <w:t xml:space="preserve"> no proporcionó su nombre para ser identificado, lo que en estricto sentido provoca que </w:t>
      </w:r>
      <w:r w:rsidRPr="00C949B2">
        <w:rPr>
          <w:rFonts w:cs="Arial"/>
          <w:szCs w:val="22"/>
          <w:lang w:val="es-ES"/>
        </w:rPr>
        <w:t>no</w:t>
      </w:r>
      <w:r w:rsidRPr="00C949B2">
        <w:rPr>
          <w:szCs w:val="22"/>
          <w:lang w:val="es-ES"/>
        </w:rPr>
        <w:t xml:space="preserve"> se colmen los requisitos establecidos en el artículo 180 </w:t>
      </w:r>
      <w:r w:rsidRPr="00C949B2">
        <w:rPr>
          <w:szCs w:val="22"/>
          <w:lang w:val="es-ES"/>
        </w:rPr>
        <w:lastRenderedPageBreak/>
        <w:t xml:space="preserve">de la Ley de Transparencia; sin embargo, el artículo 15 de </w:t>
      </w:r>
      <w:r w:rsidRPr="00C949B2">
        <w:rPr>
          <w:rFonts w:cs="Arial"/>
          <w:szCs w:val="22"/>
          <w:lang w:val="es-ES" w:eastAsia="es-MX"/>
        </w:rPr>
        <w:t xml:space="preserve">Ley de Transparencia y Acceso a la </w:t>
      </w:r>
      <w:r w:rsidRPr="00C949B2">
        <w:rPr>
          <w:rFonts w:cs="Arial"/>
          <w:szCs w:val="22"/>
          <w:lang w:val="es-ES"/>
        </w:rPr>
        <w:t>Información</w:t>
      </w:r>
      <w:r w:rsidRPr="00C949B2">
        <w:rPr>
          <w:rFonts w:cs="Arial"/>
          <w:szCs w:val="22"/>
          <w:lang w:val="es-ES" w:eastAsia="es-MX"/>
        </w:rPr>
        <w:t xml:space="preserve"> Pública del Estado de México y Municipios </w:t>
      </w:r>
      <w:r w:rsidRPr="00C949B2">
        <w:rPr>
          <w:rFonts w:cs="Arial"/>
          <w:iCs/>
          <w:szCs w:val="22"/>
          <w:lang w:val="es-ES"/>
        </w:rPr>
        <w:t xml:space="preserve">prevé que </w:t>
      </w:r>
      <w:r w:rsidRPr="00C949B2">
        <w:rPr>
          <w:szCs w:val="22"/>
          <w:lang w:val="es-ES"/>
        </w:rPr>
        <w:t xml:space="preserve">toda persona tendrá acceso a la información </w:t>
      </w:r>
      <w:r w:rsidRPr="00C949B2">
        <w:rPr>
          <w:rFonts w:cs="Arial"/>
          <w:szCs w:val="22"/>
          <w:lang w:val="es-ES"/>
        </w:rPr>
        <w:t xml:space="preserve">sin necesidad de acreditar interés alguno o justificar su utilización, de lo que se infiere que </w:t>
      </w:r>
      <w:r w:rsidRPr="00C949B2">
        <w:rPr>
          <w:rFonts w:cs="Arial"/>
          <w:b/>
          <w:szCs w:val="22"/>
          <w:u w:val="single"/>
          <w:lang w:val="es-ES"/>
        </w:rPr>
        <w:t xml:space="preserve">el nombre no es un requisito </w:t>
      </w:r>
      <w:r w:rsidRPr="00C949B2">
        <w:rPr>
          <w:rFonts w:cs="Arial"/>
          <w:b/>
          <w:iCs/>
          <w:szCs w:val="22"/>
          <w:u w:val="single"/>
          <w:lang w:val="es-ES"/>
        </w:rPr>
        <w:t>indispensable</w:t>
      </w:r>
      <w:r w:rsidRPr="00C949B2">
        <w:rPr>
          <w:rFonts w:cs="Arial"/>
          <w:szCs w:val="22"/>
          <w:lang w:val="es-ES"/>
        </w:rPr>
        <w:t xml:space="preserve"> para que las y los ciudadanos ejerzan el derecho de acceso a la información pública. </w:t>
      </w:r>
    </w:p>
    <w:p w14:paraId="28B63891" w14:textId="77777777" w:rsidR="00F333F9" w:rsidRPr="00C949B2" w:rsidRDefault="00F333F9" w:rsidP="00C949B2">
      <w:pPr>
        <w:rPr>
          <w:rFonts w:cs="Arial"/>
          <w:szCs w:val="22"/>
          <w:lang w:val="es-ES"/>
        </w:rPr>
      </w:pPr>
    </w:p>
    <w:p w14:paraId="6390674A" w14:textId="71A4CE17" w:rsidR="00BA55A8" w:rsidRPr="00C949B2" w:rsidRDefault="00F333F9" w:rsidP="00C949B2">
      <w:pPr>
        <w:rPr>
          <w:rFonts w:cs="Arial"/>
          <w:szCs w:val="22"/>
        </w:rPr>
      </w:pPr>
      <w:r w:rsidRPr="00C949B2">
        <w:rPr>
          <w:rFonts w:cs="Arial"/>
          <w:szCs w:val="22"/>
          <w:lang w:val="es-ES"/>
        </w:rPr>
        <w:t>Asimismo, la Ley de la materia prevé en su artículo 155, párrafo segundo la posibilidad de que las solicitudes de información sean anónimas, al utilizar un nombre incompleto o, inclusive un seudónimo.</w:t>
      </w:r>
      <w:r w:rsidRPr="00C949B2">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C949B2">
        <w:rPr>
          <w:b/>
          <w:bCs/>
          <w:szCs w:val="22"/>
          <w:lang w:val="es-ES"/>
        </w:rPr>
        <w:t>LA PARTE RECURRENTE</w:t>
      </w:r>
      <w:r w:rsidRPr="00C949B2">
        <w:rPr>
          <w:rFonts w:cs="Arial"/>
          <w:b/>
          <w:szCs w:val="22"/>
          <w:lang w:val="es-ES"/>
        </w:rPr>
        <w:t>;</w:t>
      </w:r>
      <w:r w:rsidRPr="00C949B2">
        <w:rPr>
          <w:szCs w:val="22"/>
          <w:lang w:val="es-ES"/>
        </w:rPr>
        <w:t xml:space="preserve"> por lo que, en el presente caso, al haber sido presentado el recurso de revisión vía </w:t>
      </w:r>
      <w:r w:rsidRPr="00C949B2">
        <w:rPr>
          <w:bCs/>
          <w:szCs w:val="22"/>
          <w:lang w:val="es-ES"/>
        </w:rPr>
        <w:t>SAIMEX</w:t>
      </w:r>
      <w:r w:rsidRPr="00C949B2">
        <w:rPr>
          <w:szCs w:val="22"/>
          <w:lang w:val="es-ES"/>
        </w:rPr>
        <w:t>, dicho requisito resulta innecesario.</w:t>
      </w:r>
    </w:p>
    <w:p w14:paraId="20BDA7EE" w14:textId="77777777" w:rsidR="005F5301" w:rsidRPr="00C949B2" w:rsidRDefault="005F5301" w:rsidP="00C949B2">
      <w:pPr>
        <w:rPr>
          <w:rFonts w:cs="Arial"/>
          <w:szCs w:val="22"/>
        </w:rPr>
      </w:pPr>
    </w:p>
    <w:p w14:paraId="457548E9" w14:textId="3F7AF03B" w:rsidR="00C71CEF" w:rsidRPr="00C949B2" w:rsidRDefault="00C71CEF" w:rsidP="00C949B2">
      <w:pPr>
        <w:pStyle w:val="Ttulo2"/>
        <w:rPr>
          <w:szCs w:val="22"/>
        </w:rPr>
      </w:pPr>
      <w:bookmarkStart w:id="28" w:name="_Toc181265237"/>
      <w:r w:rsidRPr="00C949B2">
        <w:rPr>
          <w:szCs w:val="22"/>
        </w:rPr>
        <w:t>SEGUNDO. Estudio de Fondo</w:t>
      </w:r>
      <w:bookmarkEnd w:id="28"/>
    </w:p>
    <w:p w14:paraId="2A308F59" w14:textId="0FF373F0" w:rsidR="00C049E2" w:rsidRPr="00C949B2" w:rsidRDefault="00C71CEF" w:rsidP="00C949B2">
      <w:pPr>
        <w:pStyle w:val="Ttulo3"/>
        <w:rPr>
          <w:szCs w:val="22"/>
        </w:rPr>
      </w:pPr>
      <w:bookmarkStart w:id="29" w:name="_Toc181265238"/>
      <w:r w:rsidRPr="00C949B2">
        <w:rPr>
          <w:szCs w:val="22"/>
        </w:rPr>
        <w:t>a</w:t>
      </w:r>
      <w:r w:rsidR="00C049E2" w:rsidRPr="00C949B2">
        <w:rPr>
          <w:szCs w:val="22"/>
        </w:rPr>
        <w:t>) Mandato de transparencia y responsabilidad del Sujeto Obligado</w:t>
      </w:r>
      <w:bookmarkEnd w:id="29"/>
    </w:p>
    <w:p w14:paraId="6901A889" w14:textId="59EEDAE1" w:rsidR="00C049E2" w:rsidRPr="00C949B2" w:rsidRDefault="00C049E2" w:rsidP="00C949B2">
      <w:pPr>
        <w:rPr>
          <w:rFonts w:eastAsia="Palatino Linotype"/>
          <w:szCs w:val="22"/>
        </w:rPr>
      </w:pPr>
      <w:r w:rsidRPr="00C949B2">
        <w:rPr>
          <w:rFonts w:eastAsia="Palatino Linotype"/>
          <w:szCs w:val="22"/>
        </w:rPr>
        <w:t xml:space="preserve">El </w:t>
      </w:r>
      <w:r w:rsidR="00717E59" w:rsidRPr="00C949B2">
        <w:rPr>
          <w:rFonts w:eastAsia="Palatino Linotype"/>
          <w:szCs w:val="22"/>
        </w:rPr>
        <w:t>d</w:t>
      </w:r>
      <w:r w:rsidRPr="00C949B2">
        <w:rPr>
          <w:rFonts w:eastAsia="Palatino Linotype"/>
          <w:szCs w:val="22"/>
        </w:rPr>
        <w:t xml:space="preserve">erecho de </w:t>
      </w:r>
      <w:r w:rsidR="00717E59" w:rsidRPr="00C949B2">
        <w:rPr>
          <w:rFonts w:eastAsia="Palatino Linotype"/>
          <w:szCs w:val="22"/>
        </w:rPr>
        <w:t>a</w:t>
      </w:r>
      <w:r w:rsidRPr="00C949B2">
        <w:rPr>
          <w:rFonts w:eastAsia="Palatino Linotype"/>
          <w:szCs w:val="22"/>
        </w:rPr>
        <w:t xml:space="preserve">cceso a la </w:t>
      </w:r>
      <w:r w:rsidR="00717E59" w:rsidRPr="00C949B2">
        <w:rPr>
          <w:rFonts w:eastAsia="Palatino Linotype"/>
          <w:szCs w:val="22"/>
        </w:rPr>
        <w:t>i</w:t>
      </w:r>
      <w:r w:rsidRPr="00C949B2">
        <w:rPr>
          <w:rFonts w:eastAsia="Palatino Linotype"/>
          <w:szCs w:val="22"/>
        </w:rPr>
        <w:t xml:space="preserve">nformación </w:t>
      </w:r>
      <w:r w:rsidR="00717E59" w:rsidRPr="00C949B2">
        <w:rPr>
          <w:rFonts w:eastAsia="Palatino Linotype"/>
          <w:szCs w:val="22"/>
        </w:rPr>
        <w:t>p</w:t>
      </w:r>
      <w:r w:rsidRPr="00C949B2">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C949B2">
        <w:rPr>
          <w:rFonts w:eastAsia="Palatino Linotype"/>
          <w:szCs w:val="22"/>
        </w:rPr>
        <w:t>:</w:t>
      </w:r>
    </w:p>
    <w:p w14:paraId="7FAB8D32" w14:textId="77777777" w:rsidR="00C049E2" w:rsidRPr="00C949B2" w:rsidRDefault="00C049E2" w:rsidP="00C949B2">
      <w:pPr>
        <w:rPr>
          <w:rFonts w:eastAsia="Palatino Linotype"/>
          <w:szCs w:val="22"/>
        </w:rPr>
      </w:pPr>
    </w:p>
    <w:p w14:paraId="05320813" w14:textId="77777777" w:rsidR="00C049E2" w:rsidRPr="00C949B2" w:rsidRDefault="00C049E2" w:rsidP="00C949B2">
      <w:pPr>
        <w:spacing w:line="240" w:lineRule="auto"/>
        <w:ind w:left="567" w:right="539"/>
        <w:rPr>
          <w:rFonts w:eastAsia="Palatino Linotype"/>
          <w:b/>
          <w:i/>
          <w:szCs w:val="22"/>
        </w:rPr>
      </w:pPr>
      <w:r w:rsidRPr="00C949B2">
        <w:rPr>
          <w:rFonts w:eastAsia="Palatino Linotype"/>
          <w:b/>
          <w:i/>
          <w:szCs w:val="22"/>
        </w:rPr>
        <w:t>Constitución Política de los Estados Unidos Mexicanos</w:t>
      </w:r>
    </w:p>
    <w:p w14:paraId="6B6C67B6" w14:textId="77777777" w:rsidR="00C049E2" w:rsidRPr="00C949B2" w:rsidRDefault="00C049E2" w:rsidP="00C949B2">
      <w:pPr>
        <w:spacing w:line="240" w:lineRule="auto"/>
        <w:ind w:left="567" w:right="539"/>
        <w:rPr>
          <w:rFonts w:eastAsia="Palatino Linotype"/>
          <w:b/>
          <w:i/>
          <w:szCs w:val="22"/>
        </w:rPr>
      </w:pPr>
      <w:r w:rsidRPr="00C949B2">
        <w:rPr>
          <w:rFonts w:eastAsia="Palatino Linotype"/>
          <w:b/>
          <w:i/>
          <w:szCs w:val="22"/>
        </w:rPr>
        <w:t>“Artículo 6.</w:t>
      </w:r>
    </w:p>
    <w:p w14:paraId="38D3B4C4" w14:textId="77777777" w:rsidR="00C049E2" w:rsidRPr="00C949B2" w:rsidRDefault="00C049E2" w:rsidP="00C949B2">
      <w:pPr>
        <w:spacing w:line="240" w:lineRule="auto"/>
        <w:ind w:left="567" w:right="539"/>
        <w:rPr>
          <w:rFonts w:eastAsia="Palatino Linotype"/>
          <w:i/>
          <w:szCs w:val="22"/>
        </w:rPr>
      </w:pPr>
      <w:r w:rsidRPr="00C949B2">
        <w:rPr>
          <w:rFonts w:eastAsia="Palatino Linotype"/>
          <w:i/>
          <w:szCs w:val="22"/>
        </w:rPr>
        <w:t>(…)</w:t>
      </w:r>
    </w:p>
    <w:p w14:paraId="2CCAA297" w14:textId="6602827B" w:rsidR="00C049E2" w:rsidRPr="00C949B2" w:rsidRDefault="00C049E2" w:rsidP="00C949B2">
      <w:pPr>
        <w:spacing w:line="240" w:lineRule="auto"/>
        <w:ind w:left="567" w:right="539"/>
        <w:rPr>
          <w:rFonts w:eastAsia="Palatino Linotype"/>
          <w:i/>
          <w:szCs w:val="22"/>
        </w:rPr>
      </w:pPr>
      <w:r w:rsidRPr="00C949B2">
        <w:rPr>
          <w:rFonts w:eastAsia="Palatino Linotype"/>
          <w:i/>
          <w:szCs w:val="22"/>
        </w:rPr>
        <w:t>Para efectos de lo dispuesto en el presente artículo se observará lo siguiente:</w:t>
      </w:r>
    </w:p>
    <w:p w14:paraId="74CC3718" w14:textId="77777777" w:rsidR="00C049E2" w:rsidRPr="00C949B2" w:rsidRDefault="00C049E2" w:rsidP="00C949B2">
      <w:pPr>
        <w:spacing w:line="240" w:lineRule="auto"/>
        <w:ind w:left="567" w:right="539"/>
        <w:rPr>
          <w:rFonts w:eastAsia="Palatino Linotype"/>
          <w:b/>
          <w:i/>
          <w:szCs w:val="22"/>
        </w:rPr>
      </w:pPr>
      <w:r w:rsidRPr="00C949B2">
        <w:rPr>
          <w:rFonts w:eastAsia="Palatino Linotype"/>
          <w:b/>
          <w:i/>
          <w:szCs w:val="22"/>
        </w:rPr>
        <w:t>A</w:t>
      </w:r>
      <w:r w:rsidRPr="00C949B2">
        <w:rPr>
          <w:rFonts w:eastAsia="Palatino Linotype"/>
          <w:i/>
          <w:szCs w:val="22"/>
        </w:rPr>
        <w:t xml:space="preserve">. </w:t>
      </w:r>
      <w:r w:rsidRPr="00C949B2">
        <w:rPr>
          <w:rFonts w:eastAsia="Palatino Linotype"/>
          <w:b/>
          <w:i/>
          <w:szCs w:val="22"/>
        </w:rPr>
        <w:t>Para el ejercicio del derecho de acceso a la información</w:t>
      </w:r>
      <w:r w:rsidRPr="00C949B2">
        <w:rPr>
          <w:rFonts w:eastAsia="Palatino Linotype"/>
          <w:i/>
          <w:szCs w:val="22"/>
        </w:rPr>
        <w:t xml:space="preserve">, la Federación y </w:t>
      </w:r>
      <w:r w:rsidRPr="00C949B2">
        <w:rPr>
          <w:rFonts w:eastAsia="Palatino Linotype"/>
          <w:b/>
          <w:i/>
          <w:szCs w:val="22"/>
        </w:rPr>
        <w:t>las entidades federativas, en el ámbito de sus respectivas competencias, se regirán por los siguientes principios y bases:</w:t>
      </w:r>
    </w:p>
    <w:p w14:paraId="596A956B" w14:textId="77777777" w:rsidR="00C049E2" w:rsidRPr="00C949B2" w:rsidRDefault="00C049E2" w:rsidP="00C949B2">
      <w:pPr>
        <w:spacing w:line="240" w:lineRule="auto"/>
        <w:ind w:left="567" w:right="539"/>
        <w:rPr>
          <w:rFonts w:eastAsia="Palatino Linotype"/>
          <w:i/>
          <w:szCs w:val="22"/>
        </w:rPr>
      </w:pPr>
      <w:r w:rsidRPr="00C949B2">
        <w:rPr>
          <w:rFonts w:eastAsia="Palatino Linotype"/>
          <w:b/>
          <w:i/>
          <w:szCs w:val="22"/>
        </w:rPr>
        <w:lastRenderedPageBreak/>
        <w:t xml:space="preserve">I. </w:t>
      </w:r>
      <w:r w:rsidRPr="00C949B2">
        <w:rPr>
          <w:rFonts w:eastAsia="Palatino Linotype"/>
          <w:b/>
          <w:i/>
          <w:szCs w:val="22"/>
        </w:rPr>
        <w:tab/>
        <w:t>Toda la información en posesión de cualquier</w:t>
      </w:r>
      <w:r w:rsidRPr="00C949B2">
        <w:rPr>
          <w:rFonts w:eastAsia="Palatino Linotype"/>
          <w:i/>
          <w:szCs w:val="22"/>
        </w:rPr>
        <w:t xml:space="preserve"> </w:t>
      </w:r>
      <w:r w:rsidRPr="00C949B2">
        <w:rPr>
          <w:rFonts w:eastAsia="Palatino Linotype"/>
          <w:b/>
          <w:i/>
          <w:szCs w:val="22"/>
        </w:rPr>
        <w:t>autoridad</w:t>
      </w:r>
      <w:r w:rsidRPr="00C949B2">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949B2">
        <w:rPr>
          <w:rFonts w:eastAsia="Palatino Linotype"/>
          <w:b/>
          <w:i/>
          <w:szCs w:val="22"/>
        </w:rPr>
        <w:t>municipal</w:t>
      </w:r>
      <w:r w:rsidRPr="00C949B2">
        <w:rPr>
          <w:rFonts w:eastAsia="Palatino Linotype"/>
          <w:i/>
          <w:szCs w:val="22"/>
        </w:rPr>
        <w:t xml:space="preserve">, </w:t>
      </w:r>
      <w:r w:rsidRPr="00C949B2">
        <w:rPr>
          <w:rFonts w:eastAsia="Palatino Linotype"/>
          <w:b/>
          <w:i/>
          <w:szCs w:val="22"/>
        </w:rPr>
        <w:t>es pública</w:t>
      </w:r>
      <w:r w:rsidRPr="00C949B2">
        <w:rPr>
          <w:rFonts w:eastAsia="Palatino Linotype"/>
          <w:i/>
          <w:szCs w:val="22"/>
        </w:rPr>
        <w:t xml:space="preserve"> y sólo podrá ser reservada temporalmente por razones de interés público y seguridad nacional, en los términos que fijen las leyes. </w:t>
      </w:r>
      <w:r w:rsidRPr="00C949B2">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C949B2">
        <w:rPr>
          <w:rFonts w:eastAsia="Palatino Linotype"/>
          <w:i/>
          <w:szCs w:val="22"/>
        </w:rPr>
        <w:t>, la ley determinará los supuestos específicos bajo los cuales procederá la declaración de inexistencia de la información.”</w:t>
      </w:r>
    </w:p>
    <w:p w14:paraId="68F313E4" w14:textId="77777777" w:rsidR="00C049E2" w:rsidRPr="00C949B2" w:rsidRDefault="00C049E2" w:rsidP="00C949B2">
      <w:pPr>
        <w:spacing w:line="240" w:lineRule="auto"/>
        <w:ind w:left="567" w:right="539"/>
        <w:rPr>
          <w:rFonts w:eastAsia="Palatino Linotype"/>
          <w:b/>
          <w:i/>
          <w:szCs w:val="22"/>
        </w:rPr>
      </w:pPr>
    </w:p>
    <w:p w14:paraId="504F12DB" w14:textId="77777777" w:rsidR="00C049E2" w:rsidRPr="00C949B2" w:rsidRDefault="00C049E2" w:rsidP="00C949B2">
      <w:pPr>
        <w:spacing w:line="240" w:lineRule="auto"/>
        <w:ind w:left="567" w:right="539"/>
        <w:rPr>
          <w:rFonts w:eastAsia="Palatino Linotype"/>
          <w:b/>
          <w:i/>
          <w:szCs w:val="22"/>
        </w:rPr>
      </w:pPr>
      <w:r w:rsidRPr="00C949B2">
        <w:rPr>
          <w:rFonts w:eastAsia="Palatino Linotype"/>
          <w:b/>
          <w:i/>
          <w:szCs w:val="22"/>
        </w:rPr>
        <w:t>Constitución Política del Estado Libre y Soberano de México</w:t>
      </w:r>
    </w:p>
    <w:p w14:paraId="04932D29" w14:textId="77777777" w:rsidR="00C049E2" w:rsidRPr="00C949B2" w:rsidRDefault="00C049E2" w:rsidP="00C949B2">
      <w:pPr>
        <w:spacing w:line="240" w:lineRule="auto"/>
        <w:ind w:left="567" w:right="539"/>
        <w:rPr>
          <w:rFonts w:eastAsia="Palatino Linotype"/>
          <w:i/>
          <w:szCs w:val="22"/>
        </w:rPr>
      </w:pPr>
      <w:r w:rsidRPr="00C949B2">
        <w:rPr>
          <w:rFonts w:eastAsia="Palatino Linotype"/>
          <w:b/>
          <w:i/>
          <w:szCs w:val="22"/>
        </w:rPr>
        <w:t>“Artículo 5</w:t>
      </w:r>
      <w:r w:rsidRPr="00C949B2">
        <w:rPr>
          <w:rFonts w:eastAsia="Palatino Linotype"/>
          <w:i/>
          <w:szCs w:val="22"/>
        </w:rPr>
        <w:t xml:space="preserve">.- </w:t>
      </w:r>
    </w:p>
    <w:p w14:paraId="1D3829F4" w14:textId="77777777" w:rsidR="00C049E2" w:rsidRPr="00C949B2" w:rsidRDefault="00C049E2" w:rsidP="00C949B2">
      <w:pPr>
        <w:spacing w:line="240" w:lineRule="auto"/>
        <w:ind w:left="567" w:right="539"/>
        <w:rPr>
          <w:rFonts w:eastAsia="Palatino Linotype"/>
          <w:i/>
          <w:szCs w:val="22"/>
        </w:rPr>
      </w:pPr>
      <w:r w:rsidRPr="00C949B2">
        <w:rPr>
          <w:rFonts w:eastAsia="Palatino Linotype"/>
          <w:i/>
          <w:szCs w:val="22"/>
        </w:rPr>
        <w:t>(…)</w:t>
      </w:r>
    </w:p>
    <w:p w14:paraId="0EAE47FD" w14:textId="77777777" w:rsidR="00C049E2" w:rsidRPr="00C949B2" w:rsidRDefault="00C049E2" w:rsidP="00C949B2">
      <w:pPr>
        <w:spacing w:line="240" w:lineRule="auto"/>
        <w:ind w:left="567" w:right="539"/>
        <w:rPr>
          <w:rFonts w:eastAsia="Palatino Linotype"/>
          <w:i/>
          <w:szCs w:val="22"/>
        </w:rPr>
      </w:pPr>
      <w:r w:rsidRPr="00C949B2">
        <w:rPr>
          <w:rFonts w:eastAsia="Palatino Linotype"/>
          <w:b/>
          <w:i/>
          <w:szCs w:val="22"/>
        </w:rPr>
        <w:t>El derecho a la información será garantizado por el Estado. La ley establecerá las previsiones que permitan asegurar la protección, el respeto y la difusión de este derecho</w:t>
      </w:r>
      <w:r w:rsidRPr="00C949B2">
        <w:rPr>
          <w:rFonts w:eastAsia="Palatino Linotype"/>
          <w:i/>
          <w:szCs w:val="22"/>
        </w:rPr>
        <w:t>.</w:t>
      </w:r>
    </w:p>
    <w:p w14:paraId="4F0C804A" w14:textId="77777777" w:rsidR="00C049E2" w:rsidRPr="00C949B2" w:rsidRDefault="00C049E2" w:rsidP="00C949B2">
      <w:pPr>
        <w:spacing w:line="240" w:lineRule="auto"/>
        <w:ind w:left="567" w:right="539"/>
        <w:rPr>
          <w:rFonts w:eastAsia="Palatino Linotype"/>
          <w:i/>
          <w:szCs w:val="22"/>
        </w:rPr>
      </w:pPr>
      <w:r w:rsidRPr="00C949B2">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949B2" w:rsidRDefault="00C049E2" w:rsidP="00C949B2">
      <w:pPr>
        <w:spacing w:line="240" w:lineRule="auto"/>
        <w:ind w:left="567" w:right="539"/>
        <w:rPr>
          <w:rFonts w:eastAsia="Palatino Linotype"/>
          <w:i/>
          <w:szCs w:val="22"/>
        </w:rPr>
      </w:pPr>
      <w:r w:rsidRPr="00C949B2">
        <w:rPr>
          <w:rFonts w:eastAsia="Palatino Linotype"/>
          <w:b/>
          <w:i/>
          <w:szCs w:val="22"/>
        </w:rPr>
        <w:t>Este derecho se regirá por los principios y bases siguientes</w:t>
      </w:r>
      <w:r w:rsidRPr="00C949B2">
        <w:rPr>
          <w:rFonts w:eastAsia="Palatino Linotype"/>
          <w:i/>
          <w:szCs w:val="22"/>
        </w:rPr>
        <w:t>:</w:t>
      </w:r>
    </w:p>
    <w:p w14:paraId="4A3E8CBA" w14:textId="77777777" w:rsidR="00C049E2" w:rsidRPr="00C949B2" w:rsidRDefault="00C049E2" w:rsidP="00C949B2">
      <w:pPr>
        <w:spacing w:line="240" w:lineRule="auto"/>
        <w:ind w:left="567" w:right="539"/>
        <w:rPr>
          <w:rFonts w:eastAsia="Palatino Linotype"/>
          <w:i/>
          <w:szCs w:val="22"/>
        </w:rPr>
      </w:pPr>
      <w:r w:rsidRPr="00C949B2">
        <w:rPr>
          <w:rFonts w:eastAsia="Palatino Linotype"/>
          <w:b/>
          <w:i/>
          <w:szCs w:val="22"/>
        </w:rPr>
        <w:t>I. Toda la información en posesión de cualquier autoridad, entidad, órgano y organismos de los</w:t>
      </w:r>
      <w:r w:rsidRPr="00C949B2">
        <w:rPr>
          <w:rFonts w:eastAsia="Palatino Linotype"/>
          <w:i/>
          <w:szCs w:val="22"/>
        </w:rPr>
        <w:t xml:space="preserve"> Poderes Ejecutivo, Legislativo y Judicial, órganos autónomos, partidos políticos, fideicomisos y fondos públicos estatales y </w:t>
      </w:r>
      <w:r w:rsidRPr="00C949B2">
        <w:rPr>
          <w:rFonts w:eastAsia="Palatino Linotype"/>
          <w:b/>
          <w:i/>
          <w:szCs w:val="22"/>
        </w:rPr>
        <w:t>municipales</w:t>
      </w:r>
      <w:r w:rsidRPr="00C949B2">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949B2">
        <w:rPr>
          <w:rFonts w:eastAsia="Palatino Linotype"/>
          <w:b/>
          <w:i/>
          <w:szCs w:val="22"/>
        </w:rPr>
        <w:t>es pública</w:t>
      </w:r>
      <w:r w:rsidRPr="00C949B2">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C949B2">
        <w:rPr>
          <w:rFonts w:eastAsia="Palatino Linotype"/>
          <w:b/>
          <w:i/>
          <w:szCs w:val="22"/>
        </w:rPr>
        <w:t>En la interpretación de este derecho deberá prevalecer el principio de máxima publicidad</w:t>
      </w:r>
      <w:r w:rsidRPr="00C949B2">
        <w:rPr>
          <w:rFonts w:eastAsia="Palatino Linotype"/>
          <w:i/>
          <w:szCs w:val="22"/>
        </w:rPr>
        <w:t xml:space="preserve">. </w:t>
      </w:r>
      <w:r w:rsidRPr="00C949B2">
        <w:rPr>
          <w:rFonts w:eastAsia="Palatino Linotype"/>
          <w:b/>
          <w:i/>
          <w:szCs w:val="22"/>
        </w:rPr>
        <w:t>Los sujetos obligados deberán documentar todo acto que derive del ejercicio de sus facultades, competencias o funciones</w:t>
      </w:r>
      <w:r w:rsidRPr="00C949B2">
        <w:rPr>
          <w:rFonts w:eastAsia="Palatino Linotype"/>
          <w:i/>
          <w:szCs w:val="22"/>
        </w:rPr>
        <w:t>, la ley determinará los supuestos específicos bajo los cuales procederá la declaración de inexistencia de la información.”</w:t>
      </w:r>
    </w:p>
    <w:p w14:paraId="5CA98E37" w14:textId="77777777" w:rsidR="00C049E2" w:rsidRPr="00C949B2" w:rsidRDefault="00C049E2" w:rsidP="00C949B2">
      <w:pPr>
        <w:rPr>
          <w:rFonts w:eastAsia="Palatino Linotype"/>
          <w:b/>
          <w:i/>
          <w:szCs w:val="22"/>
        </w:rPr>
      </w:pPr>
    </w:p>
    <w:p w14:paraId="6FC1BB3B" w14:textId="3BF4A33D" w:rsidR="00C049E2" w:rsidRPr="00C949B2" w:rsidRDefault="00717E59" w:rsidP="00C949B2">
      <w:pPr>
        <w:rPr>
          <w:rFonts w:eastAsia="Palatino Linotype"/>
          <w:i/>
          <w:szCs w:val="22"/>
        </w:rPr>
      </w:pPr>
      <w:r w:rsidRPr="00C949B2">
        <w:rPr>
          <w:rFonts w:eastAsia="Palatino Linotype"/>
          <w:szCs w:val="22"/>
        </w:rPr>
        <w:t xml:space="preserve">Asimismo, </w:t>
      </w:r>
      <w:r w:rsidR="00C049E2" w:rsidRPr="00C949B2">
        <w:rPr>
          <w:rFonts w:eastAsia="Palatino Linotype"/>
          <w:szCs w:val="22"/>
        </w:rPr>
        <w:t>el artículo 150 de la Ley de Transparencia y Acceso a la Información Pública del Estado de México y Municipios</w:t>
      </w:r>
      <w:r w:rsidR="00057B2D" w:rsidRPr="00C949B2">
        <w:rPr>
          <w:rFonts w:eastAsia="Palatino Linotype"/>
          <w:szCs w:val="22"/>
        </w:rPr>
        <w:t xml:space="preserve"> </w:t>
      </w:r>
      <w:r w:rsidR="00E9335C" w:rsidRPr="00C949B2">
        <w:rPr>
          <w:rFonts w:eastAsia="Palatino Linotype"/>
          <w:szCs w:val="22"/>
        </w:rPr>
        <w:t xml:space="preserve">indica </w:t>
      </w:r>
      <w:r w:rsidR="00057B2D" w:rsidRPr="00C949B2">
        <w:rPr>
          <w:rFonts w:eastAsia="Palatino Linotype"/>
          <w:szCs w:val="22"/>
        </w:rPr>
        <w:t>que</w:t>
      </w:r>
      <w:r w:rsidR="00C049E2" w:rsidRPr="00C949B2">
        <w:rPr>
          <w:rFonts w:eastAsia="Palatino Linotype"/>
          <w:szCs w:val="22"/>
        </w:rPr>
        <w:t xml:space="preserve"> la solicitud es la garantía primaria del Derecho de </w:t>
      </w:r>
      <w:r w:rsidR="00C049E2" w:rsidRPr="00C949B2">
        <w:rPr>
          <w:rFonts w:eastAsia="Palatino Linotype"/>
          <w:szCs w:val="22"/>
        </w:rPr>
        <w:lastRenderedPageBreak/>
        <w:t xml:space="preserve">Acceso a la Información, además, establece que se regirá </w:t>
      </w:r>
      <w:r w:rsidR="00C049E2" w:rsidRPr="00C949B2">
        <w:rPr>
          <w:rFonts w:eastAsia="Palatino Linotype"/>
          <w:i/>
          <w:szCs w:val="22"/>
        </w:rPr>
        <w:t>por los principios de simplicidad, rapidez</w:t>
      </w:r>
      <w:r w:rsidR="005F65B7" w:rsidRPr="00C949B2">
        <w:rPr>
          <w:rFonts w:eastAsia="Palatino Linotype"/>
          <w:i/>
          <w:szCs w:val="22"/>
        </w:rPr>
        <w:t>,</w:t>
      </w:r>
      <w:r w:rsidR="00C049E2" w:rsidRPr="00C949B2">
        <w:rPr>
          <w:rFonts w:eastAsia="Palatino Linotype"/>
          <w:i/>
          <w:szCs w:val="22"/>
        </w:rPr>
        <w:t xml:space="preserve"> gratuidad del procedimiento, auxilio y orientación a los particulare</w:t>
      </w:r>
      <w:r w:rsidR="001A58B3" w:rsidRPr="00C949B2">
        <w:rPr>
          <w:rFonts w:eastAsia="Palatino Linotype"/>
          <w:i/>
          <w:szCs w:val="22"/>
        </w:rPr>
        <w:t>s.</w:t>
      </w:r>
    </w:p>
    <w:p w14:paraId="033466A6" w14:textId="77777777" w:rsidR="001A58B3" w:rsidRPr="00C949B2" w:rsidRDefault="001A58B3" w:rsidP="00C949B2">
      <w:pPr>
        <w:rPr>
          <w:rFonts w:eastAsia="Palatino Linotype"/>
          <w:i/>
          <w:szCs w:val="22"/>
        </w:rPr>
      </w:pPr>
    </w:p>
    <w:p w14:paraId="04ADA10B" w14:textId="574A944A" w:rsidR="001A58B3" w:rsidRPr="00C949B2" w:rsidRDefault="00233F17" w:rsidP="00C949B2">
      <w:pPr>
        <w:rPr>
          <w:rFonts w:eastAsia="Palatino Linotype" w:cs="Palatino Linotype"/>
          <w:i/>
          <w:szCs w:val="22"/>
        </w:rPr>
      </w:pPr>
      <w:r w:rsidRPr="00C949B2">
        <w:rPr>
          <w:rFonts w:eastAsia="Palatino Linotype" w:cs="Palatino Linotype"/>
          <w:szCs w:val="22"/>
        </w:rPr>
        <w:t xml:space="preserve">Por su parte, el artículo 4 de </w:t>
      </w:r>
      <w:r w:rsidR="001A58B3" w:rsidRPr="00C949B2">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949B2">
        <w:rPr>
          <w:rFonts w:eastAsia="Palatino Linotype" w:cs="Palatino Linotype"/>
          <w:szCs w:val="22"/>
        </w:rPr>
        <w:t>.</w:t>
      </w:r>
    </w:p>
    <w:p w14:paraId="1407DBB8" w14:textId="77777777" w:rsidR="001A58B3" w:rsidRPr="00C949B2" w:rsidRDefault="001A58B3" w:rsidP="00C949B2">
      <w:pPr>
        <w:rPr>
          <w:rFonts w:eastAsia="Palatino Linotype" w:cs="Palatino Linotype"/>
          <w:szCs w:val="22"/>
        </w:rPr>
      </w:pPr>
    </w:p>
    <w:p w14:paraId="7552AA79" w14:textId="5C52E4A4" w:rsidR="001A58B3" w:rsidRPr="00C949B2" w:rsidRDefault="001A58B3" w:rsidP="00C949B2">
      <w:pPr>
        <w:rPr>
          <w:rFonts w:eastAsia="Palatino Linotype" w:cs="Palatino Linotype"/>
          <w:szCs w:val="22"/>
        </w:rPr>
      </w:pPr>
      <w:r w:rsidRPr="00C949B2">
        <w:rPr>
          <w:rFonts w:eastAsia="Palatino Linotype" w:cs="Palatino Linotype"/>
          <w:szCs w:val="22"/>
        </w:rPr>
        <w:t xml:space="preserve">Esto es, que los Sujetos Obligados </w:t>
      </w:r>
      <w:r w:rsidR="00FA5957" w:rsidRPr="00C949B2">
        <w:rPr>
          <w:rFonts w:eastAsia="Palatino Linotype" w:cs="Palatino Linotype"/>
          <w:szCs w:val="22"/>
        </w:rPr>
        <w:t>deben</w:t>
      </w:r>
      <w:r w:rsidRPr="00C949B2">
        <w:rPr>
          <w:rFonts w:eastAsia="Palatino Linotype" w:cs="Palatino Linotype"/>
          <w:szCs w:val="22"/>
        </w:rPr>
        <w:t xml:space="preserve"> atender las solicitudes de acceso a la información pública que se les </w:t>
      </w:r>
      <w:r w:rsidR="00FA5957" w:rsidRPr="00C949B2">
        <w:rPr>
          <w:rFonts w:eastAsia="Palatino Linotype" w:cs="Palatino Linotype"/>
          <w:szCs w:val="22"/>
        </w:rPr>
        <w:t>sean realizadas,</w:t>
      </w:r>
      <w:r w:rsidRPr="00C949B2">
        <w:rPr>
          <w:rFonts w:eastAsia="Palatino Linotype" w:cs="Palatino Linotype"/>
          <w:szCs w:val="22"/>
        </w:rPr>
        <w:t xml:space="preserve"> y proporcionar la información pública que obre en su poder</w:t>
      </w:r>
      <w:r w:rsidR="00FA5957" w:rsidRPr="00C949B2">
        <w:rPr>
          <w:rFonts w:eastAsia="Palatino Linotype" w:cs="Palatino Linotype"/>
          <w:szCs w:val="22"/>
        </w:rPr>
        <w:t>,</w:t>
      </w:r>
      <w:r w:rsidRPr="00C949B2">
        <w:rPr>
          <w:rFonts w:eastAsia="Palatino Linotype" w:cs="Palatino Linotype"/>
          <w:szCs w:val="22"/>
        </w:rPr>
        <w:t xml:space="preserve"> conforme </w:t>
      </w:r>
      <w:r w:rsidR="00FA5957" w:rsidRPr="00C949B2">
        <w:rPr>
          <w:rFonts w:eastAsia="Palatino Linotype" w:cs="Palatino Linotype"/>
          <w:szCs w:val="22"/>
        </w:rPr>
        <w:t>a</w:t>
      </w:r>
      <w:r w:rsidRPr="00C949B2">
        <w:rPr>
          <w:rFonts w:eastAsia="Palatino Linotype" w:cs="Palatino Linotype"/>
          <w:szCs w:val="22"/>
        </w:rPr>
        <w:t xml:space="preserve">l estado </w:t>
      </w:r>
      <w:r w:rsidR="00FA5957" w:rsidRPr="00C949B2">
        <w:rPr>
          <w:rFonts w:eastAsia="Palatino Linotype" w:cs="Palatino Linotype"/>
          <w:szCs w:val="22"/>
        </w:rPr>
        <w:t xml:space="preserve">en </w:t>
      </w:r>
      <w:r w:rsidRPr="00C949B2">
        <w:rPr>
          <w:rFonts w:eastAsia="Palatino Linotype" w:cs="Palatino Linotype"/>
          <w:szCs w:val="22"/>
        </w:rPr>
        <w:t>que se encuentr</w:t>
      </w:r>
      <w:r w:rsidR="00FA5957" w:rsidRPr="00C949B2">
        <w:rPr>
          <w:rFonts w:eastAsia="Palatino Linotype" w:cs="Palatino Linotype"/>
          <w:szCs w:val="22"/>
        </w:rPr>
        <w:t>e, sin que sea necesario</w:t>
      </w:r>
      <w:r w:rsidRPr="00C949B2">
        <w:rPr>
          <w:rFonts w:eastAsia="Palatino Linotype" w:cs="Palatino Linotype"/>
          <w:szCs w:val="22"/>
        </w:rPr>
        <w:t xml:space="preserve"> </w:t>
      </w:r>
      <w:r w:rsidR="00FA5957" w:rsidRPr="00C949B2">
        <w:rPr>
          <w:rFonts w:eastAsia="Palatino Linotype" w:cs="Palatino Linotype"/>
          <w:szCs w:val="22"/>
        </w:rPr>
        <w:t>procesar</w:t>
      </w:r>
      <w:r w:rsidRPr="00C949B2">
        <w:rPr>
          <w:rFonts w:eastAsia="Palatino Linotype" w:cs="Palatino Linotype"/>
          <w:szCs w:val="22"/>
        </w:rPr>
        <w:t xml:space="preserve"> la misma, ni presentarla conforme al interés del solicitante; </w:t>
      </w:r>
      <w:r w:rsidR="00FA5957" w:rsidRPr="00C949B2">
        <w:rPr>
          <w:rFonts w:eastAsia="Palatino Linotype" w:cs="Palatino Linotype"/>
          <w:szCs w:val="22"/>
        </w:rPr>
        <w:t>tal y como</w:t>
      </w:r>
      <w:r w:rsidRPr="00C949B2">
        <w:rPr>
          <w:rFonts w:eastAsia="Palatino Linotype" w:cs="Palatino Linotype"/>
          <w:szCs w:val="22"/>
        </w:rPr>
        <w:t xml:space="preserve"> lo establece el artículo 12 de la Ley de Transparencia y Acceso a la Información Pública del Estado de México y Municipios</w:t>
      </w:r>
      <w:r w:rsidR="00970EB3" w:rsidRPr="00C949B2">
        <w:rPr>
          <w:rFonts w:eastAsia="Palatino Linotype" w:cs="Palatino Linotype"/>
          <w:szCs w:val="22"/>
        </w:rPr>
        <w:t>.</w:t>
      </w:r>
    </w:p>
    <w:p w14:paraId="73245195" w14:textId="77777777" w:rsidR="00970EB3" w:rsidRPr="00C949B2" w:rsidRDefault="00970EB3" w:rsidP="00C949B2">
      <w:pPr>
        <w:rPr>
          <w:rFonts w:eastAsia="Palatino Linotype" w:cs="Palatino Linotype"/>
          <w:szCs w:val="22"/>
        </w:rPr>
      </w:pPr>
    </w:p>
    <w:p w14:paraId="7F62D4DF" w14:textId="6A089FDB" w:rsidR="001A58B3" w:rsidRPr="00C949B2" w:rsidRDefault="001A58B3" w:rsidP="00C949B2">
      <w:pPr>
        <w:rPr>
          <w:rFonts w:eastAsia="Palatino Linotype" w:cs="Palatino Linotype"/>
          <w:szCs w:val="22"/>
        </w:rPr>
      </w:pPr>
      <w:r w:rsidRPr="00C949B2">
        <w:rPr>
          <w:rFonts w:eastAsia="Palatino Linotype" w:cs="Palatino Linotype"/>
          <w:szCs w:val="22"/>
        </w:rPr>
        <w:t>Es decir, que todo sujeto obligado que genere, recopile, administre, procese, archive, posea o conserven, son responsables de la misma</w:t>
      </w:r>
      <w:r w:rsidR="00970EB3" w:rsidRPr="00C949B2">
        <w:rPr>
          <w:rFonts w:eastAsia="Palatino Linotype" w:cs="Palatino Linotype"/>
          <w:szCs w:val="22"/>
        </w:rPr>
        <w:t>,</w:t>
      </w:r>
      <w:r w:rsidRPr="00C949B2">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C949B2">
        <w:rPr>
          <w:rFonts w:eastAsia="Palatino Linotype" w:cs="Palatino Linotype"/>
          <w:szCs w:val="22"/>
        </w:rPr>
        <w:t>o</w:t>
      </w:r>
      <w:r w:rsidRPr="00C949B2">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7E98ED7" w14:textId="77777777" w:rsidR="009A227D" w:rsidRPr="00C949B2" w:rsidRDefault="009A227D" w:rsidP="00C949B2">
      <w:pPr>
        <w:rPr>
          <w:rFonts w:eastAsia="Palatino Linotype" w:cs="Palatino Linotype"/>
          <w:szCs w:val="22"/>
        </w:rPr>
      </w:pPr>
    </w:p>
    <w:p w14:paraId="04E42DFE" w14:textId="573F1198" w:rsidR="001A58B3" w:rsidRPr="00C949B2" w:rsidRDefault="001A58B3" w:rsidP="00C949B2">
      <w:pPr>
        <w:rPr>
          <w:rFonts w:eastAsia="Palatino Linotype" w:cs="Palatino Linotype"/>
          <w:szCs w:val="22"/>
        </w:rPr>
      </w:pPr>
      <w:r w:rsidRPr="00C949B2">
        <w:rPr>
          <w:rFonts w:eastAsia="Palatino Linotype" w:cs="Palatino Linotype"/>
          <w:szCs w:val="22"/>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C949B2">
        <w:rPr>
          <w:rFonts w:eastAsia="Palatino Linotype" w:cs="Palatino Linotype"/>
          <w:szCs w:val="22"/>
        </w:rPr>
        <w:lastRenderedPageBreak/>
        <w:t>garantizar el Derecho de Acceso a la Información Pública</w:t>
      </w:r>
      <w:r w:rsidR="00331F35" w:rsidRPr="00C949B2">
        <w:rPr>
          <w:rFonts w:eastAsia="Palatino Linotype" w:cs="Palatino Linotype"/>
          <w:szCs w:val="22"/>
        </w:rPr>
        <w:t>, s</w:t>
      </w:r>
      <w:r w:rsidRPr="00C949B2">
        <w:rPr>
          <w:rFonts w:eastAsia="Palatino Linotype" w:cs="Palatino Linotype"/>
          <w:szCs w:val="22"/>
        </w:rPr>
        <w:t xml:space="preserve">iempre y cuando no se trate de información reservada o </w:t>
      </w:r>
      <w:r w:rsidR="00331F35" w:rsidRPr="00C949B2">
        <w:rPr>
          <w:rFonts w:eastAsia="Palatino Linotype" w:cs="Palatino Linotype"/>
          <w:szCs w:val="22"/>
        </w:rPr>
        <w:t>confidencial.</w:t>
      </w:r>
    </w:p>
    <w:p w14:paraId="40C5219F" w14:textId="77777777" w:rsidR="001A58B3" w:rsidRPr="00C949B2" w:rsidRDefault="001A58B3" w:rsidP="00C949B2">
      <w:pPr>
        <w:rPr>
          <w:rFonts w:eastAsia="Palatino Linotype" w:cs="Palatino Linotype"/>
        </w:rPr>
      </w:pPr>
    </w:p>
    <w:p w14:paraId="2E629608" w14:textId="01727E15" w:rsidR="00C049E2" w:rsidRPr="00C949B2" w:rsidRDefault="006067C7" w:rsidP="00C949B2">
      <w:pPr>
        <w:rPr>
          <w:rFonts w:eastAsia="Palatino Linotype"/>
          <w:szCs w:val="22"/>
        </w:rPr>
      </w:pPr>
      <w:bookmarkStart w:id="30" w:name="_heading=h.2s8eyo1" w:colFirst="0" w:colLast="0"/>
      <w:bookmarkEnd w:id="30"/>
      <w:r w:rsidRPr="00C949B2">
        <w:rPr>
          <w:rFonts w:eastAsia="Palatino Linotype"/>
          <w:szCs w:val="22"/>
        </w:rPr>
        <w:t>Con base en lo anterior</w:t>
      </w:r>
      <w:r w:rsidR="00B22A80" w:rsidRPr="00C949B2">
        <w:rPr>
          <w:rFonts w:eastAsia="Palatino Linotype"/>
          <w:szCs w:val="22"/>
        </w:rPr>
        <w:t>, se considera que</w:t>
      </w:r>
      <w:r w:rsidR="00C049E2" w:rsidRPr="00C949B2">
        <w:rPr>
          <w:rFonts w:eastAsia="Palatino Linotype"/>
          <w:szCs w:val="22"/>
        </w:rPr>
        <w:t xml:space="preserve"> </w:t>
      </w:r>
      <w:r w:rsidR="00B22A80" w:rsidRPr="00C949B2">
        <w:rPr>
          <w:rFonts w:eastAsia="Palatino Linotype"/>
          <w:b/>
          <w:bCs/>
          <w:szCs w:val="22"/>
        </w:rPr>
        <w:t>EL</w:t>
      </w:r>
      <w:r w:rsidR="00C049E2" w:rsidRPr="00C949B2">
        <w:rPr>
          <w:rFonts w:eastAsia="Palatino Linotype"/>
          <w:szCs w:val="22"/>
        </w:rPr>
        <w:t xml:space="preserve"> </w:t>
      </w:r>
      <w:r w:rsidR="00C049E2" w:rsidRPr="00C949B2">
        <w:rPr>
          <w:rFonts w:eastAsia="Palatino Linotype"/>
          <w:b/>
          <w:szCs w:val="22"/>
        </w:rPr>
        <w:t>SUJETO OBLIGADO</w:t>
      </w:r>
      <w:r w:rsidR="00C049E2" w:rsidRPr="00C949B2">
        <w:rPr>
          <w:rFonts w:eastAsia="Palatino Linotype"/>
          <w:szCs w:val="22"/>
        </w:rPr>
        <w:t xml:space="preserve"> </w:t>
      </w:r>
      <w:r w:rsidR="00B22A80" w:rsidRPr="00C949B2">
        <w:rPr>
          <w:rFonts w:eastAsia="Palatino Linotype"/>
          <w:szCs w:val="22"/>
        </w:rPr>
        <w:t xml:space="preserve">se </w:t>
      </w:r>
      <w:r w:rsidR="00717E59" w:rsidRPr="00C949B2">
        <w:rPr>
          <w:rFonts w:eastAsia="Palatino Linotype"/>
          <w:szCs w:val="22"/>
        </w:rPr>
        <w:t>encontraba</w:t>
      </w:r>
      <w:r w:rsidR="00B22A80" w:rsidRPr="00C949B2">
        <w:rPr>
          <w:rFonts w:eastAsia="Palatino Linotype"/>
          <w:szCs w:val="22"/>
        </w:rPr>
        <w:t xml:space="preserve"> compelido a</w:t>
      </w:r>
      <w:r w:rsidR="00C049E2" w:rsidRPr="00C949B2">
        <w:rPr>
          <w:rFonts w:eastAsia="Palatino Linotype"/>
          <w:szCs w:val="22"/>
        </w:rPr>
        <w:t xml:space="preserve"> atender la solicitud de acceso a la información </w:t>
      </w:r>
      <w:r w:rsidR="00B22A80" w:rsidRPr="00C949B2">
        <w:rPr>
          <w:rFonts w:eastAsia="Palatino Linotype"/>
          <w:szCs w:val="22"/>
        </w:rPr>
        <w:t xml:space="preserve">realizada por </w:t>
      </w:r>
      <w:r w:rsidR="00B22A80" w:rsidRPr="00C949B2">
        <w:rPr>
          <w:rFonts w:eastAsia="Palatino Linotype"/>
          <w:b/>
          <w:bCs/>
          <w:szCs w:val="22"/>
        </w:rPr>
        <w:t>LA PARTE RECURRENTE</w:t>
      </w:r>
      <w:r w:rsidR="00331F35" w:rsidRPr="00C949B2">
        <w:rPr>
          <w:rFonts w:eastAsia="Palatino Linotype"/>
          <w:szCs w:val="22"/>
        </w:rPr>
        <w:t>.</w:t>
      </w:r>
    </w:p>
    <w:p w14:paraId="3AFB9FAE" w14:textId="77777777" w:rsidR="00AA26B0" w:rsidRPr="00C949B2" w:rsidRDefault="00AA26B0" w:rsidP="00C949B2">
      <w:pPr>
        <w:rPr>
          <w:rFonts w:eastAsia="Palatino Linotype"/>
          <w:szCs w:val="22"/>
        </w:rPr>
      </w:pPr>
    </w:p>
    <w:p w14:paraId="51A0E8B4" w14:textId="676DCA47" w:rsidR="00664420" w:rsidRPr="00C949B2" w:rsidRDefault="00C71CEF" w:rsidP="00C949B2">
      <w:pPr>
        <w:pStyle w:val="Ttulo3"/>
        <w:rPr>
          <w:rFonts w:eastAsia="Calibri"/>
          <w:szCs w:val="22"/>
          <w:lang w:eastAsia="es-ES_tradnl"/>
        </w:rPr>
      </w:pPr>
      <w:bookmarkStart w:id="31" w:name="_Toc181265239"/>
      <w:r w:rsidRPr="00C949B2">
        <w:rPr>
          <w:rFonts w:eastAsia="Calibri"/>
          <w:szCs w:val="22"/>
          <w:lang w:eastAsia="es-ES_tradnl"/>
        </w:rPr>
        <w:t>b)</w:t>
      </w:r>
      <w:r w:rsidR="00A53315" w:rsidRPr="00C949B2">
        <w:rPr>
          <w:rFonts w:eastAsia="Calibri"/>
          <w:szCs w:val="22"/>
          <w:lang w:eastAsia="es-ES_tradnl"/>
        </w:rPr>
        <w:t xml:space="preserve"> </w:t>
      </w:r>
      <w:r w:rsidR="00A21A20" w:rsidRPr="00C949B2">
        <w:rPr>
          <w:rFonts w:eastAsia="Calibri"/>
          <w:szCs w:val="22"/>
          <w:lang w:eastAsia="es-ES_tradnl"/>
        </w:rPr>
        <w:t>Controversia a resolver</w:t>
      </w:r>
      <w:bookmarkEnd w:id="31"/>
    </w:p>
    <w:p w14:paraId="7D9D559B" w14:textId="630F3AD7" w:rsidR="00664420" w:rsidRPr="00C949B2" w:rsidRDefault="00664420" w:rsidP="00C949B2">
      <w:pPr>
        <w:rPr>
          <w:rFonts w:eastAsia="Calibri"/>
          <w:szCs w:val="22"/>
          <w:lang w:eastAsia="es-ES_tradnl"/>
        </w:rPr>
      </w:pPr>
      <w:r w:rsidRPr="00C949B2">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949B2">
        <w:rPr>
          <w:rFonts w:eastAsia="Calibri"/>
          <w:b/>
          <w:bCs/>
          <w:szCs w:val="22"/>
          <w:lang w:eastAsia="es-ES_tradnl"/>
        </w:rPr>
        <w:t>LA PARTE RECURRENTE</w:t>
      </w:r>
      <w:r w:rsidRPr="00C949B2">
        <w:rPr>
          <w:rFonts w:eastAsia="Calibri"/>
          <w:szCs w:val="22"/>
          <w:lang w:eastAsia="es-ES_tradnl"/>
        </w:rPr>
        <w:t xml:space="preserve"> solicitó </w:t>
      </w:r>
      <w:r w:rsidR="00F333F9" w:rsidRPr="00C949B2">
        <w:rPr>
          <w:rFonts w:eastAsia="Calibri"/>
          <w:szCs w:val="22"/>
          <w:lang w:eastAsia="es-ES_tradnl"/>
        </w:rPr>
        <w:t xml:space="preserve">al Instituto Municipal de Cultura Física y Deporte de Toluca como </w:t>
      </w:r>
      <w:r w:rsidR="00F333F9" w:rsidRPr="00C949B2">
        <w:rPr>
          <w:rFonts w:eastAsia="Calibri"/>
          <w:b/>
          <w:szCs w:val="22"/>
          <w:lang w:eastAsia="es-ES_tradnl"/>
        </w:rPr>
        <w:t>SUJETO OBLIGADO</w:t>
      </w:r>
      <w:r w:rsidR="00F333F9" w:rsidRPr="00C949B2">
        <w:rPr>
          <w:rFonts w:eastAsia="Calibri"/>
          <w:szCs w:val="22"/>
          <w:lang w:eastAsia="es-ES_tradnl"/>
        </w:rPr>
        <w:t xml:space="preserve"> </w:t>
      </w:r>
      <w:r w:rsidR="00781363" w:rsidRPr="00C949B2">
        <w:rPr>
          <w:rFonts w:eastAsia="Calibri"/>
          <w:szCs w:val="22"/>
          <w:lang w:eastAsia="es-ES_tradnl"/>
        </w:rPr>
        <w:t xml:space="preserve">respecto del </w:t>
      </w:r>
      <w:r w:rsidR="00405721" w:rsidRPr="00C949B2">
        <w:rPr>
          <w:rFonts w:eastAsia="Calibri"/>
          <w:szCs w:val="22"/>
          <w:lang w:eastAsia="es-ES_tradnl"/>
        </w:rPr>
        <w:t xml:space="preserve">bien inmueble conocido como ex delegación en donde se encuentran la oficialía del registro Civil ubicado en San Pablo </w:t>
      </w:r>
      <w:proofErr w:type="spellStart"/>
      <w:r w:rsidR="00405721" w:rsidRPr="00C949B2">
        <w:rPr>
          <w:rFonts w:eastAsia="Calibri"/>
          <w:szCs w:val="22"/>
          <w:lang w:eastAsia="es-ES_tradnl"/>
        </w:rPr>
        <w:t>Autopan</w:t>
      </w:r>
      <w:proofErr w:type="spellEnd"/>
      <w:r w:rsidR="00405721" w:rsidRPr="00C949B2">
        <w:rPr>
          <w:rFonts w:eastAsia="Calibri"/>
          <w:szCs w:val="22"/>
          <w:lang w:eastAsia="es-ES_tradnl"/>
        </w:rPr>
        <w:t xml:space="preserve"> </w:t>
      </w:r>
      <w:r w:rsidRPr="00C949B2">
        <w:rPr>
          <w:rFonts w:eastAsia="Calibri"/>
          <w:szCs w:val="22"/>
          <w:lang w:eastAsia="es-ES_tradnl"/>
        </w:rPr>
        <w:t>lo siguiente</w:t>
      </w:r>
      <w:r w:rsidR="00F333F9" w:rsidRPr="00C949B2">
        <w:rPr>
          <w:rFonts w:eastAsia="Calibri"/>
          <w:szCs w:val="22"/>
          <w:lang w:eastAsia="es-ES_tradnl"/>
        </w:rPr>
        <w:t>:</w:t>
      </w:r>
      <w:r w:rsidR="00174D69" w:rsidRPr="00C949B2">
        <w:rPr>
          <w:rFonts w:eastAsia="Calibri"/>
          <w:szCs w:val="22"/>
          <w:lang w:eastAsia="es-ES_tradnl"/>
        </w:rPr>
        <w:t xml:space="preserve"> </w:t>
      </w:r>
    </w:p>
    <w:p w14:paraId="06116EBE" w14:textId="77777777" w:rsidR="00F333F9" w:rsidRPr="00C949B2" w:rsidRDefault="00F333F9" w:rsidP="00C949B2">
      <w:pPr>
        <w:rPr>
          <w:rFonts w:eastAsia="Calibri" w:cs="Tahoma"/>
          <w:iCs/>
          <w:szCs w:val="22"/>
          <w:lang w:eastAsia="es-ES_tradnl"/>
        </w:rPr>
      </w:pPr>
    </w:p>
    <w:p w14:paraId="652EBFD1" w14:textId="0C2BBBAA" w:rsidR="005D5A50" w:rsidRPr="00C949B2" w:rsidRDefault="00F333F9" w:rsidP="00C949B2">
      <w:pPr>
        <w:pStyle w:val="Prrafodelista"/>
        <w:tabs>
          <w:tab w:val="left" w:pos="4962"/>
        </w:tabs>
        <w:spacing w:after="240"/>
        <w:rPr>
          <w:rFonts w:cs="Tahoma"/>
          <w:bCs/>
          <w:iCs/>
          <w:szCs w:val="22"/>
        </w:rPr>
      </w:pPr>
      <w:r w:rsidRPr="00C949B2">
        <w:rPr>
          <w:rFonts w:cs="Tahoma"/>
          <w:bCs/>
          <w:iCs/>
          <w:szCs w:val="22"/>
        </w:rPr>
        <w:t xml:space="preserve">1.- </w:t>
      </w:r>
      <w:r w:rsidR="00405721" w:rsidRPr="00C949B2">
        <w:rPr>
          <w:rFonts w:cs="Tahoma"/>
          <w:bCs/>
          <w:iCs/>
          <w:szCs w:val="22"/>
        </w:rPr>
        <w:t xml:space="preserve">Documento con el que acredita la propiedad o documento con el que se realizó la donación, o </w:t>
      </w:r>
      <w:r w:rsidR="008C715C" w:rsidRPr="00C949B2">
        <w:rPr>
          <w:rFonts w:cs="Tahoma"/>
          <w:bCs/>
          <w:iCs/>
          <w:szCs w:val="22"/>
        </w:rPr>
        <w:t>compraventa</w:t>
      </w:r>
      <w:r w:rsidR="00405721" w:rsidRPr="00C949B2">
        <w:rPr>
          <w:rFonts w:cs="Tahoma"/>
          <w:bCs/>
          <w:iCs/>
          <w:szCs w:val="22"/>
        </w:rPr>
        <w:t xml:space="preserve"> al Ayuntamiento de Toluca</w:t>
      </w:r>
      <w:r w:rsidR="00781363" w:rsidRPr="00C949B2">
        <w:rPr>
          <w:rFonts w:cs="Tahoma"/>
          <w:bCs/>
          <w:iCs/>
          <w:szCs w:val="22"/>
        </w:rPr>
        <w:t>.</w:t>
      </w:r>
    </w:p>
    <w:p w14:paraId="3E8D2F2E" w14:textId="28C5F2E9" w:rsidR="006B00EE" w:rsidRPr="00C949B2" w:rsidRDefault="00781363" w:rsidP="00C949B2">
      <w:pPr>
        <w:tabs>
          <w:tab w:val="left" w:pos="4962"/>
        </w:tabs>
        <w:contextualSpacing/>
        <w:rPr>
          <w:rFonts w:eastAsiaTheme="minorHAnsi" w:cs="Tahoma"/>
          <w:bCs/>
          <w:iCs/>
          <w:szCs w:val="22"/>
          <w:lang w:eastAsia="en-US"/>
        </w:rPr>
      </w:pPr>
      <w:r w:rsidRPr="00C949B2">
        <w:rPr>
          <w:rFonts w:eastAsiaTheme="minorHAnsi" w:cs="Tahoma"/>
          <w:bCs/>
          <w:iCs/>
          <w:szCs w:val="22"/>
          <w:lang w:eastAsia="en-US"/>
        </w:rPr>
        <w:t xml:space="preserve">A través del oficio </w:t>
      </w:r>
      <w:r w:rsidR="003B63F8" w:rsidRPr="00C949B2">
        <w:rPr>
          <w:rFonts w:eastAsiaTheme="minorHAnsi" w:cs="Tahoma"/>
          <w:bCs/>
          <w:iCs/>
          <w:szCs w:val="22"/>
          <w:lang w:eastAsia="en-US"/>
        </w:rPr>
        <w:t xml:space="preserve">remitido </w:t>
      </w:r>
      <w:r w:rsidR="006B00EE" w:rsidRPr="00C949B2">
        <w:rPr>
          <w:rFonts w:eastAsiaTheme="minorHAnsi" w:cs="Tahoma"/>
          <w:bCs/>
          <w:iCs/>
          <w:szCs w:val="22"/>
          <w:lang w:eastAsia="en-US"/>
        </w:rPr>
        <w:t xml:space="preserve">por </w:t>
      </w:r>
      <w:r w:rsidR="00F333F9" w:rsidRPr="00C949B2">
        <w:rPr>
          <w:rFonts w:eastAsiaTheme="minorHAnsi" w:cs="Tahoma"/>
          <w:b/>
          <w:iCs/>
          <w:szCs w:val="22"/>
          <w:lang w:eastAsia="en-US"/>
        </w:rPr>
        <w:t>EL SUJETO OBLIGADO</w:t>
      </w:r>
      <w:r w:rsidR="00F333F9" w:rsidRPr="00C949B2">
        <w:rPr>
          <w:rFonts w:eastAsiaTheme="minorHAnsi" w:cs="Tahoma"/>
          <w:bCs/>
          <w:iCs/>
          <w:szCs w:val="22"/>
          <w:lang w:eastAsia="en-US"/>
        </w:rPr>
        <w:t xml:space="preserve"> </w:t>
      </w:r>
      <w:r w:rsidR="006B00EE" w:rsidRPr="00C949B2">
        <w:rPr>
          <w:rFonts w:eastAsiaTheme="minorHAnsi" w:cs="Tahoma"/>
          <w:bCs/>
          <w:iCs/>
          <w:szCs w:val="22"/>
          <w:lang w:eastAsia="en-US"/>
        </w:rPr>
        <w:t xml:space="preserve">informo al particular que después de una búsqueda </w:t>
      </w:r>
      <w:r w:rsidR="00405721" w:rsidRPr="00C949B2">
        <w:rPr>
          <w:rFonts w:cs="Tahoma"/>
          <w:szCs w:val="22"/>
          <w:lang w:val="es-ES"/>
        </w:rPr>
        <w:t>en los archivos que obran en el Departamento de Patrimonio Municipal de la Secretaria del Ayuntamiento, señal</w:t>
      </w:r>
      <w:r w:rsidR="008C715C" w:rsidRPr="00C949B2">
        <w:rPr>
          <w:rFonts w:cs="Tahoma"/>
          <w:szCs w:val="22"/>
          <w:lang w:val="es-ES"/>
        </w:rPr>
        <w:t>ó</w:t>
      </w:r>
      <w:r w:rsidR="00405721" w:rsidRPr="00C949B2">
        <w:rPr>
          <w:rFonts w:cs="Tahoma"/>
          <w:szCs w:val="22"/>
          <w:lang w:val="es-ES"/>
        </w:rPr>
        <w:t xml:space="preserve"> que la información que solicita se encuentra inmersa en un procedimiento administrativo por lo que nos posible entregar la información hasta que quede formalmente concluido el proceso por lo que </w:t>
      </w:r>
      <w:r w:rsidR="008C715C" w:rsidRPr="00C949B2">
        <w:rPr>
          <w:rFonts w:cs="Tahoma"/>
          <w:szCs w:val="22"/>
          <w:lang w:val="es-ES"/>
        </w:rPr>
        <w:t>peticionó</w:t>
      </w:r>
      <w:r w:rsidR="00405721" w:rsidRPr="00C949B2">
        <w:rPr>
          <w:rFonts w:cs="Tahoma"/>
          <w:szCs w:val="22"/>
          <w:lang w:val="es-ES"/>
        </w:rPr>
        <w:t xml:space="preserve"> al Comité de Transparencia del Ayuntamiento de Toluca la reserva de la información.</w:t>
      </w:r>
    </w:p>
    <w:p w14:paraId="47CFCE40" w14:textId="77777777" w:rsidR="006B00EE" w:rsidRPr="00C949B2" w:rsidRDefault="006B00EE" w:rsidP="00C949B2">
      <w:pPr>
        <w:tabs>
          <w:tab w:val="left" w:pos="4962"/>
        </w:tabs>
        <w:contextualSpacing/>
        <w:rPr>
          <w:rFonts w:eastAsiaTheme="minorHAnsi" w:cs="Tahoma"/>
          <w:bCs/>
          <w:iCs/>
          <w:szCs w:val="22"/>
          <w:lang w:eastAsia="en-US"/>
        </w:rPr>
      </w:pPr>
    </w:p>
    <w:p w14:paraId="523CB912" w14:textId="77777777" w:rsidR="008C715C" w:rsidRPr="00C949B2" w:rsidRDefault="008C715C" w:rsidP="00C949B2">
      <w:pPr>
        <w:tabs>
          <w:tab w:val="left" w:pos="4962"/>
        </w:tabs>
        <w:contextualSpacing/>
        <w:rPr>
          <w:rFonts w:eastAsiaTheme="minorHAnsi" w:cs="Tahoma"/>
          <w:bCs/>
          <w:iCs/>
          <w:szCs w:val="22"/>
          <w:lang w:eastAsia="en-US"/>
        </w:rPr>
      </w:pPr>
      <w:r w:rsidRPr="00C949B2">
        <w:rPr>
          <w:rFonts w:eastAsiaTheme="minorHAnsi" w:cs="Tahoma"/>
          <w:bCs/>
          <w:iCs/>
          <w:szCs w:val="22"/>
          <w:lang w:eastAsia="en-US"/>
        </w:rPr>
        <w:t xml:space="preserve">Ante la respuesta del </w:t>
      </w:r>
      <w:r w:rsidRPr="00C949B2">
        <w:rPr>
          <w:rFonts w:eastAsiaTheme="minorHAnsi" w:cs="Tahoma"/>
          <w:b/>
          <w:iCs/>
          <w:szCs w:val="22"/>
          <w:lang w:eastAsia="en-US"/>
        </w:rPr>
        <w:t>SUJETO OBLIGADO</w:t>
      </w:r>
      <w:r w:rsidR="00CF7586" w:rsidRPr="00C949B2">
        <w:rPr>
          <w:rFonts w:eastAsiaTheme="minorHAnsi" w:cs="Tahoma"/>
          <w:bCs/>
          <w:iCs/>
          <w:szCs w:val="22"/>
          <w:lang w:eastAsia="en-US"/>
        </w:rPr>
        <w:t xml:space="preserve">, </w:t>
      </w:r>
      <w:r w:rsidRPr="00C949B2">
        <w:rPr>
          <w:rFonts w:eastAsiaTheme="minorHAnsi" w:cs="Tahoma"/>
          <w:bCs/>
          <w:iCs/>
          <w:szCs w:val="22"/>
          <w:lang w:eastAsia="en-US"/>
        </w:rPr>
        <w:t xml:space="preserve">se interpuso el </w:t>
      </w:r>
      <w:r w:rsidR="00CF7586" w:rsidRPr="00C949B2">
        <w:rPr>
          <w:rFonts w:eastAsiaTheme="minorHAnsi" w:cs="Tahoma"/>
          <w:bCs/>
          <w:iCs/>
          <w:szCs w:val="22"/>
          <w:lang w:eastAsia="en-US"/>
        </w:rPr>
        <w:t xml:space="preserve">presente </w:t>
      </w:r>
      <w:r w:rsidRPr="00C949B2">
        <w:rPr>
          <w:rFonts w:eastAsiaTheme="minorHAnsi" w:cs="Tahoma"/>
          <w:bCs/>
          <w:iCs/>
          <w:szCs w:val="22"/>
          <w:lang w:eastAsia="en-US"/>
        </w:rPr>
        <w:t>R</w:t>
      </w:r>
      <w:r w:rsidR="00CF7586" w:rsidRPr="00C949B2">
        <w:rPr>
          <w:rFonts w:eastAsiaTheme="minorHAnsi" w:cs="Tahoma"/>
          <w:bCs/>
          <w:iCs/>
          <w:szCs w:val="22"/>
          <w:lang w:eastAsia="en-US"/>
        </w:rPr>
        <w:t xml:space="preserve">ecurso </w:t>
      </w:r>
      <w:r w:rsidRPr="00C949B2">
        <w:rPr>
          <w:rFonts w:eastAsiaTheme="minorHAnsi" w:cs="Tahoma"/>
          <w:bCs/>
          <w:iCs/>
          <w:szCs w:val="22"/>
          <w:lang w:eastAsia="en-US"/>
        </w:rPr>
        <w:t xml:space="preserve">mediante el cual </w:t>
      </w:r>
      <w:r w:rsidR="00CF7586" w:rsidRPr="00C949B2">
        <w:rPr>
          <w:rFonts w:eastAsiaTheme="minorHAnsi" w:cs="Tahoma"/>
          <w:b/>
          <w:iCs/>
          <w:szCs w:val="22"/>
          <w:lang w:eastAsia="en-US"/>
        </w:rPr>
        <w:t>LA PARTE RECURRENTE</w:t>
      </w:r>
      <w:r w:rsidR="00664420" w:rsidRPr="00C949B2">
        <w:rPr>
          <w:rFonts w:eastAsiaTheme="minorHAnsi" w:cs="Tahoma"/>
          <w:bCs/>
          <w:iCs/>
          <w:szCs w:val="22"/>
          <w:lang w:eastAsia="en-US"/>
        </w:rPr>
        <w:t xml:space="preserve"> se inconformó </w:t>
      </w:r>
      <w:r w:rsidRPr="00C949B2">
        <w:rPr>
          <w:rFonts w:eastAsiaTheme="minorHAnsi" w:cs="Tahoma"/>
          <w:bCs/>
          <w:iCs/>
          <w:szCs w:val="22"/>
          <w:lang w:eastAsia="en-US"/>
        </w:rPr>
        <w:t>por la negativa de la información</w:t>
      </w:r>
      <w:r w:rsidR="00073809" w:rsidRPr="00C949B2">
        <w:rPr>
          <w:rFonts w:eastAsiaTheme="minorHAnsi" w:cs="Tahoma"/>
          <w:bCs/>
          <w:iCs/>
          <w:szCs w:val="22"/>
          <w:lang w:eastAsia="en-US"/>
        </w:rPr>
        <w:t xml:space="preserve"> </w:t>
      </w:r>
      <w:r w:rsidRPr="00C949B2">
        <w:rPr>
          <w:rFonts w:eastAsiaTheme="minorHAnsi" w:cs="Tahoma"/>
          <w:bCs/>
          <w:iCs/>
          <w:szCs w:val="22"/>
          <w:lang w:eastAsia="en-US"/>
        </w:rPr>
        <w:t>solicitada.</w:t>
      </w:r>
    </w:p>
    <w:p w14:paraId="571C0482" w14:textId="48F262B6" w:rsidR="00073809" w:rsidRPr="00C949B2" w:rsidRDefault="008C715C" w:rsidP="00C949B2">
      <w:pPr>
        <w:tabs>
          <w:tab w:val="left" w:pos="4962"/>
        </w:tabs>
        <w:contextualSpacing/>
        <w:rPr>
          <w:rFonts w:eastAsiaTheme="minorHAnsi" w:cs="Tahoma"/>
          <w:bCs/>
          <w:iCs/>
          <w:szCs w:val="22"/>
          <w:lang w:eastAsia="en-US"/>
        </w:rPr>
      </w:pPr>
      <w:r w:rsidRPr="00C949B2">
        <w:rPr>
          <w:rFonts w:eastAsiaTheme="minorHAnsi" w:cs="Tahoma"/>
          <w:bCs/>
          <w:iCs/>
          <w:szCs w:val="22"/>
          <w:lang w:eastAsia="en-US"/>
        </w:rPr>
        <w:lastRenderedPageBreak/>
        <w:t>P</w:t>
      </w:r>
      <w:r w:rsidR="00073809" w:rsidRPr="00C949B2">
        <w:rPr>
          <w:rFonts w:eastAsiaTheme="minorHAnsi" w:cs="Tahoma"/>
          <w:bCs/>
          <w:iCs/>
          <w:szCs w:val="22"/>
          <w:lang w:eastAsia="en-US"/>
        </w:rPr>
        <w:t xml:space="preserve">or lo que ante la presentación del </w:t>
      </w:r>
      <w:r w:rsidRPr="00C949B2">
        <w:rPr>
          <w:rFonts w:eastAsiaTheme="minorHAnsi" w:cs="Tahoma"/>
          <w:bCs/>
          <w:iCs/>
          <w:szCs w:val="22"/>
          <w:lang w:eastAsia="en-US"/>
        </w:rPr>
        <w:t>R</w:t>
      </w:r>
      <w:r w:rsidR="00073809" w:rsidRPr="00C949B2">
        <w:rPr>
          <w:rFonts w:eastAsiaTheme="minorHAnsi" w:cs="Tahoma"/>
          <w:bCs/>
          <w:iCs/>
          <w:szCs w:val="22"/>
          <w:lang w:eastAsia="en-US"/>
        </w:rPr>
        <w:t xml:space="preserve">ecurso de </w:t>
      </w:r>
      <w:r w:rsidRPr="00C949B2">
        <w:rPr>
          <w:rFonts w:eastAsiaTheme="minorHAnsi" w:cs="Tahoma"/>
          <w:bCs/>
          <w:iCs/>
          <w:szCs w:val="22"/>
          <w:lang w:eastAsia="en-US"/>
        </w:rPr>
        <w:t>R</w:t>
      </w:r>
      <w:r w:rsidR="00073809" w:rsidRPr="00C949B2">
        <w:rPr>
          <w:rFonts w:eastAsiaTheme="minorHAnsi" w:cs="Tahoma"/>
          <w:bCs/>
          <w:iCs/>
          <w:szCs w:val="22"/>
          <w:lang w:eastAsia="en-US"/>
        </w:rPr>
        <w:t xml:space="preserve">evisión a través de su informe justificado </w:t>
      </w:r>
      <w:r w:rsidR="00073809" w:rsidRPr="00C949B2">
        <w:rPr>
          <w:rFonts w:eastAsiaTheme="minorHAnsi" w:cs="Tahoma"/>
          <w:b/>
          <w:iCs/>
          <w:szCs w:val="22"/>
          <w:lang w:eastAsia="en-US"/>
        </w:rPr>
        <w:t>EL SUJETO OBLIGADO</w:t>
      </w:r>
      <w:r w:rsidR="00073809" w:rsidRPr="00C949B2">
        <w:rPr>
          <w:rFonts w:eastAsiaTheme="minorHAnsi" w:cs="Tahoma"/>
          <w:bCs/>
          <w:iCs/>
          <w:szCs w:val="22"/>
          <w:lang w:eastAsia="en-US"/>
        </w:rPr>
        <w:t xml:space="preserve"> ratifica su respuesta primigenia</w:t>
      </w:r>
      <w:r w:rsidRPr="00C949B2">
        <w:rPr>
          <w:rFonts w:eastAsiaTheme="minorHAnsi" w:cs="Tahoma"/>
          <w:bCs/>
          <w:iCs/>
          <w:szCs w:val="22"/>
          <w:lang w:eastAsia="en-US"/>
        </w:rPr>
        <w:t>, por su parte</w:t>
      </w:r>
      <w:r w:rsidR="00073809" w:rsidRPr="00C949B2">
        <w:rPr>
          <w:rFonts w:eastAsiaTheme="minorHAnsi" w:cs="Tahoma"/>
          <w:bCs/>
          <w:iCs/>
          <w:szCs w:val="22"/>
          <w:lang w:eastAsia="en-US"/>
        </w:rPr>
        <w:t xml:space="preserve"> </w:t>
      </w:r>
      <w:r w:rsidR="00073809" w:rsidRPr="00C949B2">
        <w:rPr>
          <w:rFonts w:cs="Tahoma"/>
          <w:b/>
          <w:szCs w:val="22"/>
        </w:rPr>
        <w:t xml:space="preserve">LA PARTE RECURRENTE </w:t>
      </w:r>
      <w:r w:rsidR="00073809" w:rsidRPr="00C949B2">
        <w:rPr>
          <w:rFonts w:eastAsia="Arial Unicode MS" w:cs="Arial"/>
          <w:szCs w:val="22"/>
        </w:rPr>
        <w:t>no realizó manifestación alguna dentro del término legalmente concedido, ni presentó pruebas o alegatos.</w:t>
      </w:r>
    </w:p>
    <w:p w14:paraId="3F1C720B" w14:textId="77777777" w:rsidR="00664420" w:rsidRPr="00C949B2" w:rsidRDefault="00664420" w:rsidP="00C949B2">
      <w:pPr>
        <w:contextualSpacing/>
        <w:rPr>
          <w:rFonts w:cs="Tahoma"/>
          <w:szCs w:val="22"/>
          <w:lang w:eastAsia="es-MX"/>
        </w:rPr>
      </w:pPr>
    </w:p>
    <w:p w14:paraId="3673987F" w14:textId="3C72DC42" w:rsidR="00476A9D" w:rsidRPr="00C949B2" w:rsidRDefault="00476A9D" w:rsidP="00C949B2">
      <w:pPr>
        <w:tabs>
          <w:tab w:val="left" w:pos="4962"/>
        </w:tabs>
        <w:contextualSpacing/>
        <w:rPr>
          <w:rFonts w:eastAsiaTheme="minorHAnsi" w:cs="Tahoma"/>
          <w:bCs/>
          <w:iCs/>
          <w:szCs w:val="22"/>
          <w:lang w:eastAsia="en-US"/>
        </w:rPr>
      </w:pPr>
      <w:r w:rsidRPr="00C949B2">
        <w:rPr>
          <w:rFonts w:eastAsiaTheme="minorHAnsi" w:cs="Tahoma"/>
          <w:bCs/>
          <w:iCs/>
          <w:szCs w:val="22"/>
          <w:lang w:eastAsia="en-US"/>
        </w:rPr>
        <w:t xml:space="preserve">Por lo tanto, el estudio del presente medio de impugnación se centrará en el </w:t>
      </w:r>
      <w:r w:rsidRPr="00C949B2">
        <w:rPr>
          <w:rFonts w:cs="Tahoma"/>
          <w:bCs/>
          <w:szCs w:val="22"/>
        </w:rPr>
        <w:t xml:space="preserve">análisis de las documentales remitidas para determinar si se colma o no con la pretensión del particular o deviene fundado el argumento del recurrente respecto a que no se </w:t>
      </w:r>
      <w:r w:rsidR="008C715C" w:rsidRPr="00C949B2">
        <w:rPr>
          <w:rFonts w:cs="Tahoma"/>
          <w:bCs/>
          <w:szCs w:val="22"/>
        </w:rPr>
        <w:t>le negó la información solicitada</w:t>
      </w:r>
      <w:r w:rsidRPr="00C949B2">
        <w:rPr>
          <w:rFonts w:cs="Tahoma"/>
          <w:bCs/>
          <w:szCs w:val="22"/>
        </w:rPr>
        <w:t>.</w:t>
      </w:r>
    </w:p>
    <w:p w14:paraId="35B5B062" w14:textId="77777777" w:rsidR="00476A9D" w:rsidRPr="00C949B2" w:rsidRDefault="00476A9D" w:rsidP="00C949B2">
      <w:pPr>
        <w:contextualSpacing/>
        <w:rPr>
          <w:rFonts w:cs="Tahoma"/>
          <w:szCs w:val="22"/>
          <w:lang w:eastAsia="es-MX"/>
        </w:rPr>
      </w:pPr>
    </w:p>
    <w:p w14:paraId="414FD2D5" w14:textId="4408E416" w:rsidR="00664420" w:rsidRPr="00C949B2" w:rsidRDefault="00A21A20" w:rsidP="00C949B2">
      <w:pPr>
        <w:pStyle w:val="Ttulo3"/>
        <w:rPr>
          <w:szCs w:val="22"/>
        </w:rPr>
      </w:pPr>
      <w:bookmarkStart w:id="32" w:name="_Toc181265240"/>
      <w:r w:rsidRPr="00C949B2">
        <w:rPr>
          <w:szCs w:val="22"/>
        </w:rPr>
        <w:t>c)</w:t>
      </w:r>
      <w:r w:rsidR="00664420" w:rsidRPr="00C949B2">
        <w:rPr>
          <w:szCs w:val="22"/>
        </w:rPr>
        <w:t xml:space="preserve"> </w:t>
      </w:r>
      <w:r w:rsidRPr="00C949B2">
        <w:rPr>
          <w:szCs w:val="22"/>
        </w:rPr>
        <w:t>Estudio de la controversia</w:t>
      </w:r>
      <w:bookmarkEnd w:id="32"/>
    </w:p>
    <w:p w14:paraId="4950B047" w14:textId="5DF56676" w:rsidR="00126207" w:rsidRPr="00C949B2" w:rsidRDefault="00476A9D" w:rsidP="00C949B2">
      <w:pPr>
        <w:spacing w:after="240"/>
        <w:rPr>
          <w:rFonts w:cs="Tahoma"/>
          <w:bCs/>
          <w:szCs w:val="22"/>
        </w:rPr>
      </w:pPr>
      <w:r w:rsidRPr="00C949B2">
        <w:rPr>
          <w:rFonts w:cs="Tahoma"/>
          <w:bCs/>
          <w:szCs w:val="22"/>
        </w:rPr>
        <w:t xml:space="preserve">Así una vez determinada la controversia a resolver </w:t>
      </w:r>
      <w:r w:rsidR="00126207" w:rsidRPr="00C949B2">
        <w:rPr>
          <w:rFonts w:cs="Tahoma"/>
          <w:bCs/>
          <w:szCs w:val="22"/>
        </w:rPr>
        <w:t>es conveniente recordar lo previsto por los artículos 22 y 23 del Bando Municipal de Toluca, que refiere lo siguiente:</w:t>
      </w:r>
    </w:p>
    <w:p w14:paraId="5F216D11" w14:textId="77777777" w:rsidR="00126207" w:rsidRPr="00C949B2" w:rsidRDefault="00126207" w:rsidP="00C949B2">
      <w:pPr>
        <w:spacing w:line="240" w:lineRule="auto"/>
        <w:ind w:left="851" w:right="822"/>
        <w:rPr>
          <w:rFonts w:cs="Tahoma"/>
          <w:bCs/>
          <w:i/>
          <w:iCs/>
          <w:szCs w:val="22"/>
        </w:rPr>
      </w:pPr>
      <w:r w:rsidRPr="00C949B2">
        <w:rPr>
          <w:b/>
          <w:bCs/>
          <w:i/>
          <w:iCs/>
          <w:szCs w:val="22"/>
        </w:rPr>
        <w:t>Artículo 22.</w:t>
      </w:r>
      <w:r w:rsidRPr="00C949B2">
        <w:rPr>
          <w:i/>
          <w:iCs/>
          <w:szCs w:val="22"/>
        </w:rPr>
        <w:t xml:space="preserve"> La Administración Pública Municipal será centralizada, desconcentrada, descentralizada y autónoma. Su organización y funcionamiento se regirá por la Ley Orgánica Municipal, este Bando Municipal, el Código Reglamentario Municipal y otras normas jurídicas aplicables</w:t>
      </w:r>
      <w:r w:rsidRPr="00C949B2">
        <w:rPr>
          <w:rFonts w:cs="Tahoma"/>
          <w:bCs/>
          <w:i/>
          <w:iCs/>
          <w:szCs w:val="22"/>
        </w:rPr>
        <w:t>.</w:t>
      </w:r>
    </w:p>
    <w:p w14:paraId="2062205C" w14:textId="77777777" w:rsidR="00126207" w:rsidRPr="00C949B2" w:rsidRDefault="00126207" w:rsidP="00C949B2">
      <w:pPr>
        <w:spacing w:line="240" w:lineRule="auto"/>
        <w:ind w:left="851" w:right="822"/>
        <w:rPr>
          <w:rFonts w:cs="Tahoma"/>
          <w:bCs/>
          <w:i/>
          <w:iCs/>
          <w:szCs w:val="22"/>
        </w:rPr>
      </w:pPr>
    </w:p>
    <w:p w14:paraId="6F803493" w14:textId="5168D190" w:rsidR="00126207" w:rsidRPr="00C949B2" w:rsidRDefault="00126207" w:rsidP="00C949B2">
      <w:pPr>
        <w:spacing w:line="240" w:lineRule="auto"/>
        <w:ind w:left="851" w:right="822"/>
        <w:rPr>
          <w:rFonts w:cs="Tahoma"/>
          <w:bCs/>
          <w:i/>
          <w:iCs/>
          <w:szCs w:val="22"/>
        </w:rPr>
      </w:pPr>
      <w:r w:rsidRPr="00C949B2">
        <w:rPr>
          <w:rFonts w:cs="Tahoma"/>
          <w:b/>
          <w:i/>
          <w:iCs/>
          <w:szCs w:val="22"/>
        </w:rPr>
        <w:t xml:space="preserve">Artículo 23. </w:t>
      </w:r>
      <w:r w:rsidRPr="00C949B2">
        <w:rPr>
          <w:rFonts w:cs="Tahoma"/>
          <w:bCs/>
          <w:i/>
          <w:iCs/>
          <w:szCs w:val="22"/>
        </w:rPr>
        <w:t xml:space="preserve">Para la consulta, estudio, planeación y despacho de los asuntos en los diversos ramos de la Administración Pública Municipal, la o el Presidente Municipal se auxiliará de la </w:t>
      </w:r>
      <w:r w:rsidRPr="00C949B2">
        <w:rPr>
          <w:rFonts w:cs="Tahoma"/>
          <w:b/>
          <w:i/>
          <w:iCs/>
          <w:szCs w:val="22"/>
        </w:rPr>
        <w:t>Secretaría del Ayuntamiento</w:t>
      </w:r>
      <w:r w:rsidRPr="00C949B2">
        <w:rPr>
          <w:rFonts w:cs="Tahoma"/>
          <w:bCs/>
          <w:i/>
          <w:iCs/>
          <w:szCs w:val="22"/>
        </w:rPr>
        <w:t xml:space="preserve"> y de las siguientes:</w:t>
      </w:r>
    </w:p>
    <w:p w14:paraId="3D3C5A54" w14:textId="77777777" w:rsidR="008C715C" w:rsidRPr="00C949B2" w:rsidRDefault="008C715C" w:rsidP="00C949B2">
      <w:pPr>
        <w:spacing w:line="240" w:lineRule="auto"/>
        <w:ind w:left="851" w:right="822"/>
        <w:rPr>
          <w:rFonts w:cs="Tahoma"/>
          <w:bCs/>
          <w:i/>
          <w:iCs/>
          <w:szCs w:val="22"/>
        </w:rPr>
      </w:pPr>
    </w:p>
    <w:p w14:paraId="246DCC5D" w14:textId="6891894B" w:rsidR="00126207" w:rsidRPr="00C949B2" w:rsidRDefault="008C715C" w:rsidP="00C949B2">
      <w:pPr>
        <w:spacing w:line="240" w:lineRule="auto"/>
        <w:ind w:left="851" w:right="822"/>
        <w:rPr>
          <w:rFonts w:cs="Tahoma"/>
          <w:bCs/>
          <w:i/>
          <w:iCs/>
          <w:szCs w:val="22"/>
        </w:rPr>
      </w:pPr>
      <w:r w:rsidRPr="00C949B2">
        <w:rPr>
          <w:i/>
          <w:iCs/>
        </w:rPr>
        <w:t>I. DEPENDENCIAS:</w:t>
      </w:r>
    </w:p>
    <w:p w14:paraId="447F7E8C" w14:textId="77777777" w:rsidR="008C715C" w:rsidRPr="00C949B2" w:rsidRDefault="008C715C" w:rsidP="00C949B2">
      <w:pPr>
        <w:spacing w:line="240" w:lineRule="auto"/>
        <w:ind w:left="851" w:right="822"/>
        <w:rPr>
          <w:rFonts w:cs="Tahoma"/>
          <w:bCs/>
          <w:i/>
          <w:iCs/>
          <w:szCs w:val="22"/>
        </w:rPr>
      </w:pPr>
      <w:r w:rsidRPr="00C949B2">
        <w:rPr>
          <w:rFonts w:cs="Tahoma"/>
          <w:bCs/>
          <w:i/>
          <w:iCs/>
          <w:szCs w:val="22"/>
        </w:rPr>
        <w:t xml:space="preserve">1. Tesorería Municipal; </w:t>
      </w:r>
    </w:p>
    <w:p w14:paraId="68203EA4" w14:textId="77777777" w:rsidR="008C715C" w:rsidRPr="00C949B2" w:rsidRDefault="008C715C" w:rsidP="00C949B2">
      <w:pPr>
        <w:spacing w:line="240" w:lineRule="auto"/>
        <w:ind w:left="851" w:right="822"/>
        <w:rPr>
          <w:rFonts w:cs="Tahoma"/>
          <w:bCs/>
          <w:i/>
          <w:iCs/>
          <w:szCs w:val="22"/>
        </w:rPr>
      </w:pPr>
      <w:r w:rsidRPr="00C949B2">
        <w:rPr>
          <w:rFonts w:cs="Tahoma"/>
          <w:bCs/>
          <w:i/>
          <w:iCs/>
          <w:szCs w:val="22"/>
        </w:rPr>
        <w:t xml:space="preserve">2. Contraloría; </w:t>
      </w:r>
    </w:p>
    <w:p w14:paraId="5CC55ECF" w14:textId="77777777" w:rsidR="008C715C" w:rsidRPr="00C949B2" w:rsidRDefault="008C715C" w:rsidP="00C949B2">
      <w:pPr>
        <w:spacing w:line="240" w:lineRule="auto"/>
        <w:ind w:left="851" w:right="822"/>
        <w:rPr>
          <w:rFonts w:cs="Tahoma"/>
          <w:bCs/>
          <w:i/>
          <w:iCs/>
          <w:szCs w:val="22"/>
        </w:rPr>
      </w:pPr>
      <w:r w:rsidRPr="00C949B2">
        <w:rPr>
          <w:rFonts w:cs="Tahoma"/>
          <w:bCs/>
          <w:i/>
          <w:iCs/>
          <w:szCs w:val="22"/>
        </w:rPr>
        <w:t xml:space="preserve">3. Dirección General de Gobierno; </w:t>
      </w:r>
    </w:p>
    <w:p w14:paraId="2FAB3D52" w14:textId="77777777" w:rsidR="008C715C" w:rsidRPr="00C949B2" w:rsidRDefault="008C715C" w:rsidP="00C949B2">
      <w:pPr>
        <w:spacing w:line="240" w:lineRule="auto"/>
        <w:ind w:left="851" w:right="822"/>
        <w:rPr>
          <w:rFonts w:cs="Tahoma"/>
          <w:bCs/>
          <w:i/>
          <w:iCs/>
          <w:szCs w:val="22"/>
        </w:rPr>
      </w:pPr>
      <w:r w:rsidRPr="00C949B2">
        <w:rPr>
          <w:rFonts w:cs="Tahoma"/>
          <w:bCs/>
          <w:i/>
          <w:iCs/>
          <w:szCs w:val="22"/>
        </w:rPr>
        <w:t xml:space="preserve">4. Dirección General de Seguridad y Protección; </w:t>
      </w:r>
    </w:p>
    <w:p w14:paraId="06BBBECA" w14:textId="77777777" w:rsidR="008C715C" w:rsidRPr="00C949B2" w:rsidRDefault="008C715C" w:rsidP="00C949B2">
      <w:pPr>
        <w:spacing w:line="240" w:lineRule="auto"/>
        <w:ind w:left="851" w:right="822"/>
        <w:rPr>
          <w:rFonts w:cs="Tahoma"/>
          <w:bCs/>
          <w:i/>
          <w:iCs/>
          <w:szCs w:val="22"/>
        </w:rPr>
      </w:pPr>
      <w:r w:rsidRPr="00C949B2">
        <w:rPr>
          <w:rFonts w:cs="Tahoma"/>
          <w:bCs/>
          <w:i/>
          <w:iCs/>
          <w:szCs w:val="22"/>
        </w:rPr>
        <w:t xml:space="preserve">5. Dirección General de Administración; </w:t>
      </w:r>
    </w:p>
    <w:p w14:paraId="0375B682" w14:textId="77777777" w:rsidR="008C715C" w:rsidRPr="00C949B2" w:rsidRDefault="008C715C" w:rsidP="00C949B2">
      <w:pPr>
        <w:spacing w:line="240" w:lineRule="auto"/>
        <w:ind w:left="851" w:right="822"/>
        <w:rPr>
          <w:rFonts w:cs="Tahoma"/>
          <w:bCs/>
          <w:i/>
          <w:iCs/>
          <w:szCs w:val="22"/>
        </w:rPr>
      </w:pPr>
      <w:r w:rsidRPr="00C949B2">
        <w:rPr>
          <w:rFonts w:cs="Tahoma"/>
          <w:bCs/>
          <w:i/>
          <w:iCs/>
          <w:szCs w:val="22"/>
        </w:rPr>
        <w:t xml:space="preserve">6. Dirección General de Medio Ambiente; </w:t>
      </w:r>
    </w:p>
    <w:p w14:paraId="2650DD3C" w14:textId="77777777" w:rsidR="008C715C" w:rsidRPr="00C949B2" w:rsidRDefault="008C715C" w:rsidP="00C949B2">
      <w:pPr>
        <w:spacing w:line="240" w:lineRule="auto"/>
        <w:ind w:left="851" w:right="822"/>
        <w:rPr>
          <w:rFonts w:cs="Tahoma"/>
          <w:bCs/>
          <w:i/>
          <w:iCs/>
          <w:szCs w:val="22"/>
        </w:rPr>
      </w:pPr>
      <w:r w:rsidRPr="00C949B2">
        <w:rPr>
          <w:rFonts w:cs="Tahoma"/>
          <w:bCs/>
          <w:i/>
          <w:iCs/>
          <w:szCs w:val="22"/>
        </w:rPr>
        <w:t xml:space="preserve">7. Dirección General de Servicios Públicos; </w:t>
      </w:r>
    </w:p>
    <w:p w14:paraId="5AA22A86" w14:textId="77777777" w:rsidR="008C715C" w:rsidRPr="00C949B2" w:rsidRDefault="008C715C" w:rsidP="00C949B2">
      <w:pPr>
        <w:spacing w:line="240" w:lineRule="auto"/>
        <w:ind w:left="851" w:right="822"/>
        <w:rPr>
          <w:rFonts w:cs="Tahoma"/>
          <w:bCs/>
          <w:i/>
          <w:iCs/>
          <w:szCs w:val="22"/>
        </w:rPr>
      </w:pPr>
      <w:r w:rsidRPr="00C949B2">
        <w:rPr>
          <w:rFonts w:cs="Tahoma"/>
          <w:bCs/>
          <w:i/>
          <w:iCs/>
          <w:szCs w:val="22"/>
        </w:rPr>
        <w:lastRenderedPageBreak/>
        <w:t xml:space="preserve">8. Dirección General de Desarrollo Urbano, Ordenamiento Territorial y Obras Públicas; </w:t>
      </w:r>
    </w:p>
    <w:p w14:paraId="1586048A" w14:textId="77777777" w:rsidR="008C715C" w:rsidRPr="00C949B2" w:rsidRDefault="008C715C" w:rsidP="00C949B2">
      <w:pPr>
        <w:spacing w:line="240" w:lineRule="auto"/>
        <w:ind w:left="851" w:right="822"/>
        <w:rPr>
          <w:rFonts w:cs="Tahoma"/>
          <w:bCs/>
          <w:i/>
          <w:iCs/>
          <w:szCs w:val="22"/>
        </w:rPr>
      </w:pPr>
      <w:r w:rsidRPr="00C949B2">
        <w:rPr>
          <w:rFonts w:cs="Tahoma"/>
          <w:bCs/>
          <w:i/>
          <w:iCs/>
          <w:szCs w:val="22"/>
        </w:rPr>
        <w:t xml:space="preserve">9. Dirección General de Desarrollo Económico; y </w:t>
      </w:r>
    </w:p>
    <w:p w14:paraId="460C3BE8" w14:textId="1A4649B2" w:rsidR="00126207" w:rsidRPr="00C949B2" w:rsidRDefault="008C715C" w:rsidP="00C949B2">
      <w:pPr>
        <w:spacing w:line="240" w:lineRule="auto"/>
        <w:ind w:left="851" w:right="822"/>
        <w:rPr>
          <w:rFonts w:cs="Tahoma"/>
          <w:bCs/>
          <w:i/>
          <w:iCs/>
          <w:szCs w:val="22"/>
        </w:rPr>
      </w:pPr>
      <w:r w:rsidRPr="00C949B2">
        <w:rPr>
          <w:rFonts w:cs="Tahoma"/>
          <w:bCs/>
          <w:i/>
          <w:iCs/>
          <w:szCs w:val="22"/>
        </w:rPr>
        <w:t xml:space="preserve">10. Dirección General de Desarrollo Social. </w:t>
      </w:r>
      <w:r w:rsidR="00126207" w:rsidRPr="00C949B2">
        <w:rPr>
          <w:rFonts w:cs="Tahoma"/>
          <w:bCs/>
          <w:i/>
          <w:iCs/>
          <w:szCs w:val="22"/>
        </w:rPr>
        <w:t>(…)</w:t>
      </w:r>
    </w:p>
    <w:p w14:paraId="6D2D9A40" w14:textId="77777777" w:rsidR="00126207" w:rsidRPr="00C949B2" w:rsidRDefault="00126207" w:rsidP="00C949B2">
      <w:pPr>
        <w:spacing w:line="240" w:lineRule="auto"/>
        <w:ind w:left="851" w:right="822"/>
        <w:rPr>
          <w:rFonts w:cs="Tahoma"/>
          <w:bCs/>
          <w:i/>
          <w:iCs/>
          <w:szCs w:val="22"/>
        </w:rPr>
      </w:pPr>
    </w:p>
    <w:p w14:paraId="09837FCA" w14:textId="5D0669EF" w:rsidR="00126207" w:rsidRPr="00C949B2" w:rsidRDefault="00126207" w:rsidP="00C949B2">
      <w:pPr>
        <w:spacing w:after="240"/>
        <w:ind w:right="-93"/>
        <w:rPr>
          <w:rFonts w:cs="Tahoma"/>
          <w:bCs/>
          <w:szCs w:val="22"/>
        </w:rPr>
      </w:pPr>
      <w:r w:rsidRPr="00C949B2">
        <w:rPr>
          <w:rFonts w:cs="Tahoma"/>
          <w:bCs/>
          <w:szCs w:val="22"/>
        </w:rPr>
        <w:t>Disposiciones normativas que establecen que, para el ejercicio de sus atribuciones y responsabilidades, el Ayuntamiento se auxiliará con las dependencias y entidades de la Administración Pública Municipal</w:t>
      </w:r>
      <w:r w:rsidR="00BB0DBB" w:rsidRPr="00C949B2">
        <w:rPr>
          <w:rFonts w:cs="Tahoma"/>
          <w:bCs/>
          <w:szCs w:val="22"/>
        </w:rPr>
        <w:t xml:space="preserve">, siendo de nuestro especial interés </w:t>
      </w:r>
      <w:r w:rsidR="00BB0DBB" w:rsidRPr="00C949B2">
        <w:rPr>
          <w:rFonts w:cs="Tahoma"/>
          <w:b/>
          <w:szCs w:val="22"/>
        </w:rPr>
        <w:t>la Secretar</w:t>
      </w:r>
      <w:r w:rsidR="00AB6AB2" w:rsidRPr="00C949B2">
        <w:rPr>
          <w:rFonts w:cs="Tahoma"/>
          <w:b/>
          <w:szCs w:val="22"/>
        </w:rPr>
        <w:t>í</w:t>
      </w:r>
      <w:r w:rsidR="00BB0DBB" w:rsidRPr="00C949B2">
        <w:rPr>
          <w:rFonts w:cs="Tahoma"/>
          <w:b/>
          <w:szCs w:val="22"/>
        </w:rPr>
        <w:t>a del Ayuntamiento</w:t>
      </w:r>
      <w:r w:rsidR="00BB0DBB" w:rsidRPr="00C949B2">
        <w:rPr>
          <w:rFonts w:cs="Tahoma"/>
          <w:bCs/>
          <w:szCs w:val="22"/>
        </w:rPr>
        <w:t>.</w:t>
      </w:r>
    </w:p>
    <w:p w14:paraId="4C14F4DD" w14:textId="2C16CE3E" w:rsidR="00C20D85" w:rsidRPr="00C949B2" w:rsidRDefault="00BB0DBB" w:rsidP="00C949B2">
      <w:pPr>
        <w:spacing w:before="100" w:beforeAutospacing="1" w:after="100" w:afterAutospacing="1"/>
      </w:pPr>
      <w:r w:rsidRPr="00C949B2">
        <w:rPr>
          <w:rFonts w:eastAsia="Calibri" w:cs="Arial"/>
        </w:rPr>
        <w:t xml:space="preserve">Por su parte el Código Reglamentario Municipal de Toluca, refiere en su </w:t>
      </w:r>
      <w:r w:rsidR="00EF01C0" w:rsidRPr="00C949B2">
        <w:rPr>
          <w:rFonts w:eastAsia="Calibri" w:cs="Arial"/>
        </w:rPr>
        <w:t>artículo</w:t>
      </w:r>
      <w:r w:rsidRPr="00C949B2">
        <w:rPr>
          <w:rFonts w:eastAsia="Calibri" w:cs="Arial"/>
        </w:rPr>
        <w:t xml:space="preserve"> 3.11, establece lo siguiente:</w:t>
      </w:r>
    </w:p>
    <w:p w14:paraId="5D348CE5" w14:textId="77777777" w:rsidR="00BB0DBB" w:rsidRPr="00C949B2" w:rsidRDefault="00BB0DBB" w:rsidP="00C949B2">
      <w:pPr>
        <w:tabs>
          <w:tab w:val="left" w:pos="851"/>
          <w:tab w:val="left" w:pos="8505"/>
        </w:tabs>
        <w:spacing w:line="240" w:lineRule="auto"/>
        <w:ind w:left="851" w:right="902"/>
        <w:rPr>
          <w:rFonts w:cs="Arial"/>
          <w:bCs/>
          <w:i/>
          <w:szCs w:val="22"/>
        </w:rPr>
      </w:pPr>
      <w:r w:rsidRPr="00C949B2">
        <w:rPr>
          <w:rFonts w:cs="Arial"/>
          <w:b/>
          <w:i/>
          <w:szCs w:val="22"/>
        </w:rPr>
        <w:t xml:space="preserve">Artículo 3.11. </w:t>
      </w:r>
      <w:r w:rsidRPr="00C949B2">
        <w:rPr>
          <w:rFonts w:cs="Arial"/>
          <w:bCs/>
          <w:i/>
          <w:szCs w:val="22"/>
        </w:rPr>
        <w:t>A la o el titular de la Secretaría del Ayuntamiento le corresponde, además de las atribuciones que le confiere la Ley Orgánica Municipal, el despacho de los siguientes asuntos:</w:t>
      </w:r>
    </w:p>
    <w:p w14:paraId="53539D8B" w14:textId="77777777" w:rsidR="00BB0DBB" w:rsidRPr="00C949B2" w:rsidRDefault="00BB0DBB" w:rsidP="00C949B2">
      <w:pPr>
        <w:tabs>
          <w:tab w:val="left" w:pos="851"/>
          <w:tab w:val="left" w:pos="8505"/>
        </w:tabs>
        <w:spacing w:line="240" w:lineRule="auto"/>
        <w:ind w:left="851" w:right="902"/>
        <w:rPr>
          <w:rFonts w:cs="Arial"/>
          <w:bCs/>
          <w:i/>
          <w:szCs w:val="22"/>
        </w:rPr>
      </w:pPr>
      <w:r w:rsidRPr="00C949B2">
        <w:rPr>
          <w:rFonts w:cs="Arial"/>
          <w:bCs/>
          <w:i/>
          <w:szCs w:val="22"/>
        </w:rPr>
        <w:t xml:space="preserve">I. Preparar y coordinar las sesiones de cabildo, teniendo bajo su resguardo los libros de actas y sus apéndices; </w:t>
      </w:r>
    </w:p>
    <w:p w14:paraId="2CEDBB96" w14:textId="77777777" w:rsidR="00BB0DBB" w:rsidRPr="00C949B2" w:rsidRDefault="00BB0DBB" w:rsidP="00C949B2">
      <w:pPr>
        <w:tabs>
          <w:tab w:val="left" w:pos="851"/>
          <w:tab w:val="left" w:pos="8505"/>
        </w:tabs>
        <w:spacing w:line="240" w:lineRule="auto"/>
        <w:ind w:left="851" w:right="902"/>
        <w:rPr>
          <w:rFonts w:cs="Arial"/>
          <w:bCs/>
          <w:i/>
          <w:szCs w:val="22"/>
        </w:rPr>
      </w:pPr>
      <w:r w:rsidRPr="00C949B2">
        <w:rPr>
          <w:rFonts w:cs="Arial"/>
          <w:bCs/>
          <w:i/>
          <w:szCs w:val="22"/>
        </w:rPr>
        <w:t xml:space="preserve">II. Entregar con oportunidad a los miembros del H. Ayuntamiento los dictámenes de las comisiones edilicias, los proyectos de actas y demás documentación necesaria para las sesiones; </w:t>
      </w:r>
    </w:p>
    <w:p w14:paraId="03A52AFD" w14:textId="77777777" w:rsidR="00BB0DBB" w:rsidRPr="00C949B2" w:rsidRDefault="00BB0DBB" w:rsidP="00C949B2">
      <w:pPr>
        <w:tabs>
          <w:tab w:val="left" w:pos="851"/>
          <w:tab w:val="left" w:pos="8505"/>
        </w:tabs>
        <w:spacing w:line="240" w:lineRule="auto"/>
        <w:ind w:left="851" w:right="902"/>
        <w:rPr>
          <w:rFonts w:cs="Arial"/>
          <w:bCs/>
          <w:i/>
          <w:szCs w:val="22"/>
        </w:rPr>
      </w:pPr>
      <w:r w:rsidRPr="00C949B2">
        <w:rPr>
          <w:rFonts w:cs="Arial"/>
          <w:bCs/>
          <w:i/>
          <w:szCs w:val="22"/>
        </w:rPr>
        <w:t xml:space="preserve">III. Asistir puntualmente a las sesiones que celebre el H. Ayuntamiento, para apoyar al presidente municipal en la celebración de las mismas; </w:t>
      </w:r>
    </w:p>
    <w:p w14:paraId="1F9CCBBF" w14:textId="77777777" w:rsidR="00BB0DBB" w:rsidRPr="00C949B2" w:rsidRDefault="00BB0DBB" w:rsidP="00C949B2">
      <w:pPr>
        <w:tabs>
          <w:tab w:val="left" w:pos="851"/>
          <w:tab w:val="left" w:pos="8505"/>
        </w:tabs>
        <w:spacing w:line="240" w:lineRule="auto"/>
        <w:ind w:left="851" w:right="902"/>
        <w:rPr>
          <w:rFonts w:cs="Arial"/>
          <w:bCs/>
          <w:i/>
          <w:szCs w:val="22"/>
        </w:rPr>
      </w:pPr>
      <w:r w:rsidRPr="00C949B2">
        <w:rPr>
          <w:rFonts w:cs="Arial"/>
          <w:bCs/>
          <w:i/>
          <w:szCs w:val="22"/>
        </w:rPr>
        <w:t xml:space="preserve">IV. Suscribir conjuntamente con el presidente municipal los actos jurídicos que tengan por objeto crear, transmitir, modificar o extinguir derechos y obligaciones a cargo del Ayuntamiento, o de la administración pública municipal; con excepción de lo que establezcan otras disposiciones legales; </w:t>
      </w:r>
    </w:p>
    <w:p w14:paraId="272B7C5E" w14:textId="77777777" w:rsidR="00BB0DBB" w:rsidRPr="00C949B2" w:rsidRDefault="00BB0DBB" w:rsidP="00C949B2">
      <w:pPr>
        <w:tabs>
          <w:tab w:val="left" w:pos="851"/>
          <w:tab w:val="left" w:pos="8505"/>
        </w:tabs>
        <w:spacing w:line="240" w:lineRule="auto"/>
        <w:ind w:left="851" w:right="902"/>
        <w:rPr>
          <w:rFonts w:cs="Arial"/>
          <w:bCs/>
          <w:i/>
          <w:szCs w:val="22"/>
        </w:rPr>
      </w:pPr>
      <w:r w:rsidRPr="00C949B2">
        <w:rPr>
          <w:rFonts w:cs="Arial"/>
          <w:bCs/>
          <w:i/>
          <w:szCs w:val="22"/>
        </w:rPr>
        <w:t xml:space="preserve">V. Pasar lista de asistencia a los integrantes del H. Ayuntamiento, en las sesiones de cabildo; </w:t>
      </w:r>
    </w:p>
    <w:p w14:paraId="52AD3003" w14:textId="77777777" w:rsidR="00BB0DBB" w:rsidRPr="00C949B2" w:rsidRDefault="00BB0DBB" w:rsidP="00C949B2">
      <w:pPr>
        <w:tabs>
          <w:tab w:val="left" w:pos="851"/>
          <w:tab w:val="left" w:pos="8505"/>
        </w:tabs>
        <w:spacing w:line="240" w:lineRule="auto"/>
        <w:ind w:left="851" w:right="902"/>
        <w:rPr>
          <w:rFonts w:cs="Arial"/>
          <w:bCs/>
          <w:i/>
          <w:szCs w:val="22"/>
        </w:rPr>
      </w:pPr>
      <w:r w:rsidRPr="00C949B2">
        <w:rPr>
          <w:rFonts w:cs="Arial"/>
          <w:bCs/>
          <w:i/>
          <w:szCs w:val="22"/>
        </w:rPr>
        <w:t xml:space="preserve">VI. Dar a conocer a los Presidentes de las Comisiones Edilicias, Dependencias Municipales y Organismos Auxiliares, en el ámbito de su competencia, las decisiones del Ayuntamiento; </w:t>
      </w:r>
    </w:p>
    <w:p w14:paraId="0197A708" w14:textId="77777777" w:rsidR="00BB0DBB" w:rsidRPr="00C949B2" w:rsidRDefault="00BB0DBB" w:rsidP="00C949B2">
      <w:pPr>
        <w:tabs>
          <w:tab w:val="left" w:pos="851"/>
          <w:tab w:val="left" w:pos="8505"/>
        </w:tabs>
        <w:spacing w:line="240" w:lineRule="auto"/>
        <w:ind w:left="851" w:right="902"/>
        <w:rPr>
          <w:rFonts w:cs="Arial"/>
          <w:bCs/>
          <w:i/>
          <w:szCs w:val="22"/>
        </w:rPr>
      </w:pPr>
      <w:r w:rsidRPr="00C949B2">
        <w:rPr>
          <w:rFonts w:cs="Arial"/>
          <w:bCs/>
          <w:i/>
          <w:szCs w:val="22"/>
        </w:rPr>
        <w:t xml:space="preserve">VII. Publicar las disposiciones que determine el H. Ayuntamiento y el presidente municipal, en la Gaceta Municipal; </w:t>
      </w:r>
    </w:p>
    <w:p w14:paraId="1248170F" w14:textId="77777777" w:rsidR="004F06D4" w:rsidRPr="00C949B2" w:rsidRDefault="00BB0DBB" w:rsidP="00C949B2">
      <w:pPr>
        <w:tabs>
          <w:tab w:val="left" w:pos="851"/>
          <w:tab w:val="left" w:pos="8505"/>
        </w:tabs>
        <w:spacing w:line="240" w:lineRule="auto"/>
        <w:ind w:left="851" w:right="902"/>
        <w:rPr>
          <w:rFonts w:cs="Arial"/>
          <w:bCs/>
          <w:i/>
          <w:szCs w:val="22"/>
        </w:rPr>
      </w:pPr>
      <w:r w:rsidRPr="00C949B2">
        <w:rPr>
          <w:rFonts w:cs="Arial"/>
          <w:bCs/>
          <w:i/>
          <w:szCs w:val="22"/>
        </w:rPr>
        <w:lastRenderedPageBreak/>
        <w:t xml:space="preserve">VIII. Intervenir y apoyar en la elaboración del proyecto del Bando Municipal, el Código Reglamentario Municipal de Toluca y demás disposiciones de carácter general; </w:t>
      </w:r>
    </w:p>
    <w:p w14:paraId="64A388D2" w14:textId="77777777" w:rsidR="004F06D4" w:rsidRPr="00C949B2" w:rsidRDefault="00BB0DBB" w:rsidP="00C949B2">
      <w:pPr>
        <w:tabs>
          <w:tab w:val="left" w:pos="851"/>
          <w:tab w:val="left" w:pos="8505"/>
        </w:tabs>
        <w:spacing w:line="240" w:lineRule="auto"/>
        <w:ind w:left="851" w:right="902"/>
        <w:rPr>
          <w:rFonts w:cs="Arial"/>
          <w:bCs/>
          <w:i/>
          <w:szCs w:val="22"/>
        </w:rPr>
      </w:pPr>
      <w:r w:rsidRPr="00C949B2">
        <w:rPr>
          <w:rFonts w:cs="Arial"/>
          <w:bCs/>
          <w:i/>
          <w:szCs w:val="22"/>
        </w:rPr>
        <w:t xml:space="preserve">IX. Intervenir y apoyar en la elaboración del Plan de Desarrollo Municipal; </w:t>
      </w:r>
    </w:p>
    <w:p w14:paraId="466A528E" w14:textId="77777777" w:rsidR="004F06D4" w:rsidRPr="00C949B2" w:rsidRDefault="00BB0DBB" w:rsidP="00C949B2">
      <w:pPr>
        <w:tabs>
          <w:tab w:val="left" w:pos="851"/>
          <w:tab w:val="left" w:pos="8505"/>
        </w:tabs>
        <w:spacing w:line="240" w:lineRule="auto"/>
        <w:ind w:left="851" w:right="902"/>
        <w:rPr>
          <w:rFonts w:cs="Arial"/>
          <w:bCs/>
          <w:i/>
          <w:szCs w:val="22"/>
        </w:rPr>
      </w:pPr>
      <w:r w:rsidRPr="00C949B2">
        <w:rPr>
          <w:rFonts w:cs="Arial"/>
          <w:bCs/>
          <w:i/>
          <w:szCs w:val="22"/>
        </w:rPr>
        <w:t xml:space="preserve">X. Tener a su cargo el Acervo </w:t>
      </w:r>
      <w:proofErr w:type="spellStart"/>
      <w:r w:rsidRPr="00C949B2">
        <w:rPr>
          <w:rFonts w:cs="Arial"/>
          <w:bCs/>
          <w:i/>
          <w:szCs w:val="22"/>
        </w:rPr>
        <w:t>Bibliohemerográfico</w:t>
      </w:r>
      <w:proofErr w:type="spellEnd"/>
      <w:r w:rsidRPr="00C949B2">
        <w:rPr>
          <w:rFonts w:cs="Arial"/>
          <w:bCs/>
          <w:i/>
          <w:szCs w:val="22"/>
        </w:rPr>
        <w:t xml:space="preserve"> con que cuenta el Archivo Histórico del Municipio para efectos de consulta; </w:t>
      </w:r>
    </w:p>
    <w:p w14:paraId="7FCEEAD9" w14:textId="77777777" w:rsidR="004F06D4" w:rsidRPr="00C949B2" w:rsidRDefault="00BB0DBB" w:rsidP="00C949B2">
      <w:pPr>
        <w:tabs>
          <w:tab w:val="left" w:pos="851"/>
          <w:tab w:val="left" w:pos="8505"/>
        </w:tabs>
        <w:spacing w:line="240" w:lineRule="auto"/>
        <w:ind w:left="851" w:right="902"/>
        <w:rPr>
          <w:rFonts w:cs="Arial"/>
          <w:bCs/>
          <w:i/>
          <w:szCs w:val="22"/>
        </w:rPr>
      </w:pPr>
      <w:r w:rsidRPr="00C949B2">
        <w:rPr>
          <w:rFonts w:cs="Arial"/>
          <w:bCs/>
          <w:i/>
          <w:szCs w:val="22"/>
        </w:rPr>
        <w:t>XI. Editar anualmente el Prontuario de Legislación Municipal;</w:t>
      </w:r>
    </w:p>
    <w:p w14:paraId="6D9C2378"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XII. Requerir a las demás áreas que integran la administración pública municipal la información que sea necesaria con motivo de la integración de los expedientes que sean puestos a consideración del Ayuntamiento o de las Comisiones; </w:t>
      </w:r>
    </w:p>
    <w:p w14:paraId="7D0C7CAB"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XIII. Operar la </w:t>
      </w:r>
      <w:proofErr w:type="spellStart"/>
      <w:r w:rsidRPr="00C949B2">
        <w:rPr>
          <w:rFonts w:cs="Arial"/>
          <w:bCs/>
          <w:i/>
          <w:szCs w:val="22"/>
        </w:rPr>
        <w:t>Preceptoría</w:t>
      </w:r>
      <w:proofErr w:type="spellEnd"/>
      <w:r w:rsidRPr="00C949B2">
        <w:rPr>
          <w:rFonts w:cs="Arial"/>
          <w:bCs/>
          <w:i/>
          <w:szCs w:val="22"/>
        </w:rPr>
        <w:t xml:space="preserve"> Juvenil Regional de Reintegración Social de Toluca; XIV. Emitir la constancia de notorio arraigo a los interesados que pretendan obtener el registro como Asociación Religiosa; </w:t>
      </w:r>
    </w:p>
    <w:p w14:paraId="1E8E1A13"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XV. Coordinar y establecer las técnicas administrativas necesarias para el manejo y control del archivo de concentración, dotar al área de los implementos necesarios para la clasificación, ordenación y mantenimiento del acervo documental; </w:t>
      </w:r>
    </w:p>
    <w:p w14:paraId="1052871B"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XVI. Establecer y difundir las políticas y lineamientos a seguir en materia de organización, operación y control de la documentación generada por las dependencias municipales; </w:t>
      </w:r>
    </w:p>
    <w:p w14:paraId="63D30621"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XVII. Controlar y distribuir la correspondencia oficial del Ayuntamiento, dando cuenta diaria al presidente municipal para acordar su trámite; </w:t>
      </w:r>
    </w:p>
    <w:p w14:paraId="3E5583FC"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XVIII. Coordinar acciones con autoridades de los diferentes ámbitos gubernamentales para la planeación, ejecución y difusión de programas para el desarrollo regional; </w:t>
      </w:r>
    </w:p>
    <w:p w14:paraId="4FB5EAFD" w14:textId="77777777" w:rsidR="004F06D4" w:rsidRPr="00C949B2" w:rsidRDefault="004F06D4" w:rsidP="00C949B2">
      <w:pPr>
        <w:tabs>
          <w:tab w:val="left" w:pos="851"/>
          <w:tab w:val="left" w:pos="8505"/>
        </w:tabs>
        <w:spacing w:line="240" w:lineRule="auto"/>
        <w:ind w:left="851" w:right="902"/>
        <w:rPr>
          <w:rFonts w:cs="Arial"/>
          <w:b/>
          <w:i/>
          <w:szCs w:val="22"/>
        </w:rPr>
      </w:pPr>
      <w:r w:rsidRPr="00C949B2">
        <w:rPr>
          <w:rFonts w:cs="Arial"/>
          <w:b/>
          <w:i/>
          <w:szCs w:val="22"/>
        </w:rPr>
        <w:t xml:space="preserve">XIX. Planear, organizar y realizar acciones de vinculación institucional, con organizaciones públicas y privadas; </w:t>
      </w:r>
    </w:p>
    <w:p w14:paraId="468AEB8A"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XX. Elaborar y resguardar los libros especiales de visitantes y de eventos, de los salones de Cabildos “Felipe Chávez Becerril”, Presidentes y Secretarios, así como registrar en los mismos, los hechos relevantes que se celebren en estos espacios; </w:t>
      </w:r>
    </w:p>
    <w:p w14:paraId="3979FEEE" w14:textId="77777777" w:rsidR="004F06D4" w:rsidRPr="00C949B2" w:rsidRDefault="004F06D4" w:rsidP="00C949B2">
      <w:pPr>
        <w:tabs>
          <w:tab w:val="left" w:pos="851"/>
          <w:tab w:val="left" w:pos="8505"/>
        </w:tabs>
        <w:spacing w:line="240" w:lineRule="auto"/>
        <w:ind w:left="851" w:right="902"/>
        <w:rPr>
          <w:rFonts w:cs="Arial"/>
          <w:b/>
          <w:i/>
          <w:szCs w:val="22"/>
        </w:rPr>
      </w:pPr>
      <w:r w:rsidRPr="00C949B2">
        <w:rPr>
          <w:rFonts w:cs="Arial"/>
          <w:b/>
          <w:i/>
          <w:szCs w:val="22"/>
        </w:rPr>
        <w:t xml:space="preserve">XXI. Mantener actualizado el inventario general de bienes muebles e inmuebles propiedad del municipio, en coordinación con la o el segundo síndico, en términos de la normatividad aplicable; </w:t>
      </w:r>
    </w:p>
    <w:p w14:paraId="60E6F16E" w14:textId="77777777" w:rsidR="004F06D4" w:rsidRPr="00C949B2" w:rsidRDefault="004F06D4" w:rsidP="00C949B2">
      <w:pPr>
        <w:tabs>
          <w:tab w:val="left" w:pos="851"/>
          <w:tab w:val="left" w:pos="8505"/>
        </w:tabs>
        <w:spacing w:line="240" w:lineRule="auto"/>
        <w:ind w:left="851" w:right="902"/>
        <w:rPr>
          <w:rFonts w:cs="Arial"/>
          <w:b/>
          <w:i/>
          <w:szCs w:val="22"/>
        </w:rPr>
      </w:pPr>
      <w:r w:rsidRPr="00C949B2">
        <w:rPr>
          <w:rFonts w:cs="Arial"/>
          <w:b/>
          <w:i/>
          <w:szCs w:val="22"/>
        </w:rPr>
        <w:t xml:space="preserve">XXII. Verificar la integración y actualización permanente de los libros de patrimonio inmobiliario, registrando las modificaciones por enajenación, cancelación, permutas, o cualquier circunstancia que se derive de los movimientos efectuados con los predios o inmuebles propiedad del municipio; </w:t>
      </w:r>
    </w:p>
    <w:p w14:paraId="36216815"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XXIII. Apoyar a la comisión edilicia transitoria en el proceso de elección de delegados, subdelegados y consejos de participación ciudadana; </w:t>
      </w:r>
    </w:p>
    <w:p w14:paraId="0FF0CD9C"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lastRenderedPageBreak/>
        <w:t xml:space="preserve">XXIV. Coordinar el proceso de elección de las y los delegados y subdelegados, consejos de participación ciudadana, de las y los jefes de manzana del municipio de Toluca y mantener comunicación permanente con estas autoridades, para coadyuvar en el desarrollo de sus programas de trabajo; </w:t>
      </w:r>
    </w:p>
    <w:p w14:paraId="0EE92F7E"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XXV. Fomentar el manejo transparente y adecuado de los recursos económicos que, de acuerdo a los programas o acciones que conforman su plan de trabajo, administren las delegadas o delegados, subdelegadas o subdelegados; </w:t>
      </w:r>
    </w:p>
    <w:p w14:paraId="12319F8A"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XXVI. Verificar que las delegadas o delegados, subdelegadas o subdelegados rindan un informe a sus representados y al ayuntamiento a través de la Comisión de Desarrollo Social, Participación Ciudadana y Apoyo al Migrante, así como que cumplan con las disposiciones legales aplicables en el ejercicio de sus funciones; XXVII. Coadyuvar con la consejería jurídica para el seguimiento a los procedimientos civiles, penales, administrativos y laborales, en los que se encuentren involucradas autoridades auxiliares con motivo de sus funciones; XXVIII. Hacer cumplir las disposiciones en materia de transparencia, acceso a la información pública y protección de datos personales, de conformidad a la normatividad aplicable;</w:t>
      </w:r>
    </w:p>
    <w:p w14:paraId="09213133"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XXIX. Coordinar lo relativo a la planeación para el desarrollo municipal; </w:t>
      </w:r>
    </w:p>
    <w:p w14:paraId="276BA31E" w14:textId="675D80C0"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XXX. Integrar los programas sectoriales, especiales y anuales que deriven del Plan de Desarrollo Municipal; </w:t>
      </w:r>
    </w:p>
    <w:p w14:paraId="347509BD"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XXXI. Impulsar acciones tendientes a la innovación y el desarrollo institucional en los procesos de la administración pública municipal; y </w:t>
      </w:r>
    </w:p>
    <w:p w14:paraId="641A8DB0" w14:textId="77777777" w:rsidR="004F06D4" w:rsidRPr="00C949B2" w:rsidRDefault="004F06D4" w:rsidP="00C949B2">
      <w:pPr>
        <w:tabs>
          <w:tab w:val="left" w:pos="851"/>
          <w:tab w:val="left" w:pos="8505"/>
        </w:tabs>
        <w:spacing w:line="240" w:lineRule="auto"/>
        <w:ind w:left="851" w:right="902"/>
        <w:rPr>
          <w:rFonts w:cs="Arial"/>
          <w:bCs/>
          <w:i/>
          <w:szCs w:val="22"/>
        </w:rPr>
      </w:pPr>
      <w:r w:rsidRPr="00C949B2">
        <w:rPr>
          <w:rFonts w:cs="Arial"/>
          <w:bCs/>
          <w:i/>
          <w:szCs w:val="22"/>
        </w:rPr>
        <w:t xml:space="preserve">XXXII. Las demás que le confieran otros ordenamientos jurídicos, el Ayuntamiento y el presidente municipal. </w:t>
      </w:r>
    </w:p>
    <w:p w14:paraId="3339324A" w14:textId="77777777" w:rsidR="004F06D4" w:rsidRPr="00C949B2" w:rsidRDefault="004F06D4" w:rsidP="00C949B2">
      <w:pPr>
        <w:tabs>
          <w:tab w:val="left" w:pos="851"/>
          <w:tab w:val="left" w:pos="8505"/>
        </w:tabs>
        <w:spacing w:line="240" w:lineRule="auto"/>
        <w:ind w:left="851" w:right="902"/>
        <w:rPr>
          <w:rFonts w:cs="Arial"/>
          <w:bCs/>
          <w:i/>
          <w:szCs w:val="22"/>
        </w:rPr>
      </w:pPr>
    </w:p>
    <w:p w14:paraId="36847C30" w14:textId="69BA82CF" w:rsidR="00C20D85" w:rsidRPr="00C949B2" w:rsidRDefault="004F06D4" w:rsidP="00C949B2">
      <w:pPr>
        <w:tabs>
          <w:tab w:val="left" w:pos="851"/>
          <w:tab w:val="left" w:pos="8505"/>
        </w:tabs>
        <w:spacing w:line="240" w:lineRule="auto"/>
        <w:ind w:left="851" w:right="902"/>
        <w:rPr>
          <w:rFonts w:cs="Arial"/>
          <w:i/>
          <w:szCs w:val="22"/>
        </w:rPr>
      </w:pPr>
      <w:r w:rsidRPr="00C949B2">
        <w:rPr>
          <w:rFonts w:cs="Arial"/>
          <w:b/>
          <w:i/>
          <w:szCs w:val="22"/>
        </w:rPr>
        <w:t>Artículo 3.12</w:t>
      </w:r>
      <w:r w:rsidRPr="00C949B2">
        <w:rPr>
          <w:rFonts w:cs="Arial"/>
          <w:bCs/>
          <w:i/>
          <w:szCs w:val="22"/>
        </w:rPr>
        <w:t>. La Secretaría del Ayuntamiento, para el cumplimiento de sus atribuciones, se auxiliará de la Consejería Jurídica, Coordinación General de Delegaciones y Autoridades Auxiliares, la Unidad de Información, Planeación, Programación y Evaluación y las demás unidades administrativas necesarias para el cumplimiento de sus atribuciones.</w:t>
      </w:r>
      <w:r w:rsidR="00C20D85" w:rsidRPr="00C949B2">
        <w:rPr>
          <w:rFonts w:cs="Arial"/>
          <w:bCs/>
          <w:i/>
          <w:szCs w:val="22"/>
        </w:rPr>
        <w:t>”</w:t>
      </w:r>
      <w:r w:rsidR="00C20D85" w:rsidRPr="00C949B2">
        <w:rPr>
          <w:rFonts w:cs="Arial"/>
          <w:i/>
          <w:szCs w:val="22"/>
        </w:rPr>
        <w:t xml:space="preserve"> </w:t>
      </w:r>
    </w:p>
    <w:p w14:paraId="24DF0B07" w14:textId="1DCEA43E" w:rsidR="00C20D85" w:rsidRPr="00C949B2" w:rsidRDefault="00C20D85" w:rsidP="00C949B2">
      <w:pPr>
        <w:spacing w:after="240"/>
        <w:ind w:right="-93"/>
      </w:pPr>
    </w:p>
    <w:p w14:paraId="1B7F8D82" w14:textId="561ACAA6" w:rsidR="004F06D4" w:rsidRPr="00C949B2" w:rsidRDefault="004F06D4" w:rsidP="00C949B2">
      <w:pPr>
        <w:spacing w:after="240"/>
        <w:ind w:right="-93"/>
      </w:pPr>
      <w:r w:rsidRPr="00C949B2">
        <w:t xml:space="preserve">Por lo que, una vez acreditada la naturaleza de la información y la fuente obligacional para que </w:t>
      </w:r>
      <w:r w:rsidRPr="00C949B2">
        <w:rPr>
          <w:b/>
        </w:rPr>
        <w:t>EL SUJETO OBLIGADO</w:t>
      </w:r>
      <w:r w:rsidRPr="00C949B2">
        <w:t xml:space="preserve"> cuente con la misma, se observa que en su respuesta el ente recurrido refirió que dicha información se clasificó como reservada, en atención a que se encontraba en un procedimiento administrativo.</w:t>
      </w:r>
    </w:p>
    <w:p w14:paraId="5DD7D26B" w14:textId="77777777" w:rsidR="004F06D4" w:rsidRPr="00C949B2" w:rsidRDefault="004F06D4" w:rsidP="00C949B2">
      <w:pPr>
        <w:spacing w:before="240" w:after="160"/>
      </w:pPr>
      <w:r w:rsidRPr="00C949B2">
        <w:lastRenderedPageBreak/>
        <w:t>Así se destaca que la clasificación debe de concebirse</w:t>
      </w:r>
      <w:r w:rsidRPr="00C949B2">
        <w:rPr>
          <w:i/>
        </w:rPr>
        <w:t xml:space="preserve"> </w:t>
      </w:r>
      <w:r w:rsidRPr="00C949B2">
        <w:t xml:space="preserve">como el acto administrativo mediante el cual los </w:t>
      </w:r>
      <w:r w:rsidRPr="00C949B2">
        <w:rPr>
          <w:b/>
        </w:rPr>
        <w:t xml:space="preserve">Sujetos Obligados </w:t>
      </w:r>
      <w:r w:rsidRPr="00C949B2">
        <w:t xml:space="preserve">determinan que la información requerida actualiza alguno de los supuestos de confidencialidad </w:t>
      </w:r>
      <w:r w:rsidRPr="00C949B2">
        <w:rPr>
          <w:b/>
        </w:rPr>
        <w:t xml:space="preserve">o </w:t>
      </w:r>
      <w:r w:rsidRPr="00C949B2">
        <w:rPr>
          <w:b/>
          <w:u w:val="single"/>
        </w:rPr>
        <w:t>reserva,</w:t>
      </w:r>
      <w:r w:rsidRPr="00C949B2">
        <w:rPr>
          <w:b/>
        </w:rPr>
        <w:t xml:space="preserve"> </w:t>
      </w:r>
      <w:r w:rsidRPr="00C949B2">
        <w:t xml:space="preserve">de acuerdo con las bases y los principios inmersos en la normatividad aplicable. </w:t>
      </w:r>
    </w:p>
    <w:p w14:paraId="70A4944E" w14:textId="77777777" w:rsidR="004F06D4" w:rsidRPr="00C949B2" w:rsidRDefault="004F06D4" w:rsidP="00C949B2">
      <w:pPr>
        <w:spacing w:after="240"/>
        <w:rPr>
          <w:b/>
        </w:rPr>
      </w:pPr>
      <w:r w:rsidRPr="00C949B2">
        <w:t xml:space="preserve">Luego entonces, para realizar la reserva de la información, no basta con invocar alguna de las causales previstas en la Ley de transparencia local. En sentido contrario, dicha valoración debe realizarse a través de lo que se conoce como </w:t>
      </w:r>
      <w:r w:rsidRPr="00C949B2">
        <w:rPr>
          <w:b/>
          <w:i/>
        </w:rPr>
        <w:t xml:space="preserve">“prueba de daño”, </w:t>
      </w:r>
      <w:r w:rsidRPr="00C949B2">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suposiciones, sino en elementos objetivos que deban evaluar que existe un riego actual e inminente.</w:t>
      </w:r>
    </w:p>
    <w:p w14:paraId="6A24E01A" w14:textId="77777777" w:rsidR="004F06D4" w:rsidRPr="00C949B2" w:rsidRDefault="004F06D4" w:rsidP="00C949B2">
      <w:pPr>
        <w:spacing w:after="240"/>
        <w:rPr>
          <w:b/>
        </w:rPr>
      </w:pPr>
      <w:r w:rsidRPr="00C949B2">
        <w:t>En virtud de lo anterior, se desprende que los Acuerdos de Reserva deberán de cumplir parámetros de forma y fondo, los cuales se abordan a continuación:</w:t>
      </w:r>
    </w:p>
    <w:tbl>
      <w:tblPr>
        <w:tblW w:w="9165"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3075"/>
        <w:gridCol w:w="4140"/>
      </w:tblGrid>
      <w:tr w:rsidR="00C949B2" w:rsidRPr="00C949B2" w14:paraId="68DA303A" w14:textId="77777777" w:rsidTr="004F06D4">
        <w:trPr>
          <w:tblHeader/>
        </w:trPr>
        <w:tc>
          <w:tcPr>
            <w:tcW w:w="1950" w:type="dxa"/>
            <w:shd w:val="clear" w:color="auto" w:fill="A6A6A6"/>
          </w:tcPr>
          <w:p w14:paraId="05E682F5" w14:textId="77777777" w:rsidR="004F06D4" w:rsidRPr="00C949B2" w:rsidRDefault="004F06D4" w:rsidP="00C949B2">
            <w:pPr>
              <w:spacing w:line="259" w:lineRule="auto"/>
              <w:ind w:right="49"/>
              <w:jc w:val="center"/>
              <w:rPr>
                <w:b/>
                <w:sz w:val="17"/>
                <w:szCs w:val="17"/>
              </w:rPr>
            </w:pPr>
            <w:r w:rsidRPr="00C949B2">
              <w:rPr>
                <w:b/>
                <w:sz w:val="17"/>
                <w:szCs w:val="17"/>
              </w:rPr>
              <w:t>Requisito</w:t>
            </w:r>
          </w:p>
        </w:tc>
        <w:tc>
          <w:tcPr>
            <w:tcW w:w="3075" w:type="dxa"/>
            <w:shd w:val="clear" w:color="auto" w:fill="A6A6A6"/>
            <w:vAlign w:val="bottom"/>
          </w:tcPr>
          <w:p w14:paraId="773AA60D" w14:textId="77777777" w:rsidR="004F06D4" w:rsidRPr="00C949B2" w:rsidRDefault="004F06D4" w:rsidP="00C949B2">
            <w:pPr>
              <w:spacing w:line="259" w:lineRule="auto"/>
              <w:ind w:right="49"/>
              <w:jc w:val="center"/>
              <w:rPr>
                <w:b/>
                <w:sz w:val="17"/>
                <w:szCs w:val="17"/>
              </w:rPr>
            </w:pPr>
            <w:r w:rsidRPr="00C949B2">
              <w:rPr>
                <w:b/>
                <w:sz w:val="17"/>
                <w:szCs w:val="17"/>
              </w:rPr>
              <w:t>Cumplió:</w:t>
            </w:r>
          </w:p>
        </w:tc>
        <w:tc>
          <w:tcPr>
            <w:tcW w:w="4140" w:type="dxa"/>
            <w:shd w:val="clear" w:color="auto" w:fill="A6A6A6"/>
            <w:vAlign w:val="bottom"/>
          </w:tcPr>
          <w:p w14:paraId="200131A4" w14:textId="77777777" w:rsidR="004F06D4" w:rsidRPr="00C949B2" w:rsidRDefault="004F06D4" w:rsidP="00C949B2">
            <w:pPr>
              <w:spacing w:line="259" w:lineRule="auto"/>
              <w:ind w:right="49"/>
              <w:jc w:val="center"/>
              <w:rPr>
                <w:b/>
                <w:sz w:val="17"/>
                <w:szCs w:val="17"/>
              </w:rPr>
            </w:pPr>
            <w:r w:rsidRPr="00C949B2">
              <w:rPr>
                <w:b/>
                <w:sz w:val="17"/>
                <w:szCs w:val="17"/>
              </w:rPr>
              <w:t>Contenido</w:t>
            </w:r>
          </w:p>
        </w:tc>
      </w:tr>
      <w:tr w:rsidR="00C949B2" w:rsidRPr="00C949B2" w14:paraId="1BB112CA" w14:textId="77777777" w:rsidTr="00EC74E6">
        <w:tc>
          <w:tcPr>
            <w:tcW w:w="1950" w:type="dxa"/>
            <w:shd w:val="clear" w:color="auto" w:fill="A6A6A6"/>
            <w:vAlign w:val="center"/>
          </w:tcPr>
          <w:p w14:paraId="1578FE22" w14:textId="77777777" w:rsidR="004F06D4" w:rsidRPr="00C949B2" w:rsidRDefault="004F06D4" w:rsidP="00C949B2">
            <w:pPr>
              <w:spacing w:line="259" w:lineRule="auto"/>
              <w:ind w:right="49"/>
              <w:jc w:val="center"/>
              <w:rPr>
                <w:b/>
                <w:sz w:val="17"/>
                <w:szCs w:val="17"/>
              </w:rPr>
            </w:pPr>
            <w:r w:rsidRPr="00C949B2">
              <w:rPr>
                <w:b/>
                <w:sz w:val="17"/>
                <w:szCs w:val="17"/>
              </w:rPr>
              <w:t>Número de folio de las solicitudes</w:t>
            </w:r>
          </w:p>
        </w:tc>
        <w:tc>
          <w:tcPr>
            <w:tcW w:w="3075" w:type="dxa"/>
            <w:vAlign w:val="center"/>
          </w:tcPr>
          <w:p w14:paraId="5DBA28C1" w14:textId="77777777" w:rsidR="004F06D4" w:rsidRPr="00C949B2" w:rsidRDefault="004F06D4" w:rsidP="00C949B2">
            <w:pPr>
              <w:spacing w:line="259" w:lineRule="auto"/>
              <w:ind w:right="49"/>
              <w:jc w:val="center"/>
              <w:rPr>
                <w:b/>
                <w:sz w:val="17"/>
                <w:szCs w:val="17"/>
              </w:rPr>
            </w:pPr>
            <w:r w:rsidRPr="00C949B2">
              <w:rPr>
                <w:b/>
                <w:sz w:val="17"/>
                <w:szCs w:val="17"/>
              </w:rPr>
              <w:t>Sí</w:t>
            </w:r>
          </w:p>
        </w:tc>
        <w:tc>
          <w:tcPr>
            <w:tcW w:w="4140" w:type="dxa"/>
            <w:vAlign w:val="center"/>
          </w:tcPr>
          <w:p w14:paraId="49BA5C1D" w14:textId="55F4D563" w:rsidR="004F06D4" w:rsidRPr="00C949B2" w:rsidRDefault="004F06D4" w:rsidP="00C949B2">
            <w:pPr>
              <w:spacing w:line="259" w:lineRule="auto"/>
              <w:ind w:right="49"/>
              <w:jc w:val="center"/>
              <w:rPr>
                <w:b/>
                <w:sz w:val="17"/>
                <w:szCs w:val="17"/>
              </w:rPr>
            </w:pPr>
            <w:r w:rsidRPr="00C949B2">
              <w:rPr>
                <w:b/>
                <w:noProof/>
                <w:sz w:val="17"/>
                <w:szCs w:val="17"/>
                <w:lang w:eastAsia="es-MX"/>
              </w:rPr>
              <w:drawing>
                <wp:inline distT="0" distB="0" distL="0" distR="0" wp14:anchorId="2CAB0A36" wp14:editId="5F30FB88">
                  <wp:extent cx="2282343" cy="1102202"/>
                  <wp:effectExtent l="0" t="0" r="381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83331" cy="1102679"/>
                          </a:xfrm>
                          <a:prstGeom prst="rect">
                            <a:avLst/>
                          </a:prstGeom>
                        </pic:spPr>
                      </pic:pic>
                    </a:graphicData>
                  </a:graphic>
                </wp:inline>
              </w:drawing>
            </w:r>
          </w:p>
          <w:p w14:paraId="0D6CA2E0" w14:textId="061F257A" w:rsidR="004F06D4" w:rsidRPr="00C949B2" w:rsidRDefault="004F06D4" w:rsidP="00C949B2">
            <w:pPr>
              <w:spacing w:line="259" w:lineRule="auto"/>
              <w:ind w:right="49"/>
              <w:rPr>
                <w:b/>
                <w:sz w:val="17"/>
                <w:szCs w:val="17"/>
              </w:rPr>
            </w:pPr>
          </w:p>
        </w:tc>
      </w:tr>
      <w:tr w:rsidR="00C949B2" w:rsidRPr="00C949B2" w14:paraId="206552AB" w14:textId="77777777" w:rsidTr="00EC74E6">
        <w:trPr>
          <w:trHeight w:val="1825"/>
        </w:trPr>
        <w:tc>
          <w:tcPr>
            <w:tcW w:w="1950" w:type="dxa"/>
            <w:shd w:val="clear" w:color="auto" w:fill="A6A6A6"/>
            <w:vAlign w:val="center"/>
          </w:tcPr>
          <w:p w14:paraId="732A97B0" w14:textId="77777777" w:rsidR="004F06D4" w:rsidRPr="00C949B2" w:rsidRDefault="004F06D4" w:rsidP="00C949B2">
            <w:pPr>
              <w:spacing w:line="259" w:lineRule="auto"/>
              <w:ind w:right="49"/>
              <w:jc w:val="center"/>
              <w:rPr>
                <w:b/>
                <w:sz w:val="17"/>
                <w:szCs w:val="17"/>
              </w:rPr>
            </w:pPr>
            <w:r w:rsidRPr="00C949B2">
              <w:rPr>
                <w:b/>
                <w:sz w:val="17"/>
                <w:szCs w:val="17"/>
              </w:rPr>
              <w:t>Referencia de la información solicitada</w:t>
            </w:r>
          </w:p>
        </w:tc>
        <w:tc>
          <w:tcPr>
            <w:tcW w:w="3075" w:type="dxa"/>
            <w:vAlign w:val="center"/>
          </w:tcPr>
          <w:p w14:paraId="440A1FA4" w14:textId="77777777" w:rsidR="004F06D4" w:rsidRPr="00C949B2" w:rsidRDefault="004F06D4" w:rsidP="00C949B2">
            <w:pPr>
              <w:spacing w:line="259" w:lineRule="auto"/>
              <w:ind w:right="49"/>
              <w:jc w:val="center"/>
              <w:rPr>
                <w:sz w:val="17"/>
                <w:szCs w:val="17"/>
              </w:rPr>
            </w:pPr>
            <w:r w:rsidRPr="00C949B2">
              <w:rPr>
                <w:b/>
                <w:sz w:val="17"/>
                <w:szCs w:val="17"/>
              </w:rPr>
              <w:t>Sí</w:t>
            </w:r>
          </w:p>
        </w:tc>
        <w:tc>
          <w:tcPr>
            <w:tcW w:w="4140" w:type="dxa"/>
            <w:vAlign w:val="center"/>
          </w:tcPr>
          <w:p w14:paraId="536CB536" w14:textId="4E3DEF29" w:rsidR="004F06D4" w:rsidRPr="00C949B2" w:rsidRDefault="004F06D4" w:rsidP="00C949B2">
            <w:pPr>
              <w:spacing w:line="259" w:lineRule="auto"/>
              <w:ind w:right="49"/>
              <w:rPr>
                <w:b/>
                <w:sz w:val="17"/>
                <w:szCs w:val="17"/>
              </w:rPr>
            </w:pPr>
          </w:p>
          <w:p w14:paraId="0C70C245" w14:textId="1150B64F" w:rsidR="004F06D4" w:rsidRPr="00C949B2" w:rsidRDefault="00090B6B" w:rsidP="00C949B2">
            <w:pPr>
              <w:spacing w:line="259" w:lineRule="auto"/>
              <w:ind w:right="49"/>
              <w:rPr>
                <w:b/>
                <w:sz w:val="17"/>
                <w:szCs w:val="17"/>
              </w:rPr>
            </w:pPr>
            <w:r w:rsidRPr="00C949B2">
              <w:rPr>
                <w:b/>
                <w:noProof/>
                <w:sz w:val="17"/>
                <w:szCs w:val="17"/>
                <w:lang w:eastAsia="es-MX"/>
              </w:rPr>
              <w:drawing>
                <wp:inline distT="0" distB="0" distL="0" distR="0" wp14:anchorId="606E9F42" wp14:editId="0EE0876A">
                  <wp:extent cx="2282343" cy="1102202"/>
                  <wp:effectExtent l="0" t="0" r="381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83331" cy="1102679"/>
                          </a:xfrm>
                          <a:prstGeom prst="rect">
                            <a:avLst/>
                          </a:prstGeom>
                        </pic:spPr>
                      </pic:pic>
                    </a:graphicData>
                  </a:graphic>
                </wp:inline>
              </w:drawing>
            </w:r>
          </w:p>
          <w:p w14:paraId="5CD988E3" w14:textId="3E384F8D" w:rsidR="004F06D4" w:rsidRPr="00C949B2" w:rsidRDefault="004F06D4" w:rsidP="00C949B2">
            <w:pPr>
              <w:spacing w:line="259" w:lineRule="auto"/>
              <w:ind w:right="49"/>
              <w:rPr>
                <w:b/>
                <w:sz w:val="17"/>
                <w:szCs w:val="17"/>
              </w:rPr>
            </w:pPr>
          </w:p>
        </w:tc>
      </w:tr>
      <w:tr w:rsidR="00C949B2" w:rsidRPr="00C949B2" w14:paraId="5811A7DC" w14:textId="77777777" w:rsidTr="00EC74E6">
        <w:tc>
          <w:tcPr>
            <w:tcW w:w="1950" w:type="dxa"/>
            <w:shd w:val="clear" w:color="auto" w:fill="A6A6A6"/>
            <w:vAlign w:val="center"/>
          </w:tcPr>
          <w:p w14:paraId="6A213AAB" w14:textId="77777777" w:rsidR="004F06D4" w:rsidRPr="00C949B2" w:rsidRDefault="004F06D4" w:rsidP="00C949B2">
            <w:pPr>
              <w:spacing w:line="259" w:lineRule="auto"/>
              <w:ind w:right="49"/>
              <w:jc w:val="center"/>
              <w:rPr>
                <w:b/>
                <w:sz w:val="17"/>
                <w:szCs w:val="17"/>
              </w:rPr>
            </w:pPr>
            <w:r w:rsidRPr="00C949B2">
              <w:rPr>
                <w:b/>
                <w:sz w:val="17"/>
                <w:szCs w:val="17"/>
              </w:rPr>
              <w:lastRenderedPageBreak/>
              <w:t>Causal aplicable del artículo 113 de la Ley General, vinculándola con el Lineamiento específico del presente ordenamiento y, cuando corresponda, el supuesto normativo que expresamente le otorga el carácter de información reservada</w:t>
            </w:r>
          </w:p>
        </w:tc>
        <w:tc>
          <w:tcPr>
            <w:tcW w:w="3075" w:type="dxa"/>
            <w:vAlign w:val="center"/>
          </w:tcPr>
          <w:p w14:paraId="17D49614" w14:textId="50207A66" w:rsidR="004F06D4" w:rsidRPr="00C949B2" w:rsidRDefault="00090B6B" w:rsidP="00C949B2">
            <w:pPr>
              <w:spacing w:line="259" w:lineRule="auto"/>
              <w:ind w:right="49"/>
              <w:jc w:val="center"/>
              <w:rPr>
                <w:b/>
                <w:sz w:val="17"/>
                <w:szCs w:val="17"/>
              </w:rPr>
            </w:pPr>
            <w:r w:rsidRPr="00C949B2">
              <w:rPr>
                <w:b/>
                <w:sz w:val="17"/>
                <w:szCs w:val="17"/>
              </w:rPr>
              <w:t>Si</w:t>
            </w:r>
            <w:r w:rsidR="004F06D4" w:rsidRPr="00C949B2">
              <w:rPr>
                <w:b/>
                <w:sz w:val="17"/>
                <w:szCs w:val="17"/>
              </w:rPr>
              <w:t xml:space="preserve"> </w:t>
            </w:r>
          </w:p>
          <w:p w14:paraId="58B6E643" w14:textId="0050A7CB" w:rsidR="004F06D4" w:rsidRPr="00C949B2" w:rsidRDefault="004F06D4" w:rsidP="00C949B2">
            <w:pPr>
              <w:spacing w:line="259" w:lineRule="auto"/>
              <w:ind w:right="49"/>
              <w:rPr>
                <w:sz w:val="17"/>
                <w:szCs w:val="17"/>
              </w:rPr>
            </w:pPr>
          </w:p>
        </w:tc>
        <w:tc>
          <w:tcPr>
            <w:tcW w:w="4140" w:type="dxa"/>
            <w:vAlign w:val="center"/>
          </w:tcPr>
          <w:p w14:paraId="7BAC72C6" w14:textId="2AD6D409" w:rsidR="004F06D4" w:rsidRPr="00C949B2" w:rsidRDefault="00090B6B" w:rsidP="00C949B2">
            <w:pPr>
              <w:spacing w:line="259" w:lineRule="auto"/>
              <w:ind w:right="49"/>
              <w:rPr>
                <w:sz w:val="17"/>
                <w:szCs w:val="17"/>
              </w:rPr>
            </w:pPr>
            <w:r w:rsidRPr="00C949B2">
              <w:rPr>
                <w:noProof/>
                <w:sz w:val="17"/>
                <w:szCs w:val="17"/>
                <w:lang w:eastAsia="es-MX"/>
              </w:rPr>
              <w:drawing>
                <wp:inline distT="0" distB="0" distL="0" distR="0" wp14:anchorId="0E912AD3" wp14:editId="7224940D">
                  <wp:extent cx="2491740" cy="429895"/>
                  <wp:effectExtent l="0" t="0" r="381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91740" cy="429895"/>
                          </a:xfrm>
                          <a:prstGeom prst="rect">
                            <a:avLst/>
                          </a:prstGeom>
                        </pic:spPr>
                      </pic:pic>
                    </a:graphicData>
                  </a:graphic>
                </wp:inline>
              </w:drawing>
            </w:r>
          </w:p>
          <w:p w14:paraId="490B7844" w14:textId="1EABE67D" w:rsidR="00090B6B" w:rsidRPr="00C949B2" w:rsidRDefault="00090B6B" w:rsidP="00C949B2">
            <w:pPr>
              <w:spacing w:line="259" w:lineRule="auto"/>
              <w:ind w:right="49"/>
              <w:rPr>
                <w:sz w:val="17"/>
                <w:szCs w:val="17"/>
              </w:rPr>
            </w:pPr>
            <w:r w:rsidRPr="00C949B2">
              <w:rPr>
                <w:noProof/>
                <w:sz w:val="17"/>
                <w:szCs w:val="17"/>
                <w:lang w:eastAsia="es-MX"/>
              </w:rPr>
              <w:drawing>
                <wp:inline distT="0" distB="0" distL="0" distR="0" wp14:anchorId="43B61623" wp14:editId="3B7C168E">
                  <wp:extent cx="2491740" cy="223520"/>
                  <wp:effectExtent l="0" t="0" r="381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91740" cy="223520"/>
                          </a:xfrm>
                          <a:prstGeom prst="rect">
                            <a:avLst/>
                          </a:prstGeom>
                        </pic:spPr>
                      </pic:pic>
                    </a:graphicData>
                  </a:graphic>
                </wp:inline>
              </w:drawing>
            </w:r>
          </w:p>
        </w:tc>
      </w:tr>
      <w:tr w:rsidR="00C949B2" w:rsidRPr="00C949B2" w14:paraId="392E88D2" w14:textId="77777777" w:rsidTr="00EC74E6">
        <w:tc>
          <w:tcPr>
            <w:tcW w:w="1950" w:type="dxa"/>
            <w:shd w:val="clear" w:color="auto" w:fill="A6A6A6"/>
            <w:vAlign w:val="center"/>
          </w:tcPr>
          <w:p w14:paraId="386196FD" w14:textId="77777777" w:rsidR="004F06D4" w:rsidRPr="00C949B2" w:rsidRDefault="004F06D4" w:rsidP="00C949B2">
            <w:pPr>
              <w:spacing w:line="259" w:lineRule="auto"/>
              <w:ind w:right="49"/>
              <w:jc w:val="center"/>
              <w:rPr>
                <w:b/>
                <w:sz w:val="17"/>
                <w:szCs w:val="17"/>
              </w:rPr>
            </w:pPr>
            <w:r w:rsidRPr="00C949B2">
              <w:rPr>
                <w:b/>
                <w:sz w:val="17"/>
                <w:szCs w:val="17"/>
              </w:rPr>
              <w:t>Fundamento y Motivación Legal</w:t>
            </w:r>
          </w:p>
        </w:tc>
        <w:tc>
          <w:tcPr>
            <w:tcW w:w="3075" w:type="dxa"/>
            <w:vAlign w:val="center"/>
          </w:tcPr>
          <w:p w14:paraId="12EA2940" w14:textId="77777777" w:rsidR="004F06D4" w:rsidRPr="00C949B2" w:rsidRDefault="004F06D4" w:rsidP="00C949B2">
            <w:pPr>
              <w:spacing w:line="259" w:lineRule="auto"/>
              <w:ind w:right="49"/>
              <w:jc w:val="center"/>
              <w:rPr>
                <w:b/>
                <w:sz w:val="17"/>
                <w:szCs w:val="17"/>
              </w:rPr>
            </w:pPr>
            <w:r w:rsidRPr="00C949B2">
              <w:rPr>
                <w:b/>
                <w:sz w:val="17"/>
                <w:szCs w:val="17"/>
              </w:rPr>
              <w:t>Parcialmente.</w:t>
            </w:r>
          </w:p>
          <w:p w14:paraId="3C3D3EB6" w14:textId="77777777" w:rsidR="004F06D4" w:rsidRPr="00C949B2" w:rsidRDefault="004F06D4" w:rsidP="00C949B2">
            <w:pPr>
              <w:spacing w:line="259" w:lineRule="auto"/>
              <w:ind w:right="49"/>
              <w:jc w:val="center"/>
              <w:rPr>
                <w:b/>
                <w:sz w:val="17"/>
                <w:szCs w:val="17"/>
              </w:rPr>
            </w:pPr>
          </w:p>
          <w:p w14:paraId="149BAA61" w14:textId="5EB36ED2" w:rsidR="004F06D4" w:rsidRPr="00C949B2" w:rsidRDefault="004F06D4" w:rsidP="00C949B2">
            <w:pPr>
              <w:spacing w:line="240" w:lineRule="auto"/>
              <w:ind w:right="49"/>
              <w:rPr>
                <w:sz w:val="17"/>
                <w:szCs w:val="17"/>
              </w:rPr>
            </w:pPr>
            <w:r w:rsidRPr="00C949B2">
              <w:rPr>
                <w:sz w:val="17"/>
                <w:szCs w:val="17"/>
              </w:rPr>
              <w:t>Se citan la fracción V</w:t>
            </w:r>
            <w:r w:rsidR="0013137D" w:rsidRPr="00C949B2">
              <w:rPr>
                <w:sz w:val="17"/>
                <w:szCs w:val="17"/>
              </w:rPr>
              <w:t>II</w:t>
            </w:r>
            <w:r w:rsidRPr="00C949B2">
              <w:rPr>
                <w:sz w:val="17"/>
                <w:szCs w:val="17"/>
              </w:rPr>
              <w:t xml:space="preserve"> numeral del artículo </w:t>
            </w:r>
            <w:r w:rsidR="0013137D" w:rsidRPr="00C949B2">
              <w:rPr>
                <w:sz w:val="17"/>
                <w:szCs w:val="17"/>
              </w:rPr>
              <w:t>113</w:t>
            </w:r>
            <w:r w:rsidRPr="00C949B2">
              <w:rPr>
                <w:sz w:val="17"/>
                <w:szCs w:val="17"/>
              </w:rPr>
              <w:t xml:space="preserve"> de dicha Ley, al tratarse </w:t>
            </w:r>
            <w:r w:rsidR="0013137D" w:rsidRPr="00C949B2">
              <w:rPr>
                <w:sz w:val="17"/>
                <w:szCs w:val="17"/>
              </w:rPr>
              <w:t>de información que contenga las opiniones, recomendaciones o puntos de vista que formen parte del proceso deliberativo de los servidores públicos, hasta en tanto no sea adoptada la decisión definitiva, la cual deberá estar documentada</w:t>
            </w:r>
          </w:p>
          <w:p w14:paraId="32E4120C" w14:textId="77777777" w:rsidR="004F06D4" w:rsidRPr="00C949B2" w:rsidRDefault="004F06D4" w:rsidP="00C949B2">
            <w:pPr>
              <w:spacing w:line="259" w:lineRule="auto"/>
              <w:ind w:right="49"/>
              <w:rPr>
                <w:sz w:val="17"/>
                <w:szCs w:val="17"/>
              </w:rPr>
            </w:pPr>
          </w:p>
          <w:p w14:paraId="5E645D59" w14:textId="42A79D37" w:rsidR="004F06D4" w:rsidRPr="00C949B2" w:rsidRDefault="0013137D" w:rsidP="00C949B2">
            <w:pPr>
              <w:spacing w:line="259" w:lineRule="auto"/>
              <w:ind w:right="49"/>
              <w:rPr>
                <w:sz w:val="17"/>
                <w:szCs w:val="17"/>
              </w:rPr>
            </w:pPr>
            <w:r w:rsidRPr="00C949B2">
              <w:rPr>
                <w:sz w:val="17"/>
                <w:szCs w:val="17"/>
              </w:rPr>
              <w:t xml:space="preserve">Y se termina transcribiendo la fracción VI de información cuya divulgación a criterio del </w:t>
            </w:r>
            <w:r w:rsidRPr="00C949B2">
              <w:rPr>
                <w:b/>
                <w:sz w:val="17"/>
                <w:szCs w:val="17"/>
              </w:rPr>
              <w:t xml:space="preserve">Sujeto Obligado </w:t>
            </w:r>
            <w:r w:rsidRPr="00C949B2">
              <w:rPr>
                <w:sz w:val="17"/>
                <w:szCs w:val="17"/>
              </w:rPr>
              <w:t>puede obstruir la prevención o persecución de los delitos.</w:t>
            </w:r>
          </w:p>
        </w:tc>
        <w:tc>
          <w:tcPr>
            <w:tcW w:w="4140" w:type="dxa"/>
            <w:vAlign w:val="center"/>
          </w:tcPr>
          <w:p w14:paraId="4B5E0190" w14:textId="76F7D6F5" w:rsidR="004F06D4" w:rsidRPr="00C949B2" w:rsidRDefault="0013137D" w:rsidP="00C949B2">
            <w:pPr>
              <w:spacing w:line="259" w:lineRule="auto"/>
              <w:ind w:right="49"/>
              <w:rPr>
                <w:b/>
                <w:sz w:val="17"/>
                <w:szCs w:val="17"/>
              </w:rPr>
            </w:pPr>
            <w:r w:rsidRPr="00C949B2">
              <w:rPr>
                <w:b/>
                <w:noProof/>
                <w:sz w:val="17"/>
                <w:szCs w:val="17"/>
                <w:lang w:eastAsia="es-MX"/>
              </w:rPr>
              <w:drawing>
                <wp:inline distT="0" distB="0" distL="0" distR="0" wp14:anchorId="1CFE737C" wp14:editId="68A126E6">
                  <wp:extent cx="2491740" cy="1254125"/>
                  <wp:effectExtent l="0" t="0" r="381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91740" cy="1254125"/>
                          </a:xfrm>
                          <a:prstGeom prst="rect">
                            <a:avLst/>
                          </a:prstGeom>
                        </pic:spPr>
                      </pic:pic>
                    </a:graphicData>
                  </a:graphic>
                </wp:inline>
              </w:drawing>
            </w:r>
          </w:p>
          <w:p w14:paraId="706ED02B" w14:textId="77777777" w:rsidR="004F06D4" w:rsidRPr="00C949B2" w:rsidRDefault="004F06D4" w:rsidP="00C949B2">
            <w:pPr>
              <w:spacing w:line="259" w:lineRule="auto"/>
              <w:ind w:right="49"/>
              <w:rPr>
                <w:sz w:val="17"/>
                <w:szCs w:val="17"/>
              </w:rPr>
            </w:pPr>
          </w:p>
          <w:p w14:paraId="6635002C" w14:textId="3C2A324B" w:rsidR="004F06D4" w:rsidRPr="00C949B2" w:rsidRDefault="0013137D" w:rsidP="00C949B2">
            <w:pPr>
              <w:spacing w:line="259" w:lineRule="auto"/>
              <w:ind w:right="49"/>
              <w:rPr>
                <w:b/>
                <w:sz w:val="17"/>
                <w:szCs w:val="17"/>
              </w:rPr>
            </w:pPr>
            <w:r w:rsidRPr="00C949B2">
              <w:rPr>
                <w:b/>
                <w:noProof/>
                <w:sz w:val="17"/>
                <w:szCs w:val="17"/>
                <w:lang w:eastAsia="es-MX"/>
              </w:rPr>
              <w:drawing>
                <wp:inline distT="0" distB="0" distL="0" distR="0" wp14:anchorId="39D839AB" wp14:editId="37292778">
                  <wp:extent cx="2491740" cy="209550"/>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91740" cy="209550"/>
                          </a:xfrm>
                          <a:prstGeom prst="rect">
                            <a:avLst/>
                          </a:prstGeom>
                        </pic:spPr>
                      </pic:pic>
                    </a:graphicData>
                  </a:graphic>
                </wp:inline>
              </w:drawing>
            </w:r>
          </w:p>
          <w:p w14:paraId="1A54903F" w14:textId="77777777" w:rsidR="004F06D4" w:rsidRPr="00C949B2" w:rsidRDefault="004F06D4" w:rsidP="00C949B2">
            <w:pPr>
              <w:spacing w:line="259" w:lineRule="auto"/>
              <w:ind w:right="49"/>
              <w:rPr>
                <w:b/>
                <w:sz w:val="17"/>
                <w:szCs w:val="17"/>
              </w:rPr>
            </w:pPr>
          </w:p>
        </w:tc>
      </w:tr>
      <w:tr w:rsidR="00C949B2" w:rsidRPr="00C949B2" w14:paraId="5159DF7E" w14:textId="77777777" w:rsidTr="00EC74E6">
        <w:tc>
          <w:tcPr>
            <w:tcW w:w="1950" w:type="dxa"/>
            <w:shd w:val="clear" w:color="auto" w:fill="A6A6A6"/>
            <w:vAlign w:val="center"/>
          </w:tcPr>
          <w:p w14:paraId="4943A227" w14:textId="77777777" w:rsidR="004F06D4" w:rsidRPr="00C949B2" w:rsidRDefault="004F06D4" w:rsidP="00C949B2">
            <w:pPr>
              <w:spacing w:line="259" w:lineRule="auto"/>
              <w:ind w:right="49"/>
              <w:jc w:val="center"/>
              <w:rPr>
                <w:b/>
                <w:sz w:val="17"/>
                <w:szCs w:val="17"/>
              </w:rPr>
            </w:pPr>
            <w:r w:rsidRPr="00C949B2">
              <w:rPr>
                <w:b/>
                <w:sz w:val="17"/>
                <w:szCs w:val="17"/>
              </w:rPr>
              <w:lastRenderedPageBreak/>
              <w:t>Conexión entre los fundamentos y motivos que dieron origen a la Reserva de la información</w:t>
            </w:r>
          </w:p>
        </w:tc>
        <w:tc>
          <w:tcPr>
            <w:tcW w:w="3075" w:type="dxa"/>
            <w:vAlign w:val="center"/>
          </w:tcPr>
          <w:p w14:paraId="42B07F0B" w14:textId="77777777" w:rsidR="004F06D4" w:rsidRPr="00C949B2" w:rsidRDefault="004F06D4" w:rsidP="00C949B2">
            <w:pPr>
              <w:spacing w:line="259" w:lineRule="auto"/>
              <w:ind w:right="49"/>
              <w:jc w:val="center"/>
              <w:rPr>
                <w:b/>
                <w:sz w:val="17"/>
                <w:szCs w:val="17"/>
              </w:rPr>
            </w:pPr>
            <w:r w:rsidRPr="00C949B2">
              <w:rPr>
                <w:b/>
                <w:sz w:val="17"/>
                <w:szCs w:val="17"/>
              </w:rPr>
              <w:t>Parcialmente</w:t>
            </w:r>
          </w:p>
          <w:p w14:paraId="0806B0C7" w14:textId="77777777" w:rsidR="004F06D4" w:rsidRPr="00C949B2" w:rsidRDefault="004F06D4" w:rsidP="00C949B2">
            <w:pPr>
              <w:spacing w:line="259" w:lineRule="auto"/>
              <w:ind w:right="49"/>
              <w:jc w:val="center"/>
              <w:rPr>
                <w:b/>
                <w:sz w:val="17"/>
                <w:szCs w:val="17"/>
              </w:rPr>
            </w:pPr>
          </w:p>
          <w:p w14:paraId="03B8655D" w14:textId="4E142CF6" w:rsidR="004F06D4" w:rsidRPr="00C949B2" w:rsidRDefault="004F06D4" w:rsidP="00C949B2">
            <w:pPr>
              <w:spacing w:line="259" w:lineRule="auto"/>
              <w:ind w:right="49"/>
              <w:rPr>
                <w:sz w:val="17"/>
                <w:szCs w:val="17"/>
              </w:rPr>
            </w:pPr>
            <w:r w:rsidRPr="00C949B2">
              <w:rPr>
                <w:sz w:val="17"/>
                <w:szCs w:val="17"/>
              </w:rPr>
              <w:t xml:space="preserve">Del Acta no se desprende una conexidad total entre los fundamentos y motivos por los que se procedió a reservar la información; </w:t>
            </w:r>
            <w:r w:rsidR="0013137D" w:rsidRPr="00C949B2">
              <w:rPr>
                <w:sz w:val="17"/>
                <w:szCs w:val="17"/>
              </w:rPr>
              <w:t>pues al invocar diversas fracciones del 113 y no demostrar cual es aplicable, limitándose a señalar únicamente que dicha información se encontraba en un procedimiento administrativo inconcluso, sin referir cual</w:t>
            </w:r>
            <w:r w:rsidRPr="00C949B2">
              <w:rPr>
                <w:sz w:val="17"/>
                <w:szCs w:val="17"/>
              </w:rPr>
              <w:t>.</w:t>
            </w:r>
          </w:p>
        </w:tc>
        <w:tc>
          <w:tcPr>
            <w:tcW w:w="4140" w:type="dxa"/>
            <w:vAlign w:val="center"/>
          </w:tcPr>
          <w:p w14:paraId="5415548F" w14:textId="5441564A" w:rsidR="0013137D" w:rsidRPr="00C949B2" w:rsidRDefault="0013137D" w:rsidP="00C949B2">
            <w:pPr>
              <w:spacing w:line="259" w:lineRule="auto"/>
              <w:ind w:right="49"/>
              <w:rPr>
                <w:b/>
                <w:sz w:val="17"/>
                <w:szCs w:val="17"/>
              </w:rPr>
            </w:pPr>
            <w:r w:rsidRPr="00C949B2">
              <w:rPr>
                <w:b/>
                <w:noProof/>
                <w:sz w:val="17"/>
                <w:szCs w:val="17"/>
                <w:lang w:eastAsia="es-MX"/>
              </w:rPr>
              <w:drawing>
                <wp:anchor distT="0" distB="0" distL="114300" distR="114300" simplePos="0" relativeHeight="251658240" behindDoc="0" locked="0" layoutInCell="1" allowOverlap="1" wp14:anchorId="2ABA52CE" wp14:editId="7329AB5A">
                  <wp:simplePos x="0" y="0"/>
                  <wp:positionH relativeFrom="column">
                    <wp:posOffset>107950</wp:posOffset>
                  </wp:positionH>
                  <wp:positionV relativeFrom="paragraph">
                    <wp:posOffset>-1550670</wp:posOffset>
                  </wp:positionV>
                  <wp:extent cx="2384425" cy="1254125"/>
                  <wp:effectExtent l="0" t="0" r="0" b="317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4425" cy="1254125"/>
                          </a:xfrm>
                          <a:prstGeom prst="rect">
                            <a:avLst/>
                          </a:prstGeom>
                        </pic:spPr>
                      </pic:pic>
                    </a:graphicData>
                  </a:graphic>
                  <wp14:sizeRelH relativeFrom="margin">
                    <wp14:pctWidth>0</wp14:pctWidth>
                  </wp14:sizeRelH>
                  <wp14:sizeRelV relativeFrom="margin">
                    <wp14:pctHeight>0</wp14:pctHeight>
                  </wp14:sizeRelV>
                </wp:anchor>
              </w:drawing>
            </w:r>
            <w:r w:rsidRPr="00C949B2">
              <w:rPr>
                <w:b/>
                <w:noProof/>
                <w:sz w:val="17"/>
                <w:szCs w:val="17"/>
                <w:lang w:eastAsia="es-MX"/>
              </w:rPr>
              <w:drawing>
                <wp:inline distT="0" distB="0" distL="0" distR="0" wp14:anchorId="6C2E1596" wp14:editId="49C67136">
                  <wp:extent cx="2355495" cy="1126124"/>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61020" cy="1128766"/>
                          </a:xfrm>
                          <a:prstGeom prst="rect">
                            <a:avLst/>
                          </a:prstGeom>
                        </pic:spPr>
                      </pic:pic>
                    </a:graphicData>
                  </a:graphic>
                </wp:inline>
              </w:drawing>
            </w:r>
          </w:p>
        </w:tc>
      </w:tr>
      <w:tr w:rsidR="00C949B2" w:rsidRPr="00C949B2" w14:paraId="48D679B8" w14:textId="77777777" w:rsidTr="00EC74E6">
        <w:tc>
          <w:tcPr>
            <w:tcW w:w="9165" w:type="dxa"/>
            <w:gridSpan w:val="3"/>
            <w:shd w:val="clear" w:color="auto" w:fill="A6A6A6"/>
            <w:vAlign w:val="center"/>
          </w:tcPr>
          <w:p w14:paraId="7FDFD40A" w14:textId="77777777" w:rsidR="004F06D4" w:rsidRPr="00C949B2" w:rsidRDefault="004F06D4" w:rsidP="00C949B2">
            <w:pPr>
              <w:spacing w:line="259" w:lineRule="auto"/>
              <w:ind w:right="49"/>
              <w:jc w:val="center"/>
              <w:rPr>
                <w:b/>
                <w:sz w:val="17"/>
                <w:szCs w:val="17"/>
              </w:rPr>
            </w:pPr>
            <w:r w:rsidRPr="00C949B2">
              <w:rPr>
                <w:b/>
                <w:sz w:val="17"/>
                <w:szCs w:val="17"/>
              </w:rPr>
              <w:t>Prueba de Daño</w:t>
            </w:r>
          </w:p>
        </w:tc>
      </w:tr>
      <w:tr w:rsidR="00C949B2" w:rsidRPr="00C949B2" w14:paraId="0040ADF9" w14:textId="77777777" w:rsidTr="00EC74E6">
        <w:tc>
          <w:tcPr>
            <w:tcW w:w="1950" w:type="dxa"/>
            <w:shd w:val="clear" w:color="auto" w:fill="A6A6A6"/>
            <w:vAlign w:val="center"/>
          </w:tcPr>
          <w:p w14:paraId="67086BDF" w14:textId="77777777" w:rsidR="004F06D4" w:rsidRPr="00C949B2" w:rsidRDefault="004F06D4" w:rsidP="00C949B2">
            <w:pPr>
              <w:spacing w:line="259" w:lineRule="auto"/>
              <w:ind w:right="49"/>
              <w:jc w:val="center"/>
              <w:rPr>
                <w:b/>
                <w:sz w:val="17"/>
                <w:szCs w:val="17"/>
              </w:rPr>
            </w:pPr>
            <w:r w:rsidRPr="00C949B2">
              <w:rPr>
                <w:b/>
                <w:sz w:val="17"/>
                <w:szCs w:val="17"/>
              </w:rPr>
              <w:t>Riesgo Real, Demostrable e Identificable</w:t>
            </w:r>
          </w:p>
          <w:p w14:paraId="491F36A8" w14:textId="77777777" w:rsidR="004F06D4" w:rsidRPr="00C949B2" w:rsidRDefault="004F06D4" w:rsidP="00C949B2">
            <w:pPr>
              <w:spacing w:line="259" w:lineRule="auto"/>
              <w:ind w:right="49"/>
              <w:jc w:val="center"/>
              <w:rPr>
                <w:b/>
                <w:sz w:val="17"/>
                <w:szCs w:val="17"/>
              </w:rPr>
            </w:pPr>
            <w:r w:rsidRPr="00C949B2">
              <w:rPr>
                <w:b/>
                <w:sz w:val="17"/>
                <w:szCs w:val="17"/>
              </w:rPr>
              <w:t>(Modo, Tiempo y Lugar)</w:t>
            </w:r>
          </w:p>
        </w:tc>
        <w:tc>
          <w:tcPr>
            <w:tcW w:w="3075" w:type="dxa"/>
            <w:vAlign w:val="center"/>
          </w:tcPr>
          <w:p w14:paraId="4D80B368" w14:textId="3E7B30CD" w:rsidR="004F06D4" w:rsidRPr="00C949B2" w:rsidRDefault="00B23ED8" w:rsidP="00C949B2">
            <w:pPr>
              <w:spacing w:line="259" w:lineRule="auto"/>
              <w:ind w:right="49"/>
              <w:jc w:val="center"/>
              <w:rPr>
                <w:b/>
                <w:sz w:val="17"/>
                <w:szCs w:val="17"/>
              </w:rPr>
            </w:pPr>
            <w:r w:rsidRPr="00C949B2">
              <w:rPr>
                <w:b/>
                <w:sz w:val="17"/>
                <w:szCs w:val="17"/>
              </w:rPr>
              <w:t>Parcialmente</w:t>
            </w:r>
            <w:r w:rsidR="004F06D4" w:rsidRPr="00C949B2">
              <w:rPr>
                <w:b/>
                <w:sz w:val="17"/>
                <w:szCs w:val="17"/>
              </w:rPr>
              <w:t xml:space="preserve"> </w:t>
            </w:r>
          </w:p>
          <w:p w14:paraId="5D6F7798" w14:textId="77777777" w:rsidR="004F06D4" w:rsidRPr="00C949B2" w:rsidRDefault="004F06D4" w:rsidP="00C949B2">
            <w:pPr>
              <w:spacing w:line="259" w:lineRule="auto"/>
              <w:ind w:right="49"/>
              <w:jc w:val="center"/>
              <w:rPr>
                <w:b/>
                <w:sz w:val="17"/>
                <w:szCs w:val="17"/>
              </w:rPr>
            </w:pPr>
          </w:p>
          <w:p w14:paraId="184BE1C1" w14:textId="60002487" w:rsidR="004F06D4" w:rsidRPr="00C949B2" w:rsidRDefault="004F06D4" w:rsidP="00C949B2">
            <w:pPr>
              <w:spacing w:line="259" w:lineRule="auto"/>
              <w:ind w:right="49"/>
              <w:rPr>
                <w:sz w:val="17"/>
                <w:szCs w:val="17"/>
              </w:rPr>
            </w:pPr>
            <w:r w:rsidRPr="00C949B2">
              <w:rPr>
                <w:sz w:val="17"/>
                <w:szCs w:val="17"/>
              </w:rPr>
              <w:t xml:space="preserve">Al no acreditarse la manera en </w:t>
            </w:r>
            <w:r w:rsidR="00AB6AB2" w:rsidRPr="00C949B2">
              <w:rPr>
                <w:sz w:val="17"/>
                <w:szCs w:val="17"/>
              </w:rPr>
              <w:t>que,</w:t>
            </w:r>
            <w:r w:rsidRPr="00C949B2">
              <w:rPr>
                <w:sz w:val="17"/>
                <w:szCs w:val="17"/>
              </w:rPr>
              <w:t xml:space="preserve"> con la entrega de la información </w:t>
            </w:r>
            <w:r w:rsidR="00B23ED8" w:rsidRPr="00C949B2">
              <w:rPr>
                <w:sz w:val="17"/>
                <w:szCs w:val="17"/>
              </w:rPr>
              <w:t xml:space="preserve">de la propiedad del inmueble referido, se vulnere el proceso administrativo referido, motivo de la clasificación además de citar diversas fracciones del </w:t>
            </w:r>
            <w:r w:rsidR="00EF01C0" w:rsidRPr="00C949B2">
              <w:rPr>
                <w:sz w:val="17"/>
                <w:szCs w:val="17"/>
              </w:rPr>
              <w:t>artículo</w:t>
            </w:r>
            <w:r w:rsidR="00B23ED8" w:rsidRPr="00C949B2">
              <w:rPr>
                <w:sz w:val="17"/>
                <w:szCs w:val="17"/>
              </w:rPr>
              <w:t xml:space="preserve"> 113, lo que carece de certidumbre jurídica.</w:t>
            </w:r>
          </w:p>
          <w:p w14:paraId="64ECEFFC" w14:textId="4FE4FF3C" w:rsidR="004F06D4" w:rsidRPr="00C949B2" w:rsidRDefault="004F06D4" w:rsidP="00C949B2">
            <w:pPr>
              <w:spacing w:line="259" w:lineRule="auto"/>
              <w:ind w:right="49"/>
              <w:rPr>
                <w:sz w:val="17"/>
                <w:szCs w:val="17"/>
              </w:rPr>
            </w:pPr>
          </w:p>
        </w:tc>
        <w:tc>
          <w:tcPr>
            <w:tcW w:w="4140" w:type="dxa"/>
            <w:vAlign w:val="center"/>
          </w:tcPr>
          <w:p w14:paraId="453AEA70" w14:textId="161B8A3C" w:rsidR="004F06D4" w:rsidRPr="00C949B2" w:rsidRDefault="00B23ED8" w:rsidP="00C949B2">
            <w:pPr>
              <w:spacing w:line="259" w:lineRule="auto"/>
              <w:ind w:right="49"/>
              <w:rPr>
                <w:b/>
                <w:sz w:val="17"/>
                <w:szCs w:val="17"/>
              </w:rPr>
            </w:pPr>
            <w:r w:rsidRPr="00C949B2">
              <w:rPr>
                <w:b/>
                <w:noProof/>
                <w:sz w:val="17"/>
                <w:szCs w:val="17"/>
                <w:lang w:eastAsia="es-MX"/>
              </w:rPr>
              <w:drawing>
                <wp:inline distT="0" distB="0" distL="0" distR="0" wp14:anchorId="3992EAF3" wp14:editId="544C4D3C">
                  <wp:extent cx="2491740" cy="1409065"/>
                  <wp:effectExtent l="0" t="0" r="381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91740" cy="1409065"/>
                          </a:xfrm>
                          <a:prstGeom prst="rect">
                            <a:avLst/>
                          </a:prstGeom>
                        </pic:spPr>
                      </pic:pic>
                    </a:graphicData>
                  </a:graphic>
                </wp:inline>
              </w:drawing>
            </w:r>
          </w:p>
        </w:tc>
      </w:tr>
      <w:tr w:rsidR="00C949B2" w:rsidRPr="00C949B2" w14:paraId="03F382F3" w14:textId="77777777" w:rsidTr="00EC74E6">
        <w:tc>
          <w:tcPr>
            <w:tcW w:w="1950" w:type="dxa"/>
            <w:shd w:val="clear" w:color="auto" w:fill="A6A6A6"/>
            <w:vAlign w:val="center"/>
          </w:tcPr>
          <w:p w14:paraId="4C5ED06B" w14:textId="77777777" w:rsidR="004F06D4" w:rsidRPr="00C949B2" w:rsidRDefault="004F06D4" w:rsidP="00C949B2">
            <w:pPr>
              <w:spacing w:line="259" w:lineRule="auto"/>
              <w:ind w:right="49"/>
              <w:jc w:val="center"/>
              <w:rPr>
                <w:b/>
                <w:sz w:val="17"/>
                <w:szCs w:val="17"/>
              </w:rPr>
            </w:pPr>
            <w:r w:rsidRPr="00C949B2">
              <w:rPr>
                <w:b/>
                <w:sz w:val="17"/>
                <w:szCs w:val="17"/>
              </w:rPr>
              <w:t>Temporalidad de la Reserva de la información</w:t>
            </w:r>
          </w:p>
        </w:tc>
        <w:tc>
          <w:tcPr>
            <w:tcW w:w="3075" w:type="dxa"/>
            <w:shd w:val="clear" w:color="auto" w:fill="auto"/>
            <w:vAlign w:val="center"/>
          </w:tcPr>
          <w:p w14:paraId="6C6E8418" w14:textId="77777777" w:rsidR="004F06D4" w:rsidRPr="00C949B2" w:rsidRDefault="004F06D4" w:rsidP="00C949B2">
            <w:pPr>
              <w:spacing w:line="259" w:lineRule="auto"/>
              <w:ind w:right="49"/>
              <w:jc w:val="center"/>
              <w:rPr>
                <w:b/>
                <w:sz w:val="17"/>
                <w:szCs w:val="17"/>
              </w:rPr>
            </w:pPr>
            <w:r w:rsidRPr="00C949B2">
              <w:rPr>
                <w:b/>
                <w:sz w:val="17"/>
                <w:szCs w:val="17"/>
              </w:rPr>
              <w:t>Si</w:t>
            </w:r>
          </w:p>
          <w:p w14:paraId="66CE722B" w14:textId="77777777" w:rsidR="004F06D4" w:rsidRPr="00C949B2" w:rsidRDefault="004F06D4" w:rsidP="00C949B2">
            <w:pPr>
              <w:spacing w:line="259" w:lineRule="auto"/>
              <w:ind w:right="49"/>
              <w:jc w:val="center"/>
              <w:rPr>
                <w:b/>
                <w:sz w:val="17"/>
                <w:szCs w:val="17"/>
              </w:rPr>
            </w:pPr>
          </w:p>
        </w:tc>
        <w:tc>
          <w:tcPr>
            <w:tcW w:w="4140" w:type="dxa"/>
            <w:vAlign w:val="center"/>
          </w:tcPr>
          <w:p w14:paraId="18FED9BA" w14:textId="4A186022" w:rsidR="004F06D4" w:rsidRPr="00C949B2" w:rsidRDefault="00B23ED8" w:rsidP="00C949B2">
            <w:pPr>
              <w:spacing w:line="259" w:lineRule="auto"/>
              <w:ind w:right="49"/>
              <w:rPr>
                <w:sz w:val="17"/>
                <w:szCs w:val="17"/>
              </w:rPr>
            </w:pPr>
            <w:r w:rsidRPr="00C949B2">
              <w:rPr>
                <w:noProof/>
                <w:sz w:val="17"/>
                <w:szCs w:val="17"/>
                <w:lang w:eastAsia="es-MX"/>
              </w:rPr>
              <w:drawing>
                <wp:inline distT="0" distB="0" distL="0" distR="0" wp14:anchorId="242CC5AE" wp14:editId="64A86911">
                  <wp:extent cx="2491740" cy="384175"/>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1740" cy="384175"/>
                          </a:xfrm>
                          <a:prstGeom prst="rect">
                            <a:avLst/>
                          </a:prstGeom>
                        </pic:spPr>
                      </pic:pic>
                    </a:graphicData>
                  </a:graphic>
                </wp:inline>
              </w:drawing>
            </w:r>
          </w:p>
        </w:tc>
      </w:tr>
      <w:tr w:rsidR="00C949B2" w:rsidRPr="00C949B2" w14:paraId="145B9565" w14:textId="77777777" w:rsidTr="00EC74E6">
        <w:trPr>
          <w:trHeight w:val="3517"/>
        </w:trPr>
        <w:tc>
          <w:tcPr>
            <w:tcW w:w="1950" w:type="dxa"/>
            <w:shd w:val="clear" w:color="auto" w:fill="A6A6A6"/>
            <w:vAlign w:val="center"/>
          </w:tcPr>
          <w:p w14:paraId="2FF3579B" w14:textId="77777777" w:rsidR="004F06D4" w:rsidRPr="00C949B2" w:rsidRDefault="004F06D4" w:rsidP="00C949B2">
            <w:pPr>
              <w:spacing w:line="259" w:lineRule="auto"/>
              <w:ind w:right="49"/>
              <w:jc w:val="center"/>
              <w:rPr>
                <w:b/>
                <w:sz w:val="17"/>
                <w:szCs w:val="17"/>
              </w:rPr>
            </w:pPr>
            <w:r w:rsidRPr="00C949B2">
              <w:rPr>
                <w:b/>
                <w:sz w:val="17"/>
                <w:szCs w:val="17"/>
              </w:rPr>
              <w:lastRenderedPageBreak/>
              <w:t>Autoridades competentes.</w:t>
            </w:r>
          </w:p>
        </w:tc>
        <w:tc>
          <w:tcPr>
            <w:tcW w:w="3075" w:type="dxa"/>
            <w:vAlign w:val="center"/>
          </w:tcPr>
          <w:p w14:paraId="2574990C" w14:textId="77777777" w:rsidR="004F06D4" w:rsidRPr="00C949B2" w:rsidRDefault="004F06D4" w:rsidP="00C949B2">
            <w:pPr>
              <w:spacing w:line="259" w:lineRule="auto"/>
              <w:ind w:right="49"/>
              <w:jc w:val="center"/>
              <w:rPr>
                <w:b/>
                <w:sz w:val="17"/>
                <w:szCs w:val="17"/>
              </w:rPr>
            </w:pPr>
            <w:r w:rsidRPr="00C949B2">
              <w:rPr>
                <w:b/>
                <w:sz w:val="17"/>
                <w:szCs w:val="17"/>
              </w:rPr>
              <w:t>SÍ</w:t>
            </w:r>
          </w:p>
        </w:tc>
        <w:tc>
          <w:tcPr>
            <w:tcW w:w="4140" w:type="dxa"/>
          </w:tcPr>
          <w:p w14:paraId="7EFEE9C8" w14:textId="3491BD23" w:rsidR="004F06D4" w:rsidRPr="00C949B2" w:rsidRDefault="00B23ED8" w:rsidP="00C949B2">
            <w:pPr>
              <w:spacing w:line="259" w:lineRule="auto"/>
              <w:ind w:right="49"/>
              <w:rPr>
                <w:b/>
                <w:sz w:val="17"/>
                <w:szCs w:val="17"/>
              </w:rPr>
            </w:pPr>
            <w:r w:rsidRPr="00C949B2">
              <w:rPr>
                <w:b/>
                <w:noProof/>
                <w:sz w:val="17"/>
                <w:szCs w:val="17"/>
                <w:lang w:eastAsia="es-MX"/>
              </w:rPr>
              <w:drawing>
                <wp:inline distT="0" distB="0" distL="0" distR="0" wp14:anchorId="5611BABC" wp14:editId="0135A208">
                  <wp:extent cx="2491740" cy="2996565"/>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91740" cy="2996565"/>
                          </a:xfrm>
                          <a:prstGeom prst="rect">
                            <a:avLst/>
                          </a:prstGeom>
                        </pic:spPr>
                      </pic:pic>
                    </a:graphicData>
                  </a:graphic>
                </wp:inline>
              </w:drawing>
            </w:r>
          </w:p>
        </w:tc>
      </w:tr>
    </w:tbl>
    <w:p w14:paraId="34D77D34" w14:textId="49EB0377" w:rsidR="00C20D85" w:rsidRPr="00C949B2" w:rsidRDefault="00C20D85" w:rsidP="00C949B2">
      <w:pPr>
        <w:spacing w:after="240"/>
        <w:ind w:right="-93"/>
        <w:rPr>
          <w:rFonts w:cs="Tahoma"/>
          <w:bCs/>
          <w:szCs w:val="22"/>
        </w:rPr>
      </w:pPr>
    </w:p>
    <w:p w14:paraId="5BF01659" w14:textId="5148AD76" w:rsidR="00F04147" w:rsidRPr="00C949B2" w:rsidRDefault="00F04147" w:rsidP="00C949B2">
      <w:pPr>
        <w:ind w:right="49"/>
      </w:pPr>
      <w:r w:rsidRPr="00C949B2">
        <w:t xml:space="preserve">De lo anterior se observa que el </w:t>
      </w:r>
      <w:r w:rsidRPr="00C949B2">
        <w:rPr>
          <w:b/>
        </w:rPr>
        <w:t>SUJETO OBLIGADO</w:t>
      </w:r>
      <w:r w:rsidRPr="00C949B2">
        <w:t xml:space="preserve"> aludió en su prueba de daño la actualización de la siguiente causal de reserva prevista en la fracción VII, de la Ley de Transparencia Local, a saber:</w:t>
      </w:r>
    </w:p>
    <w:p w14:paraId="24964CBE" w14:textId="77777777" w:rsidR="00F04147" w:rsidRPr="00C949B2" w:rsidRDefault="00F04147" w:rsidP="00C949B2">
      <w:pPr>
        <w:ind w:right="49"/>
      </w:pPr>
    </w:p>
    <w:p w14:paraId="350AEAE4" w14:textId="70923109" w:rsidR="00F04147" w:rsidRPr="00C949B2" w:rsidRDefault="00F04147" w:rsidP="00C949B2">
      <w:pPr>
        <w:spacing w:line="240" w:lineRule="auto"/>
        <w:ind w:left="851" w:right="822"/>
        <w:rPr>
          <w:i/>
        </w:rPr>
      </w:pPr>
      <w:r w:rsidRPr="00C949B2">
        <w:rPr>
          <w:b/>
          <w:i/>
        </w:rPr>
        <w:t>Artículo 140.</w:t>
      </w:r>
      <w:r w:rsidRPr="00C949B2">
        <w:rPr>
          <w:i/>
        </w:rPr>
        <w:t xml:space="preserve"> El acceso a la información pública será restringido excepcionalmente, cuando por razones de interés público, ésta sea clasificada como reservada, conforme a los criterios siguientes: … </w:t>
      </w:r>
    </w:p>
    <w:p w14:paraId="7EE20CCF" w14:textId="77777777" w:rsidR="00F04147" w:rsidRPr="00C949B2" w:rsidRDefault="00F04147" w:rsidP="00C949B2">
      <w:pPr>
        <w:spacing w:line="240" w:lineRule="auto"/>
        <w:ind w:left="851" w:right="822"/>
        <w:rPr>
          <w:i/>
        </w:rPr>
      </w:pPr>
      <w:r w:rsidRPr="00C949B2">
        <w:rPr>
          <w:i/>
        </w:rPr>
        <w:t>…</w:t>
      </w:r>
    </w:p>
    <w:p w14:paraId="775AF32B" w14:textId="337009A0" w:rsidR="00F04147" w:rsidRPr="00C949B2" w:rsidRDefault="00F04147" w:rsidP="00C949B2">
      <w:pPr>
        <w:spacing w:line="240" w:lineRule="auto"/>
        <w:ind w:left="851" w:right="822"/>
        <w:rPr>
          <w:i/>
        </w:rPr>
      </w:pPr>
      <w:r w:rsidRPr="00C949B2">
        <w:rPr>
          <w:i/>
        </w:rPr>
        <w:t>VI. La que contengan las opiniones, recomendaciones o puntos de vista que formen parte del proceso deliberativo de los servidores públicos, hasta en tanto sea adoptada la decisión definitiva, la cual deberá estar documentada</w:t>
      </w:r>
    </w:p>
    <w:p w14:paraId="772FA590" w14:textId="77777777" w:rsidR="00F04147" w:rsidRPr="00C949B2" w:rsidRDefault="00F04147" w:rsidP="00C949B2"/>
    <w:p w14:paraId="79EF89B5" w14:textId="77777777" w:rsidR="00F04147" w:rsidRPr="00C949B2" w:rsidRDefault="00F04147" w:rsidP="00C949B2">
      <w:r w:rsidRPr="00C949B2">
        <w:t>Al respecto, los Lineamientos Generales prevén lo siguiente:</w:t>
      </w:r>
    </w:p>
    <w:p w14:paraId="7582E374" w14:textId="77777777" w:rsidR="00F04147" w:rsidRPr="00C949B2" w:rsidRDefault="00F04147" w:rsidP="00C949B2">
      <w:pPr>
        <w:spacing w:line="276" w:lineRule="auto"/>
        <w:ind w:left="567" w:right="985"/>
        <w:rPr>
          <w:b/>
          <w:i/>
        </w:rPr>
      </w:pPr>
    </w:p>
    <w:p w14:paraId="395CDF57" w14:textId="33181974" w:rsidR="00F04147" w:rsidRPr="00C949B2" w:rsidRDefault="00F04147" w:rsidP="00C949B2">
      <w:pPr>
        <w:spacing w:line="259" w:lineRule="auto"/>
        <w:ind w:left="567" w:right="985"/>
        <w:rPr>
          <w:i/>
        </w:rPr>
      </w:pPr>
      <w:r w:rsidRPr="00C949B2">
        <w:rPr>
          <w:i/>
        </w:rPr>
        <w:t>“</w:t>
      </w:r>
      <w:r w:rsidRPr="00C949B2">
        <w:rPr>
          <w:b/>
          <w:i/>
        </w:rPr>
        <w:t>Vigésimo cuarto. De conformidad con el artículo 113, fracción V</w:t>
      </w:r>
      <w:r w:rsidR="00B83FB1" w:rsidRPr="00C949B2">
        <w:rPr>
          <w:b/>
          <w:i/>
        </w:rPr>
        <w:t>II</w:t>
      </w:r>
      <w:r w:rsidRPr="00C949B2">
        <w:rPr>
          <w:b/>
          <w:i/>
        </w:rPr>
        <w:t xml:space="preserve">I de la Ley General, podrá considerarse como reservada, aquella información que </w:t>
      </w:r>
      <w:r w:rsidR="00B83FB1" w:rsidRPr="00C949B2">
        <w:rPr>
          <w:b/>
          <w:i/>
        </w:rPr>
        <w:lastRenderedPageBreak/>
        <w:t>contenga las opiniones, recomendaciones o puntos de vista que formen parte del proceso deliberativo de los servidores públicos, hasta en tanto no sea adoptada la decisión definitiva</w:t>
      </w:r>
      <w:r w:rsidRPr="00C949B2">
        <w:rPr>
          <w:b/>
          <w:i/>
        </w:rPr>
        <w:t>, cuando se actualicen los siguientes elementos:</w:t>
      </w:r>
      <w:r w:rsidRPr="00C949B2">
        <w:rPr>
          <w:i/>
        </w:rPr>
        <w:t xml:space="preserve"> </w:t>
      </w:r>
    </w:p>
    <w:p w14:paraId="3AF0CC5F" w14:textId="77777777" w:rsidR="00F04147" w:rsidRPr="00C949B2" w:rsidRDefault="00F04147" w:rsidP="00C949B2">
      <w:pPr>
        <w:spacing w:line="259" w:lineRule="auto"/>
        <w:ind w:left="567" w:right="985"/>
        <w:rPr>
          <w:i/>
        </w:rPr>
      </w:pPr>
    </w:p>
    <w:p w14:paraId="42DD2217" w14:textId="77777777" w:rsidR="00F04147" w:rsidRPr="00C949B2" w:rsidRDefault="00F04147" w:rsidP="00C949B2">
      <w:pPr>
        <w:spacing w:line="259" w:lineRule="auto"/>
        <w:ind w:left="567" w:right="985"/>
        <w:rPr>
          <w:i/>
        </w:rPr>
      </w:pPr>
      <w:r w:rsidRPr="00C949B2">
        <w:rPr>
          <w:i/>
        </w:rPr>
        <w:t xml:space="preserve">I. La existencia de un procedimiento de verificación del cumplimiento de las leyes; </w:t>
      </w:r>
    </w:p>
    <w:p w14:paraId="3871B46F" w14:textId="77777777" w:rsidR="00F04147" w:rsidRPr="00C949B2" w:rsidRDefault="00F04147" w:rsidP="00C949B2">
      <w:pPr>
        <w:spacing w:line="259" w:lineRule="auto"/>
        <w:ind w:left="567" w:right="985"/>
        <w:rPr>
          <w:i/>
        </w:rPr>
      </w:pPr>
      <w:r w:rsidRPr="00C949B2">
        <w:rPr>
          <w:i/>
        </w:rPr>
        <w:t xml:space="preserve">II. Que el procedimiento se encuentre en trámite; </w:t>
      </w:r>
    </w:p>
    <w:p w14:paraId="7D23C543" w14:textId="77777777" w:rsidR="00F04147" w:rsidRPr="00C949B2" w:rsidRDefault="00F04147" w:rsidP="00C949B2">
      <w:pPr>
        <w:spacing w:line="259" w:lineRule="auto"/>
        <w:ind w:left="567" w:right="985"/>
        <w:rPr>
          <w:i/>
        </w:rPr>
      </w:pPr>
      <w:r w:rsidRPr="00C949B2">
        <w:rPr>
          <w:i/>
        </w:rPr>
        <w:t xml:space="preserve">III. La vinculación directa con las actividades que realiza la autoridad en el procedimiento de verificación del cumplimiento de las leyes, y </w:t>
      </w:r>
    </w:p>
    <w:p w14:paraId="60538B5B" w14:textId="77777777" w:rsidR="00F04147" w:rsidRPr="00C949B2" w:rsidRDefault="00F04147" w:rsidP="00C949B2">
      <w:pPr>
        <w:spacing w:line="259" w:lineRule="auto"/>
        <w:ind w:left="567" w:right="985"/>
        <w:rPr>
          <w:i/>
        </w:rPr>
      </w:pPr>
      <w:r w:rsidRPr="00C949B2">
        <w:rPr>
          <w:i/>
        </w:rPr>
        <w:t>IV. Que la difusión de la información impida u obstaculice las actividades de inspección, supervisión o vigilancia que realicen las autoridades en el procedimiento de verificación del cumplimiento de las leyes.”</w:t>
      </w:r>
    </w:p>
    <w:p w14:paraId="0016112E" w14:textId="77777777" w:rsidR="00F04147" w:rsidRPr="00C949B2" w:rsidRDefault="00F04147" w:rsidP="00C949B2"/>
    <w:p w14:paraId="1736DCE0" w14:textId="2FE6A707" w:rsidR="007600F4" w:rsidRPr="00C949B2" w:rsidRDefault="00F04147" w:rsidP="00C949B2">
      <w:pPr>
        <w:rPr>
          <w:rFonts w:eastAsia="Calibri"/>
          <w:bCs/>
          <w:iCs/>
          <w:lang w:eastAsia="es-MX"/>
        </w:rPr>
      </w:pPr>
      <w:r w:rsidRPr="00C949B2">
        <w:t xml:space="preserve">Lo anterior, aplicado al caso que nos ocupa, si bien se advierte </w:t>
      </w:r>
      <w:r w:rsidR="00B83FB1" w:rsidRPr="00C949B2">
        <w:rPr>
          <w:b/>
          <w:bCs/>
        </w:rPr>
        <w:t>EL SUJETO OBLIGADO</w:t>
      </w:r>
      <w:r w:rsidRPr="00C949B2">
        <w:t xml:space="preserve">; </w:t>
      </w:r>
      <w:r w:rsidR="00B83FB1" w:rsidRPr="00C949B2">
        <w:t>refirió que la información se encontraba en un procedimiento administrativo inconcluso,</w:t>
      </w:r>
      <w:r w:rsidRPr="00C949B2">
        <w:t xml:space="preserve"> también lo es que no se advierte que el </w:t>
      </w:r>
      <w:r w:rsidRPr="00C949B2">
        <w:rPr>
          <w:b/>
        </w:rPr>
        <w:t>SUJETO OBLIGADO</w:t>
      </w:r>
      <w:r w:rsidRPr="00C949B2">
        <w:t xml:space="preserve"> haya acreditado el daño que la entrega de la información pueda causar, </w:t>
      </w:r>
      <w:r w:rsidR="00B83FB1" w:rsidRPr="00C949B2">
        <w:t xml:space="preserve">aunado a esto en </w:t>
      </w:r>
      <w:r w:rsidRPr="00C949B2">
        <w:t>la prueba de daño correspondiente</w:t>
      </w:r>
      <w:r w:rsidR="00B83FB1" w:rsidRPr="00C949B2">
        <w:t xml:space="preserve"> cita diversas fracciones del artículo 113 y omite su relación entre estas y la aplicación al caso concreto lo que da como resultado no tener certeza jurídica de la fuente normativa invocada</w:t>
      </w:r>
      <w:r w:rsidRPr="00C949B2">
        <w:t>.</w:t>
      </w:r>
    </w:p>
    <w:p w14:paraId="5074B901" w14:textId="77777777" w:rsidR="00F04147" w:rsidRPr="00C949B2" w:rsidRDefault="00F04147" w:rsidP="00C949B2">
      <w:pPr>
        <w:rPr>
          <w:rFonts w:eastAsia="Calibri"/>
          <w:bCs/>
          <w:iCs/>
          <w:lang w:eastAsia="es-MX"/>
        </w:rPr>
      </w:pPr>
    </w:p>
    <w:p w14:paraId="3D37907E" w14:textId="77777777" w:rsidR="00053604" w:rsidRPr="00C949B2" w:rsidRDefault="00053604" w:rsidP="00C949B2">
      <w:r w:rsidRPr="00C949B2">
        <w:t>Además, no escapa de la óptica de este Órgano Garante que, conforme el artículo 141 de la Ley de Transparencia y Acceso a la Información Pública del Estado de México y Municipios, las causales de reserva se deberán fundar y motivar, a través de la aplicación de la prueba de daño establecida en el artículo 129 de dicho ordenamiento, que se debe justificar de la siguiente manera:</w:t>
      </w:r>
    </w:p>
    <w:p w14:paraId="17AEFAC2" w14:textId="77777777" w:rsidR="00053604" w:rsidRPr="00C949B2" w:rsidRDefault="00053604" w:rsidP="00C949B2"/>
    <w:p w14:paraId="2ED694CF" w14:textId="77777777" w:rsidR="00053604" w:rsidRPr="00C949B2" w:rsidRDefault="00053604" w:rsidP="00C949B2">
      <w:pPr>
        <w:numPr>
          <w:ilvl w:val="0"/>
          <w:numId w:val="24"/>
        </w:numPr>
        <w:rPr>
          <w:b/>
        </w:rPr>
      </w:pPr>
      <w:r w:rsidRPr="00C949B2">
        <w:t>La divulgación de la información representa un riesgo real, demostrable e identificable de perjuicio significativo al interés público o a la seguridad nacional.</w:t>
      </w:r>
    </w:p>
    <w:p w14:paraId="791782BE" w14:textId="77777777" w:rsidR="00053604" w:rsidRPr="00C949B2" w:rsidRDefault="00053604" w:rsidP="00C949B2">
      <w:pPr>
        <w:numPr>
          <w:ilvl w:val="0"/>
          <w:numId w:val="24"/>
        </w:numPr>
        <w:rPr>
          <w:b/>
        </w:rPr>
      </w:pPr>
      <w:r w:rsidRPr="00C949B2">
        <w:t>El riesgo de perjuicio supera el interés público general de que se difunda.</w:t>
      </w:r>
    </w:p>
    <w:p w14:paraId="15FFA00C" w14:textId="77777777" w:rsidR="00053604" w:rsidRPr="00C949B2" w:rsidRDefault="00053604" w:rsidP="00C949B2">
      <w:pPr>
        <w:numPr>
          <w:ilvl w:val="0"/>
          <w:numId w:val="24"/>
        </w:numPr>
        <w:rPr>
          <w:b/>
        </w:rPr>
      </w:pPr>
      <w:r w:rsidRPr="00C949B2">
        <w:lastRenderedPageBreak/>
        <w:t>Que la limitación se adecua al principio de proporcionalidad y representa el medio menos restrictivo disponible para evitar el perjuicio.</w:t>
      </w:r>
    </w:p>
    <w:p w14:paraId="0AABAAEE" w14:textId="77777777" w:rsidR="00053604" w:rsidRPr="00C949B2" w:rsidRDefault="00053604" w:rsidP="00C949B2"/>
    <w:p w14:paraId="76C91345" w14:textId="77777777" w:rsidR="00053604" w:rsidRPr="00C949B2" w:rsidRDefault="00053604" w:rsidP="00C949B2">
      <w:r w:rsidRPr="00C949B2">
        <w:t xml:space="preserve">De lo anterior, se tiene que, en los casos en los que se clasifique la información requerida como </w:t>
      </w:r>
      <w:r w:rsidRPr="00C949B2">
        <w:rPr>
          <w:b/>
        </w:rPr>
        <w:t>reservada</w:t>
      </w:r>
      <w:r w:rsidRPr="00C949B2">
        <w:t xml:space="preserve">, el </w:t>
      </w:r>
      <w:r w:rsidRPr="00C949B2">
        <w:rPr>
          <w:b/>
        </w:rPr>
        <w:t>SUJETO OBLIGADO</w:t>
      </w:r>
      <w:r w:rsidRPr="00C949B2">
        <w:t xml:space="preserve"> además de motivar la clasificación, señalando las razones, motivos o circunstancias especiales que lo llevaron a concluir que el caso concreto se ajusta a la hipótesis prevista por la norma legal que fundamenta el acto, debe aplicar una prueba de daño, en la que se precisen las razones objetivas por las que la exhibición de la información generaría una afectación, justificando que la divulgación de la información representa un riesgo real, demostrable e identificable en perjuicio del interés público o la seguridad pública; asimismo, justificando que el riesgo del perjuicio que supondría dicha divulgación, supera el interés público general de que se difunda; y que la limitación se adecua al principio de proporcionalidad y representa el medio menos restrictivo disponible para evitar el perjuicio; lo cual en el presente asunto no cumplió el ente público.</w:t>
      </w:r>
    </w:p>
    <w:p w14:paraId="1AF541B8" w14:textId="77777777" w:rsidR="00053604" w:rsidRPr="00C949B2" w:rsidRDefault="00053604" w:rsidP="00C949B2"/>
    <w:p w14:paraId="4DE6E8DD" w14:textId="3F02B8ED" w:rsidR="00053604" w:rsidRPr="00C949B2" w:rsidRDefault="00053604" w:rsidP="00C949B2">
      <w:r w:rsidRPr="00C949B2">
        <w:t xml:space="preserve">Se afirma lo anterior, </w:t>
      </w:r>
      <w:r w:rsidR="00AB6AB2" w:rsidRPr="00C949B2">
        <w:t>ya que,</w:t>
      </w:r>
      <w:r w:rsidRPr="00C949B2">
        <w:t xml:space="preserve"> del contenido del acuerdo de reserva emitido por el Comité de Transparencia del </w:t>
      </w:r>
      <w:r w:rsidRPr="00C949B2">
        <w:rPr>
          <w:b/>
        </w:rPr>
        <w:t xml:space="preserve">SUJETO OBLIGADO, </w:t>
      </w:r>
      <w:r w:rsidRPr="00C949B2">
        <w:t>se desprende que este último se limitó a reservar la información por encontrarse la misma sujeta a un procedimiento administrativo inconcluso, sin acreditar que la entrega de lo requerido en efecto representa un riesgo real, demostrable e identificable que supera el interés público general de que se difunda.</w:t>
      </w:r>
    </w:p>
    <w:p w14:paraId="2E8048E4" w14:textId="77777777" w:rsidR="00053604" w:rsidRPr="00C949B2" w:rsidRDefault="00053604" w:rsidP="00C949B2"/>
    <w:p w14:paraId="398D3812" w14:textId="0BD31AE9" w:rsidR="00BE7759" w:rsidRPr="00C949B2" w:rsidRDefault="00053604" w:rsidP="00C949B2">
      <w:r w:rsidRPr="00C949B2">
        <w:t>Bajo las consideraciones expuestas, se considera que en el presente asunto no se actualiza la clasificación de la información como reservada, en términos del artículo 140, fracciones VIII, de la Ley de Transparencia y Acceso a la Información Pública del Estado de México y Municipios; y, en tal virtud procede la entrega de la información requerida</w:t>
      </w:r>
      <w:r w:rsidR="00BE7759" w:rsidRPr="00C949B2">
        <w:t xml:space="preserve">, es decir el </w:t>
      </w:r>
      <w:r w:rsidR="00BE7759" w:rsidRPr="00C949B2">
        <w:lastRenderedPageBreak/>
        <w:t xml:space="preserve">documento o documentos vigentes al 26 de agosto de 2024, con los que el </w:t>
      </w:r>
      <w:r w:rsidR="00BE7759" w:rsidRPr="00C949B2">
        <w:rPr>
          <w:b/>
          <w:bCs/>
        </w:rPr>
        <w:t xml:space="preserve">SUJETO OBLIGADO </w:t>
      </w:r>
      <w:r w:rsidR="00BE7759" w:rsidRPr="00C949B2">
        <w:t>acredite la propiedad del inmueble referido en la solicitud.</w:t>
      </w:r>
    </w:p>
    <w:p w14:paraId="3CBC05A1" w14:textId="1430D90B" w:rsidR="00E3559D" w:rsidRPr="00C949B2" w:rsidRDefault="00E3559D" w:rsidP="00C949B2"/>
    <w:p w14:paraId="501C5975" w14:textId="4D169159" w:rsidR="00CD0E20" w:rsidRPr="00C949B2" w:rsidRDefault="00CD0E20" w:rsidP="00C949B2">
      <w:r w:rsidRPr="00C949B2">
        <w:t xml:space="preserve">Aunado a ello, se advierte que la información peticionada por el particular corresponde a documento que acredita una propiedad del </w:t>
      </w:r>
      <w:r w:rsidRPr="00C949B2">
        <w:rPr>
          <w:b/>
        </w:rPr>
        <w:t xml:space="preserve">SUJETO OBLIGADO </w:t>
      </w:r>
      <w:r w:rsidRPr="00C949B2">
        <w:t xml:space="preserve">el cual corresponde a un </w:t>
      </w:r>
      <w:r w:rsidR="00EF01C0" w:rsidRPr="00C949B2">
        <w:t>documento definitivo</w:t>
      </w:r>
      <w:r w:rsidRPr="00C949B2">
        <w:t xml:space="preserve"> que no se va a modificar.</w:t>
      </w:r>
    </w:p>
    <w:p w14:paraId="6AA0CCFF" w14:textId="77777777" w:rsidR="00CD0E20" w:rsidRPr="00C949B2" w:rsidRDefault="00CD0E20" w:rsidP="00C949B2">
      <w:pPr>
        <w:rPr>
          <w:sz w:val="24"/>
          <w:szCs w:val="24"/>
        </w:rPr>
      </w:pPr>
    </w:p>
    <w:p w14:paraId="35E53744" w14:textId="77777777" w:rsidR="00CD0E20" w:rsidRPr="00C949B2" w:rsidRDefault="00CD0E20" w:rsidP="00C949B2">
      <w:pPr>
        <w:tabs>
          <w:tab w:val="left" w:pos="284"/>
          <w:tab w:val="left" w:pos="567"/>
        </w:tabs>
      </w:pPr>
      <w:r w:rsidRPr="00C949B2">
        <w:t>Por lo que resulta prudente tomar en consideración lo plasmado en el criterio 09/2004 emitido por la Suprema Corte de Justicia de la Nación, cuya literalidad es la siguiente:</w:t>
      </w:r>
    </w:p>
    <w:p w14:paraId="3586035F" w14:textId="77777777" w:rsidR="00CD0E20" w:rsidRPr="00C949B2" w:rsidRDefault="00CD0E20" w:rsidP="00C949B2">
      <w:pPr>
        <w:tabs>
          <w:tab w:val="left" w:pos="4962"/>
        </w:tabs>
      </w:pPr>
    </w:p>
    <w:p w14:paraId="713C1AEA" w14:textId="77777777" w:rsidR="00CD0E20" w:rsidRPr="00C949B2" w:rsidRDefault="00CD0E20" w:rsidP="00C949B2">
      <w:pPr>
        <w:tabs>
          <w:tab w:val="left" w:pos="4962"/>
        </w:tabs>
        <w:spacing w:line="240" w:lineRule="auto"/>
        <w:ind w:left="567" w:right="539"/>
        <w:rPr>
          <w:i/>
        </w:rPr>
      </w:pPr>
      <w:r w:rsidRPr="00C949B2">
        <w:rPr>
          <w:i/>
        </w:rPr>
        <w:t>"</w:t>
      </w:r>
      <w:r w:rsidRPr="00C949B2">
        <w:rPr>
          <w:b/>
          <w:i/>
        </w:rPr>
        <w:t>INFORMACIÓN SUJETA A REVISIÓN. SI YA CONSTA EN UN DOCUMENTO DEFINITIVO, DEBE PERMITIRSE EL ACCESO A ÉSTE</w:t>
      </w:r>
      <w:r w:rsidRPr="00C949B2">
        <w:rPr>
          <w:i/>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29E1872F" w14:textId="77777777" w:rsidR="00CD0E20" w:rsidRPr="00C949B2" w:rsidRDefault="00CD0E20" w:rsidP="00C949B2">
      <w:pPr>
        <w:tabs>
          <w:tab w:val="left" w:pos="4962"/>
        </w:tabs>
        <w:spacing w:line="240" w:lineRule="auto"/>
        <w:ind w:left="567" w:right="539"/>
        <w:rPr>
          <w:i/>
        </w:rPr>
      </w:pPr>
      <w:r w:rsidRPr="00C949B2">
        <w:rPr>
          <w:i/>
        </w:rPr>
        <w:t>Clasificación de la información 10/2004-J, 19 de mayo de 2004.</w:t>
      </w:r>
    </w:p>
    <w:p w14:paraId="4C0BD96F" w14:textId="77777777" w:rsidR="00CD0E20" w:rsidRPr="00C949B2" w:rsidRDefault="00CD0E20" w:rsidP="00C949B2">
      <w:pPr>
        <w:tabs>
          <w:tab w:val="left" w:pos="4962"/>
        </w:tabs>
        <w:spacing w:line="240" w:lineRule="auto"/>
        <w:ind w:left="567" w:right="539"/>
        <w:rPr>
          <w:i/>
        </w:rPr>
      </w:pPr>
      <w:r w:rsidRPr="00C949B2">
        <w:rPr>
          <w:i/>
        </w:rPr>
        <w:t>Unanimidad de votos"</w:t>
      </w:r>
    </w:p>
    <w:p w14:paraId="7DA15C79" w14:textId="77777777" w:rsidR="00CD0E20" w:rsidRPr="00C949B2" w:rsidRDefault="00CD0E20" w:rsidP="00C949B2">
      <w:pPr>
        <w:rPr>
          <w:sz w:val="20"/>
        </w:rPr>
      </w:pPr>
    </w:p>
    <w:p w14:paraId="732D460F" w14:textId="19293CDB" w:rsidR="00420FF2" w:rsidRPr="00C949B2" w:rsidRDefault="00420FF2" w:rsidP="00C949B2">
      <w:r w:rsidRPr="00C949B2">
        <w:t xml:space="preserve">No se omite comentar que </w:t>
      </w:r>
      <w:r w:rsidRPr="00C949B2">
        <w:rPr>
          <w:b/>
          <w:bCs/>
        </w:rPr>
        <w:t>EL SUJETO OBLIGADO</w:t>
      </w:r>
      <w:r w:rsidRPr="00C949B2">
        <w:t xml:space="preserve"> al momento reservar la información en respuesta primigenia y ratificar esta mediante informe justificado asume contar con la información y que la genera, posee, recopila, maneja, archiva, conserva o administra en ejercicio de sus funciones de derecho público y proporcionar la información que obren en su poder conforme el estado que se encuentra y no hacer un procesamiento de la misma, ni presentarla conforme al interés del solicitante motivo por el cual se actualiza el supuesto </w:t>
      </w:r>
      <w:r w:rsidRPr="00C949B2">
        <w:lastRenderedPageBreak/>
        <w:t>jurídico, previsto en el artículo 12 de la Ley de Transparencia y Acceso a la Información Pública del Estado de México y Municipios.</w:t>
      </w:r>
    </w:p>
    <w:p w14:paraId="2AE5AE7A" w14:textId="77777777" w:rsidR="00420FF2" w:rsidRPr="00C949B2" w:rsidRDefault="00420FF2" w:rsidP="00C949B2"/>
    <w:p w14:paraId="48635011" w14:textId="77777777" w:rsidR="00420FF2" w:rsidRPr="00C949B2" w:rsidRDefault="00420FF2" w:rsidP="00C949B2">
      <w:pPr>
        <w:spacing w:line="240" w:lineRule="auto"/>
        <w:ind w:left="851" w:right="822"/>
        <w:rPr>
          <w:i/>
          <w:iCs/>
        </w:rPr>
      </w:pPr>
      <w:r w:rsidRPr="00C949B2">
        <w:rPr>
          <w:i/>
          <w:iCs/>
        </w:rPr>
        <w:t>“Artículo 12. Quienes generen, recopilen, administren, manejen, procesen, archiven o conserven información pública serán responsables de la misma en los términos de las disposiciones jurídicas aplicables.</w:t>
      </w:r>
    </w:p>
    <w:p w14:paraId="25037C89" w14:textId="77777777" w:rsidR="00420FF2" w:rsidRPr="00C949B2" w:rsidRDefault="00420FF2" w:rsidP="00C949B2">
      <w:pPr>
        <w:spacing w:line="240" w:lineRule="auto"/>
        <w:ind w:left="851" w:right="822"/>
        <w:rPr>
          <w:i/>
          <w:iCs/>
        </w:rPr>
      </w:pPr>
    </w:p>
    <w:p w14:paraId="11CD5DE0" w14:textId="77777777" w:rsidR="00420FF2" w:rsidRPr="00C949B2" w:rsidRDefault="00420FF2" w:rsidP="00C949B2">
      <w:pPr>
        <w:spacing w:line="240" w:lineRule="auto"/>
        <w:ind w:left="851" w:right="822"/>
        <w:rPr>
          <w:i/>
          <w:iCs/>
        </w:rPr>
      </w:pPr>
      <w:r w:rsidRPr="00C949B2">
        <w:rPr>
          <w:i/>
          <w:iC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E972681" w14:textId="77777777" w:rsidR="00420FF2" w:rsidRPr="00C949B2" w:rsidRDefault="00420FF2" w:rsidP="00C949B2"/>
    <w:p w14:paraId="23701A40" w14:textId="5E17A5C7" w:rsidR="00420FF2" w:rsidRPr="00C949B2" w:rsidRDefault="00420FF2" w:rsidP="00C949B2">
      <w:r w:rsidRPr="00C949B2">
        <w:t xml:space="preserve">Del precepto anterior se obvia la competencia del </w:t>
      </w:r>
      <w:r w:rsidRPr="00C949B2">
        <w:rPr>
          <w:b/>
          <w:bCs/>
        </w:rPr>
        <w:t>SUJETO OBLIGADO</w:t>
      </w:r>
      <w:r w:rsidRPr="00C949B2">
        <w:t xml:space="preserve"> de generar, poseer, recopilar, archivar, manejar, conservar o administrar la información, puesto que al entregar la misma se obvia que existe fuente obligacional para generarla, poseerla</w:t>
      </w:r>
      <w:r w:rsidR="00E3559D" w:rsidRPr="00C949B2">
        <w:t>.</w:t>
      </w:r>
    </w:p>
    <w:p w14:paraId="4C3FB3E9" w14:textId="42E5CBB5" w:rsidR="00E3559D" w:rsidRPr="00C949B2" w:rsidRDefault="00E3559D" w:rsidP="00C949B2"/>
    <w:p w14:paraId="47AA97AF" w14:textId="5F57EE25" w:rsidR="007600F4" w:rsidRPr="00C949B2" w:rsidRDefault="007600F4" w:rsidP="00C949B2">
      <w:pPr>
        <w:rPr>
          <w:rFonts w:eastAsia="Calibri" w:cs="Tahoma"/>
          <w:bCs/>
          <w:szCs w:val="22"/>
        </w:rPr>
      </w:pPr>
      <w:r w:rsidRPr="00C949B2">
        <w:rPr>
          <w:szCs w:val="22"/>
        </w:rPr>
        <w:t xml:space="preserve">Así en atención a todo lo antes descrito este Órgano Garante </w:t>
      </w:r>
      <w:r w:rsidRPr="00C949B2">
        <w:rPr>
          <w:rFonts w:cs="Tahoma"/>
          <w:szCs w:val="22"/>
          <w:lang w:eastAsia="es-MX"/>
        </w:rPr>
        <w:t xml:space="preserve">que </w:t>
      </w:r>
      <w:r w:rsidRPr="00C949B2">
        <w:rPr>
          <w:rFonts w:cs="Tahoma"/>
          <w:b/>
          <w:szCs w:val="22"/>
          <w:lang w:eastAsia="es-MX"/>
        </w:rPr>
        <w:t>EL SUJETO OBLIGADO</w:t>
      </w:r>
      <w:r w:rsidRPr="00C949B2">
        <w:rPr>
          <w:rFonts w:cs="Tahoma"/>
          <w:szCs w:val="22"/>
          <w:lang w:eastAsia="es-MX"/>
        </w:rPr>
        <w:t xml:space="preserve"> no satisfizo correctamente el derecho de acceso </w:t>
      </w:r>
      <w:r w:rsidRPr="00C949B2">
        <w:rPr>
          <w:rFonts w:eastAsia="Calibri" w:cs="Tahoma"/>
          <w:bCs/>
          <w:szCs w:val="22"/>
        </w:rPr>
        <w:t xml:space="preserve">a la información </w:t>
      </w:r>
      <w:r w:rsidRPr="00C949B2">
        <w:rPr>
          <w:rFonts w:eastAsia="Calibri" w:cs="Tahoma"/>
          <w:b/>
          <w:szCs w:val="22"/>
        </w:rPr>
        <w:t>LA PARTE RECURRENTE</w:t>
      </w:r>
      <w:r w:rsidRPr="00C949B2">
        <w:rPr>
          <w:rFonts w:eastAsia="Calibri" w:cs="Tahoma"/>
          <w:bCs/>
          <w:szCs w:val="22"/>
        </w:rPr>
        <w:t xml:space="preserve">, </w:t>
      </w:r>
      <w:r w:rsidRPr="00C949B2">
        <w:rPr>
          <w:rFonts w:eastAsia="Calibri" w:cs="Tahoma"/>
          <w:b/>
          <w:bCs/>
          <w:szCs w:val="22"/>
        </w:rPr>
        <w:t xml:space="preserve">al incumplir dicho principio, </w:t>
      </w:r>
      <w:r w:rsidRPr="00C949B2">
        <w:rPr>
          <w:rFonts w:eastAsia="Calibri" w:cs="Tahoma"/>
          <w:szCs w:val="22"/>
        </w:rPr>
        <w:t xml:space="preserve">lo que da como resultado que el agravio sea </w:t>
      </w:r>
      <w:r w:rsidR="00CD0E20" w:rsidRPr="00C949B2">
        <w:rPr>
          <w:rFonts w:eastAsia="Calibri" w:cs="Tahoma"/>
          <w:b/>
          <w:bCs/>
          <w:szCs w:val="22"/>
        </w:rPr>
        <w:t xml:space="preserve">FUNDADO; </w:t>
      </w:r>
      <w:r w:rsidR="00CD0E20" w:rsidRPr="00C949B2">
        <w:rPr>
          <w:rFonts w:eastAsia="Calibri" w:cs="Tahoma"/>
          <w:bCs/>
          <w:szCs w:val="22"/>
        </w:rPr>
        <w:t xml:space="preserve">en consecuencia, determina ordenar el documento que acredita la propiedad del inmueble precisado en la solicitud. </w:t>
      </w:r>
    </w:p>
    <w:p w14:paraId="652A8635" w14:textId="77777777" w:rsidR="00CD0E20" w:rsidRPr="00C949B2" w:rsidRDefault="00CD0E20" w:rsidP="00C949B2">
      <w:pPr>
        <w:rPr>
          <w:rFonts w:eastAsia="Calibri" w:cs="Tahoma"/>
          <w:b/>
          <w:bCs/>
          <w:szCs w:val="22"/>
        </w:rPr>
      </w:pPr>
    </w:p>
    <w:p w14:paraId="187F8238" w14:textId="77777777" w:rsidR="00F84EF6" w:rsidRPr="00C949B2" w:rsidRDefault="00F84EF6" w:rsidP="00C949B2">
      <w:pPr>
        <w:pStyle w:val="Ttulo3"/>
        <w:rPr>
          <w:szCs w:val="22"/>
        </w:rPr>
      </w:pPr>
      <w:bookmarkStart w:id="33" w:name="_Toc172191028"/>
      <w:bookmarkStart w:id="34" w:name="_Toc179453372"/>
      <w:bookmarkStart w:id="35" w:name="_Toc181265241"/>
      <w:r w:rsidRPr="00C949B2">
        <w:rPr>
          <w:szCs w:val="22"/>
        </w:rPr>
        <w:t>d) Versión pública.</w:t>
      </w:r>
      <w:bookmarkEnd w:id="33"/>
      <w:bookmarkEnd w:id="34"/>
      <w:bookmarkEnd w:id="35"/>
    </w:p>
    <w:p w14:paraId="6EB3673F" w14:textId="3EA2907C" w:rsidR="00F84EF6" w:rsidRPr="00C949B2" w:rsidRDefault="00F84EF6" w:rsidP="00C949B2">
      <w:pPr>
        <w:rPr>
          <w:bCs/>
          <w:szCs w:val="22"/>
        </w:rPr>
      </w:pPr>
      <w:r w:rsidRPr="00C949B2">
        <w:rPr>
          <w:szCs w:val="22"/>
        </w:rPr>
        <w:t xml:space="preserve">Para el caso de que el o los documentos de los cuales se ordena su entrega contengan datos personales susceptibles de ser testados, deberán ser entregados en </w:t>
      </w:r>
      <w:r w:rsidRPr="00C949B2">
        <w:rPr>
          <w:b/>
          <w:szCs w:val="22"/>
        </w:rPr>
        <w:t>versión pública</w:t>
      </w:r>
      <w:r w:rsidRPr="00C949B2">
        <w:rPr>
          <w:szCs w:val="22"/>
        </w:rPr>
        <w:t>, pues el</w:t>
      </w:r>
      <w:r w:rsidRPr="00C949B2">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Pr="00C949B2">
        <w:rPr>
          <w:bCs/>
          <w:szCs w:val="22"/>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D8DAFD2" w14:textId="77777777" w:rsidR="00B83FB1" w:rsidRPr="00C949B2" w:rsidRDefault="00B83FB1" w:rsidP="00C949B2">
      <w:pPr>
        <w:rPr>
          <w:bCs/>
          <w:szCs w:val="22"/>
        </w:rPr>
      </w:pPr>
    </w:p>
    <w:p w14:paraId="7C60217C" w14:textId="77777777" w:rsidR="00F84EF6" w:rsidRPr="00C949B2" w:rsidRDefault="00F84EF6" w:rsidP="00C949B2">
      <w:pPr>
        <w:rPr>
          <w:bCs/>
          <w:szCs w:val="22"/>
        </w:rPr>
      </w:pPr>
      <w:r w:rsidRPr="00C949B2">
        <w:rPr>
          <w:bCs/>
          <w:szCs w:val="22"/>
        </w:rPr>
        <w:t>A este respecto, los artículos 3, fracciones IX, XX, XXI y XLV; 51 y 52 de la Ley de Transparencia y Acceso a la Información Pública del Estado de México y Municipios establecen:</w:t>
      </w:r>
    </w:p>
    <w:p w14:paraId="0EF17EC5" w14:textId="77777777" w:rsidR="00F84EF6" w:rsidRPr="00C949B2" w:rsidRDefault="00F84EF6" w:rsidP="00C949B2">
      <w:pPr>
        <w:rPr>
          <w:szCs w:val="22"/>
        </w:rPr>
      </w:pPr>
    </w:p>
    <w:p w14:paraId="6199149F" w14:textId="77777777" w:rsidR="00F84EF6" w:rsidRPr="00C949B2" w:rsidRDefault="00F84EF6" w:rsidP="00C949B2">
      <w:pPr>
        <w:pStyle w:val="Puesto"/>
        <w:tabs>
          <w:tab w:val="left" w:pos="8222"/>
        </w:tabs>
        <w:ind w:left="851" w:right="822"/>
        <w:rPr>
          <w:szCs w:val="22"/>
        </w:rPr>
      </w:pPr>
      <w:r w:rsidRPr="00C949B2">
        <w:rPr>
          <w:b/>
          <w:bCs/>
          <w:noProof/>
          <w:szCs w:val="22"/>
        </w:rPr>
        <w:t>“</w:t>
      </w:r>
      <w:r w:rsidRPr="00C949B2">
        <w:rPr>
          <w:b/>
          <w:bCs/>
          <w:szCs w:val="22"/>
        </w:rPr>
        <w:t xml:space="preserve">Artículo 3. </w:t>
      </w:r>
      <w:r w:rsidRPr="00C949B2">
        <w:rPr>
          <w:szCs w:val="22"/>
        </w:rPr>
        <w:t xml:space="preserve">Para los efectos de la presente Ley se entenderá por: </w:t>
      </w:r>
    </w:p>
    <w:p w14:paraId="48B8F56C" w14:textId="77777777" w:rsidR="00F84EF6" w:rsidRPr="00C949B2" w:rsidRDefault="00F84EF6" w:rsidP="00C949B2">
      <w:pPr>
        <w:pStyle w:val="Puesto"/>
        <w:tabs>
          <w:tab w:val="left" w:pos="8222"/>
        </w:tabs>
        <w:ind w:left="851" w:right="822"/>
        <w:rPr>
          <w:szCs w:val="22"/>
        </w:rPr>
      </w:pPr>
      <w:r w:rsidRPr="00C949B2">
        <w:rPr>
          <w:b/>
          <w:szCs w:val="22"/>
        </w:rPr>
        <w:t>IX.</w:t>
      </w:r>
      <w:r w:rsidRPr="00C949B2">
        <w:rPr>
          <w:szCs w:val="22"/>
        </w:rPr>
        <w:t xml:space="preserve"> </w:t>
      </w:r>
      <w:r w:rsidRPr="00C949B2">
        <w:rPr>
          <w:b/>
          <w:szCs w:val="22"/>
        </w:rPr>
        <w:t xml:space="preserve">Datos personales: </w:t>
      </w:r>
      <w:r w:rsidRPr="00C949B2">
        <w:rPr>
          <w:szCs w:val="22"/>
        </w:rPr>
        <w:t xml:space="preserve">La información concerniente a una persona, identificada o identificable según lo dispuesto por la Ley de Protección de Datos Personales del Estado de México; </w:t>
      </w:r>
    </w:p>
    <w:p w14:paraId="7AAC0C05" w14:textId="77777777" w:rsidR="00F84EF6" w:rsidRPr="00C949B2" w:rsidRDefault="00F84EF6" w:rsidP="00C949B2">
      <w:pPr>
        <w:tabs>
          <w:tab w:val="left" w:pos="8222"/>
        </w:tabs>
        <w:spacing w:line="240" w:lineRule="auto"/>
        <w:ind w:left="851" w:right="822"/>
        <w:rPr>
          <w:szCs w:val="22"/>
        </w:rPr>
      </w:pPr>
    </w:p>
    <w:p w14:paraId="35560936" w14:textId="77777777" w:rsidR="00F84EF6" w:rsidRPr="00C949B2" w:rsidRDefault="00F84EF6" w:rsidP="00C949B2">
      <w:pPr>
        <w:pStyle w:val="Puesto"/>
        <w:tabs>
          <w:tab w:val="left" w:pos="8222"/>
        </w:tabs>
        <w:ind w:left="851" w:right="822"/>
        <w:rPr>
          <w:szCs w:val="22"/>
        </w:rPr>
      </w:pPr>
      <w:r w:rsidRPr="00C949B2">
        <w:rPr>
          <w:b/>
          <w:szCs w:val="22"/>
        </w:rPr>
        <w:t>XX.</w:t>
      </w:r>
      <w:r w:rsidRPr="00C949B2">
        <w:rPr>
          <w:szCs w:val="22"/>
        </w:rPr>
        <w:t xml:space="preserve"> </w:t>
      </w:r>
      <w:r w:rsidRPr="00C949B2">
        <w:rPr>
          <w:b/>
          <w:szCs w:val="22"/>
        </w:rPr>
        <w:t>Información clasificada:</w:t>
      </w:r>
      <w:r w:rsidRPr="00C949B2">
        <w:rPr>
          <w:szCs w:val="22"/>
        </w:rPr>
        <w:t xml:space="preserve"> Aquella considerada por la presente Ley como reservada o confidencial; </w:t>
      </w:r>
    </w:p>
    <w:p w14:paraId="2AD16B3F" w14:textId="77777777" w:rsidR="00F84EF6" w:rsidRPr="00C949B2" w:rsidRDefault="00F84EF6" w:rsidP="00C949B2">
      <w:pPr>
        <w:pStyle w:val="Puesto"/>
        <w:tabs>
          <w:tab w:val="left" w:pos="8222"/>
        </w:tabs>
        <w:ind w:left="851" w:right="822"/>
        <w:rPr>
          <w:szCs w:val="22"/>
        </w:rPr>
      </w:pPr>
      <w:r w:rsidRPr="00C949B2">
        <w:rPr>
          <w:b/>
          <w:szCs w:val="22"/>
        </w:rPr>
        <w:t>XXI.</w:t>
      </w:r>
      <w:r w:rsidRPr="00C949B2">
        <w:rPr>
          <w:szCs w:val="22"/>
        </w:rPr>
        <w:t xml:space="preserve"> </w:t>
      </w:r>
      <w:r w:rsidRPr="00C949B2">
        <w:rPr>
          <w:b/>
          <w:szCs w:val="22"/>
        </w:rPr>
        <w:t>Información confidencial</w:t>
      </w:r>
      <w:r w:rsidRPr="00C949B2">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F0C0CCE" w14:textId="77777777" w:rsidR="00F84EF6" w:rsidRPr="00C949B2" w:rsidRDefault="00F84EF6" w:rsidP="00C949B2">
      <w:pPr>
        <w:tabs>
          <w:tab w:val="left" w:pos="8222"/>
        </w:tabs>
        <w:spacing w:line="240" w:lineRule="auto"/>
        <w:ind w:left="851" w:right="822"/>
        <w:rPr>
          <w:szCs w:val="22"/>
        </w:rPr>
      </w:pPr>
    </w:p>
    <w:p w14:paraId="4C540829" w14:textId="77777777" w:rsidR="00F84EF6" w:rsidRPr="00C949B2" w:rsidRDefault="00F84EF6" w:rsidP="00C949B2">
      <w:pPr>
        <w:pStyle w:val="Puesto"/>
        <w:tabs>
          <w:tab w:val="left" w:pos="8222"/>
        </w:tabs>
        <w:ind w:left="851" w:right="822"/>
        <w:rPr>
          <w:szCs w:val="22"/>
        </w:rPr>
      </w:pPr>
      <w:r w:rsidRPr="00C949B2">
        <w:rPr>
          <w:b/>
          <w:szCs w:val="22"/>
        </w:rPr>
        <w:t>XLV. Versión pública:</w:t>
      </w:r>
      <w:r w:rsidRPr="00C949B2">
        <w:rPr>
          <w:szCs w:val="22"/>
        </w:rPr>
        <w:t xml:space="preserve"> Documento en el que se elimine, suprime o borra la información clasificada como reservada o confidencial para permitir su acceso. </w:t>
      </w:r>
    </w:p>
    <w:p w14:paraId="4EC9F81E" w14:textId="77777777" w:rsidR="00F84EF6" w:rsidRPr="00C949B2" w:rsidRDefault="00F84EF6" w:rsidP="00C949B2">
      <w:pPr>
        <w:pStyle w:val="Puesto"/>
        <w:tabs>
          <w:tab w:val="left" w:pos="8222"/>
        </w:tabs>
        <w:ind w:left="851" w:right="822"/>
        <w:rPr>
          <w:szCs w:val="22"/>
        </w:rPr>
      </w:pPr>
      <w:r w:rsidRPr="00C949B2">
        <w:rPr>
          <w:b/>
          <w:szCs w:val="22"/>
        </w:rPr>
        <w:t>Artículo 51.</w:t>
      </w:r>
      <w:r w:rsidRPr="00C949B2">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949B2">
        <w:rPr>
          <w:b/>
          <w:szCs w:val="22"/>
        </w:rPr>
        <w:t xml:space="preserve">y tendrá la responsabilidad de verificar en cada caso que la misma no sea confidencial o reservada. </w:t>
      </w:r>
      <w:r w:rsidRPr="00C949B2">
        <w:rPr>
          <w:szCs w:val="22"/>
        </w:rPr>
        <w:t>Dicha Unidad contará con las facultades internas necesarias para gestionar la atención a las solicitudes de información en los términos de la Ley General y la presente Ley.</w:t>
      </w:r>
    </w:p>
    <w:p w14:paraId="35406DF7" w14:textId="77777777" w:rsidR="00F84EF6" w:rsidRPr="00C949B2" w:rsidRDefault="00F84EF6" w:rsidP="00C949B2">
      <w:pPr>
        <w:tabs>
          <w:tab w:val="left" w:pos="8222"/>
        </w:tabs>
        <w:spacing w:line="240" w:lineRule="auto"/>
        <w:ind w:left="851" w:right="822"/>
        <w:rPr>
          <w:szCs w:val="22"/>
        </w:rPr>
      </w:pPr>
    </w:p>
    <w:p w14:paraId="03C7791F" w14:textId="77777777" w:rsidR="00F84EF6" w:rsidRPr="00C949B2" w:rsidRDefault="00F84EF6" w:rsidP="00C949B2">
      <w:pPr>
        <w:pStyle w:val="Puesto"/>
        <w:tabs>
          <w:tab w:val="left" w:pos="8222"/>
        </w:tabs>
        <w:ind w:left="851" w:right="822"/>
        <w:rPr>
          <w:szCs w:val="22"/>
        </w:rPr>
      </w:pPr>
      <w:r w:rsidRPr="00C949B2">
        <w:rPr>
          <w:b/>
          <w:szCs w:val="22"/>
        </w:rPr>
        <w:t>Artículo 52.</w:t>
      </w:r>
      <w:r w:rsidRPr="00C949B2">
        <w:rPr>
          <w:szCs w:val="22"/>
        </w:rPr>
        <w:t xml:space="preserve"> Las solicitudes de acceso a la información y las respuestas que se les dé, incluyendo, en su caso, </w:t>
      </w:r>
      <w:r w:rsidRPr="00C949B2">
        <w:rPr>
          <w:szCs w:val="22"/>
          <w:u w:val="single"/>
        </w:rPr>
        <w:t xml:space="preserve">la información entregada, así como las resoluciones a los recursos que en su caso se promuevan serán públicas, y de ser el caso que contenga </w:t>
      </w:r>
      <w:r w:rsidRPr="00C949B2">
        <w:rPr>
          <w:szCs w:val="22"/>
          <w:u w:val="single"/>
        </w:rPr>
        <w:lastRenderedPageBreak/>
        <w:t>datos personales que deban ser protegidos se podrá dar su acceso en su versión pública</w:t>
      </w:r>
      <w:r w:rsidRPr="00C949B2">
        <w:rPr>
          <w:szCs w:val="22"/>
        </w:rPr>
        <w:t>, siempre y cuando la resolución de referencia se someta a un proceso de disociación, es decir, no haga identificable al titular de tales datos personales.</w:t>
      </w:r>
      <w:r w:rsidRPr="00C949B2">
        <w:rPr>
          <w:bCs/>
          <w:noProof/>
          <w:szCs w:val="22"/>
        </w:rPr>
        <w:t xml:space="preserve">” </w:t>
      </w:r>
      <w:r w:rsidRPr="00C949B2">
        <w:rPr>
          <w:i w:val="0"/>
          <w:iCs/>
          <w:szCs w:val="22"/>
        </w:rPr>
        <w:t>(Énfasis añadido)</w:t>
      </w:r>
    </w:p>
    <w:p w14:paraId="167E4C51" w14:textId="77777777" w:rsidR="00F84EF6" w:rsidRPr="00C949B2" w:rsidRDefault="00F84EF6" w:rsidP="00C949B2">
      <w:pPr>
        <w:rPr>
          <w:szCs w:val="22"/>
        </w:rPr>
      </w:pPr>
    </w:p>
    <w:p w14:paraId="06427FCB" w14:textId="77777777" w:rsidR="00F84EF6" w:rsidRPr="00C949B2" w:rsidRDefault="00F84EF6" w:rsidP="00C949B2">
      <w:pPr>
        <w:rPr>
          <w:szCs w:val="22"/>
        </w:rPr>
      </w:pPr>
      <w:r w:rsidRPr="00C949B2">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02D4359" w14:textId="77777777" w:rsidR="00F84EF6" w:rsidRPr="00C949B2" w:rsidRDefault="00F84EF6" w:rsidP="00C949B2">
      <w:pPr>
        <w:rPr>
          <w:szCs w:val="22"/>
        </w:rPr>
      </w:pPr>
    </w:p>
    <w:p w14:paraId="237D7471" w14:textId="77777777" w:rsidR="00F84EF6" w:rsidRPr="00C949B2" w:rsidRDefault="00F84EF6" w:rsidP="00C949B2">
      <w:pPr>
        <w:pStyle w:val="Puesto"/>
        <w:ind w:left="851" w:right="822"/>
        <w:rPr>
          <w:rFonts w:eastAsia="Arial Unicode MS"/>
          <w:szCs w:val="22"/>
        </w:rPr>
      </w:pPr>
      <w:r w:rsidRPr="00C949B2">
        <w:rPr>
          <w:rFonts w:eastAsia="Arial Unicode MS"/>
          <w:b/>
          <w:szCs w:val="22"/>
        </w:rPr>
        <w:t>“Artículo 22.</w:t>
      </w:r>
      <w:r w:rsidRPr="00C949B2">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EE8D4FD" w14:textId="77777777" w:rsidR="00F84EF6" w:rsidRPr="00C949B2" w:rsidRDefault="00F84EF6" w:rsidP="00C949B2">
      <w:pPr>
        <w:spacing w:line="240" w:lineRule="auto"/>
        <w:ind w:left="851" w:right="822"/>
        <w:rPr>
          <w:rFonts w:eastAsia="Arial Unicode MS"/>
          <w:szCs w:val="22"/>
        </w:rPr>
      </w:pPr>
    </w:p>
    <w:p w14:paraId="653FC1C1" w14:textId="77777777" w:rsidR="00F84EF6" w:rsidRPr="00C949B2" w:rsidRDefault="00F84EF6" w:rsidP="00C949B2">
      <w:pPr>
        <w:pStyle w:val="Puesto"/>
        <w:ind w:left="851" w:right="822"/>
        <w:rPr>
          <w:rFonts w:eastAsia="Arial Unicode MS"/>
          <w:szCs w:val="22"/>
        </w:rPr>
      </w:pPr>
      <w:r w:rsidRPr="00C949B2">
        <w:rPr>
          <w:rFonts w:eastAsia="Arial Unicode MS"/>
          <w:b/>
          <w:szCs w:val="22"/>
        </w:rPr>
        <w:t>Artículo 38.</w:t>
      </w:r>
      <w:r w:rsidRPr="00C949B2">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949B2">
        <w:rPr>
          <w:rFonts w:eastAsia="Arial Unicode MS"/>
          <w:b/>
          <w:szCs w:val="22"/>
        </w:rPr>
        <w:t>”</w:t>
      </w:r>
      <w:r w:rsidRPr="00C949B2">
        <w:rPr>
          <w:rFonts w:eastAsia="Arial Unicode MS"/>
          <w:szCs w:val="22"/>
        </w:rPr>
        <w:t xml:space="preserve"> </w:t>
      </w:r>
    </w:p>
    <w:p w14:paraId="59F8ECC4" w14:textId="77777777" w:rsidR="00F84EF6" w:rsidRPr="00C949B2" w:rsidRDefault="00F84EF6" w:rsidP="00C949B2">
      <w:pPr>
        <w:rPr>
          <w:rFonts w:eastAsia="Arial Unicode MS"/>
        </w:rPr>
      </w:pPr>
    </w:p>
    <w:p w14:paraId="3DA00B5F" w14:textId="77777777" w:rsidR="00F84EF6" w:rsidRPr="00C949B2" w:rsidRDefault="00F84EF6" w:rsidP="00C949B2">
      <w:pPr>
        <w:rPr>
          <w:szCs w:val="22"/>
        </w:rPr>
      </w:pPr>
      <w:r w:rsidRPr="00C949B2">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C949B2">
        <w:rPr>
          <w:szCs w:val="22"/>
        </w:rPr>
        <w:lastRenderedPageBreak/>
        <w:t xml:space="preserve">particulares toda vez que ésta tiene por objeto proteger datos personales, entendiéndose por tales, aquéllos que hacen identificable a una persona. </w:t>
      </w:r>
    </w:p>
    <w:p w14:paraId="3FE11221" w14:textId="77777777" w:rsidR="00F84EF6" w:rsidRPr="00C949B2" w:rsidRDefault="00F84EF6" w:rsidP="00C949B2">
      <w:pPr>
        <w:rPr>
          <w:szCs w:val="22"/>
        </w:rPr>
      </w:pPr>
    </w:p>
    <w:p w14:paraId="388154EE" w14:textId="77777777" w:rsidR="00F84EF6" w:rsidRPr="00C949B2" w:rsidRDefault="00F84EF6" w:rsidP="00C949B2">
      <w:pPr>
        <w:rPr>
          <w:szCs w:val="22"/>
        </w:rPr>
      </w:pPr>
      <w:r w:rsidRPr="00C949B2">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949B2">
        <w:rPr>
          <w:rFonts w:eastAsia="Arial Unicode MS"/>
          <w:szCs w:val="22"/>
        </w:rPr>
        <w:t xml:space="preserve"> que debe ser protegida por </w:t>
      </w:r>
      <w:r w:rsidRPr="00C949B2">
        <w:rPr>
          <w:rFonts w:eastAsia="Arial Unicode MS"/>
          <w:b/>
          <w:szCs w:val="22"/>
        </w:rPr>
        <w:t>EL SUJETO OBLIGADO,</w:t>
      </w:r>
      <w:r w:rsidRPr="00C949B2">
        <w:rPr>
          <w:rFonts w:eastAsia="Arial Unicode MS"/>
          <w:szCs w:val="22"/>
        </w:rPr>
        <w:t xml:space="preserve"> por lo </w:t>
      </w:r>
      <w:r w:rsidRPr="00C949B2">
        <w:rPr>
          <w:szCs w:val="22"/>
        </w:rPr>
        <w:t>que, todo dato personal susceptible de clasificación debe ser protegido.</w:t>
      </w:r>
    </w:p>
    <w:p w14:paraId="743EE5D0" w14:textId="77777777" w:rsidR="007600F4" w:rsidRPr="00C949B2" w:rsidRDefault="007600F4" w:rsidP="00C949B2">
      <w:pPr>
        <w:rPr>
          <w:szCs w:val="22"/>
        </w:rPr>
      </w:pPr>
    </w:p>
    <w:p w14:paraId="319D7DA4" w14:textId="3FCE7A34" w:rsidR="00F84EF6" w:rsidRPr="00C949B2" w:rsidRDefault="00F84EF6" w:rsidP="00C949B2">
      <w:pPr>
        <w:rPr>
          <w:szCs w:val="22"/>
        </w:rPr>
      </w:pPr>
      <w:r w:rsidRPr="00C949B2">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F32E14C" w14:textId="77777777" w:rsidR="00420FF2" w:rsidRPr="00C949B2" w:rsidRDefault="00420FF2" w:rsidP="00C949B2">
      <w:pPr>
        <w:rPr>
          <w:szCs w:val="22"/>
        </w:rPr>
      </w:pPr>
    </w:p>
    <w:p w14:paraId="0069945A" w14:textId="77777777" w:rsidR="00F84EF6" w:rsidRPr="00C949B2" w:rsidRDefault="00F84EF6" w:rsidP="00C949B2">
      <w:pPr>
        <w:rPr>
          <w:szCs w:val="22"/>
        </w:rPr>
      </w:pPr>
      <w:r w:rsidRPr="00C949B2">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D6CF765" w14:textId="77777777" w:rsidR="00F84EF6" w:rsidRPr="00C949B2" w:rsidRDefault="00F84EF6" w:rsidP="00C949B2">
      <w:pPr>
        <w:spacing w:line="240" w:lineRule="auto"/>
        <w:ind w:left="851" w:right="822"/>
        <w:rPr>
          <w:szCs w:val="22"/>
        </w:rPr>
      </w:pPr>
    </w:p>
    <w:p w14:paraId="085BBF19" w14:textId="77777777" w:rsidR="00F84EF6" w:rsidRPr="00C949B2" w:rsidRDefault="00F84EF6" w:rsidP="00C949B2">
      <w:pPr>
        <w:spacing w:line="240" w:lineRule="auto"/>
        <w:ind w:left="851" w:right="822"/>
        <w:jc w:val="center"/>
        <w:rPr>
          <w:b/>
          <w:i/>
          <w:szCs w:val="22"/>
        </w:rPr>
      </w:pPr>
      <w:r w:rsidRPr="00C949B2">
        <w:rPr>
          <w:b/>
          <w:i/>
          <w:szCs w:val="22"/>
          <w:lang w:val="es-ES_tradnl"/>
        </w:rPr>
        <w:t>Ley de Transparencia y Acceso a la Información Pública del Estado de México y Municipios</w:t>
      </w:r>
    </w:p>
    <w:p w14:paraId="42BECA78" w14:textId="77777777" w:rsidR="00F84EF6" w:rsidRPr="00C949B2" w:rsidRDefault="00F84EF6" w:rsidP="00C949B2">
      <w:pPr>
        <w:spacing w:line="240" w:lineRule="auto"/>
        <w:ind w:left="851" w:right="822"/>
        <w:rPr>
          <w:szCs w:val="22"/>
        </w:rPr>
      </w:pPr>
    </w:p>
    <w:p w14:paraId="2C6A33C3" w14:textId="77777777" w:rsidR="00F84EF6" w:rsidRPr="00C949B2" w:rsidRDefault="00F84EF6" w:rsidP="00C949B2">
      <w:pPr>
        <w:pStyle w:val="Puesto"/>
        <w:ind w:left="851" w:right="822"/>
        <w:rPr>
          <w:szCs w:val="22"/>
        </w:rPr>
      </w:pPr>
      <w:r w:rsidRPr="00C949B2">
        <w:rPr>
          <w:b/>
          <w:szCs w:val="22"/>
        </w:rPr>
        <w:lastRenderedPageBreak/>
        <w:t xml:space="preserve">“Artículo 49. </w:t>
      </w:r>
      <w:r w:rsidRPr="00C949B2">
        <w:rPr>
          <w:szCs w:val="22"/>
        </w:rPr>
        <w:t>Los Comités de Transparencia tendrán las siguientes atribuciones:</w:t>
      </w:r>
    </w:p>
    <w:p w14:paraId="01509556" w14:textId="77777777" w:rsidR="00F84EF6" w:rsidRPr="00C949B2" w:rsidRDefault="00F84EF6" w:rsidP="00C949B2">
      <w:pPr>
        <w:pStyle w:val="Puesto"/>
        <w:ind w:left="851" w:right="822"/>
        <w:rPr>
          <w:szCs w:val="22"/>
        </w:rPr>
      </w:pPr>
      <w:r w:rsidRPr="00C949B2">
        <w:rPr>
          <w:b/>
          <w:szCs w:val="22"/>
        </w:rPr>
        <w:t>VIII.</w:t>
      </w:r>
      <w:r w:rsidRPr="00C949B2">
        <w:rPr>
          <w:szCs w:val="22"/>
        </w:rPr>
        <w:t xml:space="preserve"> Aprobar, modificar o revocar la clasificación de la información;</w:t>
      </w:r>
    </w:p>
    <w:p w14:paraId="0B7DC163" w14:textId="77777777" w:rsidR="00F84EF6" w:rsidRPr="00C949B2" w:rsidRDefault="00F84EF6" w:rsidP="00C949B2">
      <w:pPr>
        <w:spacing w:line="240" w:lineRule="auto"/>
        <w:ind w:left="851" w:right="822"/>
        <w:rPr>
          <w:szCs w:val="22"/>
        </w:rPr>
      </w:pPr>
    </w:p>
    <w:p w14:paraId="7270AED5" w14:textId="77777777" w:rsidR="00F84EF6" w:rsidRPr="00C949B2" w:rsidRDefault="00F84EF6" w:rsidP="00C949B2">
      <w:pPr>
        <w:pStyle w:val="Puesto"/>
        <w:ind w:left="851" w:right="822"/>
        <w:rPr>
          <w:szCs w:val="22"/>
        </w:rPr>
      </w:pPr>
      <w:r w:rsidRPr="00C949B2">
        <w:rPr>
          <w:b/>
          <w:szCs w:val="22"/>
        </w:rPr>
        <w:t>Artículo 132.</w:t>
      </w:r>
      <w:r w:rsidRPr="00C949B2">
        <w:rPr>
          <w:szCs w:val="22"/>
        </w:rPr>
        <w:t xml:space="preserve"> La clasificación de la información se llevará a cabo en el momento en que:</w:t>
      </w:r>
    </w:p>
    <w:p w14:paraId="67F00BBD" w14:textId="77777777" w:rsidR="00F84EF6" w:rsidRPr="00C949B2" w:rsidRDefault="00F84EF6" w:rsidP="00C949B2">
      <w:pPr>
        <w:pStyle w:val="Puesto"/>
        <w:ind w:left="851" w:right="822"/>
        <w:rPr>
          <w:szCs w:val="22"/>
        </w:rPr>
      </w:pPr>
      <w:r w:rsidRPr="00C949B2">
        <w:rPr>
          <w:b/>
          <w:szCs w:val="22"/>
        </w:rPr>
        <w:t>I.</w:t>
      </w:r>
      <w:r w:rsidRPr="00C949B2">
        <w:rPr>
          <w:szCs w:val="22"/>
        </w:rPr>
        <w:t xml:space="preserve"> Se reciba una solicitud de acceso a la información;</w:t>
      </w:r>
    </w:p>
    <w:p w14:paraId="7EFF3888" w14:textId="77777777" w:rsidR="00F84EF6" w:rsidRPr="00C949B2" w:rsidRDefault="00F84EF6" w:rsidP="00C949B2">
      <w:pPr>
        <w:pStyle w:val="Puesto"/>
        <w:ind w:left="851" w:right="822"/>
        <w:rPr>
          <w:szCs w:val="22"/>
        </w:rPr>
      </w:pPr>
      <w:r w:rsidRPr="00C949B2">
        <w:rPr>
          <w:b/>
          <w:szCs w:val="22"/>
        </w:rPr>
        <w:t>II.</w:t>
      </w:r>
      <w:r w:rsidRPr="00C949B2">
        <w:rPr>
          <w:szCs w:val="22"/>
        </w:rPr>
        <w:t xml:space="preserve"> Se determine mediante resolución de autoridad competente; o</w:t>
      </w:r>
    </w:p>
    <w:p w14:paraId="2028C8AC" w14:textId="77777777" w:rsidR="00F84EF6" w:rsidRPr="00C949B2" w:rsidRDefault="00F84EF6" w:rsidP="00C949B2">
      <w:pPr>
        <w:pStyle w:val="Puesto"/>
        <w:ind w:left="851" w:right="822"/>
        <w:rPr>
          <w:b/>
          <w:szCs w:val="22"/>
        </w:rPr>
      </w:pPr>
      <w:r w:rsidRPr="00C949B2">
        <w:rPr>
          <w:b/>
          <w:bCs/>
          <w:szCs w:val="22"/>
        </w:rPr>
        <w:t>III.</w:t>
      </w:r>
      <w:r w:rsidRPr="00C949B2">
        <w:rPr>
          <w:szCs w:val="22"/>
        </w:rPr>
        <w:t xml:space="preserve"> Se generen versiones públicas para dar cumplimiento a las obligaciones de transparencia previstas en esta Ley.</w:t>
      </w:r>
      <w:r w:rsidRPr="00C949B2">
        <w:rPr>
          <w:b/>
          <w:szCs w:val="22"/>
        </w:rPr>
        <w:t>”</w:t>
      </w:r>
    </w:p>
    <w:p w14:paraId="57A72D59" w14:textId="77777777" w:rsidR="00F84EF6" w:rsidRPr="00C949B2" w:rsidRDefault="00F84EF6" w:rsidP="00C949B2">
      <w:pPr>
        <w:spacing w:line="240" w:lineRule="auto"/>
        <w:ind w:left="851" w:right="822"/>
        <w:rPr>
          <w:szCs w:val="22"/>
        </w:rPr>
      </w:pPr>
    </w:p>
    <w:p w14:paraId="43839862" w14:textId="77777777" w:rsidR="00F84EF6" w:rsidRPr="00C949B2" w:rsidRDefault="00F84EF6" w:rsidP="00C949B2">
      <w:pPr>
        <w:pStyle w:val="Puesto"/>
        <w:ind w:left="851" w:right="822"/>
        <w:rPr>
          <w:szCs w:val="22"/>
        </w:rPr>
      </w:pPr>
      <w:r w:rsidRPr="00C949B2">
        <w:rPr>
          <w:b/>
          <w:szCs w:val="22"/>
        </w:rPr>
        <w:t>“Segundo. -</w:t>
      </w:r>
      <w:r w:rsidRPr="00C949B2">
        <w:rPr>
          <w:szCs w:val="22"/>
        </w:rPr>
        <w:t xml:space="preserve"> Para efectos de los presentes Lineamientos Generales, se entenderá por:</w:t>
      </w:r>
    </w:p>
    <w:p w14:paraId="2A79B468" w14:textId="77777777" w:rsidR="00F84EF6" w:rsidRPr="00C949B2" w:rsidRDefault="00F84EF6" w:rsidP="00C949B2">
      <w:pPr>
        <w:pStyle w:val="Puesto"/>
        <w:ind w:left="851" w:right="822"/>
        <w:rPr>
          <w:szCs w:val="22"/>
        </w:rPr>
      </w:pPr>
      <w:r w:rsidRPr="00C949B2">
        <w:rPr>
          <w:b/>
          <w:szCs w:val="22"/>
        </w:rPr>
        <w:t>XVIII.</w:t>
      </w:r>
      <w:r w:rsidRPr="00C949B2">
        <w:rPr>
          <w:szCs w:val="22"/>
        </w:rPr>
        <w:t xml:space="preserve">  </w:t>
      </w:r>
      <w:r w:rsidRPr="00C949B2">
        <w:rPr>
          <w:b/>
          <w:szCs w:val="22"/>
        </w:rPr>
        <w:t>Versión pública:</w:t>
      </w:r>
      <w:r w:rsidRPr="00C949B2">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A0AB43A" w14:textId="77777777" w:rsidR="00F84EF6" w:rsidRPr="00C949B2" w:rsidRDefault="00F84EF6" w:rsidP="00C949B2">
      <w:pPr>
        <w:pStyle w:val="Puesto"/>
        <w:ind w:left="851" w:right="822"/>
        <w:rPr>
          <w:szCs w:val="22"/>
        </w:rPr>
      </w:pPr>
    </w:p>
    <w:p w14:paraId="27B0E29F" w14:textId="77777777" w:rsidR="00F84EF6" w:rsidRPr="00C949B2" w:rsidRDefault="00F84EF6" w:rsidP="00C949B2">
      <w:pPr>
        <w:pStyle w:val="Puesto"/>
        <w:ind w:left="851" w:right="822"/>
        <w:rPr>
          <w:b/>
          <w:szCs w:val="22"/>
          <w:lang w:val="es-ES_tradnl" w:eastAsia="es-MX"/>
        </w:rPr>
      </w:pPr>
      <w:r w:rsidRPr="00C949B2">
        <w:rPr>
          <w:b/>
          <w:szCs w:val="22"/>
          <w:lang w:val="es-ES_tradnl" w:eastAsia="es-MX"/>
        </w:rPr>
        <w:t xml:space="preserve">Lineamientos Generales en materia de Clasificación y Desclasificación de la </w:t>
      </w:r>
      <w:r w:rsidRPr="00C949B2">
        <w:rPr>
          <w:b/>
          <w:szCs w:val="22"/>
          <w:lang w:val="es-ES_tradnl"/>
        </w:rPr>
        <w:t>Información</w:t>
      </w:r>
    </w:p>
    <w:p w14:paraId="47F2C787" w14:textId="77777777" w:rsidR="00F84EF6" w:rsidRPr="00C949B2" w:rsidRDefault="00F84EF6" w:rsidP="00C949B2">
      <w:pPr>
        <w:pStyle w:val="Puesto"/>
        <w:ind w:left="851" w:right="822"/>
        <w:rPr>
          <w:szCs w:val="22"/>
        </w:rPr>
      </w:pPr>
    </w:p>
    <w:p w14:paraId="47DD50BF" w14:textId="77777777" w:rsidR="00F84EF6" w:rsidRPr="00C949B2" w:rsidRDefault="00F84EF6" w:rsidP="00C949B2">
      <w:pPr>
        <w:pStyle w:val="Puesto"/>
        <w:ind w:left="851" w:right="822"/>
        <w:rPr>
          <w:szCs w:val="22"/>
        </w:rPr>
      </w:pPr>
      <w:r w:rsidRPr="00C949B2">
        <w:rPr>
          <w:b/>
          <w:szCs w:val="22"/>
        </w:rPr>
        <w:t>Cuarto.</w:t>
      </w:r>
      <w:r w:rsidRPr="00C949B2">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06F8CE7" w14:textId="77777777" w:rsidR="00F84EF6" w:rsidRPr="00C949B2" w:rsidRDefault="00F84EF6" w:rsidP="00C949B2">
      <w:pPr>
        <w:spacing w:line="240" w:lineRule="auto"/>
      </w:pPr>
    </w:p>
    <w:p w14:paraId="227D2168" w14:textId="77777777" w:rsidR="00F84EF6" w:rsidRPr="00C949B2" w:rsidRDefault="00F84EF6" w:rsidP="00C949B2">
      <w:pPr>
        <w:pStyle w:val="Puesto"/>
        <w:ind w:left="851" w:right="822"/>
        <w:rPr>
          <w:szCs w:val="22"/>
        </w:rPr>
      </w:pPr>
      <w:r w:rsidRPr="00C949B2">
        <w:rPr>
          <w:szCs w:val="22"/>
        </w:rPr>
        <w:t>Los sujetos obligados deberán aplicar, de manera estricta, las excepciones al derecho de acceso a la información y sólo podrán invocarlas cuando acrediten su procedencia.</w:t>
      </w:r>
    </w:p>
    <w:p w14:paraId="3577620E" w14:textId="77777777" w:rsidR="00F84EF6" w:rsidRPr="00C949B2" w:rsidRDefault="00F84EF6" w:rsidP="00C949B2">
      <w:pPr>
        <w:spacing w:line="240" w:lineRule="auto"/>
        <w:ind w:left="851" w:right="822"/>
        <w:rPr>
          <w:szCs w:val="22"/>
        </w:rPr>
      </w:pPr>
    </w:p>
    <w:p w14:paraId="3FF993AB" w14:textId="77777777" w:rsidR="00F84EF6" w:rsidRPr="00C949B2" w:rsidRDefault="00F84EF6" w:rsidP="00C949B2">
      <w:pPr>
        <w:pStyle w:val="Puesto"/>
        <w:ind w:left="851" w:right="822"/>
        <w:rPr>
          <w:szCs w:val="22"/>
        </w:rPr>
      </w:pPr>
      <w:r w:rsidRPr="00C949B2">
        <w:rPr>
          <w:b/>
          <w:szCs w:val="22"/>
        </w:rPr>
        <w:t>Quinto.</w:t>
      </w:r>
      <w:r w:rsidRPr="00C949B2">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4A2E621" w14:textId="77777777" w:rsidR="00F84EF6" w:rsidRPr="00C949B2" w:rsidRDefault="00F84EF6" w:rsidP="00C949B2">
      <w:pPr>
        <w:spacing w:line="240" w:lineRule="auto"/>
        <w:ind w:left="851" w:right="822"/>
        <w:rPr>
          <w:szCs w:val="22"/>
        </w:rPr>
      </w:pPr>
    </w:p>
    <w:p w14:paraId="5863661D" w14:textId="77777777" w:rsidR="00F84EF6" w:rsidRPr="00C949B2" w:rsidRDefault="00F84EF6" w:rsidP="00C949B2">
      <w:pPr>
        <w:pStyle w:val="Puesto"/>
        <w:ind w:left="851" w:right="822"/>
        <w:rPr>
          <w:szCs w:val="22"/>
        </w:rPr>
      </w:pPr>
      <w:r w:rsidRPr="00C949B2">
        <w:rPr>
          <w:b/>
          <w:szCs w:val="22"/>
        </w:rPr>
        <w:t>Sexto.</w:t>
      </w:r>
      <w:r w:rsidRPr="00C949B2">
        <w:rPr>
          <w:szCs w:val="22"/>
        </w:rPr>
        <w:t xml:space="preserve"> Se deroga.</w:t>
      </w:r>
    </w:p>
    <w:p w14:paraId="7851567A" w14:textId="77777777" w:rsidR="00F84EF6" w:rsidRPr="00C949B2" w:rsidRDefault="00F84EF6" w:rsidP="00C949B2">
      <w:pPr>
        <w:spacing w:line="240" w:lineRule="auto"/>
        <w:ind w:left="851" w:right="822"/>
        <w:rPr>
          <w:szCs w:val="22"/>
        </w:rPr>
      </w:pPr>
    </w:p>
    <w:p w14:paraId="636F6E65" w14:textId="77777777" w:rsidR="00F84EF6" w:rsidRPr="00C949B2" w:rsidRDefault="00F84EF6" w:rsidP="00C949B2">
      <w:pPr>
        <w:pStyle w:val="Puesto"/>
        <w:ind w:left="851" w:right="822"/>
        <w:rPr>
          <w:szCs w:val="22"/>
        </w:rPr>
      </w:pPr>
      <w:r w:rsidRPr="00C949B2">
        <w:rPr>
          <w:b/>
          <w:szCs w:val="22"/>
        </w:rPr>
        <w:lastRenderedPageBreak/>
        <w:t>Séptimo.</w:t>
      </w:r>
      <w:r w:rsidRPr="00C949B2">
        <w:rPr>
          <w:szCs w:val="22"/>
        </w:rPr>
        <w:t xml:space="preserve"> La clasificación de la información se llevará a cabo en el momento en que:</w:t>
      </w:r>
    </w:p>
    <w:p w14:paraId="44EAFE12" w14:textId="77777777" w:rsidR="00F84EF6" w:rsidRPr="00C949B2" w:rsidRDefault="00F84EF6" w:rsidP="00C949B2">
      <w:pPr>
        <w:pStyle w:val="Puesto"/>
        <w:ind w:left="851" w:right="822"/>
        <w:rPr>
          <w:szCs w:val="22"/>
        </w:rPr>
      </w:pPr>
      <w:r w:rsidRPr="00C949B2">
        <w:rPr>
          <w:b/>
          <w:szCs w:val="22"/>
        </w:rPr>
        <w:t>I.</w:t>
      </w:r>
      <w:r w:rsidRPr="00C949B2">
        <w:rPr>
          <w:szCs w:val="22"/>
        </w:rPr>
        <w:t xml:space="preserve">        Se reciba una solicitud de acceso a la información;</w:t>
      </w:r>
    </w:p>
    <w:p w14:paraId="0621C92A" w14:textId="77777777" w:rsidR="00F84EF6" w:rsidRPr="00C949B2" w:rsidRDefault="00F84EF6" w:rsidP="00C949B2">
      <w:pPr>
        <w:pStyle w:val="Puesto"/>
        <w:ind w:left="851" w:right="822"/>
        <w:rPr>
          <w:szCs w:val="22"/>
        </w:rPr>
      </w:pPr>
      <w:r w:rsidRPr="00C949B2">
        <w:rPr>
          <w:b/>
          <w:szCs w:val="22"/>
        </w:rPr>
        <w:t>II.</w:t>
      </w:r>
      <w:r w:rsidRPr="00C949B2">
        <w:rPr>
          <w:szCs w:val="22"/>
        </w:rPr>
        <w:t xml:space="preserve">       Se determine mediante resolución del Comité de Transparencia, el órgano garante competente, o en cumplimiento a una sentencia del Poder Judicial; o</w:t>
      </w:r>
    </w:p>
    <w:p w14:paraId="592F14D1" w14:textId="77777777" w:rsidR="00F84EF6" w:rsidRPr="00C949B2" w:rsidRDefault="00F84EF6" w:rsidP="00C949B2">
      <w:pPr>
        <w:pStyle w:val="Puesto"/>
        <w:ind w:left="851" w:right="822"/>
        <w:rPr>
          <w:szCs w:val="22"/>
        </w:rPr>
      </w:pPr>
      <w:r w:rsidRPr="00C949B2">
        <w:rPr>
          <w:b/>
          <w:szCs w:val="22"/>
        </w:rPr>
        <w:t>III.</w:t>
      </w:r>
      <w:r w:rsidRPr="00C949B2">
        <w:rPr>
          <w:szCs w:val="22"/>
        </w:rPr>
        <w:t xml:space="preserve">      Se generen versiones públicas para dar cumplimiento a las obligaciones de transparencia previstas en la Ley General, la Ley Federal y las correspondientes de las entidades federativas.</w:t>
      </w:r>
    </w:p>
    <w:p w14:paraId="7E3E777B" w14:textId="77777777" w:rsidR="00F84EF6" w:rsidRPr="00C949B2" w:rsidRDefault="00F84EF6" w:rsidP="00C949B2">
      <w:pPr>
        <w:pStyle w:val="Puesto"/>
        <w:ind w:left="851" w:right="822"/>
        <w:rPr>
          <w:szCs w:val="22"/>
        </w:rPr>
      </w:pPr>
      <w:r w:rsidRPr="00C949B2">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D7A968E" w14:textId="77777777" w:rsidR="00F84EF6" w:rsidRPr="00C949B2" w:rsidRDefault="00F84EF6" w:rsidP="00C949B2">
      <w:pPr>
        <w:spacing w:line="240" w:lineRule="auto"/>
        <w:ind w:left="851" w:right="822"/>
        <w:rPr>
          <w:szCs w:val="22"/>
        </w:rPr>
      </w:pPr>
    </w:p>
    <w:p w14:paraId="22EE9C94" w14:textId="77777777" w:rsidR="00F84EF6" w:rsidRPr="00C949B2" w:rsidRDefault="00F84EF6" w:rsidP="00C949B2">
      <w:pPr>
        <w:pStyle w:val="Puesto"/>
        <w:ind w:left="851" w:right="822"/>
        <w:rPr>
          <w:szCs w:val="22"/>
        </w:rPr>
      </w:pPr>
      <w:r w:rsidRPr="00C949B2">
        <w:rPr>
          <w:b/>
          <w:szCs w:val="22"/>
        </w:rPr>
        <w:t>Octavo.</w:t>
      </w:r>
      <w:r w:rsidRPr="00C949B2">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6F9AF2F" w14:textId="77777777" w:rsidR="00F84EF6" w:rsidRPr="00C949B2" w:rsidRDefault="00F84EF6" w:rsidP="00C949B2">
      <w:pPr>
        <w:pStyle w:val="Puesto"/>
        <w:ind w:left="851" w:right="822"/>
        <w:rPr>
          <w:szCs w:val="22"/>
        </w:rPr>
      </w:pPr>
      <w:r w:rsidRPr="00C949B2">
        <w:rPr>
          <w:szCs w:val="22"/>
        </w:rPr>
        <w:t>Para motivar la clasificación se deberán señalar las razones o circunstancias especiales que lo llevaron a concluir que el caso particular se ajusta al supuesto previsto por la norma legal invocada como fundamento.</w:t>
      </w:r>
    </w:p>
    <w:p w14:paraId="3F9FA3A0" w14:textId="77777777" w:rsidR="007600F4" w:rsidRPr="00C949B2" w:rsidRDefault="007600F4" w:rsidP="00C949B2">
      <w:pPr>
        <w:spacing w:line="240" w:lineRule="auto"/>
      </w:pPr>
    </w:p>
    <w:p w14:paraId="23C27A9D" w14:textId="77777777" w:rsidR="00F84EF6" w:rsidRPr="00C949B2" w:rsidRDefault="00F84EF6" w:rsidP="00C949B2">
      <w:pPr>
        <w:pStyle w:val="Puesto"/>
        <w:ind w:left="851" w:right="822"/>
        <w:rPr>
          <w:szCs w:val="22"/>
        </w:rPr>
      </w:pPr>
      <w:r w:rsidRPr="00C949B2">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78959AB" w14:textId="77777777" w:rsidR="00F84EF6" w:rsidRPr="00C949B2" w:rsidRDefault="00F84EF6" w:rsidP="00C949B2">
      <w:pPr>
        <w:pStyle w:val="Puesto"/>
        <w:ind w:left="851" w:right="822"/>
        <w:rPr>
          <w:szCs w:val="22"/>
        </w:rPr>
      </w:pPr>
      <w:r w:rsidRPr="00C949B2">
        <w:rPr>
          <w:b/>
          <w:szCs w:val="22"/>
        </w:rPr>
        <w:t>Noveno.</w:t>
      </w:r>
      <w:r w:rsidRPr="00C949B2">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B41AA8C" w14:textId="77777777" w:rsidR="00F84EF6" w:rsidRPr="00C949B2" w:rsidRDefault="00F84EF6" w:rsidP="00C949B2">
      <w:pPr>
        <w:spacing w:line="240" w:lineRule="auto"/>
      </w:pPr>
    </w:p>
    <w:p w14:paraId="613883E4" w14:textId="77777777" w:rsidR="00F84EF6" w:rsidRPr="00C949B2" w:rsidRDefault="00F84EF6" w:rsidP="00C949B2">
      <w:pPr>
        <w:pStyle w:val="Puesto"/>
        <w:ind w:left="851" w:right="822"/>
        <w:rPr>
          <w:szCs w:val="22"/>
        </w:rPr>
      </w:pPr>
      <w:r w:rsidRPr="00C949B2">
        <w:rPr>
          <w:b/>
          <w:szCs w:val="22"/>
        </w:rPr>
        <w:t>Décimo.</w:t>
      </w:r>
      <w:r w:rsidRPr="00C949B2">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028A329" w14:textId="77777777" w:rsidR="00F84EF6" w:rsidRPr="00C949B2" w:rsidRDefault="00F84EF6" w:rsidP="00C949B2">
      <w:pPr>
        <w:pStyle w:val="Puesto"/>
        <w:ind w:left="851" w:right="822"/>
        <w:rPr>
          <w:szCs w:val="22"/>
        </w:rPr>
      </w:pPr>
      <w:r w:rsidRPr="00C949B2">
        <w:rPr>
          <w:szCs w:val="22"/>
        </w:rPr>
        <w:t>En ausencia de los titulares de las áreas, la información será clasificada o desclasificada por la persona que lo supla, en términos de la normativa que rija la actuación del sujeto obligado.</w:t>
      </w:r>
    </w:p>
    <w:p w14:paraId="420833DC" w14:textId="77777777" w:rsidR="00F84EF6" w:rsidRPr="00C949B2" w:rsidRDefault="00F84EF6" w:rsidP="00C949B2">
      <w:pPr>
        <w:spacing w:line="240" w:lineRule="auto"/>
        <w:rPr>
          <w:sz w:val="12"/>
          <w:szCs w:val="10"/>
        </w:rPr>
      </w:pPr>
    </w:p>
    <w:p w14:paraId="4FBA6234" w14:textId="77777777" w:rsidR="00F84EF6" w:rsidRPr="00C949B2" w:rsidRDefault="00F84EF6" w:rsidP="00C949B2">
      <w:pPr>
        <w:pStyle w:val="Puesto"/>
        <w:ind w:left="851" w:right="822"/>
        <w:rPr>
          <w:b/>
          <w:szCs w:val="22"/>
        </w:rPr>
      </w:pPr>
      <w:r w:rsidRPr="00C949B2">
        <w:rPr>
          <w:b/>
          <w:szCs w:val="22"/>
        </w:rPr>
        <w:lastRenderedPageBreak/>
        <w:t>Décimo primero.</w:t>
      </w:r>
      <w:r w:rsidRPr="00C949B2">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949B2">
        <w:rPr>
          <w:b/>
          <w:szCs w:val="22"/>
        </w:rPr>
        <w:t>”</w:t>
      </w:r>
    </w:p>
    <w:p w14:paraId="3C563238" w14:textId="77777777" w:rsidR="00F84EF6" w:rsidRPr="00C949B2" w:rsidRDefault="00F84EF6" w:rsidP="00C949B2">
      <w:pPr>
        <w:rPr>
          <w:sz w:val="12"/>
          <w:szCs w:val="12"/>
        </w:rPr>
      </w:pPr>
    </w:p>
    <w:p w14:paraId="51D15334" w14:textId="0A7AA5C8" w:rsidR="00F84EF6" w:rsidRPr="00C949B2" w:rsidRDefault="00F84EF6" w:rsidP="00C949B2">
      <w:pPr>
        <w:rPr>
          <w:szCs w:val="22"/>
          <w:lang w:eastAsia="es-CO"/>
        </w:rPr>
      </w:pPr>
      <w:r w:rsidRPr="00C949B2">
        <w:rPr>
          <w:szCs w:val="22"/>
        </w:rPr>
        <w:t xml:space="preserve">Consecuentemente, se destaca que la versión pública que elabore </w:t>
      </w:r>
      <w:r w:rsidRPr="00C949B2">
        <w:rPr>
          <w:b/>
          <w:szCs w:val="22"/>
        </w:rPr>
        <w:t>EL SUJETO OBLIGADO</w:t>
      </w:r>
      <w:r w:rsidRPr="00C949B2">
        <w:rPr>
          <w:szCs w:val="22"/>
        </w:rPr>
        <w:t xml:space="preserve"> debe cumplir con las formalidades exigidas en la Ley, por lo que para tal efecto emitirá el </w:t>
      </w:r>
      <w:r w:rsidRPr="00C949B2">
        <w:rPr>
          <w:b/>
          <w:szCs w:val="22"/>
        </w:rPr>
        <w:t>Acuerdo del Comité de Transparencia</w:t>
      </w:r>
      <w:r w:rsidRPr="00C949B2">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949B2">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E368E73" w14:textId="2E038C5F" w:rsidR="00E3559D" w:rsidRPr="00C949B2" w:rsidRDefault="00E3559D" w:rsidP="00C949B2">
      <w:pPr>
        <w:rPr>
          <w:szCs w:val="22"/>
          <w:lang w:eastAsia="es-CO"/>
        </w:rPr>
      </w:pPr>
    </w:p>
    <w:p w14:paraId="69131B28" w14:textId="77777777" w:rsidR="00207D99" w:rsidRPr="00C949B2" w:rsidRDefault="00207D99" w:rsidP="00C949B2">
      <w:pPr>
        <w:pStyle w:val="Ttulo3"/>
      </w:pPr>
      <w:bookmarkStart w:id="36" w:name="_Toc181265242"/>
      <w:r w:rsidRPr="00C949B2">
        <w:t>e) De la reserva de la información</w:t>
      </w:r>
      <w:bookmarkEnd w:id="36"/>
      <w:r w:rsidRPr="00C949B2">
        <w:t xml:space="preserve"> </w:t>
      </w:r>
    </w:p>
    <w:p w14:paraId="1D05BE73" w14:textId="77777777" w:rsidR="00207D99" w:rsidRPr="00C949B2" w:rsidRDefault="00207D99" w:rsidP="00C949B2">
      <w:r w:rsidRPr="00C949B2">
        <w:rPr>
          <w:rFonts w:eastAsia="Arial Unicode MS" w:cs="Arial"/>
          <w:lang w:val="es-ES"/>
        </w:rPr>
        <w:t>Derivado de lo anterior, e</w:t>
      </w:r>
      <w:r w:rsidRPr="00C949B2">
        <w:rPr>
          <w:rFonts w:cs="Arial"/>
        </w:rPr>
        <w:t>s importante traer a contexto lo dispuesto por el artículo 5, párrafo trigésimo, fracción I de la Constitución Política del Estado Libre y Soberano de México, el cual dispone:</w:t>
      </w:r>
    </w:p>
    <w:p w14:paraId="0068115B" w14:textId="77777777" w:rsidR="00207D99" w:rsidRPr="00C949B2" w:rsidRDefault="00207D99" w:rsidP="00C949B2">
      <w:pPr>
        <w:rPr>
          <w:rFonts w:cs="Arial"/>
          <w:b/>
          <w:i/>
        </w:rPr>
      </w:pPr>
    </w:p>
    <w:p w14:paraId="336E7FCA" w14:textId="77777777" w:rsidR="00207D99" w:rsidRPr="00C949B2" w:rsidRDefault="00207D99" w:rsidP="00C949B2">
      <w:pPr>
        <w:pStyle w:val="Puesto"/>
        <w:rPr>
          <w:b/>
        </w:rPr>
      </w:pPr>
      <w:r w:rsidRPr="00C949B2">
        <w:t>“</w:t>
      </w:r>
      <w:r w:rsidRPr="00C949B2">
        <w:rPr>
          <w:b/>
        </w:rPr>
        <w:t>Artículo 5.-...</w:t>
      </w:r>
    </w:p>
    <w:p w14:paraId="312936E9" w14:textId="77777777" w:rsidR="00207D99" w:rsidRPr="00C949B2" w:rsidRDefault="00207D99" w:rsidP="00C949B2">
      <w:pPr>
        <w:pStyle w:val="Puesto"/>
      </w:pPr>
      <w:r w:rsidRPr="00C949B2">
        <w:t>...</w:t>
      </w:r>
    </w:p>
    <w:p w14:paraId="152C584C" w14:textId="77777777" w:rsidR="00207D99" w:rsidRPr="00C949B2" w:rsidRDefault="00207D99" w:rsidP="00C949B2">
      <w:pPr>
        <w:pStyle w:val="Puesto"/>
      </w:pPr>
      <w:r w:rsidRPr="00C949B2">
        <w:t>Este derecho se regirá por los siguientes principios y bases siguientes:</w:t>
      </w:r>
    </w:p>
    <w:p w14:paraId="6144124E" w14:textId="77777777" w:rsidR="00207D99" w:rsidRPr="00C949B2" w:rsidRDefault="00207D99" w:rsidP="00C949B2">
      <w:pPr>
        <w:pStyle w:val="Puesto"/>
      </w:pPr>
    </w:p>
    <w:p w14:paraId="0B7F2B1B" w14:textId="77777777" w:rsidR="00207D99" w:rsidRPr="00C949B2" w:rsidRDefault="00207D99" w:rsidP="00C949B2">
      <w:pPr>
        <w:pStyle w:val="Puesto"/>
        <w:rPr>
          <w:rFonts w:cs="Arial"/>
        </w:rPr>
      </w:pPr>
      <w:r w:rsidRPr="00C949B2">
        <w:rPr>
          <w:rFonts w:cs="Arial"/>
        </w:rPr>
        <w:t>I</w:t>
      </w:r>
      <w:r w:rsidRPr="00C949B2">
        <w:rPr>
          <w:rFonts w:cs="Arial"/>
          <w:b/>
        </w:rPr>
        <w:t xml:space="preserve">. </w:t>
      </w:r>
      <w:r w:rsidRPr="00C949B2">
        <w:rPr>
          <w:b/>
        </w:rPr>
        <w:t xml:space="preserve">Toda la información en posesión de cualquier autoridad, entidad, órgano y organismos de los Poderes Ejecutivo, Legislativo y Judicial, órganos autónomos, </w:t>
      </w:r>
      <w:r w:rsidRPr="00C949B2">
        <w:rPr>
          <w:b/>
        </w:rPr>
        <w:lastRenderedPageBreak/>
        <w:t>partidos políticos, fideicomisos y fondos públicos estatales y municipales</w:t>
      </w:r>
      <w:r w:rsidRPr="00C949B2">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w:t>
      </w:r>
      <w:r w:rsidRPr="00C949B2">
        <w:rPr>
          <w:b/>
        </w:rPr>
        <w:t>sólo podrá ser reservada temporalmente por razones previstas en la Constitución Política de los Estados Unidos Mexicanos</w:t>
      </w:r>
      <w:r w:rsidRPr="00C949B2">
        <w:t xml:space="preserve">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C949B2">
        <w:rPr>
          <w:rFonts w:cs="Arial"/>
        </w:rPr>
        <w:t>;</w:t>
      </w:r>
    </w:p>
    <w:p w14:paraId="28A56C73" w14:textId="77777777" w:rsidR="00207D99" w:rsidRPr="00C949B2" w:rsidRDefault="00207D99" w:rsidP="00C949B2">
      <w:pPr>
        <w:autoSpaceDE w:val="0"/>
        <w:autoSpaceDN w:val="0"/>
        <w:adjustRightInd w:val="0"/>
        <w:ind w:left="851" w:right="902"/>
        <w:rPr>
          <w:rFonts w:cs="Arial"/>
          <w:i/>
        </w:rPr>
      </w:pPr>
      <w:r w:rsidRPr="00C949B2">
        <w:rPr>
          <w:rFonts w:cs="Arial"/>
          <w:i/>
        </w:rPr>
        <w:t>...”</w:t>
      </w:r>
    </w:p>
    <w:p w14:paraId="6D3E2FBF" w14:textId="77777777" w:rsidR="00207D99" w:rsidRPr="00C949B2" w:rsidRDefault="00207D99" w:rsidP="00C949B2">
      <w:pPr>
        <w:rPr>
          <w:rFonts w:cs="Arial"/>
          <w:i/>
          <w:sz w:val="24"/>
        </w:rPr>
      </w:pPr>
    </w:p>
    <w:p w14:paraId="05BAA688" w14:textId="77777777" w:rsidR="00207D99" w:rsidRPr="00C949B2" w:rsidRDefault="00207D99" w:rsidP="00C949B2">
      <w:pPr>
        <w:rPr>
          <w:rFonts w:cs="Arial"/>
        </w:rPr>
      </w:pPr>
      <w:r w:rsidRPr="00C949B2">
        <w:rPr>
          <w:rFonts w:cs="Arial"/>
        </w:rPr>
        <w:t>De lo anterior, se deduce que la Constitución le otorga a todos los documentos en posesión de las autoridades la calidad de públicos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w:t>
      </w:r>
    </w:p>
    <w:p w14:paraId="6493517F" w14:textId="77777777" w:rsidR="00207D99" w:rsidRPr="00C949B2" w:rsidRDefault="00207D99" w:rsidP="00C949B2">
      <w:pPr>
        <w:rPr>
          <w:rFonts w:cs="Arial"/>
        </w:rPr>
      </w:pPr>
    </w:p>
    <w:p w14:paraId="02AA67C8" w14:textId="77777777" w:rsidR="00207D99" w:rsidRPr="00C949B2" w:rsidRDefault="00207D99" w:rsidP="00C949B2">
      <w:pPr>
        <w:rPr>
          <w:rFonts w:cs="Arial"/>
        </w:rPr>
      </w:pPr>
      <w:r w:rsidRPr="00C949B2">
        <w:rPr>
          <w:rFonts w:cs="Arial"/>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 tal y como lo precisan los siguientes dispositivos jurídicos:</w:t>
      </w:r>
    </w:p>
    <w:p w14:paraId="5E5C13AF" w14:textId="77777777" w:rsidR="00207D99" w:rsidRPr="00C949B2" w:rsidRDefault="00207D99" w:rsidP="00C949B2">
      <w:pPr>
        <w:rPr>
          <w:rFonts w:cs="Arial"/>
        </w:rPr>
      </w:pPr>
    </w:p>
    <w:p w14:paraId="0D6C0AFA" w14:textId="77777777" w:rsidR="00207D99" w:rsidRPr="00C949B2" w:rsidRDefault="00207D99" w:rsidP="00C949B2">
      <w:pPr>
        <w:pStyle w:val="Puesto"/>
      </w:pPr>
      <w:r w:rsidRPr="00C949B2">
        <w:t>“</w:t>
      </w:r>
      <w:r w:rsidRPr="00C949B2">
        <w:rPr>
          <w:b/>
        </w:rPr>
        <w:t>Artículo 122</w:t>
      </w:r>
      <w:r w:rsidRPr="00C949B2">
        <w:t xml:space="preserve">. La clasificación es el proceso mediante el cual el sujeto obligado determina que la información en su poder </w:t>
      </w:r>
      <w:proofErr w:type="spellStart"/>
      <w:r w:rsidRPr="00C949B2">
        <w:t>actualiza</w:t>
      </w:r>
      <w:proofErr w:type="spellEnd"/>
      <w:r w:rsidRPr="00C949B2">
        <w:t xml:space="preserve"> alguno de los supuestos de reserva o confidencialidad, de conformidad con lo dispuesto en el presente título.</w:t>
      </w:r>
    </w:p>
    <w:p w14:paraId="04EDE09B" w14:textId="77777777" w:rsidR="00207D99" w:rsidRPr="00C949B2" w:rsidRDefault="00207D99" w:rsidP="00C949B2">
      <w:pPr>
        <w:pStyle w:val="Puesto"/>
      </w:pPr>
      <w:r w:rsidRPr="00C949B2">
        <w:lastRenderedPageBreak/>
        <w:t>Los supuestos de reserva o confidencialidad previstos en las leyes deberán ser acordes con las bases, principios y disposiciones establecidos en la Ley General y, en ningún caso, podrán contravenirla.</w:t>
      </w:r>
    </w:p>
    <w:p w14:paraId="34CE4E3C" w14:textId="77777777" w:rsidR="00207D99" w:rsidRPr="00C949B2" w:rsidRDefault="00207D99" w:rsidP="00C949B2">
      <w:pPr>
        <w:pStyle w:val="Puesto"/>
      </w:pPr>
      <w:r w:rsidRPr="00C949B2">
        <w:t>Los titulares de las áreas de los sujetos obligados serán los responsables de clasificar la información, de conformidad con lo dispuesto en la presente Ley y demás disposiciones jurídicas aplicables.</w:t>
      </w:r>
    </w:p>
    <w:p w14:paraId="699C28EA" w14:textId="77777777" w:rsidR="00207D99" w:rsidRPr="00C949B2" w:rsidRDefault="00207D99" w:rsidP="00C949B2">
      <w:pPr>
        <w:ind w:left="709" w:right="757"/>
        <w:contextualSpacing/>
        <w:rPr>
          <w:rFonts w:cs="Arial"/>
          <w:b/>
          <w:i/>
        </w:rPr>
      </w:pPr>
    </w:p>
    <w:p w14:paraId="26DA8009" w14:textId="77777777" w:rsidR="00207D99" w:rsidRPr="00C949B2" w:rsidRDefault="00207D99" w:rsidP="00C949B2">
      <w:pPr>
        <w:pStyle w:val="Puesto"/>
        <w:rPr>
          <w:b/>
        </w:rPr>
      </w:pPr>
      <w:r w:rsidRPr="00C949B2">
        <w:rPr>
          <w:b/>
        </w:rPr>
        <w:t>Artículo 140. El acceso a la información pública será restringido excepcionalmente, cuando por razones de interés público, ésta sea clasificada como reservada, conforme a los criterios siguientes:</w:t>
      </w:r>
    </w:p>
    <w:p w14:paraId="276EA9BF" w14:textId="77777777" w:rsidR="00207D99" w:rsidRPr="00C949B2" w:rsidRDefault="00207D99" w:rsidP="00C949B2">
      <w:pPr>
        <w:pStyle w:val="Puesto"/>
      </w:pPr>
      <w:r w:rsidRPr="00C949B2">
        <w:rPr>
          <w:b/>
        </w:rPr>
        <w:t>I.</w:t>
      </w:r>
      <w:r w:rsidRPr="00C949B2">
        <w:t xml:space="preserve"> Comprometa la seguridad pública y cuente con un propósito genuino y un efecto demostrable;</w:t>
      </w:r>
    </w:p>
    <w:p w14:paraId="5B72BB02" w14:textId="77777777" w:rsidR="00207D99" w:rsidRPr="00C949B2" w:rsidRDefault="00207D99" w:rsidP="00C949B2">
      <w:pPr>
        <w:pStyle w:val="Puesto"/>
      </w:pPr>
      <w:r w:rsidRPr="00C949B2">
        <w:rPr>
          <w:b/>
        </w:rPr>
        <w:t>II.</w:t>
      </w:r>
      <w:r w:rsidRPr="00C949B2">
        <w:t xml:space="preserve"> Pueda menoscabar la conducción de las negociaciones y relaciones internacionales;</w:t>
      </w:r>
    </w:p>
    <w:p w14:paraId="5B7D2586" w14:textId="77777777" w:rsidR="00207D99" w:rsidRPr="00C949B2" w:rsidRDefault="00207D99" w:rsidP="00C949B2">
      <w:pPr>
        <w:pStyle w:val="Puesto"/>
      </w:pPr>
      <w:r w:rsidRPr="00C949B2">
        <w:rPr>
          <w:b/>
        </w:rPr>
        <w:t>III.</w:t>
      </w:r>
      <w:r w:rsidRPr="00C949B2">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6B1571CD" w14:textId="77777777" w:rsidR="00207D99" w:rsidRPr="00C949B2" w:rsidRDefault="00207D99" w:rsidP="00C949B2">
      <w:pPr>
        <w:pStyle w:val="Puesto"/>
      </w:pPr>
      <w:r w:rsidRPr="00C949B2">
        <w:rPr>
          <w:b/>
        </w:rPr>
        <w:t>IV.</w:t>
      </w:r>
      <w:r w:rsidRPr="00C949B2">
        <w:t xml:space="preserve"> Ponga en riesgo la vida, la seguridad o la salud de una persona física;</w:t>
      </w:r>
    </w:p>
    <w:p w14:paraId="30BBA36F" w14:textId="77777777" w:rsidR="00207D99" w:rsidRPr="00C949B2" w:rsidRDefault="00207D99" w:rsidP="00C949B2">
      <w:pPr>
        <w:pStyle w:val="Puesto"/>
      </w:pPr>
      <w:r w:rsidRPr="00C949B2">
        <w:rPr>
          <w:b/>
        </w:rPr>
        <w:t>V.</w:t>
      </w:r>
      <w:r w:rsidRPr="00C949B2">
        <w:t xml:space="preserve"> Aquella cuya divulgación obstruya o pueda causar un serio perjuicio a:</w:t>
      </w:r>
    </w:p>
    <w:p w14:paraId="2979AAC6" w14:textId="77777777" w:rsidR="00207D99" w:rsidRPr="00C949B2" w:rsidRDefault="00207D99" w:rsidP="00C949B2">
      <w:pPr>
        <w:pStyle w:val="Puesto"/>
      </w:pPr>
      <w:r w:rsidRPr="00C949B2">
        <w:rPr>
          <w:b/>
        </w:rPr>
        <w:t>1.</w:t>
      </w:r>
      <w:r w:rsidRPr="00C949B2">
        <w:t xml:space="preserve"> Las actividades de fiscalización, verificación, inspección, comprobación y auditoría sobre el cumplimiento de las Leyes; o</w:t>
      </w:r>
    </w:p>
    <w:p w14:paraId="3B99326A" w14:textId="77777777" w:rsidR="00207D99" w:rsidRPr="00C949B2" w:rsidRDefault="00207D99" w:rsidP="00C949B2">
      <w:pPr>
        <w:pStyle w:val="Puesto"/>
      </w:pPr>
      <w:r w:rsidRPr="00C949B2">
        <w:rPr>
          <w:b/>
        </w:rPr>
        <w:t>2.</w:t>
      </w:r>
      <w:r w:rsidRPr="00C949B2">
        <w:t xml:space="preserve"> La recaudación de las contribuciones.</w:t>
      </w:r>
    </w:p>
    <w:p w14:paraId="7F2FE718" w14:textId="77777777" w:rsidR="00207D99" w:rsidRPr="00C949B2" w:rsidRDefault="00207D99" w:rsidP="00C949B2">
      <w:pPr>
        <w:pStyle w:val="Puesto"/>
      </w:pPr>
      <w:r w:rsidRPr="00C949B2">
        <w:rPr>
          <w:b/>
        </w:rPr>
        <w:t>VI.</w:t>
      </w:r>
      <w:r w:rsidRPr="00C949B2">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BC174B5" w14:textId="77777777" w:rsidR="00207D99" w:rsidRPr="00C949B2" w:rsidRDefault="00207D99" w:rsidP="00C949B2">
      <w:pPr>
        <w:pStyle w:val="Puesto"/>
      </w:pPr>
      <w:r w:rsidRPr="00C949B2">
        <w:rPr>
          <w:b/>
        </w:rPr>
        <w:t>VII.</w:t>
      </w:r>
      <w:r w:rsidRPr="00C949B2">
        <w:t xml:space="preserve"> La que contengan las opiniones, recomendaciones o puntos de vista que formen parte del proceso deliberativo de los servidores públicos, hasta en tanto sea adoptada la decisión definitiva, la cual deberá estar documentada;</w:t>
      </w:r>
    </w:p>
    <w:p w14:paraId="77A740A8" w14:textId="77777777" w:rsidR="00207D99" w:rsidRPr="00C949B2" w:rsidRDefault="00207D99" w:rsidP="00C949B2">
      <w:pPr>
        <w:pStyle w:val="Puesto"/>
      </w:pPr>
      <w:r w:rsidRPr="00C949B2">
        <w:rPr>
          <w:b/>
        </w:rPr>
        <w:t>VIII.</w:t>
      </w:r>
      <w:r w:rsidRPr="00C949B2">
        <w:t xml:space="preserve"> Vulnere la conducción de los expedientes judiciales o de los procedimientos administrativos seguidos en forma de juicio, en tanto no hayan quedado firmes;</w:t>
      </w:r>
    </w:p>
    <w:p w14:paraId="66686570" w14:textId="77777777" w:rsidR="00207D99" w:rsidRPr="00C949B2" w:rsidRDefault="00207D99" w:rsidP="00C949B2">
      <w:pPr>
        <w:pStyle w:val="Puesto"/>
      </w:pPr>
      <w:r w:rsidRPr="00C949B2">
        <w:rPr>
          <w:b/>
        </w:rPr>
        <w:t>IX.</w:t>
      </w:r>
      <w:r w:rsidRPr="00C949B2">
        <w:t xml:space="preserve"> Se encuentre contenida dentro de las investigaciones de hechos que la Ley señale como delitos y se tramiten ante el Ministerio Público;</w:t>
      </w:r>
    </w:p>
    <w:p w14:paraId="4E0875FE" w14:textId="77777777" w:rsidR="00207D99" w:rsidRPr="00C949B2" w:rsidRDefault="00207D99" w:rsidP="00C949B2">
      <w:pPr>
        <w:pStyle w:val="Puesto"/>
      </w:pPr>
      <w:r w:rsidRPr="00C949B2">
        <w:rPr>
          <w:b/>
        </w:rPr>
        <w:t>X.</w:t>
      </w:r>
      <w:r w:rsidRPr="00C949B2">
        <w:t xml:space="preserve"> El daño que pueda producirse con la publicación de la información sea mayor que el interés público de conocer la información de referencia, siempre que esté directamente </w:t>
      </w:r>
      <w:r w:rsidRPr="00C949B2">
        <w:lastRenderedPageBreak/>
        <w:t>relacionado con procesos o procedimientos administrativos o judiciales que no hayan quedado firmes;</w:t>
      </w:r>
    </w:p>
    <w:p w14:paraId="35A3783A" w14:textId="77777777" w:rsidR="00207D99" w:rsidRPr="00C949B2" w:rsidRDefault="00207D99" w:rsidP="00C949B2">
      <w:pPr>
        <w:pStyle w:val="Puesto"/>
      </w:pPr>
      <w:r w:rsidRPr="00C949B2">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B481293" w14:textId="77777777" w:rsidR="00207D99" w:rsidRPr="00C949B2" w:rsidRDefault="00207D99" w:rsidP="00C949B2">
      <w:pPr>
        <w:pStyle w:val="Puesto"/>
        <w:rPr>
          <w:rFonts w:cs="Arial"/>
        </w:rPr>
      </w:pPr>
      <w:r w:rsidRPr="00C949B2">
        <w:rPr>
          <w:rFonts w:cs="Arial"/>
        </w:rPr>
        <w:t>XI. Las que por disposición expresa de una ley tengan tal carácter, siempre que sean acordes con las bases, principios y disposiciones establecidos en esta Ley y no la contravengan; así como las previstas en tratados internacionales.</w:t>
      </w:r>
    </w:p>
    <w:p w14:paraId="76FD7282" w14:textId="77777777" w:rsidR="00207D99" w:rsidRPr="00C949B2" w:rsidRDefault="00207D99" w:rsidP="00C949B2">
      <w:pPr>
        <w:pStyle w:val="Puesto"/>
        <w:rPr>
          <w:rFonts w:cs="Arial"/>
        </w:rPr>
      </w:pPr>
    </w:p>
    <w:p w14:paraId="741ECEA6" w14:textId="77777777" w:rsidR="00207D99" w:rsidRPr="00C949B2" w:rsidRDefault="00207D99" w:rsidP="00C949B2">
      <w:pPr>
        <w:pStyle w:val="Puesto"/>
        <w:rPr>
          <w:rFonts w:cs="Arial"/>
          <w:b/>
        </w:rPr>
      </w:pPr>
      <w:r w:rsidRPr="00C949B2">
        <w:rPr>
          <w:rFonts w:cs="Arial"/>
          <w:b/>
        </w:rPr>
        <w:t>Artículo 141</w:t>
      </w:r>
      <w:r w:rsidRPr="00C949B2">
        <w:rPr>
          <w:rFonts w:cs="Arial"/>
        </w:rPr>
        <w:t xml:space="preserve">. </w:t>
      </w:r>
      <w:r w:rsidRPr="00C949B2">
        <w:rPr>
          <w:rFonts w:cs="Arial"/>
          <w:b/>
        </w:rPr>
        <w:t>Las causales de reserva previstas en este Capítulo se deberán fundar y motivar, a través de la aplicación de la prueba de daño a la que se hace referencia en el presente Título.”(Sic)</w:t>
      </w:r>
    </w:p>
    <w:p w14:paraId="5CEAA605" w14:textId="77777777" w:rsidR="00207D99" w:rsidRPr="00C949B2" w:rsidRDefault="00207D99" w:rsidP="00C949B2">
      <w:pPr>
        <w:rPr>
          <w:rFonts w:cs="Arial"/>
          <w:b/>
          <w:i/>
          <w:sz w:val="24"/>
        </w:rPr>
      </w:pPr>
    </w:p>
    <w:p w14:paraId="30F0076D" w14:textId="77777777" w:rsidR="00207D99" w:rsidRPr="00C949B2" w:rsidRDefault="00207D99" w:rsidP="00C949B2">
      <w:r w:rsidRPr="00C949B2">
        <w:t xml:space="preserve">Ahora bien, el reservar la información, implica el reconocimiento por parte del </w:t>
      </w:r>
      <w:r w:rsidRPr="00C949B2">
        <w:rPr>
          <w:rFonts w:cs="Arial"/>
          <w:b/>
        </w:rPr>
        <w:t>SUJETO OBLIGADO</w:t>
      </w:r>
      <w:r w:rsidRPr="00C949B2">
        <w:t xml:space="preserve"> de que lo solicitado tiene el carácter de público y sí es susceptible de entregarse, es decir, de transparentarse; empero, advierte que existen causas presentes que impiden la publicidad de la información durante cierto periodo de tiempo.</w:t>
      </w:r>
    </w:p>
    <w:p w14:paraId="0359B2DF" w14:textId="77777777" w:rsidR="00207D99" w:rsidRPr="00C949B2" w:rsidRDefault="00207D99" w:rsidP="00C949B2"/>
    <w:p w14:paraId="232FD96C" w14:textId="77777777" w:rsidR="00207D99" w:rsidRPr="00C949B2" w:rsidRDefault="00207D99" w:rsidP="00C949B2">
      <w:r w:rsidRPr="00C949B2">
        <w:t>Siendo pertinente aclarar que, la información clasificada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7DB4D7DA" w14:textId="77777777" w:rsidR="00207D99" w:rsidRPr="00C949B2" w:rsidRDefault="00207D99" w:rsidP="00C949B2"/>
    <w:p w14:paraId="1DC9BB50" w14:textId="77777777" w:rsidR="00207D99" w:rsidRPr="00C949B2" w:rsidRDefault="00207D99" w:rsidP="00C949B2">
      <w:pPr>
        <w:rPr>
          <w:bCs/>
        </w:rPr>
      </w:pPr>
      <w:r w:rsidRPr="00C949B2">
        <w:rPr>
          <w:bCs/>
        </w:rPr>
        <w:t xml:space="preserve">Por todo lo anterior, la reserva de la información implica una clasificación, la cual debe entenderse como el proceso mediante el cual </w:t>
      </w:r>
      <w:r w:rsidRPr="00C949B2">
        <w:rPr>
          <w:b/>
          <w:bCs/>
        </w:rPr>
        <w:t>EL SUJETO OBLIGADO</w:t>
      </w:r>
      <w:r w:rsidRPr="00C949B2">
        <w:rPr>
          <w:bCs/>
        </w:rPr>
        <w:t xml:space="preserve"> determina que la información en su poder </w:t>
      </w:r>
      <w:proofErr w:type="spellStart"/>
      <w:r w:rsidRPr="00C949B2">
        <w:rPr>
          <w:bCs/>
        </w:rPr>
        <w:t>actualiza</w:t>
      </w:r>
      <w:proofErr w:type="spellEnd"/>
      <w:r w:rsidRPr="00C949B2">
        <w:rPr>
          <w:bCs/>
        </w:rPr>
        <w:t xml:space="preserve"> alguno de los supuestos conforme a las normas aplicables.</w:t>
      </w:r>
    </w:p>
    <w:p w14:paraId="5F239BF1" w14:textId="77777777" w:rsidR="00207D99" w:rsidRPr="00C949B2" w:rsidRDefault="00207D99" w:rsidP="00C949B2">
      <w:pPr>
        <w:rPr>
          <w:bCs/>
        </w:rPr>
      </w:pPr>
    </w:p>
    <w:p w14:paraId="74224902" w14:textId="77777777" w:rsidR="00207D99" w:rsidRPr="00C949B2" w:rsidRDefault="00207D99" w:rsidP="00C949B2">
      <w:r w:rsidRPr="00C949B2">
        <w:t xml:space="preserve">En tal virtud, conforme al artículo 49, fracción VIII, de la </w:t>
      </w:r>
      <w:r w:rsidRPr="00C949B2">
        <w:rPr>
          <w:rFonts w:cs="Arial"/>
        </w:rPr>
        <w:t>Ley de Transparencia y Acceso a la Información Pública del Estado de México y Municipios</w:t>
      </w:r>
      <w:r w:rsidRPr="00C949B2">
        <w:t xml:space="preserve">, los Comités de Transparencia, tienen </w:t>
      </w:r>
      <w:r w:rsidRPr="00C949B2">
        <w:lastRenderedPageBreak/>
        <w:t xml:space="preserve">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C949B2">
        <w:rPr>
          <w:b/>
        </w:rPr>
        <w:t>SUJETO OBLIGADO</w:t>
      </w:r>
      <w:r w:rsidRPr="00C949B2">
        <w:t xml:space="preserve"> a concluir que el caso particular se ajusta al supuesto previsto por la norma legal invocada como fundamento; siendo que, además, </w:t>
      </w:r>
      <w:r w:rsidRPr="00C949B2">
        <w:rPr>
          <w:b/>
        </w:rPr>
        <w:t>EL SUJETO OBLIGADO</w:t>
      </w:r>
      <w:r w:rsidRPr="00C949B2">
        <w:t xml:space="preserve"> debe, en todo momento, aplicar una prueba de daño.</w:t>
      </w:r>
    </w:p>
    <w:p w14:paraId="6257D779" w14:textId="77777777" w:rsidR="00207D99" w:rsidRPr="00C949B2" w:rsidRDefault="00207D99" w:rsidP="00C949B2"/>
    <w:p w14:paraId="5EF21FA3" w14:textId="77777777" w:rsidR="00207D99" w:rsidRPr="00C949B2" w:rsidRDefault="00207D99" w:rsidP="00C949B2">
      <w:r w:rsidRPr="00C949B2">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B49286" w14:textId="77777777" w:rsidR="00207D99" w:rsidRPr="00C949B2" w:rsidRDefault="00207D99" w:rsidP="00C949B2"/>
    <w:p w14:paraId="6F65DE24" w14:textId="77777777" w:rsidR="00207D99" w:rsidRPr="00C949B2" w:rsidRDefault="00207D99" w:rsidP="00C949B2">
      <w:r w:rsidRPr="00C949B2">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2080583" w14:textId="77777777" w:rsidR="00207D99" w:rsidRPr="00C949B2" w:rsidRDefault="00207D99" w:rsidP="00C949B2"/>
    <w:p w14:paraId="78C844EF" w14:textId="77777777" w:rsidR="00207D99" w:rsidRPr="00C949B2" w:rsidRDefault="00207D99" w:rsidP="00C949B2">
      <w:pPr>
        <w:numPr>
          <w:ilvl w:val="0"/>
          <w:numId w:val="25"/>
        </w:numPr>
        <w:ind w:left="1429"/>
      </w:pPr>
      <w:r w:rsidRPr="00C949B2">
        <w:t>Se reciba una solicitud de acceso a la información.</w:t>
      </w:r>
    </w:p>
    <w:p w14:paraId="36097691" w14:textId="77777777" w:rsidR="00207D99" w:rsidRPr="00C949B2" w:rsidRDefault="00207D99" w:rsidP="00C949B2">
      <w:pPr>
        <w:numPr>
          <w:ilvl w:val="0"/>
          <w:numId w:val="25"/>
        </w:numPr>
        <w:ind w:left="1429"/>
      </w:pPr>
      <w:r w:rsidRPr="00C949B2">
        <w:t>Se determine mediante resolución de autoridad competente.</w:t>
      </w:r>
    </w:p>
    <w:p w14:paraId="24166854" w14:textId="77777777" w:rsidR="00207D99" w:rsidRPr="00C949B2" w:rsidRDefault="00207D99" w:rsidP="00C949B2">
      <w:pPr>
        <w:numPr>
          <w:ilvl w:val="0"/>
          <w:numId w:val="25"/>
        </w:numPr>
        <w:ind w:left="1429"/>
      </w:pPr>
      <w:r w:rsidRPr="00C949B2">
        <w:lastRenderedPageBreak/>
        <w:t>Se generen versiones públicas para dar cumplimiento a las obligaciones de transparencia previstas en la Ley.</w:t>
      </w:r>
    </w:p>
    <w:p w14:paraId="0AAD1538" w14:textId="77777777" w:rsidR="00207D99" w:rsidRPr="00C949B2" w:rsidRDefault="00207D99" w:rsidP="00C949B2">
      <w:pPr>
        <w:ind w:left="1429"/>
      </w:pPr>
    </w:p>
    <w:p w14:paraId="2D13A963" w14:textId="77777777" w:rsidR="00207D99" w:rsidRPr="00C949B2" w:rsidRDefault="00207D99" w:rsidP="00C949B2">
      <w:r w:rsidRPr="00C949B2">
        <w:t>Situación que se robustece con el artículo 141 de la misma Ley, que señala que las causales de reserva previstas, se deberán fundar y motivar, a través de la aplicación de la prueba de daño.</w:t>
      </w:r>
    </w:p>
    <w:p w14:paraId="6655FC9A" w14:textId="77777777" w:rsidR="00207D99" w:rsidRPr="00C949B2" w:rsidRDefault="00207D99" w:rsidP="00C949B2"/>
    <w:p w14:paraId="0BC87E49" w14:textId="77777777" w:rsidR="00207D99" w:rsidRPr="00C949B2" w:rsidRDefault="00207D99" w:rsidP="00C949B2">
      <w:r w:rsidRPr="00C949B2">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25A15DEF" w14:textId="77777777" w:rsidR="00207D99" w:rsidRPr="00C949B2" w:rsidRDefault="00207D99" w:rsidP="00C949B2"/>
    <w:p w14:paraId="3A9D6221" w14:textId="77777777" w:rsidR="00207D99" w:rsidRPr="00C949B2" w:rsidRDefault="00207D99" w:rsidP="00C949B2">
      <w:pPr>
        <w:numPr>
          <w:ilvl w:val="0"/>
          <w:numId w:val="26"/>
        </w:numPr>
        <w:ind w:left="1429"/>
      </w:pPr>
      <w:r w:rsidRPr="00C949B2">
        <w:t>La divulgación de la información representa un riesgo real, demostrable e identificable del perjuicio significativo al interés público o a la seguridad pública;</w:t>
      </w:r>
    </w:p>
    <w:p w14:paraId="42CA70B1" w14:textId="77777777" w:rsidR="00207D99" w:rsidRPr="00C949B2" w:rsidRDefault="00207D99" w:rsidP="00C949B2">
      <w:pPr>
        <w:numPr>
          <w:ilvl w:val="0"/>
          <w:numId w:val="26"/>
        </w:numPr>
        <w:ind w:left="1429"/>
      </w:pPr>
      <w:r w:rsidRPr="00C949B2">
        <w:t>El riesgo de perjuicio que supondría la divulgación supera el interés público general de que se difunda; y</w:t>
      </w:r>
    </w:p>
    <w:p w14:paraId="6B5214EF" w14:textId="77777777" w:rsidR="00207D99" w:rsidRPr="00C949B2" w:rsidRDefault="00207D99" w:rsidP="00C949B2">
      <w:pPr>
        <w:numPr>
          <w:ilvl w:val="0"/>
          <w:numId w:val="26"/>
        </w:numPr>
        <w:ind w:left="1429"/>
      </w:pPr>
      <w:r w:rsidRPr="00C949B2">
        <w:t xml:space="preserve">La limitación se adecua al principio de proporcionalidad y representa el medio menos restrictivo disponible para evitar el perjuicio. </w:t>
      </w:r>
    </w:p>
    <w:p w14:paraId="46F9FE79" w14:textId="77777777" w:rsidR="00207D99" w:rsidRPr="00C949B2" w:rsidRDefault="00207D99" w:rsidP="00C949B2">
      <w:pPr>
        <w:ind w:left="1429"/>
      </w:pPr>
    </w:p>
    <w:p w14:paraId="7FA4464A" w14:textId="77777777" w:rsidR="00207D99" w:rsidRPr="00C949B2" w:rsidRDefault="00207D99" w:rsidP="00C949B2">
      <w:pPr>
        <w:rPr>
          <w:rFonts w:eastAsia="Calibri" w:cs="Arial"/>
        </w:rPr>
      </w:pPr>
      <w:r w:rsidRPr="00C949B2">
        <w:rPr>
          <w:rFonts w:eastAsia="Calibri" w:cs="Arial"/>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5C297905" w14:textId="77777777" w:rsidR="00207D99" w:rsidRPr="00C949B2" w:rsidRDefault="00207D99" w:rsidP="00C949B2">
      <w:pPr>
        <w:rPr>
          <w:rFonts w:eastAsia="Calibri" w:cs="Arial"/>
        </w:rPr>
      </w:pPr>
    </w:p>
    <w:p w14:paraId="3E14A3A3" w14:textId="77777777" w:rsidR="00207D99" w:rsidRPr="00C949B2" w:rsidRDefault="00207D99" w:rsidP="00C949B2">
      <w:pPr>
        <w:rPr>
          <w:rFonts w:eastAsia="Calibri" w:cs="Arial"/>
        </w:rPr>
      </w:pPr>
      <w:r w:rsidRPr="00C949B2">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 006,299. I.1o.A.E.3 K (10a.)</w:t>
      </w:r>
      <w:r w:rsidRPr="00C949B2">
        <w:rPr>
          <w:rFonts w:eastAsia="Arial Unicode MS" w:cs="Arial"/>
        </w:rPr>
        <w:t>,</w:t>
      </w:r>
      <w:r w:rsidRPr="00C949B2">
        <w:rPr>
          <w:rFonts w:eastAsia="Calibri" w:cs="Arial"/>
          <w:bCs/>
        </w:rPr>
        <w:t xml:space="preserve"> que literalmente señala:</w:t>
      </w:r>
    </w:p>
    <w:p w14:paraId="38D6707E" w14:textId="77777777" w:rsidR="00207D99" w:rsidRPr="00C949B2" w:rsidRDefault="00207D99" w:rsidP="00C949B2">
      <w:pPr>
        <w:rPr>
          <w:rFonts w:eastAsia="Calibri" w:cs="Arial"/>
        </w:rPr>
      </w:pPr>
    </w:p>
    <w:p w14:paraId="15A6682B" w14:textId="77777777" w:rsidR="00207D99" w:rsidRPr="00C949B2" w:rsidRDefault="00207D99" w:rsidP="00C949B2">
      <w:pPr>
        <w:pStyle w:val="Puesto"/>
        <w:rPr>
          <w:rFonts w:eastAsia="Calibri" w:cs="Times New Roman"/>
        </w:rPr>
      </w:pPr>
      <w:r w:rsidRPr="00C949B2">
        <w:rPr>
          <w:rFonts w:eastAsia="Calibri"/>
        </w:rPr>
        <w:t>“</w:t>
      </w:r>
      <w:r w:rsidRPr="00C949B2">
        <w:rPr>
          <w:rFonts w:eastAsia="Calibri"/>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C949B2">
        <w:rPr>
          <w:rFonts w:eastAsia="Calibr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C949B2">
        <w:rPr>
          <w:rFonts w:eastAsia="Calibri"/>
        </w:rPr>
        <w:t>officio</w:t>
      </w:r>
      <w:proofErr w:type="spellEnd"/>
      <w:r w:rsidRPr="00C949B2">
        <w:rPr>
          <w:rFonts w:eastAsia="Calibri"/>
        </w:rPr>
        <w:t>, con el propósito de obtener una versión que sea pública para la parte interesada.” (</w:t>
      </w:r>
      <w:proofErr w:type="gramStart"/>
      <w:r w:rsidRPr="00C949B2">
        <w:rPr>
          <w:rFonts w:eastAsia="Calibri"/>
        </w:rPr>
        <w:t>sic</w:t>
      </w:r>
      <w:proofErr w:type="gramEnd"/>
      <w:r w:rsidRPr="00C949B2">
        <w:rPr>
          <w:rFonts w:eastAsia="Calibri"/>
        </w:rPr>
        <w:t>)</w:t>
      </w:r>
    </w:p>
    <w:p w14:paraId="2BF6FDA8" w14:textId="77777777" w:rsidR="00207D99" w:rsidRPr="00C949B2" w:rsidRDefault="00207D99" w:rsidP="00C949B2">
      <w:pPr>
        <w:ind w:left="851" w:right="899"/>
        <w:rPr>
          <w:rFonts w:eastAsia="Calibri" w:cs="Arial"/>
          <w:i/>
          <w:szCs w:val="22"/>
        </w:rPr>
      </w:pPr>
    </w:p>
    <w:p w14:paraId="3D6DED2C" w14:textId="77777777" w:rsidR="00207D99" w:rsidRPr="00C949B2" w:rsidRDefault="00207D99" w:rsidP="00C949B2">
      <w:pPr>
        <w:rPr>
          <w:sz w:val="24"/>
          <w:szCs w:val="24"/>
        </w:rPr>
      </w:pPr>
      <w:r w:rsidRPr="00C949B2">
        <w:t>Prueba de daño, que cobra relevancia puesto que sí ésta no arroja resultados contundentes sobre un posible peligro, deberá de publicarse la información.</w:t>
      </w:r>
    </w:p>
    <w:p w14:paraId="3D309457" w14:textId="77777777" w:rsidR="00207D99" w:rsidRPr="00C949B2" w:rsidRDefault="00207D99" w:rsidP="00C949B2"/>
    <w:p w14:paraId="0BB7A1E7" w14:textId="77777777" w:rsidR="00207D99" w:rsidRPr="00C949B2" w:rsidRDefault="00207D99" w:rsidP="00C949B2">
      <w:r w:rsidRPr="00C949B2">
        <w:t>Siendo que, los Sujetos Obligados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w:t>
      </w:r>
    </w:p>
    <w:p w14:paraId="1ECADBA9" w14:textId="77777777" w:rsidR="00207D99" w:rsidRPr="00C949B2" w:rsidRDefault="00207D99" w:rsidP="00C949B2"/>
    <w:p w14:paraId="67599378" w14:textId="77777777" w:rsidR="00207D99" w:rsidRPr="00C949B2" w:rsidRDefault="00207D99" w:rsidP="00C949B2">
      <w:r w:rsidRPr="00C949B2">
        <w:t xml:space="preserve">Asimismo, los Sujetos Obligados no pueden emitir acuerdos de carácter general o particular que clasifiquen documentos o información como reservada, ya que dicha clasificación, debe </w:t>
      </w:r>
      <w:r w:rsidRPr="00C949B2">
        <w:lastRenderedPageBreak/>
        <w:t>estar acorde con la actualización de los supuestos definidos; resaltándose además que, la clasificación de la información se debe realizar conforme a un análisis caso por caso, mediante la aplicación de la enunciada prueba de daño.</w:t>
      </w:r>
    </w:p>
    <w:p w14:paraId="727B61D2" w14:textId="77777777" w:rsidR="00207D99" w:rsidRPr="00C949B2" w:rsidRDefault="00207D99" w:rsidP="00C949B2"/>
    <w:p w14:paraId="02649F77" w14:textId="77777777" w:rsidR="00207D99" w:rsidRPr="00C949B2" w:rsidRDefault="00207D99" w:rsidP="00C949B2">
      <w:r w:rsidRPr="00C949B2">
        <w:t xml:space="preserve">De este modo, es necesario que </w:t>
      </w:r>
      <w:r w:rsidRPr="00C949B2">
        <w:rPr>
          <w:b/>
        </w:rPr>
        <w:t>EL SUJETO OBLIGADO</w:t>
      </w:r>
      <w:r w:rsidRPr="00C949B2">
        <w:t xml:space="preserve">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69465A8A" w14:textId="77777777" w:rsidR="00207D99" w:rsidRPr="00C949B2" w:rsidRDefault="00207D99" w:rsidP="00C949B2"/>
    <w:p w14:paraId="4B0C56D2" w14:textId="77777777" w:rsidR="00207D99" w:rsidRPr="00C949B2" w:rsidRDefault="00207D99" w:rsidP="00C949B2">
      <w:r w:rsidRPr="00C949B2">
        <w:t>Aunado a lo anterior, se tiene que conforme al numeral Octavo de los Lineamientos Generales en materia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reservada, así como especificando las razones o circunstancias especiales que lo llevaron a concluir que el caso particular se ajusta al supuesto previsto por la norma legal invocada como fundamento.</w:t>
      </w:r>
    </w:p>
    <w:p w14:paraId="336B9C58" w14:textId="77777777" w:rsidR="00207D99" w:rsidRPr="00C949B2" w:rsidRDefault="00207D99" w:rsidP="00C949B2"/>
    <w:p w14:paraId="42599E95" w14:textId="77777777" w:rsidR="00207D99" w:rsidRPr="00C949B2" w:rsidRDefault="00207D99" w:rsidP="00C949B2">
      <w:r w:rsidRPr="00C949B2">
        <w:t>Siendo así que, en el caso específico de la reserva, la motivación de la clasificación también deberá comprender las circunstancias que justifican el establecimiento de determinado plazo de reserva; en otras palabras, para clasificar la información como reservada, el acuerdo respectivo debe estar debidamente fundado y motivado.</w:t>
      </w:r>
    </w:p>
    <w:p w14:paraId="03257FF7" w14:textId="77777777" w:rsidR="00207D99" w:rsidRPr="00C949B2" w:rsidRDefault="00207D99" w:rsidP="00C949B2"/>
    <w:p w14:paraId="50AAE54B" w14:textId="77777777" w:rsidR="00207D99" w:rsidRPr="00C949B2" w:rsidRDefault="00207D99" w:rsidP="00C949B2">
      <w:pPr>
        <w:rPr>
          <w:rFonts w:cs="Arial"/>
        </w:rPr>
      </w:pPr>
      <w:r w:rsidRPr="00C949B2">
        <w:rPr>
          <w:rFonts w:cs="Arial"/>
        </w:rPr>
        <w:lastRenderedPageBreak/>
        <w:t>Por tanto, la fundamentación y motivación consiste en la obligación que tiene todo ente público de expresar los preceptos jurídicos aplicables al asunto motivo del acto y las razones o argumentos de su actuar.</w:t>
      </w:r>
    </w:p>
    <w:p w14:paraId="472B61CA" w14:textId="77777777" w:rsidR="00207D99" w:rsidRPr="00C949B2" w:rsidRDefault="00207D99" w:rsidP="00C949B2">
      <w:pPr>
        <w:rPr>
          <w:rFonts w:cs="Arial"/>
        </w:rPr>
      </w:pPr>
    </w:p>
    <w:p w14:paraId="6653504E" w14:textId="77777777" w:rsidR="00207D99" w:rsidRPr="00C949B2" w:rsidRDefault="00207D99" w:rsidP="00C949B2">
      <w:pPr>
        <w:rPr>
          <w:rFonts w:cs="Arial"/>
        </w:rPr>
      </w:pPr>
      <w:r w:rsidRPr="00C949B2">
        <w:rPr>
          <w:rFonts w:cs="Arial"/>
        </w:rPr>
        <w:t>Al respecto, el máximo tribunal del país ha establecido jurisprudencia respecto a qué debe entenderse por fundamentación y motivación, en los siguientes términos:</w:t>
      </w:r>
    </w:p>
    <w:p w14:paraId="253CBCF2" w14:textId="77777777" w:rsidR="00207D99" w:rsidRPr="00C949B2" w:rsidRDefault="00207D99" w:rsidP="00C949B2">
      <w:pPr>
        <w:rPr>
          <w:rFonts w:cs="Arial"/>
        </w:rPr>
      </w:pPr>
    </w:p>
    <w:p w14:paraId="26294604" w14:textId="77777777" w:rsidR="00207D99" w:rsidRPr="00C949B2" w:rsidRDefault="00207D99" w:rsidP="00C949B2">
      <w:pPr>
        <w:pStyle w:val="Puesto"/>
      </w:pPr>
      <w:r w:rsidRPr="00C949B2">
        <w:t>“</w:t>
      </w:r>
      <w:r w:rsidRPr="00C949B2">
        <w:rPr>
          <w:b/>
        </w:rPr>
        <w:t xml:space="preserve">FUNDAMENTACION Y MOTIVACION. </w:t>
      </w:r>
      <w:r w:rsidRPr="00C949B2">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186FC07A" w14:textId="77777777" w:rsidR="00207D99" w:rsidRPr="00C949B2" w:rsidRDefault="00207D99" w:rsidP="00C949B2">
      <w:pPr>
        <w:rPr>
          <w:rFonts w:cs="Arial"/>
          <w:i/>
          <w:sz w:val="24"/>
        </w:rPr>
      </w:pPr>
    </w:p>
    <w:p w14:paraId="1237C491" w14:textId="77777777" w:rsidR="00207D99" w:rsidRPr="00C949B2" w:rsidRDefault="00207D99" w:rsidP="00C949B2">
      <w:pPr>
        <w:rPr>
          <w:rFonts w:cs="Arial"/>
        </w:rPr>
      </w:pPr>
      <w:r w:rsidRPr="00C949B2">
        <w:rPr>
          <w:rFonts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07CA3A7" w14:textId="77777777" w:rsidR="00207D99" w:rsidRPr="00C949B2" w:rsidRDefault="00207D99" w:rsidP="00C949B2">
      <w:pPr>
        <w:rPr>
          <w:rFonts w:cs="Arial"/>
        </w:rPr>
      </w:pPr>
    </w:p>
    <w:p w14:paraId="489F0141" w14:textId="77777777" w:rsidR="00207D99" w:rsidRPr="00C949B2" w:rsidRDefault="00207D99" w:rsidP="00C949B2">
      <w:pPr>
        <w:rPr>
          <w:rFonts w:cs="Arial"/>
        </w:rPr>
      </w:pPr>
      <w:r w:rsidRPr="00C949B2">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6FFEE50" w14:textId="77777777" w:rsidR="00207D99" w:rsidRPr="00C949B2" w:rsidRDefault="00207D99" w:rsidP="00C949B2">
      <w:pPr>
        <w:rPr>
          <w:rFonts w:cs="Arial"/>
        </w:rPr>
      </w:pPr>
    </w:p>
    <w:p w14:paraId="73662DE1" w14:textId="77777777" w:rsidR="00207D99" w:rsidRPr="00C949B2" w:rsidRDefault="00207D99" w:rsidP="00C949B2">
      <w:pPr>
        <w:pStyle w:val="Puesto"/>
      </w:pPr>
      <w:r w:rsidRPr="00C949B2">
        <w:t>“</w:t>
      </w:r>
      <w:r w:rsidRPr="00C949B2">
        <w:rPr>
          <w:b/>
        </w:rPr>
        <w:t>FUNDAMENTACIÓN Y MOTIVACIÓN. EL ASPECTO FORMAL DE LA GARANTÍA Y SU FINALIDAD SE TRADUCEN EN EXPLICAR, JUSTIFICAR, POSIBILITAR LA DEFENSA Y COMUNICAR LA DECISIÓN</w:t>
      </w:r>
      <w:r w:rsidRPr="00C949B2">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w:t>
      </w:r>
      <w:r w:rsidRPr="00C949B2">
        <w:lastRenderedPageBreak/>
        <w:t>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31FB0122" w14:textId="77777777" w:rsidR="00207D99" w:rsidRPr="00C949B2" w:rsidRDefault="00207D99" w:rsidP="00C949B2">
      <w:pPr>
        <w:rPr>
          <w:rFonts w:cs="Arial"/>
          <w:i/>
          <w:sz w:val="24"/>
        </w:rPr>
      </w:pPr>
    </w:p>
    <w:p w14:paraId="05673A84" w14:textId="77777777" w:rsidR="00207D99" w:rsidRPr="00C949B2" w:rsidRDefault="00207D99" w:rsidP="00C949B2">
      <w:pPr>
        <w:rPr>
          <w:rFonts w:cs="Arial"/>
        </w:rPr>
      </w:pPr>
      <w:r w:rsidRPr="00C949B2">
        <w:rPr>
          <w:rFonts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43C802A" w14:textId="77777777" w:rsidR="00207D99" w:rsidRPr="00C949B2" w:rsidRDefault="00207D99" w:rsidP="00C949B2">
      <w:pPr>
        <w:rPr>
          <w:rFonts w:cs="Arial"/>
          <w:lang w:val="es-ES"/>
        </w:rPr>
      </w:pPr>
    </w:p>
    <w:p w14:paraId="592CF3FF" w14:textId="000DBD87" w:rsidR="00E3559D" w:rsidRPr="00C949B2" w:rsidRDefault="00207D99" w:rsidP="00C949B2">
      <w:pPr>
        <w:rPr>
          <w:szCs w:val="22"/>
          <w:lang w:eastAsia="es-CO"/>
        </w:rPr>
      </w:pPr>
      <w:r w:rsidRPr="00C949B2">
        <w:rPr>
          <w:rFonts w:cs="Arial"/>
          <w:lang w:val="es-ES"/>
        </w:rPr>
        <w:t xml:space="preserve">Por lo que, para el caso de que alguno de los expedientes de los cuales se determina ordenar su entrega no haya causado estado, </w:t>
      </w:r>
      <w:r w:rsidRPr="00C949B2">
        <w:rPr>
          <w:rFonts w:cs="Arial"/>
          <w:b/>
          <w:lang w:val="es-ES"/>
        </w:rPr>
        <w:t>EL SUJETO OBLIGADO</w:t>
      </w:r>
      <w:r w:rsidRPr="00C949B2">
        <w:rPr>
          <w:rFonts w:cs="Arial"/>
          <w:lang w:val="es-ES"/>
        </w:rPr>
        <w:t xml:space="preserve"> deberá emitir el Acuerdo de Clasificación a través de su Comité de Transparencia y notificarlo vía SAIMEX al RECURRENTE en términos de los ordinales 49, fracción VIII, 129, 140 y 141 de la Ley de Transparencia y Acceso a la Información pública del Estado de México y Municipios.</w:t>
      </w:r>
    </w:p>
    <w:p w14:paraId="4EDB07F8" w14:textId="77777777" w:rsidR="00420FF2" w:rsidRPr="00C949B2" w:rsidRDefault="00420FF2" w:rsidP="00C949B2">
      <w:pPr>
        <w:rPr>
          <w:sz w:val="14"/>
          <w:szCs w:val="14"/>
          <w:lang w:eastAsia="es-CO"/>
        </w:rPr>
      </w:pPr>
    </w:p>
    <w:p w14:paraId="72BC95B2" w14:textId="1AAD3662" w:rsidR="007600F4" w:rsidRPr="00C949B2" w:rsidRDefault="00207D99" w:rsidP="00C949B2">
      <w:pPr>
        <w:pStyle w:val="Ttulo3"/>
        <w:spacing w:line="360" w:lineRule="auto"/>
      </w:pPr>
      <w:bookmarkStart w:id="37" w:name="_Toc179453373"/>
      <w:bookmarkStart w:id="38" w:name="_Toc181265243"/>
      <w:r w:rsidRPr="00C949B2">
        <w:t>f</w:t>
      </w:r>
      <w:r w:rsidR="007600F4" w:rsidRPr="00C949B2">
        <w:t>) Conclusión</w:t>
      </w:r>
      <w:bookmarkEnd w:id="37"/>
      <w:bookmarkEnd w:id="38"/>
    </w:p>
    <w:p w14:paraId="47C7C360" w14:textId="31FB113F" w:rsidR="007600F4" w:rsidRPr="00C949B2" w:rsidRDefault="007600F4" w:rsidP="00C949B2">
      <w:pPr>
        <w:widowControl w:val="0"/>
        <w:tabs>
          <w:tab w:val="left" w:pos="1701"/>
          <w:tab w:val="left" w:pos="1843"/>
        </w:tabs>
        <w:autoSpaceDE w:val="0"/>
        <w:autoSpaceDN w:val="0"/>
        <w:adjustRightInd w:val="0"/>
        <w:rPr>
          <w:rFonts w:cs="Arial"/>
        </w:rPr>
      </w:pPr>
      <w:r w:rsidRPr="00C949B2">
        <w:rPr>
          <w:rFonts w:cs="Arial"/>
        </w:rPr>
        <w:t xml:space="preserve">En conclusión y con base en lo anteriormente expuesto, este Instituto estima que las razones o motivos de inconformidad hechos valer por </w:t>
      </w:r>
      <w:r w:rsidRPr="00C949B2">
        <w:rPr>
          <w:rFonts w:cs="Arial"/>
          <w:b/>
          <w:bCs/>
          <w:iCs/>
        </w:rPr>
        <w:t xml:space="preserve">LA PARTE RECURRENTE </w:t>
      </w:r>
      <w:r w:rsidRPr="00C949B2">
        <w:rPr>
          <w:rFonts w:cs="Arial"/>
        </w:rPr>
        <w:t xml:space="preserve">devienen </w:t>
      </w:r>
      <w:r w:rsidRPr="00C949B2">
        <w:rPr>
          <w:rFonts w:cs="Arial"/>
          <w:b/>
        </w:rPr>
        <w:t>fundadas</w:t>
      </w:r>
      <w:r w:rsidRPr="00C949B2">
        <w:rPr>
          <w:rFonts w:cs="Arial"/>
        </w:rPr>
        <w:t xml:space="preserve"> y suficientes para </w:t>
      </w:r>
      <w:r w:rsidR="00F04147" w:rsidRPr="00C949B2">
        <w:rPr>
          <w:rFonts w:cs="Arial"/>
          <w:b/>
        </w:rPr>
        <w:t>REVO</w:t>
      </w:r>
      <w:r w:rsidRPr="00C949B2">
        <w:rPr>
          <w:rFonts w:cs="Arial"/>
          <w:b/>
        </w:rPr>
        <w:t xml:space="preserve">CAR </w:t>
      </w:r>
      <w:r w:rsidRPr="00C949B2">
        <w:rPr>
          <w:rFonts w:cs="Arial"/>
        </w:rPr>
        <w:t xml:space="preserve">la respuesta del </w:t>
      </w:r>
      <w:r w:rsidRPr="00C949B2">
        <w:rPr>
          <w:rFonts w:cs="Arial"/>
          <w:b/>
        </w:rPr>
        <w:t>SUJETO OBLIGADO</w:t>
      </w:r>
      <w:r w:rsidRPr="00C949B2">
        <w:rPr>
          <w:rFonts w:cs="Arial"/>
        </w:rPr>
        <w:t xml:space="preserve"> y ordenarle haga entrega previa búsqueda exhaustiva y razonable de la información descrita en el presente Considerando.</w:t>
      </w:r>
    </w:p>
    <w:p w14:paraId="07D17B7A" w14:textId="77777777" w:rsidR="00E3559D" w:rsidRPr="00C949B2" w:rsidRDefault="00E3559D" w:rsidP="00C949B2">
      <w:pPr>
        <w:widowControl w:val="0"/>
        <w:tabs>
          <w:tab w:val="left" w:pos="1701"/>
          <w:tab w:val="left" w:pos="1843"/>
        </w:tabs>
        <w:autoSpaceDE w:val="0"/>
        <w:autoSpaceDN w:val="0"/>
        <w:adjustRightInd w:val="0"/>
        <w:rPr>
          <w:rFonts w:cs="Arial"/>
        </w:rPr>
      </w:pPr>
    </w:p>
    <w:p w14:paraId="6B187DC8" w14:textId="2ECBDFF2" w:rsidR="002568F8" w:rsidRPr="00C949B2" w:rsidRDefault="002568F8" w:rsidP="00C949B2">
      <w:pPr>
        <w:ind w:right="-93"/>
        <w:rPr>
          <w:rFonts w:cs="Tahoma"/>
          <w:bCs/>
          <w:szCs w:val="22"/>
        </w:rPr>
      </w:pPr>
      <w:r w:rsidRPr="00C949B2">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BE3662A" w14:textId="77777777" w:rsidR="007600F4" w:rsidRPr="00C949B2" w:rsidRDefault="007600F4" w:rsidP="00C949B2">
      <w:pPr>
        <w:ind w:right="-93"/>
        <w:rPr>
          <w:rFonts w:cs="Tahoma"/>
          <w:bCs/>
          <w:szCs w:val="22"/>
        </w:rPr>
      </w:pPr>
    </w:p>
    <w:p w14:paraId="5C396097" w14:textId="2AC71BBE" w:rsidR="00664420" w:rsidRPr="00C949B2" w:rsidRDefault="00664420" w:rsidP="00C949B2">
      <w:pPr>
        <w:pStyle w:val="Ttulo1"/>
        <w:rPr>
          <w:szCs w:val="22"/>
        </w:rPr>
      </w:pPr>
      <w:bookmarkStart w:id="39" w:name="_Toc181265244"/>
      <w:r w:rsidRPr="00C949B2">
        <w:rPr>
          <w:szCs w:val="22"/>
        </w:rPr>
        <w:t>RESUELVE</w:t>
      </w:r>
      <w:bookmarkEnd w:id="39"/>
    </w:p>
    <w:p w14:paraId="203B7093" w14:textId="77777777" w:rsidR="00664420" w:rsidRPr="00C949B2" w:rsidRDefault="00664420" w:rsidP="00C949B2">
      <w:pPr>
        <w:ind w:right="113"/>
        <w:rPr>
          <w:rFonts w:cs="Arial"/>
          <w:b/>
          <w:szCs w:val="22"/>
        </w:rPr>
      </w:pPr>
    </w:p>
    <w:p w14:paraId="4BD93CEA" w14:textId="64254D4B" w:rsidR="007600F4" w:rsidRPr="00C949B2" w:rsidRDefault="007600F4" w:rsidP="00C949B2">
      <w:pPr>
        <w:widowControl w:val="0"/>
        <w:rPr>
          <w:rFonts w:eastAsia="Calibri" w:cs="Tahoma"/>
          <w:bCs/>
          <w:szCs w:val="22"/>
          <w:lang w:eastAsia="en-US"/>
        </w:rPr>
      </w:pPr>
      <w:r w:rsidRPr="00C949B2">
        <w:rPr>
          <w:b/>
          <w:bCs/>
        </w:rPr>
        <w:t>PRIMERO.</w:t>
      </w:r>
      <w:r w:rsidRPr="00C949B2">
        <w:t xml:space="preserve"> </w:t>
      </w:r>
      <w:r w:rsidRPr="00C949B2">
        <w:rPr>
          <w:rFonts w:cs="Tahoma"/>
          <w:szCs w:val="22"/>
        </w:rPr>
        <w:t xml:space="preserve">Se </w:t>
      </w:r>
      <w:r w:rsidR="00F04147" w:rsidRPr="00C949B2">
        <w:rPr>
          <w:rFonts w:cs="Tahoma"/>
          <w:b/>
          <w:bCs/>
          <w:szCs w:val="22"/>
        </w:rPr>
        <w:t>REVO</w:t>
      </w:r>
      <w:r w:rsidRPr="00C949B2">
        <w:rPr>
          <w:rFonts w:cs="Tahoma"/>
          <w:b/>
          <w:bCs/>
          <w:szCs w:val="22"/>
        </w:rPr>
        <w:t xml:space="preserve">CA </w:t>
      </w:r>
      <w:r w:rsidRPr="00C949B2">
        <w:rPr>
          <w:rFonts w:cs="Tahoma"/>
          <w:szCs w:val="22"/>
        </w:rPr>
        <w:t xml:space="preserve">la respuesta entregada por el </w:t>
      </w:r>
      <w:r w:rsidRPr="00C949B2">
        <w:rPr>
          <w:rFonts w:cs="Tahoma"/>
          <w:b/>
          <w:bCs/>
          <w:szCs w:val="22"/>
        </w:rPr>
        <w:t>SUJETO OBLIGADO</w:t>
      </w:r>
      <w:r w:rsidRPr="00C949B2">
        <w:rPr>
          <w:rFonts w:cs="Tahoma"/>
          <w:szCs w:val="22"/>
        </w:rPr>
        <w:t xml:space="preserve"> en la solicitud de información </w:t>
      </w:r>
      <w:r w:rsidR="00F04147" w:rsidRPr="00C949B2">
        <w:rPr>
          <w:rFonts w:cs="Tahoma"/>
          <w:b/>
        </w:rPr>
        <w:t>01963/TOLUCA/IP/2024</w:t>
      </w:r>
      <w:r w:rsidRPr="00C949B2">
        <w:rPr>
          <w:rFonts w:cs="Tahoma"/>
          <w:bCs/>
          <w:szCs w:val="22"/>
        </w:rPr>
        <w:t xml:space="preserve">, </w:t>
      </w:r>
      <w:r w:rsidRPr="00C949B2">
        <w:rPr>
          <w:rFonts w:eastAsia="Calibri" w:cs="Tahoma"/>
          <w:bCs/>
          <w:szCs w:val="22"/>
          <w:lang w:eastAsia="en-US"/>
        </w:rPr>
        <w:t xml:space="preserve">por resultar </w:t>
      </w:r>
      <w:r w:rsidRPr="00C949B2">
        <w:rPr>
          <w:rFonts w:eastAsia="Calibri" w:cs="Tahoma"/>
          <w:b/>
          <w:bCs/>
          <w:szCs w:val="22"/>
          <w:lang w:eastAsia="en-US"/>
        </w:rPr>
        <w:t>FUNDADAS</w:t>
      </w:r>
      <w:r w:rsidRPr="00C949B2">
        <w:rPr>
          <w:rFonts w:eastAsia="Calibri" w:cs="Tahoma"/>
          <w:bCs/>
          <w:szCs w:val="22"/>
          <w:lang w:eastAsia="en-US"/>
        </w:rPr>
        <w:t xml:space="preserve"> las razones o motivos de inconformidad hechos valer por </w:t>
      </w:r>
      <w:r w:rsidRPr="00C949B2">
        <w:rPr>
          <w:rFonts w:eastAsia="Calibri" w:cs="Tahoma"/>
          <w:b/>
          <w:szCs w:val="22"/>
          <w:lang w:eastAsia="en-US"/>
        </w:rPr>
        <w:t>LA PARTE RECURRENTE</w:t>
      </w:r>
      <w:r w:rsidRPr="00C949B2">
        <w:rPr>
          <w:rFonts w:eastAsia="Calibri" w:cs="Tahoma"/>
          <w:bCs/>
          <w:szCs w:val="22"/>
          <w:lang w:eastAsia="en-US"/>
        </w:rPr>
        <w:t xml:space="preserve"> en el Recurso de Revisión </w:t>
      </w:r>
      <w:r w:rsidR="00F04147" w:rsidRPr="00C949B2">
        <w:rPr>
          <w:rFonts w:eastAsiaTheme="minorHAnsi" w:cstheme="minorBidi"/>
          <w:b/>
          <w:bCs/>
          <w:szCs w:val="22"/>
          <w:lang w:eastAsia="en-US"/>
        </w:rPr>
        <w:t>05927/INFOEM/IP/RR/2024</w:t>
      </w:r>
      <w:r w:rsidRPr="00C949B2">
        <w:rPr>
          <w:rFonts w:eastAsiaTheme="minorHAnsi" w:cstheme="minorBidi"/>
          <w:szCs w:val="22"/>
          <w:lang w:eastAsia="en-US"/>
        </w:rPr>
        <w:t>,</w:t>
      </w:r>
      <w:r w:rsidRPr="00C949B2">
        <w:rPr>
          <w:rFonts w:cs="Tahoma"/>
          <w:b/>
          <w:szCs w:val="22"/>
        </w:rPr>
        <w:t xml:space="preserve"> </w:t>
      </w:r>
      <w:r w:rsidRPr="00C949B2">
        <w:rPr>
          <w:rFonts w:eastAsia="Calibri" w:cs="Tahoma"/>
          <w:bCs/>
          <w:szCs w:val="22"/>
          <w:lang w:eastAsia="en-US"/>
        </w:rPr>
        <w:t xml:space="preserve">en términos del considerando </w:t>
      </w:r>
      <w:r w:rsidRPr="00C949B2">
        <w:rPr>
          <w:rFonts w:eastAsia="Calibri" w:cs="Tahoma"/>
          <w:b/>
          <w:szCs w:val="22"/>
          <w:lang w:eastAsia="en-US"/>
        </w:rPr>
        <w:t>SEGUNDO</w:t>
      </w:r>
      <w:r w:rsidRPr="00C949B2">
        <w:rPr>
          <w:rFonts w:eastAsia="Calibri" w:cs="Tahoma"/>
          <w:bCs/>
          <w:szCs w:val="22"/>
          <w:lang w:eastAsia="en-US"/>
        </w:rPr>
        <w:t xml:space="preserve"> de la presente Resolución.</w:t>
      </w:r>
    </w:p>
    <w:p w14:paraId="6802C7A1" w14:textId="77777777" w:rsidR="007600F4" w:rsidRPr="00C949B2" w:rsidRDefault="007600F4" w:rsidP="00C949B2">
      <w:pPr>
        <w:widowControl w:val="0"/>
        <w:rPr>
          <w:rFonts w:eastAsia="Calibri" w:cs="Tahoma"/>
          <w:bCs/>
          <w:szCs w:val="22"/>
          <w:lang w:eastAsia="en-US"/>
        </w:rPr>
      </w:pPr>
    </w:p>
    <w:p w14:paraId="4DB15789" w14:textId="26A3E51F" w:rsidR="007600F4" w:rsidRPr="00C949B2" w:rsidRDefault="007600F4" w:rsidP="00C949B2">
      <w:pPr>
        <w:ind w:right="-93"/>
        <w:rPr>
          <w:rFonts w:eastAsia="Calibri" w:cs="Tahoma"/>
          <w:bCs/>
          <w:szCs w:val="22"/>
          <w:lang w:eastAsia="en-US"/>
        </w:rPr>
      </w:pPr>
      <w:r w:rsidRPr="00C949B2">
        <w:rPr>
          <w:rFonts w:eastAsia="Calibri" w:cs="Tahoma"/>
          <w:b/>
          <w:bCs/>
          <w:szCs w:val="22"/>
          <w:lang w:eastAsia="en-US"/>
        </w:rPr>
        <w:t>SEGUNDO.</w:t>
      </w:r>
      <w:r w:rsidRPr="00C949B2">
        <w:rPr>
          <w:rFonts w:eastAsia="Calibri" w:cs="Tahoma"/>
          <w:szCs w:val="22"/>
          <w:lang w:eastAsia="es-MX"/>
        </w:rPr>
        <w:t xml:space="preserve"> Se </w:t>
      </w:r>
      <w:r w:rsidRPr="00C949B2">
        <w:rPr>
          <w:rFonts w:eastAsia="Calibri" w:cs="Tahoma"/>
          <w:b/>
          <w:szCs w:val="22"/>
          <w:lang w:eastAsia="es-MX"/>
        </w:rPr>
        <w:t xml:space="preserve">ORDENA </w:t>
      </w:r>
      <w:r w:rsidRPr="00C949B2">
        <w:rPr>
          <w:rFonts w:eastAsia="Calibri" w:cs="Tahoma"/>
          <w:szCs w:val="22"/>
          <w:lang w:eastAsia="es-MX"/>
        </w:rPr>
        <w:t xml:space="preserve">al </w:t>
      </w:r>
      <w:r w:rsidRPr="00C949B2">
        <w:rPr>
          <w:rFonts w:eastAsia="Calibri" w:cs="Tahoma"/>
          <w:b/>
          <w:bCs/>
          <w:szCs w:val="22"/>
          <w:lang w:eastAsia="es-MX"/>
        </w:rPr>
        <w:t>SUJETO OBLIGADO</w:t>
      </w:r>
      <w:r w:rsidRPr="00C949B2">
        <w:rPr>
          <w:rFonts w:eastAsia="Calibri" w:cs="Tahoma"/>
          <w:szCs w:val="22"/>
          <w:lang w:eastAsia="es-MX"/>
        </w:rPr>
        <w:t xml:space="preserve">, a efecto de que </w:t>
      </w:r>
      <w:r w:rsidRPr="00C949B2">
        <w:rPr>
          <w:rFonts w:eastAsia="Calibri" w:cs="Tahoma"/>
          <w:bCs/>
          <w:szCs w:val="22"/>
          <w:lang w:eastAsia="en-US"/>
        </w:rPr>
        <w:t xml:space="preserve">entregue a través del </w:t>
      </w:r>
      <w:r w:rsidRPr="00C949B2">
        <w:rPr>
          <w:rFonts w:eastAsia="Calibri" w:cs="Tahoma"/>
          <w:b/>
          <w:bCs/>
          <w:szCs w:val="22"/>
          <w:lang w:eastAsia="en-US"/>
        </w:rPr>
        <w:t>SAIMEX</w:t>
      </w:r>
      <w:r w:rsidR="00AB6AB2" w:rsidRPr="00C949B2">
        <w:rPr>
          <w:rFonts w:eastAsia="Calibri" w:cs="Tahoma"/>
          <w:bCs/>
          <w:szCs w:val="22"/>
          <w:lang w:eastAsia="en-US"/>
        </w:rPr>
        <w:t xml:space="preserve">, </w:t>
      </w:r>
      <w:r w:rsidR="00053604" w:rsidRPr="00C949B2">
        <w:rPr>
          <w:rFonts w:eastAsia="Calibri" w:cs="Tahoma"/>
          <w:bCs/>
          <w:szCs w:val="22"/>
          <w:lang w:eastAsia="en-US"/>
        </w:rPr>
        <w:t xml:space="preserve">de ser procedente en </w:t>
      </w:r>
      <w:r w:rsidR="00053604" w:rsidRPr="00C949B2">
        <w:rPr>
          <w:rFonts w:eastAsia="Calibri" w:cs="Tahoma"/>
          <w:b/>
          <w:bCs/>
          <w:szCs w:val="22"/>
          <w:lang w:eastAsia="en-US"/>
        </w:rPr>
        <w:t>versión pública</w:t>
      </w:r>
      <w:r w:rsidR="00053604" w:rsidRPr="00C949B2">
        <w:rPr>
          <w:rFonts w:eastAsia="Calibri" w:cs="Tahoma"/>
          <w:bCs/>
          <w:szCs w:val="22"/>
          <w:lang w:eastAsia="en-US"/>
        </w:rPr>
        <w:t xml:space="preserve"> </w:t>
      </w:r>
      <w:r w:rsidR="003D4CE5" w:rsidRPr="00C949B2">
        <w:t>lo siguiente</w:t>
      </w:r>
      <w:r w:rsidRPr="00C949B2">
        <w:rPr>
          <w:rFonts w:eastAsia="Calibri" w:cs="Tahoma"/>
          <w:bCs/>
          <w:szCs w:val="22"/>
          <w:lang w:eastAsia="en-US"/>
        </w:rPr>
        <w:t>:</w:t>
      </w:r>
    </w:p>
    <w:p w14:paraId="38C1134A" w14:textId="77777777" w:rsidR="00B83FB1" w:rsidRPr="00C949B2" w:rsidRDefault="00B83FB1" w:rsidP="00C949B2">
      <w:pPr>
        <w:ind w:right="-93"/>
        <w:rPr>
          <w:rFonts w:eastAsia="Calibri" w:cs="Tahoma"/>
          <w:bCs/>
          <w:szCs w:val="22"/>
          <w:lang w:eastAsia="en-US"/>
        </w:rPr>
      </w:pPr>
    </w:p>
    <w:p w14:paraId="7899A41C" w14:textId="1D23408B" w:rsidR="003D4CE5" w:rsidRPr="00C949B2" w:rsidRDefault="00053604" w:rsidP="00C949B2">
      <w:pPr>
        <w:tabs>
          <w:tab w:val="left" w:pos="4962"/>
        </w:tabs>
        <w:spacing w:line="240" w:lineRule="auto"/>
        <w:ind w:left="709" w:right="1106"/>
        <w:rPr>
          <w:rFonts w:eastAsia="Calibri" w:cs="Tahoma"/>
          <w:i/>
          <w:iCs/>
          <w:szCs w:val="22"/>
          <w:lang w:eastAsia="es-ES_tradnl"/>
        </w:rPr>
      </w:pPr>
      <w:r w:rsidRPr="00C949B2">
        <w:rPr>
          <w:rFonts w:eastAsia="Calibri" w:cs="Tahoma"/>
          <w:i/>
          <w:iCs/>
          <w:szCs w:val="22"/>
          <w:lang w:eastAsia="es-ES_tradnl"/>
        </w:rPr>
        <w:t>El documento</w:t>
      </w:r>
      <w:r w:rsidR="003D4CE5" w:rsidRPr="00C949B2">
        <w:rPr>
          <w:rFonts w:eastAsia="Calibri" w:cs="Tahoma"/>
          <w:i/>
          <w:iCs/>
          <w:szCs w:val="22"/>
          <w:lang w:eastAsia="es-ES_tradnl"/>
        </w:rPr>
        <w:t xml:space="preserve"> que acredite la propiedad del inmueble </w:t>
      </w:r>
      <w:r w:rsidR="00CD0E20" w:rsidRPr="00C949B2">
        <w:rPr>
          <w:rFonts w:eastAsia="Calibri" w:cs="Tahoma"/>
          <w:i/>
          <w:iCs/>
          <w:szCs w:val="22"/>
          <w:lang w:eastAsia="es-ES_tradnl"/>
        </w:rPr>
        <w:t>precisado</w:t>
      </w:r>
      <w:r w:rsidR="003D4CE5" w:rsidRPr="00C949B2">
        <w:rPr>
          <w:rFonts w:eastAsia="Calibri" w:cs="Tahoma"/>
          <w:i/>
          <w:iCs/>
          <w:szCs w:val="22"/>
          <w:lang w:eastAsia="es-ES_tradnl"/>
        </w:rPr>
        <w:t xml:space="preserve"> en la solicitud, al </w:t>
      </w:r>
    </w:p>
    <w:p w14:paraId="40B58342" w14:textId="17BC089B" w:rsidR="007600F4" w:rsidRPr="00C949B2" w:rsidRDefault="00AB6AB2" w:rsidP="00C949B2">
      <w:pPr>
        <w:tabs>
          <w:tab w:val="left" w:pos="4962"/>
        </w:tabs>
        <w:spacing w:line="240" w:lineRule="auto"/>
        <w:ind w:left="709" w:right="1106"/>
        <w:rPr>
          <w:rFonts w:eastAsia="Calibri" w:cs="Tahoma"/>
          <w:i/>
          <w:iCs/>
          <w:szCs w:val="22"/>
          <w:lang w:eastAsia="es-ES_tradnl"/>
        </w:rPr>
      </w:pPr>
      <w:r w:rsidRPr="00C949B2">
        <w:rPr>
          <w:rFonts w:eastAsia="Calibri" w:cs="Tahoma"/>
          <w:i/>
          <w:iCs/>
          <w:szCs w:val="22"/>
          <w:lang w:eastAsia="es-ES_tradnl"/>
        </w:rPr>
        <w:t>26 de agosto de 2024</w:t>
      </w:r>
      <w:r w:rsidR="00CD0E20" w:rsidRPr="00C949B2">
        <w:rPr>
          <w:rFonts w:eastAsia="Calibri" w:cs="Tahoma"/>
          <w:i/>
          <w:iCs/>
          <w:szCs w:val="22"/>
          <w:lang w:eastAsia="es-ES_tradnl"/>
        </w:rPr>
        <w:t>.</w:t>
      </w:r>
      <w:r w:rsidRPr="00C949B2">
        <w:rPr>
          <w:rFonts w:eastAsia="Calibri" w:cs="Tahoma"/>
          <w:b/>
          <w:bCs/>
          <w:i/>
          <w:iCs/>
          <w:szCs w:val="22"/>
          <w:lang w:eastAsia="es-ES_tradnl"/>
        </w:rPr>
        <w:t xml:space="preserve"> </w:t>
      </w:r>
    </w:p>
    <w:p w14:paraId="1CF6919A" w14:textId="77777777" w:rsidR="007600F4" w:rsidRPr="00C949B2" w:rsidRDefault="007600F4" w:rsidP="00C949B2">
      <w:pPr>
        <w:tabs>
          <w:tab w:val="left" w:pos="4962"/>
        </w:tabs>
        <w:spacing w:line="240" w:lineRule="auto"/>
        <w:ind w:left="709" w:right="1106"/>
        <w:rPr>
          <w:rFonts w:eastAsia="Calibri" w:cs="Tahoma"/>
          <w:i/>
          <w:iCs/>
          <w:sz w:val="18"/>
          <w:szCs w:val="18"/>
          <w:lang w:eastAsia="es-ES_tradnl"/>
        </w:rPr>
      </w:pPr>
    </w:p>
    <w:p w14:paraId="0C184D6F" w14:textId="77777777" w:rsidR="00E3559D" w:rsidRPr="00C949B2" w:rsidRDefault="007600F4" w:rsidP="00C949B2">
      <w:pPr>
        <w:spacing w:line="240" w:lineRule="auto"/>
        <w:ind w:left="709" w:right="1106"/>
        <w:rPr>
          <w:rFonts w:eastAsia="Calibri" w:cs="Tahoma"/>
          <w:bCs/>
          <w:i/>
          <w:iCs/>
          <w:szCs w:val="22"/>
          <w:lang w:eastAsia="en-US"/>
        </w:rPr>
      </w:pPr>
      <w:r w:rsidRPr="00C949B2">
        <w:rPr>
          <w:rFonts w:eastAsia="Calibri" w:cs="Tahoma"/>
          <w:bCs/>
          <w:i/>
          <w:iCs/>
          <w:szCs w:val="22"/>
          <w:lang w:eastAsia="en-US"/>
        </w:rPr>
        <w:t xml:space="preserve">Debiendo notificar a </w:t>
      </w:r>
      <w:r w:rsidRPr="00C949B2">
        <w:rPr>
          <w:rFonts w:eastAsia="Calibri" w:cs="Tahoma"/>
          <w:b/>
          <w:i/>
          <w:iCs/>
          <w:szCs w:val="22"/>
          <w:lang w:eastAsia="en-US"/>
        </w:rPr>
        <w:t>LA PARTE RECURRENTE</w:t>
      </w:r>
      <w:r w:rsidRPr="00C949B2">
        <w:rPr>
          <w:rFonts w:eastAsia="Calibri" w:cs="Tahoma"/>
          <w:bCs/>
          <w:i/>
          <w:iCs/>
          <w:szCs w:val="22"/>
          <w:lang w:eastAsia="en-US"/>
        </w:rPr>
        <w:t xml:space="preserve"> el Acuerdo de Clasificación de la información que en su caso emita el Comité de Transparencia con motivo de la versión pública.</w:t>
      </w:r>
    </w:p>
    <w:p w14:paraId="3569DD19" w14:textId="77777777" w:rsidR="00E3559D" w:rsidRPr="00C949B2" w:rsidRDefault="00E3559D" w:rsidP="00C949B2">
      <w:pPr>
        <w:spacing w:line="240" w:lineRule="auto"/>
        <w:ind w:left="709" w:right="1106"/>
        <w:rPr>
          <w:rFonts w:eastAsia="Calibri" w:cs="Tahoma"/>
          <w:bCs/>
          <w:i/>
          <w:iCs/>
          <w:szCs w:val="22"/>
          <w:lang w:eastAsia="en-US"/>
        </w:rPr>
      </w:pPr>
    </w:p>
    <w:p w14:paraId="6AC6AAEC" w14:textId="594472F5" w:rsidR="00E3559D" w:rsidRPr="00C949B2" w:rsidRDefault="00E3559D" w:rsidP="00C949B2">
      <w:pPr>
        <w:spacing w:line="240" w:lineRule="auto"/>
        <w:ind w:left="709" w:right="1106"/>
        <w:rPr>
          <w:rFonts w:eastAsia="Calibri"/>
          <w:i/>
          <w:iCs/>
          <w:lang w:eastAsia="en-US"/>
        </w:rPr>
      </w:pPr>
      <w:r w:rsidRPr="00C949B2">
        <w:rPr>
          <w:rFonts w:eastAsia="Calibri"/>
          <w:i/>
          <w:iCs/>
          <w:lang w:eastAsia="en-US"/>
        </w:rPr>
        <w:t xml:space="preserve">Para el caso que la información ordenada actualice alguna causal de reserva, </w:t>
      </w:r>
      <w:r w:rsidRPr="00C949B2">
        <w:rPr>
          <w:rFonts w:eastAsia="Calibri"/>
          <w:b/>
          <w:bCs/>
          <w:i/>
          <w:iCs/>
          <w:lang w:eastAsia="en-US"/>
        </w:rPr>
        <w:t>EL SUJETO OBLIGADO</w:t>
      </w:r>
      <w:r w:rsidRPr="00C949B2">
        <w:rPr>
          <w:rFonts w:eastAsia="Calibri"/>
          <w:i/>
          <w:iCs/>
          <w:lang w:eastAsia="en-US"/>
        </w:rPr>
        <w:t xml:space="preserve"> deberá emitir el Acuerdo de Clasificación a través de su Comité de Transparencia y notificarlo a </w:t>
      </w:r>
      <w:r w:rsidRPr="00C949B2">
        <w:rPr>
          <w:rFonts w:eastAsia="Calibri"/>
          <w:b/>
          <w:bCs/>
          <w:i/>
          <w:iCs/>
          <w:lang w:eastAsia="en-US"/>
        </w:rPr>
        <w:t>LA PARTE RECURRENTE</w:t>
      </w:r>
      <w:r w:rsidRPr="00C949B2">
        <w:rPr>
          <w:rFonts w:eastAsia="Calibri"/>
          <w:i/>
          <w:iCs/>
          <w:lang w:eastAsia="en-US"/>
        </w:rPr>
        <w:t xml:space="preserve"> en términos de los ordinales 49, fracción VIII, 129, 140 y 141 de la Ley de Transparencia y Acceso a la Información pública del Estado de México y Municipios.</w:t>
      </w:r>
    </w:p>
    <w:p w14:paraId="2C0BB5A7" w14:textId="77777777" w:rsidR="00E3559D" w:rsidRPr="00C949B2" w:rsidRDefault="00E3559D" w:rsidP="00C949B2">
      <w:pPr>
        <w:spacing w:line="240" w:lineRule="auto"/>
        <w:ind w:left="709" w:right="1106"/>
        <w:rPr>
          <w:rFonts w:eastAsia="Calibri" w:cs="Tahoma"/>
          <w:bCs/>
          <w:i/>
          <w:iCs/>
          <w:szCs w:val="22"/>
          <w:lang w:eastAsia="en-US"/>
        </w:rPr>
      </w:pPr>
    </w:p>
    <w:p w14:paraId="601F22F1" w14:textId="77777777" w:rsidR="007600F4" w:rsidRPr="00C949B2" w:rsidRDefault="007600F4" w:rsidP="00C949B2">
      <w:pPr>
        <w:ind w:right="49"/>
        <w:rPr>
          <w:rFonts w:eastAsia="Calibri" w:cs="Arial"/>
        </w:rPr>
      </w:pPr>
      <w:r w:rsidRPr="00C949B2">
        <w:rPr>
          <w:rFonts w:eastAsia="Palatino Linotype" w:cs="Palatino Linotype"/>
          <w:b/>
        </w:rPr>
        <w:lastRenderedPageBreak/>
        <w:t>TERCERO.</w:t>
      </w:r>
      <w:r w:rsidRPr="00C949B2">
        <w:rPr>
          <w:rFonts w:eastAsia="Palatino Linotype" w:cs="Palatino Linotype"/>
        </w:rPr>
        <w:t xml:space="preserve"> </w:t>
      </w:r>
      <w:r w:rsidRPr="00C949B2">
        <w:rPr>
          <w:rFonts w:eastAsia="Palatino Linotype" w:cs="Palatino Linotype"/>
          <w:b/>
        </w:rPr>
        <w:t xml:space="preserve">Notifíquese </w:t>
      </w:r>
      <w:r w:rsidRPr="00C949B2">
        <w:rPr>
          <w:lang w:eastAsia="es-ES_tradnl"/>
        </w:rPr>
        <w:t xml:space="preserve">vía </w:t>
      </w:r>
      <w:r w:rsidRPr="00C949B2">
        <w:rPr>
          <w:rFonts w:eastAsia="Calibri" w:cs="Arial"/>
        </w:rPr>
        <w:t xml:space="preserve">Sistema de Acceso a la Información Mexiquense </w:t>
      </w:r>
      <w:r w:rsidRPr="00C949B2">
        <w:rPr>
          <w:rFonts w:eastAsia="Calibri" w:cs="Arial"/>
          <w:b/>
          <w:bCs/>
        </w:rPr>
        <w:t>(SAIMEX)</w:t>
      </w:r>
      <w:r w:rsidRPr="00C949B2">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8C560A" w14:textId="77777777" w:rsidR="007600F4" w:rsidRPr="00C949B2" w:rsidRDefault="007600F4" w:rsidP="00C949B2">
      <w:pPr>
        <w:rPr>
          <w:sz w:val="18"/>
          <w:szCs w:val="16"/>
        </w:rPr>
      </w:pPr>
    </w:p>
    <w:p w14:paraId="13CD72FC" w14:textId="77777777" w:rsidR="007600F4" w:rsidRPr="00C949B2" w:rsidRDefault="007600F4" w:rsidP="00C949B2">
      <w:r w:rsidRPr="00C949B2">
        <w:rPr>
          <w:b/>
          <w:bCs/>
        </w:rPr>
        <w:t>CUARTO.</w:t>
      </w:r>
      <w:r w:rsidRPr="00C949B2">
        <w:t xml:space="preserve"> Notifíquese a </w:t>
      </w:r>
      <w:r w:rsidRPr="00C949B2">
        <w:rPr>
          <w:b/>
          <w:bCs/>
        </w:rPr>
        <w:t>LA PARTE RECURRENTE</w:t>
      </w:r>
      <w:r w:rsidRPr="00C949B2">
        <w:t xml:space="preserve"> la presente resolución vía Sistema de Acceso a la Información Mexiquense </w:t>
      </w:r>
      <w:r w:rsidRPr="00C949B2">
        <w:rPr>
          <w:b/>
          <w:bCs/>
        </w:rPr>
        <w:t>(SAIMEX).</w:t>
      </w:r>
    </w:p>
    <w:p w14:paraId="4BC0ED9C" w14:textId="77777777" w:rsidR="007600F4" w:rsidRPr="00C949B2" w:rsidRDefault="007600F4" w:rsidP="00C949B2">
      <w:pPr>
        <w:rPr>
          <w:sz w:val="18"/>
          <w:szCs w:val="16"/>
        </w:rPr>
      </w:pPr>
    </w:p>
    <w:p w14:paraId="43685F20" w14:textId="77777777" w:rsidR="007600F4" w:rsidRPr="00C949B2" w:rsidRDefault="007600F4" w:rsidP="00C949B2">
      <w:pPr>
        <w:rPr>
          <w:szCs w:val="22"/>
        </w:rPr>
      </w:pPr>
      <w:r w:rsidRPr="00C949B2">
        <w:rPr>
          <w:b/>
          <w:bCs/>
        </w:rPr>
        <w:t>QUINTO</w:t>
      </w:r>
      <w:r w:rsidRPr="00C949B2">
        <w:t xml:space="preserve">. </w:t>
      </w:r>
      <w:r w:rsidRPr="00C949B2">
        <w:rPr>
          <w:szCs w:val="22"/>
        </w:rPr>
        <w:t xml:space="preserve">Hágase del conocimiento a </w:t>
      </w:r>
      <w:r w:rsidRPr="00C949B2">
        <w:rPr>
          <w:b/>
          <w:bCs/>
          <w:szCs w:val="22"/>
        </w:rPr>
        <w:t>LA PARTE RECURRENTE</w:t>
      </w:r>
      <w:r w:rsidRPr="00C949B2">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6162638" w14:textId="620DC13E" w:rsidR="007600F4" w:rsidRPr="00C949B2" w:rsidRDefault="007600F4" w:rsidP="00C949B2">
      <w:pPr>
        <w:rPr>
          <w:sz w:val="18"/>
          <w:szCs w:val="16"/>
        </w:rPr>
      </w:pPr>
    </w:p>
    <w:p w14:paraId="6AC4F2C8" w14:textId="77777777" w:rsidR="007600F4" w:rsidRDefault="007600F4" w:rsidP="00C949B2">
      <w:r w:rsidRPr="00C949B2">
        <w:rPr>
          <w:b/>
          <w:bCs/>
        </w:rPr>
        <w:t>SEXTO.</w:t>
      </w:r>
      <w:r w:rsidRPr="00C949B2">
        <w:t xml:space="preserve"> De conformidad con el artículo 198 de la Ley de Transparencia y Acceso a la Información Pública del Estado de México y Municipios, el </w:t>
      </w:r>
      <w:r w:rsidRPr="00C949B2">
        <w:rPr>
          <w:b/>
          <w:bCs/>
        </w:rPr>
        <w:t>SUJETO OBLIGADO</w:t>
      </w:r>
      <w:r w:rsidRPr="00C949B2">
        <w:t xml:space="preserve"> podrá solicitar una ampliación de plazo de manera fundada y motivada, para el cumplimiento de la presente resolución.</w:t>
      </w:r>
    </w:p>
    <w:p w14:paraId="44F6B35A" w14:textId="77777777" w:rsidR="0031450E" w:rsidRPr="00C949B2" w:rsidRDefault="0031450E" w:rsidP="00C949B2"/>
    <w:p w14:paraId="7E8D7799" w14:textId="19B6C24E" w:rsidR="00420FF2" w:rsidRDefault="00420FF2" w:rsidP="00C949B2">
      <w:pPr>
        <w:ind w:right="113"/>
        <w:rPr>
          <w:rFonts w:cs="Arial"/>
          <w:b/>
          <w:szCs w:val="22"/>
        </w:rPr>
      </w:pPr>
    </w:p>
    <w:p w14:paraId="719A5C63" w14:textId="63CFF73B" w:rsidR="00664420" w:rsidRPr="00C949B2" w:rsidRDefault="00664420" w:rsidP="00C949B2">
      <w:pPr>
        <w:rPr>
          <w:rFonts w:eastAsia="Palatino Linotype" w:cs="Palatino Linotype"/>
          <w:szCs w:val="22"/>
        </w:rPr>
      </w:pPr>
      <w:r w:rsidRPr="00C949B2">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C949B2">
        <w:rPr>
          <w:rFonts w:eastAsia="Palatino Linotype" w:cs="Palatino Linotype"/>
          <w:szCs w:val="22"/>
        </w:rPr>
        <w:t>EMITIENDO VOTO PARTICULAR</w:t>
      </w:r>
      <w:r w:rsidR="00C949B2" w:rsidRPr="00C949B2">
        <w:rPr>
          <w:rFonts w:eastAsia="Palatino Linotype" w:cs="Palatino Linotype"/>
          <w:szCs w:val="22"/>
        </w:rPr>
        <w:t xml:space="preserve"> </w:t>
      </w:r>
      <w:r w:rsidRPr="00C949B2">
        <w:rPr>
          <w:rFonts w:eastAsia="Palatino Linotype" w:cs="Palatino Linotype"/>
          <w:szCs w:val="22"/>
        </w:rPr>
        <w:t xml:space="preserve">Y GUADALUPE RAMÍREZ PEÑA, EN LA </w:t>
      </w:r>
      <w:r w:rsidR="00D5756D" w:rsidRPr="00C949B2">
        <w:rPr>
          <w:rFonts w:eastAsia="Palatino Linotype" w:cs="Palatino Linotype"/>
          <w:szCs w:val="22"/>
        </w:rPr>
        <w:t xml:space="preserve">TRIGÉSIMA </w:t>
      </w:r>
      <w:r w:rsidR="00D23883" w:rsidRPr="00C949B2">
        <w:rPr>
          <w:rFonts w:eastAsia="Palatino Linotype" w:cs="Palatino Linotype"/>
          <w:szCs w:val="22"/>
        </w:rPr>
        <w:t>OCTAVA</w:t>
      </w:r>
      <w:r w:rsidR="00FD4C6F" w:rsidRPr="00C949B2">
        <w:rPr>
          <w:rFonts w:eastAsia="Palatino Linotype" w:cs="Palatino Linotype"/>
          <w:szCs w:val="22"/>
        </w:rPr>
        <w:t xml:space="preserve"> </w:t>
      </w:r>
      <w:r w:rsidRPr="00C949B2">
        <w:rPr>
          <w:rFonts w:eastAsia="Palatino Linotype" w:cs="Palatino Linotype"/>
          <w:szCs w:val="22"/>
        </w:rPr>
        <w:t xml:space="preserve">SESIÓN ORDINARIA, CELEBRADA EL </w:t>
      </w:r>
      <w:r w:rsidR="00541FA7" w:rsidRPr="00C949B2">
        <w:rPr>
          <w:rFonts w:eastAsia="Palatino Linotype" w:cs="Palatino Linotype"/>
          <w:szCs w:val="22"/>
        </w:rPr>
        <w:t>SEIS</w:t>
      </w:r>
      <w:r w:rsidR="00D5756D" w:rsidRPr="00C949B2">
        <w:rPr>
          <w:rFonts w:eastAsia="Palatino Linotype" w:cs="Palatino Linotype"/>
          <w:szCs w:val="22"/>
        </w:rPr>
        <w:t xml:space="preserve"> DE </w:t>
      </w:r>
      <w:r w:rsidR="00541FA7" w:rsidRPr="00C949B2">
        <w:rPr>
          <w:rFonts w:eastAsia="Palatino Linotype" w:cs="Palatino Linotype"/>
          <w:szCs w:val="22"/>
        </w:rPr>
        <w:t xml:space="preserve">NOVIEMBRE </w:t>
      </w:r>
      <w:r w:rsidRPr="00C949B2">
        <w:rPr>
          <w:rFonts w:eastAsia="Palatino Linotype" w:cs="Palatino Linotype"/>
          <w:szCs w:val="22"/>
        </w:rPr>
        <w:t xml:space="preserve">DE DOS MIL </w:t>
      </w:r>
      <w:r w:rsidR="00FD4C6F" w:rsidRPr="00C949B2">
        <w:rPr>
          <w:rFonts w:eastAsia="Palatino Linotype" w:cs="Palatino Linotype"/>
          <w:szCs w:val="22"/>
        </w:rPr>
        <w:t>VEINTICUATRO</w:t>
      </w:r>
      <w:r w:rsidRPr="00C949B2">
        <w:rPr>
          <w:rFonts w:eastAsia="Palatino Linotype" w:cs="Palatino Linotype"/>
          <w:szCs w:val="22"/>
        </w:rPr>
        <w:t>, ANTE EL SECRETARIO TÉCNICO DEL PLENO, ALEXIS TAPIA RAMÍREZ.</w:t>
      </w:r>
    </w:p>
    <w:p w14:paraId="3C1B10CD" w14:textId="77777777" w:rsidR="00FD4C6F" w:rsidRPr="00C949B2" w:rsidRDefault="00FD4C6F" w:rsidP="00C949B2">
      <w:pPr>
        <w:rPr>
          <w:rFonts w:eastAsiaTheme="minorEastAsia"/>
          <w:sz w:val="20"/>
          <w:lang w:val="es-419"/>
        </w:rPr>
      </w:pPr>
      <w:r w:rsidRPr="00C949B2">
        <w:rPr>
          <w:rFonts w:eastAsiaTheme="minorEastAsia"/>
          <w:sz w:val="20"/>
          <w:lang w:val="es-ES_tradnl"/>
        </w:rPr>
        <w:t>SCMM/AGZ/DEMF/</w:t>
      </w:r>
      <w:r w:rsidRPr="00C949B2">
        <w:rPr>
          <w:rFonts w:eastAsiaTheme="minorEastAsia"/>
          <w:sz w:val="20"/>
          <w:lang w:val="es-419"/>
        </w:rPr>
        <w:t>CMP</w:t>
      </w:r>
    </w:p>
    <w:p w14:paraId="7ADD58D5" w14:textId="77777777" w:rsidR="00FD4C6F" w:rsidRPr="00C949B2" w:rsidRDefault="00FD4C6F" w:rsidP="00C949B2">
      <w:pPr>
        <w:rPr>
          <w:rFonts w:eastAsia="Palatino Linotype" w:cs="Palatino Linotype"/>
          <w:szCs w:val="22"/>
        </w:rPr>
      </w:pPr>
    </w:p>
    <w:p w14:paraId="49D72DA3" w14:textId="77777777" w:rsidR="00664420" w:rsidRPr="00C949B2" w:rsidRDefault="00664420" w:rsidP="00C949B2">
      <w:pPr>
        <w:ind w:right="-93"/>
        <w:rPr>
          <w:rFonts w:eastAsia="Calibri" w:cs="Tahoma"/>
          <w:bCs/>
          <w:szCs w:val="22"/>
          <w:lang w:eastAsia="en-US"/>
        </w:rPr>
      </w:pPr>
    </w:p>
    <w:p w14:paraId="5EFEA0CD" w14:textId="77777777" w:rsidR="00664420" w:rsidRPr="00C949B2" w:rsidRDefault="00664420" w:rsidP="00C949B2">
      <w:pPr>
        <w:ind w:right="-93"/>
        <w:rPr>
          <w:rFonts w:eastAsia="Calibri" w:cs="Tahoma"/>
          <w:szCs w:val="22"/>
          <w:lang w:val="es-ES"/>
        </w:rPr>
      </w:pPr>
    </w:p>
    <w:p w14:paraId="696BC976" w14:textId="77777777" w:rsidR="00664420" w:rsidRPr="00C949B2" w:rsidRDefault="00664420" w:rsidP="00C949B2">
      <w:pPr>
        <w:ind w:right="-93"/>
        <w:rPr>
          <w:rFonts w:eastAsia="Calibri" w:cs="Tahoma"/>
          <w:bCs/>
          <w:szCs w:val="22"/>
          <w:lang w:val="es-ES" w:eastAsia="en-US"/>
        </w:rPr>
      </w:pPr>
    </w:p>
    <w:p w14:paraId="671CB0C5" w14:textId="77777777" w:rsidR="00664420" w:rsidRPr="00C949B2" w:rsidRDefault="00664420" w:rsidP="00C949B2">
      <w:pPr>
        <w:ind w:right="-93"/>
        <w:rPr>
          <w:rFonts w:eastAsia="Calibri" w:cs="Tahoma"/>
          <w:bCs/>
          <w:szCs w:val="22"/>
          <w:lang w:val="es-ES_tradnl" w:eastAsia="en-US"/>
        </w:rPr>
      </w:pPr>
    </w:p>
    <w:p w14:paraId="52B66DE7" w14:textId="77777777" w:rsidR="00664420" w:rsidRPr="00C949B2" w:rsidRDefault="00664420" w:rsidP="00C949B2">
      <w:pPr>
        <w:ind w:right="-93"/>
        <w:rPr>
          <w:rFonts w:eastAsia="Calibri" w:cs="Tahoma"/>
          <w:bCs/>
          <w:szCs w:val="22"/>
          <w:lang w:val="es-ES_tradnl" w:eastAsia="en-US"/>
        </w:rPr>
      </w:pPr>
    </w:p>
    <w:p w14:paraId="3BA305D1" w14:textId="77777777" w:rsidR="00664420" w:rsidRPr="00C949B2" w:rsidRDefault="00664420" w:rsidP="00C949B2">
      <w:pPr>
        <w:ind w:right="-93"/>
        <w:rPr>
          <w:rFonts w:eastAsia="Calibri" w:cs="Tahoma"/>
          <w:bCs/>
          <w:szCs w:val="22"/>
          <w:lang w:val="es-ES_tradnl" w:eastAsia="en-US"/>
        </w:rPr>
      </w:pPr>
    </w:p>
    <w:p w14:paraId="78230707" w14:textId="77777777" w:rsidR="00664420" w:rsidRPr="00C949B2" w:rsidRDefault="00664420" w:rsidP="00C949B2">
      <w:pPr>
        <w:ind w:right="-93"/>
        <w:rPr>
          <w:rFonts w:eastAsia="Calibri" w:cs="Tahoma"/>
          <w:bCs/>
          <w:szCs w:val="22"/>
          <w:lang w:val="es-ES_tradnl" w:eastAsia="en-US"/>
        </w:rPr>
      </w:pPr>
    </w:p>
    <w:p w14:paraId="72D18B28" w14:textId="77777777" w:rsidR="00664420" w:rsidRPr="00C949B2" w:rsidRDefault="00664420" w:rsidP="00C949B2">
      <w:pPr>
        <w:ind w:right="-93"/>
        <w:rPr>
          <w:rFonts w:eastAsia="Calibri" w:cs="Tahoma"/>
          <w:bCs/>
          <w:szCs w:val="22"/>
          <w:lang w:val="es-ES_tradnl" w:eastAsia="en-US"/>
        </w:rPr>
      </w:pPr>
    </w:p>
    <w:p w14:paraId="6BD461DC" w14:textId="77777777" w:rsidR="00664420" w:rsidRPr="00C949B2" w:rsidRDefault="00664420" w:rsidP="00C949B2">
      <w:pPr>
        <w:tabs>
          <w:tab w:val="center" w:pos="4568"/>
        </w:tabs>
        <w:ind w:right="-93"/>
        <w:rPr>
          <w:rFonts w:eastAsia="Calibri" w:cs="Tahoma"/>
          <w:bCs/>
          <w:szCs w:val="22"/>
          <w:lang w:eastAsia="en-US"/>
        </w:rPr>
      </w:pPr>
    </w:p>
    <w:p w14:paraId="4DBB1727" w14:textId="77777777" w:rsidR="00664420" w:rsidRPr="00C949B2" w:rsidRDefault="00664420" w:rsidP="00C949B2">
      <w:pPr>
        <w:tabs>
          <w:tab w:val="center" w:pos="4568"/>
        </w:tabs>
        <w:ind w:right="-93"/>
        <w:rPr>
          <w:rFonts w:eastAsia="Calibri" w:cs="Tahoma"/>
          <w:bCs/>
          <w:szCs w:val="22"/>
          <w:lang w:eastAsia="en-US"/>
        </w:rPr>
      </w:pPr>
    </w:p>
    <w:p w14:paraId="1D74121B" w14:textId="77777777" w:rsidR="00664420" w:rsidRPr="00C949B2" w:rsidRDefault="00664420" w:rsidP="00C949B2">
      <w:pPr>
        <w:tabs>
          <w:tab w:val="center" w:pos="4568"/>
        </w:tabs>
        <w:ind w:right="-93"/>
        <w:rPr>
          <w:rFonts w:eastAsia="Calibri" w:cs="Tahoma"/>
          <w:bCs/>
          <w:szCs w:val="22"/>
          <w:lang w:eastAsia="en-US"/>
        </w:rPr>
      </w:pPr>
    </w:p>
    <w:p w14:paraId="08E74E9C" w14:textId="77777777" w:rsidR="00664420" w:rsidRPr="00C949B2" w:rsidRDefault="00664420" w:rsidP="00C949B2">
      <w:pPr>
        <w:tabs>
          <w:tab w:val="center" w:pos="4568"/>
        </w:tabs>
        <w:ind w:right="-93"/>
        <w:rPr>
          <w:rFonts w:eastAsia="Calibri" w:cs="Tahoma"/>
          <w:bCs/>
          <w:szCs w:val="22"/>
          <w:lang w:eastAsia="en-US"/>
        </w:rPr>
      </w:pPr>
    </w:p>
    <w:p w14:paraId="2CBF5E03" w14:textId="77777777" w:rsidR="00664420" w:rsidRPr="00C949B2" w:rsidRDefault="00664420" w:rsidP="00C949B2">
      <w:pPr>
        <w:tabs>
          <w:tab w:val="center" w:pos="4568"/>
        </w:tabs>
        <w:ind w:right="-93"/>
        <w:rPr>
          <w:rFonts w:eastAsia="Calibri" w:cs="Tahoma"/>
          <w:bCs/>
          <w:szCs w:val="22"/>
          <w:lang w:eastAsia="en-US"/>
        </w:rPr>
      </w:pPr>
    </w:p>
    <w:p w14:paraId="44865A6D" w14:textId="77777777" w:rsidR="00664420" w:rsidRPr="00C949B2" w:rsidRDefault="00664420" w:rsidP="00C949B2">
      <w:pPr>
        <w:tabs>
          <w:tab w:val="center" w:pos="4568"/>
        </w:tabs>
        <w:ind w:right="-93"/>
        <w:rPr>
          <w:rFonts w:eastAsia="Calibri" w:cs="Tahoma"/>
          <w:bCs/>
          <w:szCs w:val="22"/>
          <w:lang w:eastAsia="en-US"/>
        </w:rPr>
      </w:pPr>
    </w:p>
    <w:p w14:paraId="7147F06B" w14:textId="77777777" w:rsidR="00664420" w:rsidRPr="00C949B2" w:rsidRDefault="00664420" w:rsidP="00C949B2">
      <w:pPr>
        <w:tabs>
          <w:tab w:val="center" w:pos="4568"/>
        </w:tabs>
        <w:ind w:right="-93"/>
        <w:rPr>
          <w:rFonts w:eastAsia="Calibri" w:cs="Tahoma"/>
          <w:bCs/>
          <w:szCs w:val="22"/>
          <w:lang w:eastAsia="en-US"/>
        </w:rPr>
      </w:pPr>
    </w:p>
    <w:p w14:paraId="6FDF3D7E" w14:textId="77777777" w:rsidR="00664420" w:rsidRPr="00C949B2" w:rsidRDefault="00664420" w:rsidP="00C949B2">
      <w:pPr>
        <w:tabs>
          <w:tab w:val="center" w:pos="4568"/>
        </w:tabs>
        <w:ind w:right="-93"/>
        <w:rPr>
          <w:rFonts w:eastAsia="Calibri" w:cs="Tahoma"/>
          <w:bCs/>
          <w:szCs w:val="22"/>
          <w:lang w:eastAsia="en-US"/>
        </w:rPr>
      </w:pPr>
    </w:p>
    <w:p w14:paraId="6246F818" w14:textId="77777777" w:rsidR="00664420" w:rsidRPr="00C949B2" w:rsidRDefault="00664420" w:rsidP="00C949B2">
      <w:pPr>
        <w:tabs>
          <w:tab w:val="center" w:pos="4568"/>
        </w:tabs>
        <w:ind w:right="-93"/>
        <w:rPr>
          <w:rFonts w:eastAsia="Calibri" w:cs="Tahoma"/>
          <w:bCs/>
          <w:szCs w:val="22"/>
          <w:lang w:eastAsia="en-US"/>
        </w:rPr>
      </w:pPr>
    </w:p>
    <w:p w14:paraId="57A88B28" w14:textId="77777777" w:rsidR="00664420" w:rsidRPr="00C949B2" w:rsidRDefault="00664420" w:rsidP="00C949B2">
      <w:pPr>
        <w:tabs>
          <w:tab w:val="center" w:pos="4568"/>
        </w:tabs>
        <w:ind w:right="-93"/>
        <w:rPr>
          <w:rFonts w:eastAsia="Calibri" w:cs="Tahoma"/>
          <w:bCs/>
          <w:szCs w:val="22"/>
          <w:lang w:eastAsia="en-US"/>
        </w:rPr>
      </w:pPr>
    </w:p>
    <w:p w14:paraId="77EF6095" w14:textId="77777777" w:rsidR="00664420" w:rsidRPr="00C949B2" w:rsidRDefault="00664420" w:rsidP="00C949B2">
      <w:pPr>
        <w:tabs>
          <w:tab w:val="center" w:pos="4568"/>
        </w:tabs>
        <w:ind w:right="-93"/>
        <w:rPr>
          <w:rFonts w:eastAsia="Calibri" w:cs="Tahoma"/>
          <w:bCs/>
          <w:szCs w:val="22"/>
          <w:lang w:eastAsia="en-US"/>
        </w:rPr>
      </w:pPr>
    </w:p>
    <w:p w14:paraId="35593947" w14:textId="77777777" w:rsidR="00664420" w:rsidRPr="00C949B2" w:rsidRDefault="00664420" w:rsidP="00C949B2">
      <w:pPr>
        <w:tabs>
          <w:tab w:val="center" w:pos="4568"/>
        </w:tabs>
        <w:ind w:right="-93"/>
        <w:rPr>
          <w:rFonts w:eastAsia="Calibri" w:cs="Tahoma"/>
          <w:bCs/>
          <w:szCs w:val="22"/>
          <w:lang w:eastAsia="en-US"/>
        </w:rPr>
      </w:pPr>
    </w:p>
    <w:p w14:paraId="3AF72A17" w14:textId="77777777" w:rsidR="00664420" w:rsidRPr="00C949B2" w:rsidRDefault="00664420" w:rsidP="00C949B2">
      <w:pPr>
        <w:tabs>
          <w:tab w:val="center" w:pos="4568"/>
        </w:tabs>
        <w:ind w:right="-93"/>
        <w:rPr>
          <w:rFonts w:eastAsia="Calibri" w:cs="Tahoma"/>
          <w:bCs/>
          <w:szCs w:val="22"/>
          <w:lang w:eastAsia="en-US"/>
        </w:rPr>
      </w:pPr>
    </w:p>
    <w:p w14:paraId="37169144" w14:textId="77777777" w:rsidR="00664420" w:rsidRPr="00C949B2" w:rsidRDefault="00664420" w:rsidP="00C949B2">
      <w:pPr>
        <w:tabs>
          <w:tab w:val="center" w:pos="4568"/>
        </w:tabs>
        <w:ind w:right="-93"/>
        <w:rPr>
          <w:rFonts w:eastAsia="Calibri" w:cs="Tahoma"/>
          <w:bCs/>
          <w:szCs w:val="22"/>
          <w:lang w:eastAsia="en-US"/>
        </w:rPr>
      </w:pPr>
    </w:p>
    <w:p w14:paraId="77CFC088" w14:textId="77777777" w:rsidR="00664420" w:rsidRPr="00C949B2" w:rsidRDefault="00664420" w:rsidP="00C949B2">
      <w:pPr>
        <w:tabs>
          <w:tab w:val="center" w:pos="4568"/>
        </w:tabs>
        <w:ind w:right="-93"/>
        <w:rPr>
          <w:rFonts w:eastAsia="Calibri" w:cs="Tahoma"/>
          <w:bCs/>
          <w:szCs w:val="22"/>
          <w:lang w:eastAsia="en-US"/>
        </w:rPr>
      </w:pPr>
    </w:p>
    <w:p w14:paraId="781A11A5" w14:textId="77777777" w:rsidR="00664420" w:rsidRPr="00C949B2" w:rsidRDefault="00664420" w:rsidP="00C949B2">
      <w:pPr>
        <w:tabs>
          <w:tab w:val="center" w:pos="4568"/>
        </w:tabs>
        <w:ind w:right="-93"/>
        <w:rPr>
          <w:rFonts w:eastAsia="Calibri" w:cs="Tahoma"/>
          <w:bCs/>
          <w:szCs w:val="22"/>
          <w:lang w:eastAsia="en-US"/>
        </w:rPr>
      </w:pPr>
    </w:p>
    <w:p w14:paraId="5B4ADFF3" w14:textId="77777777" w:rsidR="00A131AC" w:rsidRPr="00C949B2" w:rsidRDefault="00A131AC" w:rsidP="00C949B2"/>
    <w:sectPr w:rsidR="00A131AC" w:rsidRPr="00C949B2" w:rsidSect="008B09E4">
      <w:footerReference w:type="default" r:id="rId2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C70B8" w14:textId="77777777" w:rsidR="0030573B" w:rsidRDefault="0030573B" w:rsidP="00664420">
      <w:pPr>
        <w:spacing w:line="240" w:lineRule="auto"/>
      </w:pPr>
      <w:r>
        <w:separator/>
      </w:r>
    </w:p>
  </w:endnote>
  <w:endnote w:type="continuationSeparator" w:id="0">
    <w:p w14:paraId="3E4F8723" w14:textId="77777777" w:rsidR="0030573B" w:rsidRDefault="0030573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F01C0" w:rsidRDefault="00EF01C0">
    <w:pPr>
      <w:tabs>
        <w:tab w:val="center" w:pos="4550"/>
        <w:tab w:val="left" w:pos="5818"/>
      </w:tabs>
      <w:ind w:right="260"/>
      <w:jc w:val="right"/>
      <w:rPr>
        <w:color w:val="071320" w:themeColor="text2" w:themeShade="80"/>
        <w:sz w:val="24"/>
        <w:szCs w:val="24"/>
      </w:rPr>
    </w:pPr>
  </w:p>
  <w:p w14:paraId="1BCA7F23" w14:textId="77777777" w:rsidR="00EF01C0" w:rsidRDefault="00EF01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F01C0" w:rsidRDefault="00EF01C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B762D" w:rsidRPr="005B762D">
      <w:rPr>
        <w:noProof/>
        <w:color w:val="0A1D30" w:themeColor="text2" w:themeShade="BF"/>
        <w:sz w:val="24"/>
        <w:szCs w:val="24"/>
        <w:lang w:val="es-ES"/>
      </w:rPr>
      <w:t>22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B762D" w:rsidRPr="005B762D">
      <w:rPr>
        <w:noProof/>
        <w:color w:val="0A1D30" w:themeColor="text2" w:themeShade="BF"/>
        <w:sz w:val="24"/>
        <w:szCs w:val="24"/>
        <w:lang w:val="es-ES"/>
      </w:rPr>
      <w:t>44</w:t>
    </w:r>
    <w:r>
      <w:rPr>
        <w:color w:val="0A1D30" w:themeColor="text2" w:themeShade="BF"/>
        <w:sz w:val="24"/>
        <w:szCs w:val="24"/>
      </w:rPr>
      <w:fldChar w:fldCharType="end"/>
    </w:r>
  </w:p>
  <w:p w14:paraId="310E15C0" w14:textId="77777777" w:rsidR="00EF01C0" w:rsidRDefault="00EF01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B33C9" w14:textId="77777777" w:rsidR="0030573B" w:rsidRDefault="0030573B" w:rsidP="00664420">
      <w:pPr>
        <w:spacing w:line="240" w:lineRule="auto"/>
      </w:pPr>
      <w:r>
        <w:separator/>
      </w:r>
    </w:p>
  </w:footnote>
  <w:footnote w:type="continuationSeparator" w:id="0">
    <w:p w14:paraId="2B26077F" w14:textId="77777777" w:rsidR="0030573B" w:rsidRDefault="0030573B"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F01C0" w:rsidRPr="00330DA7" w14:paraId="070A4B18" w14:textId="77777777" w:rsidTr="003F35FD">
      <w:trPr>
        <w:trHeight w:val="144"/>
        <w:jc w:val="right"/>
      </w:trPr>
      <w:tc>
        <w:tcPr>
          <w:tcW w:w="2727" w:type="dxa"/>
        </w:tcPr>
        <w:p w14:paraId="62B7493A" w14:textId="77777777" w:rsidR="00EF01C0" w:rsidRPr="00330DA7" w:rsidRDefault="00EF01C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89B7E20" w:rsidR="00EF01C0" w:rsidRPr="00A90C72" w:rsidRDefault="00EF01C0" w:rsidP="003F35FD">
          <w:pPr>
            <w:tabs>
              <w:tab w:val="right" w:pos="8838"/>
            </w:tabs>
            <w:ind w:left="-74" w:right="-105"/>
            <w:rPr>
              <w:rFonts w:eastAsia="Calibri" w:cs="Tahoma"/>
              <w:szCs w:val="22"/>
              <w:lang w:eastAsia="en-US"/>
            </w:rPr>
          </w:pPr>
          <w:bookmarkStart w:id="0" w:name="_Hlk180644540"/>
          <w:r w:rsidRPr="00F57086">
            <w:rPr>
              <w:rFonts w:eastAsia="Calibri" w:cs="Tahoma"/>
              <w:szCs w:val="22"/>
              <w:lang w:eastAsia="en-US"/>
            </w:rPr>
            <w:t>05927/INFOEM/IP/RR/2024</w:t>
          </w:r>
          <w:bookmarkEnd w:id="0"/>
        </w:p>
      </w:tc>
    </w:tr>
    <w:tr w:rsidR="00EF01C0" w:rsidRPr="00330DA7" w14:paraId="4521E058" w14:textId="77777777" w:rsidTr="003F35FD">
      <w:trPr>
        <w:trHeight w:val="283"/>
        <w:jc w:val="right"/>
      </w:trPr>
      <w:tc>
        <w:tcPr>
          <w:tcW w:w="2727" w:type="dxa"/>
        </w:tcPr>
        <w:p w14:paraId="0B68C086" w14:textId="77777777" w:rsidR="00EF01C0" w:rsidRPr="00330DA7" w:rsidRDefault="00EF01C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82A959" w:rsidR="00EF01C0" w:rsidRPr="00952DD0" w:rsidRDefault="00EF01C0" w:rsidP="003F35FD">
          <w:pPr>
            <w:tabs>
              <w:tab w:val="left" w:pos="2834"/>
              <w:tab w:val="right" w:pos="8838"/>
            </w:tabs>
            <w:ind w:left="-108" w:right="-105"/>
            <w:rPr>
              <w:rFonts w:eastAsia="Calibri" w:cs="Tahoma"/>
              <w:szCs w:val="22"/>
              <w:lang w:eastAsia="en-US"/>
            </w:rPr>
          </w:pPr>
          <w:r w:rsidRPr="00F57086">
            <w:rPr>
              <w:rFonts w:eastAsia="Calibri" w:cs="Tahoma"/>
              <w:szCs w:val="22"/>
              <w:lang w:eastAsia="en-US"/>
            </w:rPr>
            <w:t>Ayuntamiento de Toluca</w:t>
          </w:r>
        </w:p>
      </w:tc>
    </w:tr>
    <w:tr w:rsidR="00EF01C0" w:rsidRPr="00330DA7" w14:paraId="6331D9B6" w14:textId="77777777" w:rsidTr="003F35FD">
      <w:trPr>
        <w:trHeight w:val="283"/>
        <w:jc w:val="right"/>
      </w:trPr>
      <w:tc>
        <w:tcPr>
          <w:tcW w:w="2727" w:type="dxa"/>
        </w:tcPr>
        <w:p w14:paraId="3FA86BAE" w14:textId="24EB1690" w:rsidR="00EF01C0" w:rsidRPr="00330DA7" w:rsidRDefault="00EF01C0"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EF01C0" w:rsidRPr="00EA66FC" w:rsidRDefault="00EF01C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F01C0" w:rsidRPr="00443C6B" w:rsidRDefault="00EF01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F01C0" w:rsidRPr="00330DA7" w14:paraId="29CFF901" w14:textId="77777777" w:rsidTr="0089420F">
      <w:trPr>
        <w:trHeight w:val="1435"/>
      </w:trPr>
      <w:tc>
        <w:tcPr>
          <w:tcW w:w="283" w:type="dxa"/>
          <w:shd w:val="clear" w:color="auto" w:fill="auto"/>
        </w:tcPr>
        <w:p w14:paraId="046B9F8F" w14:textId="77777777" w:rsidR="00EF01C0" w:rsidRPr="00330DA7" w:rsidRDefault="00EF01C0" w:rsidP="0089420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F01C0" w:rsidRPr="00330DA7" w14:paraId="04F272D2" w14:textId="77777777" w:rsidTr="0089420F">
            <w:trPr>
              <w:trHeight w:val="144"/>
            </w:trPr>
            <w:tc>
              <w:tcPr>
                <w:tcW w:w="2727" w:type="dxa"/>
              </w:tcPr>
              <w:p w14:paraId="2FD4DBF6" w14:textId="77777777" w:rsidR="00EF01C0" w:rsidRPr="00330DA7" w:rsidRDefault="00EF01C0" w:rsidP="0089420F">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36C97AA" w:rsidR="00EF01C0" w:rsidRPr="00A90C72" w:rsidRDefault="00EF01C0" w:rsidP="0089420F">
                <w:pPr>
                  <w:tabs>
                    <w:tab w:val="right" w:pos="8838"/>
                  </w:tabs>
                  <w:ind w:left="-74" w:right="-105"/>
                  <w:rPr>
                    <w:rFonts w:eastAsia="Calibri" w:cs="Tahoma"/>
                    <w:szCs w:val="22"/>
                    <w:lang w:eastAsia="en-US"/>
                  </w:rPr>
                </w:pPr>
                <w:r w:rsidRPr="00F57086">
                  <w:rPr>
                    <w:rFonts w:eastAsia="Calibri" w:cs="Tahoma"/>
                    <w:szCs w:val="22"/>
                    <w:lang w:eastAsia="en-US"/>
                  </w:rPr>
                  <w:t>05927/INFOEM/IP/RR/2024</w:t>
                </w:r>
              </w:p>
            </w:tc>
            <w:tc>
              <w:tcPr>
                <w:tcW w:w="3402" w:type="dxa"/>
              </w:tcPr>
              <w:p w14:paraId="71DEA1CF" w14:textId="77777777" w:rsidR="00EF01C0" w:rsidRDefault="00EF01C0" w:rsidP="0089420F">
                <w:pPr>
                  <w:tabs>
                    <w:tab w:val="right" w:pos="8838"/>
                  </w:tabs>
                  <w:ind w:left="-74" w:right="-105"/>
                  <w:rPr>
                    <w:rFonts w:eastAsia="Calibri" w:cs="Tahoma"/>
                    <w:szCs w:val="22"/>
                    <w:lang w:eastAsia="en-US"/>
                  </w:rPr>
                </w:pPr>
              </w:p>
            </w:tc>
          </w:tr>
          <w:tr w:rsidR="00EF01C0" w:rsidRPr="00330DA7" w14:paraId="05C58951" w14:textId="77777777" w:rsidTr="0089420F">
            <w:trPr>
              <w:trHeight w:val="144"/>
            </w:trPr>
            <w:tc>
              <w:tcPr>
                <w:tcW w:w="2727" w:type="dxa"/>
              </w:tcPr>
              <w:p w14:paraId="642B9610" w14:textId="77777777" w:rsidR="00EF01C0" w:rsidRPr="00330DA7" w:rsidRDefault="00EF01C0" w:rsidP="0089420F">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894591B" w:rsidR="00EF01C0" w:rsidRPr="005F19B1" w:rsidRDefault="00EF01C0" w:rsidP="0089420F">
                <w:pPr>
                  <w:tabs>
                    <w:tab w:val="left" w:pos="3122"/>
                    <w:tab w:val="right" w:pos="8838"/>
                  </w:tabs>
                  <w:ind w:left="-105" w:right="-105"/>
                  <w:rPr>
                    <w:rFonts w:eastAsia="Calibri" w:cs="Tahoma"/>
                    <w:szCs w:val="22"/>
                    <w:lang w:eastAsia="en-US"/>
                  </w:rPr>
                </w:pPr>
              </w:p>
            </w:tc>
            <w:tc>
              <w:tcPr>
                <w:tcW w:w="3402" w:type="dxa"/>
              </w:tcPr>
              <w:p w14:paraId="73F47F53" w14:textId="77777777" w:rsidR="00EF01C0" w:rsidRPr="005F19B1" w:rsidRDefault="00EF01C0" w:rsidP="0089420F">
                <w:pPr>
                  <w:tabs>
                    <w:tab w:val="left" w:pos="3122"/>
                    <w:tab w:val="right" w:pos="8838"/>
                  </w:tabs>
                  <w:ind w:left="-105" w:right="-105"/>
                  <w:rPr>
                    <w:rFonts w:eastAsia="Calibri" w:cs="Tahoma"/>
                    <w:szCs w:val="22"/>
                    <w:lang w:eastAsia="en-US"/>
                  </w:rPr>
                </w:pPr>
              </w:p>
            </w:tc>
          </w:tr>
          <w:bookmarkEnd w:id="2"/>
          <w:tr w:rsidR="00EF01C0" w:rsidRPr="00330DA7" w14:paraId="00E6CDC1" w14:textId="77777777" w:rsidTr="0089420F">
            <w:trPr>
              <w:trHeight w:val="283"/>
            </w:trPr>
            <w:tc>
              <w:tcPr>
                <w:tcW w:w="2727" w:type="dxa"/>
              </w:tcPr>
              <w:p w14:paraId="0631AD24" w14:textId="77777777" w:rsidR="00EF01C0" w:rsidRPr="00330DA7" w:rsidRDefault="00EF01C0" w:rsidP="0089420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13FF4D3" w:rsidR="00EF01C0" w:rsidRPr="00952DD0" w:rsidRDefault="00EF01C0" w:rsidP="0089420F">
                <w:pPr>
                  <w:tabs>
                    <w:tab w:val="left" w:pos="2834"/>
                    <w:tab w:val="right" w:pos="8838"/>
                  </w:tabs>
                  <w:ind w:left="-108" w:right="-105"/>
                  <w:rPr>
                    <w:rFonts w:eastAsia="Calibri" w:cs="Tahoma"/>
                    <w:szCs w:val="22"/>
                    <w:lang w:eastAsia="en-US"/>
                  </w:rPr>
                </w:pPr>
                <w:r w:rsidRPr="00F57086">
                  <w:rPr>
                    <w:rFonts w:eastAsia="Calibri" w:cs="Tahoma"/>
                    <w:szCs w:val="22"/>
                    <w:lang w:eastAsia="en-US"/>
                  </w:rPr>
                  <w:t>Ayuntamiento de Toluca</w:t>
                </w:r>
              </w:p>
            </w:tc>
            <w:tc>
              <w:tcPr>
                <w:tcW w:w="3402" w:type="dxa"/>
              </w:tcPr>
              <w:p w14:paraId="3A7DA319" w14:textId="77777777" w:rsidR="00EF01C0" w:rsidRPr="00A90C72" w:rsidRDefault="00EF01C0" w:rsidP="0089420F">
                <w:pPr>
                  <w:tabs>
                    <w:tab w:val="left" w:pos="2834"/>
                    <w:tab w:val="right" w:pos="8838"/>
                  </w:tabs>
                  <w:ind w:left="-108" w:right="-105"/>
                  <w:rPr>
                    <w:rFonts w:eastAsia="Calibri" w:cs="Tahoma"/>
                    <w:szCs w:val="22"/>
                    <w:lang w:eastAsia="en-US"/>
                  </w:rPr>
                </w:pPr>
              </w:p>
            </w:tc>
          </w:tr>
          <w:tr w:rsidR="00EF01C0" w:rsidRPr="00330DA7" w14:paraId="0F6CD8D2" w14:textId="77777777" w:rsidTr="0089420F">
            <w:trPr>
              <w:trHeight w:val="283"/>
            </w:trPr>
            <w:tc>
              <w:tcPr>
                <w:tcW w:w="2727" w:type="dxa"/>
              </w:tcPr>
              <w:p w14:paraId="31700628" w14:textId="4A35E9F0" w:rsidR="00EF01C0" w:rsidRPr="00330DA7" w:rsidRDefault="00EF01C0" w:rsidP="0089420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F01C0" w:rsidRPr="00EA66FC" w:rsidRDefault="00EF01C0" w:rsidP="0089420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F01C0" w:rsidRPr="00330DA7" w:rsidRDefault="00EF01C0" w:rsidP="0089420F">
                <w:pPr>
                  <w:tabs>
                    <w:tab w:val="right" w:pos="8838"/>
                  </w:tabs>
                  <w:ind w:left="-108" w:right="-105"/>
                  <w:rPr>
                    <w:rFonts w:eastAsia="Calibri" w:cs="Tahoma"/>
                    <w:szCs w:val="22"/>
                    <w:lang w:eastAsia="en-US"/>
                  </w:rPr>
                </w:pPr>
              </w:p>
            </w:tc>
          </w:tr>
        </w:tbl>
        <w:p w14:paraId="5DC6AC61" w14:textId="77777777" w:rsidR="00EF01C0" w:rsidRPr="00330DA7" w:rsidRDefault="00EF01C0" w:rsidP="0089420F">
          <w:pPr>
            <w:tabs>
              <w:tab w:val="right" w:pos="8838"/>
            </w:tabs>
            <w:ind w:left="-28"/>
            <w:rPr>
              <w:rFonts w:ascii="Arial" w:eastAsia="Calibri" w:hAnsi="Arial" w:cs="Arial"/>
              <w:b/>
              <w:szCs w:val="22"/>
              <w:lang w:eastAsia="en-US"/>
            </w:rPr>
          </w:pPr>
        </w:p>
      </w:tc>
    </w:tr>
  </w:tbl>
  <w:p w14:paraId="2A906731" w14:textId="77777777" w:rsidR="00EF01C0" w:rsidRPr="00765661" w:rsidRDefault="0030573B" w:rsidP="0089420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F5982"/>
    <w:multiLevelType w:val="hybridMultilevel"/>
    <w:tmpl w:val="FDBA71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2D2271"/>
    <w:multiLevelType w:val="hybridMultilevel"/>
    <w:tmpl w:val="4E64DE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1B0DD7"/>
    <w:multiLevelType w:val="multilevel"/>
    <w:tmpl w:val="6B0ADCD2"/>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FF360FE"/>
    <w:multiLevelType w:val="multilevel"/>
    <w:tmpl w:val="9B687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DC64749"/>
    <w:multiLevelType w:val="hybridMultilevel"/>
    <w:tmpl w:val="A648C3F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5F6862"/>
    <w:multiLevelType w:val="multilevel"/>
    <w:tmpl w:val="AED84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21"/>
  </w:num>
  <w:num w:numId="4">
    <w:abstractNumId w:val="6"/>
  </w:num>
  <w:num w:numId="5">
    <w:abstractNumId w:val="2"/>
  </w:num>
  <w:num w:numId="6">
    <w:abstractNumId w:val="22"/>
  </w:num>
  <w:num w:numId="7">
    <w:abstractNumId w:val="13"/>
  </w:num>
  <w:num w:numId="8">
    <w:abstractNumId w:val="5"/>
  </w:num>
  <w:num w:numId="9">
    <w:abstractNumId w:val="1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4"/>
  </w:num>
  <w:num w:numId="16">
    <w:abstractNumId w:val="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9"/>
  </w:num>
  <w:num w:numId="21">
    <w:abstractNumId w:val="19"/>
  </w:num>
  <w:num w:numId="22">
    <w:abstractNumId w:val="17"/>
  </w:num>
  <w:num w:numId="23">
    <w:abstractNumId w:val="18"/>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53604"/>
    <w:rsid w:val="00057B2D"/>
    <w:rsid w:val="00073809"/>
    <w:rsid w:val="00076A20"/>
    <w:rsid w:val="00076E38"/>
    <w:rsid w:val="00087AA9"/>
    <w:rsid w:val="00090B6B"/>
    <w:rsid w:val="0009192D"/>
    <w:rsid w:val="000D0D67"/>
    <w:rsid w:val="000D2E8D"/>
    <w:rsid w:val="000E052E"/>
    <w:rsid w:val="000E09C4"/>
    <w:rsid w:val="0011350D"/>
    <w:rsid w:val="00126207"/>
    <w:rsid w:val="001306EC"/>
    <w:rsid w:val="0013137D"/>
    <w:rsid w:val="00141876"/>
    <w:rsid w:val="00150C49"/>
    <w:rsid w:val="001616E0"/>
    <w:rsid w:val="00174D69"/>
    <w:rsid w:val="00184D66"/>
    <w:rsid w:val="001956B3"/>
    <w:rsid w:val="001A38AE"/>
    <w:rsid w:val="001A58B3"/>
    <w:rsid w:val="001A633B"/>
    <w:rsid w:val="001C7688"/>
    <w:rsid w:val="001D05E6"/>
    <w:rsid w:val="001E0B1E"/>
    <w:rsid w:val="001E53C7"/>
    <w:rsid w:val="001F3515"/>
    <w:rsid w:val="00207D99"/>
    <w:rsid w:val="0023177F"/>
    <w:rsid w:val="00233005"/>
    <w:rsid w:val="002338D4"/>
    <w:rsid w:val="00233F17"/>
    <w:rsid w:val="00235D2B"/>
    <w:rsid w:val="002379FD"/>
    <w:rsid w:val="002568D7"/>
    <w:rsid w:val="002568F8"/>
    <w:rsid w:val="002A3601"/>
    <w:rsid w:val="002B7C6F"/>
    <w:rsid w:val="002C2588"/>
    <w:rsid w:val="00302476"/>
    <w:rsid w:val="0030573B"/>
    <w:rsid w:val="0031450E"/>
    <w:rsid w:val="00323DD2"/>
    <w:rsid w:val="00331F35"/>
    <w:rsid w:val="0034218F"/>
    <w:rsid w:val="00345BC9"/>
    <w:rsid w:val="00362A11"/>
    <w:rsid w:val="00380417"/>
    <w:rsid w:val="00385978"/>
    <w:rsid w:val="003A40C1"/>
    <w:rsid w:val="003B63F8"/>
    <w:rsid w:val="003D4CE5"/>
    <w:rsid w:val="003F35FD"/>
    <w:rsid w:val="003F677C"/>
    <w:rsid w:val="0040558E"/>
    <w:rsid w:val="00405721"/>
    <w:rsid w:val="0041385B"/>
    <w:rsid w:val="00420FF2"/>
    <w:rsid w:val="00441BFA"/>
    <w:rsid w:val="00454FBD"/>
    <w:rsid w:val="004723A2"/>
    <w:rsid w:val="00476A9D"/>
    <w:rsid w:val="00497EAB"/>
    <w:rsid w:val="004D125B"/>
    <w:rsid w:val="004D7CD8"/>
    <w:rsid w:val="004E5068"/>
    <w:rsid w:val="004F06D4"/>
    <w:rsid w:val="004F67D0"/>
    <w:rsid w:val="004F7A00"/>
    <w:rsid w:val="005244F1"/>
    <w:rsid w:val="0053398E"/>
    <w:rsid w:val="005365FA"/>
    <w:rsid w:val="00541FA7"/>
    <w:rsid w:val="005723CB"/>
    <w:rsid w:val="00575400"/>
    <w:rsid w:val="00591869"/>
    <w:rsid w:val="005941FB"/>
    <w:rsid w:val="005A0A5F"/>
    <w:rsid w:val="005B18AF"/>
    <w:rsid w:val="005B762D"/>
    <w:rsid w:val="005D5A50"/>
    <w:rsid w:val="005E28C5"/>
    <w:rsid w:val="005F5301"/>
    <w:rsid w:val="005F65B7"/>
    <w:rsid w:val="00605163"/>
    <w:rsid w:val="006067C7"/>
    <w:rsid w:val="00615506"/>
    <w:rsid w:val="006159AD"/>
    <w:rsid w:val="00617DC7"/>
    <w:rsid w:val="0063137A"/>
    <w:rsid w:val="00646436"/>
    <w:rsid w:val="00652B18"/>
    <w:rsid w:val="00664420"/>
    <w:rsid w:val="00685AD3"/>
    <w:rsid w:val="006946E4"/>
    <w:rsid w:val="006A697A"/>
    <w:rsid w:val="006B00EE"/>
    <w:rsid w:val="006B10B0"/>
    <w:rsid w:val="006E25BC"/>
    <w:rsid w:val="006E6BBC"/>
    <w:rsid w:val="006F7768"/>
    <w:rsid w:val="00717E59"/>
    <w:rsid w:val="007228DC"/>
    <w:rsid w:val="00747061"/>
    <w:rsid w:val="007600F4"/>
    <w:rsid w:val="00775BFC"/>
    <w:rsid w:val="00781363"/>
    <w:rsid w:val="007A3424"/>
    <w:rsid w:val="007B6074"/>
    <w:rsid w:val="007C5C93"/>
    <w:rsid w:val="007D1C55"/>
    <w:rsid w:val="007D317F"/>
    <w:rsid w:val="007F5D06"/>
    <w:rsid w:val="008018EE"/>
    <w:rsid w:val="00830EEF"/>
    <w:rsid w:val="00835127"/>
    <w:rsid w:val="0084341B"/>
    <w:rsid w:val="00865CF4"/>
    <w:rsid w:val="00876DBC"/>
    <w:rsid w:val="0088324D"/>
    <w:rsid w:val="0089420F"/>
    <w:rsid w:val="008A6003"/>
    <w:rsid w:val="008A6F88"/>
    <w:rsid w:val="008B09E4"/>
    <w:rsid w:val="008B1E16"/>
    <w:rsid w:val="008C48EE"/>
    <w:rsid w:val="008C715C"/>
    <w:rsid w:val="00900C44"/>
    <w:rsid w:val="00910FD2"/>
    <w:rsid w:val="00931437"/>
    <w:rsid w:val="00953430"/>
    <w:rsid w:val="009578F9"/>
    <w:rsid w:val="009643D6"/>
    <w:rsid w:val="009655ED"/>
    <w:rsid w:val="00970EB3"/>
    <w:rsid w:val="009950D7"/>
    <w:rsid w:val="009A12B8"/>
    <w:rsid w:val="009A227D"/>
    <w:rsid w:val="009A29BE"/>
    <w:rsid w:val="009A2B13"/>
    <w:rsid w:val="009A2D78"/>
    <w:rsid w:val="009A7C10"/>
    <w:rsid w:val="009B2945"/>
    <w:rsid w:val="009C2571"/>
    <w:rsid w:val="009D0146"/>
    <w:rsid w:val="009E31A6"/>
    <w:rsid w:val="009F4C17"/>
    <w:rsid w:val="009F797C"/>
    <w:rsid w:val="00A131AC"/>
    <w:rsid w:val="00A16D85"/>
    <w:rsid w:val="00A17059"/>
    <w:rsid w:val="00A203C6"/>
    <w:rsid w:val="00A21A20"/>
    <w:rsid w:val="00A32AAB"/>
    <w:rsid w:val="00A53315"/>
    <w:rsid w:val="00A65695"/>
    <w:rsid w:val="00A713F6"/>
    <w:rsid w:val="00A8142F"/>
    <w:rsid w:val="00A8321B"/>
    <w:rsid w:val="00A9208D"/>
    <w:rsid w:val="00AA26B0"/>
    <w:rsid w:val="00AA33C7"/>
    <w:rsid w:val="00AA6EA9"/>
    <w:rsid w:val="00AB6AB2"/>
    <w:rsid w:val="00AC2DB8"/>
    <w:rsid w:val="00AC3CA0"/>
    <w:rsid w:val="00AE3DA7"/>
    <w:rsid w:val="00AF03C4"/>
    <w:rsid w:val="00AF682F"/>
    <w:rsid w:val="00B0076F"/>
    <w:rsid w:val="00B22A80"/>
    <w:rsid w:val="00B23ED8"/>
    <w:rsid w:val="00B277EC"/>
    <w:rsid w:val="00B33A4D"/>
    <w:rsid w:val="00B62B67"/>
    <w:rsid w:val="00B63BBB"/>
    <w:rsid w:val="00B83FB1"/>
    <w:rsid w:val="00B84608"/>
    <w:rsid w:val="00BA3857"/>
    <w:rsid w:val="00BA55A8"/>
    <w:rsid w:val="00BB0DBB"/>
    <w:rsid w:val="00BB2ABF"/>
    <w:rsid w:val="00BB64F4"/>
    <w:rsid w:val="00BC36F3"/>
    <w:rsid w:val="00BD0C13"/>
    <w:rsid w:val="00BD3F4F"/>
    <w:rsid w:val="00BE7759"/>
    <w:rsid w:val="00BF0221"/>
    <w:rsid w:val="00BF091A"/>
    <w:rsid w:val="00C049E2"/>
    <w:rsid w:val="00C20D85"/>
    <w:rsid w:val="00C36795"/>
    <w:rsid w:val="00C461EC"/>
    <w:rsid w:val="00C507D4"/>
    <w:rsid w:val="00C71CEF"/>
    <w:rsid w:val="00C72DAA"/>
    <w:rsid w:val="00C949B2"/>
    <w:rsid w:val="00CD0B92"/>
    <w:rsid w:val="00CD0E20"/>
    <w:rsid w:val="00CD6D0F"/>
    <w:rsid w:val="00CE29D3"/>
    <w:rsid w:val="00CE52FC"/>
    <w:rsid w:val="00CF1837"/>
    <w:rsid w:val="00CF2D8B"/>
    <w:rsid w:val="00CF7586"/>
    <w:rsid w:val="00D036D3"/>
    <w:rsid w:val="00D23883"/>
    <w:rsid w:val="00D2790D"/>
    <w:rsid w:val="00D44C68"/>
    <w:rsid w:val="00D51ECD"/>
    <w:rsid w:val="00D5756D"/>
    <w:rsid w:val="00D60C0E"/>
    <w:rsid w:val="00D6170E"/>
    <w:rsid w:val="00D91CB4"/>
    <w:rsid w:val="00DB7BC7"/>
    <w:rsid w:val="00DD5F50"/>
    <w:rsid w:val="00DD6EF3"/>
    <w:rsid w:val="00DE1133"/>
    <w:rsid w:val="00DF03AD"/>
    <w:rsid w:val="00E046A0"/>
    <w:rsid w:val="00E06F53"/>
    <w:rsid w:val="00E16BF5"/>
    <w:rsid w:val="00E341B4"/>
    <w:rsid w:val="00E3559D"/>
    <w:rsid w:val="00E37A3F"/>
    <w:rsid w:val="00E62E6A"/>
    <w:rsid w:val="00E65D28"/>
    <w:rsid w:val="00E83EF5"/>
    <w:rsid w:val="00E9335C"/>
    <w:rsid w:val="00E937AE"/>
    <w:rsid w:val="00EA0D03"/>
    <w:rsid w:val="00EA472C"/>
    <w:rsid w:val="00EC74E6"/>
    <w:rsid w:val="00ED1C1E"/>
    <w:rsid w:val="00EE6543"/>
    <w:rsid w:val="00EF01C0"/>
    <w:rsid w:val="00F04147"/>
    <w:rsid w:val="00F07EE6"/>
    <w:rsid w:val="00F1385D"/>
    <w:rsid w:val="00F307BF"/>
    <w:rsid w:val="00F333F9"/>
    <w:rsid w:val="00F33CC8"/>
    <w:rsid w:val="00F34461"/>
    <w:rsid w:val="00F451BE"/>
    <w:rsid w:val="00F57086"/>
    <w:rsid w:val="00F75D23"/>
    <w:rsid w:val="00F81E7A"/>
    <w:rsid w:val="00F84EF6"/>
    <w:rsid w:val="00F911DF"/>
    <w:rsid w:val="00FA491C"/>
    <w:rsid w:val="00FA5957"/>
    <w:rsid w:val="00FC3CE0"/>
    <w:rsid w:val="00FC7242"/>
    <w:rsid w:val="00FD06A8"/>
    <w:rsid w:val="00FD4C6F"/>
    <w:rsid w:val="00FE078E"/>
    <w:rsid w:val="00FE2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65058">
      <w:bodyDiv w:val="1"/>
      <w:marLeft w:val="0"/>
      <w:marRight w:val="0"/>
      <w:marTop w:val="0"/>
      <w:marBottom w:val="0"/>
      <w:divBdr>
        <w:top w:val="none" w:sz="0" w:space="0" w:color="auto"/>
        <w:left w:val="none" w:sz="0" w:space="0" w:color="auto"/>
        <w:bottom w:val="none" w:sz="0" w:space="0" w:color="auto"/>
        <w:right w:val="none" w:sz="0" w:space="0" w:color="auto"/>
      </w:divBdr>
    </w:div>
    <w:div w:id="779108118">
      <w:bodyDiv w:val="1"/>
      <w:marLeft w:val="0"/>
      <w:marRight w:val="0"/>
      <w:marTop w:val="0"/>
      <w:marBottom w:val="0"/>
      <w:divBdr>
        <w:top w:val="none" w:sz="0" w:space="0" w:color="auto"/>
        <w:left w:val="none" w:sz="0" w:space="0" w:color="auto"/>
        <w:bottom w:val="none" w:sz="0" w:space="0" w:color="auto"/>
        <w:right w:val="none" w:sz="0" w:space="0" w:color="auto"/>
      </w:divBdr>
    </w:div>
    <w:div w:id="1815875065">
      <w:bodyDiv w:val="1"/>
      <w:marLeft w:val="0"/>
      <w:marRight w:val="0"/>
      <w:marTop w:val="0"/>
      <w:marBottom w:val="0"/>
      <w:divBdr>
        <w:top w:val="none" w:sz="0" w:space="0" w:color="auto"/>
        <w:left w:val="none" w:sz="0" w:space="0" w:color="auto"/>
        <w:bottom w:val="none" w:sz="0" w:space="0" w:color="auto"/>
        <w:right w:val="none" w:sz="0" w:space="0" w:color="auto"/>
      </w:divBdr>
    </w:div>
    <w:div w:id="18842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80680A-4744-4F22-AFE9-995C91E0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11595</Words>
  <Characters>63774</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2024-11-04T20:00:00Z</cp:lastPrinted>
  <dcterms:created xsi:type="dcterms:W3CDTF">2024-10-29T00:29:00Z</dcterms:created>
  <dcterms:modified xsi:type="dcterms:W3CDTF">2025-01-13T19:51:00Z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