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7B05" w14:textId="35C181CC" w:rsidR="00C2297E" w:rsidRPr="004E209B" w:rsidRDefault="009339EB">
      <w:pPr>
        <w:spacing w:before="240" w:after="240" w:line="360" w:lineRule="auto"/>
        <w:ind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58556F" w:rsidRPr="004E209B">
        <w:rPr>
          <w:rFonts w:ascii="Palatino Linotype" w:eastAsia="Palatino Linotype" w:hAnsi="Palatino Linotype" w:cs="Palatino Linotype"/>
          <w:sz w:val="24"/>
          <w:szCs w:val="24"/>
        </w:rPr>
        <w:t>cuatro</w:t>
      </w:r>
      <w:r w:rsidR="002A7A1F" w:rsidRPr="004E209B">
        <w:rPr>
          <w:rFonts w:ascii="Palatino Linotype" w:eastAsia="Palatino Linotype" w:hAnsi="Palatino Linotype" w:cs="Palatino Linotype"/>
          <w:sz w:val="24"/>
          <w:szCs w:val="24"/>
        </w:rPr>
        <w:t xml:space="preserve"> </w:t>
      </w:r>
      <w:r w:rsidR="00E61D04" w:rsidRPr="004E209B">
        <w:rPr>
          <w:rFonts w:ascii="Palatino Linotype" w:eastAsia="Palatino Linotype" w:hAnsi="Palatino Linotype" w:cs="Palatino Linotype"/>
          <w:sz w:val="24"/>
          <w:szCs w:val="24"/>
        </w:rPr>
        <w:t xml:space="preserve">de </w:t>
      </w:r>
      <w:r w:rsidR="0058556F" w:rsidRPr="004E209B">
        <w:rPr>
          <w:rFonts w:ascii="Palatino Linotype" w:eastAsia="Palatino Linotype" w:hAnsi="Palatino Linotype" w:cs="Palatino Linotype"/>
          <w:sz w:val="24"/>
          <w:szCs w:val="24"/>
        </w:rPr>
        <w:t>dic</w:t>
      </w:r>
      <w:r w:rsidR="00E61D04" w:rsidRPr="004E209B">
        <w:rPr>
          <w:rFonts w:ascii="Palatino Linotype" w:eastAsia="Palatino Linotype" w:hAnsi="Palatino Linotype" w:cs="Palatino Linotype"/>
          <w:sz w:val="24"/>
          <w:szCs w:val="24"/>
        </w:rPr>
        <w:t xml:space="preserve">iembre </w:t>
      </w:r>
      <w:r w:rsidRPr="004E209B">
        <w:rPr>
          <w:rFonts w:ascii="Palatino Linotype" w:eastAsia="Palatino Linotype" w:hAnsi="Palatino Linotype" w:cs="Palatino Linotype"/>
          <w:sz w:val="24"/>
          <w:szCs w:val="24"/>
        </w:rPr>
        <w:t>de dos mil veinticuatro.</w:t>
      </w:r>
    </w:p>
    <w:p w14:paraId="6EB22CDB" w14:textId="72C0A32B"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 xml:space="preserve">Vistos </w:t>
      </w:r>
      <w:r w:rsidRPr="004E209B">
        <w:rPr>
          <w:rFonts w:ascii="Palatino Linotype" w:eastAsia="Palatino Linotype" w:hAnsi="Palatino Linotype" w:cs="Palatino Linotype"/>
          <w:sz w:val="24"/>
          <w:szCs w:val="24"/>
        </w:rPr>
        <w:t xml:space="preserve">los expedientes relativo a los recursos de revisión número </w:t>
      </w:r>
      <w:r w:rsidRPr="004E209B">
        <w:rPr>
          <w:rFonts w:ascii="Palatino Linotype" w:eastAsia="Palatino Linotype" w:hAnsi="Palatino Linotype" w:cs="Palatino Linotype"/>
          <w:b/>
          <w:sz w:val="24"/>
          <w:szCs w:val="24"/>
        </w:rPr>
        <w:t>0</w:t>
      </w:r>
      <w:r w:rsidR="00E61D04" w:rsidRPr="004E209B">
        <w:rPr>
          <w:rFonts w:ascii="Palatino Linotype" w:eastAsia="Palatino Linotype" w:hAnsi="Palatino Linotype" w:cs="Palatino Linotype"/>
          <w:b/>
          <w:sz w:val="24"/>
          <w:szCs w:val="24"/>
        </w:rPr>
        <w:t>6</w:t>
      </w:r>
      <w:r w:rsidR="002A7A1F" w:rsidRPr="004E209B">
        <w:rPr>
          <w:rFonts w:ascii="Palatino Linotype" w:eastAsia="Palatino Linotype" w:hAnsi="Palatino Linotype" w:cs="Palatino Linotype"/>
          <w:b/>
          <w:sz w:val="24"/>
          <w:szCs w:val="24"/>
        </w:rPr>
        <w:t>859</w:t>
      </w:r>
      <w:r w:rsidRPr="004E209B">
        <w:rPr>
          <w:rFonts w:ascii="Palatino Linotype" w:eastAsia="Palatino Linotype" w:hAnsi="Palatino Linotype" w:cs="Palatino Linotype"/>
          <w:b/>
          <w:sz w:val="24"/>
          <w:szCs w:val="24"/>
        </w:rPr>
        <w:t>/INFOEM/IP/RR/2024</w:t>
      </w:r>
      <w:r w:rsidR="002A7A1F" w:rsidRPr="004E209B">
        <w:rPr>
          <w:rFonts w:ascii="Palatino Linotype" w:eastAsia="Palatino Linotype" w:hAnsi="Palatino Linotype" w:cs="Palatino Linotype"/>
          <w:b/>
          <w:sz w:val="24"/>
          <w:szCs w:val="24"/>
        </w:rPr>
        <w:t xml:space="preserve">, 06860/INFOEM/IP/RR/2024 </w:t>
      </w:r>
      <w:r w:rsidRPr="004E209B">
        <w:rPr>
          <w:rFonts w:ascii="Palatino Linotype" w:eastAsia="Palatino Linotype" w:hAnsi="Palatino Linotype" w:cs="Palatino Linotype"/>
          <w:b/>
          <w:sz w:val="24"/>
          <w:szCs w:val="24"/>
        </w:rPr>
        <w:t xml:space="preserve"> </w:t>
      </w:r>
      <w:r w:rsidRPr="004E209B">
        <w:rPr>
          <w:rFonts w:ascii="Palatino Linotype" w:eastAsia="Palatino Linotype" w:hAnsi="Palatino Linotype" w:cs="Palatino Linotype"/>
          <w:sz w:val="24"/>
          <w:szCs w:val="24"/>
        </w:rPr>
        <w:t>y</w:t>
      </w:r>
      <w:r w:rsidRPr="004E209B">
        <w:rPr>
          <w:rFonts w:ascii="Palatino Linotype" w:eastAsia="Palatino Linotype" w:hAnsi="Palatino Linotype" w:cs="Palatino Linotype"/>
          <w:b/>
          <w:sz w:val="24"/>
          <w:szCs w:val="24"/>
        </w:rPr>
        <w:t xml:space="preserve"> </w:t>
      </w:r>
      <w:r w:rsidR="002A7A1F" w:rsidRPr="004E209B">
        <w:rPr>
          <w:rFonts w:ascii="Palatino Linotype" w:eastAsia="Palatino Linotype" w:hAnsi="Palatino Linotype" w:cs="Palatino Linotype"/>
          <w:b/>
          <w:sz w:val="24"/>
          <w:szCs w:val="24"/>
        </w:rPr>
        <w:t>06861/INFOEM/IP/RR/2024</w:t>
      </w:r>
      <w:r w:rsidRPr="004E209B">
        <w:rPr>
          <w:rFonts w:ascii="Palatino Linotype" w:eastAsia="Palatino Linotype" w:hAnsi="Palatino Linotype" w:cs="Palatino Linotype"/>
          <w:b/>
          <w:sz w:val="24"/>
          <w:szCs w:val="24"/>
        </w:rPr>
        <w:t xml:space="preserve">, acumulados, </w:t>
      </w:r>
      <w:r w:rsidRPr="004E209B">
        <w:rPr>
          <w:rFonts w:ascii="Palatino Linotype" w:eastAsia="Palatino Linotype" w:hAnsi="Palatino Linotype" w:cs="Palatino Linotype"/>
          <w:sz w:val="24"/>
          <w:szCs w:val="24"/>
        </w:rPr>
        <w:t>interpuestos por</w:t>
      </w:r>
      <w:r w:rsidRPr="004E209B">
        <w:rPr>
          <w:rFonts w:ascii="Palatino Linotype" w:eastAsia="Palatino Linotype" w:hAnsi="Palatino Linotype" w:cs="Palatino Linotype"/>
          <w:b/>
          <w:sz w:val="24"/>
          <w:szCs w:val="24"/>
        </w:rPr>
        <w:t xml:space="preserve"> </w:t>
      </w:r>
      <w:r w:rsidR="002A7A1F" w:rsidRPr="004E209B">
        <w:rPr>
          <w:rFonts w:ascii="Palatino Linotype" w:eastAsia="Palatino Linotype" w:hAnsi="Palatino Linotype" w:cs="Palatino Linotype"/>
          <w:b/>
          <w:sz w:val="24"/>
          <w:szCs w:val="24"/>
        </w:rPr>
        <w:t>una persona que no proporcionó nombre o seudónimo</w:t>
      </w:r>
      <w:r w:rsidRPr="004E209B">
        <w:rPr>
          <w:rFonts w:ascii="Palatino Linotype" w:eastAsia="Palatino Linotype" w:hAnsi="Palatino Linotype" w:cs="Palatino Linotype"/>
          <w:sz w:val="24"/>
          <w:szCs w:val="24"/>
        </w:rPr>
        <w:t xml:space="preserve">, en lo sucesivo la parte </w:t>
      </w:r>
      <w:r w:rsidRPr="004E209B">
        <w:rPr>
          <w:rFonts w:ascii="Palatino Linotype" w:eastAsia="Palatino Linotype" w:hAnsi="Palatino Linotype" w:cs="Palatino Linotype"/>
          <w:b/>
          <w:sz w:val="24"/>
          <w:szCs w:val="24"/>
        </w:rPr>
        <w:t>Recurrente</w:t>
      </w:r>
      <w:r w:rsidRPr="004E209B">
        <w:rPr>
          <w:rFonts w:ascii="Palatino Linotype" w:eastAsia="Palatino Linotype" w:hAnsi="Palatino Linotype" w:cs="Palatino Linotype"/>
          <w:sz w:val="24"/>
          <w:szCs w:val="24"/>
        </w:rPr>
        <w:t>, en contra de la respuesta a las solicitudes de información con número</w:t>
      </w:r>
      <w:r w:rsidR="002A7A1F" w:rsidRPr="004E209B">
        <w:rPr>
          <w:rFonts w:ascii="Palatino Linotype" w:eastAsia="Palatino Linotype" w:hAnsi="Palatino Linotype" w:cs="Palatino Linotype"/>
          <w:sz w:val="24"/>
          <w:szCs w:val="24"/>
        </w:rPr>
        <w:t>s</w:t>
      </w:r>
      <w:r w:rsidRPr="004E209B">
        <w:rPr>
          <w:rFonts w:ascii="Palatino Linotype" w:eastAsia="Palatino Linotype" w:hAnsi="Palatino Linotype" w:cs="Palatino Linotype"/>
          <w:sz w:val="24"/>
          <w:szCs w:val="24"/>
        </w:rPr>
        <w:t xml:space="preserve"> de folio</w:t>
      </w:r>
      <w:r w:rsidR="00E61D04" w:rsidRPr="004E209B">
        <w:rPr>
          <w:rFonts w:ascii="Palatino Linotype" w:eastAsia="Palatino Linotype" w:hAnsi="Palatino Linotype" w:cs="Palatino Linotype"/>
          <w:sz w:val="24"/>
          <w:szCs w:val="24"/>
        </w:rPr>
        <w:t xml:space="preserve"> </w:t>
      </w:r>
      <w:r w:rsidR="002A7A1F" w:rsidRPr="004E209B">
        <w:rPr>
          <w:rFonts w:ascii="Palatino Linotype" w:eastAsia="Palatino Linotype" w:hAnsi="Palatino Linotype" w:cs="Palatino Linotype"/>
          <w:b/>
          <w:sz w:val="24"/>
          <w:szCs w:val="24"/>
        </w:rPr>
        <w:t xml:space="preserve">00705/TEMAMATL/IP/2024, 00706/TEMAMATL/IP/2024 </w:t>
      </w:r>
      <w:r w:rsidR="002A7A1F" w:rsidRPr="004E209B">
        <w:rPr>
          <w:rFonts w:ascii="Palatino Linotype" w:eastAsia="Palatino Linotype" w:hAnsi="Palatino Linotype" w:cs="Palatino Linotype"/>
          <w:sz w:val="24"/>
          <w:szCs w:val="24"/>
        </w:rPr>
        <w:t xml:space="preserve">y </w:t>
      </w:r>
      <w:r w:rsidR="002A7A1F" w:rsidRPr="004E209B">
        <w:rPr>
          <w:rFonts w:ascii="Palatino Linotype" w:eastAsia="Palatino Linotype" w:hAnsi="Palatino Linotype" w:cs="Palatino Linotype"/>
          <w:b/>
          <w:sz w:val="24"/>
          <w:szCs w:val="24"/>
        </w:rPr>
        <w:t>00707/TEMAMATL/IP/2024</w:t>
      </w:r>
      <w:r w:rsidRPr="004E209B">
        <w:rPr>
          <w:rFonts w:ascii="Palatino Linotype" w:eastAsia="Palatino Linotype" w:hAnsi="Palatino Linotype" w:cs="Palatino Linotype"/>
          <w:b/>
          <w:sz w:val="24"/>
          <w:szCs w:val="24"/>
        </w:rPr>
        <w:t xml:space="preserve">, </w:t>
      </w:r>
      <w:r w:rsidRPr="004E209B">
        <w:rPr>
          <w:rFonts w:ascii="Palatino Linotype" w:eastAsia="Palatino Linotype" w:hAnsi="Palatino Linotype" w:cs="Palatino Linotype"/>
          <w:sz w:val="24"/>
          <w:szCs w:val="24"/>
        </w:rPr>
        <w:t>por parte de</w:t>
      </w:r>
      <w:r w:rsidR="002A7A1F" w:rsidRPr="004E209B">
        <w:rPr>
          <w:rFonts w:ascii="Palatino Linotype" w:eastAsia="Palatino Linotype" w:hAnsi="Palatino Linotype" w:cs="Palatino Linotype"/>
          <w:sz w:val="24"/>
          <w:szCs w:val="24"/>
        </w:rPr>
        <w:t xml:space="preserve">l </w:t>
      </w:r>
      <w:r w:rsidR="002A7A1F" w:rsidRPr="004E209B">
        <w:rPr>
          <w:rFonts w:ascii="Palatino Linotype" w:eastAsia="Palatino Linotype" w:hAnsi="Palatino Linotype" w:cs="Palatino Linotype"/>
          <w:b/>
          <w:sz w:val="24"/>
          <w:szCs w:val="24"/>
        </w:rPr>
        <w:t>Ayuntamiento de Temamatla</w:t>
      </w:r>
      <w:r w:rsidR="00E61D04" w:rsidRPr="004E209B">
        <w:rPr>
          <w:rFonts w:ascii="Palatino Linotype" w:eastAsia="Palatino Linotype" w:hAnsi="Palatino Linotype" w:cs="Palatino Linotype"/>
          <w:b/>
          <w:sz w:val="24"/>
          <w:szCs w:val="24"/>
        </w:rPr>
        <w:t xml:space="preserve">, </w:t>
      </w:r>
      <w:r w:rsidRPr="004E209B">
        <w:rPr>
          <w:rFonts w:ascii="Palatino Linotype" w:eastAsia="Palatino Linotype" w:hAnsi="Palatino Linotype" w:cs="Palatino Linotype"/>
          <w:sz w:val="24"/>
          <w:szCs w:val="24"/>
        </w:rPr>
        <w:t xml:space="preserve">en lo sucesivo el </w:t>
      </w:r>
      <w:r w:rsidRPr="004E209B">
        <w:rPr>
          <w:rFonts w:ascii="Palatino Linotype" w:eastAsia="Palatino Linotype" w:hAnsi="Palatino Linotype" w:cs="Palatino Linotype"/>
          <w:b/>
          <w:sz w:val="24"/>
          <w:szCs w:val="24"/>
        </w:rPr>
        <w:t xml:space="preserve">Sujeto Obligado; </w:t>
      </w:r>
      <w:r w:rsidRPr="004E209B">
        <w:rPr>
          <w:rFonts w:ascii="Palatino Linotype" w:eastAsia="Palatino Linotype" w:hAnsi="Palatino Linotype" w:cs="Palatino Linotype"/>
          <w:sz w:val="24"/>
          <w:szCs w:val="24"/>
        </w:rPr>
        <w:t>se procede a dictar la presente resolución, con base en lo siguiente:</w:t>
      </w:r>
    </w:p>
    <w:p w14:paraId="446FB6AF" w14:textId="77777777" w:rsidR="00C2297E" w:rsidRPr="004E209B" w:rsidRDefault="009339EB">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4E209B">
        <w:rPr>
          <w:rFonts w:ascii="Palatino Linotype" w:eastAsia="Palatino Linotype" w:hAnsi="Palatino Linotype" w:cs="Palatino Linotype"/>
          <w:b/>
          <w:sz w:val="24"/>
          <w:szCs w:val="24"/>
        </w:rPr>
        <w:t xml:space="preserve">I. A N T E C E D E N T E </w:t>
      </w:r>
      <w:proofErr w:type="gramStart"/>
      <w:r w:rsidRPr="004E209B">
        <w:rPr>
          <w:rFonts w:ascii="Palatino Linotype" w:eastAsia="Palatino Linotype" w:hAnsi="Palatino Linotype" w:cs="Palatino Linotype"/>
          <w:b/>
          <w:sz w:val="24"/>
          <w:szCs w:val="24"/>
        </w:rPr>
        <w:t>S :</w:t>
      </w:r>
      <w:proofErr w:type="gramEnd"/>
    </w:p>
    <w:p w14:paraId="0CC02B6C" w14:textId="3E60B4CE"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1.</w:t>
      </w:r>
      <w:r w:rsidRPr="004E209B">
        <w:rPr>
          <w:rFonts w:ascii="Palatino Linotype" w:eastAsia="Palatino Linotype" w:hAnsi="Palatino Linotype" w:cs="Palatino Linotype"/>
          <w:sz w:val="24"/>
          <w:szCs w:val="24"/>
        </w:rPr>
        <w:t xml:space="preserve"> </w:t>
      </w:r>
      <w:r w:rsidRPr="004E209B">
        <w:rPr>
          <w:rFonts w:ascii="Palatino Linotype" w:eastAsia="Palatino Linotype" w:hAnsi="Palatino Linotype" w:cs="Palatino Linotype"/>
          <w:b/>
          <w:sz w:val="24"/>
          <w:szCs w:val="24"/>
        </w:rPr>
        <w:t xml:space="preserve">Solicitudes de Información. </w:t>
      </w:r>
      <w:r w:rsidRPr="004E209B">
        <w:rPr>
          <w:rFonts w:ascii="Palatino Linotype" w:eastAsia="Palatino Linotype" w:hAnsi="Palatino Linotype" w:cs="Palatino Linotype"/>
          <w:sz w:val="24"/>
          <w:szCs w:val="24"/>
        </w:rPr>
        <w:t xml:space="preserve">El </w:t>
      </w:r>
      <w:r w:rsidR="002A7A1F" w:rsidRPr="004E209B">
        <w:rPr>
          <w:rFonts w:ascii="Palatino Linotype" w:eastAsia="Palatino Linotype" w:hAnsi="Palatino Linotype" w:cs="Palatino Linotype"/>
          <w:b/>
          <w:sz w:val="24"/>
          <w:szCs w:val="24"/>
        </w:rPr>
        <w:t xml:space="preserve">ocho de </w:t>
      </w:r>
      <w:r w:rsidR="007B3560" w:rsidRPr="004E209B">
        <w:rPr>
          <w:rFonts w:ascii="Palatino Linotype" w:eastAsia="Palatino Linotype" w:hAnsi="Palatino Linotype" w:cs="Palatino Linotype"/>
          <w:b/>
          <w:sz w:val="24"/>
          <w:szCs w:val="24"/>
        </w:rPr>
        <w:t xml:space="preserve">octubre </w:t>
      </w:r>
      <w:r w:rsidRPr="004E209B">
        <w:rPr>
          <w:rFonts w:ascii="Palatino Linotype" w:eastAsia="Palatino Linotype" w:hAnsi="Palatino Linotype" w:cs="Palatino Linotype"/>
          <w:b/>
          <w:sz w:val="24"/>
          <w:szCs w:val="24"/>
        </w:rPr>
        <w:t xml:space="preserve">de dos mil veinticuatro, </w:t>
      </w:r>
      <w:r w:rsidRPr="004E209B">
        <w:rPr>
          <w:rFonts w:ascii="Palatino Linotype" w:eastAsia="Palatino Linotype" w:hAnsi="Palatino Linotype" w:cs="Palatino Linotype"/>
          <w:sz w:val="24"/>
          <w:szCs w:val="24"/>
        </w:rPr>
        <w:t>la persona solicitante</w:t>
      </w:r>
      <w:r w:rsidRPr="004E209B">
        <w:rPr>
          <w:rFonts w:ascii="Palatino Linotype" w:eastAsia="Palatino Linotype" w:hAnsi="Palatino Linotype" w:cs="Palatino Linotype"/>
          <w:b/>
          <w:sz w:val="24"/>
          <w:szCs w:val="24"/>
        </w:rPr>
        <w:t xml:space="preserve"> </w:t>
      </w:r>
      <w:r w:rsidRPr="004E209B">
        <w:rPr>
          <w:rFonts w:ascii="Palatino Linotype" w:eastAsia="Palatino Linotype" w:hAnsi="Palatino Linotype" w:cs="Palatino Linotype"/>
          <w:sz w:val="24"/>
          <w:szCs w:val="24"/>
        </w:rPr>
        <w:t xml:space="preserve">presentó, través del Sistema de Acceso a la Información Mexiquense, en lo subsecuente el </w:t>
      </w:r>
      <w:r w:rsidRPr="004E209B">
        <w:rPr>
          <w:rFonts w:ascii="Palatino Linotype" w:eastAsia="Palatino Linotype" w:hAnsi="Palatino Linotype" w:cs="Palatino Linotype"/>
          <w:b/>
          <w:sz w:val="24"/>
          <w:szCs w:val="24"/>
        </w:rPr>
        <w:t xml:space="preserve">SAIMEX, </w:t>
      </w:r>
      <w:r w:rsidRPr="004E209B">
        <w:rPr>
          <w:rFonts w:ascii="Palatino Linotype" w:eastAsia="Palatino Linotype" w:hAnsi="Palatino Linotype" w:cs="Palatino Linotype"/>
          <w:sz w:val="24"/>
          <w:szCs w:val="24"/>
        </w:rPr>
        <w:t xml:space="preserve">ante el </w:t>
      </w:r>
      <w:r w:rsidRPr="004E209B">
        <w:rPr>
          <w:rFonts w:ascii="Palatino Linotype" w:eastAsia="Palatino Linotype" w:hAnsi="Palatino Linotype" w:cs="Palatino Linotype"/>
          <w:b/>
          <w:sz w:val="24"/>
          <w:szCs w:val="24"/>
        </w:rPr>
        <w:t>Sujeto Obligado</w:t>
      </w:r>
      <w:r w:rsidRPr="004E209B">
        <w:rPr>
          <w:rFonts w:ascii="Palatino Linotype" w:eastAsia="Palatino Linotype" w:hAnsi="Palatino Linotype" w:cs="Palatino Linotype"/>
          <w:sz w:val="24"/>
          <w:szCs w:val="24"/>
        </w:rPr>
        <w:t>, las solicitudes de acceso a la información pública, mediante las cuales requirió la información siguiente:</w:t>
      </w:r>
    </w:p>
    <w:p w14:paraId="1F052764" w14:textId="77777777" w:rsidR="007B3560" w:rsidRPr="004E209B" w:rsidRDefault="007B3560">
      <w:pPr>
        <w:spacing w:before="240" w:after="240" w:line="360" w:lineRule="auto"/>
        <w:jc w:val="both"/>
        <w:rPr>
          <w:rFonts w:ascii="Palatino Linotype" w:eastAsia="Palatino Linotype" w:hAnsi="Palatino Linotype" w:cs="Palatino Linotype"/>
          <w:sz w:val="24"/>
          <w:szCs w:val="24"/>
        </w:rPr>
      </w:pPr>
    </w:p>
    <w:tbl>
      <w:tblPr>
        <w:tblStyle w:val="afff"/>
        <w:tblW w:w="8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C2297E" w:rsidRPr="004E209B" w14:paraId="670DF272" w14:textId="77777777">
        <w:trPr>
          <w:jc w:val="center"/>
        </w:trPr>
        <w:tc>
          <w:tcPr>
            <w:tcW w:w="3141" w:type="dxa"/>
            <w:shd w:val="clear" w:color="auto" w:fill="D0CECE"/>
            <w:vAlign w:val="center"/>
          </w:tcPr>
          <w:p w14:paraId="434E8B87" w14:textId="77777777" w:rsidR="00C2297E" w:rsidRPr="004E209B" w:rsidRDefault="009339EB">
            <w:pPr>
              <w:spacing w:before="120" w:after="120" w:line="240" w:lineRule="auto"/>
              <w:jc w:val="center"/>
              <w:rPr>
                <w:rFonts w:ascii="Palatino Linotype" w:eastAsia="Palatino Linotype" w:hAnsi="Palatino Linotype" w:cs="Palatino Linotype"/>
                <w:b/>
                <w:i/>
                <w:sz w:val="20"/>
                <w:szCs w:val="20"/>
              </w:rPr>
            </w:pPr>
            <w:bookmarkStart w:id="0" w:name="_heading=h.1fob9te" w:colFirst="0" w:colLast="0"/>
            <w:bookmarkEnd w:id="0"/>
            <w:r w:rsidRPr="004E209B">
              <w:rPr>
                <w:rFonts w:ascii="Palatino Linotype" w:eastAsia="Palatino Linotype" w:hAnsi="Palatino Linotype" w:cs="Palatino Linotype"/>
                <w:b/>
                <w:sz w:val="20"/>
                <w:szCs w:val="20"/>
              </w:rPr>
              <w:lastRenderedPageBreak/>
              <w:t>Número de solicitud</w:t>
            </w:r>
          </w:p>
        </w:tc>
        <w:tc>
          <w:tcPr>
            <w:tcW w:w="5670" w:type="dxa"/>
            <w:shd w:val="clear" w:color="auto" w:fill="D0CECE"/>
            <w:vAlign w:val="center"/>
          </w:tcPr>
          <w:p w14:paraId="374B83D9" w14:textId="77777777" w:rsidR="00C2297E" w:rsidRPr="004E209B" w:rsidRDefault="009339EB">
            <w:pPr>
              <w:spacing w:before="120" w:after="120" w:line="240" w:lineRule="auto"/>
              <w:jc w:val="center"/>
              <w:rPr>
                <w:rFonts w:ascii="Palatino Linotype" w:eastAsia="Palatino Linotype" w:hAnsi="Palatino Linotype" w:cs="Palatino Linotype"/>
                <w:b/>
                <w:i/>
                <w:sz w:val="20"/>
                <w:szCs w:val="20"/>
              </w:rPr>
            </w:pPr>
            <w:r w:rsidRPr="004E209B">
              <w:rPr>
                <w:rFonts w:ascii="Palatino Linotype" w:eastAsia="Palatino Linotype" w:hAnsi="Palatino Linotype" w:cs="Palatino Linotype"/>
                <w:b/>
                <w:sz w:val="20"/>
                <w:szCs w:val="20"/>
              </w:rPr>
              <w:t>Información solicitada</w:t>
            </w:r>
          </w:p>
        </w:tc>
      </w:tr>
      <w:tr w:rsidR="00C2297E" w:rsidRPr="004E209B" w14:paraId="6F0DE740" w14:textId="77777777">
        <w:trPr>
          <w:jc w:val="center"/>
        </w:trPr>
        <w:tc>
          <w:tcPr>
            <w:tcW w:w="3141" w:type="dxa"/>
          </w:tcPr>
          <w:p w14:paraId="2FAAA3A0" w14:textId="1554BBB6" w:rsidR="00C2297E" w:rsidRPr="004E209B" w:rsidRDefault="007B3560" w:rsidP="007B3560">
            <w:pPr>
              <w:spacing w:before="120" w:after="120" w:line="240" w:lineRule="auto"/>
              <w:jc w:val="center"/>
              <w:rPr>
                <w:rFonts w:ascii="Palatino Linotype" w:eastAsia="Palatino Linotype" w:hAnsi="Palatino Linotype" w:cs="Palatino Linotype"/>
                <w:b/>
                <w:i/>
                <w:sz w:val="20"/>
                <w:szCs w:val="20"/>
                <w:lang w:val="en-US"/>
              </w:rPr>
            </w:pPr>
            <w:bookmarkStart w:id="1" w:name="_heading=h.3znysh7" w:colFirst="0" w:colLast="0"/>
            <w:bookmarkEnd w:id="1"/>
            <w:r w:rsidRPr="004E209B">
              <w:rPr>
                <w:rFonts w:ascii="Palatino Linotype" w:eastAsia="Palatino Linotype" w:hAnsi="Palatino Linotype" w:cs="Palatino Linotype"/>
                <w:b/>
                <w:sz w:val="20"/>
                <w:szCs w:val="20"/>
                <w:lang w:val="en-US"/>
              </w:rPr>
              <w:t xml:space="preserve">00705/TEMAMATL/IP/2024 </w:t>
            </w:r>
            <w:r w:rsidR="009339EB" w:rsidRPr="004E209B">
              <w:rPr>
                <w:rFonts w:ascii="Palatino Linotype" w:eastAsia="Palatino Linotype" w:hAnsi="Palatino Linotype" w:cs="Palatino Linotype"/>
                <w:b/>
                <w:sz w:val="20"/>
                <w:szCs w:val="20"/>
                <w:lang w:val="en-US"/>
              </w:rPr>
              <w:t>0</w:t>
            </w:r>
            <w:r w:rsidR="00E61D04" w:rsidRPr="004E209B">
              <w:rPr>
                <w:rFonts w:ascii="Palatino Linotype" w:eastAsia="Palatino Linotype" w:hAnsi="Palatino Linotype" w:cs="Palatino Linotype"/>
                <w:b/>
                <w:sz w:val="20"/>
                <w:szCs w:val="20"/>
                <w:lang w:val="en-US"/>
              </w:rPr>
              <w:t>6</w:t>
            </w:r>
            <w:r w:rsidRPr="004E209B">
              <w:rPr>
                <w:rFonts w:ascii="Palatino Linotype" w:eastAsia="Palatino Linotype" w:hAnsi="Palatino Linotype" w:cs="Palatino Linotype"/>
                <w:b/>
                <w:sz w:val="20"/>
                <w:szCs w:val="20"/>
                <w:lang w:val="en-US"/>
              </w:rPr>
              <w:t>861</w:t>
            </w:r>
            <w:r w:rsidR="009339EB" w:rsidRPr="004E209B">
              <w:rPr>
                <w:rFonts w:ascii="Palatino Linotype" w:eastAsia="Palatino Linotype" w:hAnsi="Palatino Linotype" w:cs="Palatino Linotype"/>
                <w:b/>
                <w:sz w:val="20"/>
                <w:szCs w:val="20"/>
                <w:lang w:val="en-US"/>
              </w:rPr>
              <w:t>/INFOEM/IP/RR/2024</w:t>
            </w:r>
          </w:p>
        </w:tc>
        <w:tc>
          <w:tcPr>
            <w:tcW w:w="5670" w:type="dxa"/>
          </w:tcPr>
          <w:p w14:paraId="4053EF3E" w14:textId="674CABE2" w:rsidR="00C2297E" w:rsidRPr="004E209B" w:rsidRDefault="009339EB">
            <w:pPr>
              <w:spacing w:before="120" w:after="120" w:line="240" w:lineRule="auto"/>
              <w:jc w:val="both"/>
              <w:rPr>
                <w:rFonts w:ascii="Palatino Linotype" w:eastAsia="Palatino Linotype" w:hAnsi="Palatino Linotype" w:cs="Palatino Linotype"/>
                <w:i/>
                <w:sz w:val="20"/>
                <w:szCs w:val="20"/>
              </w:rPr>
            </w:pPr>
            <w:r w:rsidRPr="004E209B">
              <w:rPr>
                <w:rFonts w:ascii="Palatino Linotype" w:eastAsia="Palatino Linotype" w:hAnsi="Palatino Linotype" w:cs="Palatino Linotype"/>
                <w:i/>
                <w:sz w:val="20"/>
                <w:szCs w:val="20"/>
              </w:rPr>
              <w:t>“</w:t>
            </w:r>
            <w:r w:rsidR="007B3560" w:rsidRPr="004E209B">
              <w:rPr>
                <w:rFonts w:ascii="Palatino Linotype" w:eastAsia="Palatino Linotype" w:hAnsi="Palatino Linotype" w:cs="Palatino Linotype"/>
                <w:i/>
                <w:sz w:val="20"/>
                <w:szCs w:val="20"/>
              </w:rPr>
              <w:t>SOLICITO LA CUANTIFICACION TOTAL DEL GASTO EJERCIDO DURANTE EL AÑO 2022 POR CONCEPTO DE COMPRA DE GASOLINA Y DISEL PARA LOS VEHICULOS MUNICIPALES, ADJUNTANDO POLIZAS DE EGRESOS, FACTURAS Y RESPALDOS DEL GASTO, DESGLOSADO POR MES</w:t>
            </w:r>
            <w:r w:rsidR="00E61D04" w:rsidRPr="004E209B">
              <w:rPr>
                <w:rFonts w:ascii="Palatino Linotype" w:eastAsia="Palatino Linotype" w:hAnsi="Palatino Linotype" w:cs="Palatino Linotype"/>
                <w:i/>
                <w:sz w:val="20"/>
                <w:szCs w:val="20"/>
              </w:rPr>
              <w:t>"</w:t>
            </w:r>
            <w:r w:rsidRPr="004E209B">
              <w:rPr>
                <w:rFonts w:ascii="Palatino Linotype" w:eastAsia="Palatino Linotype" w:hAnsi="Palatino Linotype" w:cs="Palatino Linotype"/>
                <w:i/>
                <w:sz w:val="20"/>
                <w:szCs w:val="20"/>
              </w:rPr>
              <w:t xml:space="preserve"> (sic)</w:t>
            </w:r>
          </w:p>
        </w:tc>
      </w:tr>
      <w:tr w:rsidR="007B3560" w:rsidRPr="004E209B" w14:paraId="70A0FDB7" w14:textId="77777777">
        <w:trPr>
          <w:jc w:val="center"/>
        </w:trPr>
        <w:tc>
          <w:tcPr>
            <w:tcW w:w="3141" w:type="dxa"/>
          </w:tcPr>
          <w:p w14:paraId="430A76FE" w14:textId="5790CEB6" w:rsidR="007B3560" w:rsidRPr="004E209B" w:rsidRDefault="007B3560" w:rsidP="007B3560">
            <w:pPr>
              <w:spacing w:before="120" w:after="120" w:line="240" w:lineRule="auto"/>
              <w:jc w:val="center"/>
              <w:rPr>
                <w:rFonts w:ascii="Palatino Linotype" w:eastAsia="Palatino Linotype" w:hAnsi="Palatino Linotype" w:cs="Palatino Linotype"/>
                <w:b/>
                <w:sz w:val="20"/>
                <w:szCs w:val="20"/>
                <w:lang w:val="en-US"/>
              </w:rPr>
            </w:pPr>
            <w:r w:rsidRPr="004E209B">
              <w:rPr>
                <w:rFonts w:ascii="Palatino Linotype" w:eastAsia="Palatino Linotype" w:hAnsi="Palatino Linotype" w:cs="Palatino Linotype"/>
                <w:b/>
                <w:sz w:val="20"/>
                <w:szCs w:val="20"/>
                <w:lang w:val="en-US"/>
              </w:rPr>
              <w:t>00706/TEMAMATL/IP/2024 06860/INFOEM/IP/RR/2024</w:t>
            </w:r>
          </w:p>
        </w:tc>
        <w:tc>
          <w:tcPr>
            <w:tcW w:w="5670" w:type="dxa"/>
          </w:tcPr>
          <w:p w14:paraId="0383C173" w14:textId="32AC5568" w:rsidR="007B3560" w:rsidRPr="004E209B" w:rsidRDefault="007B3560" w:rsidP="007B3560">
            <w:pPr>
              <w:spacing w:before="120" w:after="120" w:line="240" w:lineRule="auto"/>
              <w:jc w:val="both"/>
              <w:rPr>
                <w:rFonts w:ascii="Palatino Linotype" w:eastAsia="Palatino Linotype" w:hAnsi="Palatino Linotype" w:cs="Palatino Linotype"/>
                <w:i/>
                <w:sz w:val="20"/>
                <w:szCs w:val="20"/>
              </w:rPr>
            </w:pPr>
            <w:r w:rsidRPr="004E209B">
              <w:rPr>
                <w:rFonts w:ascii="Palatino Linotype" w:eastAsia="Palatino Linotype" w:hAnsi="Palatino Linotype" w:cs="Palatino Linotype"/>
                <w:i/>
                <w:sz w:val="20"/>
                <w:szCs w:val="20"/>
              </w:rPr>
              <w:t>“SOLICITO LA CUANTIFICACION TOTAL DEL GASTO EJERCIDO DURANTE EL AÑO 2023 POR CONCEPTO DE COMPRA DE GASOLINA Y DISEL PARA LOS VEHICULOS MUNICIPALES, ADJUNTANDO POLIZAS DE EGRESOS, FACTURAS Y RESPALDOS DEL GASTO, DESGLOSADO POR MES" (sic)</w:t>
            </w:r>
          </w:p>
        </w:tc>
      </w:tr>
      <w:tr w:rsidR="007B3560" w:rsidRPr="004E209B" w14:paraId="1893362F" w14:textId="77777777" w:rsidTr="00E56242">
        <w:trPr>
          <w:jc w:val="center"/>
        </w:trPr>
        <w:tc>
          <w:tcPr>
            <w:tcW w:w="3141" w:type="dxa"/>
          </w:tcPr>
          <w:p w14:paraId="19AB7F7A" w14:textId="09F67164" w:rsidR="007B3560" w:rsidRPr="004E209B" w:rsidRDefault="007B3560" w:rsidP="007B3560">
            <w:pPr>
              <w:spacing w:before="120" w:after="120" w:line="240" w:lineRule="auto"/>
              <w:jc w:val="center"/>
              <w:rPr>
                <w:rFonts w:ascii="Palatino Linotype" w:eastAsia="Palatino Linotype" w:hAnsi="Palatino Linotype" w:cs="Palatino Linotype"/>
                <w:b/>
                <w:sz w:val="20"/>
                <w:szCs w:val="20"/>
                <w:lang w:val="en-US"/>
              </w:rPr>
            </w:pPr>
            <w:r w:rsidRPr="004E209B">
              <w:rPr>
                <w:rFonts w:ascii="Palatino Linotype" w:eastAsia="Palatino Linotype" w:hAnsi="Palatino Linotype" w:cs="Palatino Linotype"/>
                <w:b/>
                <w:sz w:val="20"/>
                <w:szCs w:val="20"/>
                <w:lang w:val="en-US"/>
              </w:rPr>
              <w:t>00707/TEMAMATL/IP/2024 06859/INFOEM/IP/RR/2024</w:t>
            </w:r>
          </w:p>
        </w:tc>
        <w:tc>
          <w:tcPr>
            <w:tcW w:w="5670" w:type="dxa"/>
          </w:tcPr>
          <w:p w14:paraId="63463CB1" w14:textId="31591C65" w:rsidR="007B3560" w:rsidRPr="004E209B" w:rsidRDefault="007B3560" w:rsidP="007B3560">
            <w:pPr>
              <w:spacing w:before="120" w:after="120" w:line="240" w:lineRule="auto"/>
              <w:jc w:val="both"/>
              <w:rPr>
                <w:rFonts w:ascii="Palatino Linotype" w:eastAsia="Palatino Linotype" w:hAnsi="Palatino Linotype" w:cs="Palatino Linotype"/>
                <w:i/>
                <w:sz w:val="20"/>
                <w:szCs w:val="20"/>
              </w:rPr>
            </w:pPr>
            <w:r w:rsidRPr="004E209B">
              <w:rPr>
                <w:rFonts w:ascii="Palatino Linotype" w:eastAsia="Palatino Linotype" w:hAnsi="Palatino Linotype" w:cs="Palatino Linotype"/>
                <w:i/>
                <w:sz w:val="20"/>
                <w:szCs w:val="20"/>
              </w:rPr>
              <w:t>“SOLICITO LA CUANTIFICACION TOTAL DEL GASTO EJERCIDO DURANTE EL AÑO 2024 POR CONCEPTO DE COMPRA DE GASOLINA Y DISEL PARA LOS VEHICULOS MUNICIPALES, ADJUNTANDO POLIZAS DE EGRESOS, FACTURAS Y RESPALDOS DEL GASTO, DESGLOSADO POR MES" (sic)</w:t>
            </w:r>
          </w:p>
        </w:tc>
      </w:tr>
    </w:tbl>
    <w:p w14:paraId="3C0547CC" w14:textId="77B672C2" w:rsidR="00C2297E" w:rsidRPr="004E209B" w:rsidRDefault="009339EB" w:rsidP="00E61D04">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 xml:space="preserve">Modalidad elegida para la entrega de la información: </w:t>
      </w:r>
      <w:r w:rsidRPr="004E209B">
        <w:rPr>
          <w:rFonts w:ascii="Palatino Linotype" w:eastAsia="Palatino Linotype" w:hAnsi="Palatino Linotype" w:cs="Palatino Linotype"/>
          <w:sz w:val="24"/>
          <w:szCs w:val="24"/>
        </w:rPr>
        <w:t xml:space="preserve">a través del SAIMEX en </w:t>
      </w:r>
      <w:r w:rsidR="007B3560" w:rsidRPr="004E209B">
        <w:rPr>
          <w:rFonts w:ascii="Palatino Linotype" w:eastAsia="Palatino Linotype" w:hAnsi="Palatino Linotype" w:cs="Palatino Linotype"/>
          <w:sz w:val="24"/>
          <w:szCs w:val="24"/>
        </w:rPr>
        <w:t>todos los casos</w:t>
      </w:r>
    </w:p>
    <w:p w14:paraId="31A02C76" w14:textId="2E1D250F" w:rsidR="00C2297E" w:rsidRPr="004E209B" w:rsidRDefault="00E61D04">
      <w:pPr>
        <w:widowControl w:val="0"/>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2</w:t>
      </w:r>
      <w:r w:rsidR="009339EB" w:rsidRPr="004E209B">
        <w:rPr>
          <w:rFonts w:ascii="Palatino Linotype" w:eastAsia="Palatino Linotype" w:hAnsi="Palatino Linotype" w:cs="Palatino Linotype"/>
          <w:sz w:val="24"/>
          <w:szCs w:val="24"/>
        </w:rPr>
        <w:t xml:space="preserve">. </w:t>
      </w:r>
      <w:r w:rsidR="009339EB" w:rsidRPr="004E209B">
        <w:rPr>
          <w:rFonts w:ascii="Palatino Linotype" w:eastAsia="Palatino Linotype" w:hAnsi="Palatino Linotype" w:cs="Palatino Linotype"/>
          <w:b/>
          <w:sz w:val="24"/>
          <w:szCs w:val="24"/>
        </w:rPr>
        <w:t xml:space="preserve">Respuesta. </w:t>
      </w:r>
      <w:r w:rsidR="009339EB" w:rsidRPr="004E209B">
        <w:rPr>
          <w:rFonts w:ascii="Palatino Linotype" w:eastAsia="Palatino Linotype" w:hAnsi="Palatino Linotype" w:cs="Palatino Linotype"/>
          <w:sz w:val="24"/>
          <w:szCs w:val="24"/>
        </w:rPr>
        <w:t xml:space="preserve">El </w:t>
      </w:r>
      <w:r w:rsidR="007B3560" w:rsidRPr="004E209B">
        <w:rPr>
          <w:rFonts w:ascii="Palatino Linotype" w:eastAsia="Palatino Linotype" w:hAnsi="Palatino Linotype" w:cs="Palatino Linotype"/>
          <w:b/>
          <w:sz w:val="24"/>
          <w:szCs w:val="24"/>
        </w:rPr>
        <w:t>veinticinco</w:t>
      </w:r>
      <w:r w:rsidRPr="004E209B">
        <w:rPr>
          <w:rFonts w:ascii="Palatino Linotype" w:eastAsia="Palatino Linotype" w:hAnsi="Palatino Linotype" w:cs="Palatino Linotype"/>
          <w:b/>
          <w:sz w:val="24"/>
          <w:szCs w:val="24"/>
        </w:rPr>
        <w:t xml:space="preserve"> de octubre </w:t>
      </w:r>
      <w:r w:rsidR="009339EB" w:rsidRPr="004E209B">
        <w:rPr>
          <w:rFonts w:ascii="Palatino Linotype" w:eastAsia="Palatino Linotype" w:hAnsi="Palatino Linotype" w:cs="Palatino Linotype"/>
          <w:b/>
          <w:sz w:val="24"/>
          <w:szCs w:val="24"/>
        </w:rPr>
        <w:t>de dos mil veinticuatro</w:t>
      </w:r>
      <w:r w:rsidR="009339EB" w:rsidRPr="004E209B">
        <w:rPr>
          <w:rFonts w:ascii="Palatino Linotype" w:eastAsia="Palatino Linotype" w:hAnsi="Palatino Linotype" w:cs="Palatino Linotype"/>
          <w:sz w:val="24"/>
          <w:szCs w:val="24"/>
        </w:rPr>
        <w:t xml:space="preserve">, el </w:t>
      </w:r>
      <w:r w:rsidR="009339EB" w:rsidRPr="004E209B">
        <w:rPr>
          <w:rFonts w:ascii="Palatino Linotype" w:eastAsia="Palatino Linotype" w:hAnsi="Palatino Linotype" w:cs="Palatino Linotype"/>
          <w:b/>
          <w:sz w:val="24"/>
          <w:szCs w:val="24"/>
        </w:rPr>
        <w:t xml:space="preserve">Sujeto Obligado </w:t>
      </w:r>
      <w:r w:rsidR="009339EB" w:rsidRPr="004E209B">
        <w:rPr>
          <w:rFonts w:ascii="Palatino Linotype" w:eastAsia="Palatino Linotype" w:hAnsi="Palatino Linotype" w:cs="Palatino Linotype"/>
          <w:sz w:val="24"/>
          <w:szCs w:val="24"/>
        </w:rPr>
        <w:t xml:space="preserve">envió su respuesta a las solicitudes de acceso a la información a través de SAIMEX, sustancialmente en los términos siguientes:  </w:t>
      </w:r>
    </w:p>
    <w:p w14:paraId="2B0405E6" w14:textId="36AE1353" w:rsidR="007B3560" w:rsidRPr="004E209B" w:rsidRDefault="007B3560" w:rsidP="007B3560">
      <w:pPr>
        <w:widowControl w:val="0"/>
        <w:spacing w:before="120" w:after="120" w:line="240" w:lineRule="auto"/>
        <w:ind w:left="851" w:right="902"/>
        <w:jc w:val="both"/>
        <w:rPr>
          <w:rFonts w:ascii="Palatino Linotype" w:eastAsia="Palatino Linotype" w:hAnsi="Palatino Linotype" w:cs="Palatino Linotype"/>
        </w:rPr>
      </w:pPr>
      <w:r w:rsidRPr="004E209B">
        <w:rPr>
          <w:rFonts w:ascii="Palatino Linotype" w:eastAsia="Palatino Linotype" w:hAnsi="Palatino Linotype" w:cs="Palatino Linotype"/>
          <w:i/>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w:t>
      </w:r>
      <w:r w:rsidRPr="004E209B">
        <w:rPr>
          <w:rFonts w:ascii="Palatino Linotype" w:eastAsia="Palatino Linotype" w:hAnsi="Palatino Linotype" w:cs="Palatino Linotype"/>
          <w:i/>
        </w:rPr>
        <w:lastRenderedPageBreak/>
        <w:t>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(sic)</w:t>
      </w:r>
      <w:r w:rsidRPr="004E209B">
        <w:rPr>
          <w:rFonts w:ascii="Palatino Linotype" w:eastAsia="Palatino Linotype" w:hAnsi="Palatino Linotype" w:cs="Palatino Linotype"/>
        </w:rPr>
        <w:t>”</w:t>
      </w:r>
    </w:p>
    <w:p w14:paraId="46BD49FB" w14:textId="45379DDC" w:rsidR="003F17C0" w:rsidRPr="004E209B" w:rsidRDefault="007B3560">
      <w:pPr>
        <w:widowControl w:val="0"/>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lastRenderedPageBreak/>
        <w:t xml:space="preserve">El </w:t>
      </w:r>
      <w:r w:rsidRPr="004E209B">
        <w:rPr>
          <w:rFonts w:ascii="Palatino Linotype" w:eastAsia="Palatino Linotype" w:hAnsi="Palatino Linotype" w:cs="Palatino Linotype"/>
          <w:b/>
          <w:sz w:val="24"/>
          <w:szCs w:val="24"/>
        </w:rPr>
        <w:t xml:space="preserve">Sujeto Obligado </w:t>
      </w:r>
      <w:r w:rsidR="003F17C0" w:rsidRPr="004E209B">
        <w:rPr>
          <w:rFonts w:ascii="Palatino Linotype" w:eastAsia="Palatino Linotype" w:hAnsi="Palatino Linotype" w:cs="Palatino Linotype"/>
          <w:sz w:val="24"/>
          <w:szCs w:val="24"/>
        </w:rPr>
        <w:t>adjuntó lo siguiente:</w:t>
      </w:r>
    </w:p>
    <w:p w14:paraId="134F17CD" w14:textId="3304B73F" w:rsidR="00315E58" w:rsidRPr="004E209B" w:rsidRDefault="003F17C0" w:rsidP="00315E58">
      <w:pPr>
        <w:widowControl w:val="0"/>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Oficios con número de folio MT/</w:t>
      </w:r>
      <w:r w:rsidR="00CA4B13" w:rsidRPr="004E209B">
        <w:rPr>
          <w:rFonts w:ascii="Palatino Linotype" w:eastAsia="Palatino Linotype" w:hAnsi="Palatino Linotype" w:cs="Palatino Linotype"/>
          <w:sz w:val="24"/>
          <w:szCs w:val="24"/>
        </w:rPr>
        <w:t xml:space="preserve">TESORERIAMPAL/OI/534/2024, </w:t>
      </w:r>
      <w:r w:rsidR="00EC73FF" w:rsidRPr="004E209B">
        <w:rPr>
          <w:rFonts w:ascii="Palatino Linotype" w:eastAsia="Palatino Linotype" w:hAnsi="Palatino Linotype" w:cs="Palatino Linotype"/>
          <w:sz w:val="24"/>
          <w:szCs w:val="24"/>
        </w:rPr>
        <w:t>MT/TESORERIAMPAL/OI/535/2024 y MT/TESORERIAMPAL/OI/536/2024, del diecisiete de octubre de dos mil veinticuatro, mediante el cual la Tesorera Municipal</w:t>
      </w:r>
      <w:r w:rsidR="00E56242" w:rsidRPr="004E209B">
        <w:rPr>
          <w:rFonts w:ascii="Palatino Linotype" w:eastAsia="Palatino Linotype" w:hAnsi="Palatino Linotype" w:cs="Palatino Linotype"/>
          <w:sz w:val="24"/>
          <w:szCs w:val="24"/>
        </w:rPr>
        <w:t xml:space="preserve">, de conformidad con el artículo 158 de la Ley de Transparencia y Acceso a la Información Pública del Estado de México y Municipios, </w:t>
      </w:r>
      <w:r w:rsidR="00315E58" w:rsidRPr="004E209B">
        <w:rPr>
          <w:rFonts w:ascii="Palatino Linotype" w:eastAsia="Palatino Linotype" w:hAnsi="Palatino Linotype" w:cs="Palatino Linotype"/>
          <w:sz w:val="24"/>
          <w:szCs w:val="24"/>
        </w:rPr>
        <w:t xml:space="preserve">propuso el cambio de modalidad en la entrega </w:t>
      </w:r>
      <w:r w:rsidR="00E56242" w:rsidRPr="004E209B">
        <w:rPr>
          <w:rFonts w:ascii="Palatino Linotype" w:eastAsia="Palatino Linotype" w:hAnsi="Palatino Linotype" w:cs="Palatino Linotype"/>
          <w:sz w:val="24"/>
          <w:szCs w:val="24"/>
        </w:rPr>
        <w:t xml:space="preserve">de la información </w:t>
      </w:r>
      <w:r w:rsidR="00315E58" w:rsidRPr="004E209B">
        <w:rPr>
          <w:rFonts w:ascii="Palatino Linotype" w:eastAsia="Palatino Linotype" w:hAnsi="Palatino Linotype" w:cs="Palatino Linotype"/>
          <w:sz w:val="24"/>
          <w:szCs w:val="24"/>
        </w:rPr>
        <w:t xml:space="preserve">a consulta directa derivado de la cantidad, volumen, los recursos materiales y humanos con los que cuenta el área a su cargo, que son limitados, así como </w:t>
      </w:r>
      <w:r w:rsidR="00367AFC" w:rsidRPr="004E209B">
        <w:rPr>
          <w:rFonts w:ascii="Palatino Linotype" w:eastAsia="Palatino Linotype" w:hAnsi="Palatino Linotype" w:cs="Palatino Linotype"/>
          <w:sz w:val="24"/>
          <w:szCs w:val="24"/>
        </w:rPr>
        <w:t>d</w:t>
      </w:r>
      <w:r w:rsidR="00315E58" w:rsidRPr="004E209B">
        <w:rPr>
          <w:rFonts w:ascii="Palatino Linotype" w:eastAsia="Palatino Linotype" w:hAnsi="Palatino Linotype" w:cs="Palatino Linotype"/>
          <w:sz w:val="24"/>
          <w:szCs w:val="24"/>
        </w:rPr>
        <w:t>el cambio de administración, la entrega r</w:t>
      </w:r>
      <w:r w:rsidR="00395188" w:rsidRPr="004E209B">
        <w:rPr>
          <w:rFonts w:ascii="Palatino Linotype" w:eastAsia="Palatino Linotype" w:hAnsi="Palatino Linotype" w:cs="Palatino Linotype"/>
          <w:sz w:val="24"/>
          <w:szCs w:val="24"/>
        </w:rPr>
        <w:t>ecepción y mesas de transición.</w:t>
      </w:r>
    </w:p>
    <w:p w14:paraId="1D36A9F1" w14:textId="4A705FAD" w:rsidR="00395188" w:rsidRPr="004E209B" w:rsidRDefault="00315E58" w:rsidP="00395188">
      <w:pPr>
        <w:spacing w:before="240" w:after="240" w:line="360" w:lineRule="auto"/>
        <w:ind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En tal sentido, hizo de conocimiento las formalidades para la consulta de la información de conformidad con los Lineamientos Generales en Materia de Clasificación y Desclasificación de la Información, así como para la El</w:t>
      </w:r>
      <w:r w:rsidR="00395188" w:rsidRPr="004E209B">
        <w:rPr>
          <w:rFonts w:ascii="Palatino Linotype" w:eastAsia="Palatino Linotype" w:hAnsi="Palatino Linotype" w:cs="Palatino Linotype"/>
          <w:sz w:val="24"/>
          <w:szCs w:val="24"/>
        </w:rPr>
        <w:t>aboración de Versiones Públicas</w:t>
      </w:r>
      <w:r w:rsidRPr="004E209B">
        <w:rPr>
          <w:rFonts w:ascii="Palatino Linotype" w:eastAsia="Palatino Linotype" w:hAnsi="Palatino Linotype" w:cs="Palatino Linotype"/>
          <w:sz w:val="24"/>
          <w:szCs w:val="24"/>
        </w:rPr>
        <w:t>, entre las que destaca la propuesta de la fecha y horario para la consulta de la información solicitada, fijada el d</w:t>
      </w:r>
      <w:r w:rsidR="00395188" w:rsidRPr="004E209B">
        <w:rPr>
          <w:rFonts w:ascii="Palatino Linotype" w:eastAsia="Palatino Linotype" w:hAnsi="Palatino Linotype" w:cs="Palatino Linotype"/>
          <w:sz w:val="24"/>
          <w:szCs w:val="24"/>
        </w:rPr>
        <w:t>ía 30</w:t>
      </w:r>
      <w:r w:rsidRPr="004E209B">
        <w:rPr>
          <w:rFonts w:ascii="Palatino Linotype" w:eastAsia="Palatino Linotype" w:hAnsi="Palatino Linotype" w:cs="Palatino Linotype"/>
          <w:sz w:val="24"/>
          <w:szCs w:val="24"/>
        </w:rPr>
        <w:t xml:space="preserve"> de octubre de 2024, en un horario de 9:00 a 9:14 am, </w:t>
      </w:r>
      <w:r w:rsidR="00395188" w:rsidRPr="004E209B">
        <w:rPr>
          <w:rFonts w:ascii="Palatino Linotype" w:eastAsia="Palatino Linotype" w:hAnsi="Palatino Linotype" w:cs="Palatino Linotype"/>
          <w:sz w:val="24"/>
          <w:szCs w:val="24"/>
        </w:rPr>
        <w:t>en las instalaciones de la presidencia municipal, ubicada en Calle Plaza Hidalgo No. 1, Temamatla, Estado de México, Planta alta, en las oficinas de la Tesorería Municipal.</w:t>
      </w:r>
    </w:p>
    <w:p w14:paraId="65DBD4D2" w14:textId="34B15F0B" w:rsidR="00315E58" w:rsidRPr="004E209B" w:rsidRDefault="00315E58" w:rsidP="00315E58">
      <w:pPr>
        <w:spacing w:before="240" w:after="240" w:line="360" w:lineRule="auto"/>
        <w:ind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 Acta de la Octogésima </w:t>
      </w:r>
      <w:r w:rsidR="00395188" w:rsidRPr="004E209B">
        <w:rPr>
          <w:rFonts w:ascii="Palatino Linotype" w:eastAsia="Palatino Linotype" w:hAnsi="Palatino Linotype" w:cs="Palatino Linotype"/>
          <w:sz w:val="24"/>
          <w:szCs w:val="24"/>
        </w:rPr>
        <w:t>Quinta</w:t>
      </w:r>
      <w:r w:rsidRPr="004E209B">
        <w:rPr>
          <w:rFonts w:ascii="Palatino Linotype" w:eastAsia="Palatino Linotype" w:hAnsi="Palatino Linotype" w:cs="Palatino Linotype"/>
          <w:sz w:val="24"/>
          <w:szCs w:val="24"/>
        </w:rPr>
        <w:t xml:space="preserve"> Sesión Ordinaria del Comité de Transparencia, celebrada el </w:t>
      </w:r>
      <w:r w:rsidR="00395188" w:rsidRPr="004E209B">
        <w:rPr>
          <w:rFonts w:ascii="Palatino Linotype" w:eastAsia="Palatino Linotype" w:hAnsi="Palatino Linotype" w:cs="Palatino Linotype"/>
          <w:sz w:val="24"/>
          <w:szCs w:val="24"/>
        </w:rPr>
        <w:t>veinticuatro</w:t>
      </w:r>
      <w:r w:rsidRPr="004E209B">
        <w:rPr>
          <w:rFonts w:ascii="Palatino Linotype" w:eastAsia="Palatino Linotype" w:hAnsi="Palatino Linotype" w:cs="Palatino Linotype"/>
          <w:sz w:val="24"/>
          <w:szCs w:val="24"/>
        </w:rPr>
        <w:t xml:space="preserve"> de octubre de dos mil veinticuatro, en la cual se sometió a consideración de los integrantes la propuesta de cambio de modalidad en la entrega de la información en diversas solicitudes de información, entre las que se </w:t>
      </w:r>
      <w:r w:rsidRPr="004E209B">
        <w:rPr>
          <w:rFonts w:ascii="Palatino Linotype" w:eastAsia="Palatino Linotype" w:hAnsi="Palatino Linotype" w:cs="Palatino Linotype"/>
          <w:sz w:val="24"/>
          <w:szCs w:val="24"/>
        </w:rPr>
        <w:lastRenderedPageBreak/>
        <w:t>encuentra</w:t>
      </w:r>
      <w:r w:rsidR="00395188" w:rsidRPr="004E209B">
        <w:rPr>
          <w:rFonts w:ascii="Palatino Linotype" w:eastAsia="Palatino Linotype" w:hAnsi="Palatino Linotype" w:cs="Palatino Linotype"/>
          <w:sz w:val="24"/>
          <w:szCs w:val="24"/>
        </w:rPr>
        <w:t>n</w:t>
      </w:r>
      <w:r w:rsidRPr="004E209B">
        <w:rPr>
          <w:rFonts w:ascii="Palatino Linotype" w:eastAsia="Palatino Linotype" w:hAnsi="Palatino Linotype" w:cs="Palatino Linotype"/>
          <w:sz w:val="24"/>
          <w:szCs w:val="24"/>
        </w:rPr>
        <w:t xml:space="preserve"> </w:t>
      </w:r>
      <w:r w:rsidR="00395188" w:rsidRPr="004E209B">
        <w:rPr>
          <w:rFonts w:ascii="Palatino Linotype" w:eastAsia="Palatino Linotype" w:hAnsi="Palatino Linotype" w:cs="Palatino Linotype"/>
          <w:sz w:val="24"/>
          <w:szCs w:val="24"/>
        </w:rPr>
        <w:t xml:space="preserve">las </w:t>
      </w:r>
      <w:r w:rsidRPr="004E209B">
        <w:rPr>
          <w:rFonts w:ascii="Palatino Linotype" w:eastAsia="Palatino Linotype" w:hAnsi="Palatino Linotype" w:cs="Palatino Linotype"/>
          <w:sz w:val="24"/>
          <w:szCs w:val="24"/>
        </w:rPr>
        <w:t>solicitud</w:t>
      </w:r>
      <w:r w:rsidR="00395188" w:rsidRPr="004E209B">
        <w:rPr>
          <w:rFonts w:ascii="Palatino Linotype" w:eastAsia="Palatino Linotype" w:hAnsi="Palatino Linotype" w:cs="Palatino Linotype"/>
          <w:sz w:val="24"/>
          <w:szCs w:val="24"/>
        </w:rPr>
        <w:t>es</w:t>
      </w:r>
      <w:r w:rsidRPr="004E209B">
        <w:rPr>
          <w:rFonts w:ascii="Palatino Linotype" w:eastAsia="Palatino Linotype" w:hAnsi="Palatino Linotype" w:cs="Palatino Linotype"/>
          <w:sz w:val="24"/>
          <w:szCs w:val="24"/>
        </w:rPr>
        <w:t xml:space="preserve"> 00</w:t>
      </w:r>
      <w:r w:rsidR="00395188" w:rsidRPr="004E209B">
        <w:rPr>
          <w:rFonts w:ascii="Palatino Linotype" w:eastAsia="Palatino Linotype" w:hAnsi="Palatino Linotype" w:cs="Palatino Linotype"/>
          <w:sz w:val="24"/>
          <w:szCs w:val="24"/>
        </w:rPr>
        <w:t>705</w:t>
      </w:r>
      <w:r w:rsidRPr="004E209B">
        <w:rPr>
          <w:rFonts w:ascii="Palatino Linotype" w:eastAsia="Palatino Linotype" w:hAnsi="Palatino Linotype" w:cs="Palatino Linotype"/>
          <w:sz w:val="24"/>
          <w:szCs w:val="24"/>
        </w:rPr>
        <w:t>/TEMAMATL/IP/2024,</w:t>
      </w:r>
      <w:r w:rsidR="00395188" w:rsidRPr="004E209B">
        <w:rPr>
          <w:rFonts w:ascii="Palatino Linotype" w:eastAsia="Palatino Linotype" w:hAnsi="Palatino Linotype" w:cs="Palatino Linotype"/>
          <w:sz w:val="24"/>
          <w:szCs w:val="24"/>
        </w:rPr>
        <w:t xml:space="preserve"> 00706/TEMAMATL/IP/2024</w:t>
      </w:r>
      <w:r w:rsidRPr="004E209B">
        <w:rPr>
          <w:rFonts w:ascii="Palatino Linotype" w:eastAsia="Palatino Linotype" w:hAnsi="Palatino Linotype" w:cs="Palatino Linotype"/>
          <w:sz w:val="24"/>
          <w:szCs w:val="24"/>
        </w:rPr>
        <w:t xml:space="preserve"> </w:t>
      </w:r>
      <w:r w:rsidR="00395188" w:rsidRPr="004E209B">
        <w:rPr>
          <w:rFonts w:ascii="Palatino Linotype" w:eastAsia="Palatino Linotype" w:hAnsi="Palatino Linotype" w:cs="Palatino Linotype"/>
          <w:sz w:val="24"/>
          <w:szCs w:val="24"/>
        </w:rPr>
        <w:t xml:space="preserve">y 00707/TEMAMATL/IP/2024, </w:t>
      </w:r>
      <w:r w:rsidRPr="004E209B">
        <w:rPr>
          <w:rFonts w:ascii="Palatino Linotype" w:eastAsia="Palatino Linotype" w:hAnsi="Palatino Linotype" w:cs="Palatino Linotype"/>
          <w:sz w:val="24"/>
          <w:szCs w:val="24"/>
        </w:rPr>
        <w:t>aprobándose dicha propuesta por unanimidad de votos, mediante el acu</w:t>
      </w:r>
      <w:r w:rsidR="00395188" w:rsidRPr="004E209B">
        <w:rPr>
          <w:rFonts w:ascii="Palatino Linotype" w:eastAsia="Palatino Linotype" w:hAnsi="Palatino Linotype" w:cs="Palatino Linotype"/>
          <w:sz w:val="24"/>
          <w:szCs w:val="24"/>
        </w:rPr>
        <w:t>erdo ACT/TEMA/UTAIP/ORDINARIA/85</w:t>
      </w:r>
      <w:r w:rsidRPr="004E209B">
        <w:rPr>
          <w:rFonts w:ascii="Palatino Linotype" w:eastAsia="Palatino Linotype" w:hAnsi="Palatino Linotype" w:cs="Palatino Linotype"/>
          <w:sz w:val="24"/>
          <w:szCs w:val="24"/>
        </w:rPr>
        <w:t>/2024/TERCERO, como se observa a continuación:</w:t>
      </w:r>
    </w:p>
    <w:p w14:paraId="13A883E9" w14:textId="431B65D9" w:rsidR="00395188" w:rsidRPr="004E209B" w:rsidRDefault="00395188" w:rsidP="00395188">
      <w:pPr>
        <w:widowControl w:val="0"/>
        <w:spacing w:before="240" w:after="240" w:line="360" w:lineRule="auto"/>
        <w:jc w:val="center"/>
        <w:rPr>
          <w:rFonts w:ascii="Palatino Linotype" w:eastAsia="Palatino Linotype" w:hAnsi="Palatino Linotype" w:cs="Palatino Linotype"/>
          <w:sz w:val="24"/>
          <w:szCs w:val="24"/>
        </w:rPr>
      </w:pPr>
      <w:r w:rsidRPr="004E209B">
        <w:rPr>
          <w:rFonts w:ascii="Palatino Linotype" w:eastAsia="Palatino Linotype" w:hAnsi="Palatino Linotype" w:cs="Palatino Linotype"/>
          <w:noProof/>
          <w:sz w:val="24"/>
          <w:szCs w:val="24"/>
        </w:rPr>
        <w:drawing>
          <wp:inline distT="0" distB="0" distL="0" distR="0" wp14:anchorId="7FDD83A0" wp14:editId="249651F2">
            <wp:extent cx="4932000" cy="1270110"/>
            <wp:effectExtent l="0" t="0" r="254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2000" cy="1270110"/>
                    </a:xfrm>
                    <a:prstGeom prst="rect">
                      <a:avLst/>
                    </a:prstGeom>
                  </pic:spPr>
                </pic:pic>
              </a:graphicData>
            </a:graphic>
          </wp:inline>
        </w:drawing>
      </w:r>
      <w:r w:rsidRPr="004E209B">
        <w:rPr>
          <w:rFonts w:ascii="Palatino Linotype" w:eastAsia="Palatino Linotype" w:hAnsi="Palatino Linotype" w:cs="Palatino Linotype"/>
          <w:noProof/>
          <w:sz w:val="24"/>
          <w:szCs w:val="24"/>
        </w:rPr>
        <w:drawing>
          <wp:inline distT="0" distB="0" distL="0" distR="0" wp14:anchorId="08C91B0B" wp14:editId="457D4C51">
            <wp:extent cx="4716000" cy="1779938"/>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16000" cy="1779938"/>
                    </a:xfrm>
                    <a:prstGeom prst="rect">
                      <a:avLst/>
                    </a:prstGeom>
                  </pic:spPr>
                </pic:pic>
              </a:graphicData>
            </a:graphic>
          </wp:inline>
        </w:drawing>
      </w:r>
      <w:r w:rsidRPr="004E209B">
        <w:rPr>
          <w:rFonts w:ascii="Palatino Linotype" w:eastAsia="Palatino Linotype" w:hAnsi="Palatino Linotype" w:cs="Palatino Linotype"/>
          <w:noProof/>
          <w:sz w:val="24"/>
          <w:szCs w:val="24"/>
        </w:rPr>
        <w:drawing>
          <wp:inline distT="0" distB="0" distL="0" distR="0" wp14:anchorId="73D07B52" wp14:editId="5FD7D051">
            <wp:extent cx="4716000" cy="317743"/>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6000" cy="317743"/>
                    </a:xfrm>
                    <a:prstGeom prst="rect">
                      <a:avLst/>
                    </a:prstGeom>
                  </pic:spPr>
                </pic:pic>
              </a:graphicData>
            </a:graphic>
          </wp:inline>
        </w:drawing>
      </w:r>
    </w:p>
    <w:p w14:paraId="755FA5EA" w14:textId="3C70C13E" w:rsidR="00395188" w:rsidRPr="004E209B" w:rsidRDefault="00395188" w:rsidP="00395188">
      <w:pPr>
        <w:widowControl w:val="0"/>
        <w:spacing w:before="240" w:after="240" w:line="360" w:lineRule="auto"/>
        <w:jc w:val="center"/>
        <w:rPr>
          <w:rFonts w:ascii="Palatino Linotype" w:eastAsia="Palatino Linotype" w:hAnsi="Palatino Linotype" w:cs="Palatino Linotype"/>
          <w:sz w:val="24"/>
          <w:szCs w:val="24"/>
        </w:rPr>
      </w:pPr>
      <w:r w:rsidRPr="004E209B">
        <w:rPr>
          <w:rFonts w:ascii="Palatino Linotype" w:eastAsia="Palatino Linotype" w:hAnsi="Palatino Linotype" w:cs="Palatino Linotype"/>
          <w:noProof/>
          <w:sz w:val="24"/>
          <w:szCs w:val="24"/>
        </w:rPr>
        <w:lastRenderedPageBreak/>
        <w:drawing>
          <wp:inline distT="0" distB="0" distL="0" distR="0" wp14:anchorId="4CB23479" wp14:editId="143A4308">
            <wp:extent cx="4860000" cy="2088948"/>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0000" cy="2088948"/>
                    </a:xfrm>
                    <a:prstGeom prst="rect">
                      <a:avLst/>
                    </a:prstGeom>
                  </pic:spPr>
                </pic:pic>
              </a:graphicData>
            </a:graphic>
          </wp:inline>
        </w:drawing>
      </w:r>
    </w:p>
    <w:p w14:paraId="7B9C123B" w14:textId="72E276BE" w:rsidR="00C2297E" w:rsidRPr="004E209B" w:rsidRDefault="00936B21">
      <w:pPr>
        <w:widowControl w:val="0"/>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3</w:t>
      </w:r>
      <w:r w:rsidR="009339EB" w:rsidRPr="004E209B">
        <w:rPr>
          <w:rFonts w:ascii="Palatino Linotype" w:eastAsia="Palatino Linotype" w:hAnsi="Palatino Linotype" w:cs="Palatino Linotype"/>
          <w:b/>
          <w:sz w:val="24"/>
          <w:szCs w:val="24"/>
        </w:rPr>
        <w:t xml:space="preserve">. Interposición de los recursos de revisión. </w:t>
      </w:r>
      <w:r w:rsidR="009339EB" w:rsidRPr="004E209B">
        <w:rPr>
          <w:rFonts w:ascii="Palatino Linotype" w:eastAsia="Palatino Linotype" w:hAnsi="Palatino Linotype" w:cs="Palatino Linotype"/>
          <w:sz w:val="24"/>
          <w:szCs w:val="24"/>
        </w:rPr>
        <w:t>Inconforme con las respuestas del</w:t>
      </w:r>
      <w:r w:rsidR="009339EB" w:rsidRPr="004E209B">
        <w:rPr>
          <w:rFonts w:ascii="Palatino Linotype" w:eastAsia="Palatino Linotype" w:hAnsi="Palatino Linotype" w:cs="Palatino Linotype"/>
          <w:b/>
          <w:sz w:val="24"/>
          <w:szCs w:val="24"/>
        </w:rPr>
        <w:t xml:space="preserve"> Sujeto Obligado, </w:t>
      </w:r>
      <w:r w:rsidR="009339EB" w:rsidRPr="004E209B">
        <w:rPr>
          <w:rFonts w:ascii="Palatino Linotype" w:eastAsia="Palatino Linotype" w:hAnsi="Palatino Linotype" w:cs="Palatino Linotype"/>
          <w:sz w:val="24"/>
          <w:szCs w:val="24"/>
        </w:rPr>
        <w:t xml:space="preserve">el </w:t>
      </w:r>
      <w:r w:rsidR="0053779C" w:rsidRPr="004E209B">
        <w:rPr>
          <w:rFonts w:ascii="Palatino Linotype" w:eastAsia="Palatino Linotype" w:hAnsi="Palatino Linotype" w:cs="Palatino Linotype"/>
          <w:b/>
          <w:sz w:val="24"/>
          <w:szCs w:val="24"/>
        </w:rPr>
        <w:t xml:space="preserve">treinta </w:t>
      </w:r>
      <w:r w:rsidR="005D091C" w:rsidRPr="004E209B">
        <w:rPr>
          <w:rFonts w:ascii="Palatino Linotype" w:eastAsia="Palatino Linotype" w:hAnsi="Palatino Linotype" w:cs="Palatino Linotype"/>
          <w:b/>
          <w:sz w:val="24"/>
          <w:szCs w:val="24"/>
        </w:rPr>
        <w:t xml:space="preserve">de octubre </w:t>
      </w:r>
      <w:r w:rsidR="009339EB" w:rsidRPr="004E209B">
        <w:rPr>
          <w:rFonts w:ascii="Palatino Linotype" w:eastAsia="Palatino Linotype" w:hAnsi="Palatino Linotype" w:cs="Palatino Linotype"/>
          <w:b/>
          <w:sz w:val="24"/>
          <w:szCs w:val="24"/>
        </w:rPr>
        <w:t xml:space="preserve">de dos mil veinticuatro, </w:t>
      </w:r>
      <w:r w:rsidR="009339EB" w:rsidRPr="004E209B">
        <w:rPr>
          <w:rFonts w:ascii="Palatino Linotype" w:eastAsia="Palatino Linotype" w:hAnsi="Palatino Linotype" w:cs="Palatino Linotype"/>
          <w:sz w:val="24"/>
          <w:szCs w:val="24"/>
        </w:rPr>
        <w:t>la parte</w:t>
      </w:r>
      <w:r w:rsidR="009339EB" w:rsidRPr="004E209B">
        <w:rPr>
          <w:rFonts w:ascii="Palatino Linotype" w:eastAsia="Palatino Linotype" w:hAnsi="Palatino Linotype" w:cs="Palatino Linotype"/>
          <w:b/>
          <w:sz w:val="24"/>
          <w:szCs w:val="24"/>
        </w:rPr>
        <w:t xml:space="preserve"> Recurrente </w:t>
      </w:r>
      <w:r w:rsidR="009339EB" w:rsidRPr="004E209B">
        <w:rPr>
          <w:rFonts w:ascii="Palatino Linotype" w:eastAsia="Palatino Linotype" w:hAnsi="Palatino Linotype" w:cs="Palatino Linotype"/>
          <w:sz w:val="24"/>
          <w:szCs w:val="24"/>
        </w:rPr>
        <w:t>interpuso los recursos de revisión, en los cuales manifestó lo siguiente:</w:t>
      </w:r>
    </w:p>
    <w:p w14:paraId="3E835BB3" w14:textId="77777777" w:rsidR="0053779C" w:rsidRPr="004E209B" w:rsidRDefault="0053779C" w:rsidP="0053779C">
      <w:pPr>
        <w:tabs>
          <w:tab w:val="left" w:pos="2745"/>
        </w:tabs>
        <w:spacing w:before="240" w:after="240" w:line="360" w:lineRule="auto"/>
        <w:jc w:val="both"/>
        <w:rPr>
          <w:rFonts w:ascii="Palatino Linotype" w:eastAsia="Palatino Linotype" w:hAnsi="Palatino Linotype" w:cs="Palatino Linotype"/>
          <w:b/>
        </w:rPr>
      </w:pPr>
      <w:r w:rsidRPr="004E209B">
        <w:rPr>
          <w:rFonts w:ascii="Palatino Linotype" w:eastAsia="Palatino Linotype" w:hAnsi="Palatino Linotype" w:cs="Palatino Linotype"/>
          <w:b/>
        </w:rPr>
        <w:t xml:space="preserve">Acto impugnado: </w:t>
      </w:r>
    </w:p>
    <w:p w14:paraId="5061ABFB" w14:textId="77777777" w:rsidR="0053779C" w:rsidRPr="004E209B" w:rsidRDefault="0053779C" w:rsidP="0053779C">
      <w:pPr>
        <w:tabs>
          <w:tab w:val="left" w:pos="2745"/>
        </w:tabs>
        <w:spacing w:before="240" w:after="240"/>
        <w:ind w:left="851" w:right="900"/>
        <w:jc w:val="both"/>
        <w:rPr>
          <w:rFonts w:ascii="Palatino Linotype" w:eastAsia="Palatino Linotype" w:hAnsi="Palatino Linotype" w:cs="Palatino Linotype"/>
          <w:i/>
        </w:rPr>
      </w:pPr>
      <w:r w:rsidRPr="004E209B">
        <w:rPr>
          <w:rFonts w:ascii="Palatino Linotype" w:eastAsia="Palatino Linotype" w:hAnsi="Palatino Linotype" w:cs="Palatino Linotype"/>
          <w:i/>
        </w:rPr>
        <w:t>“RESPUESTA OTORGADA” (sic)</w:t>
      </w:r>
    </w:p>
    <w:p w14:paraId="4E0FA0BD" w14:textId="77777777" w:rsidR="0053779C" w:rsidRPr="004E209B" w:rsidRDefault="0053779C" w:rsidP="0053779C">
      <w:pPr>
        <w:spacing w:line="360" w:lineRule="auto"/>
        <w:jc w:val="both"/>
        <w:rPr>
          <w:rFonts w:ascii="Palatino Linotype" w:eastAsia="Palatino Linotype" w:hAnsi="Palatino Linotype" w:cs="Palatino Linotype"/>
        </w:rPr>
      </w:pPr>
      <w:bookmarkStart w:id="2" w:name="_heading=h.30j0zll" w:colFirst="0" w:colLast="0"/>
      <w:bookmarkEnd w:id="2"/>
      <w:r w:rsidRPr="004E209B">
        <w:rPr>
          <w:rFonts w:ascii="Palatino Linotype" w:eastAsia="Palatino Linotype" w:hAnsi="Palatino Linotype" w:cs="Palatino Linotype"/>
          <w:b/>
        </w:rPr>
        <w:t>Y Razones o motivos de inconformidad</w:t>
      </w:r>
      <w:r w:rsidRPr="004E209B">
        <w:rPr>
          <w:rFonts w:ascii="Palatino Linotype" w:eastAsia="Palatino Linotype" w:hAnsi="Palatino Linotype" w:cs="Palatino Linotype"/>
        </w:rPr>
        <w:t xml:space="preserve">: </w:t>
      </w:r>
    </w:p>
    <w:p w14:paraId="5042A6B6" w14:textId="4A971282" w:rsidR="0053779C" w:rsidRPr="004E209B" w:rsidRDefault="0053779C" w:rsidP="0053779C">
      <w:pPr>
        <w:tabs>
          <w:tab w:val="left" w:pos="2745"/>
        </w:tabs>
        <w:spacing w:before="240" w:after="240"/>
        <w:ind w:left="851" w:right="900"/>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sz w:val="20"/>
          <w:szCs w:val="20"/>
        </w:rPr>
        <w:t>EL SUJETO OBLIGADO MANIFIESTA QUE LA ENTREGA DE INFORMACION SERA MEDIANTE CONSULTA DIRECTA</w:t>
      </w:r>
      <w:r w:rsidRPr="004E209B">
        <w:rPr>
          <w:rFonts w:ascii="Palatino Linotype" w:eastAsia="Palatino Linotype" w:hAnsi="Palatino Linotype" w:cs="Palatino Linotype"/>
          <w:i/>
          <w:sz w:val="20"/>
          <w:szCs w:val="20"/>
        </w:rPr>
        <w:t xml:space="preserve"> EN UNA FECHA Y UN HORARIO IGUAL AL ESTABLECIDO EN LAS SOLICITUDES 669,670,671,672,673,674,675, 679,686,687,688,689,696,697,701,702,703,705,706,707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POR LO QUE </w:t>
      </w:r>
      <w:r w:rsidRPr="004E209B">
        <w:rPr>
          <w:rFonts w:ascii="Palatino Linotype" w:eastAsia="Palatino Linotype" w:hAnsi="Palatino Linotype" w:cs="Palatino Linotype"/>
          <w:b/>
          <w:i/>
          <w:sz w:val="20"/>
          <w:szCs w:val="20"/>
        </w:rPr>
        <w:t>SOLICITO QUE LA INFORMACION SEA ENTREGADA A TRAVES DE ESTA PLATAFORMA</w:t>
      </w:r>
      <w:r w:rsidRPr="004E209B">
        <w:rPr>
          <w:rFonts w:ascii="Palatino Linotype" w:eastAsia="Palatino Linotype" w:hAnsi="Palatino Linotype" w:cs="Palatino Linotype"/>
          <w:i/>
          <w:sz w:val="20"/>
          <w:szCs w:val="20"/>
        </w:rPr>
        <w:t xml:space="preserve"> CONSIDERANDO MI </w:t>
      </w:r>
      <w:r w:rsidRPr="004E209B">
        <w:rPr>
          <w:rFonts w:ascii="Palatino Linotype" w:eastAsia="Palatino Linotype" w:hAnsi="Palatino Linotype" w:cs="Palatino Linotype"/>
          <w:i/>
          <w:sz w:val="20"/>
          <w:szCs w:val="20"/>
        </w:rPr>
        <w:lastRenderedPageBreak/>
        <w:t xml:space="preserve">SOLICITUD Y LA JURISPRIDENCIA DE LOS MAS ALTOS TRIBUNALES LA CUAL ESTABLECE Registro digital: 2027906 Instancia: Tribunales Colegiados de Circuito Undécima Época Materia(s): Administrativa, Constitucional Tesis: I.18o.A.1 CS (11a.) Fuente: Gaceta del Semanario Judicial de la Federación. Libro 33, </w:t>
      </w:r>
      <w:proofErr w:type="gramStart"/>
      <w:r w:rsidRPr="004E209B">
        <w:rPr>
          <w:rFonts w:ascii="Palatino Linotype" w:eastAsia="Palatino Linotype" w:hAnsi="Palatino Linotype" w:cs="Palatino Linotype"/>
          <w:i/>
          <w:sz w:val="20"/>
          <w:szCs w:val="20"/>
        </w:rPr>
        <w:t>Enero</w:t>
      </w:r>
      <w:proofErr w:type="gramEnd"/>
      <w:r w:rsidRPr="004E209B">
        <w:rPr>
          <w:rFonts w:ascii="Palatino Linotype" w:eastAsia="Palatino Linotype" w:hAnsi="Palatino Linotype" w:cs="Palatino Linotype"/>
          <w:i/>
          <w:sz w:val="20"/>
          <w:szCs w:val="20"/>
        </w:rPr>
        <w:t xml:space="preserve"> de 2024, Tomo VI, página 5953 Tipo: Aislada DERECHO DE ACCESO A LA INFORMACIÓN. PARA GARANTIZARLO DE MANERA EFECTIVA, EL SUJETO OBLIGADO DEBE PRIVILEGIAR EL MEDIO Y FORMATO SOLICITADOS POR EL INTERESADO PARA RECIBIRLA. Criterio jurídico: Este Tribunal Colegiado de Circuito determina que el derecho a solicitar y recibir la información comprende la forma o medio en el cual pide su entrega, a fin de garantizar al interesado el pleno acceso y disposición de la información solicitada, sin que se pueda dejar al arbitrio del sujeto obligado el medio para entregarla, y sin atender la forma como la solicitó el peticionario. Justificación: Los artículos 6o. de la Constitución Política de los Estados Unidos Mexicanos y 121 a 126, 128, 130, 132, 136, 138, 142 y 145 de la Ley Federal de Transparencia y Acceso a la Información Pública, establecen que toda persona tiene derecho al libre acceso a la información plural y oportuna, y a buscar, recibir y difundir información e ideas de toda índole por cualquier medio de expresión, así como el procedimiento para su acceso. Por tanto, para garantizar de la mejor manera posible el derecho de acceso a la información, incluso cuando el sujeto obligado cuente con distintos medios físicos o electrónicos para entregarla, se debe privilegiar el medio o formato elegido por el solicitante, sin que obste a lo anterior que, incluso, el Instituto Nacional de Transparencia, Acceso a la Información y Protección de Datos Personales hubiera indicado en la resolución del recurso de revisión la posibilidad de otorgar los datos por distintos medios, pues eso no faculta al sujeto obligado a decidir con cuál cumple su obligación, sino que debe privilegiar el modo de entrega que elija el interesado, por ser su derecho de acceder y disponer de la información de la forma que le permita de mejor manera su manejo y disposición. DÉCIMO OCTAVO TRIBUNAL COLEGIADO EN MATERIA ADMINISTRATIVA DEL PRIMER CIRCUITO” (sic)</w:t>
      </w:r>
    </w:p>
    <w:p w14:paraId="10035B98" w14:textId="7C04095D" w:rsidR="00C2297E" w:rsidRPr="004E209B" w:rsidRDefault="002716C9">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4</w:t>
      </w:r>
      <w:r w:rsidR="009339EB" w:rsidRPr="004E209B">
        <w:rPr>
          <w:rFonts w:ascii="Palatino Linotype" w:eastAsia="Palatino Linotype" w:hAnsi="Palatino Linotype" w:cs="Palatino Linotype"/>
          <w:b/>
          <w:sz w:val="24"/>
          <w:szCs w:val="24"/>
        </w:rPr>
        <w:t xml:space="preserve">. Turno. </w:t>
      </w:r>
      <w:r w:rsidR="009339EB" w:rsidRPr="004E209B">
        <w:rPr>
          <w:rFonts w:ascii="Palatino Linotype" w:eastAsia="Palatino Linotype" w:hAnsi="Palatino Linotype" w:cs="Palatino Linotype"/>
          <w:sz w:val="24"/>
          <w:szCs w:val="24"/>
        </w:rPr>
        <w:t xml:space="preserve">De conformidad con el artículo 185, fracción I de la Ley Transparencia y Acceso a la Información Pública del Estado de México y Municipios, los recursos de revisión fueron turnados a los Comisionados </w:t>
      </w:r>
      <w:r w:rsidR="009339EB" w:rsidRPr="004E209B">
        <w:rPr>
          <w:rFonts w:ascii="Palatino Linotype" w:eastAsia="Palatino Linotype" w:hAnsi="Palatino Linotype" w:cs="Palatino Linotype"/>
          <w:b/>
          <w:sz w:val="24"/>
          <w:szCs w:val="24"/>
        </w:rPr>
        <w:t>Guadalupe Ramírez Peña</w:t>
      </w:r>
      <w:r w:rsidR="006436C4" w:rsidRPr="004E209B">
        <w:rPr>
          <w:rFonts w:ascii="Palatino Linotype" w:eastAsia="Palatino Linotype" w:hAnsi="Palatino Linotype" w:cs="Palatino Linotype"/>
          <w:b/>
          <w:sz w:val="24"/>
          <w:szCs w:val="24"/>
        </w:rPr>
        <w:t xml:space="preserve">, </w:t>
      </w:r>
      <w:r w:rsidRPr="004E209B">
        <w:rPr>
          <w:rFonts w:ascii="Palatino Linotype" w:eastAsia="Palatino Linotype" w:hAnsi="Palatino Linotype" w:cs="Palatino Linotype"/>
          <w:b/>
          <w:sz w:val="24"/>
          <w:szCs w:val="24"/>
        </w:rPr>
        <w:t>José Martínez Vilchis</w:t>
      </w:r>
      <w:r w:rsidR="006436C4" w:rsidRPr="004E209B">
        <w:rPr>
          <w:rFonts w:ascii="Palatino Linotype" w:eastAsia="Palatino Linotype" w:hAnsi="Palatino Linotype" w:cs="Palatino Linotype"/>
          <w:b/>
          <w:sz w:val="24"/>
          <w:szCs w:val="24"/>
        </w:rPr>
        <w:t xml:space="preserve"> </w:t>
      </w:r>
      <w:r w:rsidR="006436C4" w:rsidRPr="004E209B">
        <w:rPr>
          <w:rFonts w:ascii="Palatino Linotype" w:eastAsia="Palatino Linotype" w:hAnsi="Palatino Linotype" w:cs="Palatino Linotype"/>
          <w:sz w:val="24"/>
          <w:szCs w:val="24"/>
        </w:rPr>
        <w:t xml:space="preserve">y </w:t>
      </w:r>
      <w:r w:rsidR="006436C4" w:rsidRPr="004E209B">
        <w:rPr>
          <w:rFonts w:ascii="Palatino Linotype" w:eastAsia="Palatino Linotype" w:hAnsi="Palatino Linotype" w:cs="Palatino Linotype"/>
          <w:b/>
          <w:sz w:val="24"/>
          <w:szCs w:val="24"/>
        </w:rPr>
        <w:t>Luis Gustavo Parra Noriega</w:t>
      </w:r>
      <w:r w:rsidR="009339EB" w:rsidRPr="004E209B">
        <w:rPr>
          <w:rFonts w:ascii="Palatino Linotype" w:eastAsia="Palatino Linotype" w:hAnsi="Palatino Linotype" w:cs="Palatino Linotype"/>
          <w:b/>
          <w:sz w:val="24"/>
          <w:szCs w:val="24"/>
        </w:rPr>
        <w:t xml:space="preserve">, </w:t>
      </w:r>
      <w:r w:rsidR="009339EB" w:rsidRPr="004E209B">
        <w:rPr>
          <w:rFonts w:ascii="Palatino Linotype" w:eastAsia="Palatino Linotype" w:hAnsi="Palatino Linotype" w:cs="Palatino Linotype"/>
          <w:sz w:val="24"/>
          <w:szCs w:val="24"/>
        </w:rPr>
        <w:t>a efecto de presentar al Pleno los proyectos de resolución correspondientes.</w:t>
      </w:r>
    </w:p>
    <w:p w14:paraId="6BDDA138" w14:textId="1AAE21DA" w:rsidR="00C2297E" w:rsidRPr="004E209B" w:rsidRDefault="002716C9">
      <w:pPr>
        <w:spacing w:before="240" w:after="240" w:line="360" w:lineRule="auto"/>
        <w:jc w:val="both"/>
        <w:rPr>
          <w:rFonts w:ascii="Palatino Linotype" w:eastAsia="Palatino Linotype" w:hAnsi="Palatino Linotype" w:cs="Palatino Linotype"/>
          <w:b/>
          <w:sz w:val="24"/>
          <w:szCs w:val="24"/>
        </w:rPr>
      </w:pPr>
      <w:r w:rsidRPr="004E209B">
        <w:rPr>
          <w:rFonts w:ascii="Palatino Linotype" w:eastAsia="Palatino Linotype" w:hAnsi="Palatino Linotype" w:cs="Palatino Linotype"/>
          <w:b/>
          <w:sz w:val="24"/>
          <w:szCs w:val="24"/>
        </w:rPr>
        <w:lastRenderedPageBreak/>
        <w:t>5</w:t>
      </w:r>
      <w:r w:rsidR="009339EB" w:rsidRPr="004E209B">
        <w:rPr>
          <w:rFonts w:ascii="Palatino Linotype" w:eastAsia="Palatino Linotype" w:hAnsi="Palatino Linotype" w:cs="Palatino Linotype"/>
          <w:b/>
          <w:sz w:val="24"/>
          <w:szCs w:val="24"/>
        </w:rPr>
        <w:t xml:space="preserve">. Admisión. </w:t>
      </w:r>
      <w:r w:rsidR="009339EB" w:rsidRPr="004E209B">
        <w:rPr>
          <w:rFonts w:ascii="Palatino Linotype" w:eastAsia="Palatino Linotype" w:hAnsi="Palatino Linotype" w:cs="Palatino Linotype"/>
          <w:sz w:val="24"/>
          <w:szCs w:val="24"/>
        </w:rPr>
        <w:t>El</w:t>
      </w:r>
      <w:r w:rsidR="009339EB" w:rsidRPr="004E209B">
        <w:rPr>
          <w:rFonts w:ascii="Palatino Linotype" w:eastAsia="Palatino Linotype" w:hAnsi="Palatino Linotype" w:cs="Palatino Linotype"/>
          <w:b/>
          <w:sz w:val="24"/>
          <w:szCs w:val="24"/>
        </w:rPr>
        <w:t xml:space="preserve"> </w:t>
      </w:r>
      <w:r w:rsidR="006436C4" w:rsidRPr="004E209B">
        <w:rPr>
          <w:rFonts w:ascii="Palatino Linotype" w:eastAsia="Palatino Linotype" w:hAnsi="Palatino Linotype" w:cs="Palatino Linotype"/>
          <w:b/>
          <w:sz w:val="24"/>
          <w:szCs w:val="24"/>
        </w:rPr>
        <w:t>cinco de noviembre</w:t>
      </w:r>
      <w:r w:rsidRPr="004E209B">
        <w:rPr>
          <w:rFonts w:ascii="Palatino Linotype" w:eastAsia="Palatino Linotype" w:hAnsi="Palatino Linotype" w:cs="Palatino Linotype"/>
          <w:b/>
          <w:sz w:val="24"/>
          <w:szCs w:val="24"/>
        </w:rPr>
        <w:t xml:space="preserve"> d</w:t>
      </w:r>
      <w:r w:rsidR="009339EB" w:rsidRPr="004E209B">
        <w:rPr>
          <w:rFonts w:ascii="Palatino Linotype" w:eastAsia="Palatino Linotype" w:hAnsi="Palatino Linotype" w:cs="Palatino Linotype"/>
          <w:b/>
          <w:sz w:val="24"/>
          <w:szCs w:val="24"/>
        </w:rPr>
        <w:t>e dos mil veinticuatro</w:t>
      </w:r>
      <w:r w:rsidR="009339EB" w:rsidRPr="004E209B">
        <w:rPr>
          <w:rFonts w:ascii="Palatino Linotype" w:eastAsia="Palatino Linotype" w:hAnsi="Palatino Linotype" w:cs="Palatino Linotype"/>
          <w:sz w:val="24"/>
          <w:szCs w:val="24"/>
        </w:rPr>
        <w:t>, en términos de lo dispuesto en el artículo 185, fracciones I, II y IV de la Ley de Transparencia y Acceso a la Información Pública del Estado de México y Municipios, se admitieron a trámite los recursos de revisión</w:t>
      </w:r>
      <w:r w:rsidR="009339EB" w:rsidRPr="004E209B">
        <w:rPr>
          <w:rFonts w:ascii="Palatino Linotype" w:eastAsia="Palatino Linotype" w:hAnsi="Palatino Linotype" w:cs="Palatino Linotype"/>
          <w:b/>
          <w:sz w:val="24"/>
          <w:szCs w:val="24"/>
        </w:rPr>
        <w:t xml:space="preserve">. </w:t>
      </w:r>
    </w:p>
    <w:p w14:paraId="513DB494" w14:textId="77777777" w:rsidR="006436C4" w:rsidRPr="004E209B" w:rsidRDefault="002716C9" w:rsidP="006436C4">
      <w:pPr>
        <w:widowControl w:val="0"/>
        <w:spacing w:line="360" w:lineRule="auto"/>
        <w:ind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6</w:t>
      </w:r>
      <w:r w:rsidR="009339EB" w:rsidRPr="004E209B">
        <w:rPr>
          <w:rFonts w:ascii="Palatino Linotype" w:eastAsia="Palatino Linotype" w:hAnsi="Palatino Linotype" w:cs="Palatino Linotype"/>
          <w:b/>
          <w:sz w:val="24"/>
          <w:szCs w:val="24"/>
        </w:rPr>
        <w:t xml:space="preserve">. Manifestaciones. </w:t>
      </w:r>
      <w:r w:rsidR="006436C4" w:rsidRPr="004E209B">
        <w:rPr>
          <w:rFonts w:ascii="Palatino Linotype" w:eastAsia="Palatino Linotype" w:hAnsi="Palatino Linotype" w:cs="Palatino Linotype"/>
          <w:sz w:val="24"/>
          <w:szCs w:val="24"/>
        </w:rPr>
        <w:t xml:space="preserve">De constancias del expediente electrónico del SAIMEX, se observa que el </w:t>
      </w:r>
      <w:r w:rsidR="006436C4" w:rsidRPr="004E209B">
        <w:rPr>
          <w:rFonts w:ascii="Palatino Linotype" w:eastAsia="Palatino Linotype" w:hAnsi="Palatino Linotype" w:cs="Palatino Linotype"/>
          <w:b/>
          <w:sz w:val="24"/>
          <w:szCs w:val="24"/>
        </w:rPr>
        <w:t>Sujeto Obligado</w:t>
      </w:r>
      <w:r w:rsidR="006436C4" w:rsidRPr="004E209B">
        <w:rPr>
          <w:rFonts w:ascii="Palatino Linotype" w:eastAsia="Palatino Linotype" w:hAnsi="Palatino Linotype" w:cs="Palatino Linotype"/>
          <w:sz w:val="24"/>
          <w:szCs w:val="24"/>
        </w:rPr>
        <w:t xml:space="preserve"> fue omiso en rendir su informe justificado; así como, la parte </w:t>
      </w:r>
      <w:r w:rsidR="006436C4" w:rsidRPr="004E209B">
        <w:rPr>
          <w:rFonts w:ascii="Palatino Linotype" w:eastAsia="Palatino Linotype" w:hAnsi="Palatino Linotype" w:cs="Palatino Linotype"/>
          <w:b/>
          <w:sz w:val="24"/>
          <w:szCs w:val="24"/>
        </w:rPr>
        <w:t xml:space="preserve">Recurrente </w:t>
      </w:r>
      <w:r w:rsidR="006436C4" w:rsidRPr="004E209B">
        <w:rPr>
          <w:rFonts w:ascii="Palatino Linotype" w:eastAsia="Palatino Linotype" w:hAnsi="Palatino Linotype" w:cs="Palatino Linotype"/>
          <w:sz w:val="24"/>
          <w:szCs w:val="24"/>
        </w:rPr>
        <w:t>fue omisa en hacer valer manifestaciones o rendir alegatos que conforme a derecho resultaran procedentes, como se muestra:</w:t>
      </w:r>
    </w:p>
    <w:p w14:paraId="474562EA" w14:textId="7A95688E" w:rsidR="006436C4" w:rsidRPr="004E209B" w:rsidRDefault="006436C4" w:rsidP="006436C4">
      <w:pPr>
        <w:widowControl w:val="0"/>
        <w:spacing w:line="360" w:lineRule="auto"/>
        <w:ind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noProof/>
          <w:sz w:val="24"/>
          <w:szCs w:val="24"/>
        </w:rPr>
        <w:drawing>
          <wp:inline distT="0" distB="0" distL="0" distR="0" wp14:anchorId="50D91795" wp14:editId="79C84730">
            <wp:extent cx="5612130" cy="147510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475105"/>
                    </a:xfrm>
                    <a:prstGeom prst="rect">
                      <a:avLst/>
                    </a:prstGeom>
                  </pic:spPr>
                </pic:pic>
              </a:graphicData>
            </a:graphic>
          </wp:inline>
        </w:drawing>
      </w:r>
    </w:p>
    <w:p w14:paraId="135FF0A8" w14:textId="2ED3C989" w:rsidR="006436C4" w:rsidRPr="004E209B" w:rsidRDefault="006436C4" w:rsidP="006436C4">
      <w:pPr>
        <w:widowControl w:val="0"/>
        <w:spacing w:line="360" w:lineRule="auto"/>
        <w:ind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noProof/>
          <w:sz w:val="24"/>
          <w:szCs w:val="24"/>
        </w:rPr>
        <w:drawing>
          <wp:inline distT="0" distB="0" distL="0" distR="0" wp14:anchorId="0DE76590" wp14:editId="793C1C64">
            <wp:extent cx="5612130" cy="145542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455420"/>
                    </a:xfrm>
                    <a:prstGeom prst="rect">
                      <a:avLst/>
                    </a:prstGeom>
                  </pic:spPr>
                </pic:pic>
              </a:graphicData>
            </a:graphic>
          </wp:inline>
        </w:drawing>
      </w:r>
    </w:p>
    <w:p w14:paraId="121A16E3" w14:textId="496E1533" w:rsidR="006436C4" w:rsidRPr="004E209B" w:rsidRDefault="006436C4" w:rsidP="006436C4">
      <w:pPr>
        <w:widowControl w:val="0"/>
        <w:spacing w:line="360" w:lineRule="auto"/>
        <w:ind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noProof/>
          <w:sz w:val="24"/>
          <w:szCs w:val="24"/>
        </w:rPr>
        <w:lastRenderedPageBreak/>
        <w:drawing>
          <wp:inline distT="0" distB="0" distL="0" distR="0" wp14:anchorId="1F30104F" wp14:editId="29B3A346">
            <wp:extent cx="5612130" cy="149098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1490980"/>
                    </a:xfrm>
                    <a:prstGeom prst="rect">
                      <a:avLst/>
                    </a:prstGeom>
                  </pic:spPr>
                </pic:pic>
              </a:graphicData>
            </a:graphic>
          </wp:inline>
        </w:drawing>
      </w:r>
    </w:p>
    <w:p w14:paraId="46472CFA" w14:textId="6B1C6B58" w:rsidR="006436C4" w:rsidRPr="004E209B" w:rsidRDefault="00A13365" w:rsidP="006436C4">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7</w:t>
      </w:r>
      <w:r w:rsidR="009339EB" w:rsidRPr="004E209B">
        <w:rPr>
          <w:rFonts w:ascii="Palatino Linotype" w:eastAsia="Palatino Linotype" w:hAnsi="Palatino Linotype" w:cs="Palatino Linotype"/>
          <w:b/>
          <w:sz w:val="24"/>
          <w:szCs w:val="24"/>
        </w:rPr>
        <w:t xml:space="preserve">. Acumulación de los recursos de revisión. </w:t>
      </w:r>
      <w:r w:rsidR="006436C4" w:rsidRPr="004E209B">
        <w:rPr>
          <w:rFonts w:ascii="Palatino Linotype" w:eastAsia="Palatino Linotype" w:hAnsi="Palatino Linotype" w:cs="Palatino Linotype"/>
          <w:sz w:val="24"/>
          <w:szCs w:val="24"/>
        </w:rPr>
        <w:t xml:space="preserve">En la </w:t>
      </w:r>
      <w:r w:rsidR="006436C4" w:rsidRPr="004E209B">
        <w:rPr>
          <w:rFonts w:ascii="Palatino Linotype" w:eastAsia="Palatino Linotype" w:hAnsi="Palatino Linotype" w:cs="Palatino Linotype"/>
          <w:b/>
          <w:sz w:val="24"/>
          <w:szCs w:val="24"/>
        </w:rPr>
        <w:t xml:space="preserve">Cuadragésima Sesión Ordinaria, </w:t>
      </w:r>
      <w:r w:rsidR="006436C4" w:rsidRPr="004E209B">
        <w:rPr>
          <w:rFonts w:ascii="Palatino Linotype" w:eastAsia="Palatino Linotype" w:hAnsi="Palatino Linotype" w:cs="Palatino Linotype"/>
          <w:sz w:val="24"/>
          <w:szCs w:val="24"/>
        </w:rPr>
        <w:t xml:space="preserve">celebrada el </w:t>
      </w:r>
      <w:r w:rsidR="006436C4" w:rsidRPr="004E209B">
        <w:rPr>
          <w:rFonts w:ascii="Palatino Linotype" w:eastAsia="Palatino Linotype" w:hAnsi="Palatino Linotype" w:cs="Palatino Linotype"/>
          <w:b/>
          <w:sz w:val="24"/>
          <w:szCs w:val="24"/>
        </w:rPr>
        <w:t xml:space="preserve">veintiuno de noviembre de dos mil veinticuatro, </w:t>
      </w:r>
      <w:r w:rsidR="006436C4" w:rsidRPr="004E209B">
        <w:rPr>
          <w:rFonts w:ascii="Palatino Linotype" w:eastAsia="Palatino Linotype" w:hAnsi="Palatino Linotype" w:cs="Palatino Linotype"/>
          <w:sz w:val="24"/>
          <w:szCs w:val="24"/>
        </w:rPr>
        <w:t xml:space="preserve">al advertir la conexidad causa y con la finalidad de evitar que se dicten resoluciones contradictorias, el Pleno de este Instituto aprobó la acumulación de los expedientes citados, a efecto de que la Comisionada </w:t>
      </w:r>
      <w:r w:rsidR="006436C4" w:rsidRPr="004E209B">
        <w:rPr>
          <w:rFonts w:ascii="Palatino Linotype" w:eastAsia="Palatino Linotype" w:hAnsi="Palatino Linotype" w:cs="Palatino Linotype"/>
          <w:b/>
          <w:sz w:val="24"/>
          <w:szCs w:val="24"/>
        </w:rPr>
        <w:t xml:space="preserve">Guadalupe Ramírez Peña </w:t>
      </w:r>
      <w:r w:rsidR="006436C4" w:rsidRPr="004E209B">
        <w:rPr>
          <w:rFonts w:ascii="Palatino Linotype" w:eastAsia="Palatino Linotype" w:hAnsi="Palatino Linotype" w:cs="Palatino Linotype"/>
          <w:sz w:val="24"/>
          <w:szCs w:val="24"/>
        </w:rPr>
        <w:t>formulara y presentara el proyecto de resolución correspondiente, de conformidad con el artículo 195 de la Ley de Transparencia y Acceso a la Información Pública del Estado de México y Municipios y artículo 18 del Código de Procedimientos Administrativos del Estado de México, a saber:</w:t>
      </w:r>
    </w:p>
    <w:p w14:paraId="17DF5FE2" w14:textId="77777777" w:rsidR="006436C4" w:rsidRPr="004E209B" w:rsidRDefault="006436C4" w:rsidP="006436C4">
      <w:pPr>
        <w:pBdr>
          <w:top w:val="nil"/>
          <w:left w:val="nil"/>
          <w:bottom w:val="nil"/>
          <w:right w:val="nil"/>
          <w:between w:val="nil"/>
        </w:pBdr>
        <w:spacing w:before="120" w:after="120"/>
        <w:ind w:left="851" w:right="902"/>
        <w:jc w:val="both"/>
        <w:rPr>
          <w:rFonts w:ascii="Palatino Linotype" w:hAnsi="Palatino Linotype"/>
        </w:rPr>
      </w:pPr>
      <w:r w:rsidRPr="004E209B">
        <w:rPr>
          <w:rFonts w:ascii="Palatino Linotype" w:eastAsia="Palatino Linotype" w:hAnsi="Palatino Linotype" w:cs="Palatino Linotype"/>
          <w:b/>
          <w:i/>
        </w:rPr>
        <w:t>Código de Procedimientos Administrativos del Estado de México</w:t>
      </w:r>
    </w:p>
    <w:p w14:paraId="6F6E2F06" w14:textId="77777777" w:rsidR="006436C4" w:rsidRPr="004E209B" w:rsidRDefault="006436C4" w:rsidP="006436C4">
      <w:pPr>
        <w:pBdr>
          <w:top w:val="nil"/>
          <w:left w:val="nil"/>
          <w:bottom w:val="nil"/>
          <w:right w:val="nil"/>
          <w:between w:val="nil"/>
        </w:pBdr>
        <w:spacing w:before="120" w:after="120"/>
        <w:ind w:left="851" w:right="902"/>
        <w:jc w:val="both"/>
        <w:rPr>
          <w:rFonts w:ascii="Palatino Linotype" w:hAnsi="Palatino Linotype"/>
        </w:rPr>
      </w:pPr>
      <w:r w:rsidRPr="004E209B">
        <w:rPr>
          <w:rFonts w:ascii="Palatino Linotype" w:eastAsia="Palatino Linotype" w:hAnsi="Palatino Linotype" w:cs="Palatino Linotype"/>
          <w:b/>
          <w:i/>
        </w:rPr>
        <w:t>“Artículo 18.-</w:t>
      </w:r>
      <w:r w:rsidRPr="004E209B">
        <w:rPr>
          <w:rFonts w:ascii="Palatino Linotype" w:eastAsia="Palatino Linotype" w:hAnsi="Palatino Linotype" w:cs="Palatino Linotype"/>
          <w:i/>
        </w:rPr>
        <w:t xml:space="preserve"> </w:t>
      </w:r>
      <w:r w:rsidRPr="004E209B">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4E209B">
        <w:rPr>
          <w:rFonts w:ascii="Palatino Linotype" w:eastAsia="Palatino Linotype" w:hAnsi="Palatino Linotype" w:cs="Palatino Linotype"/>
          <w:i/>
        </w:rPr>
        <w:t xml:space="preserve"> o a petición de parte, </w:t>
      </w:r>
      <w:r w:rsidRPr="004E209B">
        <w:rPr>
          <w:rFonts w:ascii="Palatino Linotype" w:eastAsia="Palatino Linotype" w:hAnsi="Palatino Linotype" w:cs="Palatino Linotype"/>
          <w:b/>
          <w:i/>
        </w:rPr>
        <w:t>cuando las partes</w:t>
      </w:r>
      <w:r w:rsidRPr="004E209B">
        <w:rPr>
          <w:rFonts w:ascii="Palatino Linotype" w:eastAsia="Palatino Linotype" w:hAnsi="Palatino Linotype" w:cs="Palatino Linotype"/>
          <w:i/>
        </w:rPr>
        <w:t xml:space="preserve"> o los actos administrativos sean iguales, se trate de actos conexos o </w:t>
      </w:r>
      <w:r w:rsidRPr="004E209B">
        <w:rPr>
          <w:rFonts w:ascii="Palatino Linotype" w:eastAsia="Palatino Linotype" w:hAnsi="Palatino Linotype" w:cs="Palatino Linotype"/>
          <w:b/>
          <w:i/>
        </w:rPr>
        <w:t>resulte conveniente el trámite unificado de los asuntos, para evitar la emisión de resoluciones contradictorias</w:t>
      </w:r>
      <w:r w:rsidRPr="004E209B">
        <w:rPr>
          <w:rFonts w:ascii="Palatino Linotype" w:eastAsia="Palatino Linotype" w:hAnsi="Palatino Linotype" w:cs="Palatino Linotype"/>
          <w:i/>
        </w:rPr>
        <w:t>. La misma regla se aplicará, en lo conducente, para la separación de los expedientes.”</w:t>
      </w:r>
    </w:p>
    <w:p w14:paraId="3E5F4FAB" w14:textId="77777777" w:rsidR="006436C4" w:rsidRPr="004E209B" w:rsidRDefault="006436C4" w:rsidP="006436C4">
      <w:pPr>
        <w:pBdr>
          <w:top w:val="nil"/>
          <w:left w:val="nil"/>
          <w:bottom w:val="nil"/>
          <w:right w:val="nil"/>
          <w:between w:val="nil"/>
        </w:pBdr>
        <w:spacing w:before="120" w:after="120"/>
        <w:ind w:left="851" w:right="902"/>
        <w:jc w:val="both"/>
        <w:rPr>
          <w:rFonts w:ascii="Palatino Linotype" w:eastAsia="Palatino Linotype" w:hAnsi="Palatino Linotype" w:cs="Palatino Linotype"/>
          <w:b/>
          <w:i/>
        </w:rPr>
      </w:pPr>
    </w:p>
    <w:p w14:paraId="710EF5C8" w14:textId="77777777" w:rsidR="006436C4" w:rsidRPr="004E209B" w:rsidRDefault="006436C4" w:rsidP="006436C4">
      <w:pPr>
        <w:pBdr>
          <w:top w:val="nil"/>
          <w:left w:val="nil"/>
          <w:bottom w:val="nil"/>
          <w:right w:val="nil"/>
          <w:between w:val="nil"/>
        </w:pBdr>
        <w:spacing w:before="120" w:after="120"/>
        <w:ind w:left="851" w:right="902"/>
        <w:jc w:val="both"/>
        <w:rPr>
          <w:rFonts w:ascii="Palatino Linotype" w:hAnsi="Palatino Linotype"/>
        </w:rPr>
      </w:pPr>
      <w:r w:rsidRPr="004E209B">
        <w:rPr>
          <w:rFonts w:ascii="Palatino Linotype" w:eastAsia="Palatino Linotype" w:hAnsi="Palatino Linotype" w:cs="Palatino Linotype"/>
          <w:b/>
          <w:i/>
        </w:rPr>
        <w:t>Ley de Transparencia y Acceso a la Información Pública del Estado de México y Municipios</w:t>
      </w:r>
    </w:p>
    <w:p w14:paraId="65F7FC8E" w14:textId="1AC5D969" w:rsidR="006436C4" w:rsidRPr="004E209B" w:rsidRDefault="006436C4" w:rsidP="006436C4">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lastRenderedPageBreak/>
        <w:t>“Artículo 195.-</w:t>
      </w:r>
      <w:r w:rsidRPr="004E209B">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27EC9E0A" w14:textId="466B0DE2" w:rsidR="00CE173B" w:rsidRPr="004E209B" w:rsidRDefault="00A13365" w:rsidP="00CE173B">
      <w:pPr>
        <w:widowControl w:val="0"/>
        <w:spacing w:before="240" w:line="360" w:lineRule="auto"/>
        <w:jc w:val="both"/>
        <w:rPr>
          <w:rFonts w:ascii="Palatino Linotype" w:eastAsia="Palatino Linotype" w:hAnsi="Palatino Linotype" w:cs="Palatino Linotype"/>
          <w:sz w:val="24"/>
          <w:szCs w:val="24"/>
        </w:rPr>
      </w:pPr>
      <w:bookmarkStart w:id="3" w:name="_heading=h.tyjcwt" w:colFirst="0" w:colLast="0"/>
      <w:bookmarkEnd w:id="3"/>
      <w:r w:rsidRPr="004E209B">
        <w:rPr>
          <w:rFonts w:ascii="Palatino Linotype" w:eastAsia="Palatino Linotype" w:hAnsi="Palatino Linotype" w:cs="Palatino Linotype"/>
          <w:b/>
          <w:sz w:val="24"/>
          <w:szCs w:val="24"/>
        </w:rPr>
        <w:t>8</w:t>
      </w:r>
      <w:r w:rsidR="009339EB" w:rsidRPr="004E209B">
        <w:rPr>
          <w:rFonts w:ascii="Palatino Linotype" w:eastAsia="Palatino Linotype" w:hAnsi="Palatino Linotype" w:cs="Palatino Linotype"/>
          <w:b/>
          <w:sz w:val="24"/>
          <w:szCs w:val="24"/>
        </w:rPr>
        <w:t xml:space="preserve">. </w:t>
      </w:r>
      <w:r w:rsidR="00CE173B" w:rsidRPr="004E209B">
        <w:rPr>
          <w:rFonts w:ascii="Palatino Linotype" w:eastAsia="Palatino Linotype" w:hAnsi="Palatino Linotype" w:cs="Palatino Linotype"/>
          <w:b/>
          <w:sz w:val="24"/>
          <w:szCs w:val="24"/>
        </w:rPr>
        <w:t xml:space="preserve">Requerimiento de información adicional. </w:t>
      </w:r>
      <w:r w:rsidR="00CE173B" w:rsidRPr="004E209B">
        <w:rPr>
          <w:rFonts w:ascii="Palatino Linotype" w:eastAsia="Palatino Linotype" w:hAnsi="Palatino Linotype" w:cs="Palatino Linotype"/>
          <w:sz w:val="24"/>
          <w:szCs w:val="24"/>
        </w:rPr>
        <w:t xml:space="preserve">El </w:t>
      </w:r>
      <w:r w:rsidR="00CE173B" w:rsidRPr="004E209B">
        <w:rPr>
          <w:rFonts w:ascii="Palatino Linotype" w:eastAsia="Palatino Linotype" w:hAnsi="Palatino Linotype" w:cs="Palatino Linotype"/>
          <w:b/>
          <w:sz w:val="24"/>
          <w:szCs w:val="24"/>
        </w:rPr>
        <w:t>veintiuno de noviembre de dos mil veinticuatro</w:t>
      </w:r>
      <w:r w:rsidR="00CE173B" w:rsidRPr="004E209B">
        <w:rPr>
          <w:rFonts w:ascii="Palatino Linotype" w:eastAsia="Palatino Linotype" w:hAnsi="Palatino Linotype" w:cs="Palatino Linotype"/>
          <w:sz w:val="24"/>
          <w:szCs w:val="24"/>
        </w:rPr>
        <w:t xml:space="preserve">, este Organismo Garante hizo un requerimiento de información adicional al </w:t>
      </w:r>
      <w:r w:rsidR="00CE173B" w:rsidRPr="004E209B">
        <w:rPr>
          <w:rFonts w:ascii="Palatino Linotype" w:eastAsia="Palatino Linotype" w:hAnsi="Palatino Linotype" w:cs="Palatino Linotype"/>
          <w:b/>
          <w:sz w:val="24"/>
          <w:szCs w:val="24"/>
        </w:rPr>
        <w:t>Sujeto Obligado</w:t>
      </w:r>
      <w:r w:rsidR="00CE173B" w:rsidRPr="004E209B">
        <w:rPr>
          <w:rFonts w:ascii="Palatino Linotype" w:eastAsia="Palatino Linotype" w:hAnsi="Palatino Linotype" w:cs="Palatino Linotype"/>
          <w:sz w:val="24"/>
          <w:szCs w:val="24"/>
        </w:rPr>
        <w:t xml:space="preserve">, mediante </w:t>
      </w:r>
      <w:r w:rsidR="00862715" w:rsidRPr="004E209B">
        <w:rPr>
          <w:rFonts w:ascii="Palatino Linotype" w:eastAsia="Palatino Linotype" w:hAnsi="Palatino Linotype" w:cs="Palatino Linotype"/>
          <w:sz w:val="24"/>
          <w:szCs w:val="24"/>
        </w:rPr>
        <w:t>SAIMEX</w:t>
      </w:r>
      <w:r w:rsidR="00CE173B" w:rsidRPr="004E209B">
        <w:rPr>
          <w:rFonts w:ascii="Palatino Linotype" w:eastAsia="Palatino Linotype" w:hAnsi="Palatino Linotype" w:cs="Palatino Linotype"/>
          <w:sz w:val="24"/>
          <w:szCs w:val="24"/>
        </w:rPr>
        <w:t xml:space="preserve">, el cual consistió en lo siguiente: </w:t>
      </w:r>
    </w:p>
    <w:p w14:paraId="1C100CE6" w14:textId="77777777" w:rsidR="00CE173B" w:rsidRPr="004E209B" w:rsidRDefault="00CE173B" w:rsidP="00CE173B">
      <w:pPr>
        <w:widowControl w:val="0"/>
        <w:spacing w:before="120" w:after="120" w:line="240" w:lineRule="auto"/>
        <w:ind w:left="851" w:right="902"/>
        <w:jc w:val="both"/>
        <w:rPr>
          <w:rFonts w:ascii="Palatino Linotype" w:eastAsia="Times New Roman" w:hAnsi="Palatino Linotype" w:cs="Times New Roman"/>
          <w:bCs/>
          <w:i/>
        </w:rPr>
      </w:pPr>
      <w:r w:rsidRPr="004E209B">
        <w:rPr>
          <w:rFonts w:ascii="Palatino Linotype" w:eastAsia="Palatino Linotype" w:hAnsi="Palatino Linotype" w:cs="Palatino Linotype"/>
          <w:b/>
          <w:i/>
        </w:rPr>
        <w:t>“</w:t>
      </w:r>
      <w:r w:rsidRPr="004E209B">
        <w:rPr>
          <w:rFonts w:ascii="Palatino Linotype" w:eastAsia="Palatino Linotype" w:hAnsi="Palatino Linotype"/>
          <w:i/>
        </w:rPr>
        <w:t>De las constancias que integran los expedientes de los recursos de revisión</w:t>
      </w:r>
      <w:r w:rsidRPr="004E209B">
        <w:rPr>
          <w:rFonts w:ascii="Palatino Linotype" w:eastAsia="Times New Roman" w:hAnsi="Palatino Linotype" w:cs="Times New Roman"/>
          <w:b/>
          <w:i/>
        </w:rPr>
        <w:t xml:space="preserve"> 06859/INFOEM/IP/RR/2024, 06860/INFOEM/IP/RR/2024 </w:t>
      </w:r>
      <w:r w:rsidRPr="004E209B">
        <w:rPr>
          <w:rFonts w:ascii="Palatino Linotype" w:eastAsia="Times New Roman" w:hAnsi="Palatino Linotype" w:cs="Times New Roman"/>
          <w:i/>
        </w:rPr>
        <w:t xml:space="preserve">y </w:t>
      </w:r>
      <w:r w:rsidRPr="004E209B">
        <w:rPr>
          <w:rFonts w:ascii="Palatino Linotype" w:eastAsia="Times New Roman" w:hAnsi="Palatino Linotype" w:cs="Times New Roman"/>
          <w:b/>
          <w:i/>
        </w:rPr>
        <w:t xml:space="preserve">06861/INFOEM/IP/RR/2024, </w:t>
      </w:r>
      <w:r w:rsidRPr="004E209B">
        <w:rPr>
          <w:rFonts w:ascii="Palatino Linotype" w:eastAsia="Times New Roman" w:hAnsi="Palatino Linotype" w:cs="Times New Roman"/>
          <w:i/>
        </w:rPr>
        <w:t xml:space="preserve">se desprende que en respuesta a las solicitudes de información </w:t>
      </w:r>
      <w:r w:rsidRPr="004E209B">
        <w:rPr>
          <w:rFonts w:ascii="Palatino Linotype" w:eastAsia="Times New Roman" w:hAnsi="Palatino Linotype" w:cs="Times New Roman"/>
          <w:b/>
          <w:i/>
        </w:rPr>
        <w:t xml:space="preserve">00705/TEMAMATL/IP/2024, 00706/TEMAMATL/IP/2024 </w:t>
      </w:r>
      <w:r w:rsidRPr="004E209B">
        <w:rPr>
          <w:rFonts w:ascii="Palatino Linotype" w:eastAsia="Times New Roman" w:hAnsi="Palatino Linotype" w:cs="Times New Roman"/>
          <w:i/>
        </w:rPr>
        <w:t xml:space="preserve">y </w:t>
      </w:r>
      <w:r w:rsidRPr="004E209B">
        <w:rPr>
          <w:rFonts w:ascii="Palatino Linotype" w:eastAsia="Times New Roman" w:hAnsi="Palatino Linotype" w:cs="Times New Roman"/>
          <w:b/>
          <w:i/>
        </w:rPr>
        <w:t>00707/TEMAMATL/IP/2024</w:t>
      </w:r>
      <w:r w:rsidRPr="004E209B">
        <w:rPr>
          <w:rFonts w:ascii="Palatino Linotype" w:eastAsia="Times New Roman" w:hAnsi="Palatino Linotype" w:cs="Times New Roman"/>
          <w:i/>
        </w:rPr>
        <w:t>, que dieron origen a dichos medios de impugnación</w:t>
      </w:r>
      <w:r w:rsidRPr="004E209B">
        <w:rPr>
          <w:rFonts w:ascii="Palatino Linotype" w:eastAsia="Times New Roman" w:hAnsi="Palatino Linotype" w:cs="Times New Roman"/>
          <w:b/>
          <w:bCs/>
          <w:i/>
        </w:rPr>
        <w:t xml:space="preserve">, </w:t>
      </w:r>
      <w:r w:rsidRPr="004E209B">
        <w:rPr>
          <w:rFonts w:ascii="Palatino Linotype" w:eastAsia="Times New Roman" w:hAnsi="Palatino Linotype" w:cs="Times New Roman"/>
          <w:bCs/>
          <w:i/>
        </w:rPr>
        <w:t>la Tesorera Municipal hizo el cambio de modalidad a consulta directa derivado de la cantidad, volumen, los recursos materiales y humanos con los que cuenta el área a su cargo, son limitados, así como el cambio de administración, la entrega recepción y mesas de transición, señalando como fecha para llevar a cabo la consulta directa el 30 de octubre de 2024, en un horario de 9:00 a 10:00 horas, en las instalaciones de la presidencia municipal, ubicada en Calle Plaza Hidalgo No. 1, Temamatla, Estado de México, Planta alta en las oficinas de la Tesorería Municipal.</w:t>
      </w:r>
    </w:p>
    <w:p w14:paraId="2ECBA275" w14:textId="77777777" w:rsidR="00CE173B" w:rsidRPr="004E209B" w:rsidRDefault="00CE173B" w:rsidP="00CE173B">
      <w:pPr>
        <w:spacing w:before="120" w:after="120" w:line="240" w:lineRule="auto"/>
        <w:ind w:left="851" w:right="902"/>
        <w:jc w:val="both"/>
        <w:rPr>
          <w:rFonts w:ascii="Palatino Linotype" w:hAnsi="Palatino Linotype"/>
          <w:i/>
        </w:rPr>
      </w:pPr>
      <w:r w:rsidRPr="004E209B">
        <w:rPr>
          <w:rFonts w:ascii="Palatino Linotype" w:hAnsi="Palatino Linotype"/>
          <w:i/>
        </w:rPr>
        <w:t>En este tenor, mediante el Acuerdo ACT/TEMA/UTAIP/ORDINARIA/85/2024/TERCERO, de la Octogésima Quinta Sesión Ordinaria del Comité de Transparencia, se aprobó que la información fuera puesta a disposición de la persona solicitante, a través de consulta directa (in situ), de conformidad con el calendario de consulta que obra en la misma acta, asimismo, se hicieron de su conocimiento las formalidades para la consulta.</w:t>
      </w:r>
    </w:p>
    <w:p w14:paraId="5524203E" w14:textId="77777777" w:rsidR="00CE173B" w:rsidRPr="004E209B" w:rsidRDefault="00CE173B" w:rsidP="00CE173B">
      <w:pPr>
        <w:widowControl w:val="0"/>
        <w:spacing w:before="120" w:after="120" w:line="240" w:lineRule="auto"/>
        <w:ind w:left="851" w:right="902"/>
        <w:jc w:val="both"/>
        <w:rPr>
          <w:rFonts w:ascii="Palatino Linotype" w:hAnsi="Palatino Linotype"/>
          <w:i/>
        </w:rPr>
      </w:pPr>
      <w:r w:rsidRPr="004E209B">
        <w:rPr>
          <w:rFonts w:ascii="Palatino Linotype" w:eastAsia="Times New Roman" w:hAnsi="Palatino Linotype" w:cs="Times New Roman"/>
          <w:i/>
        </w:rPr>
        <w:t xml:space="preserve">De lo anterior, se colige que </w:t>
      </w:r>
      <w:r w:rsidRPr="004E209B">
        <w:rPr>
          <w:rFonts w:ascii="Palatino Linotype" w:eastAsia="Times New Roman" w:hAnsi="Palatino Linotype" w:cs="Times New Roman"/>
          <w:b/>
          <w:bCs/>
          <w:i/>
          <w:noProof/>
        </w:rPr>
        <w:t>propuso el cambio de la modalidad</w:t>
      </w:r>
      <w:r w:rsidRPr="004E209B">
        <w:rPr>
          <w:rFonts w:ascii="Palatino Linotype" w:eastAsia="Times New Roman" w:hAnsi="Palatino Linotype" w:cs="Times New Roman"/>
          <w:i/>
          <w:noProof/>
        </w:rPr>
        <w:t xml:space="preserve"> </w:t>
      </w:r>
      <w:r w:rsidRPr="004E209B">
        <w:rPr>
          <w:rFonts w:ascii="Palatino Linotype" w:eastAsia="Times New Roman" w:hAnsi="Palatino Linotype" w:cs="Times New Roman"/>
          <w:b/>
          <w:bCs/>
          <w:i/>
          <w:noProof/>
        </w:rPr>
        <w:t xml:space="preserve">de entrega, </w:t>
      </w:r>
      <w:r w:rsidRPr="004E209B">
        <w:rPr>
          <w:rFonts w:ascii="Palatino Linotype" w:eastAsia="Times New Roman" w:hAnsi="Palatino Linotype" w:cs="Times New Roman"/>
          <w:bCs/>
          <w:i/>
          <w:noProof/>
        </w:rPr>
        <w:t xml:space="preserve">sin embargo, </w:t>
      </w:r>
      <w:r w:rsidRPr="004E209B">
        <w:rPr>
          <w:rFonts w:ascii="Palatino Linotype" w:eastAsia="Palatino Linotype" w:hAnsi="Palatino Linotype"/>
          <w:i/>
        </w:rPr>
        <w:t>se tiene que se dejaron de justificar, de manera clara, las razones o motivos que le llevaron a tomar dicha determinación, por lo que se carece de los elementos que permitan justificar que existe la necesidad de realizar el cambio de modalidad, lo anterior en términos de los señalado por el artículo 155, fracción V, 158 y 164 de</w:t>
      </w:r>
      <w:r w:rsidRPr="004E209B">
        <w:rPr>
          <w:rFonts w:ascii="Palatino Linotype" w:hAnsi="Palatino Linotype"/>
          <w:i/>
        </w:rPr>
        <w:t xml:space="preserve"> la Ley de Transparencia y Acceso a la Información Pública del Estado de México y Municipios. </w:t>
      </w:r>
    </w:p>
    <w:p w14:paraId="65F5DE23" w14:textId="77777777" w:rsidR="00CE173B" w:rsidRPr="004E209B" w:rsidRDefault="00CE173B" w:rsidP="00CE173B">
      <w:pPr>
        <w:widowControl w:val="0"/>
        <w:spacing w:before="120" w:after="120" w:line="240" w:lineRule="auto"/>
        <w:ind w:left="851" w:right="902"/>
        <w:jc w:val="both"/>
        <w:rPr>
          <w:rFonts w:ascii="Palatino Linotype" w:eastAsia="Palatino Linotype" w:hAnsi="Palatino Linotype" w:cs="Palatino Linotype"/>
          <w:i/>
        </w:rPr>
      </w:pPr>
      <w:r w:rsidRPr="004E209B">
        <w:rPr>
          <w:rFonts w:ascii="Palatino Linotype" w:hAnsi="Palatino Linotype"/>
          <w:i/>
        </w:rPr>
        <w:lastRenderedPageBreak/>
        <w:t>En este contexto, con fundamento en el artículo 14, fracciones I, II, V y XVI del Reglamento Interno del Instituto de Transparencia, Acceso a la Información Pública y Protección de Datos Personales del Estado de México y Municipios</w:t>
      </w:r>
      <w:r w:rsidRPr="004E209B">
        <w:rPr>
          <w:rFonts w:ascii="Palatino Linotype" w:hAnsi="Palatino Linotype"/>
          <w:b/>
          <w:bCs/>
          <w:i/>
        </w:rPr>
        <w:t>, con el objeto de contar con los elementos necesarios para la elaboración del proyecto de resolución correspondiente,</w:t>
      </w:r>
      <w:r w:rsidRPr="004E209B">
        <w:rPr>
          <w:rFonts w:ascii="Palatino Linotype" w:hAnsi="Palatino Linotype"/>
          <w:i/>
        </w:rPr>
        <w:t> se requiere al </w:t>
      </w:r>
      <w:r w:rsidRPr="004E209B">
        <w:rPr>
          <w:rFonts w:ascii="Palatino Linotype" w:hAnsi="Palatino Linotype"/>
          <w:b/>
          <w:bCs/>
          <w:i/>
        </w:rPr>
        <w:t>Sujeto Obligado,</w:t>
      </w:r>
      <w:r w:rsidRPr="004E209B">
        <w:rPr>
          <w:rFonts w:ascii="Palatino Linotype" w:hAnsi="Palatino Linotype"/>
          <w:i/>
        </w:rPr>
        <w:t xml:space="preserve"> para que precise lo siguiente </w:t>
      </w:r>
      <w:r w:rsidRPr="004E209B">
        <w:rPr>
          <w:rFonts w:ascii="Palatino Linotype" w:hAnsi="Palatino Linotype"/>
          <w:b/>
          <w:i/>
          <w:u w:val="single"/>
        </w:rPr>
        <w:t>por cada solicitud de información</w:t>
      </w:r>
      <w:r w:rsidRPr="004E209B">
        <w:rPr>
          <w:rFonts w:ascii="Palatino Linotype" w:hAnsi="Palatino Linotype"/>
          <w:i/>
        </w:rPr>
        <w:t>:</w:t>
      </w:r>
    </w:p>
    <w:p w14:paraId="2457C8F9" w14:textId="77777777" w:rsidR="00CE173B" w:rsidRPr="004E209B" w:rsidRDefault="00CE173B" w:rsidP="00CE173B">
      <w:pPr>
        <w:pBdr>
          <w:top w:val="nil"/>
          <w:left w:val="nil"/>
          <w:bottom w:val="nil"/>
          <w:right w:val="nil"/>
          <w:between w:val="nil"/>
        </w:pBdr>
        <w:tabs>
          <w:tab w:val="left" w:pos="567"/>
        </w:tabs>
        <w:spacing w:before="120" w:after="120" w:line="240" w:lineRule="auto"/>
        <w:ind w:left="1134" w:right="902"/>
        <w:jc w:val="both"/>
        <w:rPr>
          <w:rFonts w:ascii="Palatino Linotype" w:eastAsia="Palatino Linotype" w:hAnsi="Palatino Linotype" w:cs="Palatino Linotype"/>
          <w:i/>
        </w:rPr>
      </w:pPr>
      <w:r w:rsidRPr="004E209B">
        <w:rPr>
          <w:rFonts w:ascii="Palatino Linotype" w:hAnsi="Palatino Linotype"/>
          <w:b/>
          <w:bCs/>
          <w:i/>
        </w:rPr>
        <w:t>1.</w:t>
      </w:r>
      <w:r w:rsidRPr="004E209B">
        <w:rPr>
          <w:rFonts w:ascii="Palatino Linotype" w:hAnsi="Palatino Linotype"/>
          <w:i/>
        </w:rPr>
        <w:t> Manifieste, de manera clara y precisa, las razones y fundamentos suficientes que impiden la entrega de la información a través del SAIMEX, esto es: si lo peticionado implica un análisis, procesamiento o estudio de documentos cuya reproducción sobrepasará las capacidades técnicas, administrativas y humanas del </w:t>
      </w:r>
      <w:r w:rsidRPr="004E209B">
        <w:rPr>
          <w:rFonts w:ascii="Palatino Linotype" w:hAnsi="Palatino Linotype"/>
          <w:b/>
          <w:bCs/>
          <w:i/>
        </w:rPr>
        <w:t>Sujeto Obligado; </w:t>
      </w:r>
      <w:r w:rsidRPr="004E209B">
        <w:rPr>
          <w:rFonts w:ascii="Palatino Linotype" w:hAnsi="Palatino Linotype"/>
          <w:i/>
        </w:rPr>
        <w:t>precisando, por ejemplo, el número de personas que se encuentran en las áreas competentes, </w:t>
      </w:r>
      <w:r w:rsidRPr="004E209B">
        <w:rPr>
          <w:rStyle w:val="Textoennegrita"/>
          <w:rFonts w:ascii="Palatino Linotype" w:hAnsi="Palatino Linotype"/>
          <w:i/>
        </w:rPr>
        <w:t>el formato en que se encuentra la información, </w:t>
      </w:r>
      <w:r w:rsidRPr="004E209B">
        <w:rPr>
          <w:rFonts w:ascii="Palatino Linotype" w:hAnsi="Palatino Linotype"/>
          <w:i/>
        </w:rPr>
        <w:t>es decir</w:t>
      </w:r>
      <w:r w:rsidRPr="004E209B">
        <w:rPr>
          <w:rStyle w:val="Textoennegrita"/>
          <w:rFonts w:ascii="Palatino Linotype" w:hAnsi="Palatino Linotype"/>
          <w:i/>
        </w:rPr>
        <w:t>, de manera digital o física</w:t>
      </w:r>
      <w:r w:rsidRPr="004E209B">
        <w:rPr>
          <w:rFonts w:ascii="Palatino Linotype" w:hAnsi="Palatino Linotype"/>
          <w:i/>
        </w:rPr>
        <w:t xml:space="preserve">; si lo peticionado se encuentra en uno o varios expedientes, </w:t>
      </w:r>
      <w:r w:rsidRPr="004E209B">
        <w:rPr>
          <w:rFonts w:ascii="Palatino Linotype" w:eastAsia="Palatino Linotype" w:hAnsi="Palatino Linotype" w:cs="Palatino Linotype"/>
          <w:i/>
        </w:rPr>
        <w:t>, el tiempo insuficiente para para atender la solicitud en los términos que precisa la Ley, etcétera.</w:t>
      </w:r>
      <w:r w:rsidRPr="004E209B">
        <w:rPr>
          <w:rFonts w:ascii="Palatino Linotype" w:eastAsia="Palatino Linotype" w:hAnsi="Palatino Linotype" w:cs="Palatino Linotype"/>
          <w:b/>
          <w:bCs/>
          <w:i/>
        </w:rPr>
        <w:t xml:space="preserve"> </w:t>
      </w:r>
    </w:p>
    <w:p w14:paraId="56C5AD48" w14:textId="77777777" w:rsidR="00CE173B" w:rsidRPr="004E209B" w:rsidRDefault="00CE173B" w:rsidP="00CE173B">
      <w:pPr>
        <w:spacing w:before="120" w:after="120" w:line="240" w:lineRule="auto"/>
        <w:ind w:left="1134" w:right="902"/>
        <w:jc w:val="both"/>
        <w:rPr>
          <w:rFonts w:ascii="Palatino Linotype" w:hAnsi="Palatino Linotype"/>
          <w:b/>
          <w:bCs/>
          <w:i/>
          <w:u w:val="single"/>
        </w:rPr>
      </w:pPr>
      <w:r w:rsidRPr="004E209B">
        <w:rPr>
          <w:rFonts w:ascii="Palatino Linotype" w:hAnsi="Palatino Linotype"/>
          <w:b/>
          <w:bCs/>
          <w:i/>
        </w:rPr>
        <w:t>2.</w:t>
      </w:r>
      <w:r w:rsidRPr="004E209B">
        <w:rPr>
          <w:rFonts w:ascii="Palatino Linotype" w:hAnsi="Palatino Linotype"/>
          <w:i/>
        </w:rPr>
        <w:t> </w:t>
      </w:r>
      <w:r w:rsidRPr="004E209B">
        <w:rPr>
          <w:rFonts w:ascii="Palatino Linotype" w:hAnsi="Palatino Linotype"/>
          <w:b/>
          <w:bCs/>
          <w:i/>
          <w:u w:val="single"/>
        </w:rPr>
        <w:t>Refiera con exactitud</w:t>
      </w:r>
      <w:r w:rsidRPr="004E209B">
        <w:rPr>
          <w:rFonts w:ascii="Palatino Linotype" w:hAnsi="Palatino Linotype"/>
          <w:i/>
        </w:rPr>
        <w:t>, el cúmulo de información de que se trata, </w:t>
      </w:r>
      <w:r w:rsidRPr="004E209B">
        <w:rPr>
          <w:rFonts w:ascii="Palatino Linotype" w:hAnsi="Palatino Linotype"/>
          <w:b/>
          <w:bCs/>
          <w:i/>
          <w:u w:val="single"/>
        </w:rPr>
        <w:t>señalando de manera clara el número de documentos generados en el periodo solicitado</w:t>
      </w:r>
      <w:r w:rsidRPr="004E209B">
        <w:rPr>
          <w:rFonts w:ascii="Palatino Linotype" w:hAnsi="Palatino Linotype"/>
          <w:i/>
        </w:rPr>
        <w:t>, y, </w:t>
      </w:r>
      <w:r w:rsidRPr="004E209B">
        <w:rPr>
          <w:rFonts w:ascii="Palatino Linotype" w:hAnsi="Palatino Linotype"/>
          <w:b/>
          <w:bCs/>
          <w:i/>
        </w:rPr>
        <w:t xml:space="preserve">sí excede las capacidades del SAIMEX, esto </w:t>
      </w:r>
      <w:r w:rsidRPr="004E209B">
        <w:rPr>
          <w:rFonts w:ascii="Palatino Linotype" w:hAnsi="Palatino Linotype"/>
          <w:b/>
          <w:bCs/>
          <w:i/>
          <w:u w:val="single"/>
        </w:rPr>
        <w:t>mediante el reporte de incidencias realizado el área de soporte técnico de la Dirección General de Informática del INFOEM.</w:t>
      </w:r>
    </w:p>
    <w:p w14:paraId="78957F2A" w14:textId="77777777" w:rsidR="00CE173B" w:rsidRPr="004E209B" w:rsidRDefault="00CE173B" w:rsidP="00CE173B">
      <w:pPr>
        <w:spacing w:before="120" w:after="120" w:line="240" w:lineRule="auto"/>
        <w:ind w:left="1134" w:right="902"/>
        <w:jc w:val="both"/>
        <w:rPr>
          <w:i/>
        </w:rPr>
      </w:pPr>
      <w:r w:rsidRPr="004E209B">
        <w:rPr>
          <w:rFonts w:ascii="Palatino Linotype" w:hAnsi="Palatino Linotype"/>
          <w:b/>
          <w:bCs/>
          <w:i/>
        </w:rPr>
        <w:t>3. </w:t>
      </w:r>
      <w:r w:rsidRPr="004E209B">
        <w:rPr>
          <w:rFonts w:ascii="Palatino Linotype" w:hAnsi="Palatino Linotype"/>
          <w:i/>
        </w:rPr>
        <w:t xml:space="preserve">En caso de que la información solicitada sobrepase las capacidades técnicas del </w:t>
      </w:r>
      <w:r w:rsidRPr="004E209B">
        <w:rPr>
          <w:rFonts w:ascii="Palatino Linotype" w:hAnsi="Palatino Linotype"/>
          <w:b/>
          <w:i/>
        </w:rPr>
        <w:t>SAIMEX</w:t>
      </w:r>
      <w:r w:rsidRPr="004E209B">
        <w:rPr>
          <w:rFonts w:ascii="Palatino Linotype" w:hAnsi="Palatino Linotype"/>
          <w:i/>
        </w:rPr>
        <w:t>, así como administrativas y humanas del </w:t>
      </w:r>
      <w:r w:rsidRPr="004E209B">
        <w:rPr>
          <w:rFonts w:ascii="Palatino Linotype" w:hAnsi="Palatino Linotype"/>
          <w:b/>
          <w:bCs/>
          <w:i/>
        </w:rPr>
        <w:t>Sujeto Obligado,</w:t>
      </w:r>
      <w:r w:rsidRPr="004E209B">
        <w:rPr>
          <w:rFonts w:ascii="Palatino Linotype" w:hAnsi="Palatino Linotype"/>
          <w:i/>
        </w:rPr>
        <w:t xml:space="preserve"> </w:t>
      </w:r>
      <w:r w:rsidRPr="004E209B">
        <w:rPr>
          <w:rFonts w:ascii="Palatino Linotype" w:hAnsi="Palatino Linotype"/>
          <w:b/>
          <w:bCs/>
          <w:i/>
          <w:u w:val="single"/>
        </w:rPr>
        <w:t>remita los respectivos medios de convicción</w:t>
      </w:r>
      <w:r w:rsidRPr="004E209B">
        <w:rPr>
          <w:rFonts w:ascii="Palatino Linotype" w:hAnsi="Palatino Linotype"/>
          <w:i/>
        </w:rPr>
        <w:t>, pudiendo ser </w:t>
      </w:r>
      <w:r w:rsidRPr="004E209B">
        <w:rPr>
          <w:rFonts w:ascii="Palatino Linotype" w:hAnsi="Palatino Linotype"/>
          <w:b/>
          <w:bCs/>
          <w:i/>
          <w:u w:val="single"/>
        </w:rPr>
        <w:t>fotografías en el caso de expedientes físicos</w:t>
      </w:r>
      <w:r w:rsidRPr="004E209B">
        <w:rPr>
          <w:rFonts w:ascii="Palatino Linotype" w:hAnsi="Palatino Linotype"/>
          <w:i/>
        </w:rPr>
        <w:t>, o bien, </w:t>
      </w:r>
      <w:r w:rsidRPr="004E209B">
        <w:rPr>
          <w:rFonts w:ascii="Palatino Linotype" w:hAnsi="Palatino Linotype"/>
          <w:b/>
          <w:bCs/>
          <w:i/>
          <w:u w:val="single"/>
        </w:rPr>
        <w:t>documento que comprueben el peso aproximado de la información</w:t>
      </w:r>
      <w:r w:rsidRPr="004E209B">
        <w:rPr>
          <w:rStyle w:val="Textoennegrita"/>
          <w:rFonts w:ascii="Palatino Linotype" w:hAnsi="Palatino Linotype"/>
          <w:i/>
        </w:rPr>
        <w:t>, en caso de que se trate de expedientes electrónicos.</w:t>
      </w:r>
    </w:p>
    <w:p w14:paraId="0FFE7CE2" w14:textId="2D6F44CC" w:rsidR="00CE173B" w:rsidRPr="004E209B" w:rsidRDefault="00CE173B" w:rsidP="00CE173B">
      <w:pPr>
        <w:tabs>
          <w:tab w:val="left" w:pos="1741"/>
        </w:tabs>
        <w:spacing w:before="120" w:after="120" w:line="240" w:lineRule="auto"/>
        <w:ind w:left="851" w:right="902"/>
        <w:jc w:val="both"/>
        <w:rPr>
          <w:rFonts w:ascii="Palatino Linotype" w:eastAsia="Palatino Linotype" w:hAnsi="Palatino Linotype" w:cs="Palatino Linotype"/>
          <w:b/>
          <w:i/>
        </w:rPr>
      </w:pPr>
      <w:r w:rsidRPr="004E209B">
        <w:rPr>
          <w:rFonts w:ascii="Palatino Linotype" w:hAnsi="Palatino Linotype"/>
          <w:i/>
        </w:rPr>
        <w:t>La información de mérito deberá ser entregada a este Instituto en un lapso no mayor a tres días, contados a partir del día siguiente al de la notificación del presente, a través del SAIMEX, y/o a través de los correos electrónicos…” (sic)</w:t>
      </w:r>
    </w:p>
    <w:p w14:paraId="723F05C8" w14:textId="2088A4A1" w:rsidR="00545E86" w:rsidRPr="004E209B" w:rsidRDefault="001F689D" w:rsidP="00545E86">
      <w:pPr>
        <w:widowControl w:val="0"/>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 xml:space="preserve">9. </w:t>
      </w:r>
      <w:r w:rsidR="00545E86" w:rsidRPr="004E209B">
        <w:rPr>
          <w:rFonts w:ascii="Palatino Linotype" w:eastAsia="Palatino Linotype" w:hAnsi="Palatino Linotype" w:cs="Palatino Linotype"/>
          <w:b/>
          <w:sz w:val="24"/>
          <w:szCs w:val="24"/>
        </w:rPr>
        <w:t xml:space="preserve">Desahogo del requerimiento de información adicional. </w:t>
      </w:r>
      <w:r w:rsidR="00545E86" w:rsidRPr="004E209B">
        <w:rPr>
          <w:rFonts w:ascii="Palatino Linotype" w:eastAsia="Palatino Linotype" w:hAnsi="Palatino Linotype" w:cs="Palatino Linotype"/>
          <w:sz w:val="24"/>
          <w:szCs w:val="24"/>
        </w:rPr>
        <w:t xml:space="preserve">El </w:t>
      </w:r>
      <w:r w:rsidR="00545E86" w:rsidRPr="004E209B">
        <w:rPr>
          <w:rFonts w:ascii="Palatino Linotype" w:eastAsia="Palatino Linotype" w:hAnsi="Palatino Linotype" w:cs="Palatino Linotype"/>
          <w:b/>
          <w:sz w:val="24"/>
          <w:szCs w:val="24"/>
        </w:rPr>
        <w:t xml:space="preserve">Sujeto Obligado </w:t>
      </w:r>
      <w:r w:rsidR="00545E86" w:rsidRPr="004E209B">
        <w:rPr>
          <w:rFonts w:ascii="Palatino Linotype" w:eastAsia="Palatino Linotype" w:hAnsi="Palatino Linotype" w:cs="Palatino Linotype"/>
          <w:sz w:val="24"/>
          <w:szCs w:val="24"/>
        </w:rPr>
        <w:t>fue omiso en emitir pronunciamiento alguno con relación al requerimiento de información, en el plazo establecido para tal efecto.</w:t>
      </w:r>
    </w:p>
    <w:p w14:paraId="27B3BD67" w14:textId="7920C5A3" w:rsidR="001F689D" w:rsidRPr="004E209B" w:rsidRDefault="00545E86" w:rsidP="001F689D">
      <w:pPr>
        <w:widowControl w:val="0"/>
        <w:spacing w:before="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lastRenderedPageBreak/>
        <w:t xml:space="preserve">10. </w:t>
      </w:r>
      <w:r w:rsidR="001F689D" w:rsidRPr="004E209B">
        <w:rPr>
          <w:rFonts w:ascii="Palatino Linotype" w:eastAsia="Palatino Linotype" w:hAnsi="Palatino Linotype" w:cs="Palatino Linotype"/>
          <w:b/>
          <w:sz w:val="24"/>
          <w:szCs w:val="24"/>
        </w:rPr>
        <w:t>Solicitud de reporte de incidencia.</w:t>
      </w:r>
      <w:r w:rsidR="001F689D" w:rsidRPr="004E209B">
        <w:rPr>
          <w:rFonts w:ascii="Palatino Linotype" w:eastAsia="Palatino Linotype" w:hAnsi="Palatino Linotype" w:cs="Palatino Linotype"/>
          <w:sz w:val="24"/>
          <w:szCs w:val="24"/>
        </w:rPr>
        <w:t xml:space="preserve"> El </w:t>
      </w:r>
      <w:r w:rsidR="005A6D87" w:rsidRPr="004E209B">
        <w:rPr>
          <w:rFonts w:ascii="Palatino Linotype" w:eastAsia="Palatino Linotype" w:hAnsi="Palatino Linotype" w:cs="Palatino Linotype"/>
          <w:b/>
          <w:sz w:val="24"/>
          <w:szCs w:val="24"/>
        </w:rPr>
        <w:t>veintiocho</w:t>
      </w:r>
      <w:r w:rsidRPr="004E209B">
        <w:rPr>
          <w:rFonts w:ascii="Palatino Linotype" w:eastAsia="Palatino Linotype" w:hAnsi="Palatino Linotype" w:cs="Palatino Linotype"/>
          <w:b/>
          <w:sz w:val="24"/>
          <w:szCs w:val="24"/>
        </w:rPr>
        <w:t xml:space="preserve"> de noviembre </w:t>
      </w:r>
      <w:r w:rsidR="001F689D" w:rsidRPr="004E209B">
        <w:rPr>
          <w:rFonts w:ascii="Palatino Linotype" w:eastAsia="Palatino Linotype" w:hAnsi="Palatino Linotype" w:cs="Palatino Linotype"/>
          <w:b/>
          <w:sz w:val="24"/>
          <w:szCs w:val="24"/>
        </w:rPr>
        <w:t xml:space="preserve">de dos mil veinticuatro, </w:t>
      </w:r>
      <w:r w:rsidR="001F689D" w:rsidRPr="004E209B">
        <w:rPr>
          <w:rFonts w:ascii="Palatino Linotype" w:eastAsia="Palatino Linotype" w:hAnsi="Palatino Linotype" w:cs="Palatino Linotype"/>
          <w:sz w:val="24"/>
          <w:szCs w:val="24"/>
        </w:rPr>
        <w:t xml:space="preserve">se realizó la consulta, a través de correo electrónico, a la Dirección General de Informática de este Instituto sobre las incidencias presentadas por el </w:t>
      </w:r>
      <w:r w:rsidR="001F689D" w:rsidRPr="004E209B">
        <w:rPr>
          <w:rFonts w:ascii="Palatino Linotype" w:eastAsia="Palatino Linotype" w:hAnsi="Palatino Linotype" w:cs="Palatino Linotype"/>
          <w:b/>
          <w:sz w:val="24"/>
          <w:szCs w:val="24"/>
        </w:rPr>
        <w:t>Sujeto Obligado</w:t>
      </w:r>
      <w:r w:rsidR="001F689D" w:rsidRPr="004E209B">
        <w:rPr>
          <w:rFonts w:ascii="Palatino Linotype" w:eastAsia="Palatino Linotype" w:hAnsi="Palatino Linotype" w:cs="Palatino Linotype"/>
          <w:sz w:val="24"/>
          <w:szCs w:val="24"/>
        </w:rPr>
        <w:t>, para atender la solicitud de información dio origen al recurso de revisión que se resuelve, tal como se advierte a continuación:</w:t>
      </w:r>
    </w:p>
    <w:p w14:paraId="4DF65B81" w14:textId="3632FED0" w:rsidR="001C0EF0" w:rsidRPr="004E209B" w:rsidRDefault="001C0EF0" w:rsidP="001C0EF0">
      <w:pPr>
        <w:widowControl w:val="0"/>
        <w:spacing w:before="240" w:line="360" w:lineRule="auto"/>
        <w:jc w:val="center"/>
        <w:rPr>
          <w:rFonts w:ascii="Palatino Linotype" w:eastAsia="Palatino Linotype" w:hAnsi="Palatino Linotype" w:cs="Palatino Linotype"/>
          <w:sz w:val="24"/>
          <w:szCs w:val="24"/>
        </w:rPr>
      </w:pPr>
      <w:r w:rsidRPr="004E209B">
        <w:rPr>
          <w:rFonts w:ascii="Palatino Linotype" w:eastAsia="Palatino Linotype" w:hAnsi="Palatino Linotype" w:cs="Palatino Linotype"/>
          <w:noProof/>
          <w:sz w:val="24"/>
          <w:szCs w:val="24"/>
        </w:rPr>
        <w:drawing>
          <wp:inline distT="0" distB="0" distL="0" distR="0" wp14:anchorId="5D664AE0" wp14:editId="436A2937">
            <wp:extent cx="4499046"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8125"/>
                    <a:stretch/>
                  </pic:blipFill>
                  <pic:spPr bwMode="auto">
                    <a:xfrm>
                      <a:off x="0" y="0"/>
                      <a:ext cx="4500000" cy="1752972"/>
                    </a:xfrm>
                    <a:prstGeom prst="rect">
                      <a:avLst/>
                    </a:prstGeom>
                    <a:ln>
                      <a:noFill/>
                    </a:ln>
                    <a:extLst>
                      <a:ext uri="{53640926-AAD7-44D8-BBD7-CCE9431645EC}">
                        <a14:shadowObscured xmlns:a14="http://schemas.microsoft.com/office/drawing/2010/main"/>
                      </a:ext>
                    </a:extLst>
                  </pic:spPr>
                </pic:pic>
              </a:graphicData>
            </a:graphic>
          </wp:inline>
        </w:drawing>
      </w:r>
    </w:p>
    <w:p w14:paraId="4068DE2C" w14:textId="77B3F622" w:rsidR="00545E86" w:rsidRPr="004E209B" w:rsidRDefault="00545E86" w:rsidP="00545E86">
      <w:pPr>
        <w:pBdr>
          <w:top w:val="nil"/>
          <w:left w:val="nil"/>
          <w:bottom w:val="nil"/>
          <w:right w:val="nil"/>
          <w:between w:val="nil"/>
        </w:pBdr>
        <w:spacing w:line="360" w:lineRule="auto"/>
        <w:ind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11</w:t>
      </w:r>
      <w:r w:rsidR="001F689D" w:rsidRPr="004E209B">
        <w:rPr>
          <w:rFonts w:ascii="Palatino Linotype" w:eastAsia="Palatino Linotype" w:hAnsi="Palatino Linotype" w:cs="Palatino Linotype"/>
          <w:b/>
          <w:sz w:val="24"/>
          <w:szCs w:val="24"/>
        </w:rPr>
        <w:t xml:space="preserve">. Reporte de incidencia. </w:t>
      </w:r>
      <w:r w:rsidRPr="004E209B">
        <w:rPr>
          <w:rFonts w:ascii="Palatino Linotype" w:eastAsia="Palatino Linotype" w:hAnsi="Palatino Linotype" w:cs="Palatino Linotype"/>
          <w:sz w:val="24"/>
          <w:szCs w:val="24"/>
        </w:rPr>
        <w:t xml:space="preserve">En </w:t>
      </w:r>
      <w:proofErr w:type="gramStart"/>
      <w:r w:rsidRPr="004E209B">
        <w:rPr>
          <w:rFonts w:ascii="Palatino Linotype" w:eastAsia="Palatino Linotype" w:hAnsi="Palatino Linotype" w:cs="Palatino Linotype"/>
          <w:sz w:val="24"/>
          <w:szCs w:val="24"/>
        </w:rPr>
        <w:t>respuesta  al</w:t>
      </w:r>
      <w:proofErr w:type="gramEnd"/>
      <w:r w:rsidRPr="004E209B">
        <w:rPr>
          <w:rFonts w:ascii="Palatino Linotype" w:eastAsia="Palatino Linotype" w:hAnsi="Palatino Linotype" w:cs="Palatino Linotype"/>
          <w:sz w:val="24"/>
          <w:szCs w:val="24"/>
        </w:rPr>
        <w:t xml:space="preserve"> correo electrónico referido en el punto anterior,</w:t>
      </w:r>
      <w:r w:rsidRPr="004E209B">
        <w:rPr>
          <w:rFonts w:ascii="Palatino Linotype" w:eastAsia="Palatino Linotype" w:hAnsi="Palatino Linotype" w:cs="Palatino Linotype"/>
          <w:b/>
          <w:sz w:val="24"/>
          <w:szCs w:val="24"/>
        </w:rPr>
        <w:t xml:space="preserve"> </w:t>
      </w:r>
      <w:r w:rsidRPr="004E209B">
        <w:rPr>
          <w:rFonts w:ascii="Palatino Linotype" w:eastAsia="Palatino Linotype" w:hAnsi="Palatino Linotype" w:cs="Palatino Linotype"/>
          <w:sz w:val="24"/>
          <w:szCs w:val="24"/>
        </w:rPr>
        <w:t xml:space="preserve">el </w:t>
      </w:r>
      <w:r w:rsidR="001C0EF0" w:rsidRPr="004E209B">
        <w:rPr>
          <w:rFonts w:ascii="Palatino Linotype" w:eastAsia="Palatino Linotype" w:hAnsi="Palatino Linotype" w:cs="Palatino Linotype"/>
          <w:b/>
          <w:sz w:val="24"/>
          <w:szCs w:val="24"/>
        </w:rPr>
        <w:t>veintiocho</w:t>
      </w:r>
      <w:r w:rsidRPr="004E209B">
        <w:rPr>
          <w:rFonts w:ascii="Palatino Linotype" w:eastAsia="Palatino Linotype" w:hAnsi="Palatino Linotype" w:cs="Palatino Linotype"/>
          <w:b/>
          <w:sz w:val="24"/>
          <w:szCs w:val="24"/>
        </w:rPr>
        <w:t xml:space="preserve"> de noviembre de dos mil veinticuatro, </w:t>
      </w:r>
      <w:r w:rsidRPr="004E209B">
        <w:rPr>
          <w:rFonts w:ascii="Palatino Linotype" w:eastAsia="Palatino Linotype" w:hAnsi="Palatino Linotype" w:cs="Palatino Linotype"/>
          <w:sz w:val="24"/>
          <w:szCs w:val="24"/>
        </w:rPr>
        <w:t xml:space="preserve">la Dirección General de Informática, informó que </w:t>
      </w:r>
      <w:r w:rsidRPr="004E209B">
        <w:rPr>
          <w:rFonts w:ascii="Palatino Linotype" w:eastAsia="Palatino Linotype" w:hAnsi="Palatino Linotype" w:cs="Palatino Linotype"/>
          <w:b/>
          <w:sz w:val="24"/>
          <w:szCs w:val="24"/>
        </w:rPr>
        <w:t xml:space="preserve">no se tenía registro de incidencia por parte del Sujeto Obligado </w:t>
      </w:r>
      <w:r w:rsidRPr="004E209B">
        <w:rPr>
          <w:rFonts w:ascii="Palatino Linotype" w:eastAsia="Palatino Linotype" w:hAnsi="Palatino Linotype" w:cs="Palatino Linotype"/>
          <w:sz w:val="24"/>
          <w:szCs w:val="24"/>
        </w:rPr>
        <w:t>en comento</w:t>
      </w:r>
      <w:r w:rsidRPr="004E209B">
        <w:rPr>
          <w:rFonts w:ascii="Palatino Linotype" w:eastAsia="Palatino Linotype" w:hAnsi="Palatino Linotype" w:cs="Palatino Linotype"/>
          <w:b/>
          <w:sz w:val="24"/>
          <w:szCs w:val="24"/>
        </w:rPr>
        <w:t xml:space="preserve">, </w:t>
      </w:r>
      <w:r w:rsidRPr="004E209B">
        <w:rPr>
          <w:rFonts w:ascii="Palatino Linotype" w:eastAsia="Palatino Linotype" w:hAnsi="Palatino Linotype" w:cs="Palatino Linotype"/>
          <w:sz w:val="24"/>
          <w:szCs w:val="24"/>
        </w:rPr>
        <w:t>como se advierte a continuación:</w:t>
      </w:r>
    </w:p>
    <w:p w14:paraId="75A609EB" w14:textId="088D6DFC" w:rsidR="00947F74" w:rsidRPr="004E209B" w:rsidRDefault="00947F74" w:rsidP="00947F74">
      <w:pPr>
        <w:pBdr>
          <w:top w:val="nil"/>
          <w:left w:val="nil"/>
          <w:bottom w:val="nil"/>
          <w:right w:val="nil"/>
          <w:between w:val="nil"/>
        </w:pBdr>
        <w:spacing w:line="360" w:lineRule="auto"/>
        <w:ind w:right="49"/>
        <w:jc w:val="center"/>
        <w:rPr>
          <w:rFonts w:ascii="Palatino Linotype" w:eastAsia="Palatino Linotype" w:hAnsi="Palatino Linotype" w:cs="Palatino Linotype"/>
          <w:sz w:val="24"/>
          <w:szCs w:val="24"/>
        </w:rPr>
      </w:pPr>
      <w:r w:rsidRPr="004E209B">
        <w:rPr>
          <w:rFonts w:ascii="Palatino Linotype" w:eastAsia="Palatino Linotype" w:hAnsi="Palatino Linotype" w:cs="Palatino Linotype"/>
          <w:noProof/>
          <w:sz w:val="24"/>
          <w:szCs w:val="24"/>
        </w:rPr>
        <w:drawing>
          <wp:inline distT="0" distB="0" distL="0" distR="0" wp14:anchorId="34C10097" wp14:editId="3CDEEDD3">
            <wp:extent cx="4500000" cy="1763747"/>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00000" cy="1763747"/>
                    </a:xfrm>
                    <a:prstGeom prst="rect">
                      <a:avLst/>
                    </a:prstGeom>
                  </pic:spPr>
                </pic:pic>
              </a:graphicData>
            </a:graphic>
          </wp:inline>
        </w:drawing>
      </w:r>
    </w:p>
    <w:p w14:paraId="32844A21" w14:textId="0BB68F59" w:rsidR="00C2297E" w:rsidRPr="004E209B" w:rsidRDefault="00545E86">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lastRenderedPageBreak/>
        <w:t xml:space="preserve">12. </w:t>
      </w:r>
      <w:r w:rsidR="009339EB" w:rsidRPr="004E209B">
        <w:rPr>
          <w:rFonts w:ascii="Palatino Linotype" w:eastAsia="Palatino Linotype" w:hAnsi="Palatino Linotype" w:cs="Palatino Linotype"/>
          <w:b/>
          <w:sz w:val="24"/>
          <w:szCs w:val="24"/>
        </w:rPr>
        <w:t xml:space="preserve">Cierre de Instrucción. </w:t>
      </w:r>
      <w:r w:rsidR="009339EB" w:rsidRPr="004E209B">
        <w:rPr>
          <w:rFonts w:ascii="Palatino Linotype" w:eastAsia="Palatino Linotype" w:hAnsi="Palatino Linotype" w:cs="Palatino Linotype"/>
          <w:sz w:val="24"/>
          <w:szCs w:val="24"/>
        </w:rPr>
        <w:t xml:space="preserve">El </w:t>
      </w:r>
      <w:r w:rsidR="00947F74" w:rsidRPr="004E209B">
        <w:rPr>
          <w:rFonts w:ascii="Palatino Linotype" w:eastAsia="Palatino Linotype" w:hAnsi="Palatino Linotype" w:cs="Palatino Linotype"/>
          <w:b/>
          <w:sz w:val="24"/>
          <w:szCs w:val="24"/>
        </w:rPr>
        <w:t>veintiocho</w:t>
      </w:r>
      <w:r w:rsidR="00A13365" w:rsidRPr="004E209B">
        <w:rPr>
          <w:rFonts w:ascii="Palatino Linotype" w:eastAsia="Palatino Linotype" w:hAnsi="Palatino Linotype" w:cs="Palatino Linotype"/>
          <w:b/>
          <w:sz w:val="24"/>
          <w:szCs w:val="24"/>
        </w:rPr>
        <w:t xml:space="preserve"> de noviembre </w:t>
      </w:r>
      <w:r w:rsidR="009339EB" w:rsidRPr="004E209B">
        <w:rPr>
          <w:rFonts w:ascii="Palatino Linotype" w:eastAsia="Palatino Linotype" w:hAnsi="Palatino Linotype" w:cs="Palatino Linotype"/>
          <w:b/>
          <w:sz w:val="24"/>
          <w:szCs w:val="24"/>
        </w:rPr>
        <w:t>de dos mil veinticuatro</w:t>
      </w:r>
      <w:r w:rsidR="009339EB" w:rsidRPr="004E209B">
        <w:rPr>
          <w:rFonts w:ascii="Palatino Linotype" w:eastAsia="Palatino Linotype" w:hAnsi="Palatino Linotype" w:cs="Palatino Linotype"/>
          <w:sz w:val="24"/>
          <w:szCs w:val="24"/>
        </w:rPr>
        <w:t>, con fundamento en lo establecido en el artículo 185, fracción VI de la Ley de Transparencia y Acceso a la Información Pública del Estado de México y Municipios, al no existir trámite pendiente por realizar y haber sido sustanciados medios de impugnación se acordó el cierre de instrucción y se procede a formular la resolución que en derecho corresponda.</w:t>
      </w:r>
    </w:p>
    <w:p w14:paraId="0717D87A" w14:textId="77777777"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En razón de que fue debidamente sustanciado el expediente electrónico y no existe diligencia pendiente de desahogo, se emite la Resolución que conforme a Derecho proceda, de acuerdo con los siguientes: </w:t>
      </w:r>
    </w:p>
    <w:p w14:paraId="38D87A64" w14:textId="77777777" w:rsidR="00C2297E" w:rsidRPr="004E209B" w:rsidRDefault="009339EB">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4E209B">
        <w:rPr>
          <w:rFonts w:ascii="Palatino Linotype" w:eastAsia="Palatino Linotype" w:hAnsi="Palatino Linotype" w:cs="Palatino Linotype"/>
          <w:b/>
          <w:sz w:val="24"/>
          <w:szCs w:val="24"/>
        </w:rPr>
        <w:t>II. C O N S I D E R A N D O S:</w:t>
      </w:r>
    </w:p>
    <w:p w14:paraId="63DC1F66" w14:textId="77777777"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Primero. Competencia.</w:t>
      </w:r>
      <w:r w:rsidRPr="004E209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los presentes recursos de revisión interpuestos por la parte </w:t>
      </w:r>
      <w:r w:rsidRPr="004E209B">
        <w:rPr>
          <w:rFonts w:ascii="Palatino Linotype" w:eastAsia="Palatino Linotype" w:hAnsi="Palatino Linotype" w:cs="Palatino Linotype"/>
          <w:b/>
          <w:sz w:val="24"/>
          <w:szCs w:val="24"/>
        </w:rPr>
        <w:t>Recurrente</w:t>
      </w:r>
      <w:r w:rsidRPr="004E209B">
        <w:rPr>
          <w:rFonts w:ascii="Palatino Linotype" w:eastAsia="Palatino Linotype" w:hAnsi="Palatino Linotype" w:cs="Palatino Linotype"/>
          <w:sz w:val="24"/>
          <w:szCs w:val="24"/>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XIV, y 11 del Reglamento Interior del Instituto de Transparencia, Acceso a la Información Pública y Protección de Datos Personales del Estado de México y Municipios.</w:t>
      </w:r>
    </w:p>
    <w:p w14:paraId="0EAD7A6D" w14:textId="77777777"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lastRenderedPageBreak/>
        <w:t>Segundo. Oportunidad y Procedibilidad del Recurso de Revisión</w:t>
      </w:r>
      <w:r w:rsidRPr="004E209B">
        <w:rPr>
          <w:rFonts w:ascii="Palatino Linotype" w:eastAsia="Palatino Linotype" w:hAnsi="Palatino Linotype" w:cs="Palatino Linotype"/>
          <w:sz w:val="24"/>
          <w:szCs w:val="24"/>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303E706E" w14:textId="48B8EEB1"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Los recursos de revisión fueron interpuestos dentro del plazo de quince días hábiles, previsto en el artículo 178 de la Ley de Transparencia y Acceso a la Información Pública del Estado de México y Municipios, toda vez que el </w:t>
      </w:r>
      <w:r w:rsidRPr="004E209B">
        <w:rPr>
          <w:rFonts w:ascii="Palatino Linotype" w:eastAsia="Palatino Linotype" w:hAnsi="Palatino Linotype" w:cs="Palatino Linotype"/>
          <w:b/>
          <w:sz w:val="24"/>
          <w:szCs w:val="24"/>
        </w:rPr>
        <w:t xml:space="preserve">Sujeto Obligado </w:t>
      </w:r>
      <w:r w:rsidRPr="004E209B">
        <w:rPr>
          <w:rFonts w:ascii="Palatino Linotype" w:eastAsia="Palatino Linotype" w:hAnsi="Palatino Linotype" w:cs="Palatino Linotype"/>
          <w:sz w:val="24"/>
          <w:szCs w:val="24"/>
        </w:rPr>
        <w:t xml:space="preserve">remitió la respuesta a las solicitudes de información </w:t>
      </w:r>
      <w:r w:rsidR="006C66F4" w:rsidRPr="004E209B">
        <w:rPr>
          <w:rFonts w:ascii="Palatino Linotype" w:eastAsia="Palatino Linotype" w:hAnsi="Palatino Linotype" w:cs="Palatino Linotype"/>
          <w:sz w:val="24"/>
          <w:szCs w:val="24"/>
        </w:rPr>
        <w:t xml:space="preserve">el </w:t>
      </w:r>
      <w:r w:rsidR="00095B40" w:rsidRPr="004E209B">
        <w:rPr>
          <w:rFonts w:ascii="Palatino Linotype" w:eastAsia="Palatino Linotype" w:hAnsi="Palatino Linotype" w:cs="Palatino Linotype"/>
          <w:b/>
          <w:bCs/>
          <w:sz w:val="24"/>
          <w:szCs w:val="24"/>
        </w:rPr>
        <w:t>veinticinco</w:t>
      </w:r>
      <w:r w:rsidR="006C66F4" w:rsidRPr="004E209B">
        <w:rPr>
          <w:rFonts w:ascii="Palatino Linotype" w:eastAsia="Palatino Linotype" w:hAnsi="Palatino Linotype" w:cs="Palatino Linotype"/>
          <w:b/>
          <w:bCs/>
          <w:sz w:val="24"/>
          <w:szCs w:val="24"/>
        </w:rPr>
        <w:t xml:space="preserve"> de octubre </w:t>
      </w:r>
      <w:r w:rsidRPr="004E209B">
        <w:rPr>
          <w:rFonts w:ascii="Palatino Linotype" w:eastAsia="Palatino Linotype" w:hAnsi="Palatino Linotype" w:cs="Palatino Linotype"/>
          <w:b/>
          <w:bCs/>
          <w:sz w:val="24"/>
          <w:szCs w:val="24"/>
        </w:rPr>
        <w:t>de dos</w:t>
      </w:r>
      <w:r w:rsidRPr="004E209B">
        <w:rPr>
          <w:rFonts w:ascii="Palatino Linotype" w:eastAsia="Palatino Linotype" w:hAnsi="Palatino Linotype" w:cs="Palatino Linotype"/>
          <w:b/>
          <w:sz w:val="24"/>
          <w:szCs w:val="24"/>
        </w:rPr>
        <w:t xml:space="preserve"> mil veinticuatro, </w:t>
      </w:r>
      <w:r w:rsidRPr="004E209B">
        <w:rPr>
          <w:rFonts w:ascii="Palatino Linotype" w:eastAsia="Palatino Linotype" w:hAnsi="Palatino Linotype" w:cs="Palatino Linotype"/>
          <w:sz w:val="24"/>
          <w:szCs w:val="24"/>
        </w:rPr>
        <w:t xml:space="preserve">mientras que los recursos de revisión interpuestos por la parte </w:t>
      </w:r>
      <w:r w:rsidRPr="004E209B">
        <w:rPr>
          <w:rFonts w:ascii="Palatino Linotype" w:eastAsia="Palatino Linotype" w:hAnsi="Palatino Linotype" w:cs="Palatino Linotype"/>
          <w:b/>
          <w:sz w:val="24"/>
          <w:szCs w:val="24"/>
        </w:rPr>
        <w:t>Recurrente</w:t>
      </w:r>
      <w:r w:rsidRPr="004E209B">
        <w:rPr>
          <w:rFonts w:ascii="Palatino Linotype" w:eastAsia="Palatino Linotype" w:hAnsi="Palatino Linotype" w:cs="Palatino Linotype"/>
          <w:sz w:val="24"/>
          <w:szCs w:val="24"/>
        </w:rPr>
        <w:t xml:space="preserve">, se tuvieron por presentados </w:t>
      </w:r>
      <w:r w:rsidR="006C66F4" w:rsidRPr="004E209B">
        <w:rPr>
          <w:rFonts w:ascii="Palatino Linotype" w:eastAsia="Palatino Linotype" w:hAnsi="Palatino Linotype" w:cs="Palatino Linotype"/>
          <w:sz w:val="24"/>
          <w:szCs w:val="24"/>
        </w:rPr>
        <w:t xml:space="preserve">el </w:t>
      </w:r>
      <w:r w:rsidR="00095B40" w:rsidRPr="004E209B">
        <w:rPr>
          <w:rFonts w:ascii="Palatino Linotype" w:eastAsia="Palatino Linotype" w:hAnsi="Palatino Linotype" w:cs="Palatino Linotype"/>
          <w:b/>
          <w:bCs/>
          <w:sz w:val="24"/>
          <w:szCs w:val="24"/>
        </w:rPr>
        <w:t>treinta de octubre</w:t>
      </w:r>
      <w:r w:rsidR="006C66F4" w:rsidRPr="004E209B">
        <w:rPr>
          <w:rFonts w:ascii="Palatino Linotype" w:eastAsia="Palatino Linotype" w:hAnsi="Palatino Linotype" w:cs="Palatino Linotype"/>
          <w:b/>
          <w:bCs/>
          <w:sz w:val="24"/>
          <w:szCs w:val="24"/>
        </w:rPr>
        <w:t xml:space="preserve"> d</w:t>
      </w:r>
      <w:r w:rsidRPr="004E209B">
        <w:rPr>
          <w:rFonts w:ascii="Palatino Linotype" w:eastAsia="Palatino Linotype" w:hAnsi="Palatino Linotype" w:cs="Palatino Linotype"/>
          <w:b/>
          <w:bCs/>
          <w:sz w:val="24"/>
          <w:szCs w:val="24"/>
        </w:rPr>
        <w:t>e dos mil</w:t>
      </w:r>
      <w:r w:rsidRPr="004E209B">
        <w:rPr>
          <w:rFonts w:ascii="Palatino Linotype" w:eastAsia="Palatino Linotype" w:hAnsi="Palatino Linotype" w:cs="Palatino Linotype"/>
          <w:b/>
          <w:sz w:val="24"/>
          <w:szCs w:val="24"/>
        </w:rPr>
        <w:t xml:space="preserve"> veinticuatro,</w:t>
      </w:r>
      <w:r w:rsidRPr="004E209B">
        <w:rPr>
          <w:rFonts w:ascii="Palatino Linotype" w:eastAsia="Palatino Linotype" w:hAnsi="Palatino Linotype" w:cs="Palatino Linotype"/>
          <w:sz w:val="24"/>
          <w:szCs w:val="24"/>
        </w:rPr>
        <w:t xml:space="preserve"> esto es al </w:t>
      </w:r>
      <w:r w:rsidR="00095B40" w:rsidRPr="004E209B">
        <w:rPr>
          <w:rFonts w:ascii="Palatino Linotype" w:eastAsia="Palatino Linotype" w:hAnsi="Palatino Linotype" w:cs="Palatino Linotype"/>
          <w:sz w:val="24"/>
          <w:szCs w:val="24"/>
        </w:rPr>
        <w:t>tercer</w:t>
      </w:r>
      <w:r w:rsidRPr="004E209B">
        <w:rPr>
          <w:rFonts w:ascii="Palatino Linotype" w:eastAsia="Palatino Linotype" w:hAnsi="Palatino Linotype" w:cs="Palatino Linotype"/>
          <w:sz w:val="24"/>
          <w:szCs w:val="24"/>
        </w:rPr>
        <w:t xml:space="preserve"> día hábil posterior </w:t>
      </w:r>
      <w:r w:rsidR="006C66F4" w:rsidRPr="004E209B">
        <w:rPr>
          <w:rFonts w:ascii="Palatino Linotype" w:eastAsia="Palatino Linotype" w:hAnsi="Palatino Linotype" w:cs="Palatino Linotype"/>
          <w:sz w:val="24"/>
          <w:szCs w:val="24"/>
        </w:rPr>
        <w:t>a</w:t>
      </w:r>
      <w:r w:rsidR="004260D7" w:rsidRPr="004E209B">
        <w:rPr>
          <w:rFonts w:ascii="Palatino Linotype" w:eastAsia="Palatino Linotype" w:hAnsi="Palatino Linotype" w:cs="Palatino Linotype"/>
          <w:sz w:val="24"/>
          <w:szCs w:val="24"/>
        </w:rPr>
        <w:t xml:space="preserve"> aquel en e</w:t>
      </w:r>
      <w:r w:rsidR="006C66F4" w:rsidRPr="004E209B">
        <w:rPr>
          <w:rFonts w:ascii="Palatino Linotype" w:eastAsia="Palatino Linotype" w:hAnsi="Palatino Linotype" w:cs="Palatino Linotype"/>
          <w:sz w:val="24"/>
          <w:szCs w:val="24"/>
        </w:rPr>
        <w:t xml:space="preserve">l </w:t>
      </w:r>
      <w:r w:rsidRPr="004E209B">
        <w:rPr>
          <w:rFonts w:ascii="Palatino Linotype" w:eastAsia="Palatino Linotype" w:hAnsi="Palatino Linotype" w:cs="Palatino Linotype"/>
          <w:sz w:val="24"/>
          <w:szCs w:val="24"/>
        </w:rPr>
        <w:t>que tuvo conocimiento de las respuestas impugnadas. En este sentido, se concluye que los presentes recursos de revisión se encuentran dentro de los márgenes temporales previstos en las disposiciones legales referidas.</w:t>
      </w:r>
    </w:p>
    <w:p w14:paraId="5910C7D4" w14:textId="77777777" w:rsidR="00200DA3" w:rsidRPr="004E209B" w:rsidRDefault="00200DA3" w:rsidP="00200DA3">
      <w:pPr>
        <w:spacing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Además, por cuanto hace a la procedibilidad del recurso de revisión, es de suma importancia señalar que la parte</w:t>
      </w:r>
      <w:r w:rsidRPr="004E209B">
        <w:rPr>
          <w:rFonts w:ascii="Palatino Linotype" w:eastAsia="Palatino Linotype" w:hAnsi="Palatino Linotype" w:cs="Palatino Linotype"/>
          <w:b/>
          <w:sz w:val="24"/>
          <w:szCs w:val="24"/>
        </w:rPr>
        <w:t xml:space="preserve"> Recurrente</w:t>
      </w:r>
      <w:r w:rsidRPr="004E209B">
        <w:rPr>
          <w:rFonts w:ascii="Palatino Linotype" w:eastAsia="Palatino Linotype" w:hAnsi="Palatino Linotype" w:cs="Palatino Linotype"/>
          <w:sz w:val="24"/>
          <w:szCs w:val="24"/>
        </w:rPr>
        <w:t xml:space="preserve">, no señaló un </w:t>
      </w:r>
      <w:r w:rsidRPr="004E209B">
        <w:rPr>
          <w:rFonts w:ascii="Palatino Linotype" w:eastAsia="Palatino Linotype" w:hAnsi="Palatino Linotype" w:cs="Palatino Linotype"/>
          <w:b/>
          <w:sz w:val="24"/>
          <w:szCs w:val="24"/>
        </w:rPr>
        <w:t>nombre</w:t>
      </w:r>
      <w:r w:rsidRPr="004E209B">
        <w:rPr>
          <w:rFonts w:ascii="Palatino Linotype" w:eastAsia="Palatino Linotype" w:hAnsi="Palatino Linotype" w:cs="Palatino Linotype"/>
          <w:sz w:val="24"/>
          <w:szCs w:val="24"/>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3CEF457" w14:textId="77777777" w:rsidR="00200DA3" w:rsidRPr="004E209B" w:rsidRDefault="00200DA3" w:rsidP="00200DA3">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lastRenderedPageBreak/>
        <w:t>"</w:t>
      </w:r>
      <w:r w:rsidRPr="004E209B">
        <w:rPr>
          <w:rFonts w:ascii="Palatino Linotype" w:eastAsia="Palatino Linotype" w:hAnsi="Palatino Linotype" w:cs="Palatino Linotype"/>
          <w:b/>
          <w:i/>
        </w:rPr>
        <w:t>Las solicitudes anónimas</w:t>
      </w:r>
      <w:r w:rsidRPr="004E209B">
        <w:rPr>
          <w:rFonts w:ascii="Palatino Linotype" w:eastAsia="Palatino Linotype" w:hAnsi="Palatino Linotype" w:cs="Palatino Linotype"/>
          <w:i/>
        </w:rPr>
        <w:t xml:space="preserve">, con nombre incompleto o </w:t>
      </w:r>
      <w:r w:rsidRPr="004E209B">
        <w:rPr>
          <w:rFonts w:ascii="Palatino Linotype" w:eastAsia="Palatino Linotype" w:hAnsi="Palatino Linotype" w:cs="Palatino Linotype"/>
          <w:b/>
          <w:i/>
        </w:rPr>
        <w:t>seudónimo</w:t>
      </w:r>
      <w:r w:rsidRPr="004E209B">
        <w:rPr>
          <w:rFonts w:ascii="Palatino Linotype" w:eastAsia="Palatino Linotype" w:hAnsi="Palatino Linotype" w:cs="Palatino Linotype"/>
          <w:i/>
        </w:rPr>
        <w:t xml:space="preserve"> serán procedentes para su trámite por parte del sujeto obligado ante quien se presente. No podrá requerirse información adicional con motivo del nombre proporcionado por el solicitante."</w:t>
      </w:r>
    </w:p>
    <w:p w14:paraId="6580B61F" w14:textId="77777777" w:rsidR="00200DA3" w:rsidRPr="004E209B" w:rsidRDefault="00200DA3" w:rsidP="00200DA3">
      <w:pPr>
        <w:spacing w:before="240" w:after="240" w:line="360" w:lineRule="auto"/>
        <w:jc w:val="both"/>
        <w:rPr>
          <w:rFonts w:ascii="Palatino Linotype" w:eastAsia="Palatino Linotype" w:hAnsi="Palatino Linotype" w:cs="Palatino Linotype"/>
          <w:b/>
        </w:rPr>
      </w:pPr>
      <w:r w:rsidRPr="004E209B">
        <w:rPr>
          <w:rFonts w:ascii="Palatino Linotype" w:eastAsia="Palatino Linotype" w:hAnsi="Palatino Linotype" w:cs="Palatino Linotype"/>
          <w:sz w:val="24"/>
          <w:szCs w:val="24"/>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4E209B">
        <w:rPr>
          <w:rFonts w:ascii="Palatino Linotype" w:eastAsia="Palatino Linotype" w:hAnsi="Palatino Linotype" w:cs="Palatino Linotype"/>
          <w:b/>
          <w:sz w:val="24"/>
          <w:szCs w:val="24"/>
        </w:rPr>
        <w:t xml:space="preserve"> SAIMEX</w:t>
      </w:r>
      <w:r w:rsidRPr="004E209B">
        <w:rPr>
          <w:rFonts w:ascii="Palatino Linotype" w:eastAsia="Palatino Linotype" w:hAnsi="Palatino Linotype" w:cs="Palatino Linotype"/>
          <w:b/>
        </w:rPr>
        <w:t>.</w:t>
      </w:r>
    </w:p>
    <w:p w14:paraId="2EA2E332" w14:textId="77777777" w:rsidR="00024EC9" w:rsidRPr="004E209B" w:rsidRDefault="009339EB" w:rsidP="00024EC9">
      <w:pPr>
        <w:spacing w:before="240" w:after="240" w:line="360" w:lineRule="auto"/>
        <w:jc w:val="both"/>
        <w:rPr>
          <w:rFonts w:ascii="Palatino Linotype" w:eastAsia="Palatino Linotype" w:hAnsi="Palatino Linotype" w:cs="Palatino Linotype"/>
        </w:rPr>
      </w:pPr>
      <w:r w:rsidRPr="004E209B">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4E209B">
        <w:rPr>
          <w:rFonts w:ascii="Palatino Linotype" w:eastAsia="Palatino Linotype" w:hAnsi="Palatino Linotype" w:cs="Palatino Linotype"/>
          <w:b/>
          <w:sz w:val="24"/>
          <w:szCs w:val="24"/>
        </w:rPr>
        <w:t>Recurrente</w:t>
      </w:r>
      <w:r w:rsidRPr="004E209B">
        <w:rPr>
          <w:rFonts w:ascii="Palatino Linotype" w:eastAsia="Palatino Linotype" w:hAnsi="Palatino Linotype" w:cs="Palatino Linotype"/>
          <w:sz w:val="24"/>
          <w:szCs w:val="24"/>
        </w:rPr>
        <w:t xml:space="preserve"> en sus motivos de inconformidad, de acuerdo al artículo 179, </w:t>
      </w:r>
      <w:r w:rsidR="00024EC9" w:rsidRPr="004E209B">
        <w:rPr>
          <w:rFonts w:ascii="Palatino Linotype" w:eastAsia="Palatino Linotype" w:hAnsi="Palatino Linotype" w:cs="Palatino Linotype"/>
        </w:rPr>
        <w:t>fracción VIII del ordenamiento legal citado, que a la letra dice: </w:t>
      </w:r>
    </w:p>
    <w:p w14:paraId="39F2C93C" w14:textId="77777777" w:rsidR="00024EC9" w:rsidRPr="004E209B" w:rsidRDefault="00024EC9" w:rsidP="00024EC9">
      <w:pPr>
        <w:spacing w:before="120" w:after="120"/>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Artículo 179.</w:t>
      </w:r>
      <w:r w:rsidRPr="004E209B">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21ED4FF" w14:textId="77777777" w:rsidR="00024EC9" w:rsidRPr="004E209B" w:rsidRDefault="00024EC9" w:rsidP="00024EC9">
      <w:pPr>
        <w:spacing w:before="120" w:after="120"/>
        <w:ind w:left="1134" w:right="902"/>
        <w:rPr>
          <w:rFonts w:ascii="Palatino Linotype" w:eastAsia="Palatino Linotype" w:hAnsi="Palatino Linotype" w:cs="Palatino Linotype"/>
          <w:b/>
          <w:i/>
        </w:rPr>
      </w:pPr>
      <w:r w:rsidRPr="004E209B">
        <w:rPr>
          <w:rFonts w:ascii="Palatino Linotype" w:eastAsia="Palatino Linotype" w:hAnsi="Palatino Linotype" w:cs="Palatino Linotype"/>
          <w:b/>
          <w:i/>
        </w:rPr>
        <w:t>...</w:t>
      </w:r>
    </w:p>
    <w:p w14:paraId="63DDF813" w14:textId="77777777" w:rsidR="00024EC9" w:rsidRPr="004E209B" w:rsidRDefault="00024EC9" w:rsidP="00024EC9">
      <w:pPr>
        <w:spacing w:before="120" w:after="120"/>
        <w:ind w:left="1134" w:right="902"/>
        <w:rPr>
          <w:rFonts w:ascii="Palatino Linotype" w:eastAsia="Palatino Linotype" w:hAnsi="Palatino Linotype" w:cs="Palatino Linotype"/>
          <w:i/>
        </w:rPr>
      </w:pPr>
      <w:r w:rsidRPr="004E209B">
        <w:rPr>
          <w:rFonts w:ascii="Palatino Linotype" w:eastAsia="Palatino Linotype" w:hAnsi="Palatino Linotype" w:cs="Palatino Linotype"/>
          <w:b/>
          <w:i/>
        </w:rPr>
        <w:t xml:space="preserve">VIII. </w:t>
      </w:r>
      <w:r w:rsidRPr="004E209B">
        <w:rPr>
          <w:rFonts w:ascii="Palatino Linotype" w:eastAsia="Palatino Linotype" w:hAnsi="Palatino Linotype" w:cs="Palatino Linotype"/>
          <w:i/>
        </w:rPr>
        <w:t>La notificación, entrega o puesta a disposición de información en una modalidad o formato distinto al solicitado;”</w:t>
      </w:r>
    </w:p>
    <w:p w14:paraId="231BC575" w14:textId="63E3A0F6" w:rsidR="00C2297E" w:rsidRPr="004E209B" w:rsidRDefault="009339EB" w:rsidP="00024EC9">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 xml:space="preserve">Tercero. Materia de la revisión. </w:t>
      </w:r>
      <w:r w:rsidRPr="004E209B">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w:t>
      </w:r>
      <w:r w:rsidRPr="004E209B">
        <w:rPr>
          <w:rFonts w:ascii="Palatino Linotype" w:eastAsia="Palatino Linotype" w:hAnsi="Palatino Linotype" w:cs="Palatino Linotype"/>
          <w:b/>
          <w:sz w:val="24"/>
          <w:szCs w:val="24"/>
        </w:rPr>
        <w:t xml:space="preserve">verificar si la información proporcionada por el Sujeto Obligado es adecuada y suficiente para satisfacer el derecho de acceso a la información pública </w:t>
      </w:r>
      <w:r w:rsidRPr="004E209B">
        <w:rPr>
          <w:rFonts w:ascii="Palatino Linotype" w:eastAsia="Palatino Linotype" w:hAnsi="Palatino Linotype" w:cs="Palatino Linotype"/>
          <w:sz w:val="24"/>
          <w:szCs w:val="24"/>
        </w:rPr>
        <w:t xml:space="preserve">de la parte </w:t>
      </w:r>
      <w:r w:rsidRPr="004E209B">
        <w:rPr>
          <w:rFonts w:ascii="Palatino Linotype" w:eastAsia="Palatino Linotype" w:hAnsi="Palatino Linotype" w:cs="Palatino Linotype"/>
          <w:b/>
          <w:sz w:val="24"/>
          <w:szCs w:val="24"/>
        </w:rPr>
        <w:t>Recurrente</w:t>
      </w:r>
      <w:r w:rsidRPr="004E209B">
        <w:rPr>
          <w:rFonts w:ascii="Palatino Linotype" w:eastAsia="Palatino Linotype" w:hAnsi="Palatino Linotype" w:cs="Palatino Linotype"/>
          <w:sz w:val="24"/>
          <w:szCs w:val="24"/>
        </w:rPr>
        <w:t>, o en su defecto, en caso de ser procedente, ordenar la entrega de información.</w:t>
      </w:r>
    </w:p>
    <w:p w14:paraId="7B72DD63" w14:textId="77777777"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lastRenderedPageBreak/>
        <w:t xml:space="preserve">Cuarto. Estudio del asunto. </w:t>
      </w:r>
      <w:r w:rsidRPr="004E209B">
        <w:rPr>
          <w:rFonts w:ascii="Palatino Linotype" w:eastAsia="Palatino Linotype" w:hAnsi="Palatino Linotype" w:cs="Palatino Linotype"/>
          <w:sz w:val="24"/>
          <w:szCs w:val="24"/>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0A40E8A" w14:textId="77777777" w:rsidR="00C2297E" w:rsidRPr="004E209B" w:rsidRDefault="009339EB">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Artículo 4</w:t>
      </w:r>
      <w:r w:rsidRPr="004E209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0CE6314" w14:textId="77777777" w:rsidR="00C2297E" w:rsidRPr="004E209B" w:rsidRDefault="009339EB">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4E209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8BBD0C7" w14:textId="77777777" w:rsidR="00C2297E" w:rsidRPr="004E209B" w:rsidRDefault="009339EB">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4E209B">
        <w:rPr>
          <w:rFonts w:ascii="Palatino Linotype" w:eastAsia="Palatino Linotype" w:hAnsi="Palatino Linotype" w:cs="Palatino Linotype"/>
          <w:i/>
        </w:rPr>
        <w:t>.”</w:t>
      </w:r>
    </w:p>
    <w:p w14:paraId="584557D1" w14:textId="77777777" w:rsidR="00C2297E" w:rsidRPr="004E209B" w:rsidRDefault="009339EB">
      <w:pPr>
        <w:spacing w:before="240" w:after="240" w:line="360" w:lineRule="auto"/>
        <w:jc w:val="both"/>
        <w:rPr>
          <w:rFonts w:ascii="Palatino Linotype" w:eastAsia="Palatino Linotype" w:hAnsi="Palatino Linotype" w:cs="Palatino Linotype"/>
        </w:rPr>
      </w:pPr>
      <w:r w:rsidRPr="004E209B">
        <w:rPr>
          <w:rFonts w:ascii="Palatino Linotype" w:eastAsia="Palatino Linotype" w:hAnsi="Palatino Linotype" w:cs="Palatino Linotype"/>
          <w:sz w:val="24"/>
          <w:szCs w:val="24"/>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w:t>
      </w:r>
      <w:r w:rsidRPr="004E209B">
        <w:rPr>
          <w:rFonts w:ascii="Palatino Linotype" w:eastAsia="Palatino Linotype" w:hAnsi="Palatino Linotype" w:cs="Palatino Linotype"/>
          <w:sz w:val="24"/>
          <w:szCs w:val="24"/>
        </w:rPr>
        <w:lastRenderedPageBreak/>
        <w:t xml:space="preserve">al interés del solicitante; como así lo establece el artículo 12 de la Ley de Transparencia </w:t>
      </w:r>
      <w:r w:rsidRPr="004E209B">
        <w:rPr>
          <w:rFonts w:ascii="Palatino Linotype" w:eastAsia="Palatino Linotype" w:hAnsi="Palatino Linotype" w:cs="Palatino Linotype"/>
        </w:rPr>
        <w:t>y Acceso a la Información Pública del Estado de México y Municipios, que a la letra dice:</w:t>
      </w:r>
    </w:p>
    <w:p w14:paraId="7746D659" w14:textId="77777777" w:rsidR="00C2297E" w:rsidRPr="004E209B" w:rsidRDefault="009339EB">
      <w:pPr>
        <w:spacing w:before="120" w:after="120"/>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“Artículo 12.-</w:t>
      </w:r>
      <w:r w:rsidRPr="004E209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39A03F9" w14:textId="77777777" w:rsidR="00C2297E" w:rsidRPr="004E209B" w:rsidRDefault="009339EB">
      <w:pPr>
        <w:spacing w:before="120" w:after="120"/>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4E209B">
        <w:rPr>
          <w:rFonts w:ascii="Palatino Linotype" w:eastAsia="Palatino Linotype" w:hAnsi="Palatino Linotype" w:cs="Palatino Linotype"/>
          <w:i/>
        </w:rPr>
        <w:t xml:space="preserve">. </w:t>
      </w:r>
      <w:r w:rsidRPr="004E209B">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76975A2B" w14:textId="77777777" w:rsidR="00C2297E" w:rsidRPr="004E209B" w:rsidRDefault="009339EB">
      <w:pPr>
        <w:spacing w:before="240" w:after="240" w:line="360" w:lineRule="auto"/>
        <w:ind w:right="-93"/>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276B276C" w14:textId="77777777" w:rsidR="00C2297E" w:rsidRPr="004E209B" w:rsidRDefault="009339EB">
      <w:pPr>
        <w:spacing w:before="240" w:after="240" w:line="360" w:lineRule="auto"/>
        <w:jc w:val="both"/>
        <w:rPr>
          <w:rFonts w:ascii="Palatino Linotype" w:eastAsia="Palatino Linotype" w:hAnsi="Palatino Linotype" w:cs="Palatino Linotype"/>
          <w:b/>
          <w:sz w:val="24"/>
          <w:szCs w:val="24"/>
        </w:rPr>
      </w:pPr>
      <w:r w:rsidRPr="004E209B">
        <w:rPr>
          <w:rFonts w:ascii="Palatino Linotype" w:eastAsia="Palatino Linotype" w:hAnsi="Palatino Linotype" w:cs="Palatino Linotype"/>
          <w:sz w:val="24"/>
          <w:szCs w:val="24"/>
        </w:rPr>
        <w:t xml:space="preserve">Sirve de apoyo a lo anterior, el criterio 03/17, emitido por el Instituto Nacional de Transparencia, Acceso a la Información y Protección de Datos Personales, </w:t>
      </w:r>
      <w:proofErr w:type="gramStart"/>
      <w:r w:rsidRPr="004E209B">
        <w:rPr>
          <w:rFonts w:ascii="Palatino Linotype" w:eastAsia="Palatino Linotype" w:hAnsi="Palatino Linotype" w:cs="Palatino Linotype"/>
          <w:sz w:val="24"/>
          <w:szCs w:val="24"/>
        </w:rPr>
        <w:t>que</w:t>
      </w:r>
      <w:proofErr w:type="gramEnd"/>
      <w:r w:rsidRPr="004E209B">
        <w:rPr>
          <w:rFonts w:ascii="Palatino Linotype" w:eastAsia="Palatino Linotype" w:hAnsi="Palatino Linotype" w:cs="Palatino Linotype"/>
          <w:sz w:val="24"/>
          <w:szCs w:val="24"/>
        </w:rPr>
        <w:t xml:space="preserve"> por rubro y texto, dispone lo siguiente:</w:t>
      </w:r>
      <w:r w:rsidRPr="004E209B">
        <w:rPr>
          <w:rFonts w:ascii="Palatino Linotype" w:eastAsia="Palatino Linotype" w:hAnsi="Palatino Linotype" w:cs="Palatino Linotype"/>
          <w:b/>
          <w:sz w:val="24"/>
          <w:szCs w:val="24"/>
        </w:rPr>
        <w:t xml:space="preserve"> </w:t>
      </w:r>
    </w:p>
    <w:p w14:paraId="54D42131" w14:textId="77777777" w:rsidR="00C2297E" w:rsidRPr="004E209B" w:rsidRDefault="009339EB">
      <w:pPr>
        <w:spacing w:before="120" w:after="120"/>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No existe obligación de elaborar documentos ad hoc para atender las solicitudes de acceso a la información.</w:t>
      </w:r>
      <w:r w:rsidRPr="004E209B">
        <w:rPr>
          <w:rFonts w:ascii="Palatino Linotype" w:eastAsia="Palatino Linotype" w:hAnsi="Palatino Linotype" w:cs="Palatino Linotype"/>
          <w:i/>
        </w:rPr>
        <w:t xml:space="preserve"> Los artículos 129 de la Ley General de Transparencia y Acceso a la Información Pública y 130, párrafo cuarto, de </w:t>
      </w:r>
      <w:r w:rsidRPr="004E209B">
        <w:rPr>
          <w:rFonts w:ascii="Palatino Linotype" w:eastAsia="Palatino Linotype" w:hAnsi="Palatino Linotype" w:cs="Palatino Linotype"/>
          <w:i/>
        </w:rPr>
        <w:lastRenderedPageBreak/>
        <w:t>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roofErr w:type="gramStart"/>
      <w:r w:rsidRPr="004E209B">
        <w:rPr>
          <w:rFonts w:ascii="Palatino Linotype" w:eastAsia="Palatino Linotype" w:hAnsi="Palatino Linotype" w:cs="Palatino Linotype"/>
          <w:i/>
        </w:rPr>
        <w:t>.”(</w:t>
      </w:r>
      <w:proofErr w:type="gramEnd"/>
      <w:r w:rsidRPr="004E209B">
        <w:rPr>
          <w:rFonts w:ascii="Palatino Linotype" w:eastAsia="Palatino Linotype" w:hAnsi="Palatino Linotype" w:cs="Palatino Linotype"/>
          <w:i/>
        </w:rPr>
        <w:t>Sic)</w:t>
      </w:r>
    </w:p>
    <w:p w14:paraId="690A2F2A" w14:textId="77777777"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6C03A58" w14:textId="77777777"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78B24DF" w14:textId="77777777" w:rsidR="00C2297E" w:rsidRPr="004E209B" w:rsidRDefault="009339EB">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 xml:space="preserve">Artículo 3. </w:t>
      </w:r>
      <w:r w:rsidRPr="004E209B">
        <w:rPr>
          <w:rFonts w:ascii="Palatino Linotype" w:eastAsia="Palatino Linotype" w:hAnsi="Palatino Linotype" w:cs="Palatino Linotype"/>
          <w:i/>
        </w:rPr>
        <w:t>Para los efectos de la presente Ley se entenderá por:</w:t>
      </w:r>
    </w:p>
    <w:p w14:paraId="1012763A" w14:textId="77777777" w:rsidR="00C2297E" w:rsidRPr="004E209B" w:rsidRDefault="009339EB">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lastRenderedPageBreak/>
        <w:t>…</w:t>
      </w:r>
    </w:p>
    <w:p w14:paraId="2F4E422C" w14:textId="77777777" w:rsidR="00C2297E" w:rsidRPr="004E209B" w:rsidRDefault="009339EB">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XI. Documento:</w:t>
      </w:r>
      <w:r w:rsidRPr="004E209B">
        <w:rPr>
          <w:rFonts w:ascii="Palatino Linotype" w:eastAsia="Palatino Linotype" w:hAnsi="Palatino Linotype" w:cs="Palatino Linotype"/>
          <w:i/>
        </w:rPr>
        <w:t xml:space="preserve"> Los expedientes, reportes, estudios, actas</w:t>
      </w:r>
      <w:r w:rsidRPr="004E209B">
        <w:rPr>
          <w:rFonts w:ascii="Palatino Linotype" w:eastAsia="Palatino Linotype" w:hAnsi="Palatino Linotype" w:cs="Palatino Linotype"/>
          <w:b/>
          <w:i/>
        </w:rPr>
        <w:t>,</w:t>
      </w:r>
      <w:r w:rsidRPr="004E209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84D672D" w14:textId="77777777"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C7C1757" w14:textId="77777777" w:rsidR="00C2297E" w:rsidRPr="004E209B" w:rsidRDefault="009339EB">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rPr>
        <w:t>“</w:t>
      </w:r>
      <w:r w:rsidRPr="004E209B">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4E209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F985752" w14:textId="77777777" w:rsidR="00C2297E" w:rsidRPr="004E209B" w:rsidRDefault="009339EB">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 xml:space="preserve">En </w:t>
      </w:r>
      <w:proofErr w:type="gramStart"/>
      <w:r w:rsidRPr="004E209B">
        <w:rPr>
          <w:rFonts w:ascii="Palatino Linotype" w:eastAsia="Palatino Linotype" w:hAnsi="Palatino Linotype" w:cs="Palatino Linotype"/>
          <w:i/>
        </w:rPr>
        <w:t>consecuencia</w:t>
      </w:r>
      <w:proofErr w:type="gramEnd"/>
      <w:r w:rsidRPr="004E209B">
        <w:rPr>
          <w:rFonts w:ascii="Palatino Linotype" w:eastAsia="Palatino Linotype" w:hAnsi="Palatino Linotype" w:cs="Palatino Linotype"/>
          <w:i/>
        </w:rPr>
        <w:t xml:space="preserve"> el acceso a la información se refiere a que se cumplan cualquiera de los siguientes tres supuestos:</w:t>
      </w:r>
    </w:p>
    <w:p w14:paraId="525AC239" w14:textId="77777777" w:rsidR="00C2297E" w:rsidRPr="004E209B" w:rsidRDefault="009339EB">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 xml:space="preserve">1) Que se trate de información registrada en cualquier soporte documental, </w:t>
      </w:r>
      <w:proofErr w:type="gramStart"/>
      <w:r w:rsidRPr="004E209B">
        <w:rPr>
          <w:rFonts w:ascii="Palatino Linotype" w:eastAsia="Palatino Linotype" w:hAnsi="Palatino Linotype" w:cs="Palatino Linotype"/>
          <w:i/>
        </w:rPr>
        <w:t>que</w:t>
      </w:r>
      <w:proofErr w:type="gramEnd"/>
      <w:r w:rsidRPr="004E209B">
        <w:rPr>
          <w:rFonts w:ascii="Palatino Linotype" w:eastAsia="Palatino Linotype" w:hAnsi="Palatino Linotype" w:cs="Palatino Linotype"/>
          <w:i/>
        </w:rPr>
        <w:t xml:space="preserve"> en ejercicio de las atribuciones conferidas, sea generada por los Sujetos Obligados;</w:t>
      </w:r>
    </w:p>
    <w:p w14:paraId="7ED9F1F3" w14:textId="77777777" w:rsidR="00C2297E" w:rsidRPr="004E209B" w:rsidRDefault="009339EB">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 xml:space="preserve">2) Que se trate de información registrada en cualquier soporte documental, </w:t>
      </w:r>
      <w:proofErr w:type="gramStart"/>
      <w:r w:rsidRPr="004E209B">
        <w:rPr>
          <w:rFonts w:ascii="Palatino Linotype" w:eastAsia="Palatino Linotype" w:hAnsi="Palatino Linotype" w:cs="Palatino Linotype"/>
          <w:i/>
        </w:rPr>
        <w:t>que</w:t>
      </w:r>
      <w:proofErr w:type="gramEnd"/>
      <w:r w:rsidRPr="004E209B">
        <w:rPr>
          <w:rFonts w:ascii="Palatino Linotype" w:eastAsia="Palatino Linotype" w:hAnsi="Palatino Linotype" w:cs="Palatino Linotype"/>
          <w:i/>
        </w:rPr>
        <w:t xml:space="preserve"> en ejercicio de las atribuciones conferidas, sea administrada por los Sujetos Obligados, y</w:t>
      </w:r>
    </w:p>
    <w:p w14:paraId="0A23F10A" w14:textId="77777777" w:rsidR="00C2297E" w:rsidRPr="004E209B" w:rsidRDefault="009339EB">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lastRenderedPageBreak/>
        <w:t xml:space="preserve">3) Que se trate de información registrada en cualquier soporte documental, </w:t>
      </w:r>
      <w:proofErr w:type="gramStart"/>
      <w:r w:rsidRPr="004E209B">
        <w:rPr>
          <w:rFonts w:ascii="Palatino Linotype" w:eastAsia="Palatino Linotype" w:hAnsi="Palatino Linotype" w:cs="Palatino Linotype"/>
          <w:i/>
        </w:rPr>
        <w:t>que</w:t>
      </w:r>
      <w:proofErr w:type="gramEnd"/>
      <w:r w:rsidRPr="004E209B">
        <w:rPr>
          <w:rFonts w:ascii="Palatino Linotype" w:eastAsia="Palatino Linotype" w:hAnsi="Palatino Linotype" w:cs="Palatino Linotype"/>
          <w:i/>
        </w:rPr>
        <w:t xml:space="preserve"> en ejercicio de las atribuciones conferidas, se encuentre en posesión de los Sujetos Obligados.” </w:t>
      </w:r>
    </w:p>
    <w:p w14:paraId="1FE2C68E" w14:textId="77777777" w:rsidR="00C2297E" w:rsidRPr="004E209B" w:rsidRDefault="009339EB">
      <w:pPr>
        <w:spacing w:before="240" w:after="240" w:line="360" w:lineRule="auto"/>
        <w:ind w:right="51"/>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E7F8B8" w14:textId="77777777"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33DA175" w14:textId="77777777"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lastRenderedPageBreak/>
        <w:t xml:space="preserve">Ahora bien, del análisis de las solicitudes de información, motivo de los recursos de revisión que ahora se resuelven, se advierte que la parte </w:t>
      </w:r>
      <w:r w:rsidRPr="004E209B">
        <w:rPr>
          <w:rFonts w:ascii="Palatino Linotype" w:eastAsia="Palatino Linotype" w:hAnsi="Palatino Linotype" w:cs="Palatino Linotype"/>
          <w:b/>
          <w:sz w:val="24"/>
          <w:szCs w:val="24"/>
        </w:rPr>
        <w:t>Recurrente</w:t>
      </w:r>
      <w:r w:rsidRPr="004E209B">
        <w:rPr>
          <w:rFonts w:ascii="Palatino Linotype" w:eastAsia="Palatino Linotype" w:hAnsi="Palatino Linotype" w:cs="Palatino Linotype"/>
          <w:sz w:val="24"/>
          <w:szCs w:val="24"/>
        </w:rPr>
        <w:t xml:space="preserve"> requirió al </w:t>
      </w:r>
      <w:r w:rsidRPr="004E209B">
        <w:rPr>
          <w:rFonts w:ascii="Palatino Linotype" w:eastAsia="Palatino Linotype" w:hAnsi="Palatino Linotype" w:cs="Palatino Linotype"/>
          <w:b/>
          <w:sz w:val="24"/>
          <w:szCs w:val="24"/>
        </w:rPr>
        <w:t xml:space="preserve">Sujeto Obligado </w:t>
      </w:r>
      <w:r w:rsidRPr="004E209B">
        <w:rPr>
          <w:rFonts w:ascii="Palatino Linotype" w:eastAsia="Palatino Linotype" w:hAnsi="Palatino Linotype" w:cs="Palatino Linotype"/>
          <w:sz w:val="24"/>
          <w:szCs w:val="24"/>
        </w:rPr>
        <w:t>le proporcione lo siguiente:</w:t>
      </w:r>
    </w:p>
    <w:p w14:paraId="4F46C34A" w14:textId="47C1F46D" w:rsidR="00C2297E" w:rsidRPr="004E209B" w:rsidRDefault="009339EB" w:rsidP="003A6F1A">
      <w:pPr>
        <w:spacing w:before="240" w:after="240" w:line="360" w:lineRule="auto"/>
        <w:ind w:left="426"/>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1. </w:t>
      </w:r>
      <w:r w:rsidR="003A6F1A" w:rsidRPr="004E209B">
        <w:rPr>
          <w:rFonts w:ascii="Palatino Linotype" w:eastAsia="Palatino Linotype" w:hAnsi="Palatino Linotype" w:cs="Palatino Linotype"/>
          <w:sz w:val="24"/>
          <w:szCs w:val="24"/>
        </w:rPr>
        <w:t>Cuantificación total de gasto ejercido durante los años 2022, 2023 y 2024, por concepto de gasolina y diésel para los vehículos municipales, así como las pólizas de egresos, facturas y respaldos del gasto correspondiente, desglosado por mes.</w:t>
      </w:r>
    </w:p>
    <w:p w14:paraId="7B8BF561" w14:textId="35528DFA" w:rsidR="0075735F" w:rsidRPr="004E209B" w:rsidRDefault="0075735F" w:rsidP="00642D0E">
      <w:pPr>
        <w:widowControl w:val="0"/>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En respuesta, el </w:t>
      </w:r>
      <w:r w:rsidRPr="004E209B">
        <w:rPr>
          <w:rFonts w:ascii="Palatino Linotype" w:eastAsia="Palatino Linotype" w:hAnsi="Palatino Linotype" w:cs="Palatino Linotype"/>
          <w:b/>
          <w:sz w:val="24"/>
          <w:szCs w:val="24"/>
        </w:rPr>
        <w:t xml:space="preserve">Sujeto Obligado </w:t>
      </w:r>
      <w:r w:rsidRPr="004E209B">
        <w:rPr>
          <w:rFonts w:ascii="Palatino Linotype" w:eastAsia="Palatino Linotype" w:hAnsi="Palatino Linotype" w:cs="Palatino Linotype"/>
          <w:sz w:val="24"/>
          <w:szCs w:val="24"/>
        </w:rPr>
        <w:t xml:space="preserve">por conducto de la Tesorera Municipal, propuso el cambio en la modalidad de entrega de la información a consulta directa, </w:t>
      </w:r>
      <w:r w:rsidR="00367AFC" w:rsidRPr="004E209B">
        <w:rPr>
          <w:rFonts w:ascii="Palatino Linotype" w:eastAsia="Palatino Linotype" w:hAnsi="Palatino Linotype" w:cs="Palatino Linotype"/>
          <w:sz w:val="24"/>
          <w:szCs w:val="24"/>
        </w:rPr>
        <w:t>derivado de la cantidad, volumen, los recursos materiales y humanos con los que cuenta el área a su cargo, que son limitados, así como del cambio de administración, la entrega recepción y mesas de transición</w:t>
      </w:r>
      <w:r w:rsidRPr="004E209B">
        <w:rPr>
          <w:rFonts w:ascii="Palatino Linotype" w:eastAsia="Palatino Linotype" w:hAnsi="Palatino Linotype" w:cs="Palatino Linotype"/>
          <w:sz w:val="24"/>
          <w:szCs w:val="24"/>
        </w:rPr>
        <w:t xml:space="preserve">. Dicha propuesta fue aprobada por el Comité de Transparencia mediante el acuerdo </w:t>
      </w:r>
      <w:r w:rsidR="00642D0E" w:rsidRPr="004E209B">
        <w:rPr>
          <w:rFonts w:ascii="Palatino Linotype" w:eastAsia="Palatino Linotype" w:hAnsi="Palatino Linotype" w:cs="Palatino Linotype"/>
          <w:sz w:val="24"/>
          <w:szCs w:val="24"/>
        </w:rPr>
        <w:t>ACT/TEMA/UTAIP/ORDINARIA/85/2024/TERCERO,</w:t>
      </w:r>
      <w:r w:rsidRPr="004E209B">
        <w:rPr>
          <w:rFonts w:ascii="Palatino Linotype" w:eastAsia="Palatino Linotype" w:hAnsi="Palatino Linotype" w:cs="Palatino Linotype"/>
          <w:sz w:val="24"/>
          <w:szCs w:val="24"/>
        </w:rPr>
        <w:t xml:space="preserve"> de la Octogésima </w:t>
      </w:r>
      <w:r w:rsidR="00642D0E" w:rsidRPr="004E209B">
        <w:rPr>
          <w:rFonts w:ascii="Palatino Linotype" w:eastAsia="Palatino Linotype" w:hAnsi="Palatino Linotype" w:cs="Palatino Linotype"/>
          <w:sz w:val="24"/>
          <w:szCs w:val="24"/>
        </w:rPr>
        <w:t xml:space="preserve">Quinta </w:t>
      </w:r>
      <w:r w:rsidRPr="004E209B">
        <w:rPr>
          <w:rFonts w:ascii="Palatino Linotype" w:eastAsia="Palatino Linotype" w:hAnsi="Palatino Linotype" w:cs="Palatino Linotype"/>
          <w:sz w:val="24"/>
          <w:szCs w:val="24"/>
        </w:rPr>
        <w:t>Sesión Ordinaria, cuya acta se anexó a la respuesta.</w:t>
      </w:r>
    </w:p>
    <w:p w14:paraId="274937F7" w14:textId="77777777" w:rsidR="0075735F" w:rsidRPr="004E209B" w:rsidRDefault="0075735F">
      <w:pPr>
        <w:spacing w:before="240" w:after="240" w:line="360" w:lineRule="auto"/>
        <w:jc w:val="both"/>
        <w:rPr>
          <w:rFonts w:ascii="Palatino Linotype" w:eastAsia="Palatino Linotype" w:hAnsi="Palatino Linotype" w:cs="Palatino Linotype"/>
          <w:sz w:val="24"/>
          <w:szCs w:val="24"/>
        </w:rPr>
      </w:pPr>
    </w:p>
    <w:p w14:paraId="275E1421" w14:textId="7DA9948D" w:rsidR="00371800" w:rsidRPr="004E209B" w:rsidRDefault="00371800" w:rsidP="00371800">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Al no estar conforme con los términos de las respuestas emitida, la parte </w:t>
      </w:r>
      <w:r w:rsidRPr="004E209B">
        <w:rPr>
          <w:rFonts w:ascii="Palatino Linotype" w:eastAsia="Palatino Linotype" w:hAnsi="Palatino Linotype" w:cs="Palatino Linotype"/>
          <w:b/>
          <w:sz w:val="24"/>
        </w:rPr>
        <w:t xml:space="preserve">Recurrente </w:t>
      </w:r>
      <w:r w:rsidRPr="004E209B">
        <w:rPr>
          <w:rFonts w:ascii="Palatino Linotype" w:eastAsia="Palatino Linotype" w:hAnsi="Palatino Linotype" w:cs="Palatino Linotype"/>
          <w:sz w:val="24"/>
        </w:rPr>
        <w:t xml:space="preserve">interpuso los recursos de revisión que ahora se resuelven, donde señaló como motivos de inconformidad, en lo medular el cambio de modalidad en la entrega de la información, argumentando que al haberse establecido una fecha y horario igual en diversas solicitudes en lugares distintos, es una situación imposible solventar, </w:t>
      </w:r>
      <w:r w:rsidRPr="004E209B">
        <w:rPr>
          <w:rFonts w:ascii="Palatino Linotype" w:eastAsia="Palatino Linotype" w:hAnsi="Palatino Linotype" w:cs="Palatino Linotype"/>
          <w:sz w:val="24"/>
        </w:rPr>
        <w:lastRenderedPageBreak/>
        <w:t>razón por la cual en el acto solicitó que la información le fuese entregada a través del SAIMEX.</w:t>
      </w:r>
    </w:p>
    <w:p w14:paraId="4E6DE861" w14:textId="77777777" w:rsidR="00371800" w:rsidRPr="004E209B" w:rsidRDefault="00371800" w:rsidP="00371800">
      <w:pPr>
        <w:spacing w:before="240" w:after="240" w:line="360" w:lineRule="auto"/>
        <w:ind w:right="49"/>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Cabe señalar que a través del recurso de revisión la parte </w:t>
      </w:r>
      <w:r w:rsidRPr="004E209B">
        <w:rPr>
          <w:rFonts w:ascii="Palatino Linotype" w:eastAsia="Palatino Linotype" w:hAnsi="Palatino Linotype" w:cs="Palatino Linotype"/>
          <w:b/>
          <w:sz w:val="24"/>
        </w:rPr>
        <w:t>Recurrente</w:t>
      </w:r>
      <w:r w:rsidRPr="004E209B">
        <w:rPr>
          <w:rFonts w:ascii="Palatino Linotype" w:eastAsia="Palatino Linotype" w:hAnsi="Palatino Linotype" w:cs="Palatino Linotype"/>
          <w:sz w:val="24"/>
        </w:rPr>
        <w:t xml:space="preserve"> realizó diversos planteamientos subjetivos, tales como “…</w:t>
      </w:r>
      <w:r w:rsidRPr="004E209B">
        <w:rPr>
          <w:rFonts w:ascii="Palatino Linotype" w:eastAsia="Palatino Linotype" w:hAnsi="Palatino Linotype" w:cs="Palatino Linotype"/>
          <w:i/>
          <w:sz w:val="24"/>
        </w:rPr>
        <w:t>EN UN ACTO DE TOTAL OPACIDAD E IRREGULARIDAD, MENOSCABANDO LO ESTIPULADO EN LOS ARTICULOS…</w:t>
      </w:r>
      <w:r w:rsidRPr="004E209B">
        <w:rPr>
          <w:rFonts w:ascii="Palatino Linotype" w:eastAsia="Palatino Linotype" w:hAnsi="Palatino Linotype" w:cs="Palatino Linotype"/>
          <w:sz w:val="24"/>
        </w:rPr>
        <w:t>”, “…</w:t>
      </w:r>
      <w:r w:rsidRPr="004E209B">
        <w:rPr>
          <w:rFonts w:ascii="Palatino Linotype" w:eastAsia="Palatino Linotype" w:hAnsi="Palatino Linotype" w:cs="Palatino Linotype"/>
          <w:i/>
          <w:sz w:val="24"/>
        </w:rPr>
        <w:t>DEMOSTRANDO DE MANERA RECURRENTE QUE EL SUJETO OBLIGADO ENTORPESE EL DERECHO AL ACCESO DE LA INFORMACION SOLICITADA</w:t>
      </w:r>
      <w:r w:rsidRPr="004E209B">
        <w:rPr>
          <w:rFonts w:ascii="Palatino Linotype" w:eastAsia="Palatino Linotype" w:hAnsi="Palatino Linotype" w:cs="Palatino Linotype"/>
          <w:sz w:val="24"/>
        </w:rPr>
        <w:t>…” (sic), ante lo cual se puntualiza que el Derecho al acceso a la información pública constituye una prerrogativa para acceder a documentos o registros de información 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cuya finalidad consiste en contextualizar los sus motivos de inconformidad. En este sentido, se trata de manifestaciones sobre las cuales este Instituto no está facultado para pronunciarse.</w:t>
      </w:r>
    </w:p>
    <w:p w14:paraId="5BCB2616" w14:textId="77777777" w:rsidR="00371800" w:rsidRPr="004E209B" w:rsidRDefault="00371800" w:rsidP="00371800">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Durante el periodo de manifestaciones el </w:t>
      </w:r>
      <w:r w:rsidRPr="004E209B">
        <w:rPr>
          <w:rFonts w:ascii="Palatino Linotype" w:eastAsia="Palatino Linotype" w:hAnsi="Palatino Linotype" w:cs="Palatino Linotype"/>
          <w:b/>
          <w:sz w:val="24"/>
        </w:rPr>
        <w:t xml:space="preserve">Sujeto Obligado </w:t>
      </w:r>
      <w:r w:rsidRPr="004E209B">
        <w:rPr>
          <w:rFonts w:ascii="Palatino Linotype" w:eastAsia="Palatino Linotype" w:hAnsi="Palatino Linotype" w:cs="Palatino Linotype"/>
          <w:sz w:val="24"/>
        </w:rPr>
        <w:t xml:space="preserve">fue omiso en rendir su informe justificado, y la parte </w:t>
      </w:r>
      <w:r w:rsidRPr="004E209B">
        <w:rPr>
          <w:rFonts w:ascii="Palatino Linotype" w:eastAsia="Palatino Linotype" w:hAnsi="Palatino Linotype" w:cs="Palatino Linotype"/>
          <w:b/>
          <w:sz w:val="24"/>
        </w:rPr>
        <w:t xml:space="preserve">Recurrente </w:t>
      </w:r>
      <w:r w:rsidRPr="004E209B">
        <w:rPr>
          <w:rFonts w:ascii="Palatino Linotype" w:eastAsia="Palatino Linotype" w:hAnsi="Palatino Linotype" w:cs="Palatino Linotype"/>
          <w:sz w:val="24"/>
        </w:rPr>
        <w:t xml:space="preserve">fue omisa en hacer valer manifestaciones o rendir alegatos que conforme a derecho resultaran procedentes, por lo </w:t>
      </w:r>
      <w:proofErr w:type="gramStart"/>
      <w:r w:rsidRPr="004E209B">
        <w:rPr>
          <w:rFonts w:ascii="Palatino Linotype" w:eastAsia="Palatino Linotype" w:hAnsi="Palatino Linotype" w:cs="Palatino Linotype"/>
          <w:sz w:val="24"/>
        </w:rPr>
        <w:t>tanto</w:t>
      </w:r>
      <w:proofErr w:type="gramEnd"/>
      <w:r w:rsidRPr="004E209B">
        <w:rPr>
          <w:rFonts w:ascii="Palatino Linotype" w:eastAsia="Palatino Linotype" w:hAnsi="Palatino Linotype" w:cs="Palatino Linotype"/>
          <w:sz w:val="24"/>
        </w:rPr>
        <w:t xml:space="preserve"> se tiene por precluido su derecho.</w:t>
      </w:r>
    </w:p>
    <w:p w14:paraId="1B810704" w14:textId="77777777" w:rsidR="00371800" w:rsidRPr="004E209B" w:rsidRDefault="00371800" w:rsidP="00371800">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lastRenderedPageBreak/>
        <w:t xml:space="preserve">Una vez establecidas las posturas de las partes, se procede al análisis de los requerimientos de información, así como la información proporcionada por el </w:t>
      </w:r>
      <w:r w:rsidRPr="004E209B">
        <w:rPr>
          <w:rFonts w:ascii="Palatino Linotype" w:eastAsia="Palatino Linotype" w:hAnsi="Palatino Linotype" w:cs="Palatino Linotype"/>
          <w:b/>
          <w:sz w:val="24"/>
        </w:rPr>
        <w:t xml:space="preserve">Sujeto Obligado, </w:t>
      </w:r>
      <w:r w:rsidRPr="004E209B">
        <w:rPr>
          <w:rFonts w:ascii="Palatino Linotype" w:eastAsia="Palatino Linotype" w:hAnsi="Palatino Linotype" w:cs="Palatino Linotype"/>
          <w:sz w:val="24"/>
        </w:rPr>
        <w:t xml:space="preserve">en contraposición con el motivo de inconformidad alegado por la parte </w:t>
      </w:r>
      <w:r w:rsidRPr="004E209B">
        <w:rPr>
          <w:rFonts w:ascii="Palatino Linotype" w:eastAsia="Palatino Linotype" w:hAnsi="Palatino Linotype" w:cs="Palatino Linotype"/>
          <w:b/>
          <w:sz w:val="24"/>
        </w:rPr>
        <w:t xml:space="preserve">Recurrente, </w:t>
      </w:r>
      <w:r w:rsidRPr="004E209B">
        <w:rPr>
          <w:rFonts w:ascii="Palatino Linotype" w:eastAsia="Palatino Linotype" w:hAnsi="Palatino Linotype" w:cs="Palatino Linotype"/>
          <w:sz w:val="24"/>
        </w:rPr>
        <w:t>con la finalidad de determinar si el Derecho de acceso de esta se satisfizo, o, en su defecto, ordenar el soporte documental correspondiente, en caso de ser procedente.</w:t>
      </w:r>
    </w:p>
    <w:p w14:paraId="3FF6E2F2" w14:textId="77777777" w:rsidR="00371800" w:rsidRPr="004E209B" w:rsidRDefault="00371800" w:rsidP="00371800">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En este tenor, se debe resaltar, en primer lugar, que los motivos de inconformidad de la parte</w:t>
      </w:r>
      <w:r w:rsidRPr="004E209B">
        <w:rPr>
          <w:rFonts w:ascii="Palatino Linotype" w:eastAsia="Palatino Linotype" w:hAnsi="Palatino Linotype" w:cs="Palatino Linotype"/>
          <w:b/>
          <w:sz w:val="24"/>
        </w:rPr>
        <w:t xml:space="preserve"> Recurrente</w:t>
      </w:r>
      <w:r w:rsidRPr="004E209B">
        <w:rPr>
          <w:rFonts w:ascii="Palatino Linotype" w:eastAsia="Palatino Linotype" w:hAnsi="Palatino Linotype" w:cs="Palatino Linotype"/>
          <w:sz w:val="24"/>
        </w:rPr>
        <w:t xml:space="preserve"> suponen que existió una omisión en el actuar del </w:t>
      </w:r>
      <w:r w:rsidRPr="004E209B">
        <w:rPr>
          <w:rFonts w:ascii="Palatino Linotype" w:eastAsia="Palatino Linotype" w:hAnsi="Palatino Linotype" w:cs="Palatino Linotype"/>
          <w:b/>
          <w:sz w:val="24"/>
        </w:rPr>
        <w:t>Sujeto Obligado</w:t>
      </w:r>
      <w:r w:rsidRPr="004E209B">
        <w:rPr>
          <w:rFonts w:ascii="Palatino Linotype" w:eastAsia="Palatino Linotype" w:hAnsi="Palatino Linotype" w:cs="Palatino Linotype"/>
          <w:sz w:val="24"/>
        </w:rPr>
        <w:t xml:space="preserve"> al momento de realizar un cambio de modalidad, pues como ha quedado claro, la persona solicitante requirió que la información le fuera remitida mediante el SAIMEX, sistema que tiene como propósito facilitar en la entidad el ejercicio del derecho humano de acceso a la información pública, de forma sencilla y gratuita, como se ilustra a continuación:</w:t>
      </w:r>
    </w:p>
    <w:p w14:paraId="3EF4BBDF" w14:textId="56100C61" w:rsidR="0075735F" w:rsidRPr="004E209B" w:rsidRDefault="00371800">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noProof/>
          <w:sz w:val="24"/>
          <w:szCs w:val="24"/>
        </w:rPr>
        <w:drawing>
          <wp:inline distT="0" distB="0" distL="0" distR="0" wp14:anchorId="40B7D10F" wp14:editId="67824295">
            <wp:extent cx="5612130" cy="196786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1967865"/>
                    </a:xfrm>
                    <a:prstGeom prst="rect">
                      <a:avLst/>
                    </a:prstGeom>
                  </pic:spPr>
                </pic:pic>
              </a:graphicData>
            </a:graphic>
          </wp:inline>
        </w:drawing>
      </w:r>
    </w:p>
    <w:p w14:paraId="368451E1" w14:textId="4C284E3B" w:rsidR="00371800" w:rsidRPr="004E209B" w:rsidRDefault="00371800">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noProof/>
          <w:sz w:val="24"/>
          <w:szCs w:val="24"/>
        </w:rPr>
        <w:lastRenderedPageBreak/>
        <w:drawing>
          <wp:inline distT="0" distB="0" distL="0" distR="0" wp14:anchorId="414E1AC1" wp14:editId="2D1304A9">
            <wp:extent cx="5612130" cy="198945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1989455"/>
                    </a:xfrm>
                    <a:prstGeom prst="rect">
                      <a:avLst/>
                    </a:prstGeom>
                  </pic:spPr>
                </pic:pic>
              </a:graphicData>
            </a:graphic>
          </wp:inline>
        </w:drawing>
      </w:r>
    </w:p>
    <w:p w14:paraId="7D6D241E" w14:textId="204404FE" w:rsidR="00371800" w:rsidRPr="004E209B" w:rsidRDefault="00371800">
      <w:pPr>
        <w:spacing w:before="240" w:after="240" w:line="360" w:lineRule="auto"/>
        <w:jc w:val="both"/>
        <w:rPr>
          <w:rFonts w:ascii="Palatino Linotype" w:eastAsia="Palatino Linotype" w:hAnsi="Palatino Linotype" w:cs="Palatino Linotype"/>
          <w:szCs w:val="24"/>
        </w:rPr>
      </w:pPr>
      <w:r w:rsidRPr="004E209B">
        <w:rPr>
          <w:rFonts w:ascii="Palatino Linotype" w:eastAsia="Palatino Linotype" w:hAnsi="Palatino Linotype" w:cs="Palatino Linotype"/>
          <w:noProof/>
          <w:szCs w:val="24"/>
        </w:rPr>
        <w:drawing>
          <wp:inline distT="0" distB="0" distL="0" distR="0" wp14:anchorId="6C803DE4" wp14:editId="42F50EB5">
            <wp:extent cx="5612130" cy="1989455"/>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12130" cy="1989455"/>
                    </a:xfrm>
                    <a:prstGeom prst="rect">
                      <a:avLst/>
                    </a:prstGeom>
                  </pic:spPr>
                </pic:pic>
              </a:graphicData>
            </a:graphic>
          </wp:inline>
        </w:drawing>
      </w:r>
    </w:p>
    <w:p w14:paraId="4E420015" w14:textId="77777777" w:rsidR="00371800" w:rsidRPr="004E209B" w:rsidRDefault="00371800">
      <w:pPr>
        <w:spacing w:before="240" w:after="240" w:line="360" w:lineRule="auto"/>
        <w:jc w:val="both"/>
        <w:rPr>
          <w:rFonts w:ascii="Palatino Linotype" w:eastAsia="Palatino Linotype" w:hAnsi="Palatino Linotype" w:cs="Palatino Linotype"/>
          <w:szCs w:val="24"/>
        </w:rPr>
      </w:pPr>
    </w:p>
    <w:p w14:paraId="4A914E3F" w14:textId="77777777" w:rsidR="00FA3D1C" w:rsidRPr="004E209B" w:rsidRDefault="00FA3D1C" w:rsidP="00FA3D1C">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En este sentido, por lo que respecta al </w:t>
      </w:r>
      <w:r w:rsidRPr="004E209B">
        <w:rPr>
          <w:rFonts w:ascii="Palatino Linotype" w:eastAsia="Palatino Linotype" w:hAnsi="Palatino Linotype" w:cs="Palatino Linotype"/>
          <w:b/>
          <w:sz w:val="24"/>
          <w:u w:val="single"/>
        </w:rPr>
        <w:t>cambio de modalidad en la entrega de información</w:t>
      </w:r>
      <w:r w:rsidRPr="004E209B">
        <w:rPr>
          <w:rFonts w:ascii="Palatino Linotype" w:eastAsia="Palatino Linotype" w:hAnsi="Palatino Linotype" w:cs="Palatino Linotype"/>
          <w:sz w:val="24"/>
        </w:rPr>
        <w:t xml:space="preserve">, conviene mencionar que el artículo 155, fracción V, de la Ley de Transparencia y Acceso a la Información Pública del Estado de México y Municipios, precisa que, para presentar una solicitud, la persona solicitante podrá señalar </w:t>
      </w:r>
      <w:r w:rsidRPr="004E209B">
        <w:rPr>
          <w:rFonts w:ascii="Palatino Linotype" w:eastAsia="Palatino Linotype" w:hAnsi="Palatino Linotype" w:cs="Palatino Linotype"/>
          <w:b/>
          <w:sz w:val="24"/>
        </w:rPr>
        <w:t>la modalidad en la que prefiere se otorgue el acceso a la información</w:t>
      </w:r>
      <w:r w:rsidRPr="004E209B">
        <w:rPr>
          <w:rFonts w:ascii="Palatino Linotype" w:eastAsia="Palatino Linotype" w:hAnsi="Palatino Linotype" w:cs="Palatino Linotype"/>
          <w:sz w:val="24"/>
        </w:rPr>
        <w:t xml:space="preserve">, la cual podrá ser verbal, siempre y cuando sea para fines de orientación, mediante consulta directa, mediante la expedición de copias simples o certificadas o la reproducción en </w:t>
      </w:r>
      <w:r w:rsidRPr="004E209B">
        <w:rPr>
          <w:rFonts w:ascii="Palatino Linotype" w:eastAsia="Palatino Linotype" w:hAnsi="Palatino Linotype" w:cs="Palatino Linotype"/>
          <w:sz w:val="24"/>
        </w:rPr>
        <w:lastRenderedPageBreak/>
        <w:t>cualquier otro medio, incluidos los electrónicos. En la entidad, el Organismo Garante determinó en el formato de solicitud, que podría ser SAIMEX, CD-ROM (con costo), copias simples (con costo), copias certificadas (con costo), consulta directa (sin costo), o bien, cualquier otro que determine la persona solicitante.</w:t>
      </w:r>
    </w:p>
    <w:p w14:paraId="4373A7C5" w14:textId="77777777" w:rsidR="00FA3D1C" w:rsidRPr="004E209B" w:rsidRDefault="00FA3D1C" w:rsidP="00FA3D1C">
      <w:pPr>
        <w:spacing w:before="240" w:after="240" w:line="360" w:lineRule="auto"/>
        <w:jc w:val="both"/>
        <w:rPr>
          <w:rFonts w:ascii="Palatino Linotype" w:eastAsia="Palatino Linotype" w:hAnsi="Palatino Linotype" w:cs="Palatino Linotype"/>
          <w:b/>
          <w:sz w:val="24"/>
        </w:rPr>
      </w:pPr>
      <w:r w:rsidRPr="004E209B">
        <w:rPr>
          <w:rFonts w:ascii="Palatino Linotype" w:eastAsia="Palatino Linotype" w:hAnsi="Palatino Linotype" w:cs="Palatino Linotype"/>
          <w:sz w:val="24"/>
        </w:rPr>
        <w:t xml:space="preserve">Por su parte, el artículo 158, dispone que, de manera excepcional, cuando de manera fundada y motivada lo determine el Sujeto Obligado, </w:t>
      </w:r>
      <w:r w:rsidRPr="004E209B">
        <w:rPr>
          <w:rFonts w:ascii="Palatino Linotype" w:eastAsia="Palatino Linotype" w:hAnsi="Palatino Linotype" w:cs="Palatino Linotype"/>
          <w:b/>
          <w:sz w:val="24"/>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46F80516" w14:textId="77777777" w:rsidR="00FA3D1C" w:rsidRPr="004E209B" w:rsidRDefault="00FA3D1C" w:rsidP="00FA3D1C">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De modo que el acceso a la información debe darse en la modalidad de entrega elegida por la persona solicitante, y sólo para los casos en que se encuentren impedidos los sujetos obligados podrán ofrecer otra u otras modalidades, sin embargo, se debe fundar y motivar adecuadamente el cambio de modalidad en la entrega de la información,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33E7F2A3" w14:textId="77777777" w:rsidR="00FA3D1C" w:rsidRPr="004E209B" w:rsidRDefault="00FA3D1C" w:rsidP="00FA3D1C">
      <w:pPr>
        <w:spacing w:before="120" w:after="120"/>
        <w:ind w:left="851" w:right="900"/>
        <w:jc w:val="both"/>
        <w:rPr>
          <w:rFonts w:ascii="Palatino Linotype" w:eastAsia="Palatino Linotype" w:hAnsi="Palatino Linotype" w:cs="Palatino Linotype"/>
          <w:i/>
        </w:rPr>
      </w:pPr>
      <w:r w:rsidRPr="004E209B">
        <w:rPr>
          <w:rFonts w:ascii="Palatino Linotype" w:eastAsia="Palatino Linotype" w:hAnsi="Palatino Linotype" w:cs="Palatino Linotype"/>
          <w:b/>
          <w:i/>
        </w:rPr>
        <w:lastRenderedPageBreak/>
        <w:t>“FUNDAMENTACIÓN Y MOTIVACIÓN DE LOS ACTOS ADMINISTRATIVOS</w:t>
      </w:r>
      <w:r w:rsidRPr="004E209B">
        <w:rPr>
          <w:rFonts w:ascii="Palatino Linotype" w:eastAsia="Palatino Linotype" w:hAnsi="Palatino Linotype" w:cs="Palatino Linotype"/>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4E209B">
        <w:rPr>
          <w:rFonts w:ascii="Palatino Linotype" w:eastAsia="Palatino Linotype" w:hAnsi="Palatino Linotype" w:cs="Palatino Linotype"/>
          <w:i/>
        </w:rPr>
        <w:t>subincisos</w:t>
      </w:r>
      <w:proofErr w:type="spellEnd"/>
      <w:r w:rsidRPr="004E209B">
        <w:rPr>
          <w:rFonts w:ascii="Palatino Linotype" w:eastAsia="Palatino Linotype" w:hAnsi="Palatino Linotype" w:cs="Palatino Linotype"/>
          <w:i/>
        </w:rPr>
        <w:t>, fracciones y preceptos aplicable, y b).- Los cuerpos legales y preceptos que otorgan competencia o facultades a las autoridades para emitir el acto en agravio del gobernado.”</w:t>
      </w:r>
    </w:p>
    <w:p w14:paraId="6454224B" w14:textId="77777777" w:rsidR="00FA3D1C" w:rsidRPr="004E209B" w:rsidRDefault="00FA3D1C" w:rsidP="00FA3D1C">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0AB4713D" w14:textId="77777777" w:rsidR="00FA3D1C" w:rsidRPr="004E209B" w:rsidRDefault="00FA3D1C" w:rsidP="00FA3D1C">
      <w:pPr>
        <w:spacing w:before="120" w:after="120"/>
        <w:ind w:left="851" w:right="851"/>
        <w:jc w:val="both"/>
        <w:rPr>
          <w:rFonts w:ascii="Palatino Linotype" w:eastAsia="Palatino Linotype" w:hAnsi="Palatino Linotype" w:cs="Palatino Linotype"/>
          <w:i/>
        </w:rPr>
      </w:pPr>
      <w:r w:rsidRPr="004E209B">
        <w:rPr>
          <w:rFonts w:ascii="Palatino Linotype" w:eastAsia="Palatino Linotype" w:hAnsi="Palatino Linotype" w:cs="Palatino Linotype"/>
        </w:rPr>
        <w:lastRenderedPageBreak/>
        <w:t>“</w:t>
      </w:r>
      <w:r w:rsidRPr="004E209B">
        <w:rPr>
          <w:rFonts w:ascii="Palatino Linotype" w:eastAsia="Palatino Linotype" w:hAnsi="Palatino Linotype" w:cs="Palatino Linotype"/>
          <w:b/>
          <w:i/>
        </w:rPr>
        <w:t>Artículo 160.</w:t>
      </w:r>
      <w:r w:rsidRPr="004E209B">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768EA68" w14:textId="77777777" w:rsidR="00FA3D1C" w:rsidRPr="004E209B" w:rsidRDefault="00FA3D1C" w:rsidP="00FA3D1C">
      <w:pPr>
        <w:spacing w:before="120" w:after="120"/>
        <w:ind w:left="851" w:right="851"/>
        <w:jc w:val="both"/>
        <w:rPr>
          <w:rFonts w:ascii="Palatino Linotype" w:eastAsia="Palatino Linotype" w:hAnsi="Palatino Linotype" w:cs="Palatino Linotype"/>
          <w:i/>
        </w:rPr>
      </w:pPr>
      <w:r w:rsidRPr="004E209B">
        <w:rPr>
          <w:rFonts w:ascii="Palatino Linotype" w:eastAsia="Palatino Linotype" w:hAnsi="Palatino Linotype" w:cs="Palatino Linotype"/>
          <w:b/>
          <w:i/>
        </w:rPr>
        <w:t>Artículo 164.</w:t>
      </w:r>
      <w:r w:rsidRPr="004E209B">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w:t>
      </w:r>
      <w:r w:rsidRPr="004E209B">
        <w:rPr>
          <w:rFonts w:ascii="Palatino Linotype" w:eastAsia="Palatino Linotype" w:hAnsi="Palatino Linotype" w:cs="Palatino Linotype"/>
          <w:b/>
          <w:i/>
          <w:u w:val="single"/>
        </w:rPr>
        <w:t>el sujeto obligado deberá ofrecer otra u otras modalidades de entrega.</w:t>
      </w:r>
      <w:r w:rsidRPr="004E209B">
        <w:rPr>
          <w:rFonts w:ascii="Palatino Linotype" w:eastAsia="Palatino Linotype" w:hAnsi="Palatino Linotype" w:cs="Palatino Linotype"/>
          <w:i/>
        </w:rPr>
        <w:t xml:space="preserve"> En cualquier caso, se deberá fundar y motivar la necesidad de ofrecer otras modalidades.”</w:t>
      </w:r>
    </w:p>
    <w:p w14:paraId="1EF568EE" w14:textId="77777777" w:rsidR="00FA3D1C" w:rsidRPr="004E209B" w:rsidRDefault="00FA3D1C" w:rsidP="00FA3D1C">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Por lo cual,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47C7416F" w14:textId="77777777" w:rsidR="00FA3D1C" w:rsidRPr="004E209B" w:rsidRDefault="00FA3D1C" w:rsidP="00FA3D1C">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Por otro lado, el artículo 174 de la ley de la materia, indica que los costos de reproducción y, en su caso, de envío para la obtención de la información deberán ser cubiertos por la persona solicitante de manera previa a la entrega por parte del Sujeto Obligado. </w:t>
      </w:r>
    </w:p>
    <w:p w14:paraId="42262A66" w14:textId="77777777" w:rsidR="00FA3D1C" w:rsidRPr="004E209B" w:rsidRDefault="00FA3D1C" w:rsidP="00FA3D1C">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En tales consideraciones, la entrega deberá hacerse, </w:t>
      </w:r>
      <w:r w:rsidRPr="004E209B">
        <w:rPr>
          <w:rFonts w:ascii="Palatino Linotype" w:eastAsia="Palatino Linotype" w:hAnsi="Palatino Linotype" w:cs="Palatino Linotype"/>
          <w:b/>
          <w:sz w:val="24"/>
        </w:rPr>
        <w:t>en la medida de lo posible, en la forma solicitada por el interesado, salvo que exista un impedimento justificado para atenderla</w:t>
      </w:r>
      <w:r w:rsidRPr="004E209B">
        <w:rPr>
          <w:rFonts w:ascii="Palatino Linotype" w:eastAsia="Palatino Linotype" w:hAnsi="Palatino Linotype" w:cs="Palatino Linotype"/>
          <w:sz w:val="24"/>
        </w:rPr>
        <w:t xml:space="preserve">, en cuyo caso, deberán exponerse las razones por las cuales no es posible utilizar el medio de reproducción solicitado; en este sentido, la entrega de la información en una modalidad distinta a la elegida por la particular </w:t>
      </w:r>
      <w:r w:rsidRPr="004E209B">
        <w:rPr>
          <w:rFonts w:ascii="Palatino Linotype" w:eastAsia="Palatino Linotype" w:hAnsi="Palatino Linotype" w:cs="Palatino Linotype"/>
          <w:b/>
          <w:sz w:val="24"/>
        </w:rPr>
        <w:t>sólo procede, en caso de que se acredite la imposibilidad de atenderla.</w:t>
      </w:r>
      <w:r w:rsidRPr="004E209B">
        <w:rPr>
          <w:rFonts w:ascii="Palatino Linotype" w:eastAsia="Palatino Linotype" w:hAnsi="Palatino Linotype" w:cs="Palatino Linotype"/>
          <w:sz w:val="24"/>
        </w:rPr>
        <w:t xml:space="preserve"> </w:t>
      </w:r>
    </w:p>
    <w:p w14:paraId="4D35542F" w14:textId="77777777" w:rsidR="00FA3D1C" w:rsidRPr="004E209B" w:rsidRDefault="00FA3D1C" w:rsidP="00FA3D1C">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lastRenderedPageBreak/>
        <w:t xml:space="preserve">Así, cuando se justifique el impedimento, </w:t>
      </w:r>
      <w:r w:rsidRPr="004E209B">
        <w:rPr>
          <w:rFonts w:ascii="Palatino Linotype" w:eastAsia="Palatino Linotype" w:hAnsi="Palatino Linotype" w:cs="Palatino Linotype"/>
          <w:b/>
          <w:sz w:val="24"/>
        </w:rPr>
        <w:t>los Sujetos Obligados deberán ofrecer al particular otras modalidades de entrega que permita la información</w:t>
      </w:r>
      <w:r w:rsidRPr="004E209B">
        <w:rPr>
          <w:rFonts w:ascii="Palatino Linotype" w:eastAsia="Palatino Linotype" w:hAnsi="Palatino Linotype" w:cs="Palatino Linotype"/>
          <w:sz w:val="24"/>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11EB73B5" w14:textId="77777777" w:rsidR="00FA3D1C" w:rsidRPr="004E209B" w:rsidRDefault="00FA3D1C" w:rsidP="00FA3D1C">
      <w:pPr>
        <w:spacing w:before="120" w:after="120"/>
        <w:ind w:left="851" w:right="851"/>
        <w:jc w:val="both"/>
        <w:rPr>
          <w:rFonts w:ascii="Palatino Linotype" w:eastAsia="Palatino Linotype" w:hAnsi="Palatino Linotype" w:cs="Palatino Linotype"/>
          <w:b/>
          <w:i/>
          <w:u w:val="single"/>
        </w:rPr>
      </w:pPr>
      <w:r w:rsidRPr="004E209B">
        <w:rPr>
          <w:rFonts w:ascii="Palatino Linotype" w:eastAsia="Palatino Linotype" w:hAnsi="Palatino Linotype" w:cs="Palatino Linotype"/>
          <w:b/>
          <w:i/>
        </w:rPr>
        <w:t>“Modalidad de entrega. Procedencia de proporcionar la información solicitada en una diversa a la elegida por el solicitante.</w:t>
      </w:r>
      <w:r w:rsidRPr="004E209B">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4E209B">
        <w:rPr>
          <w:rFonts w:ascii="Palatino Linotype" w:eastAsia="Palatino Linotype" w:hAnsi="Palatino Linotype" w:cs="Palatino Linotype"/>
          <w:b/>
          <w:i/>
          <w:u w:val="single"/>
        </w:rPr>
        <w:t>en todas las modalidades que permita el documento de que se trate, procurando reducir, en todo momento, los costos de entrega</w:t>
      </w:r>
      <w:r w:rsidRPr="004E209B">
        <w:rPr>
          <w:rFonts w:ascii="Palatino Linotype" w:eastAsia="Palatino Linotype" w:hAnsi="Palatino Linotype" w:cs="Palatino Linotype"/>
          <w:b/>
          <w:i/>
        </w:rPr>
        <w:t>.”</w:t>
      </w:r>
    </w:p>
    <w:p w14:paraId="10C2980F" w14:textId="77777777" w:rsidR="00FA3D1C" w:rsidRPr="004E209B" w:rsidRDefault="00FA3D1C" w:rsidP="00FA3D1C">
      <w:pPr>
        <w:spacing w:before="240" w:after="240" w:line="360" w:lineRule="auto"/>
        <w:jc w:val="both"/>
        <w:rPr>
          <w:rFonts w:ascii="Palatino Linotype" w:eastAsia="Palatino Linotype" w:hAnsi="Palatino Linotype" w:cs="Palatino Linotype"/>
          <w:b/>
          <w:sz w:val="24"/>
        </w:rPr>
      </w:pPr>
      <w:r w:rsidRPr="004E209B">
        <w:rPr>
          <w:rFonts w:ascii="Palatino Linotype" w:eastAsia="Palatino Linotype" w:hAnsi="Palatino Linotype" w:cs="Palatino Linotype"/>
          <w:sz w:val="24"/>
        </w:rPr>
        <w:t>Del citado criterio, se desprende que cuando</w:t>
      </w:r>
      <w:r w:rsidRPr="004E209B">
        <w:rPr>
          <w:rFonts w:ascii="Palatino Linotype" w:eastAsia="Palatino Linotype" w:hAnsi="Palatino Linotype" w:cs="Palatino Linotype"/>
          <w:b/>
          <w:sz w:val="24"/>
        </w:rPr>
        <w:t xml:space="preserve"> la información no pueda entregarse o enviarse en la modalidad elegida, </w:t>
      </w:r>
      <w:r w:rsidRPr="004E209B">
        <w:rPr>
          <w:rFonts w:ascii="Palatino Linotype" w:eastAsia="Palatino Linotype" w:hAnsi="Palatino Linotype" w:cs="Palatino Linotype"/>
          <w:sz w:val="24"/>
        </w:rPr>
        <w:t xml:space="preserve">para que la obligación de acceso a la información se tenga por cumplida, </w:t>
      </w:r>
      <w:r w:rsidRPr="004E209B">
        <w:rPr>
          <w:rFonts w:ascii="Palatino Linotype" w:eastAsia="Palatino Linotype" w:hAnsi="Palatino Linotype" w:cs="Palatino Linotype"/>
          <w:b/>
          <w:sz w:val="24"/>
        </w:rPr>
        <w:t>el Sujeto Obligado deberá ofrecer otra u otras modalidades de entrega.</w:t>
      </w:r>
      <w:r w:rsidRPr="004E209B">
        <w:rPr>
          <w:rFonts w:ascii="Palatino Linotype" w:eastAsia="Palatino Linotype" w:hAnsi="Palatino Linotype" w:cs="Palatino Linotype"/>
          <w:sz w:val="24"/>
        </w:rPr>
        <w:t xml:space="preserve"> En cualquier caso, </w:t>
      </w:r>
      <w:r w:rsidRPr="004E209B">
        <w:rPr>
          <w:rFonts w:ascii="Palatino Linotype" w:eastAsia="Palatino Linotype" w:hAnsi="Palatino Linotype" w:cs="Palatino Linotype"/>
          <w:b/>
          <w:sz w:val="24"/>
        </w:rPr>
        <w:t>se deberá fundar y motivar la necesidad de ofrecer otras modalidades</w:t>
      </w:r>
      <w:r w:rsidRPr="004E209B">
        <w:rPr>
          <w:rFonts w:ascii="Palatino Linotype" w:eastAsia="Palatino Linotype" w:hAnsi="Palatino Linotype" w:cs="Palatino Linotype"/>
          <w:sz w:val="24"/>
        </w:rPr>
        <w:t xml:space="preserve"> que lo permitan, </w:t>
      </w:r>
      <w:r w:rsidRPr="004E209B">
        <w:rPr>
          <w:rFonts w:ascii="Palatino Linotype" w:eastAsia="Palatino Linotype" w:hAnsi="Palatino Linotype" w:cs="Palatino Linotype"/>
          <w:b/>
          <w:sz w:val="24"/>
        </w:rPr>
        <w:t>procurando reducir los costos de entrega.</w:t>
      </w:r>
    </w:p>
    <w:p w14:paraId="14503EDC" w14:textId="77777777" w:rsidR="00FA3D1C" w:rsidRPr="004E209B" w:rsidRDefault="00FA3D1C" w:rsidP="00FA3D1C">
      <w:pPr>
        <w:spacing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Además, según Calero, Natalia (2016), en la “Ley General de Transparencia y Acceso a la Información Pública Comentada”, cuando los sujetos obligados ofrezcan como modalidad de entrega de la información, consulta directa, estos deberán fundar y </w:t>
      </w:r>
      <w:r w:rsidRPr="004E209B">
        <w:rPr>
          <w:rFonts w:ascii="Palatino Linotype" w:eastAsia="Palatino Linotype" w:hAnsi="Palatino Linotype" w:cs="Palatino Linotype"/>
          <w:sz w:val="24"/>
        </w:rPr>
        <w:lastRenderedPageBreak/>
        <w:t>motivar las razones por las cuales no es posible otorgar el acceso a los documentos de otra forma; además que se deberá explicar de manera detallada lo siguiente:</w:t>
      </w:r>
    </w:p>
    <w:p w14:paraId="6588355E" w14:textId="77777777" w:rsidR="00FA3D1C" w:rsidRPr="004E209B" w:rsidRDefault="00FA3D1C" w:rsidP="00FA3D1C">
      <w:pPr>
        <w:numPr>
          <w:ilvl w:val="0"/>
          <w:numId w:val="9"/>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Las razones por las cuales la información implicaba un análisis, estudio o procesamiento de datos;</w:t>
      </w:r>
    </w:p>
    <w:p w14:paraId="357440E0" w14:textId="77777777" w:rsidR="00FA3D1C" w:rsidRPr="004E209B" w:rsidRDefault="00FA3D1C" w:rsidP="00FA3D1C">
      <w:pPr>
        <w:numPr>
          <w:ilvl w:val="0"/>
          <w:numId w:val="9"/>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El tiempo no es suficiente para atender la solicitud en la modalidad elegida, y</w:t>
      </w:r>
    </w:p>
    <w:p w14:paraId="47E9902A" w14:textId="77777777" w:rsidR="00FA3D1C" w:rsidRPr="004E209B" w:rsidRDefault="00FA3D1C" w:rsidP="00FA3D1C">
      <w:pPr>
        <w:numPr>
          <w:ilvl w:val="0"/>
          <w:numId w:val="9"/>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La cantidad de recursos humanos y materiales con los que cuenta el Sujeto Obligado son insuficientes.</w:t>
      </w:r>
    </w:p>
    <w:p w14:paraId="23022253" w14:textId="6EFEE7D3" w:rsidR="002D327B" w:rsidRPr="004E209B" w:rsidRDefault="00403B4B" w:rsidP="002D327B">
      <w:pPr>
        <w:spacing w:before="240" w:after="36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En este tenor, toda vez que en la  respuesta a la solicitud no se referían de manera clara los motivos que justifican el cambio de modalidad en la entrega de la información propuesta por el servidor público habilitado,</w:t>
      </w:r>
      <w:r w:rsidR="002D327B" w:rsidRPr="004E209B">
        <w:rPr>
          <w:rFonts w:ascii="Palatino Linotype" w:eastAsia="Palatino Linotype" w:hAnsi="Palatino Linotype" w:cs="Palatino Linotype"/>
          <w:sz w:val="24"/>
        </w:rPr>
        <w:t xml:space="preserve"> este Organismo Garante realizó un requerimiento de información adicional al </w:t>
      </w:r>
      <w:r w:rsidR="002D327B" w:rsidRPr="004E209B">
        <w:rPr>
          <w:rFonts w:ascii="Palatino Linotype" w:eastAsia="Palatino Linotype" w:hAnsi="Palatino Linotype" w:cs="Palatino Linotype"/>
          <w:b/>
          <w:sz w:val="24"/>
        </w:rPr>
        <w:t>Sujeto Obligado</w:t>
      </w:r>
      <w:r w:rsidR="002D327B" w:rsidRPr="004E209B">
        <w:rPr>
          <w:rFonts w:ascii="Palatino Linotype" w:eastAsia="Palatino Linotype" w:hAnsi="Palatino Linotype" w:cs="Palatino Linotype"/>
          <w:sz w:val="24"/>
        </w:rPr>
        <w:t xml:space="preserve"> como consta en los antecedentes de la presente resolución, con la finalidad de esclarecer las razones y fundamentos suficientes que impiden la entrega de la información a través del SAIMEX; solicitando que refiriera con exactitud al cúmulo de información de que se trata, es decir, el número de hojas, y sí excede las capacidades del SAIMEX, esto mediante el reporte de incidencias realizado en la Dirección General de Informática de este Instituto; y precisara si la información solicitada sobrepasaba sus capacidades técnicas administrativas y humanas para cumplir con la solicitud en los plazos establecidos para dichos efectos, con los respectivos medios de convicción, sin embargo,</w:t>
      </w:r>
      <w:r w:rsidR="002D327B" w:rsidRPr="004E209B">
        <w:rPr>
          <w:rFonts w:ascii="Palatino Linotype" w:eastAsia="Palatino Linotype" w:hAnsi="Palatino Linotype" w:cs="Palatino Linotype"/>
          <w:b/>
          <w:sz w:val="24"/>
        </w:rPr>
        <w:t xml:space="preserve"> NO </w:t>
      </w:r>
      <w:r w:rsidR="002D327B" w:rsidRPr="004E209B">
        <w:rPr>
          <w:rFonts w:ascii="Palatino Linotype" w:eastAsia="Palatino Linotype" w:hAnsi="Palatino Linotype" w:cs="Palatino Linotype"/>
          <w:sz w:val="24"/>
        </w:rPr>
        <w:t>se desahogó dicho requerimiento de información.</w:t>
      </w:r>
    </w:p>
    <w:p w14:paraId="524B6337" w14:textId="787530C7" w:rsidR="00EB4DD1" w:rsidRPr="004E209B" w:rsidRDefault="00EB4DD1" w:rsidP="00EB4DD1">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lastRenderedPageBreak/>
        <w:t xml:space="preserve">De igual manera, como consta en los antecedentes de la presente resolución, se consultó a la Dirección General de Informática de este Instituto, sobre las incidencias presentadas por el </w:t>
      </w:r>
      <w:r w:rsidRPr="004E209B">
        <w:rPr>
          <w:rFonts w:ascii="Palatino Linotype" w:eastAsia="Palatino Linotype" w:hAnsi="Palatino Linotype" w:cs="Palatino Linotype"/>
          <w:b/>
          <w:sz w:val="24"/>
          <w:szCs w:val="24"/>
        </w:rPr>
        <w:t>Sujeto Obligado</w:t>
      </w:r>
      <w:r w:rsidRPr="004E209B">
        <w:rPr>
          <w:rFonts w:ascii="Palatino Linotype" w:eastAsia="Palatino Linotype" w:hAnsi="Palatino Linotype" w:cs="Palatino Linotype"/>
          <w:sz w:val="24"/>
          <w:szCs w:val="24"/>
        </w:rPr>
        <w:t>, para atender la</w:t>
      </w:r>
      <w:r w:rsidR="00FF6531" w:rsidRPr="004E209B">
        <w:rPr>
          <w:rFonts w:ascii="Palatino Linotype" w:eastAsia="Palatino Linotype" w:hAnsi="Palatino Linotype" w:cs="Palatino Linotype"/>
          <w:sz w:val="24"/>
          <w:szCs w:val="24"/>
        </w:rPr>
        <w:t>s</w:t>
      </w:r>
      <w:r w:rsidRPr="004E209B">
        <w:rPr>
          <w:rFonts w:ascii="Palatino Linotype" w:eastAsia="Palatino Linotype" w:hAnsi="Palatino Linotype" w:cs="Palatino Linotype"/>
          <w:sz w:val="24"/>
          <w:szCs w:val="24"/>
        </w:rPr>
        <w:t xml:space="preserve"> solicitud</w:t>
      </w:r>
      <w:r w:rsidR="00FF6531" w:rsidRPr="004E209B">
        <w:rPr>
          <w:rFonts w:ascii="Palatino Linotype" w:eastAsia="Palatino Linotype" w:hAnsi="Palatino Linotype" w:cs="Palatino Linotype"/>
          <w:sz w:val="24"/>
          <w:szCs w:val="24"/>
        </w:rPr>
        <w:t>es</w:t>
      </w:r>
      <w:r w:rsidRPr="004E209B">
        <w:rPr>
          <w:rFonts w:ascii="Palatino Linotype" w:eastAsia="Palatino Linotype" w:hAnsi="Palatino Linotype" w:cs="Palatino Linotype"/>
          <w:sz w:val="24"/>
          <w:szCs w:val="24"/>
        </w:rPr>
        <w:t xml:space="preserve"> de información que </w:t>
      </w:r>
      <w:r w:rsidR="00FF6531" w:rsidRPr="004E209B">
        <w:rPr>
          <w:rFonts w:ascii="Palatino Linotype" w:eastAsia="Palatino Linotype" w:hAnsi="Palatino Linotype" w:cs="Palatino Linotype"/>
          <w:sz w:val="24"/>
          <w:szCs w:val="24"/>
        </w:rPr>
        <w:t>dieron</w:t>
      </w:r>
      <w:r w:rsidRPr="004E209B">
        <w:rPr>
          <w:rFonts w:ascii="Palatino Linotype" w:eastAsia="Palatino Linotype" w:hAnsi="Palatino Linotype" w:cs="Palatino Linotype"/>
          <w:sz w:val="24"/>
          <w:szCs w:val="24"/>
        </w:rPr>
        <w:t xml:space="preserve"> origen a</w:t>
      </w:r>
      <w:r w:rsidR="00FF6531" w:rsidRPr="004E209B">
        <w:rPr>
          <w:rFonts w:ascii="Palatino Linotype" w:eastAsia="Palatino Linotype" w:hAnsi="Palatino Linotype" w:cs="Palatino Linotype"/>
          <w:sz w:val="24"/>
          <w:szCs w:val="24"/>
        </w:rPr>
        <w:t xml:space="preserve"> </w:t>
      </w:r>
      <w:r w:rsidRPr="004E209B">
        <w:rPr>
          <w:rFonts w:ascii="Palatino Linotype" w:eastAsia="Palatino Linotype" w:hAnsi="Palatino Linotype" w:cs="Palatino Linotype"/>
          <w:sz w:val="24"/>
          <w:szCs w:val="24"/>
        </w:rPr>
        <w:t>l</w:t>
      </w:r>
      <w:r w:rsidR="00FF6531" w:rsidRPr="004E209B">
        <w:rPr>
          <w:rFonts w:ascii="Palatino Linotype" w:eastAsia="Palatino Linotype" w:hAnsi="Palatino Linotype" w:cs="Palatino Linotype"/>
          <w:sz w:val="24"/>
          <w:szCs w:val="24"/>
        </w:rPr>
        <w:t>os</w:t>
      </w:r>
      <w:r w:rsidRPr="004E209B">
        <w:rPr>
          <w:rFonts w:ascii="Palatino Linotype" w:eastAsia="Palatino Linotype" w:hAnsi="Palatino Linotype" w:cs="Palatino Linotype"/>
          <w:sz w:val="24"/>
          <w:szCs w:val="24"/>
        </w:rPr>
        <w:t xml:space="preserve"> recurso</w:t>
      </w:r>
      <w:r w:rsidR="00FF6531" w:rsidRPr="004E209B">
        <w:rPr>
          <w:rFonts w:ascii="Palatino Linotype" w:eastAsia="Palatino Linotype" w:hAnsi="Palatino Linotype" w:cs="Palatino Linotype"/>
          <w:sz w:val="24"/>
          <w:szCs w:val="24"/>
        </w:rPr>
        <w:t>s</w:t>
      </w:r>
      <w:r w:rsidRPr="004E209B">
        <w:rPr>
          <w:rFonts w:ascii="Palatino Linotype" w:eastAsia="Palatino Linotype" w:hAnsi="Palatino Linotype" w:cs="Palatino Linotype"/>
          <w:sz w:val="24"/>
          <w:szCs w:val="24"/>
        </w:rPr>
        <w:t xml:space="preserve"> de revisión que se resuelve</w:t>
      </w:r>
      <w:r w:rsidR="00FF6531" w:rsidRPr="004E209B">
        <w:rPr>
          <w:rFonts w:ascii="Palatino Linotype" w:eastAsia="Palatino Linotype" w:hAnsi="Palatino Linotype" w:cs="Palatino Linotype"/>
          <w:sz w:val="24"/>
          <w:szCs w:val="24"/>
        </w:rPr>
        <w:t>n</w:t>
      </w:r>
      <w:r w:rsidRPr="004E209B">
        <w:rPr>
          <w:rFonts w:ascii="Palatino Linotype" w:eastAsia="Palatino Linotype" w:hAnsi="Palatino Linotype" w:cs="Palatino Linotype"/>
          <w:sz w:val="24"/>
          <w:szCs w:val="24"/>
        </w:rPr>
        <w:t xml:space="preserve">, </w:t>
      </w:r>
      <w:r w:rsidR="00FF6531" w:rsidRPr="004E209B">
        <w:rPr>
          <w:rFonts w:ascii="Palatino Linotype" w:eastAsia="Palatino Linotype" w:hAnsi="Palatino Linotype" w:cs="Palatino Linotype"/>
          <w:sz w:val="24"/>
          <w:szCs w:val="24"/>
        </w:rPr>
        <w:t xml:space="preserve">así como el peso de la información, </w:t>
      </w:r>
      <w:r w:rsidRPr="004E209B">
        <w:rPr>
          <w:rFonts w:ascii="Palatino Linotype" w:eastAsia="Palatino Linotype" w:hAnsi="Palatino Linotype" w:cs="Palatino Linotype"/>
          <w:sz w:val="24"/>
          <w:szCs w:val="24"/>
        </w:rPr>
        <w:t xml:space="preserve">y, como respuesta se obtuvo que </w:t>
      </w:r>
      <w:r w:rsidRPr="004E209B">
        <w:rPr>
          <w:rFonts w:ascii="Palatino Linotype" w:eastAsia="Palatino Linotype" w:hAnsi="Palatino Linotype" w:cs="Palatino Linotype"/>
          <w:b/>
          <w:sz w:val="24"/>
          <w:szCs w:val="24"/>
        </w:rPr>
        <w:t xml:space="preserve">no se tenía reporte de llamada alguna, o registro de incidencia por parte de éste, </w:t>
      </w:r>
      <w:r w:rsidRPr="004E209B">
        <w:rPr>
          <w:rFonts w:ascii="Palatino Linotype" w:eastAsia="Palatino Linotype" w:hAnsi="Palatino Linotype" w:cs="Palatino Linotype"/>
          <w:sz w:val="24"/>
          <w:szCs w:val="24"/>
        </w:rPr>
        <w:t>asimismo refirió que el Sistema de Acceso a la Información Mexiquense, SAIMEX, cuenta con el soporte tecnológico para adjuntar archivos con un peso aproximado de hasta 500Mb, o un equivalente de hasta 8,000 hojas; garantizando que el solicitante no tenga problemas en la descarga de la información usando conexiones a internet convencionales, bajo parámetros de escaneo en resolución máxima de 150Dpi's, escala de grises y formato "PDF" extraído directamente del escáner.</w:t>
      </w:r>
    </w:p>
    <w:p w14:paraId="664C7D56" w14:textId="7B398D77" w:rsidR="00FA3D1C" w:rsidRPr="004E209B" w:rsidRDefault="00FA3D1C" w:rsidP="00FF6531">
      <w:pPr>
        <w:widowControl w:val="0"/>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Derivado de lo anterior, se colige que en el presente asunto el </w:t>
      </w:r>
      <w:r w:rsidRPr="004E209B">
        <w:rPr>
          <w:rFonts w:ascii="Palatino Linotype" w:eastAsia="Palatino Linotype" w:hAnsi="Palatino Linotype" w:cs="Palatino Linotype"/>
          <w:b/>
          <w:sz w:val="24"/>
        </w:rPr>
        <w:t xml:space="preserve">Sujeto Obligado </w:t>
      </w:r>
      <w:r w:rsidRPr="004E209B">
        <w:rPr>
          <w:rFonts w:ascii="Palatino Linotype" w:eastAsia="Palatino Linotype" w:hAnsi="Palatino Linotype" w:cs="Palatino Linotype"/>
          <w:sz w:val="24"/>
        </w:rPr>
        <w:t xml:space="preserve">no acreditó el impedimento para proporcionar la información a través del SAIMEX, siendo de suma importancia mencionar que el motivo para el cambio de modalidad no lo son las capacidades del referido sistema, ya que no se alegó que los documentos mediante los cuales se daría respuesta excedieran las capacidades técnicas del mismo, sino que el servidor público habilitado de la </w:t>
      </w:r>
      <w:r w:rsidR="00FF6531" w:rsidRPr="004E209B">
        <w:rPr>
          <w:rFonts w:ascii="Palatino Linotype" w:eastAsia="Palatino Linotype" w:hAnsi="Palatino Linotype" w:cs="Palatino Linotype"/>
          <w:sz w:val="24"/>
        </w:rPr>
        <w:t>Tesorería Municipal</w:t>
      </w:r>
      <w:r w:rsidRPr="004E209B">
        <w:rPr>
          <w:rFonts w:ascii="Palatino Linotype" w:eastAsia="Palatino Linotype" w:hAnsi="Palatino Linotype" w:cs="Palatino Linotype"/>
          <w:sz w:val="24"/>
        </w:rPr>
        <w:t xml:space="preserve"> pretendió justificar el cambio de modalidad en la carga de trabajo derivado </w:t>
      </w:r>
      <w:r w:rsidR="00FF6531" w:rsidRPr="004E209B">
        <w:rPr>
          <w:rFonts w:ascii="Palatino Linotype" w:eastAsia="Palatino Linotype" w:hAnsi="Palatino Linotype" w:cs="Palatino Linotype"/>
          <w:sz w:val="24"/>
          <w:szCs w:val="24"/>
        </w:rPr>
        <w:t xml:space="preserve">de la cantidad, volumen, los recursos materiales y humanos con los que cuenta el área a su cargo, que son limitados, así como del cambio de administración, la entrega recepción y mesas de transición, </w:t>
      </w:r>
      <w:r w:rsidRPr="004E209B">
        <w:rPr>
          <w:rFonts w:ascii="Palatino Linotype" w:eastAsia="Palatino Linotype" w:hAnsi="Palatino Linotype" w:cs="Palatino Linotype"/>
          <w:sz w:val="24"/>
        </w:rPr>
        <w:t xml:space="preserve">sin embargo, no </w:t>
      </w:r>
      <w:r w:rsidRPr="004E209B">
        <w:rPr>
          <w:rFonts w:ascii="Palatino Linotype" w:eastAsia="Palatino Linotype" w:hAnsi="Palatino Linotype" w:cs="Palatino Linotype"/>
          <w:b/>
          <w:sz w:val="24"/>
        </w:rPr>
        <w:t>refirió de manera clara</w:t>
      </w:r>
      <w:r w:rsidRPr="004E209B">
        <w:rPr>
          <w:rFonts w:ascii="Palatino Linotype" w:eastAsia="Palatino Linotype" w:hAnsi="Palatino Linotype" w:cs="Palatino Linotype"/>
          <w:sz w:val="24"/>
        </w:rPr>
        <w:t xml:space="preserve">, </w:t>
      </w:r>
      <w:r w:rsidRPr="004E209B">
        <w:rPr>
          <w:rFonts w:ascii="Palatino Linotype" w:eastAsia="Palatino Linotype" w:hAnsi="Palatino Linotype" w:cs="Palatino Linotype"/>
          <w:b/>
          <w:sz w:val="24"/>
        </w:rPr>
        <w:t xml:space="preserve">las razones y fundamentos suficientes que impiden la entrega de la información a </w:t>
      </w:r>
      <w:r w:rsidRPr="004E209B">
        <w:rPr>
          <w:rFonts w:ascii="Palatino Linotype" w:eastAsia="Palatino Linotype" w:hAnsi="Palatino Linotype" w:cs="Palatino Linotype"/>
          <w:b/>
          <w:sz w:val="24"/>
        </w:rPr>
        <w:lastRenderedPageBreak/>
        <w:t>través de la modalidad elegida,</w:t>
      </w:r>
      <w:r w:rsidRPr="004E209B">
        <w:rPr>
          <w:rFonts w:ascii="Palatino Linotype" w:eastAsia="Palatino Linotype" w:hAnsi="Palatino Linotype" w:cs="Palatino Linotype"/>
          <w:sz w:val="24"/>
        </w:rPr>
        <w:t xml:space="preserve"> como lo es de manera enunciativa más no limitativa, que lo peticionado implica un análisis, procesamiento o estudio de documentos cuya reproducción sobrepasará sus capacidades técnicas, administrativas y humanas</w:t>
      </w:r>
      <w:r w:rsidRPr="004E209B">
        <w:rPr>
          <w:rFonts w:ascii="Palatino Linotype" w:eastAsia="Palatino Linotype" w:hAnsi="Palatino Linotype" w:cs="Palatino Linotype"/>
          <w:b/>
          <w:sz w:val="24"/>
        </w:rPr>
        <w:t>; </w:t>
      </w:r>
      <w:r w:rsidRPr="004E209B">
        <w:rPr>
          <w:rFonts w:ascii="Palatino Linotype" w:eastAsia="Palatino Linotype" w:hAnsi="Palatino Linotype" w:cs="Palatino Linotype"/>
          <w:sz w:val="24"/>
        </w:rPr>
        <w:t>precisando, por ejemplo, el número de personas que se encuentran en el área competente, el formato en que se encuentra la información -digital o físico-</w:t>
      </w:r>
      <w:r w:rsidRPr="004E209B">
        <w:rPr>
          <w:rFonts w:ascii="Palatino Linotype" w:eastAsia="Palatino Linotype" w:hAnsi="Palatino Linotype" w:cs="Palatino Linotype"/>
          <w:b/>
          <w:sz w:val="24"/>
        </w:rPr>
        <w:t>;</w:t>
      </w:r>
      <w:r w:rsidRPr="004E209B">
        <w:rPr>
          <w:rFonts w:ascii="Palatino Linotype" w:eastAsia="Palatino Linotype" w:hAnsi="Palatino Linotype" w:cs="Palatino Linotype"/>
          <w:sz w:val="24"/>
        </w:rPr>
        <w:t xml:space="preserve"> si lo peticionado se encuentra en uno o varios expedientes; el cúmulo de información con la cual se daría respuesta a la solicitud -el número de documentos generados, precisando el número de hojas o cuando menos un aproximado, así como el peso o tamaño de los mismos-, la cantidad de recursos humanos y materiales con los que cuenta, el tiempo insuficiente para para atender la solicitud en los términos que precisa la Ley, etcétera. </w:t>
      </w:r>
    </w:p>
    <w:p w14:paraId="1F714388" w14:textId="77777777" w:rsidR="00FA3D1C" w:rsidRPr="004E209B" w:rsidRDefault="00FA3D1C" w:rsidP="00FA3D1C">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En tal contexto, es de señalar que el Organismo Garante Nacional, ha considerado que no resulta suficiente justificar una imposibilidad técnica y humana para acreditar un cambio de modalidad, sino que es necesario demostrar otros impedimentos como la cantidad y formato de la documentación, que fuera de imposible reproducción en el medio elegido por los solicitantes, que la información ameritara el cruce de información en los sistemas de datos, entre otros; con el fin de privilegiar el Principio de Gratuidad y Máxima Publicidad; argumentos que encuentran sustento dentro diversas de sus resoluciones de Recursos de Inconformidad como el RIA 136/20, RIA 140/20, RIA 153/20 RIA 237/20, RIA 257/20, RIA 258/20, entre otros.</w:t>
      </w:r>
    </w:p>
    <w:p w14:paraId="57387279" w14:textId="77777777" w:rsidR="00FA3D1C" w:rsidRPr="004E209B" w:rsidRDefault="00FA3D1C" w:rsidP="00FA3D1C">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lastRenderedPageBreak/>
        <w:t xml:space="preserve">En este orden de ideas, se reitera que el Derecho de acceso a la información pública se satisface en aquellos casos en que se entregue el soporte documental en el que conste la información solicitada, sin necesidad de elaborar documentos </w:t>
      </w:r>
      <w:r w:rsidRPr="004E209B">
        <w:rPr>
          <w:rFonts w:ascii="Palatino Linotype" w:eastAsia="Palatino Linotype" w:hAnsi="Palatino Linotype" w:cs="Palatino Linotype"/>
          <w:i/>
          <w:sz w:val="24"/>
        </w:rPr>
        <w:t>ad hoc</w:t>
      </w:r>
      <w:r w:rsidRPr="004E209B">
        <w:rPr>
          <w:rFonts w:ascii="Palatino Linotype" w:eastAsia="Palatino Linotype" w:hAnsi="Palatino Linotype" w:cs="Palatino Linotype"/>
          <w:sz w:val="24"/>
        </w:rPr>
        <w:t xml:space="preserve">, de conformidad con en el artículo 160 de la Ley de Transparencia y Acceso a la Información Pública del Estado de México y Municipios, el cual refiere que los Sujetos Obligados deberán entregar la información que obre en sus archivos. </w:t>
      </w:r>
    </w:p>
    <w:p w14:paraId="2B8C8365" w14:textId="61D0382B" w:rsidR="00FA3D1C" w:rsidRPr="004E209B" w:rsidRDefault="00FA3D1C" w:rsidP="00FA3D1C">
      <w:pPr>
        <w:widowControl w:val="0"/>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De tales circunstancias, se concluye que los Sujetos Obligados únicamente se encuentran constreñidos a proporcionar los documentos que den cuenta de la información solicitada, como obren en sus archivos, sin tener que elaborarlos a las necesidades de las personas solicitantes; por lo que, en el presente caso, el </w:t>
      </w:r>
      <w:r w:rsidRPr="004E209B">
        <w:rPr>
          <w:rFonts w:ascii="Palatino Linotype" w:eastAsia="Palatino Linotype" w:hAnsi="Palatino Linotype" w:cs="Palatino Linotype"/>
          <w:b/>
          <w:sz w:val="24"/>
        </w:rPr>
        <w:t xml:space="preserve">Sujeto Obligado </w:t>
      </w:r>
      <w:r w:rsidRPr="004E209B">
        <w:rPr>
          <w:rFonts w:ascii="Palatino Linotype" w:eastAsia="Palatino Linotype" w:hAnsi="Palatino Linotype" w:cs="Palatino Linotype"/>
          <w:sz w:val="24"/>
        </w:rPr>
        <w:t>deberá entregar los documentos q</w:t>
      </w:r>
      <w:r w:rsidR="00FF6531" w:rsidRPr="004E209B">
        <w:rPr>
          <w:rFonts w:ascii="Palatino Linotype" w:eastAsia="Palatino Linotype" w:hAnsi="Palatino Linotype" w:cs="Palatino Linotype"/>
          <w:sz w:val="24"/>
        </w:rPr>
        <w:t>ue den cuenta de lo peticionado para satisfacer el Derecho de acceso a la información.</w:t>
      </w:r>
    </w:p>
    <w:p w14:paraId="489981B3" w14:textId="7FEA97F0" w:rsidR="00FA3D1C" w:rsidRPr="004E209B" w:rsidRDefault="00FA3D1C" w:rsidP="00FA3D1C">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No obstante, se debe recordar que la persona solicitante requirió la información descrita en la solicitud de acceso </w:t>
      </w:r>
      <w:r w:rsidR="00F705E2" w:rsidRPr="004E209B">
        <w:rPr>
          <w:rFonts w:ascii="Palatino Linotype" w:eastAsia="Palatino Linotype" w:hAnsi="Palatino Linotype" w:cs="Palatino Linotype"/>
          <w:sz w:val="24"/>
        </w:rPr>
        <w:t>de los ejercicios 2022, 2023 y 2024,</w:t>
      </w:r>
      <w:r w:rsidRPr="004E209B">
        <w:rPr>
          <w:rFonts w:ascii="Palatino Linotype" w:eastAsia="Palatino Linotype" w:hAnsi="Palatino Linotype" w:cs="Palatino Linotype"/>
          <w:sz w:val="24"/>
        </w:rPr>
        <w:t xml:space="preserve"> sin embargo, la solicitud se tuvo por presentada el dos de octubre de dos mil veinticuatro, por lo que es ineludible señalar que la información sobre hechos que aún no se han generado debido a la temporalidad, son hechos futuros e inciertos, los cuales no se pueden determinar ya que están supeditados a la conclusión de los mismos; por lo que no es procedente que los Sujetos Obligados proporcionen dicha información.</w:t>
      </w:r>
    </w:p>
    <w:p w14:paraId="441178DC" w14:textId="77777777" w:rsidR="00FA3D1C" w:rsidRPr="004E209B" w:rsidRDefault="00FA3D1C" w:rsidP="00FA3D1C">
      <w:pPr>
        <w:spacing w:before="240" w:after="240" w:line="360" w:lineRule="auto"/>
        <w:ind w:right="-93"/>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lastRenderedPageBreak/>
        <w:t>Lo anterior se robustece con la Tesis Aislada con número de registro 209001</w:t>
      </w:r>
      <w:r w:rsidRPr="004E209B">
        <w:rPr>
          <w:rFonts w:ascii="Palatino Linotype" w:eastAsia="Palatino Linotype" w:hAnsi="Palatino Linotype" w:cs="Palatino Linotype"/>
          <w:sz w:val="24"/>
          <w:vertAlign w:val="superscript"/>
        </w:rPr>
        <w:footnoteReference w:id="1"/>
      </w:r>
      <w:r w:rsidRPr="004E209B">
        <w:rPr>
          <w:rFonts w:ascii="Palatino Linotype" w:eastAsia="Palatino Linotype" w:hAnsi="Palatino Linotype" w:cs="Palatino Linotype"/>
          <w:sz w:val="24"/>
        </w:rPr>
        <w:t xml:space="preserve">, de la Suprema Corte de Justicia de la Nación, emitida por los Tribunales Colegiados de </w:t>
      </w:r>
      <w:proofErr w:type="gramStart"/>
      <w:r w:rsidRPr="004E209B">
        <w:rPr>
          <w:rFonts w:ascii="Palatino Linotype" w:eastAsia="Palatino Linotype" w:hAnsi="Palatino Linotype" w:cs="Palatino Linotype"/>
          <w:sz w:val="24"/>
        </w:rPr>
        <w:t>Circuito,  que</w:t>
      </w:r>
      <w:proofErr w:type="gramEnd"/>
      <w:r w:rsidRPr="004E209B">
        <w:rPr>
          <w:rFonts w:ascii="Palatino Linotype" w:eastAsia="Palatino Linotype" w:hAnsi="Palatino Linotype" w:cs="Palatino Linotype"/>
          <w:sz w:val="24"/>
        </w:rPr>
        <w:t xml:space="preserve"> a la letra señala:</w:t>
      </w:r>
    </w:p>
    <w:p w14:paraId="6D5658AD" w14:textId="77777777" w:rsidR="00FA3D1C" w:rsidRPr="004E209B" w:rsidRDefault="00FA3D1C" w:rsidP="00FA3D1C">
      <w:pPr>
        <w:pBdr>
          <w:top w:val="nil"/>
          <w:left w:val="nil"/>
          <w:bottom w:val="nil"/>
          <w:right w:val="nil"/>
          <w:between w:val="nil"/>
        </w:pBdr>
        <w:ind w:left="851" w:right="900"/>
        <w:jc w:val="both"/>
        <w:rPr>
          <w:rFonts w:ascii="Palatino Linotype" w:eastAsia="Palatino Linotype" w:hAnsi="Palatino Linotype" w:cs="Palatino Linotype"/>
          <w:i/>
        </w:rPr>
      </w:pPr>
      <w:r w:rsidRPr="004E209B">
        <w:rPr>
          <w:rFonts w:ascii="Palatino Linotype" w:eastAsia="Palatino Linotype" w:hAnsi="Palatino Linotype" w:cs="Palatino Linotype"/>
          <w:b/>
          <w:i/>
        </w:rPr>
        <w:t xml:space="preserve">“ACTOS FUTUROS DE REALIZACION INCIERTA. NO PROCEDE EL JUICIO DE AMPARO CONTRA LOS. </w:t>
      </w:r>
      <w:r w:rsidRPr="004E209B">
        <w:rPr>
          <w:rFonts w:ascii="Palatino Linotype" w:eastAsia="Palatino Linotype" w:hAnsi="Palatino Linotype" w:cs="Palatino Linotype"/>
          <w:i/>
        </w:rPr>
        <w:t>Contra actos futuros de realización incierta no procede el juicio de garantías.”</w:t>
      </w:r>
    </w:p>
    <w:p w14:paraId="2494CD00" w14:textId="67761686" w:rsidR="00FA3D1C" w:rsidRPr="004E209B" w:rsidRDefault="00FA3D1C" w:rsidP="00FA3D1C">
      <w:pPr>
        <w:spacing w:before="240" w:after="240" w:line="360" w:lineRule="auto"/>
        <w:ind w:right="51"/>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En ese sentido, no es procedente la exigencia de la parte </w:t>
      </w:r>
      <w:r w:rsidRPr="004E209B">
        <w:rPr>
          <w:rFonts w:ascii="Palatino Linotype" w:eastAsia="Palatino Linotype" w:hAnsi="Palatino Linotype" w:cs="Palatino Linotype"/>
          <w:b/>
          <w:sz w:val="24"/>
        </w:rPr>
        <w:t>Recurrente</w:t>
      </w:r>
      <w:r w:rsidRPr="004E209B">
        <w:rPr>
          <w:rFonts w:ascii="Palatino Linotype" w:eastAsia="Palatino Linotype" w:hAnsi="Palatino Linotype" w:cs="Palatino Linotype"/>
          <w:sz w:val="24"/>
        </w:rPr>
        <w:t xml:space="preserve"> de que el </w:t>
      </w:r>
      <w:r w:rsidRPr="004E209B">
        <w:rPr>
          <w:rFonts w:ascii="Palatino Linotype" w:eastAsia="Palatino Linotype" w:hAnsi="Palatino Linotype" w:cs="Palatino Linotype"/>
          <w:b/>
          <w:sz w:val="24"/>
        </w:rPr>
        <w:t>Sujeto Obligado</w:t>
      </w:r>
      <w:r w:rsidRPr="004E209B">
        <w:rPr>
          <w:rFonts w:ascii="Palatino Linotype" w:eastAsia="Palatino Linotype" w:hAnsi="Palatino Linotype" w:cs="Palatino Linotype"/>
          <w:sz w:val="24"/>
        </w:rPr>
        <w:t xml:space="preserve"> atienda su solicitud en los términos solicitados, es decir, al día treinta y uno de diciembre de dos mil veinticuatro, pues dicha autoridad únicamente está constreñida a proporcionar la información pública que genere en uso de sus atribuciones de derecho público con anterioridad a la fecha de la solicit</w:t>
      </w:r>
      <w:r w:rsidR="00F705E2" w:rsidRPr="004E209B">
        <w:rPr>
          <w:rFonts w:ascii="Palatino Linotype" w:eastAsia="Palatino Linotype" w:hAnsi="Palatino Linotype" w:cs="Palatino Linotype"/>
          <w:sz w:val="24"/>
        </w:rPr>
        <w:t>ud de información, esto es al ocho</w:t>
      </w:r>
      <w:r w:rsidRPr="004E209B">
        <w:rPr>
          <w:rFonts w:ascii="Palatino Linotype" w:eastAsia="Palatino Linotype" w:hAnsi="Palatino Linotype" w:cs="Palatino Linotype"/>
          <w:sz w:val="24"/>
        </w:rPr>
        <w:t xml:space="preserve"> de octubre de dos mil veinticuatro.</w:t>
      </w:r>
    </w:p>
    <w:p w14:paraId="7B893F0E" w14:textId="425E4F41" w:rsidR="00FA3D1C" w:rsidRPr="004E209B" w:rsidRDefault="00FA3D1C" w:rsidP="00FA3D1C">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Por tal razón resulta dable ordenar, previa búsqueda exhaust</w:t>
      </w:r>
      <w:r w:rsidR="00F705E2" w:rsidRPr="004E209B">
        <w:rPr>
          <w:rFonts w:ascii="Palatino Linotype" w:eastAsia="Palatino Linotype" w:hAnsi="Palatino Linotype" w:cs="Palatino Linotype"/>
          <w:sz w:val="24"/>
          <w:szCs w:val="24"/>
        </w:rPr>
        <w:t xml:space="preserve">iva y razonable, la entrega de las pólizas de egresos, facturas, y los documentos respaldo de los gastos, que se hubieran generado por la adquisición de combustible y diésel para los vehículos municipales, </w:t>
      </w:r>
      <w:r w:rsidRPr="004E209B">
        <w:rPr>
          <w:rFonts w:ascii="Palatino Linotype" w:eastAsia="Palatino Linotype" w:hAnsi="Palatino Linotype" w:cs="Palatino Linotype"/>
          <w:sz w:val="24"/>
          <w:szCs w:val="24"/>
        </w:rPr>
        <w:t xml:space="preserve">del uno de enero de dos mil veintidós al </w:t>
      </w:r>
      <w:r w:rsidR="00F705E2" w:rsidRPr="004E209B">
        <w:rPr>
          <w:rFonts w:ascii="Palatino Linotype" w:eastAsia="Palatino Linotype" w:hAnsi="Palatino Linotype" w:cs="Palatino Linotype"/>
          <w:sz w:val="24"/>
          <w:szCs w:val="24"/>
        </w:rPr>
        <w:t>ocho</w:t>
      </w:r>
      <w:r w:rsidRPr="004E209B">
        <w:rPr>
          <w:rFonts w:ascii="Palatino Linotype" w:eastAsia="Palatino Linotype" w:hAnsi="Palatino Linotype" w:cs="Palatino Linotype"/>
          <w:sz w:val="24"/>
          <w:szCs w:val="24"/>
        </w:rPr>
        <w:t xml:space="preserve"> de o</w:t>
      </w:r>
      <w:r w:rsidR="00F705E2" w:rsidRPr="004E209B">
        <w:rPr>
          <w:rFonts w:ascii="Palatino Linotype" w:eastAsia="Palatino Linotype" w:hAnsi="Palatino Linotype" w:cs="Palatino Linotype"/>
          <w:sz w:val="24"/>
          <w:szCs w:val="24"/>
        </w:rPr>
        <w:t>ctubre de dos mil veinticuatro</w:t>
      </w:r>
      <w:r w:rsidR="00726E7F" w:rsidRPr="004E209B">
        <w:rPr>
          <w:rFonts w:ascii="Palatino Linotype" w:eastAsia="Palatino Linotype" w:hAnsi="Palatino Linotype" w:cs="Palatino Linotype"/>
          <w:sz w:val="24"/>
          <w:szCs w:val="24"/>
        </w:rPr>
        <w:t>, en v</w:t>
      </w:r>
      <w:r w:rsidR="00991326" w:rsidRPr="004E209B">
        <w:rPr>
          <w:rFonts w:ascii="Palatino Linotype" w:eastAsia="Palatino Linotype" w:hAnsi="Palatino Linotype" w:cs="Palatino Linotype"/>
          <w:sz w:val="24"/>
          <w:szCs w:val="24"/>
        </w:rPr>
        <w:t>ersión pública de ser necesario, así como el documento en el que conste el gasto total ejercido por dicho concepto, de manera mensual.</w:t>
      </w:r>
    </w:p>
    <w:p w14:paraId="729C24F2" w14:textId="0D1BC0C9" w:rsidR="001E1CA8" w:rsidRPr="004E209B" w:rsidRDefault="00726E7F" w:rsidP="001E1CA8">
      <w:pPr>
        <w:spacing w:before="240" w:after="240" w:line="360" w:lineRule="auto"/>
        <w:ind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Para efectos de lo anterior, </w:t>
      </w:r>
      <w:r w:rsidR="001E1CA8" w:rsidRPr="004E209B">
        <w:rPr>
          <w:rFonts w:ascii="Palatino Linotype" w:eastAsia="Palatino Linotype" w:hAnsi="Palatino Linotype" w:cs="Palatino Linotype"/>
          <w:sz w:val="24"/>
          <w:szCs w:val="24"/>
        </w:rPr>
        <w:t xml:space="preserve">se procede al análisis de la naturaleza de la información materia de la solicitud, para lo cual se debe partir de lo dispuesto en los artículos 342, 343, 344 y 345 del Código Financiero del Estado de México y Municipios, los </w:t>
      </w:r>
      <w:r w:rsidR="001E1CA8" w:rsidRPr="004E209B">
        <w:rPr>
          <w:rFonts w:ascii="Palatino Linotype" w:eastAsia="Palatino Linotype" w:hAnsi="Palatino Linotype" w:cs="Palatino Linotype"/>
          <w:sz w:val="24"/>
          <w:szCs w:val="24"/>
        </w:rPr>
        <w:lastRenderedPageBreak/>
        <w:t>cuales disponen el sistema y las políticas que deben seguirse para llevar el registro contable y presupuestal de las operaciones financieras, en los siguientes términos:</w:t>
      </w:r>
    </w:p>
    <w:p w14:paraId="6B424F6C" w14:textId="77777777" w:rsidR="001E1CA8" w:rsidRPr="004E209B" w:rsidRDefault="001E1CA8" w:rsidP="001E1CA8">
      <w:pPr>
        <w:spacing w:before="120" w:after="120" w:line="240" w:lineRule="auto"/>
        <w:ind w:left="862" w:right="86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Artículo 342.-</w:t>
      </w:r>
      <w:r w:rsidRPr="004E209B">
        <w:rPr>
          <w:rFonts w:ascii="Palatino Linotype" w:eastAsia="Palatino Linotype" w:hAnsi="Palatino Linotype" w:cs="Palatino Linotype"/>
          <w:i/>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69EDD7A5" w14:textId="77777777" w:rsidR="001E1CA8" w:rsidRPr="004E209B" w:rsidRDefault="001E1CA8" w:rsidP="001E1CA8">
      <w:pPr>
        <w:spacing w:before="120" w:after="120" w:line="240" w:lineRule="auto"/>
        <w:ind w:left="862" w:right="862"/>
        <w:jc w:val="both"/>
        <w:rPr>
          <w:rFonts w:ascii="Palatino Linotype" w:eastAsia="Palatino Linotype" w:hAnsi="Palatino Linotype" w:cs="Palatino Linotype"/>
          <w:i/>
        </w:rPr>
      </w:pPr>
      <w:r w:rsidRPr="004E209B">
        <w:rPr>
          <w:rFonts w:ascii="Palatino Linotype" w:eastAsia="Palatino Linotype" w:hAnsi="Palatino Linotype" w:cs="Palatino Linotype"/>
          <w:b/>
          <w:i/>
        </w:rPr>
        <w:t>En el caso de los municipios,</w:t>
      </w:r>
      <w:r w:rsidRPr="004E209B">
        <w:rPr>
          <w:rFonts w:ascii="Palatino Linotype" w:eastAsia="Palatino Linotype" w:hAnsi="Palatino Linotype" w:cs="Palatino Linotype"/>
          <w:i/>
        </w:rPr>
        <w:t xml:space="preserve"> el registro a que se refiere el párrafo anterior, se realizará conforme al sistema y a las disposiciones en materia de </w:t>
      </w:r>
      <w:r w:rsidRPr="004E209B">
        <w:rPr>
          <w:rFonts w:ascii="Palatino Linotype" w:eastAsia="Palatino Linotype" w:hAnsi="Palatino Linotype" w:cs="Palatino Linotype"/>
          <w:b/>
          <w:i/>
        </w:rPr>
        <w:t>planeación, programación, presupuestación, evaluación y contabilidad gubernamental</w:t>
      </w:r>
      <w:r w:rsidRPr="004E209B">
        <w:rPr>
          <w:rFonts w:ascii="Palatino Linotype" w:eastAsia="Palatino Linotype" w:hAnsi="Palatino Linotype" w:cs="Palatino Linotype"/>
          <w:i/>
        </w:rPr>
        <w:t>, que se aprueben en el marco del Sistema de Coordinación Hacendaria del Estado de México.</w:t>
      </w:r>
    </w:p>
    <w:p w14:paraId="6476C70E" w14:textId="77777777" w:rsidR="001E1CA8" w:rsidRPr="004E209B" w:rsidRDefault="001E1CA8" w:rsidP="001E1CA8">
      <w:pPr>
        <w:spacing w:before="120" w:after="120" w:line="240" w:lineRule="auto"/>
        <w:ind w:left="862" w:right="862"/>
        <w:jc w:val="both"/>
        <w:rPr>
          <w:rFonts w:ascii="Palatino Linotype" w:eastAsia="Palatino Linotype" w:hAnsi="Palatino Linotype" w:cs="Palatino Linotype"/>
          <w:i/>
        </w:rPr>
      </w:pPr>
      <w:r w:rsidRPr="004E209B">
        <w:rPr>
          <w:rFonts w:ascii="Palatino Linotype" w:eastAsia="Palatino Linotype" w:hAnsi="Palatino Linotype" w:cs="Palatino Linotype"/>
          <w:b/>
          <w:i/>
        </w:rPr>
        <w:t>Artículo 343.-</w:t>
      </w:r>
      <w:r w:rsidRPr="004E209B">
        <w:rPr>
          <w:rFonts w:ascii="Palatino Linotype" w:eastAsia="Palatino Linotype" w:hAnsi="Palatino Linotype" w:cs="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3BBF566D" w14:textId="77777777" w:rsidR="001E1CA8" w:rsidRPr="004E209B" w:rsidRDefault="001E1CA8" w:rsidP="001E1CA8">
      <w:pPr>
        <w:spacing w:before="120" w:after="120" w:line="240" w:lineRule="auto"/>
        <w:ind w:left="862" w:right="862"/>
        <w:jc w:val="both"/>
        <w:rPr>
          <w:rFonts w:ascii="Palatino Linotype" w:eastAsia="Palatino Linotype" w:hAnsi="Palatino Linotype" w:cs="Palatino Linotype"/>
          <w:i/>
        </w:rPr>
      </w:pPr>
      <w:r w:rsidRPr="004E209B">
        <w:rPr>
          <w:rFonts w:ascii="Palatino Linotype" w:eastAsia="Palatino Linotype" w:hAnsi="Palatino Linotype" w:cs="Palatino Linotype"/>
          <w:i/>
        </w:rPr>
        <w:t>El sistema de contabilidad sobre base acumulativa total, se sustentará en las normas emitidas por el Consejo Nacional de Armonización Contable.</w:t>
      </w:r>
    </w:p>
    <w:p w14:paraId="3663747B" w14:textId="77777777" w:rsidR="001E1CA8" w:rsidRPr="004E209B" w:rsidRDefault="001E1CA8" w:rsidP="001E1CA8">
      <w:pPr>
        <w:spacing w:before="120" w:after="120" w:line="240" w:lineRule="auto"/>
        <w:ind w:left="862" w:right="862"/>
        <w:jc w:val="both"/>
        <w:rPr>
          <w:rFonts w:ascii="Palatino Linotype" w:eastAsia="Palatino Linotype" w:hAnsi="Palatino Linotype" w:cs="Palatino Linotype"/>
          <w:b/>
          <w:i/>
        </w:rPr>
      </w:pPr>
      <w:r w:rsidRPr="004E209B">
        <w:rPr>
          <w:rFonts w:ascii="Palatino Linotype" w:eastAsia="Palatino Linotype" w:hAnsi="Palatino Linotype" w:cs="Palatino Linotype"/>
          <w:b/>
          <w:i/>
        </w:rPr>
        <w:t xml:space="preserve">Artículo 344.- Los Entes Públicos, a través de cualquiera de sus unidades administrativas, de acuerdo con su naturaleza jurídica y según corresponda, </w:t>
      </w:r>
      <w:r w:rsidRPr="004E209B">
        <w:rPr>
          <w:rFonts w:ascii="Palatino Linotype" w:eastAsia="Palatino Linotype" w:hAnsi="Palatino Linotype" w:cs="Palatino Linotype"/>
          <w:b/>
          <w:i/>
          <w:u w:val="single"/>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4E209B">
        <w:rPr>
          <w:rFonts w:ascii="Palatino Linotype" w:eastAsia="Palatino Linotype" w:hAnsi="Palatino Linotype" w:cs="Palatino Linotype"/>
          <w:b/>
          <w:i/>
        </w:rPr>
        <w:t>.</w:t>
      </w:r>
    </w:p>
    <w:p w14:paraId="20786734" w14:textId="77777777" w:rsidR="001E1CA8" w:rsidRPr="004E209B" w:rsidRDefault="001E1CA8" w:rsidP="001E1CA8">
      <w:pPr>
        <w:spacing w:before="120" w:after="120" w:line="240" w:lineRule="auto"/>
        <w:ind w:left="862" w:right="862"/>
        <w:jc w:val="both"/>
        <w:rPr>
          <w:rFonts w:ascii="Palatino Linotype" w:eastAsia="Palatino Linotype" w:hAnsi="Palatino Linotype" w:cs="Palatino Linotype"/>
          <w:b/>
          <w:i/>
        </w:rPr>
      </w:pPr>
      <w:r w:rsidRPr="004E209B">
        <w:rPr>
          <w:rFonts w:ascii="Palatino Linotype" w:eastAsia="Palatino Linotype" w:hAnsi="Palatino Linotype" w:cs="Palatino Linotype"/>
          <w:b/>
          <w:i/>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4E209B">
        <w:rPr>
          <w:rFonts w:ascii="Palatino Linotype" w:eastAsia="Palatino Linotype" w:hAnsi="Palatino Linotype" w:cs="Palatino Linotype"/>
          <w:i/>
        </w:rPr>
        <w:t xml:space="preserve">según corresponda, así como de los órganos internos de control, </w:t>
      </w:r>
      <w:r w:rsidRPr="004E209B">
        <w:rPr>
          <w:rFonts w:ascii="Palatino Linotype" w:eastAsia="Palatino Linotype" w:hAnsi="Palatino Linotype" w:cs="Palatino Linotype"/>
          <w:b/>
          <w:i/>
        </w:rPr>
        <w:t>por un término de cinco años,</w:t>
      </w:r>
      <w:r w:rsidRPr="004E209B">
        <w:rPr>
          <w:rFonts w:ascii="Palatino Linotype" w:eastAsia="Palatino Linotype" w:hAnsi="Palatino Linotype" w:cs="Palatino Linotype"/>
          <w:i/>
        </w:rPr>
        <w:t xml:space="preserve"> contados a partir del ejercicio presupuestal siguiente al que corresponda,</w:t>
      </w:r>
      <w:r w:rsidRPr="004E209B">
        <w:rPr>
          <w:rFonts w:ascii="Palatino Linotype" w:eastAsia="Palatino Linotype" w:hAnsi="Palatino Linotype" w:cs="Palatino Linotype"/>
          <w:b/>
          <w:i/>
        </w:rPr>
        <w:t xml:space="preserve"> en el caso de los Municipios, dicha obligación corresponderá a la Tesorería.</w:t>
      </w:r>
    </w:p>
    <w:p w14:paraId="461C0B89" w14:textId="77777777" w:rsidR="001E1CA8" w:rsidRPr="004E209B" w:rsidRDefault="001E1CA8" w:rsidP="001E1CA8">
      <w:pPr>
        <w:spacing w:before="120" w:after="120" w:line="240" w:lineRule="auto"/>
        <w:ind w:left="862" w:right="862"/>
        <w:jc w:val="both"/>
        <w:rPr>
          <w:rFonts w:ascii="Palatino Linotype" w:eastAsia="Palatino Linotype" w:hAnsi="Palatino Linotype" w:cs="Palatino Linotype"/>
          <w:i/>
        </w:rPr>
      </w:pPr>
      <w:r w:rsidRPr="004E209B">
        <w:rPr>
          <w:rFonts w:ascii="Palatino Linotype" w:eastAsia="Palatino Linotype" w:hAnsi="Palatino Linotype" w:cs="Palatino Linotype"/>
          <w:i/>
        </w:rPr>
        <w:lastRenderedPageBreak/>
        <w:t>Tratándose de documentos de carácter histórico, se estará a lo dispuesto por la legislación de la materia.</w:t>
      </w:r>
    </w:p>
    <w:p w14:paraId="3CF351D9" w14:textId="77777777" w:rsidR="001E1CA8" w:rsidRPr="004E209B" w:rsidRDefault="001E1CA8" w:rsidP="001E1CA8">
      <w:pPr>
        <w:spacing w:before="120" w:after="120" w:line="240" w:lineRule="auto"/>
        <w:ind w:left="862" w:right="86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p>
    <w:p w14:paraId="5D97CBD2" w14:textId="77777777" w:rsidR="001E1CA8" w:rsidRPr="004E209B" w:rsidRDefault="001E1CA8" w:rsidP="001E1CA8">
      <w:pPr>
        <w:spacing w:before="120" w:after="120" w:line="240" w:lineRule="auto"/>
        <w:ind w:left="862" w:right="862"/>
        <w:jc w:val="both"/>
        <w:rPr>
          <w:rFonts w:ascii="Palatino Linotype" w:eastAsia="Palatino Linotype" w:hAnsi="Palatino Linotype" w:cs="Palatino Linotype"/>
          <w:b/>
          <w:i/>
        </w:rPr>
      </w:pPr>
      <w:r w:rsidRPr="004E209B">
        <w:rPr>
          <w:rFonts w:ascii="Palatino Linotype" w:eastAsia="Palatino Linotype" w:hAnsi="Palatino Linotype" w:cs="Palatino Linotype"/>
          <w:b/>
          <w:i/>
        </w:rPr>
        <w:t>Artículo 345.-</w:t>
      </w:r>
      <w:r w:rsidRPr="004E209B">
        <w:rPr>
          <w:rFonts w:ascii="Palatino Linotype" w:eastAsia="Palatino Linotype" w:hAnsi="Palatino Linotype" w:cs="Palatino Linotype"/>
          <w:i/>
        </w:rPr>
        <w:t xml:space="preserve"> </w:t>
      </w:r>
      <w:r w:rsidRPr="004E209B">
        <w:rPr>
          <w:rFonts w:ascii="Palatino Linotype" w:eastAsia="Palatino Linotype" w:hAnsi="Palatino Linotype" w:cs="Palatino Linotype"/>
          <w:b/>
          <w:i/>
        </w:rPr>
        <w:t xml:space="preserve">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w:t>
      </w:r>
      <w:r w:rsidRPr="004E209B">
        <w:rPr>
          <w:rFonts w:ascii="Palatino Linotype" w:eastAsia="Palatino Linotype" w:hAnsi="Palatino Linotype" w:cs="Palatino Linotype"/>
          <w:b/>
          <w:i/>
          <w:u w:val="single"/>
        </w:rPr>
        <w:t>Tratándose de los comprobantes fiscales digitales, estos deberán estar agregados en forma electrónica a cada póliza de registro contable</w:t>
      </w:r>
      <w:r w:rsidRPr="004E209B">
        <w:rPr>
          <w:rFonts w:ascii="Palatino Linotype" w:eastAsia="Palatino Linotype" w:hAnsi="Palatino Linotype" w:cs="Palatino Linotype"/>
          <w:b/>
          <w:i/>
        </w:rPr>
        <w:t>.</w:t>
      </w:r>
    </w:p>
    <w:p w14:paraId="237316E6" w14:textId="77777777" w:rsidR="001E1CA8" w:rsidRPr="004E209B" w:rsidRDefault="001E1CA8" w:rsidP="001E1CA8">
      <w:pPr>
        <w:spacing w:before="120" w:after="120" w:line="240" w:lineRule="auto"/>
        <w:ind w:left="862" w:right="862"/>
        <w:jc w:val="both"/>
        <w:rPr>
          <w:rFonts w:ascii="Palatino Linotype" w:eastAsia="Palatino Linotype" w:hAnsi="Palatino Linotype" w:cs="Palatino Linotype"/>
          <w:i/>
        </w:rPr>
      </w:pPr>
      <w:r w:rsidRPr="004E209B">
        <w:rPr>
          <w:rFonts w:ascii="Palatino Linotype" w:eastAsia="Palatino Linotype" w:hAnsi="Palatino Linotype" w:cs="Palatino Linotype"/>
          <w:i/>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4E209B">
        <w:rPr>
          <w:rFonts w:ascii="Palatino Linotype" w:eastAsia="Palatino Linotype" w:hAnsi="Palatino Linotype" w:cs="Palatino Linotype"/>
          <w:b/>
          <w:i/>
        </w:rPr>
        <w:t>deberán estar agregados en forma electrónica a cada póliza de registro contable</w:t>
      </w:r>
      <w:r w:rsidRPr="004E209B">
        <w:rPr>
          <w:rFonts w:ascii="Palatino Linotype" w:eastAsia="Palatino Linotype" w:hAnsi="Palatino Linotype" w:cs="Palatino Linotype"/>
          <w:i/>
        </w:rPr>
        <w:t>.</w:t>
      </w:r>
    </w:p>
    <w:p w14:paraId="114246B5" w14:textId="77777777" w:rsidR="001E1CA8" w:rsidRPr="004E209B" w:rsidRDefault="001E1CA8" w:rsidP="001E1CA8">
      <w:pPr>
        <w:spacing w:before="120" w:after="120" w:line="240" w:lineRule="auto"/>
        <w:ind w:left="862" w:right="862"/>
        <w:jc w:val="both"/>
        <w:rPr>
          <w:rFonts w:ascii="Palatino Linotype" w:eastAsia="Palatino Linotype" w:hAnsi="Palatino Linotype" w:cs="Palatino Linotype"/>
          <w:b/>
          <w:i/>
        </w:rPr>
      </w:pPr>
      <w:r w:rsidRPr="004E209B">
        <w:rPr>
          <w:rFonts w:ascii="Palatino Linotype" w:eastAsia="Palatino Linotype" w:hAnsi="Palatino Linotype" w:cs="Palatino Linotype"/>
          <w:i/>
        </w:rPr>
        <w:t>El plazo señalado en este artículo empezará a contar a partir de la publicación en el Periódico Oficial, del decreto correspondiente.</w:t>
      </w:r>
      <w:r w:rsidRPr="004E209B">
        <w:rPr>
          <w:rFonts w:ascii="Palatino Linotype" w:eastAsia="Palatino Linotype" w:hAnsi="Palatino Linotype" w:cs="Palatino Linotype"/>
          <w:b/>
          <w:i/>
        </w:rPr>
        <w:t>”</w:t>
      </w:r>
    </w:p>
    <w:p w14:paraId="369F365E" w14:textId="77777777" w:rsidR="001E1CA8" w:rsidRPr="004E209B" w:rsidRDefault="001E1CA8" w:rsidP="001E1CA8">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7C4B851B" w14:textId="77777777" w:rsidR="001E1CA8" w:rsidRPr="004E209B" w:rsidRDefault="001E1CA8" w:rsidP="00991326">
      <w:pPr>
        <w:spacing w:before="240" w:after="240" w:line="360" w:lineRule="auto"/>
        <w:ind w:right="-232"/>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En ese sentido, debe decirse que las facturas emitidas en favor de los proveedores, contratistas o prestadores de servicios, la cual se encuentra definida en el Glosario de Términos Hacendarios que emite el Instituto Hacendario del Estado de México, como:</w:t>
      </w:r>
    </w:p>
    <w:p w14:paraId="0A359CD8" w14:textId="77777777" w:rsidR="001E1CA8" w:rsidRPr="004E209B" w:rsidRDefault="001E1CA8" w:rsidP="00991326">
      <w:pPr>
        <w:spacing w:before="120" w:after="120" w:line="240" w:lineRule="auto"/>
        <w:ind w:left="851" w:right="902"/>
        <w:jc w:val="both"/>
        <w:rPr>
          <w:rFonts w:ascii="Palatino Linotype" w:eastAsia="Palatino Linotype" w:hAnsi="Palatino Linotype" w:cs="Palatino Linotype"/>
          <w:b/>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FACTURA</w:t>
      </w:r>
    </w:p>
    <w:p w14:paraId="45CEAFDC" w14:textId="77777777" w:rsidR="001E1CA8" w:rsidRPr="004E209B" w:rsidRDefault="001E1CA8" w:rsidP="00991326">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lastRenderedPageBreak/>
        <w:t>Es el documento fiscal que emite la persona física o moral para comprobar la venta o adquisición de un bien y/o servicio.” (Sic)</w:t>
      </w:r>
    </w:p>
    <w:p w14:paraId="3D3B9670" w14:textId="77777777" w:rsidR="001E1CA8" w:rsidRPr="004E209B" w:rsidRDefault="001E1CA8" w:rsidP="00991326">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Luego entonces las facturas son comprobantes que amparan las erogaciones que se realizan con erario público tienen naturaleza pública pues, constituyen los medios idóneos de evidencia del gasto realizado con recursos públicos, de ahí que convenga precisar que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w:t>
      </w:r>
    </w:p>
    <w:p w14:paraId="14F578DC" w14:textId="77777777" w:rsidR="001E1CA8" w:rsidRPr="004E209B" w:rsidRDefault="001E1CA8" w:rsidP="001E1CA8">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Presupuestación y Evaluación en la Administración Pública”</w:t>
      </w:r>
      <w:r w:rsidRPr="004E209B">
        <w:rPr>
          <w:rFonts w:ascii="Palatino Linotype" w:eastAsia="Palatino Linotype" w:hAnsi="Palatino Linotype" w:cs="Palatino Linotype"/>
          <w:sz w:val="24"/>
          <w:vertAlign w:val="superscript"/>
        </w:rPr>
        <w:footnoteReference w:id="2"/>
      </w:r>
      <w:r w:rsidRPr="004E209B">
        <w:rPr>
          <w:rFonts w:ascii="Palatino Linotype" w:eastAsia="Palatino Linotype" w:hAnsi="Palatino Linotype" w:cs="Palatino Linotype"/>
          <w:sz w:val="24"/>
        </w:rPr>
        <w:t>,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282A590E" w14:textId="77777777" w:rsidR="001E1CA8" w:rsidRPr="004E209B" w:rsidRDefault="001E1CA8" w:rsidP="001E1CA8">
      <w:pPr>
        <w:spacing w:before="120" w:after="120" w:line="240" w:lineRule="auto"/>
        <w:ind w:left="850" w:right="902" w:hanging="11"/>
        <w:jc w:val="both"/>
        <w:rPr>
          <w:rFonts w:ascii="Palatino Linotype" w:eastAsia="Palatino Linotype" w:hAnsi="Palatino Linotype" w:cs="Palatino Linotype"/>
          <w:b/>
          <w:i/>
        </w:rPr>
      </w:pPr>
      <w:r w:rsidRPr="004E209B">
        <w:rPr>
          <w:rFonts w:ascii="Palatino Linotype" w:eastAsia="Palatino Linotype" w:hAnsi="Palatino Linotype" w:cs="Palatino Linotype"/>
          <w:b/>
          <w:i/>
        </w:rPr>
        <w:t>“REGISTRO CONTABLE</w:t>
      </w:r>
    </w:p>
    <w:p w14:paraId="7BA72C59" w14:textId="77777777" w:rsidR="001E1CA8" w:rsidRPr="004E209B" w:rsidRDefault="001E1CA8" w:rsidP="001E1CA8">
      <w:pPr>
        <w:spacing w:before="120" w:after="120" w:line="240" w:lineRule="auto"/>
        <w:ind w:left="850" w:right="902" w:hanging="11"/>
        <w:jc w:val="both"/>
        <w:rPr>
          <w:rFonts w:ascii="Palatino Linotype" w:eastAsia="Palatino Linotype" w:hAnsi="Palatino Linotype" w:cs="Palatino Linotype"/>
          <w:i/>
        </w:rPr>
      </w:pPr>
      <w:r w:rsidRPr="004E209B">
        <w:rPr>
          <w:rFonts w:ascii="Palatino Linotype" w:eastAsia="Palatino Linotype" w:hAnsi="Palatino Linotype" w:cs="Palatino Linotype"/>
          <w:i/>
        </w:rPr>
        <w:lastRenderedPageBreak/>
        <w:t>Asiento que se realiza en los libros de contabilidad de las actividades relacionadas con el ingreso y egresos de un ente económico.”</w:t>
      </w:r>
    </w:p>
    <w:p w14:paraId="575D505C" w14:textId="77777777" w:rsidR="001E1CA8" w:rsidRPr="004E209B" w:rsidRDefault="001E1CA8" w:rsidP="001E1CA8">
      <w:pPr>
        <w:spacing w:before="120" w:after="120" w:line="240" w:lineRule="auto"/>
        <w:ind w:left="850" w:right="902" w:hanging="11"/>
        <w:jc w:val="both"/>
        <w:rPr>
          <w:rFonts w:ascii="Palatino Linotype" w:eastAsia="Palatino Linotype" w:hAnsi="Palatino Linotype" w:cs="Palatino Linotype"/>
          <w:b/>
          <w:i/>
        </w:rPr>
      </w:pPr>
      <w:r w:rsidRPr="004E209B">
        <w:rPr>
          <w:rFonts w:ascii="Palatino Linotype" w:eastAsia="Palatino Linotype" w:hAnsi="Palatino Linotype" w:cs="Palatino Linotype"/>
          <w:b/>
          <w:i/>
        </w:rPr>
        <w:t>“REGISTRO PRESUPUESTARIO</w:t>
      </w:r>
    </w:p>
    <w:p w14:paraId="31E0C758" w14:textId="77777777" w:rsidR="001E1CA8" w:rsidRPr="004E209B" w:rsidRDefault="001E1CA8" w:rsidP="001E1CA8">
      <w:pPr>
        <w:spacing w:before="120" w:after="120" w:line="240" w:lineRule="auto"/>
        <w:ind w:left="850" w:right="902" w:hanging="11"/>
        <w:jc w:val="both"/>
        <w:rPr>
          <w:rFonts w:ascii="Palatino Linotype" w:eastAsia="Palatino Linotype" w:hAnsi="Palatino Linotype" w:cs="Palatino Linotype"/>
          <w:i/>
        </w:rPr>
      </w:pPr>
      <w:r w:rsidRPr="004E209B">
        <w:rPr>
          <w:rFonts w:ascii="Palatino Linotype" w:eastAsia="Palatino Linotype" w:hAnsi="Palatino Linotype" w:cs="Palatino Linotype"/>
          <w:i/>
        </w:rPr>
        <w:t>Asiento contable de las erogaciones realizadas por las dependencias y entidades con relación a la asignación, modificación y ejercicio de los recursos presupuestarios que se les hayan autorizado.”</w:t>
      </w:r>
    </w:p>
    <w:p w14:paraId="174C405B" w14:textId="77777777" w:rsidR="001E1CA8" w:rsidRPr="004E209B" w:rsidRDefault="001E1CA8" w:rsidP="001E1CA8">
      <w:pPr>
        <w:spacing w:before="240" w:after="240" w:line="360" w:lineRule="auto"/>
        <w:ind w:right="51"/>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Como bien se desprende de las definiciones, los registros contables y presupuestarios son asientos o anotaciones contables que se realizan tanto de los ingresos como de los egresos, a decir se trata de un control financiero en el que se reconoce la obligación del Tesorero de llevar dicho registro.</w:t>
      </w:r>
    </w:p>
    <w:p w14:paraId="634D9E2D" w14:textId="77777777" w:rsidR="001E1CA8" w:rsidRPr="004E209B" w:rsidRDefault="001E1CA8" w:rsidP="001E1CA8">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Por otra parte, se establece que el sistema de contabilidad sobre base acumulativa total se sustentará en los principios de contabilidad gubernamental.</w:t>
      </w:r>
    </w:p>
    <w:p w14:paraId="33BA0A40" w14:textId="77777777" w:rsidR="001E1CA8" w:rsidRPr="004E209B" w:rsidRDefault="001E1CA8" w:rsidP="001E1CA8">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0328144B" w14:textId="77777777" w:rsidR="001E1CA8" w:rsidRPr="004E209B" w:rsidRDefault="001E1CA8" w:rsidP="001E1CA8">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Correlativo a lo anterior, es preciso referir una definición de </w:t>
      </w:r>
      <w:r w:rsidRPr="004E209B">
        <w:rPr>
          <w:rFonts w:ascii="Palatino Linotype" w:eastAsia="Palatino Linotype" w:hAnsi="Palatino Linotype" w:cs="Palatino Linotype"/>
          <w:i/>
          <w:sz w:val="24"/>
        </w:rPr>
        <w:t>póliza contable</w:t>
      </w:r>
      <w:r w:rsidRPr="004E209B">
        <w:rPr>
          <w:rFonts w:ascii="Palatino Linotype" w:eastAsia="Palatino Linotype" w:hAnsi="Palatino Linotype" w:cs="Palatino Linotype"/>
          <w:sz w:val="24"/>
        </w:rPr>
        <w:t>, la cual, primeramente, no está definida en el Código Financiero del Estado de México y Municipios; no obstante, el ya mencionado Glosario la define como:</w:t>
      </w:r>
    </w:p>
    <w:p w14:paraId="339F28F6" w14:textId="77777777" w:rsidR="001E1CA8" w:rsidRPr="004E209B" w:rsidRDefault="001E1CA8" w:rsidP="001E1CA8">
      <w:pPr>
        <w:spacing w:before="120" w:after="120" w:line="240" w:lineRule="auto"/>
        <w:ind w:left="862" w:right="902"/>
        <w:jc w:val="both"/>
        <w:rPr>
          <w:rFonts w:ascii="Palatino Linotype" w:eastAsia="Palatino Linotype" w:hAnsi="Palatino Linotype" w:cs="Palatino Linotype"/>
          <w:b/>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PÓLIZA CONTABLE</w:t>
      </w:r>
    </w:p>
    <w:p w14:paraId="7BF3232F" w14:textId="77777777" w:rsidR="001E1CA8" w:rsidRPr="004E209B" w:rsidRDefault="001E1CA8" w:rsidP="001E1CA8">
      <w:pPr>
        <w:spacing w:before="120" w:after="120" w:line="240" w:lineRule="auto"/>
        <w:ind w:left="862"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 xml:space="preserve">Documento en el cual se asientan en forma individual todas y cada una de las operaciones desarrolladas por una institución, así como la información necesaria para la identificación de dichas operaciones.” </w:t>
      </w:r>
    </w:p>
    <w:p w14:paraId="3999AD4C" w14:textId="77777777" w:rsidR="001E1CA8" w:rsidRPr="004E209B" w:rsidRDefault="001E1CA8" w:rsidP="001E1CA8">
      <w:pPr>
        <w:spacing w:before="240" w:after="240" w:line="360" w:lineRule="auto"/>
        <w:jc w:val="both"/>
        <w:rPr>
          <w:rFonts w:ascii="Palatino Linotype" w:eastAsia="Palatino Linotype" w:hAnsi="Palatino Linotype" w:cs="Palatino Linotype"/>
          <w:i/>
          <w:sz w:val="24"/>
        </w:rPr>
      </w:pPr>
      <w:r w:rsidRPr="004E209B">
        <w:rPr>
          <w:rFonts w:ascii="Palatino Linotype" w:eastAsia="Palatino Linotype" w:hAnsi="Palatino Linotype" w:cs="Palatino Linotype"/>
          <w:sz w:val="24"/>
        </w:rPr>
        <w:lastRenderedPageBreak/>
        <w:t xml:space="preserve">Así, se advierte que la </w:t>
      </w:r>
      <w:r w:rsidRPr="004E209B">
        <w:rPr>
          <w:rFonts w:ascii="Palatino Linotype" w:eastAsia="Palatino Linotype" w:hAnsi="Palatino Linotype" w:cs="Palatino Linotype"/>
          <w:i/>
          <w:sz w:val="24"/>
        </w:rPr>
        <w:t>póliza contable</w:t>
      </w:r>
      <w:r w:rsidRPr="004E209B">
        <w:rPr>
          <w:rFonts w:ascii="Palatino Linotype" w:eastAsia="Palatino Linotype" w:hAnsi="Palatino Linotype" w:cs="Palatino Linotype"/>
          <w:sz w:val="24"/>
        </w:rPr>
        <w:t xml:space="preserve"> constituye un registro contable y presupuestal con el que cuentan los Municipios para el registro de operaciones relacionadas con </w:t>
      </w:r>
      <w:r w:rsidRPr="004E209B">
        <w:rPr>
          <w:rFonts w:ascii="Palatino Linotype" w:eastAsia="Palatino Linotype" w:hAnsi="Palatino Linotype" w:cs="Palatino Linotype"/>
          <w:sz w:val="24"/>
          <w:u w:val="single"/>
        </w:rPr>
        <w:t>ingresos y egresos</w:t>
      </w:r>
      <w:r w:rsidRPr="004E209B">
        <w:rPr>
          <w:rFonts w:ascii="Palatino Linotype" w:eastAsia="Palatino Linotype" w:hAnsi="Palatino Linotype" w:cs="Palatino Linotype"/>
          <w:sz w:val="24"/>
        </w:rPr>
        <w:t xml:space="preserve"> y se anexan los documentos o comprobantes que justifiquen las anotaciones y cantidades en ellas registradas, lo que permite la identificación plena de dichas operaciones.</w:t>
      </w:r>
    </w:p>
    <w:p w14:paraId="579A13C0" w14:textId="677FA7D9" w:rsidR="001E1CA8" w:rsidRPr="004E209B" w:rsidRDefault="001E1CA8" w:rsidP="001E1CA8">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En este sentido, existen diversos tipos de pólizas contables de acuerdo a las operaciones realizadas, dentro de las cuales, encontramos las </w:t>
      </w:r>
      <w:r w:rsidRPr="004E209B">
        <w:rPr>
          <w:rFonts w:ascii="Palatino Linotype" w:eastAsia="Palatino Linotype" w:hAnsi="Palatino Linotype" w:cs="Palatino Linotype"/>
          <w:i/>
          <w:sz w:val="24"/>
        </w:rPr>
        <w:t>pólizas de egresos e ingresos</w:t>
      </w:r>
      <w:r w:rsidRPr="004E209B">
        <w:rPr>
          <w:rFonts w:ascii="Palatino Linotype" w:eastAsia="Palatino Linotype" w:hAnsi="Palatino Linotype" w:cs="Palatino Linotype"/>
          <w:sz w:val="24"/>
        </w:rPr>
        <w:t xml:space="preserve">, </w:t>
      </w:r>
      <w:r w:rsidRPr="004E209B">
        <w:rPr>
          <w:rFonts w:ascii="Palatino Linotype" w:eastAsia="Palatino Linotype" w:hAnsi="Palatino Linotype" w:cs="Palatino Linotype"/>
          <w:b/>
          <w:sz w:val="24"/>
        </w:rPr>
        <w:t xml:space="preserve">las primeras son aquellas en las cuales </w:t>
      </w:r>
      <w:r w:rsidRPr="004E209B">
        <w:rPr>
          <w:rFonts w:ascii="Palatino Linotype" w:eastAsia="Palatino Linotype" w:hAnsi="Palatino Linotype" w:cs="Palatino Linotype"/>
          <w:b/>
          <w:sz w:val="24"/>
          <w:u w:val="single"/>
        </w:rPr>
        <w:t>se anotan diariamente las operaciones que representan gastos, es decir, salidas de dinero</w:t>
      </w:r>
      <w:r w:rsidRPr="004E209B">
        <w:rPr>
          <w:rFonts w:ascii="Palatino Linotype" w:eastAsia="Palatino Linotype" w:hAnsi="Palatino Linotype" w:cs="Palatino Linotype"/>
          <w:sz w:val="24"/>
        </w:rPr>
        <w:t xml:space="preserve"> para el </w:t>
      </w:r>
      <w:r w:rsidRPr="004E209B">
        <w:rPr>
          <w:rFonts w:ascii="Palatino Linotype" w:eastAsia="Palatino Linotype" w:hAnsi="Palatino Linotype" w:cs="Palatino Linotype"/>
          <w:b/>
          <w:sz w:val="24"/>
        </w:rPr>
        <w:t>Sujeto Obligado,</w:t>
      </w:r>
      <w:r w:rsidRPr="004E209B">
        <w:rPr>
          <w:rFonts w:ascii="Palatino Linotype" w:eastAsia="Palatino Linotype" w:hAnsi="Palatino Linotype" w:cs="Palatino Linotype"/>
          <w:sz w:val="24"/>
        </w:rPr>
        <w:t xml:space="preserve"> las que además, </w:t>
      </w:r>
      <w:r w:rsidRPr="004E209B">
        <w:rPr>
          <w:rFonts w:ascii="Palatino Linotype" w:eastAsia="Palatino Linotype" w:hAnsi="Palatino Linotype" w:cs="Palatino Linotype"/>
          <w:b/>
          <w:sz w:val="24"/>
        </w:rPr>
        <w:t>deben encontrarse acompañadas de las documentales que sirven de soporte de dicho movimiento como lo es la suficiencia y la requisición</w:t>
      </w:r>
      <w:r w:rsidRPr="004E209B">
        <w:rPr>
          <w:rFonts w:ascii="Palatino Linotype" w:eastAsia="Palatino Linotype" w:hAnsi="Palatino Linotype" w:cs="Palatino Linotype"/>
          <w:sz w:val="24"/>
        </w:rPr>
        <w:t>, en atención a las segundas, registran todas la entradas de dinero independientemente de la modalidad, ya sea en efectivo, transferencia, cheque o pagaré, mediante la expedición de facturas.</w:t>
      </w:r>
    </w:p>
    <w:p w14:paraId="4CF4901B" w14:textId="77777777" w:rsidR="001E1CA8" w:rsidRPr="004E209B" w:rsidRDefault="001E1CA8" w:rsidP="001E1CA8">
      <w:pPr>
        <w:spacing w:before="240" w:after="240" w:line="360" w:lineRule="auto"/>
        <w:ind w:right="51"/>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Atento a lo anterior, como ya ha sido mencionado en la normatividad antes citada, todo registro contable y presupuestal deberá estar soportado con los documentos comprobatorios originales, como lo son las facturas o comprobantes fiscales digitales por internet, mismos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 tal y como se establece en el Código Financiero del Estado de México. </w:t>
      </w:r>
    </w:p>
    <w:p w14:paraId="74DD3EB3" w14:textId="7D079354" w:rsidR="00970740" w:rsidRPr="004E209B" w:rsidRDefault="00991326" w:rsidP="00970740">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lastRenderedPageBreak/>
        <w:t xml:space="preserve">Por otro lado, </w:t>
      </w:r>
      <w:r w:rsidR="002007DB" w:rsidRPr="004E209B">
        <w:rPr>
          <w:rFonts w:ascii="Palatino Linotype" w:eastAsia="Palatino Linotype" w:hAnsi="Palatino Linotype" w:cs="Palatino Linotype"/>
          <w:sz w:val="24"/>
          <w:szCs w:val="24"/>
        </w:rPr>
        <w:t>resulta pertinente señalar que los Manuales para la Planeación, Programación y Presupuesto de Egresos Municipal, para los Ejercicios Fiscales dos mil veintidós, dos mil veintitrés y dos mil veinticuatro,</w:t>
      </w:r>
      <w:r w:rsidR="00970740" w:rsidRPr="004E209B">
        <w:rPr>
          <w:rFonts w:ascii="Palatino Linotype" w:eastAsia="Palatino Linotype" w:hAnsi="Palatino Linotype" w:cs="Palatino Linotype"/>
          <w:sz w:val="24"/>
          <w:szCs w:val="24"/>
        </w:rPr>
        <w:t xml:space="preserve"> integra como anexo el “Clasificador por objeto del gasto”,  el cual se constituye un elemento fundamental del sistema general de cuentas donde cada componente destaca aspectos concretos del presupuesto y suministra información que atiende a necesidades diferentes pero enlazadas, permitiendo el vínculo con la contabilidad, es decir, que se trata de un instrumento que permite la obtención de información para el análisis y seguimiento de la gestión financiera gubernamental, por lo cual permite conocer en qué se gasta y cuantificar la demanda de bienes o servicios.</w:t>
      </w:r>
    </w:p>
    <w:p w14:paraId="1B9F1B18" w14:textId="77777777" w:rsidR="00542E03" w:rsidRPr="004E209B" w:rsidRDefault="00542E03" w:rsidP="00542E03">
      <w:pPr>
        <w:spacing w:before="280" w:after="28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La estructura del Clasificador, según lo previsto en el anexo, fue diseñada con un nivel de desagregación que permite que sus cuentas faciliten el registro único de todas las transacciones con incidencia económica – financiera, es por ello que la armonización se realiza a tercer digito que corresponde a la partida genérica, dejando en poder de las entidades federativas la desagregación e identificación de la partida específica, dando origen a la siguiente estructura:</w:t>
      </w:r>
    </w:p>
    <w:p w14:paraId="41DF27C8" w14:textId="77777777" w:rsidR="00542E03" w:rsidRPr="004E209B" w:rsidRDefault="00542E03" w:rsidP="00542E03">
      <w:pPr>
        <w:spacing w:before="240" w:after="240" w:line="360" w:lineRule="auto"/>
        <w:jc w:val="both"/>
        <w:rPr>
          <w:rFonts w:ascii="Palatino Linotype" w:eastAsia="Palatino Linotype" w:hAnsi="Palatino Linotype" w:cs="Palatino Linotype"/>
        </w:rPr>
      </w:pPr>
      <w:r w:rsidRPr="004E209B">
        <w:rPr>
          <w:rFonts w:ascii="Palatino Linotype" w:eastAsia="Palatino Linotype" w:hAnsi="Palatino Linotype" w:cs="Palatino Linotype"/>
          <w:noProof/>
        </w:rPr>
        <w:drawing>
          <wp:inline distT="0" distB="0" distL="0" distR="0" wp14:anchorId="19A5DCE8" wp14:editId="0B187C0A">
            <wp:extent cx="5610225" cy="933450"/>
            <wp:effectExtent l="0" t="0" r="0" b="0"/>
            <wp:docPr id="2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1"/>
                    <a:srcRect/>
                    <a:stretch>
                      <a:fillRect/>
                    </a:stretch>
                  </pic:blipFill>
                  <pic:spPr>
                    <a:xfrm>
                      <a:off x="0" y="0"/>
                      <a:ext cx="5610225" cy="933450"/>
                    </a:xfrm>
                    <a:prstGeom prst="rect">
                      <a:avLst/>
                    </a:prstGeom>
                    <a:ln/>
                  </pic:spPr>
                </pic:pic>
              </a:graphicData>
            </a:graphic>
          </wp:inline>
        </w:drawing>
      </w:r>
    </w:p>
    <w:p w14:paraId="2906091C" w14:textId="77777777" w:rsidR="00542E03" w:rsidRPr="004E209B" w:rsidRDefault="00542E03" w:rsidP="00542E03">
      <w:pPr>
        <w:spacing w:before="280" w:after="28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Debiendo definir cada una de las partes que lo integran como sigue:</w:t>
      </w:r>
    </w:p>
    <w:p w14:paraId="67984EC3" w14:textId="77777777" w:rsidR="00542E03" w:rsidRPr="004E209B" w:rsidRDefault="00542E03" w:rsidP="00542E03">
      <w:pPr>
        <w:numPr>
          <w:ilvl w:val="0"/>
          <w:numId w:val="11"/>
        </w:numPr>
        <w:pBdr>
          <w:top w:val="nil"/>
          <w:left w:val="nil"/>
          <w:bottom w:val="nil"/>
          <w:right w:val="nil"/>
          <w:between w:val="nil"/>
        </w:pBdr>
        <w:spacing w:before="120" w:after="120" w:line="360" w:lineRule="auto"/>
        <w:ind w:hanging="357"/>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lastRenderedPageBreak/>
        <w:t>Capítulo:</w:t>
      </w:r>
      <w:r w:rsidRPr="004E209B">
        <w:rPr>
          <w:rFonts w:ascii="Palatino Linotype" w:eastAsia="Palatino Linotype" w:hAnsi="Palatino Linotype" w:cs="Palatino Linotype"/>
          <w:sz w:val="24"/>
          <w:szCs w:val="24"/>
        </w:rPr>
        <w:t xml:space="preserve"> Es el mayor nivel de agregación que identifica el conjunto homogéneo y ordenado de los bienes y servicios requeridos por los entes públicos. </w:t>
      </w:r>
    </w:p>
    <w:p w14:paraId="591275A4" w14:textId="77777777" w:rsidR="00542E03" w:rsidRPr="004E209B" w:rsidRDefault="00542E03" w:rsidP="00542E03">
      <w:pPr>
        <w:numPr>
          <w:ilvl w:val="0"/>
          <w:numId w:val="11"/>
        </w:numPr>
        <w:pBdr>
          <w:top w:val="nil"/>
          <w:left w:val="nil"/>
          <w:bottom w:val="nil"/>
          <w:right w:val="nil"/>
          <w:between w:val="nil"/>
        </w:pBdr>
        <w:spacing w:before="120" w:after="120" w:line="360" w:lineRule="auto"/>
        <w:ind w:hanging="357"/>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Concepto:</w:t>
      </w:r>
      <w:r w:rsidRPr="004E209B">
        <w:rPr>
          <w:rFonts w:ascii="Palatino Linotype" w:eastAsia="Palatino Linotype" w:hAnsi="Palatino Linotype" w:cs="Palatino Linotype"/>
          <w:sz w:val="24"/>
          <w:szCs w:val="24"/>
        </w:rPr>
        <w:t xml:space="preserve"> Son subconjuntos homogéneos y ordenados en forma específica, producto de la desagregación de los bienes y servicios, incluidos en cada capítulo. </w:t>
      </w:r>
    </w:p>
    <w:p w14:paraId="3437F683" w14:textId="77777777" w:rsidR="00542E03" w:rsidRPr="004E209B" w:rsidRDefault="00542E03" w:rsidP="00542E03">
      <w:pPr>
        <w:numPr>
          <w:ilvl w:val="0"/>
          <w:numId w:val="11"/>
        </w:numPr>
        <w:pBdr>
          <w:top w:val="nil"/>
          <w:left w:val="nil"/>
          <w:bottom w:val="nil"/>
          <w:right w:val="nil"/>
          <w:between w:val="nil"/>
        </w:pBdr>
        <w:spacing w:before="120" w:after="120" w:line="360" w:lineRule="auto"/>
        <w:ind w:hanging="357"/>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Partida:</w:t>
      </w:r>
      <w:r w:rsidRPr="004E209B">
        <w:rPr>
          <w:rFonts w:ascii="Palatino Linotype" w:eastAsia="Palatino Linotype" w:hAnsi="Palatino Linotype" w:cs="Palatino Linotype"/>
          <w:sz w:val="24"/>
          <w:szCs w:val="24"/>
        </w:rPr>
        <w:t xml:space="preserve"> Es el nivel de agregación más específico en el cual se describen las expresiones concretas y detalladas de los bienes y servicios que se adquieren y se compone de: </w:t>
      </w:r>
    </w:p>
    <w:p w14:paraId="61F8C293" w14:textId="77777777" w:rsidR="00542E03" w:rsidRPr="004E209B" w:rsidRDefault="00542E03" w:rsidP="00542E03">
      <w:pPr>
        <w:numPr>
          <w:ilvl w:val="0"/>
          <w:numId w:val="12"/>
        </w:numPr>
        <w:pBdr>
          <w:top w:val="nil"/>
          <w:left w:val="nil"/>
          <w:bottom w:val="nil"/>
          <w:right w:val="nil"/>
          <w:between w:val="nil"/>
        </w:pBdr>
        <w:spacing w:before="120" w:after="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La Partida Genérica</w:t>
      </w:r>
      <w:r w:rsidRPr="004E209B">
        <w:rPr>
          <w:rFonts w:ascii="Palatino Linotype" w:eastAsia="Palatino Linotype" w:hAnsi="Palatino Linotype" w:cs="Palatino Linotype"/>
          <w:sz w:val="24"/>
          <w:szCs w:val="24"/>
        </w:rPr>
        <w:t xml:space="preserve"> se refiere al tercer dígito, el cual logrará la armonización a todos los niveles de gobierno.</w:t>
      </w:r>
    </w:p>
    <w:p w14:paraId="1F4D6A14" w14:textId="77777777" w:rsidR="00542E03" w:rsidRPr="004E209B" w:rsidRDefault="00542E03" w:rsidP="00542E03">
      <w:pPr>
        <w:numPr>
          <w:ilvl w:val="0"/>
          <w:numId w:val="12"/>
        </w:numPr>
        <w:pBdr>
          <w:top w:val="nil"/>
          <w:left w:val="nil"/>
          <w:bottom w:val="nil"/>
          <w:right w:val="nil"/>
          <w:between w:val="nil"/>
        </w:pBdr>
        <w:spacing w:after="120" w:line="360" w:lineRule="auto"/>
        <w:ind w:hanging="357"/>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La Partida Específica</w:t>
      </w:r>
      <w:r w:rsidRPr="004E209B">
        <w:rPr>
          <w:rFonts w:ascii="Palatino Linotype" w:eastAsia="Palatino Linotype" w:hAnsi="Palatino Linotype" w:cs="Palatino Linotype"/>
          <w:sz w:val="24"/>
          <w:szCs w:val="24"/>
        </w:rPr>
        <w:t xml:space="preserve"> corresponde al cuarto dígito, el cual permitirá que las unidades administrativas o instancias competentes en materia de Contabilidad Gubernamental y de Presupuesto de cada orden de gobierno, con base en sus necesidades, generen su apertura, conservando la estructura básica (capítulo, concepto y partida genérica), con el fin de mantener la armonización con el Plan de Cuenta.</w:t>
      </w:r>
    </w:p>
    <w:p w14:paraId="77EB5196" w14:textId="77777777" w:rsidR="00542E03" w:rsidRPr="004E209B" w:rsidRDefault="00542E03" w:rsidP="00542E03">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De acuerdo con este nivel de desagregación del Clasificador por Objeto del Gasto Estatal y Municipal, la definición de los Capítulos de gasto es la siguiente: </w:t>
      </w:r>
    </w:p>
    <w:p w14:paraId="5A29D952" w14:textId="77777777" w:rsidR="00542E03" w:rsidRPr="004E209B" w:rsidRDefault="00542E03" w:rsidP="00542E03">
      <w:pPr>
        <w:spacing w:before="240" w:after="240"/>
        <w:ind w:left="426"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1000 SERVICIOS PERSONALES.</w:t>
      </w:r>
      <w:r w:rsidRPr="004E209B">
        <w:rPr>
          <w:rFonts w:ascii="Palatino Linotype" w:eastAsia="Palatino Linotype" w:hAnsi="Palatino Linotype" w:cs="Palatino Linotype"/>
          <w:sz w:val="24"/>
          <w:szCs w:val="24"/>
        </w:rPr>
        <w:t xml:space="preserve"> Agrupa las remuneraciones del personal al servicio de los entes públicos, tales como: sueldos, salarios, dietas, honorarios asimilables al salario, prestaciones y gastos de seguridad social, obligaciones </w:t>
      </w:r>
      <w:r w:rsidRPr="004E209B">
        <w:rPr>
          <w:rFonts w:ascii="Palatino Linotype" w:eastAsia="Palatino Linotype" w:hAnsi="Palatino Linotype" w:cs="Palatino Linotype"/>
          <w:sz w:val="24"/>
          <w:szCs w:val="24"/>
        </w:rPr>
        <w:lastRenderedPageBreak/>
        <w:t>laborables y otras prestaciones derivadas de una relación laboral; pudiendo ser de carácter permanente o transitorio.</w:t>
      </w:r>
    </w:p>
    <w:p w14:paraId="1282F20A" w14:textId="77777777" w:rsidR="00542E03" w:rsidRPr="004E209B" w:rsidRDefault="00542E03" w:rsidP="00542E03">
      <w:pPr>
        <w:spacing w:before="240" w:after="240"/>
        <w:ind w:left="426" w:right="49"/>
        <w:jc w:val="both"/>
        <w:rPr>
          <w:rFonts w:ascii="Palatino Linotype" w:eastAsia="Palatino Linotype" w:hAnsi="Palatino Linotype" w:cs="Palatino Linotype"/>
          <w:i/>
          <w:sz w:val="24"/>
          <w:szCs w:val="24"/>
        </w:rPr>
      </w:pPr>
      <w:r w:rsidRPr="004E209B">
        <w:rPr>
          <w:rFonts w:ascii="Palatino Linotype" w:eastAsia="Palatino Linotype" w:hAnsi="Palatino Linotype" w:cs="Palatino Linotype"/>
          <w:b/>
          <w:i/>
          <w:sz w:val="24"/>
          <w:szCs w:val="24"/>
        </w:rPr>
        <w:t>2000 MATERIALES Y SUMINISTROS</w:t>
      </w:r>
      <w:r w:rsidRPr="004E209B">
        <w:rPr>
          <w:rFonts w:ascii="Palatino Linotype" w:eastAsia="Palatino Linotype" w:hAnsi="Palatino Linotype" w:cs="Palatino Linotype"/>
          <w:i/>
          <w:sz w:val="24"/>
          <w:szCs w:val="24"/>
        </w:rPr>
        <w:t xml:space="preserve">. Agrupa las asignaciones destinadas a la adquisición de toda clase de insumos y suministros requeridos para la prestación de bienes y servicios públicos y para el desempeño de las actividades administrativas. </w:t>
      </w:r>
    </w:p>
    <w:p w14:paraId="448C158A" w14:textId="77777777" w:rsidR="00542E03" w:rsidRPr="004E209B" w:rsidRDefault="00542E03" w:rsidP="00542E03">
      <w:pPr>
        <w:spacing w:before="240" w:after="240"/>
        <w:ind w:left="426" w:right="49"/>
        <w:jc w:val="both"/>
        <w:rPr>
          <w:rFonts w:ascii="Palatino Linotype" w:eastAsia="Palatino Linotype" w:hAnsi="Palatino Linotype" w:cs="Palatino Linotype"/>
          <w:b/>
          <w:i/>
          <w:sz w:val="24"/>
          <w:szCs w:val="24"/>
        </w:rPr>
      </w:pPr>
      <w:r w:rsidRPr="004E209B">
        <w:rPr>
          <w:rFonts w:ascii="Palatino Linotype" w:eastAsia="Palatino Linotype" w:hAnsi="Palatino Linotype" w:cs="Palatino Linotype"/>
          <w:b/>
          <w:sz w:val="24"/>
          <w:szCs w:val="24"/>
        </w:rPr>
        <w:t>3000 SERVICIOS GENERALES</w:t>
      </w:r>
      <w:r w:rsidRPr="004E209B">
        <w:rPr>
          <w:rFonts w:ascii="Palatino Linotype" w:eastAsia="Palatino Linotype" w:hAnsi="Palatino Linotype" w:cs="Palatino Linotype"/>
          <w:b/>
          <w:i/>
          <w:sz w:val="24"/>
          <w:szCs w:val="24"/>
        </w:rPr>
        <w:t xml:space="preserve">. </w:t>
      </w:r>
      <w:r w:rsidRPr="004E209B">
        <w:rPr>
          <w:rFonts w:ascii="Palatino Linotype" w:eastAsia="Palatino Linotype" w:hAnsi="Palatino Linotype" w:cs="Palatino Linotype"/>
          <w:sz w:val="24"/>
          <w:szCs w:val="24"/>
        </w:rPr>
        <w:t>Asignaciones destinadas a cubrir el costo de todo tipo de servicios que se contraten con particulares o instituciones del propio sector público; así como los servicios oficiales requeridos para el desempeño de actividades vinculadas con la función pública</w:t>
      </w:r>
      <w:r w:rsidRPr="004E209B">
        <w:rPr>
          <w:rFonts w:ascii="Palatino Linotype" w:eastAsia="Palatino Linotype" w:hAnsi="Palatino Linotype" w:cs="Palatino Linotype"/>
          <w:b/>
          <w:i/>
          <w:sz w:val="24"/>
          <w:szCs w:val="24"/>
        </w:rPr>
        <w:t xml:space="preserve">. </w:t>
      </w:r>
    </w:p>
    <w:p w14:paraId="4D2339E8" w14:textId="77777777" w:rsidR="00542E03" w:rsidRPr="004E209B" w:rsidRDefault="00542E03" w:rsidP="00542E03">
      <w:pPr>
        <w:spacing w:before="240" w:after="240"/>
        <w:ind w:left="426"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4000 TRANSFERENCIAS, ASIGNACIONES, SUBSIDIOS Y OTRAS AYUDAS</w:t>
      </w:r>
      <w:r w:rsidRPr="004E209B">
        <w:rPr>
          <w:rFonts w:ascii="Palatino Linotype" w:eastAsia="Palatino Linotype" w:hAnsi="Palatino Linotype" w:cs="Palatino Linotype"/>
          <w:sz w:val="24"/>
          <w:szCs w:val="24"/>
        </w:rPr>
        <w:t>. Asignaciones destinadas en forma directa o indirecta a los sectores público, privado y externo, organismos y empresas paraestatales y apoyos como parte de su política económica y social, de acuerdo a las estrategias y prioridades de desarrollo para el sostenimiento y desempeño de sus actividades.</w:t>
      </w:r>
    </w:p>
    <w:p w14:paraId="5B714CE6" w14:textId="77777777" w:rsidR="00542E03" w:rsidRPr="004E209B" w:rsidRDefault="00542E03" w:rsidP="00542E03">
      <w:pPr>
        <w:spacing w:before="240" w:after="240"/>
        <w:ind w:left="426"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5000 BIENES MUEBLES, INMUEBLES E INTANGIBLES</w:t>
      </w:r>
      <w:r w:rsidRPr="004E209B">
        <w:rPr>
          <w:rFonts w:ascii="Palatino Linotype" w:eastAsia="Palatino Linotype" w:hAnsi="Palatino Linotype" w:cs="Palatino Linotype"/>
          <w:sz w:val="24"/>
          <w:szCs w:val="24"/>
        </w:rPr>
        <w:t xml:space="preserve">. Agrupa las asignaciones destinadas a la adquisición de toda clase de bienes muebles e inmuebles requeridos en el desempeño de las actividades de los entes públicos. Incluye los pagos por adjudicación, expropiación e indemnización de bienes muebles e inmuebles a favor del Gobierno. </w:t>
      </w:r>
    </w:p>
    <w:p w14:paraId="24A008AB" w14:textId="77777777" w:rsidR="00542E03" w:rsidRPr="004E209B" w:rsidRDefault="00542E03" w:rsidP="00542E03">
      <w:pPr>
        <w:spacing w:before="240" w:after="240"/>
        <w:ind w:left="426"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6000 INVERSIÓN PÚBLICA.</w:t>
      </w:r>
      <w:r w:rsidRPr="004E209B">
        <w:rPr>
          <w:rFonts w:ascii="Palatino Linotype" w:eastAsia="Palatino Linotype" w:hAnsi="Palatino Linotype" w:cs="Palatino Linotype"/>
          <w:sz w:val="24"/>
          <w:szCs w:val="24"/>
        </w:rPr>
        <w:t xml:space="preserve"> Asignaciones destinadas a obras por contrato y proyectos productivos y acciones de fomento. Incluye los gastos en estudios de </w:t>
      </w:r>
      <w:proofErr w:type="spellStart"/>
      <w:r w:rsidRPr="004E209B">
        <w:rPr>
          <w:rFonts w:ascii="Palatino Linotype" w:eastAsia="Palatino Linotype" w:hAnsi="Palatino Linotype" w:cs="Palatino Linotype"/>
          <w:sz w:val="24"/>
          <w:szCs w:val="24"/>
        </w:rPr>
        <w:t>pre‐inversión</w:t>
      </w:r>
      <w:proofErr w:type="spellEnd"/>
      <w:r w:rsidRPr="004E209B">
        <w:rPr>
          <w:rFonts w:ascii="Palatino Linotype" w:eastAsia="Palatino Linotype" w:hAnsi="Palatino Linotype" w:cs="Palatino Linotype"/>
          <w:sz w:val="24"/>
          <w:szCs w:val="24"/>
        </w:rPr>
        <w:t xml:space="preserve"> y preparación del proyecto. </w:t>
      </w:r>
    </w:p>
    <w:p w14:paraId="2A795E4A" w14:textId="77777777" w:rsidR="00542E03" w:rsidRPr="004E209B" w:rsidRDefault="00542E03" w:rsidP="00542E03">
      <w:pPr>
        <w:spacing w:before="240" w:after="240"/>
        <w:ind w:left="426"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7000 INVERSIONES FINANCIERAS Y OTRAS PROVISIONES</w:t>
      </w:r>
      <w:r w:rsidRPr="004E209B">
        <w:rPr>
          <w:rFonts w:ascii="Palatino Linotype" w:eastAsia="Palatino Linotype" w:hAnsi="Palatino Linotype" w:cs="Palatino Linotype"/>
          <w:sz w:val="24"/>
          <w:szCs w:val="24"/>
        </w:rPr>
        <w:t xml:space="preserve">. Erogaciones que realiza la administración pública en la adquisición de acciones, bonos y otros títulos y valores; así como en préstamos otorgados a diversos agentes económicos. Se incluyen las aportaciones de capital a las entidades públicas; así </w:t>
      </w:r>
      <w:r w:rsidRPr="004E209B">
        <w:rPr>
          <w:rFonts w:ascii="Palatino Linotype" w:eastAsia="Palatino Linotype" w:hAnsi="Palatino Linotype" w:cs="Palatino Linotype"/>
          <w:sz w:val="24"/>
          <w:szCs w:val="24"/>
        </w:rPr>
        <w:lastRenderedPageBreak/>
        <w:t xml:space="preserve">como las erogaciones contingentes e imprevistas para el cumplimiento de obligaciones del Gobierno. </w:t>
      </w:r>
    </w:p>
    <w:p w14:paraId="0D231261" w14:textId="77777777" w:rsidR="00542E03" w:rsidRPr="004E209B" w:rsidRDefault="00542E03" w:rsidP="00542E03">
      <w:pPr>
        <w:spacing w:before="240" w:after="240"/>
        <w:ind w:left="426" w:right="49"/>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8000 PARTICIPACIONES Y APORTACIONES.</w:t>
      </w:r>
      <w:r w:rsidRPr="004E209B">
        <w:rPr>
          <w:rFonts w:ascii="Palatino Linotype" w:eastAsia="Palatino Linotype" w:hAnsi="Palatino Linotype" w:cs="Palatino Linotype"/>
          <w:sz w:val="24"/>
          <w:szCs w:val="24"/>
        </w:rPr>
        <w:t xml:space="preserve"> Agrupa el importe de los recursos federales y estatales para cubrir las participaciones en ingresos federales a Municipios provenientes de la recaudación federal, así como las asignaciones destinadas a los Municipios de acuerdo a los convenios de coordinación fiscal que celebre el Gobierno Federal con el Estado. Incluye las asignaciones a cubrir las aportaciones federales provenientes del Ramo General 33 Aportaciones Federales para Entidades Federativas y Municipios a favor de los Municipios. </w:t>
      </w:r>
    </w:p>
    <w:p w14:paraId="1584D062" w14:textId="77777777" w:rsidR="00542E03" w:rsidRPr="004E209B" w:rsidRDefault="00542E03" w:rsidP="00542E03">
      <w:pPr>
        <w:spacing w:before="240" w:after="240"/>
        <w:ind w:left="426" w:right="49"/>
        <w:jc w:val="both"/>
        <w:rPr>
          <w:rFonts w:ascii="Palatino Linotype" w:eastAsia="Palatino Linotype" w:hAnsi="Palatino Linotype" w:cs="Palatino Linotype"/>
        </w:rPr>
      </w:pPr>
      <w:r w:rsidRPr="004E209B">
        <w:rPr>
          <w:rFonts w:ascii="Palatino Linotype" w:eastAsia="Palatino Linotype" w:hAnsi="Palatino Linotype" w:cs="Palatino Linotype"/>
          <w:b/>
          <w:sz w:val="24"/>
          <w:szCs w:val="24"/>
        </w:rPr>
        <w:t>9000 DEUDA PÚBLICA</w:t>
      </w:r>
      <w:r w:rsidRPr="004E209B">
        <w:rPr>
          <w:rFonts w:ascii="Palatino Linotype" w:eastAsia="Palatino Linotype" w:hAnsi="Palatino Linotype" w:cs="Palatino Linotype"/>
          <w:sz w:val="24"/>
          <w:szCs w:val="24"/>
        </w:rPr>
        <w:t>. Asignaciones destinadas a cubrir obligaciones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w:t>
      </w:r>
      <w:r w:rsidRPr="004E209B">
        <w:rPr>
          <w:rFonts w:ascii="Palatino Linotype" w:eastAsia="Palatino Linotype" w:hAnsi="Palatino Linotype" w:cs="Palatino Linotype"/>
        </w:rPr>
        <w:t xml:space="preserve"> </w:t>
      </w:r>
    </w:p>
    <w:p w14:paraId="77859173" w14:textId="5827479B" w:rsidR="00542E03" w:rsidRPr="004E209B" w:rsidRDefault="00542E03" w:rsidP="00542E03">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En este tenor, el Capítulo 2000 contempla el siguiente concepto o subcapítulo, partida genérica y partida específica atinente con el tema que nos ocupa:</w:t>
      </w:r>
    </w:p>
    <w:p w14:paraId="031BFACD" w14:textId="6322B300" w:rsidR="00542E03" w:rsidRPr="004E209B" w:rsidRDefault="00542E03" w:rsidP="00542E03">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noProof/>
          <w:sz w:val="24"/>
          <w:szCs w:val="24"/>
        </w:rPr>
        <w:drawing>
          <wp:inline distT="0" distB="0" distL="0" distR="0" wp14:anchorId="4539E4BC" wp14:editId="75171E69">
            <wp:extent cx="5612130" cy="1388110"/>
            <wp:effectExtent l="0" t="0" r="762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1388110"/>
                    </a:xfrm>
                    <a:prstGeom prst="rect">
                      <a:avLst/>
                    </a:prstGeom>
                  </pic:spPr>
                </pic:pic>
              </a:graphicData>
            </a:graphic>
          </wp:inline>
        </w:drawing>
      </w:r>
    </w:p>
    <w:p w14:paraId="79C145B2" w14:textId="743F005D" w:rsidR="004F6AD3" w:rsidRPr="004E209B" w:rsidRDefault="004F6AD3" w:rsidP="00542E03">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Asimismo, no debe perderse de vista que el </w:t>
      </w:r>
      <w:r w:rsidRPr="004E209B">
        <w:rPr>
          <w:rFonts w:ascii="Palatino Linotype" w:eastAsia="Palatino Linotype" w:hAnsi="Palatino Linotype" w:cs="Palatino Linotype"/>
          <w:b/>
          <w:sz w:val="24"/>
          <w:szCs w:val="24"/>
        </w:rPr>
        <w:t xml:space="preserve">sujeto Obligado </w:t>
      </w:r>
      <w:r w:rsidRPr="004E209B">
        <w:rPr>
          <w:rFonts w:ascii="Palatino Linotype" w:eastAsia="Palatino Linotype" w:hAnsi="Palatino Linotype" w:cs="Palatino Linotype"/>
          <w:sz w:val="24"/>
          <w:szCs w:val="24"/>
        </w:rPr>
        <w:t xml:space="preserve">como ente fiscalizable se encuentra constreñido a rendir informes del ejercicio del presupuesto ante las autoridades fiscalizadoras, por lo que se estima que se encuentra en posibilidad de </w:t>
      </w:r>
      <w:r w:rsidRPr="004E209B">
        <w:rPr>
          <w:rFonts w:ascii="Palatino Linotype" w:eastAsia="Palatino Linotype" w:hAnsi="Palatino Linotype" w:cs="Palatino Linotype"/>
          <w:sz w:val="24"/>
          <w:szCs w:val="24"/>
        </w:rPr>
        <w:lastRenderedPageBreak/>
        <w:t xml:space="preserve">proporcionar el documento que </w:t>
      </w:r>
      <w:proofErr w:type="spellStart"/>
      <w:r w:rsidRPr="004E209B">
        <w:rPr>
          <w:rFonts w:ascii="Palatino Linotype" w:eastAsia="Palatino Linotype" w:hAnsi="Palatino Linotype" w:cs="Palatino Linotype"/>
          <w:sz w:val="24"/>
          <w:szCs w:val="24"/>
        </w:rPr>
        <w:t>de</w:t>
      </w:r>
      <w:proofErr w:type="spellEnd"/>
      <w:r w:rsidRPr="004E209B">
        <w:rPr>
          <w:rFonts w:ascii="Palatino Linotype" w:eastAsia="Palatino Linotype" w:hAnsi="Palatino Linotype" w:cs="Palatino Linotype"/>
          <w:sz w:val="24"/>
          <w:szCs w:val="24"/>
        </w:rPr>
        <w:t xml:space="preserve"> cuenta </w:t>
      </w:r>
      <w:proofErr w:type="gramStart"/>
      <w:r w:rsidRPr="004E209B">
        <w:rPr>
          <w:rFonts w:ascii="Palatino Linotype" w:eastAsia="Palatino Linotype" w:hAnsi="Palatino Linotype" w:cs="Palatino Linotype"/>
          <w:sz w:val="24"/>
          <w:szCs w:val="24"/>
        </w:rPr>
        <w:t>del  gasto</w:t>
      </w:r>
      <w:proofErr w:type="gramEnd"/>
      <w:r w:rsidRPr="004E209B">
        <w:rPr>
          <w:rFonts w:ascii="Palatino Linotype" w:eastAsia="Palatino Linotype" w:hAnsi="Palatino Linotype" w:cs="Palatino Linotype"/>
          <w:sz w:val="24"/>
          <w:szCs w:val="24"/>
        </w:rPr>
        <w:t xml:space="preserve"> total ejercido por concepto de adquisición de combustible, de forma mensual. </w:t>
      </w:r>
    </w:p>
    <w:p w14:paraId="2E767613" w14:textId="1E0B04B0" w:rsidR="00991326" w:rsidRPr="004E209B" w:rsidRDefault="004F6AD3" w:rsidP="00991326">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Derivado de lo expuesto</w:t>
      </w:r>
      <w:r w:rsidR="00991326" w:rsidRPr="004E209B">
        <w:rPr>
          <w:rFonts w:ascii="Palatino Linotype" w:eastAsia="Palatino Linotype" w:hAnsi="Palatino Linotype" w:cs="Palatino Linotype"/>
          <w:sz w:val="24"/>
          <w:szCs w:val="24"/>
        </w:rPr>
        <w:t xml:space="preserve">, se colige que el </w:t>
      </w:r>
      <w:r w:rsidR="00991326" w:rsidRPr="004E209B">
        <w:rPr>
          <w:rFonts w:ascii="Palatino Linotype" w:eastAsia="Palatino Linotype" w:hAnsi="Palatino Linotype" w:cs="Palatino Linotype"/>
          <w:b/>
          <w:sz w:val="24"/>
          <w:szCs w:val="24"/>
        </w:rPr>
        <w:t>Sujeto Obligado,</w:t>
      </w:r>
      <w:r w:rsidR="00991326" w:rsidRPr="004E209B">
        <w:rPr>
          <w:rFonts w:ascii="Palatino Linotype" w:eastAsia="Palatino Linotype" w:hAnsi="Palatino Linotype" w:cs="Palatino Linotype"/>
          <w:sz w:val="24"/>
          <w:szCs w:val="24"/>
        </w:rPr>
        <w:t xml:space="preserve"> por conducto de la Tesorería Municipal, como el órgano encargado de la recaudación de los ingresos municipales y </w:t>
      </w:r>
      <w:r w:rsidR="00991326" w:rsidRPr="004E209B">
        <w:rPr>
          <w:rFonts w:ascii="Palatino Linotype" w:eastAsia="Palatino Linotype" w:hAnsi="Palatino Linotype" w:cs="Palatino Linotype"/>
          <w:b/>
          <w:sz w:val="24"/>
          <w:szCs w:val="24"/>
        </w:rPr>
        <w:t>responsable de realizar las erogaciones</w:t>
      </w:r>
      <w:r w:rsidR="00991326" w:rsidRPr="004E209B">
        <w:rPr>
          <w:rFonts w:ascii="Palatino Linotype" w:eastAsia="Palatino Linotype" w:hAnsi="Palatino Linotype" w:cs="Palatino Linotype"/>
          <w:sz w:val="24"/>
          <w:szCs w:val="24"/>
        </w:rPr>
        <w:t xml:space="preserve"> que haga el ayuntamiento </w:t>
      </w:r>
      <w:r w:rsidR="00991326" w:rsidRPr="004E209B">
        <w:rPr>
          <w:rFonts w:ascii="Palatino Linotype" w:eastAsia="Palatino Linotype" w:hAnsi="Palatino Linotype" w:cs="Palatino Linotype"/>
          <w:b/>
          <w:sz w:val="24"/>
          <w:szCs w:val="24"/>
        </w:rPr>
        <w:t>a través de los registros contables, financieros y administrativos</w:t>
      </w:r>
      <w:r w:rsidR="00991326" w:rsidRPr="004E209B">
        <w:rPr>
          <w:rFonts w:ascii="Palatino Linotype" w:eastAsia="Palatino Linotype" w:hAnsi="Palatino Linotype" w:cs="Palatino Linotype"/>
          <w:sz w:val="24"/>
          <w:szCs w:val="24"/>
        </w:rPr>
        <w:t xml:space="preserve"> de los ingresos, </w:t>
      </w:r>
      <w:r w:rsidR="00991326" w:rsidRPr="004E209B">
        <w:rPr>
          <w:rFonts w:ascii="Palatino Linotype" w:eastAsia="Palatino Linotype" w:hAnsi="Palatino Linotype" w:cs="Palatino Linotype"/>
          <w:b/>
          <w:sz w:val="24"/>
          <w:szCs w:val="24"/>
        </w:rPr>
        <w:t>egresos</w:t>
      </w:r>
      <w:r w:rsidR="00991326" w:rsidRPr="004E209B">
        <w:rPr>
          <w:rFonts w:ascii="Palatino Linotype" w:eastAsia="Palatino Linotype" w:hAnsi="Palatino Linotype" w:cs="Palatino Linotype"/>
          <w:sz w:val="24"/>
          <w:szCs w:val="24"/>
        </w:rPr>
        <w:t xml:space="preserve"> e inventarios; entre otras atribuciones, de conformidad con lo establecido en los artículos 93 y 95, fracciones I y IV de la Ley Orgánica Municipal del Estado de México, a saber:</w:t>
      </w:r>
    </w:p>
    <w:p w14:paraId="119C7732" w14:textId="77777777" w:rsidR="00991326" w:rsidRPr="004E209B" w:rsidRDefault="00991326" w:rsidP="00991326">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Artículo 93</w:t>
      </w:r>
      <w:r w:rsidRPr="004E209B">
        <w:rPr>
          <w:rFonts w:ascii="Palatino Linotype" w:eastAsia="Palatino Linotype" w:hAnsi="Palatino Linotype" w:cs="Palatino Linotype"/>
          <w:i/>
        </w:rPr>
        <w:t>.- La tesorería municipal es el órgano encargado de la recaudación de los ingresos municipales y responsable de realizar las erogaciones que haga el ayuntamiento.</w:t>
      </w:r>
    </w:p>
    <w:p w14:paraId="3A9566CC" w14:textId="77777777" w:rsidR="00991326" w:rsidRPr="004E209B" w:rsidRDefault="00991326" w:rsidP="00991326">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p>
    <w:p w14:paraId="10956B57" w14:textId="77777777" w:rsidR="00991326" w:rsidRPr="004E209B" w:rsidRDefault="00991326" w:rsidP="00991326">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Artículo 95</w:t>
      </w:r>
      <w:r w:rsidRPr="004E209B">
        <w:rPr>
          <w:rFonts w:ascii="Palatino Linotype" w:eastAsia="Palatino Linotype" w:hAnsi="Palatino Linotype" w:cs="Palatino Linotype"/>
          <w:i/>
        </w:rPr>
        <w:t xml:space="preserve">.- Son atribuciones del tesorero municipal: </w:t>
      </w:r>
    </w:p>
    <w:p w14:paraId="4F43AA2B" w14:textId="77777777" w:rsidR="00991326" w:rsidRPr="004E209B" w:rsidRDefault="00991326" w:rsidP="00991326">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w:t>
      </w:r>
      <w:r w:rsidRPr="004E209B">
        <w:rPr>
          <w:rFonts w:ascii="Palatino Linotype" w:eastAsia="Palatino Linotype" w:hAnsi="Palatino Linotype" w:cs="Palatino Linotype"/>
          <w:i/>
        </w:rPr>
        <w:t xml:space="preserve">. </w:t>
      </w:r>
      <w:r w:rsidRPr="004E209B">
        <w:rPr>
          <w:rFonts w:ascii="Palatino Linotype" w:eastAsia="Palatino Linotype" w:hAnsi="Palatino Linotype" w:cs="Palatino Linotype"/>
          <w:b/>
          <w:i/>
        </w:rPr>
        <w:t>Administrar la hacienda pública municipal</w:t>
      </w:r>
      <w:r w:rsidRPr="004E209B">
        <w:rPr>
          <w:rFonts w:ascii="Palatino Linotype" w:eastAsia="Palatino Linotype" w:hAnsi="Palatino Linotype" w:cs="Palatino Linotype"/>
          <w:i/>
        </w:rPr>
        <w:t>, de conformidad con las disposiciones legales aplicables;</w:t>
      </w:r>
    </w:p>
    <w:p w14:paraId="71E40AFC" w14:textId="77777777" w:rsidR="00991326" w:rsidRPr="004E209B" w:rsidRDefault="00991326" w:rsidP="00991326">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p>
    <w:p w14:paraId="54865DCE" w14:textId="77777777" w:rsidR="00991326" w:rsidRPr="004E209B" w:rsidRDefault="00991326" w:rsidP="00991326">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IV.</w:t>
      </w:r>
      <w:r w:rsidRPr="004E209B">
        <w:rPr>
          <w:rFonts w:ascii="Palatino Linotype" w:eastAsia="Palatino Linotype" w:hAnsi="Palatino Linotype" w:cs="Palatino Linotype"/>
          <w:i/>
        </w:rPr>
        <w:t xml:space="preserve"> </w:t>
      </w:r>
      <w:r w:rsidRPr="004E209B">
        <w:rPr>
          <w:rFonts w:ascii="Palatino Linotype" w:eastAsia="Palatino Linotype" w:hAnsi="Palatino Linotype" w:cs="Palatino Linotype"/>
          <w:b/>
          <w:i/>
          <w:u w:val="single"/>
        </w:rPr>
        <w:t>Llevar los registros contables, financieros y administrativos</w:t>
      </w:r>
      <w:r w:rsidRPr="004E209B">
        <w:rPr>
          <w:rFonts w:ascii="Palatino Linotype" w:eastAsia="Palatino Linotype" w:hAnsi="Palatino Linotype" w:cs="Palatino Linotype"/>
          <w:b/>
          <w:i/>
        </w:rPr>
        <w:t xml:space="preserve"> de los ingresos, egresos</w:t>
      </w:r>
      <w:r w:rsidRPr="004E209B">
        <w:rPr>
          <w:rFonts w:ascii="Palatino Linotype" w:eastAsia="Palatino Linotype" w:hAnsi="Palatino Linotype" w:cs="Palatino Linotype"/>
          <w:i/>
        </w:rPr>
        <w:t xml:space="preserve">, e </w:t>
      </w:r>
      <w:proofErr w:type="gramStart"/>
      <w:r w:rsidRPr="004E209B">
        <w:rPr>
          <w:rFonts w:ascii="Palatino Linotype" w:eastAsia="Palatino Linotype" w:hAnsi="Palatino Linotype" w:cs="Palatino Linotype"/>
          <w:i/>
        </w:rPr>
        <w:t>inventarios;…</w:t>
      </w:r>
      <w:proofErr w:type="gramEnd"/>
      <w:r w:rsidRPr="004E209B">
        <w:rPr>
          <w:rFonts w:ascii="Palatino Linotype" w:eastAsia="Palatino Linotype" w:hAnsi="Palatino Linotype" w:cs="Palatino Linotype"/>
          <w:i/>
        </w:rPr>
        <w:t>”</w:t>
      </w:r>
    </w:p>
    <w:p w14:paraId="41C99635" w14:textId="77777777" w:rsidR="00991326" w:rsidRPr="004E209B" w:rsidRDefault="00991326" w:rsidP="00991326">
      <w:pPr>
        <w:spacing w:before="240" w:after="240" w:line="360" w:lineRule="auto"/>
        <w:ind w:right="51"/>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Deberá proporcionar los documentos solicitados que hubiera generado durante la temporalidad precisada, para tener por satisfecho el derecho de acceso de la persona solicitante.</w:t>
      </w:r>
    </w:p>
    <w:p w14:paraId="774C3A23" w14:textId="51BF915B" w:rsidR="004F6AD3" w:rsidRPr="004E209B" w:rsidRDefault="004F6AD3" w:rsidP="004F6AD3">
      <w:pPr>
        <w:spacing w:before="240" w:after="240" w:line="360" w:lineRule="auto"/>
        <w:jc w:val="both"/>
        <w:rPr>
          <w:rFonts w:ascii="Palatino Linotype" w:eastAsia="Palatino Linotype" w:hAnsi="Palatino Linotype" w:cs="Palatino Linotype"/>
        </w:rPr>
      </w:pPr>
      <w:r w:rsidRPr="004E209B">
        <w:rPr>
          <w:rFonts w:ascii="Palatino Linotype" w:eastAsia="Palatino Linotype" w:hAnsi="Palatino Linotype" w:cs="Palatino Linotype"/>
        </w:rPr>
        <w:t xml:space="preserve">Sin embargo, para el caso de que derivado de la búsqueda que se ordena no llegara a localizar documentos que den cuenta del gasto total ejercido por concepto de adquisición </w:t>
      </w:r>
      <w:r w:rsidRPr="004E209B">
        <w:rPr>
          <w:rFonts w:ascii="Palatino Linotype" w:eastAsia="Palatino Linotype" w:hAnsi="Palatino Linotype" w:cs="Palatino Linotype"/>
        </w:rPr>
        <w:lastRenderedPageBreak/>
        <w:t>de gasolina y Diésel, por no haberse generado dicho gasto en algún mes del periodo solicitado,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425F5051" w14:textId="77777777" w:rsidR="004F6AD3" w:rsidRPr="004E209B" w:rsidRDefault="004F6AD3" w:rsidP="004F6AD3">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Artículo 19</w:t>
      </w:r>
      <w:r w:rsidRPr="004E209B">
        <w:rPr>
          <w:rFonts w:ascii="Palatino Linotype" w:eastAsia="Palatino Linotype" w:hAnsi="Palatino Linotype" w:cs="Palatino Linotype"/>
          <w:i/>
        </w:rPr>
        <w:t>…</w:t>
      </w:r>
    </w:p>
    <w:p w14:paraId="5D991A27" w14:textId="77777777" w:rsidR="004F6AD3" w:rsidRPr="004E209B" w:rsidRDefault="004F6AD3" w:rsidP="004F6AD3">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En los casos en que ciertas facultades, competencias o funciones no se hayan ejercido, se debe motivar la respuesta en función de las causas que motiven tal circunstancia.”</w:t>
      </w:r>
    </w:p>
    <w:p w14:paraId="558D2521" w14:textId="77777777" w:rsidR="004F6AD3" w:rsidRPr="004E209B" w:rsidRDefault="004F6AD3" w:rsidP="004F6AD3">
      <w:pPr>
        <w:spacing w:before="240" w:after="240" w:line="360" w:lineRule="auto"/>
        <w:jc w:val="both"/>
        <w:rPr>
          <w:rFonts w:ascii="Palatino Linotype" w:eastAsia="Palatino Linotype" w:hAnsi="Palatino Linotype" w:cs="Palatino Linotype"/>
        </w:rPr>
      </w:pPr>
      <w:r w:rsidRPr="004E209B">
        <w:rPr>
          <w:rFonts w:ascii="Palatino Linotype" w:eastAsia="Palatino Linotype" w:hAnsi="Palatino Linotype" w:cs="Palatino Linotype"/>
        </w:rPr>
        <w:t xml:space="preserve">En tal supuesto, es improcedente la entrega de documento alguno, o en su caso, el Acuerdo de Inexistencia, toda vez que el pronunciamiento del </w:t>
      </w:r>
      <w:r w:rsidRPr="004E209B">
        <w:rPr>
          <w:rFonts w:ascii="Palatino Linotype" w:eastAsia="Palatino Linotype" w:hAnsi="Palatino Linotype" w:cs="Palatino Linotype"/>
          <w:b/>
        </w:rPr>
        <w:t>Sujeto Obligado</w:t>
      </w:r>
      <w:r w:rsidRPr="004E209B">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E7778F6" w14:textId="7AE1A610" w:rsidR="00C2297E" w:rsidRPr="004E209B"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De lo hasta aquí expuesto, se concluye que los motivos de inconformidad de la parte </w:t>
      </w:r>
      <w:r w:rsidRPr="004E209B">
        <w:rPr>
          <w:rFonts w:ascii="Palatino Linotype" w:eastAsia="Palatino Linotype" w:hAnsi="Palatino Linotype" w:cs="Palatino Linotype"/>
          <w:b/>
          <w:sz w:val="24"/>
          <w:szCs w:val="24"/>
        </w:rPr>
        <w:t xml:space="preserve">Recurrente </w:t>
      </w:r>
      <w:r w:rsidRPr="004E209B">
        <w:rPr>
          <w:rFonts w:ascii="Palatino Linotype" w:eastAsia="Palatino Linotype" w:hAnsi="Palatino Linotype" w:cs="Palatino Linotype"/>
          <w:sz w:val="24"/>
          <w:szCs w:val="24"/>
        </w:rPr>
        <w:t xml:space="preserve">devienen parcialmente fundados, siendo procedente </w:t>
      </w:r>
      <w:r w:rsidR="00947041" w:rsidRPr="004E209B">
        <w:rPr>
          <w:rFonts w:ascii="Palatino Linotype" w:eastAsia="Palatino Linotype" w:hAnsi="Palatino Linotype" w:cs="Palatino Linotype"/>
          <w:i/>
          <w:sz w:val="24"/>
          <w:szCs w:val="24"/>
        </w:rPr>
        <w:t xml:space="preserve">Revocar </w:t>
      </w:r>
      <w:r w:rsidRPr="004E209B">
        <w:rPr>
          <w:rFonts w:ascii="Palatino Linotype" w:eastAsia="Palatino Linotype" w:hAnsi="Palatino Linotype" w:cs="Palatino Linotype"/>
          <w:sz w:val="24"/>
          <w:szCs w:val="24"/>
        </w:rPr>
        <w:t xml:space="preserve">las respuestas proporcionadas por el </w:t>
      </w:r>
      <w:r w:rsidRPr="004E209B">
        <w:rPr>
          <w:rFonts w:ascii="Palatino Linotype" w:eastAsia="Palatino Linotype" w:hAnsi="Palatino Linotype" w:cs="Palatino Linotype"/>
          <w:b/>
          <w:sz w:val="24"/>
          <w:szCs w:val="24"/>
        </w:rPr>
        <w:t xml:space="preserve">Sujeto Obligado </w:t>
      </w:r>
      <w:r w:rsidRPr="004E209B">
        <w:rPr>
          <w:rFonts w:ascii="Palatino Linotype" w:eastAsia="Palatino Linotype" w:hAnsi="Palatino Linotype" w:cs="Palatino Linotype"/>
          <w:sz w:val="24"/>
          <w:szCs w:val="24"/>
        </w:rPr>
        <w:t>en términos del artículo 186 fracción III de la Ley de Transparencia y Acceso a la Información Pública del Estado de México y Municipios.</w:t>
      </w:r>
    </w:p>
    <w:p w14:paraId="0DB4A1BC" w14:textId="77777777" w:rsidR="00A057DB" w:rsidRPr="004E209B" w:rsidRDefault="00A057DB" w:rsidP="00A057DB">
      <w:pPr>
        <w:spacing w:before="240" w:after="240" w:line="360" w:lineRule="auto"/>
        <w:ind w:right="51"/>
        <w:jc w:val="both"/>
        <w:rPr>
          <w:rFonts w:ascii="Palatino Linotype" w:eastAsia="Palatino Linotype" w:hAnsi="Palatino Linotype" w:cs="Palatino Linotype"/>
          <w:sz w:val="24"/>
        </w:rPr>
      </w:pPr>
      <w:r w:rsidRPr="004E209B">
        <w:rPr>
          <w:rFonts w:ascii="Palatino Linotype" w:eastAsia="Palatino Linotype" w:hAnsi="Palatino Linotype" w:cs="Palatino Linotype"/>
          <w:b/>
          <w:sz w:val="24"/>
        </w:rPr>
        <w:t xml:space="preserve">Quinto. Versión Pública. </w:t>
      </w:r>
      <w:r w:rsidRPr="004E209B">
        <w:rPr>
          <w:rFonts w:ascii="Palatino Linotype" w:eastAsia="Palatino Linotype" w:hAnsi="Palatino Linotype" w:cs="Palatino Linotype"/>
          <w:sz w:val="24"/>
        </w:rPr>
        <w:t>Como fue debidamente apuntado, el </w:t>
      </w:r>
      <w:r w:rsidRPr="004E209B">
        <w:rPr>
          <w:rFonts w:ascii="Palatino Linotype" w:eastAsia="Palatino Linotype" w:hAnsi="Palatino Linotype" w:cs="Palatino Linotype"/>
          <w:b/>
          <w:sz w:val="24"/>
        </w:rPr>
        <w:t>Sujeto Obligado</w:t>
      </w:r>
      <w:r w:rsidRPr="004E209B">
        <w:rPr>
          <w:rFonts w:ascii="Palatino Linotype" w:eastAsia="Palatino Linotype" w:hAnsi="Palatino Linotype" w:cs="Palatino Linotype"/>
          <w:sz w:val="24"/>
        </w:rPr>
        <w:t xml:space="preserve"> debe satisfacer la solicitud de acceso a la información; sin embargo, dada la naturaleza de la información de la cual se ordena su entrega, deberá hacerse en versión pública, toda vez que en los documentos que se ordenan, existe la </w:t>
      </w:r>
      <w:r w:rsidRPr="004E209B">
        <w:rPr>
          <w:rFonts w:ascii="Palatino Linotype" w:eastAsia="Palatino Linotype" w:hAnsi="Palatino Linotype" w:cs="Palatino Linotype"/>
          <w:sz w:val="24"/>
        </w:rPr>
        <w:lastRenderedPageBreak/>
        <w:t>posibilidad de que obren datos que son considerados confidenciales, cuyo acceso debe ser restringido que deben testarse al momento de la versión pública, atento a lo siguiente:</w:t>
      </w:r>
    </w:p>
    <w:p w14:paraId="65AD671C" w14:textId="77777777" w:rsidR="00A057DB" w:rsidRPr="004E209B" w:rsidRDefault="00A057DB" w:rsidP="00A057DB">
      <w:pPr>
        <w:spacing w:before="240" w:after="240" w:line="360" w:lineRule="auto"/>
        <w:ind w:right="49"/>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485997C1" w14:textId="77777777" w:rsidR="00A057DB" w:rsidRPr="004E209B" w:rsidRDefault="00A057DB" w:rsidP="00A057DB">
      <w:pPr>
        <w:spacing w:before="240" w:after="240" w:line="360" w:lineRule="auto"/>
        <w:ind w:right="49"/>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301FA73F" w14:textId="77777777" w:rsidR="00A057DB" w:rsidRPr="004E209B" w:rsidRDefault="00A057DB" w:rsidP="00A057DB">
      <w:pPr>
        <w:spacing w:before="240" w:after="240" w:line="360" w:lineRule="auto"/>
        <w:ind w:right="49"/>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Al respecto, los artículos 3, fracciones IX, XX, XXI, XXXII, XLV; 6, 91, 132, 137, 143, fracción I, de la Ley de Transparencia y Acceso a la Información Pública del Estado de México y Municipios establecen:</w:t>
      </w:r>
    </w:p>
    <w:p w14:paraId="495FF773"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rPr>
        <w:t> </w:t>
      </w: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Artículo 3.</w:t>
      </w:r>
      <w:r w:rsidRPr="004E209B">
        <w:rPr>
          <w:rFonts w:ascii="Palatino Linotype" w:eastAsia="Palatino Linotype" w:hAnsi="Palatino Linotype" w:cs="Palatino Linotype"/>
          <w:i/>
        </w:rPr>
        <w:t xml:space="preserve"> Para los efectos de la presente Ley se entenderá por:</w:t>
      </w:r>
    </w:p>
    <w:p w14:paraId="01A4CF46" w14:textId="77777777" w:rsidR="00A057DB" w:rsidRPr="004E209B" w:rsidRDefault="00A057DB" w:rsidP="00F8540F">
      <w:pPr>
        <w:tabs>
          <w:tab w:val="left" w:pos="1276"/>
        </w:tabs>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p>
    <w:p w14:paraId="2AB05166" w14:textId="77777777" w:rsidR="00A057DB" w:rsidRPr="004E209B" w:rsidRDefault="00A057DB" w:rsidP="00F8540F">
      <w:pPr>
        <w:tabs>
          <w:tab w:val="left" w:pos="1276"/>
        </w:tabs>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IX. Datos personales</w:t>
      </w:r>
      <w:r w:rsidRPr="004E209B">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492F8CE6" w14:textId="77777777" w:rsidR="00A057DB" w:rsidRPr="004E209B" w:rsidRDefault="00A057DB" w:rsidP="00F8540F">
      <w:pPr>
        <w:tabs>
          <w:tab w:val="left" w:pos="1276"/>
        </w:tabs>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p>
    <w:p w14:paraId="403D268A" w14:textId="77777777" w:rsidR="00A057DB" w:rsidRPr="004E209B" w:rsidRDefault="00A057DB" w:rsidP="00F8540F">
      <w:pPr>
        <w:tabs>
          <w:tab w:val="left" w:pos="1276"/>
        </w:tabs>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XX. Información clasificada</w:t>
      </w:r>
      <w:r w:rsidRPr="004E209B">
        <w:rPr>
          <w:rFonts w:ascii="Palatino Linotype" w:eastAsia="Palatino Linotype" w:hAnsi="Palatino Linotype" w:cs="Palatino Linotype"/>
          <w:i/>
        </w:rPr>
        <w:t>: Aquella considerada por la presente Ley como reservada o confidencial;</w:t>
      </w:r>
    </w:p>
    <w:p w14:paraId="04FC492A" w14:textId="77777777" w:rsidR="00A057DB" w:rsidRPr="004E209B" w:rsidRDefault="00A057DB" w:rsidP="00F8540F">
      <w:pPr>
        <w:tabs>
          <w:tab w:val="left" w:pos="1276"/>
        </w:tabs>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lastRenderedPageBreak/>
        <w:t>XXI. Información confidencial</w:t>
      </w:r>
      <w:r w:rsidRPr="004E209B">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D8F793E" w14:textId="77777777" w:rsidR="00A057DB" w:rsidRPr="004E209B" w:rsidRDefault="00A057DB" w:rsidP="00F8540F">
      <w:pPr>
        <w:tabs>
          <w:tab w:val="left" w:pos="1276"/>
        </w:tabs>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p>
    <w:p w14:paraId="642B2713" w14:textId="77777777" w:rsidR="00A057DB" w:rsidRPr="004E209B" w:rsidRDefault="00A057DB" w:rsidP="00F8540F">
      <w:pPr>
        <w:tabs>
          <w:tab w:val="left" w:pos="1276"/>
        </w:tabs>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XXXII. Protección de Datos Personales</w:t>
      </w:r>
      <w:r w:rsidRPr="004E209B">
        <w:rPr>
          <w:rFonts w:ascii="Palatino Linotype" w:eastAsia="Palatino Linotype" w:hAnsi="Palatino Linotype" w:cs="Palatino Linotype"/>
          <w:i/>
        </w:rPr>
        <w:t>: Derecho humano que tutela la privacidad de datos personales en poder de los sujetos obligados y sujetos particulares;</w:t>
      </w:r>
    </w:p>
    <w:p w14:paraId="6686DECA" w14:textId="77777777" w:rsidR="00A057DB" w:rsidRPr="004E209B" w:rsidRDefault="00A057DB" w:rsidP="00F8540F">
      <w:pPr>
        <w:tabs>
          <w:tab w:val="left" w:pos="1276"/>
        </w:tabs>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p>
    <w:p w14:paraId="5F1DD1E2" w14:textId="77777777" w:rsidR="00A057DB" w:rsidRPr="004E209B" w:rsidRDefault="00A057DB" w:rsidP="00F8540F">
      <w:pPr>
        <w:tabs>
          <w:tab w:val="left" w:pos="1276"/>
        </w:tabs>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XLV. Versión pública</w:t>
      </w:r>
      <w:r w:rsidRPr="004E209B">
        <w:rPr>
          <w:rFonts w:ascii="Palatino Linotype" w:eastAsia="Palatino Linotype" w:hAnsi="Palatino Linotype" w:cs="Palatino Linotype"/>
          <w:i/>
        </w:rPr>
        <w:t>: Documento en el que se elimine, suprime o borra la información clasificada como reservada o confidencial para permitir su acceso.</w:t>
      </w:r>
    </w:p>
    <w:p w14:paraId="1609B787"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 Artículo 6</w:t>
      </w:r>
      <w:r w:rsidRPr="004E209B">
        <w:rPr>
          <w:rFonts w:ascii="Palatino Linotype" w:eastAsia="Palatino Linotype" w:hAnsi="Palatino Linotype" w:cs="Palatino Linotype"/>
          <w:i/>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0DD26327"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p>
    <w:p w14:paraId="5B328FFB"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Artículo 91.</w:t>
      </w:r>
      <w:r w:rsidRPr="004E209B">
        <w:rPr>
          <w:rFonts w:ascii="Palatino Linotype" w:eastAsia="Palatino Linotype" w:hAnsi="Palatino Linotype" w:cs="Palatino Linotype"/>
          <w:i/>
        </w:rPr>
        <w:t xml:space="preserve"> El acceso a la información pública será restringido excepcionalmente, cuando ésta sea clasificada como reservada o confidencial.</w:t>
      </w:r>
      <w:r w:rsidRPr="004E209B">
        <w:rPr>
          <w:rFonts w:ascii="Palatino Linotype" w:eastAsia="Palatino Linotype" w:hAnsi="Palatino Linotype" w:cs="Palatino Linotype"/>
          <w:i/>
        </w:rPr>
        <w:br/>
        <w:t>…</w:t>
      </w:r>
    </w:p>
    <w:p w14:paraId="3DCA6E98"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Artículo 132.</w:t>
      </w:r>
      <w:r w:rsidRPr="004E209B">
        <w:rPr>
          <w:rFonts w:ascii="Palatino Linotype" w:eastAsia="Palatino Linotype" w:hAnsi="Palatino Linotype" w:cs="Palatino Linotype"/>
          <w:i/>
        </w:rPr>
        <w:t xml:space="preserve"> La clasificación de la información se llevará a cabo en el momento en que:</w:t>
      </w:r>
    </w:p>
    <w:p w14:paraId="1A0191F7" w14:textId="77777777" w:rsidR="00A057DB" w:rsidRPr="004E209B" w:rsidRDefault="00A057DB" w:rsidP="00F8540F">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w:t>
      </w:r>
      <w:r w:rsidRPr="004E209B">
        <w:rPr>
          <w:rFonts w:ascii="Palatino Linotype" w:eastAsia="Palatino Linotype" w:hAnsi="Palatino Linotype" w:cs="Palatino Linotype"/>
          <w:i/>
        </w:rPr>
        <w:t>. Se reciba una solicitud de acceso a la información;</w:t>
      </w:r>
    </w:p>
    <w:p w14:paraId="494974EA" w14:textId="77777777" w:rsidR="00A057DB" w:rsidRPr="004E209B" w:rsidRDefault="00A057DB" w:rsidP="00F8540F">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II.</w:t>
      </w:r>
      <w:r w:rsidRPr="004E209B">
        <w:rPr>
          <w:rFonts w:ascii="Palatino Linotype" w:eastAsia="Palatino Linotype" w:hAnsi="Palatino Linotype" w:cs="Palatino Linotype"/>
          <w:i/>
        </w:rPr>
        <w:t xml:space="preserve"> Se determine mediante resolución de autoridad competente; o</w:t>
      </w:r>
    </w:p>
    <w:p w14:paraId="22171A17" w14:textId="77777777" w:rsidR="00A057DB" w:rsidRPr="004E209B" w:rsidRDefault="00A057DB" w:rsidP="00F8540F">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III.</w:t>
      </w:r>
      <w:r w:rsidRPr="004E209B">
        <w:rPr>
          <w:rFonts w:ascii="Palatino Linotype" w:eastAsia="Palatino Linotype" w:hAnsi="Palatino Linotype" w:cs="Palatino Linotype"/>
          <w:i/>
        </w:rPr>
        <w:t xml:space="preserve"> Se generen versiones públicas para dar cumplimiento a las obligaciones de transparencia previstas en esta Ley.</w:t>
      </w:r>
    </w:p>
    <w:p w14:paraId="6B50991A"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w:t>
      </w:r>
    </w:p>
    <w:p w14:paraId="0E0E75DB"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Artículo 137.</w:t>
      </w:r>
      <w:r w:rsidRPr="004E209B">
        <w:rPr>
          <w:rFonts w:ascii="Palatino Linotype" w:eastAsia="Palatino Linotype" w:hAnsi="Palatino Linotype" w:cs="Palatino Linotype"/>
          <w:i/>
        </w:rPr>
        <w:t xml:space="preserve"> Cuando un mismo medio, impreso o electrónico, contenga información pública y reservada o confidencial, la Unidad de Transparencia para </w:t>
      </w:r>
      <w:r w:rsidRPr="004E209B">
        <w:rPr>
          <w:rFonts w:ascii="Palatino Linotype" w:eastAsia="Palatino Linotype" w:hAnsi="Palatino Linotype" w:cs="Palatino Linotype"/>
          <w:i/>
        </w:rPr>
        <w:lastRenderedPageBreak/>
        <w:t>efectos de atender una solicitud de información, deberán elaborar una versión pública en la que se testen las partes o secciones clasificadas, indicando su contenido de manera genérica y fundando y motivando su clasificación.</w:t>
      </w:r>
    </w:p>
    <w:p w14:paraId="5BCC0C54"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 Artículo 143.</w:t>
      </w:r>
      <w:r w:rsidRPr="004E209B">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3E01CE14" w14:textId="77777777" w:rsidR="00A057DB" w:rsidRPr="004E209B" w:rsidRDefault="00A057DB" w:rsidP="00F8540F">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w:t>
      </w:r>
      <w:r w:rsidRPr="004E209B">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664BADC1"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4E209B">
        <w:rPr>
          <w:rFonts w:ascii="Palatino Linotype" w:eastAsia="Palatino Linotype" w:hAnsi="Palatino Linotype" w:cs="Palatino Linotype"/>
          <w:b/>
          <w:sz w:val="24"/>
        </w:rPr>
        <w:t>Sujeto Obligado</w:t>
      </w:r>
      <w:r w:rsidRPr="004E209B">
        <w:rPr>
          <w:rFonts w:ascii="Palatino Linotype" w:eastAsia="Palatino Linotype" w:hAnsi="Palatino Linotype" w:cs="Palatino Linotype"/>
          <w:sz w:val="24"/>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0055B2D0"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2B9860A" w14:textId="77777777" w:rsidR="00A057DB" w:rsidRPr="004E209B" w:rsidRDefault="00A057DB" w:rsidP="00A057DB">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lastRenderedPageBreak/>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el número de cuenta bancaria, que sean exclusivamente de particulares, entre otros.</w:t>
      </w:r>
    </w:p>
    <w:p w14:paraId="52581B7A" w14:textId="77777777" w:rsidR="00A057DB" w:rsidRPr="004E209B" w:rsidRDefault="00A057DB" w:rsidP="00A057DB">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La </w:t>
      </w:r>
      <w:r w:rsidRPr="004E209B">
        <w:rPr>
          <w:rFonts w:ascii="Palatino Linotype" w:eastAsia="Palatino Linotype" w:hAnsi="Palatino Linotype" w:cs="Palatino Linotype"/>
          <w:b/>
          <w:sz w:val="24"/>
        </w:rPr>
        <w:t>clave de elector</w:t>
      </w:r>
      <w:r w:rsidRPr="004E209B">
        <w:rPr>
          <w:rFonts w:ascii="Palatino Linotype" w:eastAsia="Palatino Linotype" w:hAnsi="Palatino Linotype" w:cs="Palatino Linotype"/>
          <w:sz w:val="24"/>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4E209B">
        <w:rPr>
          <w:rFonts w:ascii="Palatino Linotype" w:eastAsia="Palatino Linotype" w:hAnsi="Palatino Linotype" w:cs="Palatino Linotype"/>
          <w:sz w:val="24"/>
        </w:rPr>
        <w:t>homoclave</w:t>
      </w:r>
      <w:proofErr w:type="spellEnd"/>
      <w:r w:rsidRPr="004E209B">
        <w:rPr>
          <w:rFonts w:ascii="Palatino Linotype" w:eastAsia="Palatino Linotype" w:hAnsi="Palatino Linotype" w:cs="Palatino Linotype"/>
          <w:sz w:val="24"/>
        </w:rPr>
        <w:t xml:space="preserve"> que distingue a su titular de cualquier otro homónimo, por lo tanto, se trata de un dato personal que debe ser protegido.</w:t>
      </w:r>
    </w:p>
    <w:p w14:paraId="19230A7D" w14:textId="77777777" w:rsidR="00A057DB" w:rsidRPr="004E209B" w:rsidRDefault="00A057DB" w:rsidP="00A057DB">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El </w:t>
      </w:r>
      <w:r w:rsidRPr="004E209B">
        <w:rPr>
          <w:rFonts w:ascii="Palatino Linotype" w:eastAsia="Palatino Linotype" w:hAnsi="Palatino Linotype" w:cs="Palatino Linotype"/>
          <w:b/>
          <w:sz w:val="24"/>
        </w:rPr>
        <w:t>número de OCR,</w:t>
      </w:r>
      <w:r w:rsidRPr="004E209B">
        <w:rPr>
          <w:rFonts w:ascii="Palatino Linotype" w:eastAsia="Palatino Linotype" w:hAnsi="Palatino Linotype" w:cs="Palatino Linotype"/>
          <w:sz w:val="24"/>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4E209B">
        <w:rPr>
          <w:rFonts w:ascii="Palatino Linotype" w:eastAsia="Palatino Linotype" w:hAnsi="Palatino Linotype" w:cs="Palatino Linotype"/>
          <w:sz w:val="24"/>
        </w:rPr>
        <w:t>geoelectoral</w:t>
      </w:r>
      <w:proofErr w:type="spellEnd"/>
      <w:r w:rsidRPr="004E209B">
        <w:rPr>
          <w:rFonts w:ascii="Palatino Linotype" w:eastAsia="Palatino Linotype" w:hAnsi="Palatino Linotype" w:cs="Palatino Linotype"/>
          <w:sz w:val="24"/>
        </w:rPr>
        <w:t xml:space="preserve"> ahí contenida, por lo que es susceptible de resguardarse.</w:t>
      </w:r>
    </w:p>
    <w:p w14:paraId="705617DA" w14:textId="77777777" w:rsidR="00A057DB" w:rsidRPr="004E209B" w:rsidRDefault="00A057DB" w:rsidP="00A057DB">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La </w:t>
      </w:r>
      <w:r w:rsidRPr="004E209B">
        <w:rPr>
          <w:rFonts w:ascii="Palatino Linotype" w:eastAsia="Palatino Linotype" w:hAnsi="Palatino Linotype" w:cs="Palatino Linotype"/>
          <w:b/>
          <w:sz w:val="24"/>
        </w:rPr>
        <w:t>clave única del registro de población,</w:t>
      </w:r>
      <w:r w:rsidRPr="004E209B">
        <w:rPr>
          <w:rFonts w:ascii="Palatino Linotype" w:eastAsia="Palatino Linotype" w:hAnsi="Palatino Linotype" w:cs="Palatino Linotype"/>
          <w:i/>
          <w:sz w:val="24"/>
        </w:rPr>
        <w:t xml:space="preserve"> </w:t>
      </w:r>
      <w:r w:rsidRPr="004E209B">
        <w:rPr>
          <w:rFonts w:ascii="Palatino Linotype" w:eastAsia="Palatino Linotype" w:hAnsi="Palatino Linotype" w:cs="Palatino Linotype"/>
          <w:sz w:val="24"/>
        </w:rPr>
        <w:t xml:space="preserve">se integra por datos personales que sólo conciernen al particular titular de la misma, como lo son su nombre, apellidos, fecha </w:t>
      </w:r>
      <w:r w:rsidRPr="004E209B">
        <w:rPr>
          <w:rFonts w:ascii="Palatino Linotype" w:eastAsia="Palatino Linotype" w:hAnsi="Palatino Linotype" w:cs="Palatino Linotype"/>
          <w:sz w:val="24"/>
        </w:rPr>
        <w:lastRenderedPageBreak/>
        <w:t>de nacimiento, lugar de nacimiento y sexo. Dichos datos, constituyen información que distingue plenamente a una persona física del resto de los habitantes del país, por lo está considerada como información confidencial.</w:t>
      </w:r>
    </w:p>
    <w:p w14:paraId="31DDFA1C"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Igualmente, resulta importante destacar que el </w:t>
      </w:r>
      <w:r w:rsidRPr="004E209B">
        <w:rPr>
          <w:rFonts w:ascii="Palatino Linotype" w:eastAsia="Palatino Linotype" w:hAnsi="Palatino Linotype" w:cs="Palatino Linotype"/>
          <w:i/>
          <w:sz w:val="24"/>
        </w:rPr>
        <w:t>número de cuenta bancaria</w:t>
      </w:r>
      <w:r w:rsidRPr="004E209B">
        <w:rPr>
          <w:rFonts w:ascii="Palatino Linotype" w:eastAsia="Palatino Linotype" w:hAnsi="Palatino Linotype" w:cs="Palatino Linotype"/>
          <w:sz w:val="24"/>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2BD0DE03"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06E1EAC4"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23F8143B"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lastRenderedPageBreak/>
        <w:t xml:space="preserve">En esa virtud, este Pleno determina que dicha información no puede ser del dominio público, toda vez que se podría dar un uso inadecuado a la misma o cometer algún ilícito o fraude como ya ha sido expuesto. </w:t>
      </w:r>
    </w:p>
    <w:p w14:paraId="7F2CE9A8"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Es por esta razón que se debe omitir el o los números de cuentas bancarias de particulares en las versiones públicas que de las facturas se hagan, para ser entregadas.</w:t>
      </w:r>
    </w:p>
    <w:p w14:paraId="790CC425"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Lo anterior, no es así tratándose de las cuentas bancarias o claves interbancarias de los Sujetos Obligados ya que su publicidad cede a la rendición de cuentas al transparentar la forma en que son administrados los recursos públicos.</w:t>
      </w:r>
    </w:p>
    <w:p w14:paraId="79CDB1DB"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Lo argumentado encuentra sustento en los criterios 10/17 y 11/17 emitidos por el Instituto Nacional de Transparencia, Acceso a la Información y Protección de Datos Personales, INAI, que llevan por rubro y texto los siguientes:</w:t>
      </w:r>
    </w:p>
    <w:p w14:paraId="632D067B" w14:textId="77777777" w:rsidR="00A057DB" w:rsidRPr="004E209B" w:rsidRDefault="00A057DB" w:rsidP="00F8540F">
      <w:pPr>
        <w:spacing w:before="240" w:after="24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“Cuentas bancarias y/o CLABE interbancaria de personas físicas y morales privadas.</w:t>
      </w:r>
      <w:r w:rsidRPr="004E209B">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515E9A7D" w14:textId="77777777" w:rsidR="00A057DB" w:rsidRPr="004E209B" w:rsidRDefault="00A057DB" w:rsidP="00F8540F">
      <w:pPr>
        <w:spacing w:before="240" w:after="24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Cuentas bancarias y/o CLABE interbancaria de sujetos obligados que reciben y/o transfieren recursos públicos, son información pública</w:t>
      </w:r>
      <w:r w:rsidRPr="004E209B">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w:t>
      </w:r>
      <w:r w:rsidRPr="004E209B">
        <w:rPr>
          <w:rFonts w:ascii="Palatino Linotype" w:eastAsia="Palatino Linotype" w:hAnsi="Palatino Linotype" w:cs="Palatino Linotype"/>
          <w:i/>
        </w:rPr>
        <w:lastRenderedPageBreak/>
        <w:t>se administran los recursos públicos, razón por la cual no pueden considerarse como información clasificada.”</w:t>
      </w:r>
    </w:p>
    <w:p w14:paraId="35598647"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Por cuanto hace al </w:t>
      </w:r>
      <w:r w:rsidRPr="004E209B">
        <w:rPr>
          <w:rFonts w:ascii="Palatino Linotype" w:eastAsia="Palatino Linotype" w:hAnsi="Palatino Linotype" w:cs="Palatino Linotype"/>
          <w:b/>
          <w:sz w:val="24"/>
        </w:rPr>
        <w:t xml:space="preserve">Registro Federal de Contribuyentes (RFC) </w:t>
      </w:r>
      <w:r w:rsidRPr="004E209B">
        <w:rPr>
          <w:rFonts w:ascii="Palatino Linotype" w:eastAsia="Palatino Linotype" w:hAnsi="Palatino Linotype" w:cs="Palatino Linotype"/>
          <w:sz w:val="24"/>
        </w:rPr>
        <w:t>y</w:t>
      </w:r>
      <w:r w:rsidRPr="004E209B">
        <w:rPr>
          <w:rFonts w:ascii="Palatino Linotype" w:eastAsia="Palatino Linotype" w:hAnsi="Palatino Linotype" w:cs="Palatino Linotype"/>
          <w:b/>
          <w:sz w:val="24"/>
        </w:rPr>
        <w:t xml:space="preserve"> el domicilio fiscal </w:t>
      </w:r>
      <w:r w:rsidRPr="004E209B">
        <w:rPr>
          <w:rFonts w:ascii="Palatino Linotype" w:eastAsia="Palatino Linotype" w:hAnsi="Palatino Linotype" w:cs="Palatino Linotype"/>
          <w:sz w:val="24"/>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4681159A"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61269D8B"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4E209B">
        <w:rPr>
          <w:rFonts w:ascii="Palatino Linotype" w:eastAsia="Palatino Linotype" w:hAnsi="Palatino Linotype" w:cs="Palatino Linotype"/>
          <w:b/>
          <w:sz w:val="24"/>
        </w:rPr>
        <w:t>no puede considerarse como información clasificada lo relativo a su nombre, registro federal de contribuyentes y domicilio fiscal</w:t>
      </w:r>
      <w:r w:rsidRPr="004E209B">
        <w:rPr>
          <w:rFonts w:ascii="Palatino Linotype" w:eastAsia="Palatino Linotype" w:hAnsi="Palatino Linotype" w:cs="Palatino Linotype"/>
          <w:sz w:val="24"/>
        </w:rPr>
        <w:t>, atento a que dicha información es la que puede generar certeza en los gobernados en que se está ejerciendo debidamente el presupuesto.</w:t>
      </w:r>
    </w:p>
    <w:p w14:paraId="2176CD37" w14:textId="77777777" w:rsidR="00A057DB" w:rsidRPr="004E209B" w:rsidRDefault="00A057DB" w:rsidP="00A057DB">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lastRenderedPageBreak/>
        <w:t>Robustece lo anterior el criterio orientador 04/21 emitido por el Instituto Nacional de Transparencia, Acceso a la Información y Protección de Datos Personales, INAI, el cual refiere:</w:t>
      </w:r>
    </w:p>
    <w:p w14:paraId="65AB8A26"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 xml:space="preserve">“Registro Federal de Contribuyentes (RFC) de personas físicas proveedoras o contratistas. </w:t>
      </w:r>
      <w:r w:rsidRPr="004E209B">
        <w:rPr>
          <w:rFonts w:ascii="Palatino Linotype" w:eastAsia="Palatino Linotype" w:hAnsi="Palatino Linotype" w:cs="Palatino Linotype"/>
          <w:i/>
        </w:rPr>
        <w:t xml:space="preserve">El RFC de contratistas o proveedores de los sujetos obligados debe ser público, </w:t>
      </w:r>
      <w:proofErr w:type="gramStart"/>
      <w:r w:rsidRPr="004E209B">
        <w:rPr>
          <w:rFonts w:ascii="Palatino Linotype" w:eastAsia="Palatino Linotype" w:hAnsi="Palatino Linotype" w:cs="Palatino Linotype"/>
          <w:i/>
        </w:rPr>
        <w:t>ya que</w:t>
      </w:r>
      <w:proofErr w:type="gramEnd"/>
      <w:r w:rsidRPr="004E209B">
        <w:rPr>
          <w:rFonts w:ascii="Palatino Linotype" w:eastAsia="Palatino Linotype" w:hAnsi="Palatino Linotype" w:cs="Palatino Linotype"/>
          <w:i/>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00DFC57A"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Relacionado con lo anterior, el </w:t>
      </w:r>
      <w:r w:rsidRPr="004E209B">
        <w:rPr>
          <w:rFonts w:ascii="Palatino Linotype" w:eastAsia="Palatino Linotype" w:hAnsi="Palatino Linotype" w:cs="Palatino Linotype"/>
          <w:b/>
          <w:sz w:val="24"/>
        </w:rPr>
        <w:t>nombre de las personas físicas</w:t>
      </w:r>
      <w:r w:rsidRPr="004E209B">
        <w:rPr>
          <w:rFonts w:ascii="Palatino Linotype" w:eastAsia="Palatino Linotype" w:hAnsi="Palatino Linotype" w:cs="Palatino Linotype"/>
          <w:sz w:val="24"/>
        </w:rPr>
        <w:t xml:space="preserve"> o los </w:t>
      </w:r>
      <w:r w:rsidRPr="004E209B">
        <w:rPr>
          <w:rFonts w:ascii="Palatino Linotype" w:eastAsia="Palatino Linotype" w:hAnsi="Palatino Linotype" w:cs="Palatino Linotype"/>
          <w:b/>
          <w:sz w:val="24"/>
        </w:rPr>
        <w:t>representantes legales de las personas morales</w:t>
      </w:r>
      <w:r w:rsidRPr="004E209B">
        <w:rPr>
          <w:rFonts w:ascii="Palatino Linotype" w:eastAsia="Palatino Linotype" w:hAnsi="Palatino Linotype" w:cs="Palatino Linotype"/>
          <w:sz w:val="24"/>
        </w:rPr>
        <w:t>,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23A77B7D"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lastRenderedPageBreak/>
        <w:t>Argumentación que guarda sustento en lo estipulado por el artículo 23 de la Ley de Transparencia y Acceso a la Información Pública del Estado de México y Municipios en su penúltimo párrafo, mismo que es del tenor literal siguiente:</w:t>
      </w:r>
    </w:p>
    <w:p w14:paraId="6B393DA8"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Artículo 23.</w:t>
      </w:r>
      <w:r w:rsidRPr="004E209B">
        <w:rPr>
          <w:rFonts w:ascii="Palatino Linotype" w:eastAsia="Palatino Linotype" w:hAnsi="Palatino Linotype" w:cs="Palatino Linotype"/>
          <w:i/>
        </w:rPr>
        <w:t xml:space="preserve"> (…)</w:t>
      </w:r>
    </w:p>
    <w:p w14:paraId="0DFF33CF"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27338EF" w14:textId="167E706A" w:rsidR="00A057DB" w:rsidRPr="004E209B" w:rsidRDefault="00A057DB" w:rsidP="00A057DB">
      <w:pPr>
        <w:spacing w:before="280" w:after="28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Asimismo, resulta aplicable el contenido del criterio de interpretación 01/19 emitido por el Instituto Nacional de Transparencia, Acceso a la Información, y Protección de Datos Personales, INAI, que lleva por rubro y texto los siguientes;</w:t>
      </w:r>
    </w:p>
    <w:p w14:paraId="695BED28"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“Datos de identificación del representante o apoderado legal.</w:t>
      </w:r>
      <w:r w:rsidRPr="004E209B">
        <w:rPr>
          <w:rFonts w:ascii="Palatino Linotype" w:eastAsia="Palatino Linotype" w:hAnsi="Palatino Linotype" w:cs="Palatino Linotype"/>
          <w:i/>
        </w:rPr>
        <w:t xml:space="preserve"> </w:t>
      </w:r>
      <w:r w:rsidRPr="004E209B">
        <w:rPr>
          <w:rFonts w:ascii="Palatino Linotype" w:eastAsia="Palatino Linotype" w:hAnsi="Palatino Linotype" w:cs="Palatino Linotype"/>
          <w:b/>
          <w:i/>
        </w:rPr>
        <w:t xml:space="preserve">Naturaleza jurídica. </w:t>
      </w:r>
      <w:r w:rsidRPr="004E209B">
        <w:rPr>
          <w:rFonts w:ascii="Palatino Linotype" w:eastAsia="Palatino Linotype" w:hAnsi="Palatino Linotype" w:cs="Palatino Linotype"/>
          <w:i/>
        </w:rPr>
        <w:t xml:space="preserve">El nombre, la firma y la rúbrica de una persona física, que actúe como representante o apoderado legal de un tercero que haya celebrado un acto jurídico, con algún sujeto obligado, </w:t>
      </w:r>
      <w:r w:rsidRPr="004E209B">
        <w:rPr>
          <w:rFonts w:ascii="Palatino Linotype" w:eastAsia="Palatino Linotype" w:hAnsi="Palatino Linotype" w:cs="Palatino Linotype"/>
          <w:b/>
          <w:i/>
        </w:rPr>
        <w:t>es información pública, en razón de que tales datos fueron proporcionados con el objeto de expresar el consentimiento obligacional del tercero y otorgar validez a dicho instrumento jurídico</w:t>
      </w:r>
      <w:r w:rsidRPr="004E209B">
        <w:rPr>
          <w:rFonts w:ascii="Palatino Linotype" w:eastAsia="Palatino Linotype" w:hAnsi="Palatino Linotype" w:cs="Palatino Linotype"/>
          <w:i/>
        </w:rPr>
        <w:t>.”</w:t>
      </w:r>
    </w:p>
    <w:p w14:paraId="06A60A8D" w14:textId="77777777" w:rsidR="00A057DB" w:rsidRPr="004E209B" w:rsidRDefault="00A057DB" w:rsidP="00A057DB">
      <w:pPr>
        <w:spacing w:before="240" w:after="240" w:line="360" w:lineRule="auto"/>
        <w:ind w:right="50"/>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4E209B">
        <w:rPr>
          <w:rFonts w:ascii="Palatino Linotype" w:eastAsia="Palatino Linotype" w:hAnsi="Palatino Linotype" w:cs="Palatino Linotype"/>
          <w:sz w:val="24"/>
        </w:rPr>
        <w:t>Responsable</w:t>
      </w:r>
      <w:proofErr w:type="gramEnd"/>
      <w:r w:rsidRPr="004E209B">
        <w:rPr>
          <w:rFonts w:ascii="Palatino Linotype" w:eastAsia="Palatino Linotype" w:hAnsi="Palatino Linotype" w:cs="Palatino Linotype"/>
          <w:sz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2AEF6FBB"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“Artículo 49.</w:t>
      </w:r>
      <w:r w:rsidRPr="004E209B">
        <w:rPr>
          <w:rFonts w:ascii="Palatino Linotype" w:eastAsia="Palatino Linotype" w:hAnsi="Palatino Linotype" w:cs="Palatino Linotype"/>
          <w:i/>
        </w:rPr>
        <w:t xml:space="preserve"> </w:t>
      </w:r>
      <w:r w:rsidRPr="004E209B">
        <w:rPr>
          <w:rFonts w:ascii="Palatino Linotype" w:eastAsia="Palatino Linotype" w:hAnsi="Palatino Linotype" w:cs="Palatino Linotype"/>
          <w:b/>
          <w:i/>
        </w:rPr>
        <w:t>Los Comités de Transparencia</w:t>
      </w:r>
      <w:r w:rsidRPr="004E209B">
        <w:rPr>
          <w:rFonts w:ascii="Palatino Linotype" w:eastAsia="Palatino Linotype" w:hAnsi="Palatino Linotype" w:cs="Palatino Linotype"/>
          <w:i/>
        </w:rPr>
        <w:t xml:space="preserve"> tendrán las siguientes atribuciones:</w:t>
      </w:r>
    </w:p>
    <w:p w14:paraId="3E9E2EBA" w14:textId="77777777" w:rsidR="00A057DB" w:rsidRPr="004E209B" w:rsidRDefault="00A057DB" w:rsidP="00F8540F">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lastRenderedPageBreak/>
        <w:t>VIII. Aprobar, modificar o revocar la clasificación de la información</w:t>
      </w:r>
      <w:r w:rsidRPr="004E209B">
        <w:rPr>
          <w:rFonts w:ascii="Palatino Linotype" w:eastAsia="Palatino Linotype" w:hAnsi="Palatino Linotype" w:cs="Palatino Linotype"/>
          <w:i/>
        </w:rPr>
        <w:t>…”</w:t>
      </w:r>
    </w:p>
    <w:p w14:paraId="55736E96"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Artículo 53.</w:t>
      </w:r>
      <w:r w:rsidRPr="004E209B">
        <w:rPr>
          <w:rFonts w:ascii="Palatino Linotype" w:eastAsia="Palatino Linotype" w:hAnsi="Palatino Linotype" w:cs="Palatino Linotype"/>
          <w:i/>
        </w:rPr>
        <w:t xml:space="preserve"> Las </w:t>
      </w:r>
      <w:r w:rsidRPr="004E209B">
        <w:rPr>
          <w:rFonts w:ascii="Palatino Linotype" w:eastAsia="Palatino Linotype" w:hAnsi="Palatino Linotype" w:cs="Palatino Linotype"/>
          <w:b/>
          <w:i/>
        </w:rPr>
        <w:t>Unidades de Transparencia</w:t>
      </w:r>
      <w:r w:rsidRPr="004E209B">
        <w:rPr>
          <w:rFonts w:ascii="Palatino Linotype" w:eastAsia="Palatino Linotype" w:hAnsi="Palatino Linotype" w:cs="Palatino Linotype"/>
          <w:i/>
        </w:rPr>
        <w:t xml:space="preserve"> tendrán las siguientes </w:t>
      </w:r>
      <w:r w:rsidRPr="004E209B">
        <w:rPr>
          <w:rFonts w:ascii="Palatino Linotype" w:eastAsia="Palatino Linotype" w:hAnsi="Palatino Linotype" w:cs="Palatino Linotype"/>
          <w:b/>
          <w:i/>
        </w:rPr>
        <w:t>funciones</w:t>
      </w:r>
      <w:r w:rsidRPr="004E209B">
        <w:rPr>
          <w:rFonts w:ascii="Palatino Linotype" w:eastAsia="Palatino Linotype" w:hAnsi="Palatino Linotype" w:cs="Palatino Linotype"/>
          <w:i/>
        </w:rPr>
        <w:t>:</w:t>
      </w:r>
    </w:p>
    <w:p w14:paraId="4866423D" w14:textId="77777777" w:rsidR="00A057DB" w:rsidRPr="004E209B" w:rsidRDefault="00A057DB" w:rsidP="00F8540F">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X. Presentar ante el Comité, el proyecto de clasificación de información</w:t>
      </w:r>
      <w:r w:rsidRPr="004E209B">
        <w:rPr>
          <w:rFonts w:ascii="Palatino Linotype" w:eastAsia="Palatino Linotype" w:hAnsi="Palatino Linotype" w:cs="Palatino Linotype"/>
          <w:i/>
        </w:rPr>
        <w:t xml:space="preserve">…” </w:t>
      </w:r>
    </w:p>
    <w:p w14:paraId="1607FE85"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“Artículo 59.</w:t>
      </w:r>
      <w:r w:rsidRPr="004E209B">
        <w:rPr>
          <w:rFonts w:ascii="Palatino Linotype" w:eastAsia="Palatino Linotype" w:hAnsi="Palatino Linotype" w:cs="Palatino Linotype"/>
          <w:i/>
        </w:rPr>
        <w:t xml:space="preserve"> Los </w:t>
      </w:r>
      <w:r w:rsidRPr="004E209B">
        <w:rPr>
          <w:rFonts w:ascii="Palatino Linotype" w:eastAsia="Palatino Linotype" w:hAnsi="Palatino Linotype" w:cs="Palatino Linotype"/>
          <w:b/>
          <w:i/>
        </w:rPr>
        <w:t>servidores públicos habilitados</w:t>
      </w:r>
      <w:r w:rsidRPr="004E209B">
        <w:rPr>
          <w:rFonts w:ascii="Palatino Linotype" w:eastAsia="Palatino Linotype" w:hAnsi="Palatino Linotype" w:cs="Palatino Linotype"/>
          <w:i/>
        </w:rPr>
        <w:t xml:space="preserve"> tendrán las </w:t>
      </w:r>
      <w:r w:rsidRPr="004E209B">
        <w:rPr>
          <w:rFonts w:ascii="Palatino Linotype" w:eastAsia="Palatino Linotype" w:hAnsi="Palatino Linotype" w:cs="Palatino Linotype"/>
          <w:b/>
          <w:i/>
        </w:rPr>
        <w:t>funciones</w:t>
      </w:r>
      <w:r w:rsidRPr="004E209B">
        <w:rPr>
          <w:rFonts w:ascii="Palatino Linotype" w:eastAsia="Palatino Linotype" w:hAnsi="Palatino Linotype" w:cs="Palatino Linotype"/>
          <w:i/>
        </w:rPr>
        <w:t xml:space="preserve"> siguientes:</w:t>
      </w:r>
    </w:p>
    <w:p w14:paraId="4BBBFE6C" w14:textId="77777777" w:rsidR="00A057DB" w:rsidRPr="004E209B" w:rsidRDefault="00A057DB" w:rsidP="00F8540F">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V. Integrar y presentar al responsable de la Unidad de Transparencia la propuesta de clasificación de información</w:t>
      </w:r>
      <w:r w:rsidRPr="004E209B">
        <w:rPr>
          <w:rFonts w:ascii="Palatino Linotype" w:eastAsia="Palatino Linotype" w:hAnsi="Palatino Linotype" w:cs="Palatino Linotype"/>
          <w:i/>
        </w:rPr>
        <w:t>, la cual tendrá los fundamentos y argumentos en que se basa dicha propuesta…”</w:t>
      </w:r>
    </w:p>
    <w:p w14:paraId="061C415E" w14:textId="77777777" w:rsidR="00A057DB" w:rsidRPr="004E209B" w:rsidRDefault="00A057DB" w:rsidP="00A057DB">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0504553F" w14:textId="77777777" w:rsidR="00A057DB" w:rsidRPr="004E209B" w:rsidRDefault="00A057DB" w:rsidP="00A057DB">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Para lo cual, a su vez en el caso de información de carácter confidencial, se debe atender a lo que señala el artículo 149 de la Ley de Transparencia Local vigente, que se lee como sigue:</w:t>
      </w:r>
    </w:p>
    <w:p w14:paraId="1246F7CE"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r w:rsidRPr="004E209B">
        <w:rPr>
          <w:rFonts w:ascii="Palatino Linotype" w:eastAsia="Palatino Linotype" w:hAnsi="Palatino Linotype" w:cs="Palatino Linotype"/>
          <w:b/>
          <w:i/>
        </w:rPr>
        <w:t>Artículo 149.</w:t>
      </w:r>
      <w:r w:rsidRPr="004E209B">
        <w:rPr>
          <w:rFonts w:ascii="Palatino Linotype" w:eastAsia="Palatino Linotype" w:hAnsi="Palatino Linotype" w:cs="Palatino Linotype"/>
          <w:i/>
        </w:rPr>
        <w:t xml:space="preserve"> El </w:t>
      </w:r>
      <w:r w:rsidRPr="004E209B">
        <w:rPr>
          <w:rFonts w:ascii="Palatino Linotype" w:eastAsia="Palatino Linotype" w:hAnsi="Palatino Linotype" w:cs="Palatino Linotype"/>
          <w:b/>
          <w:i/>
        </w:rPr>
        <w:t>acuerdo que clasifique la información como confidencial</w:t>
      </w:r>
      <w:r w:rsidRPr="004E209B">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 </w:t>
      </w:r>
    </w:p>
    <w:p w14:paraId="479D49DD" w14:textId="77777777" w:rsidR="00A057DB" w:rsidRPr="004E209B" w:rsidRDefault="00A057DB" w:rsidP="00A057DB">
      <w:pPr>
        <w:spacing w:before="240" w:after="240" w:line="360" w:lineRule="auto"/>
        <w:ind w:right="51"/>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lastRenderedPageBreak/>
        <w:t xml:space="preserve">Es decir, el </w:t>
      </w:r>
      <w:r w:rsidRPr="004E209B">
        <w:rPr>
          <w:rFonts w:ascii="Palatino Linotype" w:eastAsia="Palatino Linotype" w:hAnsi="Palatino Linotype" w:cs="Palatino Linotype"/>
          <w:b/>
          <w:sz w:val="24"/>
        </w:rPr>
        <w:t>Sujeto Obligado</w:t>
      </w:r>
      <w:r w:rsidRPr="004E209B">
        <w:rPr>
          <w:rFonts w:ascii="Palatino Linotype" w:eastAsia="Palatino Linotype" w:hAnsi="Palatino Linotype" w:cs="Palatino Linotype"/>
          <w:sz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78278DAE" w14:textId="77777777" w:rsidR="00A057DB" w:rsidRPr="004E209B" w:rsidRDefault="00A057DB" w:rsidP="00A057DB">
      <w:pPr>
        <w:spacing w:before="240" w:after="240" w:line="360" w:lineRule="auto"/>
        <w:ind w:right="49"/>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Atento a lo anterior, cabe señalar que el Comité de Transparencia del </w:t>
      </w:r>
      <w:r w:rsidRPr="004E209B">
        <w:rPr>
          <w:rFonts w:ascii="Palatino Linotype" w:eastAsia="Palatino Linotype" w:hAnsi="Palatino Linotype" w:cs="Palatino Linotype"/>
          <w:b/>
          <w:sz w:val="24"/>
        </w:rPr>
        <w:t>Sujeto Obligado</w:t>
      </w:r>
      <w:r w:rsidRPr="004E209B">
        <w:rPr>
          <w:rFonts w:ascii="Palatino Linotype" w:eastAsia="Palatino Linotype" w:hAnsi="Palatino Linotype" w:cs="Palatino Linotype"/>
          <w:sz w:val="24"/>
        </w:rPr>
        <w:t>, deberá emitir el acuerdo de clasificación de información debidamente fundado y motivado, en términos los Lineamientos Segundo, fracción XVIII, y del Cuarto al Décimo Primero de los “Lineamientos Generales en materia de Clasificación y Desclasificación de la Información, así como para la elaboración de Versiones Públicas”, que literalmente expresan:</w:t>
      </w:r>
    </w:p>
    <w:p w14:paraId="207349B8"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i/>
        </w:rPr>
        <w:t xml:space="preserve"> “</w:t>
      </w:r>
      <w:proofErr w:type="gramStart"/>
      <w:r w:rsidRPr="004E209B">
        <w:rPr>
          <w:rFonts w:ascii="Palatino Linotype" w:eastAsia="Palatino Linotype" w:hAnsi="Palatino Linotype" w:cs="Palatino Linotype"/>
          <w:b/>
          <w:i/>
        </w:rPr>
        <w:t>Segundo.-</w:t>
      </w:r>
      <w:proofErr w:type="gramEnd"/>
      <w:r w:rsidRPr="004E209B">
        <w:rPr>
          <w:rFonts w:ascii="Palatino Linotype" w:eastAsia="Palatino Linotype" w:hAnsi="Palatino Linotype" w:cs="Palatino Linotype"/>
          <w:i/>
        </w:rPr>
        <w:t xml:space="preserve"> Para efectos de los presentes Lineamientos Generales, se entenderá por:</w:t>
      </w:r>
    </w:p>
    <w:p w14:paraId="01DFD4EA" w14:textId="77777777" w:rsidR="00A057DB" w:rsidRPr="004E209B" w:rsidRDefault="00A057DB" w:rsidP="00F8540F">
      <w:pPr>
        <w:tabs>
          <w:tab w:val="left" w:pos="8222"/>
        </w:tabs>
        <w:spacing w:before="120" w:after="120" w:line="240" w:lineRule="auto"/>
        <w:ind w:left="1134" w:right="1134"/>
        <w:jc w:val="both"/>
        <w:rPr>
          <w:rFonts w:ascii="Palatino Linotype" w:eastAsia="Palatino Linotype" w:hAnsi="Palatino Linotype" w:cs="Palatino Linotype"/>
          <w:i/>
        </w:rPr>
      </w:pPr>
      <w:r w:rsidRPr="004E209B">
        <w:rPr>
          <w:rFonts w:ascii="Palatino Linotype" w:eastAsia="Palatino Linotype" w:hAnsi="Palatino Linotype" w:cs="Palatino Linotype"/>
          <w:b/>
          <w:i/>
        </w:rPr>
        <w:t>XVIII.</w:t>
      </w:r>
      <w:r w:rsidRPr="004E209B">
        <w:rPr>
          <w:rFonts w:ascii="Palatino Linotype" w:eastAsia="Palatino Linotype" w:hAnsi="Palatino Linotype" w:cs="Palatino Linotype"/>
          <w:i/>
        </w:rPr>
        <w:t xml:space="preserve"> </w:t>
      </w:r>
      <w:r w:rsidRPr="004E209B">
        <w:rPr>
          <w:rFonts w:ascii="Palatino Linotype" w:eastAsia="Palatino Linotype" w:hAnsi="Palatino Linotype" w:cs="Palatino Linotype"/>
          <w:b/>
          <w:i/>
        </w:rPr>
        <w:t>Versión pública:</w:t>
      </w:r>
      <w:r w:rsidRPr="004E209B">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4E209B">
        <w:rPr>
          <w:rFonts w:ascii="Palatino Linotype" w:eastAsia="Palatino Linotype" w:hAnsi="Palatino Linotype" w:cs="Palatino Linotype"/>
          <w:b/>
          <w:i/>
        </w:rPr>
        <w:t>fundando y motivando la</w:t>
      </w:r>
      <w:r w:rsidRPr="004E209B">
        <w:rPr>
          <w:rFonts w:ascii="Palatino Linotype" w:eastAsia="Palatino Linotype" w:hAnsi="Palatino Linotype" w:cs="Palatino Linotype"/>
          <w:i/>
        </w:rPr>
        <w:t xml:space="preserve"> </w:t>
      </w:r>
      <w:r w:rsidRPr="004E209B">
        <w:rPr>
          <w:rFonts w:ascii="Palatino Linotype" w:eastAsia="Palatino Linotype" w:hAnsi="Palatino Linotype" w:cs="Palatino Linotype"/>
          <w:b/>
          <w:i/>
        </w:rPr>
        <w:t>reserva o confidencialidad</w:t>
      </w:r>
      <w:r w:rsidRPr="004E209B">
        <w:rPr>
          <w:rFonts w:ascii="Palatino Linotype" w:eastAsia="Palatino Linotype" w:hAnsi="Palatino Linotype" w:cs="Palatino Linotype"/>
          <w:i/>
        </w:rPr>
        <w:t>, a través de la resolución que para tal efecto emita el Comité de Transparencia.</w:t>
      </w:r>
    </w:p>
    <w:p w14:paraId="02F7C9E9"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b/>
          <w:i/>
        </w:rPr>
      </w:pPr>
      <w:r w:rsidRPr="004E209B">
        <w:rPr>
          <w:rFonts w:ascii="Palatino Linotype" w:eastAsia="Palatino Linotype" w:hAnsi="Palatino Linotype" w:cs="Palatino Linotype"/>
          <w:b/>
          <w:i/>
        </w:rPr>
        <w:t>...</w:t>
      </w:r>
    </w:p>
    <w:p w14:paraId="7709AC43"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b/>
          <w:i/>
        </w:rPr>
        <w:t>Cuarto.</w:t>
      </w:r>
      <w:r w:rsidRPr="004E209B">
        <w:rPr>
          <w:rFonts w:ascii="Palatino Linotype" w:eastAsia="Palatino Linotype" w:hAnsi="Palatino Linotype" w:cs="Palatino Linotype"/>
          <w:i/>
        </w:rPr>
        <w:t xml:space="preserve"> </w:t>
      </w:r>
      <w:r w:rsidRPr="004E209B">
        <w:rPr>
          <w:rFonts w:ascii="Palatino Linotype" w:eastAsia="Palatino Linotype" w:hAnsi="Palatino Linotype" w:cs="Palatino Linotype"/>
          <w:b/>
          <w:i/>
        </w:rPr>
        <w:t>Para clasificar la información como</w:t>
      </w:r>
      <w:r w:rsidRPr="004E209B">
        <w:rPr>
          <w:rFonts w:ascii="Palatino Linotype" w:eastAsia="Palatino Linotype" w:hAnsi="Palatino Linotype" w:cs="Palatino Linotype"/>
          <w:i/>
        </w:rPr>
        <w:t xml:space="preserve"> </w:t>
      </w:r>
      <w:r w:rsidRPr="004E209B">
        <w:rPr>
          <w:rFonts w:ascii="Palatino Linotype" w:eastAsia="Palatino Linotype" w:hAnsi="Palatino Linotype" w:cs="Palatino Linotype"/>
          <w:b/>
          <w:i/>
        </w:rPr>
        <w:t>reservada o</w:t>
      </w:r>
      <w:r w:rsidRPr="004E209B">
        <w:rPr>
          <w:rFonts w:ascii="Palatino Linotype" w:eastAsia="Palatino Linotype" w:hAnsi="Palatino Linotype" w:cs="Palatino Linotype"/>
          <w:i/>
        </w:rPr>
        <w:t xml:space="preserve"> </w:t>
      </w:r>
      <w:r w:rsidRPr="004E209B">
        <w:rPr>
          <w:rFonts w:ascii="Palatino Linotype" w:eastAsia="Palatino Linotype" w:hAnsi="Palatino Linotype" w:cs="Palatino Linotype"/>
          <w:b/>
          <w:i/>
        </w:rPr>
        <w:t>confidencial, de manera total o parcial, el titular del área del sujeto obligado deberá atender lo dispuesto por el Título Sexto de la Ley General</w:t>
      </w:r>
      <w:r w:rsidRPr="004E209B">
        <w:rPr>
          <w:rFonts w:ascii="Palatino Linotype" w:eastAsia="Palatino Linotype" w:hAnsi="Palatino Linotype" w:cs="Palatino Linotype"/>
          <w:i/>
        </w:rPr>
        <w:t xml:space="preserve">, en relación </w:t>
      </w:r>
      <w:r w:rsidRPr="004E209B">
        <w:rPr>
          <w:rFonts w:ascii="Palatino Linotype" w:eastAsia="Palatino Linotype" w:hAnsi="Palatino Linotype" w:cs="Palatino Linotype"/>
          <w:i/>
        </w:rPr>
        <w:lastRenderedPageBreak/>
        <w:t>con las disposiciones contenidas en los presentes lineamientos, así como en aquellas disposiciones legales aplicables a la materia en el ámbito de sus respectivas competencias, en tanto estas últimas no contravengan lo dispuesto en la Ley General.</w:t>
      </w:r>
    </w:p>
    <w:p w14:paraId="49227527"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49F5443D"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b/>
          <w:i/>
        </w:rPr>
        <w:t>Quinto.</w:t>
      </w:r>
      <w:r w:rsidRPr="004E209B">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147C7A7"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b/>
          <w:i/>
        </w:rPr>
        <w:t>Sexto.</w:t>
      </w:r>
      <w:r w:rsidRPr="004E209B">
        <w:rPr>
          <w:rFonts w:ascii="Palatino Linotype" w:eastAsia="Palatino Linotype" w:hAnsi="Palatino Linotype" w:cs="Palatino Linotype"/>
          <w:i/>
        </w:rPr>
        <w:t xml:space="preserve"> Se deroga.</w:t>
      </w:r>
    </w:p>
    <w:p w14:paraId="19C3364D"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b/>
          <w:i/>
        </w:rPr>
        <w:t>Séptimo.</w:t>
      </w:r>
      <w:r w:rsidRPr="004E209B">
        <w:rPr>
          <w:rFonts w:ascii="Palatino Linotype" w:eastAsia="Palatino Linotype" w:hAnsi="Palatino Linotype" w:cs="Palatino Linotype"/>
          <w:i/>
        </w:rPr>
        <w:t xml:space="preserve"> La clasificación de la información se llevará a cabo en el momento en que:</w:t>
      </w:r>
    </w:p>
    <w:p w14:paraId="7106D946" w14:textId="77777777" w:rsidR="00A057DB" w:rsidRPr="004E209B" w:rsidRDefault="00A057DB" w:rsidP="00F8540F">
      <w:pPr>
        <w:tabs>
          <w:tab w:val="left" w:pos="8222"/>
        </w:tabs>
        <w:spacing w:before="120" w:after="120" w:line="240" w:lineRule="auto"/>
        <w:ind w:left="1134" w:right="1134"/>
        <w:jc w:val="both"/>
        <w:rPr>
          <w:rFonts w:ascii="Palatino Linotype" w:eastAsia="Palatino Linotype" w:hAnsi="Palatino Linotype" w:cs="Palatino Linotype"/>
          <w:i/>
        </w:rPr>
      </w:pPr>
      <w:r w:rsidRPr="004E209B">
        <w:rPr>
          <w:rFonts w:ascii="Palatino Linotype" w:eastAsia="Palatino Linotype" w:hAnsi="Palatino Linotype" w:cs="Palatino Linotype"/>
          <w:b/>
          <w:i/>
        </w:rPr>
        <w:t>I.</w:t>
      </w:r>
      <w:r w:rsidRPr="004E209B">
        <w:rPr>
          <w:rFonts w:ascii="Palatino Linotype" w:eastAsia="Palatino Linotype" w:hAnsi="Palatino Linotype" w:cs="Palatino Linotype"/>
          <w:i/>
        </w:rPr>
        <w:t xml:space="preserve"> Se reciba una solicitud de acceso a la información;</w:t>
      </w:r>
    </w:p>
    <w:p w14:paraId="2ECA4033" w14:textId="77777777" w:rsidR="00A057DB" w:rsidRPr="004E209B" w:rsidRDefault="00A057DB" w:rsidP="00F8540F">
      <w:pPr>
        <w:tabs>
          <w:tab w:val="left" w:pos="8222"/>
        </w:tabs>
        <w:spacing w:before="120" w:after="120" w:line="240" w:lineRule="auto"/>
        <w:ind w:left="1134" w:right="1134"/>
        <w:jc w:val="both"/>
        <w:rPr>
          <w:rFonts w:ascii="Palatino Linotype" w:eastAsia="Palatino Linotype" w:hAnsi="Palatino Linotype" w:cs="Palatino Linotype"/>
          <w:i/>
        </w:rPr>
      </w:pPr>
      <w:r w:rsidRPr="004E209B">
        <w:rPr>
          <w:rFonts w:ascii="Palatino Linotype" w:eastAsia="Palatino Linotype" w:hAnsi="Palatino Linotype" w:cs="Palatino Linotype"/>
          <w:b/>
          <w:i/>
        </w:rPr>
        <w:t>II.</w:t>
      </w:r>
      <w:r w:rsidRPr="004E209B">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w:t>
      </w:r>
    </w:p>
    <w:p w14:paraId="200DC26A" w14:textId="77777777" w:rsidR="00A057DB" w:rsidRPr="004E209B" w:rsidRDefault="00A057DB" w:rsidP="00F8540F">
      <w:pPr>
        <w:tabs>
          <w:tab w:val="left" w:pos="8222"/>
        </w:tabs>
        <w:spacing w:before="120" w:after="120" w:line="240" w:lineRule="auto"/>
        <w:ind w:left="1134" w:right="1134"/>
        <w:jc w:val="both"/>
        <w:rPr>
          <w:rFonts w:ascii="Palatino Linotype" w:eastAsia="Palatino Linotype" w:hAnsi="Palatino Linotype" w:cs="Palatino Linotype"/>
          <w:i/>
        </w:rPr>
      </w:pPr>
      <w:r w:rsidRPr="004E209B">
        <w:rPr>
          <w:rFonts w:ascii="Palatino Linotype" w:eastAsia="Palatino Linotype" w:hAnsi="Palatino Linotype" w:cs="Palatino Linotype"/>
          <w:b/>
          <w:i/>
        </w:rPr>
        <w:t>III.</w:t>
      </w:r>
      <w:r w:rsidRPr="004E209B">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4AE826D6"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i/>
        </w:rPr>
        <w:t>Los titulares de las áreas deberán revisar la clasificación al momento de la recepción de una solicitud de acceso, para verificar</w:t>
      </w:r>
      <w:r w:rsidRPr="004E209B">
        <w:rPr>
          <w:rFonts w:ascii="Palatino Linotype" w:eastAsia="Palatino Linotype" w:hAnsi="Palatino Linotype" w:cs="Palatino Linotype"/>
        </w:rPr>
        <w:t xml:space="preserve">, </w:t>
      </w:r>
      <w:r w:rsidRPr="004E209B">
        <w:rPr>
          <w:rFonts w:ascii="Palatino Linotype" w:eastAsia="Palatino Linotype" w:hAnsi="Palatino Linotype" w:cs="Palatino Linotype"/>
          <w:i/>
        </w:rPr>
        <w:t>conforme a su naturaleza, si encuadra en una causal de reserva o de confidencialidad.</w:t>
      </w:r>
    </w:p>
    <w:p w14:paraId="4726C0C6"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b/>
          <w:i/>
        </w:rPr>
        <w:t>Octavo.</w:t>
      </w:r>
      <w:r w:rsidRPr="004E209B">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4BE4E63"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i/>
        </w:rPr>
        <w:lastRenderedPageBreak/>
        <w:t>Para motivar la clasificación se deberán señalar las razones o circunstancias especiales que lo llevaron a concluir que el caso particular se ajusta al supuesto previsto por la norma legal invocada como fundamento.</w:t>
      </w:r>
    </w:p>
    <w:p w14:paraId="03D1F95F"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i/>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295856FA"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b/>
          <w:i/>
        </w:rPr>
        <w:t>Noveno.</w:t>
      </w:r>
      <w:r w:rsidRPr="004E209B">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D0D87C4"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b/>
          <w:i/>
        </w:rPr>
        <w:t>Décimo.</w:t>
      </w:r>
      <w:r w:rsidRPr="004E209B">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B1E46F7"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6395469F" w14:textId="77777777" w:rsidR="00A057DB" w:rsidRPr="004E209B" w:rsidRDefault="00A057DB" w:rsidP="00F8540F">
      <w:pPr>
        <w:tabs>
          <w:tab w:val="left" w:pos="8222"/>
        </w:tabs>
        <w:spacing w:before="120" w:after="120" w:line="240" w:lineRule="auto"/>
        <w:ind w:left="851" w:right="1134"/>
        <w:jc w:val="both"/>
        <w:rPr>
          <w:rFonts w:ascii="Palatino Linotype" w:eastAsia="Palatino Linotype" w:hAnsi="Palatino Linotype" w:cs="Palatino Linotype"/>
          <w:i/>
        </w:rPr>
      </w:pPr>
      <w:r w:rsidRPr="004E209B">
        <w:rPr>
          <w:rFonts w:ascii="Palatino Linotype" w:eastAsia="Palatino Linotype" w:hAnsi="Palatino Linotype" w:cs="Palatino Linotype"/>
          <w:b/>
          <w:i/>
        </w:rPr>
        <w:t>Décimo primero.</w:t>
      </w:r>
      <w:r w:rsidRPr="004E209B">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70C33A3E" w14:textId="77777777" w:rsidR="00A057DB" w:rsidRPr="004E209B" w:rsidRDefault="00A057DB" w:rsidP="00A057D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 xml:space="preserve">Asimismo, respecto a las formalidades que deberá llevar el acuerdo de clasificación que deberá emitir el </w:t>
      </w:r>
      <w:r w:rsidRPr="004E209B">
        <w:rPr>
          <w:rFonts w:ascii="Palatino Linotype" w:eastAsia="Palatino Linotype" w:hAnsi="Palatino Linotype" w:cs="Palatino Linotype"/>
          <w:b/>
          <w:sz w:val="24"/>
        </w:rPr>
        <w:t>Sujeto Obligado</w:t>
      </w:r>
      <w:r w:rsidRPr="004E209B">
        <w:rPr>
          <w:rFonts w:ascii="Palatino Linotype" w:eastAsia="Palatino Linotype" w:hAnsi="Palatino Linotype" w:cs="Palatino Linotype"/>
          <w:sz w:val="24"/>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0C9E5FBA"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lastRenderedPageBreak/>
        <w:t xml:space="preserve"> “Quincuagésimo. </w:t>
      </w:r>
      <w:r w:rsidRPr="004E209B">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2CB1825" w14:textId="77777777" w:rsidR="00A057DB" w:rsidRPr="004E209B" w:rsidRDefault="00A057DB" w:rsidP="00F8540F">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 xml:space="preserve">Quincuagésimo primero. </w:t>
      </w:r>
      <w:r w:rsidRPr="004E209B">
        <w:rPr>
          <w:rFonts w:ascii="Palatino Linotype" w:eastAsia="Palatino Linotype" w:hAnsi="Palatino Linotype" w:cs="Palatino Linotype"/>
          <w:i/>
        </w:rPr>
        <w:t xml:space="preserve">Toda acta del Comité de Transparencia deberá contener: </w:t>
      </w:r>
    </w:p>
    <w:p w14:paraId="346A1869" w14:textId="77777777" w:rsidR="00A057DB" w:rsidRPr="004E209B" w:rsidRDefault="00A057DB" w:rsidP="00F8540F">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w:t>
      </w:r>
      <w:r w:rsidRPr="004E209B">
        <w:rPr>
          <w:rFonts w:ascii="Palatino Linotype" w:eastAsia="Palatino Linotype" w:hAnsi="Palatino Linotype" w:cs="Palatino Linotype"/>
          <w:i/>
        </w:rPr>
        <w:t xml:space="preserve"> El número de sesión y fecha; </w:t>
      </w:r>
    </w:p>
    <w:p w14:paraId="65374D3B" w14:textId="77777777" w:rsidR="00A057DB" w:rsidRPr="004E209B" w:rsidRDefault="00A057DB" w:rsidP="00F8540F">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II</w:t>
      </w:r>
      <w:r w:rsidRPr="004E209B">
        <w:rPr>
          <w:rFonts w:ascii="Palatino Linotype" w:eastAsia="Palatino Linotype" w:hAnsi="Palatino Linotype" w:cs="Palatino Linotype"/>
          <w:i/>
        </w:rPr>
        <w:t xml:space="preserve">. El nombre del área que solicitó la clasificación de información; </w:t>
      </w:r>
    </w:p>
    <w:p w14:paraId="159ACF84" w14:textId="77777777" w:rsidR="00A057DB" w:rsidRPr="004E209B" w:rsidRDefault="00A057DB" w:rsidP="00F8540F">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III</w:t>
      </w:r>
      <w:r w:rsidRPr="004E209B">
        <w:rPr>
          <w:rFonts w:ascii="Palatino Linotype" w:eastAsia="Palatino Linotype" w:hAnsi="Palatino Linotype" w:cs="Palatino Linotype"/>
          <w:i/>
        </w:rPr>
        <w:t xml:space="preserve">. La fundamentación legal y motivación correspondiente; </w:t>
      </w:r>
    </w:p>
    <w:p w14:paraId="6F17B0D3" w14:textId="77777777" w:rsidR="00A057DB" w:rsidRPr="004E209B" w:rsidRDefault="00A057DB" w:rsidP="00F8540F">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IV</w:t>
      </w:r>
      <w:r w:rsidRPr="004E209B">
        <w:rPr>
          <w:rFonts w:ascii="Palatino Linotype" w:eastAsia="Palatino Linotype" w:hAnsi="Palatino Linotype" w:cs="Palatino Linotype"/>
          <w:i/>
        </w:rPr>
        <w:t xml:space="preserve">. La resolución o resoluciones aprobadas; y </w:t>
      </w:r>
    </w:p>
    <w:p w14:paraId="7AE77F7E" w14:textId="77777777" w:rsidR="00A057DB" w:rsidRPr="004E209B" w:rsidRDefault="00A057DB" w:rsidP="00F8540F">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V</w:t>
      </w:r>
      <w:r w:rsidRPr="004E209B">
        <w:rPr>
          <w:rFonts w:ascii="Palatino Linotype" w:eastAsia="Palatino Linotype" w:hAnsi="Palatino Linotype" w:cs="Palatino Linotype"/>
          <w:i/>
        </w:rPr>
        <w:t xml:space="preserve">. La rúbrica o firma digital de cada integrante del Comité de Transparencia. </w:t>
      </w:r>
    </w:p>
    <w:p w14:paraId="1E12F3E5" w14:textId="77777777" w:rsidR="00A057DB" w:rsidRPr="004E209B" w:rsidRDefault="00A057DB" w:rsidP="00F8540F">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58235A0D" w14:textId="77777777" w:rsidR="00A057DB" w:rsidRPr="004E209B" w:rsidRDefault="00A057DB" w:rsidP="00F8540F">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w:t>
      </w:r>
      <w:r w:rsidRPr="004E209B">
        <w:rPr>
          <w:rFonts w:ascii="Palatino Linotype" w:eastAsia="Palatino Linotype" w:hAnsi="Palatino Linotype" w:cs="Palatino Linotype"/>
          <w:i/>
        </w:rPr>
        <w:t xml:space="preserve"> Los motivos y razonamientos que sustenten la confirmación o modificación de la prueba de daño;</w:t>
      </w:r>
    </w:p>
    <w:p w14:paraId="5F4297F6" w14:textId="77777777" w:rsidR="00A057DB" w:rsidRPr="004E209B" w:rsidRDefault="00A057DB" w:rsidP="00F8540F">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b/>
          <w:i/>
        </w:rPr>
      </w:pPr>
      <w:r w:rsidRPr="004E209B">
        <w:rPr>
          <w:rFonts w:ascii="Palatino Linotype" w:eastAsia="Palatino Linotype" w:hAnsi="Palatino Linotype" w:cs="Palatino Linotype"/>
          <w:b/>
          <w:i/>
        </w:rPr>
        <w:t>II</w:t>
      </w:r>
      <w:r w:rsidRPr="004E209B">
        <w:rPr>
          <w:rFonts w:ascii="Palatino Linotype" w:eastAsia="Palatino Linotype" w:hAnsi="Palatino Linotype" w:cs="Palatino Linotype"/>
          <w:i/>
        </w:rPr>
        <w:t>. Descripción de las partes o secciones reservadas, en caso de clasificación parcial</w:t>
      </w:r>
      <w:r w:rsidRPr="004E209B">
        <w:rPr>
          <w:rFonts w:ascii="Palatino Linotype" w:eastAsia="Palatino Linotype" w:hAnsi="Palatino Linotype" w:cs="Palatino Linotype"/>
          <w:b/>
          <w:i/>
        </w:rPr>
        <w:t xml:space="preserve">; </w:t>
      </w:r>
    </w:p>
    <w:p w14:paraId="18CCA025" w14:textId="77777777" w:rsidR="00A057DB" w:rsidRPr="004E209B" w:rsidRDefault="00A057DB" w:rsidP="00F8540F">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III.</w:t>
      </w:r>
      <w:r w:rsidRPr="004E209B">
        <w:rPr>
          <w:rFonts w:ascii="Palatino Linotype" w:eastAsia="Palatino Linotype" w:hAnsi="Palatino Linotype" w:cs="Palatino Linotype"/>
          <w:i/>
        </w:rPr>
        <w:t xml:space="preserve"> El periodo por el que mantendrá su clasificación y fecha de expiración; y </w:t>
      </w:r>
    </w:p>
    <w:p w14:paraId="7D2874DE" w14:textId="77777777" w:rsidR="00A057DB" w:rsidRPr="004E209B" w:rsidRDefault="00A057DB" w:rsidP="00F8540F">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IV.</w:t>
      </w:r>
      <w:r w:rsidRPr="004E209B">
        <w:rPr>
          <w:rFonts w:ascii="Palatino Linotype" w:eastAsia="Palatino Linotype" w:hAnsi="Palatino Linotype" w:cs="Palatino Linotype"/>
          <w:i/>
        </w:rPr>
        <w:t xml:space="preserve"> El nombre del titular y área encargada de realizar la versión pública del documento, en su caso. </w:t>
      </w:r>
    </w:p>
    <w:p w14:paraId="14186927" w14:textId="77777777" w:rsidR="00A057DB" w:rsidRPr="004E209B" w:rsidRDefault="00A057DB" w:rsidP="00F8540F">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0786C46E" w14:textId="77777777" w:rsidR="00A057DB" w:rsidRPr="004E209B" w:rsidRDefault="00A057DB" w:rsidP="00F8540F">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582A5978" w14:textId="77777777" w:rsidR="00A057DB" w:rsidRPr="004E209B" w:rsidRDefault="00A057DB" w:rsidP="00A057DB">
      <w:pPr>
        <w:spacing w:before="240" w:after="240" w:line="360" w:lineRule="auto"/>
        <w:jc w:val="both"/>
        <w:rPr>
          <w:rFonts w:ascii="Palatino Linotype" w:eastAsia="Palatino Linotype" w:hAnsi="Palatino Linotype" w:cs="Palatino Linotype"/>
          <w:sz w:val="24"/>
        </w:rPr>
      </w:pPr>
      <w:r w:rsidRPr="004E209B">
        <w:rPr>
          <w:rFonts w:ascii="Palatino Linotype" w:eastAsia="Palatino Linotype" w:hAnsi="Palatino Linotype" w:cs="Palatino Linotype"/>
          <w:sz w:val="24"/>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6BB7428F" w14:textId="77777777" w:rsidR="00A057DB" w:rsidRPr="004E209B" w:rsidRDefault="00A057DB" w:rsidP="00F8540F">
      <w:pPr>
        <w:spacing w:before="120" w:after="120" w:line="240" w:lineRule="auto"/>
        <w:ind w:left="851" w:right="900"/>
        <w:jc w:val="both"/>
        <w:rPr>
          <w:rFonts w:ascii="Palatino Linotype" w:eastAsia="Palatino Linotype" w:hAnsi="Palatino Linotype" w:cs="Palatino Linotype"/>
          <w:i/>
        </w:rPr>
      </w:pPr>
      <w:r w:rsidRPr="004E209B">
        <w:rPr>
          <w:rFonts w:ascii="Palatino Linotype" w:eastAsia="Palatino Linotype" w:hAnsi="Palatino Linotype" w:cs="Palatino Linotype"/>
          <w:i/>
        </w:rPr>
        <w:lastRenderedPageBreak/>
        <w:t>“</w:t>
      </w:r>
      <w:r w:rsidRPr="004E209B">
        <w:rPr>
          <w:rFonts w:ascii="Palatino Linotype" w:eastAsia="Palatino Linotype" w:hAnsi="Palatino Linotype" w:cs="Palatino Linotype"/>
          <w:b/>
          <w:i/>
        </w:rPr>
        <w:t>Quincuagésimo segundo</w:t>
      </w:r>
      <w:r w:rsidRPr="004E209B">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0814C5A" w14:textId="77777777" w:rsidR="00A057DB" w:rsidRPr="004E209B" w:rsidRDefault="00A057DB" w:rsidP="00F8540F">
      <w:pPr>
        <w:spacing w:before="120" w:after="120" w:line="240" w:lineRule="auto"/>
        <w:ind w:left="851" w:right="900"/>
        <w:jc w:val="both"/>
        <w:rPr>
          <w:rFonts w:ascii="Palatino Linotype" w:eastAsia="Palatino Linotype" w:hAnsi="Palatino Linotype" w:cs="Palatino Linotype"/>
          <w:i/>
        </w:rPr>
      </w:pPr>
      <w:r w:rsidRPr="004E209B">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2B5B01D2" w14:textId="77777777" w:rsidR="00A057DB" w:rsidRPr="004E209B" w:rsidRDefault="00A057DB" w:rsidP="00F8540F">
      <w:pPr>
        <w:spacing w:before="120" w:after="120" w:line="240" w:lineRule="auto"/>
        <w:ind w:left="1134" w:right="900"/>
        <w:jc w:val="both"/>
        <w:rPr>
          <w:rFonts w:ascii="Palatino Linotype" w:eastAsia="Palatino Linotype" w:hAnsi="Palatino Linotype" w:cs="Palatino Linotype"/>
          <w:i/>
        </w:rPr>
      </w:pPr>
      <w:r w:rsidRPr="004E209B">
        <w:rPr>
          <w:rFonts w:ascii="Palatino Linotype" w:eastAsia="Palatino Linotype" w:hAnsi="Palatino Linotype" w:cs="Palatino Linotype"/>
          <w:b/>
          <w:i/>
        </w:rPr>
        <w:t>I.</w:t>
      </w:r>
      <w:r w:rsidRPr="004E209B">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5D61A922" w14:textId="77777777" w:rsidR="00A057DB" w:rsidRPr="004E209B" w:rsidRDefault="00A057DB" w:rsidP="00F8540F">
      <w:pPr>
        <w:spacing w:before="120" w:after="120" w:line="240" w:lineRule="auto"/>
        <w:ind w:left="1134" w:right="900"/>
        <w:jc w:val="both"/>
        <w:rPr>
          <w:rFonts w:ascii="Palatino Linotype" w:eastAsia="Palatino Linotype" w:hAnsi="Palatino Linotype" w:cs="Palatino Linotype"/>
          <w:i/>
        </w:rPr>
      </w:pPr>
      <w:r w:rsidRPr="004E209B">
        <w:rPr>
          <w:rFonts w:ascii="Palatino Linotype" w:eastAsia="Palatino Linotype" w:hAnsi="Palatino Linotype" w:cs="Palatino Linotype"/>
          <w:b/>
          <w:i/>
        </w:rPr>
        <w:t>II.</w:t>
      </w:r>
      <w:r w:rsidRPr="004E209B">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06A26103" w14:textId="77777777" w:rsidR="00A057DB" w:rsidRPr="004E209B" w:rsidRDefault="00A057DB" w:rsidP="00F8540F">
      <w:pPr>
        <w:spacing w:before="120" w:after="120" w:line="240" w:lineRule="auto"/>
        <w:ind w:left="1134" w:right="900"/>
        <w:jc w:val="both"/>
        <w:rPr>
          <w:rFonts w:ascii="Palatino Linotype" w:eastAsia="Palatino Linotype" w:hAnsi="Palatino Linotype" w:cs="Palatino Linotype"/>
          <w:i/>
        </w:rPr>
      </w:pPr>
      <w:r w:rsidRPr="004E209B">
        <w:rPr>
          <w:rFonts w:ascii="Palatino Linotype" w:eastAsia="Palatino Linotype" w:hAnsi="Palatino Linotype" w:cs="Palatino Linotype"/>
          <w:b/>
          <w:i/>
        </w:rPr>
        <w:t>III.</w:t>
      </w:r>
      <w:r w:rsidRPr="004E209B">
        <w:rPr>
          <w:rFonts w:ascii="Palatino Linotype" w:eastAsia="Palatino Linotype" w:hAnsi="Palatino Linotype" w:cs="Palatino Linotype"/>
          <w:i/>
        </w:rPr>
        <w:t xml:space="preserve"> Señalar las personas o instancias autorizadas a acceder a la información clasificada.</w:t>
      </w:r>
    </w:p>
    <w:p w14:paraId="1E705389" w14:textId="77777777" w:rsidR="00A057DB" w:rsidRPr="004E209B" w:rsidRDefault="00A057DB" w:rsidP="00F8540F">
      <w:pPr>
        <w:spacing w:before="120" w:after="120" w:line="240" w:lineRule="auto"/>
        <w:ind w:left="851" w:right="900"/>
        <w:jc w:val="both"/>
        <w:rPr>
          <w:rFonts w:ascii="Palatino Linotype" w:eastAsia="Palatino Linotype" w:hAnsi="Palatino Linotype" w:cs="Palatino Linotype"/>
          <w:i/>
        </w:rPr>
      </w:pPr>
      <w:r w:rsidRPr="004E209B">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6415F06" w14:textId="77777777" w:rsidR="00A057DB" w:rsidRPr="004E209B" w:rsidRDefault="00A057DB" w:rsidP="00F8540F">
      <w:pPr>
        <w:pBdr>
          <w:top w:val="nil"/>
          <w:left w:val="nil"/>
          <w:bottom w:val="nil"/>
          <w:right w:val="nil"/>
          <w:between w:val="nil"/>
        </w:pBdr>
        <w:spacing w:before="120" w:after="120" w:line="240" w:lineRule="auto"/>
        <w:ind w:left="851" w:right="900"/>
        <w:jc w:val="both"/>
        <w:rPr>
          <w:rFonts w:ascii="Palatino Linotype" w:eastAsia="Palatino Linotype" w:hAnsi="Palatino Linotype" w:cs="Palatino Linotype"/>
          <w:i/>
        </w:rPr>
      </w:pPr>
      <w:r w:rsidRPr="004E209B">
        <w:rPr>
          <w:rFonts w:ascii="Palatino Linotype" w:eastAsia="Palatino Linotype" w:hAnsi="Palatino Linotype" w:cs="Palatino Linotype"/>
          <w:i/>
        </w:rPr>
        <w:t>…</w:t>
      </w:r>
    </w:p>
    <w:p w14:paraId="24E7421F" w14:textId="77777777" w:rsidR="00A057DB" w:rsidRPr="004E209B" w:rsidRDefault="00A057DB" w:rsidP="00F8540F">
      <w:pPr>
        <w:pBdr>
          <w:top w:val="nil"/>
          <w:left w:val="nil"/>
          <w:bottom w:val="nil"/>
          <w:right w:val="nil"/>
          <w:between w:val="nil"/>
        </w:pBdr>
        <w:spacing w:before="120" w:after="120" w:line="240" w:lineRule="auto"/>
        <w:ind w:left="851" w:right="900"/>
        <w:jc w:val="both"/>
        <w:rPr>
          <w:rFonts w:ascii="Palatino Linotype" w:eastAsia="Palatino Linotype" w:hAnsi="Palatino Linotype" w:cs="Palatino Linotype"/>
          <w:b/>
          <w:i/>
        </w:rPr>
      </w:pPr>
      <w:r w:rsidRPr="004E209B">
        <w:rPr>
          <w:rFonts w:ascii="Palatino Linotype" w:eastAsia="Palatino Linotype" w:hAnsi="Palatino Linotype" w:cs="Palatino Linotype"/>
          <w:b/>
          <w:i/>
        </w:rPr>
        <w:t xml:space="preserve">Quincuagésimo cuarto. </w:t>
      </w:r>
      <w:r w:rsidRPr="004E209B">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4E209B">
        <w:rPr>
          <w:rFonts w:ascii="Palatino Linotype" w:eastAsia="Palatino Linotype" w:hAnsi="Palatino Linotype" w:cs="Palatino Linotype"/>
          <w:b/>
          <w:i/>
        </w:rPr>
        <w:t xml:space="preserve"> </w:t>
      </w:r>
    </w:p>
    <w:p w14:paraId="56E06A0A"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 xml:space="preserve">Quincuagésimo quinto. </w:t>
      </w:r>
      <w:r w:rsidRPr="004E209B">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4E209B">
        <w:rPr>
          <w:rFonts w:ascii="Palatino Linotype" w:eastAsia="Palatino Linotype" w:hAnsi="Palatino Linotype" w:cs="Palatino Linotype"/>
          <w:i/>
        </w:rPr>
        <w:t>testado</w:t>
      </w:r>
      <w:proofErr w:type="spellEnd"/>
      <w:r w:rsidRPr="004E209B">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7A50E61C"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b/>
          <w:i/>
        </w:rPr>
      </w:pPr>
      <w:r w:rsidRPr="004E209B">
        <w:rPr>
          <w:rFonts w:ascii="Palatino Linotype" w:eastAsia="Palatino Linotype" w:hAnsi="Palatino Linotype" w:cs="Palatino Linotype"/>
          <w:b/>
          <w:i/>
        </w:rPr>
        <w:t>...</w:t>
      </w:r>
    </w:p>
    <w:p w14:paraId="0C98B045"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lastRenderedPageBreak/>
        <w:t>Quincuagésimo séptimo</w:t>
      </w:r>
      <w:r w:rsidRPr="004E209B">
        <w:rPr>
          <w:rFonts w:ascii="Palatino Linotype" w:eastAsia="Palatino Linotype" w:hAnsi="Palatino Linotype" w:cs="Palatino Linotype"/>
          <w:i/>
        </w:rPr>
        <w:t xml:space="preserve">. Se considera, en principio, como información pública y no podrá omitirse de las versiones públicas la siguiente: </w:t>
      </w:r>
    </w:p>
    <w:p w14:paraId="58AEF05A" w14:textId="77777777" w:rsidR="00A057DB" w:rsidRPr="004E209B" w:rsidRDefault="00A057DB" w:rsidP="00F8540F">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w:t>
      </w:r>
      <w:r w:rsidRPr="004E209B">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4A4789C2" w14:textId="77777777" w:rsidR="00A057DB" w:rsidRPr="004E209B" w:rsidRDefault="00A057DB" w:rsidP="00F8540F">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II.</w:t>
      </w:r>
      <w:r w:rsidRPr="004E209B">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357CA1E2" w14:textId="77777777" w:rsidR="00A057DB" w:rsidRPr="004E209B" w:rsidRDefault="00A057DB" w:rsidP="00F8540F">
      <w:pPr>
        <w:spacing w:before="120" w:after="120" w:line="240" w:lineRule="auto"/>
        <w:ind w:left="1134"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III</w:t>
      </w:r>
      <w:r w:rsidRPr="004E209B">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95B1CBE"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076A5D00" w14:textId="77777777" w:rsidR="00A057DB" w:rsidRPr="004E209B" w:rsidRDefault="00A057DB" w:rsidP="00F8540F">
      <w:pPr>
        <w:spacing w:before="120" w:after="120" w:line="240" w:lineRule="auto"/>
        <w:ind w:left="851" w:right="902"/>
        <w:jc w:val="both"/>
        <w:rPr>
          <w:rFonts w:ascii="Palatino Linotype" w:eastAsia="Palatino Linotype" w:hAnsi="Palatino Linotype" w:cs="Palatino Linotype"/>
          <w:i/>
        </w:rPr>
      </w:pPr>
      <w:r w:rsidRPr="004E209B">
        <w:rPr>
          <w:rFonts w:ascii="Palatino Linotype" w:eastAsia="Palatino Linotype" w:hAnsi="Palatino Linotype" w:cs="Palatino Linotype"/>
          <w:b/>
          <w:i/>
        </w:rPr>
        <w:t>Quincuagésimo octavo</w:t>
      </w:r>
      <w:r w:rsidRPr="004E209B">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1CA2152D" w14:textId="4E2F3FC0" w:rsidR="00C2297E" w:rsidRPr="004E209B" w:rsidRDefault="009339EB">
      <w:p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Así, con fundamento en lo prescrito en los artículos 5 párrafos trigésimo tercero, trigésimo cuarto y trigésimo quinto de la Constitución Política del Estado Libre y Soberano de México; 2, fracción II; 29, 36 fracciones I y II; 176, 178, 181, 185, fracción I, 186 y 188 de la Ley de Transparencia y Acceso a la Información Pública del Estado de México y Municipios, este Pleno:</w:t>
      </w:r>
    </w:p>
    <w:p w14:paraId="1113287B" w14:textId="77777777" w:rsidR="00C2297E" w:rsidRPr="004E209B" w:rsidRDefault="009339EB">
      <w:pPr>
        <w:pBdr>
          <w:top w:val="nil"/>
          <w:left w:val="nil"/>
          <w:bottom w:val="nil"/>
          <w:right w:val="nil"/>
          <w:between w:val="nil"/>
        </w:pBdr>
        <w:spacing w:before="280" w:after="280" w:line="360" w:lineRule="auto"/>
        <w:jc w:val="center"/>
        <w:rPr>
          <w:rFonts w:ascii="Palatino Linotype" w:eastAsia="Palatino Linotype" w:hAnsi="Palatino Linotype" w:cs="Palatino Linotype"/>
          <w:b/>
          <w:sz w:val="24"/>
          <w:szCs w:val="24"/>
        </w:rPr>
      </w:pPr>
      <w:r w:rsidRPr="004E209B">
        <w:rPr>
          <w:rFonts w:ascii="Palatino Linotype" w:eastAsia="Palatino Linotype" w:hAnsi="Palatino Linotype" w:cs="Palatino Linotype"/>
          <w:b/>
          <w:sz w:val="24"/>
          <w:szCs w:val="24"/>
        </w:rPr>
        <w:t>III. R E S U E L V E:</w:t>
      </w:r>
    </w:p>
    <w:p w14:paraId="2704B4F3" w14:textId="6A438BF7" w:rsidR="00C2297E" w:rsidRPr="004E209B" w:rsidRDefault="009339EB">
      <w:pPr>
        <w:spacing w:line="360" w:lineRule="auto"/>
        <w:jc w:val="both"/>
        <w:rPr>
          <w:rFonts w:ascii="Palatino Linotype" w:eastAsia="Palatino Linotype" w:hAnsi="Palatino Linotype" w:cs="Palatino Linotype"/>
          <w:b/>
          <w:sz w:val="24"/>
          <w:szCs w:val="24"/>
        </w:rPr>
      </w:pPr>
      <w:bookmarkStart w:id="4" w:name="_heading=h.3rdcrjn" w:colFirst="0" w:colLast="0"/>
      <w:bookmarkEnd w:id="4"/>
      <w:r w:rsidRPr="004E209B">
        <w:rPr>
          <w:rFonts w:ascii="Palatino Linotype" w:eastAsia="Palatino Linotype" w:hAnsi="Palatino Linotype" w:cs="Palatino Linotype"/>
          <w:b/>
          <w:sz w:val="24"/>
          <w:szCs w:val="24"/>
        </w:rPr>
        <w:t xml:space="preserve">Primero. </w:t>
      </w:r>
      <w:r w:rsidRPr="004E209B">
        <w:rPr>
          <w:rFonts w:ascii="Palatino Linotype" w:eastAsia="Palatino Linotype" w:hAnsi="Palatino Linotype" w:cs="Palatino Linotype"/>
          <w:sz w:val="24"/>
          <w:szCs w:val="24"/>
        </w:rPr>
        <w:t>Resultan</w:t>
      </w:r>
      <w:r w:rsidRPr="004E209B">
        <w:rPr>
          <w:rFonts w:ascii="Palatino Linotype" w:eastAsia="Palatino Linotype" w:hAnsi="Palatino Linotype" w:cs="Palatino Linotype"/>
          <w:b/>
          <w:sz w:val="24"/>
          <w:szCs w:val="24"/>
        </w:rPr>
        <w:t xml:space="preserve"> </w:t>
      </w:r>
      <w:r w:rsidR="007A1EA5" w:rsidRPr="004E209B">
        <w:rPr>
          <w:rFonts w:ascii="Palatino Linotype" w:eastAsia="Palatino Linotype" w:hAnsi="Palatino Linotype" w:cs="Palatino Linotype"/>
          <w:b/>
          <w:sz w:val="24"/>
          <w:szCs w:val="24"/>
        </w:rPr>
        <w:t xml:space="preserve">parcialmente </w:t>
      </w:r>
      <w:r w:rsidRPr="004E209B">
        <w:rPr>
          <w:rFonts w:ascii="Palatino Linotype" w:eastAsia="Palatino Linotype" w:hAnsi="Palatino Linotype" w:cs="Palatino Linotype"/>
          <w:b/>
          <w:sz w:val="24"/>
          <w:szCs w:val="24"/>
        </w:rPr>
        <w:t>fundados</w:t>
      </w:r>
      <w:r w:rsidRPr="004E209B">
        <w:rPr>
          <w:rFonts w:ascii="Palatino Linotype" w:eastAsia="Palatino Linotype" w:hAnsi="Palatino Linotype" w:cs="Palatino Linotype"/>
          <w:sz w:val="24"/>
          <w:szCs w:val="24"/>
        </w:rPr>
        <w:t xml:space="preserve"> los motivos de inconformidad hechos valer por la parte </w:t>
      </w:r>
      <w:r w:rsidRPr="004E209B">
        <w:rPr>
          <w:rFonts w:ascii="Palatino Linotype" w:eastAsia="Palatino Linotype" w:hAnsi="Palatino Linotype" w:cs="Palatino Linotype"/>
          <w:b/>
          <w:sz w:val="24"/>
          <w:szCs w:val="24"/>
        </w:rPr>
        <w:t xml:space="preserve">Recurrente </w:t>
      </w:r>
      <w:r w:rsidRPr="004E209B">
        <w:rPr>
          <w:rFonts w:ascii="Palatino Linotype" w:eastAsia="Palatino Linotype" w:hAnsi="Palatino Linotype" w:cs="Palatino Linotype"/>
          <w:sz w:val="24"/>
          <w:szCs w:val="24"/>
        </w:rPr>
        <w:t xml:space="preserve">en los recursos de revisión </w:t>
      </w:r>
      <w:r w:rsidRPr="004E209B">
        <w:rPr>
          <w:rFonts w:ascii="Palatino Linotype" w:eastAsia="Palatino Linotype" w:hAnsi="Palatino Linotype" w:cs="Palatino Linotype"/>
          <w:b/>
          <w:sz w:val="24"/>
          <w:szCs w:val="24"/>
        </w:rPr>
        <w:t>0</w:t>
      </w:r>
      <w:r w:rsidR="007A1EA5" w:rsidRPr="004E209B">
        <w:rPr>
          <w:rFonts w:ascii="Palatino Linotype" w:eastAsia="Palatino Linotype" w:hAnsi="Palatino Linotype" w:cs="Palatino Linotype"/>
          <w:b/>
          <w:sz w:val="24"/>
          <w:szCs w:val="24"/>
        </w:rPr>
        <w:t xml:space="preserve">6859/INFOEM/IP/RR/2024, 06860/INFOEM/IP/RR/2024 </w:t>
      </w:r>
      <w:r w:rsidRPr="004E209B">
        <w:rPr>
          <w:rFonts w:ascii="Palatino Linotype" w:eastAsia="Palatino Linotype" w:hAnsi="Palatino Linotype" w:cs="Palatino Linotype"/>
          <w:sz w:val="24"/>
          <w:szCs w:val="24"/>
        </w:rPr>
        <w:t xml:space="preserve">y </w:t>
      </w:r>
      <w:r w:rsidR="007A1EA5" w:rsidRPr="004E209B">
        <w:rPr>
          <w:rFonts w:ascii="Palatino Linotype" w:eastAsia="Palatino Linotype" w:hAnsi="Palatino Linotype" w:cs="Palatino Linotype"/>
          <w:b/>
          <w:sz w:val="24"/>
          <w:szCs w:val="24"/>
        </w:rPr>
        <w:lastRenderedPageBreak/>
        <w:t>06861/INFOEM/IP/RR/2024</w:t>
      </w:r>
      <w:r w:rsidRPr="004E209B">
        <w:rPr>
          <w:rFonts w:ascii="Palatino Linotype" w:eastAsia="Palatino Linotype" w:hAnsi="Palatino Linotype" w:cs="Palatino Linotype"/>
          <w:b/>
          <w:sz w:val="24"/>
          <w:szCs w:val="24"/>
        </w:rPr>
        <w:t xml:space="preserve">, </w:t>
      </w:r>
      <w:r w:rsidRPr="004E209B">
        <w:rPr>
          <w:rFonts w:ascii="Palatino Linotype" w:eastAsia="Palatino Linotype" w:hAnsi="Palatino Linotype" w:cs="Palatino Linotype"/>
          <w:sz w:val="24"/>
          <w:szCs w:val="24"/>
        </w:rPr>
        <w:t xml:space="preserve">por lo que, en términos del Considerando </w:t>
      </w:r>
      <w:r w:rsidRPr="004E209B">
        <w:rPr>
          <w:rFonts w:ascii="Palatino Linotype" w:eastAsia="Palatino Linotype" w:hAnsi="Palatino Linotype" w:cs="Palatino Linotype"/>
          <w:b/>
          <w:sz w:val="24"/>
          <w:szCs w:val="24"/>
        </w:rPr>
        <w:t>Cuarto</w:t>
      </w:r>
      <w:r w:rsidRPr="004E209B">
        <w:rPr>
          <w:rFonts w:ascii="Palatino Linotype" w:eastAsia="Palatino Linotype" w:hAnsi="Palatino Linotype" w:cs="Palatino Linotype"/>
          <w:sz w:val="24"/>
          <w:szCs w:val="24"/>
        </w:rPr>
        <w:t xml:space="preserve"> de la presente resolución, se</w:t>
      </w:r>
      <w:r w:rsidRPr="004E209B">
        <w:rPr>
          <w:rFonts w:ascii="Palatino Linotype" w:eastAsia="Palatino Linotype" w:hAnsi="Palatino Linotype" w:cs="Palatino Linotype"/>
          <w:b/>
          <w:sz w:val="24"/>
          <w:szCs w:val="24"/>
        </w:rPr>
        <w:t xml:space="preserve"> </w:t>
      </w:r>
      <w:r w:rsidR="00947041" w:rsidRPr="004E209B">
        <w:rPr>
          <w:rFonts w:ascii="Palatino Linotype" w:eastAsia="Palatino Linotype" w:hAnsi="Palatino Linotype" w:cs="Palatino Linotype"/>
          <w:b/>
          <w:sz w:val="24"/>
          <w:szCs w:val="24"/>
        </w:rPr>
        <w:t>Revocan</w:t>
      </w:r>
      <w:r w:rsidRPr="004E209B">
        <w:rPr>
          <w:rFonts w:ascii="Palatino Linotype" w:eastAsia="Palatino Linotype" w:hAnsi="Palatino Linotype" w:cs="Palatino Linotype"/>
          <w:b/>
          <w:sz w:val="24"/>
          <w:szCs w:val="24"/>
        </w:rPr>
        <w:t xml:space="preserve"> </w:t>
      </w:r>
      <w:r w:rsidRPr="004E209B">
        <w:rPr>
          <w:rFonts w:ascii="Palatino Linotype" w:eastAsia="Palatino Linotype" w:hAnsi="Palatino Linotype" w:cs="Palatino Linotype"/>
          <w:sz w:val="24"/>
          <w:szCs w:val="24"/>
        </w:rPr>
        <w:t>las respuestas</w:t>
      </w:r>
      <w:r w:rsidRPr="004E209B">
        <w:rPr>
          <w:rFonts w:ascii="Palatino Linotype" w:eastAsia="Palatino Linotype" w:hAnsi="Palatino Linotype" w:cs="Palatino Linotype"/>
          <w:b/>
          <w:sz w:val="24"/>
          <w:szCs w:val="24"/>
        </w:rPr>
        <w:t xml:space="preserve"> </w:t>
      </w:r>
      <w:r w:rsidRPr="004E209B">
        <w:rPr>
          <w:rFonts w:ascii="Palatino Linotype" w:eastAsia="Palatino Linotype" w:hAnsi="Palatino Linotype" w:cs="Palatino Linotype"/>
          <w:sz w:val="24"/>
          <w:szCs w:val="24"/>
        </w:rPr>
        <w:t xml:space="preserve">del </w:t>
      </w:r>
      <w:r w:rsidRPr="004E209B">
        <w:rPr>
          <w:rFonts w:ascii="Palatino Linotype" w:eastAsia="Palatino Linotype" w:hAnsi="Palatino Linotype" w:cs="Palatino Linotype"/>
          <w:b/>
          <w:sz w:val="24"/>
          <w:szCs w:val="24"/>
        </w:rPr>
        <w:t>Sujeto Obligado.</w:t>
      </w:r>
    </w:p>
    <w:p w14:paraId="7A9EA5F1" w14:textId="7ACB3FD2" w:rsidR="00C2297E" w:rsidRPr="004E209B" w:rsidRDefault="009339EB">
      <w:pPr>
        <w:spacing w:line="360" w:lineRule="auto"/>
        <w:jc w:val="both"/>
        <w:rPr>
          <w:rFonts w:ascii="Palatino Linotype" w:eastAsia="Palatino Linotype" w:hAnsi="Palatino Linotype" w:cs="Palatino Linotype"/>
          <w:sz w:val="24"/>
          <w:szCs w:val="24"/>
        </w:rPr>
      </w:pPr>
      <w:bookmarkStart w:id="5" w:name="_heading=h.17dp8vu" w:colFirst="0" w:colLast="0"/>
      <w:bookmarkEnd w:id="5"/>
      <w:r w:rsidRPr="004E209B">
        <w:rPr>
          <w:rFonts w:ascii="Palatino Linotype" w:eastAsia="Palatino Linotype" w:hAnsi="Palatino Linotype" w:cs="Palatino Linotype"/>
          <w:b/>
          <w:sz w:val="24"/>
          <w:szCs w:val="24"/>
        </w:rPr>
        <w:t xml:space="preserve">Segundo. </w:t>
      </w:r>
      <w:r w:rsidRPr="004E209B">
        <w:rPr>
          <w:rFonts w:ascii="Palatino Linotype" w:eastAsia="Palatino Linotype" w:hAnsi="Palatino Linotype" w:cs="Palatino Linotype"/>
          <w:sz w:val="24"/>
          <w:szCs w:val="24"/>
        </w:rPr>
        <w:t xml:space="preserve">Se </w:t>
      </w:r>
      <w:r w:rsidRPr="004E209B">
        <w:rPr>
          <w:rFonts w:ascii="Palatino Linotype" w:eastAsia="Palatino Linotype" w:hAnsi="Palatino Linotype" w:cs="Palatino Linotype"/>
          <w:b/>
          <w:sz w:val="24"/>
          <w:szCs w:val="24"/>
        </w:rPr>
        <w:t>Ordena</w:t>
      </w:r>
      <w:r w:rsidRPr="004E209B">
        <w:rPr>
          <w:rFonts w:ascii="Palatino Linotype" w:eastAsia="Palatino Linotype" w:hAnsi="Palatino Linotype" w:cs="Palatino Linotype"/>
          <w:sz w:val="24"/>
          <w:szCs w:val="24"/>
        </w:rPr>
        <w:t xml:space="preserve"> al </w:t>
      </w:r>
      <w:r w:rsidRPr="004E209B">
        <w:rPr>
          <w:rFonts w:ascii="Palatino Linotype" w:eastAsia="Palatino Linotype" w:hAnsi="Palatino Linotype" w:cs="Palatino Linotype"/>
          <w:b/>
          <w:sz w:val="24"/>
          <w:szCs w:val="24"/>
        </w:rPr>
        <w:t>Sujeto Obligado</w:t>
      </w:r>
      <w:r w:rsidRPr="004E209B">
        <w:rPr>
          <w:rFonts w:ascii="Palatino Linotype" w:eastAsia="Palatino Linotype" w:hAnsi="Palatino Linotype" w:cs="Palatino Linotype"/>
          <w:sz w:val="24"/>
          <w:szCs w:val="24"/>
        </w:rPr>
        <w:t xml:space="preserve">, en términos de los Considerandos </w:t>
      </w:r>
      <w:r w:rsidRPr="004E209B">
        <w:rPr>
          <w:rFonts w:ascii="Palatino Linotype" w:eastAsia="Palatino Linotype" w:hAnsi="Palatino Linotype" w:cs="Palatino Linotype"/>
          <w:b/>
          <w:sz w:val="24"/>
          <w:szCs w:val="24"/>
        </w:rPr>
        <w:t xml:space="preserve">Cuarto y Quinto </w:t>
      </w:r>
      <w:r w:rsidRPr="004E209B">
        <w:rPr>
          <w:rFonts w:ascii="Palatino Linotype" w:eastAsia="Palatino Linotype" w:hAnsi="Palatino Linotype" w:cs="Palatino Linotype"/>
          <w:sz w:val="24"/>
          <w:szCs w:val="24"/>
        </w:rPr>
        <w:t>de</w:t>
      </w:r>
      <w:r w:rsidR="007A1EA5" w:rsidRPr="004E209B">
        <w:rPr>
          <w:rFonts w:ascii="Palatino Linotype" w:eastAsia="Palatino Linotype" w:hAnsi="Palatino Linotype" w:cs="Palatino Linotype"/>
          <w:sz w:val="24"/>
          <w:szCs w:val="24"/>
        </w:rPr>
        <w:t xml:space="preserve"> esta resolución, haga entrega </w:t>
      </w:r>
      <w:r w:rsidRPr="004E209B">
        <w:rPr>
          <w:rFonts w:ascii="Palatino Linotype" w:eastAsia="Palatino Linotype" w:hAnsi="Palatino Linotype" w:cs="Palatino Linotype"/>
          <w:sz w:val="24"/>
          <w:szCs w:val="24"/>
        </w:rPr>
        <w:t>vía SAIMEX,</w:t>
      </w:r>
      <w:r w:rsidR="007A1EA5" w:rsidRPr="004E209B">
        <w:rPr>
          <w:rFonts w:ascii="Palatino Linotype" w:eastAsia="Palatino Linotype" w:hAnsi="Palatino Linotype" w:cs="Palatino Linotype"/>
          <w:sz w:val="24"/>
          <w:szCs w:val="24"/>
        </w:rPr>
        <w:t xml:space="preserve"> previa búsqueda exhaustiva y razonable, </w:t>
      </w:r>
      <w:r w:rsidRPr="004E209B">
        <w:rPr>
          <w:rFonts w:ascii="Palatino Linotype" w:eastAsia="Palatino Linotype" w:hAnsi="Palatino Linotype" w:cs="Palatino Linotype"/>
          <w:sz w:val="24"/>
          <w:szCs w:val="24"/>
        </w:rPr>
        <w:t xml:space="preserve">de ser procedente en versión pública, </w:t>
      </w:r>
      <w:r w:rsidR="007A1EA5" w:rsidRPr="004E209B">
        <w:rPr>
          <w:rFonts w:ascii="Palatino Linotype" w:eastAsia="Palatino Linotype" w:hAnsi="Palatino Linotype" w:cs="Palatino Linotype"/>
          <w:sz w:val="24"/>
          <w:szCs w:val="24"/>
        </w:rPr>
        <w:t xml:space="preserve">de </w:t>
      </w:r>
      <w:r w:rsidRPr="004E209B">
        <w:rPr>
          <w:rFonts w:ascii="Palatino Linotype" w:eastAsia="Palatino Linotype" w:hAnsi="Palatino Linotype" w:cs="Palatino Linotype"/>
          <w:sz w:val="24"/>
          <w:szCs w:val="24"/>
        </w:rPr>
        <w:t>lo siguiente:</w:t>
      </w:r>
    </w:p>
    <w:p w14:paraId="51E7CD56" w14:textId="0F92AD80" w:rsidR="003C21DA" w:rsidRPr="004E209B" w:rsidRDefault="003C21DA" w:rsidP="003C21DA">
      <w:pPr>
        <w:spacing w:line="360" w:lineRule="auto"/>
        <w:ind w:left="284"/>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De la adquisición de gasolina y </w:t>
      </w:r>
      <w:r w:rsidR="001204C1" w:rsidRPr="004E209B">
        <w:rPr>
          <w:rFonts w:ascii="Palatino Linotype" w:eastAsia="Palatino Linotype" w:hAnsi="Palatino Linotype" w:cs="Palatino Linotype"/>
          <w:sz w:val="24"/>
          <w:szCs w:val="24"/>
        </w:rPr>
        <w:t>Diésel</w:t>
      </w:r>
      <w:r w:rsidRPr="004E209B">
        <w:rPr>
          <w:rFonts w:ascii="Palatino Linotype" w:eastAsia="Palatino Linotype" w:hAnsi="Palatino Linotype" w:cs="Palatino Linotype"/>
          <w:sz w:val="24"/>
          <w:szCs w:val="24"/>
        </w:rPr>
        <w:t xml:space="preserve"> para los vehículos municipales del uno de enero de dos mil veintidós al ocho de octubre de dos mil veinticuatro:</w:t>
      </w:r>
    </w:p>
    <w:p w14:paraId="3350FC52" w14:textId="796C1570" w:rsidR="00C2297E" w:rsidRPr="004E209B" w:rsidRDefault="003C21DA" w:rsidP="004F082A">
      <w:pPr>
        <w:pStyle w:val="Prrafodelista"/>
        <w:numPr>
          <w:ilvl w:val="0"/>
          <w:numId w:val="10"/>
        </w:num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Pólizas de egresos, facturas y documentos respaldo del gasto erogado.</w:t>
      </w:r>
    </w:p>
    <w:p w14:paraId="0916B3C9" w14:textId="21DFA481" w:rsidR="001204C1" w:rsidRPr="004E209B" w:rsidRDefault="001204C1" w:rsidP="004F082A">
      <w:pPr>
        <w:pStyle w:val="Prrafodelista"/>
        <w:numPr>
          <w:ilvl w:val="0"/>
          <w:numId w:val="10"/>
        </w:numPr>
        <w:spacing w:before="240" w:after="240" w:line="360" w:lineRule="auto"/>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Documento en el conste el gasto total ejercido, por mes.</w:t>
      </w:r>
    </w:p>
    <w:p w14:paraId="47B5BE2D" w14:textId="625C4709" w:rsidR="00C2297E" w:rsidRPr="004E209B" w:rsidRDefault="009339EB">
      <w:pPr>
        <w:spacing w:before="120" w:after="120" w:line="240" w:lineRule="auto"/>
        <w:ind w:left="425"/>
        <w:jc w:val="both"/>
        <w:rPr>
          <w:rFonts w:ascii="Palatino Linotype" w:eastAsia="Palatino Linotype" w:hAnsi="Palatino Linotype" w:cs="Palatino Linotype"/>
          <w:i/>
          <w:sz w:val="20"/>
          <w:szCs w:val="20"/>
        </w:rPr>
      </w:pPr>
      <w:r w:rsidRPr="004E209B">
        <w:rPr>
          <w:rFonts w:ascii="Palatino Linotype" w:eastAsia="Palatino Linotype" w:hAnsi="Palatino Linotype" w:cs="Palatino Linotype"/>
          <w:i/>
          <w:sz w:val="20"/>
          <w:szCs w:val="20"/>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4E209B">
        <w:rPr>
          <w:rFonts w:ascii="Palatino Linotype" w:eastAsia="Palatino Linotype" w:hAnsi="Palatino Linotype" w:cs="Palatino Linotype"/>
          <w:b/>
          <w:i/>
          <w:sz w:val="20"/>
          <w:szCs w:val="20"/>
        </w:rPr>
        <w:t>Recurrente</w:t>
      </w:r>
      <w:r w:rsidRPr="004E209B">
        <w:rPr>
          <w:rFonts w:ascii="Palatino Linotype" w:eastAsia="Palatino Linotype" w:hAnsi="Palatino Linotype" w:cs="Palatino Linotype"/>
          <w:i/>
          <w:sz w:val="20"/>
          <w:szCs w:val="20"/>
        </w:rPr>
        <w:t>,</w:t>
      </w:r>
      <w:r w:rsidR="00DC71B3" w:rsidRPr="004E209B">
        <w:rPr>
          <w:rFonts w:ascii="Palatino Linotype" w:eastAsia="Palatino Linotype" w:hAnsi="Palatino Linotype" w:cs="Palatino Linotype"/>
          <w:i/>
          <w:sz w:val="20"/>
          <w:szCs w:val="20"/>
        </w:rPr>
        <w:t xml:space="preserve"> </w:t>
      </w:r>
      <w:r w:rsidRPr="004E209B">
        <w:rPr>
          <w:rFonts w:ascii="Palatino Linotype" w:eastAsia="Palatino Linotype" w:hAnsi="Palatino Linotype" w:cs="Palatino Linotype"/>
          <w:i/>
          <w:sz w:val="20"/>
          <w:szCs w:val="20"/>
        </w:rPr>
        <w:t>en términos de los artículos 49, fracción VIII, de la Ley de Transparencia y Acceso a la Información Pública del Estado de México y Municipios.</w:t>
      </w:r>
    </w:p>
    <w:p w14:paraId="2FDA8733" w14:textId="663F1BA8" w:rsidR="00991326" w:rsidRPr="004E209B" w:rsidRDefault="00991326" w:rsidP="00991326">
      <w:pPr>
        <w:spacing w:before="120" w:after="120" w:line="240" w:lineRule="auto"/>
        <w:ind w:left="425"/>
        <w:jc w:val="both"/>
        <w:rPr>
          <w:rFonts w:ascii="Palatino Linotype" w:eastAsia="Palatino Linotype" w:hAnsi="Palatino Linotype" w:cs="Palatino Linotype"/>
          <w:i/>
          <w:sz w:val="20"/>
          <w:szCs w:val="20"/>
        </w:rPr>
      </w:pPr>
      <w:r w:rsidRPr="004E209B">
        <w:rPr>
          <w:rFonts w:ascii="Palatino Linotype" w:eastAsia="Palatino Linotype" w:hAnsi="Palatino Linotype" w:cs="Palatino Linotype"/>
          <w:i/>
          <w:sz w:val="20"/>
          <w:szCs w:val="20"/>
        </w:rPr>
        <w:t xml:space="preserve">En el supuesto que no se llegara a localizar la información que se ordena en el punto 2, respecto de algún mes, por no haberse generado información, bastará con que así se haga del conocimiento de la parte </w:t>
      </w:r>
      <w:r w:rsidRPr="004E209B">
        <w:rPr>
          <w:rFonts w:ascii="Palatino Linotype" w:eastAsia="Palatino Linotype" w:hAnsi="Palatino Linotype" w:cs="Palatino Linotype"/>
          <w:b/>
          <w:i/>
          <w:sz w:val="20"/>
          <w:szCs w:val="20"/>
        </w:rPr>
        <w:t>Recurrente</w:t>
      </w:r>
      <w:r w:rsidRPr="004E209B">
        <w:rPr>
          <w:rFonts w:ascii="Palatino Linotype" w:eastAsia="Palatino Linotype" w:hAnsi="Palatino Linotype" w:cs="Palatino Linotype"/>
          <w:i/>
          <w:sz w:val="20"/>
          <w:szCs w:val="20"/>
        </w:rPr>
        <w:t xml:space="preserve"> en términos del artículo 19, párrafo segundo de la Ley de Transparencia y Acceso a la Información Pública del Estado de México y Municipios, para tener por colmados los requerimientos de información.</w:t>
      </w:r>
    </w:p>
    <w:p w14:paraId="17CE5CB2" w14:textId="77777777" w:rsidR="00C2297E" w:rsidRPr="004E209B" w:rsidRDefault="009339EB">
      <w:pPr>
        <w:spacing w:before="240" w:after="240" w:line="360" w:lineRule="auto"/>
        <w:ind w:right="51"/>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Tercero.</w:t>
      </w:r>
      <w:r w:rsidRPr="004E209B">
        <w:rPr>
          <w:rFonts w:ascii="Palatino Linotype" w:eastAsia="Palatino Linotype" w:hAnsi="Palatino Linotype" w:cs="Palatino Linotype"/>
          <w:sz w:val="24"/>
          <w:szCs w:val="24"/>
        </w:rPr>
        <w:t xml:space="preserve"> </w:t>
      </w:r>
      <w:r w:rsidRPr="004E209B">
        <w:rPr>
          <w:rFonts w:ascii="Palatino Linotype" w:eastAsia="Palatino Linotype" w:hAnsi="Palatino Linotype" w:cs="Palatino Linotype"/>
          <w:b/>
          <w:sz w:val="24"/>
          <w:szCs w:val="24"/>
        </w:rPr>
        <w:t xml:space="preserve">Notifíquese vía SAIMEX </w:t>
      </w:r>
      <w:r w:rsidRPr="004E209B">
        <w:rPr>
          <w:rFonts w:ascii="Palatino Linotype" w:eastAsia="Palatino Linotype" w:hAnsi="Palatino Linotype" w:cs="Palatino Linotype"/>
          <w:sz w:val="24"/>
          <w:szCs w:val="24"/>
        </w:rPr>
        <w:t>la presente resolución al T</w:t>
      </w:r>
      <w:r w:rsidRPr="004E209B">
        <w:rPr>
          <w:rFonts w:ascii="Palatino Linotype" w:eastAsia="Palatino Linotype" w:hAnsi="Palatino Linotype" w:cs="Palatino Linotype"/>
          <w:b/>
          <w:sz w:val="24"/>
          <w:szCs w:val="24"/>
        </w:rPr>
        <w:t xml:space="preserve">itular de la Unidad de Transparencia </w:t>
      </w:r>
      <w:r w:rsidRPr="004E209B">
        <w:rPr>
          <w:rFonts w:ascii="Palatino Linotype" w:eastAsia="Palatino Linotype" w:hAnsi="Palatino Linotype" w:cs="Palatino Linotype"/>
          <w:sz w:val="24"/>
          <w:szCs w:val="24"/>
        </w:rPr>
        <w:t xml:space="preserve">del </w:t>
      </w:r>
      <w:r w:rsidRPr="004E209B">
        <w:rPr>
          <w:rFonts w:ascii="Palatino Linotype" w:eastAsia="Palatino Linotype" w:hAnsi="Palatino Linotype" w:cs="Palatino Linotype"/>
          <w:b/>
          <w:sz w:val="24"/>
          <w:szCs w:val="24"/>
        </w:rPr>
        <w:t>Sujeto Obligado</w:t>
      </w:r>
      <w:r w:rsidRPr="004E209B">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w:t>
      </w:r>
      <w:r w:rsidRPr="004E209B">
        <w:rPr>
          <w:rFonts w:ascii="Palatino Linotype" w:eastAsia="Palatino Linotype" w:hAnsi="Palatino Linotype" w:cs="Palatino Linotype"/>
          <w:sz w:val="24"/>
          <w:szCs w:val="24"/>
        </w:rPr>
        <w:lastRenderedPageBreak/>
        <w:t>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C6E610" w14:textId="77777777" w:rsidR="00C2297E" w:rsidRPr="004E209B" w:rsidRDefault="009339EB">
      <w:pPr>
        <w:spacing w:before="240" w:after="240" w:line="360" w:lineRule="auto"/>
        <w:ind w:right="51"/>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4E209B">
        <w:rPr>
          <w:rFonts w:ascii="Palatino Linotype" w:eastAsia="Palatino Linotype" w:hAnsi="Palatino Linotype" w:cs="Palatino Linotype"/>
          <w:b/>
          <w:sz w:val="24"/>
          <w:szCs w:val="24"/>
        </w:rPr>
        <w:t>Sujeto Obligado</w:t>
      </w:r>
      <w:r w:rsidRPr="004E209B">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374E602" w14:textId="77777777" w:rsidR="00C2297E" w:rsidRPr="004E209B" w:rsidRDefault="009339EB">
      <w:pPr>
        <w:spacing w:before="240" w:after="240" w:line="360" w:lineRule="auto"/>
        <w:ind w:right="51"/>
        <w:jc w:val="both"/>
        <w:rPr>
          <w:rFonts w:ascii="Palatino Linotype" w:eastAsia="Palatino Linotype" w:hAnsi="Palatino Linotype" w:cs="Palatino Linotype"/>
          <w:sz w:val="24"/>
          <w:szCs w:val="24"/>
        </w:rPr>
      </w:pPr>
      <w:r w:rsidRPr="004E209B">
        <w:rPr>
          <w:rFonts w:ascii="Palatino Linotype" w:eastAsia="Palatino Linotype" w:hAnsi="Palatino Linotype" w:cs="Palatino Linotype"/>
          <w:b/>
          <w:sz w:val="24"/>
          <w:szCs w:val="24"/>
        </w:rPr>
        <w:t>Cuarto.</w:t>
      </w:r>
      <w:r w:rsidRPr="004E209B">
        <w:rPr>
          <w:rFonts w:ascii="Palatino Linotype" w:eastAsia="Palatino Linotype" w:hAnsi="Palatino Linotype" w:cs="Palatino Linotype"/>
          <w:sz w:val="24"/>
          <w:szCs w:val="24"/>
        </w:rPr>
        <w:t xml:space="preserve"> </w:t>
      </w:r>
      <w:r w:rsidRPr="004E209B">
        <w:rPr>
          <w:rFonts w:ascii="Palatino Linotype" w:eastAsia="Palatino Linotype" w:hAnsi="Palatino Linotype" w:cs="Palatino Linotype"/>
          <w:b/>
          <w:sz w:val="24"/>
          <w:szCs w:val="24"/>
        </w:rPr>
        <w:t>Notifíquese vía SAIMEX</w:t>
      </w:r>
      <w:r w:rsidRPr="004E209B">
        <w:rPr>
          <w:rFonts w:ascii="Palatino Linotype" w:eastAsia="Palatino Linotype" w:hAnsi="Palatino Linotype" w:cs="Palatino Linotype"/>
          <w:sz w:val="24"/>
          <w:szCs w:val="24"/>
        </w:rPr>
        <w:t xml:space="preserve"> a la parte </w:t>
      </w:r>
      <w:r w:rsidRPr="004E209B">
        <w:rPr>
          <w:rFonts w:ascii="Palatino Linotype" w:eastAsia="Palatino Linotype" w:hAnsi="Palatino Linotype" w:cs="Palatino Linotype"/>
          <w:b/>
          <w:sz w:val="24"/>
          <w:szCs w:val="24"/>
        </w:rPr>
        <w:t xml:space="preserve">Recurrente </w:t>
      </w:r>
      <w:r w:rsidRPr="004E209B">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7A5BBE75" w14:textId="6A668A05" w:rsidR="00C2297E" w:rsidRDefault="009339EB">
      <w:pPr>
        <w:tabs>
          <w:tab w:val="left" w:pos="142"/>
        </w:tabs>
        <w:spacing w:before="240" w:after="240" w:line="360" w:lineRule="auto"/>
        <w:jc w:val="both"/>
        <w:rPr>
          <w:rFonts w:ascii="Palatino Linotype" w:eastAsia="Palatino Linotype" w:hAnsi="Palatino Linotype" w:cs="Palatino Linotype"/>
          <w:sz w:val="24"/>
          <w:szCs w:val="24"/>
        </w:rPr>
      </w:pPr>
      <w:bookmarkStart w:id="6" w:name="_heading=h.gjdgxs" w:colFirst="0" w:colLast="0"/>
      <w:bookmarkEnd w:id="6"/>
      <w:r w:rsidRPr="004E209B">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EN LA </w:t>
      </w:r>
      <w:r w:rsidR="00B326B3" w:rsidRPr="004E209B">
        <w:rPr>
          <w:rFonts w:ascii="Palatino Linotype" w:eastAsia="Palatino Linotype" w:hAnsi="Palatino Linotype" w:cs="Palatino Linotype"/>
          <w:sz w:val="24"/>
          <w:szCs w:val="24"/>
        </w:rPr>
        <w:t>CUADRA</w:t>
      </w:r>
      <w:r w:rsidRPr="004E209B">
        <w:rPr>
          <w:rFonts w:ascii="Palatino Linotype" w:eastAsia="Palatino Linotype" w:hAnsi="Palatino Linotype" w:cs="Palatino Linotype"/>
          <w:sz w:val="24"/>
          <w:szCs w:val="24"/>
        </w:rPr>
        <w:t xml:space="preserve">GÉSIMA </w:t>
      </w:r>
      <w:r w:rsidR="0094053F" w:rsidRPr="004E209B">
        <w:rPr>
          <w:rFonts w:ascii="Palatino Linotype" w:eastAsia="Palatino Linotype" w:hAnsi="Palatino Linotype" w:cs="Palatino Linotype"/>
          <w:sz w:val="24"/>
          <w:szCs w:val="24"/>
        </w:rPr>
        <w:t>SEGUNDA</w:t>
      </w:r>
      <w:r w:rsidR="002A7A1F" w:rsidRPr="004E209B">
        <w:rPr>
          <w:rFonts w:ascii="Palatino Linotype" w:eastAsia="Palatino Linotype" w:hAnsi="Palatino Linotype" w:cs="Palatino Linotype"/>
          <w:sz w:val="24"/>
          <w:szCs w:val="24"/>
        </w:rPr>
        <w:t xml:space="preserve"> </w:t>
      </w:r>
      <w:r w:rsidRPr="004E209B">
        <w:rPr>
          <w:rFonts w:ascii="Palatino Linotype" w:eastAsia="Palatino Linotype" w:hAnsi="Palatino Linotype" w:cs="Palatino Linotype"/>
          <w:sz w:val="24"/>
          <w:szCs w:val="24"/>
        </w:rPr>
        <w:t xml:space="preserve">SESIÓN ORDINARIA CELEBRADA EL </w:t>
      </w:r>
      <w:r w:rsidR="0094053F" w:rsidRPr="004E209B">
        <w:rPr>
          <w:rFonts w:ascii="Palatino Linotype" w:eastAsia="Palatino Linotype" w:hAnsi="Palatino Linotype" w:cs="Palatino Linotype"/>
          <w:sz w:val="24"/>
          <w:szCs w:val="24"/>
        </w:rPr>
        <w:t>CUATRO DE DICIEMBRE</w:t>
      </w:r>
      <w:r w:rsidRPr="004E209B">
        <w:rPr>
          <w:rFonts w:ascii="Palatino Linotype" w:eastAsia="Palatino Linotype" w:hAnsi="Palatino Linotype" w:cs="Palatino Linotype"/>
          <w:sz w:val="24"/>
          <w:szCs w:val="24"/>
        </w:rPr>
        <w:t xml:space="preserve"> DE DOS MIL </w:t>
      </w:r>
      <w:r w:rsidRPr="004E209B">
        <w:rPr>
          <w:rFonts w:ascii="Palatino Linotype" w:eastAsia="Palatino Linotype" w:hAnsi="Palatino Linotype" w:cs="Palatino Linotype"/>
          <w:sz w:val="24"/>
          <w:szCs w:val="24"/>
        </w:rPr>
        <w:lastRenderedPageBreak/>
        <w:t>VEINTICUATRO, ANTE EL SECRETARIO TÉCNICO DEL PLENO ALEXIS TAPIA RAMÍREZ.</w:t>
      </w:r>
    </w:p>
    <w:p w14:paraId="02C2C3BD"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04DBEBC0"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03EFE02D"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2477C407"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21A81923"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48D9296F"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4E17595F"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70CC6760"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6CA6D438"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57285C68"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426DE98F"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0DA5DC62"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2F044F61"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5366036B" w14:textId="77777777" w:rsidR="00AC1F01"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49B7A7CD" w14:textId="77777777" w:rsidR="00AC1F01" w:rsidRPr="004E209B" w:rsidRDefault="00AC1F01">
      <w:pPr>
        <w:tabs>
          <w:tab w:val="left" w:pos="142"/>
        </w:tabs>
        <w:spacing w:before="240" w:after="240" w:line="360" w:lineRule="auto"/>
        <w:jc w:val="both"/>
        <w:rPr>
          <w:rFonts w:ascii="Palatino Linotype" w:eastAsia="Palatino Linotype" w:hAnsi="Palatino Linotype" w:cs="Palatino Linotype"/>
          <w:sz w:val="24"/>
          <w:szCs w:val="24"/>
        </w:rPr>
      </w:pPr>
    </w:p>
    <w:p w14:paraId="2CA689C3" w14:textId="77777777" w:rsidR="00C2297E" w:rsidRPr="004E209B" w:rsidRDefault="00C2297E">
      <w:pPr>
        <w:tabs>
          <w:tab w:val="left" w:pos="142"/>
        </w:tabs>
        <w:spacing w:before="240" w:after="240" w:line="360" w:lineRule="auto"/>
        <w:jc w:val="both"/>
        <w:rPr>
          <w:rFonts w:ascii="Palatino Linotype" w:eastAsia="Palatino Linotype" w:hAnsi="Palatino Linotype" w:cs="Palatino Linotype"/>
          <w:sz w:val="24"/>
          <w:szCs w:val="24"/>
        </w:rPr>
      </w:pPr>
    </w:p>
    <w:p w14:paraId="0BFFD00A" w14:textId="77777777" w:rsidR="00C2297E" w:rsidRPr="004E209B" w:rsidRDefault="00C2297E">
      <w:pPr>
        <w:spacing w:before="240" w:after="240" w:line="360" w:lineRule="auto"/>
        <w:jc w:val="both"/>
        <w:rPr>
          <w:rFonts w:ascii="Palatino Linotype" w:eastAsia="Palatino Linotype" w:hAnsi="Palatino Linotype" w:cs="Palatino Linotype"/>
        </w:rPr>
      </w:pPr>
    </w:p>
    <w:p w14:paraId="6FDCCD12" w14:textId="77777777" w:rsidR="00C2297E" w:rsidRPr="004E209B" w:rsidRDefault="00C2297E">
      <w:pPr>
        <w:spacing w:before="240" w:after="240" w:line="360" w:lineRule="auto"/>
        <w:jc w:val="both"/>
        <w:rPr>
          <w:rFonts w:ascii="Palatino Linotype" w:eastAsia="Palatino Linotype" w:hAnsi="Palatino Linotype" w:cs="Palatino Linotype"/>
        </w:rPr>
      </w:pPr>
    </w:p>
    <w:p w14:paraId="04B429A6" w14:textId="77777777" w:rsidR="00C2297E" w:rsidRPr="004E209B" w:rsidRDefault="00C2297E">
      <w:pPr>
        <w:spacing w:before="240" w:after="240" w:line="360" w:lineRule="auto"/>
        <w:jc w:val="both"/>
        <w:rPr>
          <w:rFonts w:ascii="Palatino Linotype" w:eastAsia="Palatino Linotype" w:hAnsi="Palatino Linotype" w:cs="Palatino Linotype"/>
        </w:rPr>
      </w:pPr>
    </w:p>
    <w:p w14:paraId="0EAE6D65" w14:textId="77777777" w:rsidR="00C2297E" w:rsidRPr="004E209B" w:rsidRDefault="00C2297E">
      <w:pPr>
        <w:spacing w:before="240" w:after="240" w:line="360" w:lineRule="auto"/>
        <w:jc w:val="both"/>
        <w:rPr>
          <w:rFonts w:ascii="Palatino Linotype" w:eastAsia="Palatino Linotype" w:hAnsi="Palatino Linotype" w:cs="Palatino Linotype"/>
        </w:rPr>
      </w:pPr>
    </w:p>
    <w:p w14:paraId="54A775FC" w14:textId="77777777" w:rsidR="00C2297E" w:rsidRPr="004E209B" w:rsidRDefault="00C2297E">
      <w:pPr>
        <w:spacing w:before="240" w:after="240" w:line="360" w:lineRule="auto"/>
        <w:jc w:val="both"/>
        <w:rPr>
          <w:rFonts w:ascii="Palatino Linotype" w:eastAsia="Palatino Linotype" w:hAnsi="Palatino Linotype" w:cs="Palatino Linotype"/>
        </w:rPr>
      </w:pPr>
    </w:p>
    <w:p w14:paraId="37662A86" w14:textId="77777777" w:rsidR="00C2297E" w:rsidRPr="004E209B" w:rsidRDefault="00C2297E">
      <w:pPr>
        <w:spacing w:before="240" w:after="240" w:line="360" w:lineRule="auto"/>
        <w:jc w:val="both"/>
        <w:rPr>
          <w:rFonts w:ascii="Palatino Linotype" w:eastAsia="Palatino Linotype" w:hAnsi="Palatino Linotype" w:cs="Palatino Linotype"/>
        </w:rPr>
      </w:pPr>
    </w:p>
    <w:p w14:paraId="657A38AF" w14:textId="77777777" w:rsidR="00C2297E" w:rsidRPr="004E209B" w:rsidRDefault="00C2297E">
      <w:pPr>
        <w:spacing w:before="240" w:after="240" w:line="360" w:lineRule="auto"/>
        <w:jc w:val="both"/>
        <w:rPr>
          <w:rFonts w:ascii="Palatino Linotype" w:eastAsia="Palatino Linotype" w:hAnsi="Palatino Linotype" w:cs="Palatino Linotype"/>
        </w:rPr>
      </w:pPr>
    </w:p>
    <w:p w14:paraId="1CDD81E5" w14:textId="77777777" w:rsidR="00C2297E" w:rsidRPr="004E209B" w:rsidRDefault="00C2297E">
      <w:pPr>
        <w:spacing w:before="240" w:after="240" w:line="360" w:lineRule="auto"/>
        <w:jc w:val="both"/>
        <w:rPr>
          <w:rFonts w:ascii="Palatino Linotype" w:eastAsia="Palatino Linotype" w:hAnsi="Palatino Linotype" w:cs="Palatino Linotype"/>
        </w:rPr>
      </w:pPr>
    </w:p>
    <w:sectPr w:rsidR="00C2297E" w:rsidRPr="004E209B">
      <w:headerReference w:type="default" r:id="rId23"/>
      <w:footerReference w:type="default" r:id="rId24"/>
      <w:headerReference w:type="first" r:id="rId25"/>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F8E5" w14:textId="77777777" w:rsidR="00840EF5" w:rsidRDefault="00840EF5">
      <w:pPr>
        <w:spacing w:after="0" w:line="240" w:lineRule="auto"/>
      </w:pPr>
      <w:r>
        <w:separator/>
      </w:r>
    </w:p>
  </w:endnote>
  <w:endnote w:type="continuationSeparator" w:id="0">
    <w:p w14:paraId="4EA33EAF" w14:textId="77777777" w:rsidR="00840EF5" w:rsidRDefault="0084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B7C7" w14:textId="77777777" w:rsidR="00991326" w:rsidRDefault="00991326">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634E7">
      <w:rPr>
        <w:rFonts w:ascii="Arial" w:eastAsia="Arial" w:hAnsi="Arial" w:cs="Arial"/>
        <w:b/>
        <w:noProof/>
        <w:color w:val="000000"/>
        <w:sz w:val="20"/>
        <w:szCs w:val="20"/>
      </w:rPr>
      <w:t>64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634E7">
      <w:rPr>
        <w:rFonts w:ascii="Arial" w:eastAsia="Arial" w:hAnsi="Arial" w:cs="Arial"/>
        <w:b/>
        <w:noProof/>
        <w:color w:val="000000"/>
        <w:sz w:val="20"/>
        <w:szCs w:val="20"/>
      </w:rPr>
      <w:t>64</w:t>
    </w:r>
    <w:r>
      <w:rPr>
        <w:rFonts w:ascii="Arial" w:eastAsia="Arial" w:hAnsi="Arial" w:cs="Arial"/>
        <w:b/>
        <w:color w:val="000000"/>
        <w:sz w:val="20"/>
        <w:szCs w:val="20"/>
      </w:rPr>
      <w:fldChar w:fldCharType="end"/>
    </w:r>
  </w:p>
  <w:p w14:paraId="049E1A79" w14:textId="77777777" w:rsidR="00991326" w:rsidRDefault="0099132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D790" w14:textId="77777777" w:rsidR="00840EF5" w:rsidRDefault="00840EF5">
      <w:pPr>
        <w:spacing w:after="0" w:line="240" w:lineRule="auto"/>
      </w:pPr>
      <w:r>
        <w:separator/>
      </w:r>
    </w:p>
  </w:footnote>
  <w:footnote w:type="continuationSeparator" w:id="0">
    <w:p w14:paraId="7ED2A913" w14:textId="77777777" w:rsidR="00840EF5" w:rsidRDefault="00840EF5">
      <w:pPr>
        <w:spacing w:after="0" w:line="240" w:lineRule="auto"/>
      </w:pPr>
      <w:r>
        <w:continuationSeparator/>
      </w:r>
    </w:p>
  </w:footnote>
  <w:footnote w:id="1">
    <w:p w14:paraId="5B44F5EB" w14:textId="77777777" w:rsidR="00991326" w:rsidRPr="00594A66" w:rsidRDefault="00991326" w:rsidP="00594A66">
      <w:pPr>
        <w:pBdr>
          <w:top w:val="nil"/>
          <w:left w:val="nil"/>
          <w:bottom w:val="nil"/>
          <w:right w:val="nil"/>
          <w:between w:val="nil"/>
        </w:pBdr>
        <w:spacing w:after="0" w:line="240" w:lineRule="auto"/>
        <w:rPr>
          <w:rFonts w:ascii="Palatino Linotype" w:eastAsia="Palatino Linotype" w:hAnsi="Palatino Linotype" w:cs="Palatino Linotype"/>
          <w:color w:val="000000"/>
          <w:sz w:val="16"/>
          <w:szCs w:val="16"/>
        </w:rPr>
      </w:pPr>
      <w:r w:rsidRPr="00594A66">
        <w:rPr>
          <w:rFonts w:ascii="Palatino Linotype" w:hAnsi="Palatino Linotype"/>
          <w:sz w:val="16"/>
          <w:szCs w:val="16"/>
          <w:vertAlign w:val="superscript"/>
        </w:rPr>
        <w:footnoteRef/>
      </w:r>
      <w:r w:rsidRPr="00594A66">
        <w:rPr>
          <w:rFonts w:ascii="Palatino Linotype" w:eastAsia="Palatino Linotype" w:hAnsi="Palatino Linotype" w:cs="Palatino Linotype"/>
          <w:color w:val="000000"/>
          <w:sz w:val="16"/>
          <w:szCs w:val="16"/>
        </w:rPr>
        <w:t xml:space="preserve"> Tesis XX.308 K, </w:t>
      </w:r>
      <w:r w:rsidRPr="00594A66">
        <w:rPr>
          <w:rFonts w:ascii="Palatino Linotype" w:eastAsia="Palatino Linotype" w:hAnsi="Palatino Linotype" w:cs="Palatino Linotype"/>
          <w:i/>
          <w:color w:val="000000"/>
          <w:sz w:val="16"/>
          <w:szCs w:val="16"/>
        </w:rPr>
        <w:t>Semanario Judicial de la Federación</w:t>
      </w:r>
      <w:r w:rsidRPr="00594A66">
        <w:rPr>
          <w:rFonts w:ascii="Palatino Linotype" w:eastAsia="Palatino Linotype" w:hAnsi="Palatino Linotype" w:cs="Palatino Linotype"/>
          <w:color w:val="000000"/>
          <w:sz w:val="16"/>
          <w:szCs w:val="16"/>
        </w:rPr>
        <w:t>, Octava Época, tomo XV-1, febrero de 1995, pág. 138.</w:t>
      </w:r>
    </w:p>
  </w:footnote>
  <w:footnote w:id="2">
    <w:p w14:paraId="5D49301A" w14:textId="77777777" w:rsidR="00991326" w:rsidRPr="00594A66" w:rsidRDefault="00991326" w:rsidP="00594A66">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r w:rsidRPr="00594A66">
        <w:rPr>
          <w:rFonts w:ascii="Palatino Linotype" w:hAnsi="Palatino Linotype"/>
          <w:sz w:val="16"/>
          <w:szCs w:val="16"/>
          <w:vertAlign w:val="superscript"/>
        </w:rPr>
        <w:footnoteRef/>
      </w:r>
      <w:r w:rsidRPr="00594A66">
        <w:rPr>
          <w:rFonts w:ascii="Palatino Linotype" w:eastAsia="Palatino Linotype" w:hAnsi="Palatino Linotype" w:cs="Palatino Linotype"/>
          <w:color w:val="000000"/>
          <w:sz w:val="16"/>
          <w:szCs w:val="16"/>
        </w:rPr>
        <w:t xml:space="preserve"> Consultable en: </w:t>
      </w:r>
    </w:p>
    <w:p w14:paraId="5BC73C8C" w14:textId="77777777" w:rsidR="00991326" w:rsidRPr="00594A66" w:rsidRDefault="007515FB" w:rsidP="00594A66">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16"/>
          <w:szCs w:val="16"/>
        </w:rPr>
      </w:pPr>
      <w:hyperlink r:id="rId1">
        <w:r w:rsidR="00991326" w:rsidRPr="00594A66">
          <w:rPr>
            <w:rFonts w:ascii="Palatino Linotype" w:eastAsia="Palatino Linotype" w:hAnsi="Palatino Linotype" w:cs="Palatino Linotype"/>
            <w:color w:val="0000FF"/>
            <w:sz w:val="16"/>
            <w:szCs w:val="16"/>
            <w:u w:val="single"/>
          </w:rPr>
          <w:t>https://www.indetec.gob.mx/delivery?srv=0&amp;sl=3&amp;path=/biblioteca/Especiales/386_Glosario_Terminos_Proceso_Planeacion.pdf</w:t>
        </w:r>
      </w:hyperlink>
      <w:r w:rsidR="00991326" w:rsidRPr="00594A66">
        <w:rPr>
          <w:rFonts w:ascii="Palatino Linotype" w:eastAsia="Palatino Linotype" w:hAnsi="Palatino Linotype" w:cs="Palatino Linotype"/>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f4"/>
      <w:tblW w:w="5953" w:type="dxa"/>
      <w:tblInd w:w="3119" w:type="dxa"/>
      <w:tblLayout w:type="fixed"/>
      <w:tblLook w:val="0400" w:firstRow="0" w:lastRow="0" w:firstColumn="0" w:lastColumn="0" w:noHBand="0" w:noVBand="1"/>
    </w:tblPr>
    <w:tblGrid>
      <w:gridCol w:w="2551"/>
      <w:gridCol w:w="3402"/>
    </w:tblGrid>
    <w:tr w:rsidR="00AC1F01" w14:paraId="1F46CB2E" w14:textId="77777777" w:rsidTr="00EA6028">
      <w:tc>
        <w:tcPr>
          <w:tcW w:w="2551" w:type="dxa"/>
          <w:vAlign w:val="center"/>
        </w:tcPr>
        <w:p w14:paraId="6D86BAB4" w14:textId="77777777" w:rsidR="00AC1F01" w:rsidRDefault="00AC1F01" w:rsidP="00AC1F01">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vAlign w:val="center"/>
        </w:tcPr>
        <w:p w14:paraId="64B56DEB" w14:textId="77777777" w:rsidR="00AC1F01" w:rsidRDefault="00AC1F01" w:rsidP="00AC1F01">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06859/INFOEM/IP/RR/2024 y acumulados</w:t>
          </w:r>
        </w:p>
      </w:tc>
    </w:tr>
    <w:tr w:rsidR="00AC1F01" w14:paraId="290A1BC2" w14:textId="77777777" w:rsidTr="00EA6028">
      <w:trPr>
        <w:trHeight w:val="228"/>
      </w:trPr>
      <w:tc>
        <w:tcPr>
          <w:tcW w:w="2551" w:type="dxa"/>
          <w:vAlign w:val="center"/>
        </w:tcPr>
        <w:p w14:paraId="6DB60903" w14:textId="77777777" w:rsidR="00AC1F01" w:rsidRDefault="00AC1F01" w:rsidP="00AC1F01">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vAlign w:val="center"/>
        </w:tcPr>
        <w:p w14:paraId="7B8499B8" w14:textId="77777777" w:rsidR="00AC1F01" w:rsidRDefault="00AC1F01" w:rsidP="00AC1F01">
          <w:pPr>
            <w:spacing w:after="0" w:line="240" w:lineRule="auto"/>
            <w:jc w:val="both"/>
            <w:rPr>
              <w:rFonts w:ascii="Palatino Linotype" w:eastAsia="Palatino Linotype" w:hAnsi="Palatino Linotype" w:cs="Palatino Linotype"/>
              <w:b/>
            </w:rPr>
          </w:pPr>
          <w:r w:rsidRPr="002A7A1F">
            <w:rPr>
              <w:rFonts w:ascii="Palatino Linotype" w:eastAsia="Palatino Linotype" w:hAnsi="Palatino Linotype" w:cs="Palatino Linotype"/>
              <w:b/>
            </w:rPr>
            <w:t>Ayuntamiento de Temamatla</w:t>
          </w:r>
        </w:p>
      </w:tc>
    </w:tr>
    <w:tr w:rsidR="00AC1F01" w14:paraId="75F06C78" w14:textId="77777777" w:rsidTr="00EA6028">
      <w:tc>
        <w:tcPr>
          <w:tcW w:w="2551" w:type="dxa"/>
          <w:vAlign w:val="center"/>
        </w:tcPr>
        <w:p w14:paraId="03D7BB52" w14:textId="77777777" w:rsidR="00AC1F01" w:rsidRDefault="00AC1F01" w:rsidP="00AC1F01">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vAlign w:val="center"/>
        </w:tcPr>
        <w:p w14:paraId="0639E41A" w14:textId="77777777" w:rsidR="00AC1F01" w:rsidRDefault="00AC1F01" w:rsidP="00AC1F01">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8D63E3B" w14:textId="37028BAB" w:rsidR="00991326" w:rsidRDefault="00AC1F01">
    <w:pPr>
      <w:widowControl w:val="0"/>
      <w:pBdr>
        <w:top w:val="nil"/>
        <w:left w:val="nil"/>
        <w:bottom w:val="nil"/>
        <w:right w:val="nil"/>
        <w:between w:val="nil"/>
      </w:pBdr>
      <w:spacing w:line="276" w:lineRule="auto"/>
      <w:rPr>
        <w:color w:val="000000"/>
      </w:rPr>
    </w:pPr>
    <w:r>
      <w:rPr>
        <w:noProof/>
      </w:rPr>
      <w:drawing>
        <wp:anchor distT="0" distB="0" distL="0" distR="0" simplePos="0" relativeHeight="251660288" behindDoc="1" locked="0" layoutInCell="1" hidden="0" allowOverlap="1" wp14:anchorId="54396141" wp14:editId="5F16A4F2">
          <wp:simplePos x="0" y="0"/>
          <wp:positionH relativeFrom="page">
            <wp:align>right</wp:align>
          </wp:positionH>
          <wp:positionV relativeFrom="paragraph">
            <wp:posOffset>-1341120</wp:posOffset>
          </wp:positionV>
          <wp:extent cx="7635240" cy="9942830"/>
          <wp:effectExtent l="0" t="0" r="3810" b="127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p w14:paraId="150C7EB8" w14:textId="4BD7F5EE" w:rsidR="00991326" w:rsidRDefault="00991326">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790C" w14:textId="77777777" w:rsidR="00991326" w:rsidRDefault="0099132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3A16CF43" wp14:editId="181A0D24">
          <wp:simplePos x="0" y="0"/>
          <wp:positionH relativeFrom="column">
            <wp:posOffset>-1080129</wp:posOffset>
          </wp:positionH>
          <wp:positionV relativeFrom="paragraph">
            <wp:posOffset>-246373</wp:posOffset>
          </wp:positionV>
          <wp:extent cx="7635240" cy="9942830"/>
          <wp:effectExtent l="0" t="0" r="0" b="0"/>
          <wp:wrapNone/>
          <wp:docPr id="193566839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ff4"/>
      <w:tblW w:w="5953" w:type="dxa"/>
      <w:tblInd w:w="3119" w:type="dxa"/>
      <w:tblLayout w:type="fixed"/>
      <w:tblLook w:val="0400" w:firstRow="0" w:lastRow="0" w:firstColumn="0" w:lastColumn="0" w:noHBand="0" w:noVBand="1"/>
    </w:tblPr>
    <w:tblGrid>
      <w:gridCol w:w="2551"/>
      <w:gridCol w:w="3402"/>
    </w:tblGrid>
    <w:tr w:rsidR="00991326" w14:paraId="381CFC4B" w14:textId="77777777">
      <w:tc>
        <w:tcPr>
          <w:tcW w:w="2551" w:type="dxa"/>
          <w:vAlign w:val="center"/>
        </w:tcPr>
        <w:p w14:paraId="277B9D00" w14:textId="77777777" w:rsidR="00991326" w:rsidRDefault="00991326">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vAlign w:val="center"/>
        </w:tcPr>
        <w:p w14:paraId="4C42C218" w14:textId="7F29E5CB" w:rsidR="00991326" w:rsidRDefault="00991326">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06859/INFOEM/IP/RR/2024 y acumulados</w:t>
          </w:r>
        </w:p>
      </w:tc>
    </w:tr>
    <w:tr w:rsidR="00991326" w14:paraId="6A045CF9" w14:textId="77777777">
      <w:tc>
        <w:tcPr>
          <w:tcW w:w="2551" w:type="dxa"/>
          <w:vAlign w:val="center"/>
        </w:tcPr>
        <w:p w14:paraId="4B07A076" w14:textId="77777777" w:rsidR="00991326" w:rsidRDefault="00991326">
          <w:pPr>
            <w:spacing w:after="0" w:line="240" w:lineRule="auto"/>
            <w:ind w:left="35" w:hanging="3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402" w:type="dxa"/>
          <w:vAlign w:val="center"/>
        </w:tcPr>
        <w:p w14:paraId="7EA3B930" w14:textId="480328E0" w:rsidR="00991326" w:rsidRDefault="00991326">
          <w:pPr>
            <w:spacing w:after="0" w:line="240" w:lineRule="auto"/>
            <w:ind w:left="-45"/>
            <w:jc w:val="both"/>
            <w:rPr>
              <w:rFonts w:ascii="Palatino Linotype" w:eastAsia="Palatino Linotype" w:hAnsi="Palatino Linotype" w:cs="Palatino Linotype"/>
              <w:b/>
            </w:rPr>
          </w:pPr>
        </w:p>
      </w:tc>
    </w:tr>
    <w:tr w:rsidR="00991326" w14:paraId="54B7C66D" w14:textId="77777777">
      <w:trPr>
        <w:trHeight w:val="228"/>
      </w:trPr>
      <w:tc>
        <w:tcPr>
          <w:tcW w:w="2551" w:type="dxa"/>
          <w:vAlign w:val="center"/>
        </w:tcPr>
        <w:p w14:paraId="446FA415" w14:textId="77777777" w:rsidR="00991326" w:rsidRDefault="00991326">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vAlign w:val="center"/>
        </w:tcPr>
        <w:p w14:paraId="09F69B7D" w14:textId="44001345" w:rsidR="00991326" w:rsidRDefault="00991326">
          <w:pPr>
            <w:spacing w:after="0" w:line="240" w:lineRule="auto"/>
            <w:jc w:val="both"/>
            <w:rPr>
              <w:rFonts w:ascii="Palatino Linotype" w:eastAsia="Palatino Linotype" w:hAnsi="Palatino Linotype" w:cs="Palatino Linotype"/>
              <w:b/>
            </w:rPr>
          </w:pPr>
          <w:r w:rsidRPr="002A7A1F">
            <w:rPr>
              <w:rFonts w:ascii="Palatino Linotype" w:eastAsia="Palatino Linotype" w:hAnsi="Palatino Linotype" w:cs="Palatino Linotype"/>
              <w:b/>
            </w:rPr>
            <w:t>Ayuntamiento de Temamatla</w:t>
          </w:r>
        </w:p>
      </w:tc>
    </w:tr>
    <w:tr w:rsidR="00991326" w14:paraId="28320027" w14:textId="77777777">
      <w:tc>
        <w:tcPr>
          <w:tcW w:w="2551" w:type="dxa"/>
          <w:vAlign w:val="center"/>
        </w:tcPr>
        <w:p w14:paraId="29443065" w14:textId="77777777" w:rsidR="00991326" w:rsidRDefault="00991326">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vAlign w:val="center"/>
        </w:tcPr>
        <w:p w14:paraId="380162A4" w14:textId="77777777" w:rsidR="00991326" w:rsidRDefault="00991326">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13C9217" w14:textId="77777777" w:rsidR="00991326" w:rsidRDefault="0099132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408A"/>
    <w:multiLevelType w:val="multilevel"/>
    <w:tmpl w:val="63B6B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03496D"/>
    <w:multiLevelType w:val="multilevel"/>
    <w:tmpl w:val="3E0CA868"/>
    <w:lvl w:ilvl="0">
      <w:start w:val="1"/>
      <w:numFmt w:val="lowerLetter"/>
      <w:lvlText w:val="%1)"/>
      <w:lvlJc w:val="left"/>
      <w:pPr>
        <w:ind w:left="1068" w:hanging="360"/>
      </w:pPr>
      <w:rPr>
        <w:rFonts w:ascii="Palatino Linotype" w:eastAsia="Palatino Linotype" w:hAnsi="Palatino Linotype" w:cs="Palatino Linotype"/>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2D717CD3"/>
    <w:multiLevelType w:val="multilevel"/>
    <w:tmpl w:val="FEFEDF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3F335F6"/>
    <w:multiLevelType w:val="multilevel"/>
    <w:tmpl w:val="B6C8C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6808DD"/>
    <w:multiLevelType w:val="multilevel"/>
    <w:tmpl w:val="4DF65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E56"/>
    <w:multiLevelType w:val="multilevel"/>
    <w:tmpl w:val="392A7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8A2A23"/>
    <w:multiLevelType w:val="multilevel"/>
    <w:tmpl w:val="77463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F872AE"/>
    <w:multiLevelType w:val="hybridMultilevel"/>
    <w:tmpl w:val="A98A8EA2"/>
    <w:lvl w:ilvl="0" w:tplc="6F66074E">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8" w15:restartNumberingAfterBreak="0">
    <w:nsid w:val="5C311CF6"/>
    <w:multiLevelType w:val="multilevel"/>
    <w:tmpl w:val="5A8E4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CE7880"/>
    <w:multiLevelType w:val="multilevel"/>
    <w:tmpl w:val="11764062"/>
    <w:lvl w:ilvl="0">
      <w:start w:val="1"/>
      <w:numFmt w:val="lowerLetter"/>
      <w:pStyle w:val="Listaconvietas"/>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86C0896"/>
    <w:multiLevelType w:val="multilevel"/>
    <w:tmpl w:val="114CF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0C314B"/>
    <w:multiLevelType w:val="multilevel"/>
    <w:tmpl w:val="98322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9"/>
  </w:num>
  <w:num w:numId="3">
    <w:abstractNumId w:val="4"/>
  </w:num>
  <w:num w:numId="4">
    <w:abstractNumId w:val="6"/>
  </w:num>
  <w:num w:numId="5">
    <w:abstractNumId w:val="11"/>
  </w:num>
  <w:num w:numId="6">
    <w:abstractNumId w:val="3"/>
  </w:num>
  <w:num w:numId="7">
    <w:abstractNumId w:val="5"/>
  </w:num>
  <w:num w:numId="8">
    <w:abstractNumId w:val="2"/>
  </w:num>
  <w:num w:numId="9">
    <w:abstractNumId w:val="0"/>
  </w:num>
  <w:num w:numId="10">
    <w:abstractNumId w:val="7"/>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7E"/>
    <w:rsid w:val="00024A4A"/>
    <w:rsid w:val="00024EC9"/>
    <w:rsid w:val="00024FD9"/>
    <w:rsid w:val="00041BE7"/>
    <w:rsid w:val="000420A2"/>
    <w:rsid w:val="000609AE"/>
    <w:rsid w:val="000871DF"/>
    <w:rsid w:val="00095B40"/>
    <w:rsid w:val="000C6650"/>
    <w:rsid w:val="000C7893"/>
    <w:rsid w:val="000D4269"/>
    <w:rsid w:val="00106F93"/>
    <w:rsid w:val="001204C1"/>
    <w:rsid w:val="0013228E"/>
    <w:rsid w:val="00166F00"/>
    <w:rsid w:val="00173CEF"/>
    <w:rsid w:val="001750F6"/>
    <w:rsid w:val="001844FA"/>
    <w:rsid w:val="00185D29"/>
    <w:rsid w:val="00185EFB"/>
    <w:rsid w:val="001A5589"/>
    <w:rsid w:val="001C0B1C"/>
    <w:rsid w:val="001C0EF0"/>
    <w:rsid w:val="001C4C2F"/>
    <w:rsid w:val="001D2AE0"/>
    <w:rsid w:val="001E1CA8"/>
    <w:rsid w:val="001E3360"/>
    <w:rsid w:val="001F151C"/>
    <w:rsid w:val="001F689D"/>
    <w:rsid w:val="002007DB"/>
    <w:rsid w:val="00200DA3"/>
    <w:rsid w:val="00235731"/>
    <w:rsid w:val="00236871"/>
    <w:rsid w:val="00252A86"/>
    <w:rsid w:val="002716C9"/>
    <w:rsid w:val="00272321"/>
    <w:rsid w:val="0028119B"/>
    <w:rsid w:val="00297364"/>
    <w:rsid w:val="002A7A1F"/>
    <w:rsid w:val="002D327B"/>
    <w:rsid w:val="002F12CA"/>
    <w:rsid w:val="00311C80"/>
    <w:rsid w:val="00315E58"/>
    <w:rsid w:val="00343DF0"/>
    <w:rsid w:val="00346C8B"/>
    <w:rsid w:val="00347816"/>
    <w:rsid w:val="00363F5A"/>
    <w:rsid w:val="00364C4F"/>
    <w:rsid w:val="00365F1A"/>
    <w:rsid w:val="00366E27"/>
    <w:rsid w:val="00367AFC"/>
    <w:rsid w:val="00371800"/>
    <w:rsid w:val="00393A90"/>
    <w:rsid w:val="00395188"/>
    <w:rsid w:val="003A6F1A"/>
    <w:rsid w:val="003C0796"/>
    <w:rsid w:val="003C21DA"/>
    <w:rsid w:val="003D3303"/>
    <w:rsid w:val="003D5C9D"/>
    <w:rsid w:val="003F17C0"/>
    <w:rsid w:val="00402662"/>
    <w:rsid w:val="00403B4B"/>
    <w:rsid w:val="00410473"/>
    <w:rsid w:val="00422DC6"/>
    <w:rsid w:val="004260D7"/>
    <w:rsid w:val="00432809"/>
    <w:rsid w:val="00433EE2"/>
    <w:rsid w:val="0045531E"/>
    <w:rsid w:val="0048437A"/>
    <w:rsid w:val="004D2055"/>
    <w:rsid w:val="004E209B"/>
    <w:rsid w:val="004F082A"/>
    <w:rsid w:val="004F6AD3"/>
    <w:rsid w:val="00510912"/>
    <w:rsid w:val="005161B1"/>
    <w:rsid w:val="00524533"/>
    <w:rsid w:val="00524FF2"/>
    <w:rsid w:val="0053779C"/>
    <w:rsid w:val="00542E03"/>
    <w:rsid w:val="00545E86"/>
    <w:rsid w:val="005552DA"/>
    <w:rsid w:val="0057609B"/>
    <w:rsid w:val="00577E71"/>
    <w:rsid w:val="00580C11"/>
    <w:rsid w:val="0058556F"/>
    <w:rsid w:val="005920F0"/>
    <w:rsid w:val="00594A66"/>
    <w:rsid w:val="005A6D87"/>
    <w:rsid w:val="005D091C"/>
    <w:rsid w:val="005E7178"/>
    <w:rsid w:val="00613A78"/>
    <w:rsid w:val="00627F0D"/>
    <w:rsid w:val="00640917"/>
    <w:rsid w:val="00642D0E"/>
    <w:rsid w:val="006436C4"/>
    <w:rsid w:val="00656028"/>
    <w:rsid w:val="00686851"/>
    <w:rsid w:val="0069722D"/>
    <w:rsid w:val="006C1DB2"/>
    <w:rsid w:val="006C66F4"/>
    <w:rsid w:val="006F01D1"/>
    <w:rsid w:val="006F3690"/>
    <w:rsid w:val="007156E6"/>
    <w:rsid w:val="00726E7F"/>
    <w:rsid w:val="007418DA"/>
    <w:rsid w:val="007515FB"/>
    <w:rsid w:val="0075735F"/>
    <w:rsid w:val="007A1EA5"/>
    <w:rsid w:val="007B3560"/>
    <w:rsid w:val="007E6F79"/>
    <w:rsid w:val="007F4A2E"/>
    <w:rsid w:val="00807AC4"/>
    <w:rsid w:val="00811D3F"/>
    <w:rsid w:val="00840EF5"/>
    <w:rsid w:val="00853B6A"/>
    <w:rsid w:val="00862715"/>
    <w:rsid w:val="0089419B"/>
    <w:rsid w:val="008A0B97"/>
    <w:rsid w:val="008A1BA5"/>
    <w:rsid w:val="008B5962"/>
    <w:rsid w:val="008C0074"/>
    <w:rsid w:val="009339EB"/>
    <w:rsid w:val="00936B21"/>
    <w:rsid w:val="0094053F"/>
    <w:rsid w:val="009431F7"/>
    <w:rsid w:val="00947041"/>
    <w:rsid w:val="00947F74"/>
    <w:rsid w:val="00970740"/>
    <w:rsid w:val="00991326"/>
    <w:rsid w:val="009E3202"/>
    <w:rsid w:val="00A00F37"/>
    <w:rsid w:val="00A01CE8"/>
    <w:rsid w:val="00A057DB"/>
    <w:rsid w:val="00A1074D"/>
    <w:rsid w:val="00A13365"/>
    <w:rsid w:val="00A167AB"/>
    <w:rsid w:val="00A3611E"/>
    <w:rsid w:val="00A45EFF"/>
    <w:rsid w:val="00A50C9E"/>
    <w:rsid w:val="00A90B16"/>
    <w:rsid w:val="00AB55AA"/>
    <w:rsid w:val="00AC1F01"/>
    <w:rsid w:val="00AE7CBF"/>
    <w:rsid w:val="00AF6863"/>
    <w:rsid w:val="00B1140C"/>
    <w:rsid w:val="00B326B3"/>
    <w:rsid w:val="00B4090B"/>
    <w:rsid w:val="00B634E7"/>
    <w:rsid w:val="00B80786"/>
    <w:rsid w:val="00B92C18"/>
    <w:rsid w:val="00BB568F"/>
    <w:rsid w:val="00BD46E8"/>
    <w:rsid w:val="00C2297E"/>
    <w:rsid w:val="00C5147E"/>
    <w:rsid w:val="00C6488E"/>
    <w:rsid w:val="00C75467"/>
    <w:rsid w:val="00C769E8"/>
    <w:rsid w:val="00CA4B13"/>
    <w:rsid w:val="00CC4191"/>
    <w:rsid w:val="00CE173B"/>
    <w:rsid w:val="00CF0FEE"/>
    <w:rsid w:val="00D14209"/>
    <w:rsid w:val="00D850F9"/>
    <w:rsid w:val="00DB1FC0"/>
    <w:rsid w:val="00DB77F7"/>
    <w:rsid w:val="00DC71B3"/>
    <w:rsid w:val="00E13A8C"/>
    <w:rsid w:val="00E17A9D"/>
    <w:rsid w:val="00E24829"/>
    <w:rsid w:val="00E47263"/>
    <w:rsid w:val="00E56242"/>
    <w:rsid w:val="00E61D04"/>
    <w:rsid w:val="00E63A9D"/>
    <w:rsid w:val="00E96425"/>
    <w:rsid w:val="00EA7259"/>
    <w:rsid w:val="00EB0448"/>
    <w:rsid w:val="00EB4DD1"/>
    <w:rsid w:val="00EC73FF"/>
    <w:rsid w:val="00EF6167"/>
    <w:rsid w:val="00F05D51"/>
    <w:rsid w:val="00F062D9"/>
    <w:rsid w:val="00F2089E"/>
    <w:rsid w:val="00F705E2"/>
    <w:rsid w:val="00F730B4"/>
    <w:rsid w:val="00F8540F"/>
    <w:rsid w:val="00FA3D1C"/>
    <w:rsid w:val="00FB5A51"/>
    <w:rsid w:val="00FF65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401F6"/>
  <w15:docId w15:val="{E1E391DB-3081-447E-9A4C-9A81699B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E2"/>
  </w:style>
  <w:style w:type="paragraph" w:styleId="Ttulo1">
    <w:name w:val="heading 1"/>
    <w:basedOn w:val="Normal"/>
    <w:next w:val="Normal"/>
    <w:link w:val="Ttulo1Car"/>
    <w:uiPriority w:val="9"/>
    <w:qFormat/>
    <w:rsid w:val="000009E2"/>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0009E2"/>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0009E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0009E2"/>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0009E2"/>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0009E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0009E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0009E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0009E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009E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21CDF"/>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521CDF"/>
  </w:style>
  <w:style w:type="paragraph" w:styleId="Piedepgina">
    <w:name w:val="footer"/>
    <w:basedOn w:val="Normal"/>
    <w:link w:val="PiedepginaCar"/>
    <w:uiPriority w:val="99"/>
    <w:unhideWhenUsed/>
    <w:rsid w:val="00521CDF"/>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521CDF"/>
  </w:style>
  <w:style w:type="character" w:styleId="Hipervnculo">
    <w:name w:val="Hyperlink"/>
    <w:aliases w:val="Hipervínculo1,Hipervínculo11,Hipervínculo12,Hipervínculo13,Hipervínculo14,Hipervínculo15"/>
    <w:basedOn w:val="Fuentedeprrafopredeter"/>
    <w:uiPriority w:val="99"/>
    <w:unhideWhenUsed/>
    <w:rsid w:val="003C6D6D"/>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1566"/>
    <w:pPr>
      <w:ind w:left="720"/>
      <w:contextualSpacing/>
    </w:pPr>
  </w:style>
  <w:style w:type="paragraph" w:styleId="Listaconvietas">
    <w:name w:val="List Bullet"/>
    <w:basedOn w:val="Normal"/>
    <w:uiPriority w:val="99"/>
    <w:unhideWhenUsed/>
    <w:rsid w:val="00400151"/>
    <w:pPr>
      <w:numPr>
        <w:numId w:val="2"/>
      </w:numPr>
      <w:contextualSpacing/>
    </w:pPr>
    <w:rPr>
      <w:lang w:eastAsia="es-ES"/>
    </w:rPr>
  </w:style>
  <w:style w:type="paragraph" w:styleId="Textodeglobo">
    <w:name w:val="Balloon Text"/>
    <w:basedOn w:val="Normal"/>
    <w:link w:val="TextodegloboCar"/>
    <w:uiPriority w:val="99"/>
    <w:semiHidden/>
    <w:unhideWhenUsed/>
    <w:rsid w:val="00617A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A03"/>
    <w:rPr>
      <w:rFonts w:ascii="Segoe UI" w:eastAsia="Calibri" w:hAnsi="Segoe UI" w:cs="Segoe UI"/>
      <w:sz w:val="18"/>
      <w:szCs w:val="18"/>
      <w:lang w:eastAsia="es-MX"/>
    </w:rPr>
  </w:style>
  <w:style w:type="table" w:styleId="Tablaconcuadrcula">
    <w:name w:val="Table Grid"/>
    <w:basedOn w:val="Tablanormal"/>
    <w:uiPriority w:val="39"/>
    <w:rsid w:val="00A4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Pr>
      <w:smallCaps/>
      <w:color w:val="595959"/>
      <w:sz w:val="28"/>
      <w:szCs w:val="2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15" w:type="dxa"/>
        <w:right w:w="115"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15" w:type="dxa"/>
        <w:right w:w="115" w:type="dxa"/>
      </w:tblCellMar>
    </w:tblPr>
  </w:style>
  <w:style w:type="table" w:customStyle="1" w:styleId="ad">
    <w:basedOn w:val="TableNormal6"/>
    <w:tblPr>
      <w:tblStyleRowBandSize w:val="1"/>
      <w:tblStyleColBandSize w:val="1"/>
      <w:tblCellMar>
        <w:left w:w="115" w:type="dxa"/>
        <w:right w:w="115" w:type="dxa"/>
      </w:tblCellMar>
    </w:tblPr>
  </w:style>
  <w:style w:type="table" w:customStyle="1" w:styleId="ae">
    <w:basedOn w:val="TableNormal6"/>
    <w:tblPr>
      <w:tblStyleRowBandSize w:val="1"/>
      <w:tblStyleColBandSize w:val="1"/>
      <w:tblCellMar>
        <w:left w:w="115" w:type="dxa"/>
        <w:right w:w="115" w:type="dxa"/>
      </w:tblCellMar>
    </w:tblPr>
  </w:style>
  <w:style w:type="table" w:customStyle="1" w:styleId="af">
    <w:basedOn w:val="TableNormal6"/>
    <w:tblPr>
      <w:tblStyleRowBandSize w:val="1"/>
      <w:tblStyleColBandSize w:val="1"/>
      <w:tblCellMar>
        <w:left w:w="115" w:type="dxa"/>
        <w:right w:w="115" w:type="dxa"/>
      </w:tblCellMar>
    </w:tblPr>
  </w:style>
  <w:style w:type="table" w:customStyle="1" w:styleId="af0">
    <w:basedOn w:val="TableNormal6"/>
    <w:tblPr>
      <w:tblStyleRowBandSize w:val="1"/>
      <w:tblStyleColBandSize w:val="1"/>
      <w:tblCellMar>
        <w:left w:w="1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E42517"/>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425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rsid w:val="00E42517"/>
    <w:rPr>
      <w:vertAlign w:val="superscript"/>
    </w:rPr>
  </w:style>
  <w:style w:type="paragraph" w:styleId="Sinespaciado">
    <w:name w:val="No Spacing"/>
    <w:aliases w:val="Francesa"/>
    <w:link w:val="SinespaciadoCar"/>
    <w:uiPriority w:val="1"/>
    <w:qFormat/>
    <w:rsid w:val="000009E2"/>
    <w:pPr>
      <w:spacing w:after="0" w:line="240" w:lineRule="auto"/>
    </w:pPr>
  </w:style>
  <w:style w:type="character" w:customStyle="1" w:styleId="SinespaciadoCar">
    <w:name w:val="Sin espaciado Car"/>
    <w:aliases w:val="Francesa Car"/>
    <w:link w:val="Sinespaciado"/>
    <w:uiPriority w:val="1"/>
    <w:locked/>
    <w:rsid w:val="00B33C26"/>
  </w:style>
  <w:style w:type="paragraph" w:styleId="Lista">
    <w:name w:val="List"/>
    <w:basedOn w:val="Normal"/>
    <w:uiPriority w:val="99"/>
    <w:unhideWhenUsed/>
    <w:rsid w:val="004127D1"/>
    <w:pPr>
      <w:ind w:left="283" w:hanging="283"/>
      <w:contextualSpacing/>
    </w:pPr>
  </w:style>
  <w:style w:type="paragraph" w:styleId="Lista2">
    <w:name w:val="List 2"/>
    <w:basedOn w:val="Normal"/>
    <w:uiPriority w:val="99"/>
    <w:unhideWhenUsed/>
    <w:rsid w:val="004127D1"/>
    <w:pPr>
      <w:ind w:left="566" w:hanging="283"/>
      <w:contextualSpacing/>
    </w:pPr>
  </w:style>
  <w:style w:type="paragraph" w:styleId="Lista3">
    <w:name w:val="List 3"/>
    <w:basedOn w:val="Normal"/>
    <w:uiPriority w:val="99"/>
    <w:unhideWhenUsed/>
    <w:rsid w:val="004127D1"/>
    <w:pPr>
      <w:ind w:left="849" w:hanging="283"/>
      <w:contextualSpacing/>
    </w:pPr>
  </w:style>
  <w:style w:type="paragraph" w:styleId="Listaconvietas2">
    <w:name w:val="List Bullet 2"/>
    <w:basedOn w:val="Normal"/>
    <w:uiPriority w:val="99"/>
    <w:unhideWhenUsed/>
    <w:rsid w:val="004127D1"/>
    <w:pPr>
      <w:tabs>
        <w:tab w:val="num" w:pos="720"/>
      </w:tabs>
      <w:ind w:left="720" w:hanging="720"/>
      <w:contextualSpacing/>
    </w:pPr>
  </w:style>
  <w:style w:type="paragraph" w:styleId="Continuarlista">
    <w:name w:val="List Continue"/>
    <w:basedOn w:val="Normal"/>
    <w:uiPriority w:val="99"/>
    <w:unhideWhenUsed/>
    <w:rsid w:val="004127D1"/>
    <w:pPr>
      <w:spacing w:after="120"/>
      <w:ind w:left="283"/>
      <w:contextualSpacing/>
    </w:pPr>
  </w:style>
  <w:style w:type="paragraph" w:styleId="Continuarlista2">
    <w:name w:val="List Continue 2"/>
    <w:basedOn w:val="Normal"/>
    <w:uiPriority w:val="99"/>
    <w:unhideWhenUsed/>
    <w:rsid w:val="004127D1"/>
    <w:pPr>
      <w:spacing w:after="120"/>
      <w:ind w:left="566"/>
      <w:contextualSpacing/>
    </w:pPr>
  </w:style>
  <w:style w:type="paragraph" w:styleId="Textoindependiente">
    <w:name w:val="Body Text"/>
    <w:basedOn w:val="Normal"/>
    <w:link w:val="TextoindependienteCar"/>
    <w:uiPriority w:val="99"/>
    <w:unhideWhenUsed/>
    <w:rsid w:val="004127D1"/>
    <w:pPr>
      <w:spacing w:after="120"/>
    </w:pPr>
  </w:style>
  <w:style w:type="character" w:customStyle="1" w:styleId="TextoindependienteCar">
    <w:name w:val="Texto independiente Car"/>
    <w:basedOn w:val="Fuentedeprrafopredeter"/>
    <w:link w:val="Textoindependiente"/>
    <w:uiPriority w:val="99"/>
    <w:rsid w:val="004127D1"/>
  </w:style>
  <w:style w:type="paragraph" w:styleId="Sangradetextonormal">
    <w:name w:val="Body Text Indent"/>
    <w:basedOn w:val="Normal"/>
    <w:link w:val="SangradetextonormalCar"/>
    <w:uiPriority w:val="99"/>
    <w:unhideWhenUsed/>
    <w:rsid w:val="004127D1"/>
    <w:pPr>
      <w:spacing w:after="120"/>
      <w:ind w:left="283"/>
    </w:pPr>
  </w:style>
  <w:style w:type="character" w:customStyle="1" w:styleId="SangradetextonormalCar">
    <w:name w:val="Sangría de texto normal Car"/>
    <w:basedOn w:val="Fuentedeprrafopredeter"/>
    <w:link w:val="Sangradetextonormal"/>
    <w:uiPriority w:val="99"/>
    <w:rsid w:val="004127D1"/>
  </w:style>
  <w:style w:type="paragraph" w:styleId="Textoindependienteprimerasangra2">
    <w:name w:val="Body Text First Indent 2"/>
    <w:basedOn w:val="Sangradetextonormal"/>
    <w:link w:val="Textoindependienteprimerasangra2Car"/>
    <w:uiPriority w:val="99"/>
    <w:unhideWhenUsed/>
    <w:rsid w:val="004127D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127D1"/>
  </w:style>
  <w:style w:type="table" w:customStyle="1" w:styleId="af1">
    <w:basedOn w:val="TableNormal6"/>
    <w:tblPr>
      <w:tblStyleRowBandSize w:val="1"/>
      <w:tblStyleColBandSize w:val="1"/>
      <w:tblCellMar>
        <w:left w:w="115" w:type="dxa"/>
        <w:right w:w="115" w:type="dxa"/>
      </w:tblCellMar>
    </w:tblPr>
  </w:style>
  <w:style w:type="table" w:customStyle="1" w:styleId="af2">
    <w:basedOn w:val="TableNormal6"/>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6"/>
    <w:tblPr>
      <w:tblStyleRowBandSize w:val="1"/>
      <w:tblStyleColBandSize w:val="1"/>
      <w:tblCellMar>
        <w:left w:w="115" w:type="dxa"/>
        <w:right w:w="115" w:type="dxa"/>
      </w:tblCellMar>
    </w:tblPr>
  </w:style>
  <w:style w:type="paragraph" w:styleId="NormalWeb">
    <w:name w:val="Normal (Web)"/>
    <w:basedOn w:val="Normal"/>
    <w:uiPriority w:val="99"/>
    <w:unhideWhenUsed/>
    <w:rsid w:val="00B477FB"/>
    <w:pPr>
      <w:spacing w:before="100" w:beforeAutospacing="1" w:after="100" w:afterAutospacing="1"/>
    </w:p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08" w:type="dxa"/>
        <w:right w:w="108"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D7226C"/>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character" w:customStyle="1" w:styleId="Ttulo1Car">
    <w:name w:val="Título 1 Car"/>
    <w:basedOn w:val="Fuentedeprrafopredeter"/>
    <w:link w:val="Ttulo1"/>
    <w:uiPriority w:val="9"/>
    <w:rsid w:val="000009E2"/>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0009E2"/>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0009E2"/>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0009E2"/>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0009E2"/>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0009E2"/>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0009E2"/>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0009E2"/>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0009E2"/>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0009E2"/>
    <w:pPr>
      <w:spacing w:line="240" w:lineRule="auto"/>
    </w:pPr>
    <w:rPr>
      <w:b/>
      <w:bCs/>
      <w:smallCaps/>
      <w:color w:val="595959" w:themeColor="text1" w:themeTint="A6"/>
    </w:rPr>
  </w:style>
  <w:style w:type="character" w:customStyle="1" w:styleId="TtuloCar">
    <w:name w:val="Título Car"/>
    <w:basedOn w:val="Fuentedeprrafopredeter"/>
    <w:link w:val="Ttulo"/>
    <w:uiPriority w:val="10"/>
    <w:rsid w:val="000009E2"/>
    <w:rPr>
      <w:rFonts w:asciiTheme="majorHAnsi" w:eastAsiaTheme="majorEastAsia" w:hAnsiTheme="majorHAnsi" w:cstheme="majorBidi"/>
      <w:caps/>
      <w:color w:val="404040" w:themeColor="text1" w:themeTint="BF"/>
      <w:spacing w:val="-10"/>
      <w:sz w:val="72"/>
      <w:szCs w:val="72"/>
    </w:rPr>
  </w:style>
  <w:style w:type="character" w:customStyle="1" w:styleId="SubttuloCar">
    <w:name w:val="Subtítulo Car"/>
    <w:basedOn w:val="Fuentedeprrafopredeter"/>
    <w:link w:val="Subttulo"/>
    <w:uiPriority w:val="11"/>
    <w:rsid w:val="000009E2"/>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0009E2"/>
    <w:rPr>
      <w:b/>
      <w:bCs/>
    </w:rPr>
  </w:style>
  <w:style w:type="character" w:styleId="nfasis">
    <w:name w:val="Emphasis"/>
    <w:basedOn w:val="Fuentedeprrafopredeter"/>
    <w:uiPriority w:val="20"/>
    <w:qFormat/>
    <w:rsid w:val="000009E2"/>
    <w:rPr>
      <w:i/>
      <w:iCs/>
    </w:rPr>
  </w:style>
  <w:style w:type="paragraph" w:styleId="Cita">
    <w:name w:val="Quote"/>
    <w:basedOn w:val="Normal"/>
    <w:next w:val="Normal"/>
    <w:link w:val="CitaCar"/>
    <w:uiPriority w:val="29"/>
    <w:qFormat/>
    <w:rsid w:val="000009E2"/>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0009E2"/>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0009E2"/>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0009E2"/>
    <w:rPr>
      <w:color w:val="404040" w:themeColor="text1" w:themeTint="BF"/>
      <w:sz w:val="32"/>
      <w:szCs w:val="32"/>
    </w:rPr>
  </w:style>
  <w:style w:type="character" w:styleId="nfasissutil">
    <w:name w:val="Subtle Emphasis"/>
    <w:basedOn w:val="Fuentedeprrafopredeter"/>
    <w:uiPriority w:val="19"/>
    <w:qFormat/>
    <w:rsid w:val="000009E2"/>
    <w:rPr>
      <w:i/>
      <w:iCs/>
      <w:color w:val="595959" w:themeColor="text1" w:themeTint="A6"/>
    </w:rPr>
  </w:style>
  <w:style w:type="character" w:styleId="nfasisintenso">
    <w:name w:val="Intense Emphasis"/>
    <w:basedOn w:val="Fuentedeprrafopredeter"/>
    <w:uiPriority w:val="21"/>
    <w:qFormat/>
    <w:rsid w:val="000009E2"/>
    <w:rPr>
      <w:b/>
      <w:bCs/>
      <w:i/>
      <w:iCs/>
    </w:rPr>
  </w:style>
  <w:style w:type="character" w:styleId="Referenciasutil">
    <w:name w:val="Subtle Reference"/>
    <w:basedOn w:val="Fuentedeprrafopredeter"/>
    <w:uiPriority w:val="31"/>
    <w:qFormat/>
    <w:rsid w:val="000009E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009E2"/>
    <w:rPr>
      <w:b/>
      <w:bCs/>
      <w:caps w:val="0"/>
      <w:smallCaps/>
      <w:color w:val="auto"/>
      <w:spacing w:val="3"/>
      <w:u w:val="single"/>
    </w:rPr>
  </w:style>
  <w:style w:type="character" w:styleId="Ttulodellibro">
    <w:name w:val="Book Title"/>
    <w:basedOn w:val="Fuentedeprrafopredeter"/>
    <w:uiPriority w:val="33"/>
    <w:qFormat/>
    <w:rsid w:val="000009E2"/>
    <w:rPr>
      <w:b/>
      <w:bCs/>
      <w:smallCaps/>
      <w:spacing w:val="7"/>
    </w:rPr>
  </w:style>
  <w:style w:type="paragraph" w:styleId="TtuloTDC">
    <w:name w:val="TOC Heading"/>
    <w:basedOn w:val="Ttulo1"/>
    <w:next w:val="Normal"/>
    <w:uiPriority w:val="39"/>
    <w:semiHidden/>
    <w:unhideWhenUsed/>
    <w:qFormat/>
    <w:rsid w:val="000009E2"/>
    <w:pPr>
      <w:outlineLvl w:val="9"/>
    </w:p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paragraph" w:customStyle="1" w:styleId="Default">
    <w:name w:val="Default"/>
    <w:rsid w:val="00557977"/>
    <w:pPr>
      <w:autoSpaceDE w:val="0"/>
      <w:autoSpaceDN w:val="0"/>
      <w:adjustRightInd w:val="0"/>
      <w:spacing w:after="0" w:line="240" w:lineRule="auto"/>
    </w:pPr>
    <w:rPr>
      <w:rFonts w:ascii="Tahoma" w:hAnsi="Tahoma" w:cs="Tahoma"/>
      <w:color w:val="000000"/>
      <w:sz w:val="24"/>
      <w:szCs w:val="24"/>
    </w:r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detec.gob.mx/delivery?srv=0&amp;sl=3&amp;path=/biblioteca/Especiales/386_Glosario_Terminos_Proceso_Planea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Kgomt99W47Gxd+kZcLiTo37Dw==">CgMxLjAyCWguMWZvYjl0ZTIJaC4zem55c2g3MghoLnR5amN3dDIJaC4zMGowemxsMgloLjNkeTZ2a20yCWguMXQzaDVzZjIJaC40ZDM0b2c4MgloLjNyZGNyam4yCWguMTdkcDh2dTIJaC4yZXQ5MnAwMghoLmdqZGd4czgAciExTjJHYnpGampDUTYtcFFoeWhTQmxxaEZ1TnFyY3NPd0Y=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B2BBC2-BAEB-4509-8CAF-27EF5C08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64</Pages>
  <Words>15533</Words>
  <Characters>85433</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2024-12-06T16:42:00Z</cp:lastPrinted>
  <dcterms:created xsi:type="dcterms:W3CDTF">2025-01-14T22:57:00Z</dcterms:created>
  <dcterms:modified xsi:type="dcterms:W3CDTF">2025-01-14T22:57:00Z</dcterms:modified>
</cp:coreProperties>
</file>