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1C674"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1128F7">
        <w:rPr>
          <w:rFonts w:ascii="Palatino Linotype" w:eastAsia="Palatino Linotype" w:hAnsi="Palatino Linotype" w:cs="Palatino Linotype"/>
          <w:b/>
          <w:bCs/>
        </w:rPr>
        <w:t>veintiuno de agosto de dos mil veinticuatro</w:t>
      </w:r>
      <w:r w:rsidRPr="001128F7">
        <w:rPr>
          <w:rFonts w:ascii="Palatino Linotype" w:eastAsia="Palatino Linotype" w:hAnsi="Palatino Linotype" w:cs="Palatino Linotype"/>
        </w:rPr>
        <w:t xml:space="preserve">. </w:t>
      </w:r>
    </w:p>
    <w:p w14:paraId="71473F42" w14:textId="17DC0E5B" w:rsidR="00DE3B61" w:rsidRPr="001128F7" w:rsidRDefault="00CD5400">
      <w:pPr>
        <w:tabs>
          <w:tab w:val="left" w:pos="5812"/>
        </w:tabs>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VISTO</w:t>
      </w:r>
      <w:r w:rsidRPr="001128F7">
        <w:rPr>
          <w:rFonts w:ascii="Palatino Linotype" w:eastAsia="Palatino Linotype" w:hAnsi="Palatino Linotype" w:cs="Palatino Linotype"/>
        </w:rPr>
        <w:t xml:space="preserve"> el expediente formado con motivo del recurso de revisión </w:t>
      </w:r>
      <w:r w:rsidRPr="001128F7">
        <w:rPr>
          <w:rFonts w:ascii="Palatino Linotype" w:eastAsia="Palatino Linotype" w:hAnsi="Palatino Linotype" w:cs="Palatino Linotype"/>
          <w:b/>
        </w:rPr>
        <w:t>01394/INFOEM/IP/RR/2024</w:t>
      </w:r>
      <w:r w:rsidRPr="001128F7">
        <w:rPr>
          <w:rFonts w:ascii="Palatino Linotype" w:eastAsia="Palatino Linotype" w:hAnsi="Palatino Linotype" w:cs="Palatino Linotype"/>
        </w:rPr>
        <w:t>, interpuesto por</w:t>
      </w:r>
      <w:r w:rsidRPr="001128F7">
        <w:rPr>
          <w:rFonts w:ascii="Palatino Linotype" w:eastAsia="Palatino Linotype" w:hAnsi="Palatino Linotype" w:cs="Palatino Linotype"/>
          <w:b/>
        </w:rPr>
        <w:t xml:space="preserve"> </w:t>
      </w:r>
      <w:r w:rsidR="00D9251F" w:rsidRPr="00D9251F">
        <w:rPr>
          <w:rFonts w:ascii="Palatino Linotype" w:eastAsia="Palatino Linotype" w:hAnsi="Palatino Linotype" w:cs="Palatino Linotype"/>
          <w:b/>
        </w:rPr>
        <w:t>XXXXXX XXXX XXXX</w:t>
      </w:r>
      <w:r w:rsidRPr="001128F7">
        <w:rPr>
          <w:rFonts w:ascii="Palatino Linotype" w:eastAsia="Palatino Linotype" w:hAnsi="Palatino Linotype" w:cs="Palatino Linotype"/>
          <w:b/>
        </w:rPr>
        <w:t>,</w:t>
      </w:r>
      <w:r w:rsidRPr="001128F7">
        <w:rPr>
          <w:rFonts w:ascii="Palatino Linotype" w:eastAsia="Palatino Linotype" w:hAnsi="Palatino Linotype" w:cs="Palatino Linotype"/>
        </w:rPr>
        <w:t xml:space="preserve"> en lo sucesivo</w:t>
      </w:r>
      <w:r w:rsidRPr="001128F7">
        <w:rPr>
          <w:rFonts w:ascii="Palatino Linotype" w:eastAsia="Palatino Linotype" w:hAnsi="Palatino Linotype" w:cs="Palatino Linotype"/>
          <w:b/>
        </w:rPr>
        <w:t xml:space="preserve"> </w:t>
      </w:r>
      <w:r w:rsidRPr="001128F7">
        <w:rPr>
          <w:rFonts w:ascii="Palatino Linotype" w:eastAsia="Palatino Linotype" w:hAnsi="Palatino Linotype" w:cs="Palatino Linotype"/>
        </w:rPr>
        <w:t xml:space="preserve">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en contra de la respuesta a la solicitud de información con número de folio</w:t>
      </w:r>
      <w:r w:rsidRPr="001128F7">
        <w:rPr>
          <w:rFonts w:ascii="Palatino Linotype" w:eastAsia="Palatino Linotype" w:hAnsi="Palatino Linotype" w:cs="Palatino Linotype"/>
          <w:b/>
        </w:rPr>
        <w:t xml:space="preserve"> 00028/CAEM/IP/2024, </w:t>
      </w:r>
      <w:r w:rsidRPr="001128F7">
        <w:rPr>
          <w:rFonts w:ascii="Palatino Linotype" w:eastAsia="Palatino Linotype" w:hAnsi="Palatino Linotype" w:cs="Palatino Linotype"/>
        </w:rPr>
        <w:t xml:space="preserve">por parte de la </w:t>
      </w:r>
      <w:r w:rsidRPr="001128F7">
        <w:rPr>
          <w:rFonts w:ascii="Palatino Linotype" w:eastAsia="Palatino Linotype" w:hAnsi="Palatino Linotype" w:cs="Palatino Linotype"/>
          <w:b/>
        </w:rPr>
        <w:t xml:space="preserve">Comisión del Agua del Estado de México, </w:t>
      </w:r>
      <w:r w:rsidRPr="001128F7">
        <w:rPr>
          <w:rFonts w:ascii="Palatino Linotype" w:eastAsia="Palatino Linotype" w:hAnsi="Palatino Linotype" w:cs="Palatino Linotype"/>
        </w:rPr>
        <w:t xml:space="preserve">en lo sucesivo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 xml:space="preserve">se procede a dictar la presente resolución con base en los siguientes: </w:t>
      </w:r>
    </w:p>
    <w:p w14:paraId="5552AF33" w14:textId="77777777" w:rsidR="00DE3B61" w:rsidRPr="001128F7" w:rsidRDefault="00CD5400">
      <w:pPr>
        <w:spacing w:before="240" w:after="240" w:line="360" w:lineRule="auto"/>
        <w:jc w:val="center"/>
        <w:rPr>
          <w:rFonts w:ascii="Palatino Linotype" w:eastAsia="Palatino Linotype" w:hAnsi="Palatino Linotype" w:cs="Palatino Linotype"/>
          <w:b/>
        </w:rPr>
      </w:pPr>
      <w:r w:rsidRPr="001128F7">
        <w:rPr>
          <w:rFonts w:ascii="Palatino Linotype" w:eastAsia="Palatino Linotype" w:hAnsi="Palatino Linotype" w:cs="Palatino Linotype"/>
          <w:b/>
        </w:rPr>
        <w:t>I. A N T E C E D E N T E S</w:t>
      </w:r>
    </w:p>
    <w:p w14:paraId="60182AD7"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1128F7">
        <w:rPr>
          <w:rFonts w:ascii="Palatino Linotype" w:eastAsia="Palatino Linotype" w:hAnsi="Palatino Linotype" w:cs="Palatino Linotype"/>
          <w:b/>
        </w:rPr>
        <w:t>1. Solicitud de acceso a la información.</w:t>
      </w:r>
      <w:r w:rsidRPr="001128F7">
        <w:rPr>
          <w:rFonts w:ascii="Palatino Linotype" w:eastAsia="Palatino Linotype" w:hAnsi="Palatino Linotype" w:cs="Palatino Linotype"/>
        </w:rPr>
        <w:t xml:space="preserve"> El </w:t>
      </w:r>
      <w:r w:rsidRPr="001128F7">
        <w:rPr>
          <w:rFonts w:ascii="Palatino Linotype" w:eastAsia="Palatino Linotype" w:hAnsi="Palatino Linotype" w:cs="Palatino Linotype"/>
          <w:b/>
        </w:rPr>
        <w:t>uno de febrero de dos mil veinticuatro,</w:t>
      </w:r>
      <w:r w:rsidRPr="001128F7">
        <w:rPr>
          <w:rFonts w:ascii="Palatino Linotype" w:eastAsia="Palatino Linotype" w:hAnsi="Palatino Linotype" w:cs="Palatino Linotype"/>
        </w:rPr>
        <w:t xml:space="preserve"> 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sidRPr="001128F7">
        <w:rPr>
          <w:rFonts w:ascii="Palatino Linotype" w:eastAsia="Palatino Linotype" w:hAnsi="Palatino Linotype" w:cs="Palatino Linotype"/>
          <w:b/>
        </w:rPr>
        <w:t>SAIMEX,</w:t>
      </w:r>
      <w:r w:rsidRPr="001128F7">
        <w:rPr>
          <w:rFonts w:ascii="Palatino Linotype" w:eastAsia="Palatino Linotype" w:hAnsi="Palatino Linotype" w:cs="Palatino Linotype"/>
        </w:rPr>
        <w:t xml:space="preserve"> ante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la solicitud de acceso a la información pública, mediante la cual requirió la información siguiente: </w:t>
      </w:r>
    </w:p>
    <w:p w14:paraId="1A3068DA" w14:textId="77777777" w:rsidR="00DE3B61" w:rsidRPr="001128F7" w:rsidRDefault="00CD5400">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1128F7">
        <w:rPr>
          <w:rFonts w:ascii="Palatino Linotype" w:eastAsia="Palatino Linotype" w:hAnsi="Palatino Linotype" w:cs="Palatino Linotype"/>
          <w:i/>
          <w:sz w:val="22"/>
          <w:szCs w:val="22"/>
        </w:rPr>
        <w:t xml:space="preserve"> “1.- Inofrmar el importe total neto que se ha destinado o se va a destinar al mantenimiento y/o conservación del parque vehicular de la Comisión del Agua del Estado de Mexico durante los ejercicios fiscales 2024, 2023 y 2022. 2.-Exhibir todos los comprobantes fiscales relativos a los ejercicios fiscales 2024, 2023, y 2022; que por concepto de mantenimiento /o conservación de vehículos que le hayan sido emitidos por el proveedor a la Comision del Agua del Estado de Mexico y que hayan sido pagados o liquidados con recursos asignados a las partidas presupuestales referentes al mantenimiento y/o conservacion del parque vehicular de la Comisión del Agua del Estado de Mexico. 3.-Informar los nombres </w:t>
      </w:r>
      <w:r w:rsidRPr="001128F7">
        <w:rPr>
          <w:rFonts w:ascii="Palatino Linotype" w:eastAsia="Palatino Linotype" w:hAnsi="Palatino Linotype" w:cs="Palatino Linotype"/>
          <w:i/>
          <w:sz w:val="22"/>
          <w:szCs w:val="22"/>
        </w:rPr>
        <w:lastRenderedPageBreak/>
        <w:t>del servidores públicos y su cargo que esten o hayan estado encargados de autorizar y/o rechazar llevar a cabo el mantenimientos al parque vehicular. durante los ejercicios fiscales 2024,2023 y 2022.</w:t>
      </w:r>
      <w:r w:rsidRPr="001128F7">
        <w:rPr>
          <w:rFonts w:ascii="Palatino Linotype" w:eastAsia="Palatino Linotype" w:hAnsi="Palatino Linotype" w:cs="Palatino Linotype"/>
          <w:b/>
          <w:i/>
          <w:sz w:val="22"/>
          <w:szCs w:val="22"/>
        </w:rPr>
        <w:t>”</w:t>
      </w:r>
      <w:r w:rsidRPr="001128F7">
        <w:rPr>
          <w:rFonts w:ascii="Palatino Linotype" w:eastAsia="Palatino Linotype" w:hAnsi="Palatino Linotype" w:cs="Palatino Linotype"/>
          <w:i/>
          <w:sz w:val="22"/>
          <w:szCs w:val="22"/>
        </w:rPr>
        <w:t xml:space="preserve"> (sic) </w:t>
      </w:r>
    </w:p>
    <w:p w14:paraId="4E333881"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1128F7">
        <w:rPr>
          <w:rFonts w:ascii="Palatino Linotype" w:eastAsia="Palatino Linotype" w:hAnsi="Palatino Linotype" w:cs="Palatino Linotype"/>
          <w:b/>
        </w:rPr>
        <w:t xml:space="preserve">Modalidad de Entrega: </w:t>
      </w:r>
      <w:r w:rsidRPr="001128F7">
        <w:rPr>
          <w:rFonts w:ascii="Palatino Linotype" w:eastAsia="Palatino Linotype" w:hAnsi="Palatino Linotype" w:cs="Palatino Linotype"/>
        </w:rPr>
        <w:t>Electrónico, a través del sistema de solicitudes de acceso a la información de la PNT, que, para efectos del presente asunto, se entenderá a través del Sistema de Acceso a la Información Mexiquense, SAIMEX; asimismo, señaló el referido sistema como medio para recibir información o notificaciones, como se advierte a continuación:</w:t>
      </w:r>
    </w:p>
    <w:p w14:paraId="1E0B8761" w14:textId="77777777" w:rsidR="00DE3B61" w:rsidRPr="001128F7" w:rsidRDefault="00CD5400">
      <w:pPr>
        <w:spacing w:before="240" w:after="240" w:line="360" w:lineRule="auto"/>
        <w:jc w:val="both"/>
        <w:rPr>
          <w:rFonts w:ascii="Palatino Linotype" w:eastAsia="Palatino Linotype" w:hAnsi="Palatino Linotype" w:cs="Palatino Linotype"/>
          <w:b/>
        </w:rPr>
      </w:pPr>
      <w:r w:rsidRPr="001128F7">
        <w:rPr>
          <w:noProof/>
        </w:rPr>
        <w:drawing>
          <wp:inline distT="0" distB="0" distL="0" distR="0" wp14:anchorId="0EBAF02D" wp14:editId="349CA1C0">
            <wp:extent cx="5612130" cy="579755"/>
            <wp:effectExtent l="0" t="0" r="0" b="0"/>
            <wp:docPr id="16439191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579755"/>
                    </a:xfrm>
                    <a:prstGeom prst="rect">
                      <a:avLst/>
                    </a:prstGeom>
                    <a:ln/>
                  </pic:spPr>
                </pic:pic>
              </a:graphicData>
            </a:graphic>
          </wp:inline>
        </w:drawing>
      </w:r>
    </w:p>
    <w:p w14:paraId="3B5557E6" w14:textId="77777777" w:rsidR="00DE3B61" w:rsidRPr="001128F7" w:rsidRDefault="00CD5400">
      <w:pPr>
        <w:spacing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2. Respuesta. </w:t>
      </w:r>
      <w:r w:rsidRPr="001128F7">
        <w:rPr>
          <w:rFonts w:ascii="Palatino Linotype" w:eastAsia="Palatino Linotype" w:hAnsi="Palatino Linotype" w:cs="Palatino Linotype"/>
        </w:rPr>
        <w:t xml:space="preserve">El </w:t>
      </w:r>
      <w:r w:rsidRPr="001128F7">
        <w:rPr>
          <w:rFonts w:ascii="Palatino Linotype" w:eastAsia="Palatino Linotype" w:hAnsi="Palatino Linotype" w:cs="Palatino Linotype"/>
          <w:b/>
        </w:rPr>
        <w:t>seis de marzo de dos mil veinticuatro</w:t>
      </w:r>
      <w:r w:rsidRPr="001128F7">
        <w:rPr>
          <w:rFonts w:ascii="Palatino Linotype" w:eastAsia="Palatino Linotype" w:hAnsi="Palatino Linotype" w:cs="Palatino Linotype"/>
        </w:rPr>
        <w:t xml:space="preserve">,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419ED38" w14:textId="77777777" w:rsidR="00DE3B61" w:rsidRPr="001128F7" w:rsidRDefault="00CD5400">
      <w:pPr>
        <w:spacing w:before="240" w:after="24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 xml:space="preserve">“…Al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ende, considerando el oficio 21900117010000/604/2024 signado por el Director de Administración y, a fin de cumplir con el principio de exhaustividad, se desagrega la solicitud en los siguientes numerales: 1. "Inofrmar el importe total neto que se ha destinado o se va a destinar al mantenimiento y/o conservación del parque vehicular de la Comisión del Agua del Estado de Mexico durante los ejercicios fiscales 2024. ESTADO 2023 y 2022" (SIC) Para 2022 el importe ejercido ascendió a la cantidad de $7,608,782.96, en 2023 se ejercieron $8,118,034.23 y. para 2024 el importe autorizado es de $9,638,811.14 2. Exhibir todos los comprobantes fiscales </w:t>
      </w:r>
      <w:r w:rsidRPr="001128F7">
        <w:rPr>
          <w:rFonts w:ascii="Palatino Linotype" w:eastAsia="Palatino Linotype" w:hAnsi="Palatino Linotype" w:cs="Palatino Linotype"/>
          <w:i/>
          <w:sz w:val="22"/>
          <w:szCs w:val="22"/>
        </w:rPr>
        <w:lastRenderedPageBreak/>
        <w:t>relativos a los ejercicios fiscales 2024, 2023, у 2022, que por concepto de mantenimiento o conservación de vehículos que le hayan sido emitidos por el proveedor a la Comision del Agua del Estado de Mexico y que hayan sido pagados o liquidados con recursos asignados a las partidas presupuestales referentes al mantenimiento y/o conservacion del parque vehicular de la Comisión del Agua del Estado de Mexico" (SIC) Se remiten las facturas en formato pdf correspondientes a los ejercicios 2022 y 2023; sin embargo, al transcurso de 2024 no se han emitido facturas por mantenimiento preventivo y/o correctivo de vehículos. Oficio No. 219C0110010000S/ 0415 /2024 Naucalpan de Juárez, Estado de México 06 de marzo de 2024 3. "Informar los nombres del servidores públicos y su cargo que esten o hayan estado encargados de autorizar y/o rechazar llevar a cabo el antenimientos al parque vehicular, durante los ejercicios fiscales 2024,2023 y 2022." (SIC). Durante los ejercicios 2022 y 2023 los servidores públicos encargados de autorizar y/o denegar las solicitudes de mantenimiento eran el C Miguel Ángel Oliver Nava (entonces Subdirector de Servicios) y, el C. Horacio Mar Olivares (entonces Jefe del Departamento de Mantenimiento de Instalaciones y Vehículos, para el ejercicio fiscal 2024 los responsables son el Lic. Miguel Ángel Trejo Reyes, Subdirector de Servicios y, el C. José Javier Morales Aguilar, Jefe del Departamento de Instalaciones y Vehículos...” (sic)</w:t>
      </w:r>
    </w:p>
    <w:p w14:paraId="01AE4EF2"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adjuntó lo siguiente:</w:t>
      </w:r>
    </w:p>
    <w:p w14:paraId="171745FA"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Oficio con número oficio 219C0110010000S/0415/2024, del seis de marzo de dos mil veinticuatro, mediante el cual la Jefa de la Unidad de Modernización Administrativa e Informática y Titular de la Unidad de Transparencia, mediante el cual hizo de conocimiento de la persona solicitante, el importe ejercido para el mantenimiento y/o conservación del parque vehicular, durante los ejercicios 2022 y 2023, así como el importe autorizado para el ejercicio 2024; refirió remitir las facturas en formato PDF correspondientes a los ejercicios 2022 y 2023 por concepto de mantenimiento preventivo y/o correctivo de vehículos, manifestó que en el transcurso del ejercicio 2024 no se han emitido facturas por concepto de  mantenimiento preventivo y/o correctivo de vehículos; finalmente, proporcionó el </w:t>
      </w:r>
      <w:r w:rsidRPr="001128F7">
        <w:rPr>
          <w:rFonts w:ascii="Palatino Linotype" w:eastAsia="Palatino Linotype" w:hAnsi="Palatino Linotype" w:cs="Palatino Linotype"/>
        </w:rPr>
        <w:lastRenderedPageBreak/>
        <w:t>nombre y cargo de los servidores públicos que estaban encargados de autorizar y/o denegar las solicitudes de mantenimiento durante los ejercicios 2022 y 2023, así como de los servidores públicos responsables para el ejercicio 2024, de conformidad con la información proporcionada por la Dirección General de Administración y Finanzas, con apoyo de la Dirección de Administración y la Subdirección de Servicios.</w:t>
      </w:r>
    </w:p>
    <w:p w14:paraId="72E433CE"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Anexos:</w:t>
      </w:r>
    </w:p>
    <w:p w14:paraId="37A44838"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Oficio número 219C0117L/472/2024, del veintinueve de febrero de dos mil veinticuatro, emitido por la Directora General de Administración y Finanzas mediante el cual atendió los requerimientos con base en la información proporcionada por el Director de Administración a través del oficio número 219C011701000L/604/2024.</w:t>
      </w:r>
    </w:p>
    <w:p w14:paraId="347352DA"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Oficio número 219C011701000L/604/2024, del veintiséis de febrero de dos mil veinticuatro, emitido por el Director de Administración, mediante el cual proporciono la información requerida en los puntos 2 y 3 de la solicitud, con base en la información proporcionada por el Subdirector de Servicios través del oficio número 219C0117010300L/000152/2024; mientras que para atender el punto 1 de la solicitud, proporcionó el avance presupuestal por partida de gastos al mes de diciembre de 2022, y de 2023, así como el oficio número 219C0117020000L/0145/2024, del nueve de febrero de dos mil veinticuatro, emitido por el Director de Finanzas.</w:t>
      </w:r>
    </w:p>
    <w:p w14:paraId="473E4C1D"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 Avance presupuestal por partida de gastos al mes de diciembre de 2022, que contiene el monto anual autorizado y así como el monto total ejercido respecto de la partida 3551 Reparación y mantenimiento de vehículos terrestres, aéreos y lacustres.</w:t>
      </w:r>
    </w:p>
    <w:p w14:paraId="3BFAC2FC"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Avance presupuestal por partida de gastos al mes de diciembre de 2023, que contiene el monto anual autorizado y así como el monto total ejercido respecto de la partida 3551 Reparación y mantenimiento de vehículos terrestres, aéreos y lacustres.</w:t>
      </w:r>
    </w:p>
    <w:p w14:paraId="1E171E35"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Oficio número 219C0117020000L/0145/2024, del nueve de febrero de dos mil veinticuatro, emitido por el Director de Finanzas, mediante el cual informa el presupuesto autorizado para el ejercicio fiscal 2024, respecto de la partida 3551 Reparación y mantenimiento de vehículos terrestres, aéreos y lacustres.</w:t>
      </w:r>
    </w:p>
    <w:p w14:paraId="77EE96DD"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t>- Carpeta comprimida en formato .zip, que contiene diversos Comprobantes Fiscales Digitales por Internet, CFDI, en formato .pdf, relacionados con el servicio de mantenimiento preventivo y correctivo a vehículos de la Comisión del Agua del Estado de México, durante los ejercicios 2022 y 2023, los cuales se encuentran distribuidos en siete archivos, como se ilustra a continuación para mejor referencia:</w:t>
      </w:r>
    </w:p>
    <w:p w14:paraId="171EA4A8" w14:textId="77777777" w:rsidR="00DE3B61" w:rsidRPr="001128F7" w:rsidRDefault="00CD5400">
      <w:pPr>
        <w:spacing w:before="240" w:after="240" w:line="360" w:lineRule="auto"/>
        <w:ind w:right="49"/>
        <w:jc w:val="center"/>
        <w:rPr>
          <w:rFonts w:ascii="Palatino Linotype" w:eastAsia="Palatino Linotype" w:hAnsi="Palatino Linotype" w:cs="Palatino Linotype"/>
        </w:rPr>
      </w:pPr>
      <w:r w:rsidRPr="001128F7">
        <w:rPr>
          <w:noProof/>
        </w:rPr>
        <w:drawing>
          <wp:inline distT="0" distB="0" distL="0" distR="0" wp14:anchorId="77F60D73" wp14:editId="356EF8A7">
            <wp:extent cx="4500000" cy="1394603"/>
            <wp:effectExtent l="0" t="0" r="0" b="0"/>
            <wp:docPr id="16439191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00000" cy="1394603"/>
                    </a:xfrm>
                    <a:prstGeom prst="rect">
                      <a:avLst/>
                    </a:prstGeom>
                    <a:ln/>
                  </pic:spPr>
                </pic:pic>
              </a:graphicData>
            </a:graphic>
          </wp:inline>
        </w:drawing>
      </w:r>
    </w:p>
    <w:p w14:paraId="0D9F8AFD" w14:textId="77777777" w:rsidR="00DE3B61" w:rsidRPr="001128F7" w:rsidRDefault="00CD5400">
      <w:pPr>
        <w:spacing w:before="240" w:after="240" w:line="360" w:lineRule="auto"/>
        <w:ind w:right="49"/>
        <w:jc w:val="center"/>
        <w:rPr>
          <w:rFonts w:ascii="Palatino Linotype" w:eastAsia="Palatino Linotype" w:hAnsi="Palatino Linotype" w:cs="Palatino Linotype"/>
        </w:rPr>
      </w:pPr>
      <w:r w:rsidRPr="001128F7">
        <w:rPr>
          <w:noProof/>
        </w:rPr>
        <w:lastRenderedPageBreak/>
        <w:drawing>
          <wp:inline distT="0" distB="0" distL="0" distR="0" wp14:anchorId="7D45EC84" wp14:editId="7E8F7996">
            <wp:extent cx="5040000" cy="2427617"/>
            <wp:effectExtent l="0" t="0" r="0" b="0"/>
            <wp:docPr id="16439191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040000" cy="2427617"/>
                    </a:xfrm>
                    <a:prstGeom prst="rect">
                      <a:avLst/>
                    </a:prstGeom>
                    <a:ln/>
                  </pic:spPr>
                </pic:pic>
              </a:graphicData>
            </a:graphic>
          </wp:inline>
        </w:drawing>
      </w:r>
    </w:p>
    <w:p w14:paraId="3CA3CA1A" w14:textId="77777777" w:rsidR="00DE3B61" w:rsidRPr="001128F7" w:rsidRDefault="00CD5400">
      <w:pPr>
        <w:spacing w:before="240" w:after="240" w:line="360" w:lineRule="auto"/>
        <w:ind w:right="49"/>
        <w:jc w:val="center"/>
        <w:rPr>
          <w:rFonts w:ascii="Palatino Linotype" w:eastAsia="Palatino Linotype" w:hAnsi="Palatino Linotype" w:cs="Palatino Linotype"/>
        </w:rPr>
      </w:pPr>
      <w:r w:rsidRPr="001128F7">
        <w:rPr>
          <w:noProof/>
        </w:rPr>
        <w:drawing>
          <wp:inline distT="0" distB="0" distL="0" distR="0" wp14:anchorId="61387670" wp14:editId="4E2485C5">
            <wp:extent cx="5040000" cy="4125295"/>
            <wp:effectExtent l="0" t="0" r="0" b="0"/>
            <wp:docPr id="1643919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40000" cy="4125295"/>
                    </a:xfrm>
                    <a:prstGeom prst="rect">
                      <a:avLst/>
                    </a:prstGeom>
                    <a:ln/>
                  </pic:spPr>
                </pic:pic>
              </a:graphicData>
            </a:graphic>
          </wp:inline>
        </w:drawing>
      </w:r>
    </w:p>
    <w:p w14:paraId="728D1824"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b/>
        </w:rPr>
        <w:lastRenderedPageBreak/>
        <w:t xml:space="preserve">3. Interposición del recurso de revisión. </w:t>
      </w:r>
      <w:r w:rsidRPr="001128F7">
        <w:rPr>
          <w:rFonts w:ascii="Palatino Linotype" w:eastAsia="Palatino Linotype" w:hAnsi="Palatino Linotype" w:cs="Palatino Linotype"/>
        </w:rPr>
        <w:t xml:space="preserve">Inconforme con los términos de la respuesta emitida por parte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el </w:t>
      </w:r>
      <w:r w:rsidRPr="001128F7">
        <w:rPr>
          <w:rFonts w:ascii="Palatino Linotype" w:eastAsia="Palatino Linotype" w:hAnsi="Palatino Linotype" w:cs="Palatino Linotype"/>
          <w:b/>
        </w:rPr>
        <w:t xml:space="preserve">doce de marzo de dos mil veinticuatro, </w:t>
      </w:r>
      <w:r w:rsidRPr="001128F7">
        <w:rPr>
          <w:rFonts w:ascii="Palatino Linotype" w:eastAsia="Palatino Linotype" w:hAnsi="Palatino Linotype" w:cs="Palatino Linotype"/>
        </w:rPr>
        <w:t xml:space="preserve">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interpuso el recurso de revisión a través de </w:t>
      </w:r>
      <w:r w:rsidRPr="001128F7">
        <w:rPr>
          <w:rFonts w:ascii="Palatino Linotype" w:eastAsia="Palatino Linotype" w:hAnsi="Palatino Linotype" w:cs="Palatino Linotype"/>
          <w:b/>
        </w:rPr>
        <w:t xml:space="preserve">SAIMEX, </w:t>
      </w:r>
      <w:r w:rsidRPr="001128F7">
        <w:rPr>
          <w:rFonts w:ascii="Palatino Linotype" w:eastAsia="Palatino Linotype" w:hAnsi="Palatino Linotype" w:cs="Palatino Linotype"/>
        </w:rPr>
        <w:t>en donde se manifestó de la siguiente manera:</w:t>
      </w:r>
    </w:p>
    <w:p w14:paraId="29E40EF9" w14:textId="77777777" w:rsidR="00DE3B61" w:rsidRPr="001128F7" w:rsidRDefault="00CD5400">
      <w:pPr>
        <w:tabs>
          <w:tab w:val="left" w:pos="2745"/>
        </w:tabs>
        <w:spacing w:before="240" w:after="240" w:line="360" w:lineRule="auto"/>
        <w:jc w:val="both"/>
        <w:rPr>
          <w:rFonts w:ascii="Palatino Linotype" w:eastAsia="Palatino Linotype" w:hAnsi="Palatino Linotype" w:cs="Palatino Linotype"/>
          <w:b/>
        </w:rPr>
      </w:pPr>
      <w:r w:rsidRPr="001128F7">
        <w:rPr>
          <w:rFonts w:ascii="Palatino Linotype" w:eastAsia="Palatino Linotype" w:hAnsi="Palatino Linotype" w:cs="Palatino Linotype"/>
          <w:b/>
        </w:rPr>
        <w:t xml:space="preserve">Acto impugnado: </w:t>
      </w:r>
    </w:p>
    <w:p w14:paraId="2D1F1D88" w14:textId="77777777" w:rsidR="00DE3B61" w:rsidRPr="001128F7" w:rsidRDefault="00CD5400">
      <w:pPr>
        <w:tabs>
          <w:tab w:val="left" w:pos="2745"/>
        </w:tabs>
        <w:spacing w:before="240" w:after="240"/>
        <w:ind w:left="851"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 xml:space="preserve">“El archivo "Anexo SAIMEX 28 Unificados.zip" adjuntado por la institucion no puede ser descargado por lo que no se visualiza la información solicitada. Especificamente </w:t>
      </w:r>
      <w:r w:rsidRPr="001128F7">
        <w:rPr>
          <w:rFonts w:ascii="Palatino Linotype" w:eastAsia="Palatino Linotype" w:hAnsi="Palatino Linotype" w:cs="Palatino Linotype"/>
          <w:b/>
          <w:i/>
          <w:sz w:val="22"/>
          <w:szCs w:val="22"/>
        </w:rPr>
        <w:t>no se observan en la documentacion remitida, los comprobantes fiscales relativos a los ejercicios fiscales 2024, 2023, y 2022; que por concepto de mantenimiento /o conservación de vehículos que le hayan sido emitidos por el proveedor a la Comision del Agua del Estado de Mexico y que hayan sido pagados o liquidados con recursos asignados a las partidas presupuestales referentes al mantenimiento y/o conservacion del parque vehicular de la Comisión del Agua del Estado de Mexico.</w:t>
      </w:r>
      <w:r w:rsidRPr="001128F7">
        <w:rPr>
          <w:rFonts w:ascii="Palatino Linotype" w:eastAsia="Palatino Linotype" w:hAnsi="Palatino Linotype" w:cs="Palatino Linotype"/>
          <w:i/>
          <w:sz w:val="22"/>
          <w:szCs w:val="22"/>
        </w:rPr>
        <w:t xml:space="preserve"> La presente queja se remite en virtud de que al no visualizarse la informacion; se esta vulnerando el derecho humano de acceso a la información pública, estipulado en el articulo 4 de la Ley de Transparencia y Acceso a la información Publica del Estado de México y Municipios, vulnerando tambien el principio de máxima publicidad al no ser completa, oportuna y accesible."(sic)</w:t>
      </w:r>
    </w:p>
    <w:p w14:paraId="1DBCB14A" w14:textId="77777777" w:rsidR="00DE3B61" w:rsidRPr="001128F7" w:rsidRDefault="00CD5400">
      <w:pPr>
        <w:spacing w:line="360" w:lineRule="auto"/>
        <w:jc w:val="both"/>
        <w:rPr>
          <w:rFonts w:ascii="Palatino Linotype" w:eastAsia="Palatino Linotype" w:hAnsi="Palatino Linotype" w:cs="Palatino Linotype"/>
        </w:rPr>
      </w:pPr>
      <w:bookmarkStart w:id="3" w:name="_heading=h.30j0zll" w:colFirst="0" w:colLast="0"/>
      <w:bookmarkEnd w:id="3"/>
      <w:r w:rsidRPr="001128F7">
        <w:rPr>
          <w:rFonts w:ascii="Palatino Linotype" w:eastAsia="Palatino Linotype" w:hAnsi="Palatino Linotype" w:cs="Palatino Linotype"/>
          <w:b/>
        </w:rPr>
        <w:t>Y, Razones o motivos de inconformidad</w:t>
      </w:r>
      <w:r w:rsidRPr="001128F7">
        <w:rPr>
          <w:rFonts w:ascii="Palatino Linotype" w:eastAsia="Palatino Linotype" w:hAnsi="Palatino Linotype" w:cs="Palatino Linotype"/>
        </w:rPr>
        <w:t>:</w:t>
      </w:r>
    </w:p>
    <w:p w14:paraId="6AEA3747" w14:textId="77777777" w:rsidR="00DE3B61" w:rsidRPr="001128F7" w:rsidRDefault="00CD5400">
      <w:pPr>
        <w:spacing w:line="360" w:lineRule="auto"/>
        <w:jc w:val="both"/>
        <w:rPr>
          <w:rFonts w:ascii="Palatino Linotype" w:eastAsia="Palatino Linotype" w:hAnsi="Palatino Linotype" w:cs="Palatino Linotype"/>
          <w:b/>
        </w:rPr>
      </w:pPr>
      <w:r w:rsidRPr="001128F7">
        <w:rPr>
          <w:rFonts w:ascii="Palatino Linotype" w:eastAsia="Palatino Linotype" w:hAnsi="Palatino Linotype" w:cs="Palatino Linotype"/>
        </w:rPr>
        <w:t xml:space="preserve">No se advierten manifestaciones de la parte </w:t>
      </w:r>
      <w:r w:rsidRPr="001128F7">
        <w:rPr>
          <w:rFonts w:ascii="Palatino Linotype" w:eastAsia="Palatino Linotype" w:hAnsi="Palatino Linotype" w:cs="Palatino Linotype"/>
          <w:b/>
        </w:rPr>
        <w:t>Recurrente.</w:t>
      </w:r>
    </w:p>
    <w:p w14:paraId="36577F00"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adjuntó el archivo “Archivo1710292420624null</w:t>
      </w:r>
      <w:r w:rsidRPr="001128F7">
        <w:rPr>
          <w:rFonts w:ascii="Palatino Linotype" w:eastAsia="Palatino Linotype" w:hAnsi="Palatino Linotype" w:cs="Palatino Linotype"/>
          <w:i/>
        </w:rPr>
        <w:t>”</w:t>
      </w:r>
      <w:r w:rsidRPr="001128F7">
        <w:rPr>
          <w:rFonts w:ascii="Palatino Linotype" w:eastAsia="Palatino Linotype" w:hAnsi="Palatino Linotype" w:cs="Palatino Linotype"/>
        </w:rPr>
        <w:t>, al cual no se puede acceder.</w:t>
      </w:r>
    </w:p>
    <w:p w14:paraId="55B00588" w14:textId="77777777" w:rsidR="00DE3B61" w:rsidRPr="001128F7" w:rsidRDefault="00CD5400">
      <w:pPr>
        <w:spacing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4. Turno. </w:t>
      </w:r>
      <w:r w:rsidRPr="001128F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1128F7">
        <w:rPr>
          <w:rFonts w:ascii="Palatino Linotype" w:eastAsia="Palatino Linotype" w:hAnsi="Palatino Linotype" w:cs="Palatino Linotype"/>
        </w:rPr>
        <w:lastRenderedPageBreak/>
        <w:t xml:space="preserve">del Estado de México y Municipios, a la Comisionada </w:t>
      </w:r>
      <w:r w:rsidRPr="001128F7">
        <w:rPr>
          <w:rFonts w:ascii="Palatino Linotype" w:eastAsia="Palatino Linotype" w:hAnsi="Palatino Linotype" w:cs="Palatino Linotype"/>
          <w:b/>
        </w:rPr>
        <w:t xml:space="preserve">Guadalupe Ramírez Peña, </w:t>
      </w:r>
      <w:r w:rsidRPr="001128F7">
        <w:rPr>
          <w:rFonts w:ascii="Palatino Linotype" w:eastAsia="Palatino Linotype" w:hAnsi="Palatino Linotype" w:cs="Palatino Linotype"/>
        </w:rPr>
        <w:t>a efecto de que analizara sobre su admisión o su desechamiento.</w:t>
      </w:r>
    </w:p>
    <w:p w14:paraId="5CD106C6"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5. Admisión del Recurso de revisión.</w:t>
      </w:r>
      <w:r w:rsidRPr="001128F7">
        <w:rPr>
          <w:rFonts w:ascii="Palatino Linotype" w:eastAsia="Palatino Linotype" w:hAnsi="Palatino Linotype" w:cs="Palatino Linotype"/>
        </w:rPr>
        <w:t xml:space="preserve"> El</w:t>
      </w:r>
      <w:r w:rsidRPr="001128F7">
        <w:rPr>
          <w:rFonts w:ascii="Palatino Linotype" w:eastAsia="Palatino Linotype" w:hAnsi="Palatino Linotype" w:cs="Palatino Linotype"/>
          <w:b/>
        </w:rPr>
        <w:t xml:space="preserve"> quince de marzo de dos mil veinticuatro, </w:t>
      </w:r>
      <w:r w:rsidRPr="001128F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presentara su informe justificado.</w:t>
      </w:r>
    </w:p>
    <w:p w14:paraId="59FDC800"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1128F7">
        <w:rPr>
          <w:rFonts w:ascii="Palatino Linotype" w:eastAsia="Palatino Linotype" w:hAnsi="Palatino Linotype" w:cs="Palatino Linotype"/>
          <w:b/>
        </w:rPr>
        <w:t>6. Manifestaciones</w:t>
      </w:r>
      <w:r w:rsidRPr="001128F7">
        <w:rPr>
          <w:rFonts w:ascii="Palatino Linotype" w:eastAsia="Palatino Linotype" w:hAnsi="Palatino Linotype" w:cs="Palatino Linotype"/>
        </w:rPr>
        <w:t xml:space="preserve">. De las constancias que obran en el expediente electrónico del SAIMEX se desprende que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no rindió su informe justificado, del mismo modo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omitió realizar manifestaciones, como se observa a continuación:</w:t>
      </w:r>
    </w:p>
    <w:p w14:paraId="77EE7B51"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noProof/>
        </w:rPr>
        <w:drawing>
          <wp:inline distT="0" distB="0" distL="0" distR="0" wp14:anchorId="6A2CC3A9" wp14:editId="525B1637">
            <wp:extent cx="5612130" cy="2028825"/>
            <wp:effectExtent l="0" t="0" r="0" b="0"/>
            <wp:docPr id="16439191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2028825"/>
                    </a:xfrm>
                    <a:prstGeom prst="rect">
                      <a:avLst/>
                    </a:prstGeom>
                    <a:ln/>
                  </pic:spPr>
                </pic:pic>
              </a:graphicData>
            </a:graphic>
          </wp:inline>
        </w:drawing>
      </w:r>
    </w:p>
    <w:p w14:paraId="12FDD208"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7. Cierre de instrucción. </w:t>
      </w:r>
      <w:r w:rsidRPr="001128F7">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1128F7">
        <w:rPr>
          <w:rFonts w:ascii="Palatino Linotype" w:eastAsia="Palatino Linotype" w:hAnsi="Palatino Linotype" w:cs="Palatino Linotype"/>
        </w:rPr>
        <w:lastRenderedPageBreak/>
        <w:t xml:space="preserve">el </w:t>
      </w:r>
      <w:r w:rsidRPr="001128F7">
        <w:rPr>
          <w:rFonts w:ascii="Palatino Linotype" w:eastAsia="Palatino Linotype" w:hAnsi="Palatino Linotype" w:cs="Palatino Linotype"/>
          <w:b/>
        </w:rPr>
        <w:t>quince de abril de dos mil veinticuatro</w:t>
      </w:r>
      <w:r w:rsidRPr="001128F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E6F3D45"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8. Ampliación del término para resolver</w:t>
      </w:r>
      <w:r w:rsidRPr="001128F7">
        <w:rPr>
          <w:rFonts w:ascii="Palatino Linotype" w:eastAsia="Palatino Linotype" w:hAnsi="Palatino Linotype" w:cs="Palatino Linotype"/>
        </w:rPr>
        <w:t xml:space="preserve">. El </w:t>
      </w:r>
      <w:r w:rsidRPr="001128F7">
        <w:rPr>
          <w:rFonts w:ascii="Palatino Linotype" w:eastAsia="Palatino Linotype" w:hAnsi="Palatino Linotype" w:cs="Palatino Linotype"/>
          <w:b/>
        </w:rPr>
        <w:t xml:space="preserve">catorce de agosto de dos mil veinticuatro, </w:t>
      </w:r>
      <w:r w:rsidRPr="001128F7">
        <w:rPr>
          <w:rFonts w:ascii="Palatino Linotype" w:eastAsia="Palatino Linotype" w:hAnsi="Palatino Linotype" w:cs="Palatino Linotype"/>
        </w:rPr>
        <w:t>se amplió el término para resolver el recurso de revisión en términos del artículo 181 párrafo tercero de la Ley de Transparencia y Acceso a la Información Pública del Estado de México y Municipios.</w:t>
      </w:r>
    </w:p>
    <w:p w14:paraId="7C8E5B0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C470903"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31A07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E5D01F"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96DF566" w14:textId="77777777" w:rsidR="00DE3B61" w:rsidRPr="001128F7" w:rsidRDefault="00CD5400">
      <w:pPr>
        <w:spacing w:before="240" w:after="240" w:line="360" w:lineRule="auto"/>
        <w:jc w:val="both"/>
        <w:rPr>
          <w:rFonts w:ascii="Palatino Linotype" w:eastAsia="Palatino Linotype" w:hAnsi="Palatino Linotype" w:cs="Palatino Linotype"/>
          <w:strike/>
        </w:rPr>
      </w:pPr>
      <w:r w:rsidRPr="001128F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6C3679" w14:textId="77777777" w:rsidR="00DE3B61" w:rsidRPr="001128F7" w:rsidRDefault="00CD5400">
      <w:pPr>
        <w:numPr>
          <w:ilvl w:val="0"/>
          <w:numId w:val="1"/>
        </w:num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472B9CA" w14:textId="77777777" w:rsidR="00DE3B61" w:rsidRPr="001128F7" w:rsidRDefault="00CD5400">
      <w:pPr>
        <w:numPr>
          <w:ilvl w:val="0"/>
          <w:numId w:val="1"/>
        </w:num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Actividad Procesal del interesado. Acciones u omisiones del interesado.</w:t>
      </w:r>
    </w:p>
    <w:p w14:paraId="504E618F" w14:textId="77777777" w:rsidR="00DE3B61" w:rsidRPr="001128F7" w:rsidRDefault="00CD5400">
      <w:pPr>
        <w:numPr>
          <w:ilvl w:val="0"/>
          <w:numId w:val="1"/>
        </w:num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Conducta de la Autoridad: Las Acciones u omisiones realizadas en el procedimiento. Así como si la autoridad actuó con la debida diligencia.</w:t>
      </w:r>
    </w:p>
    <w:p w14:paraId="6A01895B" w14:textId="77777777" w:rsidR="00DE3B61" w:rsidRPr="001128F7" w:rsidRDefault="00CD5400">
      <w:pPr>
        <w:spacing w:before="240" w:after="240" w:line="360" w:lineRule="auto"/>
        <w:ind w:left="567"/>
        <w:jc w:val="both"/>
        <w:rPr>
          <w:rFonts w:ascii="Palatino Linotype" w:eastAsia="Palatino Linotype" w:hAnsi="Palatino Linotype" w:cs="Palatino Linotype"/>
        </w:rPr>
      </w:pPr>
      <w:r w:rsidRPr="001128F7">
        <w:rPr>
          <w:rFonts w:ascii="Palatino Linotype" w:eastAsia="Palatino Linotype" w:hAnsi="Palatino Linotype" w:cs="Palatino Linotype"/>
        </w:rPr>
        <w:t>d) La afectación generada en la situación jurídica de la persona involucrada en el proceso: Violación a sus derechos humanos.</w:t>
      </w:r>
    </w:p>
    <w:p w14:paraId="57FF632A"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8C2CCD" w14:textId="77777777" w:rsidR="00DE3B61" w:rsidRPr="001128F7" w:rsidRDefault="00CD5400">
      <w:pPr>
        <w:spacing w:before="240" w:after="240" w:line="360" w:lineRule="auto"/>
        <w:jc w:val="both"/>
        <w:rPr>
          <w:rFonts w:ascii="Palatino Linotype" w:eastAsia="Palatino Linotype" w:hAnsi="Palatino Linotype" w:cs="Palatino Linotype"/>
          <w:b/>
        </w:rPr>
      </w:pPr>
      <w:r w:rsidRPr="001128F7">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1128F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128F7">
        <w:rPr>
          <w:rFonts w:ascii="Palatino Linotype" w:eastAsia="Palatino Linotype" w:hAnsi="Palatino Linotype" w:cs="Palatino Linotype"/>
        </w:rPr>
        <w:t>, visible en la Gaceta del Seminario Judicial de la Federación con el registro digital 205635.</w:t>
      </w:r>
    </w:p>
    <w:p w14:paraId="4B9FBFEA"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924F32"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9F50D2C" w14:textId="77777777" w:rsidR="00DE3B61" w:rsidRPr="001128F7" w:rsidRDefault="00CD5400">
      <w:pPr>
        <w:spacing w:before="240" w:after="240"/>
        <w:ind w:left="851" w:right="902"/>
        <w:jc w:val="both"/>
        <w:rPr>
          <w:rFonts w:ascii="Palatino Linotype" w:eastAsia="Palatino Linotype" w:hAnsi="Palatino Linotype" w:cs="Palatino Linotype"/>
          <w:sz w:val="22"/>
          <w:szCs w:val="22"/>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b/>
          <w:i/>
          <w:sz w:val="22"/>
          <w:szCs w:val="22"/>
        </w:rPr>
        <w:t>PLAZO RAZONABLE PARA RESOLVER. DIMENSIÓN Y EFECTOS DE ESTE CONCEPTO CUANDO SE ADUCE EXCESIVA CARGA DE TRABAJO</w:t>
      </w: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sz w:val="22"/>
          <w:szCs w:val="22"/>
        </w:rPr>
        <w:t xml:space="preserve"> consultable en el Seminario Judicial de la Federación y su gaceta, con el registro digital 2002351.</w:t>
      </w:r>
    </w:p>
    <w:p w14:paraId="79075348" w14:textId="77777777" w:rsidR="00DE3B61" w:rsidRPr="001128F7" w:rsidRDefault="00CD5400">
      <w:pPr>
        <w:spacing w:before="240" w:after="240"/>
        <w:ind w:left="851" w:right="902"/>
        <w:jc w:val="both"/>
        <w:rPr>
          <w:rFonts w:ascii="Palatino Linotype" w:eastAsia="Palatino Linotype" w:hAnsi="Palatino Linotype" w:cs="Palatino Linotype"/>
          <w:sz w:val="22"/>
          <w:szCs w:val="22"/>
        </w:rPr>
      </w:pPr>
      <w:r w:rsidRPr="001128F7">
        <w:rPr>
          <w:rFonts w:ascii="Palatino Linotype" w:eastAsia="Palatino Linotype" w:hAnsi="Palatino Linotype" w:cs="Palatino Linotype"/>
          <w:i/>
          <w:sz w:val="22"/>
          <w:szCs w:val="22"/>
        </w:rPr>
        <w:lastRenderedPageBreak/>
        <w:t>“</w:t>
      </w:r>
      <w:r w:rsidRPr="001128F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sz w:val="22"/>
          <w:szCs w:val="22"/>
        </w:rPr>
        <w:t>, visible en el Seminario Judicial de la Federación y su gaceta, con el registro digital 2002350.</w:t>
      </w:r>
    </w:p>
    <w:p w14:paraId="2912EC7D"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6075080"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1A81736" w14:textId="77777777" w:rsidR="00DE3B61" w:rsidRPr="001128F7" w:rsidRDefault="00CD5400">
      <w:pPr>
        <w:widowControl w:val="0"/>
        <w:spacing w:before="240" w:after="240" w:line="360" w:lineRule="auto"/>
        <w:jc w:val="center"/>
        <w:rPr>
          <w:rFonts w:ascii="Palatino Linotype" w:eastAsia="Palatino Linotype" w:hAnsi="Palatino Linotype" w:cs="Palatino Linotype"/>
          <w:b/>
        </w:rPr>
      </w:pPr>
      <w:r w:rsidRPr="001128F7">
        <w:rPr>
          <w:rFonts w:ascii="Palatino Linotype" w:eastAsia="Palatino Linotype" w:hAnsi="Palatino Linotype" w:cs="Palatino Linotype"/>
          <w:b/>
        </w:rPr>
        <w:t>II. C O N S I D E R A N D O S</w:t>
      </w:r>
    </w:p>
    <w:p w14:paraId="588F753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Primero. Competencia.</w:t>
      </w:r>
      <w:r w:rsidRPr="001128F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290AFE7"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128F7">
        <w:rPr>
          <w:rFonts w:ascii="Palatino Linotype" w:eastAsia="Palatino Linotype" w:hAnsi="Palatino Linotype" w:cs="Palatino Linotype"/>
          <w:b/>
        </w:rPr>
        <w:lastRenderedPageBreak/>
        <w:t>Segundo. Oportunidad y Procedibilidad del Recurso de Revisión</w:t>
      </w:r>
      <w:r w:rsidRPr="001128F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3B8DA21"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 xml:space="preserve">remitió la respuesta a la solicitud de información el día </w:t>
      </w:r>
      <w:r w:rsidRPr="001128F7">
        <w:rPr>
          <w:rFonts w:ascii="Palatino Linotype" w:eastAsia="Palatino Linotype" w:hAnsi="Palatino Linotype" w:cs="Palatino Linotype"/>
          <w:b/>
        </w:rPr>
        <w:t xml:space="preserve">seis de marzo dos mil veinticuatro, </w:t>
      </w:r>
      <w:r w:rsidRPr="001128F7">
        <w:rPr>
          <w:rFonts w:ascii="Palatino Linotype" w:eastAsia="Palatino Linotype" w:hAnsi="Palatino Linotype" w:cs="Palatino Linotype"/>
        </w:rPr>
        <w:t xml:space="preserve">mientras que el recurso de revisión interpuesto por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se tuvo por presentado el día </w:t>
      </w:r>
      <w:r w:rsidRPr="001128F7">
        <w:rPr>
          <w:rFonts w:ascii="Palatino Linotype" w:eastAsia="Palatino Linotype" w:hAnsi="Palatino Linotype" w:cs="Palatino Linotype"/>
          <w:b/>
        </w:rPr>
        <w:t>doce de marzo de dos mil veinticuatro</w:t>
      </w:r>
      <w:r w:rsidRPr="001128F7">
        <w:rPr>
          <w:rFonts w:ascii="Palatino Linotype" w:eastAsia="Palatino Linotype" w:hAnsi="Palatino Linotype" w:cs="Palatino Linotype"/>
        </w:rPr>
        <w:t>, esto es al cuarto día hábil posterior en que tuvo conocimiento de la respuesta impugnada. En este sentido, se concluye que el presente recurso de revisión se encuentra dentro de los márgenes temporales previstos en las disposiciones legales referidas.</w:t>
      </w:r>
    </w:p>
    <w:p w14:paraId="7594FA14"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128F7">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4AC62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en sus motivos de inconformidad, de acuerdo al artículo 179, fracciones V y IX del ordenamiento legal citado, que a la letra dice: </w:t>
      </w:r>
    </w:p>
    <w:p w14:paraId="22A0ADCC" w14:textId="77777777" w:rsidR="00DE3B61" w:rsidRPr="001128F7" w:rsidRDefault="00CD5400">
      <w:pPr>
        <w:tabs>
          <w:tab w:val="left" w:pos="7938"/>
        </w:tabs>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b/>
          <w:i/>
          <w:sz w:val="22"/>
          <w:szCs w:val="22"/>
        </w:rPr>
        <w:t>Artículo 179.</w:t>
      </w:r>
      <w:r w:rsidRPr="001128F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93826AE" w14:textId="77777777" w:rsidR="00DE3B61" w:rsidRPr="001128F7" w:rsidRDefault="00CD5400">
      <w:pPr>
        <w:tabs>
          <w:tab w:val="left" w:pos="7938"/>
        </w:tabs>
        <w:spacing w:before="120" w:after="120"/>
        <w:ind w:left="1134" w:right="900"/>
        <w:jc w:val="both"/>
        <w:rPr>
          <w:rFonts w:ascii="Palatino Linotype" w:eastAsia="Palatino Linotype" w:hAnsi="Palatino Linotype" w:cs="Palatino Linotype"/>
          <w:b/>
          <w:i/>
          <w:sz w:val="22"/>
          <w:szCs w:val="22"/>
        </w:rPr>
      </w:pPr>
      <w:r w:rsidRPr="001128F7">
        <w:rPr>
          <w:rFonts w:ascii="Palatino Linotype" w:eastAsia="Palatino Linotype" w:hAnsi="Palatino Linotype" w:cs="Palatino Linotype"/>
          <w:b/>
          <w:i/>
          <w:sz w:val="22"/>
          <w:szCs w:val="22"/>
        </w:rPr>
        <w:t>…</w:t>
      </w:r>
    </w:p>
    <w:p w14:paraId="4A30A432" w14:textId="77777777" w:rsidR="00DE3B61" w:rsidRPr="001128F7" w:rsidRDefault="00CD5400">
      <w:pPr>
        <w:tabs>
          <w:tab w:val="left" w:pos="7938"/>
        </w:tabs>
        <w:spacing w:before="120" w:after="120"/>
        <w:ind w:left="1134"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V.</w:t>
      </w:r>
      <w:r w:rsidRPr="001128F7">
        <w:rPr>
          <w:rFonts w:ascii="Palatino Linotype" w:eastAsia="Palatino Linotype" w:hAnsi="Palatino Linotype" w:cs="Palatino Linotype"/>
          <w:i/>
          <w:sz w:val="22"/>
          <w:szCs w:val="22"/>
        </w:rPr>
        <w:t xml:space="preserve"> La entrega de información incompleta;</w:t>
      </w:r>
    </w:p>
    <w:p w14:paraId="4717FAD7" w14:textId="77777777" w:rsidR="00DE3B61" w:rsidRPr="001128F7" w:rsidRDefault="00CD5400">
      <w:pPr>
        <w:tabs>
          <w:tab w:val="left" w:pos="7938"/>
        </w:tabs>
        <w:spacing w:before="120" w:after="120"/>
        <w:ind w:left="1134"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w:t>
      </w:r>
      <w:r w:rsidRPr="001128F7">
        <w:rPr>
          <w:rFonts w:ascii="Palatino Linotype" w:eastAsia="Palatino Linotype" w:hAnsi="Palatino Linotype" w:cs="Palatino Linotype"/>
          <w:i/>
          <w:sz w:val="22"/>
          <w:szCs w:val="22"/>
        </w:rPr>
        <w:t>..</w:t>
      </w:r>
    </w:p>
    <w:p w14:paraId="7DFEDA6D" w14:textId="77777777" w:rsidR="00DE3B61" w:rsidRPr="001128F7" w:rsidRDefault="00CD5400">
      <w:pPr>
        <w:tabs>
          <w:tab w:val="left" w:pos="7938"/>
        </w:tabs>
        <w:spacing w:before="120" w:after="120"/>
        <w:ind w:left="1134"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IX.</w:t>
      </w:r>
      <w:r w:rsidRPr="001128F7">
        <w:rPr>
          <w:rFonts w:ascii="Palatino Linotype" w:eastAsia="Palatino Linotype" w:hAnsi="Palatino Linotype" w:cs="Palatino Linotype"/>
          <w:i/>
          <w:sz w:val="22"/>
          <w:szCs w:val="22"/>
        </w:rPr>
        <w:t xml:space="preserve"> La entrega o puesta a disposición de información en un formato incomprensible y/o no accesible para el solicitante;”</w:t>
      </w:r>
    </w:p>
    <w:p w14:paraId="350E7D03" w14:textId="77777777" w:rsidR="00DE3B61" w:rsidRPr="001128F7" w:rsidRDefault="00CD5400">
      <w:pPr>
        <w:spacing w:before="240" w:after="240" w:line="360" w:lineRule="auto"/>
        <w:jc w:val="both"/>
        <w:rPr>
          <w:rFonts w:ascii="Palatino Linotype" w:eastAsia="Palatino Linotype" w:hAnsi="Palatino Linotype" w:cs="Palatino Linotype"/>
          <w:b/>
        </w:rPr>
      </w:pPr>
      <w:r w:rsidRPr="001128F7">
        <w:rPr>
          <w:rFonts w:ascii="Palatino Linotype" w:eastAsia="Palatino Linotype" w:hAnsi="Palatino Linotype" w:cs="Palatino Linotype"/>
          <w:b/>
        </w:rPr>
        <w:t xml:space="preserve">Tercero. Materia de la revisión. </w:t>
      </w:r>
      <w:r w:rsidRPr="001128F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128F7">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1128F7">
        <w:rPr>
          <w:rFonts w:ascii="Palatino Linotype" w:eastAsia="Palatino Linotype" w:hAnsi="Palatino Linotype" w:cs="Palatino Linotype"/>
        </w:rPr>
        <w:t xml:space="preserve">de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o en su defecto, en caso de ser procedente, ordenar la entrega de información.</w:t>
      </w:r>
    </w:p>
    <w:p w14:paraId="07DEA7D9"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1128F7">
        <w:rPr>
          <w:rFonts w:ascii="Palatino Linotype" w:eastAsia="Palatino Linotype" w:hAnsi="Palatino Linotype" w:cs="Palatino Linotype"/>
          <w:b/>
        </w:rPr>
        <w:t xml:space="preserve">Cuarto. Estudio del asunto. </w:t>
      </w:r>
      <w:r w:rsidRPr="001128F7">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3D9D573"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lastRenderedPageBreak/>
        <w:t>“</w:t>
      </w:r>
      <w:r w:rsidRPr="001128F7">
        <w:rPr>
          <w:rFonts w:ascii="Palatino Linotype" w:eastAsia="Palatino Linotype" w:hAnsi="Palatino Linotype" w:cs="Palatino Linotype"/>
          <w:b/>
          <w:i/>
          <w:sz w:val="22"/>
          <w:szCs w:val="22"/>
        </w:rPr>
        <w:t>Artículo 4</w:t>
      </w:r>
      <w:r w:rsidRPr="001128F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DE574C"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128F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C7D321"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128F7">
        <w:rPr>
          <w:rFonts w:ascii="Palatino Linotype" w:eastAsia="Palatino Linotype" w:hAnsi="Palatino Linotype" w:cs="Palatino Linotype"/>
          <w:i/>
          <w:sz w:val="22"/>
          <w:szCs w:val="22"/>
        </w:rPr>
        <w:t>.”</w:t>
      </w:r>
    </w:p>
    <w:p w14:paraId="4EFB6EA1"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ED007EF"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“Artículo 12.-</w:t>
      </w:r>
      <w:r w:rsidRPr="001128F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DCD0F74"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128F7">
        <w:rPr>
          <w:rFonts w:ascii="Palatino Linotype" w:eastAsia="Palatino Linotype" w:hAnsi="Palatino Linotype" w:cs="Palatino Linotype"/>
          <w:i/>
          <w:sz w:val="22"/>
          <w:szCs w:val="22"/>
        </w:rPr>
        <w:t xml:space="preserve">. </w:t>
      </w:r>
      <w:r w:rsidRPr="001128F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1128F7">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2ED68E63" w14:textId="77777777" w:rsidR="00DE3B61" w:rsidRPr="001128F7" w:rsidRDefault="00CD5400">
      <w:pPr>
        <w:spacing w:before="240" w:after="240" w:line="360" w:lineRule="auto"/>
        <w:ind w:right="-93"/>
        <w:jc w:val="both"/>
        <w:rPr>
          <w:rFonts w:ascii="Palatino Linotype" w:eastAsia="Palatino Linotype" w:hAnsi="Palatino Linotype" w:cs="Palatino Linotype"/>
        </w:rPr>
      </w:pPr>
      <w:r w:rsidRPr="001128F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8213D1C" w14:textId="77777777" w:rsidR="00DE3B61" w:rsidRPr="001128F7" w:rsidRDefault="00CD5400">
      <w:pPr>
        <w:spacing w:before="240" w:after="240" w:line="360" w:lineRule="auto"/>
        <w:jc w:val="both"/>
        <w:rPr>
          <w:rFonts w:ascii="Palatino Linotype" w:eastAsia="Palatino Linotype" w:hAnsi="Palatino Linotype" w:cs="Palatino Linotype"/>
          <w:b/>
        </w:rPr>
      </w:pPr>
      <w:r w:rsidRPr="001128F7">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1128F7">
        <w:rPr>
          <w:rFonts w:ascii="Palatino Linotype" w:eastAsia="Palatino Linotype" w:hAnsi="Palatino Linotype" w:cs="Palatino Linotype"/>
          <w:b/>
        </w:rPr>
        <w:t xml:space="preserve"> </w:t>
      </w:r>
    </w:p>
    <w:p w14:paraId="2E325083"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b/>
          <w:i/>
          <w:sz w:val="22"/>
          <w:szCs w:val="22"/>
        </w:rPr>
        <w:t>No existe obligación de elaborar documentos ad hoc para atender las solicitudes de acceso a la información.</w:t>
      </w:r>
      <w:r w:rsidRPr="001128F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5B47764C" w14:textId="77777777" w:rsidR="00DE3B61" w:rsidRPr="001128F7" w:rsidRDefault="00CD5400">
      <w:pPr>
        <w:spacing w:before="120" w:after="12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1128F7">
        <w:rPr>
          <w:rFonts w:ascii="Palatino Linotype" w:eastAsia="Palatino Linotype" w:hAnsi="Palatino Linotype" w:cs="Palatino Linotype"/>
        </w:rPr>
        <w:lastRenderedPageBreak/>
        <w:t>que es deber de los Sujetos Obligados, garantizar el Derecho de Acceso a la Información Pública.</w:t>
      </w:r>
    </w:p>
    <w:p w14:paraId="5F92311A" w14:textId="77777777" w:rsidR="00DE3B61" w:rsidRPr="001128F7" w:rsidRDefault="00CD5400">
      <w:pPr>
        <w:spacing w:before="120" w:after="12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6729714"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w:t>
      </w:r>
      <w:r w:rsidRPr="001128F7">
        <w:rPr>
          <w:rFonts w:ascii="Palatino Linotype" w:eastAsia="Palatino Linotype" w:hAnsi="Palatino Linotype" w:cs="Palatino Linotype"/>
          <w:b/>
          <w:i/>
          <w:sz w:val="22"/>
          <w:szCs w:val="22"/>
        </w:rPr>
        <w:t xml:space="preserve">Artículo 3. </w:t>
      </w:r>
      <w:r w:rsidRPr="001128F7">
        <w:rPr>
          <w:rFonts w:ascii="Palatino Linotype" w:eastAsia="Palatino Linotype" w:hAnsi="Palatino Linotype" w:cs="Palatino Linotype"/>
          <w:i/>
          <w:sz w:val="22"/>
          <w:szCs w:val="22"/>
        </w:rPr>
        <w:t>Para los efectos de la presente Ley se entenderá por:</w:t>
      </w:r>
    </w:p>
    <w:p w14:paraId="751A8B91"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w:t>
      </w:r>
    </w:p>
    <w:p w14:paraId="16692773"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t>XI. Documento:</w:t>
      </w:r>
      <w:r w:rsidRPr="001128F7">
        <w:rPr>
          <w:rFonts w:ascii="Palatino Linotype" w:eastAsia="Palatino Linotype" w:hAnsi="Palatino Linotype" w:cs="Palatino Linotype"/>
          <w:i/>
          <w:sz w:val="22"/>
          <w:szCs w:val="22"/>
        </w:rPr>
        <w:t xml:space="preserve"> Los expedientes, reportes, estudios, actas</w:t>
      </w:r>
      <w:r w:rsidRPr="001128F7">
        <w:rPr>
          <w:rFonts w:ascii="Palatino Linotype" w:eastAsia="Palatino Linotype" w:hAnsi="Palatino Linotype" w:cs="Palatino Linotype"/>
          <w:b/>
          <w:i/>
          <w:sz w:val="22"/>
          <w:szCs w:val="22"/>
        </w:rPr>
        <w:t>,</w:t>
      </w:r>
      <w:r w:rsidRPr="001128F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B1B1E4C"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663A4D"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sz w:val="22"/>
          <w:szCs w:val="22"/>
        </w:rPr>
        <w:lastRenderedPageBreak/>
        <w:t>“</w:t>
      </w:r>
      <w:r w:rsidRPr="001128F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128F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D77D00" w14:textId="77777777" w:rsidR="00DE3B61" w:rsidRPr="001128F7" w:rsidRDefault="00CD5400">
      <w:pPr>
        <w:spacing w:before="120" w:after="120"/>
        <w:ind w:left="851"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BE371D2"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9252B0"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B7B1C21" w14:textId="77777777" w:rsidR="00DE3B61" w:rsidRPr="001128F7" w:rsidRDefault="00CD5400">
      <w:pPr>
        <w:spacing w:before="120" w:after="120"/>
        <w:ind w:left="1134" w:right="902"/>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7CF2F0EE"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11DD9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w:t>
      </w:r>
      <w:r w:rsidRPr="001128F7">
        <w:rPr>
          <w:rFonts w:ascii="Palatino Linotype" w:eastAsia="Palatino Linotype" w:hAnsi="Palatino Linotype" w:cs="Palatino Linotype"/>
        </w:rPr>
        <w:lastRenderedPageBreak/>
        <w:t>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B6E9863"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requirió al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le proporcione, información consistente en lo siguiente:</w:t>
      </w:r>
    </w:p>
    <w:p w14:paraId="1CD8E017"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1. El importe total neto que se ha destinado o se va a destinar al mantenimiento y/o conservación del parque vehicular de la Comisión del Agua del Estado de México durante los ejercicios fiscales 2022, 2023 y 2024. </w:t>
      </w:r>
    </w:p>
    <w:p w14:paraId="471988D4"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2. Todos los Comprobantes Fiscales Digitales por Internet, relativos a los ejercicios fiscales 2022, 2023 y 2024; que por concepto de mantenimiento y/o conservación de vehículos que le hayan sido emitidos por el proveedor y que hayan sido pagados o liquidados con recursos asignados a las partidas presupuestales referentes al mantenimiento y/o conservación del parque vehicular de la Comisión del Agua del Estado de México. </w:t>
      </w:r>
    </w:p>
    <w:p w14:paraId="39A308E1"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 xml:space="preserve">3. Los nombres del o los servidores públicos y su cargo, que estén o hayan estado encargados de autorizar y/o rechazar llevar a cabo el mantenimiento al parque vehicular, durante los ejercicios fiscales 2022, 2023 y 2024. </w:t>
      </w:r>
    </w:p>
    <w:p w14:paraId="3E986DBD"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En atención a la materia de la solicitud, de conformidad con lo establecido en los artículos 53 fracción IV y 162 de la Ley de Transparencia y Acceso a la Información Pública del Estado de México y Municipios, la Unidad de Transparencia turnó la solicitud de información a la Dirección General de Administración y Finanzas, al considerar que es el área competente para conocer la información que es del interés de la persona solicítate, al ser la unidad administrativa responsable de 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 de conformidad con el Manual General de Organización de la Comisión del Agua del Estado de México, para cuyo objetivo se auxilia de la Dirección de Administración, que se encarga de planear, organizar y dirigir las acciones necesarias para que las unidades administrativas de la Comisión cuenten con los recursos humanos, materiales y técnicos y con los servicios generales que contribuyan al eficiente y eficaz desarrollo de sus funciones; así como de la Dirección de Finanzas, que se encarga de administrar los recursos financieros y presupuestales y supervisar que la información contable y financiera se integre conforme a los programas de trabajo y ejercicio del presupuesto de la Comisión, así como los ingresos y fiscalización e integrar la información correspondiente para la toma de decisiones.</w:t>
      </w:r>
    </w:p>
    <w:p w14:paraId="78B6C8DE" w14:textId="77777777" w:rsidR="00DE3B61" w:rsidRPr="001128F7" w:rsidRDefault="00CD5400">
      <w:pPr>
        <w:spacing w:before="240" w:after="240" w:line="360" w:lineRule="auto"/>
        <w:ind w:right="49"/>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Cabe señalar que la Dirección de Administración tiene bajo su cargo a la Subdirección de Servicios, la cual se integra por los Departamentos de Mantenimiento de Instalaciones y Vehículos, y  de Servicios Generales.</w:t>
      </w:r>
    </w:p>
    <w:p w14:paraId="1744EB5B"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En este sentido, de conformidad con el Manual General de Organización del Sujeto Obligado, la Subdirección de Servicios, a través del Departamento de Mantenimiento de Instalaciones y Vehículos, se encarga de realizar y supervisar las acciones de mantenimiento preventivo y correctivo del parque vehicular de la Comisión, para lo cual se le confieren, entre otras atribuciones, las siguientes:</w:t>
      </w:r>
    </w:p>
    <w:p w14:paraId="4A05BB87"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Proponer las especificaciones técnicas y las condiciones para mantenimiento preventivo y correctivo</w:t>
      </w:r>
      <w:r w:rsidRPr="001128F7">
        <w:rPr>
          <w:rFonts w:ascii="Palatino Linotype" w:eastAsia="Palatino Linotype" w:hAnsi="Palatino Linotype" w:cs="Palatino Linotype"/>
        </w:rPr>
        <w:t xml:space="preserve"> a los bienes inmuebles</w:t>
      </w:r>
      <w:r w:rsidRPr="001128F7">
        <w:rPr>
          <w:rFonts w:ascii="Palatino Linotype" w:eastAsia="Palatino Linotype" w:hAnsi="Palatino Linotype" w:cs="Palatino Linotype"/>
          <w:b/>
        </w:rPr>
        <w:t>, vehículos</w:t>
      </w:r>
      <w:r w:rsidRPr="001128F7">
        <w:rPr>
          <w:rFonts w:ascii="Palatino Linotype" w:eastAsia="Palatino Linotype" w:hAnsi="Palatino Linotype" w:cs="Palatino Linotype"/>
        </w:rPr>
        <w:t xml:space="preserve">, mobiliario y equipo de oficina de la Comisión. </w:t>
      </w:r>
    </w:p>
    <w:p w14:paraId="58F81018"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Participar en la elaboración de los programas de servicios de mantenimiento y conservación a</w:t>
      </w:r>
      <w:r w:rsidRPr="001128F7">
        <w:rPr>
          <w:rFonts w:ascii="Palatino Linotype" w:eastAsia="Palatino Linotype" w:hAnsi="Palatino Linotype" w:cs="Palatino Linotype"/>
        </w:rPr>
        <w:t xml:space="preserve"> bienes inmuebles, </w:t>
      </w:r>
      <w:r w:rsidRPr="001128F7">
        <w:rPr>
          <w:rFonts w:ascii="Palatino Linotype" w:eastAsia="Palatino Linotype" w:hAnsi="Palatino Linotype" w:cs="Palatino Linotype"/>
          <w:b/>
        </w:rPr>
        <w:t>vehículos</w:t>
      </w:r>
      <w:r w:rsidRPr="001128F7">
        <w:rPr>
          <w:rFonts w:ascii="Palatino Linotype" w:eastAsia="Palatino Linotype" w:hAnsi="Palatino Linotype" w:cs="Palatino Linotype"/>
        </w:rPr>
        <w:t xml:space="preserve">, mobiliario de oficina y equipo, conforme al esquema y mecanismos establecidos y de acuerdo a los recursos presupuestales autorizados a cada unidad de apoyo administrativo. </w:t>
      </w:r>
    </w:p>
    <w:p w14:paraId="3F8E51B2"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Supervisar los trabajos de mantenimiento preventivo y correctivo</w:t>
      </w:r>
      <w:r w:rsidRPr="001128F7">
        <w:rPr>
          <w:rFonts w:ascii="Palatino Linotype" w:eastAsia="Palatino Linotype" w:hAnsi="Palatino Linotype" w:cs="Palatino Linotype"/>
        </w:rPr>
        <w:t xml:space="preserve"> a las oficinas, </w:t>
      </w:r>
      <w:r w:rsidRPr="001128F7">
        <w:rPr>
          <w:rFonts w:ascii="Palatino Linotype" w:eastAsia="Palatino Linotype" w:hAnsi="Palatino Linotype" w:cs="Palatino Linotype"/>
          <w:b/>
        </w:rPr>
        <w:t>vehículos</w:t>
      </w:r>
      <w:r w:rsidRPr="001128F7">
        <w:rPr>
          <w:rFonts w:ascii="Palatino Linotype" w:eastAsia="Palatino Linotype" w:hAnsi="Palatino Linotype" w:cs="Palatino Linotype"/>
        </w:rPr>
        <w:t xml:space="preserve">, mobiliario y equipo de la Comisión, con base en los programas de mantenimiento o a los requerimientos autorizados. </w:t>
      </w:r>
    </w:p>
    <w:p w14:paraId="51E0DF7F"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Analizar y atender las solicitudes de mantenimiento preventivo y correctivo de los</w:t>
      </w:r>
      <w:r w:rsidRPr="001128F7">
        <w:rPr>
          <w:rFonts w:ascii="Palatino Linotype" w:eastAsia="Palatino Linotype" w:hAnsi="Palatino Linotype" w:cs="Palatino Linotype"/>
        </w:rPr>
        <w:t xml:space="preserve"> bienes inmuebles, </w:t>
      </w:r>
      <w:r w:rsidRPr="001128F7">
        <w:rPr>
          <w:rFonts w:ascii="Palatino Linotype" w:eastAsia="Palatino Linotype" w:hAnsi="Palatino Linotype" w:cs="Palatino Linotype"/>
          <w:b/>
        </w:rPr>
        <w:t>vehículos</w:t>
      </w:r>
      <w:r w:rsidRPr="001128F7">
        <w:rPr>
          <w:rFonts w:ascii="Palatino Linotype" w:eastAsia="Palatino Linotype" w:hAnsi="Palatino Linotype" w:cs="Palatino Linotype"/>
        </w:rPr>
        <w:t xml:space="preserve">, mobiliario y equipo de oficina para su </w:t>
      </w:r>
      <w:r w:rsidRPr="001128F7">
        <w:rPr>
          <w:rFonts w:ascii="Palatino Linotype" w:eastAsia="Palatino Linotype" w:hAnsi="Palatino Linotype" w:cs="Palatino Linotype"/>
        </w:rPr>
        <w:lastRenderedPageBreak/>
        <w:t xml:space="preserve">reparación, de acuerdo a los recursos presupuestales autorizados a cada unidad de apoyo administrativo. </w:t>
      </w:r>
    </w:p>
    <w:p w14:paraId="3AEAF011"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 xml:space="preserve">Realizar el seguimiento sistemático de los contratos de servicios bajo su responsabilidad </w:t>
      </w:r>
      <w:r w:rsidRPr="001128F7">
        <w:rPr>
          <w:rFonts w:ascii="Palatino Linotype" w:eastAsia="Palatino Linotype" w:hAnsi="Palatino Linotype" w:cs="Palatino Linotype"/>
        </w:rPr>
        <w:t xml:space="preserve">e informar oportunamente a la Subdirección de Servicios, del incumplimiento en que incurran las empresas prestadoras, así como </w:t>
      </w:r>
      <w:r w:rsidRPr="001128F7">
        <w:rPr>
          <w:rFonts w:ascii="Palatino Linotype" w:eastAsia="Palatino Linotype" w:hAnsi="Palatino Linotype" w:cs="Palatino Linotype"/>
          <w:b/>
        </w:rPr>
        <w:t>revisar y validar la facturación que presenten</w:t>
      </w:r>
      <w:r w:rsidRPr="001128F7">
        <w:rPr>
          <w:rFonts w:ascii="Palatino Linotype" w:eastAsia="Palatino Linotype" w:hAnsi="Palatino Linotype" w:cs="Palatino Linotype"/>
        </w:rPr>
        <w:t>, verificando que se apegue a las condiciones y precios señalados en los contratos.</w:t>
      </w:r>
    </w:p>
    <w:p w14:paraId="6208895A"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Supervisar los servicios que se proporcionan los talleres automotrices autorizados por la Comisión.</w:t>
      </w:r>
    </w:p>
    <w:p w14:paraId="7C8A1EFA"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Supervisar que las verificaciones de emisiones contaminantes sean efectuadas por las unidades administrativas usuarias,</w:t>
      </w:r>
      <w:r w:rsidRPr="001128F7">
        <w:rPr>
          <w:rFonts w:ascii="Palatino Linotype" w:eastAsia="Palatino Linotype" w:hAnsi="Palatino Linotype" w:cs="Palatino Linotype"/>
        </w:rPr>
        <w:t xml:space="preserve"> conforme al calendario oficial y recibir la documentación respectiva, a fin de integrar el expediente de la unidad vehicular.</w:t>
      </w:r>
    </w:p>
    <w:p w14:paraId="59D3627E"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Revisar y, en su caso, autorizar los presupuestos por concepto de reparación y mantenimiento de las unidades vehiculares</w:t>
      </w:r>
      <w:r w:rsidRPr="001128F7">
        <w:rPr>
          <w:rFonts w:ascii="Palatino Linotype" w:eastAsia="Palatino Linotype" w:hAnsi="Palatino Linotype" w:cs="Palatino Linotype"/>
        </w:rPr>
        <w:t>, de acuerdo a la normatividad vigente.</w:t>
      </w:r>
    </w:p>
    <w:p w14:paraId="1D76576A"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Coordinar con las unidades de apoyo administrativo el mantenimiento de los</w:t>
      </w:r>
      <w:r w:rsidRPr="001128F7">
        <w:rPr>
          <w:rFonts w:ascii="Palatino Linotype" w:eastAsia="Palatino Linotype" w:hAnsi="Palatino Linotype" w:cs="Palatino Linotype"/>
        </w:rPr>
        <w:t xml:space="preserve"> bienes inmuebles, </w:t>
      </w:r>
      <w:r w:rsidRPr="001128F7">
        <w:rPr>
          <w:rFonts w:ascii="Palatino Linotype" w:eastAsia="Palatino Linotype" w:hAnsi="Palatino Linotype" w:cs="Palatino Linotype"/>
          <w:b/>
        </w:rPr>
        <w:t>vehículos,</w:t>
      </w:r>
      <w:r w:rsidRPr="001128F7">
        <w:rPr>
          <w:rFonts w:ascii="Palatino Linotype" w:eastAsia="Palatino Linotype" w:hAnsi="Palatino Linotype" w:cs="Palatino Linotype"/>
        </w:rPr>
        <w:t xml:space="preserve"> mobiliario y equipo de oficina de la Comisión.</w:t>
      </w:r>
    </w:p>
    <w:p w14:paraId="6004369A"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 </w:t>
      </w:r>
      <w:r w:rsidRPr="001128F7">
        <w:rPr>
          <w:rFonts w:ascii="Palatino Linotype" w:eastAsia="Palatino Linotype" w:hAnsi="Palatino Linotype" w:cs="Palatino Linotype"/>
          <w:b/>
        </w:rPr>
        <w:t>Generar planes de trabajo para el servicio de mantenimiento</w:t>
      </w:r>
      <w:r w:rsidRPr="001128F7">
        <w:rPr>
          <w:rFonts w:ascii="Palatino Linotype" w:eastAsia="Palatino Linotype" w:hAnsi="Palatino Linotype" w:cs="Palatino Linotype"/>
        </w:rPr>
        <w:t xml:space="preserve">, que permita conservar la vida útil de los bienes inmuebles, vehículos, mobiliario y equipo de </w:t>
      </w:r>
      <w:r w:rsidRPr="001128F7">
        <w:rPr>
          <w:rFonts w:ascii="Palatino Linotype" w:eastAsia="Palatino Linotype" w:hAnsi="Palatino Linotype" w:cs="Palatino Linotype"/>
        </w:rPr>
        <w:lastRenderedPageBreak/>
        <w:t xml:space="preserve">oficina, de acuerdo a los recursos presupuestales autorizados a cada unidad de apoyo administrativo. </w:t>
      </w:r>
    </w:p>
    <w:p w14:paraId="1CAF9B86"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Establecer la calendarización de entrega recepción de órdenes de servicio de mantenimiento preventivo y reparación de los vehículos oficiales, para revisión y autorización de la misma.</w:t>
      </w:r>
    </w:p>
    <w:p w14:paraId="17EE1489" w14:textId="77777777" w:rsidR="00DE3B61" w:rsidRPr="001128F7" w:rsidRDefault="00CD5400">
      <w:pPr>
        <w:spacing w:before="240" w:after="240" w:line="360" w:lineRule="auto"/>
        <w:ind w:left="284"/>
        <w:jc w:val="both"/>
        <w:rPr>
          <w:rFonts w:ascii="Palatino Linotype" w:eastAsia="Palatino Linotype" w:hAnsi="Palatino Linotype" w:cs="Palatino Linotype"/>
        </w:rPr>
      </w:pPr>
      <w:r w:rsidRPr="001128F7">
        <w:rPr>
          <w:rFonts w:ascii="Palatino Linotype" w:eastAsia="Palatino Linotype" w:hAnsi="Palatino Linotype" w:cs="Palatino Linotype"/>
        </w:rPr>
        <w:t>- Elaborar la calendarización de visitas a los talleres autorizados, para verificar que la reparación de vehículos oficiales cumplan con las especificaciones contratadas.</w:t>
      </w:r>
    </w:p>
    <w:p w14:paraId="23968FBB"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De conformidad con lo anterior, en respuesta a la solicitud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 xml:space="preserve">proporcionó lo siguiente, con base en  la información proporcionada por la Dirección General de Administración y Finanzas: </w:t>
      </w: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DE3B61" w:rsidRPr="001128F7" w14:paraId="4608DC70" w14:textId="77777777">
        <w:tc>
          <w:tcPr>
            <w:tcW w:w="4414" w:type="dxa"/>
            <w:shd w:val="clear" w:color="auto" w:fill="D9D9D9"/>
            <w:vAlign w:val="center"/>
          </w:tcPr>
          <w:p w14:paraId="6214C91B" w14:textId="77777777" w:rsidR="00DE3B61" w:rsidRPr="001128F7" w:rsidRDefault="00CD5400">
            <w:pPr>
              <w:spacing w:before="120" w:after="120"/>
              <w:jc w:val="center"/>
              <w:rPr>
                <w:rFonts w:ascii="Palatino Linotype" w:eastAsia="Palatino Linotype" w:hAnsi="Palatino Linotype" w:cs="Palatino Linotype"/>
                <w:b/>
                <w:sz w:val="20"/>
                <w:szCs w:val="20"/>
              </w:rPr>
            </w:pPr>
            <w:r w:rsidRPr="001128F7">
              <w:rPr>
                <w:rFonts w:ascii="Palatino Linotype" w:eastAsia="Palatino Linotype" w:hAnsi="Palatino Linotype" w:cs="Palatino Linotype"/>
                <w:b/>
                <w:sz w:val="20"/>
                <w:szCs w:val="20"/>
              </w:rPr>
              <w:t>REQUERIMIENTO DE INFORMACIÓN</w:t>
            </w:r>
          </w:p>
        </w:tc>
        <w:tc>
          <w:tcPr>
            <w:tcW w:w="4414" w:type="dxa"/>
            <w:shd w:val="clear" w:color="auto" w:fill="D9D9D9"/>
            <w:vAlign w:val="center"/>
          </w:tcPr>
          <w:p w14:paraId="5273F849" w14:textId="77777777" w:rsidR="00DE3B61" w:rsidRPr="001128F7" w:rsidRDefault="00CD5400">
            <w:pPr>
              <w:spacing w:before="120" w:after="120"/>
              <w:jc w:val="center"/>
              <w:rPr>
                <w:rFonts w:ascii="Palatino Linotype" w:eastAsia="Palatino Linotype" w:hAnsi="Palatino Linotype" w:cs="Palatino Linotype"/>
                <w:b/>
                <w:sz w:val="20"/>
                <w:szCs w:val="20"/>
              </w:rPr>
            </w:pPr>
            <w:r w:rsidRPr="001128F7">
              <w:rPr>
                <w:rFonts w:ascii="Palatino Linotype" w:eastAsia="Palatino Linotype" w:hAnsi="Palatino Linotype" w:cs="Palatino Linotype"/>
                <w:b/>
                <w:sz w:val="20"/>
                <w:szCs w:val="20"/>
              </w:rPr>
              <w:t>INFORMACIÓN PROPORCIONADA</w:t>
            </w:r>
          </w:p>
        </w:tc>
      </w:tr>
      <w:tr w:rsidR="00DE3B61" w:rsidRPr="001128F7" w14:paraId="2900AE08" w14:textId="77777777">
        <w:tc>
          <w:tcPr>
            <w:tcW w:w="4414" w:type="dxa"/>
          </w:tcPr>
          <w:p w14:paraId="5CFD9F4F"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1. El importe total neto que se ha destinado o se va a destinar al mantenimiento y/o conservación del parque vehicular de la Comisión del Agua del Estado de México durante los ejercicios fiscales 2022, 2023 y 2024.</w:t>
            </w:r>
          </w:p>
        </w:tc>
        <w:tc>
          <w:tcPr>
            <w:tcW w:w="4414" w:type="dxa"/>
          </w:tcPr>
          <w:p w14:paraId="08D585C0"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Para el ejercicio 2022 el importe ejercido ascendió a la cantidad de $7,608,782.96</w:t>
            </w:r>
          </w:p>
          <w:p w14:paraId="0278C762"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En 2023 se ejercieron $8,118,034.23</w:t>
            </w:r>
          </w:p>
          <w:p w14:paraId="6E85A9A7"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Para 2024 el importe autorizado es de $9,638,811.14</w:t>
            </w:r>
          </w:p>
          <w:p w14:paraId="18CA6E93"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Información que se sustenta con los Avances presupuestales por partida de gastos al mes de diciembre de 2022, y 2023, así como con el oficio emitido por el Director de Finanzas.</w:t>
            </w:r>
          </w:p>
        </w:tc>
      </w:tr>
      <w:tr w:rsidR="00DE3B61" w:rsidRPr="001128F7" w14:paraId="09CF455F" w14:textId="77777777">
        <w:tc>
          <w:tcPr>
            <w:tcW w:w="4414" w:type="dxa"/>
          </w:tcPr>
          <w:p w14:paraId="1A213E54"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xml:space="preserve">2. Todos los Comprobantes Fiscales Digitales por Internet, relativos a los ejercicios fiscales 2022, 2023 y 2024; que por concepto de mantenimiento y/o conservación de vehículos que le hayan sido emitidos por el proveedor y que hayan sido pagados o liquidados con </w:t>
            </w:r>
            <w:r w:rsidRPr="001128F7">
              <w:rPr>
                <w:rFonts w:ascii="Palatino Linotype" w:eastAsia="Palatino Linotype" w:hAnsi="Palatino Linotype" w:cs="Palatino Linotype"/>
                <w:sz w:val="20"/>
                <w:szCs w:val="20"/>
              </w:rPr>
              <w:lastRenderedPageBreak/>
              <w:t>recursos asignados a las partidas presupuestales referentes al mantenimiento y/o conservación del parque vehicular de la Comisión del Agua del Estado de México.</w:t>
            </w:r>
          </w:p>
        </w:tc>
        <w:tc>
          <w:tcPr>
            <w:tcW w:w="4414" w:type="dxa"/>
          </w:tcPr>
          <w:p w14:paraId="0860D2B1"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lastRenderedPageBreak/>
              <w:t>Se remitieron, de manera íntegra, las facturas en formato pdf, correspondientes a los ejercicios 2022 y 2023, mediante una carpeta comprimida en formato .zip</w:t>
            </w:r>
          </w:p>
          <w:p w14:paraId="057F904B"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lastRenderedPageBreak/>
              <w:t>Respecto del ejercicio 2024, se informó que durante el periodo transcurrido a la fecha de presentación de la solicitud no se habían emitido facturas por mantenimiento preventivo y/o correctivo de vehículos.</w:t>
            </w:r>
          </w:p>
        </w:tc>
      </w:tr>
      <w:tr w:rsidR="00DE3B61" w:rsidRPr="001128F7" w14:paraId="6C299D7B" w14:textId="77777777">
        <w:tc>
          <w:tcPr>
            <w:tcW w:w="4414" w:type="dxa"/>
          </w:tcPr>
          <w:p w14:paraId="6FA502DC"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lastRenderedPageBreak/>
              <w:t>3. Los nombres del o los servidores públicos y su cargo, que estén o hayan estado encargados de autorizar y/o rechazar llevar a cabo el mantenimiento al parque vehicular, durante los ejercicios fiscales 2022, 2023 y 2024.</w:t>
            </w:r>
          </w:p>
        </w:tc>
        <w:tc>
          <w:tcPr>
            <w:tcW w:w="4414" w:type="dxa"/>
          </w:tcPr>
          <w:p w14:paraId="286B985A"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xml:space="preserve">- Durante los ejercicios 2022 y 2023, los servidores públicos encargados eran: Miguel Ángel Oliver Nava, quien ostentaba el cargo de Subdirector de Servicios, y Horacio Mar Olivares, quien ostentaba el cargo de Jefe de Departamento de Mantenimiento de Instalaciones y Vehículos. </w:t>
            </w:r>
          </w:p>
          <w:p w14:paraId="42C073DC" w14:textId="77777777" w:rsidR="00DE3B61" w:rsidRPr="001128F7" w:rsidRDefault="00CD5400">
            <w:pPr>
              <w:spacing w:before="120" w:after="120"/>
              <w:jc w:val="both"/>
              <w:rPr>
                <w:rFonts w:ascii="Palatino Linotype" w:eastAsia="Palatino Linotype" w:hAnsi="Palatino Linotype" w:cs="Palatino Linotype"/>
                <w:sz w:val="20"/>
                <w:szCs w:val="20"/>
              </w:rPr>
            </w:pPr>
            <w:r w:rsidRPr="001128F7">
              <w:rPr>
                <w:rFonts w:ascii="Palatino Linotype" w:eastAsia="Palatino Linotype" w:hAnsi="Palatino Linotype" w:cs="Palatino Linotype"/>
                <w:sz w:val="20"/>
                <w:szCs w:val="20"/>
              </w:rPr>
              <w:t>- Para el ejercicio 2024, los responsables son Miguel Ángel Trejo Reyes, como Subdirector de Servicios, y José Javier Morales Aguilar, como Jefe de Departamento de Mantenimiento de Instalaciones y Vehículos.</w:t>
            </w:r>
          </w:p>
        </w:tc>
      </w:tr>
    </w:tbl>
    <w:p w14:paraId="138B5A5E"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Sin embargo, es de señalar que la persona solicitante interpuso el recurso de revisión que nos ocupa, donde manifestó como motivo de inconformidad, en lo medular, que el archivo denominado "Anexo SAIMEX 28 Unificados.zip", no puede ser descargado, y por lo tanto, no pudo visualizar la documentación relativa a los comprobantes fiscales de los ejercicios fiscales 2022, 2023 y 2024; que por concepto de mantenimiento y/o conservación de vehículos que le hayan sido emitidos por el proveedor a la Comisión y que hayan sido pagados o liquidados con recursos asignados a las partidas presupuestales referentes al mantenimiento y/o conservación del parque vehicular.</w:t>
      </w:r>
    </w:p>
    <w:p w14:paraId="6416842A"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 xml:space="preserve">pues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manifestó, de </w:t>
      </w:r>
      <w:r w:rsidRPr="001128F7">
        <w:rPr>
          <w:rFonts w:ascii="Palatino Linotype" w:eastAsia="Palatino Linotype" w:hAnsi="Palatino Linotype" w:cs="Palatino Linotype"/>
        </w:rPr>
        <w:lastRenderedPageBreak/>
        <w:t>manera expresa, la imposibilidad para la consulta de la información requerida en el punto 2 de la solicitud, que corresponde con Comprobantes Fiscales Digitales por Internet por concepto de mantenimiento y/o conservación de vehículos, los cuales fueron entregados a través de una carpeta comprimida, no así respecto del importe total neto que se ha destinado o se va a destinar al mantenimiento y/o conservación del parque vehicular de la Comisión del Agua del Estado de México, y los nombres del o los servidores públicos que estén o hayan estado encargados de autorizar y/o rechazar llevar a cabo el mantenimiento al parque vehicular, durante los ejercicios fiscales 2022, 2023 y 2024.</w:t>
      </w:r>
    </w:p>
    <w:p w14:paraId="4ED92C0E" w14:textId="77777777" w:rsidR="00DE3B61" w:rsidRPr="001128F7" w:rsidRDefault="00CD5400">
      <w:pPr>
        <w:tabs>
          <w:tab w:val="left" w:pos="1665"/>
        </w:tabs>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satisface la solicitud presentada, respecto de los requerimientos que no fueron combatidos.</w:t>
      </w:r>
    </w:p>
    <w:p w14:paraId="7C7BE508" w14:textId="77777777" w:rsidR="00DE3B61" w:rsidRPr="001128F7" w:rsidRDefault="00CD5400">
      <w:pPr>
        <w:spacing w:before="240" w:after="36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Lo anterior es así, debido a que cuando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impugna la respuesta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80E5CD7" w14:textId="77777777" w:rsidR="00DE3B61" w:rsidRPr="001128F7" w:rsidRDefault="00CD5400">
      <w:pPr>
        <w:spacing w:before="240" w:after="360"/>
        <w:ind w:left="851"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1128F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A0C8464"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8" w:name="_heading=h.1fob9te" w:colFirst="0" w:colLast="0"/>
      <w:bookmarkEnd w:id="8"/>
      <w:r w:rsidRPr="001128F7">
        <w:rPr>
          <w:rFonts w:ascii="Palatino Linotype" w:eastAsia="Palatino Linotype" w:hAnsi="Palatino Linotype" w:cs="Palatino Linotype"/>
        </w:rPr>
        <w:t>Consecuentemente, se insiste, ante la falta de impugnación eficaz, la respuesta entregada debe declararse consentida por la persona solicitante.</w:t>
      </w:r>
    </w:p>
    <w:p w14:paraId="6D3FB376"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3FD4AC7B" w14:textId="77777777" w:rsidR="00DE3B61" w:rsidRPr="001128F7" w:rsidRDefault="00CD5400">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sidRPr="001128F7">
        <w:rPr>
          <w:rFonts w:ascii="Palatino Linotype" w:eastAsia="Palatino Linotype" w:hAnsi="Palatino Linotype" w:cs="Palatino Linotype"/>
          <w:i/>
          <w:color w:val="000000"/>
          <w:sz w:val="22"/>
          <w:szCs w:val="22"/>
        </w:rPr>
        <w:t>“</w:t>
      </w:r>
      <w:r w:rsidRPr="001128F7">
        <w:rPr>
          <w:rFonts w:ascii="Palatino Linotype" w:eastAsia="Palatino Linotype" w:hAnsi="Palatino Linotype" w:cs="Palatino Linotype"/>
          <w:b/>
          <w:i/>
          <w:color w:val="000000"/>
          <w:sz w:val="22"/>
          <w:szCs w:val="22"/>
        </w:rPr>
        <w:t xml:space="preserve">Actos consentidos tácitamente. Improcedencia de su análisis. </w:t>
      </w:r>
      <w:r w:rsidRPr="001128F7">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CE9B2D7"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C7EB8E0" w14:textId="77777777" w:rsidR="00DE3B61" w:rsidRPr="001128F7" w:rsidRDefault="00CD5400">
      <w:pPr>
        <w:ind w:left="851" w:right="900"/>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b/>
          <w:i/>
          <w:smallCaps/>
          <w:sz w:val="22"/>
          <w:szCs w:val="22"/>
        </w:rPr>
        <w:t xml:space="preserve">“ACTOS CONSENTIDOS. SON LOS QUE NO SE IMPUGNAN MEDIANTE EL RECURSO IDÓNEO. </w:t>
      </w:r>
      <w:r w:rsidRPr="001128F7">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1128F7">
        <w:rPr>
          <w:rFonts w:ascii="Palatino Linotype" w:eastAsia="Palatino Linotype" w:hAnsi="Palatino Linotype" w:cs="Palatino Linotype"/>
          <w:i/>
          <w:sz w:val="22"/>
          <w:szCs w:val="22"/>
        </w:rPr>
        <w:lastRenderedPageBreak/>
        <w:t>modificar el acto reclamado en amparo, lo que significa consentimiento del mismo por falta de impugnación eficaz.”</w:t>
      </w:r>
    </w:p>
    <w:p w14:paraId="748729E3"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Por otro lado, una vez admitido el recurso de revisión e integrado el expediente,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no realizó manifestaciones, alegatos o pruebas, y por su parte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omitió rendir su informe justificado; por lo tanto, se tiene por precluído su derecho para tal efecto.</w:t>
      </w:r>
    </w:p>
    <w:p w14:paraId="005ED25E"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Atento a los motivos de inconformidad alegados por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este Organismo Garante procedió al análisis del soporte documental remitido por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en atención al requerimiento relativo a los Comprobantes Fiscales Digitales por Internet, que por concepto de mantenimiento y/o conservación de vehículos que le hayan sido emitidos por el proveedor y que hayan sido pagados o liquidados con recursos asignados a las partidas presupuestales referentes al mantenimiento y/o conservación del parque vehicular de la Comisión del Agua del Estado de México, con la finalidad de determinar si el derecho de acceso había sido vulnerado al haberse proporcionado a través de un formato inaccesible.</w:t>
      </w:r>
    </w:p>
    <w:p w14:paraId="50B91F03" w14:textId="77777777" w:rsidR="00DE3B61" w:rsidRPr="001128F7" w:rsidRDefault="00CD54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este sentido, contrario a lo manifestado por 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 xml:space="preserve">se advirtió que el archivo "Anexo SAIMEX 28 Unificados.zip", que contiene los Comprobantes Fiscales Digitales por Internet correspondientes a los ejercicios 2022 y 2023, </w:t>
      </w:r>
      <w:r w:rsidRPr="001128F7">
        <w:rPr>
          <w:rFonts w:ascii="Palatino Linotype" w:eastAsia="Palatino Linotype" w:hAnsi="Palatino Linotype" w:cs="Palatino Linotype"/>
          <w:b/>
          <w:u w:val="single"/>
        </w:rPr>
        <w:t>sí permite su descarga</w:t>
      </w:r>
      <w:r w:rsidRPr="001128F7">
        <w:rPr>
          <w:rFonts w:ascii="Palatino Linotype" w:eastAsia="Palatino Linotype" w:hAnsi="Palatino Linotype" w:cs="Palatino Linotype"/>
        </w:rPr>
        <w:t>, como se ilustra a continuación para un mejor entendimiento:</w:t>
      </w:r>
    </w:p>
    <w:p w14:paraId="68E79F23" w14:textId="77777777" w:rsidR="00DE3B61" w:rsidRPr="001128F7" w:rsidRDefault="00CD540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1128F7">
        <w:rPr>
          <w:rFonts w:ascii="Palatino Linotype" w:eastAsia="Palatino Linotype" w:hAnsi="Palatino Linotype" w:cs="Palatino Linotype"/>
          <w:noProof/>
        </w:rPr>
        <w:lastRenderedPageBreak/>
        <w:drawing>
          <wp:inline distT="0" distB="0" distL="0" distR="0" wp14:anchorId="0B70246F" wp14:editId="683271BD">
            <wp:extent cx="4500000" cy="2259165"/>
            <wp:effectExtent l="0" t="0" r="0" b="0"/>
            <wp:docPr id="16439191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00000" cy="2259165"/>
                    </a:xfrm>
                    <a:prstGeom prst="rect">
                      <a:avLst/>
                    </a:prstGeom>
                    <a:ln/>
                  </pic:spPr>
                </pic:pic>
              </a:graphicData>
            </a:graphic>
          </wp:inline>
        </w:drawing>
      </w:r>
      <w:r w:rsidRPr="001128F7">
        <w:rPr>
          <w:noProof/>
        </w:rPr>
        <mc:AlternateContent>
          <mc:Choice Requires="wpg">
            <w:drawing>
              <wp:anchor distT="0" distB="0" distL="114300" distR="114300" simplePos="0" relativeHeight="251658240" behindDoc="0" locked="0" layoutInCell="1" hidden="0" allowOverlap="1" wp14:anchorId="7242616F" wp14:editId="77A0D03D">
                <wp:simplePos x="0" y="0"/>
                <wp:positionH relativeFrom="column">
                  <wp:posOffset>749300</wp:posOffset>
                </wp:positionH>
                <wp:positionV relativeFrom="paragraph">
                  <wp:posOffset>1600200</wp:posOffset>
                </wp:positionV>
                <wp:extent cx="485236" cy="355839"/>
                <wp:effectExtent l="0" t="0" r="0" b="0"/>
                <wp:wrapNone/>
                <wp:docPr id="1643919186" name="Conector recto de flecha 1643919186"/>
                <wp:cNvGraphicFramePr/>
                <a:graphic xmlns:a="http://schemas.openxmlformats.org/drawingml/2006/main">
                  <a:graphicData uri="http://schemas.microsoft.com/office/word/2010/wordprocessingShape">
                    <wps:wsp>
                      <wps:cNvCnPr/>
                      <wps:spPr>
                        <a:xfrm>
                          <a:off x="5160532" y="3659231"/>
                          <a:ext cx="370936" cy="241539"/>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749300</wp:posOffset>
                </wp:positionH>
                <wp:positionV relativeFrom="paragraph">
                  <wp:posOffset>1600200</wp:posOffset>
                </wp:positionV>
                <wp:extent cx="485236" cy="355839"/>
                <wp:effectExtent b="0" l="0" r="0" t="0"/>
                <wp:wrapNone/>
                <wp:docPr id="164391918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485236" cy="355839"/>
                        </a:xfrm>
                        <a:prstGeom prst="rect"/>
                        <a:ln/>
                      </pic:spPr>
                    </pic:pic>
                  </a:graphicData>
                </a:graphic>
              </wp:anchor>
            </w:drawing>
          </mc:Fallback>
        </mc:AlternateContent>
      </w:r>
    </w:p>
    <w:p w14:paraId="18D10345" w14:textId="77777777" w:rsidR="00DE3B61" w:rsidRPr="001128F7" w:rsidRDefault="00CD54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De igual forma, derivado del ejercicio anterior, se procedió a localizar el archivo señalado en el Explorador de archivos del ordenador en el cual fue descargado, como se observa a continuación:</w:t>
      </w:r>
    </w:p>
    <w:p w14:paraId="257723B8" w14:textId="77777777" w:rsidR="00DE3B61" w:rsidRPr="001128F7" w:rsidRDefault="00CD540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1128F7">
        <w:rPr>
          <w:rFonts w:ascii="Palatino Linotype" w:eastAsia="Palatino Linotype" w:hAnsi="Palatino Linotype" w:cs="Palatino Linotype"/>
          <w:noProof/>
        </w:rPr>
        <w:drawing>
          <wp:inline distT="0" distB="0" distL="0" distR="0" wp14:anchorId="6F61AA2B" wp14:editId="10CA3720">
            <wp:extent cx="5612130" cy="1889125"/>
            <wp:effectExtent l="0" t="0" r="0" b="0"/>
            <wp:docPr id="1643919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1889125"/>
                    </a:xfrm>
                    <a:prstGeom prst="rect">
                      <a:avLst/>
                    </a:prstGeom>
                    <a:ln/>
                  </pic:spPr>
                </pic:pic>
              </a:graphicData>
            </a:graphic>
          </wp:inline>
        </w:drawing>
      </w:r>
    </w:p>
    <w:p w14:paraId="66A1FF6A" w14:textId="77777777" w:rsidR="00DE3B61" w:rsidRPr="001128F7" w:rsidRDefault="00CD5400">
      <w:pPr>
        <w:spacing w:before="240" w:after="240" w:line="360" w:lineRule="auto"/>
        <w:ind w:right="51"/>
        <w:jc w:val="both"/>
        <w:rPr>
          <w:rFonts w:ascii="Palatino Linotype" w:eastAsia="Palatino Linotype" w:hAnsi="Palatino Linotype" w:cs="Palatino Linotype"/>
          <w:u w:val="single"/>
        </w:rPr>
      </w:pPr>
      <w:r w:rsidRPr="001128F7">
        <w:rPr>
          <w:rFonts w:ascii="Palatino Linotype" w:eastAsia="Palatino Linotype" w:hAnsi="Palatino Linotype" w:cs="Palatino Linotype"/>
        </w:rPr>
        <w:t xml:space="preserve">Finalmente, como se precisó en el antecedente 2 de la presente resolución, </w:t>
      </w:r>
      <w:r w:rsidRPr="001128F7">
        <w:rPr>
          <w:rFonts w:ascii="Palatino Linotype" w:eastAsia="Palatino Linotype" w:hAnsi="Palatino Linotype" w:cs="Palatino Linotype"/>
          <w:b/>
        </w:rPr>
        <w:t xml:space="preserve">se reitera que dicho archivo contiene, de manera íntegra, </w:t>
      </w:r>
      <w:r w:rsidRPr="001128F7">
        <w:rPr>
          <w:rFonts w:ascii="Palatino Linotype" w:eastAsia="Palatino Linotype" w:hAnsi="Palatino Linotype" w:cs="Palatino Linotype"/>
          <w:b/>
          <w:u w:val="single"/>
        </w:rPr>
        <w:t xml:space="preserve">los Comprobantes Fiscales Digitales por Internet, CFDI, en formato .pdf, relacionados con el servicio de mantenimiento preventivo y correctivo a vehículos de la Comisión del Agua del </w:t>
      </w:r>
      <w:r w:rsidRPr="001128F7">
        <w:rPr>
          <w:rFonts w:ascii="Palatino Linotype" w:eastAsia="Palatino Linotype" w:hAnsi="Palatino Linotype" w:cs="Palatino Linotype"/>
          <w:b/>
          <w:u w:val="single"/>
        </w:rPr>
        <w:lastRenderedPageBreak/>
        <w:t>Estado de México, durante los ejercicios 2022 y 2023</w:t>
      </w:r>
      <w:r w:rsidRPr="001128F7">
        <w:rPr>
          <w:rFonts w:ascii="Palatino Linotype" w:eastAsia="Palatino Linotype" w:hAnsi="Palatino Linotype" w:cs="Palatino Linotype"/>
        </w:rPr>
        <w:t xml:space="preserve">, distribuidos en siete archivos, mismos que </w:t>
      </w:r>
      <w:r w:rsidRPr="001128F7">
        <w:rPr>
          <w:rFonts w:ascii="Palatino Linotype" w:eastAsia="Palatino Linotype" w:hAnsi="Palatino Linotype" w:cs="Palatino Linotype"/>
          <w:b/>
          <w:u w:val="single"/>
        </w:rPr>
        <w:t>se traducen en los documentos solicitados.</w:t>
      </w:r>
    </w:p>
    <w:p w14:paraId="6FD080D6"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Cabe señalar que este Organismo Garante revisó cada uno de los documentos remitidos, logrando abrir de manera correcta todos y cada uno de ellos, incluso se revisó que su contenido fuera legible en su totalidad, concluyendo que no se encontraron elementos que dificulten el acceso a la información por no permitir su lectura.</w:t>
      </w:r>
    </w:p>
    <w:p w14:paraId="2CEB9132"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Ahora bien, si lo que quiso hacer valer 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a través del recurso de revisión, no fue el impedimento para la descarga del archivo que contiene la información, sino la imposibilidad para la consulta de la misma, se estima oportuno precisar que para tales efectos, es necesario descomprimir previamente el archivo ZIP, ya sea mediante una herramienta integrada en el sistema operativo del ordenador en el que se encuentre alojado el archivo respectivo, o bien, a través de un programa externo. A continuación se explican  ambos procedimientos de manera general:</w:t>
      </w:r>
    </w:p>
    <w:p w14:paraId="642E03F4" w14:textId="77777777" w:rsidR="00DE3B61" w:rsidRPr="001128F7" w:rsidRDefault="00CD5400">
      <w:pPr>
        <w:spacing w:before="240" w:after="240" w:line="360" w:lineRule="auto"/>
        <w:ind w:right="51"/>
        <w:jc w:val="both"/>
        <w:rPr>
          <w:rFonts w:ascii="Palatino Linotype" w:eastAsia="Palatino Linotype" w:hAnsi="Palatino Linotype" w:cs="Palatino Linotype"/>
          <w:b/>
          <w:u w:val="single"/>
        </w:rPr>
      </w:pPr>
      <w:r w:rsidRPr="001128F7">
        <w:rPr>
          <w:rFonts w:ascii="Palatino Linotype" w:eastAsia="Palatino Linotype" w:hAnsi="Palatino Linotype" w:cs="Palatino Linotype"/>
          <w:b/>
          <w:u w:val="single"/>
        </w:rPr>
        <w:t>Herramienta integrada en el sistema operativo</w:t>
      </w:r>
    </w:p>
    <w:p w14:paraId="545A8AD8"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1. Una vez localizado el archivo o carpeta en el Explorador de archivos (ya sea en la carpeta de Descargas, Documentos, o en la carpeta donde se hubiera guardado el archivo descargado), dar clic con el botón derecho en el archivo ZIP que se desea descomprimir</w:t>
      </w:r>
    </w:p>
    <w:p w14:paraId="308D6D31"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2. Seleccionar: “Extraer todo” </w:t>
      </w:r>
    </w:p>
    <w:p w14:paraId="3CA2B9C8"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lastRenderedPageBreak/>
        <w:t xml:space="preserve">3. Elegir la carpeta donde se quiere guardar el o los archivos extraídos </w:t>
      </w:r>
    </w:p>
    <w:p w14:paraId="49BE0459"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4. Dar clic en “Extraer” </w:t>
      </w:r>
    </w:p>
    <w:p w14:paraId="19B9AA3E" w14:textId="77777777" w:rsidR="00DE3B61" w:rsidRPr="001128F7" w:rsidRDefault="00CD5400">
      <w:pPr>
        <w:spacing w:before="240" w:after="240" w:line="360" w:lineRule="auto"/>
        <w:ind w:right="51"/>
        <w:jc w:val="both"/>
        <w:rPr>
          <w:rFonts w:ascii="Palatino Linotype" w:eastAsia="Palatino Linotype" w:hAnsi="Palatino Linotype" w:cs="Palatino Linotype"/>
          <w:b/>
        </w:rPr>
      </w:pPr>
      <w:r w:rsidRPr="001128F7">
        <w:rPr>
          <w:rFonts w:ascii="Palatino Linotype" w:eastAsia="Palatino Linotype" w:hAnsi="Palatino Linotype" w:cs="Palatino Linotype"/>
          <w:b/>
        </w:rPr>
        <w:t xml:space="preserve">Programa externo </w:t>
      </w:r>
    </w:p>
    <w:p w14:paraId="02C4D32F"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1. Descargar el programa (WinZip, WinRar, 7-Zip, Advanced RAR Repair, etcétera)</w:t>
      </w:r>
    </w:p>
    <w:p w14:paraId="53E67090"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2. Instalar el programa en el sistema operativo del ordenador, siguiendo las instrucciones.</w:t>
      </w:r>
    </w:p>
    <w:p w14:paraId="4A7930E3"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3. Para descomprimir el archivo o carpeta ZIP, una vez localizado en Explorador de archivos (ya sea en la carpeta de Descargas, Documentos, o en la carpeta donde se hubiera guardado el archivo descargado), dar doble clic con el botón derecho del ratón encima de él y seleccionar el programa que se haya descargado en el menú.</w:t>
      </w:r>
    </w:p>
    <w:p w14:paraId="26554683" w14:textId="77777777" w:rsidR="00DE3B61" w:rsidRPr="001128F7" w:rsidRDefault="00CD5400">
      <w:pPr>
        <w:spacing w:before="240" w:after="240" w:line="360" w:lineRule="auto"/>
        <w:ind w:left="284" w:right="51"/>
        <w:jc w:val="both"/>
        <w:rPr>
          <w:rFonts w:ascii="Palatino Linotype" w:eastAsia="Palatino Linotype" w:hAnsi="Palatino Linotype" w:cs="Palatino Linotype"/>
        </w:rPr>
      </w:pPr>
      <w:r w:rsidRPr="001128F7">
        <w:rPr>
          <w:rFonts w:ascii="Palatino Linotype" w:eastAsia="Palatino Linotype" w:hAnsi="Palatino Linotype" w:cs="Palatino Linotype"/>
        </w:rPr>
        <w:t>4. Seguir las instrucciones del programa.</w:t>
      </w:r>
    </w:p>
    <w:p w14:paraId="307EE575"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Se menciona además que en la dirección electrónica </w:t>
      </w:r>
      <w:hyperlink r:id="rId16">
        <w:r w:rsidRPr="001128F7">
          <w:rPr>
            <w:rFonts w:ascii="Palatino Linotype" w:eastAsia="Palatino Linotype" w:hAnsi="Palatino Linotype" w:cs="Palatino Linotype"/>
            <w:i/>
            <w:color w:val="0000FF"/>
            <w:sz w:val="22"/>
            <w:u w:val="single"/>
          </w:rPr>
          <w:t>https://support.microsoft.com/es-es/windows/comprimir-y-descomprimir-archivos-f6dde0a7-0fec-8294-e1d3-703ed85e7ebc</w:t>
        </w:r>
      </w:hyperlink>
      <w:r w:rsidRPr="001128F7">
        <w:rPr>
          <w:rFonts w:ascii="Palatino Linotype" w:eastAsia="Palatino Linotype" w:hAnsi="Palatino Linotype" w:cs="Palatino Linotype"/>
        </w:rPr>
        <w:t xml:space="preserve"> se localiza un tutorial para comprimir y descomprimir archivos. </w:t>
      </w:r>
    </w:p>
    <w:p w14:paraId="0F35997E"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Por lo que respecta al ejercicio 2024, debe tomarse en consideración que el área competente para generar, administrar y/o poseer la información solicitada, manifestó que no se habían emitido facturas por concepto de mantenimiento preventivo y/o correctivo de vehículos durante el periodo transcurrido a la fecha de </w:t>
      </w:r>
      <w:r w:rsidRPr="001128F7">
        <w:rPr>
          <w:rFonts w:ascii="Palatino Linotype" w:eastAsia="Palatino Linotype" w:hAnsi="Palatino Linotype" w:cs="Palatino Linotype"/>
        </w:rPr>
        <w:lastRenderedPageBreak/>
        <w:t>presentación de la solicitud, lo cual se constituye en una expresión en sentido negativo, esto es, niega la existencia de información alguna al respecto al no haberse generado.</w:t>
      </w:r>
    </w:p>
    <w:p w14:paraId="164E1E0A" w14:textId="77777777" w:rsidR="00DE3B61" w:rsidRPr="001128F7" w:rsidRDefault="00CD54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Así, al considerarse como hecho negativo, resulta obvio que 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no puede tener en sus archivos información que satisfaga esta parte del requerimiento de información, ya que no puede probarse por ser lógica y materialmente imposible, ello aunado a que este Organismo Garante no puede tener la certeza de que la información referida se debió haber generado durante el periodo al que se hace alusión, sirve de sustento la siguiente Tesis</w:t>
      </w:r>
      <w:r w:rsidRPr="001128F7">
        <w:rPr>
          <w:rFonts w:ascii="Palatino Linotype" w:eastAsia="Palatino Linotype" w:hAnsi="Palatino Linotype" w:cs="Palatino Linotype"/>
          <w:vertAlign w:val="superscript"/>
        </w:rPr>
        <w:footnoteReference w:id="1"/>
      </w:r>
      <w:r w:rsidRPr="001128F7">
        <w:rPr>
          <w:rFonts w:ascii="Palatino Linotype" w:eastAsia="Palatino Linotype" w:hAnsi="Palatino Linotype" w:cs="Palatino Linotype"/>
        </w:rPr>
        <w:t xml:space="preserve"> emitida por la Segunda Sala de la Suprema Corte de la Nación, que es del tenor literal siguiente:</w:t>
      </w:r>
    </w:p>
    <w:p w14:paraId="4DE32000" w14:textId="77777777" w:rsidR="00DE3B61" w:rsidRPr="001128F7" w:rsidRDefault="00CD5400">
      <w:pPr>
        <w:pBdr>
          <w:top w:val="nil"/>
          <w:left w:val="nil"/>
          <w:bottom w:val="nil"/>
          <w:right w:val="nil"/>
          <w:between w:val="nil"/>
        </w:pBdr>
        <w:spacing w:before="120" w:after="120"/>
        <w:ind w:left="851" w:right="900"/>
        <w:jc w:val="both"/>
      </w:pPr>
      <w:r w:rsidRPr="001128F7">
        <w:rPr>
          <w:rFonts w:ascii="Palatino Linotype" w:eastAsia="Palatino Linotype" w:hAnsi="Palatino Linotype" w:cs="Palatino Linotype"/>
          <w:b/>
          <w:i/>
          <w:sz w:val="22"/>
          <w:szCs w:val="22"/>
        </w:rPr>
        <w:t xml:space="preserve">“HECHOS NEGATIVOS, NO SON SUSCEPTIBLES DE DEMOSTRACIÓN. </w:t>
      </w:r>
      <w:r w:rsidRPr="001128F7">
        <w:rPr>
          <w:rFonts w:ascii="Palatino Linotype" w:eastAsia="Palatino Linotype" w:hAnsi="Palatino Linotype" w:cs="Palatino Linotype"/>
          <w:i/>
          <w:sz w:val="22"/>
          <w:szCs w:val="22"/>
        </w:rPr>
        <w:t>Tratándose de un hecho negativo, el Juez no tiene por que invocar prueba alguna de la que se desprenda, ya que es bien sabido que esta clase de hechos no son susceptibles de demostración.”</w:t>
      </w:r>
    </w:p>
    <w:p w14:paraId="1D4F8CF3" w14:textId="77777777" w:rsidR="00DE3B61" w:rsidRPr="001128F7" w:rsidRDefault="00CD5400">
      <w:pPr>
        <w:spacing w:before="240" w:after="240" w:line="360" w:lineRule="auto"/>
        <w:jc w:val="both"/>
        <w:rPr>
          <w:rFonts w:ascii="Palatino Linotype" w:eastAsia="Palatino Linotype" w:hAnsi="Palatino Linotype" w:cs="Palatino Linotype"/>
          <w:i/>
          <w:sz w:val="22"/>
          <w:szCs w:val="22"/>
        </w:rPr>
      </w:pPr>
      <w:r w:rsidRPr="001128F7">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declara en automática la inexistencia de la información solicitada de modo que no existe obligación de justificar o allegar pruebas, y por ende no tiene aplicación lo estatuido en el artículo 49 fracción XIII de la Ley de la Materia.</w:t>
      </w:r>
    </w:p>
    <w:p w14:paraId="0FDEFDCD" w14:textId="77777777" w:rsidR="00DE3B61" w:rsidRPr="001128F7" w:rsidRDefault="00CD5400">
      <w:pPr>
        <w:spacing w:before="240" w:after="360" w:line="360" w:lineRule="auto"/>
        <w:ind w:right="18"/>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De tal manera que basta con la aseveración por parte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en relación a la inexistencia de información relacionada con el requerimiento de información que formuló la recurrente; siendo que de conformidad con lo </w:t>
      </w:r>
      <w:r w:rsidRPr="001128F7">
        <w:rPr>
          <w:rFonts w:ascii="Palatino Linotype" w:eastAsia="Palatino Linotype" w:hAnsi="Palatino Linotype" w:cs="Palatino Linotype"/>
        </w:rPr>
        <w:lastRenderedPageBreak/>
        <w:t>establecido en el artículo 12, segundo párrafo de la Ley de Transparencia y Acceso a la Información Pública del Estado de México y Municipios, los Sujetos Obligados sólo proporcionaran la información pública que se les requiera y que obre en sus archivos y en el estado en que ésta se encuentre, en sentido contrario, no están obligados a proporcionar lo que no tengan en sus archivos.</w:t>
      </w:r>
    </w:p>
    <w:p w14:paraId="78BB6BCC" w14:textId="77777777" w:rsidR="00DE3B61" w:rsidRPr="001128F7" w:rsidRDefault="00CD5400">
      <w:pPr>
        <w:spacing w:before="240" w:after="360" w:line="360" w:lineRule="auto"/>
        <w:ind w:right="18"/>
        <w:jc w:val="both"/>
        <w:rPr>
          <w:rFonts w:ascii="Palatino Linotype" w:eastAsia="Palatino Linotype" w:hAnsi="Palatino Linotype" w:cs="Palatino Linotype"/>
        </w:rPr>
      </w:pPr>
      <w:r w:rsidRPr="001128F7">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49237881" w14:textId="77777777" w:rsidR="00DE3B61" w:rsidRPr="001128F7" w:rsidRDefault="00CD5400">
      <w:pPr>
        <w:spacing w:before="240" w:after="360" w:line="360" w:lineRule="auto"/>
        <w:ind w:right="18"/>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En este tenor, se concluye que los motivos de inconformidad de 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 xml:space="preserve">devienen infundados, toda vez que el archivo proporcionado por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para atender el requerimiento de información combatido, es accesible, permite su descarga, y contiene la información que fue requerida mediante la solicitud, por lo tanto, es evidente que el Derecho de acceso ha quedado satisfecho.</w:t>
      </w:r>
    </w:p>
    <w:p w14:paraId="70D2CF64" w14:textId="77777777" w:rsidR="00DE3B61" w:rsidRPr="001128F7" w:rsidRDefault="00CD5400">
      <w:pPr>
        <w:spacing w:before="240" w:after="240" w:line="360" w:lineRule="auto"/>
        <w:ind w:right="51"/>
        <w:jc w:val="both"/>
        <w:rPr>
          <w:rFonts w:ascii="Palatino Linotype" w:eastAsia="Palatino Linotype" w:hAnsi="Palatino Linotype" w:cs="Palatino Linotype"/>
        </w:rPr>
      </w:pPr>
      <w:r w:rsidRPr="001128F7">
        <w:rPr>
          <w:rFonts w:ascii="Palatino Linotype" w:eastAsia="Palatino Linotype" w:hAnsi="Palatino Linotype" w:cs="Palatino Linotype"/>
        </w:rPr>
        <w:t xml:space="preserve">Derivado de lo expuesto, se concluye que los motivos de inconformidad de la parte </w:t>
      </w:r>
      <w:r w:rsidRPr="001128F7">
        <w:rPr>
          <w:rFonts w:ascii="Palatino Linotype" w:eastAsia="Palatino Linotype" w:hAnsi="Palatino Linotype" w:cs="Palatino Linotype"/>
          <w:b/>
        </w:rPr>
        <w:t xml:space="preserve">Recurrente </w:t>
      </w:r>
      <w:r w:rsidRPr="001128F7">
        <w:rPr>
          <w:rFonts w:ascii="Palatino Linotype" w:eastAsia="Palatino Linotype" w:hAnsi="Palatino Linotype" w:cs="Palatino Linotype"/>
        </w:rPr>
        <w:t xml:space="preserve">devienen infundados, siendo procedente </w:t>
      </w:r>
      <w:r w:rsidRPr="001128F7">
        <w:rPr>
          <w:rFonts w:ascii="Palatino Linotype" w:eastAsia="Palatino Linotype" w:hAnsi="Palatino Linotype" w:cs="Palatino Linotype"/>
          <w:i/>
        </w:rPr>
        <w:t xml:space="preserve">Confirmar </w:t>
      </w:r>
      <w:r w:rsidRPr="001128F7">
        <w:rPr>
          <w:rFonts w:ascii="Palatino Linotype" w:eastAsia="Palatino Linotype" w:hAnsi="Palatino Linotype" w:cs="Palatino Linotype"/>
        </w:rPr>
        <w:t xml:space="preserve">la respuesta proporcionada por el </w:t>
      </w:r>
      <w:r w:rsidRPr="001128F7">
        <w:rPr>
          <w:rFonts w:ascii="Palatino Linotype" w:eastAsia="Palatino Linotype" w:hAnsi="Palatino Linotype" w:cs="Palatino Linotype"/>
          <w:b/>
        </w:rPr>
        <w:t xml:space="preserve">Sujeto Obligado </w:t>
      </w:r>
      <w:r w:rsidRPr="001128F7">
        <w:rPr>
          <w:rFonts w:ascii="Palatino Linotype" w:eastAsia="Palatino Linotype" w:hAnsi="Palatino Linotype" w:cs="Palatino Linotype"/>
        </w:rPr>
        <w:t>en términos del artículo 186, fracción II de la Ley de Transparencia y Acceso a la Información Pública del Estado de México y Municipios.</w:t>
      </w:r>
    </w:p>
    <w:p w14:paraId="626B2A0F" w14:textId="77777777" w:rsidR="00DE3B61" w:rsidRPr="001128F7" w:rsidRDefault="00CD5400">
      <w:pPr>
        <w:spacing w:before="240" w:after="240" w:line="360" w:lineRule="auto"/>
        <w:jc w:val="both"/>
        <w:rPr>
          <w:rFonts w:ascii="Palatino Linotype" w:eastAsia="Palatino Linotype" w:hAnsi="Palatino Linotype" w:cs="Palatino Linotype"/>
        </w:rPr>
      </w:pPr>
      <w:bookmarkStart w:id="9" w:name="_heading=h.17dp8vu" w:colFirst="0" w:colLast="0"/>
      <w:bookmarkEnd w:id="9"/>
      <w:r w:rsidRPr="001128F7">
        <w:rPr>
          <w:rFonts w:ascii="Palatino Linotype" w:eastAsia="Palatino Linotype" w:hAnsi="Palatino Linotype" w:cs="Palatino Linotype"/>
        </w:rPr>
        <w:t xml:space="preserve">Así, con fundamento en lo prescrito en los artículos 5 párrafos trigésimo tercero, trigésimo cuarto y trigésimo quinto de la Constitución Política del Estado Libre y </w:t>
      </w:r>
      <w:r w:rsidRPr="001128F7">
        <w:rPr>
          <w:rFonts w:ascii="Palatino Linotype" w:eastAsia="Palatino Linotype" w:hAnsi="Palatino Linotype" w:cs="Palatino Linotype"/>
        </w:rPr>
        <w:lastRenderedPageBreak/>
        <w:t>Soberano de México; 2, fracción II; 29, 36 fracciones I y II; 176, 178, 181, 185 y 186 fracción II de la Ley de Transparencia y Acceso a la Información Pública del Estado de México y Municipios, este Pleno:</w:t>
      </w:r>
    </w:p>
    <w:p w14:paraId="44396F85" w14:textId="77777777" w:rsidR="00DE3B61" w:rsidRPr="001128F7" w:rsidRDefault="00CD540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128F7">
        <w:rPr>
          <w:rFonts w:ascii="Palatino Linotype" w:eastAsia="Palatino Linotype" w:hAnsi="Palatino Linotype" w:cs="Palatino Linotype"/>
          <w:b/>
        </w:rPr>
        <w:t>III. R E S U E L V E</w:t>
      </w:r>
    </w:p>
    <w:p w14:paraId="6A7814A2"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Primero. </w:t>
      </w:r>
      <w:r w:rsidRPr="001128F7">
        <w:rPr>
          <w:rFonts w:ascii="Palatino Linotype" w:eastAsia="Palatino Linotype" w:hAnsi="Palatino Linotype" w:cs="Palatino Linotype"/>
        </w:rPr>
        <w:t xml:space="preserve">Son </w:t>
      </w:r>
      <w:r w:rsidRPr="001128F7">
        <w:rPr>
          <w:rFonts w:ascii="Palatino Linotype" w:eastAsia="Palatino Linotype" w:hAnsi="Palatino Linotype" w:cs="Palatino Linotype"/>
          <w:b/>
        </w:rPr>
        <w:t>infundadas</w:t>
      </w:r>
      <w:r w:rsidRPr="001128F7">
        <w:rPr>
          <w:rFonts w:ascii="Palatino Linotype" w:eastAsia="Palatino Linotype" w:hAnsi="Palatino Linotype" w:cs="Palatino Linotype"/>
        </w:rPr>
        <w:t xml:space="preserve"> las razones o motivos de inconformidad hechos valer por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en el recurso de revisión </w:t>
      </w:r>
      <w:r w:rsidRPr="001128F7">
        <w:rPr>
          <w:rFonts w:ascii="Palatino Linotype" w:eastAsia="Palatino Linotype" w:hAnsi="Palatino Linotype" w:cs="Palatino Linotype"/>
          <w:b/>
        </w:rPr>
        <w:t>01394/INFOEM/IP/RR/2024</w:t>
      </w:r>
      <w:r w:rsidRPr="001128F7">
        <w:rPr>
          <w:rFonts w:ascii="Palatino Linotype" w:eastAsia="Palatino Linotype" w:hAnsi="Palatino Linotype" w:cs="Palatino Linotype"/>
        </w:rPr>
        <w:t xml:space="preserve">, por lo que, en términos de los argumentos de derecho señalados en el considerando </w:t>
      </w:r>
      <w:r w:rsidRPr="001128F7">
        <w:rPr>
          <w:rFonts w:ascii="Palatino Linotype" w:eastAsia="Palatino Linotype" w:hAnsi="Palatino Linotype" w:cs="Palatino Linotype"/>
          <w:b/>
        </w:rPr>
        <w:t>Cuarto</w:t>
      </w:r>
      <w:r w:rsidRPr="001128F7">
        <w:rPr>
          <w:rFonts w:ascii="Palatino Linotype" w:eastAsia="Palatino Linotype" w:hAnsi="Palatino Linotype" w:cs="Palatino Linotype"/>
        </w:rPr>
        <w:t>, se</w:t>
      </w:r>
      <w:r w:rsidRPr="001128F7">
        <w:rPr>
          <w:rFonts w:ascii="Palatino Linotype" w:eastAsia="Palatino Linotype" w:hAnsi="Palatino Linotype" w:cs="Palatino Linotype"/>
          <w:b/>
        </w:rPr>
        <w:t xml:space="preserve"> Confirma </w:t>
      </w:r>
      <w:r w:rsidRPr="001128F7">
        <w:rPr>
          <w:rFonts w:ascii="Palatino Linotype" w:eastAsia="Palatino Linotype" w:hAnsi="Palatino Linotype" w:cs="Palatino Linotype"/>
        </w:rPr>
        <w:t xml:space="preserve">la respuesta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w:t>
      </w:r>
    </w:p>
    <w:p w14:paraId="1BBC8A75"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Segundo. Notifíquese, </w:t>
      </w:r>
      <w:r w:rsidRPr="001128F7">
        <w:rPr>
          <w:rFonts w:ascii="Palatino Linotype" w:eastAsia="Palatino Linotype" w:hAnsi="Palatino Linotype" w:cs="Palatino Linotype"/>
        </w:rPr>
        <w:t xml:space="preserve">vía </w:t>
      </w:r>
      <w:r w:rsidRPr="001128F7">
        <w:rPr>
          <w:rFonts w:ascii="Palatino Linotype" w:eastAsia="Palatino Linotype" w:hAnsi="Palatino Linotype" w:cs="Palatino Linotype"/>
          <w:b/>
        </w:rPr>
        <w:t xml:space="preserve">SAIMEX, </w:t>
      </w:r>
      <w:r w:rsidRPr="001128F7">
        <w:rPr>
          <w:rFonts w:ascii="Palatino Linotype" w:eastAsia="Palatino Linotype" w:hAnsi="Palatino Linotype" w:cs="Palatino Linotype"/>
        </w:rPr>
        <w:t xml:space="preserve">al responsable de la Unidad de Transparencia del </w:t>
      </w:r>
      <w:r w:rsidRPr="001128F7">
        <w:rPr>
          <w:rFonts w:ascii="Palatino Linotype" w:eastAsia="Palatino Linotype" w:hAnsi="Palatino Linotype" w:cs="Palatino Linotype"/>
          <w:b/>
        </w:rPr>
        <w:t>Sujeto Obligado</w:t>
      </w:r>
      <w:r w:rsidRPr="001128F7">
        <w:rPr>
          <w:rFonts w:ascii="Palatino Linotype" w:eastAsia="Palatino Linotype" w:hAnsi="Palatino Linotype" w:cs="Palatino Linotype"/>
        </w:rPr>
        <w:t xml:space="preserve"> para su conocimiento, la presente resolución.</w:t>
      </w:r>
    </w:p>
    <w:p w14:paraId="2B186ACB" w14:textId="77777777" w:rsidR="00DE3B61" w:rsidRPr="001128F7" w:rsidRDefault="00CD5400">
      <w:pPr>
        <w:spacing w:before="240" w:after="240" w:line="360" w:lineRule="auto"/>
        <w:jc w:val="both"/>
        <w:rPr>
          <w:rFonts w:ascii="Palatino Linotype" w:eastAsia="Palatino Linotype" w:hAnsi="Palatino Linotype" w:cs="Palatino Linotype"/>
        </w:rPr>
      </w:pPr>
      <w:r w:rsidRPr="001128F7">
        <w:rPr>
          <w:rFonts w:ascii="Palatino Linotype" w:eastAsia="Palatino Linotype" w:hAnsi="Palatino Linotype" w:cs="Palatino Linotype"/>
          <w:b/>
        </w:rPr>
        <w:t xml:space="preserve">Tercero.  Notifíquese, </w:t>
      </w:r>
      <w:r w:rsidRPr="001128F7">
        <w:rPr>
          <w:rFonts w:ascii="Palatino Linotype" w:eastAsia="Palatino Linotype" w:hAnsi="Palatino Linotype" w:cs="Palatino Linotype"/>
        </w:rPr>
        <w:t xml:space="preserve">vía </w:t>
      </w:r>
      <w:r w:rsidRPr="001128F7">
        <w:rPr>
          <w:rFonts w:ascii="Palatino Linotype" w:eastAsia="Palatino Linotype" w:hAnsi="Palatino Linotype" w:cs="Palatino Linotype"/>
          <w:b/>
        </w:rPr>
        <w:t xml:space="preserve">SAIMEX, </w:t>
      </w:r>
      <w:r w:rsidRPr="001128F7">
        <w:rPr>
          <w:rFonts w:ascii="Palatino Linotype" w:eastAsia="Palatino Linotype" w:hAnsi="Palatino Linotype" w:cs="Palatino Linotype"/>
        </w:rPr>
        <w:t xml:space="preserve">a la parte </w:t>
      </w:r>
      <w:r w:rsidRPr="001128F7">
        <w:rPr>
          <w:rFonts w:ascii="Palatino Linotype" w:eastAsia="Palatino Linotype" w:hAnsi="Palatino Linotype" w:cs="Palatino Linotype"/>
          <w:b/>
        </w:rPr>
        <w:t>Recurrente</w:t>
      </w:r>
      <w:r w:rsidRPr="001128F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C5C1BD" w14:textId="77777777" w:rsidR="00DE3B61" w:rsidRDefault="00CD5400">
      <w:pPr>
        <w:tabs>
          <w:tab w:val="left" w:pos="8647"/>
        </w:tabs>
        <w:spacing w:before="240" w:after="240" w:line="360" w:lineRule="auto"/>
        <w:ind w:right="51"/>
        <w:jc w:val="both"/>
        <w:rPr>
          <w:rFonts w:ascii="Palatino Linotype" w:eastAsia="Palatino Linotype" w:hAnsi="Palatino Linotype" w:cs="Palatino Linotype"/>
        </w:rPr>
      </w:pPr>
      <w:bookmarkStart w:id="10" w:name="_heading=h.1t3h5sf" w:colFirst="0" w:colLast="0"/>
      <w:bookmarkEnd w:id="10"/>
      <w:r w:rsidRPr="001128F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1128F7">
        <w:rPr>
          <w:rFonts w:ascii="Palatino Linotype" w:eastAsia="Palatino Linotype" w:hAnsi="Palatino Linotype" w:cs="Palatino Linotype"/>
        </w:rPr>
        <w:lastRenderedPageBreak/>
        <w:t>RAMÍREZ PEÑA, EN LA VIGÉSIMA NOVENA SESIÓN ORDINARIA CELEBRADA EL VEINTIUNO DE AGOSTO DE DOS MIL VEINTICUATRO, ANTE EL SECRETARIO TÉCNICO DEL PLENO ALEXIS TAPIA RAMÍREZ.</w:t>
      </w:r>
    </w:p>
    <w:p w14:paraId="57A66140" w14:textId="77777777" w:rsidR="00DE3B61" w:rsidRDefault="00DE3B61">
      <w:pPr>
        <w:spacing w:line="360" w:lineRule="auto"/>
        <w:jc w:val="both"/>
        <w:rPr>
          <w:rFonts w:ascii="Palatino Linotype" w:eastAsia="Palatino Linotype" w:hAnsi="Palatino Linotype" w:cs="Palatino Linotype"/>
        </w:rPr>
      </w:pPr>
    </w:p>
    <w:p w14:paraId="24EDBC2D" w14:textId="77777777" w:rsidR="00DE3B61" w:rsidRDefault="00DE3B61">
      <w:pPr>
        <w:spacing w:line="360" w:lineRule="auto"/>
        <w:jc w:val="both"/>
        <w:rPr>
          <w:rFonts w:ascii="Palatino Linotype" w:eastAsia="Palatino Linotype" w:hAnsi="Palatino Linotype" w:cs="Palatino Linotype"/>
        </w:rPr>
      </w:pPr>
    </w:p>
    <w:p w14:paraId="4F58E1B7" w14:textId="77777777" w:rsidR="00DE3B61" w:rsidRDefault="00DE3B61">
      <w:pPr>
        <w:spacing w:line="360" w:lineRule="auto"/>
        <w:jc w:val="both"/>
        <w:rPr>
          <w:rFonts w:ascii="Palatino Linotype" w:eastAsia="Palatino Linotype" w:hAnsi="Palatino Linotype" w:cs="Palatino Linotype"/>
        </w:rPr>
      </w:pPr>
    </w:p>
    <w:p w14:paraId="1FD7FB61" w14:textId="77777777" w:rsidR="00DE3B61" w:rsidRDefault="00DE3B61">
      <w:pPr>
        <w:spacing w:line="360" w:lineRule="auto"/>
        <w:jc w:val="both"/>
        <w:rPr>
          <w:rFonts w:ascii="Palatino Linotype" w:eastAsia="Palatino Linotype" w:hAnsi="Palatino Linotype" w:cs="Palatino Linotype"/>
        </w:rPr>
      </w:pPr>
    </w:p>
    <w:p w14:paraId="3BD3802C" w14:textId="77777777" w:rsidR="00DE3B61" w:rsidRDefault="00DE3B61">
      <w:pPr>
        <w:spacing w:line="360" w:lineRule="auto"/>
        <w:jc w:val="both"/>
        <w:rPr>
          <w:rFonts w:ascii="Palatino Linotype" w:eastAsia="Palatino Linotype" w:hAnsi="Palatino Linotype" w:cs="Palatino Linotype"/>
        </w:rPr>
      </w:pPr>
    </w:p>
    <w:p w14:paraId="3BE8D9D9" w14:textId="77777777" w:rsidR="00DE3B61" w:rsidRDefault="00DE3B61">
      <w:pPr>
        <w:spacing w:line="360" w:lineRule="auto"/>
        <w:jc w:val="both"/>
        <w:rPr>
          <w:rFonts w:ascii="Palatino Linotype" w:eastAsia="Palatino Linotype" w:hAnsi="Palatino Linotype" w:cs="Palatino Linotype"/>
        </w:rPr>
      </w:pPr>
    </w:p>
    <w:p w14:paraId="6EFA26B5" w14:textId="77777777" w:rsidR="00DE3B61" w:rsidRDefault="00DE3B61">
      <w:pPr>
        <w:spacing w:line="360" w:lineRule="auto"/>
        <w:jc w:val="both"/>
        <w:rPr>
          <w:rFonts w:ascii="Palatino Linotype" w:eastAsia="Palatino Linotype" w:hAnsi="Palatino Linotype" w:cs="Palatino Linotype"/>
        </w:rPr>
      </w:pPr>
    </w:p>
    <w:p w14:paraId="0DABD588" w14:textId="77777777" w:rsidR="00DE3B61" w:rsidRDefault="00DE3B61">
      <w:pPr>
        <w:spacing w:line="360" w:lineRule="auto"/>
        <w:jc w:val="both"/>
        <w:rPr>
          <w:rFonts w:ascii="Palatino Linotype" w:eastAsia="Palatino Linotype" w:hAnsi="Palatino Linotype" w:cs="Palatino Linotype"/>
        </w:rPr>
      </w:pPr>
    </w:p>
    <w:p w14:paraId="142B8BEA" w14:textId="77777777" w:rsidR="00DE3B61" w:rsidRDefault="00DE3B61">
      <w:pPr>
        <w:spacing w:line="360" w:lineRule="auto"/>
        <w:jc w:val="both"/>
        <w:rPr>
          <w:rFonts w:ascii="Palatino Linotype" w:eastAsia="Palatino Linotype" w:hAnsi="Palatino Linotype" w:cs="Palatino Linotype"/>
        </w:rPr>
      </w:pPr>
    </w:p>
    <w:p w14:paraId="65A34AC0" w14:textId="77777777" w:rsidR="00DE3B61" w:rsidRDefault="00DE3B61">
      <w:pPr>
        <w:spacing w:line="360" w:lineRule="auto"/>
        <w:jc w:val="both"/>
        <w:rPr>
          <w:rFonts w:ascii="Palatino Linotype" w:eastAsia="Palatino Linotype" w:hAnsi="Palatino Linotype" w:cs="Palatino Linotype"/>
        </w:rPr>
      </w:pPr>
    </w:p>
    <w:p w14:paraId="4477912D" w14:textId="77777777" w:rsidR="00DE3B61" w:rsidRDefault="00DE3B61">
      <w:pPr>
        <w:spacing w:line="360" w:lineRule="auto"/>
        <w:jc w:val="both"/>
        <w:rPr>
          <w:rFonts w:ascii="Palatino Linotype" w:eastAsia="Palatino Linotype" w:hAnsi="Palatino Linotype" w:cs="Palatino Linotype"/>
        </w:rPr>
      </w:pPr>
    </w:p>
    <w:p w14:paraId="3A0934A1" w14:textId="77777777" w:rsidR="00DE3B61" w:rsidRDefault="00DE3B61">
      <w:pPr>
        <w:spacing w:line="360" w:lineRule="auto"/>
        <w:jc w:val="both"/>
        <w:rPr>
          <w:rFonts w:ascii="Palatino Linotype" w:eastAsia="Palatino Linotype" w:hAnsi="Palatino Linotype" w:cs="Palatino Linotype"/>
        </w:rPr>
      </w:pPr>
    </w:p>
    <w:p w14:paraId="0E34D0B2" w14:textId="77777777" w:rsidR="00DE3B61" w:rsidRDefault="00DE3B61">
      <w:pPr>
        <w:spacing w:line="360" w:lineRule="auto"/>
        <w:jc w:val="both"/>
        <w:rPr>
          <w:rFonts w:ascii="Palatino Linotype" w:eastAsia="Palatino Linotype" w:hAnsi="Palatino Linotype" w:cs="Palatino Linotype"/>
        </w:rPr>
      </w:pPr>
    </w:p>
    <w:p w14:paraId="1B36E5BA" w14:textId="77777777" w:rsidR="00DE3B61" w:rsidRDefault="00DE3B61">
      <w:pPr>
        <w:spacing w:line="360" w:lineRule="auto"/>
        <w:jc w:val="both"/>
        <w:rPr>
          <w:rFonts w:ascii="Palatino Linotype" w:eastAsia="Palatino Linotype" w:hAnsi="Palatino Linotype" w:cs="Palatino Linotype"/>
        </w:rPr>
      </w:pPr>
    </w:p>
    <w:p w14:paraId="2417D8BA" w14:textId="77777777" w:rsidR="00DE3B61" w:rsidRDefault="00DE3B61">
      <w:pPr>
        <w:spacing w:line="360" w:lineRule="auto"/>
        <w:jc w:val="both"/>
        <w:rPr>
          <w:rFonts w:ascii="Palatino Linotype" w:eastAsia="Palatino Linotype" w:hAnsi="Palatino Linotype" w:cs="Palatino Linotype"/>
        </w:rPr>
      </w:pPr>
    </w:p>
    <w:p w14:paraId="41E22E56" w14:textId="77777777" w:rsidR="00DE3B61" w:rsidRDefault="00DE3B61">
      <w:pPr>
        <w:spacing w:line="360" w:lineRule="auto"/>
        <w:jc w:val="both"/>
        <w:rPr>
          <w:rFonts w:ascii="Palatino Linotype" w:eastAsia="Palatino Linotype" w:hAnsi="Palatino Linotype" w:cs="Palatino Linotype"/>
        </w:rPr>
      </w:pPr>
    </w:p>
    <w:p w14:paraId="1D18801F" w14:textId="77777777" w:rsidR="00DE3B61" w:rsidRDefault="00DE3B61">
      <w:pPr>
        <w:spacing w:line="360" w:lineRule="auto"/>
        <w:jc w:val="both"/>
        <w:rPr>
          <w:rFonts w:ascii="Palatino Linotype" w:eastAsia="Palatino Linotype" w:hAnsi="Palatino Linotype" w:cs="Palatino Linotype"/>
        </w:rPr>
      </w:pPr>
    </w:p>
    <w:p w14:paraId="4FF7E7CC" w14:textId="77777777" w:rsidR="00DE3B61" w:rsidRDefault="00DE3B61">
      <w:pPr>
        <w:spacing w:line="360" w:lineRule="auto"/>
        <w:jc w:val="both"/>
        <w:rPr>
          <w:rFonts w:ascii="Palatino Linotype" w:eastAsia="Palatino Linotype" w:hAnsi="Palatino Linotype" w:cs="Palatino Linotype"/>
        </w:rPr>
      </w:pPr>
    </w:p>
    <w:p w14:paraId="74846256" w14:textId="77777777" w:rsidR="00DE3B61" w:rsidRDefault="00DE3B61">
      <w:pPr>
        <w:spacing w:line="360" w:lineRule="auto"/>
        <w:jc w:val="both"/>
        <w:rPr>
          <w:rFonts w:ascii="Palatino Linotype" w:eastAsia="Palatino Linotype" w:hAnsi="Palatino Linotype" w:cs="Palatino Linotype"/>
        </w:rPr>
      </w:pPr>
    </w:p>
    <w:p w14:paraId="15BD664B" w14:textId="77777777" w:rsidR="00DE3B61" w:rsidRDefault="00DE3B61">
      <w:pPr>
        <w:spacing w:line="360" w:lineRule="auto"/>
        <w:jc w:val="both"/>
        <w:rPr>
          <w:rFonts w:ascii="Palatino Linotype" w:eastAsia="Palatino Linotype" w:hAnsi="Palatino Linotype" w:cs="Palatino Linotype"/>
        </w:rPr>
      </w:pPr>
    </w:p>
    <w:p w14:paraId="1E0A180D" w14:textId="77777777" w:rsidR="00DE3B61" w:rsidRDefault="00DE3B61">
      <w:pPr>
        <w:spacing w:line="360" w:lineRule="auto"/>
        <w:jc w:val="both"/>
        <w:rPr>
          <w:rFonts w:ascii="Palatino Linotype" w:eastAsia="Palatino Linotype" w:hAnsi="Palatino Linotype" w:cs="Palatino Linotype"/>
        </w:rPr>
      </w:pPr>
    </w:p>
    <w:p w14:paraId="0449652C" w14:textId="77777777" w:rsidR="00DE3B61" w:rsidRDefault="00DE3B61">
      <w:pPr>
        <w:spacing w:line="360" w:lineRule="auto"/>
        <w:jc w:val="both"/>
        <w:rPr>
          <w:rFonts w:ascii="Palatino Linotype" w:eastAsia="Palatino Linotype" w:hAnsi="Palatino Linotype" w:cs="Palatino Linotype"/>
        </w:rPr>
      </w:pPr>
    </w:p>
    <w:sectPr w:rsidR="00DE3B61">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40373" w14:textId="77777777" w:rsidR="0069405F" w:rsidRDefault="0069405F">
      <w:r>
        <w:separator/>
      </w:r>
    </w:p>
  </w:endnote>
  <w:endnote w:type="continuationSeparator" w:id="0">
    <w:p w14:paraId="331F1BB8" w14:textId="77777777" w:rsidR="0069405F" w:rsidRDefault="0069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D560" w14:textId="77777777" w:rsidR="00DE3B61" w:rsidRDefault="00CD540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5248922D" w14:textId="77777777" w:rsidR="00DE3B61" w:rsidRDefault="00DE3B6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41BA" w14:textId="77777777" w:rsidR="00DE3B61" w:rsidRDefault="00CD540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409F4540" w14:textId="77777777" w:rsidR="00DE3B61" w:rsidRDefault="00DE3B6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6269" w14:textId="77777777" w:rsidR="0069405F" w:rsidRDefault="0069405F">
      <w:r>
        <w:separator/>
      </w:r>
    </w:p>
  </w:footnote>
  <w:footnote w:type="continuationSeparator" w:id="0">
    <w:p w14:paraId="777781D2" w14:textId="77777777" w:rsidR="0069405F" w:rsidRDefault="0069405F">
      <w:r>
        <w:continuationSeparator/>
      </w:r>
    </w:p>
  </w:footnote>
  <w:footnote w:id="1">
    <w:p w14:paraId="3326FBA1" w14:textId="77777777" w:rsidR="00DE3B61" w:rsidRDefault="00CD54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1C60" w14:textId="77777777" w:rsidR="00DE3B61" w:rsidRDefault="00CD5400">
    <w:pPr>
      <w:rPr>
        <w:rFonts w:ascii="Cambria" w:eastAsia="Cambria" w:hAnsi="Cambria" w:cs="Cambria"/>
        <w:color w:val="000000"/>
      </w:rPr>
    </w:pPr>
    <w:r>
      <w:rPr>
        <w:noProof/>
      </w:rPr>
      <w:drawing>
        <wp:anchor distT="0" distB="0" distL="0" distR="0" simplePos="0" relativeHeight="251658240" behindDoc="1" locked="0" layoutInCell="1" hidden="0" allowOverlap="1" wp14:anchorId="46133538" wp14:editId="69ED71EB">
          <wp:simplePos x="0" y="0"/>
          <wp:positionH relativeFrom="column">
            <wp:posOffset>-1080105</wp:posOffset>
          </wp:positionH>
          <wp:positionV relativeFrom="paragraph">
            <wp:posOffset>-488280</wp:posOffset>
          </wp:positionV>
          <wp:extent cx="7809865" cy="10165715"/>
          <wp:effectExtent l="0" t="0" r="0" b="0"/>
          <wp:wrapNone/>
          <wp:docPr id="1643919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DE3B61" w14:paraId="440DD9D5" w14:textId="77777777">
      <w:tc>
        <w:tcPr>
          <w:tcW w:w="2489" w:type="dxa"/>
          <w:shd w:val="clear" w:color="auto" w:fill="auto"/>
        </w:tcPr>
        <w:p w14:paraId="76306317" w14:textId="77777777" w:rsidR="00DE3B61" w:rsidRDefault="00CD5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9566FDA" w14:textId="77777777" w:rsidR="00DE3B61" w:rsidRDefault="00CD540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01394/INFOEM/IP/RR/2024</w:t>
          </w:r>
        </w:p>
      </w:tc>
    </w:tr>
    <w:tr w:rsidR="00DE3B61" w14:paraId="45CC00A4" w14:textId="77777777">
      <w:trPr>
        <w:trHeight w:val="228"/>
      </w:trPr>
      <w:tc>
        <w:tcPr>
          <w:tcW w:w="2489" w:type="dxa"/>
          <w:shd w:val="clear" w:color="auto" w:fill="auto"/>
          <w:vAlign w:val="center"/>
        </w:tcPr>
        <w:p w14:paraId="626A9FD6" w14:textId="77777777" w:rsidR="00DE3B61" w:rsidRDefault="00CD5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82BE51" w14:textId="77777777" w:rsidR="00DE3B61" w:rsidRDefault="00CD540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DE3B61" w14:paraId="035374D6" w14:textId="77777777">
      <w:tc>
        <w:tcPr>
          <w:tcW w:w="2489" w:type="dxa"/>
          <w:shd w:val="clear" w:color="auto" w:fill="auto"/>
          <w:vAlign w:val="center"/>
        </w:tcPr>
        <w:p w14:paraId="3E417DE7" w14:textId="77777777" w:rsidR="00DE3B61" w:rsidRDefault="00CD540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187D717" w14:textId="77777777" w:rsidR="00DE3B61" w:rsidRDefault="00CD540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3B5E360" w14:textId="77777777" w:rsidR="00DE3B61" w:rsidRDefault="00CD540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C964" w14:textId="77777777" w:rsidR="00DE3B61" w:rsidRDefault="00CD540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3836A3" wp14:editId="6894E520">
          <wp:simplePos x="0" y="0"/>
          <wp:positionH relativeFrom="column">
            <wp:posOffset>-1080131</wp:posOffset>
          </wp:positionH>
          <wp:positionV relativeFrom="paragraph">
            <wp:posOffset>-369908</wp:posOffset>
          </wp:positionV>
          <wp:extent cx="7809865" cy="10165715"/>
          <wp:effectExtent l="0" t="0" r="0" b="0"/>
          <wp:wrapNone/>
          <wp:docPr id="1643919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DE3B61" w14:paraId="7A461BD4" w14:textId="77777777">
      <w:tc>
        <w:tcPr>
          <w:tcW w:w="2489" w:type="dxa"/>
          <w:shd w:val="clear" w:color="auto" w:fill="auto"/>
        </w:tcPr>
        <w:p w14:paraId="42BC08F3" w14:textId="77777777" w:rsidR="00DE3B61" w:rsidRDefault="00CD5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2B02346" w14:textId="77777777" w:rsidR="00DE3B61" w:rsidRDefault="00CD540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01394/INFOEM/IP/RR/2024</w:t>
          </w:r>
        </w:p>
      </w:tc>
    </w:tr>
    <w:tr w:rsidR="00DE3B61" w14:paraId="4887FF98" w14:textId="77777777">
      <w:tc>
        <w:tcPr>
          <w:tcW w:w="2489" w:type="dxa"/>
          <w:shd w:val="clear" w:color="auto" w:fill="auto"/>
        </w:tcPr>
        <w:p w14:paraId="6EA68754" w14:textId="77777777" w:rsidR="00DE3B61" w:rsidRDefault="00CD5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5A29057" w14:textId="75982F0B" w:rsidR="00DE3B61" w:rsidRDefault="00D9251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 XXXX </w:t>
          </w:r>
        </w:p>
      </w:tc>
    </w:tr>
    <w:tr w:rsidR="00DE3B61" w14:paraId="7DB48082" w14:textId="77777777">
      <w:trPr>
        <w:trHeight w:val="228"/>
      </w:trPr>
      <w:tc>
        <w:tcPr>
          <w:tcW w:w="2489" w:type="dxa"/>
          <w:shd w:val="clear" w:color="auto" w:fill="auto"/>
          <w:vAlign w:val="center"/>
        </w:tcPr>
        <w:p w14:paraId="24654795" w14:textId="77777777" w:rsidR="00DE3B61" w:rsidRDefault="00CD5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C77DF0B" w14:textId="77777777" w:rsidR="00DE3B61" w:rsidRDefault="00CD540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DE3B61" w14:paraId="4912235D" w14:textId="77777777">
      <w:tc>
        <w:tcPr>
          <w:tcW w:w="2489" w:type="dxa"/>
          <w:shd w:val="clear" w:color="auto" w:fill="auto"/>
          <w:vAlign w:val="center"/>
        </w:tcPr>
        <w:p w14:paraId="10B3016D" w14:textId="77777777" w:rsidR="00DE3B61" w:rsidRDefault="00CD540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E4A725D" w14:textId="77777777" w:rsidR="00DE3B61" w:rsidRDefault="00CD540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E38EDC" w14:textId="77777777" w:rsidR="00DE3B61" w:rsidRDefault="00DE3B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514C"/>
    <w:multiLevelType w:val="multilevel"/>
    <w:tmpl w:val="4AFC2F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49E5D4F"/>
    <w:multiLevelType w:val="multilevel"/>
    <w:tmpl w:val="DBFE567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61"/>
    <w:rsid w:val="001128F7"/>
    <w:rsid w:val="00280729"/>
    <w:rsid w:val="006354C1"/>
    <w:rsid w:val="0069405F"/>
    <w:rsid w:val="00CD5400"/>
    <w:rsid w:val="00D9251F"/>
    <w:rsid w:val="00DE3B61"/>
    <w:rsid w:val="00EC2E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CC892"/>
  <w15:docId w15:val="{D882FCE8-8198-42BE-84C8-DA3E77E0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pport.microsoft.com/es-es/windows/comprimir-y-descomprimir-archivos-f6dde0a7-0fec-8294-e1d3-703ed85e7eb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dTei0QzhxTfFDNQX8Qz6L3ybw==">CgMxLjAyCWguNGQzNG9nODIIaC5namRneHMyCWguM2R5NnZrbTIJaC4zMGowemxsMgloLjJzOGV5bzEyCGgudHlqY3d0MgloLjN6bnlzaDcyCWguMmV0OTJwMDIJaC4xZm9iOXRlMgloLjE3ZHA4dnUyCWguMXQzaDVzZjgAciExek5YSWhzR0I2VGRXSkNyLWU4elhPbllXemMxcmd2eGs=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7986</Words>
  <Characters>43926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2024-08-23T05:32:00Z</cp:lastPrinted>
  <dcterms:created xsi:type="dcterms:W3CDTF">2024-08-27T16:43:00Z</dcterms:created>
  <dcterms:modified xsi:type="dcterms:W3CDTF">2024-08-27T16:43:00Z</dcterms:modified>
</cp:coreProperties>
</file>