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7BBE708B"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934FFB" w:rsidRPr="0024127B">
        <w:rPr>
          <w:rFonts w:ascii="Palatino Linotype" w:eastAsia="Palatino Linotype" w:hAnsi="Palatino Linotype" w:cs="Palatino Linotype"/>
          <w:sz w:val="22"/>
          <w:szCs w:val="22"/>
        </w:rPr>
        <w:t>veintisiete</w:t>
      </w:r>
      <w:r w:rsidRPr="0024127B">
        <w:rPr>
          <w:rFonts w:ascii="Palatino Linotype" w:eastAsia="Palatino Linotype" w:hAnsi="Palatino Linotype" w:cs="Palatino Linotype"/>
          <w:sz w:val="22"/>
          <w:szCs w:val="22"/>
        </w:rPr>
        <w:t xml:space="preserve"> de </w:t>
      </w:r>
      <w:r w:rsidR="00934FFB" w:rsidRPr="0024127B">
        <w:rPr>
          <w:rFonts w:ascii="Palatino Linotype" w:eastAsia="Palatino Linotype" w:hAnsi="Palatino Linotype" w:cs="Palatino Linotype"/>
          <w:sz w:val="22"/>
          <w:szCs w:val="22"/>
        </w:rPr>
        <w:t>noviembre</w:t>
      </w:r>
      <w:r w:rsidR="00A556C9" w:rsidRPr="0024127B">
        <w:rPr>
          <w:rFonts w:ascii="Palatino Linotype" w:eastAsia="Palatino Linotype" w:hAnsi="Palatino Linotype" w:cs="Palatino Linotype"/>
          <w:sz w:val="22"/>
          <w:szCs w:val="22"/>
        </w:rPr>
        <w:t xml:space="preserve"> de dos mil veinticuatro.</w:t>
      </w:r>
    </w:p>
    <w:p w14:paraId="31F692CA"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5B6A1B35" w14:textId="6DAD57E1" w:rsidR="003A5BF3" w:rsidRPr="0024127B" w:rsidRDefault="00B830DD" w:rsidP="00C9447F">
      <w:pPr>
        <w:spacing w:line="360" w:lineRule="auto"/>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Visto</w:t>
      </w:r>
      <w:r w:rsidRPr="0024127B">
        <w:rPr>
          <w:rFonts w:ascii="Palatino Linotype" w:eastAsia="Palatino Linotype" w:hAnsi="Palatino Linotype" w:cs="Palatino Linotype"/>
          <w:sz w:val="22"/>
          <w:szCs w:val="22"/>
        </w:rPr>
        <w:t xml:space="preserve"> el expediente relativo al recurso de revisión </w:t>
      </w:r>
      <w:r w:rsidR="003A5012" w:rsidRPr="0024127B">
        <w:rPr>
          <w:rFonts w:ascii="Palatino Linotype" w:eastAsia="Palatino Linotype" w:hAnsi="Palatino Linotype" w:cs="Palatino Linotype"/>
          <w:b/>
          <w:sz w:val="22"/>
          <w:szCs w:val="22"/>
        </w:rPr>
        <w:t>06809/INFOEM/IP/RR/2024</w:t>
      </w:r>
      <w:r w:rsidRPr="0024127B">
        <w:rPr>
          <w:rFonts w:ascii="Palatino Linotype" w:eastAsia="Palatino Linotype" w:hAnsi="Palatino Linotype" w:cs="Palatino Linotype"/>
          <w:sz w:val="22"/>
          <w:szCs w:val="22"/>
        </w:rPr>
        <w:t xml:space="preserve">, interpuesto por </w:t>
      </w:r>
      <w:r w:rsidR="00934FFB" w:rsidRPr="0024127B">
        <w:rPr>
          <w:rFonts w:ascii="Palatino Linotype" w:eastAsia="Palatino Linotype" w:hAnsi="Palatino Linotype" w:cs="Palatino Linotype"/>
          <w:sz w:val="22"/>
          <w:szCs w:val="22"/>
        </w:rPr>
        <w:t>Un Usuario que no proporcionó su nombre</w:t>
      </w:r>
      <w:r w:rsidRPr="0024127B">
        <w:rPr>
          <w:rFonts w:ascii="Palatino Linotype" w:eastAsia="Palatino Linotype" w:hAnsi="Palatino Linotype" w:cs="Palatino Linotype"/>
          <w:sz w:val="22"/>
          <w:szCs w:val="22"/>
        </w:rPr>
        <w:t>, en lo sucesivo se le denominará la parte</w:t>
      </w:r>
      <w:r w:rsidRPr="0024127B">
        <w:rPr>
          <w:rFonts w:ascii="Palatino Linotype" w:eastAsia="Palatino Linotype" w:hAnsi="Palatino Linotype" w:cs="Palatino Linotype"/>
          <w:b/>
          <w:sz w:val="22"/>
          <w:szCs w:val="22"/>
        </w:rPr>
        <w:t xml:space="preserve"> RECURRENTE</w:t>
      </w:r>
      <w:r w:rsidRPr="0024127B">
        <w:rPr>
          <w:rFonts w:ascii="Palatino Linotype" w:eastAsia="Palatino Linotype" w:hAnsi="Palatino Linotype" w:cs="Palatino Linotype"/>
          <w:sz w:val="22"/>
          <w:szCs w:val="22"/>
        </w:rPr>
        <w:t>, en contra de la respuesta a su solicitud de información con número de folio</w:t>
      </w:r>
      <w:r w:rsidRPr="0024127B">
        <w:rPr>
          <w:rFonts w:ascii="Palatino Linotype" w:eastAsia="Palatino Linotype" w:hAnsi="Palatino Linotype" w:cs="Palatino Linotype"/>
          <w:b/>
          <w:sz w:val="22"/>
          <w:szCs w:val="22"/>
        </w:rPr>
        <w:t xml:space="preserve"> </w:t>
      </w:r>
      <w:r w:rsidR="00934FFB" w:rsidRPr="0024127B">
        <w:rPr>
          <w:rFonts w:ascii="Palatino Linotype" w:eastAsia="Palatino Linotype" w:hAnsi="Palatino Linotype" w:cs="Palatino Linotype"/>
          <w:b/>
          <w:sz w:val="22"/>
          <w:szCs w:val="22"/>
        </w:rPr>
        <w:t>00</w:t>
      </w:r>
      <w:r w:rsidR="00DD299C" w:rsidRPr="0024127B">
        <w:rPr>
          <w:rFonts w:ascii="Palatino Linotype" w:eastAsia="Palatino Linotype" w:hAnsi="Palatino Linotype" w:cs="Palatino Linotype"/>
          <w:b/>
          <w:sz w:val="22"/>
          <w:szCs w:val="22"/>
        </w:rPr>
        <w:t>628</w:t>
      </w:r>
      <w:r w:rsidR="00934FFB" w:rsidRPr="0024127B">
        <w:rPr>
          <w:rFonts w:ascii="Palatino Linotype" w:eastAsia="Palatino Linotype" w:hAnsi="Palatino Linotype" w:cs="Palatino Linotype"/>
          <w:b/>
          <w:sz w:val="22"/>
          <w:szCs w:val="22"/>
        </w:rPr>
        <w:t>/TEMAMATL/IP/2024</w:t>
      </w:r>
      <w:r w:rsidRPr="0024127B">
        <w:rPr>
          <w:rFonts w:ascii="Palatino Linotype" w:eastAsia="Palatino Linotype" w:hAnsi="Palatino Linotype" w:cs="Palatino Linotype"/>
          <w:sz w:val="22"/>
          <w:szCs w:val="22"/>
        </w:rPr>
        <w:t>, por parte</w:t>
      </w:r>
      <w:r w:rsidR="00934FFB" w:rsidRPr="0024127B">
        <w:rPr>
          <w:rFonts w:ascii="Palatino Linotype" w:eastAsia="Palatino Linotype" w:hAnsi="Palatino Linotype" w:cs="Palatino Linotype"/>
          <w:sz w:val="22"/>
          <w:szCs w:val="22"/>
        </w:rPr>
        <w:t xml:space="preserve"> del</w:t>
      </w:r>
      <w:r w:rsidRPr="0024127B">
        <w:rPr>
          <w:rFonts w:ascii="Palatino Linotype" w:eastAsia="Palatino Linotype" w:hAnsi="Palatino Linotype" w:cs="Palatino Linotype"/>
          <w:sz w:val="22"/>
          <w:szCs w:val="22"/>
        </w:rPr>
        <w:t xml:space="preserve"> </w:t>
      </w:r>
      <w:r w:rsidR="00934FFB" w:rsidRPr="0024127B">
        <w:rPr>
          <w:rFonts w:ascii="Palatino Linotype" w:eastAsia="Palatino Linotype" w:hAnsi="Palatino Linotype" w:cs="Palatino Linotype"/>
          <w:b/>
          <w:sz w:val="22"/>
          <w:szCs w:val="22"/>
        </w:rPr>
        <w:t>Ayuntamiento de Temamatla</w:t>
      </w:r>
      <w:r w:rsidRPr="0024127B">
        <w:rPr>
          <w:rFonts w:ascii="Palatino Linotype" w:eastAsia="Palatino Linotype" w:hAnsi="Palatino Linotype" w:cs="Palatino Linotype"/>
          <w:b/>
          <w:sz w:val="22"/>
          <w:szCs w:val="22"/>
        </w:rPr>
        <w:t xml:space="preserve"> </w:t>
      </w:r>
      <w:r w:rsidRPr="0024127B">
        <w:rPr>
          <w:rFonts w:ascii="Palatino Linotype" w:eastAsia="Palatino Linotype" w:hAnsi="Palatino Linotype" w:cs="Palatino Linotype"/>
          <w:sz w:val="22"/>
          <w:szCs w:val="22"/>
        </w:rPr>
        <w:t xml:space="preserve">en lo sucesivo el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w:t>
      </w:r>
      <w:r w:rsidRPr="0024127B">
        <w:rPr>
          <w:rFonts w:ascii="Palatino Linotype" w:eastAsia="Palatino Linotype" w:hAnsi="Palatino Linotype" w:cs="Palatino Linotype"/>
          <w:b/>
          <w:sz w:val="22"/>
          <w:szCs w:val="22"/>
        </w:rPr>
        <w:t xml:space="preserve"> </w:t>
      </w:r>
      <w:r w:rsidRPr="0024127B">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24127B" w:rsidRDefault="003A5BF3" w:rsidP="00934FFB">
      <w:pPr>
        <w:spacing w:line="360" w:lineRule="auto"/>
        <w:jc w:val="center"/>
        <w:rPr>
          <w:rFonts w:ascii="Palatino Linotype" w:eastAsia="Palatino Linotype" w:hAnsi="Palatino Linotype" w:cs="Palatino Linotype"/>
          <w:sz w:val="22"/>
          <w:szCs w:val="22"/>
        </w:rPr>
      </w:pPr>
    </w:p>
    <w:p w14:paraId="4DB5A613" w14:textId="77777777" w:rsidR="003A5BF3" w:rsidRPr="0024127B" w:rsidRDefault="00B830DD" w:rsidP="00934F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A N T E C E D E N T E S:</w:t>
      </w:r>
    </w:p>
    <w:p w14:paraId="4CB0FBCC" w14:textId="77777777" w:rsidR="003A5BF3" w:rsidRPr="0024127B"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3CB8933B" w14:textId="39E65D63" w:rsidR="003A5BF3" w:rsidRPr="0024127B" w:rsidRDefault="00B830DD" w:rsidP="00C9447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 xml:space="preserve">Solicitud de acceso a la información. </w:t>
      </w:r>
      <w:r w:rsidRPr="0024127B">
        <w:rPr>
          <w:rFonts w:ascii="Palatino Linotype" w:eastAsia="Palatino Linotype" w:hAnsi="Palatino Linotype" w:cs="Palatino Linotype"/>
          <w:sz w:val="22"/>
          <w:szCs w:val="22"/>
        </w:rPr>
        <w:t xml:space="preserve">Con fecha </w:t>
      </w:r>
      <w:r w:rsidR="00DD299C" w:rsidRPr="0024127B">
        <w:rPr>
          <w:rFonts w:ascii="Palatino Linotype" w:eastAsia="Palatino Linotype" w:hAnsi="Palatino Linotype" w:cs="Palatino Linotype"/>
          <w:b/>
          <w:sz w:val="22"/>
          <w:szCs w:val="22"/>
        </w:rPr>
        <w:t>siete</w:t>
      </w:r>
      <w:r w:rsidR="00934FFB" w:rsidRPr="0024127B">
        <w:rPr>
          <w:rFonts w:ascii="Palatino Linotype" w:eastAsia="Palatino Linotype" w:hAnsi="Palatino Linotype" w:cs="Palatino Linotype"/>
          <w:sz w:val="22"/>
          <w:szCs w:val="22"/>
        </w:rPr>
        <w:t xml:space="preserve"> </w:t>
      </w:r>
      <w:r w:rsidRPr="0024127B">
        <w:rPr>
          <w:rFonts w:ascii="Palatino Linotype" w:eastAsia="Palatino Linotype" w:hAnsi="Palatino Linotype" w:cs="Palatino Linotype"/>
          <w:b/>
          <w:sz w:val="22"/>
          <w:szCs w:val="22"/>
        </w:rPr>
        <w:t xml:space="preserve">de </w:t>
      </w:r>
      <w:r w:rsidR="00934FFB" w:rsidRPr="0024127B">
        <w:rPr>
          <w:rFonts w:ascii="Palatino Linotype" w:eastAsia="Palatino Linotype" w:hAnsi="Palatino Linotype" w:cs="Palatino Linotype"/>
          <w:b/>
          <w:sz w:val="22"/>
          <w:szCs w:val="22"/>
        </w:rPr>
        <w:t>octubre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xml:space="preserve">, la parte </w:t>
      </w:r>
      <w:r w:rsidRPr="0024127B">
        <w:rPr>
          <w:rFonts w:ascii="Palatino Linotype" w:eastAsia="Palatino Linotype" w:hAnsi="Palatino Linotype" w:cs="Palatino Linotype"/>
          <w:b/>
          <w:sz w:val="22"/>
          <w:szCs w:val="22"/>
        </w:rPr>
        <w:t>RECURRENTE</w:t>
      </w:r>
      <w:r w:rsidRPr="0024127B">
        <w:rPr>
          <w:rFonts w:ascii="Palatino Linotype" w:eastAsia="Palatino Linotype" w:hAnsi="Palatino Linotype" w:cs="Palatino Linotype"/>
          <w:sz w:val="22"/>
          <w:szCs w:val="22"/>
        </w:rPr>
        <w:t xml:space="preserve"> formuló solicitud de acceso a información pública al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 xml:space="preserve"> a través del Sistema de Acceso a la Información Mexiquense, en adelante </w:t>
      </w:r>
      <w:r w:rsidRPr="0024127B">
        <w:rPr>
          <w:rFonts w:ascii="Palatino Linotype" w:eastAsia="Palatino Linotype" w:hAnsi="Palatino Linotype" w:cs="Palatino Linotype"/>
          <w:b/>
          <w:sz w:val="22"/>
          <w:szCs w:val="22"/>
        </w:rPr>
        <w:t>SAIMEX</w:t>
      </w:r>
      <w:r w:rsidRPr="0024127B">
        <w:rPr>
          <w:rFonts w:ascii="Palatino Linotype" w:eastAsia="Palatino Linotype" w:hAnsi="Palatino Linotype" w:cs="Palatino Linotype"/>
          <w:sz w:val="22"/>
          <w:szCs w:val="22"/>
        </w:rPr>
        <w:t>; en la que requirió lo siguiente:</w:t>
      </w:r>
    </w:p>
    <w:p w14:paraId="0FF51B46" w14:textId="77777777" w:rsidR="003A5BF3" w:rsidRPr="0024127B"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2401EE" w14:textId="4FB05448" w:rsidR="003A5BF3" w:rsidRPr="0024127B" w:rsidRDefault="00B830DD" w:rsidP="00C9447F">
      <w:pPr>
        <w:spacing w:line="360" w:lineRule="auto"/>
        <w:ind w:left="567" w:right="616"/>
        <w:jc w:val="both"/>
        <w:rPr>
          <w:rFonts w:ascii="Palatino Linotype" w:eastAsia="Palatino Linotype" w:hAnsi="Palatino Linotype" w:cs="Palatino Linotype"/>
          <w:b/>
          <w:bCs/>
          <w:i/>
          <w:sz w:val="22"/>
          <w:szCs w:val="22"/>
        </w:rPr>
      </w:pPr>
      <w:r w:rsidRPr="0024127B">
        <w:rPr>
          <w:rFonts w:ascii="Palatino Linotype" w:eastAsia="Palatino Linotype" w:hAnsi="Palatino Linotype" w:cs="Palatino Linotype"/>
          <w:b/>
          <w:bCs/>
          <w:i/>
          <w:sz w:val="22"/>
          <w:szCs w:val="22"/>
        </w:rPr>
        <w:t>“</w:t>
      </w:r>
      <w:r w:rsidR="00DD299C" w:rsidRPr="0024127B">
        <w:rPr>
          <w:rFonts w:ascii="Palatino Linotype" w:eastAsia="Palatino Linotype" w:hAnsi="Palatino Linotype" w:cs="Palatino Linotype"/>
          <w:b/>
          <w:bCs/>
          <w:i/>
          <w:sz w:val="22"/>
          <w:szCs w:val="22"/>
        </w:rPr>
        <w:t>Cuales de los asentamientos humanos oficialmente reconocidos por la administración</w:t>
      </w:r>
      <w:r w:rsidR="00DD299C" w:rsidRPr="0024127B">
        <w:rPr>
          <w:rFonts w:ascii="Palatino Linotype" w:eastAsia="Palatino Linotype" w:hAnsi="Palatino Linotype" w:cs="Palatino Linotype"/>
          <w:i/>
          <w:sz w:val="22"/>
          <w:szCs w:val="22"/>
        </w:rPr>
        <w:t xml:space="preserve"> 2022-2024, han sido beneficiados con obra </w:t>
      </w:r>
      <w:proofErr w:type="spellStart"/>
      <w:r w:rsidR="00DD299C" w:rsidRPr="0024127B">
        <w:rPr>
          <w:rFonts w:ascii="Palatino Linotype" w:eastAsia="Palatino Linotype" w:hAnsi="Palatino Linotype" w:cs="Palatino Linotype"/>
          <w:i/>
          <w:sz w:val="22"/>
          <w:szCs w:val="22"/>
        </w:rPr>
        <w:t>publica</w:t>
      </w:r>
      <w:proofErr w:type="spellEnd"/>
      <w:r w:rsidR="00DD299C" w:rsidRPr="0024127B">
        <w:rPr>
          <w:rFonts w:ascii="Palatino Linotype" w:eastAsia="Palatino Linotype" w:hAnsi="Palatino Linotype" w:cs="Palatino Linotype"/>
          <w:i/>
          <w:sz w:val="22"/>
          <w:szCs w:val="22"/>
        </w:rPr>
        <w:t xml:space="preserve"> durante la administración 2022-2024 en que asentamiento y de </w:t>
      </w:r>
      <w:proofErr w:type="spellStart"/>
      <w:r w:rsidR="00DD299C" w:rsidRPr="0024127B">
        <w:rPr>
          <w:rFonts w:ascii="Palatino Linotype" w:eastAsia="Palatino Linotype" w:hAnsi="Palatino Linotype" w:cs="Palatino Linotype"/>
          <w:i/>
          <w:sz w:val="22"/>
          <w:szCs w:val="22"/>
        </w:rPr>
        <w:t>que</w:t>
      </w:r>
      <w:proofErr w:type="spellEnd"/>
      <w:r w:rsidR="00DD299C" w:rsidRPr="0024127B">
        <w:rPr>
          <w:rFonts w:ascii="Palatino Linotype" w:eastAsia="Palatino Linotype" w:hAnsi="Palatino Linotype" w:cs="Palatino Linotype"/>
          <w:i/>
          <w:sz w:val="22"/>
          <w:szCs w:val="22"/>
        </w:rPr>
        <w:t xml:space="preserve"> tipo de obra se </w:t>
      </w:r>
      <w:proofErr w:type="spellStart"/>
      <w:r w:rsidR="00DD299C" w:rsidRPr="0024127B">
        <w:rPr>
          <w:rFonts w:ascii="Palatino Linotype" w:eastAsia="Palatino Linotype" w:hAnsi="Palatino Linotype" w:cs="Palatino Linotype"/>
          <w:i/>
          <w:sz w:val="22"/>
          <w:szCs w:val="22"/>
        </w:rPr>
        <w:t>trato</w:t>
      </w:r>
      <w:proofErr w:type="spellEnd"/>
      <w:r w:rsidR="00DD299C" w:rsidRPr="0024127B">
        <w:rPr>
          <w:rFonts w:ascii="Palatino Linotype" w:eastAsia="Palatino Linotype" w:hAnsi="Palatino Linotype" w:cs="Palatino Linotype"/>
          <w:i/>
          <w:sz w:val="22"/>
          <w:szCs w:val="22"/>
        </w:rPr>
        <w:t xml:space="preserve"> y de que costo</w:t>
      </w:r>
      <w:r w:rsidRPr="0024127B">
        <w:rPr>
          <w:rFonts w:ascii="Palatino Linotype" w:eastAsia="Palatino Linotype" w:hAnsi="Palatino Linotype" w:cs="Palatino Linotype"/>
          <w:i/>
          <w:sz w:val="22"/>
          <w:szCs w:val="22"/>
        </w:rPr>
        <w:t>”</w:t>
      </w:r>
    </w:p>
    <w:p w14:paraId="056AD577" w14:textId="77777777" w:rsidR="003A5BF3" w:rsidRPr="0024127B" w:rsidRDefault="003A5BF3" w:rsidP="00C9447F">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Modalidad elegida para la entrega de la información: </w:t>
      </w:r>
      <w:r w:rsidRPr="0024127B">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36A54A25" w14:textId="4EFBD15C" w:rsidR="003A5BF3" w:rsidRPr="0024127B" w:rsidRDefault="00B830DD" w:rsidP="00C9447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lastRenderedPageBreak/>
        <w:t xml:space="preserve">Respuesta. </w:t>
      </w:r>
      <w:r w:rsidRPr="0024127B">
        <w:rPr>
          <w:rFonts w:ascii="Palatino Linotype" w:eastAsia="Palatino Linotype" w:hAnsi="Palatino Linotype" w:cs="Palatino Linotype"/>
          <w:sz w:val="22"/>
          <w:szCs w:val="22"/>
        </w:rPr>
        <w:t xml:space="preserve">En fecha </w:t>
      </w:r>
      <w:r w:rsidR="00DD299C" w:rsidRPr="0024127B">
        <w:rPr>
          <w:rFonts w:ascii="Palatino Linotype" w:eastAsia="Palatino Linotype" w:hAnsi="Palatino Linotype" w:cs="Palatino Linotype"/>
          <w:b/>
          <w:sz w:val="22"/>
          <w:szCs w:val="22"/>
        </w:rPr>
        <w:t>veintitrés</w:t>
      </w:r>
      <w:r w:rsidRPr="0024127B">
        <w:rPr>
          <w:rFonts w:ascii="Palatino Linotype" w:eastAsia="Palatino Linotype" w:hAnsi="Palatino Linotype" w:cs="Palatino Linotype"/>
          <w:b/>
          <w:sz w:val="22"/>
          <w:szCs w:val="22"/>
        </w:rPr>
        <w:t xml:space="preserve"> de </w:t>
      </w:r>
      <w:r w:rsidR="00934FFB" w:rsidRPr="0024127B">
        <w:rPr>
          <w:rFonts w:ascii="Palatino Linotype" w:eastAsia="Palatino Linotype" w:hAnsi="Palatino Linotype" w:cs="Palatino Linotype"/>
          <w:b/>
          <w:sz w:val="22"/>
          <w:szCs w:val="22"/>
        </w:rPr>
        <w:t>octubre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xml:space="preserve"> se tuvo por presentada la respuesta,</w:t>
      </w:r>
      <w:r w:rsidRPr="0024127B">
        <w:rPr>
          <w:rFonts w:ascii="Palatino Linotype" w:eastAsia="Palatino Linotype" w:hAnsi="Palatino Linotype" w:cs="Palatino Linotype"/>
          <w:b/>
          <w:sz w:val="22"/>
          <w:szCs w:val="22"/>
        </w:rPr>
        <w:t xml:space="preserve"> </w:t>
      </w:r>
      <w:r w:rsidRPr="0024127B">
        <w:rPr>
          <w:rFonts w:ascii="Palatino Linotype" w:eastAsia="Palatino Linotype" w:hAnsi="Palatino Linotype" w:cs="Palatino Linotype"/>
          <w:sz w:val="22"/>
          <w:szCs w:val="22"/>
        </w:rPr>
        <w:t xml:space="preserve">mediante la cual el </w:t>
      </w:r>
      <w:r w:rsidRPr="0024127B">
        <w:rPr>
          <w:rFonts w:ascii="Palatino Linotype" w:eastAsia="Palatino Linotype" w:hAnsi="Palatino Linotype" w:cs="Palatino Linotype"/>
          <w:b/>
          <w:sz w:val="22"/>
          <w:szCs w:val="22"/>
        </w:rPr>
        <w:t xml:space="preserve">SUJETO OBLIGADO </w:t>
      </w:r>
      <w:r w:rsidRPr="0024127B">
        <w:rPr>
          <w:rFonts w:ascii="Palatino Linotype" w:eastAsia="Palatino Linotype" w:hAnsi="Palatino Linotype" w:cs="Palatino Linotype"/>
          <w:sz w:val="22"/>
          <w:szCs w:val="22"/>
        </w:rPr>
        <w:t>señaló de lo siguiente:</w:t>
      </w:r>
    </w:p>
    <w:p w14:paraId="7E1A2D21" w14:textId="77777777" w:rsidR="003A5BF3" w:rsidRPr="0024127B"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D2F1789" w14:textId="77777777" w:rsidR="00DD299C" w:rsidRPr="0024127B" w:rsidRDefault="00DD299C" w:rsidP="00DD29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A6A980" w14:textId="77777777" w:rsidR="00DD299C" w:rsidRPr="0024127B" w:rsidRDefault="00DD299C" w:rsidP="00DD29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w:t>
      </w:r>
      <w:r w:rsidRPr="0024127B">
        <w:rPr>
          <w:rFonts w:ascii="Palatino Linotype" w:eastAsia="Palatino Linotype" w:hAnsi="Palatino Linotype" w:cs="Palatino Linotype"/>
          <w:i/>
          <w:sz w:val="22"/>
          <w:szCs w:val="22"/>
        </w:rPr>
        <w:lastRenderedPageBreak/>
        <w:t>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EC17F52" w14:textId="77777777" w:rsidR="00DD299C" w:rsidRPr="0024127B" w:rsidRDefault="00DD299C" w:rsidP="00DD29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lastRenderedPageBreak/>
        <w:t>ATENTAMENTE</w:t>
      </w:r>
    </w:p>
    <w:p w14:paraId="73AAEC8D" w14:textId="403E553D" w:rsidR="00934FFB" w:rsidRPr="0024127B" w:rsidRDefault="00DD299C" w:rsidP="00DD299C">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i/>
          <w:sz w:val="22"/>
          <w:szCs w:val="22"/>
        </w:rPr>
        <w:t xml:space="preserve">Lic. Derecho Claudia </w:t>
      </w:r>
      <w:proofErr w:type="spellStart"/>
      <w:r w:rsidRPr="0024127B">
        <w:rPr>
          <w:rFonts w:ascii="Palatino Linotype" w:eastAsia="Palatino Linotype" w:hAnsi="Palatino Linotype" w:cs="Palatino Linotype"/>
          <w:i/>
          <w:sz w:val="22"/>
          <w:szCs w:val="22"/>
        </w:rPr>
        <w:t>Jimenéz</w:t>
      </w:r>
      <w:proofErr w:type="spellEnd"/>
      <w:r w:rsidRPr="0024127B">
        <w:rPr>
          <w:rFonts w:ascii="Palatino Linotype" w:eastAsia="Palatino Linotype" w:hAnsi="Palatino Linotype" w:cs="Palatino Linotype"/>
          <w:i/>
          <w:sz w:val="22"/>
          <w:szCs w:val="22"/>
        </w:rPr>
        <w:t xml:space="preserve"> Maldonado</w:t>
      </w:r>
    </w:p>
    <w:p w14:paraId="008D24EF" w14:textId="77777777" w:rsidR="00DD299C" w:rsidRPr="0024127B" w:rsidRDefault="00DD299C"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103F9C" w14:textId="09208EF4" w:rsidR="003A5BF3" w:rsidRPr="0024127B" w:rsidRDefault="00934FFB"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Asimismo, adjuntó los</w:t>
      </w:r>
      <w:r w:rsidR="00B830DD" w:rsidRPr="0024127B">
        <w:rPr>
          <w:rFonts w:ascii="Palatino Linotype" w:eastAsia="Palatino Linotype" w:hAnsi="Palatino Linotype" w:cs="Palatino Linotype"/>
          <w:sz w:val="22"/>
          <w:szCs w:val="22"/>
        </w:rPr>
        <w:t xml:space="preserve"> documento</w:t>
      </w:r>
      <w:r w:rsidRPr="0024127B">
        <w:rPr>
          <w:rFonts w:ascii="Palatino Linotype" w:eastAsia="Palatino Linotype" w:hAnsi="Palatino Linotype" w:cs="Palatino Linotype"/>
          <w:sz w:val="22"/>
          <w:szCs w:val="22"/>
        </w:rPr>
        <w:t>s</w:t>
      </w:r>
      <w:r w:rsidR="00B830DD" w:rsidRPr="0024127B">
        <w:rPr>
          <w:rFonts w:ascii="Palatino Linotype" w:eastAsia="Palatino Linotype" w:hAnsi="Palatino Linotype" w:cs="Palatino Linotype"/>
          <w:sz w:val="22"/>
          <w:szCs w:val="22"/>
        </w:rPr>
        <w:t xml:space="preserve"> electrónico</w:t>
      </w:r>
      <w:r w:rsidRPr="0024127B">
        <w:rPr>
          <w:rFonts w:ascii="Palatino Linotype" w:eastAsia="Palatino Linotype" w:hAnsi="Palatino Linotype" w:cs="Palatino Linotype"/>
          <w:sz w:val="22"/>
          <w:szCs w:val="22"/>
        </w:rPr>
        <w:t>s siguientes:</w:t>
      </w:r>
    </w:p>
    <w:p w14:paraId="5C652D18" w14:textId="77777777" w:rsidR="003A5BF3" w:rsidRPr="0024127B" w:rsidRDefault="003A5BF3"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6A1F56C" w14:textId="4AC94533" w:rsidR="00F54CB6" w:rsidRPr="0024127B" w:rsidRDefault="00F54CB6" w:rsidP="00934FFB">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SOLIX. 628</w:t>
      </w:r>
      <w:r w:rsidR="00934FFB" w:rsidRPr="0024127B">
        <w:rPr>
          <w:rFonts w:ascii="Palatino Linotype" w:eastAsia="Palatino Linotype" w:hAnsi="Palatino Linotype" w:cs="Palatino Linotype"/>
          <w:b/>
          <w:sz w:val="22"/>
          <w:szCs w:val="22"/>
        </w:rPr>
        <w:t xml:space="preserve">.pdf: </w:t>
      </w:r>
      <w:r w:rsidRPr="0024127B">
        <w:rPr>
          <w:rFonts w:ascii="Palatino Linotype" w:eastAsia="Palatino Linotype" w:hAnsi="Palatino Linotype" w:cs="Palatino Linotype"/>
          <w:sz w:val="22"/>
          <w:szCs w:val="22"/>
        </w:rPr>
        <w:t xml:space="preserve">Oficio DOP/373/2024 firmado por el </w:t>
      </w:r>
      <w:proofErr w:type="gramStart"/>
      <w:r w:rsidRPr="0024127B">
        <w:rPr>
          <w:rFonts w:ascii="Palatino Linotype" w:eastAsia="Palatino Linotype" w:hAnsi="Palatino Linotype" w:cs="Palatino Linotype"/>
          <w:sz w:val="22"/>
          <w:szCs w:val="22"/>
        </w:rPr>
        <w:t>Director</w:t>
      </w:r>
      <w:proofErr w:type="gramEnd"/>
      <w:r w:rsidRPr="0024127B">
        <w:rPr>
          <w:rFonts w:ascii="Palatino Linotype" w:eastAsia="Palatino Linotype" w:hAnsi="Palatino Linotype" w:cs="Palatino Linotype"/>
          <w:sz w:val="22"/>
          <w:szCs w:val="22"/>
        </w:rPr>
        <w:t xml:space="preserve"> de Obras Públicas mediante el cual refiere que se han realizado obras públicas en colonias catalogadas como zona urbanizable; sin embargo, la información relativa a asentamientos humanos corresponde a la Dirección Municipal de Desarrollo urbano.</w:t>
      </w:r>
    </w:p>
    <w:p w14:paraId="34F858DC" w14:textId="77777777" w:rsidR="003A5BF3" w:rsidRPr="0024127B" w:rsidRDefault="003A5BF3" w:rsidP="00C9447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675BB3A" w14:textId="461C9912" w:rsidR="003A5BF3" w:rsidRPr="0024127B" w:rsidRDefault="00B830DD" w:rsidP="00C9447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Interposición del recurso de revisión. </w:t>
      </w:r>
      <w:r w:rsidRPr="0024127B">
        <w:rPr>
          <w:rFonts w:ascii="Palatino Linotype" w:eastAsia="Palatino Linotype" w:hAnsi="Palatino Linotype" w:cs="Palatino Linotype"/>
          <w:sz w:val="22"/>
          <w:szCs w:val="22"/>
        </w:rPr>
        <w:t xml:space="preserve">Inconforme con la respuesta del </w:t>
      </w:r>
      <w:r w:rsidRPr="0024127B">
        <w:rPr>
          <w:rFonts w:ascii="Palatino Linotype" w:eastAsia="Palatino Linotype" w:hAnsi="Palatino Linotype" w:cs="Palatino Linotype"/>
          <w:b/>
          <w:sz w:val="22"/>
          <w:szCs w:val="22"/>
        </w:rPr>
        <w:t>SUJETO OBLIGADO el ahora RECURRENTE</w:t>
      </w:r>
      <w:r w:rsidRPr="0024127B">
        <w:rPr>
          <w:rFonts w:ascii="Palatino Linotype" w:eastAsia="Palatino Linotype" w:hAnsi="Palatino Linotype" w:cs="Palatino Linotype"/>
          <w:sz w:val="22"/>
          <w:szCs w:val="22"/>
        </w:rPr>
        <w:t xml:space="preserve"> interpuso recurso de revisión a través del SAIMEX en fecha </w:t>
      </w:r>
      <w:r w:rsidR="00337389" w:rsidRPr="0024127B">
        <w:rPr>
          <w:rFonts w:ascii="Palatino Linotype" w:eastAsia="Palatino Linotype" w:hAnsi="Palatino Linotype" w:cs="Palatino Linotype"/>
          <w:b/>
          <w:sz w:val="22"/>
          <w:szCs w:val="22"/>
        </w:rPr>
        <w:t>veinti</w:t>
      </w:r>
      <w:r w:rsidR="00F54CB6" w:rsidRPr="0024127B">
        <w:rPr>
          <w:rFonts w:ascii="Palatino Linotype" w:eastAsia="Palatino Linotype" w:hAnsi="Palatino Linotype" w:cs="Palatino Linotype"/>
          <w:b/>
          <w:sz w:val="22"/>
          <w:szCs w:val="22"/>
        </w:rPr>
        <w:t>nueve</w:t>
      </w:r>
      <w:r w:rsidRPr="0024127B">
        <w:rPr>
          <w:rFonts w:ascii="Palatino Linotype" w:eastAsia="Palatino Linotype" w:hAnsi="Palatino Linotype" w:cs="Palatino Linotype"/>
          <w:sz w:val="22"/>
          <w:szCs w:val="22"/>
        </w:rPr>
        <w:t xml:space="preserve"> </w:t>
      </w:r>
      <w:r w:rsidRPr="0024127B">
        <w:rPr>
          <w:rFonts w:ascii="Palatino Linotype" w:eastAsia="Palatino Linotype" w:hAnsi="Palatino Linotype" w:cs="Palatino Linotype"/>
          <w:b/>
          <w:sz w:val="22"/>
          <w:szCs w:val="22"/>
        </w:rPr>
        <w:t xml:space="preserve">de </w:t>
      </w:r>
      <w:r w:rsidR="00337389" w:rsidRPr="0024127B">
        <w:rPr>
          <w:rFonts w:ascii="Palatino Linotype" w:eastAsia="Palatino Linotype" w:hAnsi="Palatino Linotype" w:cs="Palatino Linotype"/>
          <w:b/>
          <w:sz w:val="22"/>
          <w:szCs w:val="22"/>
        </w:rPr>
        <w:t>octubre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xml:space="preserve"> a través del cual expresó lo siguiente:</w:t>
      </w:r>
    </w:p>
    <w:p w14:paraId="5D9C6899" w14:textId="77777777" w:rsidR="003A5BF3" w:rsidRPr="0024127B" w:rsidRDefault="003A5BF3" w:rsidP="00C9447F">
      <w:pPr>
        <w:spacing w:line="360" w:lineRule="auto"/>
        <w:ind w:right="49"/>
        <w:jc w:val="both"/>
        <w:rPr>
          <w:rFonts w:ascii="Palatino Linotype" w:eastAsia="Palatino Linotype" w:hAnsi="Palatino Linotype" w:cs="Palatino Linotype"/>
          <w:sz w:val="22"/>
          <w:szCs w:val="22"/>
        </w:rPr>
      </w:pPr>
    </w:p>
    <w:p w14:paraId="5465AF31" w14:textId="386E9337" w:rsidR="003A5BF3" w:rsidRPr="0024127B" w:rsidRDefault="00B830DD" w:rsidP="00C9447F">
      <w:pPr>
        <w:spacing w:line="360" w:lineRule="auto"/>
        <w:ind w:left="567" w:right="90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Acto impugnado. </w:t>
      </w:r>
      <w:r w:rsidRPr="0024127B">
        <w:rPr>
          <w:rFonts w:ascii="Palatino Linotype" w:eastAsia="Palatino Linotype" w:hAnsi="Palatino Linotype" w:cs="Palatino Linotype"/>
          <w:i/>
          <w:sz w:val="22"/>
          <w:szCs w:val="22"/>
        </w:rPr>
        <w:t>“</w:t>
      </w:r>
      <w:r w:rsidR="00F54CB6" w:rsidRPr="0024127B">
        <w:rPr>
          <w:rFonts w:ascii="Palatino Linotype" w:eastAsia="Palatino Linotype" w:hAnsi="Palatino Linotype" w:cs="Palatino Linotype"/>
          <w:i/>
          <w:sz w:val="22"/>
          <w:szCs w:val="22"/>
        </w:rPr>
        <w:t>RESPUESTA OTORGADA</w:t>
      </w:r>
      <w:r w:rsidRPr="0024127B">
        <w:rPr>
          <w:rFonts w:ascii="Palatino Linotype" w:eastAsia="Palatino Linotype" w:hAnsi="Palatino Linotype" w:cs="Palatino Linotype"/>
          <w:i/>
          <w:sz w:val="22"/>
          <w:szCs w:val="22"/>
        </w:rPr>
        <w:t xml:space="preserve">”. </w:t>
      </w:r>
    </w:p>
    <w:p w14:paraId="5BFEBD12" w14:textId="77777777" w:rsidR="003A5BF3" w:rsidRPr="0024127B" w:rsidRDefault="003A5BF3" w:rsidP="00C9447F">
      <w:pPr>
        <w:spacing w:line="360" w:lineRule="auto"/>
        <w:ind w:left="567" w:right="900"/>
        <w:jc w:val="both"/>
        <w:rPr>
          <w:rFonts w:ascii="Palatino Linotype" w:eastAsia="Palatino Linotype" w:hAnsi="Palatino Linotype" w:cs="Palatino Linotype"/>
          <w:b/>
          <w:sz w:val="22"/>
          <w:szCs w:val="22"/>
        </w:rPr>
      </w:pPr>
    </w:p>
    <w:p w14:paraId="56A84650" w14:textId="48F2640C" w:rsidR="003A5BF3" w:rsidRPr="0024127B" w:rsidRDefault="00B830DD" w:rsidP="00C9447F">
      <w:pPr>
        <w:spacing w:line="360" w:lineRule="auto"/>
        <w:ind w:left="567" w:right="900"/>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sz w:val="22"/>
          <w:szCs w:val="22"/>
        </w:rPr>
        <w:t xml:space="preserve">Motivos de inconformidad. </w:t>
      </w:r>
      <w:r w:rsidRPr="0024127B">
        <w:rPr>
          <w:rFonts w:ascii="Palatino Linotype" w:eastAsia="Palatino Linotype" w:hAnsi="Palatino Linotype" w:cs="Palatino Linotype"/>
          <w:b/>
          <w:i/>
          <w:sz w:val="22"/>
          <w:szCs w:val="22"/>
        </w:rPr>
        <w:t>“</w:t>
      </w:r>
      <w:r w:rsidR="00F54CB6" w:rsidRPr="0024127B">
        <w:rPr>
          <w:rFonts w:ascii="Palatino Linotype" w:eastAsia="Palatino Linotype" w:hAnsi="Palatino Linotype" w:cs="Palatino Linotype"/>
          <w:b/>
          <w:bCs/>
          <w:i/>
          <w:sz w:val="22"/>
          <w:szCs w:val="22"/>
          <w:u w:val="single"/>
        </w:rPr>
        <w:t>EL SUJETO OBLIGADO NO MANIFIESTA LOS ASENTAMIENTO HUMANOS OFICIALMENTE RECONOCIDOS POR LA ADMINISTRACION 2022-2024</w:t>
      </w:r>
      <w:r w:rsidRPr="0024127B">
        <w:rPr>
          <w:rFonts w:ascii="Palatino Linotype" w:eastAsia="Palatino Linotype" w:hAnsi="Palatino Linotype" w:cs="Palatino Linotype"/>
          <w:b/>
          <w:i/>
          <w:sz w:val="22"/>
          <w:szCs w:val="22"/>
        </w:rPr>
        <w:t>”</w:t>
      </w:r>
      <w:r w:rsidRPr="0024127B">
        <w:rPr>
          <w:rFonts w:ascii="Palatino Linotype" w:eastAsia="Palatino Linotype" w:hAnsi="Palatino Linotype" w:cs="Palatino Linotype"/>
          <w:i/>
          <w:sz w:val="22"/>
          <w:szCs w:val="22"/>
        </w:rPr>
        <w:t>.</w:t>
      </w:r>
    </w:p>
    <w:p w14:paraId="109E3EB0" w14:textId="77777777" w:rsidR="003A5BF3" w:rsidRPr="0024127B" w:rsidRDefault="003A5BF3" w:rsidP="00C9447F">
      <w:pPr>
        <w:spacing w:line="360" w:lineRule="auto"/>
        <w:ind w:left="567" w:right="900"/>
        <w:jc w:val="both"/>
        <w:rPr>
          <w:rFonts w:ascii="Palatino Linotype" w:eastAsia="Palatino Linotype" w:hAnsi="Palatino Linotype" w:cs="Palatino Linotype"/>
          <w:i/>
          <w:sz w:val="22"/>
          <w:szCs w:val="22"/>
        </w:rPr>
      </w:pPr>
    </w:p>
    <w:p w14:paraId="21D78E53" w14:textId="5EE7C5ED" w:rsidR="003A5BF3" w:rsidRPr="0024127B"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Turno. </w:t>
      </w:r>
      <w:r w:rsidRPr="0024127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3A5012" w:rsidRPr="0024127B">
        <w:rPr>
          <w:rFonts w:ascii="Palatino Linotype" w:eastAsia="Palatino Linotype" w:hAnsi="Palatino Linotype" w:cs="Palatino Linotype"/>
          <w:b/>
          <w:sz w:val="22"/>
          <w:szCs w:val="22"/>
        </w:rPr>
        <w:t>06809/INFOEM/IP/RR/2024</w:t>
      </w:r>
      <w:r w:rsidRPr="0024127B">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w:t>
      </w:r>
      <w:r w:rsidRPr="0024127B">
        <w:rPr>
          <w:rFonts w:ascii="Palatino Linotype" w:eastAsia="Palatino Linotype" w:hAnsi="Palatino Linotype" w:cs="Palatino Linotype"/>
          <w:sz w:val="22"/>
          <w:szCs w:val="22"/>
        </w:rPr>
        <w:lastRenderedPageBreak/>
        <w:t xml:space="preserve">de México y Municipios, a la Comisionada </w:t>
      </w:r>
      <w:r w:rsidRPr="0024127B">
        <w:rPr>
          <w:rFonts w:ascii="Palatino Linotype" w:eastAsia="Palatino Linotype" w:hAnsi="Palatino Linotype" w:cs="Palatino Linotype"/>
          <w:b/>
          <w:sz w:val="22"/>
          <w:szCs w:val="22"/>
        </w:rPr>
        <w:t>Guadalupe Ramírez Peña</w:t>
      </w:r>
      <w:r w:rsidRPr="0024127B">
        <w:rPr>
          <w:rFonts w:ascii="Palatino Linotype" w:eastAsia="Palatino Linotype" w:hAnsi="Palatino Linotype" w:cs="Palatino Linotype"/>
          <w:sz w:val="22"/>
          <w:szCs w:val="22"/>
        </w:rPr>
        <w:t>, para su análisis, estudio, elaboración del proyecto y presentación ante el Pleno de este Instituto.</w:t>
      </w:r>
    </w:p>
    <w:p w14:paraId="657BDC51" w14:textId="77777777" w:rsidR="003A5BF3" w:rsidRPr="0024127B"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BC00B48" w14:textId="37F0DC45" w:rsidR="00064692" w:rsidRPr="0024127B"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24127B">
        <w:rPr>
          <w:rFonts w:ascii="Palatino Linotype" w:eastAsia="Palatino Linotype" w:hAnsi="Palatino Linotype" w:cs="Palatino Linotype"/>
          <w:b/>
          <w:sz w:val="22"/>
          <w:szCs w:val="22"/>
        </w:rPr>
        <w:t xml:space="preserve">Admisión del recurso de revisión: </w:t>
      </w:r>
      <w:r w:rsidRPr="0024127B">
        <w:rPr>
          <w:rFonts w:ascii="Palatino Linotype" w:eastAsia="Palatino Linotype" w:hAnsi="Palatino Linotype" w:cs="Palatino Linotype"/>
          <w:sz w:val="22"/>
          <w:szCs w:val="22"/>
        </w:rPr>
        <w:t xml:space="preserve">En fecha </w:t>
      </w:r>
      <w:r w:rsidR="00F54CB6" w:rsidRPr="0024127B">
        <w:rPr>
          <w:rFonts w:ascii="Palatino Linotype" w:eastAsia="Palatino Linotype" w:hAnsi="Palatino Linotype" w:cs="Palatino Linotype"/>
          <w:b/>
          <w:sz w:val="22"/>
          <w:szCs w:val="22"/>
        </w:rPr>
        <w:t>cuatro</w:t>
      </w:r>
      <w:r w:rsidRPr="0024127B">
        <w:rPr>
          <w:rFonts w:ascii="Palatino Linotype" w:eastAsia="Palatino Linotype" w:hAnsi="Palatino Linotype" w:cs="Palatino Linotype"/>
          <w:b/>
          <w:sz w:val="22"/>
          <w:szCs w:val="22"/>
        </w:rPr>
        <w:t xml:space="preserve"> de </w:t>
      </w:r>
      <w:r w:rsidR="00F54CB6" w:rsidRPr="0024127B">
        <w:rPr>
          <w:rFonts w:ascii="Palatino Linotype" w:eastAsia="Palatino Linotype" w:hAnsi="Palatino Linotype" w:cs="Palatino Linotype"/>
          <w:b/>
          <w:sz w:val="22"/>
          <w:szCs w:val="22"/>
        </w:rPr>
        <w:t>noviembre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 xml:space="preserve"> presentara su informe justificado.</w:t>
      </w:r>
    </w:p>
    <w:p w14:paraId="5A37FBF9" w14:textId="77777777" w:rsidR="005D281C" w:rsidRPr="0024127B" w:rsidRDefault="005D281C" w:rsidP="005D281C">
      <w:pPr>
        <w:pStyle w:val="Prrafodelista"/>
        <w:rPr>
          <w:rFonts w:ascii="Palatino Linotype" w:eastAsia="Palatino Linotype" w:hAnsi="Palatino Linotype" w:cs="Palatino Linotype"/>
        </w:rPr>
      </w:pPr>
    </w:p>
    <w:p w14:paraId="1851D48B" w14:textId="5790DC51" w:rsidR="00F54CB6" w:rsidRPr="0024127B"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Manifestaciones</w:t>
      </w:r>
      <w:r w:rsidR="00337389" w:rsidRPr="0024127B">
        <w:rPr>
          <w:rFonts w:ascii="Palatino Linotype" w:eastAsia="Palatino Linotype" w:hAnsi="Palatino Linotype" w:cs="Palatino Linotype"/>
          <w:sz w:val="22"/>
          <w:szCs w:val="22"/>
        </w:rPr>
        <w:t xml:space="preserve">: </w:t>
      </w:r>
      <w:r w:rsidR="00F54CB6" w:rsidRPr="0024127B">
        <w:rPr>
          <w:rFonts w:ascii="Palatino Linotype" w:eastAsia="Palatino Linotype" w:hAnsi="Palatino Linotype" w:cs="Palatino Linotype"/>
          <w:sz w:val="22"/>
          <w:szCs w:val="22"/>
        </w:rPr>
        <w:t>De las constancias que obran en el expediente electrónico del SAIMEX, se aprecia que tanto el Sujeto Obligado como el Recurrente fueron omisos en realizar manifestaciones, se inserta imagen de referencia:</w:t>
      </w:r>
    </w:p>
    <w:p w14:paraId="003223C2" w14:textId="77777777" w:rsidR="00F54CB6" w:rsidRPr="0024127B" w:rsidRDefault="00F54CB6" w:rsidP="00F54CB6">
      <w:pPr>
        <w:pStyle w:val="Prrafodelista"/>
        <w:rPr>
          <w:rFonts w:ascii="Palatino Linotype" w:eastAsia="Palatino Linotype" w:hAnsi="Palatino Linotype" w:cs="Palatino Linotype"/>
          <w:b/>
        </w:rPr>
      </w:pPr>
    </w:p>
    <w:p w14:paraId="6B60EB5C" w14:textId="195C3751" w:rsidR="00F54CB6" w:rsidRPr="0024127B" w:rsidRDefault="00F54CB6" w:rsidP="00F54CB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noProof/>
          <w:sz w:val="22"/>
          <w:szCs w:val="22"/>
          <w:lang w:val="es-MX" w:eastAsia="es-MX"/>
        </w:rPr>
        <w:drawing>
          <wp:inline distT="0" distB="0" distL="0" distR="0" wp14:anchorId="01C2D5F4" wp14:editId="34958396">
            <wp:extent cx="5612130" cy="1934210"/>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34210"/>
                    </a:xfrm>
                    <a:prstGeom prst="rect">
                      <a:avLst/>
                    </a:prstGeom>
                  </pic:spPr>
                </pic:pic>
              </a:graphicData>
            </a:graphic>
          </wp:inline>
        </w:drawing>
      </w:r>
    </w:p>
    <w:p w14:paraId="1D41EBBC" w14:textId="77777777" w:rsidR="00F54CB6" w:rsidRPr="0024127B" w:rsidRDefault="00F54CB6" w:rsidP="00F54CB6">
      <w:pPr>
        <w:pStyle w:val="Prrafodelista"/>
        <w:rPr>
          <w:rFonts w:ascii="Palatino Linotype" w:eastAsia="Palatino Linotype" w:hAnsi="Palatino Linotype" w:cs="Palatino Linotype"/>
        </w:rPr>
      </w:pPr>
    </w:p>
    <w:p w14:paraId="09F2E0C8" w14:textId="7C5F0921" w:rsidR="00B830DD" w:rsidRPr="0024127B"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Cierre de instrucción. </w:t>
      </w:r>
      <w:r w:rsidRPr="0024127B">
        <w:rPr>
          <w:rFonts w:ascii="Palatino Linotype" w:eastAsia="Palatino Linotype" w:hAnsi="Palatino Linotype" w:cs="Palatino Linotype"/>
          <w:sz w:val="22"/>
          <w:szCs w:val="22"/>
        </w:rPr>
        <w:t xml:space="preserve">El </w:t>
      </w:r>
      <w:r w:rsidR="00F54CB6" w:rsidRPr="0024127B">
        <w:rPr>
          <w:rFonts w:ascii="Palatino Linotype" w:eastAsia="Palatino Linotype" w:hAnsi="Palatino Linotype" w:cs="Palatino Linotype"/>
          <w:b/>
          <w:sz w:val="22"/>
          <w:szCs w:val="22"/>
        </w:rPr>
        <w:t>diecinueve</w:t>
      </w:r>
      <w:r w:rsidRPr="0024127B">
        <w:rPr>
          <w:rFonts w:ascii="Palatino Linotype" w:eastAsia="Palatino Linotype" w:hAnsi="Palatino Linotype" w:cs="Palatino Linotype"/>
          <w:b/>
          <w:sz w:val="22"/>
          <w:szCs w:val="22"/>
        </w:rPr>
        <w:t xml:space="preserve"> de </w:t>
      </w:r>
      <w:r w:rsidR="00DA716F" w:rsidRPr="0024127B">
        <w:rPr>
          <w:rFonts w:ascii="Palatino Linotype" w:eastAsia="Palatino Linotype" w:hAnsi="Palatino Linotype" w:cs="Palatino Linotype"/>
          <w:b/>
          <w:sz w:val="22"/>
          <w:szCs w:val="22"/>
        </w:rPr>
        <w:t>noviembre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24127B" w:rsidRDefault="003A5BF3" w:rsidP="00C944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14E41F2"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1C1770D7" w14:textId="77777777" w:rsidR="003A5BF3" w:rsidRPr="0024127B" w:rsidRDefault="00B830DD" w:rsidP="00DA716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24127B">
        <w:rPr>
          <w:rFonts w:ascii="Palatino Linotype" w:eastAsia="Palatino Linotype" w:hAnsi="Palatino Linotype" w:cs="Palatino Linotype"/>
          <w:b/>
          <w:sz w:val="22"/>
          <w:szCs w:val="22"/>
        </w:rPr>
        <w:t>C O N S I D E R A N D O:</w:t>
      </w:r>
    </w:p>
    <w:p w14:paraId="4A509C68" w14:textId="77777777" w:rsidR="003A5BF3" w:rsidRPr="0024127B"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118D2A62"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Primero. Competencia. </w:t>
      </w:r>
      <w:r w:rsidRPr="0024127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9FBAF4" w14:textId="77777777" w:rsidR="003A5BF3" w:rsidRPr="0024127B" w:rsidRDefault="003A5BF3" w:rsidP="00C9447F">
      <w:pPr>
        <w:spacing w:line="360" w:lineRule="auto"/>
        <w:jc w:val="both"/>
        <w:rPr>
          <w:rFonts w:ascii="Palatino Linotype" w:eastAsia="Palatino Linotype" w:hAnsi="Palatino Linotype" w:cs="Palatino Linotype"/>
          <w:b/>
          <w:sz w:val="22"/>
          <w:szCs w:val="22"/>
        </w:rPr>
      </w:pPr>
    </w:p>
    <w:p w14:paraId="5DD41C2C"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Segundo. Oportunidad y Procedibilidad del Recurso de Revisión</w:t>
      </w:r>
      <w:r w:rsidRPr="0024127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7FD04FF0" w14:textId="194186F1" w:rsidR="003A5BF3" w:rsidRPr="0024127B" w:rsidRDefault="00B830DD" w:rsidP="00C9447F">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24127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 xml:space="preserve"> proporcionó su respuesta a la solicitud de información el </w:t>
      </w:r>
      <w:r w:rsidR="00DA716F" w:rsidRPr="0024127B">
        <w:rPr>
          <w:rFonts w:ascii="Palatino Linotype" w:eastAsia="Palatino Linotype" w:hAnsi="Palatino Linotype" w:cs="Palatino Linotype"/>
          <w:b/>
          <w:sz w:val="22"/>
          <w:szCs w:val="22"/>
        </w:rPr>
        <w:t>veinti</w:t>
      </w:r>
      <w:r w:rsidR="00F54CB6" w:rsidRPr="0024127B">
        <w:rPr>
          <w:rFonts w:ascii="Palatino Linotype" w:eastAsia="Palatino Linotype" w:hAnsi="Palatino Linotype" w:cs="Palatino Linotype"/>
          <w:b/>
          <w:sz w:val="22"/>
          <w:szCs w:val="22"/>
        </w:rPr>
        <w:t>trés</w:t>
      </w:r>
      <w:r w:rsidRPr="0024127B">
        <w:rPr>
          <w:rFonts w:ascii="Palatino Linotype" w:eastAsia="Palatino Linotype" w:hAnsi="Palatino Linotype" w:cs="Palatino Linotype"/>
          <w:b/>
          <w:sz w:val="22"/>
          <w:szCs w:val="22"/>
        </w:rPr>
        <w:t xml:space="preserve"> de </w:t>
      </w:r>
      <w:r w:rsidR="00DA716F" w:rsidRPr="0024127B">
        <w:rPr>
          <w:rFonts w:ascii="Palatino Linotype" w:eastAsia="Palatino Linotype" w:hAnsi="Palatino Linotype" w:cs="Palatino Linotype"/>
          <w:b/>
          <w:sz w:val="22"/>
          <w:szCs w:val="22"/>
        </w:rPr>
        <w:t>octubre</w:t>
      </w:r>
      <w:r w:rsidRPr="0024127B">
        <w:rPr>
          <w:rFonts w:ascii="Palatino Linotype" w:eastAsia="Palatino Linotype" w:hAnsi="Palatino Linotype" w:cs="Palatino Linotype"/>
          <w:b/>
          <w:sz w:val="22"/>
          <w:szCs w:val="22"/>
        </w:rPr>
        <w:t xml:space="preserve"> de dos mil veinticuatro</w:t>
      </w:r>
      <w:r w:rsidRPr="0024127B">
        <w:rPr>
          <w:rFonts w:ascii="Palatino Linotype" w:eastAsia="Palatino Linotype" w:hAnsi="Palatino Linotype" w:cs="Palatino Linotype"/>
          <w:sz w:val="22"/>
          <w:szCs w:val="22"/>
        </w:rPr>
        <w:t xml:space="preserve">, y la parte </w:t>
      </w:r>
      <w:r w:rsidRPr="0024127B">
        <w:rPr>
          <w:rFonts w:ascii="Palatino Linotype" w:eastAsia="Palatino Linotype" w:hAnsi="Palatino Linotype" w:cs="Palatino Linotype"/>
          <w:b/>
          <w:sz w:val="22"/>
          <w:szCs w:val="22"/>
        </w:rPr>
        <w:lastRenderedPageBreak/>
        <w:t>RECURRENTE</w:t>
      </w:r>
      <w:r w:rsidRPr="0024127B">
        <w:rPr>
          <w:rFonts w:ascii="Palatino Linotype" w:eastAsia="Palatino Linotype" w:hAnsi="Palatino Linotype" w:cs="Palatino Linotype"/>
          <w:sz w:val="22"/>
          <w:szCs w:val="22"/>
        </w:rPr>
        <w:t xml:space="preserve"> presentó su recurso de revisión el </w:t>
      </w:r>
      <w:r w:rsidR="00DA716F" w:rsidRPr="0024127B">
        <w:rPr>
          <w:rFonts w:ascii="Palatino Linotype" w:eastAsia="Palatino Linotype" w:hAnsi="Palatino Linotype" w:cs="Palatino Linotype"/>
          <w:b/>
          <w:sz w:val="22"/>
          <w:szCs w:val="22"/>
        </w:rPr>
        <w:t>veinti</w:t>
      </w:r>
      <w:r w:rsidR="00F54CB6" w:rsidRPr="0024127B">
        <w:rPr>
          <w:rFonts w:ascii="Palatino Linotype" w:eastAsia="Palatino Linotype" w:hAnsi="Palatino Linotype" w:cs="Palatino Linotype"/>
          <w:b/>
          <w:sz w:val="22"/>
          <w:szCs w:val="22"/>
        </w:rPr>
        <w:t>nueve</w:t>
      </w:r>
      <w:r w:rsidR="00DA716F" w:rsidRPr="0024127B">
        <w:rPr>
          <w:rFonts w:ascii="Palatino Linotype" w:eastAsia="Palatino Linotype" w:hAnsi="Palatino Linotype" w:cs="Palatino Linotype"/>
          <w:b/>
          <w:sz w:val="22"/>
          <w:szCs w:val="22"/>
        </w:rPr>
        <w:t xml:space="preserve"> de octubre</w:t>
      </w:r>
      <w:r w:rsidRPr="0024127B">
        <w:rPr>
          <w:rFonts w:ascii="Palatino Linotype" w:eastAsia="Palatino Linotype" w:hAnsi="Palatino Linotype" w:cs="Palatino Linotype"/>
          <w:b/>
          <w:sz w:val="22"/>
          <w:szCs w:val="22"/>
        </w:rPr>
        <w:t xml:space="preserve"> de dos mil veinticuatro</w:t>
      </w:r>
      <w:r w:rsidR="00F54CB6" w:rsidRPr="0024127B">
        <w:rPr>
          <w:rFonts w:ascii="Palatino Linotype" w:eastAsia="Palatino Linotype" w:hAnsi="Palatino Linotype" w:cs="Palatino Linotype"/>
          <w:sz w:val="22"/>
          <w:szCs w:val="22"/>
        </w:rPr>
        <w:t>, es decir, al cuarto</w:t>
      </w:r>
      <w:r w:rsidRPr="0024127B">
        <w:rPr>
          <w:rFonts w:ascii="Palatino Linotype" w:eastAsia="Palatino Linotype" w:hAnsi="Palatino Linotype" w:cs="Palatino Linotype"/>
          <w:sz w:val="22"/>
          <w:szCs w:val="22"/>
        </w:rPr>
        <w:t xml:space="preserve"> día </w:t>
      </w:r>
      <w:r w:rsidR="00F54CB6" w:rsidRPr="0024127B">
        <w:rPr>
          <w:rFonts w:ascii="Palatino Linotype" w:eastAsia="Palatino Linotype" w:hAnsi="Palatino Linotype" w:cs="Palatino Linotype"/>
          <w:sz w:val="22"/>
          <w:szCs w:val="22"/>
        </w:rPr>
        <w:t xml:space="preserve">hábil </w:t>
      </w:r>
      <w:r w:rsidRPr="0024127B">
        <w:rPr>
          <w:rFonts w:ascii="Palatino Linotype" w:eastAsia="Palatino Linotype" w:hAnsi="Palatino Linotype" w:cs="Palatino Linotype"/>
          <w:sz w:val="22"/>
          <w:szCs w:val="22"/>
        </w:rPr>
        <w:t xml:space="preserve">que se tuvo por presentada, por lo que se encuentra dentro de los márgenes temporales previstos para tal efecto. </w:t>
      </w:r>
    </w:p>
    <w:p w14:paraId="75979B8D" w14:textId="77777777" w:rsidR="003A5BF3" w:rsidRPr="0024127B" w:rsidRDefault="003A5BF3" w:rsidP="00C9447F">
      <w:pPr>
        <w:spacing w:line="360" w:lineRule="auto"/>
        <w:ind w:right="49"/>
        <w:jc w:val="both"/>
        <w:rPr>
          <w:rFonts w:ascii="Palatino Linotype" w:eastAsia="Palatino Linotype" w:hAnsi="Palatino Linotype" w:cs="Palatino Linotype"/>
          <w:sz w:val="22"/>
          <w:szCs w:val="22"/>
        </w:rPr>
      </w:pPr>
    </w:p>
    <w:p w14:paraId="15D79010" w14:textId="77777777" w:rsidR="00657820" w:rsidRPr="0024127B" w:rsidRDefault="00657820"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BE60C0" w14:textId="1319419F" w:rsidR="00657820" w:rsidRPr="0024127B" w:rsidRDefault="00657820" w:rsidP="00C9447F">
      <w:pPr>
        <w:spacing w:before="240" w:after="240"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A efecto de sustentar lo anterior, es de suma importancia mencionar que si bien la persona solicitante</w:t>
      </w:r>
      <w:r w:rsidR="00AB2C8B" w:rsidRPr="0024127B">
        <w:rPr>
          <w:rFonts w:ascii="Palatino Linotype" w:eastAsia="Palatino Linotype" w:hAnsi="Palatino Linotype" w:cs="Palatino Linotype"/>
          <w:b/>
          <w:sz w:val="22"/>
          <w:szCs w:val="22"/>
        </w:rPr>
        <w:t xml:space="preserve"> no proporcionó nombre </w:t>
      </w:r>
      <w:r w:rsidR="005C1EC7" w:rsidRPr="0024127B">
        <w:rPr>
          <w:rFonts w:ascii="Palatino Linotype" w:eastAsia="Palatino Linotype" w:hAnsi="Palatino Linotype" w:cs="Palatino Linotype"/>
          <w:b/>
          <w:sz w:val="22"/>
          <w:szCs w:val="22"/>
        </w:rPr>
        <w:t xml:space="preserve">o seudónimo </w:t>
      </w:r>
      <w:r w:rsidRPr="0024127B">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925C4C" w14:textId="77777777" w:rsidR="00657820" w:rsidRPr="0024127B" w:rsidRDefault="00657820" w:rsidP="00C9447F">
      <w:pPr>
        <w:spacing w:before="120" w:after="120" w:line="360" w:lineRule="auto"/>
        <w:ind w:left="851" w:right="902"/>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Las solicitudes anónimas</w:t>
      </w:r>
      <w:r w:rsidRPr="0024127B">
        <w:rPr>
          <w:rFonts w:ascii="Palatino Linotype" w:eastAsia="Palatino Linotype" w:hAnsi="Palatino Linotype" w:cs="Palatino Linotype"/>
          <w:i/>
          <w:sz w:val="22"/>
          <w:szCs w:val="22"/>
        </w:rPr>
        <w:t xml:space="preserve">, con nombre incompleto o seudónimo </w:t>
      </w:r>
      <w:r w:rsidRPr="0024127B">
        <w:rPr>
          <w:rFonts w:ascii="Palatino Linotype" w:eastAsia="Palatino Linotype" w:hAnsi="Palatino Linotype" w:cs="Palatino Linotype"/>
          <w:b/>
          <w:i/>
          <w:sz w:val="22"/>
          <w:szCs w:val="22"/>
        </w:rPr>
        <w:t>serán procedentes para su trámite por parte del sujeto obligado ante quien se presente</w:t>
      </w:r>
      <w:r w:rsidRPr="0024127B">
        <w:rPr>
          <w:rFonts w:ascii="Palatino Linotype" w:eastAsia="Palatino Linotype" w:hAnsi="Palatino Linotype" w:cs="Palatino Linotype"/>
          <w:i/>
          <w:sz w:val="22"/>
          <w:szCs w:val="22"/>
        </w:rPr>
        <w:t>. No podrá requerirse información adicional con motivo del nombre proporcionado por el solicitante."</w:t>
      </w:r>
    </w:p>
    <w:p w14:paraId="74EBB270" w14:textId="0D980EE9" w:rsidR="00657820" w:rsidRPr="0024127B" w:rsidRDefault="00657820" w:rsidP="00C9447F">
      <w:pPr>
        <w:spacing w:before="240" w:after="240"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AB2C8B" w:rsidRPr="0024127B">
        <w:rPr>
          <w:rFonts w:ascii="Palatino Linotype" w:eastAsia="Palatino Linotype" w:hAnsi="Palatino Linotype" w:cs="Palatino Linotype"/>
          <w:sz w:val="22"/>
          <w:szCs w:val="22"/>
        </w:rPr>
        <w:t xml:space="preserve">completo </w:t>
      </w:r>
      <w:r w:rsidRPr="0024127B">
        <w:rPr>
          <w:rFonts w:ascii="Palatino Linotype" w:eastAsia="Palatino Linotype" w:hAnsi="Palatino Linotype" w:cs="Palatino Linotype"/>
          <w:sz w:val="22"/>
          <w:szCs w:val="22"/>
        </w:rPr>
        <w:t xml:space="preserve">de la parte </w:t>
      </w:r>
      <w:r w:rsidRPr="0024127B">
        <w:rPr>
          <w:rFonts w:ascii="Palatino Linotype" w:eastAsia="Palatino Linotype" w:hAnsi="Palatino Linotype" w:cs="Palatino Linotype"/>
          <w:b/>
          <w:sz w:val="22"/>
          <w:szCs w:val="22"/>
        </w:rPr>
        <w:t>Recurrente</w:t>
      </w:r>
      <w:r w:rsidRPr="0024127B">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20F0F12B" w14:textId="2D30D730" w:rsidR="003A5BF3" w:rsidRPr="0024127B" w:rsidRDefault="00F67C5A"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lastRenderedPageBreak/>
        <w:t>Entonces</w:t>
      </w:r>
      <w:r w:rsidR="00B830DD" w:rsidRPr="0024127B">
        <w:rPr>
          <w:rFonts w:ascii="Palatino Linotype" w:eastAsia="Palatino Linotype" w:hAnsi="Palatino Linotype" w:cs="Palatino Linotype"/>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5AB38BAE" w14:textId="5961EB16"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w:t>
      </w:r>
      <w:r w:rsidR="00E26A2C" w:rsidRPr="0024127B">
        <w:rPr>
          <w:rFonts w:ascii="Palatino Linotype" w:eastAsia="Palatino Linotype" w:hAnsi="Palatino Linotype" w:cs="Palatino Linotype"/>
          <w:sz w:val="22"/>
          <w:szCs w:val="22"/>
        </w:rPr>
        <w:t>a en el artículo 179, fracción I</w:t>
      </w:r>
      <w:r w:rsidRPr="0024127B">
        <w:rPr>
          <w:rFonts w:ascii="Palatino Linotype" w:eastAsia="Palatino Linotype" w:hAnsi="Palatino Linotype" w:cs="Palatino Linotype"/>
          <w:sz w:val="22"/>
          <w:szCs w:val="22"/>
        </w:rPr>
        <w:t xml:space="preserve"> de la ley de la materia, que a la letra dice:</w:t>
      </w:r>
    </w:p>
    <w:p w14:paraId="350267B5"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385147E5"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 xml:space="preserve">Artículo 179. </w:t>
      </w:r>
      <w:r w:rsidRPr="0024127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3FFE6D"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p>
    <w:p w14:paraId="2F105418" w14:textId="1059708A" w:rsidR="003A5BF3" w:rsidRPr="0024127B" w:rsidRDefault="00E26A2C"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I. La negativa de la información solicitada</w:t>
      </w:r>
      <w:r w:rsidR="00B830DD" w:rsidRPr="0024127B">
        <w:rPr>
          <w:rFonts w:ascii="Palatino Linotype" w:eastAsia="Palatino Linotype" w:hAnsi="Palatino Linotype" w:cs="Palatino Linotype"/>
          <w:i/>
          <w:sz w:val="22"/>
          <w:szCs w:val="22"/>
        </w:rPr>
        <w:t xml:space="preserve"> </w:t>
      </w:r>
    </w:p>
    <w:p w14:paraId="2076F4E9"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p>
    <w:p w14:paraId="0364EAB2" w14:textId="77777777" w:rsidR="00771A65" w:rsidRPr="0024127B" w:rsidRDefault="00771A65" w:rsidP="00771A65">
      <w:pPr>
        <w:spacing w:before="240" w:after="240" w:line="360" w:lineRule="auto"/>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 xml:space="preserve">Tercero. Análisis de las causales de sobreseimiento del recurso de revisión. </w:t>
      </w:r>
      <w:r w:rsidRPr="0024127B">
        <w:rPr>
          <w:rFonts w:ascii="Palatino Linotype" w:eastAsia="Palatino Linotype" w:hAnsi="Palatino Linotype" w:cs="Palatino Linotype"/>
          <w:sz w:val="22"/>
          <w:szCs w:val="22"/>
        </w:rPr>
        <w:t xml:space="preserve">En primera instancia, debe apuntarse que del análisis al recurso de revisión que ahora se resuelve, se tiene que se actualiza la causal de sobreseimiento del recurso de revisión establecido en la fracción III del artículo 192 en relación con el diverso 191 fracción VII, ambos de la Ley de Transparencia y Acceso a la Información Pública del Estado de México y Municipios, derivado de los agravios referidos por el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 xml:space="preserve"> </w:t>
      </w:r>
    </w:p>
    <w:p w14:paraId="6CE79C8E" w14:textId="0DF404B8"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En principio, es conve</w:t>
      </w:r>
      <w:r w:rsidR="00DA716F" w:rsidRPr="0024127B">
        <w:rPr>
          <w:rFonts w:ascii="Palatino Linotype" w:eastAsia="Palatino Linotype" w:hAnsi="Palatino Linotype" w:cs="Palatino Linotype"/>
          <w:sz w:val="22"/>
          <w:szCs w:val="22"/>
        </w:rPr>
        <w:t xml:space="preserve">niente analizar si la respuesta </w:t>
      </w:r>
      <w:r w:rsidRPr="0024127B">
        <w:rPr>
          <w:rFonts w:ascii="Palatino Linotype" w:eastAsia="Palatino Linotype" w:hAnsi="Palatino Linotype" w:cs="Palatino Linotype"/>
          <w:sz w:val="22"/>
          <w:szCs w:val="22"/>
        </w:rPr>
        <w:t xml:space="preserve">del </w:t>
      </w:r>
      <w:r w:rsidRPr="0024127B">
        <w:rPr>
          <w:rFonts w:ascii="Palatino Linotype" w:eastAsia="Palatino Linotype" w:hAnsi="Palatino Linotype" w:cs="Palatino Linotype"/>
          <w:b/>
          <w:sz w:val="22"/>
          <w:szCs w:val="22"/>
        </w:rPr>
        <w:t>SUJETO OBLIGADO</w:t>
      </w:r>
      <w:r w:rsidRPr="0024127B">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w:t>
      </w:r>
      <w:r w:rsidRPr="0024127B">
        <w:rPr>
          <w:rFonts w:ascii="Palatino Linotype" w:eastAsia="Palatino Linotype" w:hAnsi="Palatino Linotype" w:cs="Palatino Linotype"/>
          <w:sz w:val="22"/>
          <w:szCs w:val="22"/>
        </w:rPr>
        <w:lastRenderedPageBreak/>
        <w:t>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6E34A079"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Artículo 4</w:t>
      </w:r>
      <w:r w:rsidRPr="0024127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4127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4127B">
        <w:rPr>
          <w:rFonts w:ascii="Palatino Linotype" w:eastAsia="Palatino Linotype" w:hAnsi="Palatino Linotype" w:cs="Palatino Linotype"/>
          <w:i/>
          <w:sz w:val="22"/>
          <w:szCs w:val="22"/>
        </w:rPr>
        <w:t>.”</w:t>
      </w:r>
    </w:p>
    <w:p w14:paraId="7B8E0C0C"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13711F33"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24127B">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75C69E4C"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5FB3C158"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“Artículo 12.-</w:t>
      </w:r>
      <w:r w:rsidRPr="0024127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24127B" w:rsidRDefault="003A5BF3" w:rsidP="00C9447F">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4127B">
        <w:rPr>
          <w:rFonts w:ascii="Palatino Linotype" w:eastAsia="Palatino Linotype" w:hAnsi="Palatino Linotype" w:cs="Palatino Linotype"/>
          <w:i/>
          <w:sz w:val="22"/>
          <w:szCs w:val="22"/>
        </w:rPr>
        <w:t xml:space="preserve">. </w:t>
      </w:r>
      <w:r w:rsidRPr="0024127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24127B" w:rsidRDefault="003A5BF3" w:rsidP="00C9447F">
      <w:pPr>
        <w:spacing w:line="360" w:lineRule="auto"/>
        <w:ind w:right="-93"/>
        <w:jc w:val="both"/>
        <w:rPr>
          <w:rFonts w:ascii="Palatino Linotype" w:eastAsia="Palatino Linotype" w:hAnsi="Palatino Linotype" w:cs="Palatino Linotype"/>
          <w:sz w:val="22"/>
          <w:szCs w:val="22"/>
        </w:rPr>
      </w:pPr>
    </w:p>
    <w:p w14:paraId="53E85138" w14:textId="77777777" w:rsidR="003A5BF3" w:rsidRPr="0024127B" w:rsidRDefault="00B830DD" w:rsidP="00C9447F">
      <w:pPr>
        <w:spacing w:line="360" w:lineRule="auto"/>
        <w:ind w:right="-93"/>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24127B" w:rsidRDefault="003A5BF3" w:rsidP="00C9447F">
      <w:pPr>
        <w:spacing w:line="360" w:lineRule="auto"/>
        <w:ind w:right="-93"/>
        <w:jc w:val="both"/>
        <w:rPr>
          <w:rFonts w:ascii="Palatino Linotype" w:eastAsia="Palatino Linotype" w:hAnsi="Palatino Linotype" w:cs="Palatino Linotype"/>
          <w:sz w:val="22"/>
          <w:szCs w:val="22"/>
        </w:rPr>
      </w:pPr>
    </w:p>
    <w:p w14:paraId="6E0E71EA" w14:textId="77777777" w:rsidR="003A5BF3" w:rsidRPr="0024127B" w:rsidRDefault="00B830DD" w:rsidP="00C9447F">
      <w:pPr>
        <w:spacing w:line="360" w:lineRule="auto"/>
        <w:ind w:right="-93"/>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4127B">
        <w:rPr>
          <w:rFonts w:ascii="Palatino Linotype" w:eastAsia="Palatino Linotype" w:hAnsi="Palatino Linotype" w:cs="Palatino Linotype"/>
          <w:b/>
          <w:sz w:val="22"/>
          <w:szCs w:val="22"/>
        </w:rPr>
        <w:t xml:space="preserve"> </w:t>
      </w:r>
    </w:p>
    <w:p w14:paraId="3B351778" w14:textId="77777777" w:rsidR="003A5BF3" w:rsidRPr="0024127B" w:rsidRDefault="003A5BF3" w:rsidP="00C9447F">
      <w:pPr>
        <w:spacing w:line="360" w:lineRule="auto"/>
        <w:jc w:val="both"/>
        <w:rPr>
          <w:rFonts w:ascii="Palatino Linotype" w:eastAsia="Palatino Linotype" w:hAnsi="Palatino Linotype" w:cs="Palatino Linotype"/>
          <w:b/>
          <w:sz w:val="22"/>
          <w:szCs w:val="22"/>
        </w:rPr>
      </w:pPr>
    </w:p>
    <w:p w14:paraId="7ED21B00"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lastRenderedPageBreak/>
        <w:t>“</w:t>
      </w:r>
      <w:r w:rsidRPr="0024127B">
        <w:rPr>
          <w:rFonts w:ascii="Palatino Linotype" w:eastAsia="Palatino Linotype" w:hAnsi="Palatino Linotype" w:cs="Palatino Linotype"/>
          <w:b/>
          <w:i/>
          <w:sz w:val="22"/>
          <w:szCs w:val="22"/>
        </w:rPr>
        <w:t>No existe obligación de elaborar documentos ad hoc para atender las solicitudes de acceso a la información.</w:t>
      </w:r>
      <w:r w:rsidRPr="0024127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24127B" w:rsidRDefault="003A5BF3" w:rsidP="00C9447F">
      <w:pPr>
        <w:spacing w:line="360" w:lineRule="auto"/>
        <w:ind w:right="-93"/>
        <w:jc w:val="both"/>
        <w:rPr>
          <w:rFonts w:ascii="Palatino Linotype" w:eastAsia="Palatino Linotype" w:hAnsi="Palatino Linotype" w:cs="Palatino Linotype"/>
          <w:sz w:val="22"/>
          <w:szCs w:val="22"/>
        </w:rPr>
      </w:pPr>
    </w:p>
    <w:p w14:paraId="31C53A4C"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5A4BC6"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0119E6CA" w14:textId="77777777" w:rsidR="003A5BF3" w:rsidRPr="0024127B" w:rsidRDefault="00B830DD" w:rsidP="00C9447F">
      <w:pPr>
        <w:spacing w:line="360" w:lineRule="auto"/>
        <w:ind w:right="49"/>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24127B" w:rsidRDefault="003A5BF3" w:rsidP="00C9447F">
      <w:pPr>
        <w:spacing w:line="360" w:lineRule="auto"/>
        <w:ind w:right="49"/>
        <w:jc w:val="both"/>
        <w:rPr>
          <w:rFonts w:ascii="Palatino Linotype" w:eastAsia="Palatino Linotype" w:hAnsi="Palatino Linotype" w:cs="Palatino Linotype"/>
          <w:sz w:val="22"/>
          <w:szCs w:val="22"/>
        </w:rPr>
      </w:pPr>
    </w:p>
    <w:p w14:paraId="723326C8"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24127B" w:rsidRDefault="003A5BF3" w:rsidP="00C9447F">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 xml:space="preserve">Artículo 3. </w:t>
      </w:r>
      <w:r w:rsidRPr="0024127B">
        <w:rPr>
          <w:rFonts w:ascii="Palatino Linotype" w:eastAsia="Palatino Linotype" w:hAnsi="Palatino Linotype" w:cs="Palatino Linotype"/>
          <w:i/>
          <w:sz w:val="22"/>
          <w:szCs w:val="22"/>
        </w:rPr>
        <w:t>Para los efectos de la presente Ley se entenderá por:</w:t>
      </w:r>
    </w:p>
    <w:p w14:paraId="65AE938C"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p>
    <w:p w14:paraId="755F4789"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XI. Documento:</w:t>
      </w:r>
      <w:r w:rsidRPr="0024127B">
        <w:rPr>
          <w:rFonts w:ascii="Palatino Linotype" w:eastAsia="Palatino Linotype" w:hAnsi="Palatino Linotype" w:cs="Palatino Linotype"/>
          <w:i/>
          <w:sz w:val="22"/>
          <w:szCs w:val="22"/>
        </w:rPr>
        <w:t xml:space="preserve"> Los expedientes, reportes, estudios, actas</w:t>
      </w:r>
      <w:r w:rsidRPr="0024127B">
        <w:rPr>
          <w:rFonts w:ascii="Palatino Linotype" w:eastAsia="Palatino Linotype" w:hAnsi="Palatino Linotype" w:cs="Palatino Linotype"/>
          <w:b/>
          <w:i/>
          <w:sz w:val="22"/>
          <w:szCs w:val="22"/>
        </w:rPr>
        <w:t>,</w:t>
      </w:r>
      <w:r w:rsidRPr="0024127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3483F44" w14:textId="77777777" w:rsidR="003A5BF3" w:rsidRPr="0024127B" w:rsidRDefault="003A5BF3" w:rsidP="00C9447F">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24127B" w:rsidRDefault="00B830DD" w:rsidP="00C9447F">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733DFD22" w14:textId="77777777" w:rsidR="003A5BF3" w:rsidRPr="0024127B" w:rsidRDefault="00B830DD" w:rsidP="00C9447F">
      <w:pPr>
        <w:spacing w:line="360" w:lineRule="auto"/>
        <w:ind w:left="567" w:right="616"/>
        <w:jc w:val="both"/>
        <w:rPr>
          <w:rFonts w:ascii="Palatino Linotype" w:eastAsia="Palatino Linotype" w:hAnsi="Palatino Linotype" w:cs="Palatino Linotype"/>
          <w:b/>
          <w:i/>
          <w:sz w:val="22"/>
          <w:szCs w:val="22"/>
        </w:rPr>
      </w:pPr>
      <w:r w:rsidRPr="0024127B">
        <w:rPr>
          <w:rFonts w:ascii="Palatino Linotype" w:eastAsia="Palatino Linotype" w:hAnsi="Palatino Linotype" w:cs="Palatino Linotype"/>
          <w:b/>
          <w:sz w:val="22"/>
          <w:szCs w:val="22"/>
        </w:rPr>
        <w:lastRenderedPageBreak/>
        <w:t>“</w:t>
      </w:r>
      <w:r w:rsidRPr="0024127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4127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 xml:space="preserve">En </w:t>
      </w:r>
      <w:proofErr w:type="gramStart"/>
      <w:r w:rsidRPr="0024127B">
        <w:rPr>
          <w:rFonts w:ascii="Palatino Linotype" w:eastAsia="Palatino Linotype" w:hAnsi="Palatino Linotype" w:cs="Palatino Linotype"/>
          <w:i/>
          <w:sz w:val="22"/>
          <w:szCs w:val="22"/>
        </w:rPr>
        <w:t>consecuencia</w:t>
      </w:r>
      <w:proofErr w:type="gramEnd"/>
      <w:r w:rsidRPr="0024127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6EE522" w14:textId="77777777" w:rsidR="003A5BF3" w:rsidRPr="0024127B" w:rsidRDefault="00B830DD" w:rsidP="00C9447F">
      <w:pP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4127B">
        <w:rPr>
          <w:rFonts w:ascii="Palatino Linotype" w:eastAsia="Palatino Linotype" w:hAnsi="Palatino Linotype" w:cs="Palatino Linotype"/>
          <w:i/>
          <w:sz w:val="22"/>
          <w:szCs w:val="22"/>
        </w:rPr>
        <w:t>que</w:t>
      </w:r>
      <w:proofErr w:type="gramEnd"/>
      <w:r w:rsidRPr="0024127B">
        <w:rPr>
          <w:rFonts w:ascii="Palatino Linotype" w:eastAsia="Palatino Linotype" w:hAnsi="Palatino Linotype" w:cs="Palatino Linotype"/>
          <w:i/>
          <w:sz w:val="22"/>
          <w:szCs w:val="22"/>
        </w:rPr>
        <w:t xml:space="preserve"> en ejercicio de las atribuciones conferidas, sea generada por los Sujetos Obligados;</w:t>
      </w:r>
    </w:p>
    <w:p w14:paraId="365909F1" w14:textId="77777777" w:rsidR="003A5BF3" w:rsidRPr="0024127B" w:rsidRDefault="00B830DD" w:rsidP="00C9447F">
      <w:pPr>
        <w:spacing w:line="360" w:lineRule="auto"/>
        <w:ind w:left="567" w:right="616"/>
        <w:jc w:val="both"/>
        <w:rPr>
          <w:rFonts w:ascii="Palatino Linotype" w:eastAsia="Palatino Linotype" w:hAnsi="Palatino Linotype" w:cs="Palatino Linotype"/>
          <w:b/>
          <w:i/>
          <w:sz w:val="22"/>
          <w:szCs w:val="22"/>
        </w:rPr>
      </w:pPr>
      <w:r w:rsidRPr="0024127B">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4127B">
        <w:rPr>
          <w:rFonts w:ascii="Palatino Linotype" w:eastAsia="Palatino Linotype" w:hAnsi="Palatino Linotype" w:cs="Palatino Linotype"/>
          <w:b/>
          <w:i/>
          <w:sz w:val="22"/>
          <w:szCs w:val="22"/>
        </w:rPr>
        <w:t>que</w:t>
      </w:r>
      <w:proofErr w:type="gramEnd"/>
      <w:r w:rsidRPr="0024127B">
        <w:rPr>
          <w:rFonts w:ascii="Palatino Linotype" w:eastAsia="Palatino Linotype" w:hAnsi="Palatino Linotype" w:cs="Palatino Linotype"/>
          <w:b/>
          <w:i/>
          <w:sz w:val="22"/>
          <w:szCs w:val="22"/>
        </w:rPr>
        <w:t xml:space="preserve"> en ejercicio de las atribuciones conferidas, sea administrada por los Sujetos Obligados, y</w:t>
      </w:r>
    </w:p>
    <w:p w14:paraId="10DF2C0F" w14:textId="77777777" w:rsidR="003A5BF3" w:rsidRPr="0024127B" w:rsidRDefault="00B830DD" w:rsidP="00C9447F">
      <w:pPr>
        <w:spacing w:line="360" w:lineRule="auto"/>
        <w:ind w:left="567" w:right="616"/>
        <w:jc w:val="both"/>
        <w:rPr>
          <w:rFonts w:ascii="Palatino Linotype" w:eastAsia="Palatino Linotype" w:hAnsi="Palatino Linotype" w:cs="Palatino Linotype"/>
          <w:b/>
          <w:i/>
          <w:sz w:val="22"/>
          <w:szCs w:val="22"/>
        </w:rPr>
      </w:pPr>
      <w:r w:rsidRPr="0024127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4127B">
        <w:rPr>
          <w:rFonts w:ascii="Palatino Linotype" w:eastAsia="Palatino Linotype" w:hAnsi="Palatino Linotype" w:cs="Palatino Linotype"/>
          <w:b/>
          <w:i/>
          <w:sz w:val="22"/>
          <w:szCs w:val="22"/>
        </w:rPr>
        <w:t>que</w:t>
      </w:r>
      <w:proofErr w:type="gramEnd"/>
      <w:r w:rsidRPr="0024127B">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CA9F631" w14:textId="77777777" w:rsidR="003A5BF3" w:rsidRPr="0024127B" w:rsidRDefault="003A5BF3" w:rsidP="00C9447F">
      <w:pPr>
        <w:spacing w:line="360" w:lineRule="auto"/>
        <w:ind w:right="-93"/>
        <w:jc w:val="both"/>
        <w:rPr>
          <w:rFonts w:ascii="Palatino Linotype" w:eastAsia="Palatino Linotype" w:hAnsi="Palatino Linotype" w:cs="Palatino Linotype"/>
          <w:sz w:val="22"/>
          <w:szCs w:val="22"/>
        </w:rPr>
      </w:pPr>
    </w:p>
    <w:p w14:paraId="7F569F39" w14:textId="4C5697C8" w:rsidR="00CE608F" w:rsidRPr="0024127B"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w:t>
      </w:r>
      <w:r w:rsidR="00771A65" w:rsidRPr="0024127B">
        <w:rPr>
          <w:rFonts w:ascii="Palatino Linotype" w:eastAsia="Palatino Linotype" w:hAnsi="Palatino Linotype" w:cs="Palatino Linotype"/>
          <w:sz w:val="22"/>
          <w:szCs w:val="22"/>
        </w:rPr>
        <w:t>negativa de la información solicitada</w:t>
      </w:r>
    </w:p>
    <w:p w14:paraId="39273D5A" w14:textId="77777777" w:rsidR="003A5BF3" w:rsidRPr="0024127B" w:rsidRDefault="003A5BF3"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D3D0B56" w14:textId="77777777" w:rsidR="00E26A2C" w:rsidRPr="0024127B" w:rsidRDefault="00E26A2C"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9E891E5" w14:textId="77777777" w:rsidR="00E26A2C" w:rsidRPr="0024127B" w:rsidRDefault="00E26A2C"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54913B9" w14:textId="77777777" w:rsidR="003A5BF3" w:rsidRPr="0024127B" w:rsidRDefault="003A5BF3" w:rsidP="00C9447F">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191DA7BE" w14:textId="21B8DED8" w:rsidR="00D85AE2" w:rsidRPr="0024127B" w:rsidRDefault="00B830DD"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En principio, resulta conveniente recordar que la pretensión de la parte Recurrente es obtener </w:t>
      </w:r>
      <w:r w:rsidR="00DA716F" w:rsidRPr="0024127B">
        <w:rPr>
          <w:rFonts w:ascii="Palatino Linotype" w:eastAsia="Palatino Linotype" w:hAnsi="Palatino Linotype" w:cs="Palatino Linotype"/>
          <w:sz w:val="22"/>
          <w:szCs w:val="22"/>
        </w:rPr>
        <w:t xml:space="preserve">información </w:t>
      </w:r>
      <w:r w:rsidR="00E26A2C" w:rsidRPr="0024127B">
        <w:rPr>
          <w:rFonts w:ascii="Palatino Linotype" w:eastAsia="Palatino Linotype" w:hAnsi="Palatino Linotype" w:cs="Palatino Linotype"/>
          <w:sz w:val="22"/>
          <w:szCs w:val="22"/>
        </w:rPr>
        <w:t xml:space="preserve">de obra pública en asentamientos humanos, como </w:t>
      </w:r>
      <w:r w:rsidR="00276BA8" w:rsidRPr="0024127B">
        <w:rPr>
          <w:rFonts w:ascii="Palatino Linotype" w:eastAsia="Palatino Linotype" w:hAnsi="Palatino Linotype" w:cs="Palatino Linotype"/>
          <w:sz w:val="22"/>
          <w:szCs w:val="22"/>
        </w:rPr>
        <w:t>benef</w:t>
      </w:r>
      <w:r w:rsidR="00D85AE2" w:rsidRPr="0024127B">
        <w:rPr>
          <w:rFonts w:ascii="Palatino Linotype" w:eastAsia="Palatino Linotype" w:hAnsi="Palatino Linotype" w:cs="Palatino Linotype"/>
          <w:sz w:val="22"/>
          <w:szCs w:val="22"/>
        </w:rPr>
        <w:t xml:space="preserve">iciados, tipo de obra y costo. </w:t>
      </w:r>
    </w:p>
    <w:p w14:paraId="4C49CE7F" w14:textId="77777777" w:rsidR="00D85AE2" w:rsidRPr="0024127B" w:rsidRDefault="00D85AE2"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683C9A9" w14:textId="0694763D" w:rsidR="00D85AE2" w:rsidRPr="0024127B" w:rsidRDefault="00D85AE2"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El Sujeto Obligado, a través de la Dirección de Obras Públicas señaló que han realizado obras públicas en las colonias catalogadas como zona urbanizable; haciendo mención que, la información relativa a asentamientos urbanos es competencia de la Dirección Municipal de Desarrollo Urbano.</w:t>
      </w:r>
    </w:p>
    <w:p w14:paraId="083D0A5B" w14:textId="77777777" w:rsidR="00771A65" w:rsidRPr="0024127B" w:rsidRDefault="00771A65"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8E2872B" w14:textId="6E41956E" w:rsidR="00771A65" w:rsidRPr="0024127B" w:rsidRDefault="00771A65"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Ante la respuesta, el Recurrente se inconformó señalando lo siguiente:</w:t>
      </w:r>
    </w:p>
    <w:p w14:paraId="650E88EE" w14:textId="77777777" w:rsidR="00771A65" w:rsidRPr="0024127B" w:rsidRDefault="00771A65"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9A808EB" w14:textId="01905096" w:rsidR="00771A65" w:rsidRPr="0024127B" w:rsidRDefault="00771A65" w:rsidP="00771A65">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EL SUJETO OBLIGADO NO MANIFIESTA LOS ASENTAMIENTO HUMANOS OFICIALMENTE RECONOCIDOS POR LA ADMINISTRACION 2022-2024</w:t>
      </w:r>
    </w:p>
    <w:p w14:paraId="056857D0" w14:textId="77777777" w:rsidR="00771A65" w:rsidRPr="0024127B" w:rsidRDefault="00771A65"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A27561A" w14:textId="7DECDC97" w:rsidR="00771A65" w:rsidRPr="0024127B" w:rsidRDefault="00771A65" w:rsidP="00771A65">
      <w:pPr>
        <w:pStyle w:val="Prrafodelista"/>
        <w:tabs>
          <w:tab w:val="left" w:pos="567"/>
        </w:tabs>
        <w:spacing w:line="360" w:lineRule="auto"/>
        <w:ind w:left="0"/>
        <w:contextualSpacing/>
        <w:jc w:val="both"/>
        <w:rPr>
          <w:rFonts w:ascii="Palatino Linotype" w:eastAsia="Palatino Linotype" w:hAnsi="Palatino Linotype" w:cs="Palatino Linotype"/>
        </w:rPr>
      </w:pPr>
      <w:r w:rsidRPr="0024127B">
        <w:rPr>
          <w:rFonts w:ascii="Palatino Linotype" w:eastAsia="Palatino Linotype" w:hAnsi="Palatino Linotype" w:cs="Palatino Linotype"/>
        </w:rPr>
        <w:t>Se debe mencionar que lo referido por el Recurrente en el recurso de revisión no forma parte de lo requerido inicialmente, considerándose una petición adicional, esto en razón de que en la solicitud inicial no se requirieron</w:t>
      </w:r>
      <w:r w:rsidRPr="0024127B">
        <w:rPr>
          <w:rFonts w:ascii="Palatino Linotype" w:eastAsia="Palatino Linotype" w:hAnsi="Palatino Linotype" w:cs="Palatino Linotype"/>
          <w:b/>
        </w:rPr>
        <w:t xml:space="preserve"> los asentamientos humanos reconocidos por el Sujeto Obligado.</w:t>
      </w:r>
    </w:p>
    <w:p w14:paraId="121EEF80"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47D6C2FD" w14:textId="77777777" w:rsidR="00771A65" w:rsidRPr="0024127B" w:rsidRDefault="00771A65" w:rsidP="00771A65">
      <w:pPr>
        <w:pStyle w:val="Prrafodelista"/>
        <w:tabs>
          <w:tab w:val="left" w:pos="567"/>
        </w:tabs>
        <w:spacing w:line="360" w:lineRule="auto"/>
        <w:ind w:left="0"/>
        <w:contextualSpacing/>
        <w:jc w:val="both"/>
        <w:rPr>
          <w:rFonts w:ascii="Palatino Linotype" w:eastAsia="Calibri" w:hAnsi="Palatino Linotype" w:cs="Arial"/>
        </w:rPr>
      </w:pPr>
      <w:r w:rsidRPr="0024127B">
        <w:rPr>
          <w:rFonts w:ascii="Palatino Linotype" w:hAnsi="Palatino Linotype" w:cs="Arial"/>
          <w:b/>
        </w:rPr>
        <w:t>De este modo, en los motivos de inconformidad los recurrentes no pueden incluir situaciones novedosas o solicitudes de información nuevas</w:t>
      </w:r>
      <w:r w:rsidRPr="0024127B">
        <w:rPr>
          <w:rFonts w:ascii="Palatino Linotype" w:hAnsi="Palatino Linotype" w:cs="Arial"/>
        </w:rPr>
        <w:t xml:space="preserve"> de las que el Sujeto Obligado no tuvo la oportunidad de conocer y por consiguiente producir un posicionamiento.</w:t>
      </w:r>
    </w:p>
    <w:p w14:paraId="15033450" w14:textId="77777777" w:rsidR="00771A65" w:rsidRPr="0024127B" w:rsidRDefault="00771A65" w:rsidP="00771A65">
      <w:pPr>
        <w:pStyle w:val="Prrafodelista"/>
        <w:tabs>
          <w:tab w:val="left" w:pos="567"/>
        </w:tabs>
        <w:spacing w:line="360" w:lineRule="auto"/>
        <w:ind w:left="0"/>
        <w:jc w:val="both"/>
        <w:rPr>
          <w:rFonts w:ascii="Palatino Linotype" w:eastAsia="Calibri" w:hAnsi="Palatino Linotype" w:cs="Arial"/>
        </w:rPr>
      </w:pPr>
    </w:p>
    <w:p w14:paraId="36FA90B8" w14:textId="77777777" w:rsidR="00771A65" w:rsidRPr="0024127B" w:rsidRDefault="00771A65" w:rsidP="00771A65">
      <w:pPr>
        <w:pStyle w:val="Prrafodelista"/>
        <w:tabs>
          <w:tab w:val="left" w:pos="567"/>
        </w:tabs>
        <w:spacing w:line="360" w:lineRule="auto"/>
        <w:ind w:left="0"/>
        <w:contextualSpacing/>
        <w:jc w:val="both"/>
        <w:rPr>
          <w:rFonts w:ascii="Palatino Linotype" w:hAnsi="Palatino Linotype" w:cs="Arial"/>
        </w:rPr>
      </w:pPr>
      <w:r w:rsidRPr="0024127B">
        <w:rPr>
          <w:rFonts w:ascii="Palatino Linotype" w:hAnsi="Palatino Linotype" w:cs="Arial"/>
        </w:rPr>
        <w:t xml:space="preserve">Es por ello, que la Ley de la materia contempla que en los casos en que a través del recurso de revisión se pretenda ampliar los requerimientos de información, la inconformidad </w:t>
      </w:r>
      <w:r w:rsidRPr="0024127B">
        <w:rPr>
          <w:rFonts w:ascii="Palatino Linotype" w:hAnsi="Palatino Linotype" w:cs="Arial"/>
        </w:rPr>
        <w:lastRenderedPageBreak/>
        <w:t>relativa a estas situaciones novedosas no debe ser tomada en cuenta como parte de la Litis y debe ser desechada.</w:t>
      </w:r>
    </w:p>
    <w:p w14:paraId="458EAA66" w14:textId="77777777" w:rsidR="00771A65" w:rsidRPr="0024127B" w:rsidRDefault="00771A65" w:rsidP="00771A65">
      <w:pPr>
        <w:pStyle w:val="Prrafodelista"/>
        <w:tabs>
          <w:tab w:val="left" w:pos="567"/>
        </w:tabs>
        <w:spacing w:line="360" w:lineRule="auto"/>
        <w:ind w:left="0"/>
        <w:contextualSpacing/>
        <w:jc w:val="both"/>
        <w:rPr>
          <w:rFonts w:ascii="Palatino Linotype" w:hAnsi="Palatino Linotype" w:cs="Arial"/>
        </w:rPr>
      </w:pPr>
    </w:p>
    <w:p w14:paraId="0D2BF6CE" w14:textId="77777777" w:rsidR="00771A65" w:rsidRPr="0024127B" w:rsidRDefault="00771A65" w:rsidP="00771A65">
      <w:pPr>
        <w:pStyle w:val="NormalWeb"/>
        <w:spacing w:before="0" w:beforeAutospacing="0" w:after="0" w:afterAutospacing="0" w:line="360" w:lineRule="auto"/>
        <w:jc w:val="both"/>
      </w:pPr>
      <w:r w:rsidRPr="0024127B">
        <w:rPr>
          <w:rFonts w:ascii="Palatino Linotype" w:hAnsi="Palatino Linotype"/>
          <w:sz w:val="22"/>
          <w:szCs w:val="22"/>
        </w:rPr>
        <w:t>En este orden de ideas, una vez formulada su solicitud inicial,</w:t>
      </w:r>
      <w:r w:rsidRPr="0024127B">
        <w:rPr>
          <w:rFonts w:ascii="Palatino Linotype" w:hAnsi="Palatino Linotype"/>
          <w:i/>
          <w:iCs/>
          <w:sz w:val="22"/>
          <w:szCs w:val="22"/>
        </w:rPr>
        <w:t xml:space="preserve"> </w:t>
      </w:r>
      <w:r w:rsidRPr="0024127B">
        <w:rPr>
          <w:rFonts w:ascii="Palatino Linotype" w:hAnsi="Palatino Linotype"/>
          <w:sz w:val="22"/>
          <w:szCs w:val="22"/>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6AA7F7F4" w14:textId="77777777" w:rsidR="00771A65" w:rsidRPr="0024127B" w:rsidRDefault="00771A65" w:rsidP="00771A65">
      <w:pPr>
        <w:spacing w:line="360" w:lineRule="auto"/>
      </w:pPr>
    </w:p>
    <w:p w14:paraId="48E0318B" w14:textId="77777777" w:rsidR="00771A65" w:rsidRPr="0024127B" w:rsidRDefault="00771A65" w:rsidP="00771A65">
      <w:pPr>
        <w:pStyle w:val="NormalWeb"/>
        <w:spacing w:before="0" w:beforeAutospacing="0" w:after="0" w:afterAutospacing="0" w:line="360" w:lineRule="auto"/>
        <w:jc w:val="both"/>
        <w:rPr>
          <w:rFonts w:ascii="Palatino Linotype" w:hAnsi="Palatino Linotype"/>
          <w:sz w:val="22"/>
          <w:szCs w:val="22"/>
        </w:rPr>
      </w:pPr>
      <w:r w:rsidRPr="0024127B">
        <w:rPr>
          <w:rFonts w:ascii="Palatino Linotype" w:hAnsi="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5BD97C88" w14:textId="77777777" w:rsidR="00771A65" w:rsidRPr="0024127B" w:rsidRDefault="00771A65" w:rsidP="00771A65">
      <w:pPr>
        <w:pStyle w:val="NormalWeb"/>
        <w:spacing w:before="0" w:beforeAutospacing="0" w:after="0" w:afterAutospacing="0"/>
        <w:jc w:val="both"/>
      </w:pPr>
    </w:p>
    <w:p w14:paraId="418B61D8" w14:textId="77777777" w:rsidR="00771A65" w:rsidRPr="0024127B" w:rsidRDefault="00771A65" w:rsidP="00771A65">
      <w:pPr>
        <w:pStyle w:val="NormalWeb"/>
        <w:spacing w:before="0" w:beforeAutospacing="0" w:after="0" w:afterAutospacing="0"/>
        <w:ind w:left="567" w:right="843"/>
        <w:jc w:val="both"/>
      </w:pPr>
      <w:r w:rsidRPr="0024127B">
        <w:rPr>
          <w:rFonts w:ascii="Palatino Linotype" w:hAnsi="Palatino Linotype"/>
          <w:i/>
          <w:iCs/>
          <w:sz w:val="22"/>
          <w:szCs w:val="22"/>
        </w:rPr>
        <w:t>“</w:t>
      </w:r>
      <w:r w:rsidRPr="0024127B">
        <w:rPr>
          <w:rFonts w:ascii="Palatino Linotype" w:hAnsi="Palatino Linotype"/>
          <w:b/>
          <w:bCs/>
          <w:i/>
          <w:iCs/>
          <w:sz w:val="22"/>
          <w:szCs w:val="22"/>
        </w:rPr>
        <w:t xml:space="preserve">Es improcedente ampliar las solicitudes de acceso a información, a través de la interposición del recurso de revisión. </w:t>
      </w:r>
      <w:r w:rsidRPr="0024127B">
        <w:rPr>
          <w:rFonts w:ascii="Palatino Linotype" w:hAnsi="Palatino Linotype"/>
          <w:i/>
          <w:iCs/>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24127B">
        <w:rPr>
          <w:rFonts w:ascii="Palatino Linotype" w:hAnsi="Palatino Linotype"/>
          <w:b/>
          <w:bCs/>
          <w:i/>
          <w:iCs/>
          <w:sz w:val="22"/>
          <w:szCs w:val="22"/>
        </w:rPr>
        <w:t>.</w:t>
      </w:r>
      <w:r w:rsidRPr="0024127B">
        <w:rPr>
          <w:rFonts w:ascii="Palatino Linotype" w:hAnsi="Palatino Linotype"/>
          <w:i/>
          <w:iCs/>
          <w:sz w:val="22"/>
          <w:szCs w:val="22"/>
        </w:rPr>
        <w:t>”</w:t>
      </w:r>
    </w:p>
    <w:p w14:paraId="1B357FA7" w14:textId="77777777" w:rsidR="00771A65" w:rsidRPr="0024127B" w:rsidRDefault="00771A65" w:rsidP="00771A65"/>
    <w:p w14:paraId="6E6ED786" w14:textId="77777777" w:rsidR="00771A65" w:rsidRPr="0024127B" w:rsidRDefault="00771A65" w:rsidP="00771A65">
      <w:pPr>
        <w:pStyle w:val="NormalWeb"/>
        <w:spacing w:before="0" w:beforeAutospacing="0" w:after="0" w:afterAutospacing="0" w:line="360" w:lineRule="auto"/>
        <w:jc w:val="both"/>
      </w:pPr>
      <w:r w:rsidRPr="0024127B">
        <w:rPr>
          <w:rFonts w:ascii="Palatino Linotype" w:hAnsi="Palatino Linotype"/>
          <w:sz w:val="22"/>
          <w:szCs w:val="22"/>
        </w:rPr>
        <w:t>En este tenor, es posible determinar que para el caso que nos ocupa, los argumentos formulados en los motivos o razones de inconformidad son una ampliación a la solicitud inicial y corresponden a nuevos requerimientos de información que no se encuentran relacionados con lo solicitado en un primer momento.</w:t>
      </w:r>
    </w:p>
    <w:p w14:paraId="2D4F0FD0" w14:textId="77777777" w:rsidR="00771A65" w:rsidRPr="0024127B" w:rsidRDefault="00771A65" w:rsidP="00771A65">
      <w:pPr>
        <w:pStyle w:val="Prrafodelista"/>
        <w:tabs>
          <w:tab w:val="left" w:pos="567"/>
        </w:tabs>
        <w:spacing w:line="360" w:lineRule="auto"/>
        <w:ind w:left="0"/>
        <w:contextualSpacing/>
        <w:jc w:val="both"/>
        <w:rPr>
          <w:rFonts w:ascii="Palatino Linotype" w:hAnsi="Palatino Linotype" w:cs="Arial"/>
          <w:b/>
          <w:i/>
          <w:u w:val="single"/>
          <w:lang w:val="es-MX"/>
        </w:rPr>
      </w:pPr>
    </w:p>
    <w:p w14:paraId="4D1E7A33" w14:textId="77777777" w:rsidR="00771A65" w:rsidRPr="0024127B" w:rsidRDefault="00771A65" w:rsidP="00771A65">
      <w:pPr>
        <w:spacing w:line="360" w:lineRule="auto"/>
        <w:ind w:right="96"/>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Por ello, en virtud de los argumentos expuestos con anterioridad así como del análisis realizado a las constancias que obran en el expediente electrónico del SAIMEX, se </w:t>
      </w:r>
      <w:r w:rsidRPr="0024127B">
        <w:rPr>
          <w:rFonts w:ascii="Palatino Linotype" w:eastAsia="Palatino Linotype" w:hAnsi="Palatino Linotype" w:cs="Palatino Linotype"/>
          <w:sz w:val="22"/>
          <w:szCs w:val="22"/>
        </w:rPr>
        <w:lastRenderedPageBreak/>
        <w:t>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contempladas en la fracción VII del artículo 191 del ordenamiento legal en cita, los que se transcriben a continuación, para un mejor entendimiento:</w:t>
      </w:r>
    </w:p>
    <w:p w14:paraId="2542D5FD" w14:textId="77777777" w:rsidR="00771A65" w:rsidRPr="0024127B" w:rsidRDefault="00771A65" w:rsidP="00771A65">
      <w:pPr>
        <w:spacing w:line="360" w:lineRule="auto"/>
        <w:ind w:right="96"/>
        <w:jc w:val="both"/>
        <w:rPr>
          <w:rFonts w:ascii="Palatino Linotype" w:eastAsia="Palatino Linotype" w:hAnsi="Palatino Linotype" w:cs="Palatino Linotype"/>
          <w:sz w:val="22"/>
          <w:szCs w:val="22"/>
        </w:rPr>
      </w:pPr>
    </w:p>
    <w:p w14:paraId="10180E20"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Artículo 191</w:t>
      </w:r>
      <w:r w:rsidRPr="0024127B">
        <w:rPr>
          <w:rFonts w:ascii="Palatino Linotype" w:eastAsia="Palatino Linotype" w:hAnsi="Palatino Linotype" w:cs="Palatino Linotype"/>
          <w:i/>
          <w:sz w:val="22"/>
          <w:szCs w:val="22"/>
        </w:rPr>
        <w:t xml:space="preserve">. </w:t>
      </w:r>
      <w:r w:rsidRPr="0024127B">
        <w:rPr>
          <w:rFonts w:ascii="Palatino Linotype" w:eastAsia="Palatino Linotype" w:hAnsi="Palatino Linotype" w:cs="Palatino Linotype"/>
          <w:b/>
          <w:i/>
          <w:sz w:val="22"/>
          <w:szCs w:val="22"/>
        </w:rPr>
        <w:t>El recurso</w:t>
      </w:r>
      <w:r w:rsidRPr="0024127B">
        <w:rPr>
          <w:rFonts w:ascii="Palatino Linotype" w:eastAsia="Palatino Linotype" w:hAnsi="Palatino Linotype" w:cs="Palatino Linotype"/>
          <w:i/>
          <w:sz w:val="22"/>
          <w:szCs w:val="22"/>
        </w:rPr>
        <w:t xml:space="preserve"> </w:t>
      </w:r>
      <w:r w:rsidRPr="0024127B">
        <w:rPr>
          <w:rFonts w:ascii="Palatino Linotype" w:eastAsia="Palatino Linotype" w:hAnsi="Palatino Linotype" w:cs="Palatino Linotype"/>
          <w:b/>
          <w:i/>
          <w:sz w:val="22"/>
          <w:szCs w:val="22"/>
        </w:rPr>
        <w:t xml:space="preserve">será </w:t>
      </w:r>
      <w:r w:rsidRPr="0024127B">
        <w:rPr>
          <w:rFonts w:ascii="Palatino Linotype" w:eastAsia="Palatino Linotype" w:hAnsi="Palatino Linotype" w:cs="Palatino Linotype"/>
          <w:i/>
          <w:sz w:val="22"/>
          <w:szCs w:val="22"/>
        </w:rPr>
        <w:t xml:space="preserve">desechado por </w:t>
      </w:r>
      <w:r w:rsidRPr="0024127B">
        <w:rPr>
          <w:rFonts w:ascii="Palatino Linotype" w:eastAsia="Palatino Linotype" w:hAnsi="Palatino Linotype" w:cs="Palatino Linotype"/>
          <w:b/>
          <w:i/>
          <w:sz w:val="22"/>
          <w:szCs w:val="22"/>
        </w:rPr>
        <w:t>improcedente cuando</w:t>
      </w:r>
      <w:r w:rsidRPr="0024127B">
        <w:rPr>
          <w:rFonts w:ascii="Palatino Linotype" w:eastAsia="Palatino Linotype" w:hAnsi="Palatino Linotype" w:cs="Palatino Linotype"/>
          <w:i/>
          <w:sz w:val="22"/>
          <w:szCs w:val="22"/>
        </w:rPr>
        <w:t>:</w:t>
      </w:r>
    </w:p>
    <w:p w14:paraId="05E2927B"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p>
    <w:p w14:paraId="601A3CA4"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b/>
          <w:i/>
          <w:sz w:val="22"/>
          <w:szCs w:val="22"/>
        </w:rPr>
      </w:pPr>
      <w:r w:rsidRPr="0024127B">
        <w:rPr>
          <w:rFonts w:ascii="Palatino Linotype" w:hAnsi="Palatino Linotype"/>
          <w:i/>
          <w:sz w:val="22"/>
          <w:szCs w:val="22"/>
        </w:rPr>
        <w:t>VII. El recurrente amplíe su solicitud en el recurso de revisión, únicamente respecto de los nuevos contenidos</w:t>
      </w:r>
    </w:p>
    <w:p w14:paraId="6995561D"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b/>
          <w:i/>
          <w:sz w:val="22"/>
          <w:szCs w:val="22"/>
        </w:rPr>
      </w:pPr>
    </w:p>
    <w:p w14:paraId="21157E03"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b/>
          <w:i/>
          <w:sz w:val="22"/>
          <w:szCs w:val="22"/>
        </w:rPr>
        <w:t>Artículo 192.</w:t>
      </w:r>
      <w:r w:rsidRPr="0024127B">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50900D02" w14:textId="77777777" w:rsidR="00771A65" w:rsidRPr="0024127B" w:rsidRDefault="00771A65" w:rsidP="00771A65">
      <w:pPr>
        <w:tabs>
          <w:tab w:val="left" w:pos="7938"/>
        </w:tabs>
        <w:spacing w:line="276" w:lineRule="auto"/>
        <w:ind w:left="567" w:right="902"/>
        <w:jc w:val="both"/>
        <w:rPr>
          <w:rFonts w:ascii="Palatino Linotype" w:eastAsia="Palatino Linotype" w:hAnsi="Palatino Linotype" w:cs="Palatino Linotype"/>
          <w:i/>
          <w:sz w:val="22"/>
          <w:szCs w:val="22"/>
        </w:rPr>
      </w:pPr>
      <w:r w:rsidRPr="0024127B">
        <w:rPr>
          <w:rFonts w:ascii="Palatino Linotype" w:eastAsia="Palatino Linotype" w:hAnsi="Palatino Linotype" w:cs="Palatino Linotype"/>
          <w:i/>
          <w:sz w:val="22"/>
          <w:szCs w:val="22"/>
        </w:rPr>
        <w:t>…</w:t>
      </w:r>
    </w:p>
    <w:p w14:paraId="414FF05A" w14:textId="77777777" w:rsidR="00771A65" w:rsidRPr="0024127B" w:rsidRDefault="00771A65" w:rsidP="00771A65">
      <w:pPr>
        <w:tabs>
          <w:tab w:val="left" w:pos="7938"/>
        </w:tabs>
        <w:spacing w:line="360" w:lineRule="auto"/>
        <w:ind w:left="567" w:right="902"/>
        <w:jc w:val="both"/>
        <w:rPr>
          <w:rFonts w:ascii="Palatino Linotype" w:hAnsi="Palatino Linotype"/>
          <w:i/>
          <w:sz w:val="22"/>
        </w:rPr>
      </w:pPr>
      <w:r w:rsidRPr="0024127B">
        <w:rPr>
          <w:rFonts w:ascii="Palatino Linotype" w:hAnsi="Palatino Linotype"/>
          <w:i/>
          <w:sz w:val="22"/>
        </w:rPr>
        <w:t>IV. Admitido el recurso de revisión, aparezca alguna causal de improcedencia en los términos de la presente Ley; y</w:t>
      </w:r>
    </w:p>
    <w:p w14:paraId="02D79A8D" w14:textId="77777777" w:rsidR="00771A65" w:rsidRPr="0024127B" w:rsidRDefault="00771A65" w:rsidP="00771A65">
      <w:pPr>
        <w:tabs>
          <w:tab w:val="left" w:pos="7938"/>
        </w:tabs>
        <w:spacing w:line="360" w:lineRule="auto"/>
        <w:ind w:left="567" w:right="902"/>
        <w:jc w:val="both"/>
        <w:rPr>
          <w:rFonts w:ascii="Palatino Linotype" w:eastAsia="Palatino Linotype" w:hAnsi="Palatino Linotype" w:cs="Palatino Linotype"/>
          <w:i/>
          <w:sz w:val="20"/>
          <w:szCs w:val="22"/>
        </w:rPr>
      </w:pPr>
    </w:p>
    <w:p w14:paraId="32C47261"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Siendo el </w:t>
      </w:r>
      <w:r w:rsidRPr="0024127B">
        <w:rPr>
          <w:rFonts w:ascii="Palatino Linotype" w:eastAsia="Palatino Linotype" w:hAnsi="Palatino Linotype" w:cs="Palatino Linotype"/>
          <w:b/>
          <w:i/>
          <w:sz w:val="22"/>
          <w:szCs w:val="22"/>
        </w:rPr>
        <w:t>sobreseimiento</w:t>
      </w:r>
      <w:r w:rsidRPr="0024127B">
        <w:rPr>
          <w:rFonts w:ascii="Palatino Linotype" w:eastAsia="Palatino Linotype" w:hAnsi="Palatino Linotype" w:cs="Palatino Linotype"/>
          <w:b/>
          <w:sz w:val="22"/>
          <w:szCs w:val="22"/>
        </w:rPr>
        <w:t xml:space="preserve"> </w:t>
      </w:r>
      <w:r w:rsidRPr="0024127B">
        <w:rPr>
          <w:rFonts w:ascii="Palatino Linotype" w:eastAsia="Palatino Linotype" w:hAnsi="Palatino Linotype" w:cs="Palatino Linotype"/>
          <w:sz w:val="22"/>
          <w:szCs w:val="22"/>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564CA3B"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76AF0ED9" w14:textId="77777777" w:rsidR="00771A65" w:rsidRPr="0024127B" w:rsidRDefault="00771A65" w:rsidP="00771A65">
      <w:pPr>
        <w:spacing w:line="276" w:lineRule="auto"/>
        <w:ind w:left="567" w:right="902"/>
        <w:jc w:val="both"/>
        <w:rPr>
          <w:rFonts w:ascii="Palatino Linotype" w:eastAsia="Palatino Linotype" w:hAnsi="Palatino Linotype" w:cs="Palatino Linotype"/>
          <w:b/>
          <w:i/>
          <w:sz w:val="22"/>
          <w:szCs w:val="22"/>
        </w:rPr>
      </w:pPr>
      <w:r w:rsidRPr="0024127B">
        <w:rPr>
          <w:rFonts w:ascii="Palatino Linotype" w:eastAsia="Palatino Linotype" w:hAnsi="Palatino Linotype" w:cs="Palatino Linotype"/>
          <w:i/>
          <w:sz w:val="22"/>
          <w:szCs w:val="22"/>
        </w:rPr>
        <w:t>“</w:t>
      </w:r>
      <w:r w:rsidRPr="0024127B">
        <w:rPr>
          <w:rFonts w:ascii="Palatino Linotype" w:eastAsia="Palatino Linotype" w:hAnsi="Palatino Linotype" w:cs="Palatino Linotype"/>
          <w:b/>
          <w:i/>
          <w:sz w:val="22"/>
          <w:szCs w:val="22"/>
        </w:rPr>
        <w:t xml:space="preserve">SOBRESEIMIENTO, NO PERMITE ENTRAR AL ESTUDIO DE LAS CUESTIONES DE FONDO. </w:t>
      </w:r>
      <w:r w:rsidRPr="0024127B">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w:t>
      </w:r>
      <w:r w:rsidRPr="0024127B">
        <w:rPr>
          <w:rFonts w:ascii="Palatino Linotype" w:eastAsia="Palatino Linotype" w:hAnsi="Palatino Linotype" w:cs="Palatino Linotype"/>
          <w:i/>
          <w:sz w:val="22"/>
          <w:szCs w:val="22"/>
        </w:rPr>
        <w:lastRenderedPageBreak/>
        <w:t xml:space="preserve">reclamados de las autoridades responsables, que constituyen el problema de fondo, si se decreta el sobreseimiento del juicio.” </w:t>
      </w:r>
    </w:p>
    <w:p w14:paraId="34D99DBC"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1B84F55D"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6C5AFE0"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78F8FBF7" w14:textId="77777777" w:rsidR="00771A65" w:rsidRPr="0024127B" w:rsidRDefault="00771A65" w:rsidP="00771A65">
      <w:pPr>
        <w:spacing w:line="276" w:lineRule="auto"/>
        <w:ind w:left="567" w:right="567"/>
        <w:jc w:val="both"/>
        <w:rPr>
          <w:rFonts w:ascii="Palatino Linotype" w:eastAsia="Palatino Linotype" w:hAnsi="Palatino Linotype" w:cs="Palatino Linotype"/>
          <w:b/>
          <w:i/>
          <w:sz w:val="22"/>
          <w:szCs w:val="22"/>
        </w:rPr>
      </w:pPr>
      <w:r w:rsidRPr="0024127B">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24127B">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2E71989"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76CB5856" w14:textId="77777777" w:rsidR="00771A65" w:rsidRPr="0024127B" w:rsidRDefault="00771A65" w:rsidP="00771A65">
      <w:pPr>
        <w:spacing w:line="360" w:lineRule="auto"/>
        <w:ind w:right="49"/>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Por último y no menos importante, se dejan a salvo los derechos del Recurrente para que, si así lo desea formule nuevas solicitudes requiriendo la información de su interés.</w:t>
      </w:r>
    </w:p>
    <w:p w14:paraId="7208C497" w14:textId="77777777" w:rsidR="00771A65" w:rsidRPr="0024127B" w:rsidRDefault="00771A65" w:rsidP="00771A65">
      <w:pPr>
        <w:spacing w:line="360" w:lineRule="auto"/>
        <w:ind w:right="49"/>
        <w:jc w:val="both"/>
        <w:rPr>
          <w:rFonts w:ascii="Palatino Linotype" w:eastAsia="Palatino Linotype" w:hAnsi="Palatino Linotype" w:cs="Palatino Linotype"/>
          <w:sz w:val="22"/>
          <w:szCs w:val="22"/>
        </w:rPr>
      </w:pPr>
    </w:p>
    <w:p w14:paraId="556AD49B" w14:textId="77777777" w:rsidR="00771A65" w:rsidRPr="0024127B" w:rsidRDefault="00771A65" w:rsidP="00771A65">
      <w:pPr>
        <w:spacing w:line="360" w:lineRule="auto"/>
        <w:ind w:right="49"/>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sz w:val="22"/>
          <w:szCs w:val="22"/>
        </w:rPr>
        <w:t xml:space="preserve">Así las cosas, con fundamento en lo prescrito en los artículos 5 párrafos trigésimo segundo, trigésimo tercero y trigésimo cuarto de la Constitución Política del Estado Libre y Soberano de México; 2, fracción II; 29, 36 fracciones I y II; 176, 178, 179, 181, 185, 191 fracción VII y </w:t>
      </w:r>
      <w:r w:rsidRPr="0024127B">
        <w:rPr>
          <w:rFonts w:ascii="Palatino Linotype" w:eastAsia="Palatino Linotype" w:hAnsi="Palatino Linotype" w:cs="Palatino Linotype"/>
          <w:sz w:val="22"/>
          <w:szCs w:val="22"/>
        </w:rPr>
        <w:lastRenderedPageBreak/>
        <w:t>192, fracción IV, de la Ley de Transparencia y Acceso a la Información Pública del Estado de México y Municipios, este Pleno:</w:t>
      </w:r>
    </w:p>
    <w:p w14:paraId="026CA1C9" w14:textId="77777777" w:rsidR="0024127B" w:rsidRPr="0024127B" w:rsidRDefault="0024127B" w:rsidP="00771A65">
      <w:pPr>
        <w:spacing w:line="360" w:lineRule="auto"/>
        <w:ind w:right="49"/>
        <w:jc w:val="both"/>
        <w:rPr>
          <w:rFonts w:ascii="Palatino Linotype" w:eastAsia="Palatino Linotype" w:hAnsi="Palatino Linotype" w:cs="Palatino Linotype"/>
          <w:sz w:val="22"/>
          <w:szCs w:val="22"/>
        </w:rPr>
      </w:pPr>
    </w:p>
    <w:p w14:paraId="718F4D2D" w14:textId="77777777" w:rsidR="00771A65" w:rsidRPr="0024127B" w:rsidRDefault="00771A65" w:rsidP="00771A65">
      <w:pPr>
        <w:spacing w:line="360" w:lineRule="auto"/>
        <w:ind w:left="360"/>
        <w:jc w:val="center"/>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III. R E S U E L V E:</w:t>
      </w:r>
    </w:p>
    <w:p w14:paraId="2190A592" w14:textId="77777777" w:rsidR="00771A65" w:rsidRPr="0024127B" w:rsidRDefault="00771A65" w:rsidP="00771A65">
      <w:pPr>
        <w:spacing w:line="360" w:lineRule="auto"/>
        <w:ind w:left="360"/>
        <w:jc w:val="center"/>
        <w:rPr>
          <w:rFonts w:ascii="Palatino Linotype" w:eastAsia="Palatino Linotype" w:hAnsi="Palatino Linotype" w:cs="Palatino Linotype"/>
          <w:b/>
          <w:sz w:val="22"/>
          <w:szCs w:val="22"/>
        </w:rPr>
      </w:pPr>
    </w:p>
    <w:p w14:paraId="452C8D02" w14:textId="64BE7D38" w:rsidR="00771A65" w:rsidRPr="0024127B" w:rsidRDefault="00771A65" w:rsidP="00771A65">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Primero.</w:t>
      </w:r>
      <w:r w:rsidRPr="0024127B">
        <w:rPr>
          <w:rFonts w:ascii="Palatino Linotype" w:eastAsia="Palatino Linotype" w:hAnsi="Palatino Linotype" w:cs="Palatino Linotype"/>
          <w:sz w:val="22"/>
          <w:szCs w:val="22"/>
        </w:rPr>
        <w:t xml:space="preserve"> Se </w:t>
      </w:r>
      <w:r w:rsidRPr="0024127B">
        <w:rPr>
          <w:rFonts w:ascii="Palatino Linotype" w:eastAsia="Palatino Linotype" w:hAnsi="Palatino Linotype" w:cs="Palatino Linotype"/>
          <w:b/>
          <w:sz w:val="22"/>
          <w:szCs w:val="22"/>
        </w:rPr>
        <w:t>SOBRESEE</w:t>
      </w:r>
      <w:r w:rsidRPr="0024127B">
        <w:rPr>
          <w:rFonts w:ascii="Palatino Linotype" w:eastAsia="Palatino Linotype" w:hAnsi="Palatino Linotype" w:cs="Palatino Linotype"/>
          <w:sz w:val="22"/>
          <w:szCs w:val="22"/>
        </w:rPr>
        <w:t xml:space="preserve"> el Recurso de Revisión número </w:t>
      </w:r>
      <w:r w:rsidRPr="0024127B">
        <w:rPr>
          <w:rFonts w:ascii="Palatino Linotype" w:eastAsia="Palatino Linotype" w:hAnsi="Palatino Linotype" w:cs="Palatino Linotype"/>
          <w:b/>
          <w:sz w:val="22"/>
          <w:szCs w:val="22"/>
        </w:rPr>
        <w:t>06809/INFOEM/IP/RR/2024</w:t>
      </w:r>
      <w:r w:rsidRPr="0024127B">
        <w:rPr>
          <w:rFonts w:ascii="Palatino Linotype" w:eastAsia="Palatino Linotype" w:hAnsi="Palatino Linotype" w:cs="Palatino Linotype"/>
          <w:sz w:val="22"/>
          <w:szCs w:val="22"/>
        </w:rPr>
        <w:t xml:space="preserve">, por actualizarse la causal de improcedencia prevista en la fracción IV del artículo 192, en relación con la fracción VII del artículo 191, ambos de la Ley de Transparencia y Acceso a la Información Pública del Estado de México y Municipios vigente en la entidad, en términos del Considerando </w:t>
      </w:r>
      <w:r w:rsidRPr="0024127B">
        <w:rPr>
          <w:rFonts w:ascii="Palatino Linotype" w:eastAsia="Palatino Linotype" w:hAnsi="Palatino Linotype" w:cs="Palatino Linotype"/>
          <w:b/>
          <w:sz w:val="22"/>
          <w:szCs w:val="22"/>
        </w:rPr>
        <w:t>TERCERO</w:t>
      </w:r>
      <w:r w:rsidRPr="0024127B">
        <w:rPr>
          <w:rFonts w:ascii="Palatino Linotype" w:eastAsia="Palatino Linotype" w:hAnsi="Palatino Linotype" w:cs="Palatino Linotype"/>
          <w:sz w:val="22"/>
          <w:szCs w:val="22"/>
        </w:rPr>
        <w:t xml:space="preserve"> de la presente resolución.</w:t>
      </w:r>
    </w:p>
    <w:p w14:paraId="592A5DB1"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49593295" w14:textId="77777777" w:rsidR="00771A65" w:rsidRPr="0024127B" w:rsidRDefault="00771A65" w:rsidP="00771A65">
      <w:pPr>
        <w:spacing w:line="360" w:lineRule="auto"/>
        <w:jc w:val="both"/>
        <w:rPr>
          <w:rFonts w:ascii="Palatino Linotype" w:eastAsia="Palatino Linotype" w:hAnsi="Palatino Linotype" w:cs="Palatino Linotype"/>
          <w:b/>
          <w:sz w:val="22"/>
          <w:szCs w:val="22"/>
        </w:rPr>
      </w:pPr>
      <w:r w:rsidRPr="0024127B">
        <w:rPr>
          <w:rFonts w:ascii="Palatino Linotype" w:eastAsia="Palatino Linotype" w:hAnsi="Palatino Linotype" w:cs="Palatino Linotype"/>
          <w:b/>
          <w:sz w:val="22"/>
          <w:szCs w:val="22"/>
        </w:rPr>
        <w:t>Segundo. Notifíquese vía SAIMEX</w:t>
      </w:r>
      <w:r w:rsidRPr="0024127B">
        <w:rPr>
          <w:rFonts w:ascii="Palatino Linotype" w:eastAsia="Palatino Linotype" w:hAnsi="Palatino Linotype" w:cs="Palatino Linotype"/>
          <w:sz w:val="22"/>
          <w:szCs w:val="22"/>
        </w:rPr>
        <w:t>,</w:t>
      </w:r>
      <w:r w:rsidRPr="0024127B">
        <w:rPr>
          <w:rFonts w:ascii="Palatino Linotype" w:eastAsia="Palatino Linotype" w:hAnsi="Palatino Linotype" w:cs="Palatino Linotype"/>
          <w:b/>
          <w:sz w:val="22"/>
          <w:szCs w:val="22"/>
        </w:rPr>
        <w:t xml:space="preserve"> </w:t>
      </w:r>
      <w:r w:rsidRPr="0024127B">
        <w:rPr>
          <w:rFonts w:ascii="Palatino Linotype" w:eastAsia="Palatino Linotype" w:hAnsi="Palatino Linotype" w:cs="Palatino Linotype"/>
          <w:sz w:val="22"/>
          <w:szCs w:val="22"/>
        </w:rPr>
        <w:t xml:space="preserve">al </w:t>
      </w:r>
      <w:proofErr w:type="gramStart"/>
      <w:r w:rsidRPr="0024127B">
        <w:rPr>
          <w:rFonts w:ascii="Palatino Linotype" w:eastAsia="Palatino Linotype" w:hAnsi="Palatino Linotype" w:cs="Palatino Linotype"/>
          <w:sz w:val="22"/>
          <w:szCs w:val="22"/>
        </w:rPr>
        <w:t>Responsable</w:t>
      </w:r>
      <w:proofErr w:type="gramEnd"/>
      <w:r w:rsidRPr="0024127B">
        <w:rPr>
          <w:rFonts w:ascii="Palatino Linotype" w:eastAsia="Palatino Linotype" w:hAnsi="Palatino Linotype" w:cs="Palatino Linotype"/>
          <w:sz w:val="22"/>
          <w:szCs w:val="22"/>
        </w:rPr>
        <w:t xml:space="preserve"> de la Unidad de Transparencia del</w:t>
      </w:r>
      <w:r w:rsidRPr="0024127B">
        <w:rPr>
          <w:rFonts w:ascii="Palatino Linotype" w:eastAsia="Palatino Linotype" w:hAnsi="Palatino Linotype" w:cs="Palatino Linotype"/>
          <w:b/>
          <w:sz w:val="22"/>
          <w:szCs w:val="22"/>
        </w:rPr>
        <w:t xml:space="preserve"> SUJETO OBLIGADO </w:t>
      </w:r>
      <w:r w:rsidRPr="0024127B">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7DF64B74"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p>
    <w:p w14:paraId="6CB98C5C" w14:textId="77777777" w:rsidR="00771A65" w:rsidRPr="0024127B" w:rsidRDefault="00771A65" w:rsidP="00771A65">
      <w:pPr>
        <w:spacing w:line="360" w:lineRule="auto"/>
        <w:jc w:val="both"/>
        <w:rPr>
          <w:rFonts w:ascii="Palatino Linotype" w:eastAsia="Palatino Linotype" w:hAnsi="Palatino Linotype" w:cs="Palatino Linotype"/>
          <w:sz w:val="22"/>
          <w:szCs w:val="22"/>
        </w:rPr>
      </w:pPr>
      <w:r w:rsidRPr="0024127B">
        <w:rPr>
          <w:rFonts w:ascii="Palatino Linotype" w:eastAsia="Palatino Linotype" w:hAnsi="Palatino Linotype" w:cs="Palatino Linotype"/>
          <w:b/>
          <w:sz w:val="22"/>
          <w:szCs w:val="22"/>
        </w:rPr>
        <w:t xml:space="preserve">Tercero.  Notifíquese vía SAIMEX, </w:t>
      </w:r>
      <w:r w:rsidRPr="0024127B">
        <w:rPr>
          <w:rFonts w:ascii="Palatino Linotype" w:eastAsia="Palatino Linotype" w:hAnsi="Palatino Linotype" w:cs="Palatino Linotype"/>
          <w:sz w:val="22"/>
          <w:szCs w:val="22"/>
        </w:rPr>
        <w:t xml:space="preserve">la presente resolución al </w:t>
      </w:r>
      <w:r w:rsidRPr="0024127B">
        <w:rPr>
          <w:rFonts w:ascii="Palatino Linotype" w:eastAsia="Palatino Linotype" w:hAnsi="Palatino Linotype" w:cs="Palatino Linotype"/>
          <w:b/>
          <w:sz w:val="22"/>
          <w:szCs w:val="22"/>
        </w:rPr>
        <w:t>RECURRENTE</w:t>
      </w:r>
      <w:r w:rsidRPr="0024127B">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254AA2EE" w14:textId="77777777" w:rsidR="00771A65" w:rsidRPr="0024127B" w:rsidRDefault="00771A65" w:rsidP="00DA71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55E7043" w14:textId="0D8A01EC" w:rsidR="003A5BF3" w:rsidRPr="0024127B" w:rsidRDefault="00B830DD" w:rsidP="00C9447F">
      <w:pPr>
        <w:spacing w:line="360" w:lineRule="auto"/>
        <w:jc w:val="both"/>
        <w:rPr>
          <w:rFonts w:ascii="Palatino Linotype" w:eastAsia="Palatino Linotype" w:hAnsi="Palatino Linotype" w:cs="Palatino Linotype"/>
          <w:sz w:val="22"/>
          <w:szCs w:val="22"/>
        </w:rPr>
        <w:sectPr w:rsidR="003A5BF3" w:rsidRPr="0024127B">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24127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24127B">
        <w:rPr>
          <w:rFonts w:ascii="Palatino Linotype" w:eastAsia="Palatino Linotype" w:hAnsi="Palatino Linotype" w:cs="Palatino Linotype"/>
          <w:sz w:val="22"/>
          <w:szCs w:val="22"/>
        </w:rPr>
        <w:lastRenderedPageBreak/>
        <w:t>AYALA, SHARON CRISTINA MORALES MARTÍNEZ, LUIS GUSTAVO PARRA NORIEGA Y</w:t>
      </w:r>
      <w:r w:rsidR="00934FFB" w:rsidRPr="0024127B">
        <w:rPr>
          <w:rFonts w:ascii="Palatino Linotype" w:eastAsia="Palatino Linotype" w:hAnsi="Palatino Linotype" w:cs="Palatino Linotype"/>
          <w:sz w:val="22"/>
          <w:szCs w:val="22"/>
        </w:rPr>
        <w:t xml:space="preserve"> GUADALUPE RAMÍREZ PEÑA; EN LA CUADRAGÉSIMA PRIMERA</w:t>
      </w:r>
      <w:r w:rsidRPr="0024127B">
        <w:rPr>
          <w:rFonts w:ascii="Palatino Linotype" w:eastAsia="Palatino Linotype" w:hAnsi="Palatino Linotype" w:cs="Palatino Linotype"/>
          <w:sz w:val="22"/>
          <w:szCs w:val="22"/>
        </w:rPr>
        <w:t xml:space="preserve"> SESIÓN ORDINARIA CELEBRADA EL </w:t>
      </w:r>
      <w:r w:rsidR="00934FFB" w:rsidRPr="0024127B">
        <w:rPr>
          <w:rFonts w:ascii="Palatino Linotype" w:eastAsia="Palatino Linotype" w:hAnsi="Palatino Linotype" w:cs="Palatino Linotype"/>
          <w:sz w:val="22"/>
          <w:szCs w:val="22"/>
        </w:rPr>
        <w:t>VEINTISIETE</w:t>
      </w:r>
      <w:r w:rsidRPr="0024127B">
        <w:rPr>
          <w:rFonts w:ascii="Palatino Linotype" w:eastAsia="Palatino Linotype" w:hAnsi="Palatino Linotype" w:cs="Palatino Linotype"/>
          <w:sz w:val="22"/>
          <w:szCs w:val="22"/>
        </w:rPr>
        <w:t xml:space="preserve"> DE </w:t>
      </w:r>
      <w:r w:rsidR="00934FFB" w:rsidRPr="0024127B">
        <w:rPr>
          <w:rFonts w:ascii="Palatino Linotype" w:eastAsia="Palatino Linotype" w:hAnsi="Palatino Linotype" w:cs="Palatino Linotype"/>
          <w:sz w:val="22"/>
          <w:szCs w:val="22"/>
        </w:rPr>
        <w:t>NOVIEMBRE</w:t>
      </w:r>
      <w:r w:rsidRPr="0024127B">
        <w:rPr>
          <w:rFonts w:ascii="Palatino Linotype" w:eastAsia="Palatino Linotype" w:hAnsi="Palatino Linotype" w:cs="Palatino Linotype"/>
          <w:sz w:val="22"/>
          <w:szCs w:val="22"/>
        </w:rPr>
        <w:t xml:space="preserve"> DE DOS MIL VEINTICUATRO ANTE EL SECRETARIO TÉCNICO DEL PLENO ALEXIS TAPIA RAMÍREZ.                             </w:t>
      </w:r>
    </w:p>
    <w:p w14:paraId="5305A436"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1A799EB6" w14:textId="77777777" w:rsidR="003A5BF3" w:rsidRPr="0024127B" w:rsidRDefault="003A5BF3" w:rsidP="00C9447F">
      <w:pPr>
        <w:spacing w:line="360" w:lineRule="auto"/>
        <w:jc w:val="both"/>
        <w:rPr>
          <w:rFonts w:ascii="Palatino Linotype" w:eastAsia="Palatino Linotype" w:hAnsi="Palatino Linotype" w:cs="Palatino Linotype"/>
          <w:sz w:val="22"/>
          <w:szCs w:val="22"/>
        </w:rPr>
      </w:pPr>
    </w:p>
    <w:p w14:paraId="4C5E4BA6" w14:textId="77777777" w:rsidR="0066781B" w:rsidRPr="0024127B" w:rsidRDefault="0066781B">
      <w:pPr>
        <w:spacing w:line="360" w:lineRule="auto"/>
        <w:jc w:val="both"/>
        <w:rPr>
          <w:rFonts w:ascii="Palatino Linotype" w:eastAsia="Palatino Linotype" w:hAnsi="Palatino Linotype" w:cs="Palatino Linotype"/>
          <w:sz w:val="22"/>
          <w:szCs w:val="22"/>
        </w:rPr>
      </w:pPr>
    </w:p>
    <w:sectPr w:rsidR="0066781B" w:rsidRPr="0024127B">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F6C7" w14:textId="77777777" w:rsidR="00381540" w:rsidRDefault="00381540">
      <w:r>
        <w:separator/>
      </w:r>
    </w:p>
  </w:endnote>
  <w:endnote w:type="continuationSeparator" w:id="0">
    <w:p w14:paraId="55B851F9" w14:textId="77777777" w:rsidR="00381540" w:rsidRDefault="0038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3B6128" w:rsidRDefault="003B612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46F96">
      <w:rPr>
        <w:rFonts w:ascii="Arial" w:eastAsia="Arial" w:hAnsi="Arial" w:cs="Arial"/>
        <w:b/>
        <w:noProof/>
        <w:color w:val="000000"/>
        <w:sz w:val="20"/>
        <w:szCs w:val="20"/>
      </w:rPr>
      <w:t>19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46F96">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19F4689E" w14:textId="77777777" w:rsidR="003B6128" w:rsidRDefault="003B6128">
    <w:pPr>
      <w:pBdr>
        <w:top w:val="nil"/>
        <w:left w:val="nil"/>
        <w:bottom w:val="nil"/>
        <w:right w:val="nil"/>
        <w:between w:val="nil"/>
      </w:pBdr>
      <w:tabs>
        <w:tab w:val="center" w:pos="4252"/>
        <w:tab w:val="right" w:pos="8504"/>
      </w:tabs>
      <w:rPr>
        <w:color w:val="000000"/>
      </w:rPr>
    </w:pPr>
  </w:p>
  <w:p w14:paraId="505E47D2" w14:textId="77777777" w:rsidR="003B6128" w:rsidRDefault="003B612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3B6128" w:rsidRDefault="003B612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46F96">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46F96">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20627E59" w14:textId="77777777" w:rsidR="003B6128" w:rsidRDefault="003B612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E65E" w14:textId="77777777" w:rsidR="00381540" w:rsidRDefault="00381540">
      <w:r>
        <w:separator/>
      </w:r>
    </w:p>
  </w:footnote>
  <w:footnote w:type="continuationSeparator" w:id="0">
    <w:p w14:paraId="53CB3D86" w14:textId="77777777" w:rsidR="00381540" w:rsidRDefault="0038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3B6128" w:rsidRDefault="003B6128">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528" w:type="dxa"/>
      <w:tblInd w:w="3261" w:type="dxa"/>
      <w:tblLayout w:type="fixed"/>
      <w:tblLook w:val="0400" w:firstRow="0" w:lastRow="0" w:firstColumn="0" w:lastColumn="0" w:noHBand="0" w:noVBand="1"/>
    </w:tblPr>
    <w:tblGrid>
      <w:gridCol w:w="2551"/>
      <w:gridCol w:w="2977"/>
    </w:tblGrid>
    <w:tr w:rsidR="003B6128" w14:paraId="2C87281E" w14:textId="77777777">
      <w:tc>
        <w:tcPr>
          <w:tcW w:w="2551" w:type="dxa"/>
          <w:vAlign w:val="center"/>
        </w:tcPr>
        <w:p w14:paraId="037FF726"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68CDAA96" w:rsidR="003B6128" w:rsidRDefault="003B6128" w:rsidP="00934F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06809/INFOEM/IP/RR/2024</w:t>
          </w:r>
        </w:p>
      </w:tc>
    </w:tr>
    <w:tr w:rsidR="003B6128" w14:paraId="5144B56C" w14:textId="77777777">
      <w:trPr>
        <w:trHeight w:val="228"/>
      </w:trPr>
      <w:tc>
        <w:tcPr>
          <w:tcW w:w="2551" w:type="dxa"/>
          <w:vAlign w:val="center"/>
        </w:tcPr>
        <w:p w14:paraId="581AC1CA"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4B84E5BE" w:rsidR="003B6128" w:rsidRDefault="003B612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3B6128" w14:paraId="1BC4DF9F" w14:textId="77777777">
      <w:tc>
        <w:tcPr>
          <w:tcW w:w="2551" w:type="dxa"/>
          <w:vAlign w:val="center"/>
        </w:tcPr>
        <w:p w14:paraId="53F0E38C"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3B6128" w:rsidRDefault="003B612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3B6128" w:rsidRDefault="003B6128">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3B6128" w:rsidRDefault="003B612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70" w:type="dxa"/>
      <w:tblInd w:w="3119" w:type="dxa"/>
      <w:tblLayout w:type="fixed"/>
      <w:tblLook w:val="0400" w:firstRow="0" w:lastRow="0" w:firstColumn="0" w:lastColumn="0" w:noHBand="0" w:noVBand="1"/>
    </w:tblPr>
    <w:tblGrid>
      <w:gridCol w:w="2551"/>
      <w:gridCol w:w="3119"/>
    </w:tblGrid>
    <w:tr w:rsidR="003B6128" w14:paraId="5FC63CBD" w14:textId="77777777">
      <w:tc>
        <w:tcPr>
          <w:tcW w:w="2551" w:type="dxa"/>
          <w:vAlign w:val="center"/>
        </w:tcPr>
        <w:p w14:paraId="7AB06BB7"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2514BAA4" w:rsidR="003B6128" w:rsidRDefault="003B6128" w:rsidP="003A50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06809/INFOEM/IP/RR/2024 </w:t>
          </w:r>
        </w:p>
      </w:tc>
    </w:tr>
    <w:tr w:rsidR="003B6128" w14:paraId="0F7E33CE" w14:textId="77777777">
      <w:tc>
        <w:tcPr>
          <w:tcW w:w="2551" w:type="dxa"/>
          <w:vAlign w:val="center"/>
        </w:tcPr>
        <w:p w14:paraId="531505E9" w14:textId="77777777" w:rsidR="003B6128" w:rsidRDefault="003B612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1EB09B12" w:rsidR="003B6128" w:rsidRDefault="003B6128">
          <w:pPr>
            <w:ind w:right="27"/>
            <w:jc w:val="both"/>
            <w:rPr>
              <w:rFonts w:ascii="Palatino Linotype" w:eastAsia="Palatino Linotype" w:hAnsi="Palatino Linotype" w:cs="Palatino Linotype"/>
              <w:b/>
              <w:sz w:val="22"/>
              <w:szCs w:val="22"/>
            </w:rPr>
          </w:pPr>
        </w:p>
      </w:tc>
    </w:tr>
    <w:tr w:rsidR="003B6128" w14:paraId="34C4CBE9" w14:textId="77777777">
      <w:trPr>
        <w:trHeight w:val="228"/>
      </w:trPr>
      <w:tc>
        <w:tcPr>
          <w:tcW w:w="2551" w:type="dxa"/>
          <w:vAlign w:val="center"/>
        </w:tcPr>
        <w:p w14:paraId="77962A64"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78C07C58" w:rsidR="003B6128" w:rsidRDefault="003B612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3B6128" w14:paraId="53F45B37" w14:textId="77777777">
      <w:tc>
        <w:tcPr>
          <w:tcW w:w="2551" w:type="dxa"/>
          <w:vAlign w:val="center"/>
        </w:tcPr>
        <w:p w14:paraId="7CCF6822" w14:textId="77777777" w:rsidR="003B6128" w:rsidRDefault="003B61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3B6128" w:rsidRDefault="003B612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3B6128" w:rsidRDefault="003B612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139" w14:textId="77777777" w:rsidR="003B6128" w:rsidRDefault="003B6128">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DCAB583" w14:textId="77777777" w:rsidR="003B6128" w:rsidRDefault="003B612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D644A9"/>
    <w:multiLevelType w:val="multilevel"/>
    <w:tmpl w:val="9172311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E27E99"/>
    <w:multiLevelType w:val="hybridMultilevel"/>
    <w:tmpl w:val="07B8665E"/>
    <w:lvl w:ilvl="0" w:tplc="D470437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2F2B83"/>
    <w:multiLevelType w:val="hybridMultilevel"/>
    <w:tmpl w:val="D450C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CF5E42"/>
    <w:multiLevelType w:val="hybridMultilevel"/>
    <w:tmpl w:val="CA16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7779A5"/>
    <w:multiLevelType w:val="hybridMultilevel"/>
    <w:tmpl w:val="F924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9"/>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26F69"/>
    <w:rsid w:val="00064692"/>
    <w:rsid w:val="00073994"/>
    <w:rsid w:val="0008044E"/>
    <w:rsid w:val="00100BCF"/>
    <w:rsid w:val="00173867"/>
    <w:rsid w:val="001905EA"/>
    <w:rsid w:val="001E6F27"/>
    <w:rsid w:val="001F243F"/>
    <w:rsid w:val="0024127B"/>
    <w:rsid w:val="00247623"/>
    <w:rsid w:val="00276BA8"/>
    <w:rsid w:val="00296984"/>
    <w:rsid w:val="002A00D4"/>
    <w:rsid w:val="002F510A"/>
    <w:rsid w:val="002F7B79"/>
    <w:rsid w:val="003047E4"/>
    <w:rsid w:val="0031501D"/>
    <w:rsid w:val="0032682C"/>
    <w:rsid w:val="00337389"/>
    <w:rsid w:val="00381540"/>
    <w:rsid w:val="003A5012"/>
    <w:rsid w:val="003A5BF3"/>
    <w:rsid w:val="003B6128"/>
    <w:rsid w:val="003C7D01"/>
    <w:rsid w:val="004074A1"/>
    <w:rsid w:val="004341C2"/>
    <w:rsid w:val="004669E2"/>
    <w:rsid w:val="004A338B"/>
    <w:rsid w:val="004E142E"/>
    <w:rsid w:val="005775CB"/>
    <w:rsid w:val="005B5689"/>
    <w:rsid w:val="005C080E"/>
    <w:rsid w:val="005C1EC7"/>
    <w:rsid w:val="005D281C"/>
    <w:rsid w:val="00614E5C"/>
    <w:rsid w:val="00622765"/>
    <w:rsid w:val="006378BD"/>
    <w:rsid w:val="00657820"/>
    <w:rsid w:val="006662C1"/>
    <w:rsid w:val="0066781B"/>
    <w:rsid w:val="0069729A"/>
    <w:rsid w:val="006A50FE"/>
    <w:rsid w:val="006B601A"/>
    <w:rsid w:val="006C5C16"/>
    <w:rsid w:val="006D33A8"/>
    <w:rsid w:val="006F7C4B"/>
    <w:rsid w:val="00760A6B"/>
    <w:rsid w:val="00771A65"/>
    <w:rsid w:val="0078550C"/>
    <w:rsid w:val="007E2EC2"/>
    <w:rsid w:val="00834D96"/>
    <w:rsid w:val="0087541A"/>
    <w:rsid w:val="008A1D68"/>
    <w:rsid w:val="00934FFB"/>
    <w:rsid w:val="00946F96"/>
    <w:rsid w:val="00962001"/>
    <w:rsid w:val="00A11ACD"/>
    <w:rsid w:val="00A556C9"/>
    <w:rsid w:val="00A669FA"/>
    <w:rsid w:val="00A74F16"/>
    <w:rsid w:val="00AA221A"/>
    <w:rsid w:val="00AB2C8B"/>
    <w:rsid w:val="00AF4100"/>
    <w:rsid w:val="00B539C7"/>
    <w:rsid w:val="00B830DD"/>
    <w:rsid w:val="00B85572"/>
    <w:rsid w:val="00BA0507"/>
    <w:rsid w:val="00BE1629"/>
    <w:rsid w:val="00BE3154"/>
    <w:rsid w:val="00C24233"/>
    <w:rsid w:val="00C56346"/>
    <w:rsid w:val="00C6483A"/>
    <w:rsid w:val="00C9447F"/>
    <w:rsid w:val="00C97EEF"/>
    <w:rsid w:val="00CC3A7B"/>
    <w:rsid w:val="00CC64B2"/>
    <w:rsid w:val="00CE608F"/>
    <w:rsid w:val="00D85AE2"/>
    <w:rsid w:val="00DA716F"/>
    <w:rsid w:val="00DB7586"/>
    <w:rsid w:val="00DD299C"/>
    <w:rsid w:val="00DE5AA1"/>
    <w:rsid w:val="00DF4B56"/>
    <w:rsid w:val="00E26A2C"/>
    <w:rsid w:val="00E4688E"/>
    <w:rsid w:val="00E978F9"/>
    <w:rsid w:val="00EA2737"/>
    <w:rsid w:val="00EC6E43"/>
    <w:rsid w:val="00F54CB6"/>
    <w:rsid w:val="00F67C5A"/>
    <w:rsid w:val="00F84F72"/>
    <w:rsid w:val="00FA2525"/>
    <w:rsid w:val="00FF7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02EE9278-2030-46ED-A92E-21255D5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4"/>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736">
      <w:bodyDiv w:val="1"/>
      <w:marLeft w:val="0"/>
      <w:marRight w:val="0"/>
      <w:marTop w:val="0"/>
      <w:marBottom w:val="0"/>
      <w:divBdr>
        <w:top w:val="none" w:sz="0" w:space="0" w:color="auto"/>
        <w:left w:val="none" w:sz="0" w:space="0" w:color="auto"/>
        <w:bottom w:val="none" w:sz="0" w:space="0" w:color="auto"/>
        <w:right w:val="none" w:sz="0" w:space="0" w:color="auto"/>
      </w:divBdr>
    </w:div>
    <w:div w:id="131362566">
      <w:bodyDiv w:val="1"/>
      <w:marLeft w:val="0"/>
      <w:marRight w:val="0"/>
      <w:marTop w:val="0"/>
      <w:marBottom w:val="0"/>
      <w:divBdr>
        <w:top w:val="none" w:sz="0" w:space="0" w:color="auto"/>
        <w:left w:val="none" w:sz="0" w:space="0" w:color="auto"/>
        <w:bottom w:val="none" w:sz="0" w:space="0" w:color="auto"/>
        <w:right w:val="none" w:sz="0" w:space="0" w:color="auto"/>
      </w:divBdr>
    </w:div>
    <w:div w:id="596014187">
      <w:bodyDiv w:val="1"/>
      <w:marLeft w:val="0"/>
      <w:marRight w:val="0"/>
      <w:marTop w:val="0"/>
      <w:marBottom w:val="0"/>
      <w:divBdr>
        <w:top w:val="none" w:sz="0" w:space="0" w:color="auto"/>
        <w:left w:val="none" w:sz="0" w:space="0" w:color="auto"/>
        <w:bottom w:val="none" w:sz="0" w:space="0" w:color="auto"/>
        <w:right w:val="none" w:sz="0" w:space="0" w:color="auto"/>
      </w:divBdr>
    </w:div>
    <w:div w:id="982809856">
      <w:bodyDiv w:val="1"/>
      <w:marLeft w:val="0"/>
      <w:marRight w:val="0"/>
      <w:marTop w:val="0"/>
      <w:marBottom w:val="0"/>
      <w:divBdr>
        <w:top w:val="none" w:sz="0" w:space="0" w:color="auto"/>
        <w:left w:val="none" w:sz="0" w:space="0" w:color="auto"/>
        <w:bottom w:val="none" w:sz="0" w:space="0" w:color="auto"/>
        <w:right w:val="none" w:sz="0" w:space="0" w:color="auto"/>
      </w:divBdr>
    </w:div>
    <w:div w:id="1362899239">
      <w:bodyDiv w:val="1"/>
      <w:marLeft w:val="0"/>
      <w:marRight w:val="0"/>
      <w:marTop w:val="0"/>
      <w:marBottom w:val="0"/>
      <w:divBdr>
        <w:top w:val="none" w:sz="0" w:space="0" w:color="auto"/>
        <w:left w:val="none" w:sz="0" w:space="0" w:color="auto"/>
        <w:bottom w:val="none" w:sz="0" w:space="0" w:color="auto"/>
        <w:right w:val="none" w:sz="0" w:space="0" w:color="auto"/>
      </w:divBdr>
    </w:div>
    <w:div w:id="1556044398">
      <w:bodyDiv w:val="1"/>
      <w:marLeft w:val="0"/>
      <w:marRight w:val="0"/>
      <w:marTop w:val="0"/>
      <w:marBottom w:val="0"/>
      <w:divBdr>
        <w:top w:val="none" w:sz="0" w:space="0" w:color="auto"/>
        <w:left w:val="none" w:sz="0" w:space="0" w:color="auto"/>
        <w:bottom w:val="none" w:sz="0" w:space="0" w:color="auto"/>
        <w:right w:val="none" w:sz="0" w:space="0" w:color="auto"/>
      </w:divBdr>
    </w:div>
    <w:div w:id="1612393641">
      <w:bodyDiv w:val="1"/>
      <w:marLeft w:val="0"/>
      <w:marRight w:val="0"/>
      <w:marTop w:val="0"/>
      <w:marBottom w:val="0"/>
      <w:divBdr>
        <w:top w:val="none" w:sz="0" w:space="0" w:color="auto"/>
        <w:left w:val="none" w:sz="0" w:space="0" w:color="auto"/>
        <w:bottom w:val="none" w:sz="0" w:space="0" w:color="auto"/>
        <w:right w:val="none" w:sz="0" w:space="0" w:color="auto"/>
      </w:divBdr>
    </w:div>
    <w:div w:id="1671132246">
      <w:bodyDiv w:val="1"/>
      <w:marLeft w:val="0"/>
      <w:marRight w:val="0"/>
      <w:marTop w:val="0"/>
      <w:marBottom w:val="0"/>
      <w:divBdr>
        <w:top w:val="none" w:sz="0" w:space="0" w:color="auto"/>
        <w:left w:val="none" w:sz="0" w:space="0" w:color="auto"/>
        <w:bottom w:val="none" w:sz="0" w:space="0" w:color="auto"/>
        <w:right w:val="none" w:sz="0" w:space="0" w:color="auto"/>
      </w:divBdr>
    </w:div>
    <w:div w:id="1793671879">
      <w:bodyDiv w:val="1"/>
      <w:marLeft w:val="0"/>
      <w:marRight w:val="0"/>
      <w:marTop w:val="0"/>
      <w:marBottom w:val="0"/>
      <w:divBdr>
        <w:top w:val="none" w:sz="0" w:space="0" w:color="auto"/>
        <w:left w:val="none" w:sz="0" w:space="0" w:color="auto"/>
        <w:bottom w:val="none" w:sz="0" w:space="0" w:color="auto"/>
        <w:right w:val="none" w:sz="0" w:space="0" w:color="auto"/>
      </w:divBdr>
    </w:div>
    <w:div w:id="1919561162">
      <w:bodyDiv w:val="1"/>
      <w:marLeft w:val="0"/>
      <w:marRight w:val="0"/>
      <w:marTop w:val="0"/>
      <w:marBottom w:val="0"/>
      <w:divBdr>
        <w:top w:val="none" w:sz="0" w:space="0" w:color="auto"/>
        <w:left w:val="none" w:sz="0" w:space="0" w:color="auto"/>
        <w:bottom w:val="none" w:sz="0" w:space="0" w:color="auto"/>
        <w:right w:val="none" w:sz="0" w:space="0" w:color="auto"/>
      </w:divBdr>
    </w:div>
    <w:div w:id="2089382612">
      <w:bodyDiv w:val="1"/>
      <w:marLeft w:val="0"/>
      <w:marRight w:val="0"/>
      <w:marTop w:val="0"/>
      <w:marBottom w:val="0"/>
      <w:divBdr>
        <w:top w:val="none" w:sz="0" w:space="0" w:color="auto"/>
        <w:left w:val="none" w:sz="0" w:space="0" w:color="auto"/>
        <w:bottom w:val="none" w:sz="0" w:space="0" w:color="auto"/>
        <w:right w:val="none" w:sz="0" w:space="0" w:color="auto"/>
      </w:divBdr>
    </w:div>
    <w:div w:id="2101288275">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4485</Words>
  <Characters>24672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2024-11-29T19:09:00Z</cp:lastPrinted>
  <dcterms:created xsi:type="dcterms:W3CDTF">2024-12-06T20:25:00Z</dcterms:created>
  <dcterms:modified xsi:type="dcterms:W3CDTF">2024-12-06T20:25:00Z</dcterms:modified>
</cp:coreProperties>
</file>