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841ED" w:rsidRDefault="00AE3DA7" w:rsidP="00B841ED">
          <w:pPr>
            <w:pStyle w:val="TtulodeTDC"/>
            <w:spacing w:before="0" w:line="240" w:lineRule="auto"/>
            <w:rPr>
              <w:rFonts w:ascii="Palatino Linotype" w:hAnsi="Palatino Linotype"/>
              <w:color w:val="auto"/>
              <w:sz w:val="24"/>
              <w:szCs w:val="24"/>
              <w:lang w:val="es-ES"/>
            </w:rPr>
          </w:pPr>
          <w:r w:rsidRPr="00B841ED">
            <w:rPr>
              <w:rFonts w:ascii="Palatino Linotype" w:hAnsi="Palatino Linotype"/>
              <w:color w:val="auto"/>
              <w:sz w:val="24"/>
              <w:szCs w:val="24"/>
              <w:lang w:val="es-ES"/>
            </w:rPr>
            <w:t>Contenido</w:t>
          </w:r>
        </w:p>
        <w:p w14:paraId="3EB312A7" w14:textId="77777777" w:rsidR="00AA6EA9" w:rsidRPr="00B841ED" w:rsidRDefault="00AA6EA9" w:rsidP="00B841ED">
          <w:pPr>
            <w:spacing w:line="240" w:lineRule="auto"/>
            <w:rPr>
              <w:sz w:val="16"/>
              <w:szCs w:val="16"/>
              <w:lang w:val="es-ES" w:eastAsia="es-MX"/>
            </w:rPr>
          </w:pPr>
        </w:p>
        <w:p w14:paraId="6266EE22" w14:textId="015E7D26" w:rsidR="00B841ED" w:rsidRPr="00B841ED" w:rsidRDefault="00AE3DA7" w:rsidP="00B841ED">
          <w:pPr>
            <w:pStyle w:val="TDC1"/>
            <w:tabs>
              <w:tab w:val="right" w:leader="dot" w:pos="9034"/>
            </w:tabs>
            <w:rPr>
              <w:rFonts w:asciiTheme="minorHAnsi" w:eastAsiaTheme="minorEastAsia" w:hAnsiTheme="minorHAnsi" w:cstheme="minorBidi"/>
              <w:noProof/>
              <w:szCs w:val="22"/>
              <w:lang w:eastAsia="es-MX"/>
            </w:rPr>
          </w:pPr>
          <w:r w:rsidRPr="00B841ED">
            <w:rPr>
              <w:sz w:val="16"/>
              <w:szCs w:val="16"/>
            </w:rPr>
            <w:fldChar w:fldCharType="begin"/>
          </w:r>
          <w:r w:rsidRPr="00B841ED">
            <w:rPr>
              <w:sz w:val="16"/>
              <w:szCs w:val="16"/>
            </w:rPr>
            <w:instrText xml:space="preserve"> TOC \o "1-3" \h \z \u </w:instrText>
          </w:r>
          <w:r w:rsidRPr="00B841ED">
            <w:rPr>
              <w:sz w:val="16"/>
              <w:szCs w:val="16"/>
            </w:rPr>
            <w:fldChar w:fldCharType="separate"/>
          </w:r>
          <w:hyperlink w:anchor="_Toc184810812" w:history="1">
            <w:r w:rsidR="00B841ED" w:rsidRPr="00B841ED">
              <w:rPr>
                <w:rStyle w:val="Hipervnculo"/>
                <w:noProof/>
                <w:color w:val="auto"/>
              </w:rPr>
              <w:t>ANTECEDENTES</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_Toc184810812 \h </w:instrText>
            </w:r>
            <w:r w:rsidR="00B841ED" w:rsidRPr="00B841ED">
              <w:rPr>
                <w:noProof/>
                <w:webHidden/>
              </w:rPr>
            </w:r>
            <w:r w:rsidR="00B841ED" w:rsidRPr="00B841ED">
              <w:rPr>
                <w:noProof/>
                <w:webHidden/>
              </w:rPr>
              <w:fldChar w:fldCharType="separate"/>
            </w:r>
            <w:r w:rsidR="00210D66">
              <w:rPr>
                <w:noProof/>
                <w:webHidden/>
              </w:rPr>
              <w:t>1</w:t>
            </w:r>
            <w:r w:rsidR="00B841ED" w:rsidRPr="00B841ED">
              <w:rPr>
                <w:noProof/>
                <w:webHidden/>
              </w:rPr>
              <w:fldChar w:fldCharType="end"/>
            </w:r>
          </w:hyperlink>
        </w:p>
        <w:p w14:paraId="21CA724F" w14:textId="3A623468" w:rsidR="00B841ED" w:rsidRPr="00B841ED" w:rsidRDefault="00DE61A1" w:rsidP="00B841ED">
          <w:pPr>
            <w:pStyle w:val="TDC2"/>
            <w:rPr>
              <w:rFonts w:asciiTheme="minorHAnsi" w:eastAsiaTheme="minorEastAsia" w:hAnsiTheme="minorHAnsi" w:cstheme="minorBidi"/>
              <w:noProof/>
              <w:szCs w:val="22"/>
              <w:lang w:eastAsia="es-MX"/>
            </w:rPr>
          </w:pPr>
          <w:hyperlink w:anchor="_Toc184810813" w:history="1">
            <w:r w:rsidR="00B841ED" w:rsidRPr="00B841ED">
              <w:rPr>
                <w:rStyle w:val="Hipervnculo"/>
                <w:noProof/>
                <w:color w:val="auto"/>
              </w:rPr>
              <w:t>DE LAS SOLICITUDES DE INFORMACIÓN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_Toc184810813 \h </w:instrText>
            </w:r>
            <w:r w:rsidR="00B841ED" w:rsidRPr="00B841ED">
              <w:rPr>
                <w:noProof/>
                <w:webHidden/>
              </w:rPr>
            </w:r>
            <w:r w:rsidR="00B841ED" w:rsidRPr="00B841ED">
              <w:rPr>
                <w:noProof/>
                <w:webHidden/>
              </w:rPr>
              <w:fldChar w:fldCharType="separate"/>
            </w:r>
            <w:r w:rsidR="00210D66">
              <w:rPr>
                <w:noProof/>
                <w:webHidden/>
              </w:rPr>
              <w:t>1</w:t>
            </w:r>
            <w:r w:rsidR="00B841ED" w:rsidRPr="00B841ED">
              <w:rPr>
                <w:noProof/>
                <w:webHidden/>
              </w:rPr>
              <w:fldChar w:fldCharType="end"/>
            </w:r>
          </w:hyperlink>
        </w:p>
        <w:p w14:paraId="6E900003" w14:textId="64BC3247" w:rsidR="00B841ED" w:rsidRPr="00B841ED" w:rsidRDefault="00DE61A1" w:rsidP="00B841ED">
          <w:pPr>
            <w:pStyle w:val="TDC3"/>
            <w:rPr>
              <w:rFonts w:asciiTheme="minorHAnsi" w:eastAsiaTheme="minorEastAsia" w:hAnsiTheme="minorHAnsi" w:cstheme="minorBidi"/>
              <w:noProof/>
              <w:szCs w:val="22"/>
              <w:lang w:eastAsia="es-MX"/>
            </w:rPr>
          </w:pPr>
          <w:hyperlink w:anchor="_Toc184810814" w:history="1">
            <w:r w:rsidR="00B841ED" w:rsidRPr="00B841ED">
              <w:rPr>
                <w:rStyle w:val="Hipervnculo"/>
                <w:noProof/>
                <w:color w:val="auto"/>
              </w:rPr>
              <w:t>a) Solicitudes de información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_Toc184810814 \h </w:instrText>
            </w:r>
            <w:r w:rsidR="00B841ED" w:rsidRPr="00B841ED">
              <w:rPr>
                <w:noProof/>
                <w:webHidden/>
              </w:rPr>
            </w:r>
            <w:r w:rsidR="00B841ED" w:rsidRPr="00B841ED">
              <w:rPr>
                <w:noProof/>
                <w:webHidden/>
              </w:rPr>
              <w:fldChar w:fldCharType="separate"/>
            </w:r>
            <w:r w:rsidR="00210D66">
              <w:rPr>
                <w:noProof/>
                <w:webHidden/>
              </w:rPr>
              <w:t>1</w:t>
            </w:r>
            <w:r w:rsidR="00B841ED" w:rsidRPr="00B841ED">
              <w:rPr>
                <w:noProof/>
                <w:webHidden/>
              </w:rPr>
              <w:fldChar w:fldCharType="end"/>
            </w:r>
          </w:hyperlink>
        </w:p>
        <w:p w14:paraId="255D5F97" w14:textId="159B13E6" w:rsidR="00B841ED" w:rsidRPr="00B841ED" w:rsidRDefault="00DE61A1" w:rsidP="00B841ED">
          <w:pPr>
            <w:pStyle w:val="TDC3"/>
            <w:rPr>
              <w:rFonts w:asciiTheme="minorHAnsi" w:eastAsiaTheme="minorEastAsia" w:hAnsiTheme="minorHAnsi" w:cstheme="minorBidi"/>
              <w:noProof/>
              <w:szCs w:val="22"/>
              <w:lang w:eastAsia="es-MX"/>
            </w:rPr>
          </w:pPr>
          <w:hyperlink w:anchor="_Toc184810815" w:history="1">
            <w:r w:rsidR="00B841ED" w:rsidRPr="00B841ED">
              <w:rPr>
                <w:rStyle w:val="Hipervnculo"/>
                <w:noProof/>
                <w:color w:val="auto"/>
              </w:rPr>
              <w:t>b) Turno de la solicitud de información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_Toc184810815 \h </w:instrText>
            </w:r>
            <w:r w:rsidR="00B841ED" w:rsidRPr="00B841ED">
              <w:rPr>
                <w:noProof/>
                <w:webHidden/>
              </w:rPr>
            </w:r>
            <w:r w:rsidR="00B841ED" w:rsidRPr="00B841ED">
              <w:rPr>
                <w:noProof/>
                <w:webHidden/>
              </w:rPr>
              <w:fldChar w:fldCharType="separate"/>
            </w:r>
            <w:r w:rsidR="00210D66">
              <w:rPr>
                <w:noProof/>
                <w:webHidden/>
              </w:rPr>
              <w:t>2</w:t>
            </w:r>
            <w:r w:rsidR="00B841ED" w:rsidRPr="00B841ED">
              <w:rPr>
                <w:noProof/>
                <w:webHidden/>
              </w:rPr>
              <w:fldChar w:fldCharType="end"/>
            </w:r>
          </w:hyperlink>
        </w:p>
        <w:p w14:paraId="0A28D7EF" w14:textId="7FB4B588" w:rsidR="00B841ED" w:rsidRPr="00B841ED" w:rsidRDefault="00DE61A1" w:rsidP="00B841ED">
          <w:pPr>
            <w:pStyle w:val="TDC3"/>
            <w:rPr>
              <w:rFonts w:asciiTheme="minorHAnsi" w:eastAsiaTheme="minorEastAsia" w:hAnsiTheme="minorHAnsi" w:cstheme="minorBidi"/>
              <w:noProof/>
              <w:szCs w:val="22"/>
              <w:lang w:eastAsia="es-MX"/>
            </w:rPr>
          </w:pPr>
          <w:hyperlink w:anchor="_Toc184810816" w:history="1">
            <w:r w:rsidR="00B841ED" w:rsidRPr="00B841ED">
              <w:rPr>
                <w:rStyle w:val="Hipervnculo"/>
                <w:noProof/>
                <w:color w:val="auto"/>
                <w:lang w:val="es-ES"/>
              </w:rPr>
              <w:t xml:space="preserve">c) Respuestas </w:t>
            </w:r>
            <w:r w:rsidR="00B841ED" w:rsidRPr="00B841ED">
              <w:rPr>
                <w:rStyle w:val="Hipervnculo"/>
                <w:rFonts w:eastAsia="Calibri"/>
                <w:noProof/>
                <w:color w:val="auto"/>
                <w:lang w:eastAsia="en-US"/>
              </w:rPr>
              <w:t>del Sujeto Obligado</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_Toc184810816 \h </w:instrText>
            </w:r>
            <w:r w:rsidR="00B841ED" w:rsidRPr="00B841ED">
              <w:rPr>
                <w:noProof/>
                <w:webHidden/>
              </w:rPr>
            </w:r>
            <w:r w:rsidR="00B841ED" w:rsidRPr="00B841ED">
              <w:rPr>
                <w:noProof/>
                <w:webHidden/>
              </w:rPr>
              <w:fldChar w:fldCharType="separate"/>
            </w:r>
            <w:r w:rsidR="00210D66">
              <w:rPr>
                <w:noProof/>
                <w:webHidden/>
              </w:rPr>
              <w:t>3</w:t>
            </w:r>
            <w:r w:rsidR="00B841ED" w:rsidRPr="00B841ED">
              <w:rPr>
                <w:noProof/>
                <w:webHidden/>
              </w:rPr>
              <w:fldChar w:fldCharType="end"/>
            </w:r>
          </w:hyperlink>
        </w:p>
        <w:p w14:paraId="5BF0A884" w14:textId="3B5F0A87" w:rsidR="00B841ED" w:rsidRPr="00B841ED" w:rsidRDefault="00DE61A1" w:rsidP="00B841ED">
          <w:pPr>
            <w:pStyle w:val="TDC2"/>
            <w:rPr>
              <w:rFonts w:asciiTheme="minorHAnsi" w:eastAsiaTheme="minorEastAsia" w:hAnsiTheme="minorHAnsi" w:cstheme="minorBidi"/>
              <w:noProof/>
              <w:szCs w:val="22"/>
              <w:lang w:eastAsia="es-MX"/>
            </w:rPr>
          </w:pPr>
          <w:hyperlink w:anchor="_Toc184810817" w:history="1">
            <w:r w:rsidR="00B841ED" w:rsidRPr="00B841ED">
              <w:rPr>
                <w:rStyle w:val="Hipervnculo"/>
                <w:noProof/>
                <w:color w:val="auto"/>
              </w:rPr>
              <w:t>DE LOS RECURSOS DE REVISIÓN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_Toc184810817 \h </w:instrText>
            </w:r>
            <w:r w:rsidR="00B841ED" w:rsidRPr="00B841ED">
              <w:rPr>
                <w:noProof/>
                <w:webHidden/>
              </w:rPr>
            </w:r>
            <w:r w:rsidR="00B841ED" w:rsidRPr="00B841ED">
              <w:rPr>
                <w:noProof/>
                <w:webHidden/>
              </w:rPr>
              <w:fldChar w:fldCharType="separate"/>
            </w:r>
            <w:r w:rsidR="00210D66">
              <w:rPr>
                <w:noProof/>
                <w:webHidden/>
              </w:rPr>
              <w:t>7</w:t>
            </w:r>
            <w:r w:rsidR="00B841ED" w:rsidRPr="00B841ED">
              <w:rPr>
                <w:noProof/>
                <w:webHidden/>
              </w:rPr>
              <w:fldChar w:fldCharType="end"/>
            </w:r>
          </w:hyperlink>
        </w:p>
        <w:p w14:paraId="3A7DAEBD" w14:textId="6500C7C8" w:rsidR="00B841ED" w:rsidRPr="00B841ED" w:rsidRDefault="00DE61A1" w:rsidP="00B841ED">
          <w:pPr>
            <w:pStyle w:val="TDC3"/>
            <w:rPr>
              <w:rFonts w:asciiTheme="minorHAnsi" w:eastAsiaTheme="minorEastAsia" w:hAnsiTheme="minorHAnsi" w:cstheme="minorBidi"/>
              <w:noProof/>
              <w:szCs w:val="22"/>
              <w:lang w:eastAsia="es-MX"/>
            </w:rPr>
          </w:pPr>
          <w:hyperlink w:anchor="_Toc184810818" w:history="1">
            <w:r w:rsidR="00B841ED" w:rsidRPr="00B841ED">
              <w:rPr>
                <w:rStyle w:val="Hipervnculo"/>
                <w:noProof/>
                <w:color w:val="auto"/>
              </w:rPr>
              <w:t>a) Interposición de los Recursos de Revisión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_Toc184810818 \h </w:instrText>
            </w:r>
            <w:r w:rsidR="00B841ED" w:rsidRPr="00B841ED">
              <w:rPr>
                <w:noProof/>
                <w:webHidden/>
              </w:rPr>
            </w:r>
            <w:r w:rsidR="00B841ED" w:rsidRPr="00B841ED">
              <w:rPr>
                <w:noProof/>
                <w:webHidden/>
              </w:rPr>
              <w:fldChar w:fldCharType="separate"/>
            </w:r>
            <w:r w:rsidR="00210D66">
              <w:rPr>
                <w:noProof/>
                <w:webHidden/>
              </w:rPr>
              <w:t>7</w:t>
            </w:r>
            <w:r w:rsidR="00B841ED" w:rsidRPr="00B841ED">
              <w:rPr>
                <w:noProof/>
                <w:webHidden/>
              </w:rPr>
              <w:fldChar w:fldCharType="end"/>
            </w:r>
          </w:hyperlink>
        </w:p>
        <w:p w14:paraId="02A559E3" w14:textId="00EE2364" w:rsidR="00B841ED" w:rsidRPr="00B841ED" w:rsidRDefault="00DE61A1" w:rsidP="00B841ED">
          <w:pPr>
            <w:pStyle w:val="TDC3"/>
            <w:rPr>
              <w:rFonts w:asciiTheme="minorHAnsi" w:eastAsiaTheme="minorEastAsia" w:hAnsiTheme="minorHAnsi" w:cstheme="minorBidi"/>
              <w:noProof/>
              <w:szCs w:val="22"/>
              <w:lang w:eastAsia="es-MX"/>
            </w:rPr>
          </w:pPr>
          <w:hyperlink w:anchor="_Toc184810819" w:history="1">
            <w:r w:rsidR="00B841ED" w:rsidRPr="00B841ED">
              <w:rPr>
                <w:rStyle w:val="Hipervnculo"/>
                <w:noProof/>
                <w:color w:val="auto"/>
              </w:rPr>
              <w:t>b) Turno de los Recursos de Revisión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_Toc184810819 \h </w:instrText>
            </w:r>
            <w:r w:rsidR="00B841ED" w:rsidRPr="00B841ED">
              <w:rPr>
                <w:noProof/>
                <w:webHidden/>
              </w:rPr>
            </w:r>
            <w:r w:rsidR="00B841ED" w:rsidRPr="00B841ED">
              <w:rPr>
                <w:noProof/>
                <w:webHidden/>
              </w:rPr>
              <w:fldChar w:fldCharType="separate"/>
            </w:r>
            <w:r w:rsidR="00210D66">
              <w:rPr>
                <w:noProof/>
                <w:webHidden/>
              </w:rPr>
              <w:t>8</w:t>
            </w:r>
            <w:r w:rsidR="00B841ED" w:rsidRPr="00B841ED">
              <w:rPr>
                <w:noProof/>
                <w:webHidden/>
              </w:rPr>
              <w:fldChar w:fldCharType="end"/>
            </w:r>
          </w:hyperlink>
        </w:p>
        <w:p w14:paraId="1C76090C" w14:textId="3872B201" w:rsidR="00B841ED" w:rsidRPr="00B841ED" w:rsidRDefault="00DE61A1" w:rsidP="00B841ED">
          <w:pPr>
            <w:pStyle w:val="TDC3"/>
            <w:rPr>
              <w:rFonts w:asciiTheme="minorHAnsi" w:eastAsiaTheme="minorEastAsia" w:hAnsiTheme="minorHAnsi" w:cstheme="minorBidi"/>
              <w:noProof/>
              <w:szCs w:val="22"/>
              <w:lang w:eastAsia="es-MX"/>
            </w:rPr>
          </w:pPr>
          <w:hyperlink w:anchor="_Toc184810820" w:history="1">
            <w:r w:rsidR="00B841ED" w:rsidRPr="00B841ED">
              <w:rPr>
                <w:rStyle w:val="Hipervnculo"/>
                <w:noProof/>
                <w:color w:val="auto"/>
              </w:rPr>
              <w:t>c) Admisión de los Recursos de Revisión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_Toc184810820 \h </w:instrText>
            </w:r>
            <w:r w:rsidR="00B841ED" w:rsidRPr="00B841ED">
              <w:rPr>
                <w:noProof/>
                <w:webHidden/>
              </w:rPr>
            </w:r>
            <w:r w:rsidR="00B841ED" w:rsidRPr="00B841ED">
              <w:rPr>
                <w:noProof/>
                <w:webHidden/>
              </w:rPr>
              <w:fldChar w:fldCharType="separate"/>
            </w:r>
            <w:r w:rsidR="00210D66">
              <w:rPr>
                <w:noProof/>
                <w:webHidden/>
              </w:rPr>
              <w:t>8</w:t>
            </w:r>
            <w:r w:rsidR="00B841ED" w:rsidRPr="00B841ED">
              <w:rPr>
                <w:noProof/>
                <w:webHidden/>
              </w:rPr>
              <w:fldChar w:fldCharType="end"/>
            </w:r>
          </w:hyperlink>
        </w:p>
        <w:p w14:paraId="7745D1F2" w14:textId="2C20D87F" w:rsidR="00B841ED" w:rsidRPr="00B841ED" w:rsidRDefault="00DE61A1" w:rsidP="00B841ED">
          <w:pPr>
            <w:pStyle w:val="TDC3"/>
            <w:rPr>
              <w:rFonts w:asciiTheme="minorHAnsi" w:eastAsiaTheme="minorEastAsia" w:hAnsiTheme="minorHAnsi" w:cstheme="minorBidi"/>
              <w:noProof/>
              <w:szCs w:val="22"/>
              <w:lang w:eastAsia="es-MX"/>
            </w:rPr>
          </w:pPr>
          <w:hyperlink w:anchor="_Toc184810821" w:history="1">
            <w:r w:rsidR="00B841ED" w:rsidRPr="00B841ED">
              <w:rPr>
                <w:rStyle w:val="Hipervnculo"/>
                <w:noProof/>
                <w:color w:val="auto"/>
              </w:rPr>
              <w:t>d) Acumulación de los Recursos de Revisión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_Toc184810821 \h </w:instrText>
            </w:r>
            <w:r w:rsidR="00B841ED" w:rsidRPr="00B841ED">
              <w:rPr>
                <w:noProof/>
                <w:webHidden/>
              </w:rPr>
            </w:r>
            <w:r w:rsidR="00B841ED" w:rsidRPr="00B841ED">
              <w:rPr>
                <w:noProof/>
                <w:webHidden/>
              </w:rPr>
              <w:fldChar w:fldCharType="separate"/>
            </w:r>
            <w:r w:rsidR="00210D66">
              <w:rPr>
                <w:noProof/>
                <w:webHidden/>
              </w:rPr>
              <w:t>9</w:t>
            </w:r>
            <w:r w:rsidR="00B841ED" w:rsidRPr="00B841ED">
              <w:rPr>
                <w:noProof/>
                <w:webHidden/>
              </w:rPr>
              <w:fldChar w:fldCharType="end"/>
            </w:r>
          </w:hyperlink>
        </w:p>
        <w:p w14:paraId="4C9437C9" w14:textId="4DAC13CC" w:rsidR="00B841ED" w:rsidRPr="00B841ED" w:rsidRDefault="00DE61A1" w:rsidP="00B841ED">
          <w:pPr>
            <w:pStyle w:val="TDC3"/>
            <w:rPr>
              <w:rFonts w:asciiTheme="minorHAnsi" w:eastAsiaTheme="minorEastAsia" w:hAnsiTheme="minorHAnsi" w:cstheme="minorBidi"/>
              <w:noProof/>
              <w:szCs w:val="22"/>
              <w:lang w:eastAsia="es-MX"/>
            </w:rPr>
          </w:pPr>
          <w:hyperlink w:anchor="_Toc184810822" w:history="1">
            <w:r w:rsidR="00B841ED" w:rsidRPr="00B841ED">
              <w:rPr>
                <w:rStyle w:val="Hipervnculo"/>
                <w:noProof/>
                <w:color w:val="auto"/>
              </w:rPr>
              <w:t>e) Informe Justificado del Sujeto Obligado</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_Toc184810822 \h </w:instrText>
            </w:r>
            <w:r w:rsidR="00B841ED" w:rsidRPr="00B841ED">
              <w:rPr>
                <w:noProof/>
                <w:webHidden/>
              </w:rPr>
            </w:r>
            <w:r w:rsidR="00B841ED" w:rsidRPr="00B841ED">
              <w:rPr>
                <w:noProof/>
                <w:webHidden/>
              </w:rPr>
              <w:fldChar w:fldCharType="separate"/>
            </w:r>
            <w:r w:rsidR="00210D66">
              <w:rPr>
                <w:noProof/>
                <w:webHidden/>
              </w:rPr>
              <w:t>9</w:t>
            </w:r>
            <w:r w:rsidR="00B841ED" w:rsidRPr="00B841ED">
              <w:rPr>
                <w:noProof/>
                <w:webHidden/>
              </w:rPr>
              <w:fldChar w:fldCharType="end"/>
            </w:r>
          </w:hyperlink>
        </w:p>
        <w:p w14:paraId="6D2CF20F" w14:textId="19253209" w:rsidR="00B841ED" w:rsidRPr="00B841ED" w:rsidRDefault="00DE61A1" w:rsidP="00B841ED">
          <w:pPr>
            <w:pStyle w:val="TDC3"/>
            <w:rPr>
              <w:rFonts w:asciiTheme="minorHAnsi" w:eastAsiaTheme="minorEastAsia" w:hAnsiTheme="minorHAnsi" w:cstheme="minorBidi"/>
              <w:noProof/>
              <w:szCs w:val="22"/>
              <w:lang w:eastAsia="es-MX"/>
            </w:rPr>
          </w:pPr>
          <w:hyperlink w:anchor="_Toc184810823" w:history="1">
            <w:r w:rsidR="00B841ED" w:rsidRPr="00B841ED">
              <w:rPr>
                <w:rStyle w:val="Hipervnculo"/>
                <w:rFonts w:eastAsia="Calibri"/>
                <w:bCs/>
                <w:noProof/>
                <w:color w:val="auto"/>
                <w:lang w:eastAsia="en-US"/>
              </w:rPr>
              <w:t>f)</w:t>
            </w:r>
            <w:r w:rsidR="00B841ED" w:rsidRPr="00B841ED">
              <w:rPr>
                <w:rStyle w:val="Hipervnculo"/>
                <w:noProof/>
                <w:color w:val="auto"/>
              </w:rPr>
              <w:t xml:space="preserve"> </w:t>
            </w:r>
            <w:r w:rsidR="00B841ED" w:rsidRPr="00B841ED">
              <w:rPr>
                <w:rStyle w:val="Hipervnculo"/>
                <w:noProof/>
                <w:color w:val="auto"/>
                <w:lang w:val="es-ES"/>
              </w:rPr>
              <w:t>Manifestaciones de la Parte Recurrente</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_Toc184810823 \h </w:instrText>
            </w:r>
            <w:r w:rsidR="00B841ED" w:rsidRPr="00B841ED">
              <w:rPr>
                <w:noProof/>
                <w:webHidden/>
              </w:rPr>
            </w:r>
            <w:r w:rsidR="00B841ED" w:rsidRPr="00B841ED">
              <w:rPr>
                <w:noProof/>
                <w:webHidden/>
              </w:rPr>
              <w:fldChar w:fldCharType="separate"/>
            </w:r>
            <w:r w:rsidR="00210D66">
              <w:rPr>
                <w:noProof/>
                <w:webHidden/>
              </w:rPr>
              <w:t>9</w:t>
            </w:r>
            <w:r w:rsidR="00B841ED" w:rsidRPr="00B841ED">
              <w:rPr>
                <w:noProof/>
                <w:webHidden/>
              </w:rPr>
              <w:fldChar w:fldCharType="end"/>
            </w:r>
          </w:hyperlink>
        </w:p>
        <w:p w14:paraId="704F13B2" w14:textId="4BB59924" w:rsidR="00B841ED" w:rsidRPr="00B841ED" w:rsidRDefault="00DE61A1" w:rsidP="00B841ED">
          <w:pPr>
            <w:pStyle w:val="TDC3"/>
            <w:rPr>
              <w:rFonts w:asciiTheme="minorHAnsi" w:eastAsiaTheme="minorEastAsia" w:hAnsiTheme="minorHAnsi" w:cstheme="minorBidi"/>
              <w:noProof/>
              <w:szCs w:val="22"/>
              <w:lang w:eastAsia="es-MX"/>
            </w:rPr>
          </w:pPr>
          <w:hyperlink w:anchor="_Toc184810824" w:history="1">
            <w:r w:rsidR="00B841ED" w:rsidRPr="00B841ED">
              <w:rPr>
                <w:rStyle w:val="Hipervnculo"/>
                <w:noProof/>
                <w:color w:val="auto"/>
              </w:rPr>
              <w:t>g) Cierre de instrucción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_Toc184810824 \h </w:instrText>
            </w:r>
            <w:r w:rsidR="00B841ED" w:rsidRPr="00B841ED">
              <w:rPr>
                <w:noProof/>
                <w:webHidden/>
              </w:rPr>
            </w:r>
            <w:r w:rsidR="00B841ED" w:rsidRPr="00B841ED">
              <w:rPr>
                <w:noProof/>
                <w:webHidden/>
              </w:rPr>
              <w:fldChar w:fldCharType="separate"/>
            </w:r>
            <w:r w:rsidR="00210D66">
              <w:rPr>
                <w:noProof/>
                <w:webHidden/>
              </w:rPr>
              <w:t>9</w:t>
            </w:r>
            <w:r w:rsidR="00B841ED" w:rsidRPr="00B841ED">
              <w:rPr>
                <w:noProof/>
                <w:webHidden/>
              </w:rPr>
              <w:fldChar w:fldCharType="end"/>
            </w:r>
          </w:hyperlink>
        </w:p>
        <w:p w14:paraId="24B38362" w14:textId="10DB9585" w:rsidR="00B841ED" w:rsidRPr="00B841ED" w:rsidRDefault="00DE61A1" w:rsidP="00B841ED">
          <w:pPr>
            <w:pStyle w:val="TDC1"/>
            <w:tabs>
              <w:tab w:val="right" w:leader="dot" w:pos="9034"/>
            </w:tabs>
            <w:rPr>
              <w:rFonts w:asciiTheme="minorHAnsi" w:eastAsiaTheme="minorEastAsia" w:hAnsiTheme="minorHAnsi" w:cstheme="minorBidi"/>
              <w:noProof/>
              <w:szCs w:val="22"/>
              <w:lang w:eastAsia="es-MX"/>
            </w:rPr>
          </w:pPr>
          <w:hyperlink w:anchor="_Toc184810825" w:history="1">
            <w:r w:rsidR="00B841ED" w:rsidRPr="00B841ED">
              <w:rPr>
                <w:rStyle w:val="Hipervnculo"/>
                <w:rFonts w:eastAsiaTheme="minorHAnsi"/>
                <w:noProof/>
                <w:color w:val="auto"/>
                <w:lang w:eastAsia="en-US"/>
              </w:rPr>
              <w:t>CONSIDERANDOS</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_Toc184810825 \h </w:instrText>
            </w:r>
            <w:r w:rsidR="00B841ED" w:rsidRPr="00B841ED">
              <w:rPr>
                <w:noProof/>
                <w:webHidden/>
              </w:rPr>
            </w:r>
            <w:r w:rsidR="00B841ED" w:rsidRPr="00B841ED">
              <w:rPr>
                <w:noProof/>
                <w:webHidden/>
              </w:rPr>
              <w:fldChar w:fldCharType="separate"/>
            </w:r>
            <w:r w:rsidR="00210D66">
              <w:rPr>
                <w:noProof/>
                <w:webHidden/>
              </w:rPr>
              <w:t>10</w:t>
            </w:r>
            <w:r w:rsidR="00B841ED" w:rsidRPr="00B841ED">
              <w:rPr>
                <w:noProof/>
                <w:webHidden/>
              </w:rPr>
              <w:fldChar w:fldCharType="end"/>
            </w:r>
          </w:hyperlink>
        </w:p>
        <w:p w14:paraId="15C419DA" w14:textId="00A0E743" w:rsidR="00B841ED" w:rsidRPr="00B841ED" w:rsidRDefault="00DE61A1" w:rsidP="00B841ED">
          <w:pPr>
            <w:pStyle w:val="TDC2"/>
            <w:rPr>
              <w:rFonts w:asciiTheme="minorHAnsi" w:eastAsiaTheme="minorEastAsia" w:hAnsiTheme="minorHAnsi" w:cstheme="minorBidi"/>
              <w:noProof/>
              <w:szCs w:val="22"/>
              <w:lang w:eastAsia="es-MX"/>
            </w:rPr>
          </w:pPr>
          <w:hyperlink w:anchor="_Toc184810826" w:history="1">
            <w:r w:rsidR="00B841ED" w:rsidRPr="00B841ED">
              <w:rPr>
                <w:rStyle w:val="Hipervnculo"/>
                <w:rFonts w:eastAsia="Batang"/>
                <w:noProof/>
                <w:color w:val="auto"/>
              </w:rPr>
              <w:t>PRIMERO. Procedibilidad</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_Toc184810826 \h </w:instrText>
            </w:r>
            <w:r w:rsidR="00B841ED" w:rsidRPr="00B841ED">
              <w:rPr>
                <w:noProof/>
                <w:webHidden/>
              </w:rPr>
            </w:r>
            <w:r w:rsidR="00B841ED" w:rsidRPr="00B841ED">
              <w:rPr>
                <w:noProof/>
                <w:webHidden/>
              </w:rPr>
              <w:fldChar w:fldCharType="separate"/>
            </w:r>
            <w:r w:rsidR="00210D66">
              <w:rPr>
                <w:noProof/>
                <w:webHidden/>
              </w:rPr>
              <w:t>10</w:t>
            </w:r>
            <w:r w:rsidR="00B841ED" w:rsidRPr="00B841ED">
              <w:rPr>
                <w:noProof/>
                <w:webHidden/>
              </w:rPr>
              <w:fldChar w:fldCharType="end"/>
            </w:r>
          </w:hyperlink>
        </w:p>
        <w:p w14:paraId="1F206C1B" w14:textId="52C80C38" w:rsidR="00B841ED" w:rsidRPr="00B841ED" w:rsidRDefault="00DE61A1" w:rsidP="00B841ED">
          <w:pPr>
            <w:pStyle w:val="TDC3"/>
            <w:rPr>
              <w:rFonts w:asciiTheme="minorHAnsi" w:eastAsiaTheme="minorEastAsia" w:hAnsiTheme="minorHAnsi" w:cstheme="minorBidi"/>
              <w:noProof/>
              <w:szCs w:val="22"/>
              <w:lang w:eastAsia="es-MX"/>
            </w:rPr>
          </w:pPr>
          <w:hyperlink w:anchor="_Toc184810827" w:history="1">
            <w:r w:rsidR="00B841ED" w:rsidRPr="00B841ED">
              <w:rPr>
                <w:rStyle w:val="Hipervnculo"/>
                <w:noProof/>
                <w:color w:val="auto"/>
              </w:rPr>
              <w:t>a) Competencia del Instituto</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_Toc184810827 \h </w:instrText>
            </w:r>
            <w:r w:rsidR="00B841ED" w:rsidRPr="00B841ED">
              <w:rPr>
                <w:noProof/>
                <w:webHidden/>
              </w:rPr>
            </w:r>
            <w:r w:rsidR="00B841ED" w:rsidRPr="00B841ED">
              <w:rPr>
                <w:noProof/>
                <w:webHidden/>
              </w:rPr>
              <w:fldChar w:fldCharType="separate"/>
            </w:r>
            <w:r w:rsidR="00210D66">
              <w:rPr>
                <w:noProof/>
                <w:webHidden/>
              </w:rPr>
              <w:t>10</w:t>
            </w:r>
            <w:r w:rsidR="00B841ED" w:rsidRPr="00B841ED">
              <w:rPr>
                <w:noProof/>
                <w:webHidden/>
              </w:rPr>
              <w:fldChar w:fldCharType="end"/>
            </w:r>
          </w:hyperlink>
        </w:p>
        <w:p w14:paraId="39E00C38" w14:textId="6466BA19" w:rsidR="00B841ED" w:rsidRPr="00B841ED" w:rsidRDefault="00DE61A1" w:rsidP="00B841ED">
          <w:pPr>
            <w:pStyle w:val="TDC3"/>
            <w:rPr>
              <w:rFonts w:asciiTheme="minorHAnsi" w:eastAsiaTheme="minorEastAsia" w:hAnsiTheme="minorHAnsi" w:cstheme="minorBidi"/>
              <w:noProof/>
              <w:szCs w:val="22"/>
              <w:lang w:eastAsia="es-MX"/>
            </w:rPr>
          </w:pPr>
          <w:hyperlink w:anchor="_Toc184810828" w:history="1">
            <w:r w:rsidR="00B841ED" w:rsidRPr="00B841ED">
              <w:rPr>
                <w:rStyle w:val="Hipervnculo"/>
                <w:noProof/>
                <w:color w:val="auto"/>
              </w:rPr>
              <w:t>b) Legitimidad de la parte recurrente</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_Toc184810828 \h </w:instrText>
            </w:r>
            <w:r w:rsidR="00B841ED" w:rsidRPr="00B841ED">
              <w:rPr>
                <w:noProof/>
                <w:webHidden/>
              </w:rPr>
            </w:r>
            <w:r w:rsidR="00B841ED" w:rsidRPr="00B841ED">
              <w:rPr>
                <w:noProof/>
                <w:webHidden/>
              </w:rPr>
              <w:fldChar w:fldCharType="separate"/>
            </w:r>
            <w:r w:rsidR="00210D66">
              <w:rPr>
                <w:noProof/>
                <w:webHidden/>
              </w:rPr>
              <w:t>10</w:t>
            </w:r>
            <w:r w:rsidR="00B841ED" w:rsidRPr="00B841ED">
              <w:rPr>
                <w:noProof/>
                <w:webHidden/>
              </w:rPr>
              <w:fldChar w:fldCharType="end"/>
            </w:r>
          </w:hyperlink>
        </w:p>
        <w:p w14:paraId="634193F6" w14:textId="0C81AFD3" w:rsidR="00B841ED" w:rsidRPr="00B841ED" w:rsidRDefault="00DE61A1" w:rsidP="00B841ED">
          <w:pPr>
            <w:pStyle w:val="TDC3"/>
            <w:rPr>
              <w:rFonts w:asciiTheme="minorHAnsi" w:eastAsiaTheme="minorEastAsia" w:hAnsiTheme="minorHAnsi" w:cstheme="minorBidi"/>
              <w:noProof/>
              <w:szCs w:val="22"/>
              <w:lang w:eastAsia="es-MX"/>
            </w:rPr>
          </w:pPr>
          <w:hyperlink w:anchor="_Toc184810829" w:history="1">
            <w:r w:rsidR="00B841ED" w:rsidRPr="00B841ED">
              <w:rPr>
                <w:rStyle w:val="Hipervnculo"/>
                <w:rFonts w:eastAsia="Calibri"/>
                <w:noProof/>
                <w:color w:val="auto"/>
                <w:lang w:eastAsia="es-ES_tradnl"/>
              </w:rPr>
              <w:t>c) Plazo para interponer el recurso</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_Toc184810829 \h </w:instrText>
            </w:r>
            <w:r w:rsidR="00B841ED" w:rsidRPr="00B841ED">
              <w:rPr>
                <w:noProof/>
                <w:webHidden/>
              </w:rPr>
            </w:r>
            <w:r w:rsidR="00B841ED" w:rsidRPr="00B841ED">
              <w:rPr>
                <w:noProof/>
                <w:webHidden/>
              </w:rPr>
              <w:fldChar w:fldCharType="separate"/>
            </w:r>
            <w:r w:rsidR="00210D66">
              <w:rPr>
                <w:noProof/>
                <w:webHidden/>
              </w:rPr>
              <w:t>11</w:t>
            </w:r>
            <w:r w:rsidR="00B841ED" w:rsidRPr="00B841ED">
              <w:rPr>
                <w:noProof/>
                <w:webHidden/>
              </w:rPr>
              <w:fldChar w:fldCharType="end"/>
            </w:r>
          </w:hyperlink>
        </w:p>
        <w:p w14:paraId="65D6397A" w14:textId="6255B695" w:rsidR="00B841ED" w:rsidRPr="00B841ED" w:rsidRDefault="00DE61A1" w:rsidP="00B841ED">
          <w:pPr>
            <w:pStyle w:val="TDC3"/>
            <w:rPr>
              <w:rFonts w:asciiTheme="minorHAnsi" w:eastAsiaTheme="minorEastAsia" w:hAnsiTheme="minorHAnsi" w:cstheme="minorBidi"/>
              <w:noProof/>
              <w:szCs w:val="22"/>
              <w:lang w:eastAsia="es-MX"/>
            </w:rPr>
          </w:pPr>
          <w:hyperlink w:anchor="_Toc184810830" w:history="1">
            <w:r w:rsidR="00B841ED" w:rsidRPr="00B841ED">
              <w:rPr>
                <w:rStyle w:val="Hipervnculo"/>
                <w:rFonts w:eastAsia="Calibri"/>
                <w:noProof/>
                <w:color w:val="auto"/>
                <w:lang w:eastAsia="es-ES_tradnl"/>
              </w:rPr>
              <w:t>d) Causal de procedencia</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_Toc184810830 \h </w:instrText>
            </w:r>
            <w:r w:rsidR="00B841ED" w:rsidRPr="00B841ED">
              <w:rPr>
                <w:noProof/>
                <w:webHidden/>
              </w:rPr>
            </w:r>
            <w:r w:rsidR="00B841ED" w:rsidRPr="00B841ED">
              <w:rPr>
                <w:noProof/>
                <w:webHidden/>
              </w:rPr>
              <w:fldChar w:fldCharType="separate"/>
            </w:r>
            <w:r w:rsidR="00210D66">
              <w:rPr>
                <w:noProof/>
                <w:webHidden/>
              </w:rPr>
              <w:t>11</w:t>
            </w:r>
            <w:r w:rsidR="00B841ED" w:rsidRPr="00B841ED">
              <w:rPr>
                <w:noProof/>
                <w:webHidden/>
              </w:rPr>
              <w:fldChar w:fldCharType="end"/>
            </w:r>
          </w:hyperlink>
        </w:p>
        <w:p w14:paraId="6667F9D9" w14:textId="061B6177" w:rsidR="00B841ED" w:rsidRPr="00B841ED" w:rsidRDefault="00DE61A1" w:rsidP="00B841ED">
          <w:pPr>
            <w:pStyle w:val="TDC3"/>
            <w:rPr>
              <w:rFonts w:asciiTheme="minorHAnsi" w:eastAsiaTheme="minorEastAsia" w:hAnsiTheme="minorHAnsi" w:cstheme="minorBidi"/>
              <w:noProof/>
              <w:szCs w:val="22"/>
              <w:lang w:eastAsia="es-MX"/>
            </w:rPr>
          </w:pPr>
          <w:hyperlink w:anchor="_Toc184810831" w:history="1">
            <w:r w:rsidR="00B841ED" w:rsidRPr="00B841ED">
              <w:rPr>
                <w:rStyle w:val="Hipervnculo"/>
                <w:noProof/>
                <w:color w:val="auto"/>
              </w:rPr>
              <w:t>e) Requisitos formales para la interposición del recurso</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_Toc184810831 \h </w:instrText>
            </w:r>
            <w:r w:rsidR="00B841ED" w:rsidRPr="00B841ED">
              <w:rPr>
                <w:noProof/>
                <w:webHidden/>
              </w:rPr>
            </w:r>
            <w:r w:rsidR="00B841ED" w:rsidRPr="00B841ED">
              <w:rPr>
                <w:noProof/>
                <w:webHidden/>
              </w:rPr>
              <w:fldChar w:fldCharType="separate"/>
            </w:r>
            <w:r w:rsidR="00210D66">
              <w:rPr>
                <w:noProof/>
                <w:webHidden/>
              </w:rPr>
              <w:t>12</w:t>
            </w:r>
            <w:r w:rsidR="00B841ED" w:rsidRPr="00B841ED">
              <w:rPr>
                <w:noProof/>
                <w:webHidden/>
              </w:rPr>
              <w:fldChar w:fldCharType="end"/>
            </w:r>
          </w:hyperlink>
        </w:p>
        <w:p w14:paraId="3DE8F5B0" w14:textId="72619AEA" w:rsidR="00B841ED" w:rsidRPr="00B841ED" w:rsidRDefault="00DE61A1" w:rsidP="00B841ED">
          <w:pPr>
            <w:pStyle w:val="TDC3"/>
            <w:rPr>
              <w:rFonts w:asciiTheme="minorHAnsi" w:eastAsiaTheme="minorEastAsia" w:hAnsiTheme="minorHAnsi" w:cstheme="minorBidi"/>
              <w:noProof/>
              <w:szCs w:val="22"/>
              <w:lang w:eastAsia="es-MX"/>
            </w:rPr>
          </w:pPr>
          <w:hyperlink w:anchor="_Toc184810832" w:history="1">
            <w:r w:rsidR="00B841ED" w:rsidRPr="00B841ED">
              <w:rPr>
                <w:rStyle w:val="Hipervnculo"/>
                <w:noProof/>
                <w:color w:val="auto"/>
              </w:rPr>
              <w:t>f) Acumulación de los Recursos de Revisión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_Toc184810832 \h </w:instrText>
            </w:r>
            <w:r w:rsidR="00B841ED" w:rsidRPr="00B841ED">
              <w:rPr>
                <w:noProof/>
                <w:webHidden/>
              </w:rPr>
            </w:r>
            <w:r w:rsidR="00B841ED" w:rsidRPr="00B841ED">
              <w:rPr>
                <w:noProof/>
                <w:webHidden/>
              </w:rPr>
              <w:fldChar w:fldCharType="separate"/>
            </w:r>
            <w:r w:rsidR="00210D66">
              <w:rPr>
                <w:noProof/>
                <w:webHidden/>
              </w:rPr>
              <w:t>12</w:t>
            </w:r>
            <w:r w:rsidR="00B841ED" w:rsidRPr="00B841ED">
              <w:rPr>
                <w:noProof/>
                <w:webHidden/>
              </w:rPr>
              <w:fldChar w:fldCharType="end"/>
            </w:r>
          </w:hyperlink>
        </w:p>
        <w:p w14:paraId="2D264472" w14:textId="58F545D3" w:rsidR="00B841ED" w:rsidRPr="00B841ED" w:rsidRDefault="00DE61A1" w:rsidP="00B841ED">
          <w:pPr>
            <w:pStyle w:val="TDC2"/>
            <w:rPr>
              <w:rFonts w:asciiTheme="minorHAnsi" w:eastAsiaTheme="minorEastAsia" w:hAnsiTheme="minorHAnsi" w:cstheme="minorBidi"/>
              <w:noProof/>
              <w:szCs w:val="22"/>
              <w:lang w:eastAsia="es-MX"/>
            </w:rPr>
          </w:pPr>
          <w:hyperlink w:anchor="_Toc184810833" w:history="1">
            <w:r w:rsidR="00B841ED" w:rsidRPr="00B841ED">
              <w:rPr>
                <w:rStyle w:val="Hipervnculo"/>
                <w:noProof/>
                <w:color w:val="auto"/>
              </w:rPr>
              <w:t>SEGUNDO. Estudio de Fondo</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_Toc184810833 \h </w:instrText>
            </w:r>
            <w:r w:rsidR="00B841ED" w:rsidRPr="00B841ED">
              <w:rPr>
                <w:noProof/>
                <w:webHidden/>
              </w:rPr>
            </w:r>
            <w:r w:rsidR="00B841ED" w:rsidRPr="00B841ED">
              <w:rPr>
                <w:noProof/>
                <w:webHidden/>
              </w:rPr>
              <w:fldChar w:fldCharType="separate"/>
            </w:r>
            <w:r w:rsidR="00210D66">
              <w:rPr>
                <w:noProof/>
                <w:webHidden/>
              </w:rPr>
              <w:t>13</w:t>
            </w:r>
            <w:r w:rsidR="00B841ED" w:rsidRPr="00B841ED">
              <w:rPr>
                <w:noProof/>
                <w:webHidden/>
              </w:rPr>
              <w:fldChar w:fldCharType="end"/>
            </w:r>
          </w:hyperlink>
        </w:p>
        <w:p w14:paraId="301C8548" w14:textId="1D8C2D38" w:rsidR="00B841ED" w:rsidRPr="00B841ED" w:rsidRDefault="00DE61A1" w:rsidP="00B841ED">
          <w:pPr>
            <w:pStyle w:val="TDC3"/>
            <w:rPr>
              <w:rFonts w:asciiTheme="minorHAnsi" w:eastAsiaTheme="minorEastAsia" w:hAnsiTheme="minorHAnsi" w:cstheme="minorBidi"/>
              <w:noProof/>
              <w:szCs w:val="22"/>
              <w:lang w:eastAsia="es-MX"/>
            </w:rPr>
          </w:pPr>
          <w:hyperlink w:anchor="_Toc184810834" w:history="1">
            <w:r w:rsidR="00B841ED" w:rsidRPr="00B841ED">
              <w:rPr>
                <w:rStyle w:val="Hipervnculo"/>
                <w:noProof/>
                <w:color w:val="auto"/>
              </w:rPr>
              <w:t>a) Mandato de transparencia y responsabilidad del Sujeto Obligado</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_Toc184810834 \h </w:instrText>
            </w:r>
            <w:r w:rsidR="00B841ED" w:rsidRPr="00B841ED">
              <w:rPr>
                <w:noProof/>
                <w:webHidden/>
              </w:rPr>
            </w:r>
            <w:r w:rsidR="00B841ED" w:rsidRPr="00B841ED">
              <w:rPr>
                <w:noProof/>
                <w:webHidden/>
              </w:rPr>
              <w:fldChar w:fldCharType="separate"/>
            </w:r>
            <w:r w:rsidR="00210D66">
              <w:rPr>
                <w:noProof/>
                <w:webHidden/>
              </w:rPr>
              <w:t>13</w:t>
            </w:r>
            <w:r w:rsidR="00B841ED" w:rsidRPr="00B841ED">
              <w:rPr>
                <w:noProof/>
                <w:webHidden/>
              </w:rPr>
              <w:fldChar w:fldCharType="end"/>
            </w:r>
          </w:hyperlink>
        </w:p>
        <w:p w14:paraId="5131FA04" w14:textId="00D39063" w:rsidR="00B841ED" w:rsidRPr="00B841ED" w:rsidRDefault="00DE61A1" w:rsidP="00B841ED">
          <w:pPr>
            <w:pStyle w:val="TDC3"/>
            <w:rPr>
              <w:rFonts w:asciiTheme="minorHAnsi" w:eastAsiaTheme="minorEastAsia" w:hAnsiTheme="minorHAnsi" w:cstheme="minorBidi"/>
              <w:noProof/>
              <w:szCs w:val="22"/>
              <w:lang w:eastAsia="es-MX"/>
            </w:rPr>
          </w:pPr>
          <w:hyperlink w:anchor="_Toc184810835" w:history="1">
            <w:r w:rsidR="00B841ED" w:rsidRPr="00B841ED">
              <w:rPr>
                <w:rStyle w:val="Hipervnculo"/>
                <w:rFonts w:eastAsia="Calibri"/>
                <w:noProof/>
                <w:color w:val="auto"/>
                <w:lang w:eastAsia="es-ES_tradnl"/>
              </w:rPr>
              <w:t>b) Controversia a resolver</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_Toc184810835 \h </w:instrText>
            </w:r>
            <w:r w:rsidR="00B841ED" w:rsidRPr="00B841ED">
              <w:rPr>
                <w:noProof/>
                <w:webHidden/>
              </w:rPr>
            </w:r>
            <w:r w:rsidR="00B841ED" w:rsidRPr="00B841ED">
              <w:rPr>
                <w:noProof/>
                <w:webHidden/>
              </w:rPr>
              <w:fldChar w:fldCharType="separate"/>
            </w:r>
            <w:r w:rsidR="00210D66">
              <w:rPr>
                <w:noProof/>
                <w:webHidden/>
              </w:rPr>
              <w:t>16</w:t>
            </w:r>
            <w:r w:rsidR="00B841ED" w:rsidRPr="00B841ED">
              <w:rPr>
                <w:noProof/>
                <w:webHidden/>
              </w:rPr>
              <w:fldChar w:fldCharType="end"/>
            </w:r>
          </w:hyperlink>
        </w:p>
        <w:p w14:paraId="055143A6" w14:textId="6D444335" w:rsidR="00B841ED" w:rsidRPr="00B841ED" w:rsidRDefault="00DE61A1" w:rsidP="00B841ED">
          <w:pPr>
            <w:pStyle w:val="TDC3"/>
            <w:rPr>
              <w:rFonts w:asciiTheme="minorHAnsi" w:eastAsiaTheme="minorEastAsia" w:hAnsiTheme="minorHAnsi" w:cstheme="minorBidi"/>
              <w:noProof/>
              <w:szCs w:val="22"/>
              <w:lang w:eastAsia="es-MX"/>
            </w:rPr>
          </w:pPr>
          <w:hyperlink w:anchor="_Toc184810836" w:history="1">
            <w:r w:rsidR="00B841ED" w:rsidRPr="00B841ED">
              <w:rPr>
                <w:rStyle w:val="Hipervnculo"/>
                <w:noProof/>
                <w:color w:val="auto"/>
              </w:rPr>
              <w:t>c) Estudio de la controversia</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_Toc184810836 \h </w:instrText>
            </w:r>
            <w:r w:rsidR="00B841ED" w:rsidRPr="00B841ED">
              <w:rPr>
                <w:noProof/>
                <w:webHidden/>
              </w:rPr>
            </w:r>
            <w:r w:rsidR="00B841ED" w:rsidRPr="00B841ED">
              <w:rPr>
                <w:noProof/>
                <w:webHidden/>
              </w:rPr>
              <w:fldChar w:fldCharType="separate"/>
            </w:r>
            <w:r w:rsidR="00210D66">
              <w:rPr>
                <w:noProof/>
                <w:webHidden/>
              </w:rPr>
              <w:t>17</w:t>
            </w:r>
            <w:r w:rsidR="00B841ED" w:rsidRPr="00B841ED">
              <w:rPr>
                <w:noProof/>
                <w:webHidden/>
              </w:rPr>
              <w:fldChar w:fldCharType="end"/>
            </w:r>
          </w:hyperlink>
        </w:p>
        <w:p w14:paraId="199CE2C4" w14:textId="77B046E0" w:rsidR="00B841ED" w:rsidRPr="00B841ED" w:rsidRDefault="00DE61A1" w:rsidP="00B841ED">
          <w:pPr>
            <w:pStyle w:val="TDC3"/>
            <w:rPr>
              <w:rFonts w:asciiTheme="minorHAnsi" w:eastAsiaTheme="minorEastAsia" w:hAnsiTheme="minorHAnsi" w:cstheme="minorBidi"/>
              <w:noProof/>
              <w:szCs w:val="22"/>
              <w:lang w:eastAsia="es-MX"/>
            </w:rPr>
          </w:pPr>
          <w:hyperlink w:anchor="_Toc184810837" w:history="1">
            <w:r w:rsidR="00B841ED" w:rsidRPr="00B841ED">
              <w:rPr>
                <w:rStyle w:val="Hipervnculo"/>
                <w:noProof/>
                <w:color w:val="auto"/>
              </w:rPr>
              <w:t>d) Versión pública</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_Toc184810837 \h </w:instrText>
            </w:r>
            <w:r w:rsidR="00B841ED" w:rsidRPr="00B841ED">
              <w:rPr>
                <w:noProof/>
                <w:webHidden/>
              </w:rPr>
            </w:r>
            <w:r w:rsidR="00B841ED" w:rsidRPr="00B841ED">
              <w:rPr>
                <w:noProof/>
                <w:webHidden/>
              </w:rPr>
              <w:fldChar w:fldCharType="separate"/>
            </w:r>
            <w:r w:rsidR="00210D66">
              <w:rPr>
                <w:noProof/>
                <w:webHidden/>
              </w:rPr>
              <w:t>25</w:t>
            </w:r>
            <w:r w:rsidR="00B841ED" w:rsidRPr="00B841ED">
              <w:rPr>
                <w:noProof/>
                <w:webHidden/>
              </w:rPr>
              <w:fldChar w:fldCharType="end"/>
            </w:r>
          </w:hyperlink>
        </w:p>
        <w:p w14:paraId="32B43A2B" w14:textId="2791290A" w:rsidR="00B841ED" w:rsidRPr="00B841ED" w:rsidRDefault="00DE61A1" w:rsidP="00B841ED">
          <w:pPr>
            <w:pStyle w:val="TDC3"/>
            <w:rPr>
              <w:rFonts w:asciiTheme="minorHAnsi" w:eastAsiaTheme="minorEastAsia" w:hAnsiTheme="minorHAnsi" w:cstheme="minorBidi"/>
              <w:noProof/>
              <w:szCs w:val="22"/>
              <w:lang w:eastAsia="es-MX"/>
            </w:rPr>
          </w:pPr>
          <w:hyperlink w:anchor="_Toc184810838" w:history="1">
            <w:r w:rsidR="00B841ED" w:rsidRPr="00B841ED">
              <w:rPr>
                <w:rStyle w:val="Hipervnculo"/>
                <w:noProof/>
                <w:color w:val="auto"/>
              </w:rPr>
              <w:t>e) Conclusión</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_Toc184810838 \h </w:instrText>
            </w:r>
            <w:r w:rsidR="00B841ED" w:rsidRPr="00B841ED">
              <w:rPr>
                <w:noProof/>
                <w:webHidden/>
              </w:rPr>
            </w:r>
            <w:r w:rsidR="00B841ED" w:rsidRPr="00B841ED">
              <w:rPr>
                <w:noProof/>
                <w:webHidden/>
              </w:rPr>
              <w:fldChar w:fldCharType="separate"/>
            </w:r>
            <w:r w:rsidR="00210D66">
              <w:rPr>
                <w:noProof/>
                <w:webHidden/>
              </w:rPr>
              <w:t>31</w:t>
            </w:r>
            <w:r w:rsidR="00B841ED" w:rsidRPr="00B841ED">
              <w:rPr>
                <w:noProof/>
                <w:webHidden/>
              </w:rPr>
              <w:fldChar w:fldCharType="end"/>
            </w:r>
          </w:hyperlink>
        </w:p>
        <w:p w14:paraId="4728499B" w14:textId="3FA6A102" w:rsidR="00B841ED" w:rsidRPr="00B841ED" w:rsidRDefault="00DE61A1" w:rsidP="00B841ED">
          <w:pPr>
            <w:pStyle w:val="TDC1"/>
            <w:tabs>
              <w:tab w:val="right" w:leader="dot" w:pos="9034"/>
            </w:tabs>
            <w:rPr>
              <w:rFonts w:asciiTheme="minorHAnsi" w:eastAsiaTheme="minorEastAsia" w:hAnsiTheme="minorHAnsi" w:cstheme="minorBidi"/>
              <w:noProof/>
              <w:szCs w:val="22"/>
              <w:lang w:eastAsia="es-MX"/>
            </w:rPr>
          </w:pPr>
          <w:hyperlink w:anchor="_Toc184810839" w:history="1">
            <w:r w:rsidR="00B841ED" w:rsidRPr="00B841ED">
              <w:rPr>
                <w:rStyle w:val="Hipervnculo"/>
                <w:noProof/>
                <w:color w:val="auto"/>
              </w:rPr>
              <w:t>RESUELVE</w:t>
            </w:r>
            <w:r w:rsidR="00B841ED" w:rsidRPr="00B841ED">
              <w:rPr>
                <w:noProof/>
                <w:webHidden/>
              </w:rPr>
              <w:tab/>
            </w:r>
            <w:r w:rsidR="00B841ED" w:rsidRPr="00B841ED">
              <w:rPr>
                <w:noProof/>
                <w:webHidden/>
              </w:rPr>
              <w:fldChar w:fldCharType="begin"/>
            </w:r>
            <w:r w:rsidR="00B841ED" w:rsidRPr="00B841ED">
              <w:rPr>
                <w:noProof/>
                <w:webHidden/>
              </w:rPr>
              <w:instrText xml:space="preserve"> PAGEREF _Toc184810839 \h </w:instrText>
            </w:r>
            <w:r w:rsidR="00B841ED" w:rsidRPr="00B841ED">
              <w:rPr>
                <w:noProof/>
                <w:webHidden/>
              </w:rPr>
            </w:r>
            <w:r w:rsidR="00B841ED" w:rsidRPr="00B841ED">
              <w:rPr>
                <w:noProof/>
                <w:webHidden/>
              </w:rPr>
              <w:fldChar w:fldCharType="separate"/>
            </w:r>
            <w:r w:rsidR="00210D66">
              <w:rPr>
                <w:noProof/>
                <w:webHidden/>
              </w:rPr>
              <w:t>32</w:t>
            </w:r>
            <w:r w:rsidR="00B841ED" w:rsidRPr="00B841ED">
              <w:rPr>
                <w:noProof/>
                <w:webHidden/>
              </w:rPr>
              <w:fldChar w:fldCharType="end"/>
            </w:r>
          </w:hyperlink>
        </w:p>
        <w:p w14:paraId="0C82FD7A" w14:textId="379ECE8E" w:rsidR="009B2945" w:rsidRPr="00B841ED" w:rsidRDefault="00AE3DA7" w:rsidP="00B841ED">
          <w:pPr>
            <w:spacing w:line="240" w:lineRule="auto"/>
            <w:rPr>
              <w:b/>
              <w:bCs/>
              <w:lang w:val="es-ES"/>
            </w:rPr>
          </w:pPr>
          <w:r w:rsidRPr="00B841ED">
            <w:rPr>
              <w:b/>
              <w:bCs/>
              <w:sz w:val="16"/>
              <w:szCs w:val="16"/>
              <w:lang w:val="es-ES"/>
            </w:rPr>
            <w:fldChar w:fldCharType="end"/>
          </w:r>
        </w:p>
      </w:sdtContent>
    </w:sdt>
    <w:p w14:paraId="603A07E2" w14:textId="77777777" w:rsidR="00646436" w:rsidRPr="00B841ED" w:rsidRDefault="00646436" w:rsidP="00B841ED">
      <w:pPr>
        <w:rPr>
          <w:rFonts w:cs="Tahoma"/>
          <w:szCs w:val="22"/>
        </w:rPr>
        <w:sectPr w:rsidR="00646436" w:rsidRPr="00B841E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2C45033" w:rsidR="00775BFC" w:rsidRPr="00B841ED" w:rsidRDefault="00775BFC" w:rsidP="00B841ED">
      <w:r w:rsidRPr="00B841ED">
        <w:lastRenderedPageBreak/>
        <w:t xml:space="preserve">Resolución del Pleno del Instituto de Transparencia, Acceso a la Información Pública y Protección de Datos Personales del Estado de México y Municipios, con domicilio en Metepec, Estado de México, </w:t>
      </w:r>
      <w:r w:rsidRPr="00B841ED">
        <w:rPr>
          <w:b/>
          <w:bCs/>
        </w:rPr>
        <w:t xml:space="preserve">de </w:t>
      </w:r>
      <w:r w:rsidR="008D1C63" w:rsidRPr="00B841ED">
        <w:rPr>
          <w:b/>
          <w:bCs/>
        </w:rPr>
        <w:t>once de diciembre</w:t>
      </w:r>
      <w:r w:rsidR="00664733" w:rsidRPr="00B841ED">
        <w:rPr>
          <w:b/>
          <w:bCs/>
        </w:rPr>
        <w:t xml:space="preserve"> de dos mil veinticuatro.</w:t>
      </w:r>
    </w:p>
    <w:p w14:paraId="0AF3AAC4" w14:textId="77777777" w:rsidR="00775BFC" w:rsidRPr="00B841ED" w:rsidRDefault="00775BFC" w:rsidP="00B841ED"/>
    <w:p w14:paraId="40EAE038" w14:textId="2CB97DE7" w:rsidR="00775BFC" w:rsidRPr="00B841ED" w:rsidRDefault="00775BFC" w:rsidP="00B841ED">
      <w:r w:rsidRPr="00B841ED">
        <w:rPr>
          <w:b/>
        </w:rPr>
        <w:t xml:space="preserve">VISTO </w:t>
      </w:r>
      <w:r w:rsidRPr="00B841ED">
        <w:t xml:space="preserve">el expediente formado con motivo del Recurso de Revisión </w:t>
      </w:r>
      <w:bookmarkStart w:id="2" w:name="_GoBack"/>
      <w:r w:rsidR="008D1C63" w:rsidRPr="00B841ED">
        <w:rPr>
          <w:rFonts w:eastAsia="Calibri"/>
          <w:b/>
          <w:lang w:eastAsia="en-US"/>
        </w:rPr>
        <w:t>07072/INFOEM/IP/RR/2024</w:t>
      </w:r>
      <w:r w:rsidR="00664733" w:rsidRPr="00B841ED">
        <w:rPr>
          <w:rFonts w:eastAsia="Calibri"/>
          <w:b/>
          <w:lang w:eastAsia="en-US"/>
        </w:rPr>
        <w:t xml:space="preserve">, </w:t>
      </w:r>
      <w:r w:rsidR="008D1C63" w:rsidRPr="00B841ED">
        <w:rPr>
          <w:rFonts w:eastAsia="Calibri"/>
          <w:b/>
          <w:lang w:eastAsia="en-US"/>
        </w:rPr>
        <w:t>07073/INFOEM/IP/RR/2024, 07074/INFOEM/IP/RR/2024, 07075/INFOEM/IP/RR/2024 y 07076/INFOEM/IP/RR/2024</w:t>
      </w:r>
      <w:bookmarkEnd w:id="2"/>
      <w:r w:rsidR="00664733" w:rsidRPr="00B841ED">
        <w:rPr>
          <w:rFonts w:eastAsia="Calibri"/>
          <w:b/>
          <w:lang w:eastAsia="en-US"/>
        </w:rPr>
        <w:t xml:space="preserve"> </w:t>
      </w:r>
      <w:r w:rsidRPr="00B841ED">
        <w:t xml:space="preserve">interpuesto </w:t>
      </w:r>
      <w:r w:rsidR="00216474" w:rsidRPr="00B841ED">
        <w:t xml:space="preserve">por </w:t>
      </w:r>
      <w:r w:rsidR="00A039BF">
        <w:rPr>
          <w:b/>
        </w:rPr>
        <w:t>XX</w:t>
      </w:r>
      <w:r w:rsidRPr="00B841ED">
        <w:t xml:space="preserve">, a quien en lo subsecuente se le denominará </w:t>
      </w:r>
      <w:r w:rsidRPr="00B841ED">
        <w:rPr>
          <w:b/>
          <w:bCs/>
        </w:rPr>
        <w:t>LA PARTE RECURRENTE</w:t>
      </w:r>
      <w:r w:rsidRPr="00B841ED">
        <w:t>, en contra de la respuesta emitida por</w:t>
      </w:r>
      <w:r w:rsidR="00216474" w:rsidRPr="00B841ED">
        <w:t xml:space="preserve"> la</w:t>
      </w:r>
      <w:r w:rsidRPr="00B841ED">
        <w:t xml:space="preserve"> </w:t>
      </w:r>
      <w:r w:rsidR="00CB5469" w:rsidRPr="00B841ED">
        <w:rPr>
          <w:b/>
          <w:bCs/>
        </w:rPr>
        <w:t>Secretaría Ejecutiva del Sistema Estatal Anticorrupción</w:t>
      </w:r>
      <w:r w:rsidRPr="00B841ED">
        <w:t xml:space="preserve">, en adelante </w:t>
      </w:r>
      <w:r w:rsidRPr="00B841ED">
        <w:rPr>
          <w:b/>
          <w:bCs/>
        </w:rPr>
        <w:t>EL SUJETO OBLIGADO</w:t>
      </w:r>
      <w:r w:rsidRPr="00B841ED">
        <w:rPr>
          <w:rFonts w:eastAsia="Calibri"/>
          <w:lang w:eastAsia="en-US"/>
        </w:rPr>
        <w:t xml:space="preserve">, </w:t>
      </w:r>
      <w:r w:rsidRPr="00B841ED">
        <w:t>se emite la presente Resolución con base en los Antecedentes y Considerandos que se exponen a continuación:</w:t>
      </w:r>
    </w:p>
    <w:p w14:paraId="2116968C" w14:textId="77777777" w:rsidR="00775BFC" w:rsidRPr="00B841ED" w:rsidRDefault="00775BFC" w:rsidP="00B841ED"/>
    <w:p w14:paraId="7CE9E53D" w14:textId="29F78B13" w:rsidR="00E37A3F" w:rsidRPr="00B841ED" w:rsidRDefault="00664420" w:rsidP="00B841ED">
      <w:pPr>
        <w:pStyle w:val="Ttulo1"/>
      </w:pPr>
      <w:bookmarkStart w:id="3" w:name="_Toc184810812"/>
      <w:r w:rsidRPr="00B841ED">
        <w:t>ANTECEDENTES</w:t>
      </w:r>
      <w:bookmarkEnd w:id="3"/>
    </w:p>
    <w:p w14:paraId="5CB5034E" w14:textId="77777777" w:rsidR="00AC2DB8" w:rsidRPr="00B841ED" w:rsidRDefault="00AC2DB8" w:rsidP="00B841ED"/>
    <w:p w14:paraId="09B2D38F" w14:textId="02C898A1" w:rsidR="00664420" w:rsidRPr="00B841ED" w:rsidRDefault="00E37A3F" w:rsidP="00B841ED">
      <w:pPr>
        <w:pStyle w:val="Ttulo2"/>
      </w:pPr>
      <w:bookmarkStart w:id="4" w:name="_Toc184810813"/>
      <w:r w:rsidRPr="00B841ED">
        <w:t>DE LA</w:t>
      </w:r>
      <w:r w:rsidR="00664733" w:rsidRPr="00B841ED">
        <w:t>S</w:t>
      </w:r>
      <w:r w:rsidRPr="00B841ED">
        <w:t xml:space="preserve"> SOLICITUD</w:t>
      </w:r>
      <w:r w:rsidR="00664733" w:rsidRPr="00B841ED">
        <w:t>ES</w:t>
      </w:r>
      <w:r w:rsidRPr="00B841ED">
        <w:t xml:space="preserve"> DE INFORMACIÓN</w:t>
      </w:r>
      <w:bookmarkEnd w:id="4"/>
    </w:p>
    <w:p w14:paraId="7B7535DF" w14:textId="77777777" w:rsidR="00E37A3F" w:rsidRPr="00B841ED" w:rsidRDefault="00E37A3F" w:rsidP="00B841ED"/>
    <w:p w14:paraId="2C6AD1A5" w14:textId="31DCEC34" w:rsidR="00664420" w:rsidRPr="00B841ED" w:rsidRDefault="00E37A3F" w:rsidP="00B841ED">
      <w:pPr>
        <w:pStyle w:val="Ttulo3"/>
      </w:pPr>
      <w:bookmarkStart w:id="5" w:name="_Toc184810814"/>
      <w:r w:rsidRPr="00B841ED">
        <w:t xml:space="preserve">a) </w:t>
      </w:r>
      <w:r w:rsidR="006B10B0" w:rsidRPr="00B841ED">
        <w:t>S</w:t>
      </w:r>
      <w:r w:rsidR="00664420" w:rsidRPr="00B841ED">
        <w:t>olicitud</w:t>
      </w:r>
      <w:r w:rsidR="00A97B5B" w:rsidRPr="00B841ED">
        <w:t>es</w:t>
      </w:r>
      <w:r w:rsidR="00664420" w:rsidRPr="00B841ED">
        <w:t xml:space="preserve"> de </w:t>
      </w:r>
      <w:r w:rsidR="006B10B0" w:rsidRPr="00B841ED">
        <w:t>i</w:t>
      </w:r>
      <w:r w:rsidR="00664420" w:rsidRPr="00B841ED">
        <w:t>nformación</w:t>
      </w:r>
      <w:bookmarkEnd w:id="5"/>
    </w:p>
    <w:p w14:paraId="3FF427FA" w14:textId="0524E3EB" w:rsidR="00862853" w:rsidRPr="00B841ED" w:rsidRDefault="006B10B0" w:rsidP="00B841ED">
      <w:pPr>
        <w:pStyle w:val="Prrafodelista"/>
        <w:tabs>
          <w:tab w:val="left" w:pos="0"/>
        </w:tabs>
        <w:ind w:left="0"/>
        <w:contextualSpacing w:val="0"/>
        <w:rPr>
          <w:rFonts w:cs="Tahoma"/>
        </w:rPr>
      </w:pPr>
      <w:r w:rsidRPr="00B841ED">
        <w:rPr>
          <w:rFonts w:cs="Tahoma"/>
        </w:rPr>
        <w:t>El</w:t>
      </w:r>
      <w:r w:rsidR="00664420" w:rsidRPr="00B841ED">
        <w:rPr>
          <w:rFonts w:cs="Tahoma"/>
        </w:rPr>
        <w:t xml:space="preserve"> </w:t>
      </w:r>
      <w:r w:rsidR="00CB5469" w:rsidRPr="00B841ED">
        <w:rPr>
          <w:rFonts w:cs="Tahoma"/>
          <w:b/>
          <w:bCs/>
        </w:rPr>
        <w:t>diecisiete de octubre</w:t>
      </w:r>
      <w:r w:rsidR="00A97B5B" w:rsidRPr="00B841ED">
        <w:rPr>
          <w:rFonts w:cs="Tahoma"/>
          <w:b/>
          <w:bCs/>
        </w:rPr>
        <w:t xml:space="preserve"> </w:t>
      </w:r>
      <w:r w:rsidR="00664733" w:rsidRPr="00B841ED">
        <w:rPr>
          <w:rFonts w:cs="Tahoma"/>
          <w:b/>
          <w:bCs/>
        </w:rPr>
        <w:t>de dos mil veinticuatro</w:t>
      </w:r>
      <w:r w:rsidR="00664420" w:rsidRPr="00B841ED">
        <w:rPr>
          <w:rFonts w:cs="Tahoma"/>
        </w:rPr>
        <w:t xml:space="preserve">, </w:t>
      </w:r>
      <w:r w:rsidRPr="00B841ED">
        <w:rPr>
          <w:b/>
          <w:bCs/>
        </w:rPr>
        <w:t>LA PARTE RECURRENTE</w:t>
      </w:r>
      <w:r w:rsidR="00664420" w:rsidRPr="00B841ED">
        <w:rPr>
          <w:rFonts w:cs="Tahoma"/>
        </w:rPr>
        <w:t xml:space="preserve"> presentó </w:t>
      </w:r>
      <w:r w:rsidR="00664733" w:rsidRPr="00B841ED">
        <w:rPr>
          <w:rFonts w:cs="Tahoma"/>
        </w:rPr>
        <w:t>diversas solicitudes</w:t>
      </w:r>
      <w:r w:rsidR="00664420" w:rsidRPr="00B841ED">
        <w:rPr>
          <w:rFonts w:cs="Tahoma"/>
        </w:rPr>
        <w:t xml:space="preserve"> de acceso a la información pública </w:t>
      </w:r>
      <w:r w:rsidR="001F3515" w:rsidRPr="00B841ED">
        <w:rPr>
          <w:rFonts w:cs="Tahoma"/>
        </w:rPr>
        <w:t xml:space="preserve">ante el </w:t>
      </w:r>
      <w:r w:rsidR="001F3515" w:rsidRPr="00B841ED">
        <w:rPr>
          <w:rFonts w:cs="Tahoma"/>
          <w:b/>
          <w:bCs/>
        </w:rPr>
        <w:t>SUJETO OBLIGADO</w:t>
      </w:r>
      <w:r w:rsidR="001F3515" w:rsidRPr="00B841ED">
        <w:rPr>
          <w:rFonts w:cs="Tahoma"/>
        </w:rPr>
        <w:t xml:space="preserve">, </w:t>
      </w:r>
      <w:r w:rsidR="00664420" w:rsidRPr="00B841ED">
        <w:rPr>
          <w:rFonts w:cs="Tahoma"/>
        </w:rPr>
        <w:t>a través del Sistema de Acceso a la Información Mexiquense</w:t>
      </w:r>
      <w:r w:rsidRPr="00B841ED">
        <w:rPr>
          <w:rFonts w:cs="Tahoma"/>
        </w:rPr>
        <w:t xml:space="preserve"> </w:t>
      </w:r>
      <w:r w:rsidR="009A2D78" w:rsidRPr="00B841ED">
        <w:rPr>
          <w:rFonts w:cs="Tahoma"/>
        </w:rPr>
        <w:t>(</w:t>
      </w:r>
      <w:r w:rsidRPr="00B841ED">
        <w:rPr>
          <w:rFonts w:cs="Tahoma"/>
        </w:rPr>
        <w:t>SAIMEX</w:t>
      </w:r>
      <w:r w:rsidR="009A2D78" w:rsidRPr="00B841ED">
        <w:rPr>
          <w:rFonts w:cs="Tahoma"/>
        </w:rPr>
        <w:t>). Dicha</w:t>
      </w:r>
      <w:r w:rsidR="00664733" w:rsidRPr="00B841ED">
        <w:rPr>
          <w:rFonts w:cs="Tahoma"/>
        </w:rPr>
        <w:t>s</w:t>
      </w:r>
      <w:r w:rsidR="009A2D78" w:rsidRPr="00B841ED">
        <w:rPr>
          <w:rFonts w:cs="Tahoma"/>
        </w:rPr>
        <w:t xml:space="preserve"> solicitud</w:t>
      </w:r>
      <w:r w:rsidR="00664733" w:rsidRPr="00B841ED">
        <w:rPr>
          <w:rFonts w:cs="Tahoma"/>
        </w:rPr>
        <w:t>es quedaron</w:t>
      </w:r>
      <w:r w:rsidRPr="00B841ED">
        <w:rPr>
          <w:rFonts w:cs="Tahoma"/>
        </w:rPr>
        <w:t xml:space="preserve"> registrada</w:t>
      </w:r>
      <w:r w:rsidR="00664733" w:rsidRPr="00B841ED">
        <w:rPr>
          <w:rFonts w:cs="Tahoma"/>
        </w:rPr>
        <w:t>s</w:t>
      </w:r>
      <w:r w:rsidRPr="00B841ED">
        <w:rPr>
          <w:rFonts w:cs="Tahoma"/>
        </w:rPr>
        <w:t xml:space="preserve"> c</w:t>
      </w:r>
      <w:r w:rsidR="00664420" w:rsidRPr="00B841ED">
        <w:rPr>
          <w:rFonts w:cs="Tahoma"/>
        </w:rPr>
        <w:t>on el número de folio</w:t>
      </w:r>
      <w:r w:rsidR="00664420" w:rsidRPr="00B841ED">
        <w:rPr>
          <w:rFonts w:cs="Tahoma"/>
          <w:b/>
          <w:bCs/>
        </w:rPr>
        <w:t xml:space="preserve"> </w:t>
      </w:r>
      <w:r w:rsidR="00CB5469" w:rsidRPr="00B841ED">
        <w:rPr>
          <w:rFonts w:cs="Tahoma"/>
          <w:b/>
          <w:bCs/>
        </w:rPr>
        <w:t>00993/SESEA/IP/2024</w:t>
      </w:r>
      <w:r w:rsidR="00664733" w:rsidRPr="00B841ED">
        <w:rPr>
          <w:rFonts w:cs="Tahoma"/>
          <w:b/>
          <w:bCs/>
        </w:rPr>
        <w:t>,</w:t>
      </w:r>
      <w:r w:rsidR="00CB5469" w:rsidRPr="00B841ED">
        <w:rPr>
          <w:rFonts w:cs="Tahoma"/>
          <w:b/>
          <w:bCs/>
        </w:rPr>
        <w:t xml:space="preserve"> </w:t>
      </w:r>
      <w:r w:rsidR="00664733" w:rsidRPr="00B841ED">
        <w:rPr>
          <w:rFonts w:cs="Tahoma"/>
          <w:b/>
          <w:bCs/>
        </w:rPr>
        <w:t xml:space="preserve"> </w:t>
      </w:r>
      <w:r w:rsidR="00CB5469" w:rsidRPr="00B841ED">
        <w:rPr>
          <w:rFonts w:cs="Tahoma"/>
          <w:b/>
          <w:bCs/>
        </w:rPr>
        <w:t>00994/SESEA/IP/2024</w:t>
      </w:r>
      <w:r w:rsidR="00664733" w:rsidRPr="00B841ED">
        <w:rPr>
          <w:rFonts w:cs="Tahoma"/>
          <w:b/>
          <w:bCs/>
        </w:rPr>
        <w:t xml:space="preserve">, </w:t>
      </w:r>
      <w:r w:rsidR="002A3601" w:rsidRPr="00B841ED">
        <w:rPr>
          <w:rFonts w:cs="Tahoma"/>
        </w:rPr>
        <w:t xml:space="preserve"> </w:t>
      </w:r>
      <w:r w:rsidR="00CB5469" w:rsidRPr="00B841ED">
        <w:rPr>
          <w:rFonts w:cs="Tahoma"/>
          <w:b/>
          <w:bCs/>
        </w:rPr>
        <w:t xml:space="preserve">00995/SESEA/IP/2024, 00996/SESEA/IP/2024 y 00997/SESEA/IP/2024 </w:t>
      </w:r>
      <w:r w:rsidR="002A3601" w:rsidRPr="00B841ED">
        <w:rPr>
          <w:rFonts w:cs="Tahoma"/>
        </w:rPr>
        <w:t>y en ella</w:t>
      </w:r>
      <w:r w:rsidR="00216474" w:rsidRPr="00B841ED">
        <w:rPr>
          <w:rFonts w:cs="Tahoma"/>
        </w:rPr>
        <w:t>s</w:t>
      </w:r>
      <w:r w:rsidR="002A3601" w:rsidRPr="00B841ED">
        <w:rPr>
          <w:rFonts w:cs="Tahoma"/>
        </w:rPr>
        <w:t xml:space="preserve"> </w:t>
      </w:r>
      <w:r w:rsidR="009A2D78" w:rsidRPr="00B841ED">
        <w:rPr>
          <w:rFonts w:cs="Tahoma"/>
        </w:rPr>
        <w:t>se requirió la siguiente información:</w:t>
      </w:r>
    </w:p>
    <w:p w14:paraId="1CA8F3A0" w14:textId="77777777" w:rsidR="00216474" w:rsidRPr="00B841ED" w:rsidRDefault="00216474" w:rsidP="00B841ED">
      <w:pPr>
        <w:pStyle w:val="Prrafodelista"/>
        <w:tabs>
          <w:tab w:val="left" w:pos="0"/>
        </w:tabs>
        <w:ind w:left="0"/>
        <w:contextualSpacing w:val="0"/>
        <w:rPr>
          <w:rFonts w:cs="Tahoma"/>
        </w:rPr>
      </w:pPr>
    </w:p>
    <w:p w14:paraId="02EAC9AB" w14:textId="2904464F" w:rsidR="00862853" w:rsidRPr="00B841ED" w:rsidRDefault="00CB5469" w:rsidP="00B841ED">
      <w:pPr>
        <w:tabs>
          <w:tab w:val="left" w:pos="4667"/>
        </w:tabs>
        <w:spacing w:line="240" w:lineRule="auto"/>
        <w:ind w:left="567" w:right="567"/>
        <w:rPr>
          <w:rFonts w:cs="Tahoma"/>
          <w:b/>
          <w:bCs/>
          <w:i/>
        </w:rPr>
      </w:pPr>
      <w:r w:rsidRPr="00B841ED">
        <w:rPr>
          <w:rFonts w:cs="Tahoma"/>
          <w:b/>
          <w:bCs/>
          <w:i/>
        </w:rPr>
        <w:lastRenderedPageBreak/>
        <w:t>00993/SESEA/IP/2024</w:t>
      </w:r>
    </w:p>
    <w:p w14:paraId="64B27DE3" w14:textId="1B78A282" w:rsidR="00664420" w:rsidRPr="00B841ED" w:rsidRDefault="00CB5469" w:rsidP="00B841ED">
      <w:pPr>
        <w:tabs>
          <w:tab w:val="left" w:pos="4667"/>
        </w:tabs>
        <w:spacing w:line="240" w:lineRule="auto"/>
        <w:ind w:left="567" w:right="567"/>
        <w:rPr>
          <w:rFonts w:cs="Tahoma"/>
          <w:b/>
          <w:bCs/>
          <w:i/>
        </w:rPr>
      </w:pPr>
      <w:r w:rsidRPr="00B841ED">
        <w:rPr>
          <w:rFonts w:eastAsiaTheme="majorEastAsia" w:cstheme="majorBidi"/>
          <w:i/>
          <w:kern w:val="28"/>
          <w:szCs w:val="56"/>
        </w:rPr>
        <w:t xml:space="preserve">Solicito a la Dirección General de Vinculación Interinstitucional de esta Secretaria, toda la información relevante a los proyectos </w:t>
      </w:r>
      <w:proofErr w:type="spellStart"/>
      <w:r w:rsidRPr="00B841ED">
        <w:rPr>
          <w:rFonts w:eastAsiaTheme="majorEastAsia" w:cstheme="majorBidi"/>
          <w:i/>
          <w:kern w:val="28"/>
          <w:szCs w:val="56"/>
        </w:rPr>
        <w:t>asi</w:t>
      </w:r>
      <w:proofErr w:type="spellEnd"/>
      <w:r w:rsidRPr="00B841ED">
        <w:rPr>
          <w:rFonts w:eastAsiaTheme="majorEastAsia" w:cstheme="majorBidi"/>
          <w:i/>
          <w:kern w:val="28"/>
          <w:szCs w:val="56"/>
        </w:rPr>
        <w:t xml:space="preserve"> como lo referente a todos los insumos de edición de la revista digital semestral Experiencia Anticorrupción desde 2018 a 2020</w:t>
      </w:r>
      <w:r w:rsidR="00A97B5B" w:rsidRPr="00B841ED">
        <w:rPr>
          <w:rFonts w:eastAsiaTheme="majorEastAsia" w:cstheme="majorBidi"/>
          <w:i/>
          <w:kern w:val="28"/>
          <w:szCs w:val="56"/>
        </w:rPr>
        <w:t>.</w:t>
      </w:r>
    </w:p>
    <w:p w14:paraId="64FFF769" w14:textId="77777777" w:rsidR="00862853" w:rsidRPr="00B841ED" w:rsidRDefault="00862853" w:rsidP="00B841ED">
      <w:pPr>
        <w:tabs>
          <w:tab w:val="left" w:pos="4667"/>
        </w:tabs>
        <w:spacing w:line="240" w:lineRule="auto"/>
        <w:ind w:left="567" w:right="567"/>
        <w:rPr>
          <w:rFonts w:eastAsiaTheme="majorEastAsia" w:cstheme="majorBidi"/>
          <w:i/>
          <w:kern w:val="28"/>
          <w:szCs w:val="56"/>
        </w:rPr>
      </w:pPr>
    </w:p>
    <w:p w14:paraId="50B0F818" w14:textId="00CB734A" w:rsidR="00862853" w:rsidRPr="00B841ED" w:rsidRDefault="00CB5469" w:rsidP="00B841ED">
      <w:pPr>
        <w:tabs>
          <w:tab w:val="left" w:pos="4667"/>
        </w:tabs>
        <w:spacing w:line="240" w:lineRule="auto"/>
        <w:ind w:left="567" w:right="567"/>
        <w:rPr>
          <w:rFonts w:eastAsiaTheme="majorEastAsia" w:cstheme="majorBidi"/>
          <w:i/>
          <w:kern w:val="28"/>
          <w:szCs w:val="56"/>
        </w:rPr>
      </w:pPr>
      <w:r w:rsidRPr="00B841ED">
        <w:rPr>
          <w:rFonts w:cs="Tahoma"/>
          <w:b/>
          <w:bCs/>
          <w:i/>
        </w:rPr>
        <w:t>00994/SESEA/IP/2024</w:t>
      </w:r>
    </w:p>
    <w:p w14:paraId="4AC37207" w14:textId="13EA221F" w:rsidR="00862853" w:rsidRPr="00B841ED" w:rsidRDefault="00CB5469" w:rsidP="00B841ED">
      <w:pPr>
        <w:tabs>
          <w:tab w:val="left" w:pos="4667"/>
        </w:tabs>
        <w:spacing w:line="240" w:lineRule="auto"/>
        <w:ind w:left="567" w:right="567"/>
        <w:rPr>
          <w:rFonts w:cs="Tahoma"/>
          <w:bCs/>
          <w:i/>
          <w:szCs w:val="22"/>
        </w:rPr>
      </w:pPr>
      <w:r w:rsidRPr="00B841ED">
        <w:rPr>
          <w:rFonts w:cs="Tahoma"/>
          <w:bCs/>
          <w:i/>
          <w:szCs w:val="22"/>
        </w:rPr>
        <w:t xml:space="preserve">Solicito a la Dirección General de Vinculación Interinstitucional de esta Secretaria, toda la información relevante a los proyectos </w:t>
      </w:r>
      <w:proofErr w:type="spellStart"/>
      <w:r w:rsidRPr="00B841ED">
        <w:rPr>
          <w:rFonts w:cs="Tahoma"/>
          <w:bCs/>
          <w:i/>
          <w:szCs w:val="22"/>
        </w:rPr>
        <w:t>asi</w:t>
      </w:r>
      <w:proofErr w:type="spellEnd"/>
      <w:r w:rsidRPr="00B841ED">
        <w:rPr>
          <w:rFonts w:cs="Tahoma"/>
          <w:bCs/>
          <w:i/>
          <w:szCs w:val="22"/>
        </w:rPr>
        <w:t xml:space="preserve"> como lo referente a todos los insumos de edición de la revista digital semestral Experiencia Anticorrupción desde 2018 a 2021</w:t>
      </w:r>
      <w:r w:rsidR="00A97B5B" w:rsidRPr="00B841ED">
        <w:rPr>
          <w:rFonts w:cs="Tahoma"/>
          <w:bCs/>
          <w:i/>
          <w:szCs w:val="22"/>
        </w:rPr>
        <w:t>.</w:t>
      </w:r>
    </w:p>
    <w:p w14:paraId="79F63843" w14:textId="77777777" w:rsidR="00862853" w:rsidRPr="00B841ED" w:rsidRDefault="00862853" w:rsidP="00B841ED">
      <w:pPr>
        <w:tabs>
          <w:tab w:val="left" w:pos="4667"/>
        </w:tabs>
        <w:spacing w:line="240" w:lineRule="auto"/>
        <w:ind w:left="567" w:right="567"/>
        <w:rPr>
          <w:rFonts w:cs="Tahoma"/>
          <w:bCs/>
          <w:i/>
          <w:szCs w:val="22"/>
        </w:rPr>
      </w:pPr>
    </w:p>
    <w:p w14:paraId="4817A5FA" w14:textId="0D31C9EE" w:rsidR="00862853" w:rsidRPr="00B841ED" w:rsidRDefault="00CB5469" w:rsidP="00B841ED">
      <w:pPr>
        <w:tabs>
          <w:tab w:val="left" w:pos="4667"/>
        </w:tabs>
        <w:spacing w:line="240" w:lineRule="auto"/>
        <w:ind w:left="567" w:right="567"/>
        <w:rPr>
          <w:rFonts w:cs="Tahoma"/>
          <w:bCs/>
          <w:i/>
          <w:szCs w:val="22"/>
        </w:rPr>
      </w:pPr>
      <w:r w:rsidRPr="00B841ED">
        <w:rPr>
          <w:rFonts w:cs="Tahoma"/>
          <w:b/>
          <w:bCs/>
          <w:i/>
        </w:rPr>
        <w:t>00995/SESEA/IP/2024</w:t>
      </w:r>
    </w:p>
    <w:p w14:paraId="75D965C3" w14:textId="2D3DEC88" w:rsidR="00862853" w:rsidRPr="00B841ED" w:rsidRDefault="00CB5469" w:rsidP="00B841ED">
      <w:pPr>
        <w:tabs>
          <w:tab w:val="left" w:pos="4667"/>
        </w:tabs>
        <w:spacing w:line="240" w:lineRule="auto"/>
        <w:ind w:left="567" w:right="567"/>
        <w:rPr>
          <w:rFonts w:cs="Tahoma"/>
          <w:bCs/>
          <w:i/>
          <w:szCs w:val="22"/>
        </w:rPr>
      </w:pPr>
      <w:r w:rsidRPr="00B841ED">
        <w:rPr>
          <w:rFonts w:cs="Tahoma"/>
          <w:bCs/>
          <w:i/>
          <w:szCs w:val="22"/>
        </w:rPr>
        <w:t xml:space="preserve">Solicito a la Dirección General de Vinculación Interinstitucional de esta Secretaria, toda la información relevante a los proyectos </w:t>
      </w:r>
      <w:proofErr w:type="spellStart"/>
      <w:r w:rsidRPr="00B841ED">
        <w:rPr>
          <w:rFonts w:cs="Tahoma"/>
          <w:bCs/>
          <w:i/>
          <w:szCs w:val="22"/>
        </w:rPr>
        <w:t>asi</w:t>
      </w:r>
      <w:proofErr w:type="spellEnd"/>
      <w:r w:rsidRPr="00B841ED">
        <w:rPr>
          <w:rFonts w:cs="Tahoma"/>
          <w:bCs/>
          <w:i/>
          <w:szCs w:val="22"/>
        </w:rPr>
        <w:t xml:space="preserve"> como lo referente a todos los insumos de edición de la revista digital semestral Experiencia Anticorrupción desde 2018 a 2022</w:t>
      </w:r>
      <w:r w:rsidR="00A97B5B" w:rsidRPr="00B841ED">
        <w:rPr>
          <w:rFonts w:cs="Tahoma"/>
          <w:bCs/>
          <w:i/>
          <w:szCs w:val="22"/>
        </w:rPr>
        <w:t>.</w:t>
      </w:r>
    </w:p>
    <w:p w14:paraId="662BE26D" w14:textId="77777777" w:rsidR="00862853" w:rsidRPr="00B841ED" w:rsidRDefault="00862853" w:rsidP="00B841ED">
      <w:pPr>
        <w:tabs>
          <w:tab w:val="left" w:pos="4667"/>
        </w:tabs>
        <w:spacing w:line="240" w:lineRule="auto"/>
        <w:ind w:left="567" w:right="567"/>
        <w:rPr>
          <w:rFonts w:cs="Tahoma"/>
          <w:bCs/>
          <w:i/>
          <w:szCs w:val="22"/>
        </w:rPr>
      </w:pPr>
    </w:p>
    <w:p w14:paraId="41C9EDFC" w14:textId="292D7579" w:rsidR="00862853" w:rsidRPr="00B841ED" w:rsidRDefault="00CB5469" w:rsidP="00B841ED">
      <w:pPr>
        <w:tabs>
          <w:tab w:val="left" w:pos="4667"/>
        </w:tabs>
        <w:spacing w:line="240" w:lineRule="auto"/>
        <w:ind w:left="567" w:right="567"/>
        <w:rPr>
          <w:rFonts w:cs="Tahoma"/>
          <w:bCs/>
          <w:i/>
          <w:szCs w:val="22"/>
        </w:rPr>
      </w:pPr>
      <w:r w:rsidRPr="00B841ED">
        <w:rPr>
          <w:rFonts w:cs="Tahoma"/>
          <w:b/>
          <w:bCs/>
          <w:i/>
        </w:rPr>
        <w:t>00996/SESEA/IP/2024</w:t>
      </w:r>
    </w:p>
    <w:p w14:paraId="3C9A5FEA" w14:textId="438E9A3F" w:rsidR="00862853" w:rsidRPr="00B841ED" w:rsidRDefault="00CB5469" w:rsidP="00B841ED">
      <w:pPr>
        <w:tabs>
          <w:tab w:val="left" w:pos="4667"/>
        </w:tabs>
        <w:spacing w:line="240" w:lineRule="auto"/>
        <w:ind w:left="567" w:right="567"/>
        <w:rPr>
          <w:rFonts w:cs="Tahoma"/>
          <w:bCs/>
          <w:i/>
          <w:szCs w:val="22"/>
        </w:rPr>
      </w:pPr>
      <w:r w:rsidRPr="00B841ED">
        <w:rPr>
          <w:rFonts w:cs="Tahoma"/>
          <w:bCs/>
          <w:i/>
          <w:szCs w:val="22"/>
        </w:rPr>
        <w:t xml:space="preserve">Solicito a la Dirección General de Vinculación Interinstitucional de esta Secretaria, toda la información relevante a los proyectos </w:t>
      </w:r>
      <w:proofErr w:type="spellStart"/>
      <w:r w:rsidRPr="00B841ED">
        <w:rPr>
          <w:rFonts w:cs="Tahoma"/>
          <w:bCs/>
          <w:i/>
          <w:szCs w:val="22"/>
        </w:rPr>
        <w:t>asi</w:t>
      </w:r>
      <w:proofErr w:type="spellEnd"/>
      <w:r w:rsidRPr="00B841ED">
        <w:rPr>
          <w:rFonts w:cs="Tahoma"/>
          <w:bCs/>
          <w:i/>
          <w:szCs w:val="22"/>
        </w:rPr>
        <w:t xml:space="preserve"> como lo referente a todos los insumos de edición de la revista digital semestral Experiencia Anticorrupción desde 2018 a 2023</w:t>
      </w:r>
      <w:r w:rsidR="00A97B5B" w:rsidRPr="00B841ED">
        <w:rPr>
          <w:rFonts w:cs="Tahoma"/>
          <w:bCs/>
          <w:i/>
          <w:szCs w:val="22"/>
        </w:rPr>
        <w:t>.</w:t>
      </w:r>
    </w:p>
    <w:p w14:paraId="758E946C" w14:textId="77777777" w:rsidR="00A97B5B" w:rsidRPr="00B841ED" w:rsidRDefault="00A97B5B" w:rsidP="00B841ED">
      <w:pPr>
        <w:tabs>
          <w:tab w:val="left" w:pos="4667"/>
        </w:tabs>
        <w:spacing w:line="240" w:lineRule="auto"/>
        <w:ind w:left="567" w:right="567"/>
        <w:rPr>
          <w:rFonts w:cs="Tahoma"/>
          <w:bCs/>
          <w:i/>
          <w:szCs w:val="22"/>
        </w:rPr>
      </w:pPr>
    </w:p>
    <w:p w14:paraId="4308028B" w14:textId="23C03426" w:rsidR="00A97B5B" w:rsidRPr="00B841ED" w:rsidRDefault="00CB5469" w:rsidP="00B841ED">
      <w:pPr>
        <w:tabs>
          <w:tab w:val="left" w:pos="4667"/>
        </w:tabs>
        <w:spacing w:line="240" w:lineRule="auto"/>
        <w:ind w:left="567" w:right="567"/>
        <w:rPr>
          <w:rFonts w:cs="Tahoma"/>
          <w:bCs/>
          <w:i/>
          <w:szCs w:val="22"/>
        </w:rPr>
      </w:pPr>
      <w:r w:rsidRPr="00B841ED">
        <w:rPr>
          <w:rFonts w:cs="Tahoma"/>
          <w:b/>
          <w:bCs/>
          <w:i/>
        </w:rPr>
        <w:t>00997/SESEA/IP/2024</w:t>
      </w:r>
    </w:p>
    <w:p w14:paraId="79E0E040" w14:textId="48A73CF0" w:rsidR="00A97B5B" w:rsidRPr="00B841ED" w:rsidRDefault="00CB5469" w:rsidP="00B841ED">
      <w:pPr>
        <w:tabs>
          <w:tab w:val="left" w:pos="4667"/>
        </w:tabs>
        <w:spacing w:line="240" w:lineRule="auto"/>
        <w:ind w:left="567" w:right="567"/>
        <w:rPr>
          <w:rFonts w:cs="Tahoma"/>
          <w:bCs/>
          <w:i/>
          <w:szCs w:val="22"/>
        </w:rPr>
      </w:pPr>
      <w:r w:rsidRPr="00B841ED">
        <w:rPr>
          <w:rFonts w:cs="Tahoma"/>
          <w:bCs/>
          <w:i/>
          <w:szCs w:val="22"/>
        </w:rPr>
        <w:t xml:space="preserve">Solicito a la Dirección General de Vinculación Interinstitucional de esta Secretaria, toda la información relevante a los proyectos </w:t>
      </w:r>
      <w:proofErr w:type="spellStart"/>
      <w:r w:rsidRPr="00B841ED">
        <w:rPr>
          <w:rFonts w:cs="Tahoma"/>
          <w:bCs/>
          <w:i/>
          <w:szCs w:val="22"/>
        </w:rPr>
        <w:t>asi</w:t>
      </w:r>
      <w:proofErr w:type="spellEnd"/>
      <w:r w:rsidRPr="00B841ED">
        <w:rPr>
          <w:rFonts w:cs="Tahoma"/>
          <w:bCs/>
          <w:i/>
          <w:szCs w:val="22"/>
        </w:rPr>
        <w:t xml:space="preserve"> como lo referente a todos los insumos de edición de la revista digital semestral Experiencia Anticorrupción desde 2018 a 2024</w:t>
      </w:r>
      <w:r w:rsidR="00A97B5B" w:rsidRPr="00B841ED">
        <w:rPr>
          <w:rFonts w:cs="Tahoma"/>
          <w:bCs/>
          <w:i/>
          <w:szCs w:val="22"/>
        </w:rPr>
        <w:t>.</w:t>
      </w:r>
    </w:p>
    <w:p w14:paraId="51E60E21" w14:textId="77777777" w:rsidR="00216474" w:rsidRPr="00B841ED" w:rsidRDefault="00216474" w:rsidP="00B841ED">
      <w:pPr>
        <w:tabs>
          <w:tab w:val="left" w:pos="4667"/>
        </w:tabs>
        <w:spacing w:line="240" w:lineRule="auto"/>
        <w:ind w:right="567"/>
        <w:rPr>
          <w:rFonts w:cs="Tahoma"/>
          <w:bCs/>
          <w:i/>
          <w:szCs w:val="22"/>
        </w:rPr>
      </w:pPr>
    </w:p>
    <w:p w14:paraId="7B667FC9" w14:textId="4F4D8CE4" w:rsidR="007D1C55" w:rsidRPr="00B841ED" w:rsidRDefault="009A2D78" w:rsidP="00B841ED">
      <w:pPr>
        <w:tabs>
          <w:tab w:val="left" w:pos="4667"/>
        </w:tabs>
        <w:ind w:left="567" w:right="567"/>
        <w:rPr>
          <w:rFonts w:cs="Tahoma"/>
          <w:bCs/>
          <w:i/>
          <w:szCs w:val="22"/>
        </w:rPr>
      </w:pPr>
      <w:r w:rsidRPr="00B841ED">
        <w:rPr>
          <w:rFonts w:cs="Tahoma"/>
          <w:b/>
          <w:bCs/>
          <w:szCs w:val="22"/>
        </w:rPr>
        <w:t>Modalidad de entrega</w:t>
      </w:r>
      <w:r w:rsidRPr="00B841ED">
        <w:rPr>
          <w:rFonts w:cs="Tahoma"/>
          <w:bCs/>
          <w:szCs w:val="22"/>
        </w:rPr>
        <w:t>: a</w:t>
      </w:r>
      <w:r w:rsidR="00664420" w:rsidRPr="00B841ED">
        <w:rPr>
          <w:rFonts w:cs="Tahoma"/>
          <w:bCs/>
          <w:i/>
          <w:szCs w:val="22"/>
        </w:rPr>
        <w:t xml:space="preserve"> través del SAIMEX</w:t>
      </w:r>
      <w:r w:rsidRPr="00B841ED">
        <w:rPr>
          <w:rFonts w:cs="Tahoma"/>
          <w:bCs/>
          <w:i/>
          <w:szCs w:val="22"/>
        </w:rPr>
        <w:t>.</w:t>
      </w:r>
    </w:p>
    <w:p w14:paraId="015B87DE" w14:textId="77777777" w:rsidR="00CB5469" w:rsidRPr="00B841ED" w:rsidRDefault="00CB5469" w:rsidP="00B841ED">
      <w:pPr>
        <w:tabs>
          <w:tab w:val="left" w:pos="4667"/>
        </w:tabs>
        <w:ind w:right="567"/>
        <w:rPr>
          <w:rFonts w:cs="Tahoma"/>
          <w:bCs/>
          <w:szCs w:val="22"/>
        </w:rPr>
      </w:pPr>
    </w:p>
    <w:p w14:paraId="4458D37B" w14:textId="77777777" w:rsidR="00CB5469" w:rsidRPr="00B841ED" w:rsidRDefault="00CB5469" w:rsidP="00B841ED">
      <w:pPr>
        <w:pStyle w:val="Ttulo3"/>
      </w:pPr>
      <w:bookmarkStart w:id="6" w:name="_Toc165402856"/>
      <w:bookmarkStart w:id="7" w:name="_Toc184810815"/>
      <w:r w:rsidRPr="00B841ED">
        <w:t>b) Turno de la solicitud de información</w:t>
      </w:r>
      <w:bookmarkEnd w:id="6"/>
      <w:bookmarkEnd w:id="7"/>
    </w:p>
    <w:p w14:paraId="64A1A298" w14:textId="4A2123BD" w:rsidR="00CB5469" w:rsidRPr="00B841ED" w:rsidRDefault="00CB5469" w:rsidP="00B841ED">
      <w:pPr>
        <w:tabs>
          <w:tab w:val="left" w:pos="4667"/>
        </w:tabs>
        <w:ind w:right="567"/>
        <w:rPr>
          <w:rFonts w:cs="Tahoma"/>
          <w:bCs/>
          <w:szCs w:val="22"/>
        </w:rPr>
      </w:pPr>
      <w:r w:rsidRPr="00B841ED">
        <w:t xml:space="preserve">En cumplimiento al artículo 162 de la Ley de Transparencia y Acceso a la Información Pública del Estado de México y Municipios, el </w:t>
      </w:r>
      <w:r w:rsidRPr="00B841ED">
        <w:rPr>
          <w:rFonts w:eastAsia="Palatino Linotype" w:cs="Palatino Linotype"/>
          <w:b/>
        </w:rPr>
        <w:t>dieciocho de octubre de dos mil veinticuatro</w:t>
      </w:r>
      <w:r w:rsidRPr="00B841ED">
        <w:t xml:space="preserve">, el Titular de la Unidad de Transparencia del </w:t>
      </w:r>
      <w:r w:rsidRPr="00B841ED">
        <w:rPr>
          <w:b/>
        </w:rPr>
        <w:t>SUJETO OBLIGADO</w:t>
      </w:r>
      <w:r w:rsidRPr="00B841ED">
        <w:t xml:space="preserve"> turnó la solicitud de información al servidor público habilitado que estimó pertinente.</w:t>
      </w:r>
    </w:p>
    <w:p w14:paraId="3212BA4D" w14:textId="0972A000" w:rsidR="00664420" w:rsidRPr="00B841ED" w:rsidRDefault="00CB5469" w:rsidP="00B841ED">
      <w:pPr>
        <w:pStyle w:val="Ttulo3"/>
        <w:rPr>
          <w:rFonts w:eastAsia="Calibri"/>
          <w:lang w:eastAsia="en-US"/>
        </w:rPr>
      </w:pPr>
      <w:bookmarkStart w:id="8" w:name="_Toc184810816"/>
      <w:r w:rsidRPr="00B841ED">
        <w:rPr>
          <w:lang w:val="es-ES"/>
        </w:rPr>
        <w:lastRenderedPageBreak/>
        <w:t>c</w:t>
      </w:r>
      <w:r w:rsidR="00E37A3F" w:rsidRPr="00B841ED">
        <w:rPr>
          <w:lang w:val="es-ES"/>
        </w:rPr>
        <w:t xml:space="preserve">) </w:t>
      </w:r>
      <w:r w:rsidR="00664420" w:rsidRPr="00B841ED">
        <w:rPr>
          <w:lang w:val="es-ES"/>
        </w:rPr>
        <w:t>Respuesta</w:t>
      </w:r>
      <w:r w:rsidR="00A97B5B" w:rsidRPr="00B841ED">
        <w:rPr>
          <w:lang w:val="es-ES"/>
        </w:rPr>
        <w:t>s</w:t>
      </w:r>
      <w:r w:rsidR="00664420" w:rsidRPr="00B841ED">
        <w:rPr>
          <w:lang w:val="es-ES"/>
        </w:rPr>
        <w:t xml:space="preserve"> </w:t>
      </w:r>
      <w:r w:rsidR="00664420" w:rsidRPr="00B841ED">
        <w:rPr>
          <w:rFonts w:eastAsia="Calibri"/>
          <w:lang w:eastAsia="en-US"/>
        </w:rPr>
        <w:t>del Sujeto Obligado</w:t>
      </w:r>
      <w:bookmarkEnd w:id="8"/>
    </w:p>
    <w:p w14:paraId="79199CC1" w14:textId="06A603D9" w:rsidR="00664420" w:rsidRPr="00B841ED" w:rsidRDefault="00664420" w:rsidP="00B841ED">
      <w:pPr>
        <w:pStyle w:val="Sinespaciado"/>
        <w:spacing w:line="360" w:lineRule="auto"/>
        <w:rPr>
          <w:lang w:val="es-ES"/>
        </w:rPr>
      </w:pPr>
      <w:r w:rsidRPr="00B841ED">
        <w:rPr>
          <w:lang w:val="es-ES"/>
        </w:rPr>
        <w:t xml:space="preserve">El </w:t>
      </w:r>
      <w:r w:rsidR="00CB5469" w:rsidRPr="00B841ED">
        <w:rPr>
          <w:b/>
          <w:bCs/>
          <w:lang w:val="es-ES"/>
        </w:rPr>
        <w:t>cuatro de noviembre</w:t>
      </w:r>
      <w:r w:rsidR="00BC7DCE" w:rsidRPr="00B841ED">
        <w:rPr>
          <w:b/>
          <w:bCs/>
          <w:lang w:val="es-ES"/>
        </w:rPr>
        <w:t xml:space="preserve"> de dos mil veinticuatro,</w:t>
      </w:r>
      <w:r w:rsidRPr="00B841ED">
        <w:rPr>
          <w:lang w:val="es-ES"/>
        </w:rPr>
        <w:t xml:space="preserve"> </w:t>
      </w:r>
      <w:r w:rsidR="00F07EE6" w:rsidRPr="00B841ED">
        <w:rPr>
          <w:lang w:val="es-ES"/>
        </w:rPr>
        <w:t xml:space="preserve">el Titular de la Unidad de Transparencia del </w:t>
      </w:r>
      <w:r w:rsidR="00F07EE6" w:rsidRPr="00B841ED">
        <w:rPr>
          <w:b/>
          <w:lang w:val="es-ES"/>
        </w:rPr>
        <w:t>SUJETO OBLIGADO</w:t>
      </w:r>
      <w:r w:rsidR="00F07EE6" w:rsidRPr="00B841ED">
        <w:rPr>
          <w:lang w:val="es-ES"/>
        </w:rPr>
        <w:t xml:space="preserve"> notificó la siguiente respuesta a través del </w:t>
      </w:r>
      <w:r w:rsidRPr="00B841ED">
        <w:rPr>
          <w:lang w:val="es-ES"/>
        </w:rPr>
        <w:t>SAIMEX</w:t>
      </w:r>
      <w:r w:rsidR="00F07EE6" w:rsidRPr="00B841ED">
        <w:rPr>
          <w:lang w:val="es-ES"/>
        </w:rPr>
        <w:t>:</w:t>
      </w:r>
    </w:p>
    <w:p w14:paraId="669F7EFD" w14:textId="77777777" w:rsidR="00664420" w:rsidRPr="00B841ED" w:rsidRDefault="00664420" w:rsidP="00B841ED">
      <w:pPr>
        <w:tabs>
          <w:tab w:val="left" w:pos="4667"/>
        </w:tabs>
        <w:ind w:left="567" w:right="567"/>
        <w:rPr>
          <w:rFonts w:cs="Tahoma"/>
          <w:b/>
          <w:bCs/>
        </w:rPr>
      </w:pPr>
    </w:p>
    <w:p w14:paraId="7946A4E1" w14:textId="77777777" w:rsidR="00CB5469" w:rsidRPr="00B841ED" w:rsidRDefault="00487880" w:rsidP="00B841ED">
      <w:pPr>
        <w:pStyle w:val="Puesto"/>
      </w:pPr>
      <w:r w:rsidRPr="00B841ED">
        <w:t>“</w:t>
      </w:r>
      <w:r w:rsidR="00CB5469" w:rsidRPr="00B841ED">
        <w:t>En respuesta a la solicitud recibida, nos permitimos hacer de su conocimiento que con fundamento en el artículo 53, Fracciones: II, V y VI de la Ley de Transparencia y Acceso a la Información Pública del Estado de México y Municipios, le contestamos que:</w:t>
      </w:r>
    </w:p>
    <w:p w14:paraId="263050E3" w14:textId="77777777" w:rsidR="00CB5469" w:rsidRPr="00B841ED" w:rsidRDefault="00CB5469" w:rsidP="00B841ED">
      <w:pPr>
        <w:pStyle w:val="Puesto"/>
      </w:pPr>
      <w:r w:rsidRPr="00B841ED">
        <w:t xml:space="preserve">Toluca, Estado de México; a 04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w:t>
      </w:r>
      <w:r w:rsidRPr="00B841ED">
        <w:rPr>
          <w:b/>
        </w:rPr>
        <w:t>00993/SESEA/IP/2024</w:t>
      </w:r>
      <w:r w:rsidRPr="00B841ED">
        <w:t>. Atentamente Mtra. Montserrat Aguilera Vargas Jefa de la Unidad de Planeación y Transparencia de la Secretaría Ejecutiva del Sistema Estatal Anticorrupción</w:t>
      </w:r>
    </w:p>
    <w:p w14:paraId="269BE5C4" w14:textId="77777777" w:rsidR="00CB5469" w:rsidRPr="00B841ED" w:rsidRDefault="00CB5469" w:rsidP="00B841ED">
      <w:pPr>
        <w:pStyle w:val="Puesto"/>
      </w:pPr>
      <w:r w:rsidRPr="00B841ED">
        <w:t>ATENTAMENTE</w:t>
      </w:r>
    </w:p>
    <w:p w14:paraId="5D11024C" w14:textId="45CA46C0" w:rsidR="00664420" w:rsidRPr="00B841ED" w:rsidRDefault="00CB5469" w:rsidP="00B841ED">
      <w:pPr>
        <w:pStyle w:val="Puesto"/>
      </w:pPr>
      <w:proofErr w:type="spellStart"/>
      <w:r w:rsidRPr="00B841ED">
        <w:t>Mtra</w:t>
      </w:r>
      <w:proofErr w:type="spellEnd"/>
      <w:r w:rsidRPr="00B841ED">
        <w:t xml:space="preserve"> Montserrat Aguilera Vargas</w:t>
      </w:r>
      <w:r w:rsidR="00487880" w:rsidRPr="00B841ED">
        <w:t>”</w:t>
      </w:r>
    </w:p>
    <w:p w14:paraId="7C091694" w14:textId="77777777" w:rsidR="00CB5469" w:rsidRPr="00B841ED" w:rsidRDefault="00CB5469" w:rsidP="00B841ED"/>
    <w:p w14:paraId="03B41C03" w14:textId="01591C3B" w:rsidR="00CB5469" w:rsidRPr="00B841ED" w:rsidRDefault="00CB5469" w:rsidP="00B841ED">
      <w:pPr>
        <w:rPr>
          <w:b/>
          <w:bCs/>
        </w:rPr>
      </w:pPr>
      <w:r w:rsidRPr="00B841ED">
        <w:t xml:space="preserve">De forma medular en todas las solicitudes de información se expresaron las mismas manifestaciones, únicamente distinguiendo el número de solicitud de información, siendo estas </w:t>
      </w:r>
      <w:r w:rsidRPr="00B841ED">
        <w:rPr>
          <w:b/>
          <w:bCs/>
        </w:rPr>
        <w:t xml:space="preserve">00994/SESEA/IP/2024, </w:t>
      </w:r>
      <w:r w:rsidRPr="00B841ED">
        <w:t xml:space="preserve"> </w:t>
      </w:r>
      <w:r w:rsidRPr="00B841ED">
        <w:rPr>
          <w:b/>
          <w:bCs/>
        </w:rPr>
        <w:t xml:space="preserve">00995/SESEA/IP/2024, 00996/SESEA/IP/2024 y 00997/SESEA/IP/2024. </w:t>
      </w:r>
    </w:p>
    <w:p w14:paraId="35B629B1" w14:textId="77777777" w:rsidR="00D4638A" w:rsidRPr="00B841ED" w:rsidRDefault="00D4638A" w:rsidP="00B841ED">
      <w:pPr>
        <w:rPr>
          <w:bCs/>
        </w:rPr>
      </w:pPr>
    </w:p>
    <w:p w14:paraId="678E051C" w14:textId="7F9287EC" w:rsidR="00D4638A" w:rsidRPr="00B841ED" w:rsidRDefault="00B841ED" w:rsidP="00B841ED">
      <w:pPr>
        <w:rPr>
          <w:bCs/>
        </w:rPr>
      </w:pPr>
      <w:r w:rsidRPr="00B841ED">
        <w:rPr>
          <w:bCs/>
        </w:rPr>
        <w:t>Asimismo,</w:t>
      </w:r>
      <w:r w:rsidR="003B394E" w:rsidRPr="00B841ED">
        <w:rPr>
          <w:bCs/>
        </w:rPr>
        <w:t xml:space="preserve"> p</w:t>
      </w:r>
      <w:r w:rsidR="00D4638A" w:rsidRPr="00B841ED">
        <w:rPr>
          <w:bCs/>
        </w:rPr>
        <w:t xml:space="preserve">ara todas las solicitudes de información se adjuntaron los archivos digitales </w:t>
      </w:r>
      <w:r w:rsidR="003B394E" w:rsidRPr="00B841ED">
        <w:rPr>
          <w:bCs/>
        </w:rPr>
        <w:t xml:space="preserve">siguientes; cabe señalar que únicamente se distingue el nombre de los archivos electrónicos, sin </w:t>
      </w:r>
      <w:r w:rsidRPr="00B841ED">
        <w:rPr>
          <w:bCs/>
        </w:rPr>
        <w:t>embargo,</w:t>
      </w:r>
      <w:r w:rsidR="003B394E" w:rsidRPr="00B841ED">
        <w:rPr>
          <w:bCs/>
        </w:rPr>
        <w:t xml:space="preserve"> medularmente contienen la misma información</w:t>
      </w:r>
      <w:r w:rsidR="00D4638A" w:rsidRPr="00B841ED">
        <w:rPr>
          <w:bCs/>
        </w:rPr>
        <w:t xml:space="preserve">: </w:t>
      </w:r>
    </w:p>
    <w:p w14:paraId="521A82F1" w14:textId="77777777" w:rsidR="00B841ED" w:rsidRPr="00B841ED" w:rsidRDefault="00B841ED" w:rsidP="00B841ED">
      <w:pPr>
        <w:rPr>
          <w:bCs/>
        </w:rPr>
      </w:pPr>
    </w:p>
    <w:p w14:paraId="4E66F8A9" w14:textId="5FB29F2D" w:rsidR="00D4638A" w:rsidRPr="00B841ED" w:rsidRDefault="00D4638A" w:rsidP="00B841ED">
      <w:pPr>
        <w:pStyle w:val="Prrafodelista"/>
        <w:numPr>
          <w:ilvl w:val="0"/>
          <w:numId w:val="26"/>
        </w:numPr>
      </w:pPr>
      <w:r w:rsidRPr="00B841ED">
        <w:rPr>
          <w:b/>
        </w:rPr>
        <w:t>LTAIPEMYM.pdf</w:t>
      </w:r>
      <w:r w:rsidRPr="00B841ED">
        <w:t>: Consiste en la Ley de Transparencia del Estado de México.</w:t>
      </w:r>
    </w:p>
    <w:p w14:paraId="434CC195" w14:textId="04ED059F" w:rsidR="00D4638A" w:rsidRPr="00B841ED" w:rsidRDefault="00D4638A" w:rsidP="00B841ED">
      <w:pPr>
        <w:pStyle w:val="Prrafodelista"/>
        <w:numPr>
          <w:ilvl w:val="0"/>
          <w:numId w:val="26"/>
        </w:numPr>
      </w:pPr>
      <w:r w:rsidRPr="00B841ED">
        <w:rPr>
          <w:b/>
        </w:rPr>
        <w:t>LSAEMYM.pdf</w:t>
      </w:r>
      <w:r w:rsidRPr="00B841ED">
        <w:t>: Consiste en la Ley del Sistema Anticorrupción del Estado de México.</w:t>
      </w:r>
    </w:p>
    <w:p w14:paraId="70070FF8" w14:textId="07BB2AED" w:rsidR="003B394E" w:rsidRPr="00B841ED" w:rsidRDefault="003B394E" w:rsidP="00B841ED">
      <w:pPr>
        <w:pStyle w:val="Prrafodelista"/>
        <w:numPr>
          <w:ilvl w:val="0"/>
          <w:numId w:val="26"/>
        </w:numPr>
        <w:rPr>
          <w:b/>
        </w:rPr>
      </w:pPr>
      <w:proofErr w:type="spellStart"/>
      <w:r w:rsidRPr="00B841ED">
        <w:rPr>
          <w:b/>
        </w:rPr>
        <w:lastRenderedPageBreak/>
        <w:t>resp</w:t>
      </w:r>
      <w:proofErr w:type="spellEnd"/>
      <w:r w:rsidRPr="00B841ED">
        <w:rPr>
          <w:b/>
        </w:rPr>
        <w:t xml:space="preserve"> sol 993.pdf: </w:t>
      </w:r>
      <w:r w:rsidRPr="00B841ED">
        <w:t>Consiste en la respuesta proporcionada por la Jefa de la Unidad de Planeación y Transparencia quien refiere de manera medular hacer del conocimiento la respuesta emitida por la Dirección General de Vinculación Interinstitucional.</w:t>
      </w:r>
    </w:p>
    <w:p w14:paraId="3438544E" w14:textId="39FD6B9E" w:rsidR="003B394E" w:rsidRPr="00B841ED" w:rsidRDefault="003B394E" w:rsidP="00B841ED">
      <w:pPr>
        <w:pStyle w:val="Prrafodelista"/>
        <w:numPr>
          <w:ilvl w:val="0"/>
          <w:numId w:val="26"/>
        </w:numPr>
      </w:pPr>
      <w:r w:rsidRPr="00B841ED">
        <w:rPr>
          <w:b/>
        </w:rPr>
        <w:t xml:space="preserve">RESP A SOL 993.docx: </w:t>
      </w:r>
      <w:r w:rsidRPr="00B841ED">
        <w:t>Contiene la misma respuesta descrita en el punto inmediato anterior, con la distinción que esta es proporcionada en formato Word.</w:t>
      </w:r>
    </w:p>
    <w:p w14:paraId="4C02D4BB" w14:textId="77777777" w:rsidR="003B394E" w:rsidRPr="00B841ED" w:rsidRDefault="003B394E" w:rsidP="00B841ED"/>
    <w:p w14:paraId="7CC5CD64" w14:textId="7F02C12E" w:rsidR="00D4638A" w:rsidRPr="00B841ED" w:rsidRDefault="00D4638A" w:rsidP="00B841ED">
      <w:r w:rsidRPr="00B841ED">
        <w:t xml:space="preserve">Por otro lado </w:t>
      </w:r>
      <w:r w:rsidR="003B394E" w:rsidRPr="00B841ED">
        <w:t>se procede a la descripción de los documentos que refieren distinta información</w:t>
      </w:r>
      <w:r w:rsidRPr="00B841ED">
        <w:t>:</w:t>
      </w:r>
    </w:p>
    <w:p w14:paraId="63AE1DB5" w14:textId="77777777" w:rsidR="00D4638A" w:rsidRPr="00B841ED" w:rsidRDefault="00D4638A" w:rsidP="00B841ED"/>
    <w:p w14:paraId="3894E7F1" w14:textId="6AB7E059" w:rsidR="00D4638A" w:rsidRPr="00B841ED" w:rsidRDefault="00D4638A" w:rsidP="00B841ED">
      <w:pPr>
        <w:rPr>
          <w:b/>
        </w:rPr>
      </w:pPr>
      <w:r w:rsidRPr="00B841ED">
        <w:rPr>
          <w:b/>
        </w:rPr>
        <w:t>00993/SESEA/IP/2024</w:t>
      </w:r>
      <w:r w:rsidR="00F5177D" w:rsidRPr="00B841ED">
        <w:rPr>
          <w:b/>
        </w:rPr>
        <w:t>:</w:t>
      </w:r>
    </w:p>
    <w:p w14:paraId="6BE71E24" w14:textId="38A4C73C" w:rsidR="00750A1A" w:rsidRPr="00B841ED" w:rsidRDefault="004273A9" w:rsidP="00B841ED">
      <w:pPr>
        <w:pStyle w:val="Prrafodelista"/>
        <w:numPr>
          <w:ilvl w:val="0"/>
          <w:numId w:val="28"/>
        </w:numPr>
        <w:rPr>
          <w:b/>
        </w:rPr>
      </w:pPr>
      <w:r w:rsidRPr="00B841ED">
        <w:rPr>
          <w:b/>
        </w:rPr>
        <w:t xml:space="preserve">RESP A S UNI DGVI 993.pdf: </w:t>
      </w:r>
      <w:r w:rsidRPr="00B841ED">
        <w:t xml:space="preserve">Consiste en el oficio signado por la Subdirectora de Difusión y Comunicación Social quien hace del conocimiento que, el primer número de la revista digital semestral se presentó el 13 de diciembre de 2019 y de </w:t>
      </w:r>
      <w:r w:rsidR="00596693" w:rsidRPr="00B841ED">
        <w:t>2019 a 2022 s</w:t>
      </w:r>
      <w:r w:rsidR="00F5177D" w:rsidRPr="00B841ED">
        <w:t>e editaron 3 números</w:t>
      </w:r>
      <w:r w:rsidRPr="00B841ED">
        <w:t>, asimismo por cuanto hace a los proyectos e insumos contenidos en dichos números se ubican dentro de las actas del Subcomité Editorial que se acompañan a la respuesta en mención</w:t>
      </w:r>
      <w:r w:rsidR="00F5177D" w:rsidRPr="00B841ED">
        <w:t xml:space="preserve"> enlistando cada una de dichas actas</w:t>
      </w:r>
      <w:r w:rsidRPr="00B841ED">
        <w:t xml:space="preserve">. Por otro lado respecto de los insumos materiales, se refiere que se utilizan computadoras, softwares especializados en diseño editorial y edición de fotografías, una cámara fotográfica, una de video y un micrófono, por otro lado se el recurso humano se diseña y proporcionada a través del trabajo de cuatro personas que se encargan del diseño editorial, grabación y edición de video. </w:t>
      </w:r>
      <w:r w:rsidR="00750A1A" w:rsidRPr="00B841ED">
        <w:t xml:space="preserve"> </w:t>
      </w:r>
    </w:p>
    <w:p w14:paraId="23848AFD" w14:textId="5BD2D0C0" w:rsidR="00750A1A" w:rsidRPr="00B841ED" w:rsidRDefault="00750A1A" w:rsidP="00B841ED">
      <w:pPr>
        <w:pStyle w:val="Prrafodelista"/>
        <w:numPr>
          <w:ilvl w:val="0"/>
          <w:numId w:val="28"/>
        </w:numPr>
        <w:rPr>
          <w:b/>
        </w:rPr>
      </w:pPr>
      <w:r w:rsidRPr="00B841ED">
        <w:rPr>
          <w:b/>
        </w:rPr>
        <w:t xml:space="preserve">RESP PDF.zip: </w:t>
      </w:r>
      <w:r w:rsidR="003B394E" w:rsidRPr="00B841ED">
        <w:t xml:space="preserve">Consiste en una carpeta comprimida la cual contiene 3 archivos digitales los cuales corresponden a las actas de la primera, segunda y cuarta </w:t>
      </w:r>
      <w:r w:rsidR="00596693" w:rsidRPr="00B841ED">
        <w:t>sesiones ordinarias</w:t>
      </w:r>
      <w:r w:rsidR="003B394E" w:rsidRPr="00B841ED">
        <w:t xml:space="preserve"> del Subcomité Editorial.  </w:t>
      </w:r>
    </w:p>
    <w:p w14:paraId="7E0018FB" w14:textId="77777777" w:rsidR="00E17F16" w:rsidRPr="00B841ED" w:rsidRDefault="00E17F16" w:rsidP="00B841ED">
      <w:pPr>
        <w:pStyle w:val="Prrafodelista"/>
        <w:rPr>
          <w:b/>
        </w:rPr>
      </w:pPr>
    </w:p>
    <w:p w14:paraId="1060C91E" w14:textId="27E080BF" w:rsidR="00622553" w:rsidRPr="00B841ED" w:rsidRDefault="00D4638A" w:rsidP="00B841ED">
      <w:pPr>
        <w:rPr>
          <w:b/>
        </w:rPr>
      </w:pPr>
      <w:r w:rsidRPr="00B841ED">
        <w:lastRenderedPageBreak/>
        <w:t xml:space="preserve"> </w:t>
      </w:r>
      <w:r w:rsidR="003B394E" w:rsidRPr="00B841ED">
        <w:rPr>
          <w:b/>
        </w:rPr>
        <w:t>00994/SESEA/IP/2024</w:t>
      </w:r>
      <w:r w:rsidR="00F5177D" w:rsidRPr="00B841ED">
        <w:rPr>
          <w:b/>
        </w:rPr>
        <w:t>:</w:t>
      </w:r>
    </w:p>
    <w:p w14:paraId="7D0C68C1" w14:textId="39A5F2EF" w:rsidR="003B394E" w:rsidRPr="00B841ED" w:rsidRDefault="003B394E" w:rsidP="00B841ED">
      <w:pPr>
        <w:pStyle w:val="Prrafodelista"/>
        <w:numPr>
          <w:ilvl w:val="0"/>
          <w:numId w:val="29"/>
        </w:numPr>
      </w:pPr>
      <w:r w:rsidRPr="00B841ED">
        <w:rPr>
          <w:b/>
        </w:rPr>
        <w:t>Of respuesta a sol 0994 (2).</w:t>
      </w:r>
      <w:proofErr w:type="spellStart"/>
      <w:r w:rsidRPr="00B841ED">
        <w:rPr>
          <w:b/>
        </w:rPr>
        <w:t>pdf</w:t>
      </w:r>
      <w:proofErr w:type="spellEnd"/>
      <w:r w:rsidRPr="00B841ED">
        <w:t>: Consiste en el oficio signado por la Subdirectora de Difusión y Comunicación Social quien hace del conocimiento que, el primer número de la revista digital semestral se presentó el 13 de diciembre de 2019 y de 2019 a 2021</w:t>
      </w:r>
      <w:r w:rsidR="00596693" w:rsidRPr="00B841ED">
        <w:t xml:space="preserve"> s</w:t>
      </w:r>
      <w:r w:rsidR="00F5177D" w:rsidRPr="00B841ED">
        <w:t>e editaron 5 números</w:t>
      </w:r>
      <w:r w:rsidRPr="00B841ED">
        <w:t>, asimismo por cuanto hace a los proyectos e insumos contenidos en dichos números se ubican dentro de las actas del Subcomité Editorial que se acompañan a la respuesta en mención</w:t>
      </w:r>
      <w:r w:rsidR="00F5177D" w:rsidRPr="00B841ED">
        <w:t xml:space="preserve"> enlistando cada una de dichas actas</w:t>
      </w:r>
      <w:r w:rsidRPr="00B841ED">
        <w:t>. Por otro lado respecto de los insumos materiales, se refiere que se utilizan computadoras, softwares especializados en diseño editorial y edición de fotografías, una cámara fotográfica, una de video y un micrófono, por otro lado se el recurso humano se diseña y proporcionada a través del trabajo de cuatro personas que se encargan del diseño editorial, grabación y edición de video.</w:t>
      </w:r>
    </w:p>
    <w:p w14:paraId="63C6AB22" w14:textId="3E4C74BA" w:rsidR="00F5177D" w:rsidRPr="00B841ED" w:rsidRDefault="00F5177D" w:rsidP="00B841ED">
      <w:pPr>
        <w:pStyle w:val="Prrafodelista"/>
        <w:numPr>
          <w:ilvl w:val="0"/>
          <w:numId w:val="29"/>
        </w:numPr>
      </w:pPr>
      <w:r w:rsidRPr="00B841ED">
        <w:rPr>
          <w:b/>
        </w:rPr>
        <w:t>wetransfer_00994_2024-11-04_2057.zip</w:t>
      </w:r>
      <w:r w:rsidRPr="00B841ED">
        <w:t>: Consiste en una carpeta comprimida la cual contiene 5 archivos en formato PDF con la denominación de las actas de sesiones del Subcomité Editorial, sin embargo se desconoce su contenido al no poder acceder a estos.</w:t>
      </w:r>
    </w:p>
    <w:p w14:paraId="4E767382" w14:textId="460423DC" w:rsidR="00784235" w:rsidRPr="00B841ED" w:rsidRDefault="00F5177D" w:rsidP="00B841ED">
      <w:pPr>
        <w:autoSpaceDE w:val="0"/>
        <w:autoSpaceDN w:val="0"/>
        <w:adjustRightInd w:val="0"/>
        <w:ind w:right="-28"/>
        <w:rPr>
          <w:rFonts w:cs="Tahoma"/>
          <w:bCs/>
          <w:szCs w:val="22"/>
          <w:lang w:val="es-ES"/>
        </w:rPr>
      </w:pPr>
      <w:r w:rsidRPr="00B841ED">
        <w:rPr>
          <w:b/>
        </w:rPr>
        <w:t>00995/SESEA/IP/2024:</w:t>
      </w:r>
    </w:p>
    <w:p w14:paraId="1E298B18" w14:textId="32D2806A" w:rsidR="00F5177D" w:rsidRPr="00B841ED" w:rsidRDefault="00F5177D" w:rsidP="00B841ED">
      <w:pPr>
        <w:pStyle w:val="Prrafodelista"/>
        <w:numPr>
          <w:ilvl w:val="0"/>
          <w:numId w:val="30"/>
        </w:numPr>
        <w:autoSpaceDE w:val="0"/>
        <w:autoSpaceDN w:val="0"/>
        <w:adjustRightInd w:val="0"/>
        <w:ind w:right="-28"/>
        <w:rPr>
          <w:rFonts w:cs="Tahoma"/>
          <w:b/>
          <w:bCs/>
          <w:szCs w:val="22"/>
          <w:lang w:val="es-ES"/>
        </w:rPr>
      </w:pPr>
      <w:r w:rsidRPr="00B841ED">
        <w:rPr>
          <w:rFonts w:cs="Tahoma"/>
          <w:b/>
          <w:bCs/>
          <w:szCs w:val="22"/>
          <w:lang w:val="es-ES"/>
        </w:rPr>
        <w:t xml:space="preserve">Of respuesta a sol 0995.pdf: </w:t>
      </w:r>
      <w:r w:rsidRPr="00B841ED">
        <w:t>Consiste en el oficio signado por la Subdirectora de Difusión y Comunicación Social quien hace del conocimiento que, el primer número de la revista digital semestral se presentó el 13 de diciembre de 2019 y de 2019 a 2022</w:t>
      </w:r>
      <w:r w:rsidR="00596693" w:rsidRPr="00B841ED">
        <w:t xml:space="preserve"> s</w:t>
      </w:r>
      <w:r w:rsidRPr="00B841ED">
        <w:t xml:space="preserve">e editaron 7 números, asimismo por cuanto hace a los proyectos e insumos contenidos en dichos números se ubican dentro de las actas del Subcomité Editorial que se acompañan a la respuesta en mención enlistando cada una de dichas actas. Por otro lado respecto de los insumos materiales, se refiere que se utilizan computadoras, </w:t>
      </w:r>
      <w:r w:rsidRPr="00B841ED">
        <w:lastRenderedPageBreak/>
        <w:t>softwares especializados en diseño editorial y edición de fotografías, una cámara fotográfica, una de video y un micrófono, por otro lado se el recurso humano se diseña y proporcionada a través del trabajo de cuatro personas que se encargan del diseño editorial, grabación y edición de video.</w:t>
      </w:r>
    </w:p>
    <w:p w14:paraId="7A5C7106" w14:textId="6DD0516D" w:rsidR="00F5177D" w:rsidRPr="00B841ED" w:rsidRDefault="00F5177D" w:rsidP="00B841ED">
      <w:pPr>
        <w:pStyle w:val="Prrafodelista"/>
        <w:numPr>
          <w:ilvl w:val="0"/>
          <w:numId w:val="30"/>
        </w:numPr>
        <w:autoSpaceDE w:val="0"/>
        <w:autoSpaceDN w:val="0"/>
        <w:adjustRightInd w:val="0"/>
        <w:ind w:right="-28"/>
        <w:rPr>
          <w:rFonts w:cs="Tahoma"/>
          <w:b/>
          <w:bCs/>
          <w:szCs w:val="22"/>
          <w:lang w:val="es-ES"/>
        </w:rPr>
      </w:pPr>
      <w:r w:rsidRPr="00B841ED">
        <w:rPr>
          <w:rFonts w:cs="Tahoma"/>
          <w:b/>
          <w:bCs/>
          <w:szCs w:val="22"/>
          <w:lang w:val="es-ES"/>
        </w:rPr>
        <w:t xml:space="preserve">wetransfer_00995_2024-11-04_2103.zip: </w:t>
      </w:r>
      <w:r w:rsidRPr="00B841ED">
        <w:t xml:space="preserve">Consiste en una carpeta comprimida la cual contiene 7 archivos en formato PDF con la denominación de las actas de sesiones del Subcomité Editorial, sin embargo se desconoce su contenido al no poder acceder a estos. </w:t>
      </w:r>
    </w:p>
    <w:p w14:paraId="6C0E968E" w14:textId="0F58277F" w:rsidR="00F5177D" w:rsidRPr="00B841ED" w:rsidRDefault="00F5177D" w:rsidP="00B841ED">
      <w:pPr>
        <w:autoSpaceDE w:val="0"/>
        <w:autoSpaceDN w:val="0"/>
        <w:adjustRightInd w:val="0"/>
        <w:ind w:left="360" w:right="-28"/>
        <w:rPr>
          <w:b/>
        </w:rPr>
      </w:pPr>
      <w:r w:rsidRPr="00B841ED">
        <w:rPr>
          <w:b/>
        </w:rPr>
        <w:t>00996/SESEA/IP/2024</w:t>
      </w:r>
      <w:r w:rsidR="00596693" w:rsidRPr="00B841ED">
        <w:rPr>
          <w:b/>
        </w:rPr>
        <w:t>:</w:t>
      </w:r>
    </w:p>
    <w:p w14:paraId="043CA088" w14:textId="23844557" w:rsidR="00F5177D" w:rsidRPr="00B841ED" w:rsidRDefault="00F5177D" w:rsidP="00B841ED">
      <w:pPr>
        <w:pStyle w:val="Prrafodelista"/>
        <w:numPr>
          <w:ilvl w:val="0"/>
          <w:numId w:val="31"/>
        </w:numPr>
        <w:autoSpaceDE w:val="0"/>
        <w:autoSpaceDN w:val="0"/>
        <w:adjustRightInd w:val="0"/>
        <w:ind w:left="709" w:right="-28"/>
        <w:rPr>
          <w:rFonts w:cs="Tahoma"/>
          <w:b/>
          <w:bCs/>
          <w:szCs w:val="22"/>
          <w:lang w:val="es-ES"/>
        </w:rPr>
      </w:pPr>
      <w:r w:rsidRPr="00B841ED">
        <w:rPr>
          <w:rFonts w:cs="Tahoma"/>
          <w:b/>
          <w:bCs/>
          <w:szCs w:val="22"/>
          <w:lang w:val="es-ES"/>
        </w:rPr>
        <w:t xml:space="preserve">Of respuesta a sol 0996.pdf: </w:t>
      </w:r>
      <w:r w:rsidRPr="00B841ED">
        <w:t>Consiste en el oficio signado por la Subdirectora de Difusión y Comunicación Social quien hace del conocimiento que, el primer número de la revista digital semestral se presentó el 13 de diciembre de 2019 y de 2019 a 2023</w:t>
      </w:r>
      <w:r w:rsidR="00596693" w:rsidRPr="00B841ED">
        <w:t xml:space="preserve"> s</w:t>
      </w:r>
      <w:r w:rsidRPr="00B841ED">
        <w:t>e editaron 9 números, asimismo por cuanto hace a los proyectos e insumos contenidos en dichos números se ubican dentro de las actas del Subcomité Editorial que se acompañan a la respuesta en mención, enlistando cada una de dichas actas. Por otro lado respecto de los insumos materiales, se refiere que se utilizan computadoras, softwares especializados en diseño editorial y edición de fotografías, una cámara fotográfica, una de video y un micrófono, por otro lado se el recurso humano se diseña y proporcionada a través del trabajo de cuatro personas que se encargan del diseño editorial, grabación y edición de video.</w:t>
      </w:r>
    </w:p>
    <w:p w14:paraId="4816B678" w14:textId="3565401D" w:rsidR="00F5177D" w:rsidRPr="00B841ED" w:rsidRDefault="00F5177D" w:rsidP="00B841ED">
      <w:pPr>
        <w:pStyle w:val="Prrafodelista"/>
        <w:numPr>
          <w:ilvl w:val="0"/>
          <w:numId w:val="31"/>
        </w:numPr>
        <w:autoSpaceDE w:val="0"/>
        <w:autoSpaceDN w:val="0"/>
        <w:adjustRightInd w:val="0"/>
        <w:ind w:left="709" w:right="-28"/>
        <w:rPr>
          <w:rFonts w:cs="Tahoma"/>
          <w:b/>
          <w:bCs/>
          <w:szCs w:val="22"/>
          <w:lang w:val="es-ES"/>
        </w:rPr>
      </w:pPr>
      <w:r w:rsidRPr="00B841ED">
        <w:rPr>
          <w:rFonts w:cs="Tahoma"/>
          <w:b/>
          <w:bCs/>
          <w:szCs w:val="22"/>
          <w:lang w:val="es-ES"/>
        </w:rPr>
        <w:t xml:space="preserve">wetransfer_00996_2024-11-04_2104.zip: </w:t>
      </w:r>
      <w:r w:rsidRPr="00B841ED">
        <w:t>Consiste en una carpeta comprimida la cual contiene 9 archivos en formato PDF con la denominación de las actas de sesiones del Subcomité Editorial, sin embargo se desconoce su contenido al no poder acceder a estos.</w:t>
      </w:r>
    </w:p>
    <w:p w14:paraId="70950AA0" w14:textId="1DD1A949" w:rsidR="00596693" w:rsidRPr="00B841ED" w:rsidRDefault="00596693" w:rsidP="00B841ED">
      <w:pPr>
        <w:autoSpaceDE w:val="0"/>
        <w:autoSpaceDN w:val="0"/>
        <w:adjustRightInd w:val="0"/>
        <w:ind w:left="349" w:right="-28"/>
        <w:rPr>
          <w:b/>
        </w:rPr>
      </w:pPr>
      <w:r w:rsidRPr="00B841ED">
        <w:rPr>
          <w:b/>
        </w:rPr>
        <w:lastRenderedPageBreak/>
        <w:t>00997/SESEA/IP/2024:</w:t>
      </w:r>
    </w:p>
    <w:p w14:paraId="43EFDBAC" w14:textId="44AEAC55" w:rsidR="00596693" w:rsidRPr="00B841ED" w:rsidRDefault="00596693" w:rsidP="00B841ED">
      <w:pPr>
        <w:pStyle w:val="Prrafodelista"/>
        <w:numPr>
          <w:ilvl w:val="0"/>
          <w:numId w:val="32"/>
        </w:numPr>
        <w:autoSpaceDE w:val="0"/>
        <w:autoSpaceDN w:val="0"/>
        <w:adjustRightInd w:val="0"/>
        <w:ind w:left="709" w:right="-28"/>
        <w:rPr>
          <w:rFonts w:cs="Tahoma"/>
          <w:b/>
          <w:bCs/>
          <w:szCs w:val="22"/>
          <w:lang w:val="es-ES"/>
        </w:rPr>
      </w:pPr>
      <w:r w:rsidRPr="00B841ED">
        <w:rPr>
          <w:rFonts w:cs="Tahoma"/>
          <w:b/>
          <w:bCs/>
          <w:szCs w:val="22"/>
          <w:lang w:val="es-ES"/>
        </w:rPr>
        <w:t xml:space="preserve">Of Respuesta a sol 0997.pdf: </w:t>
      </w:r>
      <w:r w:rsidRPr="00B841ED">
        <w:t>Consiste en el oficio signado por la Subdirectora de Difusión y Comunicación Social quien hace del conocimiento que, el primer número de la revista digital semestral se presentó el 13 de diciembre de 2019 y de 2019 a al primer semestre de 2024, se editaron 10 números, asimismo por cuanto hace a los proyectos e insumos contenidos en dichos números se ubican dentro de las actas del Subcomité Editorial que se acompañan a la respuesta en mención, enlistando cada una de dichas actas. Por otro lado respecto de los insumos materiales, se refiere que se utilizan computadoras, softwares especializados en diseño editorial y edición de fotografías, una cámara fotográfica, una de video y un micrófono, por otro lado se el recurso humano se diseña y proporcionada a través del trabajo de cuatro personas que se encargan del diseño editorial, grabación y edición de video.</w:t>
      </w:r>
    </w:p>
    <w:p w14:paraId="245E5FFE" w14:textId="3000F44C" w:rsidR="00596693" w:rsidRPr="00B841ED" w:rsidRDefault="00596693" w:rsidP="00B841ED">
      <w:pPr>
        <w:pStyle w:val="Prrafodelista"/>
        <w:numPr>
          <w:ilvl w:val="0"/>
          <w:numId w:val="32"/>
        </w:numPr>
        <w:autoSpaceDE w:val="0"/>
        <w:autoSpaceDN w:val="0"/>
        <w:adjustRightInd w:val="0"/>
        <w:ind w:left="709" w:right="-28"/>
        <w:rPr>
          <w:rFonts w:cs="Tahoma"/>
          <w:b/>
          <w:bCs/>
          <w:szCs w:val="22"/>
          <w:lang w:val="es-ES"/>
        </w:rPr>
      </w:pPr>
      <w:r w:rsidRPr="00B841ED">
        <w:rPr>
          <w:rFonts w:cs="Tahoma"/>
          <w:b/>
          <w:bCs/>
          <w:szCs w:val="22"/>
          <w:lang w:val="es-ES"/>
        </w:rPr>
        <w:t>wetransfer_00997_2024-11-04_2104 (2).</w:t>
      </w:r>
      <w:proofErr w:type="spellStart"/>
      <w:r w:rsidRPr="00B841ED">
        <w:rPr>
          <w:rFonts w:cs="Tahoma"/>
          <w:b/>
          <w:bCs/>
          <w:szCs w:val="22"/>
          <w:lang w:val="es-ES"/>
        </w:rPr>
        <w:t>zip</w:t>
      </w:r>
      <w:proofErr w:type="spellEnd"/>
      <w:r w:rsidRPr="00B841ED">
        <w:rPr>
          <w:rFonts w:cs="Tahoma"/>
          <w:b/>
          <w:bCs/>
          <w:szCs w:val="22"/>
          <w:lang w:val="es-ES"/>
        </w:rPr>
        <w:t xml:space="preserve">: </w:t>
      </w:r>
      <w:r w:rsidRPr="00B841ED">
        <w:t>Consiste en una carpeta comprimida la cual contiene 9 archivos en formato PDF con la denominación de las actas de sesiones del Subcomité Editorial, sin embargo se desconoce su contenido al no poder acceder a estos.</w:t>
      </w:r>
    </w:p>
    <w:p w14:paraId="37F6FC51" w14:textId="77777777" w:rsidR="00596693" w:rsidRPr="00B841ED" w:rsidRDefault="00596693" w:rsidP="00B841ED">
      <w:pPr>
        <w:pStyle w:val="Prrafodelista"/>
        <w:autoSpaceDE w:val="0"/>
        <w:autoSpaceDN w:val="0"/>
        <w:adjustRightInd w:val="0"/>
        <w:ind w:left="709" w:right="-28"/>
        <w:rPr>
          <w:rFonts w:cs="Tahoma"/>
          <w:b/>
          <w:bCs/>
          <w:szCs w:val="22"/>
          <w:lang w:val="es-ES"/>
        </w:rPr>
      </w:pPr>
    </w:p>
    <w:p w14:paraId="5A5DAB9E" w14:textId="7F81AAA5" w:rsidR="00E37A3F" w:rsidRPr="00B841ED" w:rsidRDefault="00E37A3F" w:rsidP="00B841ED">
      <w:pPr>
        <w:pStyle w:val="Ttulo2"/>
        <w:jc w:val="left"/>
      </w:pPr>
      <w:bookmarkStart w:id="9" w:name="_Toc184810817"/>
      <w:r w:rsidRPr="00B841ED">
        <w:t>D</w:t>
      </w:r>
      <w:r w:rsidR="00784235" w:rsidRPr="00B841ED">
        <w:t>E LOS</w:t>
      </w:r>
      <w:r w:rsidRPr="00B841ED">
        <w:t xml:space="preserve"> RECURSO</w:t>
      </w:r>
      <w:r w:rsidR="00784235" w:rsidRPr="00B841ED">
        <w:t>S</w:t>
      </w:r>
      <w:r w:rsidRPr="00B841ED">
        <w:t xml:space="preserve"> DE REVISIÓN</w:t>
      </w:r>
      <w:bookmarkEnd w:id="9"/>
    </w:p>
    <w:p w14:paraId="0B17CD08" w14:textId="77777777" w:rsidR="00664420" w:rsidRPr="00B841ED" w:rsidRDefault="00664420" w:rsidP="00B841ED">
      <w:pPr>
        <w:autoSpaceDE w:val="0"/>
        <w:autoSpaceDN w:val="0"/>
        <w:adjustRightInd w:val="0"/>
        <w:ind w:right="-28"/>
        <w:rPr>
          <w:rFonts w:cs="Tahoma"/>
          <w:bCs/>
          <w:szCs w:val="22"/>
          <w:lang w:val="es-ES"/>
        </w:rPr>
      </w:pPr>
    </w:p>
    <w:p w14:paraId="2B216813" w14:textId="44611952" w:rsidR="00664420" w:rsidRPr="00B841ED" w:rsidRDefault="006E25BC" w:rsidP="00B841ED">
      <w:pPr>
        <w:pStyle w:val="Ttulo3"/>
      </w:pPr>
      <w:bookmarkStart w:id="10" w:name="_Toc184810818"/>
      <w:r w:rsidRPr="00B841ED">
        <w:rPr>
          <w:szCs w:val="32"/>
        </w:rPr>
        <w:t>a)</w:t>
      </w:r>
      <w:r w:rsidRPr="00B841ED">
        <w:t xml:space="preserve"> </w:t>
      </w:r>
      <w:r w:rsidR="00784235" w:rsidRPr="00B841ED">
        <w:t>Interposición de los</w:t>
      </w:r>
      <w:r w:rsidR="00664420" w:rsidRPr="00B841ED">
        <w:t xml:space="preserve"> Recurso</w:t>
      </w:r>
      <w:r w:rsidR="00784235" w:rsidRPr="00B841ED">
        <w:t>s</w:t>
      </w:r>
      <w:r w:rsidR="00664420" w:rsidRPr="00B841ED">
        <w:t xml:space="preserve"> de Revisión</w:t>
      </w:r>
      <w:bookmarkEnd w:id="10"/>
    </w:p>
    <w:p w14:paraId="6279C622" w14:textId="03DC8DEB" w:rsidR="00664420" w:rsidRPr="00B841ED" w:rsidRDefault="00664420" w:rsidP="00B841ED">
      <w:pPr>
        <w:autoSpaceDE w:val="0"/>
        <w:autoSpaceDN w:val="0"/>
        <w:adjustRightInd w:val="0"/>
        <w:ind w:right="-28"/>
        <w:rPr>
          <w:rFonts w:cs="Tahoma"/>
          <w:szCs w:val="22"/>
        </w:rPr>
      </w:pPr>
      <w:r w:rsidRPr="00B841ED">
        <w:rPr>
          <w:rFonts w:cs="Tahoma"/>
          <w:szCs w:val="22"/>
        </w:rPr>
        <w:t xml:space="preserve">El </w:t>
      </w:r>
      <w:r w:rsidR="00596693" w:rsidRPr="00B841ED">
        <w:rPr>
          <w:rFonts w:cs="Tahoma"/>
          <w:b/>
          <w:bCs/>
          <w:szCs w:val="22"/>
        </w:rPr>
        <w:t>cinco de noviembre</w:t>
      </w:r>
      <w:r w:rsidR="00784235" w:rsidRPr="00B841ED">
        <w:rPr>
          <w:rFonts w:cs="Tahoma"/>
          <w:b/>
          <w:bCs/>
          <w:szCs w:val="22"/>
        </w:rPr>
        <w:t xml:space="preserve"> de dos mil veinticuatro</w:t>
      </w:r>
      <w:r w:rsidRPr="00B841ED">
        <w:rPr>
          <w:rFonts w:cs="Tahoma"/>
          <w:szCs w:val="22"/>
        </w:rPr>
        <w:t xml:space="preserve"> </w:t>
      </w:r>
      <w:r w:rsidR="00F75D23" w:rsidRPr="00B841ED">
        <w:rPr>
          <w:rFonts w:cs="Tahoma"/>
          <w:b/>
          <w:bCs/>
          <w:szCs w:val="22"/>
        </w:rPr>
        <w:t>LA PARTE RECURRENTE</w:t>
      </w:r>
      <w:r w:rsidR="00F75D23" w:rsidRPr="00B841ED">
        <w:rPr>
          <w:rFonts w:cs="Tahoma"/>
          <w:szCs w:val="22"/>
        </w:rPr>
        <w:t xml:space="preserve"> interpuso </w:t>
      </w:r>
      <w:r w:rsidR="00784235" w:rsidRPr="00B841ED">
        <w:rPr>
          <w:rFonts w:cs="Tahoma"/>
          <w:szCs w:val="22"/>
        </w:rPr>
        <w:t>los recursos</w:t>
      </w:r>
      <w:r w:rsidR="00F75D23" w:rsidRPr="00B841ED">
        <w:rPr>
          <w:rFonts w:cs="Tahoma"/>
          <w:szCs w:val="22"/>
        </w:rPr>
        <w:t xml:space="preserve"> de revisión en contra de la</w:t>
      </w:r>
      <w:r w:rsidR="00784235" w:rsidRPr="00B841ED">
        <w:rPr>
          <w:rFonts w:cs="Tahoma"/>
          <w:szCs w:val="22"/>
        </w:rPr>
        <w:t>s</w:t>
      </w:r>
      <w:r w:rsidR="00F75D23" w:rsidRPr="00B841ED">
        <w:rPr>
          <w:rFonts w:cs="Tahoma"/>
          <w:szCs w:val="22"/>
        </w:rPr>
        <w:t xml:space="preserve"> respuesta</w:t>
      </w:r>
      <w:r w:rsidR="00784235" w:rsidRPr="00B841ED">
        <w:rPr>
          <w:rFonts w:cs="Tahoma"/>
          <w:szCs w:val="22"/>
        </w:rPr>
        <w:t>s</w:t>
      </w:r>
      <w:r w:rsidR="00F75D23" w:rsidRPr="00B841ED">
        <w:rPr>
          <w:rFonts w:cs="Tahoma"/>
          <w:szCs w:val="22"/>
        </w:rPr>
        <w:t xml:space="preserve"> emitida por el </w:t>
      </w:r>
      <w:r w:rsidR="00F75D23" w:rsidRPr="00B841ED">
        <w:rPr>
          <w:rFonts w:cs="Tahoma"/>
          <w:b/>
          <w:bCs/>
          <w:szCs w:val="22"/>
        </w:rPr>
        <w:t>SUJETO OBLIGADO</w:t>
      </w:r>
      <w:r w:rsidR="00953430" w:rsidRPr="00B841ED">
        <w:rPr>
          <w:rFonts w:cs="Tahoma"/>
          <w:szCs w:val="22"/>
        </w:rPr>
        <w:t>, mismo</w:t>
      </w:r>
      <w:r w:rsidR="00784235" w:rsidRPr="00B841ED">
        <w:rPr>
          <w:rFonts w:cs="Tahoma"/>
          <w:szCs w:val="22"/>
        </w:rPr>
        <w:t>s</w:t>
      </w:r>
      <w:r w:rsidR="00953430" w:rsidRPr="00B841ED">
        <w:rPr>
          <w:rFonts w:cs="Tahoma"/>
          <w:szCs w:val="22"/>
        </w:rPr>
        <w:t xml:space="preserve"> que fue</w:t>
      </w:r>
      <w:r w:rsidR="00784235" w:rsidRPr="00B841ED">
        <w:rPr>
          <w:rFonts w:cs="Tahoma"/>
          <w:szCs w:val="22"/>
        </w:rPr>
        <w:t>ron</w:t>
      </w:r>
      <w:r w:rsidR="00953430" w:rsidRPr="00B841ED">
        <w:rPr>
          <w:rFonts w:cs="Tahoma"/>
          <w:szCs w:val="22"/>
        </w:rPr>
        <w:t xml:space="preserve"> registrado</w:t>
      </w:r>
      <w:r w:rsidR="00784235" w:rsidRPr="00B841ED">
        <w:rPr>
          <w:rFonts w:cs="Tahoma"/>
          <w:szCs w:val="22"/>
        </w:rPr>
        <w:t>s</w:t>
      </w:r>
      <w:r w:rsidR="00953430" w:rsidRPr="00B841ED">
        <w:rPr>
          <w:rFonts w:cs="Tahoma"/>
          <w:szCs w:val="22"/>
        </w:rPr>
        <w:t xml:space="preserve"> en el SAIMEX con </w:t>
      </w:r>
      <w:r w:rsidR="00784235" w:rsidRPr="00B841ED">
        <w:rPr>
          <w:rFonts w:cs="Tahoma"/>
          <w:szCs w:val="22"/>
        </w:rPr>
        <w:t>los</w:t>
      </w:r>
      <w:r w:rsidR="00953430" w:rsidRPr="00B841ED">
        <w:rPr>
          <w:rFonts w:cs="Tahoma"/>
          <w:szCs w:val="22"/>
        </w:rPr>
        <w:t xml:space="preserve"> número</w:t>
      </w:r>
      <w:r w:rsidR="00784235" w:rsidRPr="00B841ED">
        <w:rPr>
          <w:rFonts w:cs="Tahoma"/>
          <w:szCs w:val="22"/>
        </w:rPr>
        <w:t>s</w:t>
      </w:r>
      <w:r w:rsidR="00953430" w:rsidRPr="00B841ED">
        <w:rPr>
          <w:rFonts w:cs="Tahoma"/>
          <w:szCs w:val="22"/>
        </w:rPr>
        <w:t xml:space="preserve"> de expediente </w:t>
      </w:r>
      <w:r w:rsidR="00596693" w:rsidRPr="00B841ED">
        <w:rPr>
          <w:rFonts w:eastAsia="Calibri"/>
          <w:b/>
          <w:lang w:eastAsia="en-US"/>
        </w:rPr>
        <w:t xml:space="preserve">07072/INFOEM/IP/RR/2024, 07073/INFOEM/IP/RR/2024, 07074/INFOEM/IP/RR/2024, </w:t>
      </w:r>
      <w:r w:rsidR="00596693" w:rsidRPr="00B841ED">
        <w:rPr>
          <w:rFonts w:eastAsia="Calibri"/>
          <w:b/>
          <w:lang w:eastAsia="en-US"/>
        </w:rPr>
        <w:lastRenderedPageBreak/>
        <w:t>07075/INFOEM/IP/RR/2024 y 07076/INFOEM/IP/RR/2024</w:t>
      </w:r>
      <w:r w:rsidR="00953430" w:rsidRPr="00B841ED">
        <w:rPr>
          <w:rFonts w:cs="Tahoma"/>
          <w:szCs w:val="22"/>
        </w:rPr>
        <w:t xml:space="preserve">, y en </w:t>
      </w:r>
      <w:r w:rsidR="00784235" w:rsidRPr="00B841ED">
        <w:rPr>
          <w:rFonts w:cs="Tahoma"/>
          <w:szCs w:val="22"/>
        </w:rPr>
        <w:t>los cuales</w:t>
      </w:r>
      <w:r w:rsidR="00953430" w:rsidRPr="00B841ED">
        <w:rPr>
          <w:rFonts w:cs="Tahoma"/>
          <w:szCs w:val="22"/>
        </w:rPr>
        <w:t xml:space="preserve"> manifiesta lo siguiente</w:t>
      </w:r>
      <w:r w:rsidRPr="00B841ED">
        <w:rPr>
          <w:rFonts w:cs="Tahoma"/>
          <w:szCs w:val="22"/>
        </w:rPr>
        <w:t>:</w:t>
      </w:r>
    </w:p>
    <w:p w14:paraId="74B30008" w14:textId="77777777" w:rsidR="00664420" w:rsidRPr="00B841ED" w:rsidRDefault="00664420" w:rsidP="00B841ED">
      <w:pPr>
        <w:tabs>
          <w:tab w:val="left" w:pos="4667"/>
        </w:tabs>
        <w:ind w:right="539"/>
        <w:rPr>
          <w:rFonts w:cs="Tahoma"/>
          <w:szCs w:val="22"/>
        </w:rPr>
      </w:pPr>
    </w:p>
    <w:p w14:paraId="18BF6011" w14:textId="30511DDA" w:rsidR="00784235" w:rsidRPr="00B841ED" w:rsidRDefault="00784235" w:rsidP="00B841ED">
      <w:pPr>
        <w:tabs>
          <w:tab w:val="left" w:pos="4667"/>
        </w:tabs>
        <w:ind w:right="539"/>
        <w:rPr>
          <w:rFonts w:cs="Tahoma"/>
          <w:b/>
          <w:szCs w:val="22"/>
          <w:u w:val="single"/>
        </w:rPr>
      </w:pPr>
      <w:r w:rsidRPr="00B841ED">
        <w:rPr>
          <w:rFonts w:cs="Tahoma"/>
          <w:b/>
          <w:szCs w:val="22"/>
          <w:u w:val="single"/>
        </w:rPr>
        <w:t>Para todos los recursos de revisión promovidos:</w:t>
      </w:r>
    </w:p>
    <w:p w14:paraId="12153283" w14:textId="77777777" w:rsidR="00664420" w:rsidRPr="00B841ED" w:rsidRDefault="00664420" w:rsidP="00B841ED">
      <w:pPr>
        <w:tabs>
          <w:tab w:val="left" w:pos="4667"/>
        </w:tabs>
        <w:ind w:left="567" w:right="539"/>
        <w:rPr>
          <w:rFonts w:cs="Tahoma"/>
          <w:b/>
          <w:iCs/>
        </w:rPr>
      </w:pPr>
      <w:r w:rsidRPr="00B841ED">
        <w:rPr>
          <w:rFonts w:cs="Tahoma"/>
          <w:b/>
          <w:iCs/>
        </w:rPr>
        <w:t>ACTO IMPUGNADO</w:t>
      </w:r>
      <w:r w:rsidRPr="00B841ED">
        <w:rPr>
          <w:rFonts w:cs="Tahoma"/>
          <w:b/>
          <w:iCs/>
        </w:rPr>
        <w:tab/>
      </w:r>
    </w:p>
    <w:p w14:paraId="523F8BF4" w14:textId="473CEAF8" w:rsidR="00664420" w:rsidRPr="00B841ED" w:rsidRDefault="00487880" w:rsidP="00B841ED">
      <w:pPr>
        <w:tabs>
          <w:tab w:val="left" w:pos="4667"/>
        </w:tabs>
        <w:spacing w:line="240" w:lineRule="auto"/>
        <w:ind w:left="567" w:right="539"/>
        <w:rPr>
          <w:rFonts w:cs="Tahoma"/>
          <w:bCs/>
          <w:i/>
        </w:rPr>
      </w:pPr>
      <w:r w:rsidRPr="00B841ED">
        <w:rPr>
          <w:rFonts w:cs="Tahoma"/>
          <w:bCs/>
          <w:i/>
        </w:rPr>
        <w:t>“</w:t>
      </w:r>
      <w:r w:rsidR="00596693" w:rsidRPr="00B841ED">
        <w:rPr>
          <w:rFonts w:cs="Tahoma"/>
          <w:bCs/>
          <w:i/>
        </w:rPr>
        <w:t xml:space="preserve">La información </w:t>
      </w:r>
      <w:proofErr w:type="spellStart"/>
      <w:r w:rsidR="00596693" w:rsidRPr="00B841ED">
        <w:rPr>
          <w:rFonts w:cs="Tahoma"/>
          <w:bCs/>
          <w:i/>
        </w:rPr>
        <w:t>esta</w:t>
      </w:r>
      <w:proofErr w:type="spellEnd"/>
      <w:r w:rsidR="00596693" w:rsidRPr="00B841ED">
        <w:rPr>
          <w:rFonts w:cs="Tahoma"/>
          <w:bCs/>
          <w:i/>
        </w:rPr>
        <w:t xml:space="preserve"> incompleta</w:t>
      </w:r>
      <w:r w:rsidR="00784235" w:rsidRPr="00B841ED">
        <w:rPr>
          <w:rFonts w:cs="Tahoma"/>
          <w:bCs/>
          <w:i/>
        </w:rPr>
        <w:t>.</w:t>
      </w:r>
      <w:r w:rsidRPr="00B841ED">
        <w:rPr>
          <w:rFonts w:cs="Tahoma"/>
          <w:bCs/>
          <w:i/>
        </w:rPr>
        <w:t>”</w:t>
      </w:r>
    </w:p>
    <w:p w14:paraId="6AE8EA9A" w14:textId="77777777" w:rsidR="00664420" w:rsidRPr="00B841ED" w:rsidRDefault="00664420" w:rsidP="00B841ED">
      <w:pPr>
        <w:tabs>
          <w:tab w:val="left" w:pos="4667"/>
        </w:tabs>
        <w:ind w:right="539"/>
        <w:rPr>
          <w:rFonts w:cs="Tahoma"/>
          <w:bCs/>
          <w:i/>
        </w:rPr>
      </w:pPr>
    </w:p>
    <w:p w14:paraId="047D036B" w14:textId="77777777" w:rsidR="00664420" w:rsidRPr="00B841ED" w:rsidRDefault="00664420" w:rsidP="00B841ED">
      <w:pPr>
        <w:tabs>
          <w:tab w:val="left" w:pos="4667"/>
        </w:tabs>
        <w:ind w:left="567" w:right="539"/>
        <w:rPr>
          <w:rFonts w:cs="Tahoma"/>
          <w:b/>
          <w:iCs/>
        </w:rPr>
      </w:pPr>
      <w:r w:rsidRPr="00B841ED">
        <w:rPr>
          <w:rFonts w:cs="Tahoma"/>
          <w:b/>
          <w:iCs/>
        </w:rPr>
        <w:t>RAZONES O MOTIVOS DE LA INCONFORMIDAD</w:t>
      </w:r>
      <w:r w:rsidRPr="00B841ED">
        <w:rPr>
          <w:rFonts w:cs="Tahoma"/>
          <w:b/>
          <w:iCs/>
        </w:rPr>
        <w:tab/>
      </w:r>
    </w:p>
    <w:p w14:paraId="1DAE2563" w14:textId="4FFBAB7A" w:rsidR="00953430" w:rsidRPr="00B841ED" w:rsidRDefault="00487880" w:rsidP="00B841ED">
      <w:pPr>
        <w:tabs>
          <w:tab w:val="left" w:pos="4667"/>
        </w:tabs>
        <w:spacing w:line="240" w:lineRule="auto"/>
        <w:ind w:left="567" w:right="539"/>
        <w:rPr>
          <w:rFonts w:cs="Tahoma"/>
          <w:bCs/>
          <w:i/>
        </w:rPr>
      </w:pPr>
      <w:r w:rsidRPr="00B841ED">
        <w:rPr>
          <w:rFonts w:cs="Tahoma"/>
          <w:bCs/>
          <w:i/>
        </w:rPr>
        <w:t>“</w:t>
      </w:r>
      <w:r w:rsidR="00596693" w:rsidRPr="00B841ED">
        <w:rPr>
          <w:rFonts w:cs="Tahoma"/>
          <w:bCs/>
          <w:i/>
        </w:rPr>
        <w:t xml:space="preserve">La información </w:t>
      </w:r>
      <w:proofErr w:type="spellStart"/>
      <w:r w:rsidR="00596693" w:rsidRPr="00B841ED">
        <w:rPr>
          <w:rFonts w:cs="Tahoma"/>
          <w:bCs/>
          <w:i/>
        </w:rPr>
        <w:t>esta</w:t>
      </w:r>
      <w:proofErr w:type="spellEnd"/>
      <w:r w:rsidR="00596693" w:rsidRPr="00B841ED">
        <w:rPr>
          <w:rFonts w:cs="Tahoma"/>
          <w:bCs/>
          <w:i/>
        </w:rPr>
        <w:t xml:space="preserve"> incompleta</w:t>
      </w:r>
      <w:r w:rsidR="00784235" w:rsidRPr="00B841ED">
        <w:rPr>
          <w:rFonts w:cs="Tahoma"/>
          <w:bCs/>
          <w:i/>
        </w:rPr>
        <w:t>.</w:t>
      </w:r>
      <w:r w:rsidRPr="00B841ED">
        <w:rPr>
          <w:rFonts w:cs="Tahoma"/>
          <w:bCs/>
          <w:i/>
        </w:rPr>
        <w:t>”</w:t>
      </w:r>
    </w:p>
    <w:p w14:paraId="48FE75EA" w14:textId="77777777" w:rsidR="00664420" w:rsidRPr="00B841ED" w:rsidRDefault="00664420" w:rsidP="00B841ED">
      <w:pPr>
        <w:tabs>
          <w:tab w:val="left" w:pos="4667"/>
        </w:tabs>
        <w:ind w:right="567"/>
        <w:rPr>
          <w:rFonts w:cs="Tahoma"/>
          <w:b/>
          <w:bCs/>
        </w:rPr>
      </w:pPr>
    </w:p>
    <w:p w14:paraId="6804DEF1" w14:textId="181ECDB1" w:rsidR="00664420" w:rsidRPr="00B841ED" w:rsidRDefault="006E25BC" w:rsidP="00B841ED">
      <w:pPr>
        <w:pStyle w:val="Ttulo3"/>
      </w:pPr>
      <w:bookmarkStart w:id="11" w:name="_Toc184810819"/>
      <w:r w:rsidRPr="00B841ED">
        <w:t>b</w:t>
      </w:r>
      <w:r w:rsidR="00784235" w:rsidRPr="00B841ED">
        <w:t>) Turno de los</w:t>
      </w:r>
      <w:r w:rsidR="00664420" w:rsidRPr="00B841ED">
        <w:t xml:space="preserve"> Recurso</w:t>
      </w:r>
      <w:r w:rsidR="00784235" w:rsidRPr="00B841ED">
        <w:t>s</w:t>
      </w:r>
      <w:r w:rsidR="00664420" w:rsidRPr="00B841ED">
        <w:t xml:space="preserve"> de Revisión</w:t>
      </w:r>
      <w:bookmarkEnd w:id="11"/>
    </w:p>
    <w:p w14:paraId="1173671B" w14:textId="4D5C4F40" w:rsidR="00C72DAA" w:rsidRPr="00B841ED" w:rsidRDefault="00C72DAA" w:rsidP="00B841ED">
      <w:r w:rsidRPr="00B841ED">
        <w:t>Con fundamento en el artículo 185, fracción I de la Ley de Transparencia y Acceso a la Información Pública del Estado de México y Municipios, el</w:t>
      </w:r>
      <w:r w:rsidRPr="00B841ED">
        <w:rPr>
          <w:b/>
          <w:bCs/>
        </w:rPr>
        <w:t xml:space="preserve"> </w:t>
      </w:r>
      <w:r w:rsidR="00596693" w:rsidRPr="00B841ED">
        <w:rPr>
          <w:rFonts w:eastAsia="Palatino Linotype" w:cs="Palatino Linotype"/>
          <w:b/>
        </w:rPr>
        <w:t>cinco de noviembre</w:t>
      </w:r>
      <w:r w:rsidR="00784235" w:rsidRPr="00B841ED">
        <w:rPr>
          <w:rFonts w:eastAsia="Palatino Linotype" w:cs="Palatino Linotype"/>
          <w:b/>
        </w:rPr>
        <w:t xml:space="preserve"> de dos mil veinticuatro</w:t>
      </w:r>
      <w:r w:rsidRPr="00B841ED">
        <w:t xml:space="preserve"> se </w:t>
      </w:r>
      <w:r w:rsidR="00784235" w:rsidRPr="00B841ED">
        <w:t>turnaron los</w:t>
      </w:r>
      <w:r w:rsidRPr="00B841ED">
        <w:t xml:space="preserve"> recurso</w:t>
      </w:r>
      <w:r w:rsidR="00784235" w:rsidRPr="00B841ED">
        <w:t>s</w:t>
      </w:r>
      <w:r w:rsidRPr="00B841ED">
        <w:t xml:space="preserve"> de revisión a través del</w:t>
      </w:r>
      <w:r w:rsidRPr="00B841ED">
        <w:rPr>
          <w:rFonts w:eastAsia="Arial Unicode MS"/>
        </w:rPr>
        <w:t xml:space="preserve"> </w:t>
      </w:r>
      <w:r w:rsidRPr="00B841ED">
        <w:rPr>
          <w:rFonts w:eastAsia="Arial Unicode MS"/>
          <w:bCs/>
        </w:rPr>
        <w:t>SAIMEX</w:t>
      </w:r>
      <w:r w:rsidRPr="00B841ED">
        <w:t xml:space="preserve"> a la</w:t>
      </w:r>
      <w:r w:rsidR="00487880" w:rsidRPr="00B841ED">
        <w:t>s</w:t>
      </w:r>
      <w:r w:rsidRPr="00B841ED">
        <w:t xml:space="preserve"> </w:t>
      </w:r>
      <w:r w:rsidRPr="00B841ED">
        <w:rPr>
          <w:b/>
        </w:rPr>
        <w:t>Comisionada</w:t>
      </w:r>
      <w:r w:rsidR="00487880" w:rsidRPr="00B841ED">
        <w:rPr>
          <w:b/>
        </w:rPr>
        <w:t>s</w:t>
      </w:r>
      <w:r w:rsidRPr="00B841ED">
        <w:rPr>
          <w:b/>
        </w:rPr>
        <w:t xml:space="preserve"> Sharon Cristina Morales Martínez</w:t>
      </w:r>
      <w:r w:rsidR="00784235" w:rsidRPr="00B841ED">
        <w:rPr>
          <w:b/>
        </w:rPr>
        <w:t xml:space="preserve">, </w:t>
      </w:r>
      <w:r w:rsidR="00C7126F" w:rsidRPr="00B841ED">
        <w:rPr>
          <w:b/>
        </w:rPr>
        <w:t xml:space="preserve">María del Rosario Mejía Ayala, </w:t>
      </w:r>
      <w:r w:rsidR="00596693" w:rsidRPr="00B841ED">
        <w:rPr>
          <w:b/>
        </w:rPr>
        <w:t xml:space="preserve">Guadalupe Ramírez Peña y </w:t>
      </w:r>
      <w:r w:rsidR="00487880" w:rsidRPr="00B841ED">
        <w:rPr>
          <w:b/>
        </w:rPr>
        <w:t>a los</w:t>
      </w:r>
      <w:r w:rsidR="00784235" w:rsidRPr="00B841ED">
        <w:rPr>
          <w:b/>
        </w:rPr>
        <w:t xml:space="preserve"> Comisionado</w:t>
      </w:r>
      <w:r w:rsidR="00487880" w:rsidRPr="00B841ED">
        <w:rPr>
          <w:b/>
        </w:rPr>
        <w:t>s</w:t>
      </w:r>
      <w:r w:rsidR="00784235" w:rsidRPr="00B841ED">
        <w:rPr>
          <w:b/>
        </w:rPr>
        <w:t xml:space="preserve"> Javier Martínez Vilchis</w:t>
      </w:r>
      <w:r w:rsidR="00C7126F" w:rsidRPr="00B841ED">
        <w:rPr>
          <w:b/>
        </w:rPr>
        <w:t xml:space="preserve"> y Luis Gustavo Parra Noriega</w:t>
      </w:r>
      <w:r w:rsidRPr="00B841ED">
        <w:rPr>
          <w:bCs/>
        </w:rPr>
        <w:t xml:space="preserve">, </w:t>
      </w:r>
      <w:r w:rsidRPr="00B841ED">
        <w:t xml:space="preserve">a efecto de decretar su admisión o </w:t>
      </w:r>
      <w:proofErr w:type="spellStart"/>
      <w:r w:rsidRPr="00B841ED">
        <w:t>desechamiento</w:t>
      </w:r>
      <w:proofErr w:type="spellEnd"/>
      <w:r w:rsidRPr="00B841ED">
        <w:t xml:space="preserve">. </w:t>
      </w:r>
    </w:p>
    <w:p w14:paraId="18F305CB" w14:textId="77777777" w:rsidR="00664420" w:rsidRPr="00B841ED" w:rsidRDefault="00664420" w:rsidP="00B841ED">
      <w:pPr>
        <w:rPr>
          <w:rFonts w:eastAsia="Batang" w:cs="Tahoma"/>
          <w:bCs/>
          <w:szCs w:val="22"/>
        </w:rPr>
      </w:pPr>
    </w:p>
    <w:p w14:paraId="3E31EC2D" w14:textId="1FC48DC9" w:rsidR="00664420" w:rsidRPr="00B841ED" w:rsidRDefault="006E25BC" w:rsidP="00B841ED">
      <w:pPr>
        <w:pStyle w:val="Ttulo3"/>
      </w:pPr>
      <w:bookmarkStart w:id="12" w:name="_Toc184810820"/>
      <w:r w:rsidRPr="00B841ED">
        <w:t>c</w:t>
      </w:r>
      <w:r w:rsidR="00784235" w:rsidRPr="00B841ED">
        <w:t>) Admisión de los</w:t>
      </w:r>
      <w:r w:rsidR="00664420" w:rsidRPr="00B841ED">
        <w:t xml:space="preserve"> Recurso</w:t>
      </w:r>
      <w:r w:rsidR="00784235" w:rsidRPr="00B841ED">
        <w:t>s</w:t>
      </w:r>
      <w:r w:rsidR="00664420" w:rsidRPr="00B841ED">
        <w:t xml:space="preserve"> de Revisión</w:t>
      </w:r>
      <w:bookmarkEnd w:id="12"/>
    </w:p>
    <w:p w14:paraId="240447D5" w14:textId="51D40CF9" w:rsidR="000E09C4" w:rsidRPr="00B841ED" w:rsidRDefault="000E09C4" w:rsidP="00B841ED">
      <w:pPr>
        <w:rPr>
          <w:rFonts w:cs="Arial"/>
        </w:rPr>
      </w:pPr>
      <w:r w:rsidRPr="00B841ED">
        <w:rPr>
          <w:rFonts w:cs="Arial"/>
        </w:rPr>
        <w:t xml:space="preserve">El </w:t>
      </w:r>
      <w:r w:rsidR="00596693" w:rsidRPr="00B841ED">
        <w:rPr>
          <w:rFonts w:eastAsia="Palatino Linotype" w:cs="Palatino Linotype"/>
          <w:b/>
        </w:rPr>
        <w:t>seis, ocho y doce de noviembre</w:t>
      </w:r>
      <w:r w:rsidR="00D80A05" w:rsidRPr="00B841ED">
        <w:rPr>
          <w:rFonts w:eastAsia="Palatino Linotype" w:cs="Palatino Linotype"/>
          <w:b/>
        </w:rPr>
        <w:t xml:space="preserve"> </w:t>
      </w:r>
      <w:r w:rsidR="00784235" w:rsidRPr="00B841ED">
        <w:rPr>
          <w:rFonts w:eastAsia="Palatino Linotype" w:cs="Palatino Linotype"/>
          <w:b/>
        </w:rPr>
        <w:t>de dos mil veinticuatro</w:t>
      </w:r>
      <w:r w:rsidRPr="00B841ED">
        <w:rPr>
          <w:rFonts w:cs="Arial"/>
        </w:rPr>
        <w:t xml:space="preserve"> se acordó la admisión a trámite </w:t>
      </w:r>
      <w:r w:rsidR="00784235" w:rsidRPr="00B841ED">
        <w:rPr>
          <w:rFonts w:cs="Arial"/>
        </w:rPr>
        <w:t>los R</w:t>
      </w:r>
      <w:r w:rsidRPr="00B841ED">
        <w:rPr>
          <w:rFonts w:cs="Arial"/>
        </w:rPr>
        <w:t>ecurso</w:t>
      </w:r>
      <w:r w:rsidR="00784235" w:rsidRPr="00B841ED">
        <w:rPr>
          <w:rFonts w:cs="Arial"/>
        </w:rPr>
        <w:t>s</w:t>
      </w:r>
      <w:r w:rsidRPr="00B841ED">
        <w:rPr>
          <w:rFonts w:cs="Arial"/>
        </w:rPr>
        <w:t xml:space="preserve"> de Revisión </w:t>
      </w:r>
      <w:r w:rsidR="00784235" w:rsidRPr="00B841ED">
        <w:rPr>
          <w:rFonts w:cs="Arial"/>
        </w:rPr>
        <w:t xml:space="preserve">y se integraron los </w:t>
      </w:r>
      <w:r w:rsidRPr="00B841ED">
        <w:rPr>
          <w:rFonts w:cs="Arial"/>
        </w:rPr>
        <w:t xml:space="preserve"> expediente</w:t>
      </w:r>
      <w:r w:rsidR="00784235" w:rsidRPr="00B841ED">
        <w:rPr>
          <w:rFonts w:cs="Arial"/>
        </w:rPr>
        <w:t>s</w:t>
      </w:r>
      <w:r w:rsidRPr="00B841ED">
        <w:rPr>
          <w:rFonts w:cs="Arial"/>
        </w:rPr>
        <w:t xml:space="preserve"> respectivo</w:t>
      </w:r>
      <w:r w:rsidR="00784235" w:rsidRPr="00B841ED">
        <w:rPr>
          <w:rFonts w:cs="Arial"/>
        </w:rPr>
        <w:t>s</w:t>
      </w:r>
      <w:r w:rsidRPr="00B841ED">
        <w:rPr>
          <w:rFonts w:cs="Arial"/>
        </w:rPr>
        <w:t>, mismo</w:t>
      </w:r>
      <w:r w:rsidR="00784235" w:rsidRPr="00B841ED">
        <w:rPr>
          <w:rFonts w:cs="Arial"/>
        </w:rPr>
        <w:t>s que se pusieron</w:t>
      </w:r>
      <w:r w:rsidRPr="00B841ED">
        <w:rPr>
          <w:rFonts w:cs="Arial"/>
        </w:rPr>
        <w:t xml:space="preserve"> a disposición de las partes para que, en un plazo de siete días hábiles, manifestaran lo que a su derecho conviniera, conforme a lo dispuesto por el artículo 185</w:t>
      </w:r>
      <w:r w:rsidR="00865CF4" w:rsidRPr="00B841ED">
        <w:rPr>
          <w:rFonts w:cs="Arial"/>
        </w:rPr>
        <w:t>, fracción II</w:t>
      </w:r>
      <w:r w:rsidRPr="00B841ED">
        <w:rPr>
          <w:rFonts w:cs="Arial"/>
        </w:rPr>
        <w:t xml:space="preserve"> de la Ley de Transparencia y Acceso a la Información Pública del Estado de México y Municipios.</w:t>
      </w:r>
    </w:p>
    <w:p w14:paraId="535A4241" w14:textId="1A1E3EA3" w:rsidR="00D2790D" w:rsidRPr="00B841ED" w:rsidRDefault="006E25BC" w:rsidP="00B841ED">
      <w:pPr>
        <w:pStyle w:val="Ttulo3"/>
      </w:pPr>
      <w:bookmarkStart w:id="13" w:name="_Toc184810821"/>
      <w:r w:rsidRPr="00B841ED">
        <w:lastRenderedPageBreak/>
        <w:t>d</w:t>
      </w:r>
      <w:r w:rsidR="00D2790D" w:rsidRPr="00B841ED">
        <w:t>) Acumulación de los Recursos de Revisión</w:t>
      </w:r>
      <w:bookmarkEnd w:id="13"/>
    </w:p>
    <w:p w14:paraId="6CEB581F" w14:textId="6CC4921C" w:rsidR="00575400" w:rsidRPr="00B841ED" w:rsidRDefault="00D2790D" w:rsidP="00B841ED">
      <w:pPr>
        <w:ind w:left="-57"/>
        <w:rPr>
          <w:b/>
          <w:lang w:val="es-ES_tradnl"/>
        </w:rPr>
      </w:pPr>
      <w:r w:rsidRPr="00B841ED">
        <w:rPr>
          <w:rFonts w:cs="Arial"/>
          <w:lang w:val="es-ES_tradnl"/>
        </w:rPr>
        <w:t xml:space="preserve">Por economía procesal y </w:t>
      </w:r>
      <w:r w:rsidRPr="00B841ED">
        <w:rPr>
          <w:rFonts w:cs="Arial"/>
        </w:rPr>
        <w:t xml:space="preserve">con la finalidad de evitar resoluciones contradictorias, en </w:t>
      </w:r>
      <w:r w:rsidRPr="00B841ED">
        <w:t xml:space="preserve">la </w:t>
      </w:r>
      <w:r w:rsidR="0085355F" w:rsidRPr="00B841ED">
        <w:rPr>
          <w:b/>
        </w:rPr>
        <w:t xml:space="preserve"> Cuadragésima Sesión Ordinaria</w:t>
      </w:r>
      <w:r w:rsidR="00487880" w:rsidRPr="00B841ED">
        <w:rPr>
          <w:b/>
        </w:rPr>
        <w:t xml:space="preserve"> </w:t>
      </w:r>
      <w:r w:rsidR="00487880" w:rsidRPr="00B841ED">
        <w:t xml:space="preserve">celebrada el </w:t>
      </w:r>
      <w:r w:rsidR="0085355F" w:rsidRPr="00B841ED">
        <w:rPr>
          <w:b/>
        </w:rPr>
        <w:t>veintiuno de noviembre de dos mil veinticuatro</w:t>
      </w:r>
      <w:r w:rsidRPr="00B841ED">
        <w:t xml:space="preserve">, el Pleno de este Instituto </w:t>
      </w:r>
      <w:r w:rsidRPr="00B841ED">
        <w:rPr>
          <w:rFonts w:cs="Arial"/>
        </w:rPr>
        <w:t xml:space="preserve">determinó </w:t>
      </w:r>
      <w:r w:rsidRPr="00B841ED">
        <w:t>acumular los Recursos de Revisión</w:t>
      </w:r>
      <w:bookmarkStart w:id="14" w:name="_Hlk109159636"/>
      <w:r w:rsidRPr="00B841ED">
        <w:rPr>
          <w:rFonts w:cs="Arial"/>
          <w:b/>
          <w:bCs/>
        </w:rPr>
        <w:t xml:space="preserve"> </w:t>
      </w:r>
      <w:bookmarkEnd w:id="14"/>
      <w:r w:rsidR="00596693" w:rsidRPr="00B841ED">
        <w:rPr>
          <w:rFonts w:eastAsia="Calibri"/>
          <w:b/>
          <w:lang w:eastAsia="en-US"/>
        </w:rPr>
        <w:t>07072/INFOEM/IP/RR/2024, 07073/INFOEM/IP/RR/2024, 07074/INFOEM/IP/RR/2024, 07075/INFOEM/IP/RR/2024 y 07076/INFOEM/IP/RR/2024</w:t>
      </w:r>
      <w:r w:rsidR="00D80A05" w:rsidRPr="00B841ED">
        <w:rPr>
          <w:rFonts w:eastAsia="Calibri"/>
          <w:b/>
          <w:lang w:eastAsia="en-US"/>
        </w:rPr>
        <w:t>.</w:t>
      </w:r>
    </w:p>
    <w:p w14:paraId="09B589C5" w14:textId="77777777" w:rsidR="00664420" w:rsidRPr="00B841ED" w:rsidRDefault="00664420" w:rsidP="00B841ED">
      <w:pPr>
        <w:rPr>
          <w:rFonts w:cs="Tahoma"/>
          <w:b/>
          <w:szCs w:val="22"/>
        </w:rPr>
      </w:pPr>
    </w:p>
    <w:p w14:paraId="66BA6FC7" w14:textId="04A8C230" w:rsidR="00865CF4" w:rsidRPr="00B841ED" w:rsidRDefault="006E25BC" w:rsidP="00B841ED">
      <w:pPr>
        <w:pStyle w:val="Ttulo3"/>
      </w:pPr>
      <w:bookmarkStart w:id="15" w:name="_Toc184810822"/>
      <w:r w:rsidRPr="00B841ED">
        <w:t>e</w:t>
      </w:r>
      <w:r w:rsidR="00664420" w:rsidRPr="00B841ED">
        <w:t xml:space="preserve">) </w:t>
      </w:r>
      <w:r w:rsidR="00865CF4" w:rsidRPr="00B841ED">
        <w:t>Informe Justificado del Sujeto Obligado</w:t>
      </w:r>
      <w:bookmarkEnd w:id="15"/>
    </w:p>
    <w:p w14:paraId="6E939452" w14:textId="0A3291DB" w:rsidR="00865CF4" w:rsidRPr="00B841ED" w:rsidRDefault="00487880" w:rsidP="00B841ED">
      <w:pPr>
        <w:rPr>
          <w:rFonts w:eastAsia="Arial Unicode MS" w:cs="Arial"/>
        </w:rPr>
      </w:pPr>
      <w:r w:rsidRPr="00B841ED">
        <w:rPr>
          <w:rFonts w:cs="Tahoma"/>
          <w:bCs/>
          <w:szCs w:val="24"/>
        </w:rPr>
        <w:t xml:space="preserve">El </w:t>
      </w:r>
      <w:r w:rsidR="0085355F" w:rsidRPr="00B841ED">
        <w:rPr>
          <w:rFonts w:cs="Tahoma"/>
          <w:b/>
          <w:szCs w:val="24"/>
        </w:rPr>
        <w:t>catorce de noviembre</w:t>
      </w:r>
      <w:r w:rsidRPr="00B841ED">
        <w:rPr>
          <w:rFonts w:cs="Tahoma"/>
          <w:b/>
          <w:szCs w:val="24"/>
        </w:rPr>
        <w:t xml:space="preserve"> de dos mil veinticuatro, EL SUJETO OBLIGADO</w:t>
      </w:r>
      <w:r w:rsidRPr="00B841ED">
        <w:rPr>
          <w:rFonts w:cs="Tahoma"/>
          <w:bCs/>
          <w:szCs w:val="24"/>
        </w:rPr>
        <w:t xml:space="preserve"> rindió su informe justificado a través del SAIMEX, </w:t>
      </w:r>
      <w:r w:rsidRPr="00B841ED">
        <w:rPr>
          <w:rFonts w:eastAsia="Calibri" w:cs="Tahoma"/>
          <w:szCs w:val="22"/>
          <w:lang w:eastAsia="en-US"/>
        </w:rPr>
        <w:t>en el cual</w:t>
      </w:r>
      <w:r w:rsidRPr="00B841ED">
        <w:rPr>
          <w:rFonts w:cs="Tahoma"/>
          <w:bCs/>
          <w:szCs w:val="24"/>
        </w:rPr>
        <w:t xml:space="preserve"> </w:t>
      </w:r>
      <w:r w:rsidRPr="00B841ED">
        <w:rPr>
          <w:rFonts w:eastAsia="Calibri" w:cs="Tahoma"/>
          <w:szCs w:val="22"/>
          <w:lang w:eastAsia="en-US"/>
        </w:rPr>
        <w:t>ratificó su respuesta inicial</w:t>
      </w:r>
      <w:r w:rsidR="00486201" w:rsidRPr="00B841ED">
        <w:rPr>
          <w:rFonts w:eastAsia="Arial Unicode MS" w:cs="Arial"/>
        </w:rPr>
        <w:t>.</w:t>
      </w:r>
    </w:p>
    <w:p w14:paraId="25BC91D4" w14:textId="77777777" w:rsidR="00487880" w:rsidRPr="00B841ED" w:rsidRDefault="00487880" w:rsidP="00B841ED">
      <w:pPr>
        <w:rPr>
          <w:rFonts w:eastAsia="Arial Unicode MS" w:cs="Arial"/>
        </w:rPr>
      </w:pPr>
    </w:p>
    <w:p w14:paraId="4E333D2B" w14:textId="1FEB13AF" w:rsidR="00487880" w:rsidRPr="00B841ED" w:rsidRDefault="00487880" w:rsidP="00B841ED">
      <w:pPr>
        <w:rPr>
          <w:rFonts w:eastAsia="Calibri" w:cs="Tahoma"/>
          <w:szCs w:val="22"/>
          <w:lang w:eastAsia="en-US"/>
        </w:rPr>
      </w:pPr>
      <w:r w:rsidRPr="00B841ED">
        <w:rPr>
          <w:rFonts w:cs="Tahoma"/>
          <w:bCs/>
          <w:szCs w:val="24"/>
        </w:rPr>
        <w:t xml:space="preserve">Esta información fue puesta a la vista de </w:t>
      </w:r>
      <w:r w:rsidRPr="00B841ED">
        <w:rPr>
          <w:rFonts w:cs="Tahoma"/>
          <w:b/>
          <w:szCs w:val="24"/>
        </w:rPr>
        <w:t xml:space="preserve">LA PARTE RECURRENTE </w:t>
      </w:r>
      <w:r w:rsidRPr="00B841ED">
        <w:rPr>
          <w:rFonts w:cs="Tahoma"/>
          <w:bCs/>
          <w:szCs w:val="24"/>
        </w:rPr>
        <w:t xml:space="preserve">el </w:t>
      </w:r>
      <w:r w:rsidR="00237F4E" w:rsidRPr="00B841ED">
        <w:rPr>
          <w:rFonts w:cs="Tahoma"/>
          <w:b/>
          <w:szCs w:val="24"/>
        </w:rPr>
        <w:t>tres de diciembre</w:t>
      </w:r>
      <w:r w:rsidRPr="00B841ED">
        <w:rPr>
          <w:rFonts w:cs="Tahoma"/>
          <w:b/>
          <w:szCs w:val="24"/>
        </w:rPr>
        <w:t xml:space="preserve"> de dos mil veinticuatro</w:t>
      </w:r>
      <w:r w:rsidRPr="00B841ED">
        <w:rPr>
          <w:rFonts w:cs="Tahoma"/>
          <w:bCs/>
          <w:szCs w:val="24"/>
        </w:rPr>
        <w:t xml:space="preserve"> para que, en un plazo de tres días hábiles, manifestara lo que a su derecho conviniera, de conformidad con lo establecido en el </w:t>
      </w:r>
      <w:r w:rsidRPr="00B841ED">
        <w:rPr>
          <w:rFonts w:cs="Arial"/>
        </w:rPr>
        <w:t>artículo 185, fracción III de la Ley de Transparencia y Acceso a la Información Pública del Estado de México y Municipios</w:t>
      </w:r>
      <w:r w:rsidRPr="00B841ED">
        <w:rPr>
          <w:rFonts w:cs="Tahoma"/>
          <w:bCs/>
          <w:szCs w:val="24"/>
        </w:rPr>
        <w:t>.</w:t>
      </w:r>
    </w:p>
    <w:p w14:paraId="3B386B4C" w14:textId="77777777" w:rsidR="003A40C1" w:rsidRPr="00B841ED" w:rsidRDefault="003A40C1" w:rsidP="00B841ED">
      <w:pPr>
        <w:ind w:right="539"/>
        <w:rPr>
          <w:rFonts w:cs="Tahoma"/>
          <w:bCs/>
          <w:szCs w:val="24"/>
        </w:rPr>
      </w:pPr>
    </w:p>
    <w:p w14:paraId="755B7730" w14:textId="19C7EE54" w:rsidR="00664420" w:rsidRPr="00B841ED" w:rsidRDefault="006E25BC" w:rsidP="00B841ED">
      <w:pPr>
        <w:pStyle w:val="Ttulo3"/>
        <w:rPr>
          <w:lang w:val="es-ES"/>
        </w:rPr>
      </w:pPr>
      <w:bookmarkStart w:id="16" w:name="_Toc184810823"/>
      <w:r w:rsidRPr="00B841ED">
        <w:rPr>
          <w:rFonts w:eastAsia="Calibri"/>
          <w:bCs/>
          <w:lang w:eastAsia="en-US"/>
        </w:rPr>
        <w:t>f</w:t>
      </w:r>
      <w:r w:rsidR="00664420" w:rsidRPr="00B841ED">
        <w:rPr>
          <w:rFonts w:eastAsia="Calibri"/>
          <w:bCs/>
          <w:lang w:eastAsia="en-US"/>
        </w:rPr>
        <w:t>)</w:t>
      </w:r>
      <w:r w:rsidR="00664420" w:rsidRPr="00B841ED">
        <w:t xml:space="preserve"> </w:t>
      </w:r>
      <w:r w:rsidR="00865CF4" w:rsidRPr="00B841ED">
        <w:rPr>
          <w:lang w:val="es-ES"/>
        </w:rPr>
        <w:t>Manifestaciones de la Parte Recurrente</w:t>
      </w:r>
      <w:bookmarkEnd w:id="16"/>
    </w:p>
    <w:p w14:paraId="4E8AF011" w14:textId="77777777" w:rsidR="00865CF4" w:rsidRPr="00B841ED" w:rsidRDefault="00865CF4" w:rsidP="00B841ED">
      <w:pPr>
        <w:rPr>
          <w:rFonts w:eastAsia="Arial Unicode MS" w:cs="Arial"/>
        </w:rPr>
      </w:pPr>
      <w:r w:rsidRPr="00B841ED">
        <w:rPr>
          <w:rFonts w:cs="Tahoma"/>
          <w:b/>
          <w:szCs w:val="24"/>
        </w:rPr>
        <w:t xml:space="preserve">LA PARTE RECURRENTE </w:t>
      </w:r>
      <w:r w:rsidRPr="00B841ED">
        <w:rPr>
          <w:rFonts w:eastAsia="Arial Unicode MS" w:cs="Arial"/>
        </w:rPr>
        <w:t>no realizó manifestación alguna dentro del término legalmente concedido para tal efecto, ni presentó pruebas o alegatos.</w:t>
      </w:r>
    </w:p>
    <w:p w14:paraId="24F87764" w14:textId="77777777" w:rsidR="00664420" w:rsidRPr="00B841ED" w:rsidRDefault="00664420" w:rsidP="00B841ED">
      <w:pPr>
        <w:rPr>
          <w:rFonts w:cs="Tahoma"/>
          <w:bCs/>
          <w:szCs w:val="24"/>
        </w:rPr>
      </w:pPr>
    </w:p>
    <w:p w14:paraId="0E651988" w14:textId="40392FBF" w:rsidR="00664420" w:rsidRPr="00B841ED" w:rsidRDefault="00486201" w:rsidP="00B841ED">
      <w:pPr>
        <w:pStyle w:val="Ttulo3"/>
      </w:pPr>
      <w:bookmarkStart w:id="17" w:name="_Toc184810824"/>
      <w:r w:rsidRPr="00B841ED">
        <w:t>g</w:t>
      </w:r>
      <w:r w:rsidR="00664420" w:rsidRPr="00B841ED">
        <w:t>) Cierre de instrucción</w:t>
      </w:r>
      <w:bookmarkEnd w:id="17"/>
    </w:p>
    <w:p w14:paraId="741683E3" w14:textId="2D9B0456" w:rsidR="0011350D" w:rsidRPr="00B841ED" w:rsidRDefault="00BF091A" w:rsidP="00B841ED">
      <w:pPr>
        <w:rPr>
          <w:rFonts w:cs="Tahoma"/>
          <w:szCs w:val="22"/>
        </w:rPr>
      </w:pPr>
      <w:r w:rsidRPr="00B841ED">
        <w:rPr>
          <w:rFonts w:cs="Tahoma"/>
          <w:szCs w:val="22"/>
        </w:rPr>
        <w:t>Al no existir diligencias pendientes por desahogar</w:t>
      </w:r>
      <w:r w:rsidRPr="00B841ED">
        <w:rPr>
          <w:rFonts w:cs="Arial"/>
        </w:rPr>
        <w:t xml:space="preserve">, el </w:t>
      </w:r>
      <w:r w:rsidR="00237F4E" w:rsidRPr="00B841ED">
        <w:rPr>
          <w:rFonts w:cs="Arial"/>
          <w:b/>
        </w:rPr>
        <w:t>diez de diciembre</w:t>
      </w:r>
      <w:r w:rsidR="00E53550" w:rsidRPr="00B841ED">
        <w:rPr>
          <w:rFonts w:cs="Arial"/>
          <w:b/>
        </w:rPr>
        <w:t xml:space="preserve"> de dos mil veinticuatro</w:t>
      </w:r>
      <w:r w:rsidRPr="00B841ED">
        <w:rPr>
          <w:rFonts w:cs="Arial"/>
        </w:rPr>
        <w:t xml:space="preserve"> la </w:t>
      </w:r>
      <w:r w:rsidRPr="00B841ED">
        <w:rPr>
          <w:rFonts w:cs="Arial"/>
          <w:b/>
          <w:bCs/>
        </w:rPr>
        <w:t xml:space="preserve">Comisionada </w:t>
      </w:r>
      <w:r w:rsidRPr="00B841ED">
        <w:rPr>
          <w:b/>
        </w:rPr>
        <w:t xml:space="preserve">Sharon Cristina Morales Martínez </w:t>
      </w:r>
      <w:r w:rsidRPr="00B841ED">
        <w:rPr>
          <w:rFonts w:cs="Arial"/>
        </w:rPr>
        <w:t xml:space="preserve">acordó el cierre de </w:t>
      </w:r>
      <w:r w:rsidRPr="00B841ED">
        <w:rPr>
          <w:rFonts w:cs="Arial"/>
        </w:rPr>
        <w:lastRenderedPageBreak/>
        <w:t>instrucción</w:t>
      </w:r>
      <w:r w:rsidR="0011350D" w:rsidRPr="00B841ED">
        <w:rPr>
          <w:rFonts w:cs="Arial"/>
        </w:rPr>
        <w:t xml:space="preserve"> y</w:t>
      </w:r>
      <w:r w:rsidRPr="00B841ED">
        <w:rPr>
          <w:rFonts w:cs="Arial"/>
        </w:rPr>
        <w:t xml:space="preserve"> </w:t>
      </w:r>
      <w:r w:rsidR="0011350D" w:rsidRPr="00B841ED">
        <w:rPr>
          <w:rFonts w:cs="Arial"/>
        </w:rPr>
        <w:t xml:space="preserve">la </w:t>
      </w:r>
      <w:r w:rsidRPr="00B841ED">
        <w:rPr>
          <w:rFonts w:cs="Arial"/>
        </w:rPr>
        <w:t>remisión del expediente a efecto de ser resuelto, de conformidad con lo establecido en el artículo 185 fracciones VI y VIII de la Ley de Transparencia y Acceso a la Información Pública del Estado de México y Municipios</w:t>
      </w:r>
      <w:r w:rsidRPr="00B841ED">
        <w:t>.</w:t>
      </w:r>
      <w:r w:rsidR="0011350D" w:rsidRPr="00B841ED">
        <w:t xml:space="preserve"> Dicho acuerdo </w:t>
      </w:r>
      <w:r w:rsidR="00664420" w:rsidRPr="00B841ED">
        <w:rPr>
          <w:rFonts w:cs="Tahoma"/>
          <w:szCs w:val="22"/>
        </w:rPr>
        <w:t xml:space="preserve">fue notificado a las partes el mismo día a través del </w:t>
      </w:r>
      <w:r w:rsidR="00664420" w:rsidRPr="00B841ED">
        <w:rPr>
          <w:rFonts w:cs="Tahoma"/>
          <w:szCs w:val="22"/>
          <w:lang w:val="es-ES"/>
        </w:rPr>
        <w:t>SAIMEX</w:t>
      </w:r>
      <w:r w:rsidR="00664420" w:rsidRPr="00B841ED">
        <w:rPr>
          <w:rFonts w:cs="Tahoma"/>
          <w:szCs w:val="22"/>
        </w:rPr>
        <w:t>.</w:t>
      </w:r>
    </w:p>
    <w:p w14:paraId="2F02313C" w14:textId="77777777" w:rsidR="00237F4E" w:rsidRPr="00B841ED" w:rsidRDefault="00237F4E" w:rsidP="00B841ED"/>
    <w:p w14:paraId="7A9629DE" w14:textId="77777777" w:rsidR="00664420" w:rsidRPr="00B841ED" w:rsidRDefault="00664420" w:rsidP="00B841ED">
      <w:pPr>
        <w:pStyle w:val="Ttulo1"/>
        <w:rPr>
          <w:rFonts w:eastAsiaTheme="minorHAnsi"/>
          <w:lang w:eastAsia="en-US"/>
        </w:rPr>
      </w:pPr>
      <w:bookmarkStart w:id="18" w:name="_Toc184810825"/>
      <w:r w:rsidRPr="00B841ED">
        <w:rPr>
          <w:rFonts w:eastAsiaTheme="minorHAnsi"/>
          <w:lang w:eastAsia="en-US"/>
        </w:rPr>
        <w:t>CONSIDERANDOS</w:t>
      </w:r>
      <w:bookmarkEnd w:id="18"/>
    </w:p>
    <w:p w14:paraId="6DD1243B" w14:textId="77777777" w:rsidR="00664420" w:rsidRPr="00B841ED" w:rsidRDefault="00664420" w:rsidP="00B841ED">
      <w:pPr>
        <w:contextualSpacing/>
        <w:jc w:val="center"/>
        <w:rPr>
          <w:rFonts w:eastAsiaTheme="minorHAnsi" w:cs="Tahoma"/>
          <w:b/>
          <w:szCs w:val="22"/>
          <w:lang w:eastAsia="en-US"/>
        </w:rPr>
      </w:pPr>
    </w:p>
    <w:p w14:paraId="0B67CB92" w14:textId="2E307D3B" w:rsidR="00664420" w:rsidRPr="00B841ED" w:rsidRDefault="00664420" w:rsidP="00B841ED">
      <w:pPr>
        <w:pStyle w:val="Ttulo2"/>
        <w:rPr>
          <w:rFonts w:eastAsia="Batang"/>
        </w:rPr>
      </w:pPr>
      <w:bookmarkStart w:id="19" w:name="_Toc184810826"/>
      <w:r w:rsidRPr="00B841ED">
        <w:rPr>
          <w:rFonts w:eastAsia="Batang"/>
        </w:rPr>
        <w:t xml:space="preserve">PRIMERO. </w:t>
      </w:r>
      <w:proofErr w:type="spellStart"/>
      <w:r w:rsidR="00BA55A8" w:rsidRPr="00B841ED">
        <w:rPr>
          <w:rFonts w:eastAsia="Batang"/>
        </w:rPr>
        <w:t>Procedibilidad</w:t>
      </w:r>
      <w:bookmarkEnd w:id="19"/>
      <w:proofErr w:type="spellEnd"/>
    </w:p>
    <w:p w14:paraId="39C52BC1" w14:textId="56FCC20D" w:rsidR="00BA55A8" w:rsidRPr="00B841ED" w:rsidRDefault="00BA55A8" w:rsidP="00B841ED">
      <w:pPr>
        <w:pStyle w:val="Ttulo3"/>
      </w:pPr>
      <w:bookmarkStart w:id="20" w:name="_Toc184810827"/>
      <w:r w:rsidRPr="00B841ED">
        <w:t>a) Competencia</w:t>
      </w:r>
      <w:r w:rsidR="00150C49" w:rsidRPr="00B841ED">
        <w:t xml:space="preserve"> del Instituto</w:t>
      </w:r>
      <w:bookmarkEnd w:id="20"/>
    </w:p>
    <w:p w14:paraId="56E64942" w14:textId="6572EDF7" w:rsidR="0011350D" w:rsidRPr="00B841ED" w:rsidRDefault="0011350D" w:rsidP="00B841ED">
      <w:pPr>
        <w:rPr>
          <w:rFonts w:cs="Arial"/>
        </w:rPr>
      </w:pPr>
      <w:r w:rsidRPr="00B841ED">
        <w:t xml:space="preserve">Este Instituto de Transparencia, Acceso a la Información Pública y Protección de Datos Personales del Estado de México y Municipios es competente para conocer y resolver </w:t>
      </w:r>
      <w:r w:rsidR="005F65B7" w:rsidRPr="00B841ED">
        <w:t xml:space="preserve">el </w:t>
      </w:r>
      <w:r w:rsidRPr="00B841E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841E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841ED" w:rsidRDefault="00DB1C09" w:rsidP="00B841ED">
      <w:pPr>
        <w:rPr>
          <w:rFonts w:cs="Arial"/>
        </w:rPr>
      </w:pPr>
    </w:p>
    <w:p w14:paraId="517A2DD6" w14:textId="4169BE4D" w:rsidR="00664420" w:rsidRPr="00B841ED" w:rsidRDefault="00BA55A8" w:rsidP="00B841ED">
      <w:pPr>
        <w:pStyle w:val="Ttulo3"/>
      </w:pPr>
      <w:bookmarkStart w:id="21" w:name="_Toc184810828"/>
      <w:r w:rsidRPr="00B841ED">
        <w:t>b)</w:t>
      </w:r>
      <w:r w:rsidR="00664420" w:rsidRPr="00B841ED">
        <w:t xml:space="preserve"> </w:t>
      </w:r>
      <w:r w:rsidR="00D91CB4" w:rsidRPr="00B841ED">
        <w:t>Legitimidad</w:t>
      </w:r>
      <w:r w:rsidRPr="00B841ED">
        <w:t xml:space="preserve"> de la parte recurrente</w:t>
      </w:r>
      <w:bookmarkEnd w:id="21"/>
    </w:p>
    <w:p w14:paraId="26FEA382" w14:textId="0B06695C" w:rsidR="00D91CB4" w:rsidRPr="00B841ED" w:rsidRDefault="00D91CB4" w:rsidP="00B841ED">
      <w:pPr>
        <w:rPr>
          <w:rFonts w:cs="Arial"/>
          <w:bCs/>
        </w:rPr>
      </w:pPr>
      <w:r w:rsidRPr="00B841ED">
        <w:rPr>
          <w:rFonts w:cs="Arial"/>
          <w:bCs/>
        </w:rPr>
        <w:t>El recurso de revisión fue interpuesto por parte legítima, ya que se presentó por la misma persona que formuló la solicitud de acceso a la Información Pública,</w:t>
      </w:r>
      <w:r w:rsidRPr="00B841ED">
        <w:rPr>
          <w:rFonts w:cs="Arial"/>
          <w:b/>
          <w:bCs/>
        </w:rPr>
        <w:t xml:space="preserve"> </w:t>
      </w:r>
      <w:r w:rsidRPr="00B841ED">
        <w:rPr>
          <w:rFonts w:cs="Arial"/>
        </w:rPr>
        <w:t>debido a que los datos de acceso</w:t>
      </w:r>
      <w:r w:rsidRPr="00B841ED">
        <w:rPr>
          <w:rFonts w:cs="Arial"/>
          <w:b/>
          <w:bCs/>
        </w:rPr>
        <w:t xml:space="preserve"> </w:t>
      </w:r>
      <w:r w:rsidRPr="00B841ED">
        <w:rPr>
          <w:rFonts w:cs="Arial"/>
        </w:rPr>
        <w:t>SAIMEX</w:t>
      </w:r>
      <w:r w:rsidRPr="00B841ED">
        <w:rPr>
          <w:rFonts w:eastAsia="Calibri" w:cs="Arial"/>
          <w:lang w:eastAsia="en-US"/>
        </w:rPr>
        <w:t xml:space="preserve"> son personales e irrepetibles.</w:t>
      </w:r>
    </w:p>
    <w:p w14:paraId="496490FC" w14:textId="1A5F3FDB" w:rsidR="00D91CB4" w:rsidRPr="00B841ED" w:rsidRDefault="00BA55A8" w:rsidP="00B841ED">
      <w:pPr>
        <w:pStyle w:val="Ttulo3"/>
        <w:rPr>
          <w:rFonts w:eastAsia="Calibri"/>
          <w:lang w:eastAsia="es-ES_tradnl"/>
        </w:rPr>
      </w:pPr>
      <w:bookmarkStart w:id="22" w:name="_Toc184810829"/>
      <w:r w:rsidRPr="00B841ED">
        <w:rPr>
          <w:rFonts w:eastAsia="Calibri"/>
          <w:lang w:eastAsia="es-ES_tradnl"/>
        </w:rPr>
        <w:lastRenderedPageBreak/>
        <w:t>c)</w:t>
      </w:r>
      <w:r w:rsidR="00664420" w:rsidRPr="00B841ED">
        <w:rPr>
          <w:rFonts w:eastAsia="Calibri"/>
          <w:lang w:eastAsia="es-ES_tradnl"/>
        </w:rPr>
        <w:t xml:space="preserve"> </w:t>
      </w:r>
      <w:r w:rsidR="00D91CB4" w:rsidRPr="00B841ED">
        <w:rPr>
          <w:rFonts w:eastAsia="Calibri"/>
          <w:lang w:eastAsia="es-ES_tradnl"/>
        </w:rPr>
        <w:t>Plazo para interponer el recurso</w:t>
      </w:r>
      <w:bookmarkEnd w:id="22"/>
    </w:p>
    <w:p w14:paraId="106D37EE" w14:textId="6F13B401" w:rsidR="00D91CB4" w:rsidRPr="00B841ED" w:rsidRDefault="00D91CB4" w:rsidP="00B841ED">
      <w:pPr>
        <w:rPr>
          <w:rFonts w:eastAsiaTheme="minorEastAsia" w:cs="Arial"/>
          <w:lang w:val="es-ES_tradnl"/>
        </w:rPr>
      </w:pPr>
      <w:r w:rsidRPr="00B841ED">
        <w:rPr>
          <w:rFonts w:cs="Arial"/>
          <w:b/>
        </w:rPr>
        <w:t>EL SUJETO OBLIGADO</w:t>
      </w:r>
      <w:r w:rsidRPr="00B841ED">
        <w:rPr>
          <w:rFonts w:cs="Arial"/>
        </w:rPr>
        <w:t xml:space="preserve"> notificó la</w:t>
      </w:r>
      <w:r w:rsidR="001974BD" w:rsidRPr="00B841ED">
        <w:rPr>
          <w:rFonts w:cs="Arial"/>
        </w:rPr>
        <w:t>s</w:t>
      </w:r>
      <w:r w:rsidRPr="00B841ED">
        <w:rPr>
          <w:rFonts w:cs="Arial"/>
        </w:rPr>
        <w:t xml:space="preserve"> respuesta</w:t>
      </w:r>
      <w:r w:rsidR="001974BD" w:rsidRPr="00B841ED">
        <w:rPr>
          <w:rFonts w:cs="Arial"/>
        </w:rPr>
        <w:t>s</w:t>
      </w:r>
      <w:r w:rsidRPr="00B841ED">
        <w:rPr>
          <w:rFonts w:cs="Arial"/>
        </w:rPr>
        <w:t xml:space="preserve"> a la</w:t>
      </w:r>
      <w:r w:rsidR="001974BD" w:rsidRPr="00B841ED">
        <w:rPr>
          <w:rFonts w:cs="Arial"/>
        </w:rPr>
        <w:t>s</w:t>
      </w:r>
      <w:r w:rsidRPr="00B841ED">
        <w:rPr>
          <w:rFonts w:cs="Arial"/>
        </w:rPr>
        <w:t xml:space="preserve"> solicitud</w:t>
      </w:r>
      <w:r w:rsidR="001974BD" w:rsidRPr="00B841ED">
        <w:rPr>
          <w:rFonts w:cs="Arial"/>
        </w:rPr>
        <w:t>es</w:t>
      </w:r>
      <w:r w:rsidRPr="00B841ED">
        <w:rPr>
          <w:rFonts w:cs="Arial"/>
        </w:rPr>
        <w:t xml:space="preserve"> de acceso a la Información Pública el </w:t>
      </w:r>
      <w:r w:rsidR="00237F4E" w:rsidRPr="00B841ED">
        <w:rPr>
          <w:rFonts w:eastAsia="Palatino Linotype" w:cs="Palatino Linotype"/>
          <w:b/>
        </w:rPr>
        <w:t>cuatro de noviembre</w:t>
      </w:r>
      <w:r w:rsidR="00060347" w:rsidRPr="00B841ED">
        <w:rPr>
          <w:rFonts w:eastAsia="Palatino Linotype" w:cs="Palatino Linotype"/>
          <w:b/>
        </w:rPr>
        <w:t xml:space="preserve"> de dos mil veinticuatro</w:t>
      </w:r>
      <w:r w:rsidRPr="00B841ED">
        <w:rPr>
          <w:rFonts w:cs="Arial"/>
        </w:rPr>
        <w:t xml:space="preserve"> </w:t>
      </w:r>
      <w:r w:rsidR="00A53315" w:rsidRPr="00B841ED">
        <w:rPr>
          <w:rFonts w:cs="Arial"/>
        </w:rPr>
        <w:t xml:space="preserve">y el recurso </w:t>
      </w:r>
      <w:r w:rsidR="00A53315" w:rsidRPr="00B841ED">
        <w:rPr>
          <w:rFonts w:eastAsia="Palatino Linotype" w:cs="Palatino Linotype"/>
        </w:rPr>
        <w:t xml:space="preserve">que nos ocupa se interpuso el </w:t>
      </w:r>
      <w:r w:rsidR="00237F4E" w:rsidRPr="00B841ED">
        <w:rPr>
          <w:rFonts w:eastAsia="Palatino Linotype" w:cs="Palatino Linotype"/>
          <w:b/>
        </w:rPr>
        <w:t>cinco de noviembre</w:t>
      </w:r>
      <w:r w:rsidR="00060347" w:rsidRPr="00B841ED">
        <w:rPr>
          <w:rFonts w:eastAsia="Palatino Linotype" w:cs="Palatino Linotype"/>
          <w:b/>
        </w:rPr>
        <w:t xml:space="preserve"> de dos mil veinticuatro</w:t>
      </w:r>
      <w:r w:rsidR="00A53315" w:rsidRPr="00B841ED">
        <w:rPr>
          <w:rFonts w:eastAsia="Palatino Linotype" w:cs="Palatino Linotype"/>
          <w:bCs/>
        </w:rPr>
        <w:t>;</w:t>
      </w:r>
      <w:r w:rsidR="00A53315" w:rsidRPr="00B841ED">
        <w:rPr>
          <w:rFonts w:eastAsia="Palatino Linotype" w:cs="Palatino Linotype"/>
        </w:rPr>
        <w:t xml:space="preserve"> por lo tanto, éste se encuentra dentro del margen temporal previsto en el artículo 178 de la </w:t>
      </w:r>
      <w:r w:rsidR="00A53315" w:rsidRPr="00B841ED">
        <w:rPr>
          <w:rFonts w:cs="Arial"/>
        </w:rPr>
        <w:t xml:space="preserve">Ley de Transparencia y Acceso a la Información Pública del Estado de México y Municipios </w:t>
      </w:r>
      <w:bookmarkStart w:id="23" w:name="_Hlk62134391"/>
      <w:r w:rsidR="00060347" w:rsidRPr="00B841ED">
        <w:rPr>
          <w:rFonts w:eastAsiaTheme="minorEastAsia" w:cs="Arial"/>
          <w:lang w:val="es-ES_tradnl"/>
        </w:rPr>
        <w:t xml:space="preserve">y </w:t>
      </w:r>
      <w:r w:rsidRPr="00B841ED">
        <w:rPr>
          <w:rFonts w:eastAsiaTheme="minorEastAsia" w:cs="Arial"/>
          <w:lang w:val="es-ES_tradnl"/>
        </w:rPr>
        <w:t xml:space="preserve">en términos del </w:t>
      </w:r>
      <w:bookmarkEnd w:id="23"/>
      <w:r w:rsidRPr="00B841ED">
        <w:rPr>
          <w:rFonts w:eastAsiaTheme="minorEastAsia" w:cs="Arial"/>
          <w:lang w:val="es-ES_tradnl"/>
        </w:rPr>
        <w:t>Calendario oficia</w:t>
      </w:r>
      <w:r w:rsidR="00CB7E9A" w:rsidRPr="00B841ED">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B841ED" w:rsidRDefault="00D91CB4" w:rsidP="00B841ED">
      <w:pPr>
        <w:rPr>
          <w:rFonts w:eastAsia="Palatino Linotype" w:cs="Palatino Linotype"/>
        </w:rPr>
      </w:pPr>
    </w:p>
    <w:p w14:paraId="46C0EB3A" w14:textId="4631B2B9" w:rsidR="00A53315" w:rsidRPr="00B841ED" w:rsidRDefault="00BA55A8" w:rsidP="00B841ED">
      <w:pPr>
        <w:pStyle w:val="Ttulo3"/>
        <w:rPr>
          <w:rFonts w:eastAsia="Calibri"/>
          <w:lang w:eastAsia="es-ES_tradnl"/>
        </w:rPr>
      </w:pPr>
      <w:bookmarkStart w:id="24" w:name="_Toc184810830"/>
      <w:r w:rsidRPr="00B841ED">
        <w:rPr>
          <w:rFonts w:eastAsia="Calibri"/>
          <w:lang w:eastAsia="es-ES_tradnl"/>
        </w:rPr>
        <w:t>d)</w:t>
      </w:r>
      <w:r w:rsidR="00486201" w:rsidRPr="00B841ED">
        <w:rPr>
          <w:rFonts w:eastAsia="Calibri"/>
          <w:lang w:eastAsia="es-ES_tradnl"/>
        </w:rPr>
        <w:t xml:space="preserve"> Causal de procedencia</w:t>
      </w:r>
      <w:bookmarkEnd w:id="24"/>
    </w:p>
    <w:p w14:paraId="190404A6" w14:textId="106FFA74" w:rsidR="00BA55A8" w:rsidRPr="00B841ED" w:rsidRDefault="00BA55A8" w:rsidP="00B841ED">
      <w:r w:rsidRPr="00B841ED">
        <w:rPr>
          <w:rFonts w:cs="Arial"/>
        </w:rPr>
        <w:t xml:space="preserve">Resulta procedente la interposición del recurso de revisión, ya que </w:t>
      </w:r>
      <w:r w:rsidRPr="00B841ED">
        <w:rPr>
          <w:rFonts w:eastAsia="Calibri" w:cs="Tahoma"/>
          <w:szCs w:val="22"/>
          <w:lang w:eastAsia="es-MX"/>
        </w:rPr>
        <w:t xml:space="preserve">se actualiza la causal de procedencia señalada en el artículo 179, fracción </w:t>
      </w:r>
      <w:r w:rsidR="00237F4E" w:rsidRPr="00B841ED">
        <w:rPr>
          <w:rFonts w:eastAsia="Calibri" w:cs="Tahoma"/>
          <w:szCs w:val="22"/>
          <w:lang w:eastAsia="es-MX"/>
        </w:rPr>
        <w:t>V</w:t>
      </w:r>
      <w:r w:rsidRPr="00B841ED">
        <w:rPr>
          <w:rFonts w:cs="Arial"/>
        </w:rPr>
        <w:t xml:space="preserve"> de la </w:t>
      </w:r>
      <w:r w:rsidRPr="00B841ED">
        <w:t>Ley de Transparencia y Acceso a la Información Pública del Estado de México y Municipios.</w:t>
      </w:r>
    </w:p>
    <w:p w14:paraId="431B6CB1" w14:textId="77777777" w:rsidR="002A5A95" w:rsidRPr="00B841ED" w:rsidRDefault="002A5A95" w:rsidP="00B841ED"/>
    <w:p w14:paraId="5498FA9A" w14:textId="77777777" w:rsidR="002A5A95" w:rsidRPr="00B841ED" w:rsidRDefault="002A5A95" w:rsidP="00B841ED">
      <w:pPr>
        <w:ind w:left="851" w:right="822"/>
        <w:rPr>
          <w:rFonts w:eastAsia="Palatino Linotype" w:cs="Palatino Linotype"/>
          <w:i/>
        </w:rPr>
      </w:pPr>
      <w:r w:rsidRPr="00B841ED">
        <w:rPr>
          <w:rFonts w:eastAsia="Palatino Linotype" w:cs="Palatino Linotype"/>
          <w:i/>
        </w:rPr>
        <w:t>“</w:t>
      </w:r>
      <w:r w:rsidRPr="00B841ED">
        <w:rPr>
          <w:rFonts w:eastAsia="Palatino Linotype" w:cs="Palatino Linotype"/>
          <w:b/>
          <w:i/>
        </w:rPr>
        <w:t>Artículo 179.</w:t>
      </w:r>
      <w:r w:rsidRPr="00B841ED">
        <w:rPr>
          <w:rFonts w:eastAsia="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BD2C841" w14:textId="438FDB8B" w:rsidR="002A5A95" w:rsidRPr="00B841ED" w:rsidRDefault="002A5A95" w:rsidP="00B841ED">
      <w:pPr>
        <w:ind w:left="851" w:right="822"/>
        <w:rPr>
          <w:rFonts w:eastAsia="Palatino Linotype" w:cs="Palatino Linotype"/>
          <w:i/>
        </w:rPr>
      </w:pPr>
      <w:r w:rsidRPr="00B841ED">
        <w:rPr>
          <w:rFonts w:eastAsia="Palatino Linotype" w:cs="Palatino Linotype"/>
          <w:i/>
        </w:rPr>
        <w:t>(…)</w:t>
      </w:r>
    </w:p>
    <w:p w14:paraId="30592514" w14:textId="79B2D56D" w:rsidR="002A5A95" w:rsidRPr="00B841ED" w:rsidRDefault="00237F4E" w:rsidP="00B841ED">
      <w:pPr>
        <w:pBdr>
          <w:top w:val="nil"/>
          <w:left w:val="nil"/>
          <w:bottom w:val="nil"/>
          <w:right w:val="nil"/>
          <w:between w:val="nil"/>
        </w:pBdr>
        <w:ind w:left="851" w:right="822"/>
        <w:rPr>
          <w:rFonts w:eastAsia="Palatino Linotype" w:cs="Palatino Linotype"/>
          <w:b/>
          <w:i/>
        </w:rPr>
      </w:pPr>
      <w:r w:rsidRPr="00B841ED">
        <w:rPr>
          <w:rFonts w:eastAsia="Palatino Linotype" w:cs="Palatino Linotype"/>
          <w:b/>
          <w:i/>
        </w:rPr>
        <w:t>V. La entrega de información incompleta;</w:t>
      </w:r>
    </w:p>
    <w:p w14:paraId="0E25A0DD" w14:textId="28E8D1B0" w:rsidR="002A5A95" w:rsidRPr="00B841ED" w:rsidRDefault="002A5A95" w:rsidP="00B841ED">
      <w:pPr>
        <w:ind w:left="851" w:right="822"/>
      </w:pPr>
      <w:r w:rsidRPr="00B841ED">
        <w:rPr>
          <w:rFonts w:eastAsia="Palatino Linotype" w:cs="Palatino Linotype"/>
          <w:i/>
        </w:rPr>
        <w:t xml:space="preserve"> (…)”</w:t>
      </w:r>
    </w:p>
    <w:p w14:paraId="0EFF7141" w14:textId="77777777" w:rsidR="00362A11" w:rsidRPr="00B841ED" w:rsidRDefault="00362A11" w:rsidP="00B841ED"/>
    <w:p w14:paraId="2284D7EB" w14:textId="3EE1D036" w:rsidR="00BA55A8" w:rsidRPr="00B841ED" w:rsidRDefault="00362A11" w:rsidP="00B841ED">
      <w:pPr>
        <w:pStyle w:val="Ttulo3"/>
      </w:pPr>
      <w:bookmarkStart w:id="25" w:name="_Toc184810831"/>
      <w:r w:rsidRPr="00B841ED">
        <w:lastRenderedPageBreak/>
        <w:t>e) Requisitos formales para la interposición del recurso</w:t>
      </w:r>
      <w:bookmarkEnd w:id="25"/>
    </w:p>
    <w:p w14:paraId="6390674A" w14:textId="78A894DD" w:rsidR="00BA55A8" w:rsidRPr="00B841ED" w:rsidRDefault="00BA55A8" w:rsidP="00B841ED">
      <w:pPr>
        <w:rPr>
          <w:rFonts w:cs="Arial"/>
        </w:rPr>
      </w:pPr>
      <w:r w:rsidRPr="00B841ED">
        <w:rPr>
          <w:rFonts w:cs="Arial"/>
          <w:b/>
          <w:bCs/>
        </w:rPr>
        <w:t xml:space="preserve">LA PARTE RECURRENTE </w:t>
      </w:r>
      <w:r w:rsidRPr="00B841ED">
        <w:rPr>
          <w:rFonts w:cs="Arial"/>
        </w:rPr>
        <w:t>acreditó todos y cada uno de los elementos formales exigidos por el artículo 180 de la misma normatividad.</w:t>
      </w:r>
    </w:p>
    <w:p w14:paraId="61D887C7" w14:textId="77777777" w:rsidR="00486201" w:rsidRPr="00B841ED" w:rsidRDefault="00486201" w:rsidP="00B841ED">
      <w:pPr>
        <w:rPr>
          <w:rFonts w:cs="Arial"/>
        </w:rPr>
      </w:pPr>
    </w:p>
    <w:p w14:paraId="7281A438" w14:textId="77777777" w:rsidR="00486201" w:rsidRPr="00B841ED" w:rsidRDefault="00486201" w:rsidP="00B841ED">
      <w:pPr>
        <w:rPr>
          <w:rFonts w:cs="Arial"/>
          <w:sz w:val="24"/>
          <w:szCs w:val="24"/>
          <w:lang w:val="es-ES"/>
        </w:rPr>
      </w:pPr>
      <w:r w:rsidRPr="00B841ED">
        <w:rPr>
          <w:szCs w:val="24"/>
          <w:lang w:val="es-ES"/>
        </w:rPr>
        <w:t xml:space="preserve">Es importante mencionar que, de la revisión del expediente electrónico del </w:t>
      </w:r>
      <w:r w:rsidRPr="00B841ED">
        <w:rPr>
          <w:bCs/>
          <w:szCs w:val="24"/>
          <w:lang w:val="es-ES"/>
        </w:rPr>
        <w:t>SAIMEX,</w:t>
      </w:r>
      <w:r w:rsidRPr="00B841ED">
        <w:rPr>
          <w:szCs w:val="24"/>
          <w:lang w:val="es-ES"/>
        </w:rPr>
        <w:t xml:space="preserve"> se observa que </w:t>
      </w:r>
      <w:r w:rsidRPr="00B841ED">
        <w:rPr>
          <w:b/>
          <w:bCs/>
          <w:szCs w:val="24"/>
          <w:lang w:val="es-ES"/>
        </w:rPr>
        <w:t>LA PARTE RECURRENTE</w:t>
      </w:r>
      <w:r w:rsidRPr="00B841ED">
        <w:rPr>
          <w:szCs w:val="24"/>
          <w:lang w:val="es-ES"/>
        </w:rPr>
        <w:t xml:space="preserve"> no proporcionó su nombre para ser identificado, lo que en estricto sentido provoca que </w:t>
      </w:r>
      <w:r w:rsidRPr="00B841ED">
        <w:rPr>
          <w:rFonts w:cs="Arial"/>
          <w:szCs w:val="24"/>
          <w:lang w:val="es-ES"/>
        </w:rPr>
        <w:t>no</w:t>
      </w:r>
      <w:r w:rsidRPr="00B841ED">
        <w:rPr>
          <w:szCs w:val="24"/>
          <w:lang w:val="es-ES"/>
        </w:rPr>
        <w:t xml:space="preserve"> se colmen los requisitos establecidos en el artículo 180 de la Ley de Transparencia; sin embargo, el artículo 15 de </w:t>
      </w:r>
      <w:r w:rsidRPr="00B841ED">
        <w:rPr>
          <w:rFonts w:cs="Arial"/>
          <w:szCs w:val="24"/>
          <w:lang w:val="es-ES" w:eastAsia="es-MX"/>
        </w:rPr>
        <w:t xml:space="preserve">Ley de Transparencia y Acceso a la </w:t>
      </w:r>
      <w:r w:rsidRPr="00B841ED">
        <w:rPr>
          <w:rFonts w:cs="Arial"/>
          <w:szCs w:val="24"/>
          <w:lang w:val="es-ES"/>
        </w:rPr>
        <w:t>Información</w:t>
      </w:r>
      <w:r w:rsidRPr="00B841ED">
        <w:rPr>
          <w:rFonts w:cs="Arial"/>
          <w:szCs w:val="24"/>
          <w:lang w:val="es-ES" w:eastAsia="es-MX"/>
        </w:rPr>
        <w:t xml:space="preserve"> Pública del Estado de México y Municipios </w:t>
      </w:r>
      <w:r w:rsidRPr="00B841ED">
        <w:rPr>
          <w:rFonts w:cs="Arial"/>
          <w:iCs/>
          <w:szCs w:val="24"/>
          <w:lang w:val="es-ES"/>
        </w:rPr>
        <w:t xml:space="preserve">prevé que </w:t>
      </w:r>
      <w:r w:rsidRPr="00B841ED">
        <w:rPr>
          <w:szCs w:val="24"/>
          <w:lang w:val="es-ES"/>
        </w:rPr>
        <w:t xml:space="preserve">toda persona tendrá acceso a la información </w:t>
      </w:r>
      <w:r w:rsidRPr="00B841ED">
        <w:rPr>
          <w:rFonts w:cs="Arial"/>
          <w:szCs w:val="24"/>
          <w:lang w:val="es-ES"/>
        </w:rPr>
        <w:t xml:space="preserve">sin necesidad de acreditar interés alguno o justificar su utilización, de lo que se infiere que </w:t>
      </w:r>
      <w:r w:rsidRPr="00B841ED">
        <w:rPr>
          <w:rFonts w:cs="Arial"/>
          <w:b/>
          <w:szCs w:val="24"/>
          <w:u w:val="single"/>
          <w:lang w:val="es-ES"/>
        </w:rPr>
        <w:t xml:space="preserve">el nombre no es un requisito </w:t>
      </w:r>
      <w:r w:rsidRPr="00B841ED">
        <w:rPr>
          <w:rFonts w:cs="Arial"/>
          <w:b/>
          <w:iCs/>
          <w:szCs w:val="24"/>
          <w:u w:val="single"/>
          <w:lang w:val="es-ES"/>
        </w:rPr>
        <w:t>indispensable</w:t>
      </w:r>
      <w:r w:rsidRPr="00B841ED">
        <w:rPr>
          <w:rFonts w:cs="Arial"/>
          <w:szCs w:val="24"/>
          <w:lang w:val="es-ES"/>
        </w:rPr>
        <w:t xml:space="preserve"> para que las y los ciudadanos ejerzan el derecho de acceso a la información pública. </w:t>
      </w:r>
    </w:p>
    <w:p w14:paraId="7285FF10" w14:textId="77777777" w:rsidR="00486201" w:rsidRPr="00B841ED" w:rsidRDefault="00486201" w:rsidP="00B841ED">
      <w:pPr>
        <w:rPr>
          <w:rFonts w:cs="Arial"/>
          <w:sz w:val="24"/>
          <w:szCs w:val="24"/>
          <w:lang w:val="es-ES"/>
        </w:rPr>
      </w:pPr>
    </w:p>
    <w:p w14:paraId="1996F96F" w14:textId="77777777" w:rsidR="00486201" w:rsidRPr="00B841ED" w:rsidRDefault="00486201" w:rsidP="00B841ED">
      <w:pPr>
        <w:rPr>
          <w:sz w:val="24"/>
          <w:szCs w:val="24"/>
          <w:lang w:val="es-ES"/>
        </w:rPr>
      </w:pPr>
      <w:r w:rsidRPr="00B841ED">
        <w:rPr>
          <w:rFonts w:cs="Arial"/>
          <w:szCs w:val="24"/>
          <w:lang w:val="es-ES"/>
        </w:rPr>
        <w:t>Asimismo, la Ley de la materia prevé en su artículo 155, párrafo segundo la posibilidad de que las solicitudes de información sean anónimas, al utilizar un nombre incompleto o, inclusive un seudónimo.</w:t>
      </w:r>
      <w:r w:rsidRPr="00B841ED">
        <w:rPr>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841ED">
        <w:rPr>
          <w:b/>
          <w:bCs/>
          <w:szCs w:val="24"/>
          <w:lang w:val="es-ES"/>
        </w:rPr>
        <w:t>LA PARTE RECURRENTE</w:t>
      </w:r>
      <w:r w:rsidRPr="00B841ED">
        <w:rPr>
          <w:rFonts w:cs="Arial"/>
          <w:b/>
          <w:szCs w:val="24"/>
          <w:lang w:val="es-ES"/>
        </w:rPr>
        <w:t>;</w:t>
      </w:r>
      <w:r w:rsidRPr="00B841ED">
        <w:rPr>
          <w:szCs w:val="24"/>
          <w:lang w:val="es-ES"/>
        </w:rPr>
        <w:t xml:space="preserve"> por lo que, en el presente caso, al haber sido presentado el recurso de revisión vía </w:t>
      </w:r>
      <w:r w:rsidRPr="00B841ED">
        <w:rPr>
          <w:bCs/>
          <w:szCs w:val="24"/>
          <w:lang w:val="es-ES"/>
        </w:rPr>
        <w:t>SAIMEX</w:t>
      </w:r>
      <w:r w:rsidRPr="00B841ED">
        <w:rPr>
          <w:szCs w:val="24"/>
          <w:lang w:val="es-ES"/>
        </w:rPr>
        <w:t>, dicho requisito resulta innecesario.</w:t>
      </w:r>
    </w:p>
    <w:p w14:paraId="7744E955" w14:textId="77777777" w:rsidR="00575400" w:rsidRPr="00B841ED" w:rsidRDefault="00575400" w:rsidP="00B841ED">
      <w:pPr>
        <w:rPr>
          <w:rFonts w:cs="Arial"/>
        </w:rPr>
      </w:pPr>
    </w:p>
    <w:p w14:paraId="1E55F6E2" w14:textId="685B7BAE" w:rsidR="00575400" w:rsidRPr="00B841ED" w:rsidRDefault="00575400" w:rsidP="00B841ED">
      <w:pPr>
        <w:pStyle w:val="Ttulo3"/>
      </w:pPr>
      <w:bookmarkStart w:id="26" w:name="_Toc184810832"/>
      <w:r w:rsidRPr="00B841ED">
        <w:t>f) Acumulación de los Recursos de Revisión</w:t>
      </w:r>
      <w:bookmarkEnd w:id="26"/>
    </w:p>
    <w:p w14:paraId="48C8D8CC" w14:textId="59FDAD48" w:rsidR="00575400" w:rsidRPr="00B841ED" w:rsidRDefault="00575400" w:rsidP="00B841ED">
      <w:pPr>
        <w:rPr>
          <w:rFonts w:cs="Arial"/>
          <w:b/>
          <w:bCs/>
        </w:rPr>
      </w:pPr>
      <w:r w:rsidRPr="00B841ED">
        <w:rPr>
          <w:rFonts w:eastAsiaTheme="minorEastAsia"/>
          <w:lang w:val="es-ES_tradnl"/>
        </w:rPr>
        <w:t>De las constancias que obran en los expedientes acumulados, se advierte que los recursos de revisión</w:t>
      </w:r>
      <w:r w:rsidR="009D3B74" w:rsidRPr="00B841ED">
        <w:rPr>
          <w:rFonts w:eastAsiaTheme="minorEastAsia" w:cstheme="minorBidi"/>
          <w:lang w:val="es-ES_tradnl"/>
        </w:rPr>
        <w:t xml:space="preserve"> </w:t>
      </w:r>
      <w:r w:rsidR="00237F4E" w:rsidRPr="00B841ED">
        <w:rPr>
          <w:rFonts w:eastAsia="Calibri"/>
          <w:b/>
          <w:lang w:eastAsia="en-US"/>
        </w:rPr>
        <w:t xml:space="preserve">07072/INFOEM/IP/RR/2024, 07073/INFOEM/IP/RR/2024, </w:t>
      </w:r>
      <w:r w:rsidR="00237F4E" w:rsidRPr="00B841ED">
        <w:rPr>
          <w:rFonts w:eastAsia="Calibri"/>
          <w:b/>
          <w:lang w:eastAsia="en-US"/>
        </w:rPr>
        <w:lastRenderedPageBreak/>
        <w:t>07074/INFOEM/IP/RR/2024, 07075/INFOEM/IP/RR/2024 y 07076/INFOEM/IP/RR/2024</w:t>
      </w:r>
      <w:r w:rsidRPr="00B841ED">
        <w:rPr>
          <w:rFonts w:eastAsiaTheme="minorEastAsia"/>
          <w:b/>
          <w:bCs/>
          <w:lang w:val="es-ES_tradnl"/>
        </w:rPr>
        <w:t xml:space="preserve"> </w:t>
      </w:r>
      <w:r w:rsidRPr="00B841ED">
        <w:rPr>
          <w:rFonts w:eastAsiaTheme="minorEastAsia"/>
          <w:lang w:val="es-ES_tradnl"/>
        </w:rPr>
        <w:t xml:space="preserve">fueron presentados por </w:t>
      </w:r>
      <w:r w:rsidR="00CD0B92" w:rsidRPr="00B841ED">
        <w:rPr>
          <w:rFonts w:eastAsiaTheme="minorEastAsia"/>
          <w:lang w:val="es-ES_tradnl"/>
        </w:rPr>
        <w:t>la</w:t>
      </w:r>
      <w:r w:rsidRPr="00B841ED">
        <w:rPr>
          <w:rFonts w:eastAsiaTheme="minorEastAsia"/>
          <w:lang w:val="es-ES_tradnl"/>
        </w:rPr>
        <w:t xml:space="preserve"> mism</w:t>
      </w:r>
      <w:r w:rsidR="00CD0B92" w:rsidRPr="00B841ED">
        <w:rPr>
          <w:rFonts w:eastAsiaTheme="minorEastAsia"/>
          <w:lang w:val="es-ES_tradnl"/>
        </w:rPr>
        <w:t>a</w:t>
      </w:r>
      <w:r w:rsidRPr="00B841ED">
        <w:rPr>
          <w:rFonts w:eastAsiaTheme="minorEastAsia"/>
          <w:lang w:val="es-ES_tradnl"/>
        </w:rPr>
        <w:t xml:space="preserve"> </w:t>
      </w:r>
      <w:r w:rsidR="00CD0B92" w:rsidRPr="00B841ED">
        <w:rPr>
          <w:rFonts w:eastAsiaTheme="minorEastAsia"/>
          <w:b/>
          <w:lang w:val="es-ES_tradnl"/>
        </w:rPr>
        <w:t>PARTE RECURRENTE</w:t>
      </w:r>
      <w:r w:rsidRPr="00B841ED">
        <w:rPr>
          <w:rFonts w:eastAsiaTheme="minorEastAsia"/>
          <w:lang w:val="es-ES_tradnl"/>
        </w:rPr>
        <w:t xml:space="preserve"> respecto de actos u omisiones</w:t>
      </w:r>
      <w:r w:rsidR="00CD0B92" w:rsidRPr="00B841ED">
        <w:rPr>
          <w:rFonts w:eastAsiaTheme="minorEastAsia"/>
          <w:lang w:val="es-ES_tradnl"/>
        </w:rPr>
        <w:t xml:space="preserve"> similares, realizados por el</w:t>
      </w:r>
      <w:r w:rsidRPr="00B841ED">
        <w:rPr>
          <w:rFonts w:eastAsiaTheme="minorEastAsia"/>
          <w:lang w:val="es-ES_tradnl"/>
        </w:rPr>
        <w:t xml:space="preserve"> mismo </w:t>
      </w:r>
      <w:r w:rsidRPr="00B841ED">
        <w:rPr>
          <w:rFonts w:eastAsiaTheme="minorEastAsia"/>
          <w:b/>
          <w:lang w:val="es-ES_tradnl"/>
        </w:rPr>
        <w:t>SUJETO OBLIGADO</w:t>
      </w:r>
      <w:r w:rsidRPr="00B841ED">
        <w:rPr>
          <w:rFonts w:eastAsiaTheme="minorEastAsia"/>
          <w:lang w:val="es-ES_tradnl"/>
        </w:rPr>
        <w:t>, razón por la cual</w:t>
      </w:r>
      <w:r w:rsidR="00CD0B92" w:rsidRPr="00B841ED">
        <w:rPr>
          <w:rFonts w:eastAsiaTheme="minorEastAsia"/>
          <w:lang w:val="es-ES_tradnl"/>
        </w:rPr>
        <w:t xml:space="preserve">, con la finalidad de evitar la emisión de resoluciones contradictorias, </w:t>
      </w:r>
      <w:r w:rsidRPr="00B841ED">
        <w:rPr>
          <w:rFonts w:eastAsiaTheme="minorEastAsia"/>
          <w:lang w:val="es-ES_tradnl"/>
        </w:rPr>
        <w:t xml:space="preserve">este Órgano Garante realizó la acumulación respectiva, de conformidad con lo dispuesto en el artículo 18 del </w:t>
      </w:r>
      <w:r w:rsidRPr="00B841ED">
        <w:rPr>
          <w:rFonts w:eastAsiaTheme="minorEastAsia"/>
          <w:lang w:val="es-ES"/>
        </w:rPr>
        <w:t xml:space="preserve">Código de Procedimientos Administrativos del Estado de México, de aplicación supletoria en términos del </w:t>
      </w:r>
      <w:r w:rsidRPr="00B841ED">
        <w:rPr>
          <w:rFonts w:eastAsiaTheme="minorEastAsia"/>
          <w:lang w:val="es-ES_tradnl"/>
        </w:rPr>
        <w:t xml:space="preserve">artículo 195 de </w:t>
      </w:r>
      <w:r w:rsidRPr="00B841ED">
        <w:rPr>
          <w:rFonts w:eastAsiaTheme="minorEastAsia" w:cstheme="minorBidi"/>
          <w:lang w:val="es-ES_tradnl"/>
        </w:rPr>
        <w:t>la Ley de Transparencia y Acceso a la Información Pública del Estado de México y Municipios en vigor</w:t>
      </w:r>
      <w:r w:rsidR="00CD0B92" w:rsidRPr="00B841ED">
        <w:rPr>
          <w:rFonts w:eastAsiaTheme="minorEastAsia" w:cstheme="minorBidi"/>
          <w:lang w:val="es-ES_tradnl"/>
        </w:rPr>
        <w:t>.</w:t>
      </w:r>
    </w:p>
    <w:p w14:paraId="3A121826" w14:textId="77777777" w:rsidR="00C461EC" w:rsidRPr="00B841ED" w:rsidRDefault="00C461EC" w:rsidP="00B841ED">
      <w:pPr>
        <w:ind w:left="-57"/>
        <w:rPr>
          <w:bCs/>
          <w:lang w:val="es-ES_tradnl"/>
        </w:rPr>
      </w:pPr>
    </w:p>
    <w:p w14:paraId="457548E9" w14:textId="3F7AF03B" w:rsidR="00C71CEF" w:rsidRPr="00B841ED" w:rsidRDefault="00C71CEF" w:rsidP="00B841ED">
      <w:pPr>
        <w:pStyle w:val="Ttulo2"/>
      </w:pPr>
      <w:bookmarkStart w:id="27" w:name="_Toc184810833"/>
      <w:r w:rsidRPr="00B841ED">
        <w:t>SEGUNDO. Estudio de Fondo</w:t>
      </w:r>
      <w:bookmarkEnd w:id="27"/>
    </w:p>
    <w:p w14:paraId="2A308F59" w14:textId="0FF373F0" w:rsidR="00C049E2" w:rsidRPr="00B841ED" w:rsidRDefault="00C71CEF" w:rsidP="00B841ED">
      <w:pPr>
        <w:pStyle w:val="Ttulo3"/>
      </w:pPr>
      <w:bookmarkStart w:id="28" w:name="_Toc184810834"/>
      <w:r w:rsidRPr="00B841ED">
        <w:t>a</w:t>
      </w:r>
      <w:r w:rsidR="00C049E2" w:rsidRPr="00B841ED">
        <w:t>) Mandato de transparencia y responsabilidad del Sujeto Obligado</w:t>
      </w:r>
      <w:bookmarkEnd w:id="28"/>
    </w:p>
    <w:p w14:paraId="6901A889" w14:textId="59EEDAE1" w:rsidR="00C049E2" w:rsidRPr="00B841ED" w:rsidRDefault="00C049E2" w:rsidP="00B841ED">
      <w:pPr>
        <w:rPr>
          <w:rFonts w:eastAsia="Palatino Linotype"/>
        </w:rPr>
      </w:pPr>
      <w:r w:rsidRPr="00B841ED">
        <w:rPr>
          <w:rFonts w:eastAsia="Palatino Linotype"/>
        </w:rPr>
        <w:t xml:space="preserve">El </w:t>
      </w:r>
      <w:r w:rsidR="00717E59" w:rsidRPr="00B841ED">
        <w:rPr>
          <w:rFonts w:eastAsia="Palatino Linotype"/>
        </w:rPr>
        <w:t>d</w:t>
      </w:r>
      <w:r w:rsidRPr="00B841ED">
        <w:rPr>
          <w:rFonts w:eastAsia="Palatino Linotype"/>
        </w:rPr>
        <w:t xml:space="preserve">erecho de </w:t>
      </w:r>
      <w:r w:rsidR="00717E59" w:rsidRPr="00B841ED">
        <w:rPr>
          <w:rFonts w:eastAsia="Palatino Linotype"/>
        </w:rPr>
        <w:t>a</w:t>
      </w:r>
      <w:r w:rsidRPr="00B841ED">
        <w:rPr>
          <w:rFonts w:eastAsia="Palatino Linotype"/>
        </w:rPr>
        <w:t xml:space="preserve">cceso a la </w:t>
      </w:r>
      <w:r w:rsidR="00717E59" w:rsidRPr="00B841ED">
        <w:rPr>
          <w:rFonts w:eastAsia="Palatino Linotype"/>
        </w:rPr>
        <w:t>i</w:t>
      </w:r>
      <w:r w:rsidRPr="00B841ED">
        <w:rPr>
          <w:rFonts w:eastAsia="Palatino Linotype"/>
        </w:rPr>
        <w:t xml:space="preserve">nformación </w:t>
      </w:r>
      <w:r w:rsidR="00717E59" w:rsidRPr="00B841ED">
        <w:rPr>
          <w:rFonts w:eastAsia="Palatino Linotype"/>
        </w:rPr>
        <w:t>p</w:t>
      </w:r>
      <w:r w:rsidRPr="00B841E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841ED">
        <w:rPr>
          <w:rFonts w:eastAsia="Palatino Linotype"/>
        </w:rPr>
        <w:t>:</w:t>
      </w:r>
    </w:p>
    <w:p w14:paraId="7FAB8D32" w14:textId="77777777" w:rsidR="00C049E2" w:rsidRPr="00B841ED" w:rsidRDefault="00C049E2" w:rsidP="00B841ED">
      <w:pPr>
        <w:rPr>
          <w:rFonts w:eastAsia="Palatino Linotype"/>
        </w:rPr>
      </w:pPr>
    </w:p>
    <w:p w14:paraId="05320813" w14:textId="77777777" w:rsidR="00C049E2" w:rsidRPr="00B841ED" w:rsidRDefault="00C049E2" w:rsidP="00B841ED">
      <w:pPr>
        <w:spacing w:line="240" w:lineRule="auto"/>
        <w:ind w:left="567" w:right="539"/>
        <w:rPr>
          <w:rFonts w:eastAsia="Palatino Linotype"/>
          <w:b/>
          <w:i/>
        </w:rPr>
      </w:pPr>
      <w:r w:rsidRPr="00B841ED">
        <w:rPr>
          <w:rFonts w:eastAsia="Palatino Linotype"/>
          <w:b/>
          <w:i/>
        </w:rPr>
        <w:t>Constitución Política de los Estados Unidos Mexicanos</w:t>
      </w:r>
    </w:p>
    <w:p w14:paraId="6B6C67B6" w14:textId="77777777" w:rsidR="00C049E2" w:rsidRPr="00B841ED" w:rsidRDefault="00C049E2" w:rsidP="00B841ED">
      <w:pPr>
        <w:spacing w:line="240" w:lineRule="auto"/>
        <w:ind w:left="567" w:right="539"/>
        <w:rPr>
          <w:rFonts w:eastAsia="Palatino Linotype"/>
          <w:b/>
          <w:i/>
        </w:rPr>
      </w:pPr>
      <w:r w:rsidRPr="00B841ED">
        <w:rPr>
          <w:rFonts w:eastAsia="Palatino Linotype"/>
          <w:b/>
          <w:i/>
        </w:rPr>
        <w:t>“Artículo 6.</w:t>
      </w:r>
    </w:p>
    <w:p w14:paraId="38D3B4C4" w14:textId="77777777" w:rsidR="00C049E2" w:rsidRPr="00B841ED" w:rsidRDefault="00C049E2" w:rsidP="00B841ED">
      <w:pPr>
        <w:spacing w:line="240" w:lineRule="auto"/>
        <w:ind w:left="567" w:right="539"/>
        <w:rPr>
          <w:rFonts w:eastAsia="Palatino Linotype"/>
          <w:i/>
        </w:rPr>
      </w:pPr>
      <w:r w:rsidRPr="00B841ED">
        <w:rPr>
          <w:rFonts w:eastAsia="Palatino Linotype"/>
          <w:i/>
        </w:rPr>
        <w:t>(…)</w:t>
      </w:r>
    </w:p>
    <w:p w14:paraId="2CCAA297" w14:textId="6602827B" w:rsidR="00C049E2" w:rsidRPr="00B841ED" w:rsidRDefault="00C049E2" w:rsidP="00B841ED">
      <w:pPr>
        <w:spacing w:line="240" w:lineRule="auto"/>
        <w:ind w:left="567" w:right="539"/>
        <w:rPr>
          <w:rFonts w:eastAsia="Palatino Linotype"/>
          <w:i/>
        </w:rPr>
      </w:pPr>
      <w:r w:rsidRPr="00B841ED">
        <w:rPr>
          <w:rFonts w:eastAsia="Palatino Linotype"/>
          <w:i/>
        </w:rPr>
        <w:t>Para efectos de lo dispuesto en el presente artículo se observará lo siguiente:</w:t>
      </w:r>
    </w:p>
    <w:p w14:paraId="74CC3718" w14:textId="77777777" w:rsidR="00C049E2" w:rsidRPr="00B841ED" w:rsidRDefault="00C049E2" w:rsidP="00B841ED">
      <w:pPr>
        <w:spacing w:line="240" w:lineRule="auto"/>
        <w:ind w:left="567" w:right="539"/>
        <w:rPr>
          <w:rFonts w:eastAsia="Palatino Linotype"/>
          <w:b/>
          <w:i/>
        </w:rPr>
      </w:pPr>
      <w:r w:rsidRPr="00B841ED">
        <w:rPr>
          <w:rFonts w:eastAsia="Palatino Linotype"/>
          <w:b/>
          <w:i/>
        </w:rPr>
        <w:t>A</w:t>
      </w:r>
      <w:r w:rsidRPr="00B841ED">
        <w:rPr>
          <w:rFonts w:eastAsia="Palatino Linotype"/>
          <w:i/>
        </w:rPr>
        <w:t xml:space="preserve">. </w:t>
      </w:r>
      <w:r w:rsidRPr="00B841ED">
        <w:rPr>
          <w:rFonts w:eastAsia="Palatino Linotype"/>
          <w:b/>
          <w:i/>
        </w:rPr>
        <w:t>Para el ejercicio del derecho de acceso a la información</w:t>
      </w:r>
      <w:r w:rsidRPr="00B841ED">
        <w:rPr>
          <w:rFonts w:eastAsia="Palatino Linotype"/>
          <w:i/>
        </w:rPr>
        <w:t xml:space="preserve">, la Federación y </w:t>
      </w:r>
      <w:r w:rsidRPr="00B841ED">
        <w:rPr>
          <w:rFonts w:eastAsia="Palatino Linotype"/>
          <w:b/>
          <w:i/>
        </w:rPr>
        <w:t>las entidades federativas, en el ámbito de sus respectivas competencias, se regirán por los siguientes principios y bases:</w:t>
      </w:r>
    </w:p>
    <w:p w14:paraId="596A956B" w14:textId="77777777" w:rsidR="00C049E2" w:rsidRPr="00B841ED" w:rsidRDefault="00C049E2" w:rsidP="00B841ED">
      <w:pPr>
        <w:spacing w:line="240" w:lineRule="auto"/>
        <w:ind w:left="567" w:right="539"/>
        <w:rPr>
          <w:rFonts w:eastAsia="Palatino Linotype"/>
          <w:i/>
        </w:rPr>
      </w:pPr>
      <w:r w:rsidRPr="00B841ED">
        <w:rPr>
          <w:rFonts w:eastAsia="Palatino Linotype"/>
          <w:b/>
          <w:i/>
        </w:rPr>
        <w:t xml:space="preserve">I. </w:t>
      </w:r>
      <w:r w:rsidRPr="00B841ED">
        <w:rPr>
          <w:rFonts w:eastAsia="Palatino Linotype"/>
          <w:b/>
          <w:i/>
        </w:rPr>
        <w:tab/>
        <w:t>Toda la información en posesión de cualquier</w:t>
      </w:r>
      <w:r w:rsidRPr="00B841ED">
        <w:rPr>
          <w:rFonts w:eastAsia="Palatino Linotype"/>
          <w:i/>
        </w:rPr>
        <w:t xml:space="preserve"> </w:t>
      </w:r>
      <w:r w:rsidRPr="00B841ED">
        <w:rPr>
          <w:rFonts w:eastAsia="Palatino Linotype"/>
          <w:b/>
          <w:i/>
        </w:rPr>
        <w:t>autoridad</w:t>
      </w:r>
      <w:r w:rsidRPr="00B841E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841ED">
        <w:rPr>
          <w:rFonts w:eastAsia="Palatino Linotype"/>
          <w:b/>
          <w:i/>
        </w:rPr>
        <w:t>municipal</w:t>
      </w:r>
      <w:r w:rsidRPr="00B841ED">
        <w:rPr>
          <w:rFonts w:eastAsia="Palatino Linotype"/>
          <w:i/>
        </w:rPr>
        <w:t xml:space="preserve">, </w:t>
      </w:r>
      <w:r w:rsidRPr="00B841ED">
        <w:rPr>
          <w:rFonts w:eastAsia="Palatino Linotype"/>
          <w:b/>
          <w:i/>
        </w:rPr>
        <w:t>es pública</w:t>
      </w:r>
      <w:r w:rsidRPr="00B841ED">
        <w:rPr>
          <w:rFonts w:eastAsia="Palatino Linotype"/>
          <w:i/>
        </w:rPr>
        <w:t xml:space="preserve"> y sólo podrá ser reservada temporalmente por razones de interés público y seguridad nacional, en los términos que fijen las leyes. </w:t>
      </w:r>
      <w:r w:rsidRPr="00B841ED">
        <w:rPr>
          <w:rFonts w:eastAsia="Palatino Linotype"/>
          <w:b/>
          <w:i/>
        </w:rPr>
        <w:t xml:space="preserve">En la </w:t>
      </w:r>
      <w:r w:rsidRPr="00B841ED">
        <w:rPr>
          <w:rFonts w:eastAsia="Palatino Linotype"/>
          <w:b/>
          <w:i/>
        </w:rPr>
        <w:lastRenderedPageBreak/>
        <w:t>interpretación de este derecho deberá prevalecer el principio de máxima publicidad. Los sujetos obligados deberán documentar todo acto que derive del ejercicio de sus facultades, competencias o funciones</w:t>
      </w:r>
      <w:r w:rsidRPr="00B841ED">
        <w:rPr>
          <w:rFonts w:eastAsia="Palatino Linotype"/>
          <w:i/>
        </w:rPr>
        <w:t>, la ley determinará los supuestos específicos bajo los cuales procederá la declaración de inexistencia de la información.”</w:t>
      </w:r>
    </w:p>
    <w:p w14:paraId="68F313E4" w14:textId="77777777" w:rsidR="00C049E2" w:rsidRPr="00B841ED" w:rsidRDefault="00C049E2" w:rsidP="00B841ED">
      <w:pPr>
        <w:spacing w:line="240" w:lineRule="auto"/>
        <w:ind w:left="567" w:right="539"/>
        <w:rPr>
          <w:rFonts w:eastAsia="Palatino Linotype"/>
          <w:b/>
          <w:i/>
        </w:rPr>
      </w:pPr>
    </w:p>
    <w:p w14:paraId="504F12DB" w14:textId="77777777" w:rsidR="00C049E2" w:rsidRPr="00B841ED" w:rsidRDefault="00C049E2" w:rsidP="00B841ED">
      <w:pPr>
        <w:spacing w:line="240" w:lineRule="auto"/>
        <w:ind w:left="567" w:right="539"/>
        <w:rPr>
          <w:rFonts w:eastAsia="Palatino Linotype"/>
          <w:b/>
          <w:i/>
        </w:rPr>
      </w:pPr>
      <w:r w:rsidRPr="00B841ED">
        <w:rPr>
          <w:rFonts w:eastAsia="Palatino Linotype"/>
          <w:b/>
          <w:i/>
        </w:rPr>
        <w:t>Constitución Política del Estado Libre y Soberano de México</w:t>
      </w:r>
    </w:p>
    <w:p w14:paraId="04932D29" w14:textId="77777777" w:rsidR="00C049E2" w:rsidRPr="00B841ED" w:rsidRDefault="00C049E2" w:rsidP="00B841ED">
      <w:pPr>
        <w:spacing w:line="240" w:lineRule="auto"/>
        <w:ind w:left="567" w:right="539"/>
        <w:rPr>
          <w:rFonts w:eastAsia="Palatino Linotype"/>
          <w:i/>
        </w:rPr>
      </w:pPr>
      <w:r w:rsidRPr="00B841ED">
        <w:rPr>
          <w:rFonts w:eastAsia="Palatino Linotype"/>
          <w:b/>
          <w:i/>
        </w:rPr>
        <w:t>“Artículo 5</w:t>
      </w:r>
      <w:r w:rsidRPr="00B841ED">
        <w:rPr>
          <w:rFonts w:eastAsia="Palatino Linotype"/>
          <w:i/>
        </w:rPr>
        <w:t xml:space="preserve">.- </w:t>
      </w:r>
    </w:p>
    <w:p w14:paraId="1D3829F4" w14:textId="77777777" w:rsidR="00C049E2" w:rsidRPr="00B841ED" w:rsidRDefault="00C049E2" w:rsidP="00B841ED">
      <w:pPr>
        <w:spacing w:line="240" w:lineRule="auto"/>
        <w:ind w:left="567" w:right="539"/>
        <w:rPr>
          <w:rFonts w:eastAsia="Palatino Linotype"/>
          <w:i/>
        </w:rPr>
      </w:pPr>
      <w:r w:rsidRPr="00B841ED">
        <w:rPr>
          <w:rFonts w:eastAsia="Palatino Linotype"/>
          <w:i/>
        </w:rPr>
        <w:t>(…)</w:t>
      </w:r>
    </w:p>
    <w:p w14:paraId="0EAE47FD" w14:textId="77777777" w:rsidR="00C049E2" w:rsidRPr="00B841ED" w:rsidRDefault="00C049E2" w:rsidP="00B841ED">
      <w:pPr>
        <w:spacing w:line="240" w:lineRule="auto"/>
        <w:ind w:left="567" w:right="539"/>
        <w:rPr>
          <w:rFonts w:eastAsia="Palatino Linotype"/>
          <w:i/>
        </w:rPr>
      </w:pPr>
      <w:r w:rsidRPr="00B841ED">
        <w:rPr>
          <w:rFonts w:eastAsia="Palatino Linotype"/>
          <w:b/>
          <w:i/>
        </w:rPr>
        <w:t>El derecho a la información será garantizado por el Estado. La ley establecerá las previsiones que permitan asegurar la protección, el respeto y la difusión de este derecho</w:t>
      </w:r>
      <w:r w:rsidRPr="00B841ED">
        <w:rPr>
          <w:rFonts w:eastAsia="Palatino Linotype"/>
          <w:i/>
        </w:rPr>
        <w:t>.</w:t>
      </w:r>
    </w:p>
    <w:p w14:paraId="4F0C804A" w14:textId="77777777" w:rsidR="00C049E2" w:rsidRPr="00B841ED" w:rsidRDefault="00C049E2" w:rsidP="00B841ED">
      <w:pPr>
        <w:spacing w:line="240" w:lineRule="auto"/>
        <w:ind w:left="567" w:right="539"/>
        <w:rPr>
          <w:rFonts w:eastAsia="Palatino Linotype"/>
          <w:i/>
        </w:rPr>
      </w:pPr>
      <w:r w:rsidRPr="00B841E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841ED" w:rsidRDefault="00C049E2" w:rsidP="00B841ED">
      <w:pPr>
        <w:spacing w:line="240" w:lineRule="auto"/>
        <w:ind w:left="567" w:right="539"/>
        <w:rPr>
          <w:rFonts w:eastAsia="Palatino Linotype"/>
          <w:i/>
        </w:rPr>
      </w:pPr>
      <w:r w:rsidRPr="00B841ED">
        <w:rPr>
          <w:rFonts w:eastAsia="Palatino Linotype"/>
          <w:b/>
          <w:i/>
        </w:rPr>
        <w:t>Este derecho se regirá por los principios y bases siguientes</w:t>
      </w:r>
      <w:r w:rsidRPr="00B841ED">
        <w:rPr>
          <w:rFonts w:eastAsia="Palatino Linotype"/>
          <w:i/>
        </w:rPr>
        <w:t>:</w:t>
      </w:r>
    </w:p>
    <w:p w14:paraId="4A3E8CBA" w14:textId="77777777" w:rsidR="00C049E2" w:rsidRPr="00B841ED" w:rsidRDefault="00C049E2" w:rsidP="00B841ED">
      <w:pPr>
        <w:spacing w:line="240" w:lineRule="auto"/>
        <w:ind w:left="567" w:right="539"/>
        <w:rPr>
          <w:rFonts w:eastAsia="Palatino Linotype"/>
          <w:i/>
        </w:rPr>
      </w:pPr>
      <w:r w:rsidRPr="00B841ED">
        <w:rPr>
          <w:rFonts w:eastAsia="Palatino Linotype"/>
          <w:b/>
          <w:i/>
        </w:rPr>
        <w:t>I. Toda la información en posesión de cualquier autoridad, entidad, órgano y organismos de los</w:t>
      </w:r>
      <w:r w:rsidRPr="00B841ED">
        <w:rPr>
          <w:rFonts w:eastAsia="Palatino Linotype"/>
          <w:i/>
        </w:rPr>
        <w:t xml:space="preserve"> Poderes Ejecutivo, Legislativo y Judicial, órganos autónomos, partidos políticos, fideicomisos y fondos públicos estatales y </w:t>
      </w:r>
      <w:r w:rsidRPr="00B841ED">
        <w:rPr>
          <w:rFonts w:eastAsia="Palatino Linotype"/>
          <w:b/>
          <w:i/>
        </w:rPr>
        <w:t>municipales</w:t>
      </w:r>
      <w:r w:rsidRPr="00B841E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841ED">
        <w:rPr>
          <w:rFonts w:eastAsia="Palatino Linotype"/>
          <w:b/>
          <w:i/>
        </w:rPr>
        <w:t>es pública</w:t>
      </w:r>
      <w:r w:rsidRPr="00B841E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841ED">
        <w:rPr>
          <w:rFonts w:eastAsia="Palatino Linotype"/>
          <w:b/>
          <w:i/>
        </w:rPr>
        <w:t>En la interpretación de este derecho deberá prevalecer el principio de máxima publicidad</w:t>
      </w:r>
      <w:r w:rsidRPr="00B841ED">
        <w:rPr>
          <w:rFonts w:eastAsia="Palatino Linotype"/>
          <w:i/>
        </w:rPr>
        <w:t xml:space="preserve">. </w:t>
      </w:r>
      <w:r w:rsidRPr="00B841ED">
        <w:rPr>
          <w:rFonts w:eastAsia="Palatino Linotype"/>
          <w:b/>
          <w:i/>
        </w:rPr>
        <w:t>Los sujetos obligados deberán documentar todo acto que derive del ejercicio de sus facultades, competencias o funciones</w:t>
      </w:r>
      <w:r w:rsidRPr="00B841ED">
        <w:rPr>
          <w:rFonts w:eastAsia="Palatino Linotype"/>
          <w:i/>
        </w:rPr>
        <w:t>, la ley determinará los supuestos específicos bajo los cuales procederá la declaración de inexistencia de la información.”</w:t>
      </w:r>
    </w:p>
    <w:p w14:paraId="5CA98E37" w14:textId="77777777" w:rsidR="00C049E2" w:rsidRPr="00B841ED" w:rsidRDefault="00C049E2" w:rsidP="00B841ED">
      <w:pPr>
        <w:rPr>
          <w:rFonts w:eastAsia="Palatino Linotype"/>
          <w:b/>
          <w:i/>
        </w:rPr>
      </w:pPr>
    </w:p>
    <w:p w14:paraId="6FC1BB3B" w14:textId="3BF4A33D" w:rsidR="00C049E2" w:rsidRPr="00B841ED" w:rsidRDefault="00717E59" w:rsidP="00B841ED">
      <w:pPr>
        <w:rPr>
          <w:rFonts w:eastAsia="Palatino Linotype"/>
          <w:i/>
        </w:rPr>
      </w:pPr>
      <w:r w:rsidRPr="00B841ED">
        <w:rPr>
          <w:rFonts w:eastAsia="Palatino Linotype"/>
        </w:rPr>
        <w:t xml:space="preserve">Asimismo, </w:t>
      </w:r>
      <w:r w:rsidR="00C049E2" w:rsidRPr="00B841ED">
        <w:rPr>
          <w:rFonts w:eastAsia="Palatino Linotype"/>
        </w:rPr>
        <w:t>el artículo 150 de la Ley de Transparencia y Acceso a la Información Pública del Estado de México y Municipios</w:t>
      </w:r>
      <w:r w:rsidR="00057B2D" w:rsidRPr="00B841ED">
        <w:rPr>
          <w:rFonts w:eastAsia="Palatino Linotype"/>
        </w:rPr>
        <w:t xml:space="preserve"> </w:t>
      </w:r>
      <w:r w:rsidR="00E9335C" w:rsidRPr="00B841ED">
        <w:rPr>
          <w:rFonts w:eastAsia="Palatino Linotype"/>
        </w:rPr>
        <w:t xml:space="preserve">indica </w:t>
      </w:r>
      <w:r w:rsidR="00057B2D" w:rsidRPr="00B841ED">
        <w:rPr>
          <w:rFonts w:eastAsia="Palatino Linotype"/>
        </w:rPr>
        <w:t>que</w:t>
      </w:r>
      <w:r w:rsidR="00C049E2" w:rsidRPr="00B841ED">
        <w:rPr>
          <w:rFonts w:eastAsia="Palatino Linotype"/>
        </w:rPr>
        <w:t xml:space="preserve"> la solicitud es la garantía primaria del Derecho de Acceso a la Información, además, establece que se regirá </w:t>
      </w:r>
      <w:r w:rsidR="00C049E2" w:rsidRPr="00B841ED">
        <w:rPr>
          <w:rFonts w:eastAsia="Palatino Linotype"/>
          <w:i/>
        </w:rPr>
        <w:t>por los principios de simplicidad, rapidez</w:t>
      </w:r>
      <w:r w:rsidR="005F65B7" w:rsidRPr="00B841ED">
        <w:rPr>
          <w:rFonts w:eastAsia="Palatino Linotype"/>
          <w:i/>
        </w:rPr>
        <w:t>,</w:t>
      </w:r>
      <w:r w:rsidR="00C049E2" w:rsidRPr="00B841ED">
        <w:rPr>
          <w:rFonts w:eastAsia="Palatino Linotype"/>
          <w:i/>
        </w:rPr>
        <w:t xml:space="preserve"> gratuidad del procedimiento, auxilio y orientación a los particulare</w:t>
      </w:r>
      <w:r w:rsidR="001A58B3" w:rsidRPr="00B841ED">
        <w:rPr>
          <w:rFonts w:eastAsia="Palatino Linotype"/>
          <w:i/>
        </w:rPr>
        <w:t>s.</w:t>
      </w:r>
    </w:p>
    <w:p w14:paraId="033466A6" w14:textId="77777777" w:rsidR="001A58B3" w:rsidRPr="00B841ED" w:rsidRDefault="001A58B3" w:rsidP="00B841ED">
      <w:pPr>
        <w:rPr>
          <w:rFonts w:eastAsia="Palatino Linotype"/>
          <w:i/>
        </w:rPr>
      </w:pPr>
    </w:p>
    <w:p w14:paraId="04ADA10B" w14:textId="574A944A" w:rsidR="001A58B3" w:rsidRPr="00B841ED" w:rsidRDefault="00233F17" w:rsidP="00B841ED">
      <w:pPr>
        <w:rPr>
          <w:rFonts w:eastAsia="Palatino Linotype" w:cs="Palatino Linotype"/>
          <w:i/>
          <w:szCs w:val="22"/>
        </w:rPr>
      </w:pPr>
      <w:r w:rsidRPr="00B841ED">
        <w:rPr>
          <w:rFonts w:eastAsia="Palatino Linotype" w:cs="Palatino Linotype"/>
        </w:rPr>
        <w:lastRenderedPageBreak/>
        <w:t xml:space="preserve">Por su parte, el artículo 4 de </w:t>
      </w:r>
      <w:r w:rsidR="001A58B3" w:rsidRPr="00B841E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841ED">
        <w:rPr>
          <w:rFonts w:eastAsia="Palatino Linotype" w:cs="Palatino Linotype"/>
        </w:rPr>
        <w:t>.</w:t>
      </w:r>
    </w:p>
    <w:p w14:paraId="1407DBB8" w14:textId="77777777" w:rsidR="001A58B3" w:rsidRPr="00B841ED" w:rsidRDefault="001A58B3" w:rsidP="00B841ED">
      <w:pPr>
        <w:rPr>
          <w:rFonts w:eastAsia="Palatino Linotype" w:cs="Palatino Linotype"/>
        </w:rPr>
      </w:pPr>
    </w:p>
    <w:p w14:paraId="7552AA79" w14:textId="7E89FC5C" w:rsidR="001A58B3" w:rsidRPr="00B841ED" w:rsidRDefault="001A58B3" w:rsidP="00B841ED">
      <w:pPr>
        <w:rPr>
          <w:rFonts w:eastAsia="Palatino Linotype" w:cs="Palatino Linotype"/>
        </w:rPr>
      </w:pPr>
      <w:r w:rsidRPr="00B841ED">
        <w:rPr>
          <w:rFonts w:eastAsia="Palatino Linotype" w:cs="Palatino Linotype"/>
        </w:rPr>
        <w:t xml:space="preserve">Esto es, que los </w:t>
      </w:r>
      <w:r w:rsidR="00053A9E" w:rsidRPr="00B841ED">
        <w:rPr>
          <w:rFonts w:eastAsia="Palatino Linotype" w:cs="Palatino Linotype"/>
          <w:b/>
        </w:rPr>
        <w:t>SUJETOS OBLIGADOS</w:t>
      </w:r>
      <w:r w:rsidR="00053A9E" w:rsidRPr="00B841ED">
        <w:rPr>
          <w:rFonts w:eastAsia="Palatino Linotype" w:cs="Palatino Linotype"/>
        </w:rPr>
        <w:t xml:space="preserve"> </w:t>
      </w:r>
      <w:r w:rsidR="00FA5957" w:rsidRPr="00B841ED">
        <w:rPr>
          <w:rFonts w:eastAsia="Palatino Linotype" w:cs="Palatino Linotype"/>
        </w:rPr>
        <w:t>deben</w:t>
      </w:r>
      <w:r w:rsidRPr="00B841ED">
        <w:rPr>
          <w:rFonts w:eastAsia="Palatino Linotype" w:cs="Palatino Linotype"/>
        </w:rPr>
        <w:t xml:space="preserve"> atender las solicitudes de acceso a la información pública que se les </w:t>
      </w:r>
      <w:r w:rsidR="00FA5957" w:rsidRPr="00B841ED">
        <w:rPr>
          <w:rFonts w:eastAsia="Palatino Linotype" w:cs="Palatino Linotype"/>
        </w:rPr>
        <w:t>sean realizadas,</w:t>
      </w:r>
      <w:r w:rsidRPr="00B841ED">
        <w:rPr>
          <w:rFonts w:eastAsia="Palatino Linotype" w:cs="Palatino Linotype"/>
        </w:rPr>
        <w:t xml:space="preserve"> y proporcionar la información pública que obre en su poder</w:t>
      </w:r>
      <w:r w:rsidR="00FA5957" w:rsidRPr="00B841ED">
        <w:rPr>
          <w:rFonts w:eastAsia="Palatino Linotype" w:cs="Palatino Linotype"/>
        </w:rPr>
        <w:t>,</w:t>
      </w:r>
      <w:r w:rsidRPr="00B841ED">
        <w:rPr>
          <w:rFonts w:eastAsia="Palatino Linotype" w:cs="Palatino Linotype"/>
        </w:rPr>
        <w:t xml:space="preserve"> conforme </w:t>
      </w:r>
      <w:r w:rsidR="00FA5957" w:rsidRPr="00B841ED">
        <w:rPr>
          <w:rFonts w:eastAsia="Palatino Linotype" w:cs="Palatino Linotype"/>
        </w:rPr>
        <w:t>a</w:t>
      </w:r>
      <w:r w:rsidRPr="00B841ED">
        <w:rPr>
          <w:rFonts w:eastAsia="Palatino Linotype" w:cs="Palatino Linotype"/>
        </w:rPr>
        <w:t xml:space="preserve">l estado </w:t>
      </w:r>
      <w:r w:rsidR="00FA5957" w:rsidRPr="00B841ED">
        <w:rPr>
          <w:rFonts w:eastAsia="Palatino Linotype" w:cs="Palatino Linotype"/>
        </w:rPr>
        <w:t xml:space="preserve">en </w:t>
      </w:r>
      <w:r w:rsidRPr="00B841ED">
        <w:rPr>
          <w:rFonts w:eastAsia="Palatino Linotype" w:cs="Palatino Linotype"/>
        </w:rPr>
        <w:t>que se encuentr</w:t>
      </w:r>
      <w:r w:rsidR="00FA5957" w:rsidRPr="00B841ED">
        <w:rPr>
          <w:rFonts w:eastAsia="Palatino Linotype" w:cs="Palatino Linotype"/>
        </w:rPr>
        <w:t>e, sin que sea necesario</w:t>
      </w:r>
      <w:r w:rsidRPr="00B841ED">
        <w:rPr>
          <w:rFonts w:eastAsia="Palatino Linotype" w:cs="Palatino Linotype"/>
        </w:rPr>
        <w:t xml:space="preserve"> </w:t>
      </w:r>
      <w:r w:rsidR="00FA5957" w:rsidRPr="00B841ED">
        <w:rPr>
          <w:rFonts w:eastAsia="Palatino Linotype" w:cs="Palatino Linotype"/>
        </w:rPr>
        <w:t>procesar</w:t>
      </w:r>
      <w:r w:rsidRPr="00B841ED">
        <w:rPr>
          <w:rFonts w:eastAsia="Palatino Linotype" w:cs="Palatino Linotype"/>
        </w:rPr>
        <w:t xml:space="preserve"> la misma, ni presentarla conforme al interés del solicitante; </w:t>
      </w:r>
      <w:r w:rsidR="00FA5957" w:rsidRPr="00B841ED">
        <w:rPr>
          <w:rFonts w:eastAsia="Palatino Linotype" w:cs="Palatino Linotype"/>
        </w:rPr>
        <w:t>tal y como</w:t>
      </w:r>
      <w:r w:rsidRPr="00B841ED">
        <w:rPr>
          <w:rFonts w:eastAsia="Palatino Linotype" w:cs="Palatino Linotype"/>
        </w:rPr>
        <w:t xml:space="preserve"> lo establece el artículo 12 de la Ley de Transparencia y Acceso a la Información Pública del Estado de México y Municipios</w:t>
      </w:r>
      <w:r w:rsidR="00970EB3" w:rsidRPr="00B841ED">
        <w:rPr>
          <w:rFonts w:eastAsia="Palatino Linotype" w:cs="Palatino Linotype"/>
        </w:rPr>
        <w:t>.</w:t>
      </w:r>
    </w:p>
    <w:p w14:paraId="73245195" w14:textId="77777777" w:rsidR="00970EB3" w:rsidRPr="00B841ED" w:rsidRDefault="00970EB3" w:rsidP="00B841ED">
      <w:pPr>
        <w:rPr>
          <w:rFonts w:eastAsia="Palatino Linotype" w:cs="Palatino Linotype"/>
        </w:rPr>
      </w:pPr>
    </w:p>
    <w:p w14:paraId="7F62D4DF" w14:textId="775730E1" w:rsidR="001A58B3" w:rsidRPr="00B841ED" w:rsidRDefault="001A58B3" w:rsidP="00B841ED">
      <w:pPr>
        <w:rPr>
          <w:rFonts w:eastAsia="Palatino Linotype" w:cs="Palatino Linotype"/>
        </w:rPr>
      </w:pPr>
      <w:r w:rsidRPr="00B841ED">
        <w:rPr>
          <w:rFonts w:eastAsia="Palatino Linotype" w:cs="Palatino Linotype"/>
        </w:rPr>
        <w:t>Es decir, que todo sujeto obligado que genere, recopile, administre, procese, archive, posea o conserven, son responsables de la misma</w:t>
      </w:r>
      <w:r w:rsidR="00970EB3" w:rsidRPr="00B841ED">
        <w:rPr>
          <w:rFonts w:eastAsia="Palatino Linotype" w:cs="Palatino Linotype"/>
        </w:rPr>
        <w:t>,</w:t>
      </w:r>
      <w:r w:rsidRPr="00B841E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841ED">
        <w:rPr>
          <w:rFonts w:eastAsia="Palatino Linotype" w:cs="Palatino Linotype"/>
        </w:rPr>
        <w:t>o</w:t>
      </w:r>
      <w:r w:rsidRPr="00B841E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841ED" w:rsidRDefault="001A58B3" w:rsidP="00B841ED">
      <w:pPr>
        <w:rPr>
          <w:rFonts w:eastAsia="Palatino Linotype" w:cs="Palatino Linotype"/>
        </w:rPr>
      </w:pPr>
    </w:p>
    <w:p w14:paraId="04E42DFE" w14:textId="573F1198" w:rsidR="001A58B3" w:rsidRPr="00B841ED" w:rsidRDefault="001A58B3" w:rsidP="00B841ED">
      <w:pPr>
        <w:rPr>
          <w:rFonts w:eastAsia="Palatino Linotype" w:cs="Palatino Linotype"/>
        </w:rPr>
      </w:pPr>
      <w:r w:rsidRPr="00B841ED">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B841ED">
        <w:rPr>
          <w:rFonts w:eastAsia="Palatino Linotype" w:cs="Palatino Linotype"/>
        </w:rPr>
        <w:lastRenderedPageBreak/>
        <w:t>garantizar el Derecho de Acceso a la Información Pública</w:t>
      </w:r>
      <w:r w:rsidR="00331F35" w:rsidRPr="00B841ED">
        <w:rPr>
          <w:rFonts w:eastAsia="Palatino Linotype" w:cs="Palatino Linotype"/>
        </w:rPr>
        <w:t>, s</w:t>
      </w:r>
      <w:r w:rsidRPr="00B841ED">
        <w:rPr>
          <w:rFonts w:eastAsia="Palatino Linotype" w:cs="Palatino Linotype"/>
        </w:rPr>
        <w:t xml:space="preserve">iempre y cuando no se trate de información reservada o </w:t>
      </w:r>
      <w:r w:rsidR="00331F35" w:rsidRPr="00B841ED">
        <w:rPr>
          <w:rFonts w:eastAsia="Palatino Linotype" w:cs="Palatino Linotype"/>
        </w:rPr>
        <w:t>confidencial.</w:t>
      </w:r>
    </w:p>
    <w:p w14:paraId="40C5219F" w14:textId="77777777" w:rsidR="001A58B3" w:rsidRPr="00B841ED" w:rsidRDefault="001A58B3" w:rsidP="00B841ED">
      <w:pPr>
        <w:rPr>
          <w:rFonts w:eastAsia="Palatino Linotype" w:cs="Palatino Linotype"/>
        </w:rPr>
      </w:pPr>
    </w:p>
    <w:p w14:paraId="2E629608" w14:textId="01727E15" w:rsidR="00C049E2" w:rsidRPr="00B841ED" w:rsidRDefault="006067C7" w:rsidP="00B841ED">
      <w:pPr>
        <w:rPr>
          <w:rFonts w:eastAsia="Palatino Linotype"/>
        </w:rPr>
      </w:pPr>
      <w:bookmarkStart w:id="29" w:name="_heading=h.2s8eyo1" w:colFirst="0" w:colLast="0"/>
      <w:bookmarkEnd w:id="29"/>
      <w:r w:rsidRPr="00B841ED">
        <w:rPr>
          <w:rFonts w:eastAsia="Palatino Linotype"/>
        </w:rPr>
        <w:t>Con base en lo anterior</w:t>
      </w:r>
      <w:r w:rsidR="00B22A80" w:rsidRPr="00B841ED">
        <w:rPr>
          <w:rFonts w:eastAsia="Palatino Linotype"/>
        </w:rPr>
        <w:t>, se considera que</w:t>
      </w:r>
      <w:r w:rsidR="00C049E2" w:rsidRPr="00B841ED">
        <w:rPr>
          <w:rFonts w:eastAsia="Palatino Linotype"/>
        </w:rPr>
        <w:t xml:space="preserve"> </w:t>
      </w:r>
      <w:r w:rsidR="00B22A80" w:rsidRPr="00B841ED">
        <w:rPr>
          <w:rFonts w:eastAsia="Palatino Linotype"/>
          <w:b/>
          <w:bCs/>
        </w:rPr>
        <w:t>EL</w:t>
      </w:r>
      <w:r w:rsidR="00C049E2" w:rsidRPr="00B841ED">
        <w:rPr>
          <w:rFonts w:eastAsia="Palatino Linotype"/>
        </w:rPr>
        <w:t xml:space="preserve"> </w:t>
      </w:r>
      <w:r w:rsidR="00C049E2" w:rsidRPr="00B841ED">
        <w:rPr>
          <w:rFonts w:eastAsia="Palatino Linotype"/>
          <w:b/>
        </w:rPr>
        <w:t>SUJETO OBLIGADO</w:t>
      </w:r>
      <w:r w:rsidR="00C049E2" w:rsidRPr="00B841ED">
        <w:rPr>
          <w:rFonts w:eastAsia="Palatino Linotype"/>
        </w:rPr>
        <w:t xml:space="preserve"> </w:t>
      </w:r>
      <w:r w:rsidR="00B22A80" w:rsidRPr="00B841ED">
        <w:rPr>
          <w:rFonts w:eastAsia="Palatino Linotype"/>
        </w:rPr>
        <w:t xml:space="preserve">se </w:t>
      </w:r>
      <w:r w:rsidR="00717E59" w:rsidRPr="00B841ED">
        <w:rPr>
          <w:rFonts w:eastAsia="Palatino Linotype"/>
        </w:rPr>
        <w:t>encontraba</w:t>
      </w:r>
      <w:r w:rsidR="00B22A80" w:rsidRPr="00B841ED">
        <w:rPr>
          <w:rFonts w:eastAsia="Palatino Linotype"/>
        </w:rPr>
        <w:t xml:space="preserve"> compelido a</w:t>
      </w:r>
      <w:r w:rsidR="00C049E2" w:rsidRPr="00B841ED">
        <w:rPr>
          <w:rFonts w:eastAsia="Palatino Linotype"/>
        </w:rPr>
        <w:t xml:space="preserve"> atender la solicitud de acceso a la información </w:t>
      </w:r>
      <w:r w:rsidR="00B22A80" w:rsidRPr="00B841ED">
        <w:rPr>
          <w:rFonts w:eastAsia="Palatino Linotype"/>
        </w:rPr>
        <w:t xml:space="preserve">realizada por </w:t>
      </w:r>
      <w:r w:rsidR="00B22A80" w:rsidRPr="00B841ED">
        <w:rPr>
          <w:rFonts w:eastAsia="Palatino Linotype"/>
          <w:b/>
          <w:bCs/>
        </w:rPr>
        <w:t>LA PARTE RECURRENTE</w:t>
      </w:r>
      <w:r w:rsidR="00331F35" w:rsidRPr="00B841ED">
        <w:rPr>
          <w:rFonts w:eastAsia="Palatino Linotype"/>
        </w:rPr>
        <w:t>.</w:t>
      </w:r>
    </w:p>
    <w:p w14:paraId="1611F147" w14:textId="77777777" w:rsidR="00BD5A7C" w:rsidRPr="00B841ED" w:rsidRDefault="00BD5A7C" w:rsidP="00B841ED">
      <w:pPr>
        <w:rPr>
          <w:rFonts w:eastAsia="Palatino Linotype"/>
        </w:rPr>
      </w:pPr>
    </w:p>
    <w:p w14:paraId="51A0E8B4" w14:textId="676DCA47" w:rsidR="00664420" w:rsidRPr="00B841ED" w:rsidRDefault="00C71CEF" w:rsidP="00B841ED">
      <w:pPr>
        <w:pStyle w:val="Ttulo3"/>
        <w:rPr>
          <w:rFonts w:eastAsia="Calibri"/>
          <w:lang w:eastAsia="es-ES_tradnl"/>
        </w:rPr>
      </w:pPr>
      <w:bookmarkStart w:id="30" w:name="_Toc184810835"/>
      <w:r w:rsidRPr="00B841ED">
        <w:rPr>
          <w:rFonts w:eastAsia="Calibri"/>
          <w:lang w:eastAsia="es-ES_tradnl"/>
        </w:rPr>
        <w:t>b)</w:t>
      </w:r>
      <w:r w:rsidR="00A53315" w:rsidRPr="00B841ED">
        <w:rPr>
          <w:rFonts w:eastAsia="Calibri"/>
          <w:lang w:eastAsia="es-ES_tradnl"/>
        </w:rPr>
        <w:t xml:space="preserve"> </w:t>
      </w:r>
      <w:r w:rsidR="00A21A20" w:rsidRPr="00B841ED">
        <w:rPr>
          <w:rFonts w:eastAsia="Calibri"/>
          <w:lang w:eastAsia="es-ES_tradnl"/>
        </w:rPr>
        <w:t>Controversia a resolver</w:t>
      </w:r>
      <w:bookmarkEnd w:id="30"/>
    </w:p>
    <w:p w14:paraId="5DAE2A65" w14:textId="382C31A9" w:rsidR="00664420" w:rsidRPr="00B841ED" w:rsidRDefault="00664420" w:rsidP="00B841ED">
      <w:pPr>
        <w:rPr>
          <w:rFonts w:eastAsia="Calibri"/>
          <w:lang w:eastAsia="es-ES_tradnl"/>
        </w:rPr>
      </w:pPr>
      <w:r w:rsidRPr="00B841E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841ED">
        <w:rPr>
          <w:rFonts w:eastAsia="Calibri"/>
          <w:b/>
          <w:bCs/>
          <w:lang w:eastAsia="es-ES_tradnl"/>
        </w:rPr>
        <w:t>LA PARTE RECURRENTE</w:t>
      </w:r>
      <w:r w:rsidRPr="00B841ED">
        <w:rPr>
          <w:rFonts w:eastAsia="Calibri"/>
          <w:lang w:eastAsia="es-ES_tradnl"/>
        </w:rPr>
        <w:t xml:space="preserve"> solicitó lo siguiente:</w:t>
      </w:r>
    </w:p>
    <w:p w14:paraId="7D9D559B" w14:textId="77777777" w:rsidR="00664420" w:rsidRPr="00B841ED" w:rsidRDefault="00664420" w:rsidP="00B841ED">
      <w:pPr>
        <w:tabs>
          <w:tab w:val="left" w:pos="4962"/>
        </w:tabs>
        <w:contextualSpacing/>
        <w:rPr>
          <w:rFonts w:eastAsia="Calibri" w:cs="Tahoma"/>
          <w:iCs/>
          <w:szCs w:val="22"/>
          <w:lang w:eastAsia="es-ES_tradnl"/>
        </w:rPr>
      </w:pPr>
    </w:p>
    <w:p w14:paraId="588DB1CE" w14:textId="59F2DDA7" w:rsidR="001C7FE5" w:rsidRPr="00B841ED" w:rsidRDefault="001C7FE5" w:rsidP="00B841ED">
      <w:pPr>
        <w:tabs>
          <w:tab w:val="left" w:pos="4962"/>
        </w:tabs>
        <w:contextualSpacing/>
        <w:rPr>
          <w:rFonts w:eastAsia="Calibri" w:cs="Tahoma"/>
          <w:iCs/>
          <w:szCs w:val="22"/>
          <w:lang w:eastAsia="es-ES_tradnl"/>
        </w:rPr>
      </w:pPr>
      <w:r w:rsidRPr="00B841ED">
        <w:rPr>
          <w:rFonts w:eastAsia="Calibri" w:cs="Tahoma"/>
          <w:iCs/>
          <w:szCs w:val="22"/>
          <w:lang w:eastAsia="es-ES_tradnl"/>
        </w:rPr>
        <w:t xml:space="preserve">De la Dirección General de Vinculación Interinstitucional: </w:t>
      </w:r>
    </w:p>
    <w:p w14:paraId="41525410" w14:textId="217AC244" w:rsidR="005D10C4" w:rsidRPr="00B841ED" w:rsidRDefault="001C7FE5" w:rsidP="00B841ED">
      <w:pPr>
        <w:pStyle w:val="Prrafodelista"/>
        <w:numPr>
          <w:ilvl w:val="0"/>
          <w:numId w:val="8"/>
        </w:numPr>
        <w:tabs>
          <w:tab w:val="left" w:pos="4962"/>
        </w:tabs>
        <w:rPr>
          <w:rFonts w:eastAsiaTheme="minorHAnsi" w:cs="Tahoma"/>
          <w:bCs/>
          <w:iCs/>
          <w:szCs w:val="22"/>
          <w:lang w:eastAsia="en-US"/>
        </w:rPr>
      </w:pPr>
      <w:r w:rsidRPr="00B841ED">
        <w:rPr>
          <w:rFonts w:cs="Tahoma"/>
          <w:bCs/>
          <w:iCs/>
          <w:szCs w:val="22"/>
        </w:rPr>
        <w:t>Los proyectos e insumos de edición de la revista digital semestral, Experiencia Anticorrupción del 2018 a 2024</w:t>
      </w:r>
    </w:p>
    <w:p w14:paraId="2E517346" w14:textId="77777777" w:rsidR="00FF5372" w:rsidRPr="00B841ED" w:rsidRDefault="00FF5372" w:rsidP="00B841ED">
      <w:pPr>
        <w:pStyle w:val="Prrafodelista"/>
        <w:tabs>
          <w:tab w:val="left" w:pos="4962"/>
        </w:tabs>
        <w:rPr>
          <w:rFonts w:eastAsiaTheme="minorHAnsi" w:cs="Tahoma"/>
          <w:bCs/>
          <w:iCs/>
          <w:szCs w:val="22"/>
          <w:lang w:eastAsia="en-US"/>
        </w:rPr>
      </w:pPr>
    </w:p>
    <w:p w14:paraId="1CED052A" w14:textId="69C030CE" w:rsidR="00664420" w:rsidRPr="00B841ED" w:rsidRDefault="00664420" w:rsidP="00B841ED">
      <w:pPr>
        <w:tabs>
          <w:tab w:val="left" w:pos="4962"/>
        </w:tabs>
        <w:rPr>
          <w:rFonts w:eastAsiaTheme="minorHAnsi" w:cs="Tahoma"/>
          <w:bCs/>
          <w:iCs/>
          <w:szCs w:val="22"/>
          <w:lang w:eastAsia="en-US"/>
        </w:rPr>
      </w:pPr>
      <w:r w:rsidRPr="00B841ED">
        <w:rPr>
          <w:rFonts w:eastAsiaTheme="minorHAnsi" w:cs="Tahoma"/>
          <w:bCs/>
          <w:iCs/>
          <w:szCs w:val="22"/>
          <w:lang w:eastAsia="en-US"/>
        </w:rPr>
        <w:t xml:space="preserve">En respuesta, </w:t>
      </w:r>
      <w:r w:rsidR="005D5A50" w:rsidRPr="00B841ED">
        <w:rPr>
          <w:rFonts w:eastAsiaTheme="minorHAnsi" w:cs="Tahoma"/>
          <w:b/>
          <w:iCs/>
          <w:szCs w:val="22"/>
          <w:lang w:eastAsia="en-US"/>
        </w:rPr>
        <w:t>EL SUJETO OBLIGADO</w:t>
      </w:r>
      <w:r w:rsidRPr="00B841ED">
        <w:rPr>
          <w:rFonts w:eastAsiaTheme="minorHAnsi" w:cs="Tahoma"/>
          <w:bCs/>
          <w:iCs/>
          <w:szCs w:val="22"/>
          <w:lang w:eastAsia="en-US"/>
        </w:rPr>
        <w:t xml:space="preserve"> se pronunció por conducto de </w:t>
      </w:r>
      <w:r w:rsidR="009D3B74" w:rsidRPr="00B841ED">
        <w:rPr>
          <w:rFonts w:cs="Tahoma"/>
          <w:bCs/>
          <w:szCs w:val="22"/>
          <w:lang w:val="es-ES"/>
        </w:rPr>
        <w:t xml:space="preserve">la </w:t>
      </w:r>
      <w:r w:rsidR="001C7FE5" w:rsidRPr="00B841ED">
        <w:t xml:space="preserve">la Subdirectora de Difusión y Comunicación Social quien hace del conocimiento los periodos en los que se creó la revista digital y la edición de los números dependiendo el ejercicio fiscal, asimismo dicha servidora pública refiere que los insumos y proyectos se encuentran inmersos en las actas de las sesiones del Subcomité Editorial, mismas que se enlistan en las respuestas proporcionadas; por otro lado se refiere que estas son acompañadas como documentos anexos, sin embargo únicamente en la respuesta a la solicitud de información </w:t>
      </w:r>
      <w:r w:rsidR="001C7FE5" w:rsidRPr="00B841ED">
        <w:rPr>
          <w:b/>
        </w:rPr>
        <w:t>00993/SESEA/IP/2024</w:t>
      </w:r>
      <w:r w:rsidR="00CF7586" w:rsidRPr="00B841ED">
        <w:rPr>
          <w:rFonts w:eastAsiaTheme="minorHAnsi" w:cs="Tahoma"/>
          <w:bCs/>
          <w:iCs/>
          <w:szCs w:val="22"/>
          <w:lang w:eastAsia="en-US"/>
        </w:rPr>
        <w:t xml:space="preserve"> </w:t>
      </w:r>
      <w:r w:rsidR="001C7FE5" w:rsidRPr="00B841ED">
        <w:rPr>
          <w:rFonts w:eastAsiaTheme="minorHAnsi" w:cs="Tahoma"/>
          <w:bCs/>
          <w:iCs/>
          <w:szCs w:val="22"/>
          <w:lang w:eastAsia="en-US"/>
        </w:rPr>
        <w:t xml:space="preserve">se tuvo acceso a las actas correspondientes. En ese mismo sentido se señaló que, </w:t>
      </w:r>
      <w:r w:rsidR="001C7FE5" w:rsidRPr="00B841ED">
        <w:t xml:space="preserve">los insumos materiales que se utilizan son computadoras, softwares especializados en diseño editorial y edición de </w:t>
      </w:r>
      <w:r w:rsidR="001C7FE5" w:rsidRPr="00B841ED">
        <w:lastRenderedPageBreak/>
        <w:t>fotografías, una cámara fotográfica, una de video y un micrófono, por otro lado se el recurso humano se diseña y proporcionada a través del trabajo de cuatro personas que se encargan del diseño editorial, grabación y edición de video.</w:t>
      </w:r>
    </w:p>
    <w:p w14:paraId="4BEBD880" w14:textId="77777777" w:rsidR="00664420" w:rsidRPr="00B841ED" w:rsidRDefault="00664420" w:rsidP="00B841ED">
      <w:pPr>
        <w:tabs>
          <w:tab w:val="left" w:pos="4962"/>
        </w:tabs>
        <w:contextualSpacing/>
        <w:rPr>
          <w:rFonts w:eastAsiaTheme="minorHAnsi" w:cs="Tahoma"/>
          <w:bCs/>
          <w:iCs/>
          <w:szCs w:val="22"/>
          <w:lang w:eastAsia="en-US"/>
        </w:rPr>
      </w:pPr>
    </w:p>
    <w:p w14:paraId="31DD81D7" w14:textId="6D8E109E" w:rsidR="00664420" w:rsidRPr="00B841ED" w:rsidRDefault="00CF7586" w:rsidP="00B841ED">
      <w:pPr>
        <w:tabs>
          <w:tab w:val="left" w:pos="4962"/>
        </w:tabs>
        <w:contextualSpacing/>
        <w:rPr>
          <w:rFonts w:eastAsiaTheme="minorHAnsi" w:cs="Tahoma"/>
          <w:bCs/>
          <w:iCs/>
          <w:szCs w:val="22"/>
          <w:lang w:eastAsia="en-US"/>
        </w:rPr>
      </w:pPr>
      <w:r w:rsidRPr="00B841ED">
        <w:rPr>
          <w:rFonts w:eastAsiaTheme="minorHAnsi" w:cs="Tahoma"/>
          <w:bCs/>
          <w:iCs/>
          <w:szCs w:val="22"/>
          <w:lang w:eastAsia="en-US"/>
        </w:rPr>
        <w:t xml:space="preserve">Ahora bien, en la interposición del presente recurso </w:t>
      </w:r>
      <w:r w:rsidRPr="00B841ED">
        <w:rPr>
          <w:rFonts w:eastAsiaTheme="minorHAnsi" w:cs="Tahoma"/>
          <w:b/>
          <w:iCs/>
          <w:szCs w:val="22"/>
          <w:lang w:eastAsia="en-US"/>
        </w:rPr>
        <w:t>LA PARTE RECURRENTE</w:t>
      </w:r>
      <w:r w:rsidR="00664420" w:rsidRPr="00B841ED">
        <w:rPr>
          <w:rFonts w:eastAsiaTheme="minorHAnsi" w:cs="Tahoma"/>
          <w:bCs/>
          <w:iCs/>
          <w:szCs w:val="22"/>
          <w:lang w:eastAsia="en-US"/>
        </w:rPr>
        <w:t xml:space="preserve"> se inconformó de </w:t>
      </w:r>
      <w:r w:rsidR="00B03C6D" w:rsidRPr="00B841ED">
        <w:rPr>
          <w:rFonts w:eastAsiaTheme="minorHAnsi" w:cs="Tahoma"/>
          <w:bCs/>
          <w:iCs/>
          <w:szCs w:val="22"/>
          <w:lang w:eastAsia="en-US"/>
        </w:rPr>
        <w:t>la entrega de información incompleta</w:t>
      </w:r>
      <w:r w:rsidRPr="00B841ED">
        <w:rPr>
          <w:rFonts w:eastAsiaTheme="minorHAnsi" w:cs="Tahoma"/>
          <w:bCs/>
          <w:iCs/>
          <w:szCs w:val="22"/>
          <w:lang w:eastAsia="en-US"/>
        </w:rPr>
        <w:t xml:space="preserve">, por lo cual, el estudio </w:t>
      </w:r>
      <w:r w:rsidR="00860496" w:rsidRPr="00B841ED">
        <w:rPr>
          <w:rFonts w:eastAsiaTheme="minorHAnsi" w:cs="Tahoma"/>
          <w:bCs/>
          <w:iCs/>
          <w:szCs w:val="22"/>
          <w:lang w:eastAsia="en-US"/>
        </w:rPr>
        <w:t xml:space="preserve">se centrará en determinar </w:t>
      </w:r>
      <w:r w:rsidR="00D2790D" w:rsidRPr="00B841ED">
        <w:rPr>
          <w:rFonts w:eastAsiaTheme="minorHAnsi" w:cs="Tahoma"/>
          <w:bCs/>
          <w:iCs/>
          <w:szCs w:val="22"/>
          <w:lang w:eastAsia="en-US"/>
        </w:rPr>
        <w:t xml:space="preserve">si la información entregada colma todo lo </w:t>
      </w:r>
      <w:r w:rsidR="00860496" w:rsidRPr="00B841ED">
        <w:rPr>
          <w:rFonts w:eastAsiaTheme="minorHAnsi" w:cs="Tahoma"/>
          <w:bCs/>
          <w:iCs/>
          <w:szCs w:val="22"/>
          <w:lang w:eastAsia="en-US"/>
        </w:rPr>
        <w:t>requerido</w:t>
      </w:r>
      <w:r w:rsidR="00D2790D" w:rsidRPr="00B841ED">
        <w:rPr>
          <w:rFonts w:eastAsiaTheme="minorHAnsi" w:cs="Tahoma"/>
          <w:bCs/>
          <w:iCs/>
          <w:szCs w:val="22"/>
          <w:lang w:eastAsia="en-US"/>
        </w:rPr>
        <w:t xml:space="preserve"> por </w:t>
      </w:r>
      <w:r w:rsidR="00860496" w:rsidRPr="00B841ED">
        <w:rPr>
          <w:rFonts w:eastAsiaTheme="minorHAnsi" w:cs="Tahoma"/>
          <w:b/>
          <w:bCs/>
          <w:iCs/>
          <w:szCs w:val="22"/>
          <w:lang w:eastAsia="en-US"/>
        </w:rPr>
        <w:t>LA PARTE RECURRENTE</w:t>
      </w:r>
      <w:r w:rsidR="009D3B74" w:rsidRPr="00B841ED">
        <w:rPr>
          <w:rFonts w:eastAsiaTheme="minorHAnsi" w:cs="Tahoma"/>
          <w:bCs/>
          <w:iCs/>
          <w:szCs w:val="22"/>
          <w:lang w:eastAsia="en-US"/>
        </w:rPr>
        <w:t>.</w:t>
      </w:r>
    </w:p>
    <w:p w14:paraId="42FA6D40" w14:textId="77777777" w:rsidR="009D3B74" w:rsidRPr="00B841ED" w:rsidRDefault="009D3B74" w:rsidP="00B841ED">
      <w:pPr>
        <w:tabs>
          <w:tab w:val="left" w:pos="4962"/>
        </w:tabs>
        <w:contextualSpacing/>
        <w:rPr>
          <w:rFonts w:eastAsiaTheme="minorHAnsi" w:cs="Tahoma"/>
          <w:bCs/>
          <w:iCs/>
          <w:szCs w:val="22"/>
          <w:lang w:eastAsia="en-US"/>
        </w:rPr>
      </w:pPr>
    </w:p>
    <w:p w14:paraId="414FD2D5" w14:textId="4408E416" w:rsidR="00664420" w:rsidRPr="00B841ED" w:rsidRDefault="00A21A20" w:rsidP="00B841ED">
      <w:pPr>
        <w:pStyle w:val="Ttulo3"/>
      </w:pPr>
      <w:bookmarkStart w:id="31" w:name="_Toc184810836"/>
      <w:r w:rsidRPr="00B841ED">
        <w:t>c)</w:t>
      </w:r>
      <w:r w:rsidR="00664420" w:rsidRPr="00B841ED">
        <w:t xml:space="preserve"> </w:t>
      </w:r>
      <w:r w:rsidRPr="00B841ED">
        <w:t>Estudio de la controversia</w:t>
      </w:r>
      <w:bookmarkEnd w:id="31"/>
    </w:p>
    <w:p w14:paraId="6C055C35" w14:textId="1F2910A2" w:rsidR="00006346" w:rsidRPr="00B841ED" w:rsidRDefault="0012783B" w:rsidP="00B841ED">
      <w:pPr>
        <w:ind w:right="-93"/>
        <w:rPr>
          <w:rFonts w:cs="Tahoma"/>
          <w:bCs/>
          <w:szCs w:val="22"/>
        </w:rPr>
      </w:pPr>
      <w:r w:rsidRPr="00B841ED">
        <w:rPr>
          <w:rFonts w:cs="Tahoma"/>
          <w:bCs/>
          <w:szCs w:val="22"/>
        </w:rPr>
        <w:t xml:space="preserve">Una vez sentado lo anterior, </w:t>
      </w:r>
      <w:r w:rsidR="009D13A0" w:rsidRPr="00B841ED">
        <w:rPr>
          <w:rFonts w:cs="Tahoma"/>
          <w:bCs/>
          <w:szCs w:val="22"/>
        </w:rPr>
        <w:t xml:space="preserve">resulta procedente invocar lo que establece </w:t>
      </w:r>
      <w:r w:rsidR="002A5A95" w:rsidRPr="00B841ED">
        <w:rPr>
          <w:rFonts w:cs="Tahoma"/>
          <w:bCs/>
          <w:szCs w:val="22"/>
        </w:rPr>
        <w:t xml:space="preserve">el </w:t>
      </w:r>
      <w:r w:rsidR="002A5A95" w:rsidRPr="00B841ED">
        <w:rPr>
          <w:rFonts w:eastAsia="Palatino Linotype" w:cs="Palatino Linotype"/>
        </w:rPr>
        <w:t xml:space="preserve">Manual General de Organización de la </w:t>
      </w:r>
      <w:r w:rsidR="009D13A0" w:rsidRPr="00B841ED">
        <w:rPr>
          <w:rFonts w:eastAsia="Palatino Linotype" w:cs="Palatino Linotype"/>
        </w:rPr>
        <w:t>Secretaría Ejecutiva del Sistema Estatal Anticorrupción</w:t>
      </w:r>
      <w:r w:rsidR="002A5A95" w:rsidRPr="00B841ED">
        <w:rPr>
          <w:rFonts w:eastAsia="Palatino Linotype" w:cs="Palatino Linotype"/>
        </w:rPr>
        <w:t>, marco normativo que de nuestro interés, establece lo siguiente</w:t>
      </w:r>
      <w:r w:rsidR="00E85047" w:rsidRPr="00B841ED">
        <w:rPr>
          <w:rFonts w:cs="Tahoma"/>
          <w:bCs/>
          <w:szCs w:val="22"/>
        </w:rPr>
        <w:t xml:space="preserve">: </w:t>
      </w:r>
    </w:p>
    <w:p w14:paraId="2FC4CF96" w14:textId="77777777" w:rsidR="009803B0" w:rsidRPr="00B841ED" w:rsidRDefault="009803B0" w:rsidP="00B841ED">
      <w:pPr>
        <w:ind w:right="-93"/>
        <w:rPr>
          <w:rFonts w:cs="Tahoma"/>
          <w:bCs/>
          <w:szCs w:val="22"/>
        </w:rPr>
      </w:pPr>
    </w:p>
    <w:p w14:paraId="204A6EC0" w14:textId="13867F91" w:rsidR="002A5A95" w:rsidRPr="00B841ED" w:rsidRDefault="009D13A0" w:rsidP="00B841ED">
      <w:pPr>
        <w:spacing w:line="240" w:lineRule="auto"/>
        <w:ind w:left="567" w:right="539"/>
        <w:jc w:val="center"/>
        <w:rPr>
          <w:b/>
          <w:i/>
        </w:rPr>
      </w:pPr>
      <w:r w:rsidRPr="00B841ED">
        <w:rPr>
          <w:b/>
          <w:i/>
        </w:rPr>
        <w:t>V. Estructura Orgánica</w:t>
      </w:r>
    </w:p>
    <w:p w14:paraId="29D8A708" w14:textId="77777777" w:rsidR="009D13A0" w:rsidRPr="00B841ED" w:rsidRDefault="009D13A0" w:rsidP="00B841ED">
      <w:pPr>
        <w:spacing w:line="240" w:lineRule="auto"/>
        <w:ind w:left="567" w:right="539"/>
        <w:rPr>
          <w:i/>
        </w:rPr>
      </w:pPr>
    </w:p>
    <w:p w14:paraId="136FD6A3" w14:textId="77777777" w:rsidR="009D13A0" w:rsidRPr="00B841ED" w:rsidRDefault="009D13A0" w:rsidP="00B841ED">
      <w:pPr>
        <w:spacing w:line="240" w:lineRule="auto"/>
        <w:ind w:left="567" w:right="539"/>
        <w:rPr>
          <w:i/>
        </w:rPr>
      </w:pPr>
      <w:r w:rsidRPr="00B841ED">
        <w:rPr>
          <w:i/>
        </w:rPr>
        <w:t>411000000000000 Secretaría Ejecutiva del Sistema Estatal Anticorrupción</w:t>
      </w:r>
    </w:p>
    <w:p w14:paraId="4489D447" w14:textId="77777777" w:rsidR="009D13A0" w:rsidRPr="00B841ED" w:rsidRDefault="009D13A0" w:rsidP="00B841ED">
      <w:pPr>
        <w:spacing w:line="240" w:lineRule="auto"/>
        <w:ind w:left="567" w:right="539"/>
        <w:rPr>
          <w:i/>
        </w:rPr>
      </w:pPr>
      <w:r w:rsidRPr="00B841ED">
        <w:rPr>
          <w:i/>
        </w:rPr>
        <w:t>41100100000000L Secretaría Técnica</w:t>
      </w:r>
    </w:p>
    <w:p w14:paraId="76A16FF2" w14:textId="77777777" w:rsidR="009D13A0" w:rsidRPr="00B841ED" w:rsidRDefault="009D13A0" w:rsidP="00B841ED">
      <w:pPr>
        <w:spacing w:line="240" w:lineRule="auto"/>
        <w:ind w:left="567" w:right="539"/>
        <w:rPr>
          <w:i/>
        </w:rPr>
      </w:pPr>
      <w:r w:rsidRPr="00B841ED">
        <w:rPr>
          <w:i/>
        </w:rPr>
        <w:t>41100100010000S Secretaría Particular</w:t>
      </w:r>
    </w:p>
    <w:p w14:paraId="2A50940C" w14:textId="77777777" w:rsidR="009D13A0" w:rsidRPr="00B841ED" w:rsidRDefault="009D13A0" w:rsidP="00B841ED">
      <w:pPr>
        <w:spacing w:line="240" w:lineRule="auto"/>
        <w:ind w:left="567" w:right="539"/>
        <w:rPr>
          <w:i/>
        </w:rPr>
      </w:pPr>
      <w:r w:rsidRPr="00B841ED">
        <w:rPr>
          <w:i/>
        </w:rPr>
        <w:t>41100100000100S Unidad de Enlace</w:t>
      </w:r>
    </w:p>
    <w:p w14:paraId="704C5105" w14:textId="77777777" w:rsidR="009D13A0" w:rsidRPr="00B841ED" w:rsidRDefault="009D13A0" w:rsidP="00B841ED">
      <w:pPr>
        <w:spacing w:line="240" w:lineRule="auto"/>
        <w:ind w:left="567" w:right="539"/>
        <w:rPr>
          <w:i/>
        </w:rPr>
      </w:pPr>
      <w:r w:rsidRPr="00B841ED">
        <w:rPr>
          <w:i/>
        </w:rPr>
        <w:t>41100100020000S Órgano Interno de Control</w:t>
      </w:r>
    </w:p>
    <w:p w14:paraId="3ACD23A7" w14:textId="77777777" w:rsidR="009D13A0" w:rsidRPr="00B841ED" w:rsidRDefault="009D13A0" w:rsidP="00B841ED">
      <w:pPr>
        <w:spacing w:line="240" w:lineRule="auto"/>
        <w:ind w:left="567" w:right="539"/>
        <w:rPr>
          <w:i/>
        </w:rPr>
      </w:pPr>
      <w:r w:rsidRPr="00B841ED">
        <w:rPr>
          <w:i/>
        </w:rPr>
        <w:t>41100102000000S Unidad de Asuntos Jurídicos e Igualdad de Género</w:t>
      </w:r>
    </w:p>
    <w:p w14:paraId="6ADD9ACD" w14:textId="77777777" w:rsidR="009D13A0" w:rsidRPr="00B841ED" w:rsidRDefault="009D13A0" w:rsidP="00B841ED">
      <w:pPr>
        <w:spacing w:line="240" w:lineRule="auto"/>
        <w:ind w:left="567" w:right="539"/>
        <w:rPr>
          <w:i/>
        </w:rPr>
      </w:pPr>
      <w:r w:rsidRPr="00B841ED">
        <w:rPr>
          <w:i/>
        </w:rPr>
        <w:t>41100100030000S Unidad de Planeación y Transparencia</w:t>
      </w:r>
    </w:p>
    <w:p w14:paraId="5288A235" w14:textId="77777777" w:rsidR="009D13A0" w:rsidRPr="00B841ED" w:rsidRDefault="009D13A0" w:rsidP="00B841ED">
      <w:pPr>
        <w:spacing w:line="240" w:lineRule="auto"/>
        <w:ind w:left="567" w:right="539"/>
        <w:rPr>
          <w:i/>
        </w:rPr>
      </w:pPr>
      <w:r w:rsidRPr="00B841ED">
        <w:rPr>
          <w:i/>
        </w:rPr>
        <w:t>41100100040000S Coordinación de Administración y Finanzas</w:t>
      </w:r>
    </w:p>
    <w:p w14:paraId="5EC3AF48" w14:textId="77777777" w:rsidR="009D13A0" w:rsidRPr="00B841ED" w:rsidRDefault="009D13A0" w:rsidP="00B841ED">
      <w:pPr>
        <w:spacing w:line="240" w:lineRule="auto"/>
        <w:ind w:left="567" w:right="539"/>
        <w:rPr>
          <w:i/>
        </w:rPr>
      </w:pPr>
      <w:r w:rsidRPr="00B841ED">
        <w:rPr>
          <w:i/>
        </w:rPr>
        <w:t>41100100040100S Subdirección de Contabilidad y Finanzas</w:t>
      </w:r>
    </w:p>
    <w:p w14:paraId="142849CE" w14:textId="77777777" w:rsidR="009D13A0" w:rsidRPr="00B841ED" w:rsidRDefault="009D13A0" w:rsidP="00B841ED">
      <w:pPr>
        <w:spacing w:line="240" w:lineRule="auto"/>
        <w:ind w:left="567" w:right="539"/>
        <w:rPr>
          <w:i/>
        </w:rPr>
      </w:pPr>
      <w:r w:rsidRPr="00B841ED">
        <w:rPr>
          <w:i/>
        </w:rPr>
        <w:t>41100100040001S Departamento de Desarrollo de Personal</w:t>
      </w:r>
    </w:p>
    <w:p w14:paraId="68A425D8" w14:textId="77777777" w:rsidR="009D13A0" w:rsidRPr="00B841ED" w:rsidRDefault="009D13A0" w:rsidP="00B841ED">
      <w:pPr>
        <w:spacing w:line="240" w:lineRule="auto"/>
        <w:ind w:left="567" w:right="539"/>
        <w:rPr>
          <w:i/>
        </w:rPr>
      </w:pPr>
      <w:r w:rsidRPr="00B841ED">
        <w:rPr>
          <w:i/>
        </w:rPr>
        <w:t>41100100040002S Departamento de Recursos Materiales y Servicios Generales</w:t>
      </w:r>
    </w:p>
    <w:p w14:paraId="7C4CD0A4" w14:textId="77777777" w:rsidR="009D13A0" w:rsidRPr="00B841ED" w:rsidRDefault="009D13A0" w:rsidP="00B841ED">
      <w:pPr>
        <w:spacing w:line="240" w:lineRule="auto"/>
        <w:ind w:left="567" w:right="539"/>
        <w:rPr>
          <w:b/>
          <w:i/>
          <w:u w:val="single"/>
        </w:rPr>
      </w:pPr>
      <w:r w:rsidRPr="00B841ED">
        <w:rPr>
          <w:b/>
          <w:i/>
          <w:u w:val="single"/>
        </w:rPr>
        <w:t>41100101000000L Dirección General de Vinculación Interinstitucional</w:t>
      </w:r>
    </w:p>
    <w:p w14:paraId="29ED297A" w14:textId="77777777" w:rsidR="009D13A0" w:rsidRPr="00B841ED" w:rsidRDefault="009D13A0" w:rsidP="00B841ED">
      <w:pPr>
        <w:spacing w:line="240" w:lineRule="auto"/>
        <w:ind w:left="567" w:right="539"/>
        <w:rPr>
          <w:b/>
          <w:i/>
        </w:rPr>
      </w:pPr>
      <w:r w:rsidRPr="00B841ED">
        <w:rPr>
          <w:b/>
          <w:i/>
        </w:rPr>
        <w:t>41100101000100L Subdirección de Difusión y Comunicación Social</w:t>
      </w:r>
    </w:p>
    <w:p w14:paraId="2B929C78" w14:textId="2C50A938" w:rsidR="009D13A0" w:rsidRPr="00B841ED" w:rsidRDefault="009D13A0" w:rsidP="00B841ED">
      <w:pPr>
        <w:spacing w:line="240" w:lineRule="auto"/>
        <w:ind w:left="567" w:right="539"/>
        <w:rPr>
          <w:i/>
        </w:rPr>
      </w:pPr>
      <w:r w:rsidRPr="00B841ED">
        <w:rPr>
          <w:i/>
        </w:rPr>
        <w:lastRenderedPageBreak/>
        <w:t>41100101000200L Subdirección de Vinculación con el Sistema Nacional Anticorrupción y Sistemas Municipales</w:t>
      </w:r>
    </w:p>
    <w:p w14:paraId="328967CF" w14:textId="675E5692" w:rsidR="009D13A0" w:rsidRPr="00B841ED" w:rsidRDefault="009D13A0" w:rsidP="00B841ED">
      <w:pPr>
        <w:spacing w:line="240" w:lineRule="auto"/>
        <w:ind w:left="567" w:right="539"/>
        <w:rPr>
          <w:i/>
        </w:rPr>
      </w:pPr>
      <w:r w:rsidRPr="00B841ED">
        <w:rPr>
          <w:i/>
        </w:rPr>
        <w:t>41100104000000L Dirección General de Políticas Públicas y Riesgos en Materia Anticorrupción</w:t>
      </w:r>
    </w:p>
    <w:p w14:paraId="778CB113" w14:textId="5C603D39" w:rsidR="009D13A0" w:rsidRPr="00B841ED" w:rsidRDefault="009D13A0" w:rsidP="00B841ED">
      <w:pPr>
        <w:spacing w:line="240" w:lineRule="auto"/>
        <w:ind w:left="567" w:right="539"/>
        <w:rPr>
          <w:i/>
        </w:rPr>
      </w:pPr>
      <w:r w:rsidRPr="00B841ED">
        <w:rPr>
          <w:i/>
        </w:rPr>
        <w:t>41100104000100L Subdirección de Políticas Públicas Anticorrupción</w:t>
      </w:r>
    </w:p>
    <w:p w14:paraId="1BFC1A59" w14:textId="1714F0B0" w:rsidR="009D13A0" w:rsidRPr="00B841ED" w:rsidRDefault="009D13A0" w:rsidP="00B841ED">
      <w:pPr>
        <w:spacing w:line="240" w:lineRule="auto"/>
        <w:ind w:left="567" w:right="539"/>
        <w:rPr>
          <w:i/>
        </w:rPr>
      </w:pPr>
      <w:r w:rsidRPr="00B841ED">
        <w:rPr>
          <w:i/>
        </w:rPr>
        <w:t>(…</w:t>
      </w:r>
      <w:r w:rsidR="00BF0403" w:rsidRPr="00B841ED">
        <w:rPr>
          <w:i/>
        </w:rPr>
        <w:t>)</w:t>
      </w:r>
    </w:p>
    <w:p w14:paraId="1F3C52F6" w14:textId="77777777" w:rsidR="002A5A95" w:rsidRPr="00B841ED" w:rsidRDefault="002A5A95" w:rsidP="00B841ED">
      <w:pPr>
        <w:ind w:right="-93"/>
      </w:pPr>
    </w:p>
    <w:p w14:paraId="19624F68" w14:textId="3DB64DB2" w:rsidR="00BF0403" w:rsidRPr="00B841ED" w:rsidRDefault="00FD445F" w:rsidP="00B841ED">
      <w:pPr>
        <w:ind w:right="-93"/>
      </w:pPr>
      <w:r w:rsidRPr="00B841ED">
        <w:t>Asimismo el marco normativo en referencia establece en el apartado 41100101000000L las funciones de la Dirección General de Vinculación Interinstitucional, mismas que de nuestro interés resultan relevantes las siguientes:</w:t>
      </w:r>
    </w:p>
    <w:p w14:paraId="63ACB849" w14:textId="77777777" w:rsidR="008663ED" w:rsidRPr="00B841ED" w:rsidRDefault="008663ED" w:rsidP="00B841ED">
      <w:pPr>
        <w:ind w:right="-93"/>
      </w:pPr>
    </w:p>
    <w:p w14:paraId="15CF7ADC" w14:textId="40675E94" w:rsidR="00FD445F" w:rsidRPr="00B841ED" w:rsidRDefault="008663ED" w:rsidP="00B841ED">
      <w:pPr>
        <w:spacing w:line="240" w:lineRule="auto"/>
        <w:ind w:left="567" w:right="539"/>
        <w:rPr>
          <w:i/>
        </w:rPr>
      </w:pPr>
      <w:r w:rsidRPr="00B841ED">
        <w:rPr>
          <w:i/>
        </w:rPr>
        <w:t>41100101000000L DIRECCIÓN GENERAL DE VINCULACIÓN INTERINSTITUCIONAL</w:t>
      </w:r>
    </w:p>
    <w:p w14:paraId="58A42211" w14:textId="428CB9F7" w:rsidR="008663ED" w:rsidRPr="00B841ED" w:rsidRDefault="008663ED" w:rsidP="00B841ED">
      <w:pPr>
        <w:spacing w:line="240" w:lineRule="auto"/>
        <w:ind w:left="567" w:right="539"/>
        <w:rPr>
          <w:i/>
        </w:rPr>
      </w:pPr>
      <w:r w:rsidRPr="00B841ED">
        <w:rPr>
          <w:i/>
        </w:rPr>
        <w:t>(…)</w:t>
      </w:r>
    </w:p>
    <w:p w14:paraId="2BC6FE0A" w14:textId="3438AC74" w:rsidR="008663ED" w:rsidRPr="00B841ED" w:rsidRDefault="008663ED" w:rsidP="00B841ED">
      <w:pPr>
        <w:spacing w:line="240" w:lineRule="auto"/>
        <w:ind w:left="567" w:right="539"/>
        <w:rPr>
          <w:i/>
        </w:rPr>
      </w:pPr>
      <w:r w:rsidRPr="00B841ED">
        <w:rPr>
          <w:i/>
        </w:rPr>
        <w:t>FUNCIONES:</w:t>
      </w:r>
    </w:p>
    <w:p w14:paraId="7D3CADC9" w14:textId="3DAA6244" w:rsidR="008663ED" w:rsidRPr="00B841ED" w:rsidRDefault="008663ED" w:rsidP="00B841ED">
      <w:pPr>
        <w:spacing w:line="240" w:lineRule="auto"/>
        <w:ind w:left="567" w:right="539"/>
        <w:rPr>
          <w:i/>
        </w:rPr>
      </w:pPr>
      <w:r w:rsidRPr="00B841ED">
        <w:rPr>
          <w:i/>
        </w:rPr>
        <w:t>(…)</w:t>
      </w:r>
    </w:p>
    <w:p w14:paraId="7C972FAF" w14:textId="6F71C4B9" w:rsidR="008663ED" w:rsidRPr="00B841ED" w:rsidRDefault="008663ED" w:rsidP="00B841ED">
      <w:pPr>
        <w:pStyle w:val="Prrafodelista"/>
        <w:numPr>
          <w:ilvl w:val="0"/>
          <w:numId w:val="33"/>
        </w:numPr>
        <w:spacing w:line="240" w:lineRule="auto"/>
        <w:ind w:left="567" w:right="539" w:hanging="141"/>
        <w:rPr>
          <w:b/>
          <w:i/>
        </w:rPr>
      </w:pPr>
      <w:r w:rsidRPr="00B841ED">
        <w:rPr>
          <w:b/>
          <w:i/>
        </w:rPr>
        <w:t>Supervisar la elaboración y dar seguimiento a la autorización del Programa Editorial Anual de la Secretaría Ejecutiva del Sistema Estatal Anticorrupción.</w:t>
      </w:r>
    </w:p>
    <w:p w14:paraId="3167FDF7" w14:textId="39E4A879" w:rsidR="008663ED" w:rsidRPr="00B841ED" w:rsidRDefault="008663ED" w:rsidP="00B841ED">
      <w:pPr>
        <w:pStyle w:val="Prrafodelista"/>
        <w:numPr>
          <w:ilvl w:val="0"/>
          <w:numId w:val="33"/>
        </w:numPr>
        <w:spacing w:line="240" w:lineRule="auto"/>
        <w:ind w:left="567" w:right="539" w:hanging="141"/>
        <w:rPr>
          <w:b/>
          <w:i/>
        </w:rPr>
      </w:pPr>
      <w:r w:rsidRPr="00B841ED">
        <w:rPr>
          <w:b/>
          <w:i/>
        </w:rPr>
        <w:t>Supervisar el seguimiento a los acuerdos de la instancia editorial de la Secretaría Ejecutiva.</w:t>
      </w:r>
    </w:p>
    <w:p w14:paraId="571172CB" w14:textId="3B9D3087" w:rsidR="008663ED" w:rsidRPr="00B841ED" w:rsidRDefault="008663ED" w:rsidP="00B841ED">
      <w:pPr>
        <w:pStyle w:val="Prrafodelista"/>
        <w:numPr>
          <w:ilvl w:val="0"/>
          <w:numId w:val="33"/>
        </w:numPr>
        <w:spacing w:line="240" w:lineRule="auto"/>
        <w:ind w:left="567" w:right="539" w:hanging="141"/>
        <w:rPr>
          <w:i/>
        </w:rPr>
      </w:pPr>
      <w:r w:rsidRPr="00B841ED">
        <w:rPr>
          <w:b/>
          <w:i/>
        </w:rPr>
        <w:t>Desarrollar las demás funciones inherentes al área de su competencia.</w:t>
      </w:r>
    </w:p>
    <w:p w14:paraId="326AAB2B" w14:textId="4AC787AC" w:rsidR="008663ED" w:rsidRPr="00B841ED" w:rsidRDefault="008663ED" w:rsidP="00B841ED">
      <w:pPr>
        <w:spacing w:line="240" w:lineRule="auto"/>
        <w:ind w:left="567" w:right="539"/>
      </w:pPr>
      <w:r w:rsidRPr="00B841ED">
        <w:rPr>
          <w:i/>
        </w:rPr>
        <w:t>(…)</w:t>
      </w:r>
    </w:p>
    <w:p w14:paraId="1287A3C5" w14:textId="77777777" w:rsidR="00FD445F" w:rsidRPr="00B841ED" w:rsidRDefault="00FD445F" w:rsidP="00B841ED">
      <w:pPr>
        <w:ind w:right="-93"/>
      </w:pPr>
    </w:p>
    <w:p w14:paraId="27B12895" w14:textId="271D9330" w:rsidR="008663ED" w:rsidRPr="00B841ED" w:rsidRDefault="008663ED" w:rsidP="00B841ED">
      <w:pPr>
        <w:ind w:right="-93"/>
      </w:pPr>
      <w:r w:rsidRPr="00B841ED">
        <w:t>Por otro lado de la estructura orgánica referida en el marco normativo en cita, podemos dilucidar que, Subdirección de Difusión y Comunicación Social es una dependencia adscrita a la Dirección General de Vinculación Interinstitucional que a su vez esta cuenta con las siguientes funciones y objetivos aplicables al caso en concreto:</w:t>
      </w:r>
    </w:p>
    <w:p w14:paraId="5AB0EBED" w14:textId="77777777" w:rsidR="008663ED" w:rsidRPr="00B841ED" w:rsidRDefault="008663ED" w:rsidP="00B841ED">
      <w:pPr>
        <w:ind w:right="-93"/>
      </w:pPr>
    </w:p>
    <w:p w14:paraId="5057B9DD" w14:textId="66EE0B3E" w:rsidR="008663ED" w:rsidRPr="00B841ED" w:rsidRDefault="008663ED" w:rsidP="00B841ED">
      <w:pPr>
        <w:spacing w:line="240" w:lineRule="auto"/>
        <w:ind w:left="567" w:right="539"/>
        <w:rPr>
          <w:i/>
        </w:rPr>
      </w:pPr>
      <w:r w:rsidRPr="00B841ED">
        <w:rPr>
          <w:i/>
        </w:rPr>
        <w:t>41100101000100L SUBDIRECCIÓN DE DIFUSIÓN Y COMUNICACIÓN SOCIAL</w:t>
      </w:r>
    </w:p>
    <w:p w14:paraId="52877E3E" w14:textId="77777777" w:rsidR="008663ED" w:rsidRPr="00B841ED" w:rsidRDefault="008663ED" w:rsidP="00B841ED">
      <w:pPr>
        <w:spacing w:line="240" w:lineRule="auto"/>
        <w:ind w:left="567" w:right="539"/>
        <w:rPr>
          <w:i/>
        </w:rPr>
      </w:pPr>
      <w:r w:rsidRPr="00B841ED">
        <w:rPr>
          <w:i/>
        </w:rPr>
        <w:t xml:space="preserve">OBJETIVO: Implementar los mecanismos para promover y </w:t>
      </w:r>
      <w:r w:rsidRPr="00B841ED">
        <w:rPr>
          <w:b/>
          <w:i/>
        </w:rPr>
        <w:t xml:space="preserve">difundir acciones en materia de prevención, detección y disuasión de hechos de corrupción, a través de </w:t>
      </w:r>
      <w:r w:rsidRPr="00B841ED">
        <w:rPr>
          <w:b/>
          <w:i/>
        </w:rPr>
        <w:lastRenderedPageBreak/>
        <w:t>instrumentos de comunicación impresa, electrónica y audiovisual</w:t>
      </w:r>
      <w:r w:rsidRPr="00B841ED">
        <w:rPr>
          <w:i/>
        </w:rPr>
        <w:t xml:space="preserve">, que fortalezcan la imagen institucional de la Secretaría Ejecutiva. </w:t>
      </w:r>
    </w:p>
    <w:p w14:paraId="553249A7" w14:textId="3302FFF1" w:rsidR="008663ED" w:rsidRPr="00B841ED" w:rsidRDefault="008663ED" w:rsidP="00B841ED">
      <w:pPr>
        <w:spacing w:line="240" w:lineRule="auto"/>
        <w:ind w:left="567" w:right="539"/>
        <w:rPr>
          <w:i/>
        </w:rPr>
      </w:pPr>
      <w:r w:rsidRPr="00B841ED">
        <w:rPr>
          <w:i/>
        </w:rPr>
        <w:t>FUNCIONES:</w:t>
      </w:r>
    </w:p>
    <w:p w14:paraId="34AE4EA8" w14:textId="53EF3134" w:rsidR="00FD445F" w:rsidRPr="00B841ED" w:rsidRDefault="008663ED" w:rsidP="00B841ED">
      <w:pPr>
        <w:pStyle w:val="Prrafodelista"/>
        <w:numPr>
          <w:ilvl w:val="0"/>
          <w:numId w:val="33"/>
        </w:numPr>
        <w:spacing w:line="240" w:lineRule="auto"/>
        <w:ind w:left="567" w:right="539"/>
        <w:rPr>
          <w:b/>
          <w:i/>
        </w:rPr>
      </w:pPr>
      <w:r w:rsidRPr="00B841ED">
        <w:rPr>
          <w:b/>
          <w:i/>
        </w:rPr>
        <w:t>Elaborar para su aprobación, el programa editorial de la Secretaría Ejecutiva</w:t>
      </w:r>
    </w:p>
    <w:p w14:paraId="79824294" w14:textId="779B0DAB" w:rsidR="008663ED" w:rsidRPr="00B841ED" w:rsidRDefault="008663ED" w:rsidP="00B841ED">
      <w:pPr>
        <w:pStyle w:val="Prrafodelista"/>
        <w:numPr>
          <w:ilvl w:val="0"/>
          <w:numId w:val="33"/>
        </w:numPr>
        <w:spacing w:line="240" w:lineRule="auto"/>
        <w:ind w:left="567" w:right="539"/>
        <w:rPr>
          <w:b/>
          <w:i/>
        </w:rPr>
      </w:pPr>
      <w:r w:rsidRPr="00B841ED">
        <w:rPr>
          <w:b/>
          <w:i/>
        </w:rPr>
        <w:t>Supervisar las modificaciones y actualizaciones del sitio electrónico de la Secretaría Ejecutiva, en coordinación con la Dirección General de Servicios Tecnológicos y Plataforma Digital.</w:t>
      </w:r>
    </w:p>
    <w:p w14:paraId="1E0C5A41" w14:textId="31937A71" w:rsidR="00FD445F" w:rsidRPr="00B841ED" w:rsidRDefault="008663ED" w:rsidP="00B841ED">
      <w:pPr>
        <w:pStyle w:val="Prrafodelista"/>
        <w:numPr>
          <w:ilvl w:val="0"/>
          <w:numId w:val="33"/>
        </w:numPr>
        <w:spacing w:line="240" w:lineRule="auto"/>
        <w:ind w:left="567" w:right="539"/>
        <w:rPr>
          <w:i/>
        </w:rPr>
      </w:pPr>
      <w:r w:rsidRPr="00B841ED">
        <w:rPr>
          <w:b/>
          <w:i/>
        </w:rPr>
        <w:t>Dar seguimiento a los acuerdos de la instancia editorial de la Secretaría Ejecutiva</w:t>
      </w:r>
    </w:p>
    <w:p w14:paraId="5AEF2436" w14:textId="77777777" w:rsidR="00FD445F" w:rsidRPr="00B841ED" w:rsidRDefault="00FD445F" w:rsidP="00B841ED">
      <w:pPr>
        <w:ind w:right="-93"/>
      </w:pPr>
    </w:p>
    <w:p w14:paraId="19648B15" w14:textId="5F7FE5DC" w:rsidR="00E85047" w:rsidRPr="00B841ED" w:rsidRDefault="00C10C62" w:rsidP="00B841ED">
      <w:pPr>
        <w:ind w:right="-93"/>
      </w:pPr>
      <w:r w:rsidRPr="00B841ED">
        <w:t xml:space="preserve">Atento a lo anterior, podemos advertir que, </w:t>
      </w:r>
      <w:r w:rsidR="00E85047" w:rsidRPr="00B841ED">
        <w:rPr>
          <w:rFonts w:cs="Tahoma"/>
          <w:bCs/>
          <w:szCs w:val="22"/>
        </w:rPr>
        <w:t xml:space="preserve">se demuestra que, </w:t>
      </w:r>
      <w:r w:rsidR="00E85047" w:rsidRPr="00B841ED">
        <w:rPr>
          <w:rFonts w:cs="Tahoma"/>
          <w:b/>
          <w:bCs/>
          <w:szCs w:val="22"/>
        </w:rPr>
        <w:t>EL SUJETO OBLIGADO</w:t>
      </w:r>
      <w:r w:rsidR="00E85047" w:rsidRPr="00B841ED">
        <w:rPr>
          <w:rFonts w:cs="Tahoma"/>
          <w:bCs/>
          <w:szCs w:val="22"/>
        </w:rPr>
        <w:t xml:space="preserve"> siguió </w:t>
      </w:r>
      <w:r w:rsidR="00E85047" w:rsidRPr="00B841ED">
        <w:t>el procedimiento establecido por el artículo 162 de la Ley de Transparencia y Acceso a la Información Pública del Estado de México y Municipios, turnando la solicitud a las áreas en las que pudiera obrar la información de conformidad con la fracción XXXIX del artículo tercero de la legislación local vigente en materia de transparencia:</w:t>
      </w:r>
    </w:p>
    <w:p w14:paraId="413863A5" w14:textId="77777777" w:rsidR="00E85047" w:rsidRPr="00B841ED" w:rsidRDefault="00E85047" w:rsidP="00B841ED">
      <w:pPr>
        <w:ind w:right="-93"/>
      </w:pPr>
    </w:p>
    <w:p w14:paraId="2B538191" w14:textId="77777777" w:rsidR="00E85047" w:rsidRPr="00B841ED" w:rsidRDefault="00E85047" w:rsidP="00B841ED">
      <w:pPr>
        <w:spacing w:line="240" w:lineRule="auto"/>
        <w:ind w:left="851" w:right="822"/>
        <w:rPr>
          <w:rFonts w:cs="Tahoma"/>
          <w:bCs/>
          <w:i/>
          <w:szCs w:val="22"/>
        </w:rPr>
      </w:pPr>
      <w:r w:rsidRPr="00B841ED">
        <w:rPr>
          <w:b/>
          <w:i/>
        </w:rPr>
        <w:t>XXXIX.</w:t>
      </w:r>
      <w:r w:rsidRPr="00B841ED">
        <w:rPr>
          <w:i/>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D9E5C3C" w14:textId="77777777" w:rsidR="00E85047" w:rsidRPr="00B841ED" w:rsidRDefault="00E85047" w:rsidP="00B841ED">
      <w:pPr>
        <w:ind w:right="-93"/>
        <w:rPr>
          <w:rFonts w:cs="Tahoma"/>
          <w:bCs/>
          <w:szCs w:val="22"/>
        </w:rPr>
      </w:pPr>
    </w:p>
    <w:p w14:paraId="7F454B5A" w14:textId="77777777" w:rsidR="00E85047" w:rsidRPr="00B841ED" w:rsidRDefault="00E85047" w:rsidP="00B841ED">
      <w:pPr>
        <w:ind w:right="-93"/>
      </w:pPr>
      <w:r w:rsidRPr="00B841ED">
        <w:t>Así las cosas, se advierte que efectivamente la Unidad de Transparencia cumplió con lo establecido en el artículo 162 de la Ley de Transparencia y Acceso a la Información Pública del Estado de México y Municipios, el cual menciona lo siguiente:</w:t>
      </w:r>
    </w:p>
    <w:p w14:paraId="2068A892" w14:textId="77777777" w:rsidR="00E85047" w:rsidRPr="00B841ED" w:rsidRDefault="00E85047" w:rsidP="00B841ED">
      <w:pPr>
        <w:ind w:right="-93"/>
      </w:pPr>
    </w:p>
    <w:p w14:paraId="6A1799AA" w14:textId="77777777" w:rsidR="00E85047" w:rsidRPr="00B841ED" w:rsidRDefault="00E85047" w:rsidP="00B841ED">
      <w:pPr>
        <w:spacing w:line="240" w:lineRule="auto"/>
        <w:ind w:left="851" w:right="822"/>
        <w:rPr>
          <w:rFonts w:cs="Tahoma"/>
          <w:bCs/>
          <w:i/>
          <w:szCs w:val="22"/>
        </w:rPr>
      </w:pPr>
      <w:r w:rsidRPr="00B841ED">
        <w:rPr>
          <w:i/>
        </w:rPr>
        <w:t xml:space="preserve">“Artículo 162. Las unidades de transparencia deberán garantizar que las solicitudes se turnen a </w:t>
      </w:r>
      <w:r w:rsidRPr="00B841ED">
        <w:rPr>
          <w:b/>
          <w:i/>
        </w:rPr>
        <w:t>todas las Áreas competentes</w:t>
      </w:r>
      <w:r w:rsidRPr="00B841ED">
        <w:rPr>
          <w:i/>
        </w:rPr>
        <w:t xml:space="preserve"> que cuenten con la información o deban tenerla de acuerdo a sus facultades, competencias y funciones, con el objeto de que realicen una búsqueda exhaustiva y razonable de la información solicitada.”</w:t>
      </w:r>
    </w:p>
    <w:p w14:paraId="11753A76" w14:textId="77777777" w:rsidR="00E85047" w:rsidRPr="00B841ED" w:rsidRDefault="00E85047" w:rsidP="00B841ED">
      <w:pPr>
        <w:ind w:right="-93"/>
        <w:rPr>
          <w:rFonts w:cs="Tahoma"/>
          <w:bCs/>
          <w:szCs w:val="22"/>
        </w:rPr>
      </w:pPr>
    </w:p>
    <w:p w14:paraId="0FAC03F4" w14:textId="5915ABAD" w:rsidR="00C10C62" w:rsidRPr="00B841ED" w:rsidRDefault="00C10C62" w:rsidP="00B841ED">
      <w:pPr>
        <w:ind w:right="-93"/>
      </w:pPr>
      <w:r w:rsidRPr="00B841ED">
        <w:rPr>
          <w:rFonts w:cs="Tahoma"/>
          <w:bCs/>
          <w:szCs w:val="22"/>
        </w:rPr>
        <w:lastRenderedPageBreak/>
        <w:t xml:space="preserve">Por otro lado, ante los requerimientos inmersos en la solicitud de información, es preciso decir que </w:t>
      </w:r>
      <w:r w:rsidRPr="00B841ED">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5520696D" w14:textId="77777777" w:rsidR="00C10C62" w:rsidRPr="00B841ED" w:rsidRDefault="00C10C62" w:rsidP="00B841ED">
      <w:pPr>
        <w:ind w:right="-93"/>
      </w:pPr>
    </w:p>
    <w:p w14:paraId="577966DE" w14:textId="77777777" w:rsidR="00C10C62" w:rsidRPr="00B841ED" w:rsidRDefault="00C10C62" w:rsidP="00B841ED">
      <w:pPr>
        <w:ind w:right="-93"/>
      </w:pPr>
      <w:r w:rsidRPr="00B841ED">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676C3E8B" w14:textId="77777777" w:rsidR="00C10C62" w:rsidRPr="00B841ED" w:rsidRDefault="00C10C62" w:rsidP="00B841ED">
      <w:pPr>
        <w:ind w:right="-93"/>
      </w:pPr>
    </w:p>
    <w:p w14:paraId="3EA849EA" w14:textId="77777777" w:rsidR="00C10C62" w:rsidRPr="00B841ED" w:rsidRDefault="00C10C62" w:rsidP="00B841ED">
      <w:pPr>
        <w:ind w:right="-93"/>
      </w:pPr>
      <w:r w:rsidRPr="00B841ED">
        <w:t xml:space="preserve">Lo anterior toma relevancia, pues según Jarquín, Soledad (2019), en el “Diccionario de Transparencia y Acceso a la Información Pública” (p. 126 y 127), todos los </w:t>
      </w:r>
      <w:r w:rsidRPr="00B841ED">
        <w:rPr>
          <w:b/>
        </w:rPr>
        <w:t>SUJETOS OBLIGADOS</w:t>
      </w:r>
      <w:r w:rsidRPr="00B841ED">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92873AB" w14:textId="77777777" w:rsidR="00C10C62" w:rsidRPr="00B841ED" w:rsidRDefault="00C10C62" w:rsidP="00B841ED">
      <w:pPr>
        <w:ind w:right="-93"/>
      </w:pPr>
    </w:p>
    <w:p w14:paraId="7FEA42E8" w14:textId="77777777" w:rsidR="00C10C62" w:rsidRPr="00B841ED" w:rsidRDefault="00C10C62" w:rsidP="00B841ED">
      <w:pPr>
        <w:ind w:right="-93"/>
      </w:pPr>
      <w:r w:rsidRPr="00B841ED">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6BC5D527" w14:textId="77777777" w:rsidR="00C10C62" w:rsidRPr="00B841ED" w:rsidRDefault="00C10C62" w:rsidP="00B841ED">
      <w:pPr>
        <w:ind w:right="-93"/>
        <w:rPr>
          <w:rFonts w:cs="Tahoma"/>
          <w:bCs/>
          <w:szCs w:val="22"/>
        </w:rPr>
      </w:pPr>
    </w:p>
    <w:p w14:paraId="15DCC486" w14:textId="625CCFDB" w:rsidR="008663ED" w:rsidRPr="00B841ED" w:rsidRDefault="00E85047" w:rsidP="00B841ED">
      <w:pPr>
        <w:ind w:right="-93"/>
        <w:rPr>
          <w:rFonts w:cs="Tahoma"/>
          <w:bCs/>
          <w:szCs w:val="22"/>
        </w:rPr>
      </w:pPr>
      <w:r w:rsidRPr="00B841ED">
        <w:rPr>
          <w:rFonts w:cs="Tahoma"/>
          <w:bCs/>
          <w:szCs w:val="22"/>
        </w:rPr>
        <w:t xml:space="preserve">Ahora bien, dada la inconformidad hecha valer por </w:t>
      </w:r>
      <w:r w:rsidRPr="00B841ED">
        <w:rPr>
          <w:rFonts w:cs="Tahoma"/>
          <w:b/>
          <w:bCs/>
          <w:szCs w:val="22"/>
        </w:rPr>
        <w:t>LA PARTE RECURRENTE</w:t>
      </w:r>
      <w:r w:rsidRPr="00B841ED">
        <w:rPr>
          <w:rFonts w:cs="Tahoma"/>
          <w:bCs/>
          <w:szCs w:val="22"/>
        </w:rPr>
        <w:t xml:space="preserve">, </w:t>
      </w:r>
      <w:r w:rsidR="008663ED" w:rsidRPr="00B841ED">
        <w:rPr>
          <w:rFonts w:cs="Tahoma"/>
          <w:bCs/>
          <w:szCs w:val="22"/>
        </w:rPr>
        <w:t xml:space="preserve">resulta oportuno mencionar que este se duele de la entrega de información incompleta, para lo cual los requerimientos y respuestas, en </w:t>
      </w:r>
      <w:r w:rsidR="00E17F16" w:rsidRPr="00B841ED">
        <w:rPr>
          <w:rFonts w:cs="Tahoma"/>
          <w:bCs/>
          <w:szCs w:val="22"/>
        </w:rPr>
        <w:t>síntesis,</w:t>
      </w:r>
      <w:r w:rsidR="008663ED" w:rsidRPr="00B841ED">
        <w:rPr>
          <w:rFonts w:cs="Tahoma"/>
          <w:bCs/>
          <w:szCs w:val="22"/>
        </w:rPr>
        <w:t xml:space="preserve"> versan en lo siguiente:</w:t>
      </w:r>
    </w:p>
    <w:p w14:paraId="4440C8F9" w14:textId="77777777" w:rsidR="00E17F16" w:rsidRPr="00B841ED" w:rsidRDefault="00E17F16" w:rsidP="00B841ED">
      <w:pPr>
        <w:ind w:right="-93"/>
        <w:rPr>
          <w:rFonts w:cs="Tahoma"/>
          <w:bCs/>
          <w:szCs w:val="22"/>
        </w:rPr>
      </w:pPr>
    </w:p>
    <w:tbl>
      <w:tblPr>
        <w:tblStyle w:val="Tablaconcuadrcula"/>
        <w:tblW w:w="10206" w:type="dxa"/>
        <w:tblInd w:w="-572" w:type="dxa"/>
        <w:tblLook w:val="04A0" w:firstRow="1" w:lastRow="0" w:firstColumn="1" w:lastColumn="0" w:noHBand="0" w:noVBand="1"/>
      </w:tblPr>
      <w:tblGrid>
        <w:gridCol w:w="2410"/>
        <w:gridCol w:w="4661"/>
        <w:gridCol w:w="3135"/>
      </w:tblGrid>
      <w:tr w:rsidR="00B841ED" w:rsidRPr="00B841ED" w14:paraId="3FA4D36E" w14:textId="0B2794EA" w:rsidTr="004E67DA">
        <w:tc>
          <w:tcPr>
            <w:tcW w:w="2410" w:type="dxa"/>
          </w:tcPr>
          <w:p w14:paraId="2392C74A" w14:textId="03B7C953" w:rsidR="0071091D" w:rsidRPr="00B841ED" w:rsidRDefault="0071091D" w:rsidP="00B841ED">
            <w:pPr>
              <w:ind w:right="-93"/>
              <w:rPr>
                <w:rFonts w:cs="Tahoma"/>
                <w:bCs/>
                <w:szCs w:val="22"/>
              </w:rPr>
            </w:pPr>
            <w:r w:rsidRPr="00B841ED">
              <w:rPr>
                <w:rFonts w:cs="Tahoma"/>
                <w:bCs/>
                <w:szCs w:val="22"/>
              </w:rPr>
              <w:t>Requerimientos:</w:t>
            </w:r>
          </w:p>
        </w:tc>
        <w:tc>
          <w:tcPr>
            <w:tcW w:w="4661" w:type="dxa"/>
          </w:tcPr>
          <w:p w14:paraId="50F41A61" w14:textId="774D50CB" w:rsidR="0071091D" w:rsidRPr="00B841ED" w:rsidRDefault="0071091D" w:rsidP="00B841ED">
            <w:pPr>
              <w:ind w:right="-93"/>
              <w:rPr>
                <w:rFonts w:cs="Tahoma"/>
                <w:bCs/>
                <w:szCs w:val="22"/>
              </w:rPr>
            </w:pPr>
            <w:r w:rsidRPr="00B841ED">
              <w:rPr>
                <w:rFonts w:cs="Tahoma"/>
                <w:bCs/>
                <w:szCs w:val="22"/>
              </w:rPr>
              <w:t>Información Proporcionada:</w:t>
            </w:r>
          </w:p>
        </w:tc>
        <w:tc>
          <w:tcPr>
            <w:tcW w:w="3135" w:type="dxa"/>
          </w:tcPr>
          <w:p w14:paraId="088880EB" w14:textId="043F67A0" w:rsidR="0071091D" w:rsidRPr="00B841ED" w:rsidRDefault="0071091D" w:rsidP="00B841ED">
            <w:pPr>
              <w:ind w:right="-93"/>
              <w:rPr>
                <w:rFonts w:cs="Tahoma"/>
                <w:bCs/>
                <w:szCs w:val="22"/>
              </w:rPr>
            </w:pPr>
            <w:r w:rsidRPr="00B841ED">
              <w:rPr>
                <w:rFonts w:cs="Tahoma"/>
                <w:bCs/>
                <w:szCs w:val="22"/>
              </w:rPr>
              <w:t xml:space="preserve">Resultado: </w:t>
            </w:r>
          </w:p>
        </w:tc>
      </w:tr>
      <w:tr w:rsidR="00B841ED" w:rsidRPr="00B841ED" w14:paraId="21CA2088" w14:textId="77C67BC7" w:rsidTr="004E67DA">
        <w:tc>
          <w:tcPr>
            <w:tcW w:w="2410" w:type="dxa"/>
          </w:tcPr>
          <w:p w14:paraId="314FF4C9" w14:textId="76610F83" w:rsidR="0071091D" w:rsidRPr="00B841ED" w:rsidRDefault="0071091D" w:rsidP="00B841ED">
            <w:pPr>
              <w:ind w:right="-93"/>
              <w:rPr>
                <w:rFonts w:cs="Tahoma"/>
                <w:bCs/>
                <w:szCs w:val="22"/>
              </w:rPr>
            </w:pPr>
            <w:r w:rsidRPr="00B841ED">
              <w:rPr>
                <w:rFonts w:cs="Tahoma"/>
                <w:bCs/>
                <w:iCs/>
                <w:szCs w:val="22"/>
              </w:rPr>
              <w:t xml:space="preserve">Proyectos de edición para la revista digital “Experiencia Anticorrupción” </w:t>
            </w:r>
          </w:p>
        </w:tc>
        <w:tc>
          <w:tcPr>
            <w:tcW w:w="4661" w:type="dxa"/>
          </w:tcPr>
          <w:p w14:paraId="636E83FB" w14:textId="4586345E" w:rsidR="0071091D" w:rsidRPr="00B841ED" w:rsidRDefault="0071091D" w:rsidP="00B841ED">
            <w:pPr>
              <w:ind w:right="-93"/>
              <w:rPr>
                <w:rFonts w:cs="Tahoma"/>
                <w:bCs/>
                <w:szCs w:val="22"/>
              </w:rPr>
            </w:pPr>
            <w:r w:rsidRPr="00B841ED">
              <w:rPr>
                <w:rFonts w:cs="Tahoma"/>
                <w:bCs/>
                <w:szCs w:val="22"/>
              </w:rPr>
              <w:t xml:space="preserve">De las constancias que obran en las respuestas a las solicitudes de información, se desprende que la </w:t>
            </w:r>
            <w:r w:rsidRPr="00B841ED">
              <w:t xml:space="preserve">Subdirectora de Difusión y Comunicación Social refiere que, los proyectos de edición se encuentran inmersos en las actas del Subcomité Editorial que son acompañadas como documentos anexos, sin embargo únicamente respecto de la solicitud de información número </w:t>
            </w:r>
            <w:r w:rsidRPr="00B841ED">
              <w:rPr>
                <w:b/>
              </w:rPr>
              <w:t>00993/SESEA/IP/2024</w:t>
            </w:r>
            <w:r w:rsidRPr="00B841ED">
              <w:rPr>
                <w:rFonts w:cs="Tahoma"/>
                <w:bCs/>
                <w:szCs w:val="22"/>
              </w:rPr>
              <w:t xml:space="preserve"> </w:t>
            </w:r>
            <w:r w:rsidR="004E67DA" w:rsidRPr="00B841ED">
              <w:rPr>
                <w:rFonts w:cs="Tahoma"/>
                <w:bCs/>
                <w:szCs w:val="22"/>
              </w:rPr>
              <w:t xml:space="preserve">fue posible acceder al soporte documental respectivo, de donde es posible obtener el proyecto (s) que se sometió a consideración del Subcomité Editorial para su aprobación, según la sesión que correspondiera </w:t>
            </w:r>
            <w:r w:rsidRPr="00B841ED">
              <w:rPr>
                <w:rFonts w:cs="Tahoma"/>
                <w:bCs/>
                <w:szCs w:val="22"/>
              </w:rPr>
              <w:t xml:space="preserve"> </w:t>
            </w:r>
          </w:p>
        </w:tc>
        <w:tc>
          <w:tcPr>
            <w:tcW w:w="3135" w:type="dxa"/>
          </w:tcPr>
          <w:p w14:paraId="14877B47" w14:textId="7311C376" w:rsidR="0071091D" w:rsidRPr="00B841ED" w:rsidRDefault="004E67DA" w:rsidP="00B841ED">
            <w:pPr>
              <w:ind w:right="-93"/>
              <w:rPr>
                <w:rFonts w:cs="Tahoma"/>
                <w:bCs/>
                <w:szCs w:val="22"/>
              </w:rPr>
            </w:pPr>
            <w:r w:rsidRPr="00B841ED">
              <w:rPr>
                <w:rFonts w:cs="Tahoma"/>
                <w:bCs/>
                <w:szCs w:val="22"/>
              </w:rPr>
              <w:t xml:space="preserve">Satisface parcialmente el derecho de </w:t>
            </w:r>
            <w:r w:rsidRPr="00B841ED">
              <w:rPr>
                <w:rFonts w:cs="Tahoma"/>
                <w:b/>
                <w:bCs/>
                <w:szCs w:val="22"/>
              </w:rPr>
              <w:t xml:space="preserve">LA PARTE RECURRENTE </w:t>
            </w:r>
            <w:r w:rsidRPr="00B841ED">
              <w:rPr>
                <w:rFonts w:cs="Tahoma"/>
                <w:bCs/>
                <w:szCs w:val="22"/>
              </w:rPr>
              <w:t xml:space="preserve">en virtud de que el resto de los documentos digitales que corresponden a las actas de las sesiones del Subcomité Editorial se encuentran dañados lo que impide acceder a su contenido y por ende conocer los proyectos que fueron sometidos a consideración de dicho organismo. </w:t>
            </w:r>
          </w:p>
        </w:tc>
      </w:tr>
      <w:tr w:rsidR="00B841ED" w:rsidRPr="00B841ED" w14:paraId="5CD0F8D6" w14:textId="2C91218B" w:rsidTr="004E67DA">
        <w:tc>
          <w:tcPr>
            <w:tcW w:w="2410" w:type="dxa"/>
          </w:tcPr>
          <w:p w14:paraId="1D178D31" w14:textId="215AAFFE" w:rsidR="0071091D" w:rsidRPr="00B841ED" w:rsidRDefault="0071091D" w:rsidP="00B841ED">
            <w:pPr>
              <w:ind w:right="-93"/>
              <w:rPr>
                <w:rFonts w:cs="Tahoma"/>
                <w:bCs/>
                <w:iCs/>
                <w:szCs w:val="22"/>
              </w:rPr>
            </w:pPr>
            <w:r w:rsidRPr="00B841ED">
              <w:rPr>
                <w:rFonts w:cs="Tahoma"/>
                <w:bCs/>
                <w:iCs/>
                <w:szCs w:val="22"/>
              </w:rPr>
              <w:t>Insumos de edición de la revista digital Experiencia Anticorrupción</w:t>
            </w:r>
          </w:p>
        </w:tc>
        <w:tc>
          <w:tcPr>
            <w:tcW w:w="4661" w:type="dxa"/>
          </w:tcPr>
          <w:p w14:paraId="2B906073" w14:textId="24EEA760" w:rsidR="0071091D" w:rsidRPr="00B841ED" w:rsidRDefault="0071091D" w:rsidP="00B841ED">
            <w:pPr>
              <w:ind w:right="-93"/>
              <w:rPr>
                <w:rFonts w:cs="Tahoma"/>
                <w:bCs/>
                <w:szCs w:val="22"/>
              </w:rPr>
            </w:pPr>
            <w:r w:rsidRPr="00B841ED">
              <w:rPr>
                <w:rFonts w:cs="Tahoma"/>
                <w:bCs/>
                <w:szCs w:val="22"/>
              </w:rPr>
              <w:t xml:space="preserve">En respuesta la servidora pública habilitada competente refirió que, los insumos materiales corresponden a </w:t>
            </w:r>
            <w:r w:rsidRPr="00B841ED">
              <w:t xml:space="preserve">computadoras, softwares especializados en diseño editorial y edición de </w:t>
            </w:r>
            <w:r w:rsidRPr="00B841ED">
              <w:lastRenderedPageBreak/>
              <w:t>fotografías, una cámara fotográfica, una de video y un micrófono, por otro lado se el recurso humano se diseña y proporcionada a través del trabajo de cuatro personas que se encargan del diseño editorial, grabación y edición de video</w:t>
            </w:r>
          </w:p>
        </w:tc>
        <w:tc>
          <w:tcPr>
            <w:tcW w:w="3135" w:type="dxa"/>
          </w:tcPr>
          <w:p w14:paraId="56C0A7AA" w14:textId="54BA87DA" w:rsidR="0071091D" w:rsidRPr="00B841ED" w:rsidRDefault="0071091D" w:rsidP="00B841ED">
            <w:pPr>
              <w:ind w:right="-93"/>
              <w:rPr>
                <w:rFonts w:cs="Tahoma"/>
                <w:bCs/>
                <w:szCs w:val="22"/>
              </w:rPr>
            </w:pPr>
            <w:r w:rsidRPr="00B841ED">
              <w:rPr>
                <w:rFonts w:cs="Tahoma"/>
                <w:bCs/>
                <w:szCs w:val="22"/>
              </w:rPr>
              <w:lastRenderedPageBreak/>
              <w:t xml:space="preserve">Satisface el punto en referencia ya que se precisan los insumos que son utilizados para llevar a </w:t>
            </w:r>
            <w:r w:rsidRPr="00B841ED">
              <w:rPr>
                <w:rFonts w:cs="Tahoma"/>
                <w:bCs/>
                <w:szCs w:val="22"/>
              </w:rPr>
              <w:lastRenderedPageBreak/>
              <w:t xml:space="preserve">cabo la emisión de la revista digital referida. </w:t>
            </w:r>
          </w:p>
        </w:tc>
      </w:tr>
    </w:tbl>
    <w:p w14:paraId="36864B42" w14:textId="77777777" w:rsidR="008663ED" w:rsidRPr="00B841ED" w:rsidRDefault="008663ED" w:rsidP="00B841ED">
      <w:pPr>
        <w:ind w:right="-93"/>
        <w:rPr>
          <w:rFonts w:cs="Tahoma"/>
          <w:bCs/>
          <w:szCs w:val="22"/>
        </w:rPr>
      </w:pPr>
    </w:p>
    <w:p w14:paraId="7F8FF196" w14:textId="65BEA09C" w:rsidR="008663ED" w:rsidRPr="00B841ED" w:rsidRDefault="004E67DA" w:rsidP="00B841ED">
      <w:pPr>
        <w:ind w:right="-93"/>
        <w:rPr>
          <w:rFonts w:cs="Tahoma"/>
          <w:bCs/>
          <w:szCs w:val="22"/>
        </w:rPr>
      </w:pPr>
      <w:r w:rsidRPr="00B841ED">
        <w:rPr>
          <w:rFonts w:cs="Tahoma"/>
          <w:bCs/>
          <w:szCs w:val="22"/>
        </w:rPr>
        <w:t xml:space="preserve">Ahora bien, en aras de ejemplificar los argumentos vertidos en la tabla que antecede, resulta viable insertar los siguientes fragmentos de pantalla: </w:t>
      </w:r>
    </w:p>
    <w:p w14:paraId="5D246393" w14:textId="77777777" w:rsidR="004E67DA" w:rsidRPr="00B841ED" w:rsidRDefault="004E67DA" w:rsidP="00B841ED">
      <w:pPr>
        <w:ind w:right="-93"/>
        <w:rPr>
          <w:rFonts w:cs="Tahoma"/>
          <w:bCs/>
          <w:szCs w:val="22"/>
        </w:rPr>
      </w:pPr>
    </w:p>
    <w:p w14:paraId="580CF59D" w14:textId="39337916" w:rsidR="004E67DA" w:rsidRPr="00B841ED" w:rsidRDefault="004E67DA" w:rsidP="00B841ED">
      <w:pPr>
        <w:ind w:right="-93"/>
        <w:rPr>
          <w:rFonts w:cs="Tahoma"/>
          <w:b/>
          <w:bCs/>
          <w:szCs w:val="22"/>
        </w:rPr>
      </w:pPr>
      <w:r w:rsidRPr="00B841ED">
        <w:rPr>
          <w:rFonts w:cs="Tahoma"/>
          <w:b/>
          <w:bCs/>
          <w:szCs w:val="22"/>
        </w:rPr>
        <w:t xml:space="preserve">Respuesta a los insumos: </w:t>
      </w:r>
    </w:p>
    <w:p w14:paraId="5033FC28" w14:textId="77777777" w:rsidR="008663ED" w:rsidRPr="00B841ED" w:rsidRDefault="008663ED" w:rsidP="00B841ED">
      <w:pPr>
        <w:ind w:right="-93"/>
        <w:rPr>
          <w:rFonts w:cs="Tahoma"/>
          <w:bCs/>
          <w:szCs w:val="22"/>
        </w:rPr>
      </w:pPr>
    </w:p>
    <w:p w14:paraId="755D5D53" w14:textId="565BFA8C" w:rsidR="008663ED" w:rsidRPr="00B841ED" w:rsidRDefault="004E67DA" w:rsidP="00B841ED">
      <w:pPr>
        <w:ind w:right="-93"/>
        <w:rPr>
          <w:rFonts w:cs="Tahoma"/>
          <w:bCs/>
          <w:szCs w:val="22"/>
        </w:rPr>
      </w:pPr>
      <w:r w:rsidRPr="00B841ED">
        <w:rPr>
          <w:rFonts w:cs="Tahoma"/>
          <w:bCs/>
          <w:noProof/>
          <w:szCs w:val="22"/>
          <w:lang w:eastAsia="es-MX"/>
        </w:rPr>
        <w:drawing>
          <wp:inline distT="0" distB="0" distL="0" distR="0" wp14:anchorId="21A7BCBB" wp14:editId="45776D23">
            <wp:extent cx="5742940" cy="835025"/>
            <wp:effectExtent l="19050" t="19050" r="10160" b="222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835025"/>
                    </a:xfrm>
                    <a:prstGeom prst="rect">
                      <a:avLst/>
                    </a:prstGeom>
                    <a:ln>
                      <a:solidFill>
                        <a:schemeClr val="accent1"/>
                      </a:solidFill>
                    </a:ln>
                  </pic:spPr>
                </pic:pic>
              </a:graphicData>
            </a:graphic>
          </wp:inline>
        </w:drawing>
      </w:r>
    </w:p>
    <w:p w14:paraId="19D22E58" w14:textId="1D9EF4A7" w:rsidR="008663ED" w:rsidRPr="00B841ED" w:rsidRDefault="008663ED" w:rsidP="00B841ED">
      <w:pPr>
        <w:ind w:right="-93"/>
        <w:rPr>
          <w:rFonts w:cs="Tahoma"/>
          <w:bCs/>
          <w:szCs w:val="22"/>
        </w:rPr>
      </w:pPr>
    </w:p>
    <w:p w14:paraId="2DDE222B" w14:textId="77777777" w:rsidR="004E67DA" w:rsidRPr="00B841ED" w:rsidRDefault="004E67DA" w:rsidP="00B841ED">
      <w:pPr>
        <w:ind w:right="-93"/>
        <w:rPr>
          <w:rFonts w:cs="Tahoma"/>
          <w:bCs/>
          <w:szCs w:val="22"/>
        </w:rPr>
      </w:pPr>
    </w:p>
    <w:p w14:paraId="3DD19FD7" w14:textId="77777777" w:rsidR="004E67DA" w:rsidRPr="00B841ED" w:rsidRDefault="004E67DA" w:rsidP="00B841ED">
      <w:pPr>
        <w:ind w:right="-93"/>
        <w:rPr>
          <w:rFonts w:cs="Tahoma"/>
          <w:bCs/>
          <w:szCs w:val="22"/>
        </w:rPr>
      </w:pPr>
    </w:p>
    <w:p w14:paraId="2DEDDB3D" w14:textId="77777777" w:rsidR="004E67DA" w:rsidRPr="00B841ED" w:rsidRDefault="004E67DA" w:rsidP="00B841ED">
      <w:pPr>
        <w:ind w:right="-93"/>
        <w:rPr>
          <w:rFonts w:cs="Tahoma"/>
          <w:bCs/>
          <w:szCs w:val="22"/>
        </w:rPr>
      </w:pPr>
    </w:p>
    <w:p w14:paraId="19008EBA" w14:textId="77777777" w:rsidR="004E67DA" w:rsidRPr="00B841ED" w:rsidRDefault="004E67DA" w:rsidP="00B841ED">
      <w:pPr>
        <w:ind w:right="-93"/>
        <w:rPr>
          <w:rFonts w:cs="Tahoma"/>
          <w:bCs/>
          <w:szCs w:val="22"/>
        </w:rPr>
      </w:pPr>
    </w:p>
    <w:p w14:paraId="457027B3" w14:textId="77777777" w:rsidR="004E67DA" w:rsidRPr="00B841ED" w:rsidRDefault="004E67DA" w:rsidP="00B841ED">
      <w:pPr>
        <w:ind w:right="-93"/>
        <w:rPr>
          <w:rFonts w:cs="Tahoma"/>
          <w:bCs/>
          <w:szCs w:val="22"/>
        </w:rPr>
      </w:pPr>
    </w:p>
    <w:p w14:paraId="7AAFC55B" w14:textId="77777777" w:rsidR="004E67DA" w:rsidRPr="00B841ED" w:rsidRDefault="004E67DA" w:rsidP="00B841ED">
      <w:pPr>
        <w:ind w:right="-93"/>
        <w:rPr>
          <w:rFonts w:cs="Tahoma"/>
          <w:bCs/>
          <w:szCs w:val="22"/>
        </w:rPr>
      </w:pPr>
    </w:p>
    <w:p w14:paraId="2F489CBE" w14:textId="413FE3D3" w:rsidR="008663ED" w:rsidRPr="00B841ED" w:rsidRDefault="004E67DA" w:rsidP="00B841ED">
      <w:pPr>
        <w:ind w:right="-93"/>
        <w:rPr>
          <w:rFonts w:cs="Tahoma"/>
          <w:b/>
          <w:bCs/>
          <w:szCs w:val="22"/>
        </w:rPr>
      </w:pPr>
      <w:r w:rsidRPr="00B841ED">
        <w:rPr>
          <w:rFonts w:cs="Tahoma"/>
          <w:b/>
          <w:bCs/>
          <w:szCs w:val="22"/>
        </w:rPr>
        <w:t xml:space="preserve">Información de los proyectos (de manera ejemplificativa): </w:t>
      </w:r>
    </w:p>
    <w:p w14:paraId="0FB1F666" w14:textId="470ECB4C" w:rsidR="008663ED" w:rsidRPr="00B841ED" w:rsidRDefault="004E67DA" w:rsidP="00B841ED">
      <w:pPr>
        <w:ind w:right="-93"/>
        <w:jc w:val="center"/>
        <w:rPr>
          <w:rFonts w:cs="Tahoma"/>
          <w:bCs/>
          <w:szCs w:val="22"/>
        </w:rPr>
      </w:pPr>
      <w:r w:rsidRPr="00B841ED">
        <w:rPr>
          <w:rFonts w:cs="Tahoma"/>
          <w:bCs/>
          <w:noProof/>
          <w:szCs w:val="22"/>
          <w:lang w:eastAsia="es-MX"/>
        </w:rPr>
        <w:lastRenderedPageBreak/>
        <w:drawing>
          <wp:inline distT="0" distB="0" distL="0" distR="0" wp14:anchorId="7CD5D8FC" wp14:editId="33BD60F1">
            <wp:extent cx="4724400" cy="2714625"/>
            <wp:effectExtent l="19050" t="19050" r="19050"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5095" cy="2715024"/>
                    </a:xfrm>
                    <a:prstGeom prst="rect">
                      <a:avLst/>
                    </a:prstGeom>
                    <a:ln>
                      <a:solidFill>
                        <a:schemeClr val="accent1"/>
                      </a:solidFill>
                    </a:ln>
                  </pic:spPr>
                </pic:pic>
              </a:graphicData>
            </a:graphic>
          </wp:inline>
        </w:drawing>
      </w:r>
    </w:p>
    <w:p w14:paraId="39466492" w14:textId="2EA53710" w:rsidR="008663ED" w:rsidRPr="00B841ED" w:rsidRDefault="004E67DA" w:rsidP="00B841ED">
      <w:pPr>
        <w:ind w:right="-93"/>
        <w:jc w:val="center"/>
        <w:rPr>
          <w:rFonts w:cs="Tahoma"/>
          <w:bCs/>
          <w:szCs w:val="22"/>
        </w:rPr>
      </w:pPr>
      <w:r w:rsidRPr="00B841ED">
        <w:rPr>
          <w:rFonts w:cs="Tahoma"/>
          <w:bCs/>
          <w:noProof/>
          <w:szCs w:val="22"/>
          <w:lang w:eastAsia="es-MX"/>
        </w:rPr>
        <w:drawing>
          <wp:inline distT="0" distB="0" distL="0" distR="0" wp14:anchorId="133E375C" wp14:editId="7392ED70">
            <wp:extent cx="4708478" cy="3009265"/>
            <wp:effectExtent l="19050" t="19050" r="16510" b="196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56740" cy="3040110"/>
                    </a:xfrm>
                    <a:prstGeom prst="rect">
                      <a:avLst/>
                    </a:prstGeom>
                    <a:ln>
                      <a:solidFill>
                        <a:schemeClr val="accent1"/>
                      </a:solidFill>
                    </a:ln>
                  </pic:spPr>
                </pic:pic>
              </a:graphicData>
            </a:graphic>
          </wp:inline>
        </w:drawing>
      </w:r>
    </w:p>
    <w:p w14:paraId="2B3B7701" w14:textId="699AB8E2" w:rsidR="008663ED" w:rsidRPr="00B841ED" w:rsidRDefault="004E67DA" w:rsidP="00B841ED">
      <w:pPr>
        <w:ind w:right="-93"/>
        <w:rPr>
          <w:rFonts w:cs="Tahoma"/>
          <w:b/>
          <w:bCs/>
          <w:szCs w:val="22"/>
        </w:rPr>
      </w:pPr>
      <w:r w:rsidRPr="00B841ED">
        <w:rPr>
          <w:rFonts w:cs="Tahoma"/>
          <w:b/>
          <w:bCs/>
          <w:szCs w:val="22"/>
        </w:rPr>
        <w:t>Error en los archivos digitales:</w:t>
      </w:r>
    </w:p>
    <w:p w14:paraId="6FB39FBF" w14:textId="0337C1F6" w:rsidR="004E67DA" w:rsidRPr="00B841ED" w:rsidRDefault="004E67DA" w:rsidP="00B841ED">
      <w:pPr>
        <w:ind w:right="-93"/>
        <w:rPr>
          <w:rFonts w:cs="Tahoma"/>
          <w:bCs/>
          <w:szCs w:val="22"/>
        </w:rPr>
      </w:pPr>
      <w:r w:rsidRPr="00B841ED">
        <w:rPr>
          <w:rFonts w:cs="Tahoma"/>
          <w:bCs/>
          <w:noProof/>
          <w:szCs w:val="22"/>
          <w:lang w:eastAsia="es-MX"/>
        </w:rPr>
        <w:lastRenderedPageBreak/>
        <w:drawing>
          <wp:inline distT="0" distB="0" distL="0" distR="0" wp14:anchorId="0D189CC3" wp14:editId="6C31A6EC">
            <wp:extent cx="5742940" cy="3389630"/>
            <wp:effectExtent l="19050" t="19050" r="10160" b="203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3389630"/>
                    </a:xfrm>
                    <a:prstGeom prst="rect">
                      <a:avLst/>
                    </a:prstGeom>
                    <a:ln>
                      <a:solidFill>
                        <a:schemeClr val="accent1"/>
                      </a:solidFill>
                    </a:ln>
                  </pic:spPr>
                </pic:pic>
              </a:graphicData>
            </a:graphic>
          </wp:inline>
        </w:drawing>
      </w:r>
    </w:p>
    <w:p w14:paraId="5C280FE8" w14:textId="77777777" w:rsidR="0085355F" w:rsidRPr="00B841ED" w:rsidRDefault="0085355F" w:rsidP="00B841ED">
      <w:pPr>
        <w:ind w:right="-93"/>
        <w:rPr>
          <w:rFonts w:cs="Tahoma"/>
          <w:bCs/>
          <w:szCs w:val="22"/>
        </w:rPr>
      </w:pPr>
    </w:p>
    <w:p w14:paraId="46B69380" w14:textId="2076EBE3" w:rsidR="004E67DA" w:rsidRPr="00B841ED" w:rsidRDefault="004E67DA" w:rsidP="00B841ED">
      <w:pPr>
        <w:ind w:right="-93"/>
      </w:pPr>
      <w:r w:rsidRPr="00B841ED">
        <w:rPr>
          <w:rFonts w:cs="Tahoma"/>
          <w:bCs/>
          <w:szCs w:val="22"/>
        </w:rPr>
        <w:t xml:space="preserve">Luego entonces, este Órgano Garante considera que, si bien </w:t>
      </w:r>
      <w:r w:rsidRPr="00B841ED">
        <w:rPr>
          <w:rFonts w:cs="Tahoma"/>
          <w:b/>
          <w:bCs/>
          <w:szCs w:val="22"/>
        </w:rPr>
        <w:t xml:space="preserve">EL SUJETO OBLIGADO </w:t>
      </w:r>
      <w:r w:rsidRPr="00B841ED">
        <w:rPr>
          <w:rFonts w:cs="Tahoma"/>
          <w:bCs/>
          <w:szCs w:val="22"/>
        </w:rPr>
        <w:t xml:space="preserve">intentó satisfacer el derecho </w:t>
      </w:r>
      <w:r w:rsidR="005A68C0" w:rsidRPr="00B841ED">
        <w:rPr>
          <w:rFonts w:cs="Tahoma"/>
          <w:bCs/>
          <w:szCs w:val="22"/>
        </w:rPr>
        <w:t>de acceso a la información de</w:t>
      </w:r>
      <w:r w:rsidRPr="00B841ED">
        <w:rPr>
          <w:rFonts w:cs="Tahoma"/>
          <w:bCs/>
          <w:szCs w:val="22"/>
        </w:rPr>
        <w:t xml:space="preserve"> </w:t>
      </w:r>
      <w:r w:rsidRPr="00B841ED">
        <w:rPr>
          <w:rFonts w:cs="Tahoma"/>
          <w:b/>
          <w:bCs/>
          <w:szCs w:val="22"/>
        </w:rPr>
        <w:t>LA PARTE RECURRENTE</w:t>
      </w:r>
      <w:r w:rsidRPr="00B841ED">
        <w:rPr>
          <w:rFonts w:cs="Tahoma"/>
          <w:bCs/>
          <w:szCs w:val="22"/>
        </w:rPr>
        <w:t xml:space="preserve">, </w:t>
      </w:r>
      <w:r w:rsidR="005A68C0" w:rsidRPr="00B841ED">
        <w:rPr>
          <w:rFonts w:cs="Tahoma"/>
          <w:bCs/>
          <w:szCs w:val="22"/>
        </w:rPr>
        <w:t xml:space="preserve">no se remitió la información de manera completa en virtud de que la información referente a los proyectos de la revista digital, sometidos a consideración del Subcomité Editorial, se encuentran inmersos en los archivos digitales dañados, a excepción de aquellos que fueron remitidos en atención a la solicitud de información número </w:t>
      </w:r>
      <w:r w:rsidR="005A68C0" w:rsidRPr="00B841ED">
        <w:rPr>
          <w:b/>
        </w:rPr>
        <w:t xml:space="preserve">00993/SESEA/IP/2024, </w:t>
      </w:r>
      <w:r w:rsidR="005A68C0" w:rsidRPr="00B841ED">
        <w:t xml:space="preserve">en ese sentido resulta viable ordenar a dicha autoridad la entrega de la información faltante. </w:t>
      </w:r>
    </w:p>
    <w:p w14:paraId="65067D1A" w14:textId="77777777" w:rsidR="00A668D4" w:rsidRPr="00B841ED" w:rsidRDefault="00A668D4" w:rsidP="00B841ED">
      <w:pPr>
        <w:ind w:right="-93"/>
      </w:pPr>
    </w:p>
    <w:p w14:paraId="4A49278E" w14:textId="237C272E" w:rsidR="00A668D4" w:rsidRPr="00B841ED" w:rsidRDefault="00A668D4" w:rsidP="00B841ED">
      <w:pPr>
        <w:ind w:right="-93"/>
      </w:pPr>
      <w:r w:rsidRPr="00B841ED">
        <w:t xml:space="preserve">Asimismo respecto de la respuesta a la solicitud de información citada en el párrafo que antecede, se deriva el hecho en que </w:t>
      </w:r>
      <w:r w:rsidRPr="00B841ED">
        <w:rPr>
          <w:b/>
        </w:rPr>
        <w:t xml:space="preserve">EL SUJETO OBLIGADO </w:t>
      </w:r>
      <w:r w:rsidRPr="00B841ED">
        <w:t xml:space="preserve">manifestó que el primer número de la revista digital fue emitido el 13 de diciembre de 2019, entendiéndose esta como la primera </w:t>
      </w:r>
      <w:r w:rsidRPr="00B841ED">
        <w:lastRenderedPageBreak/>
        <w:t xml:space="preserve">edición del soporte documental referido, por lo cual se obvia que para el ejercicio fiscal 2018 </w:t>
      </w:r>
      <w:r w:rsidR="00731AB3" w:rsidRPr="00B841ED">
        <w:t>la revista digital no había sido generada o editada</w:t>
      </w:r>
      <w:r w:rsidRPr="00B841ED">
        <w:t xml:space="preserve">, </w:t>
      </w:r>
      <w:r w:rsidR="00731AB3" w:rsidRPr="00B841ED">
        <w:t xml:space="preserve">por lo tanto </w:t>
      </w:r>
      <w:r w:rsidRPr="00B841ED">
        <w:t xml:space="preserve">es meramente imposible ordenar a </w:t>
      </w:r>
      <w:r w:rsidR="00731AB3" w:rsidRPr="00B841ED">
        <w:t>la</w:t>
      </w:r>
      <w:r w:rsidRPr="00B841ED">
        <w:t xml:space="preserve"> autoridad entregue la información requerida, respecto del ejercicio fiscal ya mencionado. </w:t>
      </w:r>
    </w:p>
    <w:p w14:paraId="7727D1CF" w14:textId="77777777" w:rsidR="00A668D4" w:rsidRPr="00B841ED" w:rsidRDefault="00A668D4" w:rsidP="00B841ED">
      <w:pPr>
        <w:ind w:right="-93"/>
      </w:pPr>
    </w:p>
    <w:p w14:paraId="4DA8DEC5" w14:textId="629A8D70" w:rsidR="00A668D4" w:rsidRPr="00B841ED" w:rsidRDefault="00A668D4" w:rsidP="00B841ED">
      <w:pPr>
        <w:ind w:right="-93"/>
      </w:pPr>
      <w:r w:rsidRPr="00B841ED">
        <w:t>De igual forma sirve de sustento el fragmento de pantalla siguiente, el cual contiene el pronunciamiento citado, mismo que fue emitido por la servidora pública habilitada para tal efecto:</w:t>
      </w:r>
    </w:p>
    <w:p w14:paraId="5E30E5F1" w14:textId="77777777" w:rsidR="00A668D4" w:rsidRPr="00B841ED" w:rsidRDefault="00A668D4" w:rsidP="00B841ED">
      <w:pPr>
        <w:ind w:right="-93"/>
      </w:pPr>
    </w:p>
    <w:p w14:paraId="14F229BE" w14:textId="49B6B3AD" w:rsidR="00A668D4" w:rsidRPr="00B841ED" w:rsidRDefault="00A668D4" w:rsidP="00B841ED">
      <w:pPr>
        <w:ind w:right="-93"/>
        <w:jc w:val="center"/>
      </w:pPr>
      <w:r w:rsidRPr="00B841ED">
        <w:rPr>
          <w:noProof/>
          <w:lang w:eastAsia="es-MX"/>
        </w:rPr>
        <w:drawing>
          <wp:inline distT="0" distB="0" distL="0" distR="0" wp14:anchorId="0117CE11" wp14:editId="13822B47">
            <wp:extent cx="5742940" cy="631825"/>
            <wp:effectExtent l="19050" t="19050" r="10160" b="158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631825"/>
                    </a:xfrm>
                    <a:prstGeom prst="rect">
                      <a:avLst/>
                    </a:prstGeom>
                    <a:ln>
                      <a:solidFill>
                        <a:schemeClr val="accent1"/>
                      </a:solidFill>
                    </a:ln>
                  </pic:spPr>
                </pic:pic>
              </a:graphicData>
            </a:graphic>
          </wp:inline>
        </w:drawing>
      </w:r>
    </w:p>
    <w:p w14:paraId="42C4F439" w14:textId="77777777" w:rsidR="008663ED" w:rsidRPr="00B841ED" w:rsidRDefault="008663ED" w:rsidP="00B841ED">
      <w:pPr>
        <w:ind w:right="-93"/>
        <w:rPr>
          <w:rFonts w:cs="Tahoma"/>
          <w:bCs/>
          <w:szCs w:val="22"/>
        </w:rPr>
      </w:pPr>
    </w:p>
    <w:p w14:paraId="6459870B" w14:textId="77777777" w:rsidR="00F27141" w:rsidRPr="00B841ED" w:rsidRDefault="00F27141" w:rsidP="00B841ED">
      <w:pPr>
        <w:pStyle w:val="Ttulo3"/>
      </w:pPr>
      <w:bookmarkStart w:id="32" w:name="_Toc165402882"/>
      <w:bookmarkStart w:id="33" w:name="_Toc184810837"/>
      <w:r w:rsidRPr="00B841ED">
        <w:t>d) Versión pública</w:t>
      </w:r>
      <w:bookmarkEnd w:id="32"/>
      <w:bookmarkEnd w:id="33"/>
    </w:p>
    <w:p w14:paraId="599EA5BC" w14:textId="77777777" w:rsidR="00F27141" w:rsidRPr="00B841ED" w:rsidRDefault="00F27141" w:rsidP="00B841ED">
      <w:pPr>
        <w:rPr>
          <w:bCs/>
        </w:rPr>
      </w:pPr>
      <w:r w:rsidRPr="00B841ED">
        <w:t xml:space="preserve">Para el caso de que el o los documentos de los cuales se ordena su entrega contengan datos personales susceptibles de ser testados, deberán ser entregados en </w:t>
      </w:r>
      <w:r w:rsidRPr="00B841ED">
        <w:rPr>
          <w:b/>
        </w:rPr>
        <w:t>versión pública</w:t>
      </w:r>
      <w:r w:rsidRPr="00B841ED">
        <w:t>, pues el</w:t>
      </w:r>
      <w:r w:rsidRPr="00B841E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648F6FD" w14:textId="77777777" w:rsidR="00F27141" w:rsidRPr="00B841ED" w:rsidRDefault="00F27141" w:rsidP="00B841ED">
      <w:pPr>
        <w:rPr>
          <w:rFonts w:eastAsia="Calibri"/>
          <w:bCs/>
          <w:lang w:eastAsia="en-US"/>
        </w:rPr>
      </w:pPr>
    </w:p>
    <w:p w14:paraId="28380BA6" w14:textId="77777777" w:rsidR="00F27141" w:rsidRPr="00B841ED" w:rsidRDefault="00F27141" w:rsidP="00B841ED">
      <w:pPr>
        <w:rPr>
          <w:bCs/>
        </w:rPr>
      </w:pPr>
      <w:r w:rsidRPr="00B841ED">
        <w:rPr>
          <w:bCs/>
        </w:rPr>
        <w:lastRenderedPageBreak/>
        <w:t>A este respecto, los artículos 3, fracciones IX, XX, XXI y XLV; 51 y 52 de la Ley de Transparencia y Acceso a la Información Pública del Estado de México y Municipios establecen:</w:t>
      </w:r>
    </w:p>
    <w:p w14:paraId="09239A94" w14:textId="77777777" w:rsidR="00F27141" w:rsidRPr="00B841ED" w:rsidRDefault="00F27141" w:rsidP="00B841ED"/>
    <w:p w14:paraId="35EDC6E1" w14:textId="77777777" w:rsidR="00F27141" w:rsidRPr="00B841ED" w:rsidRDefault="00F27141" w:rsidP="00B841ED">
      <w:pPr>
        <w:pStyle w:val="Puesto"/>
      </w:pPr>
      <w:r w:rsidRPr="00B841ED">
        <w:rPr>
          <w:b/>
          <w:bCs/>
          <w:noProof/>
        </w:rPr>
        <w:t>“</w:t>
      </w:r>
      <w:r w:rsidRPr="00B841ED">
        <w:rPr>
          <w:b/>
          <w:bCs/>
        </w:rPr>
        <w:t xml:space="preserve">Artículo 3. </w:t>
      </w:r>
      <w:r w:rsidRPr="00B841ED">
        <w:t xml:space="preserve">Para los efectos de la presente Ley se entenderá por: </w:t>
      </w:r>
    </w:p>
    <w:p w14:paraId="7DF37888" w14:textId="77777777" w:rsidR="00F27141" w:rsidRPr="00B841ED" w:rsidRDefault="00F27141" w:rsidP="00B841ED">
      <w:pPr>
        <w:pStyle w:val="Puesto"/>
      </w:pPr>
      <w:r w:rsidRPr="00B841ED">
        <w:rPr>
          <w:b/>
        </w:rPr>
        <w:t>IX.</w:t>
      </w:r>
      <w:r w:rsidRPr="00B841ED">
        <w:t xml:space="preserve"> </w:t>
      </w:r>
      <w:r w:rsidRPr="00B841ED">
        <w:rPr>
          <w:b/>
        </w:rPr>
        <w:t xml:space="preserve">Datos personales: </w:t>
      </w:r>
      <w:r w:rsidRPr="00B841ED">
        <w:t xml:space="preserve">La información concerniente a una persona, identificada o identificable según lo dispuesto por la Ley de Protección de Datos Personales del Estado de México; </w:t>
      </w:r>
    </w:p>
    <w:p w14:paraId="0063EE99" w14:textId="77777777" w:rsidR="00F27141" w:rsidRPr="00B841ED" w:rsidRDefault="00F27141" w:rsidP="00B841ED"/>
    <w:p w14:paraId="14C51A5C" w14:textId="77777777" w:rsidR="00F27141" w:rsidRPr="00B841ED" w:rsidRDefault="00F27141" w:rsidP="00B841ED">
      <w:pPr>
        <w:pStyle w:val="Puesto"/>
      </w:pPr>
      <w:r w:rsidRPr="00B841ED">
        <w:rPr>
          <w:b/>
        </w:rPr>
        <w:t>XX.</w:t>
      </w:r>
      <w:r w:rsidRPr="00B841ED">
        <w:t xml:space="preserve"> </w:t>
      </w:r>
      <w:r w:rsidRPr="00B841ED">
        <w:rPr>
          <w:b/>
        </w:rPr>
        <w:t>Información clasificada:</w:t>
      </w:r>
      <w:r w:rsidRPr="00B841ED">
        <w:t xml:space="preserve"> Aquella considerada por la presente Ley como reservada o confidencial; </w:t>
      </w:r>
    </w:p>
    <w:p w14:paraId="6890E66E" w14:textId="77777777" w:rsidR="00F27141" w:rsidRPr="00B841ED" w:rsidRDefault="00F27141" w:rsidP="00B841ED"/>
    <w:p w14:paraId="19E4FC36" w14:textId="77777777" w:rsidR="00F27141" w:rsidRPr="00B841ED" w:rsidRDefault="00F27141" w:rsidP="00B841ED">
      <w:pPr>
        <w:pStyle w:val="Puesto"/>
      </w:pPr>
      <w:r w:rsidRPr="00B841ED">
        <w:rPr>
          <w:b/>
        </w:rPr>
        <w:t>XXI.</w:t>
      </w:r>
      <w:r w:rsidRPr="00B841ED">
        <w:t xml:space="preserve"> </w:t>
      </w:r>
      <w:r w:rsidRPr="00B841ED">
        <w:rPr>
          <w:b/>
        </w:rPr>
        <w:t>Información confidencial</w:t>
      </w:r>
      <w:r w:rsidRPr="00B841E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0AC5F0A" w14:textId="77777777" w:rsidR="00F27141" w:rsidRPr="00B841ED" w:rsidRDefault="00F27141" w:rsidP="00B841ED"/>
    <w:p w14:paraId="6FC6B7AE" w14:textId="77777777" w:rsidR="00F27141" w:rsidRPr="00B841ED" w:rsidRDefault="00F27141" w:rsidP="00B841ED">
      <w:pPr>
        <w:pStyle w:val="Puesto"/>
      </w:pPr>
      <w:r w:rsidRPr="00B841ED">
        <w:rPr>
          <w:b/>
        </w:rPr>
        <w:t>XLV. Versión pública:</w:t>
      </w:r>
      <w:r w:rsidRPr="00B841ED">
        <w:t xml:space="preserve"> Documento en el que se elimine, suprime o borra la información clasificada como reservada o confidencial para permitir su acceso. </w:t>
      </w:r>
    </w:p>
    <w:p w14:paraId="35817F21" w14:textId="77777777" w:rsidR="00F27141" w:rsidRPr="00B841ED" w:rsidRDefault="00F27141" w:rsidP="00B841ED"/>
    <w:p w14:paraId="43F6F02D" w14:textId="77777777" w:rsidR="00F27141" w:rsidRPr="00B841ED" w:rsidRDefault="00F27141" w:rsidP="00B841ED">
      <w:pPr>
        <w:pStyle w:val="Puesto"/>
      </w:pPr>
      <w:r w:rsidRPr="00B841ED">
        <w:rPr>
          <w:b/>
        </w:rPr>
        <w:t>Artículo 51.</w:t>
      </w:r>
      <w:r w:rsidRPr="00B841ED">
        <w:t xml:space="preserve"> Los sujetos obligados designaran a un responsable para atender la Unidad de Transparencia, quien fungirá como enlace entre éstos y los solicitantes. Dicha Unidad será la encargada de tramitar internamente la solicitud de información </w:t>
      </w:r>
      <w:r w:rsidRPr="00B841ED">
        <w:rPr>
          <w:b/>
        </w:rPr>
        <w:t xml:space="preserve">y tendrá la responsabilidad de verificar en cada caso que la misma no sea confidencial o reservada. </w:t>
      </w:r>
      <w:r w:rsidRPr="00B841ED">
        <w:t>Dicha Unidad contará con las facultades internas necesarias para gestionar la atención a las solicitudes de información en los términos de la Ley General y la presente Ley.</w:t>
      </w:r>
    </w:p>
    <w:p w14:paraId="7368CA5B" w14:textId="77777777" w:rsidR="00F27141" w:rsidRPr="00B841ED" w:rsidRDefault="00F27141" w:rsidP="00B841ED"/>
    <w:p w14:paraId="1628075D" w14:textId="77777777" w:rsidR="00F27141" w:rsidRPr="00B841ED" w:rsidRDefault="00F27141" w:rsidP="00B841ED">
      <w:pPr>
        <w:pStyle w:val="Puesto"/>
      </w:pPr>
      <w:r w:rsidRPr="00B841ED">
        <w:rPr>
          <w:b/>
        </w:rPr>
        <w:t>Artículo 52.</w:t>
      </w:r>
      <w:r w:rsidRPr="00B841ED">
        <w:t xml:space="preserve"> Las solicitudes de acceso a la información y las respuestas que se les dé, incluyendo, en su caso, </w:t>
      </w:r>
      <w:r w:rsidRPr="00B841ED">
        <w:rPr>
          <w:u w:val="single"/>
        </w:rPr>
        <w:t>la información entregada, así como las resoluciones a los recursos que en su caso se promuevan serán públicas, y de ser el caso que contenga datos personales que deban ser protegidos se podrá dar su acceso en su versión pública</w:t>
      </w:r>
      <w:r w:rsidRPr="00B841ED">
        <w:t xml:space="preserve">, siempre y cuando la </w:t>
      </w:r>
      <w:r w:rsidRPr="00B841ED">
        <w:lastRenderedPageBreak/>
        <w:t>resolución de referencia se someta a un proceso de disociación, es decir, no haga identificable al titular de tales datos personales.</w:t>
      </w:r>
      <w:r w:rsidRPr="00B841ED">
        <w:rPr>
          <w:bCs/>
          <w:noProof/>
        </w:rPr>
        <w:t xml:space="preserve">” </w:t>
      </w:r>
      <w:r w:rsidRPr="00B841ED">
        <w:rPr>
          <w:i w:val="0"/>
          <w:iCs/>
          <w:szCs w:val="22"/>
        </w:rPr>
        <w:t>(Énfasis añadido)</w:t>
      </w:r>
    </w:p>
    <w:p w14:paraId="18AF2978" w14:textId="77777777" w:rsidR="00F27141" w:rsidRPr="00B841ED" w:rsidRDefault="00F27141" w:rsidP="00B841ED"/>
    <w:p w14:paraId="12D69A4B" w14:textId="77777777" w:rsidR="00F27141" w:rsidRPr="00B841ED" w:rsidRDefault="00F27141" w:rsidP="00B841ED">
      <w:r w:rsidRPr="00B841E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DE9DD7A" w14:textId="77777777" w:rsidR="00F27141" w:rsidRPr="00B841ED" w:rsidRDefault="00F27141" w:rsidP="00B841ED"/>
    <w:p w14:paraId="1FE26DEF" w14:textId="77777777" w:rsidR="00F27141" w:rsidRPr="00B841ED" w:rsidRDefault="00F27141" w:rsidP="00B841ED">
      <w:pPr>
        <w:pStyle w:val="Puesto"/>
        <w:rPr>
          <w:rFonts w:eastAsia="Arial Unicode MS"/>
        </w:rPr>
      </w:pPr>
      <w:r w:rsidRPr="00B841ED">
        <w:rPr>
          <w:rFonts w:eastAsia="Arial Unicode MS"/>
          <w:b/>
        </w:rPr>
        <w:t>“Artículo 22.</w:t>
      </w:r>
      <w:r w:rsidRPr="00B841E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CA030C8" w14:textId="77777777" w:rsidR="00F27141" w:rsidRPr="00B841ED" w:rsidRDefault="00F27141" w:rsidP="00B841ED">
      <w:pPr>
        <w:rPr>
          <w:rFonts w:eastAsia="Arial Unicode MS"/>
        </w:rPr>
      </w:pPr>
    </w:p>
    <w:p w14:paraId="387C4305" w14:textId="77777777" w:rsidR="00F27141" w:rsidRPr="00B841ED" w:rsidRDefault="00F27141" w:rsidP="00B841ED">
      <w:pPr>
        <w:pStyle w:val="Puesto"/>
        <w:rPr>
          <w:rFonts w:eastAsia="Arial Unicode MS"/>
        </w:rPr>
      </w:pPr>
      <w:r w:rsidRPr="00B841ED">
        <w:rPr>
          <w:rFonts w:eastAsia="Arial Unicode MS"/>
          <w:b/>
        </w:rPr>
        <w:t>Artículo 38.</w:t>
      </w:r>
      <w:r w:rsidRPr="00B841E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841ED">
        <w:rPr>
          <w:rFonts w:eastAsia="Arial Unicode MS"/>
          <w:b/>
        </w:rPr>
        <w:t>”</w:t>
      </w:r>
      <w:r w:rsidRPr="00B841ED">
        <w:rPr>
          <w:rFonts w:eastAsia="Arial Unicode MS"/>
        </w:rPr>
        <w:t xml:space="preserve"> </w:t>
      </w:r>
    </w:p>
    <w:p w14:paraId="1223F2E8" w14:textId="77777777" w:rsidR="00F27141" w:rsidRPr="00B841ED" w:rsidRDefault="00F27141" w:rsidP="00B841ED">
      <w:pPr>
        <w:rPr>
          <w:rFonts w:eastAsia="Arial Unicode MS"/>
          <w:i/>
          <w:szCs w:val="22"/>
        </w:rPr>
      </w:pPr>
    </w:p>
    <w:p w14:paraId="082A6AD4" w14:textId="77777777" w:rsidR="00F27141" w:rsidRPr="00B841ED" w:rsidRDefault="00F27141" w:rsidP="00B841ED">
      <w:r w:rsidRPr="00B841E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B841ED">
        <w:lastRenderedPageBreak/>
        <w:t xml:space="preserve">particulares toda vez que ésta tiene por objeto proteger datos personales, entendiéndose por tales, aquéllos que hacen identificable a una persona. </w:t>
      </w:r>
    </w:p>
    <w:p w14:paraId="5E50F180" w14:textId="77777777" w:rsidR="00F27141" w:rsidRPr="00B841ED" w:rsidRDefault="00F27141" w:rsidP="00B841ED"/>
    <w:p w14:paraId="624D94F6" w14:textId="77777777" w:rsidR="00F27141" w:rsidRPr="00B841ED" w:rsidRDefault="00F27141" w:rsidP="00B841ED">
      <w:r w:rsidRPr="00B841E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841ED">
        <w:rPr>
          <w:rFonts w:eastAsia="Arial Unicode MS"/>
        </w:rPr>
        <w:t xml:space="preserve"> que debe ser protegida por </w:t>
      </w:r>
      <w:r w:rsidRPr="00B841ED">
        <w:rPr>
          <w:rFonts w:eastAsia="Arial Unicode MS"/>
          <w:b/>
        </w:rPr>
        <w:t>EL SUJETO OBLIGADO,</w:t>
      </w:r>
      <w:r w:rsidRPr="00B841ED">
        <w:rPr>
          <w:rFonts w:eastAsia="Arial Unicode MS"/>
        </w:rPr>
        <w:t xml:space="preserve"> por lo </w:t>
      </w:r>
      <w:r w:rsidRPr="00B841ED">
        <w:t>que, todo dato personal susceptible de clasificación debe ser protegido.</w:t>
      </w:r>
    </w:p>
    <w:p w14:paraId="55589CEC" w14:textId="77777777" w:rsidR="00F27141" w:rsidRPr="00B841ED" w:rsidRDefault="00F27141" w:rsidP="00B841ED"/>
    <w:p w14:paraId="4388F7BB" w14:textId="77777777" w:rsidR="00F27141" w:rsidRPr="00B841ED" w:rsidRDefault="00F27141" w:rsidP="00B841ED">
      <w:r w:rsidRPr="00B841E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8948D48" w14:textId="77777777" w:rsidR="00F27141" w:rsidRPr="00B841ED" w:rsidRDefault="00F27141" w:rsidP="00B841ED"/>
    <w:p w14:paraId="75FD06E1" w14:textId="77777777" w:rsidR="00F27141" w:rsidRPr="00B841ED" w:rsidRDefault="00F27141" w:rsidP="00B841ED">
      <w:r w:rsidRPr="00B841E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6FDCC2B" w14:textId="77777777" w:rsidR="00F27141" w:rsidRPr="00B841ED" w:rsidRDefault="00F27141" w:rsidP="00B841ED"/>
    <w:p w14:paraId="518E4CC9" w14:textId="77777777" w:rsidR="00F27141" w:rsidRPr="00B841ED" w:rsidRDefault="00F27141" w:rsidP="00B841ED">
      <w:pPr>
        <w:jc w:val="center"/>
        <w:rPr>
          <w:b/>
          <w:i/>
          <w:szCs w:val="22"/>
        </w:rPr>
      </w:pPr>
      <w:r w:rsidRPr="00B841ED">
        <w:rPr>
          <w:b/>
          <w:i/>
          <w:szCs w:val="22"/>
          <w:lang w:val="es-ES_tradnl"/>
        </w:rPr>
        <w:lastRenderedPageBreak/>
        <w:t>Ley de Transparencia y Acceso a la Información Pública del Estado de México y Municipios</w:t>
      </w:r>
    </w:p>
    <w:p w14:paraId="5B249994" w14:textId="77777777" w:rsidR="00F27141" w:rsidRPr="00B841ED" w:rsidRDefault="00F27141" w:rsidP="00B841ED"/>
    <w:p w14:paraId="2624A573" w14:textId="77777777" w:rsidR="00F27141" w:rsidRPr="00B841ED" w:rsidRDefault="00F27141" w:rsidP="00B841ED">
      <w:pPr>
        <w:pStyle w:val="Puesto"/>
      </w:pPr>
      <w:r w:rsidRPr="00B841ED">
        <w:rPr>
          <w:b/>
        </w:rPr>
        <w:t xml:space="preserve">“Artículo 49. </w:t>
      </w:r>
      <w:r w:rsidRPr="00B841ED">
        <w:t>Los Comités de Transparencia tendrán las siguientes atribuciones:</w:t>
      </w:r>
    </w:p>
    <w:p w14:paraId="66EBE8B8" w14:textId="77777777" w:rsidR="00F27141" w:rsidRPr="00B841ED" w:rsidRDefault="00F27141" w:rsidP="00B841ED">
      <w:pPr>
        <w:pStyle w:val="Puesto"/>
      </w:pPr>
      <w:r w:rsidRPr="00B841ED">
        <w:rPr>
          <w:b/>
        </w:rPr>
        <w:t>VIII.</w:t>
      </w:r>
      <w:r w:rsidRPr="00B841ED">
        <w:t xml:space="preserve"> Aprobar, modificar o revocar la clasificación de la información;</w:t>
      </w:r>
    </w:p>
    <w:p w14:paraId="034BC0AD" w14:textId="77777777" w:rsidR="00F27141" w:rsidRPr="00B841ED" w:rsidRDefault="00F27141" w:rsidP="00B841ED"/>
    <w:p w14:paraId="0C2B5A8F" w14:textId="77777777" w:rsidR="00F27141" w:rsidRPr="00B841ED" w:rsidRDefault="00F27141" w:rsidP="00B841ED">
      <w:pPr>
        <w:pStyle w:val="Puesto"/>
      </w:pPr>
      <w:r w:rsidRPr="00B841ED">
        <w:rPr>
          <w:b/>
        </w:rPr>
        <w:t>Artículo 132.</w:t>
      </w:r>
      <w:r w:rsidRPr="00B841ED">
        <w:t xml:space="preserve"> La clasificación de la información se llevará a cabo en el momento en que:</w:t>
      </w:r>
    </w:p>
    <w:p w14:paraId="763DCBC8" w14:textId="77777777" w:rsidR="00F27141" w:rsidRPr="00B841ED" w:rsidRDefault="00F27141" w:rsidP="00B841ED">
      <w:pPr>
        <w:pStyle w:val="Puesto"/>
      </w:pPr>
      <w:r w:rsidRPr="00B841ED">
        <w:rPr>
          <w:b/>
        </w:rPr>
        <w:t>I.</w:t>
      </w:r>
      <w:r w:rsidRPr="00B841ED">
        <w:t xml:space="preserve"> Se reciba una solicitud de acceso a la información;</w:t>
      </w:r>
    </w:p>
    <w:p w14:paraId="3BBFB274" w14:textId="77777777" w:rsidR="00F27141" w:rsidRPr="00B841ED" w:rsidRDefault="00F27141" w:rsidP="00B841ED">
      <w:pPr>
        <w:pStyle w:val="Puesto"/>
      </w:pPr>
      <w:r w:rsidRPr="00B841ED">
        <w:rPr>
          <w:b/>
        </w:rPr>
        <w:t>II.</w:t>
      </w:r>
      <w:r w:rsidRPr="00B841ED">
        <w:t xml:space="preserve"> Se determine mediante resolución de autoridad competente; o</w:t>
      </w:r>
    </w:p>
    <w:p w14:paraId="442DF1F8" w14:textId="77777777" w:rsidR="00F27141" w:rsidRPr="00B841ED" w:rsidRDefault="00F27141" w:rsidP="00B841ED">
      <w:pPr>
        <w:pStyle w:val="Puesto"/>
        <w:rPr>
          <w:b/>
        </w:rPr>
      </w:pPr>
      <w:r w:rsidRPr="00B841ED">
        <w:rPr>
          <w:b/>
          <w:bCs/>
        </w:rPr>
        <w:t>III.</w:t>
      </w:r>
      <w:r w:rsidRPr="00B841ED">
        <w:t xml:space="preserve"> Se generen versiones públicas para dar cumplimiento a las obligaciones de transparencia previstas en esta Ley.</w:t>
      </w:r>
      <w:r w:rsidRPr="00B841ED">
        <w:rPr>
          <w:b/>
        </w:rPr>
        <w:t>”</w:t>
      </w:r>
    </w:p>
    <w:p w14:paraId="31A88B2A" w14:textId="77777777" w:rsidR="00F27141" w:rsidRPr="00B841ED" w:rsidRDefault="00F27141" w:rsidP="00B841ED"/>
    <w:p w14:paraId="29EF9C75" w14:textId="77777777" w:rsidR="00F27141" w:rsidRPr="00B841ED" w:rsidRDefault="00F27141" w:rsidP="00B841ED">
      <w:pPr>
        <w:pStyle w:val="Puesto"/>
      </w:pPr>
      <w:r w:rsidRPr="00B841ED">
        <w:rPr>
          <w:b/>
        </w:rPr>
        <w:t>“Segundo. -</w:t>
      </w:r>
      <w:r w:rsidRPr="00B841ED">
        <w:t xml:space="preserve"> Para efectos de los presentes Lineamientos Generales, se entenderá por:</w:t>
      </w:r>
    </w:p>
    <w:p w14:paraId="6851F1F1" w14:textId="77777777" w:rsidR="00F27141" w:rsidRPr="00B841ED" w:rsidRDefault="00F27141" w:rsidP="00B841ED">
      <w:pPr>
        <w:pStyle w:val="Puesto"/>
      </w:pPr>
      <w:r w:rsidRPr="00B841ED">
        <w:rPr>
          <w:b/>
        </w:rPr>
        <w:t>XVIII.</w:t>
      </w:r>
      <w:r w:rsidRPr="00B841ED">
        <w:t xml:space="preserve">  </w:t>
      </w:r>
      <w:r w:rsidRPr="00B841ED">
        <w:rPr>
          <w:b/>
        </w:rPr>
        <w:t>Versión pública:</w:t>
      </w:r>
      <w:r w:rsidRPr="00B841E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ABBA8A8" w14:textId="77777777" w:rsidR="00F27141" w:rsidRPr="00B841ED" w:rsidRDefault="00F27141" w:rsidP="00B841ED">
      <w:pPr>
        <w:pStyle w:val="Puesto"/>
      </w:pPr>
    </w:p>
    <w:p w14:paraId="7C420367" w14:textId="77777777" w:rsidR="00F27141" w:rsidRPr="00B841ED" w:rsidRDefault="00F27141" w:rsidP="00B841ED">
      <w:pPr>
        <w:pStyle w:val="Puesto"/>
        <w:rPr>
          <w:b/>
          <w:lang w:val="es-ES_tradnl" w:eastAsia="es-MX"/>
        </w:rPr>
      </w:pPr>
      <w:r w:rsidRPr="00B841ED">
        <w:rPr>
          <w:b/>
          <w:lang w:val="es-ES_tradnl" w:eastAsia="es-MX"/>
        </w:rPr>
        <w:t xml:space="preserve">Lineamientos Generales en materia de Clasificación y Desclasificación de la </w:t>
      </w:r>
      <w:r w:rsidRPr="00B841ED">
        <w:rPr>
          <w:b/>
          <w:lang w:val="es-ES_tradnl"/>
        </w:rPr>
        <w:t>Información</w:t>
      </w:r>
    </w:p>
    <w:p w14:paraId="0B898679" w14:textId="77777777" w:rsidR="00F27141" w:rsidRPr="00B841ED" w:rsidRDefault="00F27141" w:rsidP="00B841ED">
      <w:pPr>
        <w:pStyle w:val="Puesto"/>
      </w:pPr>
    </w:p>
    <w:p w14:paraId="35F893C5" w14:textId="77777777" w:rsidR="00F27141" w:rsidRPr="00B841ED" w:rsidRDefault="00F27141" w:rsidP="00B841ED">
      <w:pPr>
        <w:pStyle w:val="Puesto"/>
      </w:pPr>
      <w:r w:rsidRPr="00B841ED">
        <w:rPr>
          <w:b/>
        </w:rPr>
        <w:t>Cuarto.</w:t>
      </w:r>
      <w:r w:rsidRPr="00B841E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C49AECE" w14:textId="77777777" w:rsidR="00F27141" w:rsidRPr="00B841ED" w:rsidRDefault="00F27141" w:rsidP="00B841ED">
      <w:pPr>
        <w:pStyle w:val="Puesto"/>
      </w:pPr>
      <w:r w:rsidRPr="00B841ED">
        <w:t>Los sujetos obligados deberán aplicar, de manera estricta, las excepciones al derecho de acceso a la información y sólo podrán invocarlas cuando acrediten su procedencia.</w:t>
      </w:r>
    </w:p>
    <w:p w14:paraId="51C3DE31" w14:textId="77777777" w:rsidR="00F27141" w:rsidRPr="00B841ED" w:rsidRDefault="00F27141" w:rsidP="00B841ED"/>
    <w:p w14:paraId="622FD0F8" w14:textId="77777777" w:rsidR="00F27141" w:rsidRPr="00B841ED" w:rsidRDefault="00F27141" w:rsidP="00B841ED">
      <w:pPr>
        <w:pStyle w:val="Puesto"/>
      </w:pPr>
      <w:r w:rsidRPr="00B841ED">
        <w:rPr>
          <w:b/>
        </w:rPr>
        <w:t>Quinto.</w:t>
      </w:r>
      <w:r w:rsidRPr="00B841E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B841ED">
        <w:lastRenderedPageBreak/>
        <w:t>transparencia, observando lo dispuesto en la Ley General y las demás disposiciones aplicables en la materia.</w:t>
      </w:r>
    </w:p>
    <w:p w14:paraId="5F70ABC2" w14:textId="77777777" w:rsidR="00F27141" w:rsidRPr="00B841ED" w:rsidRDefault="00F27141" w:rsidP="00B841ED"/>
    <w:p w14:paraId="007A2060" w14:textId="77777777" w:rsidR="00F27141" w:rsidRPr="00B841ED" w:rsidRDefault="00F27141" w:rsidP="00B841ED">
      <w:pPr>
        <w:pStyle w:val="Puesto"/>
      </w:pPr>
      <w:r w:rsidRPr="00B841ED">
        <w:rPr>
          <w:b/>
        </w:rPr>
        <w:t>Sexto.</w:t>
      </w:r>
      <w:r w:rsidRPr="00B841ED">
        <w:t xml:space="preserve"> Se deroga.</w:t>
      </w:r>
    </w:p>
    <w:p w14:paraId="6838AFC1" w14:textId="77777777" w:rsidR="00F27141" w:rsidRPr="00B841ED" w:rsidRDefault="00F27141" w:rsidP="00B841ED"/>
    <w:p w14:paraId="61BB77BF" w14:textId="77777777" w:rsidR="00F27141" w:rsidRPr="00B841ED" w:rsidRDefault="00F27141" w:rsidP="00B841ED">
      <w:pPr>
        <w:pStyle w:val="Puesto"/>
      </w:pPr>
      <w:r w:rsidRPr="00B841ED">
        <w:rPr>
          <w:b/>
        </w:rPr>
        <w:t>Séptimo.</w:t>
      </w:r>
      <w:r w:rsidRPr="00B841ED">
        <w:t xml:space="preserve"> La clasificación de la información se llevará a cabo en el momento en que:</w:t>
      </w:r>
    </w:p>
    <w:p w14:paraId="6FEDD09F" w14:textId="77777777" w:rsidR="00F27141" w:rsidRPr="00B841ED" w:rsidRDefault="00F27141" w:rsidP="00B841ED">
      <w:pPr>
        <w:pStyle w:val="Puesto"/>
      </w:pPr>
      <w:r w:rsidRPr="00B841ED">
        <w:rPr>
          <w:b/>
        </w:rPr>
        <w:t>I.</w:t>
      </w:r>
      <w:r w:rsidRPr="00B841ED">
        <w:t xml:space="preserve">        Se reciba una solicitud de acceso a la información;</w:t>
      </w:r>
    </w:p>
    <w:p w14:paraId="116955BB" w14:textId="77777777" w:rsidR="00F27141" w:rsidRPr="00B841ED" w:rsidRDefault="00F27141" w:rsidP="00B841ED">
      <w:pPr>
        <w:pStyle w:val="Puesto"/>
      </w:pPr>
      <w:r w:rsidRPr="00B841ED">
        <w:rPr>
          <w:b/>
        </w:rPr>
        <w:t>II.</w:t>
      </w:r>
      <w:r w:rsidRPr="00B841ED">
        <w:t xml:space="preserve">       Se determine mediante resolución del Comité de Transparencia, el órgano garante competente, o en cumplimiento a una sentencia del Poder Judicial; o</w:t>
      </w:r>
    </w:p>
    <w:p w14:paraId="110AA50D" w14:textId="77777777" w:rsidR="00F27141" w:rsidRPr="00B841ED" w:rsidRDefault="00F27141" w:rsidP="00B841ED">
      <w:pPr>
        <w:pStyle w:val="Puesto"/>
      </w:pPr>
      <w:r w:rsidRPr="00B841ED">
        <w:rPr>
          <w:b/>
        </w:rPr>
        <w:t>III.</w:t>
      </w:r>
      <w:r w:rsidRPr="00B841ED">
        <w:t xml:space="preserve">      Se generen versiones públicas para dar cumplimiento a las obligaciones de transparencia previstas en la Ley General, la Ley Federal y las correspondientes de las entidades federativas.</w:t>
      </w:r>
    </w:p>
    <w:p w14:paraId="606AAD73" w14:textId="77777777" w:rsidR="00F27141" w:rsidRPr="00B841ED" w:rsidRDefault="00F27141" w:rsidP="00B841ED">
      <w:pPr>
        <w:pStyle w:val="Puesto"/>
      </w:pPr>
      <w:r w:rsidRPr="00B841ED">
        <w:t xml:space="preserve">Los titulares de las áreas deberán revisar la información requerida al momento de la recepción de una solicitud de acceso, para verificar, conforme a su naturaleza, si encuadra en una causal de reserva o de confidencialidad. </w:t>
      </w:r>
    </w:p>
    <w:p w14:paraId="778D0AC9" w14:textId="77777777" w:rsidR="00F27141" w:rsidRPr="00B841ED" w:rsidRDefault="00F27141" w:rsidP="00B841ED"/>
    <w:p w14:paraId="78E3C471" w14:textId="77777777" w:rsidR="00F27141" w:rsidRPr="00B841ED" w:rsidRDefault="00F27141" w:rsidP="00B841ED">
      <w:pPr>
        <w:pStyle w:val="Puesto"/>
      </w:pPr>
      <w:r w:rsidRPr="00B841ED">
        <w:rPr>
          <w:b/>
        </w:rPr>
        <w:t>Octavo.</w:t>
      </w:r>
      <w:r w:rsidRPr="00B841E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F413F7" w14:textId="77777777" w:rsidR="00F27141" w:rsidRPr="00B841ED" w:rsidRDefault="00F27141" w:rsidP="00B841ED">
      <w:pPr>
        <w:pStyle w:val="Puesto"/>
      </w:pPr>
      <w:r w:rsidRPr="00B841ED">
        <w:t>Para motivar la clasificación se deberán señalar las razones o circunstancias especiales que lo llevaron a concluir que el caso particular se ajusta al supuesto previsto por la norma legal invocada como fundamento.</w:t>
      </w:r>
    </w:p>
    <w:p w14:paraId="32AEE0BE" w14:textId="77777777" w:rsidR="00F27141" w:rsidRPr="00B841ED" w:rsidRDefault="00F27141" w:rsidP="00B841ED">
      <w:pPr>
        <w:pStyle w:val="Puesto"/>
      </w:pPr>
      <w:r w:rsidRPr="00B841E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9F0B615" w14:textId="77777777" w:rsidR="00F27141" w:rsidRPr="00B841ED" w:rsidRDefault="00F27141" w:rsidP="00B841ED"/>
    <w:p w14:paraId="22863466" w14:textId="77777777" w:rsidR="00F27141" w:rsidRPr="00B841ED" w:rsidRDefault="00F27141" w:rsidP="00B841ED">
      <w:pPr>
        <w:pStyle w:val="Puesto"/>
      </w:pPr>
      <w:r w:rsidRPr="00B841ED">
        <w:rPr>
          <w:b/>
        </w:rPr>
        <w:t>Noveno.</w:t>
      </w:r>
      <w:r w:rsidRPr="00B841E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194EEC5" w14:textId="77777777" w:rsidR="00F27141" w:rsidRPr="00B841ED" w:rsidRDefault="00F27141" w:rsidP="00B841ED"/>
    <w:p w14:paraId="1998BA82" w14:textId="77777777" w:rsidR="00F27141" w:rsidRPr="00B841ED" w:rsidRDefault="00F27141" w:rsidP="00B841ED">
      <w:pPr>
        <w:pStyle w:val="Puesto"/>
      </w:pPr>
      <w:r w:rsidRPr="00B841ED">
        <w:rPr>
          <w:b/>
        </w:rPr>
        <w:t>Décimo.</w:t>
      </w:r>
      <w:r w:rsidRPr="00B841ED">
        <w:t xml:space="preserve"> Los titulares de las áreas, deberán tener conocimiento y llevar un registro del personal que, por la naturaleza de sus atribuciones, tenga acceso a los documentos </w:t>
      </w:r>
      <w:r w:rsidRPr="00B841ED">
        <w:lastRenderedPageBreak/>
        <w:t>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337D6E2" w14:textId="77777777" w:rsidR="00F27141" w:rsidRPr="00B841ED" w:rsidRDefault="00F27141" w:rsidP="00B841ED">
      <w:pPr>
        <w:pStyle w:val="Puesto"/>
      </w:pPr>
      <w:r w:rsidRPr="00B841ED">
        <w:t>En ausencia de los titulares de las áreas, la información será clasificada o desclasificada por la persona que lo supla, en términos de la normativa que rija la actuación del sujeto obligado.</w:t>
      </w:r>
    </w:p>
    <w:p w14:paraId="603B64C8" w14:textId="77777777" w:rsidR="00F27141" w:rsidRPr="00B841ED" w:rsidRDefault="00F27141" w:rsidP="00B841ED">
      <w:pPr>
        <w:pStyle w:val="Puesto"/>
        <w:rPr>
          <w:b/>
        </w:rPr>
      </w:pPr>
      <w:r w:rsidRPr="00B841ED">
        <w:rPr>
          <w:b/>
        </w:rPr>
        <w:t>Décimo primero.</w:t>
      </w:r>
      <w:r w:rsidRPr="00B841E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841ED">
        <w:rPr>
          <w:b/>
        </w:rPr>
        <w:t>”</w:t>
      </w:r>
    </w:p>
    <w:p w14:paraId="61962DD6" w14:textId="77777777" w:rsidR="00F27141" w:rsidRPr="00B841ED" w:rsidRDefault="00F27141" w:rsidP="00B841ED"/>
    <w:p w14:paraId="6C6BEA9E" w14:textId="5ACCC26E" w:rsidR="003E5692" w:rsidRPr="00B841ED" w:rsidRDefault="00F27141" w:rsidP="00B841ED">
      <w:pPr>
        <w:ind w:right="-93"/>
        <w:rPr>
          <w:rFonts w:cs="Tahoma"/>
          <w:bCs/>
          <w:szCs w:val="22"/>
        </w:rPr>
      </w:pPr>
      <w:r w:rsidRPr="00B841ED">
        <w:t xml:space="preserve">Consecuentemente, se destaca que la versión pública que elabore </w:t>
      </w:r>
      <w:r w:rsidRPr="00B841ED">
        <w:rPr>
          <w:b/>
        </w:rPr>
        <w:t>EL SUJETO OBLIGADO</w:t>
      </w:r>
      <w:r w:rsidRPr="00B841ED">
        <w:t xml:space="preserve"> debe cumplir con las formalidades exigidas en la Ley, por lo que para tal efecto emitirá el </w:t>
      </w:r>
      <w:r w:rsidRPr="00B841ED">
        <w:rPr>
          <w:b/>
        </w:rPr>
        <w:t>Acuerdo del Comité de Transparencia</w:t>
      </w:r>
      <w:r w:rsidRPr="00B841E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841ED">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C4BE36E" w14:textId="77777777" w:rsidR="00F27141" w:rsidRPr="00B841ED" w:rsidRDefault="00F27141" w:rsidP="00B841ED">
      <w:pPr>
        <w:ind w:right="-93"/>
        <w:rPr>
          <w:rFonts w:cs="Tahoma"/>
          <w:bCs/>
          <w:szCs w:val="22"/>
        </w:rPr>
      </w:pPr>
    </w:p>
    <w:p w14:paraId="1664AD31" w14:textId="4953D6AF" w:rsidR="00703347" w:rsidRPr="00B841ED" w:rsidRDefault="00FB610C" w:rsidP="00B841ED">
      <w:pPr>
        <w:pStyle w:val="Ttulo3"/>
      </w:pPr>
      <w:bookmarkStart w:id="34" w:name="_Toc184810838"/>
      <w:r w:rsidRPr="00B841ED">
        <w:t>e</w:t>
      </w:r>
      <w:r w:rsidR="00BD5A7C" w:rsidRPr="00B841ED">
        <w:t>) Conclusión</w:t>
      </w:r>
      <w:bookmarkStart w:id="35" w:name="_Hlk165381027"/>
      <w:bookmarkEnd w:id="34"/>
    </w:p>
    <w:p w14:paraId="6C4C444E" w14:textId="4B57355A" w:rsidR="00BD5A7C" w:rsidRPr="00B841ED" w:rsidRDefault="00703347" w:rsidP="00B841ED">
      <w:pPr>
        <w:ind w:right="-93"/>
        <w:rPr>
          <w:rFonts w:cs="Tahoma"/>
          <w:bCs/>
          <w:szCs w:val="22"/>
        </w:rPr>
      </w:pPr>
      <w:r w:rsidRPr="00B841ED">
        <w:rPr>
          <w:rFonts w:cs="Tahoma"/>
          <w:bCs/>
          <w:szCs w:val="22"/>
        </w:rPr>
        <w:t xml:space="preserve">Así, con fundamento en lo establecido en los artículos 5, párrafos trigésimo segundo, trigésimo tercero y trigésimo cuarto, fracciones IV y V, de la Constitución Política del Estado Libre y </w:t>
      </w:r>
      <w:r w:rsidRPr="00B841ED">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B841ED" w:rsidRDefault="00BD5A7C" w:rsidP="00B841ED"/>
    <w:p w14:paraId="5C396097" w14:textId="684A0E4F" w:rsidR="00664420" w:rsidRPr="00B841ED" w:rsidRDefault="00664420" w:rsidP="00B841ED">
      <w:pPr>
        <w:pStyle w:val="Ttulo1"/>
      </w:pPr>
      <w:bookmarkStart w:id="36" w:name="_Toc184810839"/>
      <w:r w:rsidRPr="00B841ED">
        <w:t>RESUELVE</w:t>
      </w:r>
      <w:bookmarkEnd w:id="36"/>
    </w:p>
    <w:p w14:paraId="203B7093" w14:textId="77777777" w:rsidR="00664420" w:rsidRPr="00B841ED" w:rsidRDefault="00664420" w:rsidP="00B841ED">
      <w:pPr>
        <w:ind w:right="113"/>
        <w:rPr>
          <w:rFonts w:cs="Arial"/>
          <w:b/>
          <w:szCs w:val="22"/>
        </w:rPr>
      </w:pPr>
    </w:p>
    <w:p w14:paraId="40DE562B" w14:textId="0A6151CD" w:rsidR="00FC3CE0" w:rsidRPr="00B841ED" w:rsidRDefault="00FC3CE0" w:rsidP="00B841ED">
      <w:pPr>
        <w:widowControl w:val="0"/>
        <w:rPr>
          <w:rFonts w:eastAsia="Calibri" w:cs="Tahoma"/>
          <w:bCs/>
          <w:szCs w:val="22"/>
          <w:lang w:eastAsia="en-US"/>
        </w:rPr>
      </w:pPr>
      <w:r w:rsidRPr="00B841ED">
        <w:rPr>
          <w:b/>
          <w:bCs/>
        </w:rPr>
        <w:t>PRIMERO.</w:t>
      </w:r>
      <w:r w:rsidRPr="00B841ED">
        <w:t xml:space="preserve"> </w:t>
      </w:r>
      <w:r w:rsidR="00F27141" w:rsidRPr="00B841ED">
        <w:rPr>
          <w:rFonts w:cs="Tahoma"/>
          <w:szCs w:val="22"/>
        </w:rPr>
        <w:t xml:space="preserve">Se </w:t>
      </w:r>
      <w:r w:rsidR="005A68C0" w:rsidRPr="00B841ED">
        <w:rPr>
          <w:rFonts w:cs="Tahoma"/>
          <w:b/>
          <w:bCs/>
          <w:szCs w:val="22"/>
        </w:rPr>
        <w:t>MODIFICAN</w:t>
      </w:r>
      <w:r w:rsidR="00F27141" w:rsidRPr="00B841ED">
        <w:rPr>
          <w:rFonts w:cs="Tahoma"/>
          <w:szCs w:val="22"/>
        </w:rPr>
        <w:t xml:space="preserve"> las respuestas entregadas por el </w:t>
      </w:r>
      <w:r w:rsidR="00F27141" w:rsidRPr="00B841ED">
        <w:rPr>
          <w:rFonts w:cs="Tahoma"/>
          <w:b/>
          <w:bCs/>
          <w:szCs w:val="22"/>
        </w:rPr>
        <w:t>SUJETO OBLIGADO</w:t>
      </w:r>
      <w:r w:rsidR="00F27141" w:rsidRPr="00B841ED">
        <w:rPr>
          <w:rFonts w:cs="Tahoma"/>
          <w:szCs w:val="22"/>
        </w:rPr>
        <w:t xml:space="preserve"> en las solicitudes de información </w:t>
      </w:r>
      <w:r w:rsidR="005A68C0" w:rsidRPr="00B841ED">
        <w:rPr>
          <w:b/>
          <w:bCs/>
        </w:rPr>
        <w:t xml:space="preserve">00994/SESEA/IP/2024, </w:t>
      </w:r>
      <w:r w:rsidR="005A68C0" w:rsidRPr="00B841ED">
        <w:t xml:space="preserve"> </w:t>
      </w:r>
      <w:r w:rsidR="005A68C0" w:rsidRPr="00B841ED">
        <w:rPr>
          <w:b/>
          <w:bCs/>
        </w:rPr>
        <w:t>00995/SESEA/IP/2024, 00996/SESEA/IP/2024 y 00997/SESEA/IP/2024</w:t>
      </w:r>
      <w:r w:rsidR="00F27141" w:rsidRPr="00B841ED">
        <w:rPr>
          <w:rFonts w:cs="Tahoma"/>
          <w:bCs/>
          <w:szCs w:val="22"/>
        </w:rPr>
        <w:t xml:space="preserve">, </w:t>
      </w:r>
      <w:r w:rsidR="00F27141" w:rsidRPr="00B841ED">
        <w:rPr>
          <w:rFonts w:eastAsia="Calibri" w:cs="Tahoma"/>
          <w:bCs/>
          <w:szCs w:val="22"/>
          <w:lang w:eastAsia="en-US"/>
        </w:rPr>
        <w:t xml:space="preserve">por resultar </w:t>
      </w:r>
      <w:r w:rsidR="00F27141" w:rsidRPr="00B841ED">
        <w:rPr>
          <w:rFonts w:eastAsia="Calibri" w:cs="Tahoma"/>
          <w:b/>
          <w:bCs/>
          <w:szCs w:val="22"/>
          <w:lang w:eastAsia="en-US"/>
        </w:rPr>
        <w:t>FUNDADAS</w:t>
      </w:r>
      <w:r w:rsidR="00F27141" w:rsidRPr="00B841ED">
        <w:rPr>
          <w:rFonts w:eastAsia="Calibri" w:cs="Tahoma"/>
          <w:bCs/>
          <w:szCs w:val="22"/>
          <w:lang w:eastAsia="en-US"/>
        </w:rPr>
        <w:t xml:space="preserve"> las razones o motivos de inconformidad hechos valer por </w:t>
      </w:r>
      <w:r w:rsidR="00F27141" w:rsidRPr="00B841ED">
        <w:rPr>
          <w:rFonts w:eastAsia="Calibri" w:cs="Tahoma"/>
          <w:b/>
          <w:szCs w:val="22"/>
          <w:lang w:eastAsia="en-US"/>
        </w:rPr>
        <w:t>LA PARTE RECURRENTE</w:t>
      </w:r>
      <w:r w:rsidR="00F27141" w:rsidRPr="00B841ED">
        <w:rPr>
          <w:rFonts w:eastAsia="Calibri" w:cs="Tahoma"/>
          <w:bCs/>
          <w:szCs w:val="22"/>
          <w:lang w:eastAsia="en-US"/>
        </w:rPr>
        <w:t xml:space="preserve"> en los Recursos de Revisión </w:t>
      </w:r>
      <w:r w:rsidR="005A68C0" w:rsidRPr="00B841ED">
        <w:rPr>
          <w:rFonts w:eastAsia="Calibri"/>
          <w:b/>
          <w:lang w:eastAsia="en-US"/>
        </w:rPr>
        <w:t>07072/INFOEM/IP/RR/2024, 07073/INFOEM/IP/RR/2024, 07074/INFOEM/IP/RR/2024 y 07075/INFOEM/IP/RR/2024</w:t>
      </w:r>
      <w:r w:rsidR="00F27141" w:rsidRPr="00B841ED">
        <w:rPr>
          <w:rFonts w:eastAsiaTheme="minorHAnsi" w:cstheme="minorBidi"/>
          <w:szCs w:val="22"/>
          <w:lang w:eastAsia="en-US"/>
        </w:rPr>
        <w:t>,</w:t>
      </w:r>
      <w:r w:rsidR="00F27141" w:rsidRPr="00B841ED">
        <w:rPr>
          <w:rFonts w:cs="Tahoma"/>
          <w:b/>
          <w:szCs w:val="22"/>
        </w:rPr>
        <w:t xml:space="preserve"> </w:t>
      </w:r>
      <w:r w:rsidR="00F27141" w:rsidRPr="00B841ED">
        <w:rPr>
          <w:rFonts w:eastAsia="Calibri" w:cs="Tahoma"/>
          <w:bCs/>
          <w:szCs w:val="22"/>
          <w:lang w:eastAsia="en-US"/>
        </w:rPr>
        <w:t xml:space="preserve">en términos del considerando </w:t>
      </w:r>
      <w:r w:rsidR="00F27141" w:rsidRPr="00B841ED">
        <w:rPr>
          <w:rFonts w:eastAsia="Calibri" w:cs="Tahoma"/>
          <w:b/>
          <w:szCs w:val="22"/>
          <w:lang w:eastAsia="en-US"/>
        </w:rPr>
        <w:t>SEGUNDO</w:t>
      </w:r>
      <w:r w:rsidR="00F27141" w:rsidRPr="00B841ED">
        <w:rPr>
          <w:rFonts w:eastAsia="Calibri" w:cs="Tahoma"/>
          <w:bCs/>
          <w:szCs w:val="22"/>
          <w:lang w:eastAsia="en-US"/>
        </w:rPr>
        <w:t xml:space="preserve"> de la presente Resolución.</w:t>
      </w:r>
    </w:p>
    <w:p w14:paraId="4C624039" w14:textId="77777777" w:rsidR="00F27141" w:rsidRPr="00B841ED" w:rsidRDefault="00F27141" w:rsidP="00B841ED">
      <w:pPr>
        <w:widowControl w:val="0"/>
        <w:rPr>
          <w:rFonts w:eastAsia="Calibri" w:cs="Tahoma"/>
          <w:bCs/>
          <w:szCs w:val="22"/>
          <w:lang w:eastAsia="en-US"/>
        </w:rPr>
      </w:pPr>
    </w:p>
    <w:p w14:paraId="7046A418" w14:textId="14E8E52B" w:rsidR="00F27141" w:rsidRPr="00B841ED" w:rsidRDefault="00F27141" w:rsidP="00B841ED">
      <w:pPr>
        <w:widowControl w:val="0"/>
        <w:rPr>
          <w:rFonts w:eastAsia="Calibri" w:cs="Tahoma"/>
          <w:bCs/>
          <w:szCs w:val="22"/>
          <w:lang w:eastAsia="en-US"/>
        </w:rPr>
      </w:pPr>
      <w:r w:rsidRPr="00B841ED">
        <w:rPr>
          <w:rFonts w:eastAsia="Calibri" w:cs="Tahoma"/>
          <w:b/>
          <w:bCs/>
          <w:szCs w:val="22"/>
          <w:lang w:eastAsia="en-US"/>
        </w:rPr>
        <w:t>SEGUNDO.</w:t>
      </w:r>
      <w:r w:rsidRPr="00B841ED">
        <w:rPr>
          <w:rFonts w:eastAsia="Calibri" w:cs="Tahoma"/>
          <w:szCs w:val="22"/>
          <w:lang w:eastAsia="es-MX"/>
        </w:rPr>
        <w:t xml:space="preserve"> Se </w:t>
      </w:r>
      <w:r w:rsidRPr="00B841ED">
        <w:rPr>
          <w:rFonts w:eastAsia="Calibri" w:cs="Tahoma"/>
          <w:b/>
          <w:szCs w:val="22"/>
          <w:lang w:eastAsia="es-MX"/>
        </w:rPr>
        <w:t xml:space="preserve">ORDENA </w:t>
      </w:r>
      <w:r w:rsidRPr="00B841ED">
        <w:rPr>
          <w:rFonts w:eastAsia="Calibri" w:cs="Tahoma"/>
          <w:szCs w:val="22"/>
          <w:lang w:eastAsia="es-MX"/>
        </w:rPr>
        <w:t xml:space="preserve">al </w:t>
      </w:r>
      <w:r w:rsidRPr="00B841ED">
        <w:rPr>
          <w:rFonts w:eastAsia="Calibri" w:cs="Tahoma"/>
          <w:b/>
          <w:bCs/>
          <w:szCs w:val="22"/>
          <w:lang w:eastAsia="es-MX"/>
        </w:rPr>
        <w:t>SUJETO OBLIGADO</w:t>
      </w:r>
      <w:r w:rsidRPr="00B841ED">
        <w:rPr>
          <w:rFonts w:eastAsia="Calibri" w:cs="Tahoma"/>
          <w:szCs w:val="22"/>
          <w:lang w:eastAsia="es-MX"/>
        </w:rPr>
        <w:t xml:space="preserve">, </w:t>
      </w:r>
      <w:r w:rsidRPr="00B841ED">
        <w:rPr>
          <w:rFonts w:eastAsia="Calibri" w:cs="Tahoma"/>
          <w:bCs/>
          <w:szCs w:val="22"/>
          <w:lang w:eastAsia="en-US"/>
        </w:rPr>
        <w:t>a efecto de que, entregue a través del SAIMEX, en su caso en versión pública, los documentos que den cuenta de lo siguiente:</w:t>
      </w:r>
    </w:p>
    <w:p w14:paraId="530E3212" w14:textId="77777777" w:rsidR="006230B1" w:rsidRPr="00B841ED" w:rsidRDefault="006230B1" w:rsidP="00B841ED">
      <w:pPr>
        <w:widowControl w:val="0"/>
        <w:rPr>
          <w:rFonts w:eastAsia="Calibri" w:cs="Tahoma"/>
          <w:bCs/>
          <w:szCs w:val="22"/>
          <w:lang w:eastAsia="en-US"/>
        </w:rPr>
      </w:pPr>
    </w:p>
    <w:p w14:paraId="1084EF6E" w14:textId="34DB29D8" w:rsidR="006230B1" w:rsidRPr="00B841ED" w:rsidRDefault="005A68C0" w:rsidP="00B841ED">
      <w:pPr>
        <w:pStyle w:val="Prrafodelista"/>
        <w:widowControl w:val="0"/>
        <w:numPr>
          <w:ilvl w:val="0"/>
          <w:numId w:val="25"/>
        </w:numPr>
        <w:spacing w:line="240" w:lineRule="auto"/>
        <w:rPr>
          <w:rFonts w:eastAsia="Calibri" w:cs="Tahoma"/>
          <w:bCs/>
          <w:i/>
          <w:szCs w:val="22"/>
          <w:lang w:eastAsia="en-US"/>
        </w:rPr>
      </w:pPr>
      <w:r w:rsidRPr="00B841ED">
        <w:rPr>
          <w:rFonts w:eastAsia="Calibri" w:cs="Tahoma"/>
          <w:bCs/>
          <w:i/>
          <w:szCs w:val="22"/>
          <w:lang w:eastAsia="en-US"/>
        </w:rPr>
        <w:t>Las actas de las sesiones del Subcomité Editorial en donde se haya sometido a consideración del mismo, los proyectos para la emisión de la revista digital “Experiencia Anticorrupción”, del periodo co</w:t>
      </w:r>
      <w:r w:rsidR="00731AB3" w:rsidRPr="00B841ED">
        <w:rPr>
          <w:rFonts w:eastAsia="Calibri" w:cs="Tahoma"/>
          <w:bCs/>
          <w:i/>
          <w:szCs w:val="22"/>
          <w:lang w:eastAsia="en-US"/>
        </w:rPr>
        <w:t>mprendido del 1 de enero de 2021</w:t>
      </w:r>
      <w:r w:rsidRPr="00B841ED">
        <w:rPr>
          <w:rFonts w:eastAsia="Calibri" w:cs="Tahoma"/>
          <w:bCs/>
          <w:i/>
          <w:szCs w:val="22"/>
          <w:lang w:eastAsia="en-US"/>
        </w:rPr>
        <w:t xml:space="preserve"> al 17 de octubre de 2024</w:t>
      </w:r>
      <w:r w:rsidR="00781E94" w:rsidRPr="00B841ED">
        <w:rPr>
          <w:rFonts w:eastAsia="Calibri" w:cs="Tahoma"/>
          <w:bCs/>
          <w:i/>
          <w:szCs w:val="22"/>
          <w:lang w:eastAsia="en-US"/>
        </w:rPr>
        <w:t>.</w:t>
      </w:r>
    </w:p>
    <w:p w14:paraId="182B8EEB" w14:textId="77777777" w:rsidR="006230B1" w:rsidRPr="00B841ED" w:rsidRDefault="006230B1" w:rsidP="00B841ED">
      <w:pPr>
        <w:pStyle w:val="Prrafodelista"/>
        <w:widowControl w:val="0"/>
        <w:spacing w:line="240" w:lineRule="auto"/>
        <w:rPr>
          <w:rFonts w:cs="Tahoma"/>
          <w:bCs/>
          <w:i/>
          <w:iCs/>
          <w:szCs w:val="22"/>
        </w:rPr>
      </w:pPr>
    </w:p>
    <w:p w14:paraId="5A167EBF" w14:textId="2FC9822A" w:rsidR="006230B1" w:rsidRPr="00B841ED" w:rsidRDefault="006230B1" w:rsidP="00B841ED">
      <w:pPr>
        <w:pStyle w:val="Prrafodelista"/>
        <w:widowControl w:val="0"/>
        <w:spacing w:line="240" w:lineRule="auto"/>
        <w:rPr>
          <w:rFonts w:eastAsia="Calibri" w:cs="Tahoma"/>
          <w:bCs/>
          <w:i/>
          <w:szCs w:val="22"/>
          <w:lang w:eastAsia="en-US"/>
        </w:rPr>
      </w:pPr>
      <w:r w:rsidRPr="00B841ED">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0934086" w14:textId="77777777" w:rsidR="006230B1" w:rsidRPr="00B841ED" w:rsidRDefault="006230B1" w:rsidP="00B841ED">
      <w:pPr>
        <w:pStyle w:val="Prrafodelista"/>
        <w:widowControl w:val="0"/>
        <w:rPr>
          <w:rFonts w:eastAsia="Calibri" w:cs="Tahoma"/>
          <w:bCs/>
          <w:szCs w:val="22"/>
          <w:lang w:eastAsia="en-US"/>
        </w:rPr>
      </w:pPr>
    </w:p>
    <w:p w14:paraId="56E20728" w14:textId="285F65EB" w:rsidR="006230B1" w:rsidRPr="00B841ED" w:rsidRDefault="00781E94" w:rsidP="00B841ED">
      <w:pPr>
        <w:rPr>
          <w:rFonts w:eastAsia="Calibri" w:cs="Tahoma"/>
          <w:bCs/>
          <w:szCs w:val="22"/>
          <w:lang w:eastAsia="en-US"/>
        </w:rPr>
      </w:pPr>
      <w:r w:rsidRPr="00B841ED">
        <w:rPr>
          <w:b/>
          <w:bCs/>
        </w:rPr>
        <w:lastRenderedPageBreak/>
        <w:t>TERCERO</w:t>
      </w:r>
      <w:r w:rsidR="005A68C0" w:rsidRPr="00B841ED">
        <w:rPr>
          <w:b/>
          <w:bCs/>
        </w:rPr>
        <w:t>.</w:t>
      </w:r>
      <w:r w:rsidR="005A68C0" w:rsidRPr="00B841ED">
        <w:t xml:space="preserve"> </w:t>
      </w:r>
      <w:r w:rsidR="005A68C0" w:rsidRPr="00B841ED">
        <w:rPr>
          <w:rFonts w:cs="Tahoma"/>
          <w:szCs w:val="22"/>
        </w:rPr>
        <w:t xml:space="preserve">Se </w:t>
      </w:r>
      <w:r w:rsidR="005A68C0" w:rsidRPr="00B841ED">
        <w:rPr>
          <w:rFonts w:cs="Tahoma"/>
          <w:b/>
          <w:bCs/>
          <w:szCs w:val="22"/>
        </w:rPr>
        <w:t>CONFIRMA</w:t>
      </w:r>
      <w:r w:rsidR="005A68C0" w:rsidRPr="00B841ED">
        <w:rPr>
          <w:rFonts w:cs="Tahoma"/>
          <w:szCs w:val="22"/>
        </w:rPr>
        <w:t xml:space="preserve"> la respuesta entregada por el </w:t>
      </w:r>
      <w:r w:rsidR="005A68C0" w:rsidRPr="00B841ED">
        <w:rPr>
          <w:rFonts w:cs="Tahoma"/>
          <w:b/>
          <w:bCs/>
          <w:szCs w:val="22"/>
        </w:rPr>
        <w:t>SUJETO OBLIGADO</w:t>
      </w:r>
      <w:r w:rsidR="005A68C0" w:rsidRPr="00B841ED">
        <w:rPr>
          <w:rFonts w:cs="Tahoma"/>
          <w:szCs w:val="22"/>
        </w:rPr>
        <w:t xml:space="preserve"> en la solicitud de información </w:t>
      </w:r>
      <w:r w:rsidR="005A68C0" w:rsidRPr="00B841ED">
        <w:rPr>
          <w:rFonts w:cs="Tahoma"/>
          <w:b/>
        </w:rPr>
        <w:t>00993/SESEA/IP/2024</w:t>
      </w:r>
      <w:r w:rsidR="005A68C0" w:rsidRPr="00B841ED">
        <w:rPr>
          <w:rFonts w:cs="Tahoma"/>
          <w:bCs/>
          <w:szCs w:val="22"/>
        </w:rPr>
        <w:t xml:space="preserve">, </w:t>
      </w:r>
      <w:r w:rsidR="005A68C0" w:rsidRPr="00B841ED">
        <w:rPr>
          <w:rFonts w:eastAsia="Calibri" w:cs="Tahoma"/>
          <w:bCs/>
          <w:szCs w:val="22"/>
          <w:lang w:eastAsia="en-US"/>
        </w:rPr>
        <w:t xml:space="preserve">por resultar </w:t>
      </w:r>
      <w:r w:rsidR="005A68C0" w:rsidRPr="00B841ED">
        <w:rPr>
          <w:rFonts w:eastAsia="Calibri" w:cs="Tahoma"/>
          <w:b/>
          <w:szCs w:val="22"/>
          <w:lang w:eastAsia="en-US"/>
        </w:rPr>
        <w:t>IN</w:t>
      </w:r>
      <w:r w:rsidR="005A68C0" w:rsidRPr="00B841ED">
        <w:rPr>
          <w:rFonts w:eastAsia="Calibri" w:cs="Tahoma"/>
          <w:b/>
          <w:bCs/>
          <w:szCs w:val="22"/>
          <w:lang w:eastAsia="en-US"/>
        </w:rPr>
        <w:t>FUNDADAS</w:t>
      </w:r>
      <w:r w:rsidR="005A68C0" w:rsidRPr="00B841ED">
        <w:rPr>
          <w:rFonts w:eastAsia="Calibri" w:cs="Tahoma"/>
          <w:bCs/>
          <w:szCs w:val="22"/>
          <w:lang w:eastAsia="en-US"/>
        </w:rPr>
        <w:t xml:space="preserve"> las razones o motivos de inconformidad hechos valer por </w:t>
      </w:r>
      <w:r w:rsidR="005A68C0" w:rsidRPr="00B841ED">
        <w:rPr>
          <w:rFonts w:eastAsia="Calibri" w:cs="Tahoma"/>
          <w:b/>
          <w:szCs w:val="22"/>
          <w:lang w:eastAsia="en-US"/>
        </w:rPr>
        <w:t>LA PARTE RECURRENTE</w:t>
      </w:r>
      <w:r w:rsidR="005A68C0" w:rsidRPr="00B841ED">
        <w:rPr>
          <w:rFonts w:eastAsia="Calibri" w:cs="Tahoma"/>
          <w:bCs/>
          <w:szCs w:val="22"/>
          <w:lang w:eastAsia="en-US"/>
        </w:rPr>
        <w:t xml:space="preserve"> en el Recurso de Revisión </w:t>
      </w:r>
      <w:r w:rsidR="005A68C0" w:rsidRPr="00B841ED">
        <w:rPr>
          <w:rFonts w:eastAsiaTheme="minorHAnsi" w:cstheme="minorBidi"/>
          <w:b/>
          <w:bCs/>
          <w:szCs w:val="22"/>
          <w:lang w:eastAsia="en-US"/>
        </w:rPr>
        <w:t>07076/INFOEM/IP/RR/2024</w:t>
      </w:r>
      <w:r w:rsidR="005A68C0" w:rsidRPr="00B841ED">
        <w:rPr>
          <w:rFonts w:eastAsiaTheme="minorHAnsi" w:cstheme="minorBidi"/>
          <w:szCs w:val="22"/>
          <w:lang w:eastAsia="en-US"/>
        </w:rPr>
        <w:t>,</w:t>
      </w:r>
      <w:r w:rsidR="005A68C0" w:rsidRPr="00B841ED">
        <w:rPr>
          <w:rFonts w:cs="Tahoma"/>
          <w:b/>
          <w:szCs w:val="22"/>
        </w:rPr>
        <w:t xml:space="preserve"> </w:t>
      </w:r>
      <w:r w:rsidR="005A68C0" w:rsidRPr="00B841ED">
        <w:rPr>
          <w:rFonts w:eastAsia="Calibri" w:cs="Tahoma"/>
          <w:bCs/>
          <w:szCs w:val="22"/>
          <w:lang w:eastAsia="en-US"/>
        </w:rPr>
        <w:t xml:space="preserve">en términos del considerando </w:t>
      </w:r>
      <w:r w:rsidR="005A68C0" w:rsidRPr="00B841ED">
        <w:rPr>
          <w:rFonts w:eastAsia="Calibri" w:cs="Tahoma"/>
          <w:b/>
          <w:szCs w:val="22"/>
          <w:lang w:eastAsia="en-US"/>
        </w:rPr>
        <w:t>SEGUNDO</w:t>
      </w:r>
      <w:r w:rsidR="005A68C0" w:rsidRPr="00B841ED">
        <w:rPr>
          <w:rFonts w:eastAsia="Calibri" w:cs="Tahoma"/>
          <w:bCs/>
          <w:szCs w:val="22"/>
          <w:lang w:eastAsia="en-US"/>
        </w:rPr>
        <w:t xml:space="preserve"> de la presente Resolución.</w:t>
      </w:r>
    </w:p>
    <w:p w14:paraId="1B5843FC" w14:textId="77777777" w:rsidR="005A68C0" w:rsidRPr="00B841ED" w:rsidRDefault="005A68C0" w:rsidP="00B841ED">
      <w:pPr>
        <w:rPr>
          <w:rFonts w:eastAsiaTheme="minorHAnsi" w:cstheme="minorBidi"/>
          <w:b/>
          <w:bCs/>
          <w:szCs w:val="22"/>
          <w:lang w:eastAsia="en-US"/>
        </w:rPr>
      </w:pPr>
    </w:p>
    <w:p w14:paraId="0A106B2B" w14:textId="7BEE0188" w:rsidR="006230B1" w:rsidRPr="00B841ED" w:rsidRDefault="00781E94" w:rsidP="00B841ED">
      <w:r w:rsidRPr="00B841ED">
        <w:rPr>
          <w:b/>
          <w:bCs/>
        </w:rPr>
        <w:t>CUARTO</w:t>
      </w:r>
      <w:r w:rsidR="006230B1" w:rsidRPr="00B841ED">
        <w:rPr>
          <w:b/>
          <w:bCs/>
        </w:rPr>
        <w:t>.</w:t>
      </w:r>
      <w:r w:rsidR="006230B1" w:rsidRPr="00B841ED">
        <w:t xml:space="preserve"> Notifíquese la presente resolución al Titular de la Unidad de Transparencia del </w:t>
      </w:r>
      <w:r w:rsidR="006230B1" w:rsidRPr="00B841ED">
        <w:rPr>
          <w:b/>
          <w:bCs/>
        </w:rPr>
        <w:t>SUJETO OBLIGADO a través del sistema SAIMEX</w:t>
      </w:r>
      <w:r w:rsidR="006230B1" w:rsidRPr="00B841ED">
        <w:t xml:space="preserve">, para que conforme al artículo 186 último párrafo, 189 segundo párrafo y 194 de la Ley de Transparencia y Acceso a la Información Pública del Estado de México y Municipios, dé cumplimiento a lo ordenado dentro del plazo de </w:t>
      </w:r>
      <w:r w:rsidR="006230B1" w:rsidRPr="00B841ED">
        <w:rPr>
          <w:b/>
          <w:bCs/>
        </w:rPr>
        <w:t>diez días hábiles</w:t>
      </w:r>
      <w:r w:rsidR="006230B1" w:rsidRPr="00B841ED">
        <w:t xml:space="preserve">, e informe a este Instituto en un plazo de </w:t>
      </w:r>
      <w:r w:rsidR="006230B1" w:rsidRPr="00B841ED">
        <w:rPr>
          <w:b/>
          <w:bCs/>
        </w:rPr>
        <w:t>tres días hábiles</w:t>
      </w:r>
      <w:r w:rsidR="006230B1" w:rsidRPr="00B841E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EBF75C" w14:textId="77777777" w:rsidR="006230B1" w:rsidRPr="00B841ED" w:rsidRDefault="006230B1" w:rsidP="00B841ED"/>
    <w:p w14:paraId="217D5ABE" w14:textId="7EACE7F1" w:rsidR="006230B1" w:rsidRPr="00B841ED" w:rsidRDefault="00781E94" w:rsidP="00B841ED">
      <w:r w:rsidRPr="00B841ED">
        <w:rPr>
          <w:b/>
          <w:bCs/>
        </w:rPr>
        <w:t>QUINTO</w:t>
      </w:r>
      <w:r w:rsidR="006230B1" w:rsidRPr="00B841ED">
        <w:rPr>
          <w:b/>
          <w:bCs/>
        </w:rPr>
        <w:t>.</w:t>
      </w:r>
      <w:r w:rsidR="006230B1" w:rsidRPr="00B841ED">
        <w:t xml:space="preserve"> Notifíquese a </w:t>
      </w:r>
      <w:r w:rsidR="006230B1" w:rsidRPr="00B841ED">
        <w:rPr>
          <w:b/>
          <w:bCs/>
        </w:rPr>
        <w:t>LA PARTE RECURRENTE</w:t>
      </w:r>
      <w:r w:rsidR="006230B1" w:rsidRPr="00B841ED">
        <w:t xml:space="preserve"> la presente resolución vía Sistema de Acceso a la Información Mexiquense (SAIMEX).</w:t>
      </w:r>
    </w:p>
    <w:p w14:paraId="610EE817" w14:textId="77777777" w:rsidR="006230B1" w:rsidRPr="00B841ED" w:rsidRDefault="006230B1" w:rsidP="00B841ED"/>
    <w:p w14:paraId="13EA959F" w14:textId="62C412E1" w:rsidR="006230B1" w:rsidRPr="00B841ED" w:rsidRDefault="00781E94" w:rsidP="00B841ED">
      <w:r w:rsidRPr="00B841ED">
        <w:rPr>
          <w:b/>
          <w:bCs/>
        </w:rPr>
        <w:t>SEXTO</w:t>
      </w:r>
      <w:r w:rsidR="006230B1" w:rsidRPr="00B841ED">
        <w:t xml:space="preserve">. Hágase del conocimiento a </w:t>
      </w:r>
      <w:r w:rsidR="006230B1" w:rsidRPr="00B841ED">
        <w:rPr>
          <w:b/>
          <w:bCs/>
        </w:rPr>
        <w:t>LA PARTE RECURRENTE</w:t>
      </w:r>
      <w:r w:rsidR="006230B1" w:rsidRPr="00B841E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8D4A482" w14:textId="43E90155" w:rsidR="00FC3CE0" w:rsidRPr="00B841ED" w:rsidRDefault="00781E94" w:rsidP="00B841ED">
      <w:pPr>
        <w:widowControl w:val="0"/>
        <w:rPr>
          <w:rFonts w:eastAsia="Calibri" w:cs="Tahoma"/>
          <w:bCs/>
          <w:szCs w:val="22"/>
          <w:lang w:eastAsia="en-US"/>
        </w:rPr>
      </w:pPr>
      <w:r w:rsidRPr="00B841ED">
        <w:rPr>
          <w:b/>
          <w:bCs/>
        </w:rPr>
        <w:lastRenderedPageBreak/>
        <w:t>SÉPTIMO.</w:t>
      </w:r>
      <w:r w:rsidRPr="00B841ED">
        <w:t xml:space="preserve"> </w:t>
      </w:r>
      <w:r w:rsidR="006230B1" w:rsidRPr="00B841ED">
        <w:t xml:space="preserve">De conformidad con el artículo 198 de la Ley de Transparencia y Acceso a la Información Pública del Estado de México y Municipios, el </w:t>
      </w:r>
      <w:r w:rsidR="006230B1" w:rsidRPr="00B841ED">
        <w:rPr>
          <w:b/>
          <w:bCs/>
        </w:rPr>
        <w:t>SUJETO OBLIGADO</w:t>
      </w:r>
      <w:r w:rsidR="006230B1" w:rsidRPr="00B841ED">
        <w:t xml:space="preserve"> podrá solicitar una ampliación de plazo de manera fundada y motivada, para el cumplimiento de la presente resolución.</w:t>
      </w:r>
    </w:p>
    <w:p w14:paraId="16A4F4E2" w14:textId="187F4D85" w:rsidR="00FC3CE0" w:rsidRPr="00B841ED" w:rsidRDefault="00FC3CE0" w:rsidP="00B841ED"/>
    <w:p w14:paraId="719A5C63" w14:textId="69C6DA21" w:rsidR="00664420" w:rsidRPr="00B841ED" w:rsidRDefault="00664420" w:rsidP="00B841ED">
      <w:pPr>
        <w:rPr>
          <w:rFonts w:eastAsia="Palatino Linotype" w:cs="Palatino Linotype"/>
          <w:szCs w:val="22"/>
        </w:rPr>
      </w:pPr>
      <w:r w:rsidRPr="00B841E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A68C0" w:rsidRPr="00B841ED">
        <w:rPr>
          <w:rFonts w:eastAsia="Palatino Linotype" w:cs="Palatino Linotype"/>
          <w:szCs w:val="22"/>
        </w:rPr>
        <w:t>CUADRA</w:t>
      </w:r>
      <w:r w:rsidR="00703347" w:rsidRPr="00B841ED">
        <w:rPr>
          <w:rFonts w:eastAsia="Palatino Linotype" w:cs="Palatino Linotype"/>
          <w:szCs w:val="22"/>
        </w:rPr>
        <w:t>G</w:t>
      </w:r>
      <w:r w:rsidR="00EF5B43" w:rsidRPr="00B841ED">
        <w:rPr>
          <w:rFonts w:eastAsia="Palatino Linotype" w:cs="Palatino Linotype"/>
          <w:szCs w:val="22"/>
        </w:rPr>
        <w:t xml:space="preserve">ÉSIMA TERCERA </w:t>
      </w:r>
      <w:r w:rsidR="00703347" w:rsidRPr="00B841ED">
        <w:rPr>
          <w:rFonts w:eastAsia="Palatino Linotype" w:cs="Palatino Linotype"/>
          <w:szCs w:val="22"/>
        </w:rPr>
        <w:t>S</w:t>
      </w:r>
      <w:r w:rsidR="008661B0">
        <w:rPr>
          <w:rFonts w:eastAsia="Palatino Linotype" w:cs="Palatino Linotype"/>
          <w:szCs w:val="22"/>
        </w:rPr>
        <w:t>ES</w:t>
      </w:r>
      <w:r w:rsidR="00703347" w:rsidRPr="00B841ED">
        <w:rPr>
          <w:rFonts w:eastAsia="Palatino Linotype" w:cs="Palatino Linotype"/>
          <w:szCs w:val="22"/>
        </w:rPr>
        <w:t>IÓN ORDINARIA</w:t>
      </w:r>
      <w:r w:rsidRPr="00B841ED">
        <w:rPr>
          <w:rFonts w:eastAsia="Palatino Linotype" w:cs="Palatino Linotype"/>
          <w:szCs w:val="22"/>
        </w:rPr>
        <w:t xml:space="preserve">, CELEBRADA EL </w:t>
      </w:r>
      <w:r w:rsidR="005A68C0" w:rsidRPr="00B841ED">
        <w:rPr>
          <w:rFonts w:eastAsia="Palatino Linotype" w:cs="Palatino Linotype"/>
          <w:szCs w:val="22"/>
        </w:rPr>
        <w:t>ONCE DE DICIEMBRE</w:t>
      </w:r>
      <w:r w:rsidRPr="00B841ED">
        <w:rPr>
          <w:rFonts w:eastAsia="Palatino Linotype" w:cs="Palatino Linotype"/>
          <w:szCs w:val="22"/>
        </w:rPr>
        <w:t xml:space="preserve"> DE DOS MIL </w:t>
      </w:r>
      <w:r w:rsidR="00703347" w:rsidRPr="00B841ED">
        <w:rPr>
          <w:rFonts w:eastAsia="Palatino Linotype" w:cs="Palatino Linotype"/>
          <w:szCs w:val="22"/>
        </w:rPr>
        <w:t>VEINTICUATRO</w:t>
      </w:r>
      <w:r w:rsidRPr="00B841ED">
        <w:rPr>
          <w:rFonts w:eastAsia="Palatino Linotype" w:cs="Palatino Linotype"/>
          <w:szCs w:val="22"/>
        </w:rPr>
        <w:t>, ANTE EL SECRETARIO TÉCNICO DEL PLENO, ALEXIS TAPIA RAMÍREZ.</w:t>
      </w:r>
    </w:p>
    <w:p w14:paraId="4399A2F8" w14:textId="77777777" w:rsidR="00703347" w:rsidRPr="00B841ED" w:rsidRDefault="00703347" w:rsidP="00B841ED">
      <w:pPr>
        <w:rPr>
          <w:rFonts w:eastAsiaTheme="minorEastAsia"/>
          <w:sz w:val="20"/>
          <w:lang w:val="es-419"/>
        </w:rPr>
      </w:pPr>
      <w:r w:rsidRPr="00B841ED">
        <w:rPr>
          <w:rFonts w:eastAsiaTheme="minorEastAsia"/>
          <w:sz w:val="20"/>
          <w:lang w:val="es-ES_tradnl"/>
        </w:rPr>
        <w:t>SCMM/AGZ/DEMF/</w:t>
      </w:r>
      <w:r w:rsidRPr="00B841ED">
        <w:rPr>
          <w:rFonts w:eastAsiaTheme="minorEastAsia"/>
          <w:sz w:val="20"/>
          <w:lang w:val="es-419"/>
        </w:rPr>
        <w:t>CDFE</w:t>
      </w:r>
    </w:p>
    <w:p w14:paraId="49D72DA3" w14:textId="77777777" w:rsidR="00664420" w:rsidRPr="00B841ED" w:rsidRDefault="00664420" w:rsidP="00B841ED">
      <w:pPr>
        <w:ind w:right="-93"/>
        <w:rPr>
          <w:rFonts w:eastAsia="Calibri" w:cs="Tahoma"/>
          <w:bCs/>
          <w:szCs w:val="22"/>
          <w:lang w:eastAsia="en-US"/>
        </w:rPr>
      </w:pPr>
    </w:p>
    <w:p w14:paraId="5EFEA0CD" w14:textId="77777777" w:rsidR="00664420" w:rsidRPr="00B841ED" w:rsidRDefault="00664420" w:rsidP="00B841ED">
      <w:pPr>
        <w:ind w:right="-93"/>
        <w:rPr>
          <w:rFonts w:eastAsia="Calibri" w:cs="Tahoma"/>
          <w:szCs w:val="22"/>
          <w:lang w:val="es-ES"/>
        </w:rPr>
      </w:pPr>
    </w:p>
    <w:p w14:paraId="696BC976" w14:textId="77777777" w:rsidR="00664420" w:rsidRPr="00B841ED" w:rsidRDefault="00664420" w:rsidP="00B841ED">
      <w:pPr>
        <w:ind w:right="-93"/>
        <w:rPr>
          <w:rFonts w:eastAsia="Calibri" w:cs="Tahoma"/>
          <w:bCs/>
          <w:szCs w:val="22"/>
          <w:lang w:val="es-ES" w:eastAsia="en-US"/>
        </w:rPr>
      </w:pPr>
    </w:p>
    <w:p w14:paraId="671CB0C5" w14:textId="77777777" w:rsidR="00664420" w:rsidRPr="00B841ED" w:rsidRDefault="00664420" w:rsidP="00B841ED">
      <w:pPr>
        <w:ind w:right="-93"/>
        <w:rPr>
          <w:rFonts w:eastAsia="Calibri" w:cs="Tahoma"/>
          <w:bCs/>
          <w:szCs w:val="22"/>
          <w:lang w:val="es-ES_tradnl" w:eastAsia="en-US"/>
        </w:rPr>
      </w:pPr>
    </w:p>
    <w:p w14:paraId="52B66DE7" w14:textId="77777777" w:rsidR="00664420" w:rsidRPr="00B841ED" w:rsidRDefault="00664420" w:rsidP="00B841ED">
      <w:pPr>
        <w:ind w:right="-93"/>
        <w:rPr>
          <w:rFonts w:eastAsia="Calibri" w:cs="Tahoma"/>
          <w:bCs/>
          <w:szCs w:val="22"/>
          <w:lang w:val="es-ES_tradnl" w:eastAsia="en-US"/>
        </w:rPr>
      </w:pPr>
    </w:p>
    <w:p w14:paraId="3BA305D1" w14:textId="77777777" w:rsidR="00664420" w:rsidRPr="00B841ED" w:rsidRDefault="00664420" w:rsidP="00B841ED">
      <w:pPr>
        <w:ind w:right="-93"/>
        <w:rPr>
          <w:rFonts w:eastAsia="Calibri" w:cs="Tahoma"/>
          <w:bCs/>
          <w:szCs w:val="22"/>
          <w:lang w:val="es-ES_tradnl" w:eastAsia="en-US"/>
        </w:rPr>
      </w:pPr>
    </w:p>
    <w:p w14:paraId="78230707" w14:textId="77777777" w:rsidR="00664420" w:rsidRPr="00B841ED" w:rsidRDefault="00664420" w:rsidP="00B841ED">
      <w:pPr>
        <w:ind w:right="-93"/>
        <w:rPr>
          <w:rFonts w:eastAsia="Calibri" w:cs="Tahoma"/>
          <w:bCs/>
          <w:szCs w:val="22"/>
          <w:lang w:val="es-ES_tradnl" w:eastAsia="en-US"/>
        </w:rPr>
      </w:pPr>
    </w:p>
    <w:p w14:paraId="72D18B28" w14:textId="77777777" w:rsidR="00664420" w:rsidRPr="00B841ED" w:rsidRDefault="00664420" w:rsidP="00B841ED">
      <w:pPr>
        <w:ind w:right="-93"/>
        <w:rPr>
          <w:rFonts w:eastAsia="Calibri" w:cs="Tahoma"/>
          <w:bCs/>
          <w:szCs w:val="22"/>
          <w:lang w:val="es-ES_tradnl" w:eastAsia="en-US"/>
        </w:rPr>
      </w:pPr>
    </w:p>
    <w:p w14:paraId="6BD461DC" w14:textId="77777777" w:rsidR="00664420" w:rsidRPr="00B841ED" w:rsidRDefault="00664420" w:rsidP="00B841ED">
      <w:pPr>
        <w:tabs>
          <w:tab w:val="center" w:pos="4568"/>
        </w:tabs>
        <w:ind w:right="-93"/>
        <w:rPr>
          <w:rFonts w:eastAsia="Calibri" w:cs="Tahoma"/>
          <w:bCs/>
          <w:szCs w:val="22"/>
          <w:lang w:eastAsia="en-US"/>
        </w:rPr>
      </w:pPr>
    </w:p>
    <w:p w14:paraId="4DBB1727" w14:textId="77777777" w:rsidR="00664420" w:rsidRPr="00B841ED" w:rsidRDefault="00664420" w:rsidP="00B841ED">
      <w:pPr>
        <w:tabs>
          <w:tab w:val="center" w:pos="4568"/>
        </w:tabs>
        <w:ind w:right="-93"/>
        <w:rPr>
          <w:rFonts w:eastAsia="Calibri" w:cs="Tahoma"/>
          <w:bCs/>
          <w:szCs w:val="22"/>
          <w:lang w:eastAsia="en-US"/>
        </w:rPr>
      </w:pPr>
    </w:p>
    <w:p w14:paraId="1D74121B" w14:textId="77777777" w:rsidR="00664420" w:rsidRPr="00B841ED" w:rsidRDefault="00664420" w:rsidP="00B841ED">
      <w:pPr>
        <w:tabs>
          <w:tab w:val="center" w:pos="4568"/>
        </w:tabs>
        <w:ind w:right="-93"/>
        <w:rPr>
          <w:rFonts w:eastAsia="Calibri" w:cs="Tahoma"/>
          <w:bCs/>
          <w:szCs w:val="22"/>
          <w:lang w:eastAsia="en-US"/>
        </w:rPr>
      </w:pPr>
    </w:p>
    <w:p w14:paraId="08E74E9C" w14:textId="77777777" w:rsidR="00664420" w:rsidRPr="00B841ED" w:rsidRDefault="00664420" w:rsidP="00B841ED">
      <w:pPr>
        <w:tabs>
          <w:tab w:val="center" w:pos="4568"/>
        </w:tabs>
        <w:ind w:right="-93"/>
        <w:rPr>
          <w:rFonts w:eastAsia="Calibri" w:cs="Tahoma"/>
          <w:bCs/>
          <w:szCs w:val="22"/>
          <w:lang w:eastAsia="en-US"/>
        </w:rPr>
      </w:pPr>
    </w:p>
    <w:p w14:paraId="2CBF5E03" w14:textId="77777777" w:rsidR="00664420" w:rsidRPr="00B841ED" w:rsidRDefault="00664420" w:rsidP="00B841ED">
      <w:pPr>
        <w:tabs>
          <w:tab w:val="center" w:pos="4568"/>
        </w:tabs>
        <w:ind w:right="-93"/>
        <w:rPr>
          <w:rFonts w:eastAsia="Calibri" w:cs="Tahoma"/>
          <w:bCs/>
          <w:szCs w:val="22"/>
          <w:lang w:eastAsia="en-US"/>
        </w:rPr>
      </w:pPr>
    </w:p>
    <w:p w14:paraId="44865A6D" w14:textId="77777777" w:rsidR="00664420" w:rsidRPr="00B841ED" w:rsidRDefault="00664420" w:rsidP="00B841ED">
      <w:pPr>
        <w:tabs>
          <w:tab w:val="center" w:pos="4568"/>
        </w:tabs>
        <w:ind w:right="-93"/>
        <w:rPr>
          <w:rFonts w:eastAsia="Calibri" w:cs="Tahoma"/>
          <w:bCs/>
          <w:szCs w:val="22"/>
          <w:lang w:eastAsia="en-US"/>
        </w:rPr>
      </w:pPr>
    </w:p>
    <w:p w14:paraId="7147F06B" w14:textId="77777777" w:rsidR="00664420" w:rsidRPr="00B841ED" w:rsidRDefault="00664420" w:rsidP="00B841ED">
      <w:pPr>
        <w:tabs>
          <w:tab w:val="center" w:pos="4568"/>
        </w:tabs>
        <w:ind w:right="-93"/>
        <w:rPr>
          <w:rFonts w:eastAsia="Calibri" w:cs="Tahoma"/>
          <w:bCs/>
          <w:szCs w:val="22"/>
          <w:lang w:eastAsia="en-US"/>
        </w:rPr>
      </w:pPr>
    </w:p>
    <w:p w14:paraId="6FDF3D7E" w14:textId="77777777" w:rsidR="00664420" w:rsidRPr="00B841ED" w:rsidRDefault="00664420" w:rsidP="00B841ED">
      <w:pPr>
        <w:tabs>
          <w:tab w:val="center" w:pos="4568"/>
        </w:tabs>
        <w:ind w:right="-93"/>
        <w:rPr>
          <w:rFonts w:eastAsia="Calibri" w:cs="Tahoma"/>
          <w:bCs/>
          <w:szCs w:val="22"/>
          <w:lang w:eastAsia="en-US"/>
        </w:rPr>
      </w:pPr>
    </w:p>
    <w:p w14:paraId="6246F818" w14:textId="77777777" w:rsidR="00664420" w:rsidRPr="00B841ED" w:rsidRDefault="00664420" w:rsidP="00B841ED">
      <w:pPr>
        <w:tabs>
          <w:tab w:val="center" w:pos="4568"/>
        </w:tabs>
        <w:ind w:right="-93"/>
        <w:rPr>
          <w:rFonts w:eastAsia="Calibri" w:cs="Tahoma"/>
          <w:bCs/>
          <w:szCs w:val="22"/>
          <w:lang w:eastAsia="en-US"/>
        </w:rPr>
      </w:pPr>
    </w:p>
    <w:p w14:paraId="57A88B28" w14:textId="77777777" w:rsidR="00664420" w:rsidRPr="00B841ED" w:rsidRDefault="00664420" w:rsidP="00B841ED">
      <w:pPr>
        <w:tabs>
          <w:tab w:val="center" w:pos="4568"/>
        </w:tabs>
        <w:ind w:right="-93"/>
        <w:rPr>
          <w:rFonts w:eastAsia="Calibri" w:cs="Tahoma"/>
          <w:bCs/>
          <w:szCs w:val="22"/>
          <w:lang w:eastAsia="en-US"/>
        </w:rPr>
      </w:pPr>
    </w:p>
    <w:p w14:paraId="77EF6095" w14:textId="77777777" w:rsidR="00664420" w:rsidRPr="00B841ED" w:rsidRDefault="00664420" w:rsidP="00B841ED">
      <w:pPr>
        <w:tabs>
          <w:tab w:val="center" w:pos="4568"/>
        </w:tabs>
        <w:ind w:right="-93"/>
        <w:rPr>
          <w:rFonts w:eastAsia="Calibri" w:cs="Tahoma"/>
          <w:bCs/>
          <w:szCs w:val="22"/>
          <w:lang w:eastAsia="en-US"/>
        </w:rPr>
      </w:pPr>
    </w:p>
    <w:p w14:paraId="35593947" w14:textId="77777777" w:rsidR="00664420" w:rsidRPr="00B841ED" w:rsidRDefault="00664420" w:rsidP="00B841ED">
      <w:pPr>
        <w:tabs>
          <w:tab w:val="center" w:pos="4568"/>
        </w:tabs>
        <w:ind w:right="-93"/>
        <w:rPr>
          <w:rFonts w:eastAsia="Calibri" w:cs="Tahoma"/>
          <w:bCs/>
          <w:szCs w:val="22"/>
          <w:lang w:eastAsia="en-US"/>
        </w:rPr>
      </w:pPr>
    </w:p>
    <w:p w14:paraId="3AF72A17" w14:textId="77777777" w:rsidR="00664420" w:rsidRPr="00B841ED" w:rsidRDefault="00664420" w:rsidP="00B841ED">
      <w:pPr>
        <w:tabs>
          <w:tab w:val="center" w:pos="4568"/>
        </w:tabs>
        <w:ind w:right="-93"/>
        <w:rPr>
          <w:rFonts w:eastAsia="Calibri" w:cs="Tahoma"/>
          <w:bCs/>
          <w:szCs w:val="22"/>
          <w:lang w:eastAsia="en-US"/>
        </w:rPr>
      </w:pPr>
    </w:p>
    <w:p w14:paraId="37169144" w14:textId="77777777" w:rsidR="00664420" w:rsidRPr="00B841ED" w:rsidRDefault="00664420" w:rsidP="00B841ED">
      <w:pPr>
        <w:tabs>
          <w:tab w:val="center" w:pos="4568"/>
        </w:tabs>
        <w:ind w:right="-93"/>
        <w:rPr>
          <w:rFonts w:eastAsia="Calibri" w:cs="Tahoma"/>
          <w:bCs/>
          <w:szCs w:val="22"/>
          <w:lang w:eastAsia="en-US"/>
        </w:rPr>
      </w:pPr>
    </w:p>
    <w:p w14:paraId="77CFC088" w14:textId="77777777" w:rsidR="00664420" w:rsidRPr="00B841ED" w:rsidRDefault="00664420" w:rsidP="00B841ED">
      <w:pPr>
        <w:tabs>
          <w:tab w:val="center" w:pos="4568"/>
        </w:tabs>
        <w:ind w:right="-93"/>
        <w:rPr>
          <w:rFonts w:eastAsia="Calibri" w:cs="Tahoma"/>
          <w:bCs/>
          <w:szCs w:val="22"/>
          <w:lang w:eastAsia="en-US"/>
        </w:rPr>
      </w:pPr>
    </w:p>
    <w:p w14:paraId="781A11A5" w14:textId="77777777" w:rsidR="00664420" w:rsidRPr="00B841ED" w:rsidRDefault="00664420" w:rsidP="00B841ED">
      <w:pPr>
        <w:tabs>
          <w:tab w:val="center" w:pos="4568"/>
        </w:tabs>
        <w:ind w:right="-93"/>
        <w:rPr>
          <w:rFonts w:eastAsia="Calibri" w:cs="Tahoma"/>
          <w:bCs/>
          <w:szCs w:val="22"/>
          <w:lang w:eastAsia="en-US"/>
        </w:rPr>
      </w:pPr>
    </w:p>
    <w:p w14:paraId="5B4ADFF3" w14:textId="77777777" w:rsidR="00A131AC" w:rsidRPr="00B841ED" w:rsidRDefault="00A131AC" w:rsidP="00B841ED"/>
    <w:sectPr w:rsidR="00A131AC" w:rsidRPr="00B841ED"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95679" w14:textId="77777777" w:rsidR="00DE61A1" w:rsidRDefault="00DE61A1" w:rsidP="00664420">
      <w:pPr>
        <w:spacing w:line="240" w:lineRule="auto"/>
      </w:pPr>
      <w:r>
        <w:separator/>
      </w:r>
    </w:p>
  </w:endnote>
  <w:endnote w:type="continuationSeparator" w:id="0">
    <w:p w14:paraId="0D23ADF0" w14:textId="77777777" w:rsidR="00DE61A1" w:rsidRDefault="00DE61A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668D4" w:rsidRDefault="00A668D4">
    <w:pPr>
      <w:tabs>
        <w:tab w:val="center" w:pos="4550"/>
        <w:tab w:val="left" w:pos="5818"/>
      </w:tabs>
      <w:ind w:right="260"/>
      <w:jc w:val="right"/>
      <w:rPr>
        <w:color w:val="071320" w:themeColor="text2" w:themeShade="80"/>
        <w:sz w:val="24"/>
        <w:szCs w:val="24"/>
      </w:rPr>
    </w:pPr>
  </w:p>
  <w:p w14:paraId="1BCA7F23" w14:textId="77777777" w:rsidR="00A668D4" w:rsidRDefault="00A668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034B128" w:rsidR="00A668D4" w:rsidRDefault="00A668D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039BF" w:rsidRPr="00A039BF">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039BF" w:rsidRPr="00A039BF">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A668D4" w:rsidRDefault="00A668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BAC10" w14:textId="77777777" w:rsidR="00DE61A1" w:rsidRDefault="00DE61A1" w:rsidP="00664420">
      <w:pPr>
        <w:spacing w:line="240" w:lineRule="auto"/>
      </w:pPr>
      <w:r>
        <w:separator/>
      </w:r>
    </w:p>
  </w:footnote>
  <w:footnote w:type="continuationSeparator" w:id="0">
    <w:p w14:paraId="4B08DF14" w14:textId="77777777" w:rsidR="00DE61A1" w:rsidRDefault="00DE61A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668D4" w:rsidRPr="00330DA7" w14:paraId="070A4B18" w14:textId="77777777" w:rsidTr="003F35FD">
      <w:trPr>
        <w:trHeight w:val="144"/>
        <w:jc w:val="right"/>
      </w:trPr>
      <w:tc>
        <w:tcPr>
          <w:tcW w:w="2727" w:type="dxa"/>
        </w:tcPr>
        <w:p w14:paraId="62B7493A" w14:textId="77777777" w:rsidR="00A668D4" w:rsidRPr="00330DA7" w:rsidRDefault="00A668D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A59CF05" w:rsidR="00A668D4" w:rsidRPr="00A90C72" w:rsidRDefault="00A668D4" w:rsidP="003F35FD">
          <w:pPr>
            <w:tabs>
              <w:tab w:val="right" w:pos="8838"/>
            </w:tabs>
            <w:ind w:left="-74" w:right="-105"/>
            <w:rPr>
              <w:rFonts w:eastAsia="Calibri" w:cs="Tahoma"/>
              <w:szCs w:val="22"/>
              <w:lang w:eastAsia="en-US"/>
            </w:rPr>
          </w:pPr>
          <w:r w:rsidRPr="008D1C63">
            <w:rPr>
              <w:rFonts w:eastAsia="Calibri" w:cs="Tahoma"/>
              <w:szCs w:val="22"/>
              <w:lang w:eastAsia="en-US"/>
            </w:rPr>
            <w:t>07072/INFOEM/IP/RR/2024</w:t>
          </w:r>
          <w:r>
            <w:rPr>
              <w:rFonts w:eastAsia="Calibri" w:cs="Tahoma"/>
              <w:szCs w:val="22"/>
              <w:lang w:eastAsia="en-US"/>
            </w:rPr>
            <w:t xml:space="preserve"> y acumulados</w:t>
          </w:r>
        </w:p>
      </w:tc>
    </w:tr>
    <w:tr w:rsidR="00A668D4" w:rsidRPr="00330DA7" w14:paraId="4521E058" w14:textId="77777777" w:rsidTr="003F35FD">
      <w:trPr>
        <w:trHeight w:val="283"/>
        <w:jc w:val="right"/>
      </w:trPr>
      <w:tc>
        <w:tcPr>
          <w:tcW w:w="2727" w:type="dxa"/>
        </w:tcPr>
        <w:p w14:paraId="0B68C086" w14:textId="77777777" w:rsidR="00A668D4" w:rsidRPr="00330DA7" w:rsidRDefault="00A668D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3FF57AB" w:rsidR="00A668D4" w:rsidRPr="00952DD0" w:rsidRDefault="00A668D4" w:rsidP="003F35FD">
          <w:pPr>
            <w:tabs>
              <w:tab w:val="left" w:pos="2834"/>
              <w:tab w:val="right" w:pos="8838"/>
            </w:tabs>
            <w:ind w:left="-108" w:right="-105"/>
            <w:rPr>
              <w:rFonts w:eastAsia="Calibri" w:cs="Tahoma"/>
              <w:szCs w:val="22"/>
              <w:lang w:eastAsia="en-US"/>
            </w:rPr>
          </w:pPr>
          <w:r w:rsidRPr="008D1C63">
            <w:rPr>
              <w:rFonts w:eastAsia="Calibri" w:cs="Tahoma"/>
              <w:szCs w:val="22"/>
              <w:lang w:eastAsia="en-US"/>
            </w:rPr>
            <w:t>Secretaría Ejecutiva del Sistema Estatal Anticorrupción</w:t>
          </w:r>
        </w:p>
      </w:tc>
    </w:tr>
    <w:tr w:rsidR="00A668D4" w:rsidRPr="00330DA7" w14:paraId="6331D9B6" w14:textId="77777777" w:rsidTr="003F35FD">
      <w:trPr>
        <w:trHeight w:val="283"/>
        <w:jc w:val="right"/>
      </w:trPr>
      <w:tc>
        <w:tcPr>
          <w:tcW w:w="2727" w:type="dxa"/>
        </w:tcPr>
        <w:p w14:paraId="3FA86BAE" w14:textId="29B1B6EF" w:rsidR="00A668D4" w:rsidRPr="00330DA7" w:rsidRDefault="00A668D4"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A668D4" w:rsidRPr="00EA66FC" w:rsidRDefault="00A668D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668D4" w:rsidRPr="00443C6B" w:rsidRDefault="00A668D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668D4" w:rsidRPr="00330DA7" w14:paraId="29CFF901" w14:textId="77777777" w:rsidTr="00664733">
      <w:trPr>
        <w:trHeight w:val="1435"/>
      </w:trPr>
      <w:tc>
        <w:tcPr>
          <w:tcW w:w="283" w:type="dxa"/>
          <w:shd w:val="clear" w:color="auto" w:fill="auto"/>
        </w:tcPr>
        <w:p w14:paraId="046B9F8F" w14:textId="77777777" w:rsidR="00A668D4" w:rsidRPr="00330DA7" w:rsidRDefault="00A668D4" w:rsidP="006647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668D4" w:rsidRPr="00330DA7" w14:paraId="04F272D2" w14:textId="77777777" w:rsidTr="00664733">
            <w:trPr>
              <w:trHeight w:val="144"/>
            </w:trPr>
            <w:tc>
              <w:tcPr>
                <w:tcW w:w="2727" w:type="dxa"/>
              </w:tcPr>
              <w:p w14:paraId="2FD4DBF6" w14:textId="77777777" w:rsidR="00A668D4" w:rsidRPr="00330DA7" w:rsidRDefault="00A668D4" w:rsidP="0066473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53DE09E" w:rsidR="00A668D4" w:rsidRPr="00A90C72" w:rsidRDefault="00A668D4" w:rsidP="00664733">
                <w:pPr>
                  <w:tabs>
                    <w:tab w:val="right" w:pos="8838"/>
                  </w:tabs>
                  <w:ind w:left="-74" w:right="-105"/>
                  <w:rPr>
                    <w:rFonts w:eastAsia="Calibri" w:cs="Tahoma"/>
                    <w:szCs w:val="22"/>
                    <w:lang w:eastAsia="en-US"/>
                  </w:rPr>
                </w:pPr>
                <w:r w:rsidRPr="008D1C63">
                  <w:rPr>
                    <w:rFonts w:eastAsia="Calibri" w:cs="Tahoma"/>
                    <w:szCs w:val="22"/>
                    <w:lang w:eastAsia="en-US"/>
                  </w:rPr>
                  <w:t>07072/INFOEM/IP/RR/2024</w:t>
                </w:r>
                <w:r>
                  <w:rPr>
                    <w:rFonts w:eastAsia="Calibri" w:cs="Tahoma"/>
                    <w:szCs w:val="22"/>
                    <w:lang w:eastAsia="en-US"/>
                  </w:rPr>
                  <w:t xml:space="preserve"> y acumulados </w:t>
                </w:r>
              </w:p>
            </w:tc>
            <w:tc>
              <w:tcPr>
                <w:tcW w:w="3402" w:type="dxa"/>
              </w:tcPr>
              <w:p w14:paraId="71DEA1CF" w14:textId="77777777" w:rsidR="00A668D4" w:rsidRDefault="00A668D4" w:rsidP="00664733">
                <w:pPr>
                  <w:tabs>
                    <w:tab w:val="right" w:pos="8838"/>
                  </w:tabs>
                  <w:ind w:left="-74" w:right="-105"/>
                  <w:rPr>
                    <w:rFonts w:eastAsia="Calibri" w:cs="Tahoma"/>
                    <w:szCs w:val="22"/>
                    <w:lang w:eastAsia="en-US"/>
                  </w:rPr>
                </w:pPr>
              </w:p>
            </w:tc>
          </w:tr>
          <w:tr w:rsidR="00A668D4" w:rsidRPr="00330DA7" w14:paraId="05C58951" w14:textId="77777777" w:rsidTr="00664733">
            <w:trPr>
              <w:trHeight w:val="144"/>
            </w:trPr>
            <w:tc>
              <w:tcPr>
                <w:tcW w:w="2727" w:type="dxa"/>
              </w:tcPr>
              <w:p w14:paraId="642B9610" w14:textId="77777777" w:rsidR="00A668D4" w:rsidRPr="00330DA7" w:rsidRDefault="00A668D4" w:rsidP="0066473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125D582" w:rsidR="00A668D4" w:rsidRPr="005F19B1" w:rsidRDefault="00A039BF" w:rsidP="00664733">
                <w:pPr>
                  <w:tabs>
                    <w:tab w:val="left" w:pos="3122"/>
                    <w:tab w:val="right" w:pos="8838"/>
                  </w:tabs>
                  <w:ind w:left="-105" w:right="-105"/>
                  <w:rPr>
                    <w:rFonts w:eastAsia="Calibri" w:cs="Tahoma"/>
                    <w:szCs w:val="22"/>
                    <w:lang w:eastAsia="en-US"/>
                  </w:rPr>
                </w:pPr>
                <w:r>
                  <w:rPr>
                    <w:rFonts w:eastAsia="Calibri" w:cs="Tahoma"/>
                    <w:szCs w:val="22"/>
                    <w:lang w:eastAsia="en-US"/>
                  </w:rPr>
                  <w:t>XX</w:t>
                </w:r>
              </w:p>
            </w:tc>
            <w:tc>
              <w:tcPr>
                <w:tcW w:w="3402" w:type="dxa"/>
              </w:tcPr>
              <w:p w14:paraId="73F47F53" w14:textId="77777777" w:rsidR="00A668D4" w:rsidRPr="005F19B1" w:rsidRDefault="00A668D4" w:rsidP="00664733">
                <w:pPr>
                  <w:tabs>
                    <w:tab w:val="left" w:pos="3122"/>
                    <w:tab w:val="right" w:pos="8838"/>
                  </w:tabs>
                  <w:ind w:left="-105" w:right="-105"/>
                  <w:rPr>
                    <w:rFonts w:eastAsia="Calibri" w:cs="Tahoma"/>
                    <w:szCs w:val="22"/>
                    <w:lang w:eastAsia="en-US"/>
                  </w:rPr>
                </w:pPr>
              </w:p>
            </w:tc>
          </w:tr>
          <w:bookmarkEnd w:id="1"/>
          <w:tr w:rsidR="00A668D4" w:rsidRPr="00330DA7" w14:paraId="00E6CDC1" w14:textId="77777777" w:rsidTr="00664733">
            <w:trPr>
              <w:trHeight w:val="283"/>
            </w:trPr>
            <w:tc>
              <w:tcPr>
                <w:tcW w:w="2727" w:type="dxa"/>
              </w:tcPr>
              <w:p w14:paraId="0631AD24" w14:textId="77777777" w:rsidR="00A668D4" w:rsidRPr="00330DA7" w:rsidRDefault="00A668D4" w:rsidP="006647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169F015" w:rsidR="00A668D4" w:rsidRPr="00952DD0" w:rsidRDefault="00A668D4" w:rsidP="00664733">
                <w:pPr>
                  <w:tabs>
                    <w:tab w:val="left" w:pos="2834"/>
                    <w:tab w:val="right" w:pos="8838"/>
                  </w:tabs>
                  <w:ind w:left="-108" w:right="-105"/>
                  <w:rPr>
                    <w:rFonts w:eastAsia="Calibri" w:cs="Tahoma"/>
                    <w:szCs w:val="22"/>
                    <w:lang w:eastAsia="en-US"/>
                  </w:rPr>
                </w:pPr>
                <w:r w:rsidRPr="008D1C63">
                  <w:rPr>
                    <w:rFonts w:eastAsia="Calibri" w:cs="Tahoma"/>
                    <w:szCs w:val="22"/>
                    <w:lang w:eastAsia="en-US"/>
                  </w:rPr>
                  <w:t>Secretaría Ejecutiva del Sistema Estatal Anticorrupción</w:t>
                </w:r>
              </w:p>
            </w:tc>
            <w:tc>
              <w:tcPr>
                <w:tcW w:w="3402" w:type="dxa"/>
              </w:tcPr>
              <w:p w14:paraId="3A7DA319" w14:textId="77777777" w:rsidR="00A668D4" w:rsidRPr="00A90C72" w:rsidRDefault="00A668D4" w:rsidP="00664733">
                <w:pPr>
                  <w:tabs>
                    <w:tab w:val="left" w:pos="2834"/>
                    <w:tab w:val="right" w:pos="8838"/>
                  </w:tabs>
                  <w:ind w:left="-108" w:right="-105"/>
                  <w:rPr>
                    <w:rFonts w:eastAsia="Calibri" w:cs="Tahoma"/>
                    <w:szCs w:val="22"/>
                    <w:lang w:eastAsia="en-US"/>
                  </w:rPr>
                </w:pPr>
              </w:p>
            </w:tc>
          </w:tr>
          <w:tr w:rsidR="00A668D4" w:rsidRPr="00330DA7" w14:paraId="0F6CD8D2" w14:textId="77777777" w:rsidTr="00664733">
            <w:trPr>
              <w:trHeight w:val="283"/>
            </w:trPr>
            <w:tc>
              <w:tcPr>
                <w:tcW w:w="2727" w:type="dxa"/>
              </w:tcPr>
              <w:p w14:paraId="31700628" w14:textId="66F30D43" w:rsidR="00A668D4" w:rsidRPr="00330DA7" w:rsidRDefault="00A668D4" w:rsidP="0066473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A668D4" w:rsidRPr="00EA66FC" w:rsidRDefault="00A668D4" w:rsidP="006647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668D4" w:rsidRPr="00330DA7" w:rsidRDefault="00A668D4" w:rsidP="00664733">
                <w:pPr>
                  <w:tabs>
                    <w:tab w:val="right" w:pos="8838"/>
                  </w:tabs>
                  <w:ind w:left="-108" w:right="-105"/>
                  <w:rPr>
                    <w:rFonts w:eastAsia="Calibri" w:cs="Tahoma"/>
                    <w:szCs w:val="22"/>
                    <w:lang w:eastAsia="en-US"/>
                  </w:rPr>
                </w:pPr>
              </w:p>
            </w:tc>
          </w:tr>
        </w:tbl>
        <w:p w14:paraId="5DC6AC61" w14:textId="77777777" w:rsidR="00A668D4" w:rsidRPr="00330DA7" w:rsidRDefault="00A668D4" w:rsidP="00664733">
          <w:pPr>
            <w:tabs>
              <w:tab w:val="right" w:pos="8838"/>
            </w:tabs>
            <w:ind w:left="-28"/>
            <w:rPr>
              <w:rFonts w:ascii="Arial" w:eastAsia="Calibri" w:hAnsi="Arial" w:cs="Arial"/>
              <w:b/>
              <w:szCs w:val="22"/>
              <w:lang w:eastAsia="en-US"/>
            </w:rPr>
          </w:pPr>
        </w:p>
      </w:tc>
    </w:tr>
  </w:tbl>
  <w:p w14:paraId="2A906731" w14:textId="77777777" w:rsidR="00A668D4" w:rsidRPr="00765661" w:rsidRDefault="00DE61A1" w:rsidP="006647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75.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765"/>
    <w:multiLevelType w:val="hybridMultilevel"/>
    <w:tmpl w:val="6AA25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77E20"/>
    <w:multiLevelType w:val="hybridMultilevel"/>
    <w:tmpl w:val="393A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652E7"/>
    <w:multiLevelType w:val="hybridMultilevel"/>
    <w:tmpl w:val="42AC2D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26043B"/>
    <w:multiLevelType w:val="hybridMultilevel"/>
    <w:tmpl w:val="04A0C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2CF44779"/>
    <w:multiLevelType w:val="hybridMultilevel"/>
    <w:tmpl w:val="7ACC5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A31502"/>
    <w:multiLevelType w:val="hybridMultilevel"/>
    <w:tmpl w:val="601C7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F7253"/>
    <w:multiLevelType w:val="hybridMultilevel"/>
    <w:tmpl w:val="66F2DB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182B0C"/>
    <w:multiLevelType w:val="hybridMultilevel"/>
    <w:tmpl w:val="5E12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E42464B"/>
    <w:multiLevelType w:val="hybridMultilevel"/>
    <w:tmpl w:val="FB466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1A1F60"/>
    <w:multiLevelType w:val="hybridMultilevel"/>
    <w:tmpl w:val="9B9AC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765378"/>
    <w:multiLevelType w:val="hybridMultilevel"/>
    <w:tmpl w:val="AE520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CA066D"/>
    <w:multiLevelType w:val="hybridMultilevel"/>
    <w:tmpl w:val="47D05EB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4" w15:restartNumberingAfterBreak="0">
    <w:nsid w:val="6E601C56"/>
    <w:multiLevelType w:val="hybridMultilevel"/>
    <w:tmpl w:val="AD2040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1B048AF"/>
    <w:multiLevelType w:val="hybridMultilevel"/>
    <w:tmpl w:val="3F889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AA2DB8"/>
    <w:multiLevelType w:val="hybridMultilevel"/>
    <w:tmpl w:val="4FEC7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933B14"/>
    <w:multiLevelType w:val="hybridMultilevel"/>
    <w:tmpl w:val="B50E5880"/>
    <w:lvl w:ilvl="0" w:tplc="47FAA6CE">
      <w:numFmt w:val="bullet"/>
      <w:lvlText w:val="-"/>
      <w:lvlJc w:val="left"/>
      <w:pPr>
        <w:ind w:left="927" w:hanging="360"/>
      </w:pPr>
      <w:rPr>
        <w:rFonts w:ascii="Palatino Linotype" w:eastAsia="Times New Roman" w:hAnsi="Palatino Linotyp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7BC20B78"/>
    <w:multiLevelType w:val="hybridMultilevel"/>
    <w:tmpl w:val="D99E2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C5109A"/>
    <w:multiLevelType w:val="multilevel"/>
    <w:tmpl w:val="48C62B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num>
  <w:num w:numId="3">
    <w:abstractNumId w:val="25"/>
  </w:num>
  <w:num w:numId="4">
    <w:abstractNumId w:val="6"/>
  </w:num>
  <w:num w:numId="5">
    <w:abstractNumId w:val="3"/>
  </w:num>
  <w:num w:numId="6">
    <w:abstractNumId w:val="28"/>
  </w:num>
  <w:num w:numId="7">
    <w:abstractNumId w:val="16"/>
  </w:num>
  <w:num w:numId="8">
    <w:abstractNumId w:val="5"/>
  </w:num>
  <w:num w:numId="9">
    <w:abstractNumId w:val="15"/>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8"/>
  </w:num>
  <w:num w:numId="13">
    <w:abstractNumId w:val="2"/>
  </w:num>
  <w:num w:numId="14">
    <w:abstractNumId w:val="4"/>
  </w:num>
  <w:num w:numId="15">
    <w:abstractNumId w:val="17"/>
  </w:num>
  <w:num w:numId="16">
    <w:abstractNumId w:val="24"/>
  </w:num>
  <w:num w:numId="17">
    <w:abstractNumId w:val="12"/>
  </w:num>
  <w:num w:numId="18">
    <w:abstractNumId w:val="1"/>
  </w:num>
  <w:num w:numId="19">
    <w:abstractNumId w:val="11"/>
  </w:num>
  <w:num w:numId="20">
    <w:abstractNumId w:val="20"/>
  </w:num>
  <w:num w:numId="21">
    <w:abstractNumId w:val="18"/>
  </w:num>
  <w:num w:numId="22">
    <w:abstractNumId w:val="26"/>
  </w:num>
  <w:num w:numId="23">
    <w:abstractNumId w:val="30"/>
  </w:num>
  <w:num w:numId="24">
    <w:abstractNumId w:val="31"/>
  </w:num>
  <w:num w:numId="25">
    <w:abstractNumId w:val="13"/>
  </w:num>
  <w:num w:numId="26">
    <w:abstractNumId w:val="0"/>
  </w:num>
  <w:num w:numId="27">
    <w:abstractNumId w:val="27"/>
  </w:num>
  <w:num w:numId="28">
    <w:abstractNumId w:val="22"/>
  </w:num>
  <w:num w:numId="29">
    <w:abstractNumId w:val="21"/>
  </w:num>
  <w:num w:numId="30">
    <w:abstractNumId w:val="9"/>
  </w:num>
  <w:num w:numId="31">
    <w:abstractNumId w:val="7"/>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346"/>
    <w:rsid w:val="0002479C"/>
    <w:rsid w:val="000318BC"/>
    <w:rsid w:val="00053A9E"/>
    <w:rsid w:val="00057B2D"/>
    <w:rsid w:val="00060347"/>
    <w:rsid w:val="00062D2C"/>
    <w:rsid w:val="00080071"/>
    <w:rsid w:val="000D0D67"/>
    <w:rsid w:val="000E09C4"/>
    <w:rsid w:val="0011350D"/>
    <w:rsid w:val="0012783B"/>
    <w:rsid w:val="00134A1E"/>
    <w:rsid w:val="00141876"/>
    <w:rsid w:val="0014207B"/>
    <w:rsid w:val="00150C49"/>
    <w:rsid w:val="00185B3C"/>
    <w:rsid w:val="001974BD"/>
    <w:rsid w:val="001A58B3"/>
    <w:rsid w:val="001C763C"/>
    <w:rsid w:val="001C7688"/>
    <w:rsid w:val="001C7FE5"/>
    <w:rsid w:val="001F3515"/>
    <w:rsid w:val="00210D66"/>
    <w:rsid w:val="00216474"/>
    <w:rsid w:val="0022088B"/>
    <w:rsid w:val="00233005"/>
    <w:rsid w:val="00233F17"/>
    <w:rsid w:val="00237F4E"/>
    <w:rsid w:val="00260FBA"/>
    <w:rsid w:val="00273F2B"/>
    <w:rsid w:val="0027417A"/>
    <w:rsid w:val="002A3601"/>
    <w:rsid w:val="002A5A95"/>
    <w:rsid w:val="002B7C6F"/>
    <w:rsid w:val="002D111C"/>
    <w:rsid w:val="002E34E3"/>
    <w:rsid w:val="00302476"/>
    <w:rsid w:val="0031230B"/>
    <w:rsid w:val="00331F35"/>
    <w:rsid w:val="00335CDF"/>
    <w:rsid w:val="003617EC"/>
    <w:rsid w:val="00362A11"/>
    <w:rsid w:val="003A40C1"/>
    <w:rsid w:val="003B394E"/>
    <w:rsid w:val="003B4166"/>
    <w:rsid w:val="003B5D3E"/>
    <w:rsid w:val="003E5692"/>
    <w:rsid w:val="003F35FD"/>
    <w:rsid w:val="0041385B"/>
    <w:rsid w:val="00421838"/>
    <w:rsid w:val="004273A9"/>
    <w:rsid w:val="00441BFA"/>
    <w:rsid w:val="00454FBD"/>
    <w:rsid w:val="00486201"/>
    <w:rsid w:val="00487880"/>
    <w:rsid w:val="004D7CD8"/>
    <w:rsid w:val="004E5068"/>
    <w:rsid w:val="004E67DA"/>
    <w:rsid w:val="004E6F66"/>
    <w:rsid w:val="004F7A00"/>
    <w:rsid w:val="00523F48"/>
    <w:rsid w:val="005365FA"/>
    <w:rsid w:val="005723CB"/>
    <w:rsid w:val="00575400"/>
    <w:rsid w:val="00596693"/>
    <w:rsid w:val="005A68C0"/>
    <w:rsid w:val="005B18AF"/>
    <w:rsid w:val="005D00A2"/>
    <w:rsid w:val="005D10C4"/>
    <w:rsid w:val="005D5A50"/>
    <w:rsid w:val="005E2E91"/>
    <w:rsid w:val="005F5301"/>
    <w:rsid w:val="005F65B7"/>
    <w:rsid w:val="006067C7"/>
    <w:rsid w:val="006159AD"/>
    <w:rsid w:val="00622553"/>
    <w:rsid w:val="006230B1"/>
    <w:rsid w:val="00625BCF"/>
    <w:rsid w:val="00646436"/>
    <w:rsid w:val="00664420"/>
    <w:rsid w:val="00664733"/>
    <w:rsid w:val="00671C7E"/>
    <w:rsid w:val="00682552"/>
    <w:rsid w:val="00697C2E"/>
    <w:rsid w:val="00697FF3"/>
    <w:rsid w:val="006A646A"/>
    <w:rsid w:val="006B10B0"/>
    <w:rsid w:val="006C15AD"/>
    <w:rsid w:val="006E25BC"/>
    <w:rsid w:val="006E2E18"/>
    <w:rsid w:val="006E6BBC"/>
    <w:rsid w:val="006F7768"/>
    <w:rsid w:val="00703347"/>
    <w:rsid w:val="0071091D"/>
    <w:rsid w:val="00717E59"/>
    <w:rsid w:val="00731AB3"/>
    <w:rsid w:val="00750A1A"/>
    <w:rsid w:val="00775BFC"/>
    <w:rsid w:val="00781E94"/>
    <w:rsid w:val="00784235"/>
    <w:rsid w:val="007A3459"/>
    <w:rsid w:val="007B6074"/>
    <w:rsid w:val="007D1C55"/>
    <w:rsid w:val="007D317F"/>
    <w:rsid w:val="007F5D06"/>
    <w:rsid w:val="00805A6E"/>
    <w:rsid w:val="00807372"/>
    <w:rsid w:val="00833778"/>
    <w:rsid w:val="0085355F"/>
    <w:rsid w:val="00860496"/>
    <w:rsid w:val="00860D7F"/>
    <w:rsid w:val="00862853"/>
    <w:rsid w:val="00865CF4"/>
    <w:rsid w:val="008661B0"/>
    <w:rsid w:val="008663ED"/>
    <w:rsid w:val="00876DBC"/>
    <w:rsid w:val="008A6003"/>
    <w:rsid w:val="008A6F88"/>
    <w:rsid w:val="008B104A"/>
    <w:rsid w:val="008B1E16"/>
    <w:rsid w:val="008D1C63"/>
    <w:rsid w:val="008E1316"/>
    <w:rsid w:val="00910FD2"/>
    <w:rsid w:val="00931437"/>
    <w:rsid w:val="00953430"/>
    <w:rsid w:val="00960D82"/>
    <w:rsid w:val="00970EB3"/>
    <w:rsid w:val="009803B0"/>
    <w:rsid w:val="009A2D78"/>
    <w:rsid w:val="009A7C10"/>
    <w:rsid w:val="009B2945"/>
    <w:rsid w:val="009D13A0"/>
    <w:rsid w:val="009D3B74"/>
    <w:rsid w:val="009E2DEE"/>
    <w:rsid w:val="009F797C"/>
    <w:rsid w:val="00A039BF"/>
    <w:rsid w:val="00A041A8"/>
    <w:rsid w:val="00A131AC"/>
    <w:rsid w:val="00A16D85"/>
    <w:rsid w:val="00A21A20"/>
    <w:rsid w:val="00A36A99"/>
    <w:rsid w:val="00A53315"/>
    <w:rsid w:val="00A668D4"/>
    <w:rsid w:val="00A70EF0"/>
    <w:rsid w:val="00A9208D"/>
    <w:rsid w:val="00A96BFC"/>
    <w:rsid w:val="00A97B5B"/>
    <w:rsid w:val="00AA6EA9"/>
    <w:rsid w:val="00AC2DB8"/>
    <w:rsid w:val="00AC3CA0"/>
    <w:rsid w:val="00AE3DA7"/>
    <w:rsid w:val="00AF03C4"/>
    <w:rsid w:val="00B03C6D"/>
    <w:rsid w:val="00B21E41"/>
    <w:rsid w:val="00B22A80"/>
    <w:rsid w:val="00B841ED"/>
    <w:rsid w:val="00BA55A8"/>
    <w:rsid w:val="00BB2ABF"/>
    <w:rsid w:val="00BB64F4"/>
    <w:rsid w:val="00BC1D71"/>
    <w:rsid w:val="00BC7DCE"/>
    <w:rsid w:val="00BD3F4F"/>
    <w:rsid w:val="00BD5A7C"/>
    <w:rsid w:val="00BE7A1B"/>
    <w:rsid w:val="00BF0221"/>
    <w:rsid w:val="00BF0403"/>
    <w:rsid w:val="00BF091A"/>
    <w:rsid w:val="00BF4EAD"/>
    <w:rsid w:val="00C049E2"/>
    <w:rsid w:val="00C10C62"/>
    <w:rsid w:val="00C17403"/>
    <w:rsid w:val="00C36795"/>
    <w:rsid w:val="00C461EC"/>
    <w:rsid w:val="00C47CF2"/>
    <w:rsid w:val="00C507D4"/>
    <w:rsid w:val="00C6774B"/>
    <w:rsid w:val="00C7126F"/>
    <w:rsid w:val="00C71CEF"/>
    <w:rsid w:val="00C72DAA"/>
    <w:rsid w:val="00C80B14"/>
    <w:rsid w:val="00C92963"/>
    <w:rsid w:val="00CB5469"/>
    <w:rsid w:val="00CB7E9A"/>
    <w:rsid w:val="00CD0B92"/>
    <w:rsid w:val="00CE29D3"/>
    <w:rsid w:val="00CF2D8B"/>
    <w:rsid w:val="00CF7586"/>
    <w:rsid w:val="00D036D3"/>
    <w:rsid w:val="00D2790D"/>
    <w:rsid w:val="00D4638A"/>
    <w:rsid w:val="00D51ECD"/>
    <w:rsid w:val="00D6170E"/>
    <w:rsid w:val="00D70A4E"/>
    <w:rsid w:val="00D80A05"/>
    <w:rsid w:val="00D91CB4"/>
    <w:rsid w:val="00DB1C09"/>
    <w:rsid w:val="00DC57B6"/>
    <w:rsid w:val="00DE1133"/>
    <w:rsid w:val="00DE61A1"/>
    <w:rsid w:val="00E16BF5"/>
    <w:rsid w:val="00E17F16"/>
    <w:rsid w:val="00E37A3F"/>
    <w:rsid w:val="00E37D3C"/>
    <w:rsid w:val="00E53550"/>
    <w:rsid w:val="00E62461"/>
    <w:rsid w:val="00E62E6A"/>
    <w:rsid w:val="00E83EF5"/>
    <w:rsid w:val="00E85047"/>
    <w:rsid w:val="00E9335C"/>
    <w:rsid w:val="00ED1C1E"/>
    <w:rsid w:val="00EE2AF2"/>
    <w:rsid w:val="00EF3107"/>
    <w:rsid w:val="00EF5B43"/>
    <w:rsid w:val="00F07EE6"/>
    <w:rsid w:val="00F146F2"/>
    <w:rsid w:val="00F27141"/>
    <w:rsid w:val="00F33CC8"/>
    <w:rsid w:val="00F4481C"/>
    <w:rsid w:val="00F5177D"/>
    <w:rsid w:val="00F75D23"/>
    <w:rsid w:val="00F97C0F"/>
    <w:rsid w:val="00FA5957"/>
    <w:rsid w:val="00FB610C"/>
    <w:rsid w:val="00FC3CE0"/>
    <w:rsid w:val="00FD06A8"/>
    <w:rsid w:val="00FD445F"/>
    <w:rsid w:val="00FF5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3669">
      <w:bodyDiv w:val="1"/>
      <w:marLeft w:val="0"/>
      <w:marRight w:val="0"/>
      <w:marTop w:val="0"/>
      <w:marBottom w:val="0"/>
      <w:divBdr>
        <w:top w:val="none" w:sz="0" w:space="0" w:color="auto"/>
        <w:left w:val="none" w:sz="0" w:space="0" w:color="auto"/>
        <w:bottom w:val="none" w:sz="0" w:space="0" w:color="auto"/>
        <w:right w:val="none" w:sz="0" w:space="0" w:color="auto"/>
      </w:divBdr>
    </w:div>
    <w:div w:id="142552614">
      <w:bodyDiv w:val="1"/>
      <w:marLeft w:val="0"/>
      <w:marRight w:val="0"/>
      <w:marTop w:val="0"/>
      <w:marBottom w:val="0"/>
      <w:divBdr>
        <w:top w:val="none" w:sz="0" w:space="0" w:color="auto"/>
        <w:left w:val="none" w:sz="0" w:space="0" w:color="auto"/>
        <w:bottom w:val="none" w:sz="0" w:space="0" w:color="auto"/>
        <w:right w:val="none" w:sz="0" w:space="0" w:color="auto"/>
      </w:divBdr>
    </w:div>
    <w:div w:id="344746744">
      <w:bodyDiv w:val="1"/>
      <w:marLeft w:val="0"/>
      <w:marRight w:val="0"/>
      <w:marTop w:val="0"/>
      <w:marBottom w:val="0"/>
      <w:divBdr>
        <w:top w:val="none" w:sz="0" w:space="0" w:color="auto"/>
        <w:left w:val="none" w:sz="0" w:space="0" w:color="auto"/>
        <w:bottom w:val="none" w:sz="0" w:space="0" w:color="auto"/>
        <w:right w:val="none" w:sz="0" w:space="0" w:color="auto"/>
      </w:divBdr>
      <w:divsChild>
        <w:div w:id="924268932">
          <w:marLeft w:val="0"/>
          <w:marRight w:val="0"/>
          <w:marTop w:val="0"/>
          <w:marBottom w:val="0"/>
          <w:divBdr>
            <w:top w:val="none" w:sz="0" w:space="0" w:color="auto"/>
            <w:left w:val="none" w:sz="0" w:space="0" w:color="auto"/>
            <w:bottom w:val="none" w:sz="0" w:space="0" w:color="auto"/>
            <w:right w:val="none" w:sz="0" w:space="0" w:color="auto"/>
          </w:divBdr>
        </w:div>
      </w:divsChild>
    </w:div>
    <w:div w:id="560215774">
      <w:bodyDiv w:val="1"/>
      <w:marLeft w:val="0"/>
      <w:marRight w:val="0"/>
      <w:marTop w:val="0"/>
      <w:marBottom w:val="0"/>
      <w:divBdr>
        <w:top w:val="none" w:sz="0" w:space="0" w:color="auto"/>
        <w:left w:val="none" w:sz="0" w:space="0" w:color="auto"/>
        <w:bottom w:val="none" w:sz="0" w:space="0" w:color="auto"/>
        <w:right w:val="none" w:sz="0" w:space="0" w:color="auto"/>
      </w:divBdr>
      <w:divsChild>
        <w:div w:id="1744714268">
          <w:marLeft w:val="0"/>
          <w:marRight w:val="0"/>
          <w:marTop w:val="0"/>
          <w:marBottom w:val="101"/>
          <w:divBdr>
            <w:top w:val="none" w:sz="0" w:space="0" w:color="auto"/>
            <w:left w:val="none" w:sz="0" w:space="0" w:color="auto"/>
            <w:bottom w:val="none" w:sz="0" w:space="0" w:color="auto"/>
            <w:right w:val="none" w:sz="0" w:space="0" w:color="auto"/>
          </w:divBdr>
        </w:div>
        <w:div w:id="1795319792">
          <w:marLeft w:val="864"/>
          <w:marRight w:val="0"/>
          <w:marTop w:val="0"/>
          <w:marBottom w:val="101"/>
          <w:divBdr>
            <w:top w:val="none" w:sz="0" w:space="0" w:color="auto"/>
            <w:left w:val="none" w:sz="0" w:space="0" w:color="auto"/>
            <w:bottom w:val="none" w:sz="0" w:space="0" w:color="auto"/>
            <w:right w:val="none" w:sz="0" w:space="0" w:color="auto"/>
          </w:divBdr>
        </w:div>
        <w:div w:id="303127173">
          <w:marLeft w:val="864"/>
          <w:marRight w:val="0"/>
          <w:marTop w:val="0"/>
          <w:marBottom w:val="101"/>
          <w:divBdr>
            <w:top w:val="none" w:sz="0" w:space="0" w:color="auto"/>
            <w:left w:val="none" w:sz="0" w:space="0" w:color="auto"/>
            <w:bottom w:val="none" w:sz="0" w:space="0" w:color="auto"/>
            <w:right w:val="none" w:sz="0" w:space="0" w:color="auto"/>
          </w:divBdr>
        </w:div>
        <w:div w:id="1155606014">
          <w:marLeft w:val="864"/>
          <w:marRight w:val="0"/>
          <w:marTop w:val="0"/>
          <w:marBottom w:val="101"/>
          <w:divBdr>
            <w:top w:val="none" w:sz="0" w:space="0" w:color="auto"/>
            <w:left w:val="none" w:sz="0" w:space="0" w:color="auto"/>
            <w:bottom w:val="none" w:sz="0" w:space="0" w:color="auto"/>
            <w:right w:val="none" w:sz="0" w:space="0" w:color="auto"/>
          </w:divBdr>
        </w:div>
        <w:div w:id="256643391">
          <w:marLeft w:val="864"/>
          <w:marRight w:val="0"/>
          <w:marTop w:val="0"/>
          <w:marBottom w:val="101"/>
          <w:divBdr>
            <w:top w:val="none" w:sz="0" w:space="0" w:color="auto"/>
            <w:left w:val="none" w:sz="0" w:space="0" w:color="auto"/>
            <w:bottom w:val="none" w:sz="0" w:space="0" w:color="auto"/>
            <w:right w:val="none" w:sz="0" w:space="0" w:color="auto"/>
          </w:divBdr>
        </w:div>
      </w:divsChild>
    </w:div>
    <w:div w:id="798492450">
      <w:bodyDiv w:val="1"/>
      <w:marLeft w:val="0"/>
      <w:marRight w:val="0"/>
      <w:marTop w:val="0"/>
      <w:marBottom w:val="0"/>
      <w:divBdr>
        <w:top w:val="none" w:sz="0" w:space="0" w:color="auto"/>
        <w:left w:val="none" w:sz="0" w:space="0" w:color="auto"/>
        <w:bottom w:val="none" w:sz="0" w:space="0" w:color="auto"/>
        <w:right w:val="none" w:sz="0" w:space="0" w:color="auto"/>
      </w:divBdr>
    </w:div>
    <w:div w:id="812016544">
      <w:bodyDiv w:val="1"/>
      <w:marLeft w:val="0"/>
      <w:marRight w:val="0"/>
      <w:marTop w:val="0"/>
      <w:marBottom w:val="0"/>
      <w:divBdr>
        <w:top w:val="none" w:sz="0" w:space="0" w:color="auto"/>
        <w:left w:val="none" w:sz="0" w:space="0" w:color="auto"/>
        <w:bottom w:val="none" w:sz="0" w:space="0" w:color="auto"/>
        <w:right w:val="none" w:sz="0" w:space="0" w:color="auto"/>
      </w:divBdr>
    </w:div>
    <w:div w:id="896548935">
      <w:bodyDiv w:val="1"/>
      <w:marLeft w:val="0"/>
      <w:marRight w:val="0"/>
      <w:marTop w:val="0"/>
      <w:marBottom w:val="0"/>
      <w:divBdr>
        <w:top w:val="none" w:sz="0" w:space="0" w:color="auto"/>
        <w:left w:val="none" w:sz="0" w:space="0" w:color="auto"/>
        <w:bottom w:val="none" w:sz="0" w:space="0" w:color="auto"/>
        <w:right w:val="none" w:sz="0" w:space="0" w:color="auto"/>
      </w:divBdr>
    </w:div>
    <w:div w:id="1125586014">
      <w:bodyDiv w:val="1"/>
      <w:marLeft w:val="0"/>
      <w:marRight w:val="0"/>
      <w:marTop w:val="0"/>
      <w:marBottom w:val="0"/>
      <w:divBdr>
        <w:top w:val="none" w:sz="0" w:space="0" w:color="auto"/>
        <w:left w:val="none" w:sz="0" w:space="0" w:color="auto"/>
        <w:bottom w:val="none" w:sz="0" w:space="0" w:color="auto"/>
        <w:right w:val="none" w:sz="0" w:space="0" w:color="auto"/>
      </w:divBdr>
    </w:div>
    <w:div w:id="1275137921">
      <w:bodyDiv w:val="1"/>
      <w:marLeft w:val="0"/>
      <w:marRight w:val="0"/>
      <w:marTop w:val="0"/>
      <w:marBottom w:val="0"/>
      <w:divBdr>
        <w:top w:val="none" w:sz="0" w:space="0" w:color="auto"/>
        <w:left w:val="none" w:sz="0" w:space="0" w:color="auto"/>
        <w:bottom w:val="none" w:sz="0" w:space="0" w:color="auto"/>
        <w:right w:val="none" w:sz="0" w:space="0" w:color="auto"/>
      </w:divBdr>
    </w:div>
    <w:div w:id="1276139058">
      <w:bodyDiv w:val="1"/>
      <w:marLeft w:val="0"/>
      <w:marRight w:val="0"/>
      <w:marTop w:val="0"/>
      <w:marBottom w:val="0"/>
      <w:divBdr>
        <w:top w:val="none" w:sz="0" w:space="0" w:color="auto"/>
        <w:left w:val="none" w:sz="0" w:space="0" w:color="auto"/>
        <w:bottom w:val="none" w:sz="0" w:space="0" w:color="auto"/>
        <w:right w:val="none" w:sz="0" w:space="0" w:color="auto"/>
      </w:divBdr>
    </w:div>
    <w:div w:id="1424641299">
      <w:bodyDiv w:val="1"/>
      <w:marLeft w:val="0"/>
      <w:marRight w:val="0"/>
      <w:marTop w:val="0"/>
      <w:marBottom w:val="0"/>
      <w:divBdr>
        <w:top w:val="none" w:sz="0" w:space="0" w:color="auto"/>
        <w:left w:val="none" w:sz="0" w:space="0" w:color="auto"/>
        <w:bottom w:val="none" w:sz="0" w:space="0" w:color="auto"/>
        <w:right w:val="none" w:sz="0" w:space="0" w:color="auto"/>
      </w:divBdr>
      <w:divsChild>
        <w:div w:id="1792623274">
          <w:marLeft w:val="0"/>
          <w:marRight w:val="0"/>
          <w:marTop w:val="0"/>
          <w:marBottom w:val="101"/>
          <w:divBdr>
            <w:top w:val="none" w:sz="0" w:space="0" w:color="auto"/>
            <w:left w:val="none" w:sz="0" w:space="0" w:color="auto"/>
            <w:bottom w:val="none" w:sz="0" w:space="0" w:color="auto"/>
            <w:right w:val="none" w:sz="0" w:space="0" w:color="auto"/>
          </w:divBdr>
        </w:div>
        <w:div w:id="110825224">
          <w:marLeft w:val="864"/>
          <w:marRight w:val="0"/>
          <w:marTop w:val="0"/>
          <w:marBottom w:val="101"/>
          <w:divBdr>
            <w:top w:val="none" w:sz="0" w:space="0" w:color="auto"/>
            <w:left w:val="none" w:sz="0" w:space="0" w:color="auto"/>
            <w:bottom w:val="none" w:sz="0" w:space="0" w:color="auto"/>
            <w:right w:val="none" w:sz="0" w:space="0" w:color="auto"/>
          </w:divBdr>
        </w:div>
        <w:div w:id="882517743">
          <w:marLeft w:val="864"/>
          <w:marRight w:val="0"/>
          <w:marTop w:val="0"/>
          <w:marBottom w:val="101"/>
          <w:divBdr>
            <w:top w:val="none" w:sz="0" w:space="0" w:color="auto"/>
            <w:left w:val="none" w:sz="0" w:space="0" w:color="auto"/>
            <w:bottom w:val="none" w:sz="0" w:space="0" w:color="auto"/>
            <w:right w:val="none" w:sz="0" w:space="0" w:color="auto"/>
          </w:divBdr>
        </w:div>
        <w:div w:id="835191335">
          <w:marLeft w:val="864"/>
          <w:marRight w:val="0"/>
          <w:marTop w:val="0"/>
          <w:marBottom w:val="101"/>
          <w:divBdr>
            <w:top w:val="none" w:sz="0" w:space="0" w:color="auto"/>
            <w:left w:val="none" w:sz="0" w:space="0" w:color="auto"/>
            <w:bottom w:val="none" w:sz="0" w:space="0" w:color="auto"/>
            <w:right w:val="none" w:sz="0" w:space="0" w:color="auto"/>
          </w:divBdr>
        </w:div>
        <w:div w:id="675232230">
          <w:marLeft w:val="864"/>
          <w:marRight w:val="0"/>
          <w:marTop w:val="0"/>
          <w:marBottom w:val="101"/>
          <w:divBdr>
            <w:top w:val="none" w:sz="0" w:space="0" w:color="auto"/>
            <w:left w:val="none" w:sz="0" w:space="0" w:color="auto"/>
            <w:bottom w:val="none" w:sz="0" w:space="0" w:color="auto"/>
            <w:right w:val="none" w:sz="0" w:space="0" w:color="auto"/>
          </w:divBdr>
        </w:div>
      </w:divsChild>
    </w:div>
    <w:div w:id="1630895962">
      <w:bodyDiv w:val="1"/>
      <w:marLeft w:val="0"/>
      <w:marRight w:val="0"/>
      <w:marTop w:val="0"/>
      <w:marBottom w:val="0"/>
      <w:divBdr>
        <w:top w:val="none" w:sz="0" w:space="0" w:color="auto"/>
        <w:left w:val="none" w:sz="0" w:space="0" w:color="auto"/>
        <w:bottom w:val="none" w:sz="0" w:space="0" w:color="auto"/>
        <w:right w:val="none" w:sz="0" w:space="0" w:color="auto"/>
      </w:divBdr>
    </w:div>
    <w:div w:id="1752267762">
      <w:bodyDiv w:val="1"/>
      <w:marLeft w:val="0"/>
      <w:marRight w:val="0"/>
      <w:marTop w:val="0"/>
      <w:marBottom w:val="0"/>
      <w:divBdr>
        <w:top w:val="none" w:sz="0" w:space="0" w:color="auto"/>
        <w:left w:val="none" w:sz="0" w:space="0" w:color="auto"/>
        <w:bottom w:val="none" w:sz="0" w:space="0" w:color="auto"/>
        <w:right w:val="none" w:sz="0" w:space="0" w:color="auto"/>
      </w:divBdr>
    </w:div>
    <w:div w:id="1909072149">
      <w:bodyDiv w:val="1"/>
      <w:marLeft w:val="0"/>
      <w:marRight w:val="0"/>
      <w:marTop w:val="0"/>
      <w:marBottom w:val="0"/>
      <w:divBdr>
        <w:top w:val="none" w:sz="0" w:space="0" w:color="auto"/>
        <w:left w:val="none" w:sz="0" w:space="0" w:color="auto"/>
        <w:bottom w:val="none" w:sz="0" w:space="0" w:color="auto"/>
        <w:right w:val="none" w:sz="0" w:space="0" w:color="auto"/>
      </w:divBdr>
    </w:div>
    <w:div w:id="1975675811">
      <w:bodyDiv w:val="1"/>
      <w:marLeft w:val="0"/>
      <w:marRight w:val="0"/>
      <w:marTop w:val="0"/>
      <w:marBottom w:val="0"/>
      <w:divBdr>
        <w:top w:val="none" w:sz="0" w:space="0" w:color="auto"/>
        <w:left w:val="none" w:sz="0" w:space="0" w:color="auto"/>
        <w:bottom w:val="none" w:sz="0" w:space="0" w:color="auto"/>
        <w:right w:val="none" w:sz="0" w:space="0" w:color="auto"/>
      </w:divBdr>
    </w:div>
    <w:div w:id="2014647825">
      <w:bodyDiv w:val="1"/>
      <w:marLeft w:val="0"/>
      <w:marRight w:val="0"/>
      <w:marTop w:val="0"/>
      <w:marBottom w:val="0"/>
      <w:divBdr>
        <w:top w:val="none" w:sz="0" w:space="0" w:color="auto"/>
        <w:left w:val="none" w:sz="0" w:space="0" w:color="auto"/>
        <w:bottom w:val="none" w:sz="0" w:space="0" w:color="auto"/>
        <w:right w:val="none" w:sz="0" w:space="0" w:color="auto"/>
      </w:divBdr>
    </w:div>
    <w:div w:id="20832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ECFC8-AF8F-4718-8040-921CCCF8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8541</Words>
  <Characters>46977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2024-12-13T19:50:00Z</cp:lastPrinted>
  <dcterms:created xsi:type="dcterms:W3CDTF">2024-12-09T21:36:00Z</dcterms:created>
  <dcterms:modified xsi:type="dcterms:W3CDTF">2025-01-22T19:54:00Z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