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67F2DA93" w:rsidR="00942616" w:rsidRPr="004A46F4" w:rsidRDefault="00942616" w:rsidP="000712D1">
      <w:pPr>
        <w:tabs>
          <w:tab w:val="left" w:pos="3465"/>
        </w:tabs>
        <w:spacing w:line="360" w:lineRule="auto"/>
        <w:jc w:val="both"/>
        <w:rPr>
          <w:rFonts w:ascii="Palatino Linotype" w:hAnsi="Palatino Linotype"/>
        </w:rPr>
      </w:pPr>
      <w:r w:rsidRPr="004A46F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297895" w:rsidRPr="004A46F4">
        <w:rPr>
          <w:rFonts w:ascii="Palatino Linotype" w:hAnsi="Palatino Linotype"/>
        </w:rPr>
        <w:t>veint</w:t>
      </w:r>
      <w:r w:rsidR="004A46F4">
        <w:rPr>
          <w:rFonts w:ascii="Palatino Linotype" w:hAnsi="Palatino Linotype"/>
        </w:rPr>
        <w:t>isi</w:t>
      </w:r>
      <w:r w:rsidR="00B043B4" w:rsidRPr="004A46F4">
        <w:rPr>
          <w:rFonts w:ascii="Palatino Linotype" w:hAnsi="Palatino Linotype"/>
        </w:rPr>
        <w:t>e</w:t>
      </w:r>
      <w:r w:rsidR="004A46F4">
        <w:rPr>
          <w:rFonts w:ascii="Palatino Linotype" w:hAnsi="Palatino Linotype"/>
        </w:rPr>
        <w:t>te</w:t>
      </w:r>
      <w:r w:rsidR="00B043B4" w:rsidRPr="004A46F4">
        <w:rPr>
          <w:rFonts w:ascii="Palatino Linotype" w:hAnsi="Palatino Linotype"/>
        </w:rPr>
        <w:t xml:space="preserve"> </w:t>
      </w:r>
      <w:r w:rsidR="004A46F4">
        <w:rPr>
          <w:rFonts w:ascii="Palatino Linotype" w:hAnsi="Palatino Linotype"/>
        </w:rPr>
        <w:t xml:space="preserve">(27) </w:t>
      </w:r>
      <w:r w:rsidR="00B043B4" w:rsidRPr="004A46F4">
        <w:rPr>
          <w:rFonts w:ascii="Palatino Linotype" w:hAnsi="Palatino Linotype"/>
        </w:rPr>
        <w:t xml:space="preserve">de noviembre </w:t>
      </w:r>
      <w:r w:rsidRPr="004A46F4">
        <w:rPr>
          <w:rFonts w:ascii="Palatino Linotype" w:hAnsi="Palatino Linotype"/>
        </w:rPr>
        <w:t>dos mil veinticuatro.</w:t>
      </w:r>
    </w:p>
    <w:p w14:paraId="7A47408F" w14:textId="77777777" w:rsidR="00942616" w:rsidRPr="004A46F4" w:rsidRDefault="00942616" w:rsidP="000712D1">
      <w:pPr>
        <w:tabs>
          <w:tab w:val="left" w:pos="3465"/>
        </w:tabs>
        <w:spacing w:line="360" w:lineRule="auto"/>
        <w:jc w:val="both"/>
        <w:rPr>
          <w:rFonts w:ascii="Palatino Linotype" w:hAnsi="Palatino Linotype"/>
        </w:rPr>
      </w:pPr>
    </w:p>
    <w:p w14:paraId="1A849A4C" w14:textId="080D7FFE" w:rsidR="00942616" w:rsidRPr="004A46F4" w:rsidRDefault="001125D8" w:rsidP="000712D1">
      <w:pPr>
        <w:spacing w:line="360" w:lineRule="auto"/>
        <w:jc w:val="both"/>
        <w:rPr>
          <w:rFonts w:ascii="Palatino Linotype" w:hAnsi="Palatino Linotype"/>
        </w:rPr>
      </w:pPr>
      <w:r w:rsidRPr="004A46F4">
        <w:rPr>
          <w:rFonts w:ascii="Palatino Linotype" w:hAnsi="Palatino Linotype"/>
          <w:b/>
        </w:rPr>
        <w:t xml:space="preserve">VISTAS </w:t>
      </w:r>
      <w:r w:rsidRPr="004A46F4">
        <w:rPr>
          <w:rFonts w:ascii="Palatino Linotype" w:hAnsi="Palatino Linotype"/>
        </w:rPr>
        <w:t>la</w:t>
      </w:r>
      <w:r w:rsidR="00B043B4" w:rsidRPr="004A46F4">
        <w:rPr>
          <w:rFonts w:ascii="Palatino Linotype" w:hAnsi="Palatino Linotype"/>
        </w:rPr>
        <w:t>s constancias para resolver el R</w:t>
      </w:r>
      <w:r w:rsidRPr="004A46F4">
        <w:rPr>
          <w:rFonts w:ascii="Palatino Linotype" w:hAnsi="Palatino Linotype"/>
        </w:rPr>
        <w:t xml:space="preserve">ecurso de </w:t>
      </w:r>
      <w:r w:rsidR="00B043B4" w:rsidRPr="004A46F4">
        <w:rPr>
          <w:rFonts w:ascii="Palatino Linotype" w:hAnsi="Palatino Linotype"/>
        </w:rPr>
        <w:t>R</w:t>
      </w:r>
      <w:r w:rsidRPr="004A46F4">
        <w:rPr>
          <w:rFonts w:ascii="Palatino Linotype" w:hAnsi="Palatino Linotype"/>
        </w:rPr>
        <w:t>evi</w:t>
      </w:r>
      <w:r w:rsidR="00D05A0E" w:rsidRPr="004A46F4">
        <w:rPr>
          <w:rFonts w:ascii="Palatino Linotype" w:hAnsi="Palatino Linotype"/>
        </w:rPr>
        <w:t xml:space="preserve">sión </w:t>
      </w:r>
      <w:r w:rsidR="00F36290" w:rsidRPr="00F36290">
        <w:rPr>
          <w:rFonts w:ascii="Palatino Linotype" w:hAnsi="Palatino Linotype" w:cs="Arial"/>
          <w:b/>
          <w:bCs/>
          <w:sz w:val="22"/>
          <w:szCs w:val="22"/>
          <w:lang w:eastAsia="es-MX"/>
        </w:rPr>
        <w:t>02618/INFOEM/IP/RR/2024</w:t>
      </w:r>
      <w:r w:rsidR="00F36290">
        <w:rPr>
          <w:rFonts w:ascii="Palatino Linotype" w:hAnsi="Palatino Linotype" w:cs="Arial"/>
          <w:bCs/>
          <w:sz w:val="22"/>
          <w:szCs w:val="22"/>
          <w:lang w:eastAsia="es-MX"/>
        </w:rPr>
        <w:t xml:space="preserve">, </w:t>
      </w:r>
      <w:r w:rsidR="00D05A0E" w:rsidRPr="004A46F4">
        <w:rPr>
          <w:rFonts w:ascii="Palatino Linotype" w:hAnsi="Palatino Linotype"/>
        </w:rPr>
        <w:t xml:space="preserve">presentado por </w:t>
      </w:r>
      <w:r w:rsidR="004A46F4">
        <w:rPr>
          <w:rFonts w:ascii="Palatino Linotype" w:hAnsi="Palatino Linotype"/>
        </w:rPr>
        <w:t xml:space="preserve">un usuario que se registró como </w:t>
      </w:r>
      <w:r w:rsidR="00C019F2">
        <w:rPr>
          <w:rFonts w:ascii="Palatino Linotype" w:hAnsi="Palatino Linotype"/>
          <w:b/>
          <w:bCs/>
          <w:color w:val="000000" w:themeColor="text1"/>
        </w:rPr>
        <w:t>XXXXXXXXXXXXX</w:t>
      </w:r>
      <w:bookmarkStart w:id="0" w:name="_GoBack"/>
      <w:bookmarkEnd w:id="0"/>
      <w:r w:rsidR="004A46F4">
        <w:rPr>
          <w:rFonts w:ascii="Palatino Linotype" w:hAnsi="Palatino Linotype"/>
          <w:b/>
          <w:bCs/>
          <w:color w:val="000000" w:themeColor="text1"/>
        </w:rPr>
        <w:t xml:space="preserve">, </w:t>
      </w:r>
      <w:r w:rsidR="004A46F4" w:rsidRPr="004A46F4">
        <w:rPr>
          <w:rFonts w:ascii="Palatino Linotype" w:hAnsi="Palatino Linotype"/>
          <w:bCs/>
          <w:color w:val="000000" w:themeColor="text1"/>
        </w:rPr>
        <w:t>a quien</w:t>
      </w:r>
      <w:r w:rsidR="004A46F4">
        <w:rPr>
          <w:rFonts w:ascii="Palatino Linotype" w:hAnsi="Palatino Linotype"/>
          <w:b/>
          <w:bCs/>
          <w:color w:val="000000" w:themeColor="text1"/>
        </w:rPr>
        <w:t xml:space="preserve"> </w:t>
      </w:r>
      <w:r w:rsidR="00D05A0E" w:rsidRPr="004A46F4">
        <w:rPr>
          <w:rFonts w:ascii="Palatino Linotype" w:hAnsi="Palatino Linotype"/>
        </w:rPr>
        <w:t xml:space="preserve">en lo sucesivo </w:t>
      </w:r>
      <w:r w:rsidR="004A46F4">
        <w:rPr>
          <w:rFonts w:ascii="Palatino Linotype" w:hAnsi="Palatino Linotype"/>
        </w:rPr>
        <w:t xml:space="preserve">se denominará como </w:t>
      </w:r>
      <w:r w:rsidR="00B043B4" w:rsidRPr="004A46F4">
        <w:rPr>
          <w:rFonts w:ascii="Palatino Linotype" w:hAnsi="Palatino Linotype"/>
        </w:rPr>
        <w:t>e</w:t>
      </w:r>
      <w:r w:rsidR="00D05A0E" w:rsidRPr="004A46F4">
        <w:rPr>
          <w:rFonts w:ascii="Palatino Linotype" w:hAnsi="Palatino Linotype"/>
        </w:rPr>
        <w:t xml:space="preserve">l </w:t>
      </w:r>
      <w:r w:rsidR="004A46F4" w:rsidRPr="004A46F4">
        <w:rPr>
          <w:rFonts w:ascii="Palatino Linotype" w:hAnsi="Palatino Linotype"/>
          <w:b/>
        </w:rPr>
        <w:t>RECURRENTE,</w:t>
      </w:r>
      <w:r w:rsidR="00A731FE" w:rsidRPr="004A46F4">
        <w:rPr>
          <w:rFonts w:ascii="Palatino Linotype" w:hAnsi="Palatino Linotype"/>
        </w:rPr>
        <w:t xml:space="preserve"> en contra de la respuesta otorgada a la solicitud de información</w:t>
      </w:r>
      <w:r w:rsidR="004965A6" w:rsidRPr="004A46F4">
        <w:rPr>
          <w:rFonts w:ascii="Palatino Linotype" w:hAnsi="Palatino Linotype"/>
        </w:rPr>
        <w:t xml:space="preserve"> con número de folio</w:t>
      </w:r>
      <w:r w:rsidR="00A731FE" w:rsidRPr="004A46F4">
        <w:rPr>
          <w:rFonts w:ascii="Palatino Linotype" w:hAnsi="Palatino Linotype"/>
        </w:rPr>
        <w:t xml:space="preserve"> </w:t>
      </w:r>
      <w:r w:rsidR="00E67DAF" w:rsidRPr="004A46F4">
        <w:rPr>
          <w:rFonts w:ascii="Palatino Linotype" w:hAnsi="Palatino Linotype" w:cs="Arial"/>
          <w:b/>
          <w:bCs/>
          <w:lang w:eastAsia="es-MX"/>
        </w:rPr>
        <w:t>00260/IXTAPALU/IP/2024</w:t>
      </w:r>
      <w:r w:rsidRPr="004A46F4">
        <w:rPr>
          <w:rFonts w:ascii="Palatino Linotype" w:hAnsi="Palatino Linotype"/>
        </w:rPr>
        <w:t xml:space="preserve">, </w:t>
      </w:r>
      <w:r w:rsidR="00A731FE" w:rsidRPr="004A46F4">
        <w:rPr>
          <w:rFonts w:ascii="Palatino Linotype" w:hAnsi="Palatino Linotype"/>
        </w:rPr>
        <w:t>por parte</w:t>
      </w:r>
      <w:r w:rsidRPr="004A46F4">
        <w:rPr>
          <w:rFonts w:ascii="Palatino Linotype" w:hAnsi="Palatino Linotype"/>
        </w:rPr>
        <w:t xml:space="preserve"> </w:t>
      </w:r>
      <w:r w:rsidR="00E67DAF" w:rsidRPr="004A46F4">
        <w:rPr>
          <w:rFonts w:ascii="Palatino Linotype" w:hAnsi="Palatino Linotype"/>
        </w:rPr>
        <w:t>del</w:t>
      </w:r>
      <w:r w:rsidRPr="004A46F4">
        <w:rPr>
          <w:rFonts w:ascii="Palatino Linotype" w:hAnsi="Palatino Linotype"/>
        </w:rPr>
        <w:t xml:space="preserve"> </w:t>
      </w:r>
      <w:r w:rsidR="00E67DAF" w:rsidRPr="004A46F4">
        <w:rPr>
          <w:rFonts w:ascii="Palatino Linotype" w:hAnsi="Palatino Linotype"/>
          <w:b/>
        </w:rPr>
        <w:t>Ayuntamiento de Ixtapaluca</w:t>
      </w:r>
      <w:r w:rsidRPr="004A46F4">
        <w:rPr>
          <w:rFonts w:ascii="Palatino Linotype" w:hAnsi="Palatino Linotype"/>
          <w:b/>
        </w:rPr>
        <w:t xml:space="preserve"> </w:t>
      </w:r>
      <w:r w:rsidRPr="004A46F4">
        <w:rPr>
          <w:rFonts w:ascii="Palatino Linotype" w:hAnsi="Palatino Linotype"/>
        </w:rPr>
        <w:t xml:space="preserve">en adelante el </w:t>
      </w:r>
      <w:r w:rsidR="004A46F4" w:rsidRPr="004A46F4">
        <w:rPr>
          <w:rFonts w:ascii="Palatino Linotype" w:hAnsi="Palatino Linotype"/>
          <w:b/>
        </w:rPr>
        <w:t>SUJETO OBLIGADO</w:t>
      </w:r>
      <w:r w:rsidR="004A46F4">
        <w:rPr>
          <w:rFonts w:ascii="Palatino Linotype" w:hAnsi="Palatino Linotype"/>
        </w:rPr>
        <w:t>,</w:t>
      </w:r>
      <w:r w:rsidRPr="004A46F4">
        <w:rPr>
          <w:rFonts w:ascii="Palatino Linotype" w:hAnsi="Palatino Linotype"/>
        </w:rPr>
        <w:t xml:space="preserve"> </w:t>
      </w:r>
      <w:r w:rsidR="004A46F4">
        <w:rPr>
          <w:rFonts w:ascii="Palatino Linotype" w:hAnsi="Palatino Linotype"/>
        </w:rPr>
        <w:t>s</w:t>
      </w:r>
      <w:r w:rsidRPr="004A46F4">
        <w:rPr>
          <w:rFonts w:ascii="Palatino Linotype" w:hAnsi="Palatino Linotype"/>
        </w:rPr>
        <w:t>e emite la presente resolución</w:t>
      </w:r>
      <w:r w:rsidR="0074431C" w:rsidRPr="004A46F4">
        <w:rPr>
          <w:rFonts w:ascii="Palatino Linotype" w:hAnsi="Palatino Linotype"/>
        </w:rPr>
        <w:t xml:space="preserve"> con base en los siguientes</w:t>
      </w:r>
      <w:r w:rsidRPr="004A46F4">
        <w:rPr>
          <w:rFonts w:ascii="Palatino Linotype" w:hAnsi="Palatino Linotype"/>
        </w:rPr>
        <w:t>:</w:t>
      </w:r>
    </w:p>
    <w:p w14:paraId="0070C9F7" w14:textId="77777777" w:rsidR="007B5D7C" w:rsidRPr="004A46F4" w:rsidRDefault="007B5D7C" w:rsidP="000712D1">
      <w:pPr>
        <w:spacing w:line="360" w:lineRule="auto"/>
        <w:jc w:val="both"/>
        <w:rPr>
          <w:rFonts w:ascii="Palatino Linotype" w:hAnsi="Palatino Linotype"/>
        </w:rPr>
      </w:pPr>
    </w:p>
    <w:p w14:paraId="27CF3736" w14:textId="62A1A7E9" w:rsidR="00942616" w:rsidRPr="004A46F4" w:rsidRDefault="00942616" w:rsidP="000712D1">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4A46F4">
        <w:rPr>
          <w:rFonts w:ascii="Palatino Linotype" w:hAnsi="Palatino Linotype"/>
          <w:b/>
          <w:color w:val="000000" w:themeColor="text1"/>
          <w:sz w:val="24"/>
          <w:szCs w:val="24"/>
        </w:rPr>
        <w:t>A</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N</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T</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E</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C</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E</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D</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E</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N</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T</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E</w:t>
      </w:r>
      <w:r w:rsidR="004A46F4">
        <w:rPr>
          <w:rFonts w:ascii="Palatino Linotype" w:hAnsi="Palatino Linotype"/>
          <w:b/>
          <w:color w:val="000000" w:themeColor="text1"/>
          <w:sz w:val="24"/>
          <w:szCs w:val="24"/>
        </w:rPr>
        <w:t xml:space="preserve"> </w:t>
      </w:r>
      <w:r w:rsidRPr="004A46F4">
        <w:rPr>
          <w:rFonts w:ascii="Palatino Linotype" w:hAnsi="Palatino Linotype"/>
          <w:b/>
          <w:color w:val="000000" w:themeColor="text1"/>
          <w:sz w:val="24"/>
          <w:szCs w:val="24"/>
        </w:rPr>
        <w:t>S</w:t>
      </w:r>
      <w:bookmarkEnd w:id="1"/>
      <w:bookmarkEnd w:id="2"/>
      <w:bookmarkEnd w:id="3"/>
      <w:r w:rsidR="004A46F4">
        <w:rPr>
          <w:rFonts w:ascii="Palatino Linotype" w:hAnsi="Palatino Linotype"/>
          <w:b/>
          <w:color w:val="000000" w:themeColor="text1"/>
          <w:sz w:val="24"/>
          <w:szCs w:val="24"/>
        </w:rPr>
        <w:t xml:space="preserve"> </w:t>
      </w:r>
    </w:p>
    <w:p w14:paraId="5385E88F" w14:textId="77777777" w:rsidR="00942616" w:rsidRPr="004A46F4" w:rsidRDefault="00942616" w:rsidP="000712D1">
      <w:pPr>
        <w:spacing w:line="360" w:lineRule="auto"/>
        <w:rPr>
          <w:rFonts w:ascii="Palatino Linotype" w:hAnsi="Palatino Linotype"/>
        </w:rPr>
      </w:pPr>
    </w:p>
    <w:p w14:paraId="53379CE6" w14:textId="4B03199B" w:rsidR="00942616" w:rsidRPr="004A46F4" w:rsidRDefault="00942616" w:rsidP="000712D1">
      <w:pPr>
        <w:pStyle w:val="Prrafodelista"/>
        <w:numPr>
          <w:ilvl w:val="0"/>
          <w:numId w:val="1"/>
        </w:numPr>
        <w:tabs>
          <w:tab w:val="left" w:pos="0"/>
        </w:tabs>
        <w:spacing w:line="360" w:lineRule="auto"/>
        <w:ind w:left="0" w:firstLine="0"/>
        <w:jc w:val="both"/>
        <w:rPr>
          <w:rFonts w:ascii="Palatino Linotype" w:eastAsia="Calibri" w:hAnsi="Palatino Linotype" w:cs="Arial"/>
          <w:lang w:val="es-ES"/>
        </w:rPr>
      </w:pPr>
      <w:r w:rsidRPr="004A46F4">
        <w:rPr>
          <w:rFonts w:ascii="Palatino Linotype" w:eastAsia="Calibri" w:hAnsi="Palatino Linotype" w:cs="Arial"/>
          <w:lang w:val="es-ES"/>
        </w:rPr>
        <w:t>El día</w:t>
      </w:r>
      <w:r w:rsidR="00133699" w:rsidRPr="004A46F4">
        <w:rPr>
          <w:rFonts w:ascii="Palatino Linotype" w:eastAsia="Calibri" w:hAnsi="Palatino Linotype" w:cs="Arial"/>
          <w:b/>
          <w:lang w:val="es-ES"/>
        </w:rPr>
        <w:t xml:space="preserve"> </w:t>
      </w:r>
      <w:r w:rsidR="003718AD" w:rsidRPr="004A46F4">
        <w:rPr>
          <w:rFonts w:ascii="Palatino Linotype" w:eastAsia="Calibri" w:hAnsi="Palatino Linotype" w:cs="Arial"/>
          <w:b/>
          <w:lang w:val="es-ES"/>
        </w:rPr>
        <w:t>cuatro</w:t>
      </w:r>
      <w:r w:rsidR="00297895" w:rsidRPr="004A46F4">
        <w:rPr>
          <w:rFonts w:ascii="Palatino Linotype" w:eastAsia="Calibri" w:hAnsi="Palatino Linotype" w:cs="Arial"/>
          <w:b/>
          <w:lang w:val="es-ES"/>
        </w:rPr>
        <w:t xml:space="preserve"> de </w:t>
      </w:r>
      <w:r w:rsidR="003718AD" w:rsidRPr="004A46F4">
        <w:rPr>
          <w:rFonts w:ascii="Palatino Linotype" w:eastAsia="Calibri" w:hAnsi="Palatino Linotype" w:cs="Arial"/>
          <w:b/>
          <w:lang w:val="es-ES"/>
        </w:rPr>
        <w:t>abril</w:t>
      </w:r>
      <w:r w:rsidR="001E27D8" w:rsidRPr="004A46F4">
        <w:rPr>
          <w:rFonts w:ascii="Palatino Linotype" w:eastAsia="Calibri" w:hAnsi="Palatino Linotype" w:cs="Arial"/>
          <w:b/>
          <w:lang w:val="es-ES"/>
        </w:rPr>
        <w:t xml:space="preserve"> de dos mil </w:t>
      </w:r>
      <w:r w:rsidR="007E2B20" w:rsidRPr="004A46F4">
        <w:rPr>
          <w:rFonts w:ascii="Palatino Linotype" w:eastAsia="Calibri" w:hAnsi="Palatino Linotype" w:cs="Arial"/>
          <w:b/>
          <w:lang w:val="es-ES"/>
        </w:rPr>
        <w:t>veinticuatro</w:t>
      </w:r>
      <w:r w:rsidRPr="004A46F4">
        <w:rPr>
          <w:rFonts w:ascii="Palatino Linotype" w:hAnsi="Palatino Linotype"/>
        </w:rPr>
        <w:t>,</w:t>
      </w:r>
      <w:r w:rsidRPr="004A46F4">
        <w:rPr>
          <w:rFonts w:ascii="Palatino Linotype" w:hAnsi="Palatino Linotype"/>
          <w:b/>
        </w:rPr>
        <w:t xml:space="preserve"> </w:t>
      </w:r>
      <w:r w:rsidRPr="004A46F4">
        <w:rPr>
          <w:rFonts w:ascii="Palatino Linotype" w:eastAsia="Calibri" w:hAnsi="Palatino Linotype" w:cs="Arial"/>
          <w:lang w:val="es-ES"/>
        </w:rPr>
        <w:t xml:space="preserve">se presentó ante el </w:t>
      </w:r>
      <w:r w:rsidR="001125D8" w:rsidRPr="004A46F4">
        <w:rPr>
          <w:rFonts w:ascii="Palatino Linotype" w:eastAsia="Calibri" w:hAnsi="Palatino Linotype" w:cs="Arial"/>
          <w:lang w:val="es-ES"/>
        </w:rPr>
        <w:t>Sujeto Obligado</w:t>
      </w:r>
      <w:r w:rsidR="001125D8" w:rsidRPr="004A46F4">
        <w:rPr>
          <w:rFonts w:ascii="Palatino Linotype" w:eastAsia="Calibri" w:hAnsi="Palatino Linotype" w:cs="Arial"/>
        </w:rPr>
        <w:t xml:space="preserve"> </w:t>
      </w:r>
      <w:r w:rsidRPr="004A46F4">
        <w:rPr>
          <w:rFonts w:ascii="Palatino Linotype" w:eastAsia="Calibri" w:hAnsi="Palatino Linotype" w:cs="Arial"/>
        </w:rPr>
        <w:t>vía</w:t>
      </w:r>
      <w:r w:rsidR="001125D8" w:rsidRPr="004A46F4">
        <w:rPr>
          <w:rFonts w:ascii="Palatino Linotype" w:eastAsia="Calibri" w:hAnsi="Palatino Linotype" w:cs="Arial"/>
        </w:rPr>
        <w:t xml:space="preserve"> Sistema </w:t>
      </w:r>
      <w:r w:rsidR="001125D8" w:rsidRPr="004A46F4">
        <w:rPr>
          <w:rFonts w:ascii="Palatino Linotype" w:eastAsia="Times New Roman" w:hAnsi="Palatino Linotype" w:cs="Arial"/>
          <w:color w:val="000000" w:themeColor="text1"/>
          <w:lang w:val="es-ES"/>
        </w:rPr>
        <w:t>de</w:t>
      </w:r>
      <w:r w:rsidR="001125D8" w:rsidRPr="004A46F4">
        <w:rPr>
          <w:rFonts w:ascii="Palatino Linotype" w:eastAsia="Calibri" w:hAnsi="Palatino Linotype" w:cs="Arial"/>
        </w:rPr>
        <w:t xml:space="preserve"> Acceso a la Información Mexiquense</w:t>
      </w:r>
      <w:r w:rsidR="0074431C" w:rsidRPr="004A46F4">
        <w:rPr>
          <w:rFonts w:ascii="Palatino Linotype" w:eastAsia="Calibri" w:hAnsi="Palatino Linotype" w:cs="Arial"/>
        </w:rPr>
        <w:t xml:space="preserve">, en adelante </w:t>
      </w:r>
      <w:r w:rsidR="0048421D" w:rsidRPr="004A46F4">
        <w:rPr>
          <w:rFonts w:ascii="Palatino Linotype" w:eastAsia="Calibri" w:hAnsi="Palatino Linotype" w:cs="Arial"/>
        </w:rPr>
        <w:t>(</w:t>
      </w:r>
      <w:r w:rsidRPr="004A46F4">
        <w:rPr>
          <w:rFonts w:ascii="Palatino Linotype" w:eastAsia="Calibri" w:hAnsi="Palatino Linotype" w:cs="Arial"/>
          <w:lang w:val="es-ES"/>
        </w:rPr>
        <w:t>SAIMEX</w:t>
      </w:r>
      <w:r w:rsidR="0048421D" w:rsidRPr="004A46F4">
        <w:rPr>
          <w:rFonts w:ascii="Palatino Linotype" w:eastAsia="Calibri" w:hAnsi="Palatino Linotype" w:cs="Arial"/>
          <w:lang w:val="es-ES"/>
        </w:rPr>
        <w:t>)</w:t>
      </w:r>
      <w:r w:rsidRPr="004A46F4">
        <w:rPr>
          <w:rFonts w:ascii="Palatino Linotype" w:eastAsia="Calibri" w:hAnsi="Palatino Linotype" w:cs="Arial"/>
          <w:lang w:val="es-ES"/>
        </w:rPr>
        <w:t xml:space="preserve">, la </w:t>
      </w:r>
      <w:r w:rsidR="001125D8" w:rsidRPr="004A46F4">
        <w:rPr>
          <w:rFonts w:ascii="Palatino Linotype" w:eastAsia="Calibri" w:hAnsi="Palatino Linotype" w:cs="Arial"/>
          <w:lang w:val="es-ES"/>
        </w:rPr>
        <w:t xml:space="preserve">siguiente </w:t>
      </w:r>
      <w:r w:rsidRPr="004A46F4">
        <w:rPr>
          <w:rFonts w:ascii="Palatino Linotype" w:eastAsia="Calibri" w:hAnsi="Palatino Linotype" w:cs="Arial"/>
          <w:lang w:val="es-ES"/>
        </w:rPr>
        <w:t>solicitud de información pública:</w:t>
      </w:r>
    </w:p>
    <w:p w14:paraId="178B136D" w14:textId="77777777" w:rsidR="00942616" w:rsidRPr="004A46F4" w:rsidRDefault="00942616" w:rsidP="000712D1">
      <w:pPr>
        <w:pStyle w:val="Prrafodelista"/>
        <w:spacing w:line="360" w:lineRule="auto"/>
        <w:ind w:left="0"/>
        <w:jc w:val="both"/>
        <w:rPr>
          <w:rFonts w:ascii="Palatino Linotype" w:eastAsia="Calibri" w:hAnsi="Palatino Linotype" w:cs="Arial"/>
          <w:lang w:val="es-ES"/>
        </w:rPr>
      </w:pPr>
    </w:p>
    <w:p w14:paraId="4D74F757" w14:textId="7AD30F46" w:rsidR="00942616" w:rsidRPr="004A46F4" w:rsidRDefault="00942616" w:rsidP="000712D1">
      <w:pPr>
        <w:pStyle w:val="Prrafodelista"/>
        <w:spacing w:line="360" w:lineRule="auto"/>
        <w:ind w:left="425" w:right="474"/>
        <w:jc w:val="both"/>
        <w:rPr>
          <w:rFonts w:ascii="Palatino Linotype" w:hAnsi="Palatino Linotype"/>
        </w:rPr>
      </w:pPr>
      <w:r w:rsidRPr="004A46F4">
        <w:rPr>
          <w:rFonts w:ascii="Palatino Linotype" w:hAnsi="Palatino Linotype"/>
          <w:i/>
        </w:rPr>
        <w:t>“</w:t>
      </w:r>
      <w:r w:rsidR="003718AD" w:rsidRPr="004A46F4">
        <w:rPr>
          <w:rFonts w:ascii="Palatino Linotype" w:hAnsi="Palatino Linotype"/>
          <w:i/>
        </w:rPr>
        <w:t>Solicito la siguiente información pública de la 5 Regiduria cual fue el presupuesto asignado del año 2022, y como fue ejecutado dicho presupuesto especificando de manera clara, concisa, espesififica y entendible todo en versión pública si es el caso</w:t>
      </w:r>
      <w:r w:rsidRPr="004A46F4">
        <w:rPr>
          <w:rFonts w:ascii="Palatino Linotype" w:hAnsi="Palatino Linotype"/>
          <w:i/>
        </w:rPr>
        <w:t>”</w:t>
      </w:r>
    </w:p>
    <w:p w14:paraId="1B41AE08" w14:textId="77777777" w:rsidR="00942616" w:rsidRPr="004A46F4" w:rsidRDefault="00942616" w:rsidP="000712D1">
      <w:pPr>
        <w:pStyle w:val="Prrafodelista"/>
        <w:spacing w:line="360" w:lineRule="auto"/>
        <w:ind w:left="851"/>
        <w:jc w:val="both"/>
        <w:rPr>
          <w:rFonts w:ascii="Palatino Linotype" w:hAnsi="Palatino Linotype"/>
        </w:rPr>
      </w:pPr>
    </w:p>
    <w:p w14:paraId="41BE3230" w14:textId="77777777" w:rsidR="00942616" w:rsidRPr="004A46F4" w:rsidRDefault="00942616" w:rsidP="000712D1">
      <w:pPr>
        <w:pStyle w:val="Prrafodelista"/>
        <w:numPr>
          <w:ilvl w:val="0"/>
          <w:numId w:val="7"/>
        </w:numPr>
        <w:tabs>
          <w:tab w:val="left" w:pos="0"/>
        </w:tabs>
        <w:spacing w:line="360" w:lineRule="auto"/>
        <w:ind w:left="709"/>
        <w:jc w:val="both"/>
        <w:rPr>
          <w:rFonts w:ascii="Palatino Linotype" w:hAnsi="Palatino Linotype"/>
        </w:rPr>
      </w:pPr>
      <w:r w:rsidRPr="004A46F4">
        <w:rPr>
          <w:rFonts w:ascii="Palatino Linotype" w:eastAsia="Times New Roman" w:hAnsi="Palatino Linotype" w:cs="Arial"/>
          <w:lang w:val="es-ES"/>
        </w:rPr>
        <w:t xml:space="preserve">Se eligió como </w:t>
      </w:r>
      <w:r w:rsidRPr="004A46F4">
        <w:rPr>
          <w:rFonts w:ascii="Palatino Linotype" w:hAnsi="Palatino Linotype"/>
        </w:rPr>
        <w:t>modalidad</w:t>
      </w:r>
      <w:r w:rsidRPr="004A46F4">
        <w:rPr>
          <w:rFonts w:ascii="Palatino Linotype" w:eastAsia="Times New Roman" w:hAnsi="Palatino Linotype" w:cs="Arial"/>
          <w:lang w:val="es-ES"/>
        </w:rPr>
        <w:t xml:space="preserve"> de entrega de la información</w:t>
      </w:r>
      <w:r w:rsidRPr="004A46F4">
        <w:rPr>
          <w:rFonts w:ascii="Palatino Linotype" w:hAnsi="Palatino Linotype"/>
        </w:rPr>
        <w:t xml:space="preserve">: A través del </w:t>
      </w:r>
      <w:r w:rsidRPr="004A46F4">
        <w:rPr>
          <w:rFonts w:ascii="Palatino Linotype" w:hAnsi="Palatino Linotype"/>
          <w:b/>
        </w:rPr>
        <w:t>SAIMEX.</w:t>
      </w:r>
    </w:p>
    <w:p w14:paraId="5D4B6BDF" w14:textId="77777777" w:rsidR="00F34B09" w:rsidRPr="004A46F4" w:rsidRDefault="00F34B09" w:rsidP="000712D1">
      <w:pPr>
        <w:pStyle w:val="Prrafodelista"/>
        <w:tabs>
          <w:tab w:val="left" w:pos="0"/>
        </w:tabs>
        <w:spacing w:line="360" w:lineRule="auto"/>
        <w:ind w:left="709"/>
        <w:jc w:val="both"/>
        <w:rPr>
          <w:rFonts w:ascii="Palatino Linotype" w:hAnsi="Palatino Linotype"/>
          <w:b/>
          <w:u w:val="single"/>
        </w:rPr>
      </w:pPr>
    </w:p>
    <w:p w14:paraId="25112C50" w14:textId="5CE107F5" w:rsidR="00844CA2" w:rsidRPr="004A46F4" w:rsidRDefault="008D3A70" w:rsidP="000712D1">
      <w:pPr>
        <w:pStyle w:val="Prrafodelista"/>
        <w:numPr>
          <w:ilvl w:val="0"/>
          <w:numId w:val="1"/>
        </w:numPr>
        <w:tabs>
          <w:tab w:val="left" w:pos="0"/>
        </w:tabs>
        <w:spacing w:line="360" w:lineRule="auto"/>
        <w:ind w:left="0" w:firstLine="0"/>
        <w:jc w:val="both"/>
        <w:rPr>
          <w:rFonts w:ascii="Palatino Linotype" w:hAnsi="Palatino Linotype" w:cs="Arial"/>
          <w:color w:val="000000" w:themeColor="text1"/>
        </w:rPr>
      </w:pPr>
      <w:r w:rsidRPr="004A46F4">
        <w:rPr>
          <w:rFonts w:ascii="Palatino Linotype" w:hAnsi="Palatino Linotype" w:cs="Arial"/>
          <w:color w:val="000000" w:themeColor="text1"/>
        </w:rPr>
        <w:lastRenderedPageBreak/>
        <w:t xml:space="preserve">El </w:t>
      </w:r>
      <w:r w:rsidR="003718AD" w:rsidRPr="004A46F4">
        <w:rPr>
          <w:rFonts w:ascii="Palatino Linotype" w:hAnsi="Palatino Linotype" w:cs="Arial"/>
          <w:b/>
          <w:color w:val="000000" w:themeColor="text1"/>
        </w:rPr>
        <w:t>quince de abril</w:t>
      </w:r>
      <w:r w:rsidR="007E2B20" w:rsidRPr="004A46F4">
        <w:rPr>
          <w:rFonts w:ascii="Palatino Linotype" w:hAnsi="Palatino Linotype" w:cs="Arial"/>
          <w:b/>
          <w:color w:val="000000" w:themeColor="text1"/>
        </w:rPr>
        <w:t xml:space="preserve"> de </w:t>
      </w:r>
      <w:r w:rsidRPr="004A46F4">
        <w:rPr>
          <w:rFonts w:ascii="Palatino Linotype" w:hAnsi="Palatino Linotype" w:cs="Arial"/>
          <w:b/>
          <w:color w:val="000000" w:themeColor="text1"/>
        </w:rPr>
        <w:t xml:space="preserve">dos mil </w:t>
      </w:r>
      <w:r w:rsidR="002D7351" w:rsidRPr="004A46F4">
        <w:rPr>
          <w:rFonts w:ascii="Palatino Linotype" w:hAnsi="Palatino Linotype" w:cs="Arial"/>
          <w:b/>
          <w:color w:val="000000" w:themeColor="text1"/>
        </w:rPr>
        <w:t>veinti</w:t>
      </w:r>
      <w:r w:rsidR="007E2B20" w:rsidRPr="004A46F4">
        <w:rPr>
          <w:rFonts w:ascii="Palatino Linotype" w:hAnsi="Palatino Linotype" w:cs="Arial"/>
          <w:b/>
          <w:color w:val="000000" w:themeColor="text1"/>
        </w:rPr>
        <w:t>cuatro</w:t>
      </w:r>
      <w:r w:rsidRPr="004A46F4">
        <w:rPr>
          <w:rFonts w:ascii="Palatino Linotype" w:hAnsi="Palatino Linotype" w:cs="Arial"/>
          <w:color w:val="000000" w:themeColor="text1"/>
        </w:rPr>
        <w:t>, el Sujeto Obligado</w:t>
      </w:r>
      <w:r w:rsidR="00942616" w:rsidRPr="004A46F4">
        <w:rPr>
          <w:rFonts w:ascii="Palatino Linotype" w:hAnsi="Palatino Linotype" w:cs="Arial"/>
          <w:b/>
          <w:color w:val="000000" w:themeColor="text1"/>
        </w:rPr>
        <w:t>,</w:t>
      </w:r>
      <w:r w:rsidR="00942616" w:rsidRPr="004A46F4">
        <w:rPr>
          <w:rFonts w:ascii="Palatino Linotype" w:hAnsi="Palatino Linotype" w:cs="Arial"/>
          <w:color w:val="000000" w:themeColor="text1"/>
        </w:rPr>
        <w:t xml:space="preserve"> dio respuesta a través </w:t>
      </w:r>
      <w:r w:rsidR="007E2B20" w:rsidRPr="004A46F4">
        <w:rPr>
          <w:rFonts w:ascii="Palatino Linotype" w:hAnsi="Palatino Linotype" w:cs="Arial"/>
          <w:color w:val="000000" w:themeColor="text1"/>
        </w:rPr>
        <w:t>de nueve archivos electrónicos a saber</w:t>
      </w:r>
      <w:r w:rsidR="00844CA2" w:rsidRPr="004A46F4">
        <w:rPr>
          <w:rFonts w:ascii="Palatino Linotype" w:hAnsi="Palatino Linotype" w:cs="Arial"/>
          <w:color w:val="000000" w:themeColor="text1"/>
        </w:rPr>
        <w:t xml:space="preserve">: </w:t>
      </w:r>
      <w:r w:rsidR="002D7351" w:rsidRPr="004A46F4">
        <w:rPr>
          <w:rFonts w:ascii="Palatino Linotype" w:hAnsi="Palatino Linotype" w:cs="Arial"/>
          <w:color w:val="000000" w:themeColor="text1"/>
        </w:rPr>
        <w:t xml:space="preserve"> </w:t>
      </w:r>
    </w:p>
    <w:p w14:paraId="55B64390" w14:textId="6EB37819" w:rsidR="007E2B20" w:rsidRPr="004A46F4" w:rsidRDefault="003718AD" w:rsidP="004A46F4">
      <w:pPr>
        <w:pStyle w:val="Prrafodelista"/>
        <w:numPr>
          <w:ilvl w:val="0"/>
          <w:numId w:val="7"/>
        </w:numPr>
        <w:spacing w:line="360" w:lineRule="auto"/>
        <w:ind w:right="850"/>
        <w:jc w:val="both"/>
        <w:rPr>
          <w:rFonts w:ascii="Palatino Linotype" w:hAnsi="Palatino Linotype" w:cs="Arial"/>
          <w:b/>
          <w:color w:val="000000" w:themeColor="text1"/>
          <w:sz w:val="22"/>
        </w:rPr>
      </w:pPr>
      <w:r w:rsidRPr="004A46F4">
        <w:rPr>
          <w:rFonts w:ascii="Palatino Linotype" w:hAnsi="Palatino Linotype" w:cs="Arial"/>
          <w:b/>
          <w:color w:val="000000" w:themeColor="text1"/>
          <w:sz w:val="22"/>
        </w:rPr>
        <w:t>Respuesta 260 5ta. Regiduría.pdf</w:t>
      </w:r>
      <w:r w:rsidR="007E2B20" w:rsidRPr="004A46F4">
        <w:rPr>
          <w:rFonts w:ascii="Palatino Linotype" w:hAnsi="Palatino Linotype" w:cs="Arial"/>
          <w:b/>
          <w:color w:val="000000" w:themeColor="text1"/>
          <w:sz w:val="22"/>
        </w:rPr>
        <w:t xml:space="preserve">, </w:t>
      </w:r>
      <w:r w:rsidR="00FD2D38" w:rsidRPr="004A46F4">
        <w:rPr>
          <w:rFonts w:ascii="Palatino Linotype" w:hAnsi="Palatino Linotype" w:cs="Arial"/>
          <w:color w:val="000000" w:themeColor="text1"/>
          <w:sz w:val="22"/>
        </w:rPr>
        <w:t>que contiene un oficio signado por el Quinto Regidor a través del cual informa que se remiten los formatos PbRM-08c del año 2022, dividido en cuatro trimestres donde se muestran las actividades realizadas por la Quinta regiduría.</w:t>
      </w:r>
    </w:p>
    <w:p w14:paraId="1FCF0E02" w14:textId="2731097E" w:rsidR="007E2B20" w:rsidRPr="004A46F4" w:rsidRDefault="007E2B20" w:rsidP="000712D1">
      <w:pPr>
        <w:pStyle w:val="Prrafodelista"/>
        <w:spacing w:line="360" w:lineRule="auto"/>
        <w:ind w:left="1069"/>
        <w:jc w:val="both"/>
        <w:rPr>
          <w:rFonts w:ascii="Palatino Linotype" w:hAnsi="Palatino Linotype" w:cs="Arial"/>
          <w:b/>
          <w:color w:val="000000" w:themeColor="text1"/>
        </w:rPr>
      </w:pPr>
    </w:p>
    <w:p w14:paraId="30268E17" w14:textId="625CA761" w:rsidR="00942616" w:rsidRPr="004A46F4" w:rsidRDefault="00942616" w:rsidP="000712D1">
      <w:pPr>
        <w:pStyle w:val="Prrafodelista"/>
        <w:numPr>
          <w:ilvl w:val="0"/>
          <w:numId w:val="1"/>
        </w:numPr>
        <w:tabs>
          <w:tab w:val="left" w:pos="0"/>
        </w:tabs>
        <w:spacing w:line="360" w:lineRule="auto"/>
        <w:ind w:left="0" w:firstLine="0"/>
        <w:jc w:val="both"/>
        <w:rPr>
          <w:rFonts w:ascii="Palatino Linotype" w:hAnsi="Palatino Linotype" w:cs="Arial"/>
          <w:i/>
          <w:color w:val="000000" w:themeColor="text1"/>
        </w:rPr>
      </w:pPr>
      <w:r w:rsidRPr="004A46F4">
        <w:rPr>
          <w:rFonts w:ascii="Palatino Linotype" w:eastAsia="Times New Roman" w:hAnsi="Palatino Linotype" w:cs="Arial"/>
          <w:color w:val="000000" w:themeColor="text1"/>
          <w:lang w:val="es-ES"/>
        </w:rPr>
        <w:t>El</w:t>
      </w:r>
      <w:r w:rsidR="00722086" w:rsidRPr="004A46F4">
        <w:rPr>
          <w:rFonts w:ascii="Palatino Linotype" w:eastAsia="Times New Roman" w:hAnsi="Palatino Linotype" w:cs="Arial"/>
          <w:b/>
          <w:color w:val="000000" w:themeColor="text1"/>
          <w:lang w:val="es-ES"/>
        </w:rPr>
        <w:t xml:space="preserve"> </w:t>
      </w:r>
      <w:r w:rsidR="00FD2D38" w:rsidRPr="004A46F4">
        <w:rPr>
          <w:rFonts w:ascii="Palatino Linotype" w:eastAsia="Times New Roman" w:hAnsi="Palatino Linotype" w:cs="Arial"/>
          <w:b/>
          <w:color w:val="000000" w:themeColor="text1"/>
          <w:lang w:val="es-ES"/>
        </w:rPr>
        <w:t>siete de mayo</w:t>
      </w:r>
      <w:r w:rsidR="00453132" w:rsidRPr="004A46F4">
        <w:rPr>
          <w:rFonts w:ascii="Palatino Linotype" w:eastAsia="Times New Roman" w:hAnsi="Palatino Linotype" w:cs="Arial"/>
          <w:b/>
          <w:color w:val="000000" w:themeColor="text1"/>
          <w:lang w:val="es-ES"/>
        </w:rPr>
        <w:t xml:space="preserve"> </w:t>
      </w:r>
      <w:r w:rsidR="001E27D8" w:rsidRPr="004A46F4">
        <w:rPr>
          <w:rFonts w:ascii="Palatino Linotype" w:eastAsia="Times New Roman" w:hAnsi="Palatino Linotype" w:cs="Arial"/>
          <w:b/>
          <w:color w:val="000000" w:themeColor="text1"/>
          <w:lang w:val="es-ES"/>
        </w:rPr>
        <w:t xml:space="preserve">dos mil </w:t>
      </w:r>
      <w:r w:rsidR="0058635C" w:rsidRPr="004A46F4">
        <w:rPr>
          <w:rFonts w:ascii="Palatino Linotype" w:eastAsia="Times New Roman" w:hAnsi="Palatino Linotype" w:cs="Arial"/>
          <w:b/>
          <w:color w:val="000000" w:themeColor="text1"/>
          <w:lang w:val="es-ES"/>
        </w:rPr>
        <w:t>veinticuatro</w:t>
      </w:r>
      <w:r w:rsidRPr="004A46F4">
        <w:rPr>
          <w:rFonts w:ascii="Palatino Linotype" w:eastAsia="Times New Roman" w:hAnsi="Palatino Linotype" w:cs="Arial"/>
          <w:color w:val="000000" w:themeColor="text1"/>
          <w:lang w:val="es-ES"/>
        </w:rPr>
        <w:t xml:space="preserve">, el particular interpuso el recurso de revisión en </w:t>
      </w:r>
      <w:r w:rsidRPr="004A46F4">
        <w:rPr>
          <w:rFonts w:ascii="Palatino Linotype" w:eastAsia="Calibri" w:hAnsi="Palatino Linotype" w:cs="Arial"/>
          <w:lang w:val="es-ES"/>
        </w:rPr>
        <w:t>contra</w:t>
      </w:r>
      <w:r w:rsidRPr="004A46F4">
        <w:rPr>
          <w:rFonts w:ascii="Palatino Linotype" w:eastAsia="Times New Roman" w:hAnsi="Palatino Linotype" w:cs="Arial"/>
          <w:color w:val="000000" w:themeColor="text1"/>
          <w:lang w:val="es-ES"/>
        </w:rPr>
        <w:t xml:space="preserve"> de la respuesta, </w:t>
      </w:r>
      <w:r w:rsidR="003C236F" w:rsidRPr="004A46F4">
        <w:rPr>
          <w:rFonts w:ascii="Palatino Linotype" w:eastAsia="Times New Roman" w:hAnsi="Palatino Linotype" w:cs="Arial"/>
          <w:color w:val="000000" w:themeColor="text1"/>
          <w:lang w:val="es-ES"/>
        </w:rPr>
        <w:t>realizando las siguientes manifestaciones</w:t>
      </w:r>
      <w:r w:rsidRPr="004A46F4">
        <w:rPr>
          <w:rFonts w:ascii="Palatino Linotype" w:eastAsia="Times New Roman" w:hAnsi="Palatino Linotype" w:cs="Arial"/>
          <w:color w:val="000000" w:themeColor="text1"/>
          <w:lang w:val="es-ES"/>
        </w:rPr>
        <w:t>:</w:t>
      </w:r>
    </w:p>
    <w:p w14:paraId="7F76B7BF" w14:textId="03319B9E" w:rsidR="00942616" w:rsidRPr="004A46F4" w:rsidRDefault="00AE4CDD" w:rsidP="004A46F4">
      <w:pPr>
        <w:pStyle w:val="Prrafodelista"/>
        <w:numPr>
          <w:ilvl w:val="0"/>
          <w:numId w:val="5"/>
        </w:numPr>
        <w:spacing w:line="360" w:lineRule="auto"/>
        <w:ind w:right="850"/>
        <w:jc w:val="both"/>
        <w:rPr>
          <w:rStyle w:val="Ttulo2Car"/>
          <w:rFonts w:ascii="Palatino Linotype" w:hAnsi="Palatino Linotype"/>
          <w:i/>
          <w:color w:val="000000" w:themeColor="text1"/>
          <w:sz w:val="22"/>
          <w:szCs w:val="24"/>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4A46F4">
        <w:rPr>
          <w:rStyle w:val="Ttulo2Car"/>
          <w:rFonts w:ascii="Palatino Linotype" w:hAnsi="Palatino Linotype"/>
          <w:b/>
          <w:color w:val="auto"/>
          <w:sz w:val="22"/>
          <w:szCs w:val="24"/>
        </w:rPr>
        <w:t>ACTO IMPUGNADO</w:t>
      </w:r>
      <w:bookmarkEnd w:id="4"/>
      <w:r w:rsidR="00942616" w:rsidRPr="004A46F4">
        <w:rPr>
          <w:rStyle w:val="Ttulo2Car"/>
          <w:rFonts w:ascii="Palatino Linotype" w:hAnsi="Palatino Linotype"/>
          <w:b/>
          <w:color w:val="000000" w:themeColor="text1"/>
          <w:sz w:val="22"/>
          <w:szCs w:val="24"/>
        </w:rPr>
        <w:t xml:space="preserve">: </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9304C1" w:rsidRPr="004A46F4">
        <w:rPr>
          <w:rStyle w:val="Ttulo2Car"/>
          <w:rFonts w:ascii="Palatino Linotype" w:hAnsi="Palatino Linotype"/>
          <w:i/>
          <w:color w:val="000000" w:themeColor="text1"/>
          <w:sz w:val="22"/>
          <w:szCs w:val="24"/>
        </w:rPr>
        <w:t>“</w:t>
      </w:r>
      <w:r w:rsidR="00FD2D38" w:rsidRPr="004A46F4">
        <w:rPr>
          <w:rStyle w:val="Ttulo2Car"/>
          <w:rFonts w:ascii="Palatino Linotype" w:hAnsi="Palatino Linotype"/>
          <w:i/>
          <w:color w:val="000000" w:themeColor="text1"/>
          <w:sz w:val="22"/>
          <w:szCs w:val="24"/>
        </w:rPr>
        <w:t>Solicito la siguiente información pública de la 5 Regiduria cual fue el presupuesto asignado del año 2022, y como fue ejecutado dicho presupuesto especificando de manera clara, concisa, espesififica y entendible todo en versión pública si es el caso</w:t>
      </w:r>
      <w:r w:rsidR="00453132" w:rsidRPr="004A46F4">
        <w:rPr>
          <w:rStyle w:val="Ttulo2Car"/>
          <w:rFonts w:ascii="Palatino Linotype" w:hAnsi="Palatino Linotype"/>
          <w:i/>
          <w:color w:val="000000" w:themeColor="text1"/>
          <w:sz w:val="22"/>
          <w:szCs w:val="24"/>
        </w:rPr>
        <w:t>.</w:t>
      </w:r>
      <w:r w:rsidR="009304C1" w:rsidRPr="004A46F4">
        <w:rPr>
          <w:rStyle w:val="Ttulo2Car"/>
          <w:rFonts w:ascii="Palatino Linotype" w:hAnsi="Palatino Linotype"/>
          <w:i/>
          <w:color w:val="000000" w:themeColor="text1"/>
          <w:sz w:val="22"/>
          <w:szCs w:val="24"/>
        </w:rPr>
        <w:t>”</w:t>
      </w:r>
    </w:p>
    <w:p w14:paraId="420D9DA2" w14:textId="17A9344D" w:rsidR="00AE4CDD" w:rsidRPr="004A46F4" w:rsidRDefault="00AE4CDD" w:rsidP="004A46F4">
      <w:pPr>
        <w:pStyle w:val="Prrafodelista"/>
        <w:numPr>
          <w:ilvl w:val="0"/>
          <w:numId w:val="5"/>
        </w:numPr>
        <w:spacing w:line="360" w:lineRule="auto"/>
        <w:ind w:right="850"/>
        <w:jc w:val="both"/>
        <w:rPr>
          <w:rStyle w:val="Ttulo2Car"/>
          <w:rFonts w:ascii="Palatino Linotype" w:hAnsi="Palatino Linotype"/>
          <w:i/>
          <w:color w:val="000000" w:themeColor="text1"/>
          <w:sz w:val="22"/>
          <w:szCs w:val="24"/>
        </w:rPr>
      </w:pPr>
      <w:r w:rsidRPr="004A46F4">
        <w:rPr>
          <w:rStyle w:val="Ttulo2Car"/>
          <w:rFonts w:ascii="Palatino Linotype" w:hAnsi="Palatino Linotype"/>
          <w:b/>
          <w:color w:val="auto"/>
          <w:sz w:val="22"/>
          <w:szCs w:val="24"/>
        </w:rPr>
        <w:t>RAZONES O MOTIVOS DE LA INCONFORMIDAD</w:t>
      </w:r>
      <w:r w:rsidRPr="004A46F4">
        <w:rPr>
          <w:rStyle w:val="Ttulo2Car"/>
          <w:rFonts w:ascii="Palatino Linotype" w:hAnsi="Palatino Linotype"/>
          <w:b/>
          <w:color w:val="000000" w:themeColor="text1"/>
          <w:sz w:val="22"/>
          <w:szCs w:val="24"/>
        </w:rPr>
        <w:t xml:space="preserve">: </w:t>
      </w:r>
      <w:r w:rsidRPr="004A46F4">
        <w:rPr>
          <w:rStyle w:val="Ttulo2Car"/>
          <w:rFonts w:ascii="Palatino Linotype" w:hAnsi="Palatino Linotype"/>
          <w:i/>
          <w:color w:val="000000" w:themeColor="text1"/>
          <w:sz w:val="22"/>
          <w:szCs w:val="24"/>
        </w:rPr>
        <w:t>“</w:t>
      </w:r>
      <w:r w:rsidR="00FD2D38" w:rsidRPr="004A46F4">
        <w:rPr>
          <w:rStyle w:val="Ttulo2Car"/>
          <w:rFonts w:ascii="Palatino Linotype" w:hAnsi="Palatino Linotype"/>
          <w:i/>
          <w:color w:val="000000" w:themeColor="text1"/>
          <w:sz w:val="22"/>
          <w:szCs w:val="24"/>
        </w:rPr>
        <w:t>Solicite el documento o el formato del presupuesto 2022 cuyo documento o formato tengas las firmas del presidente municipal, el regidor, el tesorero, y quien lo elaboró en este caso sería el director de planeación, el documento que mandaron no tiene nada que ver con lo que solicite, aparte esta ilegible, y sobre como fue ejecutado, ejemplo si ese presupuesto que se le es asignó fue para nóminas de las Regiduria, o para papelería, compra de vehículo, compra de equipos de cómputo etc, esa información la devén de tener puesto que el año 2022 ya se cerró y las información deberían de tenerlas clara, espesifica y entendible. Así que solicito que se atienda mi solicitud de información gracias.</w:t>
      </w:r>
      <w:r w:rsidRPr="004A46F4">
        <w:rPr>
          <w:rStyle w:val="Ttulo2Car"/>
          <w:rFonts w:ascii="Palatino Linotype" w:hAnsi="Palatino Linotype"/>
          <w:i/>
          <w:color w:val="000000" w:themeColor="text1"/>
          <w:sz w:val="22"/>
          <w:szCs w:val="24"/>
        </w:rPr>
        <w:t>”</w:t>
      </w:r>
    </w:p>
    <w:p w14:paraId="5B102961" w14:textId="77777777" w:rsidR="000565EF" w:rsidRPr="004A46F4" w:rsidRDefault="000565EF" w:rsidP="000712D1">
      <w:pPr>
        <w:pStyle w:val="Prrafodelista"/>
        <w:spacing w:line="360" w:lineRule="auto"/>
        <w:rPr>
          <w:rStyle w:val="Ttulo2Car"/>
          <w:rFonts w:ascii="Palatino Linotype" w:hAnsi="Palatino Linotype"/>
          <w:i/>
          <w:color w:val="000000" w:themeColor="text1"/>
          <w:sz w:val="24"/>
          <w:szCs w:val="24"/>
        </w:rPr>
      </w:pP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163EA181" w14:textId="42F530C9" w:rsidR="00942616" w:rsidRPr="004A46F4" w:rsidRDefault="000B03F3" w:rsidP="000712D1">
      <w:pPr>
        <w:pStyle w:val="Prrafodelista"/>
        <w:numPr>
          <w:ilvl w:val="0"/>
          <w:numId w:val="1"/>
        </w:numPr>
        <w:spacing w:line="360" w:lineRule="auto"/>
        <w:ind w:left="0" w:firstLine="0"/>
        <w:jc w:val="both"/>
        <w:rPr>
          <w:rFonts w:ascii="Palatino Linotype" w:hAnsi="Palatino Linotype"/>
          <w:i/>
        </w:rPr>
      </w:pPr>
      <w:r w:rsidRPr="004A46F4">
        <w:rPr>
          <w:rFonts w:ascii="Palatino Linotype" w:eastAsia="Calibri" w:hAnsi="Palatino Linotype" w:cs="Arial"/>
          <w:lang w:val="es-ES"/>
        </w:rPr>
        <w:t>C</w:t>
      </w:r>
      <w:r w:rsidR="00942616" w:rsidRPr="004A46F4">
        <w:rPr>
          <w:rFonts w:ascii="Palatino Linotype" w:eastAsia="Calibri" w:hAnsi="Palatino Linotype" w:cs="Arial"/>
          <w:lang w:val="es-ES"/>
        </w:rPr>
        <w:t xml:space="preserve">on fundamento en lo dispuesto por el artículo 185 fracción II de la ley de la materia, </w:t>
      </w:r>
      <w:r w:rsidRPr="004A46F4">
        <w:rPr>
          <w:rFonts w:ascii="Palatino Linotype" w:eastAsia="Calibri" w:hAnsi="Palatino Linotype" w:cs="Arial"/>
          <w:lang w:val="es-ES"/>
        </w:rPr>
        <w:t>se acordó a</w:t>
      </w:r>
      <w:r w:rsidR="00942616" w:rsidRPr="004A46F4">
        <w:rPr>
          <w:rFonts w:ascii="Palatino Linotype" w:eastAsia="Calibri" w:hAnsi="Palatino Linotype" w:cs="Arial"/>
          <w:lang w:val="es-ES"/>
        </w:rPr>
        <w:t xml:space="preserve"> las partes a efecto de que e</w:t>
      </w:r>
      <w:r w:rsidRPr="004A46F4">
        <w:rPr>
          <w:rFonts w:ascii="Palatino Linotype" w:eastAsia="Calibri" w:hAnsi="Palatino Linotype" w:cs="Arial"/>
          <w:lang w:val="es-ES"/>
        </w:rPr>
        <w:t xml:space="preserve">n un plazo máximo de siete días, el Recurrente </w:t>
      </w:r>
      <w:r w:rsidR="00942616" w:rsidRPr="004A46F4">
        <w:rPr>
          <w:rFonts w:ascii="Palatino Linotype" w:eastAsia="Calibri" w:hAnsi="Palatino Linotype" w:cs="Arial"/>
          <w:lang w:val="es-ES"/>
        </w:rPr>
        <w:lastRenderedPageBreak/>
        <w:t xml:space="preserve">manifestara lo que a su derecho conviniera, ofrecieran pruebas y alegatos, y el </w:t>
      </w:r>
      <w:r w:rsidR="00D05A0E" w:rsidRPr="004A46F4">
        <w:rPr>
          <w:rFonts w:ascii="Palatino Linotype" w:eastAsia="Calibri" w:hAnsi="Palatino Linotype" w:cs="Arial"/>
          <w:lang w:val="es-ES"/>
        </w:rPr>
        <w:t xml:space="preserve">Sujeto Obligado </w:t>
      </w:r>
      <w:r w:rsidR="00942616" w:rsidRPr="004A46F4">
        <w:rPr>
          <w:rFonts w:ascii="Palatino Linotype" w:eastAsia="Calibri" w:hAnsi="Palatino Linotype" w:cs="Arial"/>
          <w:lang w:val="es-ES"/>
        </w:rPr>
        <w:t>pr</w:t>
      </w:r>
      <w:r w:rsidRPr="004A46F4">
        <w:rPr>
          <w:rFonts w:ascii="Palatino Linotype" w:eastAsia="Calibri" w:hAnsi="Palatino Linotype" w:cs="Arial"/>
          <w:lang w:val="es-ES"/>
        </w:rPr>
        <w:t>esentará el Informe Justificado.</w:t>
      </w:r>
    </w:p>
    <w:p w14:paraId="33DDAC62" w14:textId="77777777" w:rsidR="00D05A0E" w:rsidRPr="004A46F4" w:rsidRDefault="00D05A0E" w:rsidP="000712D1">
      <w:pPr>
        <w:pStyle w:val="Prrafodelista"/>
        <w:spacing w:line="360" w:lineRule="auto"/>
        <w:ind w:left="0"/>
        <w:jc w:val="both"/>
        <w:rPr>
          <w:rFonts w:ascii="Palatino Linotype" w:hAnsi="Palatino Linotype"/>
        </w:rPr>
      </w:pPr>
    </w:p>
    <w:p w14:paraId="4571EE86" w14:textId="501EA6A0" w:rsidR="003E76A0" w:rsidRPr="004A46F4" w:rsidRDefault="00D05A0E" w:rsidP="000712D1">
      <w:pPr>
        <w:pStyle w:val="Prrafodelista"/>
        <w:numPr>
          <w:ilvl w:val="0"/>
          <w:numId w:val="1"/>
        </w:numPr>
        <w:spacing w:line="360" w:lineRule="auto"/>
        <w:ind w:left="0" w:firstLine="0"/>
        <w:jc w:val="both"/>
        <w:rPr>
          <w:rFonts w:ascii="Palatino Linotype" w:hAnsi="Palatino Linotype"/>
        </w:rPr>
      </w:pPr>
      <w:r w:rsidRPr="004A46F4">
        <w:rPr>
          <w:rFonts w:ascii="Palatino Linotype" w:hAnsi="Palatino Linotype"/>
          <w:color w:val="000000"/>
        </w:rPr>
        <w:t>El Recurrente</w:t>
      </w:r>
      <w:r w:rsidRPr="004A46F4">
        <w:rPr>
          <w:rFonts w:ascii="Palatino Linotype" w:hAnsi="Palatino Linotype"/>
          <w:b/>
          <w:color w:val="000000"/>
        </w:rPr>
        <w:t xml:space="preserve"> </w:t>
      </w:r>
      <w:r w:rsidRPr="004A46F4">
        <w:rPr>
          <w:rFonts w:ascii="Palatino Linotype" w:hAnsi="Palatino Linotype"/>
          <w:color w:val="000000"/>
        </w:rPr>
        <w:t>dejó de realizar manifestaciones que a su derecho conviniera y asistiera</w:t>
      </w:r>
      <w:r w:rsidR="00466995" w:rsidRPr="004A46F4">
        <w:rPr>
          <w:rFonts w:ascii="Palatino Linotype" w:hAnsi="Palatino Linotype"/>
          <w:color w:val="000000"/>
        </w:rPr>
        <w:t xml:space="preserve"> mediante un archivo denominado </w:t>
      </w:r>
      <w:r w:rsidR="00466995" w:rsidRPr="004A46F4">
        <w:rPr>
          <w:rFonts w:ascii="Palatino Linotype" w:hAnsi="Palatino Linotype"/>
          <w:b/>
          <w:i/>
          <w:color w:val="000000"/>
        </w:rPr>
        <w:t>RESPUESTA 260 5TA REGIDURIA.pdf</w:t>
      </w:r>
      <w:r w:rsidR="00466995" w:rsidRPr="004A46F4">
        <w:rPr>
          <w:rFonts w:ascii="Palatino Linotype" w:hAnsi="Palatino Linotype"/>
          <w:color w:val="000000"/>
        </w:rPr>
        <w:t xml:space="preserve">, cuyo contenido corresponde a un oficio signado por el Quinto Regidor mediante el cual </w:t>
      </w:r>
      <w:r w:rsidR="00466995" w:rsidRPr="004A46F4">
        <w:rPr>
          <w:rFonts w:ascii="Palatino Linotype" w:eastAsia="Calibri" w:hAnsi="Palatino Linotype" w:cs="Arial"/>
          <w:lang w:val="es-ES"/>
        </w:rPr>
        <w:t>manifiesta</w:t>
      </w:r>
      <w:r w:rsidR="00466995" w:rsidRPr="004A46F4">
        <w:rPr>
          <w:rFonts w:ascii="Palatino Linotype" w:hAnsi="Palatino Linotype"/>
          <w:color w:val="000000"/>
        </w:rPr>
        <w:t xml:space="preserve"> que existen una serie de documentos que marcan una ruta a seguir para diseñar, planificar y evaluar el presupuesto municipal a través del Presupuesto Basado en Resultados Municipales, remitiendo para tal efecto un enlace en el que refiere, se puede consultar el manejo presupuestal; así como cuatro códigos QR a efecto de consultar las Guías Metodológicas para el seguimiento y evaluación del Plan de Desarrollo Municipal por trimestres 2022.</w:t>
      </w:r>
    </w:p>
    <w:p w14:paraId="53DF66B0" w14:textId="77777777" w:rsidR="00AE4CDD" w:rsidRPr="004A46F4" w:rsidRDefault="00AE4CDD" w:rsidP="000712D1">
      <w:pPr>
        <w:pStyle w:val="Prrafodelista"/>
        <w:spacing w:line="360" w:lineRule="auto"/>
        <w:ind w:left="0"/>
        <w:jc w:val="both"/>
        <w:rPr>
          <w:rFonts w:ascii="Palatino Linotype" w:hAnsi="Palatino Linotype"/>
          <w:b/>
          <w:color w:val="000000" w:themeColor="text1"/>
        </w:rPr>
      </w:pPr>
    </w:p>
    <w:p w14:paraId="2C75FEB7" w14:textId="0C373680" w:rsidR="005976DF" w:rsidRPr="004A46F4" w:rsidRDefault="00404978"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 xml:space="preserve">En fecha </w:t>
      </w:r>
      <w:r w:rsidR="00466995" w:rsidRPr="004A46F4">
        <w:rPr>
          <w:rFonts w:ascii="Palatino Linotype" w:eastAsia="Palatino Linotype" w:hAnsi="Palatino Linotype" w:cs="Palatino Linotype"/>
          <w:color w:val="000000" w:themeColor="text1"/>
        </w:rPr>
        <w:t>veintiuno de noviembre</w:t>
      </w:r>
      <w:r w:rsidRPr="004A46F4">
        <w:rPr>
          <w:rFonts w:ascii="Palatino Linotype" w:eastAsia="Palatino Linotype" w:hAnsi="Palatino Linotype" w:cs="Palatino Linotype"/>
          <w:color w:val="000000" w:themeColor="text1"/>
        </w:rPr>
        <w:t xml:space="preserve"> del año en curso, se amplió el término para resolver el Recurso de Revisión </w:t>
      </w:r>
      <w:r w:rsidR="0059519D" w:rsidRPr="004A46F4">
        <w:rPr>
          <w:rFonts w:ascii="Palatino Linotype" w:eastAsia="Palatino Linotype" w:hAnsi="Palatino Linotype" w:cs="Palatino Linotype"/>
          <w:color w:val="000000" w:themeColor="text1"/>
        </w:rPr>
        <w:t>por un periodo de quince días hábiles adicionales al lapso ordinario</w:t>
      </w:r>
      <w:r w:rsidR="00466995" w:rsidRPr="004A46F4">
        <w:rPr>
          <w:rFonts w:ascii="Palatino Linotype" w:eastAsia="Palatino Linotype" w:hAnsi="Palatino Linotype" w:cs="Palatino Linotype"/>
          <w:color w:val="000000" w:themeColor="text1"/>
        </w:rPr>
        <w:t>. Al respecto e</w:t>
      </w:r>
      <w:r w:rsidR="005976DF" w:rsidRPr="004A46F4">
        <w:rPr>
          <w:rFonts w:ascii="Palatino Linotype" w:eastAsia="Palatino Linotype" w:hAnsi="Palatino Linotype" w:cs="Palatino Linotype"/>
          <w:color w:val="000000" w:themeColor="text1"/>
        </w:rPr>
        <w:t xml:space="preserv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3D327796" w14:textId="77777777" w:rsidR="00466995" w:rsidRPr="004A46F4" w:rsidRDefault="00466995" w:rsidP="000712D1">
      <w:pPr>
        <w:pStyle w:val="Prrafodelista"/>
        <w:spacing w:line="360" w:lineRule="auto"/>
        <w:ind w:left="0"/>
        <w:jc w:val="both"/>
        <w:rPr>
          <w:rFonts w:ascii="Palatino Linotype" w:eastAsia="Palatino Linotype" w:hAnsi="Palatino Linotype" w:cs="Palatino Linotype"/>
          <w:color w:val="000000" w:themeColor="text1"/>
        </w:rPr>
      </w:pPr>
    </w:p>
    <w:p w14:paraId="799C7F38" w14:textId="77777777" w:rsidR="005976DF" w:rsidRPr="004A46F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Por ello, es menester precisar que, si bien se ha excedido el plazo para resolver el presente medio de impugnación, de conformidad con la ley de la materia, el plazo</w:t>
      </w:r>
      <w:r w:rsidRPr="004A46F4">
        <w:rPr>
          <w:rFonts w:ascii="Palatino Linotype" w:hAnsi="Palatino Linotype"/>
          <w:color w:val="000000" w:themeColor="text1"/>
        </w:rPr>
        <w:t xml:space="preserve"> </w:t>
      </w:r>
      <w:r w:rsidRPr="004A46F4">
        <w:rPr>
          <w:rFonts w:ascii="Palatino Linotype" w:eastAsia="Palatino Linotype" w:hAnsi="Palatino Linotype" w:cs="Palatino Linotype"/>
          <w:color w:val="000000" w:themeColor="text1"/>
        </w:rPr>
        <w:t xml:space="preserve">para emitir la resolución se encuentra justificado en los elementos para medir la razonabilidad </w:t>
      </w:r>
      <w:r w:rsidRPr="004A46F4">
        <w:rPr>
          <w:rFonts w:ascii="Palatino Linotype" w:eastAsia="Palatino Linotype" w:hAnsi="Palatino Linotype" w:cs="Palatino Linotype"/>
          <w:color w:val="000000" w:themeColor="text1"/>
        </w:rPr>
        <w:lastRenderedPageBreak/>
        <w:t xml:space="preserve">de asuntos conforme a los parámetros establecidos por diversos órganos jurisdiccionales federales, aplicables también en procedimientos análogos, como el que nos ocupa. </w:t>
      </w:r>
    </w:p>
    <w:p w14:paraId="03C971D2" w14:textId="77777777" w:rsidR="005976DF" w:rsidRPr="004A46F4" w:rsidRDefault="005976DF" w:rsidP="000712D1">
      <w:pPr>
        <w:spacing w:line="360" w:lineRule="auto"/>
        <w:jc w:val="both"/>
        <w:rPr>
          <w:rFonts w:ascii="Palatino Linotype" w:eastAsia="Palatino Linotype" w:hAnsi="Palatino Linotype" w:cs="Palatino Linotype"/>
          <w:color w:val="000000" w:themeColor="text1"/>
        </w:rPr>
      </w:pPr>
    </w:p>
    <w:p w14:paraId="62203D1C" w14:textId="77777777" w:rsidR="005976DF" w:rsidRPr="004A46F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09D54161" w14:textId="77777777" w:rsidR="005976DF" w:rsidRPr="004A46F4" w:rsidRDefault="005976DF" w:rsidP="000712D1">
      <w:pPr>
        <w:pStyle w:val="Prrafodelista"/>
        <w:spacing w:line="360" w:lineRule="auto"/>
        <w:rPr>
          <w:rFonts w:ascii="Palatino Linotype" w:eastAsia="Palatino Linotype" w:hAnsi="Palatino Linotype" w:cs="Palatino Linotype"/>
          <w:color w:val="000000" w:themeColor="text1"/>
        </w:rPr>
      </w:pPr>
    </w:p>
    <w:p w14:paraId="5539D06C" w14:textId="77777777" w:rsidR="005976DF" w:rsidRPr="004A46F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E6A4E1E" w14:textId="77777777" w:rsidR="005976DF" w:rsidRPr="004A46F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 xml:space="preserve">Por ello, excepcionalmente, si un asunto es resuelto con posterioridad a los plazos señalados por la norma debe analizarse la razonabilidad del tiempo necesario para su resolución, atentos a los siguientes criterios: </w:t>
      </w:r>
    </w:p>
    <w:p w14:paraId="7F9F5C57" w14:textId="77777777" w:rsidR="005976DF" w:rsidRPr="004A46F4" w:rsidRDefault="005976DF" w:rsidP="004A46F4">
      <w:pPr>
        <w:spacing w:line="360" w:lineRule="auto"/>
        <w:ind w:left="708" w:right="850"/>
        <w:jc w:val="both"/>
        <w:rPr>
          <w:rFonts w:ascii="Palatino Linotype" w:eastAsia="Palatino Linotype" w:hAnsi="Palatino Linotype" w:cs="Palatino Linotype"/>
          <w:color w:val="000000" w:themeColor="text1"/>
          <w:sz w:val="22"/>
        </w:rPr>
      </w:pPr>
      <w:r w:rsidRPr="004A46F4">
        <w:rPr>
          <w:rFonts w:ascii="Palatino Linotype" w:eastAsia="Palatino Linotype" w:hAnsi="Palatino Linotype" w:cs="Palatino Linotype"/>
          <w:color w:val="000000" w:themeColor="text1"/>
          <w:sz w:val="22"/>
        </w:rPr>
        <w:t xml:space="preserve">a) Complejidad del Asunto: La complejidad de la prueba, la pluralidad de sujetos procesales, el tiempo transcurrido, las características y contexto del recurso. </w:t>
      </w:r>
    </w:p>
    <w:p w14:paraId="1FA67F07" w14:textId="77777777" w:rsidR="005976DF" w:rsidRPr="004A46F4" w:rsidRDefault="005976DF" w:rsidP="004A46F4">
      <w:pPr>
        <w:spacing w:line="360" w:lineRule="auto"/>
        <w:ind w:left="708" w:right="850"/>
        <w:jc w:val="both"/>
        <w:rPr>
          <w:rFonts w:ascii="Palatino Linotype" w:eastAsia="Palatino Linotype" w:hAnsi="Palatino Linotype" w:cs="Palatino Linotype"/>
          <w:color w:val="000000" w:themeColor="text1"/>
          <w:sz w:val="22"/>
        </w:rPr>
      </w:pPr>
      <w:r w:rsidRPr="004A46F4">
        <w:rPr>
          <w:rFonts w:ascii="Palatino Linotype" w:eastAsia="Palatino Linotype" w:hAnsi="Palatino Linotype" w:cs="Palatino Linotype"/>
          <w:color w:val="000000" w:themeColor="text1"/>
          <w:sz w:val="22"/>
        </w:rPr>
        <w:t>b) Actividad Procesal del interesado. Acciones u omisiones del interesado.</w:t>
      </w:r>
    </w:p>
    <w:p w14:paraId="00CC7FB3" w14:textId="77777777" w:rsidR="005976DF" w:rsidRPr="004A46F4" w:rsidRDefault="005976DF" w:rsidP="004A46F4">
      <w:pPr>
        <w:spacing w:line="360" w:lineRule="auto"/>
        <w:ind w:left="708" w:right="850"/>
        <w:jc w:val="both"/>
        <w:rPr>
          <w:rFonts w:ascii="Palatino Linotype" w:eastAsia="Palatino Linotype" w:hAnsi="Palatino Linotype" w:cs="Palatino Linotype"/>
          <w:color w:val="000000" w:themeColor="text1"/>
          <w:sz w:val="22"/>
        </w:rPr>
      </w:pPr>
      <w:r w:rsidRPr="004A46F4">
        <w:rPr>
          <w:rFonts w:ascii="Palatino Linotype" w:eastAsia="Palatino Linotype" w:hAnsi="Palatino Linotype" w:cs="Palatino Linotype"/>
          <w:color w:val="000000" w:themeColor="text1"/>
          <w:sz w:val="22"/>
        </w:rPr>
        <w:t xml:space="preserve">c) Conducta de la Autoridad: Las Acciones u omisiones realizadas en el procedimiento. Así como si la autoridad actuó con la debida diligencia. </w:t>
      </w:r>
    </w:p>
    <w:p w14:paraId="2FE0E07D" w14:textId="77777777" w:rsidR="005976DF" w:rsidRPr="004A46F4" w:rsidRDefault="005976DF" w:rsidP="004A46F4">
      <w:pPr>
        <w:spacing w:line="360" w:lineRule="auto"/>
        <w:ind w:left="708" w:right="850"/>
        <w:jc w:val="both"/>
        <w:rPr>
          <w:rFonts w:ascii="Palatino Linotype" w:eastAsia="Palatino Linotype" w:hAnsi="Palatino Linotype" w:cs="Palatino Linotype"/>
          <w:color w:val="000000" w:themeColor="text1"/>
          <w:sz w:val="22"/>
        </w:rPr>
      </w:pPr>
      <w:r w:rsidRPr="004A46F4">
        <w:rPr>
          <w:rFonts w:ascii="Palatino Linotype" w:eastAsia="Palatino Linotype" w:hAnsi="Palatino Linotype" w:cs="Palatino Linotype"/>
          <w:color w:val="000000" w:themeColor="text1"/>
          <w:sz w:val="22"/>
        </w:rPr>
        <w:t xml:space="preserve">d) La afectación generada en la situación jurídica de la persona involucrada en el proceso: Violación a sus derechos humanos. </w:t>
      </w:r>
    </w:p>
    <w:p w14:paraId="6110E955" w14:textId="77777777" w:rsidR="005976DF" w:rsidRPr="004A46F4" w:rsidRDefault="005976DF" w:rsidP="000712D1">
      <w:pPr>
        <w:spacing w:line="360" w:lineRule="auto"/>
        <w:jc w:val="both"/>
        <w:rPr>
          <w:rFonts w:ascii="Palatino Linotype" w:eastAsia="Palatino Linotype" w:hAnsi="Palatino Linotype" w:cs="Palatino Linotype"/>
          <w:color w:val="000000" w:themeColor="text1"/>
        </w:rPr>
      </w:pPr>
    </w:p>
    <w:p w14:paraId="60D45E7C" w14:textId="77777777" w:rsidR="005976DF" w:rsidRPr="004A46F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 xml:space="preserve">De modo que, cuando se trate de un asunto excepcional, por alguna o todas las características mencionadas; o bien, cuando el ingreso de asuntos al órgano jurisdiccional o </w:t>
      </w:r>
      <w:r w:rsidRPr="004A46F4">
        <w:rPr>
          <w:rFonts w:ascii="Palatino Linotype" w:eastAsia="Palatino Linotype" w:hAnsi="Palatino Linotype" w:cs="Palatino Linotype"/>
          <w:color w:val="000000" w:themeColor="text1"/>
        </w:rPr>
        <w:lastRenderedPageBreak/>
        <w:t xml:space="preserve">cuasi jurisdiccional respectivo supere notoriamente al que podría considerarse normal, debe concluirse que es una excluyente de responsabilidad en relación con la actuación del funcionario, como ha acontecido en el caso que nos ocupa. </w:t>
      </w:r>
    </w:p>
    <w:p w14:paraId="1276359D" w14:textId="5B4AB029" w:rsidR="005976DF" w:rsidRPr="004A46F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w:t>
      </w:r>
      <w:r w:rsidR="003A57B8">
        <w:rPr>
          <w:rFonts w:ascii="Palatino Linotype" w:eastAsia="Palatino Linotype" w:hAnsi="Palatino Linotype" w:cs="Palatino Linotype"/>
          <w:color w:val="000000" w:themeColor="text1"/>
        </w:rPr>
        <w:t xml:space="preserve"> la Gaceta del Sema</w:t>
      </w:r>
      <w:r w:rsidRPr="004A46F4">
        <w:rPr>
          <w:rFonts w:ascii="Palatino Linotype" w:eastAsia="Palatino Linotype" w:hAnsi="Palatino Linotype" w:cs="Palatino Linotype"/>
          <w:color w:val="000000" w:themeColor="text1"/>
        </w:rPr>
        <w:t xml:space="preserve">nario Judicial de la Federación con el registro digital 205635. </w:t>
      </w:r>
    </w:p>
    <w:p w14:paraId="5BF38447" w14:textId="77777777" w:rsidR="005976DF" w:rsidRPr="004A46F4" w:rsidRDefault="005976DF" w:rsidP="000712D1">
      <w:pPr>
        <w:spacing w:line="360" w:lineRule="auto"/>
        <w:jc w:val="both"/>
        <w:rPr>
          <w:rFonts w:ascii="Palatino Linotype" w:eastAsia="Palatino Linotype" w:hAnsi="Palatino Linotype" w:cs="Palatino Linotype"/>
          <w:color w:val="000000" w:themeColor="text1"/>
        </w:rPr>
      </w:pPr>
    </w:p>
    <w:p w14:paraId="28267322" w14:textId="77777777" w:rsidR="005976DF" w:rsidRPr="004A46F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4A46F4">
        <w:rPr>
          <w:rFonts w:ascii="Palatino Linotype" w:hAnsi="Palatino Linotype"/>
          <w:color w:val="000000" w:themeColor="text1"/>
        </w:rPr>
        <w:t xml:space="preserve"> </w:t>
      </w:r>
      <w:r w:rsidRPr="004A46F4">
        <w:rPr>
          <w:rFonts w:ascii="Palatino Linotype" w:eastAsia="Palatino Linotype" w:hAnsi="Palatino Linotype" w:cs="Palatino Linotype"/>
          <w:color w:val="000000" w:themeColor="text1"/>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661BA2EF" w14:textId="77777777" w:rsidR="005976DF" w:rsidRPr="004A46F4" w:rsidRDefault="005976DF" w:rsidP="000712D1">
      <w:pPr>
        <w:spacing w:line="360" w:lineRule="auto"/>
        <w:jc w:val="both"/>
        <w:rPr>
          <w:rFonts w:ascii="Palatino Linotype" w:eastAsia="Palatino Linotype" w:hAnsi="Palatino Linotype" w:cs="Palatino Linotype"/>
          <w:color w:val="000000" w:themeColor="text1"/>
        </w:rPr>
      </w:pPr>
    </w:p>
    <w:p w14:paraId="4D46A4E2" w14:textId="77777777" w:rsidR="005976DF" w:rsidRPr="004A46F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Al respecto, también son de considerar los criterios sostenidos por el Cuarto Tribunal Colegiado en Materia Administrativa del Primer Circuito, cuyos rubros y datos de identificación son los siguientes:</w:t>
      </w:r>
    </w:p>
    <w:p w14:paraId="19401557" w14:textId="0203E536" w:rsidR="005976DF" w:rsidRPr="004A46F4" w:rsidRDefault="005976DF" w:rsidP="004A46F4">
      <w:pPr>
        <w:pStyle w:val="Prrafodelista"/>
        <w:spacing w:line="360" w:lineRule="auto"/>
        <w:ind w:left="425" w:right="850"/>
        <w:jc w:val="both"/>
        <w:rPr>
          <w:rFonts w:ascii="Palatino Linotype" w:eastAsia="Palatino Linotype" w:hAnsi="Palatino Linotype" w:cs="Palatino Linotype"/>
          <w:i/>
          <w:color w:val="000000" w:themeColor="text1"/>
          <w:sz w:val="22"/>
        </w:rPr>
      </w:pPr>
      <w:r w:rsidRPr="004A46F4">
        <w:rPr>
          <w:rFonts w:ascii="Palatino Linotype" w:eastAsia="Palatino Linotype" w:hAnsi="Palatino Linotype" w:cs="Palatino Linotype"/>
          <w:i/>
          <w:color w:val="000000" w:themeColor="text1"/>
          <w:sz w:val="22"/>
        </w:rPr>
        <w:lastRenderedPageBreak/>
        <w:t>“PLAZO RAZONABLE PARA RESOLVER. DIMENSIÓN Y EFECTOS DE ESTE CONCEPTO CUANDO SE ADUCE EXCESIVA CARGA DE TRABAJO.” consultable en el Sem</w:t>
      </w:r>
      <w:r w:rsidR="004A46F4">
        <w:rPr>
          <w:rFonts w:ascii="Palatino Linotype" w:eastAsia="Palatino Linotype" w:hAnsi="Palatino Linotype" w:cs="Palatino Linotype"/>
          <w:i/>
          <w:color w:val="000000" w:themeColor="text1"/>
          <w:sz w:val="22"/>
        </w:rPr>
        <w:t>a</w:t>
      </w:r>
      <w:r w:rsidRPr="004A46F4">
        <w:rPr>
          <w:rFonts w:ascii="Palatino Linotype" w:eastAsia="Palatino Linotype" w:hAnsi="Palatino Linotype" w:cs="Palatino Linotype"/>
          <w:i/>
          <w:color w:val="000000" w:themeColor="text1"/>
          <w:sz w:val="22"/>
        </w:rPr>
        <w:t xml:space="preserve">nario Judicial de la Federación y su gaceta, con el registro digital 2002351. </w:t>
      </w:r>
    </w:p>
    <w:p w14:paraId="4A7F5A1C" w14:textId="77777777" w:rsidR="005976DF" w:rsidRPr="004A46F4" w:rsidRDefault="005976DF" w:rsidP="004A46F4">
      <w:pPr>
        <w:spacing w:line="360" w:lineRule="auto"/>
        <w:ind w:left="567" w:right="850"/>
        <w:jc w:val="both"/>
        <w:rPr>
          <w:rFonts w:ascii="Palatino Linotype" w:eastAsia="Palatino Linotype" w:hAnsi="Palatino Linotype" w:cs="Palatino Linotype"/>
          <w:i/>
          <w:color w:val="000000" w:themeColor="text1"/>
          <w:sz w:val="22"/>
        </w:rPr>
      </w:pPr>
    </w:p>
    <w:p w14:paraId="12B0C428" w14:textId="3AB20F72" w:rsidR="005976DF" w:rsidRPr="004A46F4" w:rsidRDefault="005976DF" w:rsidP="004A46F4">
      <w:pPr>
        <w:pStyle w:val="Prrafodelista"/>
        <w:spacing w:line="360" w:lineRule="auto"/>
        <w:ind w:left="425" w:right="850"/>
        <w:jc w:val="both"/>
        <w:rPr>
          <w:rFonts w:ascii="Palatino Linotype" w:eastAsia="Palatino Linotype" w:hAnsi="Palatino Linotype" w:cs="Palatino Linotype"/>
          <w:i/>
          <w:color w:val="000000" w:themeColor="text1"/>
          <w:sz w:val="22"/>
        </w:rPr>
      </w:pPr>
      <w:r w:rsidRPr="004A46F4">
        <w:rPr>
          <w:rFonts w:ascii="Palatino Linotype" w:eastAsia="Palatino Linotype" w:hAnsi="Palatino Linotype" w:cs="Palatino Linotype"/>
          <w:i/>
          <w:color w:val="000000" w:themeColor="text1"/>
          <w:sz w:val="22"/>
        </w:rPr>
        <w:t>“PLAZO RAZONABLE PARA RESOLVER. CONCEPTO Y ELEMENTOS QUE LO INTEGRAN A LA LUZ DEL DERECHO INTERNACIONAL DE LOS DERECH</w:t>
      </w:r>
      <w:r w:rsidR="004A46F4">
        <w:rPr>
          <w:rFonts w:ascii="Palatino Linotype" w:eastAsia="Palatino Linotype" w:hAnsi="Palatino Linotype" w:cs="Palatino Linotype"/>
          <w:i/>
          <w:color w:val="000000" w:themeColor="text1"/>
          <w:sz w:val="22"/>
        </w:rPr>
        <w:t>OS HUMANOS.”, visible en el Sema</w:t>
      </w:r>
      <w:r w:rsidRPr="004A46F4">
        <w:rPr>
          <w:rFonts w:ascii="Palatino Linotype" w:eastAsia="Palatino Linotype" w:hAnsi="Palatino Linotype" w:cs="Palatino Linotype"/>
          <w:i/>
          <w:color w:val="000000" w:themeColor="text1"/>
          <w:sz w:val="22"/>
        </w:rPr>
        <w:t xml:space="preserve">nario Judicial de la Federación y su gaceta, con el registro digital 2002350. </w:t>
      </w:r>
    </w:p>
    <w:p w14:paraId="542279FA" w14:textId="77777777" w:rsidR="00466995" w:rsidRPr="004A46F4" w:rsidRDefault="00466995" w:rsidP="000712D1">
      <w:pPr>
        <w:spacing w:line="360" w:lineRule="auto"/>
        <w:ind w:left="567"/>
        <w:jc w:val="both"/>
        <w:rPr>
          <w:rFonts w:ascii="Palatino Linotype" w:eastAsia="Palatino Linotype" w:hAnsi="Palatino Linotype" w:cs="Palatino Linotype"/>
          <w:i/>
          <w:color w:val="000000" w:themeColor="text1"/>
        </w:rPr>
      </w:pPr>
    </w:p>
    <w:p w14:paraId="22620029" w14:textId="77777777" w:rsidR="005976DF" w:rsidRPr="004A46F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4A46F4">
        <w:rPr>
          <w:rFonts w:ascii="Palatino Linotype" w:eastAsia="Palatino Linotype" w:hAnsi="Palatino Linotype" w:cs="Palatino Linotype"/>
          <w:color w:val="000000" w:themeColor="text1"/>
        </w:rPr>
        <w:t xml:space="preserve">Por ello, este Organismo Garante comprometido con la tutela de los derechos humanos confiados, señala que este exceso del plazo legal para resolver el presente asunto, resulta de carácter excepcional. </w:t>
      </w:r>
    </w:p>
    <w:p w14:paraId="4D0FC23B" w14:textId="77777777" w:rsidR="005976DF" w:rsidRPr="004A46F4" w:rsidRDefault="005976DF" w:rsidP="000712D1">
      <w:pPr>
        <w:pStyle w:val="Prrafodelista"/>
        <w:spacing w:line="360" w:lineRule="auto"/>
        <w:rPr>
          <w:rFonts w:ascii="Palatino Linotype" w:hAnsi="Palatino Linotype"/>
        </w:rPr>
      </w:pPr>
    </w:p>
    <w:p w14:paraId="0A60B96A" w14:textId="473E4605" w:rsidR="00942616" w:rsidRPr="004A46F4" w:rsidRDefault="0059519D" w:rsidP="000712D1">
      <w:pPr>
        <w:pStyle w:val="Prrafodelista"/>
        <w:numPr>
          <w:ilvl w:val="0"/>
          <w:numId w:val="1"/>
        </w:numPr>
        <w:spacing w:line="360" w:lineRule="auto"/>
        <w:ind w:left="0" w:firstLine="0"/>
        <w:jc w:val="both"/>
        <w:rPr>
          <w:rFonts w:ascii="Palatino Linotype" w:hAnsi="Palatino Linotype"/>
          <w:b/>
          <w:color w:val="000000" w:themeColor="text1"/>
        </w:rPr>
      </w:pPr>
      <w:r w:rsidRPr="004A46F4">
        <w:rPr>
          <w:rFonts w:ascii="Palatino Linotype" w:hAnsi="Palatino Linotype"/>
        </w:rPr>
        <w:t>Seguidamente, e</w:t>
      </w:r>
      <w:r w:rsidR="003D7FD3" w:rsidRPr="004A46F4">
        <w:rPr>
          <w:rFonts w:ascii="Palatino Linotype" w:hAnsi="Palatino Linotype"/>
        </w:rPr>
        <w:t>n</w:t>
      </w:r>
      <w:r w:rsidR="00942616" w:rsidRPr="004A46F4">
        <w:rPr>
          <w:rFonts w:ascii="Palatino Linotype" w:hAnsi="Palatino Linotype"/>
        </w:rPr>
        <w:t xml:space="preserve"> fecha </w:t>
      </w:r>
      <w:r w:rsidR="00DE31FF" w:rsidRPr="004A46F4">
        <w:rPr>
          <w:rFonts w:ascii="Palatino Linotype" w:hAnsi="Palatino Linotype"/>
          <w:color w:val="000000" w:themeColor="text1"/>
        </w:rPr>
        <w:t>veintisiet</w:t>
      </w:r>
      <w:r w:rsidR="0068530B" w:rsidRPr="004A46F4">
        <w:rPr>
          <w:rFonts w:ascii="Palatino Linotype" w:hAnsi="Palatino Linotype"/>
          <w:color w:val="000000" w:themeColor="text1"/>
        </w:rPr>
        <w:t>e de noviembre</w:t>
      </w:r>
      <w:r w:rsidR="002B540C" w:rsidRPr="004A46F4">
        <w:rPr>
          <w:rFonts w:ascii="Palatino Linotype" w:hAnsi="Palatino Linotype"/>
        </w:rPr>
        <w:t xml:space="preserve"> </w:t>
      </w:r>
      <w:r w:rsidR="00923E55" w:rsidRPr="004A46F4">
        <w:rPr>
          <w:rFonts w:ascii="Palatino Linotype" w:hAnsi="Palatino Linotype"/>
        </w:rPr>
        <w:t>de dos mil veinticuatro</w:t>
      </w:r>
      <w:r w:rsidR="003D7FD3" w:rsidRPr="004A46F4">
        <w:rPr>
          <w:rFonts w:ascii="Palatino Linotype" w:hAnsi="Palatino Linotype"/>
        </w:rPr>
        <w:t>,</w:t>
      </w:r>
      <w:r w:rsidR="00923E55" w:rsidRPr="004A46F4">
        <w:rPr>
          <w:rFonts w:ascii="Palatino Linotype" w:hAnsi="Palatino Linotype"/>
        </w:rPr>
        <w:t xml:space="preserve"> </w:t>
      </w:r>
      <w:bookmarkStart w:id="128" w:name="_Toc491791302"/>
      <w:bookmarkStart w:id="129" w:name="_Toc83128578"/>
      <w:r w:rsidR="003D7FD3" w:rsidRPr="004A46F4">
        <w:rPr>
          <w:rFonts w:ascii="Palatino Linotype" w:hAnsi="Palatino Linotype"/>
        </w:rPr>
        <w:t xml:space="preserve">la Comisionada Ponente dictó el cierre del periodo de </w:t>
      </w:r>
      <w:r w:rsidR="003D7FD3" w:rsidRPr="004A46F4">
        <w:rPr>
          <w:rFonts w:ascii="Palatino Linotype" w:hAnsi="Palatino Linotype"/>
          <w:color w:val="000000" w:themeColor="text1"/>
        </w:rPr>
        <w:t>instrucción</w:t>
      </w:r>
      <w:r w:rsidR="003D7FD3" w:rsidRPr="004A46F4">
        <w:rPr>
          <w:rFonts w:ascii="Palatino Linotype" w:hAnsi="Palatino Linotype"/>
        </w:rPr>
        <w:t xml:space="preserve"> y, ordenó la resolución que conforme a Derecho proceda, de </w:t>
      </w:r>
      <w:r w:rsidR="00E9244F" w:rsidRPr="004A46F4">
        <w:rPr>
          <w:rFonts w:ascii="Palatino Linotype" w:hAnsi="Palatino Linotype"/>
        </w:rPr>
        <w:t>acuerdo a la</w:t>
      </w:r>
      <w:r w:rsidR="003D7FD3" w:rsidRPr="004A46F4">
        <w:rPr>
          <w:rFonts w:ascii="Palatino Linotype" w:hAnsi="Palatino Linotype"/>
        </w:rPr>
        <w:t>s siguientes:</w:t>
      </w:r>
    </w:p>
    <w:p w14:paraId="5A5E011F" w14:textId="77777777" w:rsidR="007C50BE" w:rsidRPr="004A46F4" w:rsidRDefault="007C50BE" w:rsidP="000712D1">
      <w:pPr>
        <w:pStyle w:val="Prrafodelista"/>
        <w:spacing w:line="360" w:lineRule="auto"/>
        <w:ind w:left="0"/>
        <w:jc w:val="center"/>
        <w:rPr>
          <w:rFonts w:ascii="Palatino Linotype" w:hAnsi="Palatino Linotype"/>
          <w:b/>
          <w:color w:val="000000" w:themeColor="text1"/>
        </w:rPr>
      </w:pPr>
    </w:p>
    <w:p w14:paraId="3BB5D241" w14:textId="545DFCFA" w:rsidR="00942616" w:rsidRPr="004A46F4" w:rsidRDefault="00942616" w:rsidP="000712D1">
      <w:pPr>
        <w:pStyle w:val="Prrafodelista"/>
        <w:spacing w:line="360" w:lineRule="auto"/>
        <w:ind w:left="0"/>
        <w:jc w:val="center"/>
        <w:rPr>
          <w:rFonts w:ascii="Palatino Linotype" w:hAnsi="Palatino Linotype"/>
          <w:b/>
          <w:color w:val="000000" w:themeColor="text1"/>
        </w:rPr>
      </w:pPr>
      <w:r w:rsidRPr="004A46F4">
        <w:rPr>
          <w:rFonts w:ascii="Palatino Linotype" w:hAnsi="Palatino Linotype"/>
          <w:b/>
          <w:color w:val="000000" w:themeColor="text1"/>
        </w:rPr>
        <w:t>C</w:t>
      </w:r>
      <w:r w:rsidR="003D7FD3" w:rsidRPr="004A46F4">
        <w:rPr>
          <w:rFonts w:ascii="Palatino Linotype" w:hAnsi="Palatino Linotype"/>
          <w:b/>
          <w:color w:val="000000" w:themeColor="text1"/>
        </w:rPr>
        <w:t xml:space="preserve"> </w:t>
      </w:r>
      <w:r w:rsidRPr="004A46F4">
        <w:rPr>
          <w:rFonts w:ascii="Palatino Linotype" w:hAnsi="Palatino Linotype"/>
          <w:b/>
          <w:color w:val="000000" w:themeColor="text1"/>
        </w:rPr>
        <w:t>O</w:t>
      </w:r>
      <w:r w:rsidR="003D7FD3" w:rsidRPr="004A46F4">
        <w:rPr>
          <w:rFonts w:ascii="Palatino Linotype" w:hAnsi="Palatino Linotype"/>
          <w:b/>
          <w:color w:val="000000" w:themeColor="text1"/>
        </w:rPr>
        <w:t xml:space="preserve"> </w:t>
      </w:r>
      <w:r w:rsidRPr="004A46F4">
        <w:rPr>
          <w:rFonts w:ascii="Palatino Linotype" w:hAnsi="Palatino Linotype"/>
          <w:b/>
          <w:color w:val="000000" w:themeColor="text1"/>
        </w:rPr>
        <w:t>N</w:t>
      </w:r>
      <w:r w:rsidR="003D7FD3" w:rsidRPr="004A46F4">
        <w:rPr>
          <w:rFonts w:ascii="Palatino Linotype" w:hAnsi="Palatino Linotype"/>
          <w:b/>
          <w:color w:val="000000" w:themeColor="text1"/>
        </w:rPr>
        <w:t xml:space="preserve"> </w:t>
      </w:r>
      <w:r w:rsidRPr="004A46F4">
        <w:rPr>
          <w:rFonts w:ascii="Palatino Linotype" w:hAnsi="Palatino Linotype"/>
          <w:b/>
          <w:color w:val="000000" w:themeColor="text1"/>
        </w:rPr>
        <w:t>S</w:t>
      </w:r>
      <w:r w:rsidR="003D7FD3" w:rsidRPr="004A46F4">
        <w:rPr>
          <w:rFonts w:ascii="Palatino Linotype" w:hAnsi="Palatino Linotype"/>
          <w:b/>
          <w:color w:val="000000" w:themeColor="text1"/>
        </w:rPr>
        <w:t xml:space="preserve"> </w:t>
      </w:r>
      <w:r w:rsidRPr="004A46F4">
        <w:rPr>
          <w:rFonts w:ascii="Palatino Linotype" w:hAnsi="Palatino Linotype"/>
          <w:b/>
          <w:color w:val="000000" w:themeColor="text1"/>
        </w:rPr>
        <w:t>I</w:t>
      </w:r>
      <w:r w:rsidR="003D7FD3" w:rsidRPr="004A46F4">
        <w:rPr>
          <w:rFonts w:ascii="Palatino Linotype" w:hAnsi="Palatino Linotype"/>
          <w:b/>
          <w:color w:val="000000" w:themeColor="text1"/>
        </w:rPr>
        <w:t xml:space="preserve"> </w:t>
      </w:r>
      <w:r w:rsidRPr="004A46F4">
        <w:rPr>
          <w:rFonts w:ascii="Palatino Linotype" w:hAnsi="Palatino Linotype"/>
          <w:b/>
          <w:color w:val="000000" w:themeColor="text1"/>
        </w:rPr>
        <w:t>D</w:t>
      </w:r>
      <w:r w:rsidR="003D7FD3" w:rsidRPr="004A46F4">
        <w:rPr>
          <w:rFonts w:ascii="Palatino Linotype" w:hAnsi="Palatino Linotype"/>
          <w:b/>
          <w:color w:val="000000" w:themeColor="text1"/>
        </w:rPr>
        <w:t xml:space="preserve"> </w:t>
      </w:r>
      <w:r w:rsidRPr="004A46F4">
        <w:rPr>
          <w:rFonts w:ascii="Palatino Linotype" w:hAnsi="Palatino Linotype"/>
          <w:b/>
          <w:color w:val="000000" w:themeColor="text1"/>
        </w:rPr>
        <w:t>E</w:t>
      </w:r>
      <w:r w:rsidR="003D7FD3" w:rsidRPr="004A46F4">
        <w:rPr>
          <w:rFonts w:ascii="Palatino Linotype" w:hAnsi="Palatino Linotype"/>
          <w:b/>
          <w:color w:val="000000" w:themeColor="text1"/>
        </w:rPr>
        <w:t xml:space="preserve"> </w:t>
      </w:r>
      <w:r w:rsidRPr="004A46F4">
        <w:rPr>
          <w:rFonts w:ascii="Palatino Linotype" w:hAnsi="Palatino Linotype"/>
          <w:b/>
          <w:color w:val="000000" w:themeColor="text1"/>
        </w:rPr>
        <w:t>R</w:t>
      </w:r>
      <w:r w:rsidR="003D7FD3" w:rsidRPr="004A46F4">
        <w:rPr>
          <w:rFonts w:ascii="Palatino Linotype" w:hAnsi="Palatino Linotype"/>
          <w:b/>
          <w:color w:val="000000" w:themeColor="text1"/>
        </w:rPr>
        <w:t xml:space="preserve"> </w:t>
      </w:r>
      <w:r w:rsidRPr="004A46F4">
        <w:rPr>
          <w:rFonts w:ascii="Palatino Linotype" w:hAnsi="Palatino Linotype"/>
          <w:b/>
          <w:color w:val="000000" w:themeColor="text1"/>
        </w:rPr>
        <w:t>A</w:t>
      </w:r>
      <w:bookmarkEnd w:id="128"/>
      <w:bookmarkEnd w:id="129"/>
      <w:r w:rsidR="003D7FD3" w:rsidRPr="004A46F4">
        <w:rPr>
          <w:rFonts w:ascii="Palatino Linotype" w:hAnsi="Palatino Linotype"/>
          <w:b/>
          <w:color w:val="000000" w:themeColor="text1"/>
        </w:rPr>
        <w:t xml:space="preserve"> C I O N E S</w:t>
      </w:r>
    </w:p>
    <w:p w14:paraId="456210E3" w14:textId="77777777" w:rsidR="00D53DA1" w:rsidRPr="004A46F4" w:rsidRDefault="00D53DA1" w:rsidP="000712D1">
      <w:pPr>
        <w:pStyle w:val="Prrafodelista"/>
        <w:spacing w:line="360" w:lineRule="auto"/>
        <w:ind w:left="0"/>
        <w:jc w:val="center"/>
        <w:rPr>
          <w:rFonts w:ascii="Palatino Linotype" w:hAnsi="Palatino Linotype"/>
          <w:b/>
          <w:color w:val="000000" w:themeColor="text1"/>
        </w:rPr>
      </w:pPr>
    </w:p>
    <w:p w14:paraId="151F1821" w14:textId="76D68414" w:rsidR="00942616" w:rsidRPr="004A46F4" w:rsidRDefault="003D7FD3" w:rsidP="000712D1">
      <w:pPr>
        <w:pStyle w:val="Ttulo2"/>
        <w:spacing w:before="0" w:line="360" w:lineRule="auto"/>
        <w:rPr>
          <w:rFonts w:ascii="Palatino Linotype" w:hAnsi="Palatino Linotype"/>
          <w:b/>
          <w:color w:val="auto"/>
          <w:sz w:val="24"/>
          <w:szCs w:val="24"/>
        </w:rPr>
      </w:pPr>
      <w:bookmarkStart w:id="130" w:name="_Toc491791303"/>
      <w:bookmarkStart w:id="131" w:name="_Toc83128579"/>
      <w:r w:rsidRPr="004A46F4">
        <w:rPr>
          <w:rFonts w:ascii="Palatino Linotype" w:hAnsi="Palatino Linotype"/>
          <w:b/>
          <w:color w:val="auto"/>
          <w:sz w:val="24"/>
          <w:szCs w:val="24"/>
        </w:rPr>
        <w:t>PRIMERA. C</w:t>
      </w:r>
      <w:r w:rsidR="00942616" w:rsidRPr="004A46F4">
        <w:rPr>
          <w:rFonts w:ascii="Palatino Linotype" w:hAnsi="Palatino Linotype"/>
          <w:b/>
          <w:color w:val="auto"/>
          <w:sz w:val="24"/>
          <w:szCs w:val="24"/>
        </w:rPr>
        <w:t>ompetencia</w:t>
      </w:r>
      <w:bookmarkEnd w:id="130"/>
      <w:bookmarkEnd w:id="131"/>
    </w:p>
    <w:p w14:paraId="0216B23E" w14:textId="77777777" w:rsidR="00952475" w:rsidRPr="004A46F4" w:rsidRDefault="00952475" w:rsidP="000712D1">
      <w:pPr>
        <w:pStyle w:val="Prrafodelista"/>
        <w:numPr>
          <w:ilvl w:val="0"/>
          <w:numId w:val="1"/>
        </w:numPr>
        <w:spacing w:line="360" w:lineRule="auto"/>
        <w:ind w:left="0" w:firstLine="0"/>
        <w:jc w:val="both"/>
        <w:rPr>
          <w:rFonts w:ascii="Palatino Linotype" w:hAnsi="Palatino Linotype" w:cs="Tahoma"/>
        </w:rPr>
      </w:pPr>
      <w:r w:rsidRPr="004A46F4">
        <w:rPr>
          <w:rFonts w:ascii="Palatino Linotype" w:hAnsi="Palatino Linotype" w:cs="Tahoma"/>
        </w:rPr>
        <w:t xml:space="preserve">El Instituto de Transparencia, Acceso a la Información Pública y Protección de Datos Personales del </w:t>
      </w:r>
      <w:r w:rsidRPr="004A46F4">
        <w:rPr>
          <w:rFonts w:ascii="Palatino Linotype" w:hAnsi="Palatino Linotype"/>
        </w:rPr>
        <w:t>Estado</w:t>
      </w:r>
      <w:r w:rsidRPr="004A46F4">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w:t>
      </w:r>
      <w:r w:rsidRPr="004A46F4">
        <w:rPr>
          <w:rFonts w:ascii="Palatino Linotype" w:hAnsi="Palatino Linotype" w:cs="Tahoma"/>
        </w:rPr>
        <w:lastRenderedPageBreak/>
        <w:t>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B111871" w14:textId="77777777" w:rsidR="00DE31FF" w:rsidRPr="004A46F4" w:rsidRDefault="00DE31FF" w:rsidP="000712D1">
      <w:pPr>
        <w:pStyle w:val="Prrafodelista"/>
        <w:spacing w:line="360" w:lineRule="auto"/>
        <w:ind w:left="0"/>
        <w:jc w:val="both"/>
        <w:rPr>
          <w:rFonts w:ascii="Palatino Linotype" w:hAnsi="Palatino Linotype" w:cs="Tahoma"/>
        </w:rPr>
      </w:pPr>
    </w:p>
    <w:p w14:paraId="1D4969D7" w14:textId="7E24C419" w:rsidR="00942616" w:rsidRPr="004A46F4" w:rsidRDefault="00952475" w:rsidP="000712D1">
      <w:pPr>
        <w:pStyle w:val="Ttulo2"/>
        <w:spacing w:before="0" w:line="360" w:lineRule="auto"/>
        <w:rPr>
          <w:rFonts w:ascii="Palatino Linotype" w:hAnsi="Palatino Linotype"/>
          <w:b/>
          <w:color w:val="auto"/>
          <w:sz w:val="24"/>
          <w:szCs w:val="24"/>
        </w:rPr>
      </w:pPr>
      <w:bookmarkStart w:id="132" w:name="_Toc491791304"/>
      <w:bookmarkStart w:id="133" w:name="_Toc83128580"/>
      <w:r w:rsidRPr="004A46F4">
        <w:rPr>
          <w:rFonts w:ascii="Palatino Linotype" w:hAnsi="Palatino Linotype"/>
          <w:b/>
          <w:color w:val="auto"/>
          <w:sz w:val="24"/>
          <w:szCs w:val="24"/>
        </w:rPr>
        <w:t>SEGUNDA</w:t>
      </w:r>
      <w:r w:rsidR="00942616" w:rsidRPr="004A46F4">
        <w:rPr>
          <w:rFonts w:ascii="Palatino Linotype" w:hAnsi="Palatino Linotype"/>
          <w:b/>
          <w:color w:val="auto"/>
          <w:sz w:val="24"/>
          <w:szCs w:val="24"/>
        </w:rPr>
        <w:t xml:space="preserve">. </w:t>
      </w:r>
      <w:r w:rsidRPr="004A46F4">
        <w:rPr>
          <w:rFonts w:ascii="Palatino Linotype" w:hAnsi="Palatino Linotype"/>
          <w:b/>
          <w:color w:val="auto"/>
          <w:sz w:val="24"/>
          <w:szCs w:val="24"/>
        </w:rPr>
        <w:t>P</w:t>
      </w:r>
      <w:r w:rsidR="00942616" w:rsidRPr="004A46F4">
        <w:rPr>
          <w:rFonts w:ascii="Palatino Linotype" w:hAnsi="Palatino Linotype"/>
          <w:b/>
          <w:color w:val="auto"/>
          <w:sz w:val="24"/>
          <w:szCs w:val="24"/>
        </w:rPr>
        <w:t>rocedencia.</w:t>
      </w:r>
      <w:bookmarkEnd w:id="132"/>
      <w:bookmarkEnd w:id="133"/>
    </w:p>
    <w:p w14:paraId="2F731F4D" w14:textId="763D8618" w:rsidR="00942616" w:rsidRPr="004A46F4" w:rsidRDefault="00952475" w:rsidP="000712D1">
      <w:pPr>
        <w:numPr>
          <w:ilvl w:val="0"/>
          <w:numId w:val="1"/>
        </w:numPr>
        <w:spacing w:line="360" w:lineRule="auto"/>
        <w:ind w:left="0" w:firstLine="0"/>
        <w:contextualSpacing/>
        <w:jc w:val="both"/>
        <w:rPr>
          <w:rFonts w:ascii="Palatino Linotype" w:hAnsi="Palatino Linotype"/>
        </w:rPr>
      </w:pPr>
      <w:r w:rsidRPr="004A46F4">
        <w:rPr>
          <w:rFonts w:ascii="Palatino Linotype" w:eastAsia="Calibri" w:hAnsi="Palatino Linotype" w:cs="Arial"/>
        </w:rPr>
        <w:t xml:space="preserve">Este Órgano Garante considera que el medio de impugnación reúne los requisitos de procedencia </w:t>
      </w:r>
      <w:r w:rsidRPr="004A46F4">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4A46F4">
        <w:rPr>
          <w:rFonts w:ascii="Palatino Linotype" w:eastAsia="Calibri" w:hAnsi="Palatino Linotype" w:cs="Tahoma"/>
          <w:color w:val="000000"/>
          <w:lang w:eastAsia="es-MX"/>
        </w:rPr>
        <w:t xml:space="preserve">no se tiene </w:t>
      </w:r>
      <w:r w:rsidRPr="004A46F4">
        <w:rPr>
          <w:rFonts w:ascii="Palatino Linotype" w:eastAsia="Calibri" w:hAnsi="Palatino Linotype" w:cs="Tahoma"/>
          <w:color w:val="000000"/>
          <w:lang w:eastAsia="es-MX"/>
        </w:rPr>
        <w:t>conocimiento de que se encuentre en trámite algún medio de defensa presentado por el Recurrente ante otra instancia.</w:t>
      </w:r>
    </w:p>
    <w:p w14:paraId="44B628A3" w14:textId="77777777" w:rsidR="00F03D76" w:rsidRPr="004A46F4" w:rsidRDefault="00F03D76" w:rsidP="000712D1">
      <w:pPr>
        <w:spacing w:line="360" w:lineRule="auto"/>
        <w:contextualSpacing/>
        <w:jc w:val="both"/>
        <w:rPr>
          <w:rFonts w:ascii="Palatino Linotype" w:hAnsi="Palatino Linotype"/>
        </w:rPr>
      </w:pPr>
    </w:p>
    <w:p w14:paraId="47634DB6" w14:textId="77777777" w:rsidR="00F03D76" w:rsidRPr="004A46F4" w:rsidRDefault="00F03D76" w:rsidP="000712D1">
      <w:pPr>
        <w:numPr>
          <w:ilvl w:val="0"/>
          <w:numId w:val="1"/>
        </w:numPr>
        <w:spacing w:line="360" w:lineRule="auto"/>
        <w:ind w:left="0" w:firstLine="0"/>
        <w:contextualSpacing/>
        <w:jc w:val="both"/>
        <w:rPr>
          <w:rFonts w:ascii="Palatino Linotype" w:hAnsi="Palatino Linotype"/>
        </w:rPr>
      </w:pPr>
      <w:r w:rsidRPr="004A46F4">
        <w:rPr>
          <w:rFonts w:ascii="Palatino Linotype" w:eastAsia="Palatino Linotype" w:hAnsi="Palatino Linotype" w:cs="Palatino Linotype"/>
        </w:rPr>
        <w:t xml:space="preserve">Por otro lado, es de suma importancia señalar que la parte recurrente no proporciona un nombre o datos de identificación como se advierte en el detalle de seguimiento del SAIMEX, no </w:t>
      </w:r>
      <w:r w:rsidRPr="004A46F4">
        <w:rPr>
          <w:rFonts w:ascii="Palatino Linotype" w:eastAsia="Calibri" w:hAnsi="Palatino Linotype" w:cs="Arial"/>
        </w:rPr>
        <w:t>obstante</w:t>
      </w:r>
      <w:r w:rsidRPr="004A46F4">
        <w:rPr>
          <w:rFonts w:ascii="Palatino Linotype" w:eastAsia="Palatino Linotype" w:hAnsi="Palatino Linotype" w:cs="Palatino Linotype"/>
        </w:rPr>
        <w:t xml:space="preserv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E1DD5F1" w14:textId="77777777" w:rsidR="00F03D76" w:rsidRPr="004A46F4" w:rsidRDefault="00F03D76" w:rsidP="004A46F4">
      <w:pPr>
        <w:spacing w:line="360" w:lineRule="auto"/>
        <w:ind w:left="709"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w:t>
      </w:r>
      <w:r w:rsidRPr="004A46F4">
        <w:rPr>
          <w:rFonts w:ascii="Palatino Linotype" w:eastAsia="Palatino Linotype" w:hAnsi="Palatino Linotype" w:cs="Palatino Linotype"/>
          <w:b/>
          <w:i/>
          <w:sz w:val="22"/>
        </w:rPr>
        <w:t>Las solicitudes anónimas</w:t>
      </w:r>
      <w:r w:rsidRPr="004A46F4">
        <w:rPr>
          <w:rFonts w:ascii="Palatino Linotype" w:eastAsia="Palatino Linotype" w:hAnsi="Palatino Linotype" w:cs="Palatino Linotype"/>
          <w:i/>
          <w:sz w:val="22"/>
        </w:rPr>
        <w:t xml:space="preserve">, con nombre incompleto o seudónimo </w:t>
      </w:r>
      <w:r w:rsidRPr="004A46F4">
        <w:rPr>
          <w:rFonts w:ascii="Palatino Linotype" w:eastAsia="Palatino Linotype" w:hAnsi="Palatino Linotype" w:cs="Palatino Linotype"/>
          <w:b/>
          <w:i/>
          <w:sz w:val="22"/>
        </w:rPr>
        <w:t>serán procedentes para su trámite por parte del sujeto obligado ante quien se presente</w:t>
      </w:r>
      <w:r w:rsidRPr="004A46F4">
        <w:rPr>
          <w:rFonts w:ascii="Palatino Linotype" w:eastAsia="Palatino Linotype" w:hAnsi="Palatino Linotype" w:cs="Palatino Linotype"/>
          <w:i/>
          <w:sz w:val="22"/>
        </w:rPr>
        <w:t>. No podrá requerirse información adicional con motivo del nombre proporcionado por el solicitante."</w:t>
      </w:r>
    </w:p>
    <w:p w14:paraId="19A55B2A" w14:textId="77777777" w:rsidR="00F03D76" w:rsidRPr="004A46F4" w:rsidRDefault="00F03D76" w:rsidP="000712D1">
      <w:pPr>
        <w:spacing w:line="360" w:lineRule="auto"/>
        <w:jc w:val="both"/>
        <w:rPr>
          <w:rFonts w:ascii="Palatino Linotype" w:eastAsia="Palatino Linotype" w:hAnsi="Palatino Linotype" w:cs="Palatino Linotype"/>
        </w:rPr>
      </w:pPr>
    </w:p>
    <w:p w14:paraId="77A72136" w14:textId="77777777" w:rsidR="00F03D76" w:rsidRPr="004A46F4" w:rsidRDefault="00F03D76" w:rsidP="000712D1">
      <w:pPr>
        <w:numPr>
          <w:ilvl w:val="0"/>
          <w:numId w:val="1"/>
        </w:numPr>
        <w:spacing w:line="360" w:lineRule="auto"/>
        <w:ind w:left="0" w:firstLine="0"/>
        <w:contextualSpacing/>
        <w:jc w:val="both"/>
        <w:rPr>
          <w:rFonts w:ascii="Palatino Linotype" w:hAnsi="Palatino Linotype"/>
        </w:rPr>
      </w:pPr>
      <w:r w:rsidRPr="004A46F4">
        <w:rPr>
          <w:rFonts w:ascii="Palatino Linotype" w:eastAsia="Palatino Linotype" w:hAnsi="Palatino Linotype" w:cs="Palatino Linotype"/>
        </w:rPr>
        <w:lastRenderedPageBreak/>
        <w:t>Robusteciendo lo anterior se encuentra lo dispuesto en el artículo 6, Apartado A, fracciones III de la Constitución Política de los Estados Unidos Mexicanos que establece:</w:t>
      </w:r>
    </w:p>
    <w:p w14:paraId="0961C4DD" w14:textId="77777777" w:rsidR="00F03D76" w:rsidRPr="004A46F4" w:rsidRDefault="00F03D76" w:rsidP="000712D1">
      <w:pPr>
        <w:spacing w:line="360" w:lineRule="auto"/>
        <w:contextualSpacing/>
        <w:jc w:val="both"/>
        <w:rPr>
          <w:rFonts w:ascii="Palatino Linotype" w:hAnsi="Palatino Linotype"/>
        </w:rPr>
      </w:pPr>
    </w:p>
    <w:p w14:paraId="61B21558"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w:t>
      </w:r>
      <w:r w:rsidRPr="004A46F4">
        <w:rPr>
          <w:rFonts w:ascii="Palatino Linotype" w:eastAsia="Palatino Linotype" w:hAnsi="Palatino Linotype" w:cs="Palatino Linotype"/>
          <w:b/>
          <w:i/>
          <w:sz w:val="22"/>
        </w:rPr>
        <w:t>Artículo 6.-</w:t>
      </w:r>
      <w:r w:rsidRPr="004A46F4">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w:t>
      </w:r>
      <w:r w:rsidRPr="004A46F4">
        <w:rPr>
          <w:rFonts w:ascii="Palatino Linotype" w:eastAsia="Palatino Linotype" w:hAnsi="Palatino Linotype" w:cs="Palatino Linotype"/>
          <w:i/>
          <w:color w:val="000000" w:themeColor="text1"/>
          <w:sz w:val="22"/>
        </w:rPr>
        <w:t>algún</w:t>
      </w:r>
      <w:r w:rsidRPr="004A46F4">
        <w:rPr>
          <w:rFonts w:ascii="Palatino Linotype" w:eastAsia="Palatino Linotype" w:hAnsi="Palatino Linotype" w:cs="Palatino Linotype"/>
          <w:i/>
          <w:sz w:val="22"/>
        </w:rPr>
        <w:t xml:space="preserve"> delito, o perturbe el orden público; el derecho de réplica será ejercido en los términos dispuestos por la ley. El derecho a la información será garantizado por el Estado.</w:t>
      </w:r>
    </w:p>
    <w:p w14:paraId="07E9AD36"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 xml:space="preserve">Para efectos de lo dispuesto en el </w:t>
      </w:r>
      <w:r w:rsidRPr="004A46F4">
        <w:rPr>
          <w:rFonts w:ascii="Palatino Linotype" w:eastAsia="Palatino Linotype" w:hAnsi="Palatino Linotype" w:cs="Palatino Linotype"/>
          <w:i/>
          <w:color w:val="000000" w:themeColor="text1"/>
          <w:sz w:val="22"/>
        </w:rPr>
        <w:t>presente</w:t>
      </w:r>
      <w:r w:rsidRPr="004A46F4">
        <w:rPr>
          <w:rFonts w:ascii="Palatino Linotype" w:eastAsia="Palatino Linotype" w:hAnsi="Palatino Linotype" w:cs="Palatino Linotype"/>
          <w:i/>
          <w:sz w:val="22"/>
        </w:rPr>
        <w:t xml:space="preserve"> artículo se observará lo siguiente:</w:t>
      </w:r>
    </w:p>
    <w:p w14:paraId="2AA694BC" w14:textId="77777777" w:rsidR="00F03D76" w:rsidRPr="004A46F4" w:rsidRDefault="00F03D76" w:rsidP="004A46F4">
      <w:pPr>
        <w:spacing w:line="360" w:lineRule="auto"/>
        <w:ind w:left="851" w:right="850"/>
        <w:jc w:val="both"/>
        <w:rPr>
          <w:rFonts w:ascii="Palatino Linotype" w:eastAsia="Palatino Linotype" w:hAnsi="Palatino Linotype" w:cs="Palatino Linotype"/>
          <w:i/>
          <w:sz w:val="22"/>
        </w:rPr>
      </w:pPr>
    </w:p>
    <w:p w14:paraId="53A4B8E7"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 xml:space="preserve">A. Para el ejercicio del </w:t>
      </w:r>
      <w:r w:rsidRPr="004A46F4">
        <w:rPr>
          <w:rFonts w:ascii="Palatino Linotype" w:eastAsia="Palatino Linotype" w:hAnsi="Palatino Linotype" w:cs="Palatino Linotype"/>
          <w:i/>
          <w:color w:val="000000" w:themeColor="text1"/>
          <w:sz w:val="22"/>
        </w:rPr>
        <w:t>derecho</w:t>
      </w:r>
      <w:r w:rsidRPr="004A46F4">
        <w:rPr>
          <w:rFonts w:ascii="Palatino Linotype" w:eastAsia="Palatino Linotype" w:hAnsi="Palatino Linotype" w:cs="Palatino Linotype"/>
          <w:i/>
          <w:sz w:val="22"/>
        </w:rPr>
        <w:t xml:space="preserve"> de acceso a la información, la Federación, los Estados y el Distrito Federal, en el ámbito de sus respectivas competencias, se regirán por los siguientes principios y bases:</w:t>
      </w:r>
    </w:p>
    <w:p w14:paraId="71565021"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174CF681" w14:textId="77777777" w:rsidR="00F03D76" w:rsidRPr="004A46F4" w:rsidRDefault="00F03D76" w:rsidP="000712D1">
      <w:pPr>
        <w:spacing w:line="360" w:lineRule="auto"/>
        <w:ind w:left="567"/>
        <w:jc w:val="both"/>
        <w:rPr>
          <w:rFonts w:ascii="Palatino Linotype" w:eastAsia="Palatino Linotype" w:hAnsi="Palatino Linotype" w:cs="Palatino Linotype"/>
          <w:i/>
        </w:rPr>
      </w:pPr>
    </w:p>
    <w:p w14:paraId="7E9977B8" w14:textId="77777777" w:rsidR="00F03D76" w:rsidRPr="004A46F4" w:rsidRDefault="00F03D76" w:rsidP="000712D1">
      <w:pPr>
        <w:numPr>
          <w:ilvl w:val="0"/>
          <w:numId w:val="1"/>
        </w:numPr>
        <w:spacing w:line="360" w:lineRule="auto"/>
        <w:ind w:left="0" w:firstLine="0"/>
        <w:contextualSpacing/>
        <w:jc w:val="both"/>
        <w:rPr>
          <w:rFonts w:ascii="Palatino Linotype" w:hAnsi="Palatino Linotype"/>
        </w:rPr>
      </w:pPr>
      <w:r w:rsidRPr="004A46F4">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6092CB46"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w:t>
      </w:r>
      <w:r w:rsidRPr="004A46F4">
        <w:rPr>
          <w:rFonts w:ascii="Palatino Linotype" w:eastAsia="Palatino Linotype" w:hAnsi="Palatino Linotype" w:cs="Palatino Linotype"/>
          <w:b/>
          <w:i/>
          <w:sz w:val="22"/>
        </w:rPr>
        <w:t>Artículo 5.-</w:t>
      </w:r>
      <w:r w:rsidRPr="004A46F4">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A8D18F6" w14:textId="77777777" w:rsidR="00F03D76" w:rsidRPr="004A46F4" w:rsidRDefault="00F03D76" w:rsidP="004A46F4">
      <w:pPr>
        <w:spacing w:line="360" w:lineRule="auto"/>
        <w:ind w:left="1134"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w:t>
      </w:r>
    </w:p>
    <w:p w14:paraId="1203A216"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lastRenderedPageBreak/>
        <w:t>Toda persona en el Estado de México, tiene derecho al libre acceso a la información plural y oportuna, así como a buscar recibir y difundir información e ideas de toda índole por cualquier medio de expresión.</w:t>
      </w:r>
    </w:p>
    <w:p w14:paraId="306DDE44" w14:textId="77777777" w:rsidR="00F03D76" w:rsidRPr="004A46F4" w:rsidRDefault="00F03D76" w:rsidP="000712D1">
      <w:pPr>
        <w:spacing w:line="360" w:lineRule="auto"/>
        <w:ind w:left="1134"/>
        <w:jc w:val="both"/>
        <w:rPr>
          <w:rFonts w:ascii="Palatino Linotype" w:eastAsia="Palatino Linotype" w:hAnsi="Palatino Linotype" w:cs="Palatino Linotype"/>
          <w:i/>
        </w:rPr>
      </w:pPr>
      <w:r w:rsidRPr="004A46F4">
        <w:rPr>
          <w:rFonts w:ascii="Palatino Linotype" w:eastAsia="Palatino Linotype" w:hAnsi="Palatino Linotype" w:cs="Palatino Linotype"/>
          <w:i/>
        </w:rPr>
        <w:t>...</w:t>
      </w:r>
    </w:p>
    <w:p w14:paraId="01F499FE"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1FC45D19"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B3447EC"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III. Toda persona, sin necesidad de acreditar interés alguno o justificar su utilización, tendrá acceso gratuito a la información pública, a sus datos personales o a la rectificación de éstos;</w:t>
      </w:r>
    </w:p>
    <w:p w14:paraId="2FB81049" w14:textId="77777777" w:rsidR="00F03D76" w:rsidRPr="004A46F4" w:rsidRDefault="00F03D76" w:rsidP="004A46F4">
      <w:pPr>
        <w:spacing w:line="360" w:lineRule="auto"/>
        <w:ind w:left="1134"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w:t>
      </w:r>
    </w:p>
    <w:p w14:paraId="43559B68"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4A46F4">
        <w:rPr>
          <w:rFonts w:ascii="Palatino Linotype" w:eastAsia="Palatino Linotype" w:hAnsi="Palatino Linotype" w:cs="Palatino Linotype"/>
          <w:sz w:val="22"/>
        </w:rPr>
        <w:t>(Sic)</w:t>
      </w:r>
    </w:p>
    <w:p w14:paraId="4637CB48" w14:textId="77777777" w:rsidR="00F03D76" w:rsidRPr="004A46F4" w:rsidRDefault="00F03D76" w:rsidP="000712D1">
      <w:pPr>
        <w:spacing w:line="360" w:lineRule="auto"/>
        <w:ind w:left="426"/>
        <w:jc w:val="both"/>
        <w:rPr>
          <w:rFonts w:ascii="Palatino Linotype" w:eastAsia="Palatino Linotype" w:hAnsi="Palatino Linotype" w:cs="Palatino Linotype"/>
          <w:i/>
        </w:rPr>
      </w:pPr>
    </w:p>
    <w:p w14:paraId="657E7593" w14:textId="77777777" w:rsidR="00F03D76" w:rsidRPr="004A46F4" w:rsidRDefault="00F03D76" w:rsidP="000712D1">
      <w:pPr>
        <w:numPr>
          <w:ilvl w:val="0"/>
          <w:numId w:val="1"/>
        </w:numPr>
        <w:spacing w:line="360" w:lineRule="auto"/>
        <w:ind w:left="0" w:firstLine="0"/>
        <w:contextualSpacing/>
        <w:jc w:val="both"/>
        <w:rPr>
          <w:rFonts w:ascii="Palatino Linotype" w:hAnsi="Palatino Linotype"/>
        </w:rPr>
      </w:pPr>
      <w:r w:rsidRPr="004A46F4">
        <w:rPr>
          <w:rFonts w:ascii="Palatino Linotype" w:eastAsia="Palatino Linotype" w:hAnsi="Palatino Linotype" w:cs="Palatino Linotype"/>
        </w:rPr>
        <w:t>Por otra parte, del contenido del artículo 1 de la Constitución Política de los Estados Unidos mexicanos, se destaca lo siguiente:</w:t>
      </w:r>
    </w:p>
    <w:p w14:paraId="3F71823C"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w:t>
      </w:r>
      <w:r w:rsidRPr="004A46F4">
        <w:rPr>
          <w:rFonts w:ascii="Palatino Linotype" w:eastAsia="Palatino Linotype" w:hAnsi="Palatino Linotype" w:cs="Palatino Linotype"/>
          <w:b/>
          <w:i/>
          <w:sz w:val="22"/>
        </w:rPr>
        <w:t>Artículo 1</w:t>
      </w:r>
      <w:r w:rsidRPr="004A46F4">
        <w:rPr>
          <w:rFonts w:ascii="Palatino Linotype" w:eastAsia="Palatino Linotype" w:hAnsi="Palatino Linotype" w:cs="Palatino Linotype"/>
          <w:i/>
          <w:sz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w:t>
      </w:r>
      <w:r w:rsidRPr="004A46F4">
        <w:rPr>
          <w:rFonts w:ascii="Palatino Linotype" w:eastAsia="Palatino Linotype" w:hAnsi="Palatino Linotype" w:cs="Palatino Linotype"/>
          <w:i/>
          <w:sz w:val="22"/>
        </w:rPr>
        <w:lastRenderedPageBreak/>
        <w:t>restringirse ni suspenderse, salvo en los casos y bajo las condiciones que esta Constitución establece.</w:t>
      </w:r>
    </w:p>
    <w:p w14:paraId="009E1EFA"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D1714DE" w14:textId="77777777" w:rsidR="00F03D76" w:rsidRPr="004A46F4" w:rsidRDefault="00F03D76" w:rsidP="004A46F4">
      <w:pPr>
        <w:pStyle w:val="Prrafodelista"/>
        <w:spacing w:line="360" w:lineRule="auto"/>
        <w:ind w:left="425" w:right="850"/>
        <w:jc w:val="both"/>
        <w:rPr>
          <w:rFonts w:ascii="Palatino Linotype" w:eastAsia="Palatino Linotype" w:hAnsi="Palatino Linotype" w:cs="Palatino Linotype"/>
          <w:i/>
          <w:sz w:val="22"/>
        </w:rPr>
      </w:pPr>
      <w:r w:rsidRPr="004A46F4">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9885D66" w14:textId="77777777" w:rsidR="00F03D76" w:rsidRPr="004A46F4" w:rsidRDefault="00F03D76" w:rsidP="000712D1">
      <w:pPr>
        <w:spacing w:line="360" w:lineRule="auto"/>
        <w:ind w:left="426"/>
        <w:jc w:val="both"/>
        <w:rPr>
          <w:rFonts w:ascii="Palatino Linotype" w:eastAsia="Palatino Linotype" w:hAnsi="Palatino Linotype" w:cs="Palatino Linotype"/>
          <w:i/>
        </w:rPr>
      </w:pPr>
    </w:p>
    <w:p w14:paraId="4F73BB57" w14:textId="77777777" w:rsidR="00F03D76" w:rsidRPr="004A46F4" w:rsidRDefault="00F03D76" w:rsidP="000712D1">
      <w:pPr>
        <w:numPr>
          <w:ilvl w:val="0"/>
          <w:numId w:val="1"/>
        </w:numPr>
        <w:spacing w:line="360" w:lineRule="auto"/>
        <w:ind w:left="0" w:firstLine="0"/>
        <w:contextualSpacing/>
        <w:jc w:val="both"/>
        <w:rPr>
          <w:rFonts w:ascii="Palatino Linotype" w:hAnsi="Palatino Linotype"/>
        </w:rPr>
      </w:pPr>
      <w:r w:rsidRPr="004A46F4">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4A46F4">
        <w:rPr>
          <w:rFonts w:ascii="Palatino Linotype" w:eastAsia="Palatino Linotype" w:hAnsi="Palatino Linotype" w:cs="Palatino Linotype"/>
          <w:i/>
        </w:rPr>
        <w:t>derecho fundamental exime a quien lo ejerce</w:t>
      </w:r>
      <w:r w:rsidRPr="004A46F4">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5E6D5AB" w14:textId="77777777" w:rsidR="00F03D76" w:rsidRPr="004A46F4" w:rsidRDefault="00F03D76" w:rsidP="000712D1">
      <w:pPr>
        <w:spacing w:line="360" w:lineRule="auto"/>
        <w:jc w:val="both"/>
        <w:rPr>
          <w:rFonts w:ascii="Palatino Linotype" w:eastAsia="Palatino Linotype" w:hAnsi="Palatino Linotype" w:cs="Palatino Linotype"/>
        </w:rPr>
      </w:pPr>
    </w:p>
    <w:p w14:paraId="239FCB87" w14:textId="77777777" w:rsidR="00F03D76" w:rsidRPr="004A46F4" w:rsidRDefault="00F03D76" w:rsidP="000712D1">
      <w:pPr>
        <w:numPr>
          <w:ilvl w:val="0"/>
          <w:numId w:val="1"/>
        </w:numPr>
        <w:spacing w:line="360" w:lineRule="auto"/>
        <w:ind w:left="0" w:firstLine="0"/>
        <w:contextualSpacing/>
        <w:jc w:val="both"/>
        <w:rPr>
          <w:rFonts w:ascii="Palatino Linotype" w:hAnsi="Palatino Linotype"/>
        </w:rPr>
      </w:pPr>
      <w:r w:rsidRPr="004A46F4">
        <w:rPr>
          <w:rFonts w:ascii="Palatino Linotype" w:eastAsia="Palatino Linotype" w:hAnsi="Palatino Linotype" w:cs="Palatino Linotype"/>
        </w:rPr>
        <w:t xml:space="preserve">En consecuencia, dado lo expuesto y fundado con anterioridad, se estima que el requisito relativo al nombre del </w:t>
      </w:r>
      <w:r w:rsidRPr="004A46F4">
        <w:rPr>
          <w:rFonts w:ascii="Palatino Linotype" w:eastAsia="Palatino Linotype" w:hAnsi="Palatino Linotype" w:cs="Palatino Linotype"/>
          <w:b/>
        </w:rPr>
        <w:t>RECURRENTE</w:t>
      </w:r>
      <w:r w:rsidRPr="004A46F4">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w:t>
      </w:r>
      <w:r w:rsidRPr="004A46F4">
        <w:rPr>
          <w:rFonts w:ascii="Palatino Linotype" w:eastAsia="Palatino Linotype" w:hAnsi="Palatino Linotype" w:cs="Palatino Linotype"/>
        </w:rPr>
        <w:lastRenderedPageBreak/>
        <w:t>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44FBBAE" w14:textId="77777777" w:rsidR="00F03D76" w:rsidRPr="004A46F4" w:rsidRDefault="00F03D76" w:rsidP="000712D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1DFE08C" w14:textId="77777777" w:rsidR="00F03D76" w:rsidRPr="004A46F4" w:rsidRDefault="00F03D76" w:rsidP="000712D1">
      <w:pPr>
        <w:numPr>
          <w:ilvl w:val="0"/>
          <w:numId w:val="1"/>
        </w:numPr>
        <w:spacing w:line="360" w:lineRule="auto"/>
        <w:ind w:left="0" w:firstLine="0"/>
        <w:contextualSpacing/>
        <w:jc w:val="both"/>
        <w:rPr>
          <w:rFonts w:ascii="Palatino Linotype" w:hAnsi="Palatino Linotype"/>
          <w:color w:val="000000"/>
        </w:rPr>
      </w:pPr>
      <w:r w:rsidRPr="004A46F4">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Transparencia y Acceso a la </w:t>
      </w:r>
      <w:r w:rsidRPr="004A46F4">
        <w:rPr>
          <w:rFonts w:ascii="Palatino Linotype" w:eastAsia="Palatino Linotype" w:hAnsi="Palatino Linotype" w:cs="Palatino Linotype"/>
        </w:rPr>
        <w:t>Información</w:t>
      </w:r>
      <w:r w:rsidRPr="004A46F4">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14:paraId="38AE04B7" w14:textId="77777777" w:rsidR="00FA256B" w:rsidRPr="004A46F4" w:rsidRDefault="00FA256B" w:rsidP="000712D1">
      <w:pPr>
        <w:spacing w:line="360" w:lineRule="auto"/>
        <w:contextualSpacing/>
        <w:jc w:val="both"/>
        <w:rPr>
          <w:rFonts w:ascii="Palatino Linotype" w:eastAsia="Calibri" w:hAnsi="Palatino Linotype" w:cs="Arial"/>
        </w:rPr>
      </w:pPr>
    </w:p>
    <w:p w14:paraId="70B1788E" w14:textId="4D0810D6" w:rsidR="00942616" w:rsidRPr="004A46F4" w:rsidRDefault="00832A27" w:rsidP="000712D1">
      <w:pPr>
        <w:numPr>
          <w:ilvl w:val="0"/>
          <w:numId w:val="1"/>
        </w:numPr>
        <w:spacing w:line="360" w:lineRule="auto"/>
        <w:ind w:left="0" w:firstLine="0"/>
        <w:contextualSpacing/>
        <w:jc w:val="both"/>
        <w:rPr>
          <w:rFonts w:ascii="Palatino Linotype" w:eastAsia="Calibri" w:hAnsi="Palatino Linotype" w:cs="Arial"/>
        </w:rPr>
      </w:pPr>
      <w:r w:rsidRPr="004A46F4">
        <w:rPr>
          <w:rFonts w:ascii="Palatino Linotype" w:eastAsia="Calibri" w:hAnsi="Palatino Linotype" w:cs="Arial"/>
        </w:rPr>
        <w:t>Finalmente</w:t>
      </w:r>
      <w:r w:rsidR="00942616" w:rsidRPr="004A46F4">
        <w:rPr>
          <w:rFonts w:ascii="Palatino Linotype" w:eastAsia="Calibri" w:hAnsi="Palatino Linotype" w:cs="Arial"/>
        </w:rPr>
        <w:t xml:space="preserve">, el escrito contiene las formalidades previstas por el artículo 180 último párrafo de la </w:t>
      </w:r>
      <w:r w:rsidR="00066953" w:rsidRPr="004A46F4">
        <w:rPr>
          <w:rFonts w:ascii="Palatino Linotype" w:eastAsia="Calibri" w:hAnsi="Palatino Linotype" w:cs="Arial"/>
        </w:rPr>
        <w:t xml:space="preserve">citada </w:t>
      </w:r>
      <w:r w:rsidR="00942616" w:rsidRPr="004A46F4">
        <w:rPr>
          <w:rFonts w:ascii="Palatino Linotype" w:eastAsia="Calibri" w:hAnsi="Palatino Linotype" w:cs="Arial"/>
        </w:rPr>
        <w:t xml:space="preserve">Ley de la materia, por lo que es procedente que este Instituto conozca y </w:t>
      </w:r>
      <w:r w:rsidR="00B14FF2" w:rsidRPr="004A46F4">
        <w:rPr>
          <w:rFonts w:ascii="Palatino Linotype" w:eastAsia="Calibri" w:hAnsi="Palatino Linotype" w:cs="Arial"/>
        </w:rPr>
        <w:t>resuelva el presente R</w:t>
      </w:r>
      <w:r w:rsidR="00AE5DE4" w:rsidRPr="004A46F4">
        <w:rPr>
          <w:rFonts w:ascii="Palatino Linotype" w:eastAsia="Calibri" w:hAnsi="Palatino Linotype" w:cs="Arial"/>
        </w:rPr>
        <w:t>ecurso de Revisión.</w:t>
      </w:r>
    </w:p>
    <w:p w14:paraId="636AC809" w14:textId="77777777" w:rsidR="00942616" w:rsidRPr="004A46F4" w:rsidRDefault="00942616" w:rsidP="000712D1">
      <w:pPr>
        <w:pStyle w:val="Prrafodelista"/>
        <w:spacing w:line="360" w:lineRule="auto"/>
        <w:ind w:left="0"/>
        <w:rPr>
          <w:rFonts w:ascii="Palatino Linotype" w:eastAsia="Calibri" w:hAnsi="Palatino Linotype" w:cs="Arial"/>
        </w:rPr>
      </w:pPr>
    </w:p>
    <w:p w14:paraId="1288E334" w14:textId="0CED6418" w:rsidR="00942616" w:rsidRPr="004A46F4" w:rsidRDefault="00942616" w:rsidP="000712D1">
      <w:pPr>
        <w:pStyle w:val="Ttulo1"/>
        <w:spacing w:before="0" w:line="360" w:lineRule="auto"/>
        <w:rPr>
          <w:rFonts w:ascii="Palatino Linotype" w:hAnsi="Palatino Linotype"/>
          <w:b/>
          <w:color w:val="000000" w:themeColor="text1"/>
          <w:sz w:val="24"/>
          <w:szCs w:val="24"/>
        </w:rPr>
      </w:pPr>
      <w:bookmarkStart w:id="134" w:name="_Toc66998086"/>
      <w:bookmarkStart w:id="135" w:name="_Toc70526130"/>
      <w:r w:rsidRPr="004A46F4">
        <w:rPr>
          <w:rFonts w:ascii="Palatino Linotype" w:hAnsi="Palatino Linotype"/>
          <w:b/>
          <w:color w:val="auto"/>
          <w:sz w:val="24"/>
          <w:szCs w:val="24"/>
        </w:rPr>
        <w:t>TERCER</w:t>
      </w:r>
      <w:r w:rsidR="00952475" w:rsidRPr="004A46F4">
        <w:rPr>
          <w:rFonts w:ascii="Palatino Linotype" w:hAnsi="Palatino Linotype"/>
          <w:b/>
          <w:color w:val="auto"/>
          <w:sz w:val="24"/>
          <w:szCs w:val="24"/>
        </w:rPr>
        <w:t>A</w:t>
      </w:r>
      <w:r w:rsidRPr="004A46F4">
        <w:rPr>
          <w:rFonts w:ascii="Palatino Linotype" w:hAnsi="Palatino Linotype"/>
          <w:b/>
          <w:color w:val="auto"/>
          <w:sz w:val="24"/>
          <w:szCs w:val="24"/>
        </w:rPr>
        <w:t xml:space="preserve">. </w:t>
      </w:r>
      <w:bookmarkStart w:id="136" w:name="_Toc34246179"/>
      <w:bookmarkStart w:id="137" w:name="_Toc50033991"/>
      <w:bookmarkStart w:id="138" w:name="_Toc51259588"/>
      <w:bookmarkStart w:id="139" w:name="_Toc83128581"/>
      <w:bookmarkStart w:id="140" w:name="_Toc501021589"/>
      <w:bookmarkEnd w:id="134"/>
      <w:bookmarkEnd w:id="135"/>
      <w:r w:rsidR="00952475" w:rsidRPr="004A46F4">
        <w:rPr>
          <w:rFonts w:ascii="Palatino Linotype" w:hAnsi="Palatino Linotype"/>
          <w:b/>
          <w:color w:val="000000" w:themeColor="text1"/>
          <w:sz w:val="24"/>
          <w:szCs w:val="24"/>
        </w:rPr>
        <w:t>Descripción de hechos y planteamiento de la controversia.</w:t>
      </w:r>
      <w:bookmarkEnd w:id="136"/>
      <w:bookmarkEnd w:id="137"/>
      <w:bookmarkEnd w:id="138"/>
      <w:bookmarkEnd w:id="139"/>
      <w:bookmarkEnd w:id="140"/>
    </w:p>
    <w:p w14:paraId="78A4EE0C" w14:textId="03F18131" w:rsidR="00942616" w:rsidRPr="004A46F4" w:rsidRDefault="00942616" w:rsidP="000712D1">
      <w:pPr>
        <w:pStyle w:val="Prrafodelista"/>
        <w:numPr>
          <w:ilvl w:val="0"/>
          <w:numId w:val="1"/>
        </w:numPr>
        <w:spacing w:line="360" w:lineRule="auto"/>
        <w:ind w:left="0" w:firstLine="0"/>
        <w:jc w:val="both"/>
        <w:rPr>
          <w:rFonts w:ascii="Palatino Linotype" w:hAnsi="Palatino Linotype" w:cs="Arial"/>
        </w:rPr>
      </w:pPr>
      <w:r w:rsidRPr="004A46F4">
        <w:rPr>
          <w:rFonts w:ascii="Palatino Linotype" w:hAnsi="Palatino Linotype" w:cs="Arial"/>
        </w:rPr>
        <w:t xml:space="preserve">Se </w:t>
      </w:r>
      <w:r w:rsidRPr="004A46F4">
        <w:rPr>
          <w:rFonts w:ascii="Palatino Linotype" w:eastAsia="Calibri" w:hAnsi="Palatino Linotype" w:cs="Arial"/>
        </w:rPr>
        <w:t>solicitó</w:t>
      </w:r>
      <w:r w:rsidRPr="004A46F4">
        <w:rPr>
          <w:rFonts w:ascii="Palatino Linotype" w:hAnsi="Palatino Linotype" w:cs="Arial"/>
        </w:rPr>
        <w:t xml:space="preserve"> tener acceso, a la información que a continuación se </w:t>
      </w:r>
      <w:r w:rsidR="00E9244F" w:rsidRPr="004A46F4">
        <w:rPr>
          <w:rFonts w:ascii="Palatino Linotype" w:hAnsi="Palatino Linotype" w:cs="Arial"/>
        </w:rPr>
        <w:t>simplifica</w:t>
      </w:r>
      <w:r w:rsidRPr="004A46F4">
        <w:rPr>
          <w:rFonts w:ascii="Palatino Linotype" w:hAnsi="Palatino Linotype" w:cs="Arial"/>
        </w:rPr>
        <w:t>:</w:t>
      </w:r>
    </w:p>
    <w:p w14:paraId="03E081F2" w14:textId="222080AB" w:rsidR="0068530B" w:rsidRPr="004A46F4" w:rsidRDefault="00DE31FF" w:rsidP="004A46F4">
      <w:pPr>
        <w:pStyle w:val="Prrafodelista"/>
        <w:numPr>
          <w:ilvl w:val="0"/>
          <w:numId w:val="15"/>
        </w:numPr>
        <w:spacing w:line="360" w:lineRule="auto"/>
        <w:ind w:right="850"/>
        <w:jc w:val="both"/>
        <w:rPr>
          <w:rFonts w:ascii="Palatino Linotype" w:hAnsi="Palatino Linotype" w:cs="Arial"/>
          <w:b/>
          <w:sz w:val="22"/>
        </w:rPr>
      </w:pPr>
      <w:r w:rsidRPr="004A46F4">
        <w:rPr>
          <w:rFonts w:ascii="Palatino Linotype" w:hAnsi="Palatino Linotype" w:cs="Arial"/>
          <w:b/>
          <w:sz w:val="22"/>
        </w:rPr>
        <w:t xml:space="preserve">Presupuesto asignado a la Quinta Regiduría en el año 2022, así como su </w:t>
      </w:r>
      <w:r w:rsidRPr="004A46F4">
        <w:rPr>
          <w:rFonts w:ascii="Palatino Linotype" w:eastAsia="Palatino Linotype" w:hAnsi="Palatino Linotype" w:cs="Palatino Linotype"/>
          <w:b/>
          <w:color w:val="000000"/>
          <w:sz w:val="22"/>
        </w:rPr>
        <w:t>ejecución o aplicación</w:t>
      </w:r>
    </w:p>
    <w:p w14:paraId="53256A40" w14:textId="77777777" w:rsidR="00DE31FF" w:rsidRPr="004A46F4" w:rsidRDefault="00DE31FF" w:rsidP="000712D1">
      <w:pPr>
        <w:pStyle w:val="Prrafodelista"/>
        <w:spacing w:line="360" w:lineRule="auto"/>
        <w:ind w:left="778"/>
        <w:jc w:val="both"/>
        <w:rPr>
          <w:rFonts w:ascii="Palatino Linotype" w:hAnsi="Palatino Linotype" w:cs="Arial"/>
          <w:b/>
        </w:rPr>
      </w:pPr>
    </w:p>
    <w:p w14:paraId="59F937B2" w14:textId="207BAF81" w:rsidR="001A1023" w:rsidRPr="004A46F4" w:rsidRDefault="00942616" w:rsidP="000712D1">
      <w:pPr>
        <w:numPr>
          <w:ilvl w:val="0"/>
          <w:numId w:val="1"/>
        </w:numPr>
        <w:spacing w:line="360" w:lineRule="auto"/>
        <w:ind w:left="0" w:firstLine="0"/>
        <w:contextualSpacing/>
        <w:jc w:val="both"/>
        <w:rPr>
          <w:rFonts w:ascii="Palatino Linotype" w:hAnsi="Palatino Linotype" w:cs="Arial"/>
          <w:i/>
          <w:color w:val="000000" w:themeColor="text1"/>
        </w:rPr>
      </w:pPr>
      <w:r w:rsidRPr="004A46F4">
        <w:rPr>
          <w:rFonts w:ascii="Palatino Linotype" w:hAnsi="Palatino Linotype" w:cs="Arial"/>
        </w:rPr>
        <w:lastRenderedPageBreak/>
        <w:t xml:space="preserve">En </w:t>
      </w:r>
      <w:r w:rsidRPr="004A46F4">
        <w:rPr>
          <w:rFonts w:ascii="Palatino Linotype" w:eastAsia="Calibri" w:hAnsi="Palatino Linotype" w:cs="Arial"/>
        </w:rPr>
        <w:t>respuesta</w:t>
      </w:r>
      <w:r w:rsidRPr="004A46F4">
        <w:rPr>
          <w:rFonts w:ascii="Palatino Linotype" w:hAnsi="Palatino Linotype" w:cs="Arial"/>
        </w:rPr>
        <w:t xml:space="preserve">, el </w:t>
      </w:r>
      <w:r w:rsidR="00066953" w:rsidRPr="004A46F4">
        <w:rPr>
          <w:rFonts w:ascii="Palatino Linotype" w:hAnsi="Palatino Linotype" w:cs="Arial"/>
        </w:rPr>
        <w:t>Sujeto Obligado</w:t>
      </w:r>
      <w:r w:rsidR="00066953" w:rsidRPr="004A46F4">
        <w:rPr>
          <w:rFonts w:ascii="Palatino Linotype" w:hAnsi="Palatino Linotype" w:cs="Arial"/>
          <w:b/>
        </w:rPr>
        <w:t xml:space="preserve"> </w:t>
      </w:r>
      <w:r w:rsidRPr="004A46F4">
        <w:rPr>
          <w:rFonts w:ascii="Palatino Linotype" w:hAnsi="Palatino Linotype" w:cs="Arial"/>
        </w:rPr>
        <w:t>remitió</w:t>
      </w:r>
      <w:r w:rsidR="00EE5D31" w:rsidRPr="004A46F4">
        <w:rPr>
          <w:rFonts w:ascii="Palatino Linotype" w:hAnsi="Palatino Linotype" w:cs="Arial"/>
        </w:rPr>
        <w:t xml:space="preserve"> </w:t>
      </w:r>
      <w:r w:rsidR="00A5352D" w:rsidRPr="004A46F4">
        <w:rPr>
          <w:rFonts w:ascii="Palatino Linotype" w:hAnsi="Palatino Linotype" w:cs="Arial"/>
        </w:rPr>
        <w:t xml:space="preserve">el </w:t>
      </w:r>
      <w:r w:rsidR="0032658F" w:rsidRPr="004A46F4">
        <w:rPr>
          <w:rFonts w:ascii="Palatino Linotype" w:hAnsi="Palatino Linotype" w:cs="Arial"/>
        </w:rPr>
        <w:t>o</w:t>
      </w:r>
      <w:r w:rsidR="00352A68" w:rsidRPr="004A46F4">
        <w:rPr>
          <w:rFonts w:ascii="Palatino Linotype" w:hAnsi="Palatino Linotype" w:cs="Arial"/>
        </w:rPr>
        <w:t>ficio</w:t>
      </w:r>
      <w:r w:rsidR="00A5352D" w:rsidRPr="004A46F4">
        <w:rPr>
          <w:rFonts w:ascii="Palatino Linotype" w:hAnsi="Palatino Linotype" w:cs="Arial"/>
        </w:rPr>
        <w:t xml:space="preserve"> ya descrito en el anterior Párrafo 2. Inconforme con la respuesta, se interpuso recurso de revisió</w:t>
      </w:r>
      <w:r w:rsidR="00464E97" w:rsidRPr="004A46F4">
        <w:rPr>
          <w:rFonts w:ascii="Palatino Linotype" w:hAnsi="Palatino Linotype" w:cs="Arial"/>
        </w:rPr>
        <w:t xml:space="preserve">n </w:t>
      </w:r>
      <w:r w:rsidR="00352A68" w:rsidRPr="004A46F4">
        <w:rPr>
          <w:rFonts w:ascii="Palatino Linotype" w:hAnsi="Palatino Linotype" w:cs="Arial"/>
        </w:rPr>
        <w:t>argumentando</w:t>
      </w:r>
      <w:r w:rsidR="00CF1B52" w:rsidRPr="004A46F4">
        <w:rPr>
          <w:rFonts w:ascii="Palatino Linotype" w:hAnsi="Palatino Linotype" w:cs="Arial"/>
        </w:rPr>
        <w:t xml:space="preserve"> </w:t>
      </w:r>
      <w:r w:rsidR="0059519D" w:rsidRPr="004A46F4">
        <w:rPr>
          <w:rFonts w:ascii="Palatino Linotype" w:hAnsi="Palatino Linotype" w:cs="Arial"/>
        </w:rPr>
        <w:t>de manera general</w:t>
      </w:r>
      <w:r w:rsidR="0022407E" w:rsidRPr="004A46F4">
        <w:rPr>
          <w:rFonts w:ascii="Palatino Linotype" w:hAnsi="Palatino Linotype" w:cs="Arial"/>
        </w:rPr>
        <w:t xml:space="preserve"> </w:t>
      </w:r>
      <w:r w:rsidR="00DE31FF" w:rsidRPr="004A46F4">
        <w:rPr>
          <w:rFonts w:ascii="Palatino Linotype" w:hAnsi="Palatino Linotype" w:cs="Arial"/>
        </w:rPr>
        <w:t>que lo entregado no corresponde con lo solicitado.</w:t>
      </w:r>
    </w:p>
    <w:p w14:paraId="5AA4EABD" w14:textId="49102265" w:rsidR="00942616" w:rsidRPr="004A46F4" w:rsidRDefault="00942616" w:rsidP="000712D1">
      <w:pPr>
        <w:numPr>
          <w:ilvl w:val="0"/>
          <w:numId w:val="1"/>
        </w:numPr>
        <w:spacing w:line="360" w:lineRule="auto"/>
        <w:ind w:left="0" w:firstLine="0"/>
        <w:contextualSpacing/>
        <w:jc w:val="both"/>
        <w:rPr>
          <w:rFonts w:ascii="Palatino Linotype" w:eastAsia="MS Mincho" w:hAnsi="Palatino Linotype" w:cs="Arial"/>
        </w:rPr>
      </w:pPr>
      <w:r w:rsidRPr="004A46F4">
        <w:rPr>
          <w:rFonts w:ascii="Palatino Linotype" w:eastAsia="MS Mincho" w:hAnsi="Palatino Linotype" w:cs="Arial"/>
        </w:rPr>
        <w:t xml:space="preserve">En </w:t>
      </w:r>
      <w:r w:rsidRPr="004A46F4">
        <w:rPr>
          <w:rFonts w:ascii="Palatino Linotype" w:hAnsi="Palatino Linotype" w:cs="Arial"/>
          <w:lang w:eastAsia="es-MX"/>
        </w:rPr>
        <w:t>dichas</w:t>
      </w:r>
      <w:r w:rsidRPr="004A46F4">
        <w:rPr>
          <w:rFonts w:ascii="Palatino Linotype" w:eastAsia="Times New Roman" w:hAnsi="Palatino Linotype" w:cs="Arial"/>
        </w:rPr>
        <w:t xml:space="preserve"> condiciones, la </w:t>
      </w:r>
      <w:r w:rsidR="00A5352D" w:rsidRPr="004A46F4">
        <w:rPr>
          <w:rFonts w:ascii="Palatino Linotype" w:eastAsia="Times New Roman" w:hAnsi="Palatino Linotype" w:cs="Arial"/>
        </w:rPr>
        <w:t>controversia</w:t>
      </w:r>
      <w:r w:rsidRPr="004A46F4">
        <w:rPr>
          <w:rFonts w:ascii="Palatino Linotype" w:eastAsia="Times New Roman" w:hAnsi="Palatino Linotype" w:cs="Arial"/>
        </w:rPr>
        <w:t xml:space="preserve"> a resolver en </w:t>
      </w:r>
      <w:r w:rsidR="00A5352D" w:rsidRPr="004A46F4">
        <w:rPr>
          <w:rFonts w:ascii="Palatino Linotype" w:eastAsia="Times New Roman" w:hAnsi="Palatino Linotype" w:cs="Arial"/>
        </w:rPr>
        <w:t>el presente</w:t>
      </w:r>
      <w:r w:rsidRPr="004A46F4">
        <w:rPr>
          <w:rFonts w:ascii="Palatino Linotype" w:eastAsia="Times New Roman" w:hAnsi="Palatino Linotype" w:cs="Arial"/>
        </w:rPr>
        <w:t xml:space="preserve"> </w:t>
      </w:r>
      <w:r w:rsidR="00A5352D" w:rsidRPr="004A46F4">
        <w:rPr>
          <w:rFonts w:ascii="Palatino Linotype" w:eastAsia="Times New Roman" w:hAnsi="Palatino Linotype" w:cs="Arial"/>
        </w:rPr>
        <w:t>proveído</w:t>
      </w:r>
      <w:r w:rsidR="00866A8C" w:rsidRPr="004A46F4">
        <w:rPr>
          <w:rFonts w:ascii="Palatino Linotype" w:eastAsia="Times New Roman" w:hAnsi="Palatino Linotype" w:cs="Arial"/>
        </w:rPr>
        <w:t>,</w:t>
      </w:r>
      <w:r w:rsidRPr="004A46F4">
        <w:rPr>
          <w:rFonts w:ascii="Palatino Linotype" w:eastAsia="Times New Roman" w:hAnsi="Palatino Linotype" w:cs="Arial"/>
        </w:rPr>
        <w:t xml:space="preserve"> </w:t>
      </w:r>
      <w:r w:rsidR="00866A8C" w:rsidRPr="004A46F4">
        <w:rPr>
          <w:rFonts w:ascii="Palatino Linotype" w:eastAsia="Times New Roman" w:hAnsi="Palatino Linotype" w:cs="Arial"/>
        </w:rPr>
        <w:t>corresponde</w:t>
      </w:r>
      <w:r w:rsidRPr="004A46F4">
        <w:rPr>
          <w:rFonts w:ascii="Palatino Linotype" w:eastAsia="Times New Roman" w:hAnsi="Palatino Linotype" w:cs="Arial"/>
        </w:rPr>
        <w:t xml:space="preserve"> a determinar si </w:t>
      </w:r>
      <w:r w:rsidRPr="004A46F4">
        <w:rPr>
          <w:rFonts w:ascii="Palatino Linotype" w:eastAsia="MS Mincho" w:hAnsi="Palatino Linotype" w:cs="Arial"/>
        </w:rPr>
        <w:t xml:space="preserve">se actualiza la causal de procedencia prevista en el artículo 179, </w:t>
      </w:r>
      <w:r w:rsidR="001A1023" w:rsidRPr="004A46F4">
        <w:rPr>
          <w:rFonts w:ascii="Palatino Linotype" w:eastAsia="MS Mincho" w:hAnsi="Palatino Linotype" w:cs="Arial"/>
        </w:rPr>
        <w:t xml:space="preserve">fracción </w:t>
      </w:r>
      <w:r w:rsidR="00DE31FF" w:rsidRPr="004A46F4">
        <w:rPr>
          <w:rFonts w:ascii="Palatino Linotype" w:eastAsia="MS Mincho" w:hAnsi="Palatino Linotype" w:cs="Arial"/>
        </w:rPr>
        <w:t>V</w:t>
      </w:r>
      <w:r w:rsidR="00352A68" w:rsidRPr="004A46F4">
        <w:rPr>
          <w:rFonts w:ascii="Palatino Linotype" w:eastAsia="MS Mincho" w:hAnsi="Palatino Linotype" w:cs="Arial"/>
        </w:rPr>
        <w:t>I</w:t>
      </w:r>
      <w:r w:rsidRPr="004A46F4">
        <w:rPr>
          <w:rFonts w:ascii="Palatino Linotype" w:eastAsia="MS Mincho" w:hAnsi="Palatino Linotype" w:cs="Arial"/>
          <w:b/>
        </w:rPr>
        <w:t xml:space="preserve"> </w:t>
      </w:r>
      <w:r w:rsidRPr="004A46F4">
        <w:rPr>
          <w:rFonts w:ascii="Palatino Linotype" w:eastAsia="MS Mincho" w:hAnsi="Palatino Linotype" w:cs="Arial"/>
        </w:rPr>
        <w:t>de la Ley de Transparencia y Acceso a la Información Pública del Estado de</w:t>
      </w:r>
      <w:r w:rsidRPr="004A46F4">
        <w:rPr>
          <w:rFonts w:ascii="Palatino Linotype" w:eastAsia="MS Mincho" w:hAnsi="Palatino Linotype" w:cs="Arial"/>
          <w:b/>
        </w:rPr>
        <w:t xml:space="preserve"> </w:t>
      </w:r>
      <w:r w:rsidRPr="004A46F4">
        <w:rPr>
          <w:rFonts w:ascii="Palatino Linotype" w:hAnsi="Palatino Linotype" w:cs="Arial"/>
        </w:rPr>
        <w:t>México</w:t>
      </w:r>
      <w:r w:rsidRPr="004A46F4">
        <w:rPr>
          <w:rFonts w:ascii="Palatino Linotype" w:eastAsia="MS Mincho" w:hAnsi="Palatino Linotype" w:cs="Arial"/>
          <w:b/>
        </w:rPr>
        <w:t xml:space="preserve"> </w:t>
      </w:r>
      <w:r w:rsidRPr="004A46F4">
        <w:rPr>
          <w:rFonts w:ascii="Palatino Linotype" w:eastAsia="MS Mincho" w:hAnsi="Palatino Linotype" w:cs="Arial"/>
        </w:rPr>
        <w:t>y</w:t>
      </w:r>
      <w:r w:rsidRPr="004A46F4">
        <w:rPr>
          <w:rFonts w:ascii="Palatino Linotype" w:eastAsia="MS Mincho" w:hAnsi="Palatino Linotype" w:cs="Arial"/>
          <w:b/>
        </w:rPr>
        <w:t xml:space="preserve"> </w:t>
      </w:r>
      <w:r w:rsidRPr="004A46F4">
        <w:rPr>
          <w:rFonts w:ascii="Palatino Linotype" w:hAnsi="Palatino Linotype" w:cs="Arial"/>
        </w:rPr>
        <w:t>Municipios</w:t>
      </w:r>
      <w:r w:rsidRPr="004A46F4">
        <w:rPr>
          <w:rFonts w:ascii="Palatino Linotype" w:eastAsia="MS Mincho" w:hAnsi="Palatino Linotype" w:cs="Arial"/>
        </w:rPr>
        <w:t xml:space="preserve">; </w:t>
      </w:r>
      <w:r w:rsidRPr="004A46F4">
        <w:rPr>
          <w:rFonts w:ascii="Palatino Linotype" w:eastAsia="Times New Roman" w:hAnsi="Palatino Linotype" w:cs="Arial"/>
          <w:color w:val="000000" w:themeColor="text1"/>
          <w:lang w:val="es-ES" w:eastAsia="es-MX"/>
        </w:rPr>
        <w:t xml:space="preserve">fracción que determina la hipótesis relativa a </w:t>
      </w:r>
      <w:r w:rsidR="00A5352D" w:rsidRPr="004A46F4">
        <w:rPr>
          <w:rFonts w:ascii="Palatino Linotype" w:eastAsia="Times New Roman" w:hAnsi="Palatino Linotype" w:cs="Arial"/>
          <w:color w:val="000000" w:themeColor="text1"/>
          <w:lang w:val="es-ES" w:eastAsia="es-MX"/>
        </w:rPr>
        <w:t xml:space="preserve">la </w:t>
      </w:r>
      <w:r w:rsidR="00DE31FF" w:rsidRPr="004A46F4">
        <w:rPr>
          <w:rFonts w:ascii="Palatino Linotype" w:eastAsia="Times New Roman" w:hAnsi="Palatino Linotype" w:cs="Arial"/>
          <w:color w:val="000000" w:themeColor="text1"/>
          <w:lang w:val="es-ES" w:eastAsia="es-MX"/>
        </w:rPr>
        <w:t>entrega de información que no corresponde con la solicitada</w:t>
      </w:r>
      <w:r w:rsidRPr="004A46F4">
        <w:rPr>
          <w:rFonts w:ascii="Palatino Linotype" w:eastAsia="MS Mincho" w:hAnsi="Palatino Linotype" w:cs="Arial"/>
        </w:rPr>
        <w:t>.</w:t>
      </w:r>
      <w:r w:rsidRPr="004A46F4">
        <w:rPr>
          <w:rFonts w:ascii="Palatino Linotype" w:eastAsia="Times New Roman" w:hAnsi="Palatino Linotype" w:cs="Arial"/>
          <w:color w:val="000000" w:themeColor="text1"/>
          <w:lang w:val="es-ES" w:eastAsia="es-MX"/>
        </w:rPr>
        <w:t xml:space="preserve"> De modo tal </w:t>
      </w:r>
      <w:r w:rsidRPr="004A46F4">
        <w:rPr>
          <w:rFonts w:ascii="Palatino Linotype" w:hAnsi="Palatino Linotype" w:cs="Arial"/>
          <w:color w:val="000000" w:themeColor="text1"/>
        </w:rPr>
        <w:t xml:space="preserve">que el presente recurso de revisión se abocara en determinar si el </w:t>
      </w:r>
      <w:r w:rsidR="00A5352D" w:rsidRPr="004A46F4">
        <w:rPr>
          <w:rFonts w:ascii="Palatino Linotype" w:hAnsi="Palatino Linotype" w:cs="Arial"/>
          <w:color w:val="000000" w:themeColor="text1"/>
        </w:rPr>
        <w:t xml:space="preserve">Sujeto Obligado </w:t>
      </w:r>
      <w:r w:rsidRPr="004A46F4">
        <w:rPr>
          <w:rFonts w:ascii="Palatino Linotype" w:hAnsi="Palatino Linotype" w:cs="Arial"/>
          <w:color w:val="000000" w:themeColor="text1"/>
        </w:rPr>
        <w:t xml:space="preserve">con su respuesta ciertamente </w:t>
      </w:r>
      <w:r w:rsidRPr="004A46F4">
        <w:rPr>
          <w:rFonts w:ascii="Palatino Linotype" w:eastAsia="Times New Roman" w:hAnsi="Palatino Linotype"/>
          <w:color w:val="000000" w:themeColor="text1"/>
        </w:rPr>
        <w:t>actualiza la causal de procedencia</w:t>
      </w:r>
      <w:r w:rsidRPr="004A46F4">
        <w:rPr>
          <w:rFonts w:ascii="Palatino Linotype" w:eastAsia="Times New Roman" w:hAnsi="Palatino Linotype"/>
          <w:b/>
          <w:color w:val="000000" w:themeColor="text1"/>
        </w:rPr>
        <w:t xml:space="preserve"> </w:t>
      </w:r>
      <w:r w:rsidRPr="004A46F4">
        <w:rPr>
          <w:rFonts w:ascii="Palatino Linotype" w:eastAsia="Times New Roman" w:hAnsi="Palatino Linotype" w:cs="Arial"/>
          <w:color w:val="000000" w:themeColor="text1"/>
          <w:lang w:eastAsia="es-MX"/>
        </w:rPr>
        <w:t xml:space="preserve">señalada. </w:t>
      </w:r>
    </w:p>
    <w:p w14:paraId="03CE46EE" w14:textId="77777777" w:rsidR="00942616" w:rsidRPr="004A46F4" w:rsidRDefault="00942616" w:rsidP="000712D1">
      <w:pPr>
        <w:spacing w:line="360" w:lineRule="auto"/>
        <w:rPr>
          <w:rFonts w:ascii="Palatino Linotype" w:eastAsia="MS Mincho" w:hAnsi="Palatino Linotype" w:cs="Arial"/>
        </w:rPr>
      </w:pPr>
    </w:p>
    <w:p w14:paraId="1B83CC04" w14:textId="12DF4385" w:rsidR="00942616" w:rsidRPr="004A46F4" w:rsidRDefault="00A5352D" w:rsidP="000712D1">
      <w:pPr>
        <w:pStyle w:val="Ttulo2"/>
        <w:spacing w:before="0" w:line="360" w:lineRule="auto"/>
        <w:rPr>
          <w:rFonts w:ascii="Palatino Linotype" w:hAnsi="Palatino Linotype"/>
          <w:b/>
          <w:color w:val="000000" w:themeColor="text1"/>
          <w:sz w:val="24"/>
          <w:szCs w:val="24"/>
        </w:rPr>
      </w:pPr>
      <w:bookmarkStart w:id="141" w:name="_Toc495427545"/>
      <w:bookmarkStart w:id="142" w:name="_Toc23414596"/>
      <w:bookmarkStart w:id="143" w:name="_Toc34819433"/>
      <w:bookmarkStart w:id="144" w:name="_Toc51259589"/>
      <w:bookmarkStart w:id="145" w:name="_Toc83128582"/>
      <w:r w:rsidRPr="004A46F4">
        <w:rPr>
          <w:rFonts w:ascii="Palatino Linotype" w:hAnsi="Palatino Linotype"/>
          <w:b/>
          <w:color w:val="000000" w:themeColor="text1"/>
          <w:sz w:val="24"/>
          <w:szCs w:val="24"/>
        </w:rPr>
        <w:t>CUARTA</w:t>
      </w:r>
      <w:r w:rsidR="00942616" w:rsidRPr="004A46F4">
        <w:rPr>
          <w:rFonts w:ascii="Palatino Linotype" w:hAnsi="Palatino Linotype"/>
          <w:b/>
          <w:color w:val="000000" w:themeColor="text1"/>
          <w:sz w:val="24"/>
          <w:szCs w:val="24"/>
        </w:rPr>
        <w:t xml:space="preserve">. </w:t>
      </w:r>
      <w:bookmarkEnd w:id="141"/>
      <w:bookmarkEnd w:id="142"/>
      <w:bookmarkEnd w:id="143"/>
      <w:bookmarkEnd w:id="144"/>
      <w:bookmarkEnd w:id="145"/>
      <w:r w:rsidR="003529FC" w:rsidRPr="004A46F4">
        <w:rPr>
          <w:rFonts w:ascii="Palatino Linotype" w:hAnsi="Palatino Linotype"/>
          <w:b/>
          <w:color w:val="000000" w:themeColor="text1"/>
          <w:sz w:val="24"/>
          <w:szCs w:val="24"/>
        </w:rPr>
        <w:t>Del estudio y resolución</w:t>
      </w:r>
      <w:r w:rsidR="00827F6B" w:rsidRPr="004A46F4">
        <w:rPr>
          <w:rFonts w:ascii="Palatino Linotype" w:hAnsi="Palatino Linotype"/>
          <w:b/>
          <w:color w:val="000000" w:themeColor="text1"/>
          <w:sz w:val="24"/>
          <w:szCs w:val="24"/>
        </w:rPr>
        <w:t>.</w:t>
      </w:r>
    </w:p>
    <w:p w14:paraId="22DCA5C9" w14:textId="7D22D5EA" w:rsidR="00464E97" w:rsidRPr="004A46F4" w:rsidRDefault="00866A8C" w:rsidP="000712D1">
      <w:pPr>
        <w:numPr>
          <w:ilvl w:val="0"/>
          <w:numId w:val="1"/>
        </w:numPr>
        <w:spacing w:line="360" w:lineRule="auto"/>
        <w:ind w:left="0" w:firstLine="0"/>
        <w:contextualSpacing/>
        <w:jc w:val="both"/>
        <w:rPr>
          <w:rFonts w:ascii="Palatino Linotype" w:hAnsi="Palatino Linotype" w:cs="Tahoma"/>
          <w:bCs/>
          <w:iCs/>
        </w:rPr>
      </w:pPr>
      <w:r w:rsidRPr="004A46F4">
        <w:rPr>
          <w:rFonts w:ascii="Palatino Linotype" w:eastAsia="MS Mincho" w:hAnsi="Palatino Linotype" w:cs="Arial"/>
        </w:rPr>
        <w:t>Determinado lo anterior; revisaremos la atención otorgada por el Sujeto Obligado a la solicitud</w:t>
      </w:r>
      <w:r w:rsidR="00570E37" w:rsidRPr="004A46F4">
        <w:rPr>
          <w:rFonts w:ascii="Palatino Linotype" w:eastAsia="MS Mincho" w:hAnsi="Palatino Linotype" w:cs="Arial"/>
        </w:rPr>
        <w:t xml:space="preserve"> que dio origen a este recurso, considerando </w:t>
      </w:r>
      <w:r w:rsidRPr="004A46F4">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4A46F4">
        <w:rPr>
          <w:rFonts w:ascii="Palatino Linotype" w:eastAsia="MS Mincho" w:hAnsi="Palatino Linotype" w:cs="Arial"/>
        </w:rPr>
        <w:t xml:space="preserve">su artículo </w:t>
      </w:r>
      <w:r w:rsidR="00E120A9" w:rsidRPr="004A46F4">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05BDD42" w14:textId="77777777" w:rsidR="00B14FF2" w:rsidRPr="004A46F4" w:rsidRDefault="00B14FF2" w:rsidP="000712D1">
      <w:pPr>
        <w:spacing w:line="360" w:lineRule="auto"/>
        <w:contextualSpacing/>
        <w:jc w:val="both"/>
        <w:rPr>
          <w:rFonts w:ascii="Palatino Linotype" w:hAnsi="Palatino Linotype" w:cs="Tahoma"/>
          <w:bCs/>
          <w:iCs/>
        </w:rPr>
      </w:pPr>
    </w:p>
    <w:p w14:paraId="7A45B9AE" w14:textId="732B23FC" w:rsidR="00E120A9" w:rsidRPr="004A46F4" w:rsidRDefault="00570E37" w:rsidP="000712D1">
      <w:pPr>
        <w:numPr>
          <w:ilvl w:val="0"/>
          <w:numId w:val="1"/>
        </w:numPr>
        <w:spacing w:line="360" w:lineRule="auto"/>
        <w:ind w:left="0" w:firstLine="0"/>
        <w:contextualSpacing/>
        <w:jc w:val="both"/>
        <w:rPr>
          <w:rFonts w:ascii="Palatino Linotype" w:hAnsi="Palatino Linotype" w:cs="Tahoma"/>
          <w:bCs/>
          <w:iCs/>
        </w:rPr>
      </w:pPr>
      <w:r w:rsidRPr="004A46F4">
        <w:rPr>
          <w:rFonts w:ascii="Palatino Linotype" w:hAnsi="Palatino Linotype" w:cs="Tahoma"/>
          <w:bCs/>
          <w:iCs/>
        </w:rPr>
        <w:t>Asimismo</w:t>
      </w:r>
      <w:r w:rsidR="00E120A9" w:rsidRPr="004A46F4">
        <w:rPr>
          <w:rFonts w:ascii="Palatino Linotype" w:hAnsi="Palatino Linotype" w:cs="Tahoma"/>
          <w:bCs/>
          <w:iCs/>
        </w:rPr>
        <w:t xml:space="preserve">, es relevante mencionar que el artículo 19 del ordenamiento local de la materia señala que se presume que la información debe existir si se refiere a las facultades, </w:t>
      </w:r>
      <w:r w:rsidR="00E120A9" w:rsidRPr="004A46F4">
        <w:rPr>
          <w:rFonts w:ascii="Palatino Linotype" w:hAnsi="Palatino Linotype" w:cs="Tahoma"/>
          <w:bCs/>
          <w:iCs/>
        </w:rPr>
        <w:lastRenderedPageBreak/>
        <w:t>competencias y funciones que los ordenamientos jurídicos aplicables otorgan a los sujetos obligados y en caso de que dichas facultades no se hayan ejercido, se deberá motivar la respuesta en función de las causas que motivaron tal circunstancia.</w:t>
      </w:r>
    </w:p>
    <w:p w14:paraId="14E74658" w14:textId="5C392385" w:rsidR="00E120A9" w:rsidRPr="004A46F4" w:rsidRDefault="00570E37" w:rsidP="000712D1">
      <w:pPr>
        <w:numPr>
          <w:ilvl w:val="0"/>
          <w:numId w:val="1"/>
        </w:numPr>
        <w:spacing w:line="360" w:lineRule="auto"/>
        <w:ind w:left="0" w:firstLine="0"/>
        <w:contextualSpacing/>
        <w:jc w:val="both"/>
        <w:rPr>
          <w:rFonts w:ascii="Palatino Linotype" w:hAnsi="Palatino Linotype" w:cs="Tahoma"/>
          <w:bCs/>
          <w:iCs/>
        </w:rPr>
      </w:pPr>
      <w:r w:rsidRPr="004A46F4">
        <w:rPr>
          <w:rFonts w:ascii="Palatino Linotype" w:hAnsi="Palatino Linotype" w:cs="Tahoma"/>
          <w:bCs/>
          <w:iCs/>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3E2C8FCE" w14:textId="77777777" w:rsidR="00FB260A" w:rsidRPr="004A46F4" w:rsidRDefault="00FB260A" w:rsidP="000712D1">
      <w:pPr>
        <w:pStyle w:val="Prrafodelista"/>
        <w:spacing w:line="360" w:lineRule="auto"/>
        <w:rPr>
          <w:rFonts w:ascii="Palatino Linotype" w:hAnsi="Palatino Linotype" w:cs="Tahoma"/>
          <w:bCs/>
          <w:iCs/>
        </w:rPr>
      </w:pPr>
    </w:p>
    <w:p w14:paraId="2091F7B7" w14:textId="36B1222E" w:rsidR="002676CE" w:rsidRPr="004A46F4" w:rsidRDefault="0023616B" w:rsidP="000712D1">
      <w:pPr>
        <w:numPr>
          <w:ilvl w:val="0"/>
          <w:numId w:val="1"/>
        </w:numPr>
        <w:spacing w:line="360" w:lineRule="auto"/>
        <w:ind w:left="0" w:firstLine="0"/>
        <w:contextualSpacing/>
        <w:jc w:val="both"/>
        <w:rPr>
          <w:rFonts w:ascii="Palatino Linotype" w:hAnsi="Palatino Linotype" w:cs="Tahoma"/>
          <w:bCs/>
          <w:iCs/>
        </w:rPr>
      </w:pPr>
      <w:r w:rsidRPr="004A46F4">
        <w:rPr>
          <w:rFonts w:ascii="Palatino Linotype" w:hAnsi="Palatino Linotype" w:cs="Tahoma"/>
          <w:bCs/>
          <w:iCs/>
        </w:rPr>
        <w:t xml:space="preserve">Acotado lo anterior, es dable primeramente </w:t>
      </w:r>
      <w:r w:rsidR="002676CE" w:rsidRPr="004A46F4">
        <w:rPr>
          <w:rFonts w:ascii="Palatino Linotype" w:hAnsi="Palatino Linotype" w:cs="Tahoma"/>
          <w:bCs/>
          <w:iCs/>
        </w:rPr>
        <w:t>recordar la información</w:t>
      </w:r>
      <w:r w:rsidR="00B01B1E" w:rsidRPr="004A46F4">
        <w:rPr>
          <w:rFonts w:ascii="Palatino Linotype" w:hAnsi="Palatino Linotype" w:cs="Tahoma"/>
          <w:bCs/>
          <w:iCs/>
        </w:rPr>
        <w:t xml:space="preserve"> </w:t>
      </w:r>
      <w:r w:rsidR="002676CE" w:rsidRPr="004A46F4">
        <w:rPr>
          <w:rFonts w:ascii="Palatino Linotype" w:hAnsi="Palatino Linotype" w:cs="Tahoma"/>
          <w:bCs/>
          <w:iCs/>
        </w:rPr>
        <w:t xml:space="preserve">entregada en respuesta, que versó en la entrega del formato </w:t>
      </w:r>
      <w:r w:rsidR="002676CE" w:rsidRPr="004A46F4">
        <w:rPr>
          <w:rFonts w:ascii="Palatino Linotype" w:hAnsi="Palatino Linotype" w:cs="Tahoma"/>
          <w:bCs/>
          <w:i/>
          <w:iCs/>
        </w:rPr>
        <w:t>PbRM-08c Avance Trimestral de Metas de Actividad por Proyecto del ejercicio fiscal 2022</w:t>
      </w:r>
      <w:r w:rsidR="002676CE" w:rsidRPr="004A46F4">
        <w:rPr>
          <w:rFonts w:ascii="Palatino Linotype" w:hAnsi="Palatino Linotype" w:cs="Tahoma"/>
          <w:bCs/>
          <w:iCs/>
        </w:rPr>
        <w:t>. Al respecto el formato PbRM-08c se refiere a un formato o informe relacionado con el seguimiento del avance de metas de actividad vinculadas a proyectos específicos dentro del marco del Presupuesto Basado en Resultados (PbR), dicho formato es utilizado para medir el progreso y desempeño en la ejecución de programas y proyectos, asegurando que los recursos se utilicen de manera eficiente y conforme a los objetivos establecidos. De lo anterior se advierte que los motivos de inconformidad son parcialmente fundados.</w:t>
      </w:r>
    </w:p>
    <w:p w14:paraId="1AD8FCAD" w14:textId="77777777" w:rsidR="002676CE" w:rsidRPr="004A46F4" w:rsidRDefault="002676CE" w:rsidP="000712D1">
      <w:pPr>
        <w:spacing w:line="360" w:lineRule="auto"/>
        <w:contextualSpacing/>
        <w:jc w:val="both"/>
        <w:rPr>
          <w:rFonts w:ascii="Palatino Linotype" w:hAnsi="Palatino Linotype" w:cs="Tahoma"/>
          <w:bCs/>
          <w:iCs/>
        </w:rPr>
      </w:pPr>
    </w:p>
    <w:p w14:paraId="7A7CEEF0" w14:textId="544C56D0" w:rsidR="002676CE" w:rsidRPr="004A46F4" w:rsidRDefault="00787472" w:rsidP="000712D1">
      <w:pPr>
        <w:numPr>
          <w:ilvl w:val="0"/>
          <w:numId w:val="1"/>
        </w:numPr>
        <w:spacing w:line="360" w:lineRule="auto"/>
        <w:ind w:left="0" w:firstLine="0"/>
        <w:contextualSpacing/>
        <w:jc w:val="both"/>
        <w:rPr>
          <w:rFonts w:ascii="Palatino Linotype" w:hAnsi="Palatino Linotype" w:cs="Tahoma"/>
          <w:bCs/>
          <w:iCs/>
        </w:rPr>
      </w:pPr>
      <w:r w:rsidRPr="004A46F4">
        <w:rPr>
          <w:rFonts w:ascii="Palatino Linotype" w:hAnsi="Palatino Linotype" w:cs="Tahoma"/>
          <w:bCs/>
          <w:iCs/>
        </w:rPr>
        <w:lastRenderedPageBreak/>
        <w:t>Si bien es cierto que en el formato de referencia se puede consultar por parte del solicitante la rendición de cuentas, mostrando cómo se ejecutan los recursos públicos asignados a cada proyecto, también lo es que la documentación entregada se aprecia ilegible.</w:t>
      </w:r>
      <w:r w:rsidR="00CA55B6" w:rsidRPr="004A46F4">
        <w:rPr>
          <w:rFonts w:ascii="Palatino Linotype" w:hAnsi="Palatino Linotype" w:cs="Tahoma"/>
          <w:bCs/>
          <w:iCs/>
        </w:rPr>
        <w:t xml:space="preserve"> Contexto del que se desprenden diversos aspectos.</w:t>
      </w:r>
    </w:p>
    <w:p w14:paraId="3CCB71CB" w14:textId="77777777" w:rsidR="002676CE" w:rsidRPr="004A46F4" w:rsidRDefault="002676CE" w:rsidP="000712D1">
      <w:pPr>
        <w:pStyle w:val="Prrafodelista"/>
        <w:spacing w:line="360" w:lineRule="auto"/>
        <w:rPr>
          <w:rFonts w:ascii="Palatino Linotype" w:hAnsi="Palatino Linotype" w:cs="Tahoma"/>
          <w:bCs/>
          <w:iCs/>
        </w:rPr>
      </w:pPr>
    </w:p>
    <w:p w14:paraId="70A5FBAA" w14:textId="77777777" w:rsidR="00EE4780" w:rsidRPr="004A46F4" w:rsidRDefault="00CA55B6" w:rsidP="000712D1">
      <w:pPr>
        <w:pStyle w:val="Prrafodelista"/>
        <w:numPr>
          <w:ilvl w:val="0"/>
          <w:numId w:val="1"/>
        </w:numPr>
        <w:spacing w:line="360" w:lineRule="auto"/>
        <w:ind w:left="0" w:firstLine="0"/>
        <w:jc w:val="both"/>
        <w:rPr>
          <w:rFonts w:ascii="Palatino Linotype" w:eastAsia="Times New Roman" w:hAnsi="Palatino Linotype" w:cs="Arial"/>
          <w:lang w:val="es-ES"/>
        </w:rPr>
      </w:pPr>
      <w:r w:rsidRPr="004A46F4">
        <w:rPr>
          <w:rFonts w:ascii="Palatino Linotype" w:hAnsi="Palatino Linotype" w:cs="Tahoma"/>
          <w:bCs/>
          <w:iCs/>
        </w:rPr>
        <w:t xml:space="preserve">El primero de ellos que el Sujeto Obligado con su respuesta asume </w:t>
      </w:r>
      <w:r w:rsidR="00EE4780" w:rsidRPr="004A46F4">
        <w:rPr>
          <w:rFonts w:ascii="Palatino Linotype" w:hAnsi="Palatino Linotype" w:cs="Tahoma"/>
          <w:bCs/>
          <w:iCs/>
        </w:rPr>
        <w:t xml:space="preserve">que genera, posee y administra la información </w:t>
      </w:r>
      <w:r w:rsidR="00EE4780" w:rsidRPr="004A46F4">
        <w:rPr>
          <w:rFonts w:ascii="Palatino Linotype" w:eastAsia="Times New Roman" w:hAnsi="Palatino Linotype" w:cs="Arial"/>
          <w:color w:val="222222"/>
          <w:lang w:eastAsia="es-MX"/>
        </w:rPr>
        <w:t>debe ser clara, entendible y legible, esto con la finalidad de que pueda ser verificada la información contenida en los documentos proporcionados, ya que de lo contrario se incumple el principio de accesibilidad ya que de lo contrario se incumple el principio de accesibilidad, lo que constituye una restricción indirecta al Derecho de Acceso a la Información Pública.</w:t>
      </w:r>
    </w:p>
    <w:p w14:paraId="2AB48A51" w14:textId="77777777" w:rsidR="00EE4780" w:rsidRPr="004A46F4" w:rsidRDefault="00EE4780" w:rsidP="000712D1">
      <w:pPr>
        <w:pStyle w:val="Prrafodelista"/>
        <w:spacing w:line="360" w:lineRule="auto"/>
        <w:ind w:left="0"/>
        <w:jc w:val="both"/>
        <w:rPr>
          <w:rFonts w:ascii="Palatino Linotype" w:eastAsia="Times New Roman" w:hAnsi="Palatino Linotype" w:cs="Arial"/>
          <w:lang w:val="es-ES"/>
        </w:rPr>
      </w:pPr>
    </w:p>
    <w:p w14:paraId="6B2B0C15" w14:textId="77777777" w:rsidR="00EE4780" w:rsidRPr="004A46F4" w:rsidRDefault="00EE4780" w:rsidP="000712D1">
      <w:pPr>
        <w:pStyle w:val="Prrafodelista"/>
        <w:numPr>
          <w:ilvl w:val="0"/>
          <w:numId w:val="1"/>
        </w:numPr>
        <w:spacing w:line="360" w:lineRule="auto"/>
        <w:ind w:left="0" w:firstLine="0"/>
        <w:jc w:val="both"/>
        <w:rPr>
          <w:rFonts w:ascii="Palatino Linotype" w:eastAsia="Times New Roman" w:hAnsi="Palatino Linotype" w:cs="Arial"/>
          <w:lang w:val="es-ES"/>
        </w:rPr>
      </w:pPr>
      <w:r w:rsidRPr="004A46F4">
        <w:rPr>
          <w:rFonts w:ascii="Palatino Linotype" w:eastAsia="Times New Roman" w:hAnsi="Palatino Linotype" w:cs="Arial"/>
          <w:color w:val="000000" w:themeColor="text1"/>
        </w:rPr>
        <w:t>Sirve de apoyo a lo anterior como criterio orientador la tesis número II. 1°. C.T. 55 C, publicada en el Semanario Judicial de la Federación y su Gaceta bajo el número de3 registro 201,412, que a la letra dice:</w:t>
      </w:r>
    </w:p>
    <w:p w14:paraId="6D7B667B" w14:textId="77777777" w:rsidR="00EE4780" w:rsidRPr="004A46F4" w:rsidRDefault="00EE4780" w:rsidP="004A46F4">
      <w:pPr>
        <w:pStyle w:val="Prrafodelista"/>
        <w:spacing w:line="360" w:lineRule="auto"/>
        <w:ind w:left="425" w:right="850"/>
        <w:jc w:val="both"/>
        <w:rPr>
          <w:rFonts w:ascii="Palatino Linotype" w:eastAsia="Times New Roman" w:hAnsi="Palatino Linotype" w:cs="Arial"/>
          <w:bCs/>
          <w:i/>
          <w:iCs/>
          <w:color w:val="000000" w:themeColor="text1"/>
          <w:sz w:val="22"/>
          <w:lang w:val="es-ES"/>
        </w:rPr>
      </w:pPr>
      <w:r w:rsidRPr="004A46F4">
        <w:rPr>
          <w:rFonts w:ascii="Palatino Linotype" w:eastAsia="Times New Roman" w:hAnsi="Palatino Linotype" w:cs="Arial"/>
          <w:b/>
          <w:bCs/>
          <w:i/>
          <w:iCs/>
          <w:color w:val="000000" w:themeColor="text1"/>
          <w:sz w:val="22"/>
          <w:lang w:val="es-ES"/>
        </w:rPr>
        <w:t>COTEJO DE COPIAS FOTOSTÁTICAS ILEGIBLES. AL NO SER POSIBLE CONSTATAR SU AUTENTICIDAD ES INÚTIL E INTRASCENDENTE SU PERFECCIONAMIENTO, POR LO QUE LA JUNTA ESTÁ IMPEDIDA PARA ORDENAR SU DESAHOGO</w:t>
      </w:r>
      <w:r w:rsidRPr="004A46F4">
        <w:rPr>
          <w:rFonts w:ascii="Palatino Linotype" w:eastAsia="Times New Roman" w:hAnsi="Palatino Linotype" w:cs="Arial"/>
          <w:bCs/>
          <w:i/>
          <w:iCs/>
          <w:color w:val="000000" w:themeColor="text1"/>
          <w:sz w:val="22"/>
          <w:lang w:val="es-ES"/>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w:t>
      </w:r>
      <w:r w:rsidRPr="004A46F4">
        <w:rPr>
          <w:rFonts w:ascii="Palatino Linotype" w:eastAsia="Times New Roman" w:hAnsi="Palatino Linotype" w:cs="Arial"/>
          <w:bCs/>
          <w:i/>
          <w:iCs/>
          <w:color w:val="000000" w:themeColor="text1"/>
          <w:sz w:val="22"/>
          <w:lang w:val="es-ES"/>
        </w:rPr>
        <w:lastRenderedPageBreak/>
        <w:t>puede dar lectura, dado que es ilegible; por tanto, al ser imposible constatar su autenticidad por medio del citado perfeccionamiento, dicha probanza se torna inútil e intrascendente, conforme al artículo 779 de la Ley Federal del Trabajo.</w:t>
      </w:r>
    </w:p>
    <w:p w14:paraId="72829C54" w14:textId="77777777" w:rsidR="000712D1" w:rsidRPr="004A46F4" w:rsidRDefault="000712D1" w:rsidP="000712D1">
      <w:pPr>
        <w:pStyle w:val="Prrafodelista"/>
        <w:spacing w:line="360" w:lineRule="auto"/>
        <w:ind w:left="425" w:right="474"/>
        <w:jc w:val="both"/>
        <w:rPr>
          <w:rFonts w:ascii="Palatino Linotype" w:eastAsia="Times New Roman" w:hAnsi="Palatino Linotype" w:cs="Arial"/>
          <w:bCs/>
          <w:i/>
          <w:iCs/>
          <w:color w:val="000000" w:themeColor="text1"/>
          <w:lang w:val="es-ES"/>
        </w:rPr>
      </w:pPr>
    </w:p>
    <w:p w14:paraId="32176968" w14:textId="5EAB09D0" w:rsidR="00EE4780" w:rsidRPr="004A46F4" w:rsidRDefault="00EE4780" w:rsidP="000712D1">
      <w:pPr>
        <w:pStyle w:val="Prrafodelista"/>
        <w:numPr>
          <w:ilvl w:val="0"/>
          <w:numId w:val="1"/>
        </w:numPr>
        <w:spacing w:line="360" w:lineRule="auto"/>
        <w:ind w:left="0" w:firstLine="0"/>
        <w:jc w:val="both"/>
        <w:rPr>
          <w:rFonts w:ascii="Palatino Linotype" w:eastAsia="Times New Roman" w:hAnsi="Palatino Linotype" w:cs="Arial"/>
          <w:color w:val="000000" w:themeColor="text1"/>
          <w:lang w:val="es-ES"/>
        </w:rPr>
      </w:pPr>
      <w:r w:rsidRPr="004A46F4">
        <w:rPr>
          <w:rFonts w:ascii="Palatino Linotype" w:eastAsia="Times New Roman" w:hAnsi="Palatino Linotype" w:cs="Arial"/>
          <w:bCs/>
          <w:color w:val="000000" w:themeColor="text1"/>
          <w:lang w:val="es-ES"/>
        </w:rPr>
        <w:t xml:space="preserve">Por </w:t>
      </w:r>
      <w:r w:rsidR="001B112C" w:rsidRPr="004A46F4">
        <w:rPr>
          <w:rFonts w:ascii="Palatino Linotype" w:eastAsia="Times New Roman" w:hAnsi="Palatino Linotype" w:cs="Arial"/>
          <w:bCs/>
          <w:color w:val="000000" w:themeColor="text1"/>
          <w:lang w:val="es-ES"/>
        </w:rPr>
        <w:t>otro lado no pasa desapercibido que en calidad de informe justificado se añadieron elementos novedosos como lo es la entrega de un enlace</w:t>
      </w:r>
      <w:r w:rsidRPr="004A46F4">
        <w:rPr>
          <w:rFonts w:ascii="Palatino Linotype" w:eastAsia="Times New Roman" w:hAnsi="Palatino Linotype" w:cs="Arial"/>
          <w:bCs/>
          <w:color w:val="000000" w:themeColor="text1"/>
          <w:lang w:val="es-ES"/>
        </w:rPr>
        <w:t>.</w:t>
      </w:r>
      <w:r w:rsidR="001B112C" w:rsidRPr="004A46F4">
        <w:rPr>
          <w:rFonts w:ascii="Palatino Linotype" w:eastAsia="Times New Roman" w:hAnsi="Palatino Linotype" w:cs="Arial"/>
          <w:bCs/>
          <w:color w:val="000000" w:themeColor="text1"/>
          <w:lang w:val="es-ES"/>
        </w:rPr>
        <w:t xml:space="preserve"> Mismo que después de una revisión, se obtuvo el resultado siguiente:</w:t>
      </w:r>
    </w:p>
    <w:p w14:paraId="62A456C3" w14:textId="77777777" w:rsidR="001B112C" w:rsidRPr="004A46F4" w:rsidRDefault="001B112C" w:rsidP="000712D1">
      <w:pPr>
        <w:spacing w:line="360" w:lineRule="auto"/>
        <w:jc w:val="both"/>
        <w:rPr>
          <w:rFonts w:ascii="Palatino Linotype" w:eastAsia="Times New Roman" w:hAnsi="Palatino Linotype" w:cs="Arial"/>
          <w:color w:val="000000" w:themeColor="text1"/>
          <w:lang w:val="es-ES"/>
        </w:rPr>
      </w:pPr>
    </w:p>
    <w:p w14:paraId="5A34D5CA" w14:textId="5D317E7C" w:rsidR="001B112C" w:rsidRPr="004A46F4" w:rsidRDefault="001B112C" w:rsidP="000712D1">
      <w:pPr>
        <w:spacing w:line="360" w:lineRule="auto"/>
        <w:jc w:val="center"/>
        <w:rPr>
          <w:rFonts w:ascii="Palatino Linotype" w:eastAsia="Times New Roman" w:hAnsi="Palatino Linotype" w:cs="Arial"/>
          <w:color w:val="000000" w:themeColor="text1"/>
          <w:lang w:val="es-ES"/>
        </w:rPr>
      </w:pPr>
      <w:r w:rsidRPr="004A46F4">
        <w:rPr>
          <w:rFonts w:ascii="Palatino Linotype" w:eastAsia="Times New Roman" w:hAnsi="Palatino Linotype" w:cs="Arial"/>
          <w:noProof/>
          <w:color w:val="000000" w:themeColor="text1"/>
          <w:lang w:val="es-MX" w:eastAsia="es-MX"/>
        </w:rPr>
        <w:drawing>
          <wp:inline distT="0" distB="0" distL="0" distR="0" wp14:anchorId="4ECE4D89" wp14:editId="4889996C">
            <wp:extent cx="5612130" cy="41351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4135120"/>
                    </a:xfrm>
                    <a:prstGeom prst="rect">
                      <a:avLst/>
                    </a:prstGeom>
                  </pic:spPr>
                </pic:pic>
              </a:graphicData>
            </a:graphic>
          </wp:inline>
        </w:drawing>
      </w:r>
    </w:p>
    <w:p w14:paraId="21706B1E" w14:textId="77777777" w:rsidR="002676CE" w:rsidRPr="004A46F4" w:rsidRDefault="002676CE" w:rsidP="000712D1">
      <w:pPr>
        <w:pStyle w:val="Prrafodelista"/>
        <w:spacing w:line="360" w:lineRule="auto"/>
        <w:rPr>
          <w:rFonts w:ascii="Palatino Linotype" w:hAnsi="Palatino Linotype" w:cs="Tahoma"/>
          <w:bCs/>
          <w:iCs/>
        </w:rPr>
      </w:pPr>
    </w:p>
    <w:p w14:paraId="70CA205B" w14:textId="7EDC9008" w:rsidR="002676CE" w:rsidRDefault="001B112C" w:rsidP="000712D1">
      <w:pPr>
        <w:pStyle w:val="Prrafodelista"/>
        <w:numPr>
          <w:ilvl w:val="0"/>
          <w:numId w:val="1"/>
        </w:numPr>
        <w:spacing w:line="360" w:lineRule="auto"/>
        <w:ind w:left="0" w:firstLine="0"/>
        <w:jc w:val="both"/>
        <w:rPr>
          <w:rFonts w:ascii="Palatino Linotype" w:hAnsi="Palatino Linotype" w:cs="Tahoma"/>
          <w:bCs/>
          <w:iCs/>
        </w:rPr>
      </w:pPr>
      <w:r w:rsidRPr="004A46F4">
        <w:rPr>
          <w:rFonts w:ascii="Palatino Linotype" w:hAnsi="Palatino Linotype" w:cs="Tahoma"/>
          <w:bCs/>
          <w:iCs/>
        </w:rPr>
        <w:t xml:space="preserve">Como se observa, consta en el sitio de referencia el Avance Trimestral de Indicadores Estratégicos o de Gestión, que corresponde a un informe utilizado para evaluar el </w:t>
      </w:r>
      <w:r w:rsidRPr="004A46F4">
        <w:rPr>
          <w:rFonts w:ascii="Palatino Linotype" w:hAnsi="Palatino Linotype" w:cs="Tahoma"/>
          <w:bCs/>
          <w:iCs/>
        </w:rPr>
        <w:lastRenderedPageBreak/>
        <w:t>desempeño de programas, proyectos o instituciones en función de indicadores previamente establecidos y medir el grado de cumplimiento de metas y objetivos estratégicos o de gestión durante un periodo trimestral; también lo es que corresponde a toda la administración pública municipal, por lo que para que el particular pueda obtener lo relativo a la Quinta Regiduría, debe realizar la búsqueda de la información hasta poderla obtener, lo que incumple lo establecido por la ley de la materia para poder colmar una solicitud de información mediante la entrega de enlaces de Internet.</w:t>
      </w:r>
    </w:p>
    <w:p w14:paraId="0945696E" w14:textId="77777777" w:rsidR="004A46F4" w:rsidRPr="004A46F4" w:rsidRDefault="004A46F4" w:rsidP="004A46F4">
      <w:pPr>
        <w:pStyle w:val="Prrafodelista"/>
        <w:spacing w:line="360" w:lineRule="auto"/>
        <w:ind w:left="0"/>
        <w:jc w:val="both"/>
        <w:rPr>
          <w:rFonts w:ascii="Palatino Linotype" w:hAnsi="Palatino Linotype" w:cs="Tahoma"/>
          <w:bCs/>
          <w:iCs/>
        </w:rPr>
      </w:pPr>
    </w:p>
    <w:p w14:paraId="5DB159C7" w14:textId="77777777" w:rsidR="00FD2066" w:rsidRPr="004A46F4" w:rsidRDefault="00E076DC" w:rsidP="000712D1">
      <w:pPr>
        <w:pStyle w:val="Prrafodelista"/>
        <w:numPr>
          <w:ilvl w:val="0"/>
          <w:numId w:val="1"/>
        </w:numPr>
        <w:spacing w:line="360" w:lineRule="auto"/>
        <w:ind w:left="0" w:firstLine="0"/>
        <w:jc w:val="both"/>
        <w:rPr>
          <w:rFonts w:ascii="Palatino Linotype" w:hAnsi="Palatino Linotype"/>
        </w:rPr>
      </w:pPr>
      <w:r w:rsidRPr="004A46F4">
        <w:rPr>
          <w:rFonts w:ascii="Palatino Linotype" w:hAnsi="Palatino Linotype"/>
        </w:rPr>
        <w:t>E</w:t>
      </w:r>
      <w:r w:rsidR="00560AF2" w:rsidRPr="004A46F4">
        <w:rPr>
          <w:rFonts w:ascii="Palatino Linotype" w:hAnsi="Palatino Linotype"/>
        </w:rPr>
        <w:t xml:space="preserve">n virtud que no es preciso y directo pues este conduce a </w:t>
      </w:r>
      <w:r w:rsidRPr="004A46F4">
        <w:rPr>
          <w:rFonts w:ascii="Palatino Linotype" w:hAnsi="Palatino Linotype"/>
        </w:rPr>
        <w:t xml:space="preserve">formatos que no es su obligación conocer su </w:t>
      </w:r>
      <w:r w:rsidRPr="004A46F4">
        <w:rPr>
          <w:rFonts w:ascii="Palatino Linotype" w:eastAsia="Palatino Linotype" w:hAnsi="Palatino Linotype" w:cs="Palatino Linotype"/>
        </w:rPr>
        <w:t>estructura</w:t>
      </w:r>
      <w:r w:rsidRPr="004A46F4">
        <w:rPr>
          <w:rFonts w:ascii="Palatino Linotype" w:hAnsi="Palatino Linotype"/>
        </w:rPr>
        <w:t xml:space="preserve"> por parte del solicitante, para que dentro de la</w:t>
      </w:r>
      <w:r w:rsidR="00560AF2" w:rsidRPr="004A46F4">
        <w:rPr>
          <w:rFonts w:ascii="Palatino Linotype" w:hAnsi="Palatino Linotype"/>
        </w:rPr>
        <w:t xml:space="preserve"> numerosa información</w:t>
      </w:r>
      <w:r w:rsidRPr="004A46F4">
        <w:rPr>
          <w:rFonts w:ascii="Palatino Linotype" w:hAnsi="Palatino Linotype"/>
        </w:rPr>
        <w:t xml:space="preserve"> pueda obtener lo solicitado</w:t>
      </w:r>
      <w:r w:rsidR="00560AF2" w:rsidRPr="004A46F4">
        <w:rPr>
          <w:rFonts w:ascii="Palatino Linotype" w:hAnsi="Palatino Linotype"/>
        </w:rPr>
        <w:t xml:space="preserve">, lo que implica que el particular deba realizar una investigación de propia </w:t>
      </w:r>
      <w:r w:rsidR="00560AF2" w:rsidRPr="004A46F4">
        <w:rPr>
          <w:rFonts w:ascii="Palatino Linotype" w:hAnsi="Palatino Linotype" w:cs="Tahoma"/>
          <w:bCs/>
          <w:iCs/>
        </w:rPr>
        <w:t>cuenta</w:t>
      </w:r>
      <w:r w:rsidR="00560AF2" w:rsidRPr="004A46F4">
        <w:rPr>
          <w:rFonts w:ascii="Palatino Linotype" w:hAnsi="Palatino Linotype"/>
        </w:rPr>
        <w:t xml:space="preserve"> a efecto de eventualmente poder localizar la información de su inter</w:t>
      </w:r>
      <w:r w:rsidR="00FD2066" w:rsidRPr="004A46F4">
        <w:rPr>
          <w:rFonts w:ascii="Palatino Linotype" w:hAnsi="Palatino Linotype"/>
        </w:rPr>
        <w:t>és.</w:t>
      </w:r>
    </w:p>
    <w:p w14:paraId="36F1314C" w14:textId="77777777" w:rsidR="00FD2066" w:rsidRPr="004A46F4" w:rsidRDefault="00FD2066" w:rsidP="000712D1">
      <w:pPr>
        <w:pStyle w:val="Prrafodelista"/>
        <w:spacing w:line="360" w:lineRule="auto"/>
        <w:ind w:left="0"/>
        <w:jc w:val="both"/>
        <w:rPr>
          <w:rFonts w:ascii="Palatino Linotype" w:hAnsi="Palatino Linotype"/>
        </w:rPr>
      </w:pPr>
    </w:p>
    <w:p w14:paraId="0D80849E" w14:textId="77777777" w:rsidR="00FD2066" w:rsidRPr="004A46F4" w:rsidRDefault="00FD2066" w:rsidP="000712D1">
      <w:pPr>
        <w:pStyle w:val="Prrafodelista"/>
        <w:numPr>
          <w:ilvl w:val="0"/>
          <w:numId w:val="1"/>
        </w:numPr>
        <w:spacing w:line="360" w:lineRule="auto"/>
        <w:ind w:left="0" w:firstLine="0"/>
        <w:jc w:val="both"/>
        <w:rPr>
          <w:rFonts w:ascii="Palatino Linotype" w:hAnsi="Palatino Linotype"/>
        </w:rPr>
      </w:pPr>
      <w:r w:rsidRPr="004A46F4">
        <w:rPr>
          <w:rFonts w:ascii="Palatino Linotype" w:hAnsi="Palatino Linotype"/>
        </w:rPr>
        <w:t>I</w:t>
      </w:r>
      <w:r w:rsidR="00560AF2" w:rsidRPr="004A46F4">
        <w:rPr>
          <w:rFonts w:ascii="Palatino Linotype" w:hAnsi="Palatino Linotype"/>
        </w:rPr>
        <w:t xml:space="preserve">ncluso el propio </w:t>
      </w:r>
      <w:r w:rsidR="00560AF2" w:rsidRPr="004A46F4">
        <w:rPr>
          <w:rFonts w:ascii="Palatino Linotype" w:hAnsi="Palatino Linotype"/>
          <w:b/>
        </w:rPr>
        <w:t>SUJETO OBLIGADO</w:t>
      </w:r>
      <w:r w:rsidR="00560AF2" w:rsidRPr="004A46F4">
        <w:rPr>
          <w:rFonts w:ascii="Palatino Linotype" w:hAnsi="Palatino Linotype"/>
        </w:rPr>
        <w:t xml:space="preserve"> así lo infiere a señalarle al particular </w:t>
      </w:r>
      <w:r w:rsidR="00E076DC" w:rsidRPr="004A46F4">
        <w:rPr>
          <w:rFonts w:ascii="Palatino Linotype" w:hAnsi="Palatino Linotype"/>
        </w:rPr>
        <w:t>que mediante los cuatro códigos QR que adjunta puede el particular consultar las Guías Metodológicas para el Seguimiento y Evaluación del Plan de Desarrollo Municipal por Trimestres, lo que resulta improcedente</w:t>
      </w:r>
      <w:r w:rsidRPr="004A46F4">
        <w:rPr>
          <w:rFonts w:ascii="Palatino Linotype" w:hAnsi="Palatino Linotype"/>
        </w:rPr>
        <w:t xml:space="preserve"> para el ejercicio del derecho humano de acceso a la información pública, pues este se colma con la entrega del soporte documental donde conste o se advierte lo solicitado.</w:t>
      </w:r>
    </w:p>
    <w:p w14:paraId="57E685AE" w14:textId="77777777" w:rsidR="00FD2066" w:rsidRPr="004A46F4" w:rsidRDefault="00FD2066" w:rsidP="000712D1">
      <w:pPr>
        <w:pStyle w:val="Prrafodelista"/>
        <w:spacing w:line="360" w:lineRule="auto"/>
        <w:rPr>
          <w:rFonts w:ascii="Palatino Linotype" w:hAnsi="Palatino Linotype"/>
        </w:rPr>
      </w:pPr>
    </w:p>
    <w:p w14:paraId="52E86147" w14:textId="5D2E2B94" w:rsidR="00560AF2" w:rsidRPr="004A46F4" w:rsidRDefault="00FD2066" w:rsidP="000712D1">
      <w:pPr>
        <w:pStyle w:val="Prrafodelista"/>
        <w:numPr>
          <w:ilvl w:val="0"/>
          <w:numId w:val="1"/>
        </w:numPr>
        <w:spacing w:line="360" w:lineRule="auto"/>
        <w:ind w:left="0" w:firstLine="0"/>
        <w:jc w:val="both"/>
        <w:rPr>
          <w:rFonts w:ascii="Palatino Linotype" w:hAnsi="Palatino Linotype"/>
        </w:rPr>
      </w:pPr>
      <w:r w:rsidRPr="004A46F4">
        <w:rPr>
          <w:rFonts w:ascii="Palatino Linotype" w:hAnsi="Palatino Linotype"/>
        </w:rPr>
        <w:t xml:space="preserve">Si bien los sujetos obligados no están compelidos a generar documentos </w:t>
      </w:r>
      <w:r w:rsidRPr="004A46F4">
        <w:rPr>
          <w:rFonts w:ascii="Palatino Linotype" w:hAnsi="Palatino Linotype"/>
          <w:i/>
        </w:rPr>
        <w:t xml:space="preserve">ad hoc </w:t>
      </w:r>
      <w:r w:rsidRPr="004A46F4">
        <w:rPr>
          <w:rFonts w:ascii="Palatino Linotype" w:hAnsi="Palatino Linotype"/>
        </w:rPr>
        <w:t xml:space="preserve">para satisfacer necesidades particulares de los solicitantes, también lo es que los es que la entrega de la información no debe implicar que los particulares quienes además eventualmente no </w:t>
      </w:r>
      <w:r w:rsidRPr="004A46F4">
        <w:rPr>
          <w:rFonts w:ascii="Palatino Linotype" w:hAnsi="Palatino Linotype"/>
        </w:rPr>
        <w:lastRenderedPageBreak/>
        <w:t>son expertos en la materia, deban realizar búsquedas o investigaciones para obtener lo que es de su interés, bastando –se insiste–, con entregar el documento donde conste o se advierta lo solicitado.</w:t>
      </w:r>
    </w:p>
    <w:p w14:paraId="37E8D42F" w14:textId="77777777" w:rsidR="00560AF2" w:rsidRPr="004A46F4" w:rsidRDefault="00560AF2" w:rsidP="000712D1">
      <w:pPr>
        <w:spacing w:line="360" w:lineRule="auto"/>
        <w:jc w:val="both"/>
        <w:rPr>
          <w:rFonts w:ascii="Palatino Linotype" w:hAnsi="Palatino Linotype"/>
        </w:rPr>
      </w:pPr>
    </w:p>
    <w:p w14:paraId="7A20DE6C" w14:textId="21EBA874" w:rsidR="00560AF2" w:rsidRPr="004A46F4" w:rsidRDefault="00560AF2" w:rsidP="000712D1">
      <w:pPr>
        <w:pStyle w:val="Prrafodelista"/>
        <w:numPr>
          <w:ilvl w:val="0"/>
          <w:numId w:val="1"/>
        </w:numPr>
        <w:spacing w:line="360" w:lineRule="auto"/>
        <w:ind w:left="0" w:firstLine="0"/>
        <w:jc w:val="both"/>
        <w:rPr>
          <w:rFonts w:ascii="Palatino Linotype" w:hAnsi="Palatino Linotype"/>
        </w:rPr>
      </w:pPr>
      <w:r w:rsidRPr="004A46F4">
        <w:rPr>
          <w:rFonts w:ascii="Palatino Linotype" w:eastAsia="Palatino Linotype" w:hAnsi="Palatino Linotype" w:cs="Palatino Linotype"/>
        </w:rPr>
        <w:t xml:space="preserve">Una vez establecido lo anterior, se </w:t>
      </w:r>
      <w:r w:rsidR="00FD2066" w:rsidRPr="004A46F4">
        <w:rPr>
          <w:rFonts w:ascii="Palatino Linotype" w:eastAsia="Palatino Linotype" w:hAnsi="Palatino Linotype" w:cs="Palatino Linotype"/>
        </w:rPr>
        <w:t>estima procedente entregar lo solicitado, información que si bien ya se asumió que se posee y genera</w:t>
      </w:r>
      <w:r w:rsidRPr="004A46F4">
        <w:rPr>
          <w:rFonts w:ascii="Palatino Linotype" w:eastAsia="Palatino Linotype" w:hAnsi="Palatino Linotype" w:cs="Palatino Linotype"/>
        </w:rPr>
        <w:t xml:space="preserve">, no </w:t>
      </w:r>
      <w:r w:rsidR="00FD2066" w:rsidRPr="004A46F4">
        <w:rPr>
          <w:rFonts w:ascii="Palatino Linotype" w:eastAsia="Palatino Linotype" w:hAnsi="Palatino Linotype" w:cs="Palatino Linotype"/>
        </w:rPr>
        <w:t>es óbice para mencionar que</w:t>
      </w:r>
      <w:r w:rsidRPr="004A46F4">
        <w:rPr>
          <w:rFonts w:ascii="Palatino Linotype" w:eastAsia="Palatino Linotype" w:hAnsi="Palatino Linotype" w:cs="Palatino Linotype"/>
        </w:rPr>
        <w:t xml:space="preserve"> el presupuesto de egresos junto con las fórmulas de distribución de dichos recursos son parte de la información que deberá ser publicada según a lo establecido en la Ley de Transparencia y Acceso a la Información Pública del Estado de México y Municipios, en su artículo 94 dentro del apartado de obligaciones de transparencia específicas a los Sujetos Obligados fracción I relativa al Poder ejecutivo y Municipios, inciso B mismo que establece lo siguiente: </w:t>
      </w:r>
    </w:p>
    <w:p w14:paraId="5A01BCC9"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b/>
          <w:i/>
          <w:sz w:val="22"/>
        </w:rPr>
      </w:pPr>
      <w:r w:rsidRPr="004A46F4">
        <w:rPr>
          <w:rFonts w:ascii="Palatino Linotype" w:eastAsia="Palatino Linotype" w:hAnsi="Palatino Linotype" w:cs="Palatino Linotype"/>
          <w:b/>
          <w:i/>
          <w:sz w:val="22"/>
        </w:rPr>
        <w:t xml:space="preserve">“Capítulo III </w:t>
      </w:r>
    </w:p>
    <w:p w14:paraId="0FB44610"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b/>
          <w:i/>
          <w:sz w:val="22"/>
        </w:rPr>
      </w:pPr>
      <w:r w:rsidRPr="004A46F4">
        <w:rPr>
          <w:rFonts w:ascii="Palatino Linotype" w:eastAsia="Palatino Linotype" w:hAnsi="Palatino Linotype" w:cs="Palatino Linotype"/>
          <w:b/>
          <w:i/>
          <w:sz w:val="22"/>
        </w:rPr>
        <w:t xml:space="preserve">De las Obligaciones de </w:t>
      </w:r>
      <w:r w:rsidRPr="004A46F4">
        <w:rPr>
          <w:rFonts w:ascii="Palatino Linotype" w:eastAsia="Times New Roman" w:hAnsi="Palatino Linotype" w:cs="Arial"/>
          <w:bCs/>
          <w:i/>
          <w:iCs/>
          <w:color w:val="000000" w:themeColor="text1"/>
          <w:sz w:val="22"/>
          <w:lang w:val="es-ES"/>
        </w:rPr>
        <w:t>Transparencia</w:t>
      </w:r>
      <w:r w:rsidRPr="004A46F4">
        <w:rPr>
          <w:rFonts w:ascii="Palatino Linotype" w:eastAsia="Palatino Linotype" w:hAnsi="Palatino Linotype" w:cs="Palatino Linotype"/>
          <w:b/>
          <w:i/>
          <w:sz w:val="22"/>
        </w:rPr>
        <w:t xml:space="preserve"> Específicas de los Sujetos Obligados </w:t>
      </w:r>
    </w:p>
    <w:p w14:paraId="11F07B87" w14:textId="77777777" w:rsidR="00560AF2" w:rsidRPr="004A46F4" w:rsidRDefault="00560AF2" w:rsidP="000712D1">
      <w:pPr>
        <w:spacing w:line="360" w:lineRule="auto"/>
        <w:ind w:left="851"/>
        <w:jc w:val="both"/>
        <w:rPr>
          <w:rFonts w:ascii="Palatino Linotype" w:eastAsia="Palatino Linotype" w:hAnsi="Palatino Linotype" w:cs="Palatino Linotype"/>
          <w:b/>
          <w:i/>
          <w:sz w:val="22"/>
        </w:rPr>
      </w:pPr>
    </w:p>
    <w:p w14:paraId="51BFA7DC"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sz w:val="22"/>
        </w:rPr>
      </w:pPr>
      <w:r w:rsidRPr="004A46F4">
        <w:rPr>
          <w:rFonts w:ascii="Palatino Linotype" w:eastAsia="Palatino Linotype" w:hAnsi="Palatino Linotype" w:cs="Palatino Linotype"/>
          <w:b/>
          <w:i/>
          <w:sz w:val="22"/>
        </w:rPr>
        <w:t xml:space="preserve">Artículo 94. </w:t>
      </w:r>
      <w:r w:rsidRPr="004A46F4">
        <w:rPr>
          <w:rFonts w:ascii="Palatino Linotype" w:eastAsia="Palatino Linotype" w:hAnsi="Palatino Linotype" w:cs="Palatino Linotype"/>
          <w:i/>
          <w:sz w:val="22"/>
        </w:rPr>
        <w:t xml:space="preserve">Además de las obligaciones de transparencia común a que se refiere el Capítulo II </w:t>
      </w:r>
      <w:r w:rsidRPr="004A46F4">
        <w:rPr>
          <w:rFonts w:ascii="Palatino Linotype" w:eastAsia="Times New Roman" w:hAnsi="Palatino Linotype" w:cs="Arial"/>
          <w:bCs/>
          <w:i/>
          <w:iCs/>
          <w:color w:val="000000" w:themeColor="text1"/>
          <w:sz w:val="22"/>
          <w:lang w:val="es-ES"/>
        </w:rPr>
        <w:t>de</w:t>
      </w:r>
      <w:r w:rsidRPr="004A46F4">
        <w:rPr>
          <w:rFonts w:ascii="Palatino Linotype" w:eastAsia="Palatino Linotype" w:hAnsi="Palatino Linotype" w:cs="Palatino Linotype"/>
          <w:i/>
          <w:sz w:val="22"/>
        </w:rPr>
        <w:t xml:space="preserve"> este Título, los sujetos obligados del Poder Ejecutivo Local y municipales, deberán poner a disposición del público y actualizar la siguiente información</w:t>
      </w:r>
      <w:r w:rsidRPr="004A46F4">
        <w:rPr>
          <w:rFonts w:ascii="Palatino Linotype" w:eastAsia="Palatino Linotype" w:hAnsi="Palatino Linotype" w:cs="Palatino Linotype"/>
          <w:b/>
          <w:i/>
          <w:sz w:val="22"/>
        </w:rPr>
        <w:t>:</w:t>
      </w:r>
    </w:p>
    <w:p w14:paraId="40977724" w14:textId="77777777" w:rsidR="00560AF2" w:rsidRPr="004A46F4" w:rsidRDefault="00560AF2" w:rsidP="000712D1">
      <w:pPr>
        <w:spacing w:line="360" w:lineRule="auto"/>
        <w:ind w:left="851"/>
        <w:jc w:val="both"/>
        <w:rPr>
          <w:rFonts w:ascii="Palatino Linotype" w:eastAsia="Palatino Linotype" w:hAnsi="Palatino Linotype" w:cs="Palatino Linotype"/>
          <w:i/>
          <w:sz w:val="22"/>
        </w:rPr>
      </w:pPr>
    </w:p>
    <w:p w14:paraId="0DC28037"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b/>
          <w:i/>
          <w:sz w:val="22"/>
        </w:rPr>
      </w:pPr>
      <w:r w:rsidRPr="004A46F4">
        <w:rPr>
          <w:rFonts w:ascii="Palatino Linotype" w:eastAsia="Palatino Linotype" w:hAnsi="Palatino Linotype" w:cs="Palatino Linotype"/>
          <w:b/>
          <w:i/>
          <w:sz w:val="22"/>
        </w:rPr>
        <w:t xml:space="preserve">I. En el caso del Poder Ejecutivo y los Municipios, en el ámbito de su </w:t>
      </w:r>
      <w:r w:rsidRPr="004A46F4">
        <w:rPr>
          <w:rFonts w:ascii="Palatino Linotype" w:eastAsia="Times New Roman" w:hAnsi="Palatino Linotype" w:cs="Arial"/>
          <w:bCs/>
          <w:i/>
          <w:iCs/>
          <w:color w:val="000000" w:themeColor="text1"/>
          <w:sz w:val="22"/>
          <w:lang w:val="es-ES"/>
        </w:rPr>
        <w:t>competencia</w:t>
      </w:r>
      <w:r w:rsidRPr="004A46F4">
        <w:rPr>
          <w:rFonts w:ascii="Palatino Linotype" w:eastAsia="Palatino Linotype" w:hAnsi="Palatino Linotype" w:cs="Palatino Linotype"/>
          <w:b/>
          <w:i/>
          <w:sz w:val="22"/>
        </w:rPr>
        <w:t xml:space="preserve">: </w:t>
      </w:r>
    </w:p>
    <w:p w14:paraId="79BD732D"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b/>
          <w:i/>
          <w:sz w:val="22"/>
        </w:rPr>
      </w:pPr>
      <w:r w:rsidRPr="004A46F4">
        <w:rPr>
          <w:rFonts w:ascii="Palatino Linotype" w:eastAsia="Palatino Linotype" w:hAnsi="Palatino Linotype" w:cs="Palatino Linotype"/>
          <w:b/>
          <w:i/>
          <w:sz w:val="22"/>
        </w:rPr>
        <w:t xml:space="preserve">a) El Plan Estatal de Desarrollo y Plan de Desarrollo Municipal; </w:t>
      </w:r>
    </w:p>
    <w:p w14:paraId="73F88433"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sz w:val="22"/>
        </w:rPr>
      </w:pPr>
      <w:r w:rsidRPr="004A46F4">
        <w:rPr>
          <w:rFonts w:ascii="Palatino Linotype" w:eastAsia="Palatino Linotype" w:hAnsi="Palatino Linotype" w:cs="Palatino Linotype"/>
          <w:b/>
          <w:i/>
          <w:sz w:val="22"/>
        </w:rPr>
        <w:t xml:space="preserve">b) El </w:t>
      </w:r>
      <w:r w:rsidRPr="004A46F4">
        <w:rPr>
          <w:rFonts w:ascii="Palatino Linotype" w:eastAsia="Times New Roman" w:hAnsi="Palatino Linotype" w:cs="Arial"/>
          <w:bCs/>
          <w:i/>
          <w:iCs/>
          <w:color w:val="000000" w:themeColor="text1"/>
          <w:sz w:val="22"/>
          <w:lang w:val="es-ES"/>
        </w:rPr>
        <w:t>presupuesto</w:t>
      </w:r>
      <w:r w:rsidRPr="004A46F4">
        <w:rPr>
          <w:rFonts w:ascii="Palatino Linotype" w:eastAsia="Palatino Linotype" w:hAnsi="Palatino Linotype" w:cs="Palatino Linotype"/>
          <w:b/>
          <w:i/>
          <w:sz w:val="22"/>
        </w:rPr>
        <w:t xml:space="preserve"> de egresos y las fórmulas de distribución de los recursos otorgados;</w:t>
      </w:r>
      <w:r w:rsidRPr="004A46F4">
        <w:rPr>
          <w:rFonts w:ascii="Palatino Linotype" w:eastAsia="Palatino Linotype" w:hAnsi="Palatino Linotype" w:cs="Palatino Linotype"/>
          <w:i/>
          <w:sz w:val="22"/>
        </w:rPr>
        <w:t xml:space="preserve"> </w:t>
      </w:r>
    </w:p>
    <w:p w14:paraId="1FF4864D" w14:textId="5A5A3300"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sz w:val="22"/>
        </w:rPr>
      </w:pPr>
      <w:r w:rsidRPr="004A46F4">
        <w:rPr>
          <w:rFonts w:ascii="Palatino Linotype" w:eastAsia="Palatino Linotype" w:hAnsi="Palatino Linotype" w:cs="Palatino Linotype"/>
          <w:sz w:val="22"/>
        </w:rPr>
        <w:t>(</w:t>
      </w:r>
      <w:r w:rsidR="000712D1" w:rsidRPr="004A46F4">
        <w:rPr>
          <w:rFonts w:ascii="Palatino Linotype" w:eastAsia="Palatino Linotype" w:hAnsi="Palatino Linotype" w:cs="Palatino Linotype"/>
          <w:sz w:val="22"/>
        </w:rPr>
        <w:t>Énfasis</w:t>
      </w:r>
      <w:r w:rsidRPr="004A46F4">
        <w:rPr>
          <w:rFonts w:ascii="Palatino Linotype" w:eastAsia="Palatino Linotype" w:hAnsi="Palatino Linotype" w:cs="Palatino Linotype"/>
          <w:sz w:val="22"/>
        </w:rPr>
        <w:t xml:space="preserve"> añadido)</w:t>
      </w:r>
    </w:p>
    <w:p w14:paraId="2480A578" w14:textId="77777777" w:rsidR="00560AF2" w:rsidRPr="004A46F4" w:rsidRDefault="00560AF2" w:rsidP="000712D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658A743"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rPr>
      </w:pPr>
      <w:r w:rsidRPr="004A46F4">
        <w:rPr>
          <w:rFonts w:ascii="Palatino Linotype" w:eastAsia="Palatino Linotype" w:hAnsi="Palatino Linotype" w:cs="Palatino Linotype"/>
        </w:rPr>
        <w:lastRenderedPageBreak/>
        <w:t>Por su parte, el Manual para la Planeación, Programación y Presupuesto de Egresos Municipal para el ejercicio fiscal de 2022, define al presupuesto municipal de acuerdo con lo establecido en el artículo 285 del Código Financiero del Estado de México y Municipios,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durante el ejercicio fiscal correspondiente.</w:t>
      </w:r>
    </w:p>
    <w:p w14:paraId="4215AECC" w14:textId="77777777" w:rsidR="00560AF2" w:rsidRPr="004A46F4" w:rsidRDefault="00560AF2" w:rsidP="000712D1">
      <w:pPr>
        <w:spacing w:line="360" w:lineRule="auto"/>
        <w:jc w:val="both"/>
        <w:rPr>
          <w:rFonts w:ascii="Palatino Linotype" w:eastAsia="Palatino Linotype" w:hAnsi="Palatino Linotype" w:cs="Palatino Linotype"/>
        </w:rPr>
      </w:pPr>
    </w:p>
    <w:p w14:paraId="54DFB2E2"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rPr>
      </w:pPr>
      <w:r w:rsidRPr="004A46F4">
        <w:rPr>
          <w:rFonts w:ascii="Palatino Linotype" w:eastAsia="Palatino Linotype" w:hAnsi="Palatino Linotype" w:cs="Palatino Linotype"/>
        </w:rPr>
        <w:t xml:space="preserve">Así pues, el Presupuesto de Egresos se debe enviar conforme al requerimiento y los Lineamientos para la entrega del Presupuesto de Egresos Municipal 2022 emitidos por el Órgano Superior de Fiscalización del Estado de México. </w:t>
      </w:r>
    </w:p>
    <w:p w14:paraId="24DE5BB9" w14:textId="77777777" w:rsidR="00560AF2" w:rsidRPr="004A46F4" w:rsidRDefault="00560AF2" w:rsidP="000712D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17196F6"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rPr>
      </w:pPr>
      <w:r w:rsidRPr="004A46F4">
        <w:rPr>
          <w:rFonts w:ascii="Palatino Linotype" w:eastAsia="Palatino Linotype" w:hAnsi="Palatino Linotype" w:cs="Palatino Linotype"/>
        </w:rPr>
        <w:t xml:space="preserve">Dichos lineamientos señalan que dentro de la información que deberá ser enviada se encuentra el Programa Operativo Anual, el cual contiene el Programa Anual Dimensión Administrativa del Gasto, mismo que se identifica con la Nomenclatura: PADAG00002022.txt, PADAG: Programa Anual Dimensión Administrativa del Gasto y está integrado por 9 columnas las cuales consisten en los siguiente: </w:t>
      </w:r>
    </w:p>
    <w:p w14:paraId="7DB90B2B" w14:textId="77777777" w:rsidR="00560AF2" w:rsidRPr="004A46F4" w:rsidRDefault="00560AF2" w:rsidP="000712D1">
      <w:pPr>
        <w:numPr>
          <w:ilvl w:val="0"/>
          <w:numId w:val="16"/>
        </w:numPr>
        <w:spacing w:line="360" w:lineRule="auto"/>
        <w:jc w:val="both"/>
        <w:rPr>
          <w:rFonts w:ascii="Palatino Linotype" w:eastAsia="Palatino Linotype" w:hAnsi="Palatino Linotype" w:cs="Palatino Linotype"/>
          <w:sz w:val="22"/>
        </w:rPr>
      </w:pPr>
      <w:r w:rsidRPr="004A46F4">
        <w:rPr>
          <w:rFonts w:ascii="Palatino Linotype" w:eastAsia="Palatino Linotype" w:hAnsi="Palatino Linotype" w:cs="Palatino Linotype"/>
          <w:sz w:val="22"/>
        </w:rPr>
        <w:t xml:space="preserve">Dependencia General: Anotar el código de la Dependencia General, de acuerdo con el Catálogo de Dependencias Generales establecido en el Manual para la Planeación, Programación y Presupuesto de Egresos Municipal para el Ejercicio Fiscal 2022 (columna 1). </w:t>
      </w:r>
    </w:p>
    <w:p w14:paraId="3EEE6C7B" w14:textId="77777777" w:rsidR="00560AF2" w:rsidRPr="004A46F4" w:rsidRDefault="00560AF2" w:rsidP="000712D1">
      <w:pPr>
        <w:numPr>
          <w:ilvl w:val="0"/>
          <w:numId w:val="16"/>
        </w:numPr>
        <w:spacing w:line="360" w:lineRule="auto"/>
        <w:jc w:val="both"/>
        <w:rPr>
          <w:rFonts w:ascii="Palatino Linotype" w:eastAsia="Palatino Linotype" w:hAnsi="Palatino Linotype" w:cs="Palatino Linotype"/>
          <w:sz w:val="22"/>
        </w:rPr>
      </w:pPr>
      <w:r w:rsidRPr="004A46F4">
        <w:rPr>
          <w:rFonts w:ascii="Palatino Linotype" w:eastAsia="Palatino Linotype" w:hAnsi="Palatino Linotype" w:cs="Palatino Linotype"/>
          <w:sz w:val="22"/>
        </w:rPr>
        <w:t xml:space="preserve">Dependencia Auxiliar: Anotar el código de la Dependencia Auxiliar, de acuerdo con el Catálogo de Dependencias Auxiliares establecido en el Manual para la Planeación, Programación y Presupuesto de Egresos Municipal para el Ejercicio Fiscal 2022 (columna 2). </w:t>
      </w:r>
    </w:p>
    <w:p w14:paraId="5BC47370" w14:textId="77777777" w:rsidR="00560AF2" w:rsidRPr="004A46F4" w:rsidRDefault="00560AF2" w:rsidP="000712D1">
      <w:pPr>
        <w:numPr>
          <w:ilvl w:val="0"/>
          <w:numId w:val="16"/>
        </w:numPr>
        <w:spacing w:line="360" w:lineRule="auto"/>
        <w:jc w:val="both"/>
        <w:rPr>
          <w:rFonts w:ascii="Palatino Linotype" w:eastAsia="Palatino Linotype" w:hAnsi="Palatino Linotype" w:cs="Palatino Linotype"/>
          <w:sz w:val="22"/>
        </w:rPr>
      </w:pPr>
      <w:r w:rsidRPr="004A46F4">
        <w:rPr>
          <w:rFonts w:ascii="Palatino Linotype" w:eastAsia="Palatino Linotype" w:hAnsi="Palatino Linotype" w:cs="Palatino Linotype"/>
          <w:sz w:val="22"/>
        </w:rPr>
        <w:lastRenderedPageBreak/>
        <w:t xml:space="preserve">Estructura Funcional Programática: Anotar los códigos de Finalidad, Función, Subfunción, Programa, Subprograma y Proyecto, de acuerdo con la Clasificación Funcional Programática Municipal establecida en el Manual para la Planeación, Programación y Presupuesto de Egresos Municipal para el Ejercicio Fiscal 2022 (columnas de la 3 a 8). </w:t>
      </w:r>
    </w:p>
    <w:p w14:paraId="1A8D77D7" w14:textId="77777777" w:rsidR="00560AF2" w:rsidRPr="004A46F4" w:rsidRDefault="00560AF2" w:rsidP="000712D1">
      <w:pPr>
        <w:numPr>
          <w:ilvl w:val="0"/>
          <w:numId w:val="16"/>
        </w:numPr>
        <w:spacing w:line="360" w:lineRule="auto"/>
        <w:jc w:val="both"/>
        <w:rPr>
          <w:rFonts w:ascii="Palatino Linotype" w:eastAsia="Palatino Linotype" w:hAnsi="Palatino Linotype" w:cs="Palatino Linotype"/>
          <w:sz w:val="22"/>
        </w:rPr>
      </w:pPr>
      <w:r w:rsidRPr="004A46F4">
        <w:rPr>
          <w:rFonts w:ascii="Palatino Linotype" w:eastAsia="Palatino Linotype" w:hAnsi="Palatino Linotype" w:cs="Palatino Linotype"/>
          <w:sz w:val="22"/>
        </w:rPr>
        <w:t>Presupuesto Autorizado por Proyecto: En este apartado se anotará el monto en pesos del presupuesto de egresos asignado para la ejecución de cada uno de los proyectos listados en el presente archivo (columna 9).</w:t>
      </w:r>
    </w:p>
    <w:p w14:paraId="051D33B3" w14:textId="77777777" w:rsidR="000712D1" w:rsidRPr="004A46F4" w:rsidRDefault="000712D1" w:rsidP="000712D1">
      <w:pPr>
        <w:spacing w:line="360" w:lineRule="auto"/>
        <w:ind w:left="720"/>
        <w:jc w:val="both"/>
        <w:rPr>
          <w:rFonts w:ascii="Palatino Linotype" w:eastAsia="Palatino Linotype" w:hAnsi="Palatino Linotype" w:cs="Palatino Linotype"/>
        </w:rPr>
      </w:pPr>
    </w:p>
    <w:p w14:paraId="403B3904"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rPr>
      </w:pPr>
      <w:r w:rsidRPr="004A46F4">
        <w:rPr>
          <w:rFonts w:ascii="Palatino Linotype" w:eastAsia="Palatino Linotype" w:hAnsi="Palatino Linotype" w:cs="Palatino Linotype"/>
        </w:rPr>
        <w:t xml:space="preserve">De lo anterior se puede señalar que dentro de la información remitida al OSFEM se encuentra el Presupuesto Autorizado por  Proyecto donde se anota el monto del presupuesto asignado para la ejecución de cada uno de los proyectos que además debe estar identificado por dependencia, tanto general como auxiliar. </w:t>
      </w:r>
    </w:p>
    <w:p w14:paraId="3B0713FD" w14:textId="77777777" w:rsidR="00560AF2" w:rsidRPr="004A46F4" w:rsidRDefault="00560AF2" w:rsidP="000712D1">
      <w:pPr>
        <w:spacing w:line="360" w:lineRule="auto"/>
        <w:jc w:val="both"/>
        <w:rPr>
          <w:rFonts w:ascii="Palatino Linotype" w:eastAsia="Palatino Linotype" w:hAnsi="Palatino Linotype" w:cs="Palatino Linotype"/>
          <w:color w:val="000000"/>
        </w:rPr>
      </w:pPr>
    </w:p>
    <w:p w14:paraId="199699F8"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color w:val="000000"/>
        </w:rPr>
      </w:pPr>
      <w:r w:rsidRPr="004A46F4">
        <w:rPr>
          <w:rFonts w:ascii="Palatino Linotype" w:eastAsia="Palatino Linotype" w:hAnsi="Palatino Linotype" w:cs="Palatino Linotype"/>
          <w:color w:val="000000"/>
        </w:rPr>
        <w:t xml:space="preserve">Con la determinación anterior quedará por colmado el derecho de acceso a la información del ahora Recurrente; toda vez que el Derecho que tutela este Órgano Garante corresponde a la  </w:t>
      </w:r>
      <w:r w:rsidRPr="004A46F4">
        <w:rPr>
          <w:rFonts w:ascii="Palatino Linotype" w:eastAsia="Palatino Linotype" w:hAnsi="Palatino Linotype" w:cs="Palatino Linotype"/>
          <w:i/>
          <w:color w:val="000000"/>
        </w:rPr>
        <w:t>igualdad de oportunidades para recibir, buscar e impartir información</w:t>
      </w:r>
      <w:r w:rsidRPr="004A46F4">
        <w:rPr>
          <w:rFonts w:ascii="Palatino Linotype" w:eastAsia="Palatino Linotype" w:hAnsi="Palatino Linotype" w:cs="Palatino Linotype"/>
          <w:i/>
          <w:color w:val="000000"/>
          <w:vertAlign w:val="superscript"/>
        </w:rPr>
        <w:footnoteReference w:id="1"/>
      </w:r>
      <w:r w:rsidRPr="004A46F4">
        <w:rPr>
          <w:rFonts w:ascii="Palatino Linotype" w:eastAsia="Palatino Linotype" w:hAnsi="Palatino Linotype" w:cs="Palatino Linotype"/>
          <w:i/>
          <w:color w:val="000000"/>
        </w:rPr>
        <w:t xml:space="preserve"> en posesión de cualquier autoridad, entidad, órgano y organismo de los </w:t>
      </w:r>
      <w:r w:rsidRPr="004A46F4">
        <w:rPr>
          <w:rFonts w:ascii="Palatino Linotype" w:eastAsia="Palatino Linotype" w:hAnsi="Palatino Linotype" w:cs="Palatino Linotype"/>
          <w:color w:val="000000"/>
        </w:rPr>
        <w:t>poderes</w:t>
      </w:r>
      <w:r w:rsidRPr="004A46F4">
        <w:rPr>
          <w:rFonts w:ascii="Palatino Linotype" w:eastAsia="Palatino Linotype" w:hAnsi="Palatino Linotype" w:cs="Palatino Linotype"/>
          <w:i/>
          <w:color w:val="000000"/>
        </w:rPr>
        <w:t xml:space="preserve"> Ejecutivo, Legislativo y Judicial, órganos autónomos, partidos políticos, </w:t>
      </w:r>
      <w:r w:rsidRPr="004A46F4">
        <w:rPr>
          <w:rFonts w:ascii="Palatino Linotype" w:eastAsia="Palatino Linotype" w:hAnsi="Palatino Linotype" w:cs="Palatino Linotype"/>
        </w:rPr>
        <w:t>fideicomisos</w:t>
      </w:r>
      <w:r w:rsidRPr="004A46F4">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4A46F4">
        <w:rPr>
          <w:rFonts w:ascii="Palatino Linotype" w:eastAsia="Palatino Linotype" w:hAnsi="Palatino Linotype" w:cs="Palatino Linotype"/>
          <w:color w:val="000000"/>
          <w:vertAlign w:val="superscript"/>
        </w:rPr>
        <w:footnoteReference w:id="2"/>
      </w:r>
      <w:r w:rsidRPr="004A46F4">
        <w:rPr>
          <w:rFonts w:ascii="Palatino Linotype" w:eastAsia="Palatino Linotype" w:hAnsi="Palatino Linotype" w:cs="Palatino Linotype"/>
          <w:i/>
          <w:color w:val="000000"/>
        </w:rPr>
        <w:t xml:space="preserve"> </w:t>
      </w:r>
      <w:r w:rsidRPr="004A46F4">
        <w:rPr>
          <w:rFonts w:ascii="Palatino Linotype" w:eastAsia="Palatino Linotype" w:hAnsi="Palatino Linotype" w:cs="Palatino Linotype"/>
          <w:color w:val="000000"/>
        </w:rPr>
        <w:t xml:space="preserve">que se constituye como una herramienta fundamental para </w:t>
      </w:r>
      <w:r w:rsidRPr="004A46F4">
        <w:rPr>
          <w:rFonts w:ascii="Palatino Linotype" w:eastAsia="Palatino Linotype" w:hAnsi="Palatino Linotype" w:cs="Palatino Linotype"/>
          <w:i/>
          <w:color w:val="000000"/>
        </w:rPr>
        <w:t xml:space="preserve">ejercer control democrático de las gestiones estatales, de forma tal que puedan cuestionar, indagar y considerar si se está dando un adecuado cumplimiento de las funciones </w:t>
      </w:r>
      <w:r w:rsidRPr="004A46F4">
        <w:rPr>
          <w:rFonts w:ascii="Palatino Linotype" w:eastAsia="Palatino Linotype" w:hAnsi="Palatino Linotype" w:cs="Palatino Linotype"/>
          <w:i/>
          <w:color w:val="000000"/>
        </w:rPr>
        <w:lastRenderedPageBreak/>
        <w:t>públicas,</w:t>
      </w:r>
      <w:r w:rsidRPr="004A46F4">
        <w:rPr>
          <w:rFonts w:ascii="Palatino Linotype" w:eastAsia="Palatino Linotype" w:hAnsi="Palatino Linotype" w:cs="Palatino Linotype"/>
          <w:i/>
          <w:color w:val="000000"/>
          <w:vertAlign w:val="superscript"/>
        </w:rPr>
        <w:footnoteReference w:id="3"/>
      </w:r>
      <w:r w:rsidRPr="004A46F4">
        <w:rPr>
          <w:rFonts w:ascii="Palatino Linotype" w:eastAsia="Palatino Linotype" w:hAnsi="Palatino Linotype" w:cs="Palatino Linotype"/>
          <w:color w:val="000000"/>
        </w:rPr>
        <w:t>fomentando</w:t>
      </w:r>
      <w:r w:rsidRPr="004A46F4">
        <w:rPr>
          <w:rFonts w:ascii="Palatino Linotype" w:eastAsia="Palatino Linotype" w:hAnsi="Palatino Linotype" w:cs="Palatino Linotype"/>
          <w:i/>
          <w:color w:val="000000"/>
        </w:rPr>
        <w:t xml:space="preserve"> la transparencia de las actividades estatales y</w:t>
      </w:r>
      <w:r w:rsidRPr="004A46F4">
        <w:rPr>
          <w:rFonts w:ascii="Palatino Linotype" w:eastAsia="Palatino Linotype" w:hAnsi="Palatino Linotype" w:cs="Palatino Linotype"/>
          <w:color w:val="000000"/>
        </w:rPr>
        <w:t xml:space="preserve"> promoviendo</w:t>
      </w:r>
      <w:r w:rsidRPr="004A46F4">
        <w:rPr>
          <w:rFonts w:ascii="Palatino Linotype" w:eastAsia="Palatino Linotype" w:hAnsi="Palatino Linotype" w:cs="Palatino Linotype"/>
          <w:i/>
          <w:color w:val="000000"/>
        </w:rPr>
        <w:t xml:space="preserve"> la responsabilidad de los funcionarios sobre su gestión pública</w:t>
      </w:r>
      <w:r w:rsidRPr="004A46F4">
        <w:rPr>
          <w:rFonts w:ascii="Palatino Linotype" w:eastAsia="Palatino Linotype" w:hAnsi="Palatino Linotype" w:cs="Palatino Linotype"/>
          <w:i/>
          <w:color w:val="000000"/>
          <w:vertAlign w:val="superscript"/>
        </w:rPr>
        <w:footnoteReference w:id="4"/>
      </w:r>
      <w:r w:rsidRPr="004A46F4">
        <w:rPr>
          <w:rFonts w:ascii="Palatino Linotype" w:eastAsia="Palatino Linotype" w:hAnsi="Palatino Linotype" w:cs="Palatino Linotype"/>
          <w:i/>
          <w:color w:val="000000"/>
        </w:rPr>
        <w:t xml:space="preserve"> </w:t>
      </w:r>
      <w:r w:rsidRPr="004A46F4">
        <w:rPr>
          <w:rFonts w:ascii="Palatino Linotype" w:eastAsia="Palatino Linotype" w:hAnsi="Palatino Linotype" w:cs="Palatino Linotype"/>
          <w:color w:val="000000"/>
        </w:rPr>
        <w:t>que permite</w:t>
      </w:r>
      <w:r w:rsidRPr="004A46F4">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4A46F4">
        <w:rPr>
          <w:rFonts w:ascii="Palatino Linotype" w:eastAsia="Palatino Linotype" w:hAnsi="Palatino Linotype" w:cs="Palatino Linotype"/>
          <w:i/>
          <w:color w:val="000000"/>
          <w:vertAlign w:val="superscript"/>
        </w:rPr>
        <w:footnoteReference w:id="5"/>
      </w:r>
      <w:r w:rsidRPr="004A46F4">
        <w:rPr>
          <w:rFonts w:ascii="Palatino Linotype" w:eastAsia="Palatino Linotype" w:hAnsi="Palatino Linotype" w:cs="Palatino Linotype"/>
          <w:color w:val="000000"/>
        </w:rPr>
        <w:t xml:space="preserve"> ” </w:t>
      </w:r>
    </w:p>
    <w:p w14:paraId="419D7664" w14:textId="77777777" w:rsidR="00560AF2" w:rsidRPr="004A46F4" w:rsidRDefault="00560AF2" w:rsidP="000712D1">
      <w:pPr>
        <w:spacing w:line="360" w:lineRule="auto"/>
        <w:jc w:val="both"/>
        <w:rPr>
          <w:rFonts w:ascii="Palatino Linotype" w:eastAsia="Palatino Linotype" w:hAnsi="Palatino Linotype" w:cs="Palatino Linotype"/>
          <w:color w:val="000000"/>
        </w:rPr>
      </w:pPr>
    </w:p>
    <w:p w14:paraId="50D3B61D"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color w:val="000000"/>
        </w:rPr>
      </w:pPr>
      <w:r w:rsidRPr="004A46F4">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4FE63EE" w14:textId="77777777" w:rsidR="00560AF2" w:rsidRPr="004A46F4" w:rsidRDefault="00560AF2" w:rsidP="000712D1">
      <w:pPr>
        <w:spacing w:line="360" w:lineRule="auto"/>
        <w:ind w:left="426"/>
        <w:jc w:val="both"/>
        <w:rPr>
          <w:rFonts w:ascii="Palatino Linotype" w:eastAsia="Palatino Linotype" w:hAnsi="Palatino Linotype" w:cs="Palatino Linotype"/>
          <w:b/>
          <w:i/>
          <w:color w:val="000000"/>
          <w:sz w:val="22"/>
        </w:rPr>
      </w:pPr>
      <w:r w:rsidRPr="004A46F4">
        <w:rPr>
          <w:rFonts w:ascii="Palatino Linotype" w:eastAsia="Palatino Linotype" w:hAnsi="Palatino Linotype" w:cs="Palatino Linotype"/>
          <w:b/>
          <w:i/>
          <w:color w:val="000000"/>
          <w:sz w:val="22"/>
        </w:rPr>
        <w:t>“CRITERIO 0002-11</w:t>
      </w:r>
    </w:p>
    <w:p w14:paraId="0E4C82CC"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color w:val="000000"/>
          <w:sz w:val="22"/>
        </w:rPr>
      </w:pPr>
      <w:r w:rsidRPr="004A46F4">
        <w:rPr>
          <w:rFonts w:ascii="Palatino Linotype" w:eastAsia="Palatino Linotype" w:hAnsi="Palatino Linotype" w:cs="Palatino Linotype"/>
          <w:b/>
          <w:i/>
          <w:color w:val="000000"/>
          <w:sz w:val="22"/>
        </w:rPr>
        <w:t>INFORMACIÓN PÚBLICA, CONCEPTO DE, EN MATERIA DE TRANSPARENCIA. INTERPRETACIÓN TEMÁTICA DE LOS ARTÍCULOS 2, FRACCIÓN V, XV, Y XVI, 3, 4,11 Y 41.</w:t>
      </w:r>
      <w:r w:rsidRPr="004A46F4">
        <w:rPr>
          <w:rFonts w:ascii="Palatino Linotype" w:eastAsia="Palatino Linotype" w:hAnsi="Palatino Linotype" w:cs="Palatino Linotype"/>
          <w:i/>
          <w:color w:val="000000"/>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8427DB7"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color w:val="000000"/>
          <w:sz w:val="22"/>
        </w:rPr>
      </w:pPr>
      <w:r w:rsidRPr="004A46F4">
        <w:rPr>
          <w:rFonts w:ascii="Palatino Linotype" w:eastAsia="Palatino Linotype" w:hAnsi="Palatino Linotype" w:cs="Palatino Linotype"/>
          <w:i/>
          <w:color w:val="000000"/>
          <w:sz w:val="22"/>
        </w:rPr>
        <w:lastRenderedPageBreak/>
        <w:t>En consecuencia el acceso a la información se refiere a que se cumplan cualquiera de los siguientes tres supuestos:</w:t>
      </w:r>
    </w:p>
    <w:p w14:paraId="19DD9266"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color w:val="000000"/>
          <w:sz w:val="22"/>
        </w:rPr>
      </w:pPr>
      <w:r w:rsidRPr="004A46F4">
        <w:rPr>
          <w:rFonts w:ascii="Palatino Linotype" w:eastAsia="Palatino Linotype" w:hAnsi="Palatino Linotype" w:cs="Palatino Linotype"/>
          <w:i/>
          <w:color w:val="000000"/>
          <w:sz w:val="22"/>
        </w:rPr>
        <w:t>Que se trate de información registrada en cualquier soporte documental, que en ejercicio de las atribuciones conferidas, sea generada por los Sujetos Obligados;</w:t>
      </w:r>
    </w:p>
    <w:p w14:paraId="64462061"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color w:val="000000"/>
          <w:sz w:val="22"/>
        </w:rPr>
      </w:pPr>
      <w:r w:rsidRPr="004A46F4">
        <w:rPr>
          <w:rFonts w:ascii="Palatino Linotype" w:eastAsia="Palatino Linotype" w:hAnsi="Palatino Linotype" w:cs="Palatino Linotype"/>
          <w:i/>
          <w:color w:val="000000"/>
          <w:sz w:val="22"/>
        </w:rPr>
        <w:t>Que se trate de información registrada en cualquier soporte documental, que en ejercicio de las atribuciones conferidas, sea administrada por los Sujetos Obligados, y</w:t>
      </w:r>
    </w:p>
    <w:p w14:paraId="71551475"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color w:val="000000"/>
          <w:sz w:val="22"/>
        </w:rPr>
      </w:pPr>
      <w:r w:rsidRPr="004A46F4">
        <w:rPr>
          <w:rFonts w:ascii="Palatino Linotype" w:eastAsia="Palatino Linotype" w:hAnsi="Palatino Linotype" w:cs="Palatino Linotype"/>
          <w:i/>
          <w:color w:val="000000"/>
          <w:sz w:val="22"/>
        </w:rPr>
        <w:t>Que se trate de información registrada en cualquier soporte documental, que en ejercicio de las atribuciones conferidas, se encuentre en posesión de los Sujetos Obligados.”</w:t>
      </w:r>
    </w:p>
    <w:p w14:paraId="67FEC9EF" w14:textId="77777777" w:rsidR="00560AF2" w:rsidRPr="004A46F4" w:rsidRDefault="00560AF2" w:rsidP="000712D1">
      <w:pPr>
        <w:spacing w:line="360" w:lineRule="auto"/>
        <w:jc w:val="both"/>
        <w:rPr>
          <w:rFonts w:ascii="Palatino Linotype" w:eastAsia="Palatino Linotype" w:hAnsi="Palatino Linotype" w:cs="Palatino Linotype"/>
          <w:color w:val="000000"/>
        </w:rPr>
      </w:pPr>
    </w:p>
    <w:p w14:paraId="3495B25D"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color w:val="000000"/>
        </w:rPr>
      </w:pPr>
      <w:r w:rsidRPr="004A46F4">
        <w:rPr>
          <w:rFonts w:ascii="Palatino Linotype" w:eastAsia="Palatino Linotype" w:hAnsi="Palatino Linotype" w:cs="Palatino Linotype"/>
          <w:color w:val="000000"/>
        </w:rPr>
        <w:t xml:space="preserve">Es así que, todos los actos de autoridad que realicen los Sujetos Obligados </w:t>
      </w:r>
      <w:r w:rsidRPr="004A46F4">
        <w:rPr>
          <w:rFonts w:ascii="Palatino Linotype" w:eastAsia="Palatino Linotype" w:hAnsi="Palatino Linotype" w:cs="Palatino Linotype"/>
          <w:b/>
          <w:color w:val="000000"/>
        </w:rPr>
        <w:t xml:space="preserve">deben estar </w:t>
      </w:r>
      <w:r w:rsidRPr="004A46F4">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6DE859C5" w14:textId="77777777" w:rsidR="00560AF2" w:rsidRPr="004A46F4" w:rsidRDefault="00560AF2" w:rsidP="000712D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5C8DF6B"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color w:val="000000"/>
        </w:rPr>
      </w:pPr>
      <w:r w:rsidRPr="004A46F4">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062FC14C"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color w:val="000000"/>
          <w:sz w:val="22"/>
        </w:rPr>
      </w:pPr>
      <w:r w:rsidRPr="004A46F4">
        <w:rPr>
          <w:rFonts w:ascii="Palatino Linotype" w:eastAsia="Palatino Linotype" w:hAnsi="Palatino Linotype" w:cs="Palatino Linotype"/>
          <w:b/>
          <w:i/>
          <w:color w:val="000000"/>
          <w:sz w:val="22"/>
        </w:rPr>
        <w:t xml:space="preserve">“Artículo 4. </w:t>
      </w:r>
      <w:r w:rsidRPr="004A46F4">
        <w:rPr>
          <w:rFonts w:ascii="Palatino Linotype" w:eastAsia="Palatino Linotype" w:hAnsi="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711747A4"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color w:val="000000"/>
          <w:sz w:val="22"/>
        </w:rPr>
      </w:pPr>
      <w:r w:rsidRPr="004A46F4">
        <w:rPr>
          <w:rFonts w:ascii="Palatino Linotype" w:eastAsia="Palatino Linotype" w:hAnsi="Palatino Linotype" w:cs="Palatino Linotype"/>
          <w:b/>
          <w:i/>
          <w:color w:val="000000"/>
          <w:sz w:val="22"/>
        </w:rPr>
        <w:t>Toda la información</w:t>
      </w:r>
      <w:r w:rsidRPr="004A46F4">
        <w:rPr>
          <w:rFonts w:ascii="Palatino Linotype" w:eastAsia="Palatino Linotype" w:hAnsi="Palatino Linotype" w:cs="Palatino Linotype"/>
          <w:i/>
          <w:color w:val="000000"/>
          <w:sz w:val="22"/>
        </w:rPr>
        <w:t xml:space="preserve"> generada, obtenida, adquirida, transformada, administrada o </w:t>
      </w:r>
      <w:r w:rsidRPr="004A46F4">
        <w:rPr>
          <w:rFonts w:ascii="Palatino Linotype" w:eastAsia="Palatino Linotype" w:hAnsi="Palatino Linotype" w:cs="Palatino Linotype"/>
          <w:b/>
          <w:i/>
          <w:color w:val="000000"/>
          <w:sz w:val="22"/>
        </w:rPr>
        <w:t>en posesión de los sujetos obligados es pública</w:t>
      </w:r>
      <w:r w:rsidRPr="004A46F4">
        <w:rPr>
          <w:rFonts w:ascii="Palatino Linotype" w:eastAsia="Palatino Linotype" w:hAnsi="Palatino Linotype" w:cs="Palatino Linotype"/>
          <w:i/>
          <w:color w:val="000000"/>
          <w:sz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4A46F4">
        <w:rPr>
          <w:rFonts w:ascii="Palatino Linotype" w:eastAsia="Palatino Linotype" w:hAnsi="Palatino Linotype" w:cs="Palatino Linotype"/>
          <w:i/>
          <w:color w:val="000000"/>
          <w:sz w:val="22"/>
        </w:rPr>
        <w:lastRenderedPageBreak/>
        <w:t>excepcionalmente como reservada temporalmente por razones de interés público, en los términos de las causas legítimas y estrictamente necesarias previstas por esta Ley.</w:t>
      </w:r>
    </w:p>
    <w:p w14:paraId="25243FE9"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color w:val="000000"/>
          <w:sz w:val="22"/>
        </w:rPr>
      </w:pPr>
      <w:r w:rsidRPr="004A46F4">
        <w:rPr>
          <w:rFonts w:ascii="Palatino Linotype" w:eastAsia="Palatino Linotype" w:hAnsi="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7F4514D2"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color w:val="000000"/>
        </w:rPr>
      </w:pPr>
      <w:r w:rsidRPr="004A46F4">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4A46F4">
        <w:rPr>
          <w:rFonts w:ascii="Palatino Linotype" w:eastAsia="Palatino Linotype" w:hAnsi="Palatino Linotype" w:cs="Palatino Linotype"/>
          <w:color w:val="000000"/>
          <w:vertAlign w:val="superscript"/>
        </w:rPr>
        <w:footnoteReference w:id="6"/>
      </w:r>
      <w:r w:rsidRPr="004A46F4">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83CAC03" w14:textId="77777777" w:rsidR="00560AF2" w:rsidRPr="004A46F4" w:rsidRDefault="00560AF2" w:rsidP="000712D1">
      <w:pPr>
        <w:spacing w:line="360" w:lineRule="auto"/>
        <w:jc w:val="both"/>
        <w:rPr>
          <w:rFonts w:ascii="Palatino Linotype" w:eastAsia="Palatino Linotype" w:hAnsi="Palatino Linotype" w:cs="Palatino Linotype"/>
          <w:color w:val="000000"/>
        </w:rPr>
      </w:pPr>
    </w:p>
    <w:p w14:paraId="6A9F9BF8" w14:textId="4B1B599F" w:rsidR="00560AF2" w:rsidRPr="004A46F4" w:rsidRDefault="00560AF2" w:rsidP="000712D1">
      <w:pPr>
        <w:pStyle w:val="Prrafodelista"/>
        <w:numPr>
          <w:ilvl w:val="0"/>
          <w:numId w:val="1"/>
        </w:numPr>
        <w:spacing w:line="360" w:lineRule="auto"/>
        <w:ind w:left="0" w:firstLine="0"/>
        <w:jc w:val="both"/>
        <w:rPr>
          <w:rFonts w:ascii="Palatino Linotype" w:hAnsi="Palatino Linotype"/>
          <w:color w:val="000000"/>
        </w:rPr>
      </w:pPr>
      <w:r w:rsidRPr="004A46F4">
        <w:rPr>
          <w:rFonts w:ascii="Palatino Linotype" w:eastAsia="Palatino Linotype" w:hAnsi="Palatino Linotype" w:cs="Palatino Linotype"/>
          <w:color w:val="000000"/>
        </w:rPr>
        <w:t>Robustece lo anterior la Tesis aislada identificada con la clave I.4º.A.40 A del Cuarto Tribunal colegiado en Materia Administrativa del Prime</w:t>
      </w:r>
      <w:r w:rsidR="003A57B8">
        <w:rPr>
          <w:rFonts w:ascii="Palatino Linotype" w:eastAsia="Palatino Linotype" w:hAnsi="Palatino Linotype" w:cs="Palatino Linotype"/>
          <w:color w:val="000000"/>
        </w:rPr>
        <w:t>r Circuito, publicada en el Sema</w:t>
      </w:r>
      <w:r w:rsidRPr="004A46F4">
        <w:rPr>
          <w:rFonts w:ascii="Palatino Linotype" w:eastAsia="Palatino Linotype" w:hAnsi="Palatino Linotype" w:cs="Palatino Linotype"/>
          <w:color w:val="000000"/>
        </w:rPr>
        <w:t>nario Judicial de la Federación y su Gaceta en el libro XVIII, Marzo 2013, Página 1899.</w:t>
      </w:r>
    </w:p>
    <w:p w14:paraId="082F71BB" w14:textId="77777777" w:rsidR="00560AF2" w:rsidRPr="004A46F4" w:rsidRDefault="00560AF2" w:rsidP="000712D1">
      <w:pPr>
        <w:pStyle w:val="Prrafodelista"/>
        <w:spacing w:line="360" w:lineRule="auto"/>
        <w:ind w:left="425" w:right="474"/>
        <w:jc w:val="both"/>
        <w:rPr>
          <w:rFonts w:ascii="Palatino Linotype" w:eastAsia="Palatino Linotype" w:hAnsi="Palatino Linotype" w:cs="Palatino Linotype"/>
          <w:i/>
          <w:color w:val="000000"/>
          <w:sz w:val="22"/>
        </w:rPr>
      </w:pPr>
      <w:r w:rsidRPr="004A46F4">
        <w:rPr>
          <w:rFonts w:ascii="Palatino Linotype" w:eastAsia="Palatino Linotype" w:hAnsi="Palatino Linotype" w:cs="Palatino Linotype"/>
          <w:b/>
          <w:i/>
          <w:color w:val="000000"/>
          <w:sz w:val="22"/>
        </w:rPr>
        <w:t>“ACCESO A LA INFORMACIÓN. IMPLICACIÓN DEL PRINCIPIO DE MÁXIMA PUBLICIDAD EN EL DERECHO FUNDAMENTAL RELATIVO.</w:t>
      </w:r>
      <w:r w:rsidRPr="004A46F4">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w:t>
      </w:r>
      <w:r w:rsidRPr="004A46F4">
        <w:rPr>
          <w:rFonts w:ascii="Palatino Linotype" w:eastAsia="Palatino Linotype" w:hAnsi="Palatino Linotype" w:cs="Palatino Linotype"/>
          <w:i/>
          <w:color w:val="000000"/>
          <w:sz w:val="22"/>
        </w:rPr>
        <w:lastRenderedPageBreak/>
        <w:t>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F2AD758" w14:textId="77777777" w:rsidR="00560AF2" w:rsidRPr="004A46F4" w:rsidRDefault="00560AF2" w:rsidP="000712D1">
      <w:pPr>
        <w:pBdr>
          <w:top w:val="nil"/>
          <w:left w:val="nil"/>
          <w:bottom w:val="nil"/>
          <w:right w:val="nil"/>
          <w:between w:val="nil"/>
        </w:pBdr>
        <w:tabs>
          <w:tab w:val="left" w:pos="851"/>
        </w:tabs>
        <w:spacing w:line="360" w:lineRule="auto"/>
        <w:ind w:left="425"/>
        <w:jc w:val="both"/>
        <w:rPr>
          <w:rFonts w:ascii="Palatino Linotype" w:eastAsia="Palatino Linotype" w:hAnsi="Palatino Linotype" w:cs="Palatino Linotype"/>
          <w:i/>
          <w:color w:val="000000"/>
        </w:rPr>
      </w:pPr>
    </w:p>
    <w:p w14:paraId="49941E97" w14:textId="77777777" w:rsidR="00560AF2" w:rsidRPr="004A46F4" w:rsidRDefault="00560AF2" w:rsidP="000712D1">
      <w:pPr>
        <w:pStyle w:val="Prrafodelista"/>
        <w:numPr>
          <w:ilvl w:val="0"/>
          <w:numId w:val="1"/>
        </w:numPr>
        <w:spacing w:line="360" w:lineRule="auto"/>
        <w:ind w:left="0" w:firstLine="0"/>
        <w:jc w:val="both"/>
        <w:rPr>
          <w:rFonts w:ascii="Palatino Linotype" w:hAnsi="Palatino Linotype"/>
          <w:color w:val="000000"/>
        </w:rPr>
      </w:pPr>
      <w:bookmarkStart w:id="146" w:name="_heading=h.4d34og8" w:colFirst="0" w:colLast="0"/>
      <w:bookmarkEnd w:id="146"/>
      <w:r w:rsidRPr="004A46F4">
        <w:rPr>
          <w:rFonts w:ascii="Palatino Linotype" w:eastAsia="Palatino Linotype" w:hAnsi="Palatino Linotype" w:cs="Palatino Linotype"/>
          <w:color w:val="222222"/>
        </w:rPr>
        <w:t xml:space="preserve">Por lo anteriormente expuesto y fundado, este </w:t>
      </w:r>
      <w:r w:rsidRPr="004A46F4">
        <w:rPr>
          <w:rFonts w:ascii="Palatino Linotype" w:eastAsia="Palatino Linotype" w:hAnsi="Palatino Linotype" w:cs="Palatino Linotype"/>
          <w:b/>
          <w:color w:val="222222"/>
        </w:rPr>
        <w:t>ÓRGANO GARANTE</w:t>
      </w:r>
      <w:r w:rsidRPr="004A46F4">
        <w:rPr>
          <w:rFonts w:ascii="Palatino Linotype" w:eastAsia="Palatino Linotype" w:hAnsi="Palatino Linotype" w:cs="Palatino Linotype"/>
          <w:color w:val="222222"/>
        </w:rPr>
        <w:t xml:space="preserve"> emite los </w:t>
      </w:r>
      <w:r w:rsidRPr="004A46F4">
        <w:rPr>
          <w:rFonts w:ascii="Palatino Linotype" w:eastAsia="Palatino Linotype" w:hAnsi="Palatino Linotype" w:cs="Palatino Linotype"/>
          <w:color w:val="000000"/>
        </w:rPr>
        <w:t>siguientes</w:t>
      </w:r>
      <w:r w:rsidRPr="004A46F4">
        <w:rPr>
          <w:rFonts w:ascii="Palatino Linotype" w:eastAsia="Palatino Linotype" w:hAnsi="Palatino Linotype" w:cs="Palatino Linotype"/>
          <w:color w:val="222222"/>
        </w:rPr>
        <w:t xml:space="preserve">: </w:t>
      </w:r>
    </w:p>
    <w:p w14:paraId="5869CB73" w14:textId="77777777" w:rsidR="00560AF2" w:rsidRPr="004A46F4" w:rsidRDefault="00560AF2" w:rsidP="000712D1">
      <w:pPr>
        <w:spacing w:line="360" w:lineRule="auto"/>
        <w:rPr>
          <w:rFonts w:ascii="Palatino Linotype" w:hAnsi="Palatino Linotype"/>
          <w:lang w:val="es-ES"/>
        </w:rPr>
      </w:pPr>
    </w:p>
    <w:p w14:paraId="413628AA" w14:textId="77777777" w:rsidR="00EC02F1" w:rsidRPr="004A46F4" w:rsidRDefault="00EC02F1" w:rsidP="000712D1">
      <w:pPr>
        <w:pStyle w:val="Ttulo1"/>
        <w:spacing w:before="0" w:line="360" w:lineRule="auto"/>
        <w:jc w:val="center"/>
        <w:rPr>
          <w:rFonts w:ascii="Palatino Linotype" w:eastAsia="Calibri" w:hAnsi="Palatino Linotype"/>
          <w:b/>
          <w:color w:val="000000" w:themeColor="text1"/>
          <w:sz w:val="24"/>
          <w:szCs w:val="24"/>
          <w:lang w:val="es-ES"/>
        </w:rPr>
      </w:pPr>
      <w:r w:rsidRPr="004A46F4">
        <w:rPr>
          <w:rFonts w:ascii="Palatino Linotype" w:eastAsia="Calibri" w:hAnsi="Palatino Linotype"/>
          <w:b/>
          <w:color w:val="000000" w:themeColor="text1"/>
          <w:sz w:val="24"/>
          <w:szCs w:val="24"/>
          <w:lang w:val="es-ES"/>
        </w:rPr>
        <w:t>R E S O L U T I V O S</w:t>
      </w:r>
    </w:p>
    <w:p w14:paraId="55C2D7A0" w14:textId="77777777" w:rsidR="00EC02F1" w:rsidRPr="004A46F4" w:rsidRDefault="00EC02F1" w:rsidP="000712D1">
      <w:pPr>
        <w:spacing w:line="360" w:lineRule="auto"/>
        <w:rPr>
          <w:rFonts w:ascii="Palatino Linotype" w:hAnsi="Palatino Linotype"/>
          <w:lang w:val="es-ES"/>
        </w:rPr>
      </w:pPr>
    </w:p>
    <w:p w14:paraId="2ED6F51C" w14:textId="0B56C672" w:rsidR="00EC02F1" w:rsidRPr="004A46F4" w:rsidRDefault="00EC02F1" w:rsidP="000712D1">
      <w:pPr>
        <w:spacing w:line="360" w:lineRule="auto"/>
        <w:jc w:val="both"/>
        <w:rPr>
          <w:rFonts w:ascii="Palatino Linotype" w:eastAsia="Times New Roman" w:hAnsi="Palatino Linotype" w:cs="Arial"/>
          <w:lang w:val="es-ES"/>
        </w:rPr>
      </w:pPr>
      <w:r w:rsidRPr="004A46F4">
        <w:rPr>
          <w:rFonts w:ascii="Palatino Linotype" w:eastAsia="Times New Roman" w:hAnsi="Palatino Linotype" w:cs="Arial"/>
          <w:b/>
        </w:rPr>
        <w:t>PRIMERO</w:t>
      </w:r>
      <w:r w:rsidRPr="004A46F4">
        <w:rPr>
          <w:rFonts w:ascii="Palatino Linotype" w:eastAsia="Times New Roman" w:hAnsi="Palatino Linotype" w:cs="Arial"/>
          <w:lang w:val="es-ES"/>
        </w:rPr>
        <w:t xml:space="preserve">. Resultan </w:t>
      </w:r>
      <w:r w:rsidR="00FD2066" w:rsidRPr="004A46F4">
        <w:rPr>
          <w:rFonts w:ascii="Palatino Linotype" w:eastAsia="Times New Roman" w:hAnsi="Palatino Linotype" w:cs="Arial"/>
          <w:lang w:val="es-ES"/>
        </w:rPr>
        <w:t xml:space="preserve">parcialmente </w:t>
      </w:r>
      <w:r w:rsidRPr="004A46F4">
        <w:rPr>
          <w:rFonts w:ascii="Palatino Linotype" w:eastAsia="Times New Roman" w:hAnsi="Palatino Linotype" w:cs="Arial"/>
          <w:lang w:val="es-ES"/>
        </w:rPr>
        <w:t xml:space="preserve">fundadas las razones o motivos de inconformidad hechos valer en el Recurso de Revisión </w:t>
      </w:r>
      <w:r w:rsidRPr="004A46F4">
        <w:rPr>
          <w:rFonts w:ascii="Palatino Linotype" w:eastAsia="Times New Roman" w:hAnsi="Palatino Linotype" w:cs="Arial"/>
          <w:b/>
          <w:bCs/>
        </w:rPr>
        <w:t>0</w:t>
      </w:r>
      <w:r w:rsidR="00FD2066" w:rsidRPr="004A46F4">
        <w:rPr>
          <w:rFonts w:ascii="Palatino Linotype" w:eastAsia="Times New Roman" w:hAnsi="Palatino Linotype" w:cs="Arial"/>
          <w:b/>
          <w:bCs/>
        </w:rPr>
        <w:t>2618</w:t>
      </w:r>
      <w:r w:rsidRPr="004A46F4">
        <w:rPr>
          <w:rFonts w:ascii="Palatino Linotype" w:eastAsia="Times New Roman" w:hAnsi="Palatino Linotype" w:cs="Arial"/>
          <w:b/>
          <w:bCs/>
        </w:rPr>
        <w:t>/INFOEM/IP/RR/202</w:t>
      </w:r>
      <w:r w:rsidR="00227745" w:rsidRPr="004A46F4">
        <w:rPr>
          <w:rFonts w:ascii="Palatino Linotype" w:eastAsia="Times New Roman" w:hAnsi="Palatino Linotype" w:cs="Arial"/>
          <w:b/>
          <w:bCs/>
        </w:rPr>
        <w:t>4</w:t>
      </w:r>
      <w:r w:rsidRPr="004A46F4">
        <w:rPr>
          <w:rFonts w:ascii="Palatino Linotype" w:hAnsi="Palatino Linotype"/>
        </w:rPr>
        <w:t>,</w:t>
      </w:r>
      <w:r w:rsidRPr="004A46F4">
        <w:rPr>
          <w:rFonts w:ascii="Palatino Linotype" w:eastAsia="Times New Roman" w:hAnsi="Palatino Linotype" w:cs="Arial"/>
          <w:b/>
          <w:lang w:val="es-ES"/>
        </w:rPr>
        <w:t xml:space="preserve"> </w:t>
      </w:r>
      <w:r w:rsidR="00E542C6" w:rsidRPr="004A46F4">
        <w:rPr>
          <w:rFonts w:ascii="Palatino Linotype" w:eastAsia="Times New Roman" w:hAnsi="Palatino Linotype" w:cs="Arial"/>
          <w:lang w:val="es-ES"/>
        </w:rPr>
        <w:t>en términos del Considerando</w:t>
      </w:r>
      <w:r w:rsidRPr="004A46F4">
        <w:rPr>
          <w:rFonts w:ascii="Palatino Linotype" w:eastAsia="Times New Roman" w:hAnsi="Palatino Linotype" w:cs="Arial"/>
          <w:lang w:val="es-ES"/>
        </w:rPr>
        <w:t xml:space="preserve"> </w:t>
      </w:r>
      <w:r w:rsidRPr="004A46F4">
        <w:rPr>
          <w:rFonts w:ascii="Palatino Linotype" w:eastAsia="Times New Roman" w:hAnsi="Palatino Linotype" w:cs="Arial"/>
          <w:b/>
          <w:lang w:val="es-ES"/>
        </w:rPr>
        <w:t xml:space="preserve">CUARTO </w:t>
      </w:r>
      <w:r w:rsidR="00227745" w:rsidRPr="004A46F4">
        <w:rPr>
          <w:rFonts w:ascii="Palatino Linotype" w:eastAsia="Times New Roman" w:hAnsi="Palatino Linotype" w:cs="Arial"/>
          <w:lang w:val="es-ES"/>
        </w:rPr>
        <w:t xml:space="preserve">de la presente </w:t>
      </w:r>
      <w:r w:rsidR="009D703E" w:rsidRPr="004A46F4">
        <w:rPr>
          <w:rFonts w:ascii="Palatino Linotype" w:eastAsia="Times New Roman" w:hAnsi="Palatino Linotype" w:cs="Arial"/>
          <w:lang w:val="es-ES"/>
        </w:rPr>
        <w:t>R</w:t>
      </w:r>
      <w:r w:rsidRPr="004A46F4">
        <w:rPr>
          <w:rFonts w:ascii="Palatino Linotype" w:eastAsia="Times New Roman" w:hAnsi="Palatino Linotype" w:cs="Arial"/>
          <w:lang w:val="es-ES"/>
        </w:rPr>
        <w:t xml:space="preserve">esolución. </w:t>
      </w:r>
    </w:p>
    <w:p w14:paraId="078600CD" w14:textId="77777777" w:rsidR="00EC02F1" w:rsidRPr="004A46F4" w:rsidRDefault="00EC02F1" w:rsidP="000712D1">
      <w:pPr>
        <w:spacing w:line="360" w:lineRule="auto"/>
        <w:jc w:val="both"/>
        <w:rPr>
          <w:rFonts w:ascii="Palatino Linotype" w:eastAsia="Times New Roman" w:hAnsi="Palatino Linotype" w:cs="Arial"/>
          <w:lang w:val="es-ES"/>
        </w:rPr>
      </w:pPr>
    </w:p>
    <w:p w14:paraId="3AD972D8" w14:textId="2B356676" w:rsidR="00EC02F1" w:rsidRPr="004A46F4" w:rsidRDefault="00EC02F1" w:rsidP="000712D1">
      <w:pPr>
        <w:spacing w:line="360" w:lineRule="auto"/>
        <w:jc w:val="both"/>
        <w:rPr>
          <w:rFonts w:ascii="Palatino Linotype" w:hAnsi="Palatino Linotype" w:cs="Arial"/>
          <w:b/>
        </w:rPr>
      </w:pPr>
      <w:bookmarkStart w:id="147" w:name="_Toc503891607"/>
      <w:bookmarkStart w:id="148" w:name="_Toc511647757"/>
      <w:bookmarkStart w:id="149" w:name="_Toc511647818"/>
      <w:bookmarkStart w:id="150" w:name="_Toc477891768"/>
      <w:bookmarkStart w:id="151" w:name="_Toc477891858"/>
      <w:bookmarkStart w:id="152" w:name="_Toc481576259"/>
      <w:bookmarkStart w:id="153" w:name="_Toc492590391"/>
      <w:bookmarkStart w:id="154" w:name="_Toc462653937"/>
      <w:bookmarkStart w:id="155" w:name="_Toc453696502"/>
      <w:bookmarkStart w:id="156" w:name="_Toc454301155"/>
      <w:r w:rsidRPr="004A46F4">
        <w:rPr>
          <w:rFonts w:ascii="Palatino Linotype" w:eastAsia="Times New Roman" w:hAnsi="Palatino Linotype" w:cs="Times New Roman"/>
          <w:b/>
        </w:rPr>
        <w:lastRenderedPageBreak/>
        <w:t>SEGUNDO.</w:t>
      </w:r>
      <w:bookmarkEnd w:id="147"/>
      <w:bookmarkEnd w:id="148"/>
      <w:bookmarkEnd w:id="149"/>
      <w:r w:rsidRPr="004A46F4">
        <w:rPr>
          <w:rFonts w:ascii="Palatino Linotype" w:eastAsia="Times New Roman" w:hAnsi="Palatino Linotype" w:cs="Times New Roman"/>
          <w:b/>
        </w:rPr>
        <w:t xml:space="preserve"> </w:t>
      </w:r>
      <w:bookmarkEnd w:id="150"/>
      <w:bookmarkEnd w:id="151"/>
      <w:bookmarkEnd w:id="152"/>
      <w:bookmarkEnd w:id="153"/>
      <w:bookmarkEnd w:id="154"/>
      <w:bookmarkEnd w:id="155"/>
      <w:bookmarkEnd w:id="156"/>
      <w:r w:rsidRPr="004A46F4">
        <w:rPr>
          <w:rFonts w:ascii="Palatino Linotype" w:eastAsia="MS Mincho" w:hAnsi="Palatino Linotype" w:cs="Times New Roman"/>
          <w:color w:val="000000" w:themeColor="text1"/>
        </w:rPr>
        <w:t xml:space="preserve">Se </w:t>
      </w:r>
      <w:r w:rsidR="009D703E" w:rsidRPr="004A46F4">
        <w:rPr>
          <w:rFonts w:ascii="Palatino Linotype" w:eastAsia="MS Mincho" w:hAnsi="Palatino Linotype" w:cs="Times New Roman"/>
          <w:b/>
          <w:color w:val="000000" w:themeColor="text1"/>
        </w:rPr>
        <w:t>MODIFICA</w:t>
      </w:r>
      <w:r w:rsidRPr="004A46F4">
        <w:rPr>
          <w:rFonts w:ascii="Palatino Linotype" w:eastAsia="MS Mincho" w:hAnsi="Palatino Linotype" w:cs="Times New Roman"/>
          <w:b/>
          <w:color w:val="000000" w:themeColor="text1"/>
        </w:rPr>
        <w:t xml:space="preserve"> </w:t>
      </w:r>
      <w:r w:rsidR="00F36290">
        <w:rPr>
          <w:rFonts w:ascii="Palatino Linotype" w:eastAsia="MS Mincho" w:hAnsi="Palatino Linotype" w:cs="Times New Roman"/>
          <w:color w:val="000000" w:themeColor="text1"/>
        </w:rPr>
        <w:t>la respuesta emitida por el</w:t>
      </w:r>
      <w:r w:rsidRPr="004A46F4">
        <w:rPr>
          <w:rFonts w:ascii="Palatino Linotype" w:eastAsia="MS Mincho" w:hAnsi="Palatino Linotype" w:cs="Times New Roman"/>
          <w:color w:val="000000" w:themeColor="text1"/>
        </w:rPr>
        <w:t xml:space="preserve"> </w:t>
      </w:r>
      <w:r w:rsidR="00E67DAF" w:rsidRPr="004A46F4">
        <w:rPr>
          <w:rFonts w:ascii="Palatino Linotype" w:eastAsia="MS Mincho" w:hAnsi="Palatino Linotype" w:cs="Times New Roman"/>
          <w:b/>
          <w:color w:val="000000" w:themeColor="text1"/>
        </w:rPr>
        <w:t>Ayuntamiento de Ixtapaluca</w:t>
      </w:r>
      <w:r w:rsidRPr="004A46F4">
        <w:rPr>
          <w:rFonts w:ascii="Palatino Linotype" w:eastAsia="MS Mincho" w:hAnsi="Palatino Linotype" w:cs="Times New Roman"/>
          <w:b/>
          <w:color w:val="000000" w:themeColor="text1"/>
        </w:rPr>
        <w:t xml:space="preserve"> </w:t>
      </w:r>
      <w:r w:rsidRPr="004A46F4">
        <w:rPr>
          <w:rFonts w:ascii="Palatino Linotype" w:eastAsia="MS Mincho" w:hAnsi="Palatino Linotype" w:cs="Times New Roman"/>
          <w:color w:val="000000" w:themeColor="text1"/>
        </w:rPr>
        <w:t xml:space="preserve">y se </w:t>
      </w:r>
      <w:r w:rsidRPr="004A46F4">
        <w:rPr>
          <w:rFonts w:ascii="Palatino Linotype" w:eastAsia="MS Mincho" w:hAnsi="Palatino Linotype" w:cs="Times New Roman"/>
          <w:b/>
          <w:color w:val="000000" w:themeColor="text1"/>
        </w:rPr>
        <w:t>ORDENA</w:t>
      </w:r>
      <w:r w:rsidRPr="004A46F4">
        <w:rPr>
          <w:rFonts w:ascii="Palatino Linotype" w:eastAsia="MS Mincho" w:hAnsi="Palatino Linotype" w:cs="Times New Roman"/>
          <w:color w:val="000000" w:themeColor="text1"/>
        </w:rPr>
        <w:t xml:space="preserve"> entregar vía Sistema de Acceso a la Información Mexiquense </w:t>
      </w:r>
      <w:r w:rsidRPr="004A46F4">
        <w:rPr>
          <w:rFonts w:ascii="Palatino Linotype" w:eastAsia="MS Mincho" w:hAnsi="Palatino Linotype" w:cs="Times New Roman"/>
          <w:b/>
          <w:color w:val="000000" w:themeColor="text1"/>
        </w:rPr>
        <w:t>(SAIMEX)</w:t>
      </w:r>
      <w:r w:rsidRPr="004A46F4">
        <w:rPr>
          <w:rFonts w:ascii="Palatino Linotype" w:eastAsia="MS Mincho" w:hAnsi="Palatino Linotype" w:cs="Times New Roman"/>
          <w:color w:val="000000" w:themeColor="text1"/>
        </w:rPr>
        <w:t>, la siguiente información</w:t>
      </w:r>
      <w:bookmarkStart w:id="157" w:name="_Toc503891610"/>
      <w:bookmarkStart w:id="158" w:name="_Toc453696503"/>
      <w:bookmarkStart w:id="159" w:name="_Toc454301156"/>
      <w:bookmarkStart w:id="160" w:name="_Toc462653938"/>
      <w:bookmarkStart w:id="161" w:name="_Toc477891769"/>
      <w:bookmarkStart w:id="162" w:name="_Toc477891859"/>
      <w:bookmarkStart w:id="163" w:name="_Toc481576260"/>
      <w:bookmarkStart w:id="164" w:name="_Toc492590392"/>
      <w:r w:rsidR="00227745" w:rsidRPr="004A46F4">
        <w:rPr>
          <w:rFonts w:ascii="Palatino Linotype" w:eastAsia="Calibri" w:hAnsi="Palatino Linotype" w:cs="Arial"/>
          <w:lang w:val="es-ES"/>
        </w:rPr>
        <w:t>:</w:t>
      </w:r>
    </w:p>
    <w:p w14:paraId="43178F0D" w14:textId="77777777" w:rsidR="00EC02F1" w:rsidRPr="004A46F4" w:rsidRDefault="00EC02F1" w:rsidP="000712D1">
      <w:pPr>
        <w:spacing w:line="360" w:lineRule="auto"/>
        <w:jc w:val="both"/>
        <w:rPr>
          <w:rFonts w:ascii="Palatino Linotype" w:hAnsi="Palatino Linotype" w:cs="Arial"/>
          <w:b/>
        </w:rPr>
      </w:pPr>
    </w:p>
    <w:bookmarkEnd w:id="157"/>
    <w:bookmarkEnd w:id="158"/>
    <w:bookmarkEnd w:id="159"/>
    <w:bookmarkEnd w:id="160"/>
    <w:bookmarkEnd w:id="161"/>
    <w:bookmarkEnd w:id="162"/>
    <w:bookmarkEnd w:id="163"/>
    <w:bookmarkEnd w:id="164"/>
    <w:p w14:paraId="5E93C4C6" w14:textId="755E2405" w:rsidR="000712D1" w:rsidRPr="004A46F4" w:rsidRDefault="000712D1" w:rsidP="000712D1">
      <w:pPr>
        <w:numPr>
          <w:ilvl w:val="0"/>
          <w:numId w:val="18"/>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r w:rsidRPr="004A46F4">
        <w:rPr>
          <w:rFonts w:ascii="Palatino Linotype" w:eastAsia="Palatino Linotype" w:hAnsi="Palatino Linotype" w:cs="Palatino Linotype"/>
          <w:b/>
          <w:color w:val="000000"/>
        </w:rPr>
        <w:t>De la Quinta Regiduría: el presupuesto asignado y el documento en que conste la ejecución o aplicación del presupuesto asignado, del ejercicio fiscal 2022.</w:t>
      </w:r>
    </w:p>
    <w:p w14:paraId="235388F6" w14:textId="77777777" w:rsidR="00430195" w:rsidRPr="004A46F4" w:rsidRDefault="00430195" w:rsidP="000712D1">
      <w:pPr>
        <w:spacing w:line="360" w:lineRule="auto"/>
        <w:jc w:val="both"/>
        <w:rPr>
          <w:rFonts w:ascii="Palatino Linotype" w:eastAsia="Calibri" w:hAnsi="Palatino Linotype" w:cs="Arial"/>
        </w:rPr>
      </w:pPr>
    </w:p>
    <w:p w14:paraId="07781131" w14:textId="77777777" w:rsidR="00EC02F1" w:rsidRPr="004A46F4" w:rsidRDefault="00EC02F1" w:rsidP="000712D1">
      <w:pPr>
        <w:spacing w:line="360" w:lineRule="auto"/>
        <w:jc w:val="both"/>
        <w:rPr>
          <w:rFonts w:ascii="Palatino Linotype" w:eastAsia="Times New Roman" w:hAnsi="Palatino Linotype" w:cs="Times New Roman"/>
          <w:lang w:val="es-MX"/>
        </w:rPr>
      </w:pPr>
      <w:r w:rsidRPr="004A46F4">
        <w:rPr>
          <w:rFonts w:ascii="Palatino Linotype" w:eastAsia="Times New Roman" w:hAnsi="Palatino Linotype" w:cs="Arial"/>
          <w:b/>
          <w:bCs/>
          <w:lang w:val="es-MX"/>
        </w:rPr>
        <w:t>TERCERO</w:t>
      </w:r>
      <w:r w:rsidRPr="004A46F4">
        <w:rPr>
          <w:rFonts w:ascii="Palatino Linotype" w:eastAsia="Times New Roman" w:hAnsi="Palatino Linotype" w:cs="Arial"/>
          <w:b/>
          <w:lang w:val="es-MX"/>
        </w:rPr>
        <w:t>.</w:t>
      </w:r>
      <w:r w:rsidRPr="004A46F4">
        <w:rPr>
          <w:rFonts w:ascii="Palatino Linotype" w:eastAsia="Palatino Linotype" w:hAnsi="Palatino Linotype" w:cs="Palatino Linotype"/>
          <w:b/>
          <w:lang w:val="es-MX"/>
        </w:rPr>
        <w:t xml:space="preserve"> </w:t>
      </w:r>
      <w:r w:rsidRPr="004A46F4">
        <w:rPr>
          <w:rFonts w:ascii="Palatino Linotype" w:eastAsia="Times New Roman" w:hAnsi="Palatino Linotype" w:cs="Times New Roman"/>
          <w:b/>
          <w:lang w:val="es-MX"/>
        </w:rPr>
        <w:t xml:space="preserve">Notifíquese </w:t>
      </w:r>
      <w:r w:rsidRPr="004A46F4">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3A57B8">
        <w:rPr>
          <w:rFonts w:ascii="Palatino Linotype" w:eastAsia="Times New Roman" w:hAnsi="Palatino Linotype" w:cs="Times New Roman"/>
          <w:b/>
          <w:lang w:val="es-MX"/>
        </w:rPr>
        <w:t xml:space="preserve">dé cumplimiento a lo ordenado dentro del plazo de diez días hábiles, </w:t>
      </w:r>
      <w:r w:rsidRPr="004A46F4">
        <w:rPr>
          <w:rFonts w:ascii="Palatino Linotype" w:eastAsia="Times New Roman" w:hAnsi="Palatino Linotype" w:cs="Times New Roman"/>
          <w:lang w:val="es-MX"/>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4382A44" w14:textId="77777777" w:rsidR="00EC02F1" w:rsidRPr="004A46F4" w:rsidRDefault="00EC02F1" w:rsidP="000712D1">
      <w:pPr>
        <w:tabs>
          <w:tab w:val="left" w:pos="8080"/>
        </w:tabs>
        <w:spacing w:line="360" w:lineRule="auto"/>
        <w:jc w:val="both"/>
        <w:rPr>
          <w:rFonts w:ascii="Palatino Linotype" w:eastAsia="Times New Roman" w:hAnsi="Palatino Linotype" w:cs="Times New Roman"/>
          <w:shd w:val="clear" w:color="auto" w:fill="FFFFFF"/>
        </w:rPr>
      </w:pPr>
    </w:p>
    <w:p w14:paraId="19BA45A7" w14:textId="3B2C2D88" w:rsidR="00EC02F1" w:rsidRPr="004A46F4" w:rsidRDefault="00EC02F1" w:rsidP="000712D1">
      <w:pPr>
        <w:spacing w:line="360" w:lineRule="auto"/>
        <w:jc w:val="both"/>
        <w:rPr>
          <w:rFonts w:ascii="Palatino Linotype" w:eastAsia="Calibri" w:hAnsi="Palatino Linotype" w:cs="Arial"/>
          <w:bCs/>
        </w:rPr>
      </w:pPr>
      <w:r w:rsidRPr="004A46F4">
        <w:rPr>
          <w:rFonts w:ascii="Palatino Linotype" w:hAnsi="Palatino Linotype" w:cs="Arial"/>
          <w:b/>
        </w:rPr>
        <w:t xml:space="preserve">CUARTO. </w:t>
      </w:r>
      <w:r w:rsidRPr="004A46F4">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4A46F4">
        <w:rPr>
          <w:rFonts w:ascii="Palatino Linotype" w:eastAsia="Calibri" w:hAnsi="Palatino Linotype" w:cs="Arial"/>
          <w:b/>
          <w:bCs/>
        </w:rPr>
        <w:t>SUJETO OBLIGADO</w:t>
      </w:r>
      <w:r w:rsidRPr="004A46F4">
        <w:rPr>
          <w:rFonts w:ascii="Palatino Linotype" w:eastAsia="Calibri" w:hAnsi="Palatino Linotype" w:cs="Arial"/>
          <w:bCs/>
        </w:rPr>
        <w:t xml:space="preserve"> de manera fundada y motivada, podrá solicitar una ampliación de plazo para el cumplimiento de la presente </w:t>
      </w:r>
      <w:r w:rsidR="00E542C6" w:rsidRPr="004A46F4">
        <w:rPr>
          <w:rFonts w:ascii="Palatino Linotype" w:eastAsia="Calibri" w:hAnsi="Palatino Linotype" w:cs="Arial"/>
          <w:bCs/>
        </w:rPr>
        <w:t>R</w:t>
      </w:r>
      <w:r w:rsidRPr="004A46F4">
        <w:rPr>
          <w:rFonts w:ascii="Palatino Linotype" w:eastAsia="Calibri" w:hAnsi="Palatino Linotype" w:cs="Arial"/>
          <w:bCs/>
        </w:rPr>
        <w:t>esolución.</w:t>
      </w:r>
    </w:p>
    <w:p w14:paraId="5C49566F" w14:textId="77777777" w:rsidR="009D703E" w:rsidRPr="004A46F4" w:rsidRDefault="009D703E" w:rsidP="000712D1">
      <w:pPr>
        <w:spacing w:line="360" w:lineRule="auto"/>
        <w:jc w:val="both"/>
        <w:rPr>
          <w:rFonts w:ascii="Palatino Linotype" w:eastAsia="Calibri" w:hAnsi="Palatino Linotype" w:cs="Arial"/>
          <w:bCs/>
        </w:rPr>
      </w:pPr>
    </w:p>
    <w:p w14:paraId="1A0ECE12" w14:textId="6ADC4D38" w:rsidR="00EC02F1" w:rsidRPr="004A46F4" w:rsidRDefault="00EC02F1" w:rsidP="000712D1">
      <w:pPr>
        <w:tabs>
          <w:tab w:val="left" w:pos="8080"/>
        </w:tabs>
        <w:spacing w:line="360" w:lineRule="auto"/>
        <w:jc w:val="both"/>
        <w:rPr>
          <w:rFonts w:ascii="Palatino Linotype" w:eastAsia="Times New Roman" w:hAnsi="Palatino Linotype" w:cs="Times New Roman"/>
          <w:lang w:val="es-ES" w:eastAsia="es-MX"/>
        </w:rPr>
      </w:pPr>
      <w:bookmarkStart w:id="165" w:name="_Toc492590393"/>
      <w:bookmarkStart w:id="166" w:name="_Toc503891611"/>
      <w:bookmarkStart w:id="167" w:name="_Toc511647759"/>
      <w:bookmarkStart w:id="168" w:name="_Toc511647820"/>
      <w:r w:rsidRPr="004A46F4">
        <w:rPr>
          <w:rFonts w:ascii="Palatino Linotype" w:eastAsia="Times New Roman" w:hAnsi="Palatino Linotype" w:cs="Times New Roman"/>
          <w:b/>
        </w:rPr>
        <w:t xml:space="preserve">QUINTO. </w:t>
      </w:r>
      <w:r w:rsidRPr="004A46F4">
        <w:rPr>
          <w:rFonts w:ascii="Palatino Linotype" w:eastAsia="Times New Roman" w:hAnsi="Palatino Linotype" w:cs="Times New Roman"/>
        </w:rPr>
        <w:t>Notifíquese</w:t>
      </w:r>
      <w:bookmarkEnd w:id="165"/>
      <w:bookmarkEnd w:id="166"/>
      <w:bookmarkEnd w:id="167"/>
      <w:bookmarkEnd w:id="168"/>
      <w:r w:rsidRPr="004A46F4">
        <w:rPr>
          <w:rFonts w:ascii="Palatino Linotype" w:eastAsia="Times New Roman" w:hAnsi="Palatino Linotype" w:cs="Times New Roman"/>
        </w:rPr>
        <w:t xml:space="preserve"> a </w:t>
      </w:r>
      <w:r w:rsidRPr="004A46F4">
        <w:rPr>
          <w:rFonts w:ascii="Palatino Linotype" w:eastAsia="Times New Roman" w:hAnsi="Palatino Linotype" w:cs="Times New Roman"/>
          <w:b/>
        </w:rPr>
        <w:t>EL RECURRENTE</w:t>
      </w:r>
      <w:r w:rsidRPr="004A46F4">
        <w:rPr>
          <w:rFonts w:ascii="Palatino Linotype" w:eastAsia="Times New Roman" w:hAnsi="Palatino Linotype" w:cs="Times New Roman"/>
        </w:rPr>
        <w:t xml:space="preserve"> la presente</w:t>
      </w:r>
      <w:r w:rsidR="00E542C6" w:rsidRPr="004A46F4">
        <w:rPr>
          <w:rFonts w:ascii="Palatino Linotype" w:eastAsia="Times New Roman" w:hAnsi="Palatino Linotype" w:cs="Times New Roman"/>
          <w:lang w:val="es-ES" w:eastAsia="es-MX"/>
        </w:rPr>
        <w:t xml:space="preserve"> R</w:t>
      </w:r>
      <w:r w:rsidRPr="004A46F4">
        <w:rPr>
          <w:rFonts w:ascii="Palatino Linotype" w:eastAsia="Times New Roman" w:hAnsi="Palatino Linotype" w:cs="Times New Roman"/>
          <w:lang w:val="es-ES" w:eastAsia="es-MX"/>
        </w:rPr>
        <w:t>esolución, vía SAIMEX.</w:t>
      </w:r>
    </w:p>
    <w:p w14:paraId="74C35509" w14:textId="77777777" w:rsidR="000712D1" w:rsidRPr="004A46F4" w:rsidRDefault="000712D1" w:rsidP="000712D1">
      <w:pPr>
        <w:tabs>
          <w:tab w:val="left" w:pos="8080"/>
        </w:tabs>
        <w:spacing w:line="360" w:lineRule="auto"/>
        <w:jc w:val="both"/>
        <w:rPr>
          <w:rFonts w:ascii="Palatino Linotype" w:eastAsia="Times New Roman" w:hAnsi="Palatino Linotype" w:cs="Times New Roman"/>
          <w:lang w:val="es-ES" w:eastAsia="es-MX"/>
        </w:rPr>
      </w:pPr>
    </w:p>
    <w:p w14:paraId="4DC17FA9" w14:textId="3798BE24" w:rsidR="00EC02F1" w:rsidRPr="004A46F4" w:rsidRDefault="00EC02F1" w:rsidP="000712D1">
      <w:pPr>
        <w:shd w:val="clear" w:color="auto" w:fill="FFFFFF"/>
        <w:spacing w:line="360" w:lineRule="auto"/>
        <w:jc w:val="both"/>
        <w:rPr>
          <w:rFonts w:ascii="Palatino Linotype" w:eastAsia="Calibri" w:hAnsi="Palatino Linotype"/>
          <w:lang w:val="es-MX" w:eastAsia="en-US"/>
        </w:rPr>
      </w:pPr>
      <w:r w:rsidRPr="004A46F4">
        <w:rPr>
          <w:rFonts w:ascii="Palatino Linotype" w:eastAsia="Calibri" w:hAnsi="Palatino Linotype"/>
          <w:b/>
          <w:lang w:eastAsia="en-US"/>
        </w:rPr>
        <w:lastRenderedPageBreak/>
        <w:t xml:space="preserve">SEXTO. </w:t>
      </w:r>
      <w:r w:rsidRPr="004A46F4">
        <w:rPr>
          <w:rFonts w:ascii="Palatino Linotype" w:eastAsia="Calibri" w:hAnsi="Palatino Linotype"/>
          <w:lang w:eastAsia="en-US"/>
        </w:rPr>
        <w:t xml:space="preserve">Se hace del conocimiento del </w:t>
      </w:r>
      <w:r w:rsidRPr="004A46F4">
        <w:rPr>
          <w:rFonts w:ascii="Palatino Linotype" w:eastAsia="Calibri" w:hAnsi="Palatino Linotype"/>
          <w:b/>
          <w:lang w:eastAsia="en-US"/>
        </w:rPr>
        <w:t xml:space="preserve">RECURRENTE </w:t>
      </w:r>
      <w:r w:rsidRPr="004A46F4">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w:t>
      </w:r>
      <w:r w:rsidR="00106A01" w:rsidRPr="004A46F4">
        <w:rPr>
          <w:rFonts w:ascii="Palatino Linotype" w:eastAsia="Calibri" w:hAnsi="Palatino Linotype"/>
          <w:lang w:eastAsia="en-US"/>
        </w:rPr>
        <w:t>, a través del</w:t>
      </w:r>
      <w:r w:rsidRPr="004A46F4">
        <w:rPr>
          <w:rFonts w:ascii="Palatino Linotype" w:eastAsia="Calibri" w:hAnsi="Palatino Linotype"/>
          <w:lang w:eastAsia="en-US"/>
        </w:rPr>
        <w:t xml:space="preserve"> juicio de amparo en los términos de las leyes aplicables.</w:t>
      </w:r>
    </w:p>
    <w:p w14:paraId="374E4386" w14:textId="77777777" w:rsidR="007B5D7C" w:rsidRPr="004A46F4" w:rsidRDefault="007B5D7C" w:rsidP="000712D1">
      <w:pPr>
        <w:shd w:val="clear" w:color="auto" w:fill="FFFFFF"/>
        <w:spacing w:line="360" w:lineRule="auto"/>
        <w:jc w:val="both"/>
        <w:rPr>
          <w:rFonts w:ascii="Palatino Linotype" w:eastAsia="MS Mincho" w:hAnsi="Palatino Linotype"/>
          <w:lang w:val="es-ES"/>
        </w:rPr>
      </w:pPr>
    </w:p>
    <w:p w14:paraId="12747AC0" w14:textId="77777777" w:rsidR="00F36290" w:rsidRPr="003C7186" w:rsidRDefault="00F36290" w:rsidP="00F36290">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PRIMERA </w:t>
      </w:r>
      <w:r w:rsidRPr="003C7186">
        <w:rPr>
          <w:rFonts w:ascii="Palatino Linotype" w:hAnsi="Palatino Linotype"/>
        </w:rPr>
        <w:t xml:space="preserve">SESIÓN ORDINARIA CELEBRADA EL </w:t>
      </w:r>
      <w:r>
        <w:rPr>
          <w:rFonts w:ascii="Palatino Linotype" w:hAnsi="Palatino Linotype"/>
        </w:rPr>
        <w:t>VEINTISIETE</w:t>
      </w:r>
      <w:r w:rsidRPr="003C7186">
        <w:rPr>
          <w:rFonts w:ascii="Palatino Linotype" w:hAnsi="Palatino Linotype"/>
        </w:rPr>
        <w:t xml:space="preserve"> </w:t>
      </w:r>
      <w:r>
        <w:rPr>
          <w:rFonts w:ascii="Palatino Linotype" w:hAnsi="Palatino Linotype"/>
        </w:rPr>
        <w:t>(27) DE NOVIEMBRE</w:t>
      </w:r>
      <w:r w:rsidRPr="003C7186">
        <w:rPr>
          <w:rFonts w:ascii="Palatino Linotype" w:hAnsi="Palatino Linotype"/>
        </w:rPr>
        <w:t xml:space="preserve"> DE DOS MIL VEINTICUATRO, ANTE EL SECRETARIO TÉCNICO DEL PLENO ALEXIS TAPIA RAMÍREZ. </w:t>
      </w:r>
    </w:p>
    <w:p w14:paraId="76159867" w14:textId="77777777" w:rsidR="00942616" w:rsidRPr="004A46F4" w:rsidRDefault="00942616" w:rsidP="000712D1">
      <w:pPr>
        <w:spacing w:line="360" w:lineRule="auto"/>
        <w:rPr>
          <w:rFonts w:ascii="Palatino Linotype" w:hAnsi="Palatino Linotype"/>
        </w:rPr>
      </w:pPr>
    </w:p>
    <w:p w14:paraId="3584962A" w14:textId="77777777" w:rsidR="00942616" w:rsidRPr="004A46F4" w:rsidRDefault="00942616" w:rsidP="000712D1">
      <w:pPr>
        <w:spacing w:line="360" w:lineRule="auto"/>
        <w:rPr>
          <w:rFonts w:ascii="Palatino Linotype" w:hAnsi="Palatino Linotype"/>
        </w:rPr>
      </w:pPr>
    </w:p>
    <w:p w14:paraId="3A818EB8" w14:textId="77777777" w:rsidR="00942616" w:rsidRPr="004A46F4" w:rsidRDefault="00942616" w:rsidP="000712D1">
      <w:pPr>
        <w:spacing w:line="360" w:lineRule="auto"/>
        <w:rPr>
          <w:rFonts w:ascii="Palatino Linotype" w:hAnsi="Palatino Linotype"/>
        </w:rPr>
      </w:pPr>
    </w:p>
    <w:p w14:paraId="174CEAEF" w14:textId="77777777" w:rsidR="00942616" w:rsidRPr="004A46F4" w:rsidRDefault="00942616" w:rsidP="000712D1">
      <w:pPr>
        <w:spacing w:line="360" w:lineRule="auto"/>
        <w:rPr>
          <w:rFonts w:ascii="Palatino Linotype" w:hAnsi="Palatino Linotype"/>
        </w:rPr>
      </w:pPr>
    </w:p>
    <w:p w14:paraId="7CDD8E3D" w14:textId="77777777" w:rsidR="00942616" w:rsidRPr="004A46F4" w:rsidRDefault="00942616" w:rsidP="000712D1">
      <w:pPr>
        <w:spacing w:line="360" w:lineRule="auto"/>
        <w:rPr>
          <w:rFonts w:ascii="Palatino Linotype" w:hAnsi="Palatino Linotype"/>
        </w:rPr>
      </w:pPr>
    </w:p>
    <w:p w14:paraId="5AA6BBEF" w14:textId="77777777" w:rsidR="00942616" w:rsidRPr="004A46F4" w:rsidRDefault="00942616" w:rsidP="000712D1">
      <w:pPr>
        <w:spacing w:line="360" w:lineRule="auto"/>
        <w:rPr>
          <w:rFonts w:ascii="Palatino Linotype" w:hAnsi="Palatino Linotype"/>
        </w:rPr>
      </w:pPr>
    </w:p>
    <w:p w14:paraId="4984B0BE" w14:textId="77777777" w:rsidR="00942616" w:rsidRPr="004A46F4" w:rsidRDefault="00942616" w:rsidP="000712D1">
      <w:pPr>
        <w:spacing w:line="360" w:lineRule="auto"/>
        <w:rPr>
          <w:rFonts w:ascii="Palatino Linotype" w:hAnsi="Palatino Linotype"/>
        </w:rPr>
      </w:pPr>
    </w:p>
    <w:p w14:paraId="027D389A" w14:textId="77777777" w:rsidR="00942616" w:rsidRPr="004A46F4" w:rsidRDefault="00942616" w:rsidP="000712D1">
      <w:pPr>
        <w:tabs>
          <w:tab w:val="left" w:pos="3374"/>
        </w:tabs>
        <w:spacing w:line="360" w:lineRule="auto"/>
        <w:rPr>
          <w:rFonts w:ascii="Palatino Linotype" w:hAnsi="Palatino Linotype"/>
        </w:rPr>
      </w:pPr>
      <w:r w:rsidRPr="004A46F4">
        <w:rPr>
          <w:rFonts w:ascii="Palatino Linotype" w:hAnsi="Palatino Linotype"/>
        </w:rPr>
        <w:tab/>
      </w:r>
    </w:p>
    <w:p w14:paraId="18F11BAD" w14:textId="77777777" w:rsidR="00942616" w:rsidRPr="004A46F4" w:rsidRDefault="00942616" w:rsidP="000712D1">
      <w:pPr>
        <w:tabs>
          <w:tab w:val="left" w:pos="3374"/>
        </w:tabs>
        <w:spacing w:line="360" w:lineRule="auto"/>
        <w:rPr>
          <w:rFonts w:ascii="Palatino Linotype" w:hAnsi="Palatino Linotype"/>
        </w:rPr>
      </w:pPr>
    </w:p>
    <w:p w14:paraId="74BF8A5F" w14:textId="77777777" w:rsidR="00942616" w:rsidRPr="004A46F4" w:rsidRDefault="00942616" w:rsidP="000712D1">
      <w:pPr>
        <w:tabs>
          <w:tab w:val="left" w:pos="3374"/>
        </w:tabs>
        <w:spacing w:line="360" w:lineRule="auto"/>
        <w:rPr>
          <w:rFonts w:ascii="Palatino Linotype" w:hAnsi="Palatino Linotype"/>
        </w:rPr>
      </w:pPr>
    </w:p>
    <w:p w14:paraId="732C5D23" w14:textId="77777777" w:rsidR="00942616" w:rsidRPr="004A46F4" w:rsidRDefault="00942616" w:rsidP="000712D1">
      <w:pPr>
        <w:tabs>
          <w:tab w:val="left" w:pos="3374"/>
        </w:tabs>
        <w:spacing w:line="360" w:lineRule="auto"/>
        <w:rPr>
          <w:rFonts w:ascii="Palatino Linotype" w:hAnsi="Palatino Linotype"/>
        </w:rPr>
      </w:pPr>
    </w:p>
    <w:p w14:paraId="07FE0706" w14:textId="77777777" w:rsidR="00942616" w:rsidRPr="004A46F4" w:rsidRDefault="00942616" w:rsidP="000712D1">
      <w:pPr>
        <w:tabs>
          <w:tab w:val="left" w:pos="3374"/>
        </w:tabs>
        <w:spacing w:line="360" w:lineRule="auto"/>
        <w:rPr>
          <w:rFonts w:ascii="Palatino Linotype" w:hAnsi="Palatino Linotype"/>
        </w:rPr>
      </w:pPr>
    </w:p>
    <w:p w14:paraId="376015AC" w14:textId="77777777" w:rsidR="00942616" w:rsidRPr="004A46F4" w:rsidRDefault="00942616" w:rsidP="000712D1">
      <w:pPr>
        <w:tabs>
          <w:tab w:val="left" w:pos="3374"/>
        </w:tabs>
        <w:spacing w:line="360" w:lineRule="auto"/>
        <w:rPr>
          <w:rFonts w:ascii="Palatino Linotype" w:hAnsi="Palatino Linotype"/>
        </w:rPr>
      </w:pPr>
    </w:p>
    <w:p w14:paraId="7C2C2C91" w14:textId="77777777" w:rsidR="00942616" w:rsidRPr="004A46F4" w:rsidRDefault="00942616" w:rsidP="000712D1">
      <w:pPr>
        <w:tabs>
          <w:tab w:val="left" w:pos="3374"/>
        </w:tabs>
        <w:spacing w:line="360" w:lineRule="auto"/>
        <w:rPr>
          <w:rFonts w:ascii="Palatino Linotype" w:hAnsi="Palatino Linotype"/>
        </w:rPr>
      </w:pPr>
    </w:p>
    <w:p w14:paraId="45B6A2A6" w14:textId="77777777" w:rsidR="00942616" w:rsidRPr="004A46F4" w:rsidRDefault="00942616" w:rsidP="000712D1">
      <w:pPr>
        <w:tabs>
          <w:tab w:val="left" w:pos="3374"/>
        </w:tabs>
        <w:spacing w:line="360" w:lineRule="auto"/>
        <w:rPr>
          <w:rFonts w:ascii="Palatino Linotype" w:hAnsi="Palatino Linotype"/>
        </w:rPr>
      </w:pPr>
    </w:p>
    <w:p w14:paraId="0A8A8A68" w14:textId="77777777" w:rsidR="00942616" w:rsidRPr="004A46F4" w:rsidRDefault="00942616" w:rsidP="000712D1">
      <w:pPr>
        <w:tabs>
          <w:tab w:val="left" w:pos="3374"/>
        </w:tabs>
        <w:spacing w:line="360" w:lineRule="auto"/>
        <w:rPr>
          <w:rFonts w:ascii="Palatino Linotype" w:hAnsi="Palatino Linotype"/>
        </w:rPr>
      </w:pPr>
    </w:p>
    <w:p w14:paraId="7FEC71EC" w14:textId="77777777" w:rsidR="00942616" w:rsidRPr="004A46F4" w:rsidRDefault="00942616" w:rsidP="000712D1">
      <w:pPr>
        <w:tabs>
          <w:tab w:val="left" w:pos="3374"/>
        </w:tabs>
        <w:spacing w:line="360" w:lineRule="auto"/>
        <w:rPr>
          <w:rFonts w:ascii="Palatino Linotype" w:hAnsi="Palatino Linotype"/>
        </w:rPr>
      </w:pPr>
    </w:p>
    <w:p w14:paraId="2CDB6924" w14:textId="77777777" w:rsidR="00942616" w:rsidRPr="004A46F4" w:rsidRDefault="00942616" w:rsidP="000712D1">
      <w:pPr>
        <w:tabs>
          <w:tab w:val="left" w:pos="3374"/>
        </w:tabs>
        <w:spacing w:line="360" w:lineRule="auto"/>
        <w:rPr>
          <w:rFonts w:ascii="Palatino Linotype" w:hAnsi="Palatino Linotype"/>
        </w:rPr>
      </w:pPr>
    </w:p>
    <w:p w14:paraId="785D4E09" w14:textId="77777777" w:rsidR="00942616" w:rsidRPr="004A46F4" w:rsidRDefault="00942616" w:rsidP="000712D1">
      <w:pPr>
        <w:tabs>
          <w:tab w:val="left" w:pos="3374"/>
        </w:tabs>
        <w:spacing w:line="360" w:lineRule="auto"/>
        <w:rPr>
          <w:rFonts w:ascii="Palatino Linotype" w:hAnsi="Palatino Linotype"/>
        </w:rPr>
      </w:pPr>
    </w:p>
    <w:p w14:paraId="2E87A5CF" w14:textId="77777777" w:rsidR="00942616" w:rsidRPr="004A46F4" w:rsidRDefault="00942616" w:rsidP="000712D1">
      <w:pPr>
        <w:tabs>
          <w:tab w:val="left" w:pos="3374"/>
        </w:tabs>
        <w:spacing w:line="360" w:lineRule="auto"/>
        <w:rPr>
          <w:rFonts w:ascii="Palatino Linotype" w:hAnsi="Palatino Linotype"/>
        </w:rPr>
      </w:pPr>
    </w:p>
    <w:p w14:paraId="24F0B777" w14:textId="77777777" w:rsidR="00942616" w:rsidRPr="004A46F4" w:rsidRDefault="00942616" w:rsidP="000712D1">
      <w:pPr>
        <w:tabs>
          <w:tab w:val="left" w:pos="3374"/>
        </w:tabs>
        <w:spacing w:line="360" w:lineRule="auto"/>
        <w:rPr>
          <w:rFonts w:ascii="Palatino Linotype" w:hAnsi="Palatino Linotype"/>
        </w:rPr>
      </w:pPr>
    </w:p>
    <w:p w14:paraId="41BB0BB9" w14:textId="77777777" w:rsidR="00942616" w:rsidRPr="004A46F4" w:rsidRDefault="00942616" w:rsidP="000712D1">
      <w:pPr>
        <w:tabs>
          <w:tab w:val="left" w:pos="3374"/>
        </w:tabs>
        <w:spacing w:line="360" w:lineRule="auto"/>
        <w:rPr>
          <w:rFonts w:ascii="Palatino Linotype" w:hAnsi="Palatino Linotype"/>
        </w:rPr>
      </w:pPr>
    </w:p>
    <w:p w14:paraId="3FBD9A97" w14:textId="77777777" w:rsidR="00942616" w:rsidRPr="004A46F4" w:rsidRDefault="00942616" w:rsidP="000712D1">
      <w:pPr>
        <w:tabs>
          <w:tab w:val="left" w:pos="3374"/>
        </w:tabs>
        <w:spacing w:line="360" w:lineRule="auto"/>
        <w:rPr>
          <w:rFonts w:ascii="Palatino Linotype" w:hAnsi="Palatino Linotype"/>
        </w:rPr>
      </w:pPr>
    </w:p>
    <w:p w14:paraId="67E05949" w14:textId="77777777" w:rsidR="00942616" w:rsidRPr="004A46F4" w:rsidRDefault="00942616" w:rsidP="000712D1">
      <w:pPr>
        <w:tabs>
          <w:tab w:val="left" w:pos="3374"/>
        </w:tabs>
        <w:spacing w:line="360" w:lineRule="auto"/>
        <w:rPr>
          <w:rFonts w:ascii="Palatino Linotype" w:hAnsi="Palatino Linotype"/>
        </w:rPr>
      </w:pPr>
    </w:p>
    <w:p w14:paraId="24CE3BD5" w14:textId="77777777" w:rsidR="00942616" w:rsidRPr="004A46F4" w:rsidRDefault="00942616" w:rsidP="000712D1">
      <w:pPr>
        <w:tabs>
          <w:tab w:val="left" w:pos="3374"/>
        </w:tabs>
        <w:spacing w:line="360" w:lineRule="auto"/>
        <w:rPr>
          <w:rFonts w:ascii="Palatino Linotype" w:hAnsi="Palatino Linotype"/>
        </w:rPr>
      </w:pPr>
    </w:p>
    <w:p w14:paraId="16DA2CF4" w14:textId="77777777" w:rsidR="00942616" w:rsidRPr="004A46F4" w:rsidRDefault="00942616" w:rsidP="000712D1">
      <w:pPr>
        <w:tabs>
          <w:tab w:val="left" w:pos="3374"/>
        </w:tabs>
        <w:spacing w:line="360" w:lineRule="auto"/>
        <w:rPr>
          <w:rFonts w:ascii="Palatino Linotype" w:hAnsi="Palatino Linotype"/>
        </w:rPr>
      </w:pPr>
    </w:p>
    <w:p w14:paraId="4AFB468F" w14:textId="77777777" w:rsidR="00942616" w:rsidRPr="004A46F4" w:rsidRDefault="00942616" w:rsidP="000712D1">
      <w:pPr>
        <w:tabs>
          <w:tab w:val="left" w:pos="3374"/>
        </w:tabs>
        <w:spacing w:line="360" w:lineRule="auto"/>
        <w:rPr>
          <w:rFonts w:ascii="Palatino Linotype" w:hAnsi="Palatino Linotype"/>
        </w:rPr>
      </w:pPr>
    </w:p>
    <w:p w14:paraId="0EDC4D44" w14:textId="77777777" w:rsidR="006603F1" w:rsidRPr="004A46F4" w:rsidRDefault="006603F1" w:rsidP="000712D1">
      <w:pPr>
        <w:spacing w:line="360" w:lineRule="auto"/>
        <w:rPr>
          <w:rFonts w:ascii="Palatino Linotype" w:hAnsi="Palatino Linotype"/>
        </w:rPr>
      </w:pPr>
    </w:p>
    <w:p w14:paraId="74956BAB" w14:textId="77777777" w:rsidR="0058635C" w:rsidRPr="004A46F4" w:rsidRDefault="0058635C" w:rsidP="000712D1">
      <w:pPr>
        <w:spacing w:line="360" w:lineRule="auto"/>
        <w:rPr>
          <w:rFonts w:ascii="Palatino Linotype" w:hAnsi="Palatino Linotype"/>
        </w:rPr>
      </w:pPr>
    </w:p>
    <w:sectPr w:rsidR="0058635C" w:rsidRPr="004A46F4" w:rsidSect="004A46F4">
      <w:headerReference w:type="even" r:id="rId9"/>
      <w:headerReference w:type="default" r:id="rId10"/>
      <w:footerReference w:type="default" r:id="rId11"/>
      <w:headerReference w:type="first" r:id="rId12"/>
      <w:footerReference w:type="first" r:id="rId13"/>
      <w:pgSz w:w="12240" w:h="15840"/>
      <w:pgMar w:top="2268" w:right="900"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A1C20" w14:textId="77777777" w:rsidR="002B2527" w:rsidRDefault="002B2527" w:rsidP="00942616">
      <w:r>
        <w:separator/>
      </w:r>
    </w:p>
  </w:endnote>
  <w:endnote w:type="continuationSeparator" w:id="0">
    <w:p w14:paraId="7294C4A4" w14:textId="77777777" w:rsidR="002B2527" w:rsidRDefault="002B2527"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FD2066" w:rsidRPr="002D6DD8" w:rsidRDefault="00FD2066"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019F2">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019F2">
              <w:rPr>
                <w:rFonts w:ascii="Palatino Linotype" w:hAnsi="Palatino Linotype"/>
                <w:bCs/>
                <w:noProof/>
                <w:sz w:val="20"/>
              </w:rPr>
              <w:t>26</w:t>
            </w:r>
            <w:r>
              <w:rPr>
                <w:rFonts w:ascii="Palatino Linotype" w:hAnsi="Palatino Linotype"/>
                <w:bCs/>
                <w:noProof/>
                <w:sz w:val="20"/>
              </w:rPr>
              <w:fldChar w:fldCharType="end"/>
            </w:r>
          </w:p>
        </w:sdtContent>
      </w:sdt>
    </w:sdtContent>
  </w:sdt>
  <w:p w14:paraId="4B3C5062" w14:textId="77777777" w:rsidR="00FD2066" w:rsidRDefault="00FD20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FD2066" w:rsidRPr="000B69FA" w:rsidRDefault="00FD2066"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019F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019F2">
      <w:rPr>
        <w:rFonts w:ascii="Palatino Linotype" w:hAnsi="Palatino Linotype"/>
        <w:bCs/>
        <w:noProof/>
        <w:sz w:val="20"/>
      </w:rPr>
      <w:t>26</w:t>
    </w:r>
    <w:r>
      <w:rPr>
        <w:rFonts w:ascii="Palatino Linotype" w:hAnsi="Palatino Linotype"/>
        <w:bCs/>
        <w:noProof/>
        <w:sz w:val="20"/>
      </w:rPr>
      <w:fldChar w:fldCharType="end"/>
    </w:r>
  </w:p>
  <w:p w14:paraId="5FDB238B" w14:textId="77777777" w:rsidR="00FD2066" w:rsidRDefault="00FD20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C456A" w14:textId="77777777" w:rsidR="002B2527" w:rsidRDefault="002B2527" w:rsidP="00942616">
      <w:r>
        <w:separator/>
      </w:r>
    </w:p>
  </w:footnote>
  <w:footnote w:type="continuationSeparator" w:id="0">
    <w:p w14:paraId="2FA99057" w14:textId="77777777" w:rsidR="002B2527" w:rsidRDefault="002B2527" w:rsidP="00942616">
      <w:r>
        <w:continuationSeparator/>
      </w:r>
    </w:p>
  </w:footnote>
  <w:footnote w:id="1">
    <w:p w14:paraId="5266559B" w14:textId="77777777" w:rsidR="00FD2066" w:rsidRDefault="00FD2066" w:rsidP="00560AF2">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14:paraId="3AEEF17A" w14:textId="77777777" w:rsidR="00FD2066" w:rsidRDefault="00FD2066" w:rsidP="00560AF2">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14:paraId="7BB2AACF" w14:textId="77777777" w:rsidR="00FD2066" w:rsidRDefault="00FD2066" w:rsidP="00560AF2">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104FD112" w14:textId="77777777" w:rsidR="00FD2066" w:rsidRDefault="00FD2066" w:rsidP="00560AF2">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61145B68" w14:textId="77777777" w:rsidR="00FD2066" w:rsidRDefault="00FD2066" w:rsidP="00560AF2">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650383A3" w14:textId="77777777" w:rsidR="00FD2066" w:rsidRDefault="00FD2066" w:rsidP="00560AF2">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52DE02C5" w14:textId="77777777" w:rsidR="00FD2066" w:rsidRDefault="00FD2066" w:rsidP="00560AF2">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A1D1164" w14:textId="77777777" w:rsidR="00FD2066" w:rsidRDefault="00FD2066" w:rsidP="00560AF2">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FD2066" w:rsidRDefault="002B2527">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3402" w:type="dxa"/>
      <w:tblCellMar>
        <w:left w:w="70" w:type="dxa"/>
        <w:right w:w="70" w:type="dxa"/>
      </w:tblCellMar>
      <w:tblLook w:val="04A0" w:firstRow="1" w:lastRow="0" w:firstColumn="1" w:lastColumn="0" w:noHBand="0" w:noVBand="1"/>
    </w:tblPr>
    <w:tblGrid>
      <w:gridCol w:w="2976"/>
      <w:gridCol w:w="3543"/>
    </w:tblGrid>
    <w:tr w:rsidR="00FD2066" w14:paraId="6291E73B" w14:textId="77777777" w:rsidTr="004A46F4">
      <w:trPr>
        <w:trHeight w:val="227"/>
      </w:trPr>
      <w:tc>
        <w:tcPr>
          <w:tcW w:w="2976" w:type="dxa"/>
          <w:vAlign w:val="center"/>
          <w:hideMark/>
        </w:tcPr>
        <w:p w14:paraId="785910C1" w14:textId="77777777" w:rsidR="00FD2066" w:rsidRPr="00674A46" w:rsidRDefault="00FD2066"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3BBFDC40" w:rsidR="00FD2066" w:rsidRPr="004A46F4" w:rsidRDefault="00FD2066" w:rsidP="004A46F4">
          <w:pPr>
            <w:pStyle w:val="Encabezado"/>
            <w:tabs>
              <w:tab w:val="clear" w:pos="4419"/>
            </w:tabs>
            <w:rPr>
              <w:rFonts w:ascii="Palatino Linotype" w:hAnsi="Palatino Linotype"/>
              <w:sz w:val="22"/>
              <w:szCs w:val="22"/>
              <w:highlight w:val="green"/>
            </w:rPr>
          </w:pPr>
          <w:r w:rsidRPr="004A46F4">
            <w:rPr>
              <w:rFonts w:ascii="Palatino Linotype" w:hAnsi="Palatino Linotype" w:cs="Arial"/>
              <w:bCs/>
              <w:sz w:val="22"/>
              <w:szCs w:val="22"/>
              <w:lang w:eastAsia="es-MX"/>
            </w:rPr>
            <w:t>02618/INFOEM/IP/RR/2024</w:t>
          </w:r>
        </w:p>
      </w:tc>
    </w:tr>
    <w:tr w:rsidR="00FD2066" w14:paraId="0495579F" w14:textId="77777777" w:rsidTr="004A46F4">
      <w:trPr>
        <w:trHeight w:val="242"/>
      </w:trPr>
      <w:tc>
        <w:tcPr>
          <w:tcW w:w="2976" w:type="dxa"/>
          <w:vAlign w:val="center"/>
          <w:hideMark/>
        </w:tcPr>
        <w:p w14:paraId="1260BD52" w14:textId="77777777" w:rsidR="00FD2066" w:rsidRPr="00674A46" w:rsidRDefault="00FD2066"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1898E9A8" w:rsidR="00FD2066" w:rsidRPr="004A46F4" w:rsidRDefault="00FD2066" w:rsidP="004A46F4">
          <w:pPr>
            <w:pStyle w:val="Encabezado"/>
            <w:tabs>
              <w:tab w:val="clear" w:pos="4419"/>
            </w:tabs>
            <w:jc w:val="both"/>
            <w:rPr>
              <w:rFonts w:ascii="Palatino Linotype" w:hAnsi="Palatino Linotype"/>
              <w:bCs/>
              <w:color w:val="000000"/>
              <w:sz w:val="22"/>
              <w:szCs w:val="22"/>
              <w:highlight w:val="green"/>
            </w:rPr>
          </w:pPr>
          <w:r w:rsidRPr="004A46F4">
            <w:rPr>
              <w:rFonts w:ascii="Palatino Linotype" w:hAnsi="Palatino Linotype"/>
              <w:bCs/>
              <w:color w:val="000000"/>
              <w:sz w:val="22"/>
              <w:szCs w:val="22"/>
            </w:rPr>
            <w:t>Ayuntamiento de Ixtapaluca</w:t>
          </w:r>
        </w:p>
      </w:tc>
    </w:tr>
    <w:tr w:rsidR="00FD2066" w14:paraId="094D4B8E" w14:textId="77777777" w:rsidTr="004A46F4">
      <w:trPr>
        <w:trHeight w:val="342"/>
      </w:trPr>
      <w:tc>
        <w:tcPr>
          <w:tcW w:w="2976" w:type="dxa"/>
          <w:vAlign w:val="center"/>
          <w:hideMark/>
        </w:tcPr>
        <w:p w14:paraId="704F2262" w14:textId="77777777" w:rsidR="00FD2066" w:rsidRPr="00674A46" w:rsidRDefault="00FD2066"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FD2066" w:rsidRPr="004A46F4" w:rsidRDefault="00FD2066" w:rsidP="004A46F4">
          <w:pPr>
            <w:pStyle w:val="Encabezado"/>
            <w:tabs>
              <w:tab w:val="clear" w:pos="4419"/>
            </w:tabs>
            <w:rPr>
              <w:rFonts w:ascii="Palatino Linotype" w:hAnsi="Palatino Linotype"/>
              <w:sz w:val="22"/>
              <w:szCs w:val="22"/>
            </w:rPr>
          </w:pPr>
          <w:r w:rsidRPr="004A46F4">
            <w:rPr>
              <w:rFonts w:ascii="Palatino Linotype" w:hAnsi="Palatino Linotype"/>
              <w:sz w:val="22"/>
              <w:szCs w:val="22"/>
            </w:rPr>
            <w:t>María del Rosario Mejía Ayala</w:t>
          </w:r>
        </w:p>
      </w:tc>
    </w:tr>
  </w:tbl>
  <w:p w14:paraId="75582F32" w14:textId="77777777" w:rsidR="00FD2066" w:rsidRPr="00AE046A" w:rsidRDefault="002B2527"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55.8pt;margin-top:-129.8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119" w:type="dxa"/>
      <w:tblCellMar>
        <w:left w:w="70" w:type="dxa"/>
        <w:right w:w="70" w:type="dxa"/>
      </w:tblCellMar>
      <w:tblLook w:val="04A0" w:firstRow="1" w:lastRow="0" w:firstColumn="1" w:lastColumn="0" w:noHBand="0" w:noVBand="1"/>
    </w:tblPr>
    <w:tblGrid>
      <w:gridCol w:w="2977"/>
      <w:gridCol w:w="3684"/>
    </w:tblGrid>
    <w:tr w:rsidR="00FD2066" w14:paraId="109D31C7" w14:textId="77777777" w:rsidTr="004A46F4">
      <w:trPr>
        <w:trHeight w:val="227"/>
      </w:trPr>
      <w:tc>
        <w:tcPr>
          <w:tcW w:w="2977" w:type="dxa"/>
          <w:vAlign w:val="center"/>
          <w:hideMark/>
        </w:tcPr>
        <w:p w14:paraId="52EDE096" w14:textId="77777777" w:rsidR="00FD2066" w:rsidRPr="00674A46" w:rsidRDefault="00FD2066"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2CEC66D9" w:rsidR="00FD2066" w:rsidRPr="004A46F4" w:rsidRDefault="00FD2066" w:rsidP="00E67DAF">
          <w:pPr>
            <w:pStyle w:val="Encabezado"/>
            <w:rPr>
              <w:rFonts w:ascii="Palatino Linotype" w:hAnsi="Palatino Linotype"/>
              <w:sz w:val="22"/>
              <w:szCs w:val="22"/>
              <w:highlight w:val="green"/>
            </w:rPr>
          </w:pPr>
          <w:r w:rsidRPr="004A46F4">
            <w:rPr>
              <w:rFonts w:ascii="Palatino Linotype" w:hAnsi="Palatino Linotype" w:cs="Arial"/>
              <w:bCs/>
              <w:sz w:val="22"/>
              <w:szCs w:val="22"/>
              <w:lang w:eastAsia="es-MX"/>
            </w:rPr>
            <w:t>02618/INFOEM/IP/RR/2024</w:t>
          </w:r>
        </w:p>
      </w:tc>
    </w:tr>
    <w:tr w:rsidR="00FD2066" w14:paraId="0AB7C776" w14:textId="77777777" w:rsidTr="004A46F4">
      <w:trPr>
        <w:trHeight w:val="242"/>
      </w:trPr>
      <w:tc>
        <w:tcPr>
          <w:tcW w:w="2977" w:type="dxa"/>
          <w:vAlign w:val="center"/>
          <w:hideMark/>
        </w:tcPr>
        <w:p w14:paraId="798B5FF4" w14:textId="77777777" w:rsidR="00FD2066" w:rsidRPr="00674A46" w:rsidRDefault="00FD2066"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41D79DAD" w:rsidR="00FD2066" w:rsidRPr="004A46F4" w:rsidRDefault="00C019F2" w:rsidP="00B5153D">
          <w:pPr>
            <w:pStyle w:val="Encabezado"/>
            <w:tabs>
              <w:tab w:val="left" w:pos="521"/>
            </w:tabs>
            <w:rPr>
              <w:rFonts w:ascii="Palatino Linotype" w:hAnsi="Palatino Linotype"/>
              <w:sz w:val="22"/>
              <w:szCs w:val="22"/>
              <w:highlight w:val="green"/>
            </w:rPr>
          </w:pPr>
          <w:r>
            <w:rPr>
              <w:rFonts w:ascii="Palatino Linotype" w:hAnsi="Palatino Linotype"/>
              <w:bCs/>
              <w:color w:val="000000" w:themeColor="text1"/>
              <w:sz w:val="22"/>
              <w:szCs w:val="22"/>
            </w:rPr>
            <w:t>XXXXXXXXXXXX</w:t>
          </w:r>
        </w:p>
      </w:tc>
    </w:tr>
    <w:tr w:rsidR="00FD2066" w14:paraId="36334B37" w14:textId="77777777" w:rsidTr="004A46F4">
      <w:trPr>
        <w:trHeight w:val="342"/>
      </w:trPr>
      <w:tc>
        <w:tcPr>
          <w:tcW w:w="2977" w:type="dxa"/>
          <w:vAlign w:val="center"/>
        </w:tcPr>
        <w:p w14:paraId="476BA4F3" w14:textId="77777777" w:rsidR="00FD2066" w:rsidRPr="00674A46" w:rsidRDefault="00FD2066"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7DFCEEA9" w:rsidR="00FD2066" w:rsidRPr="004A46F4" w:rsidRDefault="00FD2066" w:rsidP="003441EF">
          <w:pPr>
            <w:pStyle w:val="Encabezado"/>
            <w:jc w:val="both"/>
            <w:rPr>
              <w:rFonts w:ascii="Palatino Linotype" w:hAnsi="Palatino Linotype"/>
              <w:sz w:val="22"/>
              <w:szCs w:val="22"/>
              <w:highlight w:val="green"/>
            </w:rPr>
          </w:pPr>
          <w:r w:rsidRPr="004A46F4">
            <w:rPr>
              <w:rFonts w:ascii="Palatino Linotype" w:hAnsi="Palatino Linotype"/>
              <w:bCs/>
              <w:color w:val="000000"/>
              <w:sz w:val="22"/>
              <w:szCs w:val="22"/>
            </w:rPr>
            <w:t>Ayuntamiento de Ixtapaluca</w:t>
          </w:r>
        </w:p>
      </w:tc>
    </w:tr>
    <w:tr w:rsidR="00FD2066" w14:paraId="0C6AC9F5" w14:textId="77777777" w:rsidTr="004A46F4">
      <w:trPr>
        <w:trHeight w:val="342"/>
      </w:trPr>
      <w:tc>
        <w:tcPr>
          <w:tcW w:w="2977" w:type="dxa"/>
          <w:vAlign w:val="center"/>
        </w:tcPr>
        <w:p w14:paraId="68D9479B" w14:textId="77777777" w:rsidR="00FD2066" w:rsidRPr="00674A46" w:rsidRDefault="00FD2066"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FD2066" w:rsidRPr="004A46F4" w:rsidRDefault="00FD2066" w:rsidP="00B5153D">
          <w:pPr>
            <w:pStyle w:val="Encabezado"/>
            <w:rPr>
              <w:rFonts w:ascii="Palatino Linotype" w:hAnsi="Palatino Linotype"/>
              <w:sz w:val="22"/>
              <w:szCs w:val="22"/>
            </w:rPr>
          </w:pPr>
          <w:r w:rsidRPr="004A46F4">
            <w:rPr>
              <w:rFonts w:ascii="Palatino Linotype" w:hAnsi="Palatino Linotype"/>
              <w:sz w:val="22"/>
              <w:szCs w:val="21"/>
            </w:rPr>
            <w:t>María del Rosario Mejía Ayala</w:t>
          </w:r>
        </w:p>
      </w:tc>
    </w:tr>
  </w:tbl>
  <w:p w14:paraId="77D264B0" w14:textId="77777777" w:rsidR="00FD2066" w:rsidRPr="00C222C0" w:rsidRDefault="002B2527">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7.45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2D5048"/>
    <w:multiLevelType w:val="multilevel"/>
    <w:tmpl w:val="4FACD0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B1312A"/>
    <w:multiLevelType w:val="hybridMultilevel"/>
    <w:tmpl w:val="3182C91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28980072"/>
    <w:multiLevelType w:val="multilevel"/>
    <w:tmpl w:val="6D7209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FE593A"/>
    <w:multiLevelType w:val="multilevel"/>
    <w:tmpl w:val="EA3A628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ED313E"/>
    <w:multiLevelType w:val="hybridMultilevel"/>
    <w:tmpl w:val="5ECAD50C"/>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9" w15:restartNumberingAfterBreak="0">
    <w:nsid w:val="3BCC37CE"/>
    <w:multiLevelType w:val="hybridMultilevel"/>
    <w:tmpl w:val="D7EE659C"/>
    <w:lvl w:ilvl="0" w:tplc="B2A27AA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8B4781F"/>
    <w:multiLevelType w:val="hybridMultilevel"/>
    <w:tmpl w:val="226039C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3"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7"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abstractNumId w:val="7"/>
  </w:num>
  <w:num w:numId="2">
    <w:abstractNumId w:val="17"/>
  </w:num>
  <w:num w:numId="3">
    <w:abstractNumId w:val="12"/>
  </w:num>
  <w:num w:numId="4">
    <w:abstractNumId w:val="11"/>
  </w:num>
  <w:num w:numId="5">
    <w:abstractNumId w:val="8"/>
  </w:num>
  <w:num w:numId="6">
    <w:abstractNumId w:val="15"/>
  </w:num>
  <w:num w:numId="7">
    <w:abstractNumId w:val="3"/>
  </w:num>
  <w:num w:numId="8">
    <w:abstractNumId w:val="16"/>
  </w:num>
  <w:num w:numId="9">
    <w:abstractNumId w:val="0"/>
  </w:num>
  <w:num w:numId="10">
    <w:abstractNumId w:val="1"/>
  </w:num>
  <w:num w:numId="11">
    <w:abstractNumId w:val="14"/>
  </w:num>
  <w:num w:numId="12">
    <w:abstractNumId w:val="13"/>
  </w:num>
  <w:num w:numId="13">
    <w:abstractNumId w:val="6"/>
  </w:num>
  <w:num w:numId="14">
    <w:abstractNumId w:val="9"/>
  </w:num>
  <w:num w:numId="15">
    <w:abstractNumId w:val="10"/>
  </w:num>
  <w:num w:numId="16">
    <w:abstractNumId w:val="4"/>
  </w:num>
  <w:num w:numId="17">
    <w:abstractNumId w:val="2"/>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10A78"/>
    <w:rsid w:val="00031670"/>
    <w:rsid w:val="00032236"/>
    <w:rsid w:val="00050654"/>
    <w:rsid w:val="00052F1C"/>
    <w:rsid w:val="000565EF"/>
    <w:rsid w:val="000624A9"/>
    <w:rsid w:val="00064325"/>
    <w:rsid w:val="00066953"/>
    <w:rsid w:val="00066B5D"/>
    <w:rsid w:val="00071265"/>
    <w:rsid w:val="000712D1"/>
    <w:rsid w:val="0007346F"/>
    <w:rsid w:val="0009044C"/>
    <w:rsid w:val="000A24E3"/>
    <w:rsid w:val="000B03F3"/>
    <w:rsid w:val="000B4346"/>
    <w:rsid w:val="000B491E"/>
    <w:rsid w:val="000D2DAF"/>
    <w:rsid w:val="000D662C"/>
    <w:rsid w:val="000D6692"/>
    <w:rsid w:val="000F29F0"/>
    <w:rsid w:val="000F78C3"/>
    <w:rsid w:val="00106A01"/>
    <w:rsid w:val="001125D8"/>
    <w:rsid w:val="00113410"/>
    <w:rsid w:val="001176B0"/>
    <w:rsid w:val="00117DAF"/>
    <w:rsid w:val="00120357"/>
    <w:rsid w:val="00120B7E"/>
    <w:rsid w:val="001218B8"/>
    <w:rsid w:val="0012471F"/>
    <w:rsid w:val="00133699"/>
    <w:rsid w:val="00143BEB"/>
    <w:rsid w:val="00177927"/>
    <w:rsid w:val="0018393D"/>
    <w:rsid w:val="001A1023"/>
    <w:rsid w:val="001A494D"/>
    <w:rsid w:val="001B112C"/>
    <w:rsid w:val="001B24AC"/>
    <w:rsid w:val="001B3D05"/>
    <w:rsid w:val="001B655F"/>
    <w:rsid w:val="001C69FE"/>
    <w:rsid w:val="001E27D8"/>
    <w:rsid w:val="001E7732"/>
    <w:rsid w:val="001F3DF0"/>
    <w:rsid w:val="001F6E85"/>
    <w:rsid w:val="00217A91"/>
    <w:rsid w:val="00222293"/>
    <w:rsid w:val="0022407E"/>
    <w:rsid w:val="0022467E"/>
    <w:rsid w:val="00227745"/>
    <w:rsid w:val="0023616B"/>
    <w:rsid w:val="00241074"/>
    <w:rsid w:val="002430FF"/>
    <w:rsid w:val="00243329"/>
    <w:rsid w:val="00262C1E"/>
    <w:rsid w:val="00264692"/>
    <w:rsid w:val="002676CE"/>
    <w:rsid w:val="00270BB6"/>
    <w:rsid w:val="002765D6"/>
    <w:rsid w:val="00282598"/>
    <w:rsid w:val="002847CD"/>
    <w:rsid w:val="00292ACC"/>
    <w:rsid w:val="002943FC"/>
    <w:rsid w:val="00297895"/>
    <w:rsid w:val="002A1DCF"/>
    <w:rsid w:val="002B2527"/>
    <w:rsid w:val="002B540C"/>
    <w:rsid w:val="002C08E7"/>
    <w:rsid w:val="002D7351"/>
    <w:rsid w:val="002F44D1"/>
    <w:rsid w:val="003064D7"/>
    <w:rsid w:val="00311809"/>
    <w:rsid w:val="0032015A"/>
    <w:rsid w:val="0032194B"/>
    <w:rsid w:val="0032658F"/>
    <w:rsid w:val="00326742"/>
    <w:rsid w:val="00335D85"/>
    <w:rsid w:val="003441EF"/>
    <w:rsid w:val="003529FC"/>
    <w:rsid w:val="00352A68"/>
    <w:rsid w:val="00361600"/>
    <w:rsid w:val="003618AA"/>
    <w:rsid w:val="003718AD"/>
    <w:rsid w:val="00377065"/>
    <w:rsid w:val="003865D1"/>
    <w:rsid w:val="00391120"/>
    <w:rsid w:val="003A57B8"/>
    <w:rsid w:val="003C236F"/>
    <w:rsid w:val="003D26D9"/>
    <w:rsid w:val="003D7FD3"/>
    <w:rsid w:val="003E76A0"/>
    <w:rsid w:val="003F19B0"/>
    <w:rsid w:val="003F5071"/>
    <w:rsid w:val="003F55FC"/>
    <w:rsid w:val="00404978"/>
    <w:rsid w:val="004278C7"/>
    <w:rsid w:val="00430195"/>
    <w:rsid w:val="00432766"/>
    <w:rsid w:val="00437A3C"/>
    <w:rsid w:val="00442B62"/>
    <w:rsid w:val="00453132"/>
    <w:rsid w:val="00464700"/>
    <w:rsid w:val="00464E97"/>
    <w:rsid w:val="00466995"/>
    <w:rsid w:val="00470EDD"/>
    <w:rsid w:val="00480C4B"/>
    <w:rsid w:val="0048421D"/>
    <w:rsid w:val="004965A6"/>
    <w:rsid w:val="004968BD"/>
    <w:rsid w:val="004A46F4"/>
    <w:rsid w:val="004B07FE"/>
    <w:rsid w:val="004B65C0"/>
    <w:rsid w:val="004C222C"/>
    <w:rsid w:val="004C67A5"/>
    <w:rsid w:val="004D0798"/>
    <w:rsid w:val="004D1B9C"/>
    <w:rsid w:val="004D3CDC"/>
    <w:rsid w:val="004F003E"/>
    <w:rsid w:val="004F2254"/>
    <w:rsid w:val="00514EC7"/>
    <w:rsid w:val="00522F39"/>
    <w:rsid w:val="00535787"/>
    <w:rsid w:val="00537651"/>
    <w:rsid w:val="00557C67"/>
    <w:rsid w:val="00560AF2"/>
    <w:rsid w:val="00570E37"/>
    <w:rsid w:val="00573B38"/>
    <w:rsid w:val="0058635C"/>
    <w:rsid w:val="0059519D"/>
    <w:rsid w:val="00595B50"/>
    <w:rsid w:val="005970BB"/>
    <w:rsid w:val="00597672"/>
    <w:rsid w:val="005976DF"/>
    <w:rsid w:val="005A0270"/>
    <w:rsid w:val="005B0B59"/>
    <w:rsid w:val="005B7EE1"/>
    <w:rsid w:val="005D63E1"/>
    <w:rsid w:val="005F49BE"/>
    <w:rsid w:val="00620FEE"/>
    <w:rsid w:val="00626E5B"/>
    <w:rsid w:val="0062719E"/>
    <w:rsid w:val="006373D0"/>
    <w:rsid w:val="00644735"/>
    <w:rsid w:val="006603F1"/>
    <w:rsid w:val="006609C8"/>
    <w:rsid w:val="006671D3"/>
    <w:rsid w:val="00670DFC"/>
    <w:rsid w:val="0067244C"/>
    <w:rsid w:val="0068530B"/>
    <w:rsid w:val="00687FFB"/>
    <w:rsid w:val="00690E32"/>
    <w:rsid w:val="00694764"/>
    <w:rsid w:val="006977CD"/>
    <w:rsid w:val="006A0520"/>
    <w:rsid w:val="006B4CAF"/>
    <w:rsid w:val="006B70B1"/>
    <w:rsid w:val="006C09D3"/>
    <w:rsid w:val="006C5DB2"/>
    <w:rsid w:val="006D5102"/>
    <w:rsid w:val="006E6FFC"/>
    <w:rsid w:val="006E76C7"/>
    <w:rsid w:val="006F005B"/>
    <w:rsid w:val="00722086"/>
    <w:rsid w:val="0072371D"/>
    <w:rsid w:val="00727550"/>
    <w:rsid w:val="0074082A"/>
    <w:rsid w:val="0074431C"/>
    <w:rsid w:val="007505E5"/>
    <w:rsid w:val="007563F2"/>
    <w:rsid w:val="00785A71"/>
    <w:rsid w:val="00787472"/>
    <w:rsid w:val="00790E1F"/>
    <w:rsid w:val="007B12CC"/>
    <w:rsid w:val="007B21AE"/>
    <w:rsid w:val="007B26D8"/>
    <w:rsid w:val="007B5D7C"/>
    <w:rsid w:val="007C0931"/>
    <w:rsid w:val="007C50BE"/>
    <w:rsid w:val="007D502F"/>
    <w:rsid w:val="007E0F24"/>
    <w:rsid w:val="007E2B20"/>
    <w:rsid w:val="00805D37"/>
    <w:rsid w:val="0081554F"/>
    <w:rsid w:val="00827F6B"/>
    <w:rsid w:val="00832A27"/>
    <w:rsid w:val="0084030D"/>
    <w:rsid w:val="00844CA2"/>
    <w:rsid w:val="00852DB7"/>
    <w:rsid w:val="00866A8C"/>
    <w:rsid w:val="00872DEB"/>
    <w:rsid w:val="00896040"/>
    <w:rsid w:val="008A075F"/>
    <w:rsid w:val="008A7701"/>
    <w:rsid w:val="008C1C4E"/>
    <w:rsid w:val="008D3A70"/>
    <w:rsid w:val="008E52E6"/>
    <w:rsid w:val="008E5CCE"/>
    <w:rsid w:val="00904369"/>
    <w:rsid w:val="00914423"/>
    <w:rsid w:val="00923E55"/>
    <w:rsid w:val="009304C1"/>
    <w:rsid w:val="009330EC"/>
    <w:rsid w:val="00937641"/>
    <w:rsid w:val="00942616"/>
    <w:rsid w:val="00952475"/>
    <w:rsid w:val="00980659"/>
    <w:rsid w:val="00980AB2"/>
    <w:rsid w:val="0098690D"/>
    <w:rsid w:val="009B695C"/>
    <w:rsid w:val="009C1167"/>
    <w:rsid w:val="009D2E60"/>
    <w:rsid w:val="009D694F"/>
    <w:rsid w:val="009D703E"/>
    <w:rsid w:val="009E6CAC"/>
    <w:rsid w:val="009F3CC0"/>
    <w:rsid w:val="00A23C77"/>
    <w:rsid w:val="00A24B8B"/>
    <w:rsid w:val="00A364E6"/>
    <w:rsid w:val="00A378AC"/>
    <w:rsid w:val="00A50FB9"/>
    <w:rsid w:val="00A5352D"/>
    <w:rsid w:val="00A6168B"/>
    <w:rsid w:val="00A72789"/>
    <w:rsid w:val="00A727B4"/>
    <w:rsid w:val="00A731FE"/>
    <w:rsid w:val="00A742BF"/>
    <w:rsid w:val="00A81ADE"/>
    <w:rsid w:val="00A81EAE"/>
    <w:rsid w:val="00A873EB"/>
    <w:rsid w:val="00AA409D"/>
    <w:rsid w:val="00AC08E1"/>
    <w:rsid w:val="00AD44A3"/>
    <w:rsid w:val="00AD4E73"/>
    <w:rsid w:val="00AE14D3"/>
    <w:rsid w:val="00AE4CDD"/>
    <w:rsid w:val="00AE5DE4"/>
    <w:rsid w:val="00AF6678"/>
    <w:rsid w:val="00B01B1E"/>
    <w:rsid w:val="00B043B4"/>
    <w:rsid w:val="00B14FF2"/>
    <w:rsid w:val="00B461E4"/>
    <w:rsid w:val="00B5153D"/>
    <w:rsid w:val="00B52B1F"/>
    <w:rsid w:val="00B5407A"/>
    <w:rsid w:val="00B713BA"/>
    <w:rsid w:val="00B73D38"/>
    <w:rsid w:val="00B8724C"/>
    <w:rsid w:val="00B96015"/>
    <w:rsid w:val="00BC1A99"/>
    <w:rsid w:val="00BC6C93"/>
    <w:rsid w:val="00BD5396"/>
    <w:rsid w:val="00BF5637"/>
    <w:rsid w:val="00C019F2"/>
    <w:rsid w:val="00C02A18"/>
    <w:rsid w:val="00C16196"/>
    <w:rsid w:val="00C1747C"/>
    <w:rsid w:val="00C22492"/>
    <w:rsid w:val="00C24D90"/>
    <w:rsid w:val="00C259CE"/>
    <w:rsid w:val="00C30ED9"/>
    <w:rsid w:val="00C36848"/>
    <w:rsid w:val="00C46D2A"/>
    <w:rsid w:val="00C479BF"/>
    <w:rsid w:val="00C92688"/>
    <w:rsid w:val="00CA3460"/>
    <w:rsid w:val="00CA55B6"/>
    <w:rsid w:val="00CB3AAC"/>
    <w:rsid w:val="00CC2455"/>
    <w:rsid w:val="00CC320C"/>
    <w:rsid w:val="00CC56ED"/>
    <w:rsid w:val="00CC57A5"/>
    <w:rsid w:val="00CC5F38"/>
    <w:rsid w:val="00CD40B6"/>
    <w:rsid w:val="00CF1B52"/>
    <w:rsid w:val="00CF5DC0"/>
    <w:rsid w:val="00CF6FE8"/>
    <w:rsid w:val="00D00D74"/>
    <w:rsid w:val="00D02172"/>
    <w:rsid w:val="00D05A0E"/>
    <w:rsid w:val="00D16EC5"/>
    <w:rsid w:val="00D23459"/>
    <w:rsid w:val="00D36296"/>
    <w:rsid w:val="00D45631"/>
    <w:rsid w:val="00D53DA1"/>
    <w:rsid w:val="00D70F20"/>
    <w:rsid w:val="00D7279B"/>
    <w:rsid w:val="00D77A40"/>
    <w:rsid w:val="00D806CA"/>
    <w:rsid w:val="00D9163F"/>
    <w:rsid w:val="00D97091"/>
    <w:rsid w:val="00DA6458"/>
    <w:rsid w:val="00DC6F9A"/>
    <w:rsid w:val="00DD308F"/>
    <w:rsid w:val="00DE31FF"/>
    <w:rsid w:val="00DF7E29"/>
    <w:rsid w:val="00E06F7D"/>
    <w:rsid w:val="00E076DC"/>
    <w:rsid w:val="00E120A9"/>
    <w:rsid w:val="00E30E98"/>
    <w:rsid w:val="00E325D9"/>
    <w:rsid w:val="00E43DBB"/>
    <w:rsid w:val="00E542C6"/>
    <w:rsid w:val="00E620F7"/>
    <w:rsid w:val="00E626A4"/>
    <w:rsid w:val="00E67DAF"/>
    <w:rsid w:val="00E757FC"/>
    <w:rsid w:val="00E82518"/>
    <w:rsid w:val="00E91E53"/>
    <w:rsid w:val="00E9244F"/>
    <w:rsid w:val="00E929D5"/>
    <w:rsid w:val="00E96B5C"/>
    <w:rsid w:val="00E9762F"/>
    <w:rsid w:val="00EA33E0"/>
    <w:rsid w:val="00EC02F1"/>
    <w:rsid w:val="00EE4780"/>
    <w:rsid w:val="00EE4E3F"/>
    <w:rsid w:val="00EE5D31"/>
    <w:rsid w:val="00F01855"/>
    <w:rsid w:val="00F03D76"/>
    <w:rsid w:val="00F15101"/>
    <w:rsid w:val="00F304AF"/>
    <w:rsid w:val="00F31063"/>
    <w:rsid w:val="00F321A7"/>
    <w:rsid w:val="00F3329F"/>
    <w:rsid w:val="00F34B09"/>
    <w:rsid w:val="00F36290"/>
    <w:rsid w:val="00F37AFB"/>
    <w:rsid w:val="00F50589"/>
    <w:rsid w:val="00F52F98"/>
    <w:rsid w:val="00F626F3"/>
    <w:rsid w:val="00F66E32"/>
    <w:rsid w:val="00F710AC"/>
    <w:rsid w:val="00F85628"/>
    <w:rsid w:val="00F856BC"/>
    <w:rsid w:val="00F94845"/>
    <w:rsid w:val="00FA07C1"/>
    <w:rsid w:val="00FA256B"/>
    <w:rsid w:val="00FA52A9"/>
    <w:rsid w:val="00FB260A"/>
    <w:rsid w:val="00FB2B34"/>
    <w:rsid w:val="00FC662C"/>
    <w:rsid w:val="00FC7384"/>
    <w:rsid w:val="00FD2066"/>
    <w:rsid w:val="00FD2D38"/>
    <w:rsid w:val="00FE655D"/>
    <w:rsid w:val="00FE7902"/>
    <w:rsid w:val="00FF3444"/>
    <w:rsid w:val="00FF7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112F048D-27BD-46A8-9E2F-07504BF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pPr>
      <w:spacing w:after="0" w:line="240" w:lineRule="auto"/>
    </w:pPr>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C368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character" w:styleId="Referenciasutil">
    <w:name w:val="Subtle Reference"/>
    <w:basedOn w:val="Fuentedeprrafopredeter"/>
    <w:uiPriority w:val="31"/>
    <w:qFormat/>
    <w:rsid w:val="003A57B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6804">
      <w:bodyDiv w:val="1"/>
      <w:marLeft w:val="0"/>
      <w:marRight w:val="0"/>
      <w:marTop w:val="0"/>
      <w:marBottom w:val="0"/>
      <w:divBdr>
        <w:top w:val="none" w:sz="0" w:space="0" w:color="auto"/>
        <w:left w:val="none" w:sz="0" w:space="0" w:color="auto"/>
        <w:bottom w:val="none" w:sz="0" w:space="0" w:color="auto"/>
        <w:right w:val="none" w:sz="0" w:space="0" w:color="auto"/>
      </w:divBdr>
    </w:div>
    <w:div w:id="563102299">
      <w:bodyDiv w:val="1"/>
      <w:marLeft w:val="0"/>
      <w:marRight w:val="0"/>
      <w:marTop w:val="0"/>
      <w:marBottom w:val="0"/>
      <w:divBdr>
        <w:top w:val="none" w:sz="0" w:space="0" w:color="auto"/>
        <w:left w:val="none" w:sz="0" w:space="0" w:color="auto"/>
        <w:bottom w:val="none" w:sz="0" w:space="0" w:color="auto"/>
        <w:right w:val="none" w:sz="0" w:space="0" w:color="auto"/>
      </w:divBdr>
    </w:div>
    <w:div w:id="1176993584">
      <w:bodyDiv w:val="1"/>
      <w:marLeft w:val="0"/>
      <w:marRight w:val="0"/>
      <w:marTop w:val="0"/>
      <w:marBottom w:val="0"/>
      <w:divBdr>
        <w:top w:val="none" w:sz="0" w:space="0" w:color="auto"/>
        <w:left w:val="none" w:sz="0" w:space="0" w:color="auto"/>
        <w:bottom w:val="none" w:sz="0" w:space="0" w:color="auto"/>
        <w:right w:val="none" w:sz="0" w:space="0" w:color="auto"/>
      </w:divBdr>
    </w:div>
    <w:div w:id="18891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1002-C5DA-4CF9-B623-F3F3018D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26</Pages>
  <Words>6082</Words>
  <Characters>33457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8</cp:revision>
  <cp:lastPrinted>2024-10-17T02:14:00Z</cp:lastPrinted>
  <dcterms:created xsi:type="dcterms:W3CDTF">2024-11-21T18:29:00Z</dcterms:created>
  <dcterms:modified xsi:type="dcterms:W3CDTF">2025-01-21T16:11:00Z</dcterms:modified>
</cp:coreProperties>
</file>