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A9AE9" w14:textId="77777777" w:rsidR="00897BB9" w:rsidRDefault="00897BB9" w:rsidP="00934271">
      <w:pPr>
        <w:spacing w:line="360" w:lineRule="auto"/>
        <w:ind w:right="-28"/>
        <w:contextualSpacing/>
        <w:jc w:val="both"/>
        <w:rPr>
          <w:rFonts w:ascii="Palatino Linotype" w:hAnsi="Palatino Linotype" w:cs="Tahoma"/>
          <w:bCs/>
          <w:sz w:val="22"/>
          <w:szCs w:val="22"/>
        </w:rPr>
      </w:pPr>
    </w:p>
    <w:p w14:paraId="2955EA56" w14:textId="77777777" w:rsidR="00897BB9" w:rsidRPr="002334F1" w:rsidRDefault="00897BB9" w:rsidP="00934271">
      <w:pPr>
        <w:spacing w:line="360" w:lineRule="auto"/>
        <w:ind w:right="-28"/>
        <w:contextualSpacing/>
        <w:jc w:val="both"/>
        <w:rPr>
          <w:rFonts w:ascii="Palatino Linotype" w:hAnsi="Palatino Linotype"/>
          <w:noProof/>
          <w:sz w:val="22"/>
          <w:szCs w:val="22"/>
          <w:lang w:val="es-ES"/>
        </w:rPr>
      </w:pPr>
      <w:r w:rsidRPr="002334F1">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 veintisiete de noviembre de dos mil veinticuatro.</w:t>
      </w:r>
    </w:p>
    <w:p w14:paraId="600BAB4C" w14:textId="77777777" w:rsidR="00897BB9" w:rsidRPr="002334F1" w:rsidRDefault="00897BB9" w:rsidP="00934271">
      <w:pPr>
        <w:spacing w:line="360" w:lineRule="auto"/>
        <w:ind w:right="-28"/>
        <w:contextualSpacing/>
        <w:jc w:val="both"/>
        <w:rPr>
          <w:rFonts w:ascii="Palatino Linotype" w:hAnsi="Palatino Linotype"/>
          <w:noProof/>
          <w:sz w:val="22"/>
          <w:szCs w:val="22"/>
          <w:lang w:val="es-ES"/>
        </w:rPr>
      </w:pPr>
    </w:p>
    <w:p w14:paraId="3AB77C72" w14:textId="77777777" w:rsidR="00897BB9" w:rsidRPr="002334F1" w:rsidRDefault="00897BB9" w:rsidP="00934271">
      <w:pPr>
        <w:spacing w:line="360" w:lineRule="auto"/>
        <w:ind w:right="-28"/>
        <w:contextualSpacing/>
        <w:jc w:val="both"/>
        <w:rPr>
          <w:rFonts w:ascii="Palatino Linotype" w:hAnsi="Palatino Linotype" w:cs="Tahoma"/>
          <w:bCs/>
          <w:sz w:val="22"/>
          <w:szCs w:val="22"/>
        </w:rPr>
      </w:pPr>
      <w:r w:rsidRPr="002334F1">
        <w:rPr>
          <w:rFonts w:ascii="Palatino Linotype" w:hAnsi="Palatino Linotype" w:cs="Tahoma"/>
          <w:b/>
          <w:bCs/>
          <w:sz w:val="22"/>
          <w:szCs w:val="22"/>
        </w:rPr>
        <w:t xml:space="preserve">VISTO </w:t>
      </w:r>
      <w:r w:rsidRPr="002334F1">
        <w:rPr>
          <w:rFonts w:ascii="Palatino Linotype" w:hAnsi="Palatino Linotype" w:cs="Tahoma"/>
          <w:bCs/>
          <w:sz w:val="22"/>
          <w:szCs w:val="22"/>
        </w:rPr>
        <w:t xml:space="preserve">el expediente conformado con motivo del Recurso de Revisión </w:t>
      </w:r>
      <w:r w:rsidRPr="008C0B5C">
        <w:rPr>
          <w:rFonts w:ascii="Palatino Linotype" w:hAnsi="Palatino Linotype" w:cs="Tahoma"/>
          <w:b/>
          <w:color w:val="0D0D0D" w:themeColor="text1" w:themeTint="F2"/>
          <w:sz w:val="22"/>
          <w:szCs w:val="22"/>
        </w:rPr>
        <w:t>06886/INFOEM/IP/RR/2024</w:t>
      </w:r>
      <w:r w:rsidRPr="002334F1">
        <w:rPr>
          <w:rFonts w:ascii="Palatino Linotype" w:hAnsi="Palatino Linotype" w:cs="Tahoma"/>
          <w:sz w:val="22"/>
          <w:szCs w:val="22"/>
        </w:rPr>
        <w:t xml:space="preserve">, interpuesto por el Recurrente o Particular, en contra de la respuesta del Sujeto Obligado, </w:t>
      </w:r>
      <w:r w:rsidRPr="008C0B5C">
        <w:rPr>
          <w:rFonts w:ascii="Palatino Linotype" w:hAnsi="Palatino Linotype"/>
          <w:b/>
          <w:sz w:val="22"/>
          <w:szCs w:val="22"/>
        </w:rPr>
        <w:t xml:space="preserve">Ayuntamiento de </w:t>
      </w:r>
      <w:proofErr w:type="spellStart"/>
      <w:r w:rsidRPr="008C0B5C">
        <w:rPr>
          <w:rFonts w:ascii="Palatino Linotype" w:hAnsi="Palatino Linotype"/>
          <w:b/>
          <w:sz w:val="22"/>
          <w:szCs w:val="22"/>
        </w:rPr>
        <w:t>Temamatla</w:t>
      </w:r>
      <w:proofErr w:type="spellEnd"/>
      <w:r w:rsidRPr="002334F1">
        <w:rPr>
          <w:rFonts w:ascii="Palatino Linotype" w:hAnsi="Palatino Linotype" w:cs="Tahoma"/>
          <w:sz w:val="22"/>
          <w:szCs w:val="22"/>
        </w:rPr>
        <w:t>, a la solicitud de acceso a la información pública</w:t>
      </w:r>
      <w:r w:rsidRPr="002334F1">
        <w:rPr>
          <w:rFonts w:ascii="Palatino Linotype" w:hAnsi="Palatino Linotype" w:cs="Tahoma"/>
          <w:bCs/>
          <w:sz w:val="22"/>
          <w:szCs w:val="22"/>
        </w:rPr>
        <w:t xml:space="preserve"> con número de folio </w:t>
      </w:r>
      <w:r w:rsidRPr="002334F1">
        <w:rPr>
          <w:rFonts w:ascii="Palatino Linotype" w:hAnsi="Palatino Linotype"/>
          <w:sz w:val="22"/>
          <w:szCs w:val="22"/>
        </w:rPr>
        <w:t>00625/TEMAMATL/IP/2024</w:t>
      </w:r>
      <w:r w:rsidRPr="002334F1">
        <w:rPr>
          <w:rFonts w:ascii="Palatino Linotype" w:hAnsi="Palatino Linotype" w:cs="Tahoma"/>
          <w:bCs/>
          <w:sz w:val="22"/>
          <w:szCs w:val="22"/>
        </w:rPr>
        <w:t>, se emite la presente Resolución, con base en los Antecedentes y Considerandos que se exponen a continuación:</w:t>
      </w:r>
    </w:p>
    <w:p w14:paraId="2C2DE23B" w14:textId="77777777" w:rsidR="00897BB9" w:rsidRPr="002334F1" w:rsidRDefault="00897BB9" w:rsidP="00934271">
      <w:pPr>
        <w:spacing w:line="360" w:lineRule="auto"/>
        <w:ind w:right="-28"/>
        <w:contextualSpacing/>
        <w:jc w:val="both"/>
        <w:rPr>
          <w:rFonts w:ascii="Palatino Linotype" w:hAnsi="Palatino Linotype" w:cs="Tahoma"/>
          <w:b/>
          <w:bCs/>
          <w:color w:val="0D0D0D" w:themeColor="text1" w:themeTint="F2"/>
          <w:sz w:val="22"/>
          <w:szCs w:val="22"/>
        </w:rPr>
      </w:pPr>
    </w:p>
    <w:p w14:paraId="774CA97A" w14:textId="77777777" w:rsidR="00897BB9" w:rsidRPr="002334F1" w:rsidRDefault="00897BB9" w:rsidP="00934271">
      <w:pPr>
        <w:tabs>
          <w:tab w:val="center" w:pos="4522"/>
          <w:tab w:val="left" w:pos="7245"/>
          <w:tab w:val="right" w:pos="9044"/>
        </w:tabs>
        <w:spacing w:line="360" w:lineRule="auto"/>
        <w:ind w:right="-28"/>
        <w:contextualSpacing/>
        <w:jc w:val="center"/>
        <w:rPr>
          <w:rFonts w:ascii="Palatino Linotype" w:hAnsi="Palatino Linotype" w:cs="Tahoma"/>
          <w:b/>
          <w:sz w:val="22"/>
          <w:szCs w:val="22"/>
        </w:rPr>
      </w:pPr>
      <w:r w:rsidRPr="002334F1">
        <w:rPr>
          <w:rFonts w:ascii="Palatino Linotype" w:hAnsi="Palatino Linotype" w:cs="Tahoma"/>
          <w:b/>
          <w:sz w:val="22"/>
          <w:szCs w:val="22"/>
        </w:rPr>
        <w:t>A N T E C E D E N T E S</w:t>
      </w:r>
    </w:p>
    <w:p w14:paraId="530EA86D" w14:textId="77777777" w:rsidR="00897BB9" w:rsidRPr="002334F1" w:rsidRDefault="00897BB9" w:rsidP="00934271">
      <w:pPr>
        <w:tabs>
          <w:tab w:val="center" w:pos="4522"/>
          <w:tab w:val="left" w:pos="7245"/>
          <w:tab w:val="right" w:pos="9044"/>
        </w:tabs>
        <w:spacing w:line="360" w:lineRule="auto"/>
        <w:ind w:right="-28"/>
        <w:contextualSpacing/>
        <w:rPr>
          <w:rFonts w:ascii="Palatino Linotype" w:hAnsi="Palatino Linotype" w:cs="Tahoma"/>
          <w:b/>
          <w:sz w:val="22"/>
          <w:szCs w:val="22"/>
        </w:rPr>
      </w:pPr>
    </w:p>
    <w:p w14:paraId="74604838" w14:textId="77777777" w:rsidR="00897BB9" w:rsidRPr="002334F1" w:rsidRDefault="00897BB9" w:rsidP="00934271">
      <w:pPr>
        <w:pStyle w:val="Prrafodelista"/>
        <w:tabs>
          <w:tab w:val="left" w:pos="567"/>
        </w:tabs>
        <w:spacing w:line="360" w:lineRule="auto"/>
        <w:ind w:left="0" w:right="-28"/>
        <w:jc w:val="both"/>
        <w:rPr>
          <w:rFonts w:ascii="Palatino Linotype" w:hAnsi="Palatino Linotype" w:cs="Tahoma"/>
          <w:b/>
          <w:szCs w:val="22"/>
        </w:rPr>
      </w:pPr>
      <w:r w:rsidRPr="002334F1">
        <w:rPr>
          <w:rFonts w:ascii="Palatino Linotype" w:hAnsi="Palatino Linotype" w:cs="Tahoma"/>
          <w:b/>
          <w:szCs w:val="22"/>
        </w:rPr>
        <w:t>I. Presentación de la solicitud de información</w:t>
      </w:r>
    </w:p>
    <w:p w14:paraId="2CBF7864" w14:textId="77777777" w:rsidR="00897BB9" w:rsidRPr="002334F1" w:rsidRDefault="00897BB9" w:rsidP="00934271">
      <w:pPr>
        <w:pStyle w:val="Prrafodelista"/>
        <w:tabs>
          <w:tab w:val="left" w:pos="1050"/>
        </w:tabs>
        <w:spacing w:line="360" w:lineRule="auto"/>
        <w:ind w:left="0" w:right="-28"/>
        <w:jc w:val="both"/>
        <w:rPr>
          <w:rFonts w:ascii="Palatino Linotype" w:hAnsi="Palatino Linotype" w:cs="Tahoma"/>
          <w:szCs w:val="22"/>
        </w:rPr>
      </w:pPr>
    </w:p>
    <w:p w14:paraId="487A6B78" w14:textId="72E10E6D" w:rsidR="00897BB9" w:rsidRPr="002334F1" w:rsidRDefault="00897BB9" w:rsidP="00934271">
      <w:pPr>
        <w:autoSpaceDE w:val="0"/>
        <w:autoSpaceDN w:val="0"/>
        <w:adjustRightInd w:val="0"/>
        <w:spacing w:line="360" w:lineRule="auto"/>
        <w:contextualSpacing/>
        <w:jc w:val="both"/>
        <w:rPr>
          <w:rFonts w:ascii="Palatino Linotype" w:hAnsi="Palatino Linotype" w:cs="Tahoma"/>
          <w:sz w:val="22"/>
          <w:szCs w:val="22"/>
        </w:rPr>
      </w:pPr>
      <w:r w:rsidRPr="002334F1">
        <w:rPr>
          <w:rFonts w:ascii="Palatino Linotype" w:hAnsi="Palatino Linotype" w:cs="Tahoma"/>
          <w:sz w:val="22"/>
          <w:szCs w:val="22"/>
        </w:rPr>
        <w:t>Con fecha siete de octubre de dos mil veinticuatro</w:t>
      </w:r>
      <w:r w:rsidR="002334F1" w:rsidRPr="002334F1">
        <w:rPr>
          <w:rFonts w:ascii="Palatino Linotype" w:hAnsi="Palatino Linotype" w:cs="Tahoma"/>
          <w:sz w:val="22"/>
          <w:szCs w:val="22"/>
        </w:rPr>
        <w:t xml:space="preserve"> (ya que si bien se registró el cinco de dicho mes y año, este fue inhábil, por lo que se tuvo por</w:t>
      </w:r>
      <w:r w:rsidR="002334F1" w:rsidRPr="002334F1">
        <w:rPr>
          <w:rFonts w:ascii="Palatino Linotype" w:hAnsi="Palatino Linotype" w:cs="Tahoma"/>
          <w:sz w:val="22"/>
          <w:szCs w:val="22"/>
        </w:rPr>
        <w:br/>
        <w:t>presentado el día hábil siguiente)</w:t>
      </w:r>
      <w:r w:rsidRPr="002334F1">
        <w:rPr>
          <w:rFonts w:ascii="Palatino Linotype" w:hAnsi="Palatino Linotype" w:cs="Tahoma"/>
          <w:sz w:val="22"/>
          <w:szCs w:val="22"/>
        </w:rPr>
        <w:t xml:space="preserve">, el Particular presentó una solicitud de acceso a la información pública, a través del Sistema de Acceso a la Información Mexiquense (SAIMEX), ante el </w:t>
      </w:r>
      <w:r w:rsidRPr="002334F1">
        <w:rPr>
          <w:rFonts w:ascii="Palatino Linotype" w:hAnsi="Palatino Linotype"/>
          <w:sz w:val="22"/>
          <w:szCs w:val="22"/>
        </w:rPr>
        <w:t xml:space="preserve">Ayuntamiento de </w:t>
      </w:r>
      <w:proofErr w:type="spellStart"/>
      <w:r w:rsidRPr="002334F1">
        <w:rPr>
          <w:rFonts w:ascii="Palatino Linotype" w:hAnsi="Palatino Linotype"/>
          <w:sz w:val="22"/>
          <w:szCs w:val="22"/>
        </w:rPr>
        <w:t>Temamatla</w:t>
      </w:r>
      <w:proofErr w:type="spellEnd"/>
      <w:r w:rsidRPr="002334F1">
        <w:rPr>
          <w:rFonts w:ascii="Palatino Linotype" w:hAnsi="Palatino Linotype" w:cs="Tahoma"/>
          <w:b/>
          <w:bCs/>
          <w:sz w:val="22"/>
          <w:szCs w:val="22"/>
        </w:rPr>
        <w:t xml:space="preserve">, </w:t>
      </w:r>
      <w:r w:rsidRPr="002334F1">
        <w:rPr>
          <w:rFonts w:ascii="Palatino Linotype" w:hAnsi="Palatino Linotype" w:cs="Tahoma"/>
          <w:sz w:val="22"/>
          <w:szCs w:val="22"/>
          <w:lang w:val="es-ES"/>
        </w:rPr>
        <w:t>mediante la cual requirió lo siguiente:</w:t>
      </w:r>
    </w:p>
    <w:p w14:paraId="1B79BDF4" w14:textId="77777777" w:rsidR="00897BB9" w:rsidRPr="002334F1" w:rsidRDefault="00897BB9" w:rsidP="00934271">
      <w:pPr>
        <w:tabs>
          <w:tab w:val="left" w:pos="4667"/>
        </w:tabs>
        <w:spacing w:line="360" w:lineRule="auto"/>
        <w:ind w:right="567"/>
        <w:contextualSpacing/>
        <w:jc w:val="both"/>
        <w:rPr>
          <w:rFonts w:ascii="Palatino Linotype" w:hAnsi="Palatino Linotype" w:cs="Tahoma"/>
          <w:b/>
          <w:bCs/>
          <w:i/>
        </w:rPr>
      </w:pPr>
    </w:p>
    <w:p w14:paraId="2878E793" w14:textId="77777777" w:rsidR="00897BB9" w:rsidRPr="002334F1" w:rsidRDefault="00897BB9" w:rsidP="00934271">
      <w:pPr>
        <w:tabs>
          <w:tab w:val="left" w:pos="4667"/>
        </w:tabs>
        <w:spacing w:line="360" w:lineRule="auto"/>
        <w:ind w:left="567" w:right="567"/>
        <w:contextualSpacing/>
        <w:jc w:val="both"/>
        <w:rPr>
          <w:rFonts w:ascii="Palatino Linotype" w:hAnsi="Palatino Linotype" w:cs="Tahoma"/>
          <w:b/>
          <w:bCs/>
          <w:i/>
        </w:rPr>
      </w:pPr>
      <w:bookmarkStart w:id="0" w:name="_Hlk182343885"/>
      <w:r w:rsidRPr="002334F1">
        <w:rPr>
          <w:rFonts w:ascii="Palatino Linotype" w:hAnsi="Palatino Linotype" w:cs="Tahoma"/>
          <w:b/>
          <w:bCs/>
          <w:i/>
        </w:rPr>
        <w:t>“DESCRIPCIÓN CLARA Y PRECISA DE LA INFORMACIÓN SOLICITADA:</w:t>
      </w:r>
    </w:p>
    <w:p w14:paraId="02DD4386" w14:textId="282BA69D" w:rsidR="00897BB9" w:rsidRPr="002334F1" w:rsidRDefault="00897BB9" w:rsidP="00934271">
      <w:pPr>
        <w:widowControl w:val="0"/>
        <w:tabs>
          <w:tab w:val="left" w:pos="4667"/>
        </w:tabs>
        <w:spacing w:line="360" w:lineRule="auto"/>
        <w:ind w:left="567" w:right="567"/>
        <w:contextualSpacing/>
        <w:jc w:val="both"/>
        <w:rPr>
          <w:rFonts w:ascii="Palatino Linotype" w:hAnsi="Palatino Linotype"/>
          <w:i/>
          <w:lang w:eastAsia="es-MX"/>
        </w:rPr>
      </w:pPr>
      <w:r w:rsidRPr="002334F1">
        <w:rPr>
          <w:rFonts w:ascii="Palatino Linotype" w:hAnsi="Palatino Linotype"/>
          <w:i/>
          <w:color w:val="000000"/>
        </w:rPr>
        <w:t>solicito el monto que implico el subsidio del 100% en recargos generados por rezago en los tramites de adquisición de inmuebles y otras operaciones traslativas de dominio, impuestos predial y derechos por suministro de agua.</w:t>
      </w:r>
      <w:r w:rsidRPr="002334F1">
        <w:rPr>
          <w:rFonts w:ascii="Palatino Linotype" w:hAnsi="Palatino Linotype" w:cs="Tahoma"/>
          <w:bCs/>
          <w:i/>
        </w:rPr>
        <w:t>” (Sic)</w:t>
      </w:r>
    </w:p>
    <w:bookmarkEnd w:id="0"/>
    <w:p w14:paraId="7D741E2E" w14:textId="77777777" w:rsidR="00897BB9" w:rsidRPr="002334F1" w:rsidRDefault="00897BB9" w:rsidP="00934271">
      <w:pPr>
        <w:tabs>
          <w:tab w:val="left" w:pos="4667"/>
        </w:tabs>
        <w:spacing w:line="360" w:lineRule="auto"/>
        <w:ind w:left="567" w:right="567"/>
        <w:contextualSpacing/>
        <w:jc w:val="both"/>
        <w:rPr>
          <w:rFonts w:ascii="Palatino Linotype" w:hAnsi="Palatino Linotype" w:cs="Tahoma"/>
          <w:bCs/>
          <w:i/>
        </w:rPr>
      </w:pPr>
    </w:p>
    <w:p w14:paraId="6AB6B4E2" w14:textId="77777777" w:rsidR="00897BB9" w:rsidRPr="002334F1" w:rsidRDefault="00897BB9" w:rsidP="00934271">
      <w:pPr>
        <w:tabs>
          <w:tab w:val="left" w:pos="4667"/>
        </w:tabs>
        <w:spacing w:line="360" w:lineRule="auto"/>
        <w:ind w:left="567"/>
        <w:contextualSpacing/>
        <w:jc w:val="both"/>
        <w:rPr>
          <w:rFonts w:ascii="Palatino Linotype" w:hAnsi="Palatino Linotype" w:cs="Tahoma"/>
          <w:b/>
          <w:bCs/>
          <w:i/>
        </w:rPr>
      </w:pPr>
      <w:r w:rsidRPr="002334F1">
        <w:rPr>
          <w:rFonts w:ascii="Palatino Linotype" w:hAnsi="Palatino Linotype" w:cs="Tahoma"/>
          <w:b/>
          <w:bCs/>
          <w:i/>
        </w:rPr>
        <w:t xml:space="preserve">“Modalidad de Entrega: </w:t>
      </w:r>
    </w:p>
    <w:p w14:paraId="7E4641B3" w14:textId="77777777" w:rsidR="00897BB9" w:rsidRPr="002334F1" w:rsidRDefault="00897BB9" w:rsidP="00934271">
      <w:pPr>
        <w:tabs>
          <w:tab w:val="left" w:pos="567"/>
        </w:tabs>
        <w:spacing w:line="360" w:lineRule="auto"/>
        <w:ind w:left="567" w:right="-28"/>
        <w:contextualSpacing/>
        <w:jc w:val="both"/>
        <w:rPr>
          <w:rFonts w:ascii="Palatino Linotype" w:hAnsi="Palatino Linotype" w:cs="Tahoma"/>
          <w:bCs/>
          <w:i/>
        </w:rPr>
      </w:pPr>
      <w:r w:rsidRPr="002334F1" w:rsidDel="006544EC">
        <w:rPr>
          <w:rFonts w:ascii="Palatino Linotype" w:hAnsi="Palatino Linotype" w:cs="Tahoma"/>
          <w:b/>
          <w:bCs/>
          <w:i/>
        </w:rPr>
        <w:t xml:space="preserve"> </w:t>
      </w:r>
      <w:r w:rsidRPr="002334F1">
        <w:rPr>
          <w:rFonts w:ascii="Palatino Linotype" w:hAnsi="Palatino Linotype" w:cs="Tahoma"/>
          <w:bCs/>
          <w:i/>
        </w:rPr>
        <w:t xml:space="preserve">A través de SAIMEX” </w:t>
      </w:r>
    </w:p>
    <w:p w14:paraId="68537D0A" w14:textId="77777777" w:rsidR="00897BB9" w:rsidRPr="002334F1" w:rsidRDefault="00897BB9" w:rsidP="00934271">
      <w:pPr>
        <w:tabs>
          <w:tab w:val="left" w:pos="567"/>
        </w:tabs>
        <w:spacing w:line="360" w:lineRule="auto"/>
        <w:ind w:right="-28"/>
        <w:contextualSpacing/>
        <w:jc w:val="both"/>
        <w:rPr>
          <w:rFonts w:ascii="Palatino Linotype" w:hAnsi="Palatino Linotype" w:cs="Tahoma"/>
          <w:i/>
        </w:rPr>
      </w:pPr>
    </w:p>
    <w:p w14:paraId="65F0E323" w14:textId="77777777" w:rsidR="00897BB9" w:rsidRPr="002334F1" w:rsidRDefault="00897BB9" w:rsidP="00934271">
      <w:pPr>
        <w:spacing w:line="360" w:lineRule="auto"/>
        <w:contextualSpacing/>
        <w:rPr>
          <w:rFonts w:ascii="Palatino Linotype" w:hAnsi="Palatino Linotype" w:cs="Tahoma"/>
          <w:b/>
          <w:sz w:val="22"/>
          <w:szCs w:val="22"/>
        </w:rPr>
      </w:pPr>
      <w:bookmarkStart w:id="1" w:name="_Hlk16082333"/>
      <w:r w:rsidRPr="002334F1">
        <w:rPr>
          <w:rFonts w:ascii="Palatino Linotype" w:eastAsia="Calibri" w:hAnsi="Palatino Linotype" w:cs="Tahoma"/>
          <w:b/>
          <w:bCs/>
          <w:sz w:val="22"/>
          <w:szCs w:val="22"/>
        </w:rPr>
        <w:t xml:space="preserve">II. </w:t>
      </w:r>
      <w:r w:rsidRPr="002334F1">
        <w:rPr>
          <w:rFonts w:ascii="Palatino Linotype" w:hAnsi="Palatino Linotype" w:cs="Tahoma"/>
          <w:b/>
          <w:sz w:val="22"/>
          <w:szCs w:val="22"/>
        </w:rPr>
        <w:t>Respuesta</w:t>
      </w:r>
      <w:r w:rsidRPr="002334F1">
        <w:rPr>
          <w:rFonts w:ascii="Palatino Linotype" w:hAnsi="Palatino Linotype" w:cs="Tahoma"/>
          <w:b/>
          <w:bCs/>
          <w:sz w:val="22"/>
          <w:szCs w:val="22"/>
        </w:rPr>
        <w:t xml:space="preserve"> del Sujeto Obligado</w:t>
      </w:r>
    </w:p>
    <w:p w14:paraId="6546B53E" w14:textId="77777777" w:rsidR="00897BB9" w:rsidRPr="002334F1" w:rsidRDefault="00897BB9" w:rsidP="00934271">
      <w:pPr>
        <w:tabs>
          <w:tab w:val="left" w:pos="4667"/>
        </w:tabs>
        <w:spacing w:line="360" w:lineRule="auto"/>
        <w:ind w:right="567"/>
        <w:contextualSpacing/>
        <w:jc w:val="both"/>
        <w:rPr>
          <w:rFonts w:ascii="Palatino Linotype" w:hAnsi="Palatino Linotype" w:cs="Tahoma"/>
          <w:b/>
          <w:bCs/>
          <w:sz w:val="22"/>
          <w:szCs w:val="24"/>
        </w:rPr>
      </w:pPr>
    </w:p>
    <w:bookmarkEnd w:id="1"/>
    <w:p w14:paraId="64A3EB34" w14:textId="77777777" w:rsidR="00897BB9" w:rsidRPr="002334F1" w:rsidRDefault="00897BB9" w:rsidP="00934271">
      <w:pPr>
        <w:autoSpaceDE w:val="0"/>
        <w:autoSpaceDN w:val="0"/>
        <w:adjustRightInd w:val="0"/>
        <w:spacing w:line="360" w:lineRule="auto"/>
        <w:contextualSpacing/>
        <w:jc w:val="both"/>
        <w:rPr>
          <w:rFonts w:ascii="Palatino Linotype" w:hAnsi="Palatino Linotype" w:cs="Tahoma"/>
          <w:sz w:val="22"/>
          <w:szCs w:val="22"/>
        </w:rPr>
      </w:pPr>
      <w:r w:rsidRPr="002334F1">
        <w:rPr>
          <w:rFonts w:ascii="Palatino Linotype" w:hAnsi="Palatino Linotype" w:cs="Tahoma"/>
          <w:bCs/>
          <w:sz w:val="22"/>
          <w:szCs w:val="22"/>
        </w:rPr>
        <w:t>Con fecha veinticinco de octubre de dos mil veinticuatro, el</w:t>
      </w:r>
      <w:r w:rsidRPr="002334F1">
        <w:rPr>
          <w:rFonts w:ascii="Palatino Linotype" w:hAnsi="Palatino Linotype" w:cs="Tahoma"/>
          <w:b/>
          <w:sz w:val="22"/>
          <w:szCs w:val="22"/>
        </w:rPr>
        <w:t xml:space="preserve"> </w:t>
      </w:r>
      <w:r w:rsidRPr="002334F1">
        <w:rPr>
          <w:rFonts w:ascii="Palatino Linotype" w:hAnsi="Palatino Linotype" w:cs="Tahoma"/>
          <w:sz w:val="22"/>
          <w:szCs w:val="22"/>
        </w:rPr>
        <w:t>Sujeto Obligado dio respuesta a la solicitud de acceso a la información a través del Sistema de Acceso a la Información Mexiquense (SAIMEX), por medio de la digitalización de los documentos siguientes:</w:t>
      </w:r>
    </w:p>
    <w:p w14:paraId="7F83285E" w14:textId="77777777" w:rsidR="00897BB9" w:rsidRPr="002334F1" w:rsidRDefault="00897BB9" w:rsidP="00934271">
      <w:pPr>
        <w:autoSpaceDE w:val="0"/>
        <w:autoSpaceDN w:val="0"/>
        <w:adjustRightInd w:val="0"/>
        <w:spacing w:line="360" w:lineRule="auto"/>
        <w:contextualSpacing/>
        <w:jc w:val="both"/>
        <w:rPr>
          <w:rFonts w:ascii="Palatino Linotype" w:hAnsi="Palatino Linotype" w:cs="Tahoma"/>
          <w:sz w:val="22"/>
          <w:szCs w:val="22"/>
        </w:rPr>
      </w:pPr>
    </w:p>
    <w:p w14:paraId="65B08F5D" w14:textId="77777777" w:rsidR="00897BB9" w:rsidRPr="002334F1" w:rsidRDefault="00897BB9" w:rsidP="00934271">
      <w:pPr>
        <w:autoSpaceDE w:val="0"/>
        <w:autoSpaceDN w:val="0"/>
        <w:adjustRightInd w:val="0"/>
        <w:spacing w:line="360" w:lineRule="auto"/>
        <w:contextualSpacing/>
        <w:jc w:val="both"/>
        <w:rPr>
          <w:rFonts w:ascii="Palatino Linotype" w:hAnsi="Palatino Linotype" w:cs="Tahoma"/>
          <w:sz w:val="22"/>
          <w:szCs w:val="22"/>
        </w:rPr>
      </w:pPr>
      <w:r w:rsidRPr="002334F1">
        <w:rPr>
          <w:rFonts w:ascii="Palatino Linotype" w:hAnsi="Palatino Linotype" w:cs="Tahoma"/>
          <w:sz w:val="22"/>
          <w:szCs w:val="22"/>
        </w:rPr>
        <w:t>i) Oficio número TEMA/CAT/OI/0134/2024, del veintiuno de octubre de dos mil veinticuatro, suscrito por la Directora de Catastro Municipal, dirigido a la Titular de la Unidad de Transparencia y Acceso a la Información Pública, a través del cual manifiesta y expone lo siguiente:</w:t>
      </w:r>
    </w:p>
    <w:p w14:paraId="4178CE4F" w14:textId="77777777" w:rsidR="00897BB9" w:rsidRPr="002334F1" w:rsidRDefault="00897BB9" w:rsidP="00934271">
      <w:pPr>
        <w:spacing w:line="360" w:lineRule="auto"/>
        <w:contextualSpacing/>
      </w:pPr>
    </w:p>
    <w:p w14:paraId="528F7946" w14:textId="77777777" w:rsidR="00897BB9" w:rsidRPr="002334F1" w:rsidRDefault="00897BB9" w:rsidP="00934271">
      <w:pPr>
        <w:spacing w:line="360" w:lineRule="auto"/>
        <w:ind w:left="567" w:right="567"/>
        <w:contextualSpacing/>
        <w:jc w:val="both"/>
        <w:rPr>
          <w:rFonts w:ascii="Palatino Linotype" w:hAnsi="Palatino Linotype"/>
          <w:i/>
          <w:iCs/>
        </w:rPr>
      </w:pPr>
      <w:r w:rsidRPr="002334F1">
        <w:rPr>
          <w:rFonts w:ascii="Palatino Linotype" w:hAnsi="Palatino Linotype"/>
          <w:i/>
          <w:iCs/>
        </w:rPr>
        <w:t>“…</w:t>
      </w:r>
    </w:p>
    <w:p w14:paraId="652C64B2" w14:textId="77777777" w:rsidR="003212E8" w:rsidRPr="002334F1" w:rsidRDefault="00897BB9" w:rsidP="00934271">
      <w:pPr>
        <w:spacing w:line="360" w:lineRule="auto"/>
        <w:ind w:left="567" w:right="567"/>
        <w:contextualSpacing/>
        <w:jc w:val="both"/>
        <w:rPr>
          <w:rFonts w:ascii="Palatino Linotype" w:hAnsi="Palatino Linotype"/>
          <w:i/>
          <w:iCs/>
        </w:rPr>
      </w:pPr>
      <w:r w:rsidRPr="002334F1">
        <w:rPr>
          <w:rFonts w:ascii="Palatino Linotype" w:hAnsi="Palatino Linotype"/>
          <w:b/>
          <w:bCs/>
          <w:i/>
          <w:iCs/>
        </w:rPr>
        <w:t xml:space="preserve">Esta dirección propone la consulta directa </w:t>
      </w:r>
      <w:r w:rsidRPr="002334F1">
        <w:rPr>
          <w:rFonts w:ascii="Palatino Linotype" w:hAnsi="Palatino Linotype"/>
          <w:i/>
          <w:iCs/>
        </w:rPr>
        <w:t xml:space="preserve">de conformidad con el artículo 158 y164 de la Ley de Transparencia y acceso a la información pública del estado de México y Municipios, </w:t>
      </w:r>
      <w:r w:rsidRPr="002334F1">
        <w:rPr>
          <w:rFonts w:ascii="Palatino Linotype" w:hAnsi="Palatino Linotype"/>
          <w:b/>
          <w:bCs/>
          <w:i/>
          <w:iCs/>
        </w:rPr>
        <w:t xml:space="preserve">derivado del cambio de administración, la entrega recepción, mesas de transición, la falta de recursos materiales, económicas, capacidad técnica y humana con la que cuenta esta área </w:t>
      </w:r>
      <w:r w:rsidR="003212E8" w:rsidRPr="002334F1">
        <w:rPr>
          <w:rFonts w:ascii="Palatino Linotype" w:hAnsi="Palatino Linotype"/>
          <w:b/>
          <w:bCs/>
          <w:i/>
          <w:iCs/>
        </w:rPr>
        <w:t>administrativa de</w:t>
      </w:r>
      <w:r w:rsidRPr="002334F1">
        <w:rPr>
          <w:rFonts w:ascii="Palatino Linotype" w:hAnsi="Palatino Linotype"/>
          <w:b/>
          <w:bCs/>
          <w:i/>
          <w:iCs/>
        </w:rPr>
        <w:t xml:space="preserve"> conformidad con los artículos </w:t>
      </w:r>
      <w:r w:rsidRPr="002334F1">
        <w:rPr>
          <w:rFonts w:ascii="Palatino Linotype" w:hAnsi="Palatino Linotype"/>
          <w:i/>
          <w:iCs/>
        </w:rPr>
        <w:t xml:space="preserve">12 y 161 de la ley de transparencia solicito </w:t>
      </w:r>
      <w:r w:rsidR="003212E8" w:rsidRPr="002334F1">
        <w:rPr>
          <w:rFonts w:ascii="Palatino Linotype" w:hAnsi="Palatino Linotype"/>
          <w:i/>
          <w:iCs/>
        </w:rPr>
        <w:t>para el</w:t>
      </w:r>
      <w:r w:rsidRPr="002334F1">
        <w:rPr>
          <w:rFonts w:ascii="Palatino Linotype" w:hAnsi="Palatino Linotype"/>
          <w:i/>
          <w:iCs/>
        </w:rPr>
        <w:t xml:space="preserve"> caso de ser aprobado por el Comité de Transparencia el cambio de modalidad. Se propone las siguientes reglas de operación de conformidad con los Lineamientos Generales en Materia de Clasificación y Desclasificación de la Información, así como para la e</w:t>
      </w:r>
      <w:r w:rsidR="003212E8" w:rsidRPr="002334F1">
        <w:rPr>
          <w:rFonts w:ascii="Palatino Linotype" w:hAnsi="Palatino Linotype"/>
          <w:i/>
          <w:iCs/>
        </w:rPr>
        <w:t>laboración de Versiones Públicas.</w:t>
      </w:r>
    </w:p>
    <w:p w14:paraId="731FDA93" w14:textId="77777777" w:rsidR="003212E8" w:rsidRPr="002334F1" w:rsidRDefault="003212E8" w:rsidP="00934271">
      <w:pPr>
        <w:spacing w:line="360" w:lineRule="auto"/>
        <w:ind w:left="567" w:right="567"/>
        <w:contextualSpacing/>
        <w:jc w:val="both"/>
        <w:rPr>
          <w:rFonts w:ascii="Palatino Linotype" w:hAnsi="Palatino Linotype"/>
          <w:i/>
          <w:iCs/>
        </w:rPr>
      </w:pPr>
      <w:r w:rsidRPr="002334F1">
        <w:rPr>
          <w:rFonts w:ascii="Palatino Linotype" w:hAnsi="Palatino Linotype"/>
          <w:bCs/>
          <w:i/>
          <w:iCs/>
        </w:rPr>
        <w:t>…</w:t>
      </w:r>
    </w:p>
    <w:p w14:paraId="28113868" w14:textId="77777777" w:rsidR="00897BB9" w:rsidRPr="002334F1" w:rsidRDefault="00897BB9" w:rsidP="00934271">
      <w:pPr>
        <w:spacing w:line="360" w:lineRule="auto"/>
        <w:ind w:left="567" w:right="567"/>
        <w:contextualSpacing/>
        <w:jc w:val="both"/>
        <w:rPr>
          <w:rFonts w:ascii="Palatino Linotype" w:hAnsi="Palatino Linotype"/>
          <w:i/>
          <w:iCs/>
        </w:rPr>
      </w:pPr>
      <w:r w:rsidRPr="002334F1">
        <w:rPr>
          <w:rFonts w:ascii="Palatino Linotype" w:hAnsi="Palatino Linotype"/>
          <w:i/>
          <w:iCs/>
        </w:rPr>
        <w:t>…”</w:t>
      </w:r>
    </w:p>
    <w:p w14:paraId="37ADC320" w14:textId="77777777" w:rsidR="00897BB9" w:rsidRPr="002334F1" w:rsidRDefault="00897BB9" w:rsidP="00934271">
      <w:pPr>
        <w:autoSpaceDE w:val="0"/>
        <w:autoSpaceDN w:val="0"/>
        <w:adjustRightInd w:val="0"/>
        <w:spacing w:line="360" w:lineRule="auto"/>
        <w:contextualSpacing/>
        <w:jc w:val="both"/>
        <w:rPr>
          <w:rFonts w:ascii="Palatino Linotype" w:hAnsi="Palatino Linotype" w:cs="Tahoma"/>
          <w:b/>
          <w:sz w:val="22"/>
          <w:szCs w:val="22"/>
        </w:rPr>
      </w:pPr>
    </w:p>
    <w:p w14:paraId="20237832" w14:textId="77777777" w:rsidR="00897BB9" w:rsidRPr="002334F1" w:rsidRDefault="00897BB9" w:rsidP="00934271">
      <w:pPr>
        <w:autoSpaceDE w:val="0"/>
        <w:autoSpaceDN w:val="0"/>
        <w:adjustRightInd w:val="0"/>
        <w:spacing w:line="360" w:lineRule="auto"/>
        <w:contextualSpacing/>
        <w:jc w:val="both"/>
        <w:rPr>
          <w:rFonts w:ascii="Palatino Linotype" w:hAnsi="Palatino Linotype" w:cs="Tahoma"/>
          <w:sz w:val="22"/>
          <w:szCs w:val="22"/>
        </w:rPr>
      </w:pPr>
      <w:r w:rsidRPr="002334F1">
        <w:rPr>
          <w:rFonts w:ascii="Palatino Linotype" w:hAnsi="Palatino Linotype" w:cs="Tahoma"/>
          <w:sz w:val="22"/>
          <w:szCs w:val="22"/>
        </w:rPr>
        <w:t xml:space="preserve">ii) Acta de la Octogésima Quinta Sesión Ordinaria del Comité de Transparencia del Ayuntamiento de </w:t>
      </w:r>
      <w:proofErr w:type="spellStart"/>
      <w:r w:rsidRPr="002334F1">
        <w:rPr>
          <w:rFonts w:ascii="Palatino Linotype" w:hAnsi="Palatino Linotype" w:cs="Tahoma"/>
          <w:sz w:val="22"/>
          <w:szCs w:val="22"/>
        </w:rPr>
        <w:t>Temamatla</w:t>
      </w:r>
      <w:proofErr w:type="spellEnd"/>
      <w:r w:rsidRPr="002334F1">
        <w:rPr>
          <w:rFonts w:ascii="Palatino Linotype" w:hAnsi="Palatino Linotype" w:cs="Tahoma"/>
          <w:sz w:val="22"/>
          <w:szCs w:val="22"/>
        </w:rPr>
        <w:t xml:space="preserve"> 2022-2024, del veinticuatro de octubre de dos mil veinticuatro, por la que se aprueba la consulta directa de la información solicitada.</w:t>
      </w:r>
    </w:p>
    <w:p w14:paraId="0BC6DA47" w14:textId="77777777" w:rsidR="00897BB9" w:rsidRPr="002334F1" w:rsidRDefault="00897BB9" w:rsidP="00934271">
      <w:pPr>
        <w:autoSpaceDE w:val="0"/>
        <w:autoSpaceDN w:val="0"/>
        <w:adjustRightInd w:val="0"/>
        <w:spacing w:line="360" w:lineRule="auto"/>
        <w:contextualSpacing/>
        <w:jc w:val="both"/>
        <w:rPr>
          <w:rFonts w:ascii="Palatino Linotype" w:hAnsi="Palatino Linotype" w:cs="Tahoma"/>
          <w:bCs/>
          <w:i/>
        </w:rPr>
      </w:pPr>
    </w:p>
    <w:p w14:paraId="66B08D8A" w14:textId="77777777" w:rsidR="003212E8" w:rsidRPr="002334F1" w:rsidRDefault="003212E8" w:rsidP="00934271">
      <w:pPr>
        <w:autoSpaceDE w:val="0"/>
        <w:autoSpaceDN w:val="0"/>
        <w:adjustRightInd w:val="0"/>
        <w:spacing w:line="360" w:lineRule="auto"/>
        <w:contextualSpacing/>
        <w:jc w:val="both"/>
        <w:rPr>
          <w:rFonts w:ascii="Palatino Linotype" w:hAnsi="Palatino Linotype" w:cs="Tahoma"/>
          <w:bCs/>
          <w:i/>
        </w:rPr>
      </w:pPr>
    </w:p>
    <w:p w14:paraId="1E32C65E" w14:textId="77777777" w:rsidR="00897BB9" w:rsidRPr="002334F1" w:rsidRDefault="00897BB9" w:rsidP="00934271">
      <w:pPr>
        <w:autoSpaceDE w:val="0"/>
        <w:autoSpaceDN w:val="0"/>
        <w:adjustRightInd w:val="0"/>
        <w:spacing w:line="360" w:lineRule="auto"/>
        <w:ind w:right="-28"/>
        <w:contextualSpacing/>
        <w:jc w:val="both"/>
        <w:rPr>
          <w:rFonts w:ascii="Palatino Linotype" w:hAnsi="Palatino Linotype" w:cs="Tahoma"/>
          <w:b/>
          <w:sz w:val="22"/>
          <w:szCs w:val="22"/>
        </w:rPr>
      </w:pPr>
      <w:r w:rsidRPr="002334F1">
        <w:rPr>
          <w:rFonts w:ascii="Palatino Linotype" w:hAnsi="Palatino Linotype" w:cs="Tahoma"/>
          <w:b/>
          <w:sz w:val="22"/>
          <w:szCs w:val="22"/>
        </w:rPr>
        <w:t>III. Interposición del Recurso de Revisión</w:t>
      </w:r>
    </w:p>
    <w:p w14:paraId="1CF0D8D2" w14:textId="77777777" w:rsidR="00897BB9" w:rsidRPr="002334F1" w:rsidRDefault="00897BB9" w:rsidP="00934271">
      <w:pPr>
        <w:autoSpaceDE w:val="0"/>
        <w:autoSpaceDN w:val="0"/>
        <w:adjustRightInd w:val="0"/>
        <w:spacing w:line="360" w:lineRule="auto"/>
        <w:ind w:right="-28"/>
        <w:contextualSpacing/>
        <w:jc w:val="both"/>
        <w:rPr>
          <w:rFonts w:ascii="Palatino Linotype" w:hAnsi="Palatino Linotype" w:cs="Tahoma"/>
          <w:sz w:val="22"/>
          <w:szCs w:val="22"/>
        </w:rPr>
      </w:pPr>
    </w:p>
    <w:p w14:paraId="5EBAAD81" w14:textId="77777777" w:rsidR="00897BB9" w:rsidRPr="002334F1" w:rsidRDefault="00897BB9" w:rsidP="00934271">
      <w:pPr>
        <w:spacing w:line="360" w:lineRule="auto"/>
        <w:contextualSpacing/>
        <w:jc w:val="both"/>
        <w:rPr>
          <w:rFonts w:ascii="Palatino Linotype" w:hAnsi="Palatino Linotype" w:cs="Tahoma"/>
          <w:bCs/>
          <w:sz w:val="22"/>
          <w:szCs w:val="22"/>
          <w:lang w:val="es-ES"/>
        </w:rPr>
      </w:pPr>
      <w:r w:rsidRPr="002334F1">
        <w:rPr>
          <w:rFonts w:ascii="Palatino Linotype" w:hAnsi="Palatino Linotype" w:cs="Tahoma"/>
          <w:bCs/>
          <w:sz w:val="22"/>
          <w:szCs w:val="22"/>
          <w:lang w:val="es-ES"/>
        </w:rPr>
        <w:t xml:space="preserve">Con fecha treinta de octubre de dos mil veinticuatro </w:t>
      </w:r>
      <w:r w:rsidRPr="002334F1">
        <w:rPr>
          <w:rFonts w:ascii="Palatino Linotype" w:hAnsi="Palatino Linotype" w:cs="Tahoma"/>
          <w:bCs/>
          <w:sz w:val="22"/>
          <w:szCs w:val="22"/>
        </w:rPr>
        <w:t xml:space="preserve">se recibió en este Instituto, a través del </w:t>
      </w:r>
      <w:r w:rsidRPr="002334F1">
        <w:rPr>
          <w:rFonts w:ascii="Palatino Linotype" w:hAnsi="Palatino Linotype" w:cs="Tahoma"/>
          <w:bCs/>
          <w:sz w:val="22"/>
          <w:szCs w:val="22"/>
          <w:lang w:val="es-ES"/>
        </w:rPr>
        <w:t>Sistema de Acceso a la Información Mexiquense (SAIMEX)</w:t>
      </w:r>
      <w:r w:rsidRPr="002334F1">
        <w:rPr>
          <w:rFonts w:ascii="Palatino Linotype" w:hAnsi="Palatino Linotype" w:cs="Tahoma"/>
          <w:bCs/>
          <w:sz w:val="22"/>
          <w:szCs w:val="22"/>
        </w:rPr>
        <w:t>, el Recurso de Revisión interpuesto por la parte Recurrente, en contra de la respuesta del Sujeto Obligado, en los siguientes términos:</w:t>
      </w:r>
    </w:p>
    <w:p w14:paraId="3A9F1710" w14:textId="77777777" w:rsidR="00897BB9" w:rsidRPr="002334F1" w:rsidRDefault="00897BB9" w:rsidP="00934271">
      <w:pPr>
        <w:autoSpaceDE w:val="0"/>
        <w:autoSpaceDN w:val="0"/>
        <w:adjustRightInd w:val="0"/>
        <w:spacing w:line="360" w:lineRule="auto"/>
        <w:ind w:right="-28"/>
        <w:contextualSpacing/>
        <w:jc w:val="both"/>
        <w:rPr>
          <w:rFonts w:ascii="Palatino Linotype" w:hAnsi="Palatino Linotype" w:cs="Tahoma"/>
          <w:i/>
          <w:iCs/>
          <w:lang w:val="es-ES"/>
        </w:rPr>
      </w:pPr>
    </w:p>
    <w:p w14:paraId="04449B8E" w14:textId="77777777" w:rsidR="00897BB9" w:rsidRPr="002334F1" w:rsidRDefault="00897BB9" w:rsidP="00934271">
      <w:pPr>
        <w:tabs>
          <w:tab w:val="left" w:pos="4667"/>
        </w:tabs>
        <w:spacing w:line="360" w:lineRule="auto"/>
        <w:ind w:left="567" w:right="567"/>
        <w:contextualSpacing/>
        <w:jc w:val="both"/>
        <w:rPr>
          <w:rFonts w:ascii="Palatino Linotype" w:hAnsi="Palatino Linotype" w:cs="Tahoma"/>
          <w:b/>
          <w:bCs/>
          <w:i/>
          <w:iCs/>
        </w:rPr>
      </w:pPr>
      <w:r w:rsidRPr="002334F1">
        <w:rPr>
          <w:rFonts w:ascii="Palatino Linotype" w:hAnsi="Palatino Linotype" w:cs="Tahoma"/>
          <w:b/>
          <w:bCs/>
          <w:i/>
          <w:iCs/>
        </w:rPr>
        <w:t>“ACTO IMPUGNADO</w:t>
      </w:r>
    </w:p>
    <w:p w14:paraId="571048C9" w14:textId="77777777" w:rsidR="00897BB9" w:rsidRPr="002334F1" w:rsidRDefault="00897BB9" w:rsidP="00934271">
      <w:pPr>
        <w:tabs>
          <w:tab w:val="left" w:pos="4667"/>
        </w:tabs>
        <w:spacing w:line="360" w:lineRule="auto"/>
        <w:ind w:left="567" w:right="567"/>
        <w:contextualSpacing/>
        <w:jc w:val="both"/>
        <w:rPr>
          <w:rFonts w:ascii="Palatino Linotype" w:hAnsi="Palatino Linotype" w:cs="Tahoma"/>
          <w:bCs/>
          <w:i/>
          <w:iCs/>
        </w:rPr>
      </w:pPr>
      <w:r w:rsidRPr="002334F1">
        <w:rPr>
          <w:rFonts w:ascii="Palatino Linotype" w:hAnsi="Palatino Linotype"/>
          <w:i/>
          <w:iCs/>
        </w:rPr>
        <w:t>RESPUESTA OTORGADA</w:t>
      </w:r>
      <w:r w:rsidRPr="002334F1">
        <w:rPr>
          <w:rFonts w:ascii="Palatino Linotype" w:hAnsi="Palatino Linotype" w:cs="Tahoma"/>
          <w:bCs/>
          <w:i/>
          <w:iCs/>
        </w:rPr>
        <w:t>” (Sic.)</w:t>
      </w:r>
    </w:p>
    <w:p w14:paraId="26C53BAF" w14:textId="77777777" w:rsidR="00897BB9" w:rsidRPr="002334F1" w:rsidRDefault="00897BB9" w:rsidP="00934271">
      <w:pPr>
        <w:tabs>
          <w:tab w:val="left" w:pos="4667"/>
        </w:tabs>
        <w:spacing w:line="360" w:lineRule="auto"/>
        <w:ind w:left="567" w:right="567"/>
        <w:contextualSpacing/>
        <w:jc w:val="both"/>
        <w:rPr>
          <w:rFonts w:ascii="Palatino Linotype" w:hAnsi="Palatino Linotype" w:cs="Tahoma"/>
          <w:bCs/>
          <w:i/>
          <w:iCs/>
        </w:rPr>
      </w:pPr>
    </w:p>
    <w:p w14:paraId="778F7B4B" w14:textId="77777777" w:rsidR="00897BB9" w:rsidRPr="002334F1" w:rsidRDefault="00897BB9" w:rsidP="00934271">
      <w:pPr>
        <w:tabs>
          <w:tab w:val="left" w:pos="4667"/>
        </w:tabs>
        <w:spacing w:line="360" w:lineRule="auto"/>
        <w:ind w:left="567" w:right="567"/>
        <w:contextualSpacing/>
        <w:jc w:val="both"/>
        <w:rPr>
          <w:rFonts w:ascii="Palatino Linotype" w:hAnsi="Palatino Linotype" w:cs="Tahoma"/>
          <w:b/>
          <w:bCs/>
          <w:i/>
          <w:iCs/>
        </w:rPr>
      </w:pPr>
      <w:r w:rsidRPr="002334F1">
        <w:rPr>
          <w:rFonts w:ascii="Palatino Linotype" w:hAnsi="Palatino Linotype" w:cs="Tahoma"/>
          <w:b/>
          <w:bCs/>
          <w:i/>
          <w:iCs/>
        </w:rPr>
        <w:t>“RAZONES O MOTIVOS DE LA INCONFORMIDAD</w:t>
      </w:r>
    </w:p>
    <w:p w14:paraId="5679DA77" w14:textId="77777777" w:rsidR="00897BB9" w:rsidRPr="002334F1" w:rsidRDefault="00897BB9" w:rsidP="00934271">
      <w:pPr>
        <w:spacing w:line="360" w:lineRule="auto"/>
        <w:ind w:left="567" w:right="567"/>
        <w:contextualSpacing/>
        <w:jc w:val="both"/>
        <w:rPr>
          <w:rFonts w:ascii="Palatino Linotype" w:hAnsi="Palatino Linotype" w:cs="Tahoma"/>
          <w:i/>
          <w:iCs/>
        </w:rPr>
      </w:pPr>
      <w:r w:rsidRPr="002334F1">
        <w:rPr>
          <w:rFonts w:ascii="Palatino Linotype" w:hAnsi="Palatino Linotype"/>
          <w:i/>
          <w:color w:val="000000"/>
        </w:rPr>
        <w:t xml:space="preserve">EL SUJETO OBLIGADO MANIFIESTA QUE LA ENTREGA DE INFORMACION SERA MEDIANTE CONSULTA DIRECTA EN UNA FECHA Y UN HORARIO IGUAL AL ESTABLECIDO EN LAS SOLICITUDES 625,651,649,638,623,637,639,635,626,681,668,667,621,620,619,611,605,663,664,665 Y 666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CONSIDERANDO MI SOLICITUD Y LA JURISPRIDENCIA DE LOS MAS ALTOS TRIBUNALES LA CUAL ESTABLECE Registro digital: 2027906 Instancia: Tribunales Colegiados de Circuito Undécima Época Materia(s): Administrativa, Constitucional Tesis: I.18o.A.1 CS (11a.) Fuente: Gaceta del Semanario Judicial de la Federación. Libro 33, Enero de 2024, Tomo VI, página 5953 Tipo: Aislada </w:t>
      </w:r>
      <w:r w:rsidRPr="002334F1">
        <w:rPr>
          <w:rFonts w:ascii="Palatino Linotype" w:hAnsi="Palatino Linotype"/>
          <w:i/>
          <w:color w:val="000000"/>
        </w:rPr>
        <w:lastRenderedPageBreak/>
        <w:t>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6o.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el modo de entrega que elija el interesado, por ser su derecho de acceder y disponer de la información de la forma que le permita de mejor manera su manejo y disposición. DÉCIMO OCTAVO TRIBUNAL COLEGIADO EN MATERIA ADMINISTRATIVA DEL PRIMER CIRCUITO.</w:t>
      </w:r>
      <w:r w:rsidRPr="002334F1">
        <w:rPr>
          <w:rFonts w:ascii="Palatino Linotype" w:hAnsi="Palatino Linotype" w:cs="Tahoma"/>
          <w:i/>
          <w:iCs/>
        </w:rPr>
        <w:t>” (Sic)</w:t>
      </w:r>
    </w:p>
    <w:p w14:paraId="1BBEE891" w14:textId="77777777" w:rsidR="00897BB9" w:rsidRPr="002334F1" w:rsidRDefault="00897BB9" w:rsidP="00934271">
      <w:pPr>
        <w:autoSpaceDE w:val="0"/>
        <w:autoSpaceDN w:val="0"/>
        <w:adjustRightInd w:val="0"/>
        <w:spacing w:line="360" w:lineRule="auto"/>
        <w:ind w:right="-28"/>
        <w:contextualSpacing/>
        <w:jc w:val="both"/>
        <w:rPr>
          <w:rFonts w:ascii="Palatino Linotype" w:hAnsi="Palatino Linotype" w:cs="Tahoma"/>
          <w:sz w:val="22"/>
          <w:szCs w:val="22"/>
        </w:rPr>
      </w:pPr>
    </w:p>
    <w:p w14:paraId="05ECB448" w14:textId="77777777" w:rsidR="00897BB9" w:rsidRPr="002334F1" w:rsidRDefault="00897BB9" w:rsidP="00934271">
      <w:pPr>
        <w:spacing w:line="360" w:lineRule="auto"/>
        <w:ind w:right="-28"/>
        <w:contextualSpacing/>
        <w:jc w:val="both"/>
        <w:rPr>
          <w:rFonts w:ascii="Palatino Linotype" w:eastAsia="Batang" w:hAnsi="Palatino Linotype" w:cs="Tahoma"/>
          <w:b/>
          <w:bCs/>
          <w:sz w:val="22"/>
          <w:szCs w:val="22"/>
        </w:rPr>
      </w:pPr>
      <w:r w:rsidRPr="002334F1">
        <w:rPr>
          <w:rFonts w:ascii="Palatino Linotype" w:hAnsi="Palatino Linotype" w:cs="Tahoma"/>
          <w:b/>
          <w:sz w:val="22"/>
          <w:szCs w:val="22"/>
        </w:rPr>
        <w:t xml:space="preserve">IV. </w:t>
      </w:r>
      <w:r w:rsidRPr="002334F1">
        <w:rPr>
          <w:rFonts w:ascii="Palatino Linotype" w:eastAsia="Batang" w:hAnsi="Palatino Linotype" w:cs="Tahoma"/>
          <w:b/>
          <w:bCs/>
          <w:sz w:val="22"/>
          <w:szCs w:val="22"/>
        </w:rPr>
        <w:t xml:space="preserve">Trámite del </w:t>
      </w:r>
      <w:r w:rsidRPr="002334F1">
        <w:rPr>
          <w:rFonts w:ascii="Palatino Linotype" w:hAnsi="Palatino Linotype" w:cs="Tahoma"/>
          <w:b/>
          <w:sz w:val="22"/>
          <w:szCs w:val="22"/>
        </w:rPr>
        <w:t xml:space="preserve">Recurso de Revisión </w:t>
      </w:r>
      <w:r w:rsidRPr="002334F1">
        <w:rPr>
          <w:rFonts w:ascii="Palatino Linotype" w:eastAsia="Batang" w:hAnsi="Palatino Linotype" w:cs="Tahoma"/>
          <w:b/>
          <w:bCs/>
          <w:sz w:val="22"/>
          <w:szCs w:val="22"/>
        </w:rPr>
        <w:t>ante el Instituto</w:t>
      </w:r>
    </w:p>
    <w:p w14:paraId="64CCEB12" w14:textId="77777777" w:rsidR="00897BB9" w:rsidRPr="002334F1" w:rsidRDefault="00897BB9" w:rsidP="00934271">
      <w:pPr>
        <w:spacing w:line="360" w:lineRule="auto"/>
        <w:ind w:right="-28"/>
        <w:contextualSpacing/>
        <w:jc w:val="both"/>
        <w:rPr>
          <w:rFonts w:ascii="Palatino Linotype" w:eastAsia="Batang" w:hAnsi="Palatino Linotype" w:cs="Tahoma"/>
          <w:b/>
          <w:bCs/>
          <w:sz w:val="22"/>
          <w:szCs w:val="22"/>
        </w:rPr>
      </w:pPr>
    </w:p>
    <w:p w14:paraId="2463053B" w14:textId="77777777" w:rsidR="00897BB9" w:rsidRPr="002334F1" w:rsidRDefault="00897BB9" w:rsidP="00934271">
      <w:pPr>
        <w:spacing w:line="360" w:lineRule="auto"/>
        <w:ind w:right="-28"/>
        <w:contextualSpacing/>
        <w:jc w:val="both"/>
        <w:rPr>
          <w:rFonts w:ascii="Palatino Linotype" w:eastAsia="Calibri" w:hAnsi="Palatino Linotype" w:cs="Tahoma"/>
          <w:bCs/>
          <w:sz w:val="22"/>
          <w:szCs w:val="22"/>
          <w:lang w:eastAsia="en-US"/>
        </w:rPr>
      </w:pPr>
      <w:r w:rsidRPr="002334F1">
        <w:rPr>
          <w:rFonts w:ascii="Palatino Linotype" w:eastAsia="Batang" w:hAnsi="Palatino Linotype" w:cs="Tahoma"/>
          <w:b/>
          <w:bCs/>
          <w:sz w:val="22"/>
          <w:szCs w:val="22"/>
        </w:rPr>
        <w:t xml:space="preserve">a) Turno del </w:t>
      </w:r>
      <w:r w:rsidRPr="002334F1">
        <w:rPr>
          <w:rFonts w:ascii="Palatino Linotype" w:hAnsi="Palatino Linotype" w:cs="Tahoma"/>
          <w:b/>
          <w:sz w:val="22"/>
          <w:szCs w:val="22"/>
        </w:rPr>
        <w:t>Recurso de Revisión</w:t>
      </w:r>
      <w:r w:rsidRPr="002334F1">
        <w:rPr>
          <w:rFonts w:ascii="Palatino Linotype" w:eastAsia="Batang" w:hAnsi="Palatino Linotype" w:cs="Tahoma"/>
          <w:b/>
          <w:bCs/>
          <w:sz w:val="22"/>
          <w:szCs w:val="22"/>
        </w:rPr>
        <w:t xml:space="preserve">. </w:t>
      </w:r>
      <w:r w:rsidRPr="002334F1">
        <w:rPr>
          <w:rFonts w:ascii="Palatino Linotype" w:eastAsia="Batang" w:hAnsi="Palatino Linotype" w:cs="Tahoma"/>
          <w:bCs/>
          <w:sz w:val="22"/>
          <w:szCs w:val="22"/>
        </w:rPr>
        <w:t xml:space="preserve">El treinta de octubre </w:t>
      </w:r>
      <w:r w:rsidRPr="002334F1">
        <w:rPr>
          <w:rFonts w:ascii="Palatino Linotype" w:hAnsi="Palatino Linotype" w:cs="Tahoma"/>
          <w:sz w:val="22"/>
          <w:szCs w:val="22"/>
        </w:rPr>
        <w:t>de dos mil veinticuatro</w:t>
      </w:r>
      <w:r w:rsidRPr="002334F1">
        <w:rPr>
          <w:rFonts w:ascii="Palatino Linotype" w:eastAsia="Batang" w:hAnsi="Palatino Linotype" w:cs="Tahoma"/>
          <w:bCs/>
          <w:sz w:val="22"/>
          <w:szCs w:val="22"/>
        </w:rPr>
        <w:t xml:space="preserve">, </w:t>
      </w:r>
      <w:r w:rsidRPr="002334F1">
        <w:rPr>
          <w:rFonts w:ascii="Palatino Linotype" w:eastAsia="Calibri" w:hAnsi="Palatino Linotype" w:cs="Tahoma"/>
          <w:bCs/>
          <w:sz w:val="22"/>
          <w:szCs w:val="22"/>
          <w:lang w:eastAsia="en-US"/>
        </w:rPr>
        <w:t xml:space="preserve">el Sistema de Acceso a la Información Mexiquense (SAIMEX), asignó el número de expediente </w:t>
      </w:r>
      <w:r w:rsidRPr="002334F1">
        <w:rPr>
          <w:rFonts w:ascii="Palatino Linotype" w:eastAsia="Calibri" w:hAnsi="Palatino Linotype" w:cs="Tahoma"/>
          <w:b/>
          <w:bCs/>
          <w:sz w:val="22"/>
          <w:szCs w:val="22"/>
          <w:lang w:eastAsia="en-US"/>
        </w:rPr>
        <w:t>06</w:t>
      </w:r>
      <w:r w:rsidR="0082658C" w:rsidRPr="002334F1">
        <w:rPr>
          <w:rFonts w:ascii="Palatino Linotype" w:eastAsia="Calibri" w:hAnsi="Palatino Linotype" w:cs="Tahoma"/>
          <w:b/>
          <w:bCs/>
          <w:sz w:val="22"/>
          <w:szCs w:val="22"/>
          <w:lang w:eastAsia="en-US"/>
        </w:rPr>
        <w:t>886</w:t>
      </w:r>
      <w:r w:rsidRPr="002334F1">
        <w:rPr>
          <w:rFonts w:ascii="Palatino Linotype" w:eastAsia="Calibri" w:hAnsi="Palatino Linotype" w:cs="Tahoma"/>
          <w:b/>
          <w:bCs/>
          <w:sz w:val="22"/>
          <w:szCs w:val="22"/>
          <w:lang w:eastAsia="en-US"/>
        </w:rPr>
        <w:t xml:space="preserve">/INFOEM/IP/RR/2024, </w:t>
      </w:r>
      <w:r w:rsidRPr="002334F1">
        <w:rPr>
          <w:rFonts w:ascii="Palatino Linotype" w:eastAsia="Calibri" w:hAnsi="Palatino Linotype" w:cs="Tahoma"/>
          <w:bCs/>
          <w:sz w:val="22"/>
          <w:szCs w:val="22"/>
          <w:lang w:eastAsia="en-US"/>
        </w:rPr>
        <w:t xml:space="preserve">al Recurso de Revisión y lo turnó al Comisionado Ponente </w:t>
      </w:r>
      <w:r w:rsidRPr="002334F1">
        <w:rPr>
          <w:rFonts w:ascii="Palatino Linotype" w:eastAsia="Calibri" w:hAnsi="Palatino Linotype" w:cs="Tahoma"/>
          <w:b/>
          <w:bCs/>
          <w:sz w:val="22"/>
          <w:szCs w:val="22"/>
          <w:lang w:eastAsia="en-US"/>
        </w:rPr>
        <w:t>Luis Gustavo Parra Noriega</w:t>
      </w:r>
      <w:r w:rsidRPr="002334F1">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05CC6D4C" w14:textId="77777777" w:rsidR="00897BB9" w:rsidRPr="002334F1" w:rsidRDefault="00897BB9" w:rsidP="00934271">
      <w:pPr>
        <w:spacing w:line="360" w:lineRule="auto"/>
        <w:ind w:right="-28"/>
        <w:contextualSpacing/>
        <w:jc w:val="both"/>
        <w:rPr>
          <w:rFonts w:ascii="Palatino Linotype" w:eastAsia="Batang" w:hAnsi="Palatino Linotype" w:cs="Tahoma"/>
          <w:b/>
          <w:bCs/>
          <w:sz w:val="22"/>
          <w:szCs w:val="22"/>
        </w:rPr>
      </w:pPr>
    </w:p>
    <w:p w14:paraId="0E89AD51" w14:textId="77777777" w:rsidR="00897BB9" w:rsidRPr="002334F1" w:rsidRDefault="00897BB9" w:rsidP="00934271">
      <w:pPr>
        <w:spacing w:line="360" w:lineRule="auto"/>
        <w:contextualSpacing/>
        <w:jc w:val="both"/>
        <w:rPr>
          <w:rFonts w:ascii="Palatino Linotype" w:hAnsi="Palatino Linotype" w:cs="Tahoma"/>
          <w:bCs/>
          <w:sz w:val="22"/>
          <w:szCs w:val="22"/>
        </w:rPr>
      </w:pPr>
      <w:r w:rsidRPr="002334F1">
        <w:rPr>
          <w:rFonts w:ascii="Palatino Linotype" w:eastAsia="Batang" w:hAnsi="Palatino Linotype" w:cs="Tahoma"/>
          <w:b/>
          <w:bCs/>
          <w:sz w:val="22"/>
          <w:szCs w:val="22"/>
        </w:rPr>
        <w:t xml:space="preserve">b) Admisión del </w:t>
      </w:r>
      <w:r w:rsidRPr="002334F1">
        <w:rPr>
          <w:rFonts w:ascii="Palatino Linotype" w:hAnsi="Palatino Linotype" w:cs="Tahoma"/>
          <w:b/>
          <w:sz w:val="22"/>
          <w:szCs w:val="22"/>
        </w:rPr>
        <w:t>Recurso de Revisión</w:t>
      </w:r>
      <w:r w:rsidRPr="002334F1">
        <w:rPr>
          <w:rFonts w:ascii="Palatino Linotype" w:eastAsia="Batang" w:hAnsi="Palatino Linotype" w:cs="Tahoma"/>
          <w:b/>
          <w:bCs/>
          <w:sz w:val="22"/>
          <w:szCs w:val="22"/>
          <w:lang w:val="es-ES_tradnl"/>
        </w:rPr>
        <w:t xml:space="preserve">. </w:t>
      </w:r>
      <w:r w:rsidRPr="002334F1">
        <w:rPr>
          <w:rFonts w:ascii="Palatino Linotype" w:eastAsia="Batang" w:hAnsi="Palatino Linotype" w:cs="Tahoma"/>
          <w:bCs/>
          <w:sz w:val="22"/>
          <w:szCs w:val="22"/>
          <w:lang w:val="es-ES_tradnl"/>
        </w:rPr>
        <w:t>El cinco de noviembre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52CAB273" w14:textId="77777777" w:rsidR="00897BB9" w:rsidRPr="002334F1" w:rsidRDefault="00897BB9" w:rsidP="00934271">
      <w:pPr>
        <w:spacing w:line="360" w:lineRule="auto"/>
        <w:contextualSpacing/>
        <w:jc w:val="both"/>
        <w:rPr>
          <w:rFonts w:ascii="Palatino Linotype" w:hAnsi="Palatino Linotype" w:cs="Tahoma"/>
          <w:bCs/>
          <w:sz w:val="22"/>
          <w:szCs w:val="22"/>
        </w:rPr>
      </w:pPr>
    </w:p>
    <w:p w14:paraId="452CBE31" w14:textId="77777777" w:rsidR="00897BB9" w:rsidRPr="002334F1" w:rsidRDefault="00897BB9" w:rsidP="00934271">
      <w:pPr>
        <w:autoSpaceDE w:val="0"/>
        <w:autoSpaceDN w:val="0"/>
        <w:adjustRightInd w:val="0"/>
        <w:spacing w:line="360" w:lineRule="auto"/>
        <w:contextualSpacing/>
        <w:jc w:val="both"/>
        <w:rPr>
          <w:rFonts w:ascii="Palatino Linotype" w:hAnsi="Palatino Linotype" w:cs="Tahoma"/>
          <w:bCs/>
          <w:sz w:val="22"/>
          <w:szCs w:val="22"/>
        </w:rPr>
      </w:pPr>
      <w:r w:rsidRPr="002334F1">
        <w:rPr>
          <w:rFonts w:ascii="Palatino Linotype" w:eastAsia="Batang" w:hAnsi="Palatino Linotype" w:cs="Tahoma"/>
          <w:b/>
          <w:bCs/>
          <w:sz w:val="22"/>
          <w:szCs w:val="22"/>
        </w:rPr>
        <w:t xml:space="preserve">c) Informe Justificado o Manifestaciones. </w:t>
      </w:r>
      <w:r w:rsidRPr="002334F1">
        <w:rPr>
          <w:rFonts w:ascii="Palatino Linotype" w:hAnsi="Palatino Linotype" w:cs="Tahoma"/>
          <w:bCs/>
          <w:sz w:val="22"/>
          <w:szCs w:val="22"/>
        </w:rPr>
        <w:t>Las partes fueron omisas en realizar manifestaciones o alegatos.</w:t>
      </w:r>
    </w:p>
    <w:p w14:paraId="60894487" w14:textId="77777777" w:rsidR="00897BB9" w:rsidRPr="002334F1" w:rsidRDefault="00897BB9" w:rsidP="00934271">
      <w:pPr>
        <w:autoSpaceDE w:val="0"/>
        <w:autoSpaceDN w:val="0"/>
        <w:adjustRightInd w:val="0"/>
        <w:spacing w:line="360" w:lineRule="auto"/>
        <w:contextualSpacing/>
        <w:jc w:val="both"/>
        <w:rPr>
          <w:rFonts w:ascii="Palatino Linotype" w:hAnsi="Palatino Linotype" w:cs="Tahoma"/>
          <w:bCs/>
          <w:sz w:val="22"/>
          <w:szCs w:val="22"/>
        </w:rPr>
      </w:pPr>
    </w:p>
    <w:p w14:paraId="0D16CA02" w14:textId="01A56264" w:rsidR="00897BB9" w:rsidRPr="002334F1" w:rsidRDefault="00897BB9" w:rsidP="00934271">
      <w:pPr>
        <w:autoSpaceDE w:val="0"/>
        <w:autoSpaceDN w:val="0"/>
        <w:adjustRightInd w:val="0"/>
        <w:spacing w:line="360" w:lineRule="auto"/>
        <w:contextualSpacing/>
        <w:jc w:val="both"/>
        <w:rPr>
          <w:rFonts w:ascii="Palatino Linotype" w:hAnsi="Palatino Linotype" w:cs="Tahoma"/>
          <w:b/>
          <w:bCs/>
          <w:sz w:val="22"/>
          <w:szCs w:val="22"/>
        </w:rPr>
      </w:pPr>
      <w:r w:rsidRPr="002334F1">
        <w:rPr>
          <w:rFonts w:ascii="Palatino Linotype" w:hAnsi="Palatino Linotype" w:cs="Tahoma"/>
          <w:b/>
          <w:bCs/>
          <w:sz w:val="22"/>
          <w:szCs w:val="22"/>
        </w:rPr>
        <w:t xml:space="preserve">d) </w:t>
      </w:r>
      <w:r w:rsidRPr="002334F1">
        <w:rPr>
          <w:rFonts w:ascii="Palatino Linotype" w:hAnsi="Palatino Linotype" w:cs="Tahoma"/>
          <w:b/>
          <w:sz w:val="22"/>
          <w:szCs w:val="22"/>
        </w:rPr>
        <w:t xml:space="preserve">Cierre de instrucción. </w:t>
      </w:r>
      <w:r w:rsidR="002334F1" w:rsidRPr="002334F1">
        <w:rPr>
          <w:rFonts w:ascii="Palatino Linotype" w:hAnsi="Palatino Linotype" w:cs="Tahoma"/>
          <w:sz w:val="22"/>
          <w:szCs w:val="22"/>
        </w:rPr>
        <w:t>El veintiséis</w:t>
      </w:r>
      <w:r w:rsidRPr="002334F1">
        <w:rPr>
          <w:rFonts w:ascii="Palatino Linotype" w:hAnsi="Palatino Linotype" w:cs="Tahoma"/>
          <w:sz w:val="22"/>
          <w:szCs w:val="22"/>
        </w:rPr>
        <w:t xml:space="preserve"> de noviembre de dos mil veinticuatro,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w:t>
      </w:r>
      <w:r w:rsidR="002334F1" w:rsidRPr="002334F1">
        <w:rPr>
          <w:rFonts w:ascii="Palatino Linotype" w:hAnsi="Palatino Linotype" w:cs="Tahoma"/>
          <w:sz w:val="22"/>
          <w:szCs w:val="22"/>
        </w:rPr>
        <w:t>ficado a las partes el veintisiete de dicho mes y año</w:t>
      </w:r>
      <w:r w:rsidRPr="002334F1">
        <w:rPr>
          <w:rFonts w:ascii="Palatino Linotype" w:hAnsi="Palatino Linotype" w:cs="Tahoma"/>
          <w:sz w:val="22"/>
          <w:szCs w:val="22"/>
        </w:rPr>
        <w:t xml:space="preserve">, a través del </w:t>
      </w:r>
      <w:r w:rsidRPr="002334F1">
        <w:rPr>
          <w:rFonts w:ascii="Palatino Linotype" w:hAnsi="Palatino Linotype" w:cs="Tahoma"/>
          <w:sz w:val="22"/>
          <w:szCs w:val="22"/>
          <w:lang w:val="es-ES"/>
        </w:rPr>
        <w:t>Sistema de Acceso a la Información Mexiquense (SAIMEX)</w:t>
      </w:r>
      <w:r w:rsidRPr="002334F1">
        <w:rPr>
          <w:rFonts w:ascii="Palatino Linotype" w:hAnsi="Palatino Linotype" w:cs="Tahoma"/>
          <w:sz w:val="22"/>
          <w:szCs w:val="22"/>
        </w:rPr>
        <w:t>.</w:t>
      </w:r>
    </w:p>
    <w:p w14:paraId="3E5075D5" w14:textId="77777777" w:rsidR="00897BB9" w:rsidRPr="002334F1" w:rsidRDefault="00897BB9" w:rsidP="00934271">
      <w:pPr>
        <w:spacing w:line="360" w:lineRule="auto"/>
        <w:ind w:right="-28"/>
        <w:contextualSpacing/>
        <w:jc w:val="both"/>
        <w:rPr>
          <w:rFonts w:ascii="Palatino Linotype" w:hAnsi="Palatino Linotype" w:cs="Tahoma"/>
          <w:sz w:val="22"/>
          <w:szCs w:val="22"/>
          <w:lang w:val="es-ES"/>
        </w:rPr>
      </w:pPr>
    </w:p>
    <w:p w14:paraId="2FC554AE" w14:textId="77777777" w:rsidR="00897BB9" w:rsidRPr="002334F1" w:rsidRDefault="00897BB9" w:rsidP="00934271">
      <w:pPr>
        <w:spacing w:line="360" w:lineRule="auto"/>
        <w:ind w:right="-28"/>
        <w:contextualSpacing/>
        <w:jc w:val="both"/>
        <w:rPr>
          <w:rFonts w:ascii="Palatino Linotype" w:hAnsi="Palatino Linotype" w:cs="Tahoma"/>
          <w:color w:val="000000"/>
          <w:sz w:val="22"/>
          <w:szCs w:val="22"/>
        </w:rPr>
      </w:pPr>
      <w:r w:rsidRPr="002334F1">
        <w:rPr>
          <w:rFonts w:ascii="Palatino Linotype" w:hAnsi="Palatino Linotype" w:cs="Tahoma"/>
          <w:color w:val="000000"/>
          <w:sz w:val="22"/>
          <w:szCs w:val="22"/>
        </w:rPr>
        <w:t>En razón de que fue debidamente sustanciado el expediente electrónico y no existe diligencia pendiente de desahogo, se emite la resolución que conforme a Derecho proceda, de acuerdo a los siguientes:</w:t>
      </w:r>
    </w:p>
    <w:p w14:paraId="404E6B0E" w14:textId="77777777" w:rsidR="00897BB9" w:rsidRPr="002334F1" w:rsidRDefault="00897BB9" w:rsidP="00934271">
      <w:pPr>
        <w:spacing w:line="360" w:lineRule="auto"/>
        <w:ind w:right="-28"/>
        <w:contextualSpacing/>
        <w:jc w:val="both"/>
        <w:rPr>
          <w:rFonts w:ascii="Palatino Linotype" w:hAnsi="Palatino Linotype" w:cs="Tahoma"/>
          <w:color w:val="000000"/>
          <w:sz w:val="22"/>
          <w:szCs w:val="22"/>
        </w:rPr>
      </w:pPr>
    </w:p>
    <w:p w14:paraId="1B6DDBBE" w14:textId="77777777" w:rsidR="00897BB9" w:rsidRPr="002334F1" w:rsidRDefault="00897BB9" w:rsidP="00934271">
      <w:pPr>
        <w:spacing w:line="360" w:lineRule="auto"/>
        <w:ind w:right="-28"/>
        <w:contextualSpacing/>
        <w:jc w:val="center"/>
        <w:rPr>
          <w:rFonts w:ascii="Palatino Linotype" w:hAnsi="Palatino Linotype" w:cs="Tahoma"/>
          <w:b/>
          <w:sz w:val="22"/>
          <w:szCs w:val="22"/>
          <w:lang w:val="es-ES"/>
        </w:rPr>
      </w:pPr>
      <w:r w:rsidRPr="002334F1">
        <w:rPr>
          <w:rFonts w:ascii="Palatino Linotype" w:hAnsi="Palatino Linotype" w:cs="Tahoma"/>
          <w:b/>
          <w:sz w:val="22"/>
          <w:szCs w:val="22"/>
          <w:lang w:val="es-ES"/>
        </w:rPr>
        <w:t>C O N S I D E R A N D O S</w:t>
      </w:r>
    </w:p>
    <w:p w14:paraId="6093D1D3" w14:textId="77777777" w:rsidR="00897BB9" w:rsidRPr="002334F1" w:rsidRDefault="00897BB9" w:rsidP="00934271">
      <w:pPr>
        <w:spacing w:line="360" w:lineRule="auto"/>
        <w:ind w:right="-28"/>
        <w:contextualSpacing/>
        <w:jc w:val="center"/>
        <w:rPr>
          <w:rFonts w:ascii="Palatino Linotype" w:hAnsi="Palatino Linotype" w:cs="Tahoma"/>
          <w:b/>
          <w:sz w:val="22"/>
          <w:szCs w:val="22"/>
          <w:lang w:val="es-ES"/>
        </w:rPr>
      </w:pPr>
    </w:p>
    <w:p w14:paraId="21E588A3" w14:textId="77777777" w:rsidR="00897BB9" w:rsidRPr="002334F1" w:rsidRDefault="00897BB9" w:rsidP="00934271">
      <w:pPr>
        <w:autoSpaceDE w:val="0"/>
        <w:autoSpaceDN w:val="0"/>
        <w:adjustRightInd w:val="0"/>
        <w:spacing w:line="360" w:lineRule="auto"/>
        <w:ind w:right="-28"/>
        <w:contextualSpacing/>
        <w:jc w:val="both"/>
        <w:rPr>
          <w:rFonts w:ascii="Palatino Linotype" w:hAnsi="Palatino Linotype" w:cs="Tahoma"/>
          <w:b/>
          <w:sz w:val="22"/>
          <w:szCs w:val="22"/>
          <w:lang w:val="es-ES"/>
        </w:rPr>
      </w:pPr>
      <w:r w:rsidRPr="002334F1">
        <w:rPr>
          <w:rFonts w:ascii="Palatino Linotype" w:eastAsia="Calibri" w:hAnsi="Palatino Linotype" w:cs="Tahoma"/>
          <w:b/>
          <w:color w:val="000000"/>
          <w:sz w:val="22"/>
          <w:szCs w:val="22"/>
          <w:lang w:val="es-ES" w:eastAsia="es-MX"/>
        </w:rPr>
        <w:t>PRIMERO</w:t>
      </w:r>
      <w:r w:rsidRPr="002334F1">
        <w:rPr>
          <w:rFonts w:ascii="Palatino Linotype" w:eastAsia="Calibri" w:hAnsi="Palatino Linotype" w:cs="Tahoma"/>
          <w:color w:val="000000"/>
          <w:sz w:val="22"/>
          <w:szCs w:val="22"/>
          <w:lang w:val="es-ES" w:eastAsia="es-MX"/>
        </w:rPr>
        <w:t xml:space="preserve">. </w:t>
      </w:r>
      <w:r w:rsidRPr="002334F1">
        <w:rPr>
          <w:rFonts w:ascii="Palatino Linotype" w:hAnsi="Palatino Linotype" w:cs="Tahoma"/>
          <w:b/>
          <w:sz w:val="22"/>
          <w:szCs w:val="22"/>
          <w:lang w:val="es-ES"/>
        </w:rPr>
        <w:t>Competencia</w:t>
      </w:r>
    </w:p>
    <w:p w14:paraId="7DB787CA" w14:textId="77777777" w:rsidR="00897BB9" w:rsidRPr="002334F1" w:rsidRDefault="00897BB9" w:rsidP="00934271">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04E14187" w14:textId="77777777" w:rsidR="00897BB9" w:rsidRPr="002334F1" w:rsidRDefault="00897BB9" w:rsidP="00934271">
      <w:pPr>
        <w:spacing w:line="360" w:lineRule="auto"/>
        <w:ind w:right="-28"/>
        <w:contextualSpacing/>
        <w:jc w:val="both"/>
        <w:rPr>
          <w:rFonts w:ascii="Palatino Linotype" w:hAnsi="Palatino Linotype" w:cs="Tahoma"/>
          <w:color w:val="000000"/>
          <w:sz w:val="22"/>
          <w:szCs w:val="22"/>
        </w:rPr>
      </w:pPr>
      <w:r w:rsidRPr="002334F1">
        <w:rPr>
          <w:rFonts w:ascii="Palatino Linotype" w:hAnsi="Palatino Linotype" w:cs="Tahoma"/>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2334F1">
        <w:rPr>
          <w:color w:val="000000"/>
        </w:rPr>
        <w:t xml:space="preserve"> 7°, </w:t>
      </w:r>
      <w:r w:rsidRPr="002334F1">
        <w:rPr>
          <w:rFonts w:ascii="Palatino Linotype" w:hAnsi="Palatino Linotype" w:cs="Tahoma"/>
          <w:color w:val="000000"/>
          <w:sz w:val="22"/>
          <w:szCs w:val="22"/>
        </w:rPr>
        <w:t>9°, fracciones I y XXIII y 11 del Reglamento Interior del Instituto de Transparencia, Acceso a la Información Pública y Protección de Datos Personales del Estado de México y Municipios.</w:t>
      </w:r>
    </w:p>
    <w:p w14:paraId="509B964F" w14:textId="77777777" w:rsidR="00897BB9" w:rsidRPr="002334F1" w:rsidRDefault="00897BB9" w:rsidP="00934271">
      <w:pPr>
        <w:spacing w:line="360" w:lineRule="auto"/>
        <w:ind w:right="-28"/>
        <w:contextualSpacing/>
        <w:jc w:val="both"/>
        <w:rPr>
          <w:rFonts w:ascii="Palatino Linotype" w:hAnsi="Palatino Linotype" w:cs="Tahoma"/>
          <w:color w:val="000000"/>
          <w:sz w:val="22"/>
          <w:szCs w:val="22"/>
        </w:rPr>
      </w:pPr>
    </w:p>
    <w:p w14:paraId="7BE22C5D" w14:textId="77777777" w:rsidR="00897BB9" w:rsidRPr="002334F1" w:rsidRDefault="00897BB9" w:rsidP="00934271">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r w:rsidRPr="002334F1">
        <w:rPr>
          <w:rFonts w:ascii="Palatino Linotype" w:eastAsia="Calibri" w:hAnsi="Palatino Linotype" w:cs="Tahoma"/>
          <w:b/>
          <w:color w:val="000000"/>
          <w:sz w:val="22"/>
          <w:szCs w:val="22"/>
          <w:lang w:val="es-ES" w:eastAsia="es-MX"/>
        </w:rPr>
        <w:t>SEGUNDO. Causales de improcedencia y sobreseimiento</w:t>
      </w:r>
    </w:p>
    <w:p w14:paraId="2ECCD98E" w14:textId="77777777" w:rsidR="00897BB9" w:rsidRPr="002334F1" w:rsidRDefault="00897BB9" w:rsidP="00934271">
      <w:pPr>
        <w:autoSpaceDE w:val="0"/>
        <w:autoSpaceDN w:val="0"/>
        <w:adjustRightInd w:val="0"/>
        <w:spacing w:line="360" w:lineRule="auto"/>
        <w:contextualSpacing/>
        <w:jc w:val="both"/>
        <w:rPr>
          <w:rFonts w:ascii="Palatino Linotype" w:hAnsi="Palatino Linotype" w:cs="Tahoma"/>
          <w:sz w:val="22"/>
          <w:szCs w:val="22"/>
          <w:lang w:val="es-ES"/>
        </w:rPr>
      </w:pPr>
    </w:p>
    <w:p w14:paraId="03C2FA7A" w14:textId="77777777" w:rsidR="00897BB9" w:rsidRPr="002334F1" w:rsidRDefault="00897BB9" w:rsidP="00934271">
      <w:pPr>
        <w:autoSpaceDE w:val="0"/>
        <w:autoSpaceDN w:val="0"/>
        <w:adjustRightInd w:val="0"/>
        <w:spacing w:line="360" w:lineRule="auto"/>
        <w:contextualSpacing/>
        <w:jc w:val="both"/>
        <w:rPr>
          <w:rFonts w:ascii="Palatino Linotype" w:hAnsi="Palatino Linotype" w:cs="Tahoma"/>
          <w:sz w:val="22"/>
          <w:szCs w:val="22"/>
          <w:lang w:val="es-ES"/>
        </w:rPr>
      </w:pPr>
      <w:r w:rsidRPr="002334F1">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sidRPr="002334F1">
        <w:rPr>
          <w:rFonts w:ascii="Palatino Linotype" w:hAnsi="Palatino Linotype" w:cs="Tahoma"/>
          <w:i/>
          <w:sz w:val="22"/>
          <w:szCs w:val="22"/>
          <w:lang w:val="es-ES"/>
        </w:rPr>
        <w:t>litis</w:t>
      </w:r>
      <w:proofErr w:type="spellEnd"/>
      <w:r w:rsidRPr="002334F1">
        <w:rPr>
          <w:rFonts w:ascii="Palatino Linotype" w:hAnsi="Palatino Linotype" w:cs="Tahoma"/>
          <w:sz w:val="22"/>
          <w:szCs w:val="22"/>
          <w:lang w:val="es-ES"/>
        </w:rPr>
        <w:t>, es necesario estudiar las causales de improcedencia, para determinar lo que en Derecho proceda.</w:t>
      </w:r>
    </w:p>
    <w:p w14:paraId="6A0FBE49" w14:textId="77777777" w:rsidR="00897BB9" w:rsidRPr="002334F1" w:rsidRDefault="00897BB9" w:rsidP="00934271">
      <w:pPr>
        <w:autoSpaceDE w:val="0"/>
        <w:autoSpaceDN w:val="0"/>
        <w:adjustRightInd w:val="0"/>
        <w:spacing w:line="360" w:lineRule="auto"/>
        <w:contextualSpacing/>
        <w:jc w:val="both"/>
        <w:rPr>
          <w:rFonts w:ascii="Palatino Linotype" w:hAnsi="Palatino Linotype" w:cs="Tahoma"/>
          <w:sz w:val="22"/>
          <w:szCs w:val="22"/>
        </w:rPr>
      </w:pPr>
    </w:p>
    <w:p w14:paraId="7903D78C" w14:textId="77777777" w:rsidR="00897BB9" w:rsidRPr="002334F1" w:rsidRDefault="00897BB9" w:rsidP="00934271">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2334F1">
        <w:rPr>
          <w:rFonts w:ascii="Palatino Linotype" w:eastAsia="Calibri" w:hAnsi="Palatino Linotype" w:cs="Tahoma"/>
          <w:b/>
          <w:color w:val="000000"/>
          <w:sz w:val="22"/>
          <w:szCs w:val="22"/>
          <w:lang w:val="es-ES" w:eastAsia="es-MX"/>
        </w:rPr>
        <w:t>Causales de improcedencia</w:t>
      </w:r>
    </w:p>
    <w:p w14:paraId="23711EAE" w14:textId="77777777" w:rsidR="00897BB9" w:rsidRPr="002334F1" w:rsidRDefault="00897BB9" w:rsidP="00934271">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45B2C6C3" w14:textId="77777777" w:rsidR="00897BB9" w:rsidRPr="002334F1" w:rsidRDefault="00897BB9" w:rsidP="00934271">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2334F1">
        <w:rPr>
          <w:rFonts w:ascii="Palatino Linotype" w:eastAsia="Calibri" w:hAnsi="Palatino Linotype" w:cs="Tahoma"/>
          <w:color w:val="000000"/>
          <w:sz w:val="22"/>
          <w:szCs w:val="22"/>
          <w:lang w:val="es-ES" w:eastAsia="es-MX"/>
        </w:rPr>
        <w:t xml:space="preserve">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w:t>
      </w:r>
      <w:r w:rsidRPr="002334F1">
        <w:rPr>
          <w:rFonts w:ascii="Palatino Linotype" w:eastAsia="Calibri" w:hAnsi="Palatino Linotype" w:cs="Tahoma"/>
          <w:color w:val="000000"/>
          <w:sz w:val="22"/>
          <w:szCs w:val="22"/>
          <w:lang w:val="es-ES" w:eastAsia="es-MX"/>
        </w:rPr>
        <w:lastRenderedPageBreak/>
        <w:t>tal suerte, deberá ser desechado cualquier Recurso de Revisión que actualice alguno de los supuestos establecidos en el artículo 191 de la Ley de Transparencia y Acceso a la Información Pública del Estado de México y Municipios, por ser improcedente.</w:t>
      </w:r>
    </w:p>
    <w:p w14:paraId="7680009A" w14:textId="77777777" w:rsidR="00897BB9" w:rsidRPr="002334F1" w:rsidRDefault="00897BB9" w:rsidP="00934271">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27A40504" w14:textId="77777777" w:rsidR="00897BB9" w:rsidRPr="002334F1" w:rsidRDefault="00897BB9" w:rsidP="00934271">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2334F1">
        <w:rPr>
          <w:rFonts w:ascii="Palatino Linotype" w:hAnsi="Palatino Linotype" w:cs="Tahoma"/>
          <w:sz w:val="22"/>
          <w:szCs w:val="24"/>
        </w:rPr>
        <w:t>En el presente caso, </w:t>
      </w:r>
      <w:r w:rsidRPr="002334F1">
        <w:rPr>
          <w:rFonts w:ascii="Palatino Linotype" w:hAnsi="Palatino Linotype" w:cs="Tahoma"/>
          <w:b/>
          <w:bCs/>
          <w:sz w:val="22"/>
          <w:szCs w:val="24"/>
        </w:rPr>
        <w:t>no se actualiza ninguna de las causales de improcedencia</w:t>
      </w:r>
      <w:r w:rsidRPr="002334F1">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2334F1">
        <w:rPr>
          <w:rFonts w:ascii="Palatino Linotype" w:hAnsi="Palatino Linotype" w:cs="Tahoma"/>
          <w:sz w:val="22"/>
          <w:szCs w:val="22"/>
          <w:lang w:val="es-ES"/>
        </w:rPr>
        <w:t xml:space="preserve">además de que </w:t>
      </w:r>
      <w:r w:rsidRPr="002334F1">
        <w:rPr>
          <w:rFonts w:ascii="Palatino Linotype" w:eastAsia="Calibri" w:hAnsi="Palatino Linotype" w:cs="Tahoma"/>
          <w:color w:val="000000"/>
          <w:sz w:val="22"/>
          <w:szCs w:val="22"/>
          <w:lang w:val="es-ES" w:eastAsia="es-MX"/>
        </w:rPr>
        <w:t>el medio de impugnación fue presentado en tiempo.</w:t>
      </w:r>
    </w:p>
    <w:p w14:paraId="5A6121AD" w14:textId="77777777" w:rsidR="00897BB9" w:rsidRPr="002334F1" w:rsidRDefault="00897BB9" w:rsidP="00934271">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5B55BEAA" w14:textId="77777777" w:rsidR="00897BB9" w:rsidRPr="002334F1" w:rsidRDefault="00897BB9" w:rsidP="00934271">
      <w:pPr>
        <w:widowControl w:val="0"/>
        <w:spacing w:line="360" w:lineRule="auto"/>
        <w:contextualSpacing/>
        <w:jc w:val="both"/>
        <w:rPr>
          <w:rFonts w:ascii="Palatino Linotype" w:hAnsi="Palatino Linotype"/>
          <w:color w:val="222222"/>
        </w:rPr>
      </w:pPr>
      <w:r w:rsidRPr="002334F1">
        <w:rPr>
          <w:rFonts w:ascii="Palatino Linotype" w:hAnsi="Palatino Linotype" w:cs="Tahoma"/>
          <w:sz w:val="22"/>
          <w:szCs w:val="22"/>
        </w:rPr>
        <w:t xml:space="preserve">Asimismo, se actualiza la causal de procedencia del Recurso de Revisión señalada en el artículo 179, fracción VIII, de la Ley en cita, </w:t>
      </w:r>
      <w:r w:rsidRPr="002334F1">
        <w:rPr>
          <w:rFonts w:ascii="Palatino Linotype" w:eastAsia="Calibri" w:hAnsi="Palatino Linotype" w:cs="Tahoma"/>
          <w:color w:val="000000"/>
          <w:sz w:val="22"/>
          <w:szCs w:val="22"/>
          <w:lang w:eastAsia="es-MX"/>
        </w:rPr>
        <w:t xml:space="preserve">pues el Recurrente se inconformó con </w:t>
      </w:r>
      <w:r w:rsidRPr="002334F1">
        <w:rPr>
          <w:rFonts w:ascii="Palatino Linotype" w:hAnsi="Palatino Linotype" w:cs="Tahoma"/>
          <w:sz w:val="22"/>
          <w:szCs w:val="22"/>
        </w:rPr>
        <w:t>la entrega o puesta a disposición de la información en un formato distinto a lo solicitado.</w:t>
      </w:r>
    </w:p>
    <w:p w14:paraId="03807147" w14:textId="77777777" w:rsidR="00897BB9" w:rsidRPr="002334F1" w:rsidRDefault="00897BB9" w:rsidP="00934271">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71866B62" w14:textId="77777777" w:rsidR="00897BB9" w:rsidRPr="002334F1" w:rsidRDefault="00897BB9" w:rsidP="00934271">
      <w:pPr>
        <w:spacing w:line="360" w:lineRule="auto"/>
        <w:contextualSpacing/>
        <w:jc w:val="both"/>
        <w:rPr>
          <w:rFonts w:ascii="Palatino Linotype" w:hAnsi="Palatino Linotype" w:cs="Tahoma"/>
          <w:sz w:val="22"/>
          <w:szCs w:val="22"/>
        </w:rPr>
      </w:pPr>
      <w:r w:rsidRPr="002334F1">
        <w:rPr>
          <w:rFonts w:ascii="Palatino Linotype" w:hAnsi="Palatino Linotype" w:cs="Tahoma"/>
          <w:b/>
          <w:bCs/>
          <w:sz w:val="22"/>
          <w:szCs w:val="22"/>
        </w:rPr>
        <w:t>Causales de sobreseimiento.</w:t>
      </w:r>
    </w:p>
    <w:p w14:paraId="4CD29074" w14:textId="77777777" w:rsidR="00897BB9" w:rsidRPr="002334F1" w:rsidRDefault="00897BB9" w:rsidP="00934271">
      <w:pPr>
        <w:spacing w:line="360" w:lineRule="auto"/>
        <w:contextualSpacing/>
        <w:jc w:val="both"/>
        <w:rPr>
          <w:rFonts w:ascii="Palatino Linotype" w:hAnsi="Palatino Linotype" w:cs="Tahoma"/>
          <w:sz w:val="22"/>
          <w:szCs w:val="22"/>
        </w:rPr>
      </w:pPr>
    </w:p>
    <w:p w14:paraId="44FC83BD" w14:textId="77777777" w:rsidR="00897BB9" w:rsidRPr="002334F1" w:rsidRDefault="00897BB9" w:rsidP="00934271">
      <w:pPr>
        <w:spacing w:line="360" w:lineRule="auto"/>
        <w:contextualSpacing/>
        <w:jc w:val="both"/>
        <w:rPr>
          <w:rFonts w:ascii="Palatino Linotype" w:hAnsi="Palatino Linotype" w:cs="Tahoma"/>
          <w:sz w:val="22"/>
          <w:szCs w:val="22"/>
        </w:rPr>
      </w:pPr>
      <w:r w:rsidRPr="002334F1">
        <w:rPr>
          <w:rFonts w:ascii="Palatino Linotype" w:hAnsi="Palatino Linotype" w:cs="Tahoma"/>
          <w:sz w:val="22"/>
          <w:szCs w:val="22"/>
        </w:rPr>
        <w:t>Por ser de previo y especial pronunciamiento, este Instituto analiza si se actualiza alguna causal de sobreseimiento.</w:t>
      </w:r>
    </w:p>
    <w:p w14:paraId="2656BC15" w14:textId="77777777" w:rsidR="00897BB9" w:rsidRPr="002334F1" w:rsidRDefault="00897BB9" w:rsidP="00934271">
      <w:pPr>
        <w:spacing w:line="360" w:lineRule="auto"/>
        <w:contextualSpacing/>
        <w:jc w:val="both"/>
        <w:rPr>
          <w:rFonts w:ascii="Palatino Linotype" w:hAnsi="Palatino Linotype" w:cs="Tahoma"/>
          <w:sz w:val="22"/>
          <w:szCs w:val="22"/>
        </w:rPr>
      </w:pPr>
    </w:p>
    <w:p w14:paraId="687A43F9" w14:textId="77777777" w:rsidR="00897BB9" w:rsidRPr="002334F1" w:rsidRDefault="00897BB9" w:rsidP="00934271">
      <w:pPr>
        <w:spacing w:line="360" w:lineRule="auto"/>
        <w:contextualSpacing/>
        <w:jc w:val="both"/>
        <w:rPr>
          <w:rFonts w:ascii="Palatino Linotype" w:hAnsi="Palatino Linotype" w:cs="Tahoma"/>
          <w:sz w:val="22"/>
          <w:szCs w:val="22"/>
        </w:rPr>
      </w:pPr>
      <w:r w:rsidRPr="002334F1">
        <w:rPr>
          <w:rFonts w:ascii="Palatino Linotype" w:hAnsi="Palatino Linotype" w:cs="Tahoma"/>
          <w:sz w:val="22"/>
          <w:szCs w:val="22"/>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w:t>
      </w:r>
      <w:r w:rsidRPr="002334F1">
        <w:rPr>
          <w:rFonts w:ascii="Palatino Linotype" w:hAnsi="Palatino Linotype" w:cs="Tahoma"/>
          <w:sz w:val="22"/>
          <w:szCs w:val="22"/>
        </w:rPr>
        <w:lastRenderedPageBreak/>
        <w:t>fallecido, sobreviniera alguna causal de improcedencia, que el Sujeto Obligado hubiese modificado o revocado el acto impugnado o bien, haya quedado sin materia.</w:t>
      </w:r>
    </w:p>
    <w:p w14:paraId="358E9933" w14:textId="77777777" w:rsidR="00897BB9" w:rsidRPr="002334F1" w:rsidRDefault="00897BB9" w:rsidP="00934271">
      <w:pPr>
        <w:spacing w:line="360" w:lineRule="auto"/>
        <w:contextualSpacing/>
        <w:jc w:val="both"/>
        <w:rPr>
          <w:rFonts w:ascii="Palatino Linotype" w:hAnsi="Palatino Linotype" w:cs="Tahoma"/>
          <w:sz w:val="22"/>
          <w:szCs w:val="22"/>
        </w:rPr>
      </w:pPr>
    </w:p>
    <w:p w14:paraId="3A980907" w14:textId="77777777" w:rsidR="00897BB9" w:rsidRPr="002334F1" w:rsidRDefault="00897BB9" w:rsidP="00934271">
      <w:pPr>
        <w:tabs>
          <w:tab w:val="left" w:pos="4962"/>
        </w:tabs>
        <w:spacing w:line="360" w:lineRule="auto"/>
        <w:contextualSpacing/>
        <w:jc w:val="both"/>
        <w:rPr>
          <w:rFonts w:ascii="Palatino Linotype" w:hAnsi="Palatino Linotype" w:cs="Tahoma"/>
          <w:sz w:val="22"/>
          <w:szCs w:val="22"/>
        </w:rPr>
      </w:pPr>
      <w:r w:rsidRPr="002334F1">
        <w:rPr>
          <w:rFonts w:ascii="Palatino Linotype" w:hAnsi="Palatino Linotype" w:cs="Tahoma"/>
          <w:bCs/>
          <w:sz w:val="22"/>
          <w:szCs w:val="22"/>
        </w:rPr>
        <w:t xml:space="preserve">Por tales motivos, </w:t>
      </w:r>
      <w:r w:rsidRPr="002334F1">
        <w:rPr>
          <w:rFonts w:ascii="Palatino Linotype" w:hAnsi="Palatino Linotype" w:cs="Tahoma"/>
          <w:sz w:val="22"/>
          <w:szCs w:val="22"/>
        </w:rPr>
        <w:t xml:space="preserve">se considera procedente entrar al fondo del presente asunto. </w:t>
      </w:r>
    </w:p>
    <w:p w14:paraId="759F20AA" w14:textId="77777777" w:rsidR="00897BB9" w:rsidRPr="002334F1" w:rsidRDefault="00897BB9" w:rsidP="00934271">
      <w:pPr>
        <w:tabs>
          <w:tab w:val="left" w:pos="4962"/>
        </w:tabs>
        <w:spacing w:line="360" w:lineRule="auto"/>
        <w:ind w:right="-28"/>
        <w:contextualSpacing/>
        <w:jc w:val="both"/>
        <w:rPr>
          <w:rFonts w:ascii="Palatino Linotype" w:eastAsia="Calibri" w:hAnsi="Palatino Linotype" w:cs="Tahoma"/>
          <w:b/>
          <w:iCs/>
          <w:sz w:val="22"/>
          <w:szCs w:val="22"/>
          <w:lang w:val="es-ES" w:eastAsia="es-ES_tradnl"/>
        </w:rPr>
      </w:pPr>
    </w:p>
    <w:p w14:paraId="74B512C4" w14:textId="77777777" w:rsidR="00897BB9" w:rsidRPr="002334F1" w:rsidRDefault="00897BB9" w:rsidP="00934271">
      <w:pPr>
        <w:tabs>
          <w:tab w:val="left" w:pos="4962"/>
        </w:tabs>
        <w:spacing w:line="360" w:lineRule="auto"/>
        <w:ind w:right="-28"/>
        <w:contextualSpacing/>
        <w:jc w:val="both"/>
        <w:rPr>
          <w:rFonts w:ascii="Palatino Linotype" w:eastAsia="Calibri" w:hAnsi="Palatino Linotype" w:cs="Tahoma"/>
          <w:b/>
          <w:iCs/>
          <w:sz w:val="22"/>
          <w:szCs w:val="22"/>
          <w:lang w:val="es-ES" w:eastAsia="es-ES_tradnl"/>
        </w:rPr>
      </w:pPr>
      <w:r w:rsidRPr="002334F1">
        <w:rPr>
          <w:rFonts w:ascii="Palatino Linotype" w:eastAsia="Calibri" w:hAnsi="Palatino Linotype" w:cs="Tahoma"/>
          <w:b/>
          <w:iCs/>
          <w:sz w:val="22"/>
          <w:szCs w:val="22"/>
          <w:lang w:val="es-ES" w:eastAsia="es-ES_tradnl"/>
        </w:rPr>
        <w:t>TERCERO. Determinación de la Controversia</w:t>
      </w:r>
    </w:p>
    <w:p w14:paraId="619DD087" w14:textId="77777777" w:rsidR="00897BB9" w:rsidRPr="002334F1" w:rsidRDefault="00897BB9" w:rsidP="00934271">
      <w:pPr>
        <w:tabs>
          <w:tab w:val="left" w:pos="4962"/>
        </w:tabs>
        <w:spacing w:line="360" w:lineRule="auto"/>
        <w:ind w:right="-28"/>
        <w:contextualSpacing/>
        <w:jc w:val="both"/>
        <w:rPr>
          <w:rFonts w:ascii="Palatino Linotype" w:eastAsia="Calibri" w:hAnsi="Palatino Linotype" w:cs="Tahoma"/>
          <w:sz w:val="22"/>
          <w:szCs w:val="22"/>
          <w:lang w:val="es-ES" w:eastAsia="es-ES_tradnl"/>
        </w:rPr>
      </w:pPr>
    </w:p>
    <w:p w14:paraId="7E55B776" w14:textId="77777777" w:rsidR="00897BB9" w:rsidRPr="002334F1" w:rsidRDefault="00897BB9" w:rsidP="00934271">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r w:rsidRPr="002334F1">
        <w:rPr>
          <w:rFonts w:ascii="Palatino Linotype" w:eastAsia="Calibri" w:hAnsi="Palatino Linotype" w:cs="Tahoma"/>
          <w:sz w:val="22"/>
          <w:szCs w:val="22"/>
          <w:lang w:val="es-ES" w:eastAsia="es-ES_tradnl"/>
        </w:rPr>
        <w:t xml:space="preserve">Una vez realizado el estudio de las constancias que integran el expediente en que se actúa, se desprende que </w:t>
      </w:r>
      <w:r w:rsidRPr="002334F1">
        <w:rPr>
          <w:rFonts w:ascii="Palatino Linotype" w:eastAsia="Calibri" w:hAnsi="Palatino Linotype" w:cs="Tahoma"/>
          <w:bCs/>
          <w:sz w:val="22"/>
          <w:szCs w:val="22"/>
          <w:lang w:eastAsia="en-US"/>
        </w:rPr>
        <w:t xml:space="preserve">el Particular </w:t>
      </w:r>
      <w:r w:rsidRPr="002334F1">
        <w:rPr>
          <w:rFonts w:ascii="Palatino Linotype" w:eastAsia="Calibri" w:hAnsi="Palatino Linotype" w:cs="Tahoma"/>
          <w:iCs/>
          <w:sz w:val="22"/>
          <w:szCs w:val="22"/>
          <w:lang w:val="es-ES" w:eastAsia="es-ES_tradnl"/>
        </w:rPr>
        <w:t xml:space="preserve">solicitó, </w:t>
      </w:r>
      <w:r w:rsidR="00C71C67" w:rsidRPr="002334F1">
        <w:rPr>
          <w:rFonts w:ascii="Palatino Linotype" w:eastAsia="Calibri" w:hAnsi="Palatino Linotype" w:cs="Tahoma"/>
          <w:iCs/>
          <w:sz w:val="22"/>
          <w:szCs w:val="22"/>
          <w:lang w:val="es-ES" w:eastAsia="es-ES_tradnl"/>
        </w:rPr>
        <w:t>el monto al que asciende</w:t>
      </w:r>
      <w:r w:rsidR="0082658C" w:rsidRPr="002334F1">
        <w:rPr>
          <w:rFonts w:ascii="Palatino Linotype" w:eastAsia="Calibri" w:hAnsi="Palatino Linotype" w:cs="Tahoma"/>
          <w:iCs/>
          <w:sz w:val="22"/>
          <w:szCs w:val="22"/>
          <w:lang w:val="es-ES" w:eastAsia="es-ES_tradnl"/>
        </w:rPr>
        <w:t xml:space="preserve"> el subsidio </w:t>
      </w:r>
      <w:r w:rsidR="00E03205" w:rsidRPr="002334F1">
        <w:rPr>
          <w:rFonts w:ascii="Palatino Linotype" w:eastAsia="Calibri" w:hAnsi="Palatino Linotype" w:cs="Tahoma"/>
          <w:iCs/>
          <w:sz w:val="22"/>
          <w:szCs w:val="22"/>
          <w:lang w:val="es-ES" w:eastAsia="es-ES_tradnl"/>
        </w:rPr>
        <w:t>por trámites relacionados</w:t>
      </w:r>
      <w:r w:rsidR="0082658C" w:rsidRPr="002334F1">
        <w:rPr>
          <w:rFonts w:ascii="Palatino Linotype" w:eastAsia="Calibri" w:hAnsi="Palatino Linotype" w:cs="Tahoma"/>
          <w:iCs/>
          <w:sz w:val="22"/>
          <w:szCs w:val="22"/>
          <w:lang w:val="es-ES" w:eastAsia="es-ES_tradnl"/>
        </w:rPr>
        <w:t xml:space="preserve"> con las operaciones </w:t>
      </w:r>
      <w:r w:rsidR="00E03205" w:rsidRPr="002334F1">
        <w:rPr>
          <w:rFonts w:ascii="Palatino Linotype" w:eastAsia="Calibri" w:hAnsi="Palatino Linotype" w:cs="Tahoma"/>
          <w:iCs/>
          <w:sz w:val="22"/>
          <w:szCs w:val="22"/>
          <w:lang w:val="es-ES" w:eastAsia="es-ES_tradnl"/>
        </w:rPr>
        <w:t>traslativas</w:t>
      </w:r>
      <w:r w:rsidR="0082658C" w:rsidRPr="002334F1">
        <w:rPr>
          <w:rFonts w:ascii="Palatino Linotype" w:eastAsia="Calibri" w:hAnsi="Palatino Linotype" w:cs="Tahoma"/>
          <w:iCs/>
          <w:sz w:val="22"/>
          <w:szCs w:val="22"/>
          <w:lang w:val="es-ES" w:eastAsia="es-ES_tradnl"/>
        </w:rPr>
        <w:t xml:space="preserve"> de dominio, impuesto predial y derechos por suministro de agua,</w:t>
      </w:r>
      <w:r w:rsidRPr="002334F1">
        <w:rPr>
          <w:rFonts w:ascii="Palatino Linotype" w:eastAsia="Calibri" w:hAnsi="Palatino Linotype" w:cs="Tahoma"/>
          <w:iCs/>
          <w:sz w:val="22"/>
          <w:szCs w:val="22"/>
          <w:lang w:val="es-ES" w:eastAsia="es-ES_tradnl"/>
        </w:rPr>
        <w:t xml:space="preserve"> del </w:t>
      </w:r>
      <w:r w:rsidR="00E03205" w:rsidRPr="002334F1">
        <w:rPr>
          <w:rFonts w:ascii="Palatino Linotype" w:eastAsia="Calibri" w:hAnsi="Palatino Linotype" w:cs="Tahoma"/>
          <w:iCs/>
          <w:sz w:val="22"/>
          <w:szCs w:val="22"/>
          <w:lang w:val="es-ES" w:eastAsia="es-ES_tradnl"/>
        </w:rPr>
        <w:t xml:space="preserve">siete de octubre de dos mil veintitrés, </w:t>
      </w:r>
      <w:r w:rsidRPr="002334F1">
        <w:rPr>
          <w:rFonts w:ascii="Palatino Linotype" w:eastAsia="Calibri" w:hAnsi="Palatino Linotype" w:cs="Tahoma"/>
          <w:iCs/>
          <w:sz w:val="22"/>
          <w:szCs w:val="22"/>
          <w:lang w:val="es-ES" w:eastAsia="es-ES_tradnl"/>
        </w:rPr>
        <w:t xml:space="preserve">al </w:t>
      </w:r>
      <w:r w:rsidR="00E03205" w:rsidRPr="002334F1">
        <w:rPr>
          <w:rFonts w:ascii="Palatino Linotype" w:eastAsia="Calibri" w:hAnsi="Palatino Linotype" w:cs="Tahoma"/>
          <w:iCs/>
          <w:sz w:val="22"/>
          <w:szCs w:val="22"/>
          <w:lang w:val="es-ES" w:eastAsia="es-ES_tradnl"/>
        </w:rPr>
        <w:t xml:space="preserve">siete </w:t>
      </w:r>
      <w:r w:rsidRPr="002334F1">
        <w:rPr>
          <w:rFonts w:ascii="Palatino Linotype" w:eastAsia="Calibri" w:hAnsi="Palatino Linotype" w:cs="Tahoma"/>
          <w:iCs/>
          <w:sz w:val="22"/>
          <w:szCs w:val="22"/>
          <w:lang w:val="es-ES" w:eastAsia="es-ES_tradnl"/>
        </w:rPr>
        <w:t>de octubre de dos mil veinticuatro.</w:t>
      </w:r>
    </w:p>
    <w:p w14:paraId="396C23B4" w14:textId="77777777" w:rsidR="00897BB9" w:rsidRPr="002334F1" w:rsidRDefault="00897BB9" w:rsidP="00934271">
      <w:pPr>
        <w:tabs>
          <w:tab w:val="left" w:pos="4962"/>
        </w:tabs>
        <w:spacing w:line="360" w:lineRule="auto"/>
        <w:ind w:right="-28"/>
        <w:contextualSpacing/>
        <w:jc w:val="both"/>
        <w:rPr>
          <w:rFonts w:ascii="Palatino Linotype" w:eastAsia="Calibri" w:hAnsi="Palatino Linotype" w:cs="Tahoma"/>
          <w:iCs/>
          <w:szCs w:val="22"/>
          <w:lang w:val="es-ES" w:eastAsia="es-ES_tradnl"/>
        </w:rPr>
      </w:pPr>
    </w:p>
    <w:p w14:paraId="04A2715B" w14:textId="77777777" w:rsidR="00897BB9" w:rsidRPr="002334F1" w:rsidRDefault="00897BB9" w:rsidP="00934271">
      <w:pPr>
        <w:tabs>
          <w:tab w:val="left" w:pos="4667"/>
        </w:tabs>
        <w:spacing w:line="360" w:lineRule="auto"/>
        <w:contextualSpacing/>
        <w:jc w:val="both"/>
        <w:rPr>
          <w:rFonts w:ascii="Palatino Linotype" w:eastAsiaTheme="minorHAnsi" w:hAnsi="Palatino Linotype" w:cs="Tahoma"/>
          <w:iCs/>
          <w:color w:val="000000" w:themeColor="text1"/>
          <w:sz w:val="22"/>
          <w:szCs w:val="22"/>
          <w:lang w:val="es-ES" w:eastAsia="en-US"/>
        </w:rPr>
      </w:pPr>
      <w:r w:rsidRPr="002334F1">
        <w:rPr>
          <w:rFonts w:ascii="Palatino Linotype" w:eastAsia="Calibri" w:hAnsi="Palatino Linotype" w:cs="Tahoma"/>
          <w:iCs/>
          <w:sz w:val="22"/>
          <w:szCs w:val="22"/>
          <w:lang w:val="es-ES" w:eastAsia="es-ES_tradnl"/>
        </w:rPr>
        <w:t xml:space="preserve">En respuesta, el Sujeto Obligado, a través de </w:t>
      </w:r>
      <w:r w:rsidRPr="002334F1">
        <w:rPr>
          <w:rFonts w:ascii="Palatino Linotype" w:hAnsi="Palatino Linotype" w:cs="Tahoma"/>
          <w:sz w:val="22"/>
          <w:szCs w:val="22"/>
        </w:rPr>
        <w:t xml:space="preserve">la Dirección </w:t>
      </w:r>
      <w:r w:rsidR="0082658C" w:rsidRPr="002334F1">
        <w:rPr>
          <w:rFonts w:ascii="Palatino Linotype" w:hAnsi="Palatino Linotype" w:cs="Tahoma"/>
          <w:sz w:val="22"/>
          <w:szCs w:val="22"/>
        </w:rPr>
        <w:t>de Catastro Municipal</w:t>
      </w:r>
      <w:r w:rsidRPr="002334F1">
        <w:rPr>
          <w:rFonts w:ascii="Palatino Linotype" w:eastAsia="Calibri" w:hAnsi="Palatino Linotype" w:cs="Tahoma"/>
          <w:iCs/>
          <w:sz w:val="22"/>
          <w:szCs w:val="22"/>
          <w:lang w:val="es-ES" w:eastAsia="es-ES_tradnl"/>
        </w:rPr>
        <w:t>, propuso el cambio de modalidad de entrega de la información a consulta directa der</w:t>
      </w:r>
      <w:r w:rsidR="0082658C" w:rsidRPr="002334F1">
        <w:rPr>
          <w:rFonts w:ascii="Palatino Linotype" w:eastAsia="Calibri" w:hAnsi="Palatino Linotype" w:cs="Tahoma"/>
          <w:iCs/>
          <w:sz w:val="22"/>
          <w:szCs w:val="22"/>
          <w:lang w:val="es-ES" w:eastAsia="es-ES_tradnl"/>
        </w:rPr>
        <w:t xml:space="preserve">ivado de la entrega recepción derivadas </w:t>
      </w:r>
      <w:r w:rsidRPr="002334F1">
        <w:rPr>
          <w:rFonts w:ascii="Palatino Linotype" w:eastAsia="Calibri" w:hAnsi="Palatino Linotype" w:cs="Tahoma"/>
          <w:iCs/>
          <w:sz w:val="22"/>
          <w:szCs w:val="22"/>
          <w:lang w:val="es-ES" w:eastAsia="es-ES_tradnl"/>
        </w:rPr>
        <w:t>del cambio de administración</w:t>
      </w:r>
      <w:r w:rsidR="0082658C" w:rsidRPr="002334F1">
        <w:rPr>
          <w:rFonts w:ascii="Palatino Linotype" w:eastAsia="Calibri" w:hAnsi="Palatino Linotype" w:cs="Tahoma"/>
          <w:iCs/>
          <w:sz w:val="22"/>
          <w:szCs w:val="22"/>
          <w:lang w:val="es-ES" w:eastAsia="es-ES_tradnl"/>
        </w:rPr>
        <w:t>, la falta de recursos humanos y materiales</w:t>
      </w:r>
      <w:r w:rsidRPr="002334F1">
        <w:rPr>
          <w:rFonts w:ascii="Palatino Linotype" w:hAnsi="Palatino Linotype" w:cs="Tahoma"/>
          <w:bCs/>
          <w:iCs/>
          <w:sz w:val="22"/>
          <w:szCs w:val="22"/>
          <w:lang w:val="es-ES"/>
        </w:rPr>
        <w:t xml:space="preserve">; </w:t>
      </w:r>
      <w:r w:rsidRPr="002334F1">
        <w:rPr>
          <w:rFonts w:ascii="Palatino Linotype" w:hAnsi="Palatino Linotype"/>
          <w:iCs/>
          <w:sz w:val="22"/>
          <w:szCs w:val="22"/>
        </w:rPr>
        <w:t>ante dicha circunstancia, la parte Recurrente se inconformó del cambio de modalidad propuesto</w:t>
      </w:r>
      <w:r w:rsidRPr="002334F1">
        <w:rPr>
          <w:rFonts w:ascii="Palatino Linotype" w:eastAsiaTheme="minorHAnsi" w:hAnsi="Palatino Linotype" w:cs="Tahoma"/>
          <w:bCs/>
          <w:iCs/>
          <w:color w:val="000000" w:themeColor="text1"/>
          <w:sz w:val="22"/>
          <w:szCs w:val="22"/>
          <w:lang w:val="es-ES" w:eastAsia="en-US"/>
        </w:rPr>
        <w:t>, lo cual actualiza el supuesto previsto en el artículo 179, fracción VIII, de la Ley de Transparencia y Acceso a la Información Pública del Estado de México y Municipios</w:t>
      </w:r>
      <w:r w:rsidRPr="002334F1">
        <w:rPr>
          <w:rFonts w:ascii="Palatino Linotype" w:eastAsia="Calibri" w:hAnsi="Palatino Linotype" w:cs="Tahoma"/>
          <w:bCs/>
          <w:iCs/>
          <w:color w:val="000000"/>
          <w:sz w:val="22"/>
          <w:szCs w:val="22"/>
          <w:lang w:val="es-ES_tradnl" w:eastAsia="en-US"/>
        </w:rPr>
        <w:t xml:space="preserve">. </w:t>
      </w:r>
      <w:r w:rsidRPr="002334F1">
        <w:rPr>
          <w:rFonts w:ascii="Palatino Linotype" w:eastAsiaTheme="minorHAnsi" w:hAnsi="Palatino Linotype" w:cs="Tahoma"/>
          <w:iCs/>
          <w:color w:val="000000" w:themeColor="text1"/>
          <w:sz w:val="22"/>
          <w:szCs w:val="22"/>
          <w:lang w:val="es-ES" w:eastAsia="en-US"/>
        </w:rPr>
        <w:t xml:space="preserve">Así las cosas, una vez admitido y notificado el Recurso de Revisión a las partes, estas fueron omisas en realizar manifestaciones o alegatos. </w:t>
      </w:r>
    </w:p>
    <w:p w14:paraId="66E3760A" w14:textId="77777777" w:rsidR="00897BB9" w:rsidRPr="002334F1" w:rsidRDefault="00897BB9" w:rsidP="00934271">
      <w:pPr>
        <w:pStyle w:val="Prrafodelista"/>
        <w:tabs>
          <w:tab w:val="left" w:pos="4962"/>
        </w:tabs>
        <w:spacing w:line="360" w:lineRule="auto"/>
        <w:ind w:left="0" w:right="-28"/>
        <w:jc w:val="both"/>
        <w:rPr>
          <w:rFonts w:ascii="Palatino Linotype" w:eastAsia="Calibri" w:hAnsi="Palatino Linotype" w:cs="Tahoma"/>
          <w:iCs/>
          <w:szCs w:val="22"/>
          <w:lang w:val="es-ES" w:eastAsia="es-ES_tradnl"/>
        </w:rPr>
      </w:pPr>
    </w:p>
    <w:p w14:paraId="3F345080" w14:textId="77777777" w:rsidR="00897BB9" w:rsidRPr="002334F1" w:rsidRDefault="00897BB9" w:rsidP="00934271">
      <w:pPr>
        <w:tabs>
          <w:tab w:val="left" w:pos="4667"/>
        </w:tabs>
        <w:spacing w:line="360" w:lineRule="auto"/>
        <w:contextualSpacing/>
        <w:jc w:val="both"/>
        <w:rPr>
          <w:rFonts w:ascii="Palatino Linotype" w:hAnsi="Palatino Linotype" w:cs="Tahoma"/>
          <w:bCs/>
          <w:iCs/>
          <w:sz w:val="22"/>
          <w:szCs w:val="22"/>
          <w:lang w:val="es-ES"/>
        </w:rPr>
      </w:pPr>
      <w:r w:rsidRPr="002334F1">
        <w:rPr>
          <w:rFonts w:ascii="Palatino Linotype" w:hAnsi="Palatino Linotype" w:cs="Tahoma"/>
          <w:iCs/>
          <w:sz w:val="22"/>
          <w:szCs w:val="22"/>
        </w:rPr>
        <w:t xml:space="preserve">Lo anterior, se desprende de las documentales que obran en el expediente de referencia, materia de la presente resolución, consistentes en: la solicitud de acceso a la información; la respuesta proporcionada por el Sujeto Obligado, y el escrito </w:t>
      </w:r>
      <w:proofErr w:type="spellStart"/>
      <w:r w:rsidRPr="002334F1">
        <w:rPr>
          <w:rFonts w:ascii="Palatino Linotype" w:hAnsi="Palatino Linotype" w:cs="Tahoma"/>
          <w:iCs/>
          <w:sz w:val="22"/>
          <w:szCs w:val="22"/>
        </w:rPr>
        <w:t>recursal</w:t>
      </w:r>
      <w:proofErr w:type="spellEnd"/>
      <w:r w:rsidRPr="002334F1">
        <w:rPr>
          <w:rFonts w:ascii="Palatino Linotype" w:hAnsi="Palatino Linotype" w:cs="Tahoma"/>
          <w:iCs/>
          <w:sz w:val="22"/>
          <w:szCs w:val="22"/>
        </w:rPr>
        <w:t xml:space="preserve">; </w:t>
      </w:r>
      <w:r w:rsidRPr="002334F1">
        <w:rPr>
          <w:rFonts w:ascii="Palatino Linotype" w:hAnsi="Palatino Linotype" w:cs="Tahoma"/>
          <w:bCs/>
          <w:sz w:val="22"/>
          <w:szCs w:val="22"/>
        </w:rPr>
        <w:t xml:space="preserve">instrumentales que se toman en cuenta a efecto de resolver el presente medio de impugnación, conforme a lo </w:t>
      </w:r>
      <w:r w:rsidRPr="002334F1">
        <w:rPr>
          <w:rFonts w:ascii="Palatino Linotype" w:hAnsi="Palatino Linotype" w:cs="Tahoma"/>
          <w:bCs/>
          <w:sz w:val="22"/>
          <w:szCs w:val="22"/>
        </w:rPr>
        <w:lastRenderedPageBreak/>
        <w:t xml:space="preserve">dispuesto por el artículo 185, fracción IV, de la Ley de Transparencia y Acceso a la Información Pública del Estado de México y Municipios. </w:t>
      </w:r>
    </w:p>
    <w:p w14:paraId="5501036F" w14:textId="77777777" w:rsidR="00897BB9" w:rsidRPr="002334F1" w:rsidRDefault="00897BB9" w:rsidP="00934271">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22ED975C" w14:textId="77777777" w:rsidR="00897BB9" w:rsidRPr="002334F1" w:rsidRDefault="00897BB9" w:rsidP="00934271">
      <w:pPr>
        <w:spacing w:line="360" w:lineRule="auto"/>
        <w:ind w:right="-28"/>
        <w:contextualSpacing/>
        <w:jc w:val="both"/>
        <w:rPr>
          <w:rFonts w:ascii="Palatino Linotype" w:hAnsi="Palatino Linotype" w:cs="Tahoma"/>
          <w:b/>
          <w:sz w:val="22"/>
          <w:szCs w:val="22"/>
        </w:rPr>
      </w:pPr>
      <w:r w:rsidRPr="002334F1">
        <w:rPr>
          <w:rFonts w:ascii="Palatino Linotype" w:hAnsi="Palatino Linotype" w:cs="Tahoma"/>
          <w:b/>
          <w:sz w:val="22"/>
          <w:szCs w:val="22"/>
          <w:lang w:val="es-ES"/>
        </w:rPr>
        <w:t xml:space="preserve">CUARTO. </w:t>
      </w:r>
      <w:r w:rsidRPr="002334F1">
        <w:rPr>
          <w:rFonts w:ascii="Palatino Linotype" w:hAnsi="Palatino Linotype" w:cs="Tahoma"/>
          <w:b/>
          <w:sz w:val="22"/>
          <w:szCs w:val="22"/>
        </w:rPr>
        <w:t>Marco normativo aplicable en materia de transparencia y acceso a la información pública</w:t>
      </w:r>
    </w:p>
    <w:p w14:paraId="0FD47CB1" w14:textId="77777777" w:rsidR="00897BB9" w:rsidRPr="002334F1" w:rsidRDefault="00897BB9" w:rsidP="00934271">
      <w:pPr>
        <w:spacing w:line="360" w:lineRule="auto"/>
        <w:ind w:right="-28"/>
        <w:contextualSpacing/>
        <w:jc w:val="both"/>
        <w:rPr>
          <w:rFonts w:ascii="Palatino Linotype" w:hAnsi="Palatino Linotype" w:cs="Tahoma"/>
          <w:bCs/>
          <w:iCs/>
          <w:sz w:val="22"/>
          <w:szCs w:val="22"/>
        </w:rPr>
      </w:pPr>
    </w:p>
    <w:p w14:paraId="65C044BA" w14:textId="77777777" w:rsidR="00897BB9" w:rsidRPr="002334F1" w:rsidRDefault="00897BB9" w:rsidP="00934271">
      <w:pPr>
        <w:spacing w:line="360" w:lineRule="auto"/>
        <w:ind w:right="-28"/>
        <w:contextualSpacing/>
        <w:jc w:val="both"/>
        <w:rPr>
          <w:rFonts w:ascii="Palatino Linotype" w:hAnsi="Palatino Linotype" w:cs="Tahoma"/>
          <w:bCs/>
          <w:iCs/>
          <w:sz w:val="22"/>
          <w:szCs w:val="22"/>
        </w:rPr>
      </w:pPr>
      <w:r w:rsidRPr="002334F1">
        <w:rPr>
          <w:rFonts w:ascii="Palatino Linotype" w:hAnsi="Palatino Linotype" w:cs="Tahoma"/>
          <w:bCs/>
          <w:iCs/>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C1976C7" w14:textId="77777777" w:rsidR="00897BB9" w:rsidRPr="002334F1" w:rsidRDefault="00897BB9" w:rsidP="00934271">
      <w:pPr>
        <w:spacing w:line="360" w:lineRule="auto"/>
        <w:ind w:right="-28"/>
        <w:contextualSpacing/>
        <w:jc w:val="both"/>
        <w:rPr>
          <w:rFonts w:ascii="Palatino Linotype" w:hAnsi="Palatino Linotype" w:cs="Tahoma"/>
          <w:bCs/>
          <w:iCs/>
          <w:sz w:val="22"/>
          <w:szCs w:val="22"/>
        </w:rPr>
      </w:pPr>
    </w:p>
    <w:p w14:paraId="17EE76A7" w14:textId="77777777" w:rsidR="00897BB9" w:rsidRPr="002334F1" w:rsidRDefault="00897BB9" w:rsidP="00934271">
      <w:pPr>
        <w:spacing w:line="360" w:lineRule="auto"/>
        <w:ind w:right="-28"/>
        <w:contextualSpacing/>
        <w:jc w:val="both"/>
        <w:rPr>
          <w:rFonts w:ascii="Palatino Linotype" w:hAnsi="Palatino Linotype" w:cs="Tahoma"/>
          <w:bCs/>
          <w:iCs/>
          <w:sz w:val="22"/>
          <w:szCs w:val="22"/>
        </w:rPr>
      </w:pPr>
      <w:r w:rsidRPr="002334F1">
        <w:rPr>
          <w:rFonts w:ascii="Palatino Linotype" w:hAnsi="Palatino Linotype" w:cs="Tahoma"/>
          <w:bCs/>
          <w:iCs/>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24AADA6" w14:textId="77777777" w:rsidR="00897BB9" w:rsidRPr="002334F1" w:rsidRDefault="00897BB9" w:rsidP="00934271">
      <w:pPr>
        <w:spacing w:line="360" w:lineRule="auto"/>
        <w:ind w:right="-28"/>
        <w:contextualSpacing/>
        <w:jc w:val="both"/>
        <w:rPr>
          <w:rFonts w:ascii="Palatino Linotype" w:hAnsi="Palatino Linotype" w:cs="Tahoma"/>
          <w:bCs/>
          <w:iCs/>
          <w:sz w:val="22"/>
          <w:szCs w:val="22"/>
        </w:rPr>
      </w:pPr>
    </w:p>
    <w:p w14:paraId="75F48FFE" w14:textId="77777777" w:rsidR="00897BB9" w:rsidRPr="002334F1" w:rsidRDefault="00897BB9" w:rsidP="00934271">
      <w:pPr>
        <w:spacing w:line="360" w:lineRule="auto"/>
        <w:ind w:right="-28"/>
        <w:contextualSpacing/>
        <w:jc w:val="both"/>
        <w:rPr>
          <w:rFonts w:ascii="Palatino Linotype" w:hAnsi="Palatino Linotype" w:cs="Tahoma"/>
          <w:bCs/>
          <w:iCs/>
          <w:sz w:val="22"/>
          <w:szCs w:val="22"/>
        </w:rPr>
      </w:pPr>
      <w:r w:rsidRPr="002334F1">
        <w:rPr>
          <w:rFonts w:ascii="Palatino Linotype" w:hAnsi="Palatino Linotype" w:cs="Tahoma"/>
          <w:bCs/>
          <w:iCs/>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245098C" w14:textId="77777777" w:rsidR="00897BB9" w:rsidRPr="002334F1" w:rsidRDefault="00897BB9" w:rsidP="00934271">
      <w:pPr>
        <w:spacing w:line="360" w:lineRule="auto"/>
        <w:ind w:right="-28"/>
        <w:contextualSpacing/>
        <w:jc w:val="both"/>
        <w:rPr>
          <w:rFonts w:ascii="Palatino Linotype" w:hAnsi="Palatino Linotype" w:cs="Tahoma"/>
          <w:bCs/>
          <w:iCs/>
          <w:sz w:val="22"/>
          <w:szCs w:val="22"/>
        </w:rPr>
      </w:pPr>
    </w:p>
    <w:p w14:paraId="6D8C0684" w14:textId="77777777" w:rsidR="00897BB9" w:rsidRPr="002334F1" w:rsidRDefault="00897BB9" w:rsidP="00934271">
      <w:pPr>
        <w:spacing w:line="360" w:lineRule="auto"/>
        <w:ind w:right="-28"/>
        <w:contextualSpacing/>
        <w:jc w:val="both"/>
        <w:rPr>
          <w:rFonts w:ascii="Palatino Linotype" w:hAnsi="Palatino Linotype" w:cs="Tahoma"/>
          <w:bCs/>
          <w:iCs/>
          <w:sz w:val="22"/>
          <w:szCs w:val="22"/>
        </w:rPr>
      </w:pPr>
      <w:r w:rsidRPr="002334F1">
        <w:rPr>
          <w:rFonts w:ascii="Palatino Linotype" w:hAnsi="Palatino Linotype" w:cs="Tahoma"/>
          <w:bCs/>
          <w:iCs/>
          <w:sz w:val="22"/>
          <w:szCs w:val="22"/>
        </w:rPr>
        <w:t>Por su parte, la Ley de Transparencia y Acceso a la Información Pública del Estado de México y Municipios (Reglamentaria del artículo 5° de la Constitución Local), establece lo siguiente:</w:t>
      </w:r>
    </w:p>
    <w:p w14:paraId="2FE2DACF" w14:textId="77777777" w:rsidR="00897BB9" w:rsidRPr="002334F1" w:rsidRDefault="00897BB9" w:rsidP="00934271">
      <w:pPr>
        <w:spacing w:line="360" w:lineRule="auto"/>
        <w:ind w:right="-28"/>
        <w:contextualSpacing/>
        <w:jc w:val="both"/>
        <w:rPr>
          <w:rFonts w:ascii="Palatino Linotype" w:hAnsi="Palatino Linotype" w:cs="Tahoma"/>
          <w:bCs/>
          <w:iCs/>
          <w:sz w:val="22"/>
          <w:szCs w:val="22"/>
        </w:rPr>
      </w:pPr>
    </w:p>
    <w:p w14:paraId="2CF0FD8F" w14:textId="77777777" w:rsidR="00897BB9" w:rsidRPr="002334F1" w:rsidRDefault="00897BB9" w:rsidP="00934271">
      <w:pPr>
        <w:spacing w:line="360" w:lineRule="auto"/>
        <w:ind w:right="-28"/>
        <w:contextualSpacing/>
        <w:jc w:val="both"/>
        <w:rPr>
          <w:rFonts w:ascii="Palatino Linotype" w:hAnsi="Palatino Linotype" w:cs="Tahoma"/>
          <w:bCs/>
          <w:iCs/>
          <w:sz w:val="22"/>
          <w:szCs w:val="22"/>
        </w:rPr>
      </w:pPr>
      <w:r w:rsidRPr="002334F1">
        <w:rPr>
          <w:rFonts w:ascii="Palatino Linotype" w:hAnsi="Palatino Linotype" w:cs="Tahoma"/>
          <w:bCs/>
          <w:iCs/>
          <w:sz w:val="22"/>
          <w:szCs w:val="22"/>
        </w:rPr>
        <w:t>El artículo 12, que, quienes generen, recopilen, administren, manejen, procesen, archiven o conserven información pública serán responsables de la misma.</w:t>
      </w:r>
    </w:p>
    <w:p w14:paraId="343C1FEE" w14:textId="77777777" w:rsidR="00897BB9" w:rsidRPr="002334F1" w:rsidRDefault="00897BB9" w:rsidP="00934271">
      <w:pPr>
        <w:spacing w:line="360" w:lineRule="auto"/>
        <w:ind w:right="-28"/>
        <w:contextualSpacing/>
        <w:jc w:val="both"/>
        <w:rPr>
          <w:rFonts w:ascii="Palatino Linotype" w:hAnsi="Palatino Linotype" w:cs="Tahoma"/>
          <w:bCs/>
          <w:iCs/>
          <w:sz w:val="22"/>
          <w:szCs w:val="22"/>
        </w:rPr>
      </w:pPr>
    </w:p>
    <w:p w14:paraId="01A1C428" w14:textId="77777777" w:rsidR="00897BB9" w:rsidRPr="002334F1" w:rsidRDefault="00897BB9" w:rsidP="00934271">
      <w:pPr>
        <w:spacing w:line="360" w:lineRule="auto"/>
        <w:ind w:right="-28"/>
        <w:contextualSpacing/>
        <w:jc w:val="both"/>
        <w:rPr>
          <w:rFonts w:ascii="Palatino Linotype" w:hAnsi="Palatino Linotype" w:cs="Tahoma"/>
          <w:bCs/>
          <w:iCs/>
          <w:sz w:val="22"/>
          <w:szCs w:val="22"/>
        </w:rPr>
      </w:pPr>
      <w:r w:rsidRPr="002334F1">
        <w:rPr>
          <w:rFonts w:ascii="Palatino Linotype" w:hAnsi="Palatino Linotype" w:cs="Tahoma"/>
          <w:bCs/>
          <w:iCs/>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35EEEC14" w14:textId="77777777" w:rsidR="00897BB9" w:rsidRPr="002334F1" w:rsidRDefault="00897BB9" w:rsidP="00934271">
      <w:pPr>
        <w:spacing w:line="360" w:lineRule="auto"/>
        <w:ind w:right="-28"/>
        <w:contextualSpacing/>
        <w:jc w:val="both"/>
        <w:rPr>
          <w:rFonts w:ascii="Palatino Linotype" w:hAnsi="Palatino Linotype" w:cs="Tahoma"/>
          <w:bCs/>
          <w:iCs/>
          <w:sz w:val="22"/>
          <w:szCs w:val="22"/>
        </w:rPr>
      </w:pPr>
    </w:p>
    <w:p w14:paraId="29E381ED" w14:textId="77777777" w:rsidR="00897BB9" w:rsidRPr="002334F1" w:rsidRDefault="00897BB9" w:rsidP="00934271">
      <w:pPr>
        <w:spacing w:line="360" w:lineRule="auto"/>
        <w:ind w:right="-28"/>
        <w:contextualSpacing/>
        <w:jc w:val="both"/>
        <w:rPr>
          <w:rFonts w:ascii="Palatino Linotype" w:hAnsi="Palatino Linotype" w:cs="Tahoma"/>
          <w:bCs/>
          <w:iCs/>
          <w:sz w:val="22"/>
          <w:szCs w:val="22"/>
        </w:rPr>
      </w:pPr>
      <w:r w:rsidRPr="002334F1">
        <w:rPr>
          <w:rFonts w:ascii="Palatino Linotype" w:hAnsi="Palatino Linotype" w:cs="Tahoma"/>
          <w:bCs/>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7FC2B0E" w14:textId="77777777" w:rsidR="00897BB9" w:rsidRPr="002334F1" w:rsidRDefault="00897BB9" w:rsidP="00934271">
      <w:pPr>
        <w:spacing w:line="360" w:lineRule="auto"/>
        <w:ind w:right="-28"/>
        <w:contextualSpacing/>
        <w:jc w:val="both"/>
        <w:rPr>
          <w:rFonts w:ascii="Palatino Linotype" w:hAnsi="Palatino Linotype" w:cs="Tahoma"/>
          <w:b/>
          <w:sz w:val="22"/>
          <w:szCs w:val="22"/>
        </w:rPr>
      </w:pPr>
    </w:p>
    <w:p w14:paraId="400C7647" w14:textId="77777777" w:rsidR="00897BB9" w:rsidRPr="002334F1" w:rsidRDefault="00897BB9" w:rsidP="00934271">
      <w:pPr>
        <w:spacing w:line="360" w:lineRule="auto"/>
        <w:ind w:right="-28"/>
        <w:contextualSpacing/>
        <w:jc w:val="both"/>
        <w:rPr>
          <w:rFonts w:ascii="Palatino Linotype" w:hAnsi="Palatino Linotype" w:cs="Tahoma"/>
          <w:b/>
          <w:sz w:val="22"/>
          <w:szCs w:val="22"/>
        </w:rPr>
      </w:pPr>
      <w:r w:rsidRPr="002334F1">
        <w:rPr>
          <w:rFonts w:ascii="Palatino Linotype" w:hAnsi="Palatino Linotype" w:cs="Tahoma"/>
          <w:b/>
          <w:sz w:val="22"/>
          <w:szCs w:val="22"/>
        </w:rPr>
        <w:t>QUINTO. Estudio de Fondo</w:t>
      </w:r>
    </w:p>
    <w:p w14:paraId="3922527E" w14:textId="77777777" w:rsidR="00897BB9" w:rsidRPr="002334F1" w:rsidRDefault="00897BB9" w:rsidP="00934271">
      <w:pPr>
        <w:tabs>
          <w:tab w:val="left" w:pos="4962"/>
        </w:tabs>
        <w:spacing w:line="360" w:lineRule="auto"/>
        <w:ind w:right="-28"/>
        <w:contextualSpacing/>
        <w:jc w:val="both"/>
        <w:rPr>
          <w:rFonts w:ascii="Palatino Linotype" w:eastAsia="Calibri" w:hAnsi="Palatino Linotype" w:cs="Tahoma"/>
          <w:iCs/>
          <w:sz w:val="22"/>
          <w:szCs w:val="22"/>
          <w:lang w:eastAsia="es-ES_tradnl"/>
        </w:rPr>
      </w:pPr>
    </w:p>
    <w:p w14:paraId="74C3774C" w14:textId="77777777" w:rsidR="00897BB9" w:rsidRPr="002334F1" w:rsidRDefault="00897BB9" w:rsidP="00934271">
      <w:pPr>
        <w:tabs>
          <w:tab w:val="left" w:pos="4962"/>
        </w:tabs>
        <w:spacing w:line="360" w:lineRule="auto"/>
        <w:contextualSpacing/>
        <w:jc w:val="both"/>
        <w:rPr>
          <w:rFonts w:ascii="Palatino Linotype" w:hAnsi="Palatino Linotype" w:cs="Tahoma"/>
          <w:bCs/>
          <w:iCs/>
          <w:sz w:val="22"/>
          <w:szCs w:val="22"/>
        </w:rPr>
      </w:pPr>
      <w:r w:rsidRPr="002334F1">
        <w:rPr>
          <w:rFonts w:ascii="Palatino Linotype" w:hAnsi="Palatino Linotype" w:cs="Tahoma"/>
          <w:bCs/>
          <w:iCs/>
          <w:sz w:val="22"/>
          <w:szCs w:val="22"/>
        </w:rPr>
        <w:t>Expuestas las posturas de las partes, se procede a realizar el análisis del agravio hecho valer por el ahora Recurrente, concerniente a la entrega o puesta a disposición de la información en un formato distinto al solicitado, para lo cual resulta necesario contextualizar la solicitud de información.</w:t>
      </w:r>
    </w:p>
    <w:p w14:paraId="09C4A269" w14:textId="77777777" w:rsidR="00897BB9" w:rsidRPr="002334F1" w:rsidRDefault="00897BB9" w:rsidP="00934271">
      <w:pPr>
        <w:spacing w:line="360" w:lineRule="auto"/>
        <w:ind w:right="-28"/>
        <w:contextualSpacing/>
        <w:jc w:val="both"/>
        <w:rPr>
          <w:rFonts w:ascii="Palatino Linotype" w:eastAsia="Calibri" w:hAnsi="Palatino Linotype" w:cs="Tahoma"/>
          <w:bCs/>
          <w:sz w:val="22"/>
          <w:szCs w:val="22"/>
        </w:rPr>
      </w:pPr>
    </w:p>
    <w:p w14:paraId="57975D1A" w14:textId="77777777" w:rsidR="00897BB9" w:rsidRPr="002334F1" w:rsidRDefault="00897BB9" w:rsidP="00934271">
      <w:pPr>
        <w:spacing w:line="360" w:lineRule="auto"/>
        <w:contextualSpacing/>
        <w:jc w:val="both"/>
        <w:rPr>
          <w:rFonts w:ascii="Palatino Linotype" w:hAnsi="Palatino Linotype" w:cs="Tahoma"/>
          <w:b/>
          <w:sz w:val="22"/>
          <w:szCs w:val="22"/>
        </w:rPr>
      </w:pPr>
      <w:r w:rsidRPr="002334F1">
        <w:rPr>
          <w:rFonts w:ascii="Palatino Linotype" w:eastAsia="Calibri" w:hAnsi="Palatino Linotype" w:cs="Tahoma"/>
          <w:bCs/>
          <w:sz w:val="22"/>
          <w:szCs w:val="22"/>
          <w:lang w:val="es-ES"/>
        </w:rPr>
        <w:t xml:space="preserve">Sobre el tema, cabe precisar que de conformidad con los artículos 6°, apartado A, de la Constitución Política de los Estados Unidos Mexicanos, 5° de la Constitución Política del Estado Libre y Soberano de México, </w:t>
      </w:r>
      <w:r w:rsidRPr="002334F1">
        <w:rPr>
          <w:rFonts w:ascii="Palatino Linotype" w:hAnsi="Palatino Linotype" w:cs="Tahoma"/>
          <w:bCs/>
          <w:sz w:val="22"/>
          <w:szCs w:val="22"/>
        </w:rPr>
        <w:t xml:space="preserve">4° de la Ley General de Transparencia y Acceso a la Información Pública y 4° de la </w:t>
      </w:r>
      <w:r w:rsidRPr="002334F1">
        <w:rPr>
          <w:rFonts w:ascii="Palatino Linotype" w:hAnsi="Palatino Linotype" w:cs="Tahoma"/>
          <w:sz w:val="22"/>
          <w:szCs w:val="22"/>
        </w:rPr>
        <w:t xml:space="preserve">Ley </w:t>
      </w:r>
      <w:r w:rsidRPr="002334F1">
        <w:rPr>
          <w:rFonts w:ascii="Palatino Linotype" w:hAnsi="Palatino Linotype" w:cs="Tahoma"/>
          <w:bCs/>
          <w:sz w:val="22"/>
          <w:szCs w:val="22"/>
        </w:rPr>
        <w:t xml:space="preserve">de Transparencia y Acceso a la Información Pública del Estado de México y Municipios, </w:t>
      </w:r>
      <w:r w:rsidRPr="002334F1">
        <w:rPr>
          <w:rFonts w:ascii="Palatino Linotype" w:hAnsi="Palatino Linotype" w:cs="Tahoma"/>
          <w:b/>
          <w:sz w:val="22"/>
          <w:szCs w:val="22"/>
        </w:rPr>
        <w:t>toda la información generada, obtenida, adquirida, transformada o en posesión de los sujetos obligados es pública y accesible a cualquier persona.</w:t>
      </w:r>
    </w:p>
    <w:p w14:paraId="64DB88CF" w14:textId="77777777" w:rsidR="00897BB9" w:rsidRPr="002334F1" w:rsidRDefault="00897BB9" w:rsidP="00934271">
      <w:pPr>
        <w:tabs>
          <w:tab w:val="left" w:pos="4962"/>
        </w:tabs>
        <w:spacing w:line="360" w:lineRule="auto"/>
        <w:contextualSpacing/>
        <w:jc w:val="both"/>
        <w:rPr>
          <w:rFonts w:ascii="Palatino Linotype" w:hAnsi="Palatino Linotype" w:cs="Tahoma"/>
          <w:bCs/>
          <w:sz w:val="22"/>
          <w:szCs w:val="22"/>
        </w:rPr>
      </w:pPr>
    </w:p>
    <w:p w14:paraId="551C4949" w14:textId="77777777" w:rsidR="00897BB9" w:rsidRPr="002334F1" w:rsidRDefault="00897BB9" w:rsidP="00934271">
      <w:pPr>
        <w:spacing w:line="360" w:lineRule="auto"/>
        <w:contextualSpacing/>
        <w:jc w:val="both"/>
        <w:rPr>
          <w:rFonts w:ascii="Palatino Linotype" w:hAnsi="Palatino Linotype" w:cs="Tahoma"/>
          <w:sz w:val="22"/>
          <w:szCs w:val="22"/>
          <w:lang w:val="es-ES"/>
        </w:rPr>
      </w:pPr>
      <w:r w:rsidRPr="002334F1">
        <w:rPr>
          <w:rFonts w:ascii="Palatino Linotype" w:hAnsi="Palatino Linotype" w:cs="Segoe UI"/>
          <w:sz w:val="22"/>
          <w:szCs w:val="22"/>
        </w:rPr>
        <w:t xml:space="preserve">En ese contexto, </w:t>
      </w:r>
      <w:r w:rsidRPr="002334F1">
        <w:rPr>
          <w:rFonts w:ascii="Palatino Linotype" w:hAnsi="Palatino Linotype" w:cs="Tahoma"/>
          <w:sz w:val="22"/>
          <w:szCs w:val="22"/>
          <w:lang w:val="es-ES"/>
        </w:rPr>
        <w:t>el artículo 18 de la Ley de Transparencia y Acceso a la Información Pública del Estado de México y Municipios, contempla que los sujetos obligados deberán documentar todo acto que derive del ejercicio de sus facultades, competencias o funciones.</w:t>
      </w:r>
    </w:p>
    <w:p w14:paraId="3934586D" w14:textId="77777777" w:rsidR="00897BB9" w:rsidRPr="002334F1" w:rsidRDefault="00897BB9" w:rsidP="00934271">
      <w:pPr>
        <w:spacing w:line="360" w:lineRule="auto"/>
        <w:contextualSpacing/>
        <w:jc w:val="both"/>
        <w:rPr>
          <w:rFonts w:ascii="Palatino Linotype" w:hAnsi="Palatino Linotype" w:cs="Tahoma"/>
          <w:sz w:val="22"/>
          <w:szCs w:val="22"/>
          <w:lang w:val="es-ES"/>
        </w:rPr>
      </w:pPr>
    </w:p>
    <w:p w14:paraId="28311E72" w14:textId="77777777" w:rsidR="00897BB9" w:rsidRPr="002334F1" w:rsidRDefault="00897BB9" w:rsidP="00934271">
      <w:pPr>
        <w:spacing w:line="360" w:lineRule="auto"/>
        <w:contextualSpacing/>
        <w:jc w:val="both"/>
        <w:rPr>
          <w:rFonts w:ascii="Palatino Linotype" w:eastAsia="Calibri" w:hAnsi="Palatino Linotype" w:cs="Arial"/>
          <w:bCs/>
          <w:color w:val="0D0D0D" w:themeColor="text1" w:themeTint="F2"/>
          <w:sz w:val="22"/>
          <w:szCs w:val="22"/>
          <w:lang w:val="es-ES"/>
        </w:rPr>
      </w:pPr>
      <w:r w:rsidRPr="002334F1">
        <w:rPr>
          <w:rFonts w:ascii="Palatino Linotype" w:eastAsia="Calibri" w:hAnsi="Palatino Linotype" w:cs="Arial"/>
          <w:bCs/>
          <w:color w:val="0D0D0D" w:themeColor="text1" w:themeTint="F2"/>
          <w:sz w:val="22"/>
          <w:szCs w:val="22"/>
          <w:lang w:val="es-ES"/>
        </w:rPr>
        <w:t>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7F69D4E0" w14:textId="77777777" w:rsidR="00897BB9" w:rsidRPr="002334F1" w:rsidRDefault="00897BB9" w:rsidP="00934271">
      <w:pPr>
        <w:spacing w:line="360" w:lineRule="auto"/>
        <w:contextualSpacing/>
        <w:jc w:val="both"/>
        <w:rPr>
          <w:rFonts w:ascii="Palatino Linotype" w:eastAsia="Calibri" w:hAnsi="Palatino Linotype" w:cs="Arial"/>
          <w:bCs/>
          <w:color w:val="0D0D0D" w:themeColor="text1" w:themeTint="F2"/>
          <w:sz w:val="22"/>
          <w:szCs w:val="22"/>
          <w:lang w:val="es-ES"/>
        </w:rPr>
      </w:pPr>
    </w:p>
    <w:p w14:paraId="1A1890EF" w14:textId="77777777" w:rsidR="00897BB9" w:rsidRPr="002334F1" w:rsidRDefault="00897BB9" w:rsidP="00934271">
      <w:pPr>
        <w:spacing w:line="360" w:lineRule="auto"/>
        <w:contextualSpacing/>
        <w:jc w:val="both"/>
        <w:rPr>
          <w:rFonts w:ascii="Palatino Linotype" w:eastAsia="Calibri" w:hAnsi="Palatino Linotype" w:cs="Arial"/>
          <w:bCs/>
          <w:color w:val="0D0D0D" w:themeColor="text1" w:themeTint="F2"/>
          <w:sz w:val="22"/>
          <w:szCs w:val="22"/>
          <w:lang w:val="es-ES"/>
        </w:rPr>
      </w:pPr>
      <w:r w:rsidRPr="002334F1">
        <w:rPr>
          <w:rFonts w:ascii="Palatino Linotype" w:eastAsia="Calibri" w:hAnsi="Palatino Linotype" w:cs="Arial"/>
          <w:bCs/>
          <w:color w:val="0D0D0D" w:themeColor="text1" w:themeTint="F2"/>
          <w:sz w:val="22"/>
          <w:szCs w:val="22"/>
          <w:lang w:val="es-ES"/>
        </w:rPr>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3B7CE888" w14:textId="77777777" w:rsidR="00897BB9" w:rsidRPr="002334F1" w:rsidRDefault="00897BB9" w:rsidP="00934271">
      <w:pPr>
        <w:spacing w:line="360" w:lineRule="auto"/>
        <w:contextualSpacing/>
        <w:jc w:val="both"/>
        <w:rPr>
          <w:rFonts w:ascii="Palatino Linotype" w:eastAsia="Calibri" w:hAnsi="Palatino Linotype" w:cs="Arial"/>
          <w:bCs/>
          <w:color w:val="0D0D0D" w:themeColor="text1" w:themeTint="F2"/>
          <w:sz w:val="22"/>
          <w:szCs w:val="22"/>
          <w:lang w:val="es-ES"/>
        </w:rPr>
      </w:pPr>
    </w:p>
    <w:p w14:paraId="41F17CBA" w14:textId="77777777" w:rsidR="00897BB9" w:rsidRPr="002334F1" w:rsidRDefault="00897BB9" w:rsidP="00934271">
      <w:pPr>
        <w:spacing w:line="360" w:lineRule="auto"/>
        <w:contextualSpacing/>
        <w:jc w:val="both"/>
        <w:rPr>
          <w:rFonts w:ascii="Palatino Linotype" w:hAnsi="Palatino Linotype"/>
          <w:bCs/>
          <w:sz w:val="22"/>
          <w:szCs w:val="22"/>
        </w:rPr>
      </w:pPr>
      <w:r w:rsidRPr="002334F1">
        <w:rPr>
          <w:rFonts w:ascii="Palatino Linotype" w:hAnsi="Palatino Linotype"/>
          <w:bCs/>
          <w:sz w:val="22"/>
          <w:szCs w:val="22"/>
        </w:rPr>
        <w:t xml:space="preserve">En ese contexto, los diversos 12 y 24 de dicho ordenamiento jurídico, prevén que, </w:t>
      </w:r>
      <w:r w:rsidRPr="002334F1">
        <w:rPr>
          <w:rFonts w:ascii="Palatino Linotype" w:hAnsi="Palatino Linotype" w:cs="Tahoma"/>
          <w:sz w:val="22"/>
          <w:szCs w:val="22"/>
        </w:rPr>
        <w:t>es deber de los Sujetos Obligados proporcionar la información pública que se les requiera siempre y cuando obre en sus archivos; lo cual no implica que tengan que procesar, generar, resumir, efectuar cálculos o practicar investigaciones a fin de satisfacer la pretensión de los solicitantes</w:t>
      </w:r>
      <w:r w:rsidRPr="002334F1">
        <w:rPr>
          <w:rFonts w:ascii="Palatino Linotype" w:hAnsi="Palatino Linotype"/>
          <w:bCs/>
          <w:sz w:val="22"/>
          <w:szCs w:val="22"/>
        </w:rPr>
        <w:t>.</w:t>
      </w:r>
    </w:p>
    <w:p w14:paraId="684AC4CF" w14:textId="77777777" w:rsidR="00897BB9" w:rsidRPr="002334F1" w:rsidRDefault="00897BB9" w:rsidP="00934271">
      <w:pPr>
        <w:spacing w:line="360" w:lineRule="auto"/>
        <w:contextualSpacing/>
        <w:jc w:val="both"/>
        <w:rPr>
          <w:rFonts w:ascii="Palatino Linotype" w:hAnsi="Palatino Linotype"/>
          <w:color w:val="000000"/>
          <w:sz w:val="22"/>
          <w:szCs w:val="22"/>
        </w:rPr>
      </w:pPr>
    </w:p>
    <w:p w14:paraId="176D1FDB" w14:textId="77777777" w:rsidR="0082658C" w:rsidRPr="002334F1" w:rsidRDefault="0082658C" w:rsidP="00934271">
      <w:pPr>
        <w:spacing w:line="360" w:lineRule="auto"/>
        <w:contextualSpacing/>
        <w:jc w:val="both"/>
        <w:rPr>
          <w:rFonts w:ascii="Palatino Linotype" w:hAnsi="Palatino Linotype" w:cs="Tahoma"/>
          <w:iCs/>
          <w:sz w:val="22"/>
          <w:szCs w:val="22"/>
        </w:rPr>
      </w:pPr>
      <w:r w:rsidRPr="002334F1">
        <w:rPr>
          <w:rFonts w:ascii="Palatino Linotype" w:hAnsi="Palatino Linotype" w:cs="Tahoma"/>
          <w:iCs/>
          <w:sz w:val="22"/>
          <w:szCs w:val="22"/>
        </w:rPr>
        <w:t xml:space="preserve">En ese tesitura, el artículo 115 fracción IV de la Constitución Política de los Estados Unidos Mexicanos, los municipios administrarán libremente su hacienda, la cual se formará de los rendimientos de los bienes que les pertenezcan, así como de las contribuciones y otros ingresos que las legislaturas establezcan a su favor, entre los que se encuentran, los relacionados con la propiedad inmobiliaria; asimismo, dicha fracción en su inciso a), párrafo segundo, faculta a los municipios para celebrar convenios con el Estado para que éste se haga cargo de algunas de las funciones relacionadas con la administración de las contribuciones. </w:t>
      </w:r>
    </w:p>
    <w:p w14:paraId="506BC230" w14:textId="77777777" w:rsidR="0082658C" w:rsidRPr="002334F1" w:rsidRDefault="0082658C" w:rsidP="00934271">
      <w:pPr>
        <w:spacing w:line="360" w:lineRule="auto"/>
        <w:contextualSpacing/>
        <w:jc w:val="both"/>
        <w:rPr>
          <w:rFonts w:ascii="Palatino Linotype" w:hAnsi="Palatino Linotype" w:cs="Tahoma"/>
          <w:iCs/>
          <w:sz w:val="22"/>
          <w:szCs w:val="22"/>
        </w:rPr>
      </w:pPr>
    </w:p>
    <w:p w14:paraId="51059D07" w14:textId="77777777" w:rsidR="00CD7E5A" w:rsidRPr="002334F1" w:rsidRDefault="0082658C" w:rsidP="00934271">
      <w:pPr>
        <w:spacing w:line="360" w:lineRule="auto"/>
        <w:contextualSpacing/>
        <w:jc w:val="both"/>
        <w:rPr>
          <w:rFonts w:ascii="Palatino Linotype" w:hAnsi="Palatino Linotype" w:cs="Tahoma"/>
          <w:iCs/>
          <w:sz w:val="22"/>
          <w:szCs w:val="22"/>
        </w:rPr>
      </w:pPr>
      <w:r w:rsidRPr="002334F1">
        <w:rPr>
          <w:rFonts w:ascii="Palatino Linotype" w:hAnsi="Palatino Linotype" w:cs="Tahoma"/>
          <w:iCs/>
          <w:sz w:val="22"/>
          <w:szCs w:val="22"/>
        </w:rPr>
        <w:lastRenderedPageBreak/>
        <w:t>En ese sentido, los artículos 107 y 108, del Código Financiero del Estado de México y Municipios, disponen que están obligadas al pago del Impuesto Predial las personas físicas y jurídicas colectivas que sean propietarias o poseedoras, según se trate, de inmuebles en el Estado, los cuales, deberán calcular anualmente el impuesto predial a su cargo y manifestarlo, en el mismo formato utilizado para determinar y declarar el valor catastral de sus inmuebles.</w:t>
      </w:r>
      <w:r w:rsidR="00CD7E5A" w:rsidRPr="002334F1">
        <w:rPr>
          <w:rFonts w:ascii="Palatino Linotype" w:hAnsi="Palatino Linotype" w:cs="Tahoma"/>
          <w:iCs/>
          <w:sz w:val="22"/>
          <w:szCs w:val="22"/>
        </w:rPr>
        <w:t xml:space="preserve"> Por su parte, el artículo 31 </w:t>
      </w:r>
      <w:proofErr w:type="gramStart"/>
      <w:r w:rsidR="00CD7E5A" w:rsidRPr="002334F1">
        <w:rPr>
          <w:rFonts w:ascii="Palatino Linotype" w:hAnsi="Palatino Linotype" w:cs="Tahoma"/>
          <w:iCs/>
          <w:sz w:val="22"/>
          <w:szCs w:val="22"/>
        </w:rPr>
        <w:t>fracción</w:t>
      </w:r>
      <w:proofErr w:type="gramEnd"/>
      <w:r w:rsidR="00CD7E5A" w:rsidRPr="002334F1">
        <w:rPr>
          <w:rFonts w:ascii="Palatino Linotype" w:hAnsi="Palatino Linotype" w:cs="Tahoma"/>
          <w:iCs/>
          <w:sz w:val="22"/>
          <w:szCs w:val="22"/>
        </w:rPr>
        <w:t xml:space="preserve"> II del código previamente señalado, establece que el Gobernador o el Ayuntamiento mediante resoluciones de carácter general que publiquen en el periódico oficial, podrán conceder subsidios y estímulos fiscales.</w:t>
      </w:r>
    </w:p>
    <w:p w14:paraId="5F65FD78" w14:textId="77777777" w:rsidR="0082658C" w:rsidRPr="002334F1" w:rsidRDefault="0082658C" w:rsidP="00934271">
      <w:pPr>
        <w:spacing w:line="360" w:lineRule="auto"/>
        <w:contextualSpacing/>
        <w:jc w:val="both"/>
        <w:rPr>
          <w:rFonts w:ascii="Palatino Linotype" w:hAnsi="Palatino Linotype" w:cs="Tahoma"/>
          <w:iCs/>
          <w:sz w:val="22"/>
          <w:szCs w:val="22"/>
        </w:rPr>
      </w:pPr>
    </w:p>
    <w:p w14:paraId="66B9BBF5" w14:textId="77777777" w:rsidR="00897BB9" w:rsidRPr="002334F1" w:rsidRDefault="0082658C" w:rsidP="00934271">
      <w:pPr>
        <w:spacing w:line="360" w:lineRule="auto"/>
        <w:contextualSpacing/>
        <w:jc w:val="both"/>
        <w:rPr>
          <w:rFonts w:ascii="Palatino Linotype" w:hAnsi="Palatino Linotype" w:cs="Tahoma"/>
          <w:iCs/>
          <w:sz w:val="22"/>
          <w:szCs w:val="22"/>
        </w:rPr>
      </w:pPr>
      <w:r w:rsidRPr="002334F1">
        <w:rPr>
          <w:rFonts w:ascii="Palatino Linotype" w:hAnsi="Palatino Linotype" w:cs="Tahoma"/>
          <w:iCs/>
          <w:sz w:val="22"/>
          <w:szCs w:val="22"/>
        </w:rPr>
        <w:t>Suma a lo anterior, lo previsto por los artículos 93 y 95, fracciones I, III y VIII, de la Ley Orgánica Municipal del Estado de México los cuales disponen que el Tesorero Municipal tiene competencia para administrar la hacienda pública municipal, de recaudar los ingresos municipales, aplicar el procedimiento administrativo de ejecución, así como participar en la suscripción de convenios fiscales.</w:t>
      </w:r>
    </w:p>
    <w:p w14:paraId="7E6C9E43" w14:textId="77777777" w:rsidR="00CD7E5A" w:rsidRPr="002334F1" w:rsidRDefault="00CD7E5A" w:rsidP="00934271">
      <w:pPr>
        <w:spacing w:line="360" w:lineRule="auto"/>
        <w:contextualSpacing/>
        <w:jc w:val="both"/>
        <w:rPr>
          <w:rFonts w:ascii="Palatino Linotype" w:hAnsi="Palatino Linotype" w:cs="Tahoma"/>
          <w:iCs/>
          <w:sz w:val="22"/>
          <w:szCs w:val="22"/>
        </w:rPr>
      </w:pPr>
    </w:p>
    <w:p w14:paraId="28005EA3" w14:textId="77777777" w:rsidR="00CD7E5A" w:rsidRPr="002334F1" w:rsidRDefault="00CD7E5A" w:rsidP="00934271">
      <w:pPr>
        <w:spacing w:line="360" w:lineRule="auto"/>
        <w:contextualSpacing/>
        <w:jc w:val="both"/>
        <w:rPr>
          <w:rFonts w:ascii="Palatino Linotype" w:hAnsi="Palatino Linotype" w:cs="Tahoma"/>
          <w:iCs/>
          <w:sz w:val="22"/>
          <w:szCs w:val="22"/>
        </w:rPr>
      </w:pPr>
      <w:r w:rsidRPr="002334F1">
        <w:rPr>
          <w:rFonts w:ascii="Palatino Linotype" w:hAnsi="Palatino Linotype" w:cs="Tahoma"/>
          <w:iCs/>
          <w:sz w:val="22"/>
          <w:szCs w:val="22"/>
        </w:rPr>
        <w:t xml:space="preserve">En este mismo contexto, resulta importante traer a colación los informes de gobierno de dos mil veintidós y dos mil veintitrés de </w:t>
      </w:r>
      <w:proofErr w:type="spellStart"/>
      <w:r w:rsidRPr="002334F1">
        <w:rPr>
          <w:rFonts w:ascii="Palatino Linotype" w:hAnsi="Palatino Linotype" w:cs="Tahoma"/>
          <w:iCs/>
          <w:sz w:val="22"/>
          <w:szCs w:val="22"/>
        </w:rPr>
        <w:t>Temamatla</w:t>
      </w:r>
      <w:proofErr w:type="spellEnd"/>
      <w:r w:rsidRPr="002334F1">
        <w:rPr>
          <w:rFonts w:ascii="Palatino Linotype" w:hAnsi="Palatino Linotype" w:cs="Tahoma"/>
          <w:iCs/>
          <w:sz w:val="22"/>
          <w:szCs w:val="22"/>
        </w:rPr>
        <w:t xml:space="preserve">, en los que se logró advertir que el Ayuntamiento ha otorgado diversos subsidios </w:t>
      </w:r>
      <w:r w:rsidR="00C71C67" w:rsidRPr="002334F1">
        <w:rPr>
          <w:rFonts w:ascii="Palatino Linotype" w:hAnsi="Palatino Linotype" w:cs="Tahoma"/>
          <w:iCs/>
          <w:sz w:val="22"/>
          <w:szCs w:val="22"/>
        </w:rPr>
        <w:t xml:space="preserve">o descuentos por los </w:t>
      </w:r>
      <w:r w:rsidRPr="002334F1">
        <w:rPr>
          <w:rFonts w:ascii="Palatino Linotype" w:hAnsi="Palatino Linotype" w:cs="Tahoma"/>
          <w:iCs/>
          <w:sz w:val="22"/>
          <w:szCs w:val="22"/>
        </w:rPr>
        <w:t>impuestos de pago predial, traslado de dominio y pago de agua como se puede advertir conforme a lo siguiente:</w:t>
      </w:r>
    </w:p>
    <w:p w14:paraId="313B5514" w14:textId="77777777" w:rsidR="00CD7E5A" w:rsidRPr="002334F1" w:rsidRDefault="00CD7E5A" w:rsidP="00934271">
      <w:pPr>
        <w:spacing w:line="360" w:lineRule="auto"/>
        <w:contextualSpacing/>
        <w:jc w:val="both"/>
        <w:rPr>
          <w:rFonts w:ascii="Palatino Linotype" w:hAnsi="Palatino Linotype" w:cs="Tahoma"/>
          <w:iCs/>
          <w:sz w:val="22"/>
          <w:szCs w:val="22"/>
        </w:rPr>
      </w:pPr>
    </w:p>
    <w:p w14:paraId="4C3BAD24" w14:textId="77777777" w:rsidR="00CD7E5A" w:rsidRPr="002334F1" w:rsidRDefault="00CD7E5A" w:rsidP="00934271">
      <w:pPr>
        <w:spacing w:line="360" w:lineRule="auto"/>
        <w:contextualSpacing/>
        <w:jc w:val="center"/>
        <w:rPr>
          <w:rFonts w:ascii="Palatino Linotype" w:hAnsi="Palatino Linotype" w:cs="Tahoma"/>
          <w:iCs/>
          <w:sz w:val="22"/>
          <w:szCs w:val="22"/>
        </w:rPr>
      </w:pPr>
      <w:r w:rsidRPr="002334F1">
        <w:rPr>
          <w:rFonts w:ascii="Palatino Linotype" w:hAnsi="Palatino Linotype" w:cs="Tahoma"/>
          <w:iCs/>
          <w:noProof/>
          <w:sz w:val="22"/>
          <w:szCs w:val="22"/>
          <w:lang w:eastAsia="es-MX"/>
        </w:rPr>
        <w:drawing>
          <wp:inline distT="0" distB="0" distL="0" distR="0" wp14:anchorId="0BF84F6E" wp14:editId="500BE85B">
            <wp:extent cx="3257550" cy="2051214"/>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253" cy="2057323"/>
                    </a:xfrm>
                    <a:prstGeom prst="rect">
                      <a:avLst/>
                    </a:prstGeom>
                    <a:noFill/>
                  </pic:spPr>
                </pic:pic>
              </a:graphicData>
            </a:graphic>
          </wp:inline>
        </w:drawing>
      </w:r>
    </w:p>
    <w:p w14:paraId="286E25DB" w14:textId="77777777" w:rsidR="00CD7E5A" w:rsidRPr="002334F1" w:rsidRDefault="00CD7E5A" w:rsidP="00934271">
      <w:pPr>
        <w:spacing w:line="360" w:lineRule="auto"/>
        <w:contextualSpacing/>
        <w:jc w:val="center"/>
        <w:rPr>
          <w:rFonts w:ascii="Palatino Linotype" w:hAnsi="Palatino Linotype" w:cs="Tahoma"/>
          <w:iCs/>
          <w:sz w:val="22"/>
          <w:szCs w:val="22"/>
        </w:rPr>
      </w:pPr>
      <w:r w:rsidRPr="002334F1">
        <w:rPr>
          <w:rFonts w:ascii="Palatino Linotype" w:hAnsi="Palatino Linotype" w:cs="Tahoma"/>
          <w:iCs/>
          <w:noProof/>
          <w:sz w:val="22"/>
          <w:szCs w:val="22"/>
          <w:lang w:eastAsia="es-MX"/>
        </w:rPr>
        <w:lastRenderedPageBreak/>
        <w:drawing>
          <wp:inline distT="0" distB="0" distL="0" distR="0" wp14:anchorId="73DDCA24" wp14:editId="1EA0B42D">
            <wp:extent cx="3096895" cy="1701165"/>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6895" cy="1701165"/>
                    </a:xfrm>
                    <a:prstGeom prst="rect">
                      <a:avLst/>
                    </a:prstGeom>
                    <a:noFill/>
                  </pic:spPr>
                </pic:pic>
              </a:graphicData>
            </a:graphic>
          </wp:inline>
        </w:drawing>
      </w:r>
    </w:p>
    <w:p w14:paraId="24AF0BFE" w14:textId="77777777" w:rsidR="0082658C" w:rsidRPr="002334F1" w:rsidRDefault="0082658C" w:rsidP="00934271">
      <w:pPr>
        <w:spacing w:line="360" w:lineRule="auto"/>
        <w:contextualSpacing/>
        <w:jc w:val="both"/>
        <w:rPr>
          <w:rFonts w:ascii="Palatino Linotype" w:hAnsi="Palatino Linotype"/>
          <w:sz w:val="22"/>
          <w:szCs w:val="22"/>
        </w:rPr>
      </w:pPr>
    </w:p>
    <w:p w14:paraId="6A6BC30C" w14:textId="77777777" w:rsidR="00897BB9" w:rsidRPr="002334F1" w:rsidRDefault="00897BB9" w:rsidP="00934271">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r w:rsidRPr="002334F1">
        <w:rPr>
          <w:rFonts w:ascii="Palatino Linotype" w:eastAsia="Calibri" w:hAnsi="Palatino Linotype" w:cs="Tahoma"/>
          <w:bCs/>
          <w:sz w:val="22"/>
          <w:szCs w:val="22"/>
        </w:rPr>
        <w:t xml:space="preserve">Conforme a lo anterior, se logra vislumbrar el Sujeto Obligado cuenta con competencia para conocer sobre lo solicitado, y que la pretensión </w:t>
      </w:r>
      <w:r w:rsidR="00E03205" w:rsidRPr="002334F1">
        <w:rPr>
          <w:rFonts w:ascii="Palatino Linotype" w:eastAsia="Calibri" w:hAnsi="Palatino Linotype" w:cs="Tahoma"/>
          <w:bCs/>
          <w:sz w:val="22"/>
          <w:szCs w:val="22"/>
        </w:rPr>
        <w:t xml:space="preserve">del ahora Recurrente es obtener; </w:t>
      </w:r>
      <w:r w:rsidR="00E03205" w:rsidRPr="002334F1">
        <w:rPr>
          <w:rFonts w:ascii="Palatino Linotype" w:eastAsia="Calibri" w:hAnsi="Palatino Linotype" w:cs="Tahoma"/>
          <w:iCs/>
          <w:sz w:val="22"/>
          <w:szCs w:val="22"/>
          <w:lang w:val="es-ES" w:eastAsia="es-ES_tradnl"/>
        </w:rPr>
        <w:t xml:space="preserve">el monto </w:t>
      </w:r>
      <w:r w:rsidR="008B5174" w:rsidRPr="002334F1">
        <w:rPr>
          <w:rFonts w:ascii="Palatino Linotype" w:eastAsia="Calibri" w:hAnsi="Palatino Linotype" w:cs="Tahoma"/>
          <w:iCs/>
          <w:sz w:val="22"/>
          <w:szCs w:val="22"/>
          <w:lang w:val="es-ES" w:eastAsia="es-ES_tradnl"/>
        </w:rPr>
        <w:t>d</w:t>
      </w:r>
      <w:r w:rsidR="00E03205" w:rsidRPr="002334F1">
        <w:rPr>
          <w:rFonts w:ascii="Palatino Linotype" w:eastAsia="Calibri" w:hAnsi="Palatino Linotype" w:cs="Tahoma"/>
          <w:iCs/>
          <w:sz w:val="22"/>
          <w:szCs w:val="22"/>
          <w:lang w:val="es-ES" w:eastAsia="es-ES_tradnl"/>
        </w:rPr>
        <w:t>el subsidio, en recargos por trámites relacionados con las operaciones traslativas de dominio, impuesto predial y derechos por suministro de agua, del siete de octubre de dos mil veintitrés, al siete de octubre de dos mil veinticuatro.</w:t>
      </w:r>
    </w:p>
    <w:p w14:paraId="432690E8" w14:textId="77777777" w:rsidR="00C71C67" w:rsidRPr="002334F1" w:rsidRDefault="00C71C67" w:rsidP="00934271">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3991DD30" w14:textId="77777777" w:rsidR="00C71C67" w:rsidRPr="002334F1" w:rsidRDefault="00C71C67" w:rsidP="00934271">
      <w:pPr>
        <w:spacing w:line="360" w:lineRule="auto"/>
        <w:contextualSpacing/>
        <w:jc w:val="both"/>
        <w:rPr>
          <w:rFonts w:ascii="Palatino Linotype" w:eastAsia="Batang" w:hAnsi="Palatino Linotype" w:cs="Tahoma"/>
          <w:bCs/>
          <w:sz w:val="22"/>
          <w:szCs w:val="22"/>
        </w:rPr>
      </w:pPr>
      <w:r w:rsidRPr="002334F1">
        <w:rPr>
          <w:rFonts w:ascii="Palatino Linotype" w:eastAsia="Batang" w:hAnsi="Palatino Linotype" w:cs="Tahoma"/>
          <w:bCs/>
          <w:sz w:val="22"/>
          <w:szCs w:val="22"/>
        </w:rPr>
        <w:t>Ahora bien, es necesario señalar que el Particular no precisó de qué temporalidad requería los documentos que dieran cuenta del monto solicitado, por lo que, se tomara en cuenta el Criterio de Interpretación, con clave de control SO/003/2019, emitido por el Instituto Nacional de Transparencia, Acceso a la Información y Protección de Datos Personales, el cual establece que para los casos en que el particular no señale periodo del cual se requiere información, deberá considerarse que se requiere aquella de un año inmediato anterior, contado a partir de la fecha en que se presentó la solicitud.</w:t>
      </w:r>
    </w:p>
    <w:p w14:paraId="2BDF4A2A" w14:textId="77777777" w:rsidR="00392F60" w:rsidRPr="002334F1" w:rsidRDefault="00392F60" w:rsidP="00934271">
      <w:pPr>
        <w:spacing w:line="360" w:lineRule="auto"/>
        <w:ind w:right="-28"/>
        <w:contextualSpacing/>
        <w:jc w:val="both"/>
        <w:rPr>
          <w:rFonts w:ascii="Palatino Linotype" w:eastAsia="Batang" w:hAnsi="Palatino Linotype" w:cs="Tahoma"/>
          <w:bCs/>
          <w:sz w:val="22"/>
          <w:szCs w:val="22"/>
        </w:rPr>
      </w:pPr>
    </w:p>
    <w:p w14:paraId="302CEAED" w14:textId="77777777" w:rsidR="00983334" w:rsidRPr="002334F1" w:rsidRDefault="00983334" w:rsidP="00934271">
      <w:pPr>
        <w:spacing w:line="360" w:lineRule="auto"/>
        <w:contextualSpacing/>
        <w:jc w:val="both"/>
        <w:rPr>
          <w:rFonts w:ascii="Palatino Linotype" w:hAnsi="Palatino Linotype" w:cs="Tahoma"/>
          <w:sz w:val="22"/>
          <w:szCs w:val="22"/>
        </w:rPr>
      </w:pPr>
      <w:r w:rsidRPr="002334F1">
        <w:rPr>
          <w:rFonts w:ascii="Palatino Linotype" w:eastAsia="Batang" w:hAnsi="Palatino Linotype" w:cs="Tahoma"/>
          <w:bCs/>
          <w:sz w:val="22"/>
          <w:szCs w:val="22"/>
        </w:rPr>
        <w:t xml:space="preserve">Establecido lo anterior, se procede analizar la respuesta entregada, para lo cual cabe precisar que de las constancias que obran en el expediente, se logra advertir que el Sujeto Obligado turno la solicitud de información </w:t>
      </w:r>
      <w:r w:rsidRPr="002334F1">
        <w:rPr>
          <w:rFonts w:ascii="Palatino Linotype" w:hAnsi="Palatino Linotype" w:cs="Tahoma"/>
          <w:sz w:val="22"/>
          <w:szCs w:val="22"/>
        </w:rPr>
        <w:t>a la Tesorería Municipal; por lo que, se colige que gestionó la solicitud de información, al área con atribuciones para conocer de lo peticionado, por lo que, se advierte que cumplió con el procedimiento de búsqueda establecido en el artículo 162 de la Ley de la materia.</w:t>
      </w:r>
    </w:p>
    <w:p w14:paraId="463D4C61" w14:textId="77777777" w:rsidR="00983334" w:rsidRPr="002334F1" w:rsidRDefault="00983334" w:rsidP="00934271">
      <w:pPr>
        <w:spacing w:line="360" w:lineRule="auto"/>
        <w:contextualSpacing/>
        <w:jc w:val="both"/>
        <w:rPr>
          <w:rFonts w:ascii="Palatino Linotype" w:hAnsi="Palatino Linotype"/>
          <w:color w:val="000000"/>
          <w:sz w:val="22"/>
          <w:szCs w:val="22"/>
        </w:rPr>
      </w:pPr>
    </w:p>
    <w:p w14:paraId="38A80D9D" w14:textId="77777777" w:rsidR="00983334" w:rsidRPr="002334F1" w:rsidRDefault="00983334" w:rsidP="00934271">
      <w:pPr>
        <w:autoSpaceDE w:val="0"/>
        <w:autoSpaceDN w:val="0"/>
        <w:adjustRightInd w:val="0"/>
        <w:spacing w:line="360" w:lineRule="auto"/>
        <w:contextualSpacing/>
        <w:jc w:val="both"/>
        <w:rPr>
          <w:rFonts w:ascii="Palatino Linotype" w:hAnsi="Palatino Linotype"/>
          <w:color w:val="000000"/>
          <w:sz w:val="22"/>
          <w:szCs w:val="22"/>
        </w:rPr>
      </w:pPr>
      <w:r w:rsidRPr="002334F1">
        <w:rPr>
          <w:rFonts w:ascii="Palatino Linotype" w:hAnsi="Palatino Linotype"/>
          <w:color w:val="000000"/>
          <w:sz w:val="22"/>
          <w:szCs w:val="22"/>
        </w:rPr>
        <w:t xml:space="preserve">Ahora bien, en Respuesta, el Sujeto Obligado informó que derivado del </w:t>
      </w:r>
      <w:r w:rsidRPr="002334F1">
        <w:rPr>
          <w:rFonts w:ascii="Palatino Linotype" w:hAnsi="Palatino Linotype"/>
          <w:sz w:val="22"/>
          <w:szCs w:val="22"/>
        </w:rPr>
        <w:t>proceso de entrega recepción, mesas de trabajo que se están llevando a cabo en la administración y el número excesivo de las diversas solicitudes que se han recibido, la capacidad técnica y humana no es suficiente</w:t>
      </w:r>
      <w:r w:rsidRPr="002334F1">
        <w:rPr>
          <w:rFonts w:ascii="Palatino Linotype" w:hAnsi="Palatino Linotype"/>
          <w:bCs/>
          <w:sz w:val="22"/>
          <w:szCs w:val="22"/>
        </w:rPr>
        <w:t xml:space="preserve">, </w:t>
      </w:r>
      <w:r w:rsidRPr="002334F1">
        <w:rPr>
          <w:rFonts w:ascii="Palatino Linotype" w:hAnsi="Palatino Linotype"/>
          <w:sz w:val="22"/>
          <w:szCs w:val="22"/>
        </w:rPr>
        <w:t>situación que fue sustentada mediante</w:t>
      </w:r>
      <w:r w:rsidRPr="002334F1">
        <w:rPr>
          <w:rFonts w:ascii="Palatino Linotype" w:eastAsia="Calibri" w:hAnsi="Palatino Linotype" w:cs="Tahoma"/>
          <w:bCs/>
          <w:color w:val="000000"/>
          <w:sz w:val="22"/>
          <w:szCs w:val="22"/>
          <w:lang w:val="es-ES"/>
        </w:rPr>
        <w:t xml:space="preserve"> el </w:t>
      </w:r>
      <w:r w:rsidRPr="002334F1">
        <w:rPr>
          <w:rFonts w:ascii="Palatino Linotype" w:hAnsi="Palatino Linotype" w:cs="Tahoma"/>
          <w:sz w:val="22"/>
          <w:szCs w:val="22"/>
        </w:rPr>
        <w:t xml:space="preserve">Acta de la Octogésima Quinta Sesión Ordinaria del Comité de Transparencia del Ayuntamiento de </w:t>
      </w:r>
      <w:proofErr w:type="spellStart"/>
      <w:r w:rsidRPr="002334F1">
        <w:rPr>
          <w:rFonts w:ascii="Palatino Linotype" w:hAnsi="Palatino Linotype" w:cs="Tahoma"/>
          <w:sz w:val="22"/>
          <w:szCs w:val="22"/>
        </w:rPr>
        <w:t>Temamatla</w:t>
      </w:r>
      <w:proofErr w:type="spellEnd"/>
      <w:r w:rsidRPr="002334F1">
        <w:rPr>
          <w:rFonts w:ascii="Palatino Linotype" w:hAnsi="Palatino Linotype"/>
          <w:sz w:val="22"/>
          <w:szCs w:val="22"/>
        </w:rPr>
        <w:t xml:space="preserve">, sin embargo, con el fin de garantizar el derecho de acceso a la información propone la consulta directa; </w:t>
      </w:r>
      <w:r w:rsidRPr="002334F1">
        <w:rPr>
          <w:rFonts w:ascii="Palatino Linotype" w:hAnsi="Palatino Linotype" w:cs="Tahoma"/>
          <w:iCs/>
          <w:sz w:val="22"/>
          <w:szCs w:val="22"/>
          <w:lang w:val="es-ES_tradnl"/>
        </w:rPr>
        <w:t>por lo que, se procede analizar si procede el cambio de modalidad. A</w:t>
      </w:r>
      <w:r w:rsidRPr="002334F1">
        <w:rPr>
          <w:rFonts w:ascii="Palatino Linotype" w:hAnsi="Palatino Linotype" w:cs="Tahoma"/>
          <w:sz w:val="22"/>
          <w:szCs w:val="22"/>
          <w:lang w:val="es-ES"/>
        </w:rPr>
        <w:t>l respecto, cabe recordar que se requirió la información, a través del Sistema de Acceso a Información Mexiquense (SAIMEX).</w:t>
      </w:r>
    </w:p>
    <w:p w14:paraId="221F1ADA" w14:textId="77777777" w:rsidR="00897BB9" w:rsidRPr="002334F1" w:rsidRDefault="00897BB9" w:rsidP="00934271">
      <w:pPr>
        <w:spacing w:line="360" w:lineRule="auto"/>
        <w:contextualSpacing/>
        <w:jc w:val="both"/>
        <w:rPr>
          <w:rFonts w:ascii="Palatino Linotype" w:hAnsi="Palatino Linotype"/>
          <w:bCs/>
          <w:sz w:val="22"/>
          <w:szCs w:val="22"/>
        </w:rPr>
      </w:pPr>
    </w:p>
    <w:p w14:paraId="1E55D65E" w14:textId="77777777" w:rsidR="00897BB9" w:rsidRPr="002334F1" w:rsidRDefault="00897BB9" w:rsidP="00934271">
      <w:pPr>
        <w:spacing w:line="360" w:lineRule="auto"/>
        <w:contextualSpacing/>
        <w:jc w:val="both"/>
        <w:rPr>
          <w:rFonts w:ascii="Palatino Linotype" w:eastAsia="Calibri" w:hAnsi="Palatino Linotype" w:cs="Tahoma"/>
          <w:bCs/>
          <w:sz w:val="22"/>
          <w:szCs w:val="22"/>
        </w:rPr>
      </w:pPr>
      <w:r w:rsidRPr="002334F1">
        <w:rPr>
          <w:rFonts w:ascii="Palatino Linotype" w:hAnsi="Palatino Linotype" w:cs="Tahoma"/>
          <w:bCs/>
          <w:color w:val="0D0D0D"/>
          <w:sz w:val="22"/>
          <w:szCs w:val="22"/>
        </w:rPr>
        <w:t>En ese sentido,</w:t>
      </w:r>
      <w:r w:rsidRPr="002334F1">
        <w:rPr>
          <w:rFonts w:ascii="Palatino Linotype" w:eastAsia="Calibri" w:hAnsi="Palatino Linotype" w:cs="Tahoma"/>
          <w:bCs/>
          <w:sz w:val="22"/>
          <w:szCs w:val="22"/>
          <w:lang w:val="es-ES"/>
        </w:rPr>
        <w:t xml:space="preserve"> el artículo 155, fracción V, de la Ley de Transparencia y Acceso a la Información Pública del Estado de México y Municipios, precisa que </w:t>
      </w:r>
      <w:r w:rsidRPr="002334F1">
        <w:rPr>
          <w:rFonts w:ascii="Palatino Linotype" w:eastAsia="Calibri" w:hAnsi="Palatino Linotype" w:cs="Tahoma"/>
          <w:bCs/>
          <w:sz w:val="22"/>
          <w:szCs w:val="22"/>
        </w:rPr>
        <w:t xml:space="preserve">para presentar una solicitud, la particular podrá señalar </w:t>
      </w:r>
      <w:r w:rsidRPr="002334F1">
        <w:rPr>
          <w:rFonts w:ascii="Palatino Linotype" w:eastAsia="Calibri" w:hAnsi="Palatino Linotype" w:cs="Tahoma"/>
          <w:b/>
          <w:bCs/>
          <w:sz w:val="22"/>
          <w:szCs w:val="22"/>
        </w:rPr>
        <w:t>la modalidad en la que prefiere se otorgue el acceso a la información</w:t>
      </w:r>
      <w:r w:rsidRPr="002334F1">
        <w:rPr>
          <w:rFonts w:ascii="Palatino Linotype" w:eastAsia="Calibri" w:hAnsi="Palatino Linotype" w:cs="Tahoma"/>
          <w:bCs/>
          <w:sz w:val="22"/>
          <w:szCs w:val="22"/>
        </w:rPr>
        <w:t>, la cual podrá ser verbal, siempre y cuando sea para fines de orientación, mediante consulta directa, mediante la expedición de copias simples o certificadas o la reproducción en cualquier otro medio, incluidos los electrónicos.</w:t>
      </w:r>
    </w:p>
    <w:p w14:paraId="5E0D9E53" w14:textId="77777777" w:rsidR="00897BB9" w:rsidRPr="002334F1" w:rsidRDefault="00897BB9" w:rsidP="00934271">
      <w:pPr>
        <w:spacing w:line="360" w:lineRule="auto"/>
        <w:contextualSpacing/>
        <w:jc w:val="both"/>
        <w:rPr>
          <w:rFonts w:ascii="Palatino Linotype" w:eastAsia="Calibri" w:hAnsi="Palatino Linotype" w:cs="Tahoma"/>
          <w:bCs/>
          <w:sz w:val="22"/>
          <w:szCs w:val="22"/>
          <w:lang w:val="es-ES"/>
        </w:rPr>
      </w:pPr>
    </w:p>
    <w:p w14:paraId="4B7FCF9C" w14:textId="77777777" w:rsidR="00897BB9" w:rsidRPr="002334F1" w:rsidRDefault="00897BB9" w:rsidP="00934271">
      <w:pPr>
        <w:spacing w:line="360" w:lineRule="auto"/>
        <w:contextualSpacing/>
        <w:jc w:val="both"/>
        <w:rPr>
          <w:rFonts w:ascii="Palatino Linotype" w:eastAsia="Calibri" w:hAnsi="Palatino Linotype" w:cs="Tahoma"/>
          <w:b/>
          <w:bCs/>
          <w:sz w:val="22"/>
          <w:szCs w:val="22"/>
          <w:lang w:val="es-ES"/>
        </w:rPr>
      </w:pPr>
      <w:r w:rsidRPr="002334F1">
        <w:rPr>
          <w:rFonts w:ascii="Palatino Linotype" w:eastAsia="Calibri" w:hAnsi="Palatino Linotype" w:cs="Tahoma"/>
          <w:bCs/>
          <w:sz w:val="22"/>
          <w:szCs w:val="22"/>
          <w:lang w:val="es-ES"/>
        </w:rPr>
        <w:t xml:space="preserve">El artículo 158, dispone que, de manera excepcional, cuando de manera fundada y motivada lo determine el Sujeto Obligado, </w:t>
      </w:r>
      <w:r w:rsidRPr="002334F1">
        <w:rPr>
          <w:rFonts w:ascii="Palatino Linotype" w:eastAsia="Calibri" w:hAnsi="Palatino Linotype" w:cs="Tahoma"/>
          <w:b/>
          <w:bCs/>
          <w:sz w:val="22"/>
          <w:szCs w:val="22"/>
          <w:lang w:val="es-ES"/>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014C7E60" w14:textId="77777777" w:rsidR="00897BB9" w:rsidRPr="002334F1" w:rsidRDefault="00897BB9" w:rsidP="00934271">
      <w:pPr>
        <w:spacing w:line="360" w:lineRule="auto"/>
        <w:contextualSpacing/>
        <w:jc w:val="both"/>
        <w:rPr>
          <w:rFonts w:ascii="Palatino Linotype" w:eastAsia="Calibri" w:hAnsi="Palatino Linotype" w:cs="Tahoma"/>
          <w:bCs/>
          <w:sz w:val="22"/>
          <w:szCs w:val="22"/>
          <w:lang w:val="es-ES"/>
        </w:rPr>
      </w:pPr>
    </w:p>
    <w:p w14:paraId="6E98CF29" w14:textId="77777777" w:rsidR="00897BB9" w:rsidRPr="002334F1" w:rsidRDefault="00897BB9" w:rsidP="00934271">
      <w:pPr>
        <w:spacing w:line="360" w:lineRule="auto"/>
        <w:contextualSpacing/>
        <w:jc w:val="both"/>
        <w:rPr>
          <w:rFonts w:ascii="Palatino Linotype" w:eastAsia="Calibri" w:hAnsi="Palatino Linotype" w:cs="Tahoma"/>
          <w:bCs/>
          <w:sz w:val="22"/>
          <w:szCs w:val="22"/>
        </w:rPr>
      </w:pPr>
      <w:r w:rsidRPr="002334F1">
        <w:rPr>
          <w:rFonts w:ascii="Palatino Linotype" w:eastAsia="Calibri" w:hAnsi="Palatino Linotype" w:cs="Tahoma"/>
          <w:bCs/>
          <w:sz w:val="22"/>
          <w:szCs w:val="22"/>
          <w:lang w:val="es-ES"/>
        </w:rPr>
        <w:t xml:space="preserve">En ese orden de ideas, el artículo 164 de dicho ordenamiento jurídico, prevé que </w:t>
      </w:r>
      <w:r w:rsidRPr="002334F1">
        <w:rPr>
          <w:rFonts w:ascii="Palatino Linotype" w:eastAsia="Calibri" w:hAnsi="Palatino Linotype" w:cs="Tahoma"/>
          <w:bCs/>
          <w:sz w:val="22"/>
          <w:szCs w:val="22"/>
        </w:rPr>
        <w:t xml:space="preserve">el acceso se dará en la modalidad de entrega y, en su caso, de envío elegidos por al solicitante. </w:t>
      </w:r>
      <w:r w:rsidRPr="002334F1">
        <w:rPr>
          <w:rFonts w:ascii="Palatino Linotype" w:eastAsia="Calibri" w:hAnsi="Palatino Linotype" w:cs="Tahoma"/>
          <w:b/>
          <w:bCs/>
          <w:sz w:val="22"/>
          <w:szCs w:val="22"/>
        </w:rPr>
        <w:t xml:space="preserve">Cuando la información no pueda entregarse o enviarse en la modalidad elegida, el sujeto obligado </w:t>
      </w:r>
      <w:r w:rsidRPr="002334F1">
        <w:rPr>
          <w:rFonts w:ascii="Palatino Linotype" w:eastAsia="Calibri" w:hAnsi="Palatino Linotype" w:cs="Tahoma"/>
          <w:b/>
          <w:bCs/>
          <w:sz w:val="22"/>
          <w:szCs w:val="22"/>
        </w:rPr>
        <w:lastRenderedPageBreak/>
        <w:t>deberá ofrecer otra u otras modalidades de entrega.</w:t>
      </w:r>
      <w:r w:rsidRPr="002334F1">
        <w:rPr>
          <w:rFonts w:ascii="Palatino Linotype" w:eastAsia="Calibri" w:hAnsi="Palatino Linotype" w:cs="Tahoma"/>
          <w:bCs/>
          <w:sz w:val="22"/>
          <w:szCs w:val="22"/>
        </w:rPr>
        <w:t xml:space="preserve"> En cualquier caso, </w:t>
      </w:r>
      <w:r w:rsidRPr="002334F1">
        <w:rPr>
          <w:rFonts w:ascii="Palatino Linotype" w:eastAsia="Calibri" w:hAnsi="Palatino Linotype" w:cs="Tahoma"/>
          <w:b/>
          <w:bCs/>
          <w:sz w:val="22"/>
          <w:szCs w:val="22"/>
        </w:rPr>
        <w:t>se deberá fundar y motivar</w:t>
      </w:r>
      <w:r w:rsidRPr="002334F1">
        <w:rPr>
          <w:rFonts w:ascii="Palatino Linotype" w:eastAsia="Calibri" w:hAnsi="Palatino Linotype" w:cs="Tahoma"/>
          <w:bCs/>
          <w:sz w:val="22"/>
          <w:szCs w:val="22"/>
        </w:rPr>
        <w:t xml:space="preserve"> la necesidad de ofrecer otras modalidades.</w:t>
      </w:r>
    </w:p>
    <w:p w14:paraId="77505120" w14:textId="77777777" w:rsidR="00897BB9" w:rsidRPr="002334F1" w:rsidRDefault="00897BB9" w:rsidP="00934271">
      <w:pPr>
        <w:spacing w:line="360" w:lineRule="auto"/>
        <w:contextualSpacing/>
        <w:jc w:val="both"/>
        <w:rPr>
          <w:rFonts w:ascii="Palatino Linotype" w:eastAsia="Calibri" w:hAnsi="Palatino Linotype" w:cs="Tahoma"/>
          <w:bCs/>
          <w:sz w:val="22"/>
          <w:szCs w:val="22"/>
        </w:rPr>
      </w:pPr>
    </w:p>
    <w:p w14:paraId="5F454052" w14:textId="77777777" w:rsidR="00897BB9" w:rsidRPr="002334F1" w:rsidRDefault="00897BB9" w:rsidP="00934271">
      <w:pPr>
        <w:spacing w:line="360" w:lineRule="auto"/>
        <w:contextualSpacing/>
        <w:jc w:val="both"/>
        <w:rPr>
          <w:rFonts w:ascii="Palatino Linotype" w:eastAsia="Calibri" w:hAnsi="Palatino Linotype" w:cs="Tahoma"/>
          <w:bCs/>
          <w:sz w:val="22"/>
          <w:szCs w:val="22"/>
          <w:lang w:val="es-ES"/>
        </w:rPr>
      </w:pPr>
      <w:r w:rsidRPr="002334F1">
        <w:rPr>
          <w:rFonts w:ascii="Palatino Linotype" w:eastAsia="Calibri" w:hAnsi="Palatino Linotype" w:cs="Tahoma"/>
          <w:bCs/>
          <w:sz w:val="22"/>
          <w:szCs w:val="22"/>
          <w:lang w:val="es-ES"/>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2334F1">
        <w:rPr>
          <w:rFonts w:ascii="Palatino Linotype" w:eastAsia="Calibri" w:hAnsi="Palatino Linotype" w:cs="Tahoma"/>
          <w:b/>
          <w:bCs/>
          <w:sz w:val="22"/>
          <w:szCs w:val="22"/>
          <w:lang w:val="es-ES"/>
        </w:rPr>
        <w:t>en la medida de lo posible, en la forma solicitada por el interesado, salvo que exista un impedimento justificado para atenderla</w:t>
      </w:r>
      <w:r w:rsidRPr="002334F1">
        <w:rPr>
          <w:rFonts w:ascii="Palatino Linotype" w:eastAsia="Calibri" w:hAnsi="Palatino Linotype" w:cs="Tahoma"/>
          <w:bCs/>
          <w:sz w:val="22"/>
          <w:szCs w:val="22"/>
          <w:lang w:val="es-ES"/>
        </w:rPr>
        <w:t xml:space="preserve">, en cuyo caso, deberán exponerse las razones por las cuales no es posible utilizar el medio de reproducción solicitado; en este sentido, la entrega de la información en una modalidad distinta a la elegida por la particular </w:t>
      </w:r>
      <w:r w:rsidRPr="002334F1">
        <w:rPr>
          <w:rFonts w:ascii="Palatino Linotype" w:eastAsia="Calibri" w:hAnsi="Palatino Linotype" w:cs="Tahoma"/>
          <w:b/>
          <w:bCs/>
          <w:sz w:val="22"/>
          <w:szCs w:val="22"/>
          <w:lang w:val="es-ES"/>
        </w:rPr>
        <w:t>sólo procede, en caso de que se acredite la imposibilidad de atenderla.</w:t>
      </w:r>
      <w:r w:rsidRPr="002334F1">
        <w:rPr>
          <w:rFonts w:ascii="Palatino Linotype" w:eastAsia="Calibri" w:hAnsi="Palatino Linotype" w:cs="Tahoma"/>
          <w:bCs/>
          <w:sz w:val="22"/>
          <w:szCs w:val="22"/>
          <w:lang w:val="es-ES"/>
        </w:rPr>
        <w:t xml:space="preserve"> </w:t>
      </w:r>
    </w:p>
    <w:p w14:paraId="7EC161D4" w14:textId="77777777" w:rsidR="00897BB9" w:rsidRPr="002334F1" w:rsidRDefault="00897BB9" w:rsidP="00934271">
      <w:pPr>
        <w:spacing w:line="360" w:lineRule="auto"/>
        <w:contextualSpacing/>
        <w:jc w:val="both"/>
        <w:rPr>
          <w:rFonts w:ascii="Palatino Linotype" w:eastAsia="Calibri" w:hAnsi="Palatino Linotype" w:cs="Tahoma"/>
          <w:bCs/>
          <w:sz w:val="22"/>
          <w:szCs w:val="22"/>
          <w:lang w:val="es-ES"/>
        </w:rPr>
      </w:pPr>
    </w:p>
    <w:p w14:paraId="5BD2EC43" w14:textId="77777777" w:rsidR="00897BB9" w:rsidRPr="002334F1" w:rsidRDefault="00897BB9" w:rsidP="00934271">
      <w:pPr>
        <w:spacing w:line="360" w:lineRule="auto"/>
        <w:contextualSpacing/>
        <w:jc w:val="both"/>
        <w:rPr>
          <w:rFonts w:ascii="Palatino Linotype" w:eastAsia="Calibri" w:hAnsi="Palatino Linotype" w:cs="Tahoma"/>
          <w:b/>
          <w:sz w:val="22"/>
          <w:szCs w:val="22"/>
          <w:lang w:val="es-ES"/>
        </w:rPr>
      </w:pPr>
      <w:r w:rsidRPr="002334F1">
        <w:rPr>
          <w:rFonts w:ascii="Palatino Linotype" w:eastAsia="Calibri" w:hAnsi="Palatino Linotype" w:cs="Tahoma"/>
          <w:bCs/>
          <w:color w:val="000000"/>
          <w:sz w:val="22"/>
          <w:szCs w:val="22"/>
          <w:lang w:val="es-ES"/>
        </w:rPr>
        <w:t xml:space="preserve">Así, cuando se justifique el impedimento, los </w:t>
      </w:r>
      <w:r w:rsidRPr="002334F1">
        <w:rPr>
          <w:rFonts w:ascii="Palatino Linotype" w:eastAsia="Calibri" w:hAnsi="Palatino Linotype" w:cs="Tahoma"/>
          <w:b/>
          <w:bCs/>
          <w:color w:val="000000"/>
          <w:sz w:val="22"/>
          <w:szCs w:val="22"/>
          <w:lang w:val="es-ES"/>
        </w:rPr>
        <w:t>Sujetos Obligados deberán ofrecer al particular otras modalidades de entrega que permita la información</w:t>
      </w:r>
      <w:r w:rsidRPr="002334F1">
        <w:rPr>
          <w:rFonts w:ascii="Palatino Linotype" w:eastAsia="Calibri" w:hAnsi="Palatino Linotype" w:cs="Tahoma"/>
          <w:bCs/>
          <w:color w:val="000000"/>
          <w:sz w:val="22"/>
          <w:szCs w:val="22"/>
          <w:lang w:val="es-ES"/>
        </w:rPr>
        <w:t xml:space="preserve">, como consulta directa en las oficinas de la Unidad de Transparencia; lo anterior, es robustecido con el Criterio de interpretación, con clave de control </w:t>
      </w:r>
      <w:r w:rsidRPr="002334F1">
        <w:rPr>
          <w:rFonts w:ascii="Palatino Linotype" w:hAnsi="Palatino Linotype"/>
          <w:sz w:val="22"/>
          <w:szCs w:val="22"/>
        </w:rPr>
        <w:t>SO/008/2017</w:t>
      </w:r>
      <w:r w:rsidRPr="002334F1">
        <w:rPr>
          <w:rFonts w:ascii="Palatino Linotype" w:eastAsia="Calibri" w:hAnsi="Palatino Linotype" w:cs="Tahoma"/>
          <w:bCs/>
          <w:color w:val="000000"/>
          <w:sz w:val="22"/>
          <w:szCs w:val="22"/>
          <w:lang w:val="es-ES"/>
        </w:rPr>
        <w:t xml:space="preserve">, emitido por el Pleno del Instituto Nacional de Transparencia, Acceso a la Información y Protección de Datos Personales, el cual establece </w:t>
      </w:r>
      <w:r w:rsidRPr="002334F1">
        <w:rPr>
          <w:rFonts w:ascii="Palatino Linotype" w:eastAsia="Calibri" w:hAnsi="Palatino Linotype" w:cs="Tahoma"/>
          <w:bCs/>
          <w:sz w:val="22"/>
          <w:szCs w:val="22"/>
          <w:lang w:val="es-ES"/>
        </w:rPr>
        <w:t xml:space="preserve">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2334F1">
        <w:rPr>
          <w:rFonts w:ascii="Palatino Linotype" w:eastAsia="Calibri" w:hAnsi="Palatino Linotype" w:cs="Tahoma"/>
          <w:b/>
          <w:sz w:val="22"/>
          <w:szCs w:val="22"/>
          <w:lang w:val="es-ES"/>
        </w:rPr>
        <w:t>información en todas las modalidades que lo permitan, procurando reducir los costos de entrega.</w:t>
      </w:r>
    </w:p>
    <w:p w14:paraId="45BEB60F" w14:textId="77777777" w:rsidR="00897BB9" w:rsidRPr="002334F1" w:rsidRDefault="00897BB9" w:rsidP="00934271">
      <w:pPr>
        <w:widowControl w:val="0"/>
        <w:spacing w:line="360" w:lineRule="auto"/>
        <w:contextualSpacing/>
        <w:jc w:val="both"/>
        <w:rPr>
          <w:rFonts w:ascii="Palatino Linotype" w:eastAsia="Calibri" w:hAnsi="Palatino Linotype" w:cs="Tahoma"/>
          <w:bCs/>
          <w:sz w:val="22"/>
          <w:szCs w:val="22"/>
          <w:lang w:val="es-ES"/>
        </w:rPr>
      </w:pPr>
    </w:p>
    <w:p w14:paraId="405B309F" w14:textId="77777777" w:rsidR="00897BB9" w:rsidRPr="002334F1" w:rsidRDefault="00897BB9" w:rsidP="00934271">
      <w:pPr>
        <w:widowControl w:val="0"/>
        <w:spacing w:line="360" w:lineRule="auto"/>
        <w:contextualSpacing/>
        <w:jc w:val="both"/>
        <w:rPr>
          <w:rFonts w:ascii="Palatino Linotype" w:eastAsia="Calibri" w:hAnsi="Palatino Linotype" w:cs="Tahoma"/>
          <w:bCs/>
          <w:sz w:val="22"/>
          <w:szCs w:val="22"/>
          <w:lang w:val="es-ES"/>
        </w:rPr>
      </w:pPr>
      <w:r w:rsidRPr="002334F1">
        <w:rPr>
          <w:rFonts w:ascii="Palatino Linotype" w:eastAsia="Calibri" w:hAnsi="Palatino Linotype" w:cs="Tahoma"/>
          <w:bCs/>
          <w:sz w:val="22"/>
          <w:szCs w:val="22"/>
          <w:lang w:val="es-ES"/>
        </w:rPr>
        <w:t xml:space="preserve">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w:t>
      </w:r>
      <w:r w:rsidRPr="002334F1">
        <w:rPr>
          <w:rFonts w:ascii="Palatino Linotype" w:eastAsia="Calibri" w:hAnsi="Palatino Linotype" w:cs="Tahoma"/>
          <w:bCs/>
          <w:sz w:val="22"/>
          <w:szCs w:val="22"/>
          <w:lang w:val="es-ES"/>
        </w:rPr>
        <w:lastRenderedPageBreak/>
        <w:t>que se deberá explicar de manera detallada lo siguiente:</w:t>
      </w:r>
    </w:p>
    <w:p w14:paraId="05650F12" w14:textId="77777777" w:rsidR="00897BB9" w:rsidRPr="002334F1" w:rsidRDefault="00897BB9" w:rsidP="00934271">
      <w:pPr>
        <w:spacing w:line="360" w:lineRule="auto"/>
        <w:contextualSpacing/>
        <w:jc w:val="both"/>
        <w:rPr>
          <w:rFonts w:ascii="Palatino Linotype" w:eastAsia="Calibri" w:hAnsi="Palatino Linotype" w:cs="Tahoma"/>
          <w:bCs/>
          <w:sz w:val="22"/>
          <w:szCs w:val="22"/>
          <w:lang w:val="es-ES"/>
        </w:rPr>
      </w:pPr>
    </w:p>
    <w:p w14:paraId="3F9D3E00" w14:textId="310224E7" w:rsidR="00897BB9" w:rsidRPr="002334F1" w:rsidRDefault="00897BB9" w:rsidP="00934271">
      <w:pPr>
        <w:numPr>
          <w:ilvl w:val="0"/>
          <w:numId w:val="1"/>
        </w:numPr>
        <w:spacing w:line="360" w:lineRule="auto"/>
        <w:contextualSpacing/>
        <w:jc w:val="both"/>
        <w:rPr>
          <w:rFonts w:ascii="Palatino Linotype" w:eastAsia="Calibri" w:hAnsi="Palatino Linotype" w:cs="Tahoma"/>
          <w:bCs/>
          <w:sz w:val="22"/>
          <w:szCs w:val="22"/>
          <w:lang w:val="es-ES" w:eastAsia="es-MX"/>
        </w:rPr>
      </w:pPr>
      <w:r w:rsidRPr="002334F1">
        <w:rPr>
          <w:rFonts w:ascii="Palatino Linotype" w:eastAsia="Calibri" w:hAnsi="Palatino Linotype" w:cs="Tahoma"/>
          <w:bCs/>
          <w:sz w:val="22"/>
          <w:szCs w:val="22"/>
          <w:lang w:val="es-ES" w:eastAsia="es-MX"/>
        </w:rPr>
        <w:t>Las razones por las cuales la información implicaba un análisis, estudio o procesamiento de datos;</w:t>
      </w:r>
    </w:p>
    <w:p w14:paraId="212739D7" w14:textId="204D7C6A" w:rsidR="00897BB9" w:rsidRPr="002334F1" w:rsidRDefault="00897BB9" w:rsidP="00934271">
      <w:pPr>
        <w:numPr>
          <w:ilvl w:val="0"/>
          <w:numId w:val="1"/>
        </w:numPr>
        <w:spacing w:line="360" w:lineRule="auto"/>
        <w:contextualSpacing/>
        <w:jc w:val="both"/>
        <w:rPr>
          <w:rFonts w:ascii="Palatino Linotype" w:eastAsia="Calibri" w:hAnsi="Palatino Linotype" w:cs="Tahoma"/>
          <w:bCs/>
          <w:sz w:val="22"/>
          <w:szCs w:val="22"/>
          <w:lang w:val="es-ES" w:eastAsia="es-MX"/>
        </w:rPr>
      </w:pPr>
      <w:r w:rsidRPr="002334F1">
        <w:rPr>
          <w:rFonts w:ascii="Palatino Linotype" w:hAnsi="Palatino Linotype" w:cs="Tahoma"/>
          <w:iCs/>
          <w:sz w:val="22"/>
          <w:szCs w:val="22"/>
          <w:lang w:eastAsia="es-MX"/>
        </w:rPr>
        <w:t>Por qué motivo el tiempo, que se le otorga al Sujeto Obligado para dar respuesta, en la modalidad elegida a la solicitud de información, no le es suficiente</w:t>
      </w:r>
      <w:r w:rsidRPr="002334F1">
        <w:rPr>
          <w:rFonts w:ascii="Palatino Linotype" w:eastAsia="Calibri" w:hAnsi="Palatino Linotype" w:cs="Tahoma"/>
          <w:bCs/>
          <w:sz w:val="22"/>
          <w:szCs w:val="22"/>
          <w:lang w:val="es-ES" w:eastAsia="es-MX"/>
        </w:rPr>
        <w:t>, y</w:t>
      </w:r>
    </w:p>
    <w:p w14:paraId="78E2C0B9" w14:textId="77777777" w:rsidR="00897BB9" w:rsidRPr="002334F1" w:rsidRDefault="00897BB9" w:rsidP="00934271">
      <w:pPr>
        <w:numPr>
          <w:ilvl w:val="0"/>
          <w:numId w:val="1"/>
        </w:numPr>
        <w:spacing w:line="360" w:lineRule="auto"/>
        <w:contextualSpacing/>
        <w:jc w:val="both"/>
        <w:rPr>
          <w:rFonts w:ascii="Palatino Linotype" w:eastAsia="Calibri" w:hAnsi="Palatino Linotype" w:cs="Tahoma"/>
          <w:bCs/>
          <w:sz w:val="22"/>
          <w:szCs w:val="22"/>
          <w:lang w:val="es-ES" w:eastAsia="es-MX"/>
        </w:rPr>
      </w:pPr>
      <w:r w:rsidRPr="002334F1">
        <w:rPr>
          <w:rFonts w:ascii="Palatino Linotype" w:eastAsia="Calibri" w:hAnsi="Palatino Linotype" w:cs="Tahoma"/>
          <w:bCs/>
          <w:sz w:val="22"/>
          <w:szCs w:val="22"/>
          <w:lang w:val="es-ES" w:eastAsia="es-MX"/>
        </w:rPr>
        <w:t>La cantidad de recursos humanos y materiales con los que cuenta el Sujeto Obligado son insuficientes.</w:t>
      </w:r>
    </w:p>
    <w:p w14:paraId="2E086E52" w14:textId="77777777" w:rsidR="00897BB9" w:rsidRPr="002334F1" w:rsidRDefault="00897BB9" w:rsidP="00934271">
      <w:pPr>
        <w:spacing w:line="360" w:lineRule="auto"/>
        <w:contextualSpacing/>
        <w:jc w:val="both"/>
        <w:rPr>
          <w:rFonts w:ascii="Palatino Linotype" w:hAnsi="Palatino Linotype"/>
          <w:bCs/>
          <w:sz w:val="22"/>
          <w:szCs w:val="22"/>
        </w:rPr>
      </w:pPr>
    </w:p>
    <w:p w14:paraId="147D1609" w14:textId="77777777" w:rsidR="00897BB9" w:rsidRPr="002334F1" w:rsidRDefault="00897BB9" w:rsidP="00934271">
      <w:pPr>
        <w:tabs>
          <w:tab w:val="left" w:pos="4667"/>
        </w:tabs>
        <w:spacing w:line="360" w:lineRule="auto"/>
        <w:contextualSpacing/>
        <w:jc w:val="both"/>
        <w:rPr>
          <w:rFonts w:ascii="Palatino Linotype" w:hAnsi="Palatino Linotype"/>
          <w:sz w:val="22"/>
          <w:szCs w:val="22"/>
        </w:rPr>
      </w:pPr>
      <w:bookmarkStart w:id="2" w:name="_Hlk144895931"/>
      <w:r w:rsidRPr="002334F1">
        <w:rPr>
          <w:rFonts w:ascii="Palatino Linotype" w:hAnsi="Palatino Linotype"/>
          <w:color w:val="000000"/>
          <w:sz w:val="22"/>
          <w:szCs w:val="22"/>
          <w:lang w:eastAsia="en-US"/>
        </w:rPr>
        <w:t xml:space="preserve">Ahora bien, el Ente Recurrido precisó </w:t>
      </w:r>
      <w:bookmarkEnd w:id="2"/>
      <w:r w:rsidRPr="002334F1">
        <w:rPr>
          <w:rFonts w:ascii="Palatino Linotype" w:hAnsi="Palatino Linotype"/>
          <w:color w:val="000000"/>
          <w:sz w:val="22"/>
          <w:szCs w:val="22"/>
          <w:lang w:eastAsia="en-US"/>
        </w:rPr>
        <w:t xml:space="preserve">que ponía a disposición del Recurrente la información mediante consulta directa, </w:t>
      </w:r>
      <w:r w:rsidRPr="002334F1">
        <w:rPr>
          <w:rFonts w:ascii="Palatino Linotype" w:hAnsi="Palatino Linotype"/>
          <w:sz w:val="22"/>
          <w:szCs w:val="22"/>
        </w:rPr>
        <w:t>derivado de los procesos de entrega recepción, la falta de personal, y capacidad técnica, situación que fue sustentada mediante e</w:t>
      </w:r>
      <w:r w:rsidRPr="002334F1">
        <w:rPr>
          <w:rFonts w:ascii="Palatino Linotype" w:eastAsia="Calibri" w:hAnsi="Palatino Linotype" w:cs="Tahoma"/>
          <w:bCs/>
          <w:color w:val="000000"/>
          <w:sz w:val="22"/>
          <w:szCs w:val="22"/>
          <w:lang w:val="es-ES"/>
        </w:rPr>
        <w:t xml:space="preserve">l </w:t>
      </w:r>
      <w:r w:rsidRPr="002334F1">
        <w:rPr>
          <w:rFonts w:ascii="Palatino Linotype" w:hAnsi="Palatino Linotype" w:cs="Tahoma"/>
          <w:sz w:val="22"/>
          <w:szCs w:val="22"/>
        </w:rPr>
        <w:t xml:space="preserve">Acta de la Octogésima Quinta Sesión del Comité de Transparencia del Ayuntamiento de </w:t>
      </w:r>
      <w:proofErr w:type="spellStart"/>
      <w:r w:rsidRPr="002334F1">
        <w:rPr>
          <w:rFonts w:ascii="Palatino Linotype" w:hAnsi="Palatino Linotype" w:cs="Tahoma"/>
          <w:sz w:val="22"/>
          <w:szCs w:val="22"/>
        </w:rPr>
        <w:t>Temamatla</w:t>
      </w:r>
      <w:proofErr w:type="spellEnd"/>
      <w:r w:rsidRPr="002334F1">
        <w:rPr>
          <w:rFonts w:ascii="Palatino Linotype" w:hAnsi="Palatino Linotype"/>
          <w:sz w:val="22"/>
          <w:szCs w:val="22"/>
        </w:rPr>
        <w:t>.</w:t>
      </w:r>
    </w:p>
    <w:p w14:paraId="1DC30D5F" w14:textId="77777777" w:rsidR="00897BB9" w:rsidRPr="002334F1" w:rsidRDefault="00897BB9" w:rsidP="00934271">
      <w:pPr>
        <w:tabs>
          <w:tab w:val="left" w:pos="4667"/>
        </w:tabs>
        <w:spacing w:line="360" w:lineRule="auto"/>
        <w:contextualSpacing/>
        <w:jc w:val="both"/>
        <w:rPr>
          <w:rFonts w:ascii="Palatino Linotype" w:hAnsi="Palatino Linotype"/>
          <w:sz w:val="22"/>
          <w:szCs w:val="22"/>
        </w:rPr>
      </w:pPr>
    </w:p>
    <w:p w14:paraId="5EE4AE88" w14:textId="77777777" w:rsidR="00897BB9" w:rsidRPr="002334F1" w:rsidRDefault="00897BB9" w:rsidP="00934271">
      <w:pPr>
        <w:spacing w:line="360" w:lineRule="auto"/>
        <w:ind w:right="-28"/>
        <w:contextualSpacing/>
        <w:jc w:val="both"/>
        <w:rPr>
          <w:rFonts w:ascii="Palatino Linotype" w:eastAsia="Calibri" w:hAnsi="Palatino Linotype" w:cs="Tahoma"/>
          <w:bCs/>
          <w:color w:val="000000"/>
          <w:sz w:val="22"/>
          <w:szCs w:val="22"/>
        </w:rPr>
      </w:pPr>
      <w:r w:rsidRPr="002334F1">
        <w:rPr>
          <w:rFonts w:ascii="Palatino Linotype" w:eastAsia="Calibri" w:hAnsi="Palatino Linotype" w:cs="Tahoma"/>
          <w:bCs/>
          <w:color w:val="000000"/>
          <w:sz w:val="22"/>
          <w:szCs w:val="22"/>
        </w:rPr>
        <w:t>Conforme a lo anterior, se logra vislumbrar que si bien, el Ente Recurrido precisó en respuesta que ponía a disposición del ahora Recurrente la documentación peticionada en consulta directa, en las oficinas del Sujeto Obligado; sin embargo, este Instituto considera que omitió fundar y motivar el cambio de modalidad, pues no precisó las siguientes circunstancias:</w:t>
      </w:r>
    </w:p>
    <w:p w14:paraId="06087A04" w14:textId="77777777" w:rsidR="00897BB9" w:rsidRPr="002334F1" w:rsidRDefault="00897BB9" w:rsidP="00934271">
      <w:pPr>
        <w:spacing w:line="360" w:lineRule="auto"/>
        <w:ind w:right="-28"/>
        <w:contextualSpacing/>
        <w:jc w:val="both"/>
        <w:rPr>
          <w:rFonts w:ascii="Palatino Linotype" w:eastAsia="Calibri" w:hAnsi="Palatino Linotype" w:cs="Tahoma"/>
          <w:bCs/>
          <w:color w:val="000000"/>
          <w:sz w:val="22"/>
          <w:szCs w:val="22"/>
        </w:rPr>
      </w:pPr>
    </w:p>
    <w:p w14:paraId="0E3DA06E" w14:textId="77777777" w:rsidR="00897BB9" w:rsidRPr="002334F1" w:rsidRDefault="00897BB9" w:rsidP="00934271">
      <w:pPr>
        <w:pStyle w:val="Prrafodelista"/>
        <w:numPr>
          <w:ilvl w:val="0"/>
          <w:numId w:val="2"/>
        </w:numPr>
        <w:spacing w:line="360" w:lineRule="auto"/>
        <w:jc w:val="both"/>
        <w:rPr>
          <w:rFonts w:ascii="Palatino Linotype" w:eastAsia="Calibri" w:hAnsi="Palatino Linotype" w:cs="Tahoma"/>
          <w:bCs/>
          <w:color w:val="000000"/>
          <w:szCs w:val="22"/>
          <w:lang w:val="es-ES" w:eastAsia="en-US"/>
        </w:rPr>
      </w:pPr>
      <w:r w:rsidRPr="002334F1">
        <w:rPr>
          <w:rFonts w:ascii="Palatino Linotype" w:eastAsia="Calibri" w:hAnsi="Palatino Linotype" w:cs="Tahoma"/>
          <w:bCs/>
          <w:color w:val="000000"/>
          <w:szCs w:val="22"/>
          <w:lang w:val="es-ES" w:eastAsia="en-US"/>
        </w:rPr>
        <w:t>El total de hojas que daban cuenta de las actas por todas las áreas;</w:t>
      </w:r>
    </w:p>
    <w:p w14:paraId="6D405F8B" w14:textId="77777777" w:rsidR="00897BB9" w:rsidRPr="002334F1" w:rsidRDefault="00897BB9" w:rsidP="00934271">
      <w:pPr>
        <w:pStyle w:val="Prrafodelista"/>
        <w:numPr>
          <w:ilvl w:val="0"/>
          <w:numId w:val="2"/>
        </w:numPr>
        <w:spacing w:line="360" w:lineRule="auto"/>
        <w:jc w:val="both"/>
        <w:rPr>
          <w:rFonts w:ascii="Palatino Linotype" w:eastAsia="Calibri" w:hAnsi="Palatino Linotype" w:cs="Tahoma"/>
          <w:bCs/>
          <w:color w:val="000000"/>
          <w:szCs w:val="22"/>
          <w:lang w:val="es-ES" w:eastAsia="en-US"/>
        </w:rPr>
      </w:pPr>
      <w:r w:rsidRPr="002334F1">
        <w:rPr>
          <w:rFonts w:ascii="Palatino Linotype" w:eastAsia="Calibri" w:hAnsi="Palatino Linotype" w:cs="Tahoma"/>
          <w:bCs/>
          <w:color w:val="000000"/>
          <w:szCs w:val="22"/>
          <w:lang w:val="es-ES" w:eastAsia="en-US"/>
        </w:rPr>
        <w:t>La ubicación de los documentos que daban cuenta de la información solicitada;</w:t>
      </w:r>
    </w:p>
    <w:p w14:paraId="599E518E" w14:textId="77777777" w:rsidR="00897BB9" w:rsidRPr="002334F1" w:rsidRDefault="00897BB9" w:rsidP="00934271">
      <w:pPr>
        <w:pStyle w:val="Prrafodelista"/>
        <w:numPr>
          <w:ilvl w:val="0"/>
          <w:numId w:val="2"/>
        </w:numPr>
        <w:spacing w:line="360" w:lineRule="auto"/>
        <w:jc w:val="both"/>
        <w:rPr>
          <w:rFonts w:ascii="Palatino Linotype" w:eastAsia="Calibri" w:hAnsi="Palatino Linotype" w:cs="Tahoma"/>
          <w:bCs/>
          <w:color w:val="000000"/>
          <w:szCs w:val="22"/>
          <w:lang w:val="es-ES" w:eastAsia="en-US"/>
        </w:rPr>
      </w:pPr>
      <w:r w:rsidRPr="002334F1">
        <w:rPr>
          <w:rFonts w:ascii="Palatino Linotype" w:eastAsia="Calibri" w:hAnsi="Palatino Linotype" w:cs="Tahoma"/>
          <w:bCs/>
          <w:color w:val="000000"/>
          <w:szCs w:val="22"/>
          <w:lang w:val="es-ES" w:eastAsia="en-US"/>
        </w:rPr>
        <w:t>La forma en que se encontraba la información (físico o digital);</w:t>
      </w:r>
    </w:p>
    <w:p w14:paraId="29AB8A61" w14:textId="77777777" w:rsidR="00C71C67" w:rsidRPr="002334F1" w:rsidRDefault="00897BB9" w:rsidP="00934271">
      <w:pPr>
        <w:pStyle w:val="Prrafodelista"/>
        <w:numPr>
          <w:ilvl w:val="0"/>
          <w:numId w:val="2"/>
        </w:numPr>
        <w:spacing w:line="360" w:lineRule="auto"/>
        <w:jc w:val="both"/>
        <w:rPr>
          <w:rFonts w:ascii="Palatino Linotype" w:eastAsia="Calibri" w:hAnsi="Palatino Linotype" w:cs="Tahoma"/>
          <w:bCs/>
          <w:color w:val="000000"/>
          <w:szCs w:val="22"/>
          <w:lang w:val="es-ES" w:eastAsia="en-US"/>
        </w:rPr>
      </w:pPr>
      <w:r w:rsidRPr="002334F1">
        <w:rPr>
          <w:rFonts w:ascii="Palatino Linotype" w:eastAsia="Calibri" w:hAnsi="Palatino Linotype" w:cs="Tahoma"/>
          <w:bCs/>
          <w:color w:val="000000"/>
          <w:szCs w:val="22"/>
          <w:lang w:val="es-ES" w:eastAsia="en-US"/>
        </w:rPr>
        <w:t>Las capacidades técnicas y humanas con las que contaba el Sujeto Obligado.</w:t>
      </w:r>
    </w:p>
    <w:p w14:paraId="34E88441" w14:textId="77777777" w:rsidR="00C71C67" w:rsidRPr="002334F1" w:rsidRDefault="00C71C67" w:rsidP="00934271">
      <w:pPr>
        <w:spacing w:line="360" w:lineRule="auto"/>
        <w:contextualSpacing/>
        <w:jc w:val="both"/>
        <w:rPr>
          <w:rFonts w:ascii="Palatino Linotype" w:eastAsia="Calibri" w:hAnsi="Palatino Linotype" w:cs="Tahoma"/>
          <w:bCs/>
          <w:color w:val="000000"/>
          <w:szCs w:val="22"/>
          <w:lang w:val="es-ES" w:eastAsia="en-US"/>
        </w:rPr>
      </w:pPr>
    </w:p>
    <w:p w14:paraId="5726835C" w14:textId="77777777" w:rsidR="008B5174" w:rsidRPr="002334F1" w:rsidRDefault="008B5174" w:rsidP="00934271">
      <w:pPr>
        <w:spacing w:line="360" w:lineRule="auto"/>
        <w:contextualSpacing/>
        <w:jc w:val="both"/>
        <w:rPr>
          <w:rFonts w:ascii="Palatino Linotype" w:eastAsia="Calibri" w:hAnsi="Palatino Linotype" w:cs="Tahoma"/>
          <w:bCs/>
          <w:color w:val="000000"/>
          <w:sz w:val="22"/>
          <w:szCs w:val="22"/>
          <w:lang w:val="es-ES" w:eastAsia="en-US"/>
        </w:rPr>
      </w:pPr>
      <w:r w:rsidRPr="002334F1">
        <w:rPr>
          <w:rFonts w:ascii="Palatino Linotype" w:eastAsia="Calibri" w:hAnsi="Palatino Linotype" w:cs="Tahoma"/>
          <w:bCs/>
          <w:color w:val="000000"/>
          <w:sz w:val="22"/>
          <w:szCs w:val="22"/>
          <w:lang w:val="es-ES" w:eastAsia="en-US"/>
        </w:rPr>
        <w:t xml:space="preserve">Lo anterior, se robustece con el hecho de que el monto solicitado no implicaría la generación de más de ocho mil documentos que dieran cuenta de la información, y que este sobrepase las </w:t>
      </w:r>
      <w:r w:rsidRPr="002334F1">
        <w:rPr>
          <w:rFonts w:ascii="Palatino Linotype" w:eastAsia="Calibri" w:hAnsi="Palatino Linotype" w:cs="Tahoma"/>
          <w:bCs/>
          <w:color w:val="000000"/>
          <w:sz w:val="22"/>
          <w:szCs w:val="22"/>
          <w:lang w:val="es-ES" w:eastAsia="en-US"/>
        </w:rPr>
        <w:lastRenderedPageBreak/>
        <w:t xml:space="preserve">capacidades técnicas del Sistema de Acceso a la Información Mexiquense, por lo que no procede convalidar el cambio de modalidad propuesto. </w:t>
      </w:r>
    </w:p>
    <w:p w14:paraId="7B8A40C7" w14:textId="77777777" w:rsidR="008B5174" w:rsidRPr="002334F1" w:rsidRDefault="008B5174" w:rsidP="00934271">
      <w:pPr>
        <w:spacing w:line="360" w:lineRule="auto"/>
        <w:contextualSpacing/>
        <w:jc w:val="both"/>
        <w:rPr>
          <w:rFonts w:ascii="Palatino Linotype" w:eastAsia="Calibri" w:hAnsi="Palatino Linotype" w:cs="Tahoma"/>
          <w:bCs/>
          <w:color w:val="000000"/>
          <w:szCs w:val="22"/>
          <w:lang w:val="es-ES" w:eastAsia="en-US"/>
        </w:rPr>
      </w:pPr>
      <w:r w:rsidRPr="002334F1">
        <w:rPr>
          <w:rFonts w:ascii="Palatino Linotype" w:eastAsia="Calibri" w:hAnsi="Palatino Linotype" w:cs="Tahoma"/>
          <w:bCs/>
          <w:color w:val="000000"/>
          <w:szCs w:val="22"/>
          <w:lang w:val="es-ES" w:eastAsia="en-US"/>
        </w:rPr>
        <w:t xml:space="preserve"> </w:t>
      </w:r>
    </w:p>
    <w:p w14:paraId="01E402C4" w14:textId="77777777" w:rsidR="00897BB9" w:rsidRPr="002334F1" w:rsidRDefault="00897BB9" w:rsidP="00934271">
      <w:pPr>
        <w:spacing w:line="360" w:lineRule="auto"/>
        <w:ind w:right="-28"/>
        <w:contextualSpacing/>
        <w:jc w:val="both"/>
        <w:rPr>
          <w:rFonts w:ascii="Palatino Linotype" w:hAnsi="Palatino Linotype" w:cs="Tahoma"/>
          <w:iCs/>
          <w:sz w:val="22"/>
          <w:szCs w:val="22"/>
        </w:rPr>
      </w:pPr>
      <w:r w:rsidRPr="002334F1">
        <w:rPr>
          <w:rFonts w:ascii="Palatino Linotype" w:eastAsia="Calibri" w:hAnsi="Palatino Linotype" w:cs="Tahoma"/>
          <w:bCs/>
          <w:color w:val="000000"/>
          <w:sz w:val="22"/>
          <w:szCs w:val="22"/>
          <w:lang w:val="es-ES"/>
        </w:rPr>
        <w:t xml:space="preserve">Conforme a lo anterior, el Ayuntamiento de </w:t>
      </w:r>
      <w:proofErr w:type="spellStart"/>
      <w:r w:rsidRPr="002334F1">
        <w:rPr>
          <w:rFonts w:ascii="Palatino Linotype" w:eastAsia="Calibri" w:hAnsi="Palatino Linotype" w:cs="Tahoma"/>
          <w:bCs/>
          <w:color w:val="000000"/>
          <w:sz w:val="22"/>
          <w:szCs w:val="22"/>
          <w:lang w:val="es-ES"/>
        </w:rPr>
        <w:t>Temamatla</w:t>
      </w:r>
      <w:proofErr w:type="spellEnd"/>
      <w:r w:rsidRPr="002334F1">
        <w:rPr>
          <w:rFonts w:ascii="Palatino Linotype" w:hAnsi="Palatino Linotype" w:cs="Tahoma"/>
          <w:iCs/>
          <w:sz w:val="22"/>
          <w:szCs w:val="22"/>
        </w:rPr>
        <w:t xml:space="preserve">, no acreditó la imposibilidad técnica para acreditar el cambio de modalidad a consulta directa, lo cual da como resultado que el agravio resulte </w:t>
      </w:r>
      <w:r w:rsidRPr="002334F1">
        <w:rPr>
          <w:rFonts w:ascii="Palatino Linotype" w:hAnsi="Palatino Linotype" w:cs="Tahoma"/>
          <w:b/>
          <w:bCs/>
          <w:iCs/>
          <w:sz w:val="22"/>
          <w:szCs w:val="22"/>
        </w:rPr>
        <w:t xml:space="preserve">FUNDADO, </w:t>
      </w:r>
      <w:r w:rsidRPr="002334F1">
        <w:rPr>
          <w:rFonts w:ascii="Palatino Linotype" w:hAnsi="Palatino Linotype" w:cs="Tahoma"/>
          <w:iCs/>
          <w:sz w:val="22"/>
          <w:szCs w:val="22"/>
        </w:rPr>
        <w:t xml:space="preserve">pues en el presente caso, </w:t>
      </w:r>
      <w:r w:rsidR="001D33C0" w:rsidRPr="002334F1">
        <w:rPr>
          <w:rFonts w:ascii="Palatino Linotype" w:hAnsi="Palatino Linotype" w:cs="Tahoma"/>
          <w:iCs/>
          <w:sz w:val="22"/>
          <w:szCs w:val="22"/>
        </w:rPr>
        <w:t xml:space="preserve">se considera que la información </w:t>
      </w:r>
      <w:r w:rsidRPr="002334F1">
        <w:rPr>
          <w:rFonts w:ascii="Palatino Linotype" w:hAnsi="Palatino Linotype" w:cs="Tahoma"/>
          <w:iCs/>
          <w:sz w:val="22"/>
          <w:szCs w:val="22"/>
        </w:rPr>
        <w:t>no sobrepasa las capacidades del SAIMEX.</w:t>
      </w:r>
    </w:p>
    <w:p w14:paraId="234ABF0B" w14:textId="77777777" w:rsidR="00897BB9" w:rsidRPr="002334F1" w:rsidRDefault="00897BB9" w:rsidP="00934271">
      <w:pPr>
        <w:spacing w:line="360" w:lineRule="auto"/>
        <w:contextualSpacing/>
        <w:jc w:val="both"/>
        <w:rPr>
          <w:rFonts w:ascii="Palatino Linotype" w:hAnsi="Palatino Linotype"/>
          <w:bCs/>
          <w:sz w:val="22"/>
          <w:szCs w:val="22"/>
        </w:rPr>
      </w:pPr>
    </w:p>
    <w:p w14:paraId="058FD86D" w14:textId="77777777" w:rsidR="00897BB9" w:rsidRPr="002334F1" w:rsidRDefault="00897BB9" w:rsidP="00934271">
      <w:pPr>
        <w:spacing w:line="360" w:lineRule="auto"/>
        <w:contextualSpacing/>
        <w:jc w:val="both"/>
        <w:rPr>
          <w:rFonts w:ascii="Palatino Linotype" w:eastAsia="Calibri" w:hAnsi="Palatino Linotype" w:cs="Tahoma"/>
          <w:color w:val="000000"/>
          <w:sz w:val="22"/>
          <w:szCs w:val="22"/>
          <w:lang w:eastAsia="en-US"/>
        </w:rPr>
      </w:pPr>
      <w:r w:rsidRPr="002334F1">
        <w:rPr>
          <w:rFonts w:ascii="Palatino Linotype" w:eastAsia="Calibri" w:hAnsi="Palatino Linotype" w:cs="Tahoma"/>
          <w:sz w:val="22"/>
          <w:szCs w:val="22"/>
        </w:rPr>
        <w:t>Lo anterior, toma sustento en</w:t>
      </w:r>
      <w:r w:rsidRPr="002334F1">
        <w:rPr>
          <w:rFonts w:ascii="Palatino Linotype" w:eastAsia="Calibri" w:hAnsi="Palatino Linotype" w:cs="Tahoma"/>
          <w:bCs/>
          <w:iCs/>
          <w:color w:val="000000"/>
          <w:sz w:val="22"/>
          <w:szCs w:val="22"/>
          <w:lang w:eastAsia="en-US"/>
        </w:rPr>
        <w:t xml:space="preserve"> </w:t>
      </w:r>
      <w:r w:rsidRPr="002334F1">
        <w:rPr>
          <w:rFonts w:ascii="Palatino Linotype" w:eastAsia="Calibri" w:hAnsi="Palatino Linotype" w:cs="Tahoma"/>
          <w:color w:val="000000"/>
          <w:sz w:val="22"/>
          <w:szCs w:val="22"/>
          <w:lang w:eastAsia="en-US"/>
        </w:rPr>
        <w:t>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quinientos megabytes o su equivalente a ocho mil fojas.</w:t>
      </w:r>
    </w:p>
    <w:p w14:paraId="7A6E8664" w14:textId="77777777" w:rsidR="00897BB9" w:rsidRPr="002334F1" w:rsidRDefault="00897BB9" w:rsidP="00934271">
      <w:pPr>
        <w:spacing w:line="360" w:lineRule="auto"/>
        <w:contextualSpacing/>
        <w:jc w:val="both"/>
        <w:rPr>
          <w:rFonts w:ascii="Palatino Linotype" w:eastAsia="Calibri" w:hAnsi="Palatino Linotype" w:cs="Tahoma"/>
          <w:color w:val="000000"/>
          <w:sz w:val="22"/>
          <w:szCs w:val="22"/>
          <w:lang w:eastAsia="en-US"/>
        </w:rPr>
      </w:pPr>
    </w:p>
    <w:p w14:paraId="3BE50C05" w14:textId="77777777" w:rsidR="00934271" w:rsidRPr="002334F1" w:rsidRDefault="00897BB9" w:rsidP="00934271">
      <w:pPr>
        <w:tabs>
          <w:tab w:val="left" w:pos="4962"/>
        </w:tabs>
        <w:spacing w:line="360" w:lineRule="auto"/>
        <w:ind w:right="-28"/>
        <w:contextualSpacing/>
        <w:jc w:val="both"/>
        <w:rPr>
          <w:rFonts w:ascii="Palatino Linotype" w:eastAsia="Calibri" w:hAnsi="Palatino Linotype" w:cs="Tahoma"/>
          <w:bCs/>
          <w:sz w:val="22"/>
          <w:szCs w:val="22"/>
        </w:rPr>
      </w:pPr>
      <w:r w:rsidRPr="002334F1">
        <w:rPr>
          <w:rFonts w:ascii="Palatino Linotype" w:eastAsia="Calibri" w:hAnsi="Palatino Linotype" w:cs="Tahoma"/>
          <w:bCs/>
          <w:sz w:val="22"/>
          <w:szCs w:val="22"/>
        </w:rPr>
        <w:t xml:space="preserve">Por lo tanto, se considera que el Sujeto Obligado a través de sus unidades administrativas competentes deberá proporcionar </w:t>
      </w:r>
      <w:r w:rsidR="001D33C0" w:rsidRPr="002334F1">
        <w:rPr>
          <w:rFonts w:ascii="Palatino Linotype" w:eastAsia="Calibri" w:hAnsi="Palatino Linotype" w:cs="Tahoma"/>
          <w:bCs/>
          <w:sz w:val="22"/>
          <w:szCs w:val="22"/>
        </w:rPr>
        <w:t xml:space="preserve">los documentos que den cuenta del </w:t>
      </w:r>
      <w:r w:rsidR="001D33C0" w:rsidRPr="002334F1">
        <w:rPr>
          <w:rFonts w:ascii="Palatino Linotype" w:eastAsia="Calibri" w:hAnsi="Palatino Linotype" w:cs="Tahoma"/>
          <w:iCs/>
          <w:sz w:val="22"/>
          <w:szCs w:val="22"/>
          <w:lang w:val="es-ES" w:eastAsia="es-ES_tradnl"/>
        </w:rPr>
        <w:t>monto económico por el subsidio de recargos por trámites relacionados con las operaciones traslativas de dominio, impuesto predial y derechos por suministro de agua, del siete de octubre de dos mil veintitrés, al siete de octubre de dos mil veinticuatro</w:t>
      </w:r>
      <w:r w:rsidRPr="002334F1">
        <w:rPr>
          <w:rFonts w:ascii="Palatino Linotype" w:eastAsia="Calibri" w:hAnsi="Palatino Linotype" w:cs="Tahoma"/>
          <w:bCs/>
          <w:sz w:val="22"/>
          <w:szCs w:val="22"/>
        </w:rPr>
        <w:t xml:space="preserve">, ya que como se señaló en párrafos anteriores, </w:t>
      </w:r>
      <w:r w:rsidR="001D33C0" w:rsidRPr="002334F1">
        <w:rPr>
          <w:rFonts w:ascii="Palatino Linotype" w:eastAsia="Calibri" w:hAnsi="Palatino Linotype" w:cs="Tahoma"/>
          <w:bCs/>
          <w:sz w:val="22"/>
          <w:szCs w:val="22"/>
        </w:rPr>
        <w:t xml:space="preserve">se considera que los documentos que den cuenta de </w:t>
      </w:r>
      <w:r w:rsidRPr="002334F1">
        <w:rPr>
          <w:rFonts w:ascii="Palatino Linotype" w:eastAsia="Calibri" w:hAnsi="Palatino Linotype" w:cs="Tahoma"/>
          <w:bCs/>
          <w:sz w:val="22"/>
          <w:szCs w:val="22"/>
        </w:rPr>
        <w:t xml:space="preserve">la información no sobrepasa las capacidades del Sistema de Acceso a la </w:t>
      </w:r>
      <w:r w:rsidR="001D33C0" w:rsidRPr="002334F1">
        <w:rPr>
          <w:rFonts w:ascii="Palatino Linotype" w:eastAsia="Calibri" w:hAnsi="Palatino Linotype" w:cs="Tahoma"/>
          <w:bCs/>
          <w:sz w:val="22"/>
          <w:szCs w:val="22"/>
        </w:rPr>
        <w:t>Información Mexiquense (SAIMEX).</w:t>
      </w:r>
      <w:r w:rsidRPr="002334F1">
        <w:rPr>
          <w:rFonts w:ascii="Palatino Linotype" w:eastAsia="Calibri" w:hAnsi="Palatino Linotype" w:cs="Tahoma"/>
          <w:bCs/>
          <w:sz w:val="22"/>
          <w:szCs w:val="22"/>
        </w:rPr>
        <w:t xml:space="preserve"> </w:t>
      </w:r>
    </w:p>
    <w:p w14:paraId="086800BE" w14:textId="77777777" w:rsidR="00934271" w:rsidRPr="002334F1" w:rsidRDefault="00934271" w:rsidP="00934271">
      <w:pPr>
        <w:tabs>
          <w:tab w:val="left" w:pos="4962"/>
        </w:tabs>
        <w:spacing w:line="360" w:lineRule="auto"/>
        <w:ind w:right="-28"/>
        <w:contextualSpacing/>
        <w:jc w:val="both"/>
        <w:rPr>
          <w:rFonts w:ascii="Palatino Linotype" w:eastAsia="Calibri" w:hAnsi="Palatino Linotype" w:cs="Tahoma"/>
          <w:bCs/>
          <w:sz w:val="22"/>
          <w:szCs w:val="22"/>
        </w:rPr>
      </w:pPr>
    </w:p>
    <w:p w14:paraId="7D269E63" w14:textId="5D0AF50E" w:rsidR="00897BB9" w:rsidRPr="002334F1" w:rsidRDefault="001D33C0" w:rsidP="00934271">
      <w:pPr>
        <w:tabs>
          <w:tab w:val="left" w:pos="4962"/>
        </w:tabs>
        <w:spacing w:line="360" w:lineRule="auto"/>
        <w:ind w:right="-28"/>
        <w:contextualSpacing/>
        <w:jc w:val="both"/>
        <w:rPr>
          <w:rFonts w:ascii="Palatino Linotype" w:eastAsia="Calibri" w:hAnsi="Palatino Linotype" w:cs="Tahoma"/>
          <w:bCs/>
          <w:sz w:val="22"/>
          <w:szCs w:val="22"/>
        </w:rPr>
      </w:pPr>
      <w:r w:rsidRPr="002334F1">
        <w:rPr>
          <w:rFonts w:ascii="Palatino Linotype" w:eastAsia="Calibri" w:hAnsi="Palatino Linotype" w:cs="Tahoma"/>
          <w:bCs/>
          <w:sz w:val="22"/>
          <w:szCs w:val="22"/>
        </w:rPr>
        <w:t>D</w:t>
      </w:r>
      <w:r w:rsidR="00897BB9" w:rsidRPr="002334F1">
        <w:rPr>
          <w:rFonts w:ascii="Palatino Linotype" w:hAnsi="Palatino Linotype" w:cs="Tahoma"/>
          <w:bCs/>
          <w:sz w:val="22"/>
          <w:szCs w:val="22"/>
        </w:rPr>
        <w:t xml:space="preserve">icha circunstancia toma sustento </w:t>
      </w:r>
      <w:r w:rsidR="00897BB9" w:rsidRPr="002334F1">
        <w:rPr>
          <w:rFonts w:ascii="Palatino Linotype" w:hAnsi="Palatino Linotype" w:cs="Tahoma"/>
          <w:iCs/>
          <w:sz w:val="22"/>
          <w:szCs w:val="22"/>
          <w:lang w:val="es-ES"/>
        </w:rPr>
        <w:t xml:space="preserve">conforme al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w:t>
      </w:r>
      <w:r w:rsidR="00897BB9" w:rsidRPr="002334F1">
        <w:rPr>
          <w:rFonts w:ascii="Palatino Linotype" w:hAnsi="Palatino Linotype" w:cs="Tahoma"/>
          <w:iCs/>
          <w:sz w:val="22"/>
          <w:szCs w:val="22"/>
          <w:lang w:val="es-ES"/>
        </w:rPr>
        <w:lastRenderedPageBreak/>
        <w:t>procesamiento de la misma, ni presentarla conforme al interés del Solicitante, además, que tampoco deberá generarla, resumirla, efectuar cálculos o practicar investigaciones.</w:t>
      </w:r>
    </w:p>
    <w:p w14:paraId="4D974A1A" w14:textId="77777777" w:rsidR="00897BB9" w:rsidRPr="002334F1" w:rsidRDefault="00897BB9" w:rsidP="00934271">
      <w:pPr>
        <w:spacing w:line="360" w:lineRule="auto"/>
        <w:contextualSpacing/>
        <w:jc w:val="both"/>
        <w:rPr>
          <w:rFonts w:ascii="Palatino Linotype" w:hAnsi="Palatino Linotype" w:cs="Tahoma"/>
          <w:iCs/>
          <w:sz w:val="22"/>
          <w:szCs w:val="22"/>
          <w:lang w:val="es-ES"/>
        </w:rPr>
      </w:pPr>
    </w:p>
    <w:p w14:paraId="4002B750" w14:textId="77777777" w:rsidR="00897BB9" w:rsidRPr="002334F1" w:rsidRDefault="00897BB9" w:rsidP="00934271">
      <w:pPr>
        <w:spacing w:line="360" w:lineRule="auto"/>
        <w:contextualSpacing/>
        <w:jc w:val="both"/>
        <w:rPr>
          <w:rFonts w:ascii="Palatino Linotype" w:hAnsi="Palatino Linotype" w:cs="Tahoma"/>
          <w:iCs/>
          <w:sz w:val="22"/>
          <w:szCs w:val="22"/>
          <w:lang w:val="es-ES"/>
        </w:rPr>
      </w:pPr>
      <w:r w:rsidRPr="002334F1">
        <w:rPr>
          <w:rFonts w:ascii="Palatino Linotype" w:hAnsi="Palatino Linotype" w:cs="Tahoma"/>
          <w:iCs/>
          <w:sz w:val="22"/>
          <w:szCs w:val="22"/>
          <w:lang w:val="es-ES"/>
        </w:rPr>
        <w:t xml:space="preserve">De esta manera, el derecho de acceso a la información pública se satisface en aquellos casos en que se entregue el soporte documental en el que conste la información solicitada, sin necesidad de elaborar documentos </w:t>
      </w:r>
      <w:r w:rsidRPr="002334F1">
        <w:rPr>
          <w:rFonts w:ascii="Palatino Linotype" w:hAnsi="Palatino Linotype" w:cs="Tahoma"/>
          <w:i/>
          <w:iCs/>
          <w:sz w:val="22"/>
          <w:szCs w:val="22"/>
          <w:lang w:val="es-ES"/>
        </w:rPr>
        <w:t>ad hoc;</w:t>
      </w:r>
      <w:r w:rsidRPr="002334F1">
        <w:rPr>
          <w:rFonts w:ascii="Palatino Linotype" w:hAnsi="Palatino Linotype" w:cs="Tahoma"/>
          <w:iCs/>
          <w:sz w:val="22"/>
          <w:szCs w:val="22"/>
          <w:lang w:val="es-ES"/>
        </w:rPr>
        <w:t xml:space="preserve"> lo cual, toma sustento en el artículo 160 de la Ley de Transparencia y Acceso a la Información Pública del Estado de México y Municipios, el cual refiere que los sujetos obligados deberán entregar la información que obre en sus archivos. </w:t>
      </w:r>
    </w:p>
    <w:p w14:paraId="433F592B" w14:textId="77777777" w:rsidR="00897BB9" w:rsidRPr="002334F1" w:rsidRDefault="00897BB9" w:rsidP="00934271">
      <w:pPr>
        <w:spacing w:line="360" w:lineRule="auto"/>
        <w:contextualSpacing/>
        <w:jc w:val="both"/>
        <w:rPr>
          <w:rFonts w:ascii="Palatino Linotype" w:hAnsi="Palatino Linotype" w:cs="Tahoma"/>
          <w:bCs/>
          <w:iCs/>
          <w:sz w:val="22"/>
          <w:szCs w:val="22"/>
        </w:rPr>
      </w:pPr>
    </w:p>
    <w:p w14:paraId="704CB00B" w14:textId="77777777" w:rsidR="00897BB9" w:rsidRPr="002334F1" w:rsidRDefault="00897BB9" w:rsidP="00934271">
      <w:pPr>
        <w:spacing w:line="360" w:lineRule="auto"/>
        <w:contextualSpacing/>
        <w:jc w:val="both"/>
        <w:rPr>
          <w:rFonts w:ascii="Palatino Linotype" w:hAnsi="Palatino Linotype" w:cs="Tahoma"/>
          <w:iCs/>
          <w:sz w:val="22"/>
          <w:szCs w:val="22"/>
          <w:lang w:val="es-ES"/>
        </w:rPr>
      </w:pPr>
      <w:r w:rsidRPr="002334F1">
        <w:rPr>
          <w:rFonts w:ascii="Palatino Linotype" w:hAnsi="Palatino Linotype" w:cs="Tahoma"/>
          <w:iCs/>
          <w:sz w:val="22"/>
          <w:szCs w:val="22"/>
          <w:lang w:val="es-ES"/>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los documentos donde conste la información peticionada.</w:t>
      </w:r>
    </w:p>
    <w:p w14:paraId="5C5177D2" w14:textId="77777777" w:rsidR="00897BB9" w:rsidRPr="002334F1" w:rsidRDefault="00897BB9" w:rsidP="00934271">
      <w:pPr>
        <w:tabs>
          <w:tab w:val="left" w:pos="4667"/>
        </w:tabs>
        <w:spacing w:line="360" w:lineRule="auto"/>
        <w:contextualSpacing/>
        <w:jc w:val="both"/>
        <w:rPr>
          <w:rFonts w:ascii="Palatino Linotype" w:eastAsia="Calibri" w:hAnsi="Palatino Linotype"/>
          <w:sz w:val="22"/>
          <w:szCs w:val="22"/>
          <w:lang w:val="es-ES"/>
        </w:rPr>
      </w:pPr>
    </w:p>
    <w:p w14:paraId="0A4C54C4" w14:textId="77777777" w:rsidR="00897BB9" w:rsidRPr="002334F1" w:rsidRDefault="00897BB9" w:rsidP="00934271">
      <w:pPr>
        <w:spacing w:line="360" w:lineRule="auto"/>
        <w:contextualSpacing/>
        <w:jc w:val="both"/>
        <w:rPr>
          <w:rFonts w:ascii="Palatino Linotype" w:hAnsi="Palatino Linotype" w:cs="Tahoma"/>
          <w:b/>
          <w:sz w:val="22"/>
          <w:szCs w:val="22"/>
        </w:rPr>
      </w:pPr>
      <w:r w:rsidRPr="002334F1">
        <w:rPr>
          <w:rFonts w:ascii="Palatino Linotype" w:hAnsi="Palatino Linotype" w:cs="Tahoma"/>
          <w:b/>
          <w:sz w:val="22"/>
          <w:szCs w:val="22"/>
        </w:rPr>
        <w:t>SEXTO. Decisión</w:t>
      </w:r>
    </w:p>
    <w:p w14:paraId="2D5CA4EB" w14:textId="77777777" w:rsidR="00897BB9" w:rsidRPr="002334F1" w:rsidRDefault="00897BB9" w:rsidP="00934271">
      <w:pPr>
        <w:spacing w:line="360" w:lineRule="auto"/>
        <w:contextualSpacing/>
        <w:jc w:val="both"/>
        <w:rPr>
          <w:rFonts w:ascii="Palatino Linotype" w:hAnsi="Palatino Linotype" w:cs="Tahoma"/>
          <w:b/>
          <w:sz w:val="22"/>
          <w:szCs w:val="22"/>
        </w:rPr>
      </w:pPr>
      <w:r w:rsidRPr="002334F1">
        <w:rPr>
          <w:rFonts w:ascii="Palatino Linotype" w:hAnsi="Palatino Linotype" w:cs="Tahoma"/>
          <w:b/>
          <w:sz w:val="22"/>
          <w:szCs w:val="22"/>
        </w:rPr>
        <w:t xml:space="preserve"> </w:t>
      </w:r>
    </w:p>
    <w:p w14:paraId="562F8A4F" w14:textId="77777777" w:rsidR="00897BB9" w:rsidRPr="002334F1" w:rsidRDefault="00897BB9" w:rsidP="00934271">
      <w:pPr>
        <w:spacing w:line="360" w:lineRule="auto"/>
        <w:contextualSpacing/>
        <w:jc w:val="both"/>
        <w:rPr>
          <w:rFonts w:ascii="Palatino Linotype" w:hAnsi="Palatino Linotype" w:cs="Tahoma"/>
          <w:bCs/>
          <w:iCs/>
          <w:sz w:val="22"/>
          <w:szCs w:val="22"/>
        </w:rPr>
      </w:pPr>
      <w:r w:rsidRPr="002334F1">
        <w:rPr>
          <w:rFonts w:ascii="Palatino Linotype" w:hAnsi="Palatino Linotype" w:cs="Arial"/>
          <w:sz w:val="22"/>
          <w:szCs w:val="22"/>
        </w:rPr>
        <w:t xml:space="preserve">Con </w:t>
      </w:r>
      <w:r w:rsidRPr="002334F1">
        <w:rPr>
          <w:rFonts w:ascii="Palatino Linotype" w:hAnsi="Palatino Linotype" w:cs="Tahoma"/>
          <w:sz w:val="22"/>
          <w:szCs w:val="22"/>
        </w:rPr>
        <w:t xml:space="preserve">fundamento en el artículo 186, fracción III, de la Ley de Transparencia y Acceso a la Información Pública del Estado de México y Municipios, este Instituto considera procedente </w:t>
      </w:r>
      <w:r w:rsidRPr="002334F1">
        <w:rPr>
          <w:rFonts w:ascii="Palatino Linotype" w:hAnsi="Palatino Linotype" w:cs="Tahoma"/>
          <w:b/>
          <w:sz w:val="22"/>
          <w:szCs w:val="22"/>
        </w:rPr>
        <w:t>REVOCAR</w:t>
      </w:r>
      <w:r w:rsidRPr="002334F1">
        <w:rPr>
          <w:rFonts w:ascii="Palatino Linotype" w:hAnsi="Palatino Linotype" w:cs="Tahoma"/>
          <w:sz w:val="22"/>
          <w:szCs w:val="22"/>
        </w:rPr>
        <w:t xml:space="preserve"> la respuesta otorgada a la solicitud de información</w:t>
      </w:r>
      <w:r w:rsidRPr="002334F1">
        <w:rPr>
          <w:rFonts w:ascii="Palatino Linotype" w:hAnsi="Palatino Linotype" w:cs="Tahoma"/>
          <w:bCs/>
          <w:sz w:val="22"/>
          <w:szCs w:val="22"/>
        </w:rPr>
        <w:t xml:space="preserve">, a efecto de que previa búsqueda exhaustiva y razonable </w:t>
      </w:r>
      <w:r w:rsidRPr="002334F1">
        <w:rPr>
          <w:rFonts w:ascii="Palatino Linotype" w:hAnsi="Palatino Linotype" w:cs="Tahoma"/>
          <w:sz w:val="22"/>
          <w:szCs w:val="22"/>
        </w:rPr>
        <w:t>en los archivos del</w:t>
      </w:r>
      <w:r w:rsidRPr="002334F1">
        <w:rPr>
          <w:rFonts w:ascii="Palatino Linotype" w:hAnsi="Palatino Linotype" w:cs="Tahoma"/>
          <w:sz w:val="22"/>
          <w:szCs w:val="22"/>
          <w:lang w:val="es-ES"/>
        </w:rPr>
        <w:t xml:space="preserve"> Sujeto Obligado</w:t>
      </w:r>
      <w:r w:rsidRPr="002334F1">
        <w:rPr>
          <w:rFonts w:ascii="Palatino Linotype" w:hAnsi="Palatino Linotype" w:cs="Tahoma"/>
          <w:bCs/>
          <w:sz w:val="22"/>
          <w:szCs w:val="22"/>
        </w:rPr>
        <w:t>, entregue, la información solicitada.</w:t>
      </w:r>
      <w:r w:rsidRPr="002334F1">
        <w:rPr>
          <w:rFonts w:ascii="Palatino Linotype" w:hAnsi="Palatino Linotype" w:cs="Tahoma"/>
          <w:bCs/>
          <w:iCs/>
          <w:sz w:val="22"/>
          <w:szCs w:val="22"/>
        </w:rPr>
        <w:t xml:space="preserve"> </w:t>
      </w:r>
    </w:p>
    <w:p w14:paraId="78D9E8B7" w14:textId="77777777" w:rsidR="00897BB9" w:rsidRPr="002334F1" w:rsidRDefault="00897BB9" w:rsidP="00934271">
      <w:pPr>
        <w:spacing w:line="360" w:lineRule="auto"/>
        <w:contextualSpacing/>
        <w:jc w:val="both"/>
        <w:rPr>
          <w:rFonts w:ascii="Palatino Linotype" w:hAnsi="Palatino Linotype" w:cs="Tahoma"/>
          <w:bCs/>
          <w:iCs/>
          <w:sz w:val="22"/>
          <w:szCs w:val="22"/>
        </w:rPr>
      </w:pPr>
    </w:p>
    <w:p w14:paraId="5AC1A386" w14:textId="11AA7E0C" w:rsidR="00897BB9" w:rsidRPr="002334F1" w:rsidRDefault="00897BB9" w:rsidP="00934271">
      <w:pPr>
        <w:autoSpaceDE w:val="0"/>
        <w:autoSpaceDN w:val="0"/>
        <w:adjustRightInd w:val="0"/>
        <w:spacing w:line="360" w:lineRule="auto"/>
        <w:contextualSpacing/>
        <w:jc w:val="both"/>
        <w:rPr>
          <w:rFonts w:ascii="Palatino Linotype" w:eastAsia="Calibri" w:hAnsi="Palatino Linotype" w:cs="Tahoma"/>
          <w:b/>
          <w:bCs/>
          <w:iCs/>
          <w:sz w:val="22"/>
          <w:szCs w:val="22"/>
          <w:lang w:val="es-ES" w:eastAsia="en-US"/>
        </w:rPr>
      </w:pPr>
      <w:r w:rsidRPr="002334F1">
        <w:rPr>
          <w:rFonts w:ascii="Palatino Linotype" w:eastAsia="Calibri" w:hAnsi="Palatino Linotype" w:cs="Tahoma"/>
          <w:b/>
          <w:bCs/>
          <w:iCs/>
          <w:sz w:val="22"/>
          <w:szCs w:val="22"/>
          <w:lang w:val="es-ES" w:eastAsia="en-US"/>
        </w:rPr>
        <w:t xml:space="preserve">Términos de la Resolución para conocimiento del </w:t>
      </w:r>
      <w:r w:rsidR="002334F1" w:rsidRPr="002334F1">
        <w:rPr>
          <w:rFonts w:ascii="Palatino Linotype" w:eastAsia="Calibri" w:hAnsi="Palatino Linotype" w:cs="Tahoma"/>
          <w:b/>
          <w:bCs/>
          <w:iCs/>
          <w:sz w:val="22"/>
          <w:szCs w:val="22"/>
          <w:lang w:val="es-ES" w:eastAsia="en-US"/>
        </w:rPr>
        <w:t>Particular</w:t>
      </w:r>
    </w:p>
    <w:p w14:paraId="51AB2D03" w14:textId="77777777" w:rsidR="00897BB9" w:rsidRPr="002334F1" w:rsidRDefault="00897BB9" w:rsidP="00934271">
      <w:pPr>
        <w:spacing w:line="360" w:lineRule="auto"/>
        <w:contextualSpacing/>
        <w:jc w:val="both"/>
        <w:rPr>
          <w:rFonts w:ascii="Palatino Linotype" w:eastAsia="Calibri" w:hAnsi="Palatino Linotype" w:cs="Tahoma"/>
          <w:bCs/>
          <w:sz w:val="22"/>
          <w:szCs w:val="22"/>
        </w:rPr>
      </w:pPr>
    </w:p>
    <w:p w14:paraId="2EEAA40F" w14:textId="77777777" w:rsidR="00897BB9" w:rsidRPr="002334F1" w:rsidRDefault="00897BB9" w:rsidP="00934271">
      <w:pPr>
        <w:spacing w:line="360" w:lineRule="auto"/>
        <w:contextualSpacing/>
        <w:jc w:val="both"/>
        <w:rPr>
          <w:rFonts w:ascii="Palatino Linotype" w:hAnsi="Palatino Linotype"/>
          <w:sz w:val="22"/>
          <w:szCs w:val="22"/>
        </w:rPr>
      </w:pPr>
      <w:r w:rsidRPr="002334F1">
        <w:rPr>
          <w:rFonts w:ascii="Palatino Linotype" w:hAnsi="Palatino Linotype"/>
          <w:sz w:val="22"/>
          <w:szCs w:val="22"/>
        </w:rPr>
        <w:t xml:space="preserve">Se le hace del conocimiento al ahora Recurrente que, en el presente asunto, se le concede la razón, pues el Sujeto Obligado no acreditó el cambio de modalidad propuesto, por lo que </w:t>
      </w:r>
      <w:r w:rsidRPr="002334F1">
        <w:rPr>
          <w:rFonts w:ascii="Palatino Linotype" w:hAnsi="Palatino Linotype"/>
          <w:sz w:val="22"/>
          <w:szCs w:val="22"/>
        </w:rPr>
        <w:lastRenderedPageBreak/>
        <w:t xml:space="preserve">deberá proporcionar </w:t>
      </w:r>
      <w:r w:rsidR="008B5174" w:rsidRPr="002334F1">
        <w:rPr>
          <w:rFonts w:ascii="Palatino Linotype" w:hAnsi="Palatino Linotype"/>
          <w:sz w:val="22"/>
          <w:szCs w:val="22"/>
        </w:rPr>
        <w:t>lo solicitado</w:t>
      </w:r>
      <w:r w:rsidRPr="002334F1">
        <w:rPr>
          <w:rFonts w:ascii="Palatino Linotype" w:hAnsi="Palatino Linotype" w:cs="Tahoma"/>
          <w:sz w:val="22"/>
          <w:szCs w:val="22"/>
        </w:rPr>
        <w:t>.</w:t>
      </w:r>
      <w:r w:rsidR="008B5174" w:rsidRPr="002334F1">
        <w:rPr>
          <w:rFonts w:ascii="Palatino Linotype" w:hAnsi="Palatino Linotype"/>
          <w:sz w:val="22"/>
          <w:szCs w:val="22"/>
        </w:rPr>
        <w:t xml:space="preserve"> </w:t>
      </w:r>
      <w:r w:rsidRPr="002334F1">
        <w:rPr>
          <w:rFonts w:ascii="Palatino Linotype" w:eastAsia="Calibri" w:hAnsi="Palatino Linotype" w:cs="Tahoma"/>
          <w:bCs/>
          <w:iCs/>
          <w:sz w:val="22"/>
          <w:szCs w:val="22"/>
        </w:rPr>
        <w:t xml:space="preserve">Finalmente, se le informa que la labor de este </w:t>
      </w:r>
      <w:r w:rsidRPr="002334F1">
        <w:rPr>
          <w:rFonts w:ascii="Palatino Linotype" w:eastAsia="Calibri" w:hAnsi="Palatino Linotype" w:cs="Tahoma"/>
          <w:bCs/>
          <w:iCs/>
          <w:sz w:val="22"/>
          <w:szCs w:val="22"/>
          <w:lang w:val="es-ES_tradnl" w:eastAsia="en-US"/>
        </w:rPr>
        <w:t>Instituto de Transparencia, Acceso a la Información Pública y Protección de Datos Personales del Estado de México y Municipios, es apoyar a la población a acceder a la información pública y garantizar la protección de los datos personales.</w:t>
      </w:r>
    </w:p>
    <w:p w14:paraId="7AA4905D" w14:textId="77777777" w:rsidR="00897BB9" w:rsidRPr="002334F1" w:rsidRDefault="00897BB9" w:rsidP="00934271">
      <w:pPr>
        <w:spacing w:line="360" w:lineRule="auto"/>
        <w:contextualSpacing/>
        <w:jc w:val="both"/>
        <w:rPr>
          <w:rFonts w:ascii="Palatino Linotype" w:hAnsi="Palatino Linotype"/>
          <w:sz w:val="22"/>
          <w:szCs w:val="22"/>
        </w:rPr>
      </w:pPr>
      <w:r w:rsidRPr="002334F1">
        <w:rPr>
          <w:rFonts w:ascii="Palatino Linotype" w:hAnsi="Palatino Linotype"/>
          <w:sz w:val="22"/>
          <w:szCs w:val="22"/>
        </w:rPr>
        <w:t xml:space="preserve"> </w:t>
      </w:r>
    </w:p>
    <w:p w14:paraId="1643337A" w14:textId="77777777" w:rsidR="00897BB9" w:rsidRPr="002334F1" w:rsidRDefault="00897BB9" w:rsidP="00934271">
      <w:pPr>
        <w:spacing w:line="360" w:lineRule="auto"/>
        <w:contextualSpacing/>
        <w:jc w:val="both"/>
        <w:rPr>
          <w:rFonts w:ascii="Palatino Linotype" w:hAnsi="Palatino Linotype"/>
          <w:sz w:val="22"/>
          <w:szCs w:val="22"/>
        </w:rPr>
      </w:pPr>
      <w:r w:rsidRPr="002334F1">
        <w:rPr>
          <w:rFonts w:ascii="Palatino Linotype" w:hAnsi="Palatino Linotype"/>
          <w:sz w:val="22"/>
          <w:szCs w:val="22"/>
        </w:rPr>
        <w:t>Por lo expuesto y fundado, este Pleno:</w:t>
      </w:r>
    </w:p>
    <w:p w14:paraId="2B1A942E" w14:textId="77777777" w:rsidR="00897BB9" w:rsidRPr="002334F1" w:rsidRDefault="00897BB9" w:rsidP="00934271">
      <w:pPr>
        <w:spacing w:line="360" w:lineRule="auto"/>
        <w:contextualSpacing/>
        <w:jc w:val="both"/>
        <w:rPr>
          <w:rFonts w:ascii="Palatino Linotype" w:hAnsi="Palatino Linotype"/>
          <w:sz w:val="22"/>
          <w:szCs w:val="22"/>
        </w:rPr>
      </w:pPr>
    </w:p>
    <w:p w14:paraId="35B37FC7" w14:textId="77777777" w:rsidR="00897BB9" w:rsidRPr="002334F1" w:rsidRDefault="00897BB9" w:rsidP="00934271">
      <w:pPr>
        <w:spacing w:line="360" w:lineRule="auto"/>
        <w:contextualSpacing/>
        <w:jc w:val="center"/>
        <w:rPr>
          <w:rFonts w:ascii="Palatino Linotype" w:hAnsi="Palatino Linotype"/>
          <w:b/>
          <w:bCs/>
          <w:sz w:val="22"/>
          <w:szCs w:val="22"/>
        </w:rPr>
      </w:pPr>
      <w:r w:rsidRPr="002334F1">
        <w:rPr>
          <w:rFonts w:ascii="Palatino Linotype" w:hAnsi="Palatino Linotype"/>
          <w:b/>
          <w:bCs/>
          <w:sz w:val="22"/>
          <w:szCs w:val="22"/>
        </w:rPr>
        <w:t>R E S U E L V E</w:t>
      </w:r>
    </w:p>
    <w:p w14:paraId="4239D1AE" w14:textId="77777777" w:rsidR="00897BB9" w:rsidRPr="002334F1" w:rsidRDefault="00897BB9" w:rsidP="00934271">
      <w:pPr>
        <w:spacing w:line="360" w:lineRule="auto"/>
        <w:contextualSpacing/>
        <w:jc w:val="both"/>
        <w:rPr>
          <w:rFonts w:ascii="Palatino Linotype" w:hAnsi="Palatino Linotype"/>
          <w:sz w:val="22"/>
          <w:szCs w:val="22"/>
        </w:rPr>
      </w:pPr>
      <w:r w:rsidRPr="002334F1">
        <w:rPr>
          <w:rFonts w:ascii="Palatino Linotype" w:hAnsi="Palatino Linotype"/>
          <w:sz w:val="22"/>
          <w:szCs w:val="22"/>
        </w:rPr>
        <w:t xml:space="preserve"> </w:t>
      </w:r>
    </w:p>
    <w:p w14:paraId="3F2DD8A0" w14:textId="77777777" w:rsidR="00897BB9" w:rsidRPr="002334F1" w:rsidRDefault="00897BB9" w:rsidP="00934271">
      <w:pPr>
        <w:spacing w:line="360" w:lineRule="auto"/>
        <w:contextualSpacing/>
        <w:jc w:val="both"/>
        <w:rPr>
          <w:rFonts w:ascii="Palatino Linotype" w:hAnsi="Palatino Linotype"/>
          <w:b/>
          <w:bCs/>
          <w:sz w:val="22"/>
          <w:szCs w:val="22"/>
        </w:rPr>
      </w:pPr>
      <w:r w:rsidRPr="002334F1">
        <w:rPr>
          <w:rFonts w:ascii="Palatino Linotype" w:hAnsi="Palatino Linotype"/>
          <w:b/>
          <w:bCs/>
          <w:sz w:val="22"/>
          <w:szCs w:val="22"/>
        </w:rPr>
        <w:t xml:space="preserve">PRIMERO. </w:t>
      </w:r>
      <w:r w:rsidRPr="002334F1">
        <w:rPr>
          <w:rFonts w:ascii="Palatino Linotype" w:hAnsi="Palatino Linotype"/>
          <w:sz w:val="22"/>
          <w:szCs w:val="22"/>
        </w:rPr>
        <w:t xml:space="preserve">Se </w:t>
      </w:r>
      <w:r w:rsidRPr="002334F1">
        <w:rPr>
          <w:rFonts w:ascii="Palatino Linotype" w:hAnsi="Palatino Linotype"/>
          <w:b/>
          <w:bCs/>
          <w:sz w:val="22"/>
          <w:szCs w:val="22"/>
        </w:rPr>
        <w:t xml:space="preserve">REVOCA </w:t>
      </w:r>
      <w:r w:rsidRPr="002334F1">
        <w:rPr>
          <w:rFonts w:ascii="Palatino Linotype" w:hAnsi="Palatino Linotype"/>
          <w:bCs/>
          <w:sz w:val="22"/>
          <w:szCs w:val="22"/>
        </w:rPr>
        <w:t>la</w:t>
      </w:r>
      <w:r w:rsidRPr="002334F1">
        <w:rPr>
          <w:rFonts w:ascii="Palatino Linotype" w:hAnsi="Palatino Linotype"/>
          <w:b/>
          <w:bCs/>
          <w:sz w:val="22"/>
          <w:szCs w:val="22"/>
        </w:rPr>
        <w:t xml:space="preserve"> </w:t>
      </w:r>
      <w:r w:rsidRPr="002334F1">
        <w:rPr>
          <w:rFonts w:ascii="Palatino Linotype" w:hAnsi="Palatino Linotype"/>
          <w:sz w:val="22"/>
          <w:szCs w:val="22"/>
        </w:rPr>
        <w:t xml:space="preserve">respuesta entregada por el Ayuntamiento de </w:t>
      </w:r>
      <w:proofErr w:type="spellStart"/>
      <w:r w:rsidRPr="002334F1">
        <w:rPr>
          <w:rFonts w:ascii="Palatino Linotype" w:hAnsi="Palatino Linotype"/>
          <w:sz w:val="22"/>
          <w:szCs w:val="22"/>
        </w:rPr>
        <w:t>Temamatla</w:t>
      </w:r>
      <w:proofErr w:type="spellEnd"/>
      <w:r w:rsidRPr="002334F1">
        <w:rPr>
          <w:rFonts w:ascii="Palatino Linotype" w:hAnsi="Palatino Linotype" w:cs="Tahoma"/>
          <w:sz w:val="22"/>
          <w:szCs w:val="22"/>
        </w:rPr>
        <w:t>,</w:t>
      </w:r>
      <w:r w:rsidRPr="002334F1">
        <w:rPr>
          <w:rFonts w:ascii="Palatino Linotype" w:hAnsi="Palatino Linotype"/>
          <w:sz w:val="22"/>
          <w:szCs w:val="22"/>
        </w:rPr>
        <w:t xml:space="preserve"> a la solicitud de información</w:t>
      </w:r>
      <w:r w:rsidRPr="002334F1">
        <w:rPr>
          <w:rFonts w:ascii="Palatino Linotype" w:hAnsi="Palatino Linotype"/>
          <w:b/>
          <w:bCs/>
          <w:sz w:val="22"/>
          <w:szCs w:val="22"/>
        </w:rPr>
        <w:t xml:space="preserve"> </w:t>
      </w:r>
      <w:r w:rsidR="001D33C0" w:rsidRPr="002334F1">
        <w:rPr>
          <w:rFonts w:ascii="Palatino Linotype" w:hAnsi="Palatino Linotype"/>
          <w:sz w:val="22"/>
          <w:szCs w:val="22"/>
        </w:rPr>
        <w:t>0625</w:t>
      </w:r>
      <w:r w:rsidRPr="002334F1">
        <w:rPr>
          <w:rFonts w:ascii="Palatino Linotype" w:hAnsi="Palatino Linotype"/>
          <w:sz w:val="22"/>
          <w:szCs w:val="22"/>
        </w:rPr>
        <w:t xml:space="preserve">/TEMAMATL/IP/2024, por resultar </w:t>
      </w:r>
      <w:r w:rsidRPr="002334F1">
        <w:rPr>
          <w:rFonts w:ascii="Palatino Linotype" w:hAnsi="Palatino Linotype"/>
          <w:b/>
          <w:bCs/>
          <w:sz w:val="22"/>
          <w:szCs w:val="22"/>
        </w:rPr>
        <w:t>FUNDADAS</w:t>
      </w:r>
      <w:r w:rsidRPr="002334F1">
        <w:rPr>
          <w:rFonts w:ascii="Palatino Linotype" w:hAnsi="Palatino Linotype"/>
          <w:sz w:val="22"/>
          <w:szCs w:val="22"/>
        </w:rPr>
        <w:t xml:space="preserve"> las razones o motivos de inconformidad hechos valer por el Recurrente, en términos de los considerandos QUINTO y SEXTO de la presente Resolución.</w:t>
      </w:r>
    </w:p>
    <w:p w14:paraId="5CDC58DA" w14:textId="77777777" w:rsidR="00897BB9" w:rsidRPr="002334F1" w:rsidRDefault="00897BB9" w:rsidP="00934271">
      <w:pPr>
        <w:spacing w:line="360" w:lineRule="auto"/>
        <w:contextualSpacing/>
        <w:jc w:val="both"/>
        <w:rPr>
          <w:rFonts w:ascii="Palatino Linotype" w:hAnsi="Palatino Linotype"/>
          <w:sz w:val="22"/>
          <w:szCs w:val="22"/>
        </w:rPr>
      </w:pPr>
    </w:p>
    <w:p w14:paraId="0C497E29" w14:textId="18E1581B" w:rsidR="00897BB9" w:rsidRPr="002334F1" w:rsidRDefault="00897BB9" w:rsidP="00934271">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r w:rsidRPr="002334F1">
        <w:rPr>
          <w:rFonts w:ascii="Palatino Linotype" w:hAnsi="Palatino Linotype" w:cs="Tahoma"/>
          <w:b/>
          <w:bCs/>
          <w:sz w:val="22"/>
          <w:szCs w:val="22"/>
        </w:rPr>
        <w:t xml:space="preserve">SEGUNDO. </w:t>
      </w:r>
      <w:r w:rsidRPr="002334F1">
        <w:rPr>
          <w:rFonts w:ascii="Palatino Linotype" w:hAnsi="Palatino Linotype" w:cs="Tahoma"/>
          <w:sz w:val="22"/>
          <w:szCs w:val="22"/>
        </w:rPr>
        <w:t xml:space="preserve">Se </w:t>
      </w:r>
      <w:r w:rsidRPr="002334F1">
        <w:rPr>
          <w:rFonts w:ascii="Palatino Linotype" w:hAnsi="Palatino Linotype" w:cs="Tahoma"/>
          <w:b/>
          <w:sz w:val="22"/>
          <w:szCs w:val="22"/>
        </w:rPr>
        <w:t xml:space="preserve">ORDENA </w:t>
      </w:r>
      <w:r w:rsidRPr="002334F1">
        <w:rPr>
          <w:rFonts w:ascii="Palatino Linotype" w:hAnsi="Palatino Linotype" w:cs="Tahoma"/>
          <w:sz w:val="22"/>
          <w:szCs w:val="22"/>
        </w:rPr>
        <w:t xml:space="preserve">al </w:t>
      </w:r>
      <w:r w:rsidRPr="002334F1">
        <w:rPr>
          <w:rFonts w:ascii="Palatino Linotype" w:hAnsi="Palatino Linotype" w:cs="Tahoma"/>
          <w:color w:val="0C0C0C"/>
          <w:sz w:val="22"/>
          <w:szCs w:val="22"/>
        </w:rPr>
        <w:t>Sujeto Obligado</w:t>
      </w:r>
      <w:r w:rsidRPr="002334F1">
        <w:rPr>
          <w:rFonts w:ascii="Palatino Linotype" w:hAnsi="Palatino Linotype" w:cs="Tahoma"/>
          <w:sz w:val="22"/>
          <w:szCs w:val="22"/>
        </w:rPr>
        <w:t xml:space="preserve">, a efecto de que previa búsqueda exhaustiva y razonable en todas las unidades administrativas competentes, entregue </w:t>
      </w:r>
      <w:r w:rsidRPr="002334F1">
        <w:rPr>
          <w:rFonts w:ascii="Palatino Linotype" w:hAnsi="Palatino Linotype" w:cs="Tahoma"/>
          <w:bCs/>
          <w:iCs/>
          <w:sz w:val="22"/>
          <w:szCs w:val="22"/>
        </w:rPr>
        <w:t xml:space="preserve">a través del Sistema de Acceso a la Información Mexiquense (SAIMEX), </w:t>
      </w:r>
      <w:r w:rsidR="00A3621F" w:rsidRPr="002334F1">
        <w:rPr>
          <w:rFonts w:ascii="Palatino Linotype" w:hAnsi="Palatino Linotype" w:cs="Tahoma"/>
          <w:bCs/>
          <w:iCs/>
          <w:sz w:val="22"/>
          <w:szCs w:val="22"/>
        </w:rPr>
        <w:t xml:space="preserve">los documentos donde conste </w:t>
      </w:r>
      <w:r w:rsidR="001D33C0" w:rsidRPr="002334F1">
        <w:rPr>
          <w:rFonts w:ascii="Palatino Linotype" w:hAnsi="Palatino Linotype" w:cs="Tahoma"/>
          <w:bCs/>
          <w:iCs/>
          <w:sz w:val="22"/>
          <w:szCs w:val="22"/>
        </w:rPr>
        <w:t xml:space="preserve">lo </w:t>
      </w:r>
      <w:r w:rsidRPr="002334F1">
        <w:rPr>
          <w:rFonts w:ascii="Palatino Linotype" w:eastAsia="Calibri" w:hAnsi="Palatino Linotype" w:cs="Tahoma"/>
          <w:iCs/>
          <w:sz w:val="22"/>
          <w:szCs w:val="22"/>
          <w:lang w:val="es-ES" w:eastAsia="es-ES_tradnl"/>
        </w:rPr>
        <w:t>siguiente:</w:t>
      </w:r>
    </w:p>
    <w:p w14:paraId="7A79B200" w14:textId="77777777" w:rsidR="00897BB9" w:rsidRPr="002334F1" w:rsidRDefault="00897BB9" w:rsidP="00934271">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29AE924D" w14:textId="5A5C9F3D" w:rsidR="00897BB9" w:rsidRPr="002334F1" w:rsidRDefault="00A3621F" w:rsidP="00934271">
      <w:pPr>
        <w:pStyle w:val="Prrafodelista"/>
        <w:numPr>
          <w:ilvl w:val="0"/>
          <w:numId w:val="9"/>
        </w:numPr>
        <w:tabs>
          <w:tab w:val="left" w:pos="4962"/>
        </w:tabs>
        <w:spacing w:line="360" w:lineRule="auto"/>
        <w:ind w:right="-28"/>
        <w:jc w:val="both"/>
        <w:rPr>
          <w:rFonts w:ascii="Palatino Linotype" w:eastAsia="Calibri" w:hAnsi="Palatino Linotype" w:cs="Tahoma"/>
          <w:iCs/>
          <w:szCs w:val="22"/>
          <w:lang w:val="es-ES" w:eastAsia="es-ES_tradnl"/>
        </w:rPr>
      </w:pPr>
      <w:r w:rsidRPr="002334F1">
        <w:rPr>
          <w:rFonts w:ascii="Palatino Linotype" w:eastAsia="Calibri" w:hAnsi="Palatino Linotype" w:cs="Tahoma"/>
          <w:bCs/>
          <w:szCs w:val="22"/>
          <w:lang w:val="es-ES"/>
        </w:rPr>
        <w:t>El</w:t>
      </w:r>
      <w:r w:rsidR="001D33C0" w:rsidRPr="002334F1">
        <w:rPr>
          <w:rFonts w:ascii="Palatino Linotype" w:eastAsia="Calibri" w:hAnsi="Palatino Linotype" w:cs="Tahoma"/>
          <w:bCs/>
          <w:szCs w:val="22"/>
        </w:rPr>
        <w:t xml:space="preserve"> </w:t>
      </w:r>
      <w:r w:rsidR="001D33C0" w:rsidRPr="002334F1">
        <w:rPr>
          <w:rFonts w:ascii="Palatino Linotype" w:eastAsia="Calibri" w:hAnsi="Palatino Linotype" w:cs="Tahoma"/>
          <w:iCs/>
          <w:szCs w:val="22"/>
          <w:lang w:val="es-ES" w:eastAsia="es-ES_tradnl"/>
        </w:rPr>
        <w:t xml:space="preserve">monto económico </w:t>
      </w:r>
      <w:r w:rsidR="008B5174" w:rsidRPr="002334F1">
        <w:rPr>
          <w:rFonts w:ascii="Palatino Linotype" w:eastAsia="Calibri" w:hAnsi="Palatino Linotype" w:cs="Tahoma"/>
          <w:iCs/>
          <w:szCs w:val="22"/>
          <w:lang w:val="es-ES" w:eastAsia="es-ES_tradnl"/>
        </w:rPr>
        <w:t>por el</w:t>
      </w:r>
      <w:r w:rsidR="001D33C0" w:rsidRPr="002334F1">
        <w:rPr>
          <w:rFonts w:ascii="Palatino Linotype" w:eastAsia="Calibri" w:hAnsi="Palatino Linotype" w:cs="Tahoma"/>
          <w:iCs/>
          <w:szCs w:val="22"/>
          <w:lang w:val="es-ES" w:eastAsia="es-ES_tradnl"/>
        </w:rPr>
        <w:t xml:space="preserve"> subsidio </w:t>
      </w:r>
      <w:r w:rsidR="008B5174" w:rsidRPr="002334F1">
        <w:rPr>
          <w:rFonts w:ascii="Palatino Linotype" w:eastAsia="Calibri" w:hAnsi="Palatino Linotype" w:cs="Tahoma"/>
          <w:iCs/>
          <w:szCs w:val="22"/>
          <w:lang w:val="es-ES" w:eastAsia="es-ES_tradnl"/>
        </w:rPr>
        <w:t>de</w:t>
      </w:r>
      <w:r w:rsidR="001D33C0" w:rsidRPr="002334F1">
        <w:rPr>
          <w:rFonts w:ascii="Palatino Linotype" w:eastAsia="Calibri" w:hAnsi="Palatino Linotype" w:cs="Tahoma"/>
          <w:iCs/>
          <w:szCs w:val="22"/>
          <w:lang w:val="es-ES" w:eastAsia="es-ES_tradnl"/>
        </w:rPr>
        <w:t xml:space="preserve"> trámites relacionados con las operaciones traslativas de dominio, impuesto predial y derechos por suministro de agua, del siete de octubre de dos mil veintitrés al siete de octubre de dos mil veinticuatro</w:t>
      </w:r>
      <w:r w:rsidR="00897BB9" w:rsidRPr="002334F1">
        <w:rPr>
          <w:rFonts w:ascii="Palatino Linotype" w:eastAsia="Calibri" w:hAnsi="Palatino Linotype" w:cs="Tahoma"/>
          <w:iCs/>
          <w:szCs w:val="22"/>
          <w:lang w:val="es-ES" w:eastAsia="es-ES_tradnl"/>
        </w:rPr>
        <w:t>.</w:t>
      </w:r>
    </w:p>
    <w:p w14:paraId="64F857FD" w14:textId="77777777" w:rsidR="00897BB9" w:rsidRPr="002334F1" w:rsidRDefault="00897BB9" w:rsidP="00934271">
      <w:pPr>
        <w:autoSpaceDE w:val="0"/>
        <w:autoSpaceDN w:val="0"/>
        <w:adjustRightInd w:val="0"/>
        <w:spacing w:line="360" w:lineRule="auto"/>
        <w:ind w:right="-28"/>
        <w:contextualSpacing/>
        <w:jc w:val="both"/>
        <w:rPr>
          <w:rFonts w:ascii="Palatino Linotype" w:hAnsi="Palatino Linotype" w:cs="Tahoma"/>
          <w:bCs/>
          <w:iCs/>
          <w:sz w:val="22"/>
          <w:szCs w:val="22"/>
        </w:rPr>
      </w:pPr>
    </w:p>
    <w:p w14:paraId="26547621" w14:textId="77777777" w:rsidR="00897BB9" w:rsidRPr="002334F1" w:rsidRDefault="00897BB9" w:rsidP="00934271">
      <w:pPr>
        <w:spacing w:line="360" w:lineRule="auto"/>
        <w:contextualSpacing/>
        <w:jc w:val="both"/>
        <w:rPr>
          <w:rFonts w:ascii="Palatino Linotype" w:hAnsi="Palatino Linotype" w:cs="Tahoma"/>
          <w:bCs/>
          <w:iCs/>
          <w:sz w:val="22"/>
          <w:szCs w:val="22"/>
        </w:rPr>
      </w:pPr>
      <w:r w:rsidRPr="002334F1">
        <w:rPr>
          <w:rFonts w:ascii="Palatino Linotype" w:hAnsi="Palatino Linotype" w:cs="Tahoma"/>
          <w:b/>
          <w:bCs/>
          <w:iCs/>
          <w:sz w:val="22"/>
          <w:szCs w:val="22"/>
        </w:rPr>
        <w:t>TERCERO</w:t>
      </w:r>
      <w:r w:rsidRPr="002334F1">
        <w:rPr>
          <w:rFonts w:ascii="Palatino Linotype" w:hAnsi="Palatino Linotype" w:cs="Tahoma"/>
          <w:b/>
          <w:bCs/>
          <w:sz w:val="22"/>
          <w:szCs w:val="22"/>
        </w:rPr>
        <w:t xml:space="preserve">. </w:t>
      </w:r>
      <w:r w:rsidRPr="002334F1">
        <w:rPr>
          <w:rFonts w:ascii="Palatino Linotype" w:hAnsi="Palatino Linotype" w:cs="Tahoma"/>
          <w:b/>
          <w:sz w:val="22"/>
          <w:szCs w:val="22"/>
        </w:rPr>
        <w:t xml:space="preserve">NOTIFÍQUESE POR SAIMEX </w:t>
      </w:r>
      <w:r w:rsidRPr="002334F1">
        <w:rPr>
          <w:rFonts w:ascii="Palatino Linotype" w:hAnsi="Palatino Linotype" w:cs="Tahoma"/>
          <w:bCs/>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2334F1">
        <w:rPr>
          <w:rFonts w:ascii="Palatino Linotype" w:hAnsi="Palatino Linotype" w:cs="Tahoma"/>
          <w:bCs/>
          <w:sz w:val="22"/>
          <w:szCs w:val="22"/>
        </w:rPr>
        <w:lastRenderedPageBreak/>
        <w:t>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1449513" w14:textId="77777777" w:rsidR="00897BB9" w:rsidRPr="002334F1" w:rsidRDefault="00897BB9" w:rsidP="00934271">
      <w:pPr>
        <w:spacing w:line="360" w:lineRule="auto"/>
        <w:contextualSpacing/>
        <w:jc w:val="both"/>
        <w:rPr>
          <w:rFonts w:ascii="Palatino Linotype" w:hAnsi="Palatino Linotype" w:cs="Tahoma"/>
          <w:sz w:val="22"/>
          <w:szCs w:val="22"/>
        </w:rPr>
      </w:pPr>
    </w:p>
    <w:p w14:paraId="0F17BF84" w14:textId="77777777" w:rsidR="00897BB9" w:rsidRPr="002334F1" w:rsidRDefault="00897BB9" w:rsidP="00934271">
      <w:pPr>
        <w:spacing w:line="360" w:lineRule="auto"/>
        <w:contextualSpacing/>
        <w:jc w:val="both"/>
        <w:rPr>
          <w:rFonts w:ascii="Palatino Linotype" w:hAnsi="Palatino Linotype" w:cs="Tahoma"/>
          <w:iCs/>
          <w:sz w:val="22"/>
          <w:szCs w:val="22"/>
        </w:rPr>
      </w:pPr>
      <w:r w:rsidRPr="002334F1">
        <w:rPr>
          <w:rFonts w:ascii="Palatino Linotype" w:hAnsi="Palatino Linotype" w:cs="Tahoma"/>
          <w:iCs/>
          <w:sz w:val="22"/>
          <w:szCs w:val="22"/>
        </w:rPr>
        <w:t xml:space="preserve">De conformidad con el artículo 198 de la </w:t>
      </w:r>
      <w:r w:rsidRPr="002334F1">
        <w:rPr>
          <w:rFonts w:ascii="Palatino Linotype" w:hAnsi="Palatino Linotype" w:cs="Tahoma"/>
          <w:bCs/>
          <w:sz w:val="22"/>
          <w:szCs w:val="22"/>
        </w:rPr>
        <w:t>Ley de Transparencia y Acceso a la Información Pública del Estado de México y Municipios</w:t>
      </w:r>
      <w:r w:rsidRPr="002334F1">
        <w:rPr>
          <w:rFonts w:ascii="Palatino Linotype" w:hAnsi="Palatino Linotype" w:cs="Tahoma"/>
          <w:iCs/>
          <w:sz w:val="22"/>
          <w:szCs w:val="22"/>
        </w:rPr>
        <w:t>, de considerarlo procedente, el Sujeto Obligado de manera fundada y motivada, podrá solicitar una ampliación de plazo para el cumplimiento de la presente Resolución.</w:t>
      </w:r>
    </w:p>
    <w:p w14:paraId="1D1AD49E" w14:textId="77777777" w:rsidR="00897BB9" w:rsidRPr="002334F1" w:rsidRDefault="00897BB9" w:rsidP="00934271">
      <w:pPr>
        <w:spacing w:line="360" w:lineRule="auto"/>
        <w:contextualSpacing/>
        <w:jc w:val="both"/>
        <w:rPr>
          <w:rFonts w:ascii="Palatino Linotype" w:hAnsi="Palatino Linotype" w:cs="Tahoma"/>
          <w:iCs/>
          <w:sz w:val="22"/>
          <w:szCs w:val="22"/>
        </w:rPr>
      </w:pPr>
    </w:p>
    <w:p w14:paraId="295B6494" w14:textId="77777777" w:rsidR="00897BB9" w:rsidRPr="002334F1" w:rsidRDefault="00897BB9" w:rsidP="00934271">
      <w:pPr>
        <w:shd w:val="clear" w:color="auto" w:fill="FFFFFF"/>
        <w:spacing w:line="360" w:lineRule="auto"/>
        <w:ind w:right="-28"/>
        <w:contextualSpacing/>
        <w:jc w:val="both"/>
        <w:rPr>
          <w:rFonts w:ascii="Palatino Linotype" w:hAnsi="Palatino Linotype" w:cs="Tahoma"/>
          <w:sz w:val="22"/>
          <w:szCs w:val="22"/>
        </w:rPr>
      </w:pPr>
      <w:r w:rsidRPr="002334F1">
        <w:rPr>
          <w:rFonts w:ascii="Palatino Linotype" w:hAnsi="Palatino Linotype" w:cs="Tahoma"/>
          <w:b/>
          <w:sz w:val="22"/>
          <w:szCs w:val="22"/>
        </w:rPr>
        <w:t>CUARTO</w:t>
      </w:r>
      <w:r w:rsidRPr="002334F1">
        <w:rPr>
          <w:rFonts w:ascii="Palatino Linotype" w:hAnsi="Palatino Linotype" w:cs="Tahoma"/>
          <w:b/>
          <w:bCs/>
          <w:sz w:val="22"/>
          <w:szCs w:val="22"/>
        </w:rPr>
        <w:t xml:space="preserve">. </w:t>
      </w:r>
      <w:r w:rsidRPr="002334F1">
        <w:rPr>
          <w:rFonts w:ascii="Palatino Linotype" w:hAnsi="Palatino Linotype" w:cs="Tahoma"/>
          <w:b/>
          <w:sz w:val="22"/>
          <w:szCs w:val="22"/>
        </w:rPr>
        <w:t>NOTIFÍQUESE POR SAIMEX</w:t>
      </w:r>
      <w:r w:rsidRPr="002334F1">
        <w:rPr>
          <w:rFonts w:ascii="Palatino Linotype" w:hAnsi="Palatino Linotype" w:cs="Tahoma"/>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22E3791" w14:textId="77777777" w:rsidR="00897BB9" w:rsidRPr="002334F1" w:rsidRDefault="00897BB9" w:rsidP="00934271">
      <w:pPr>
        <w:spacing w:line="360" w:lineRule="auto"/>
        <w:contextualSpacing/>
        <w:jc w:val="both"/>
        <w:rPr>
          <w:rFonts w:ascii="Palatino Linotype" w:hAnsi="Palatino Linotype"/>
          <w:sz w:val="22"/>
          <w:szCs w:val="22"/>
        </w:rPr>
      </w:pPr>
      <w:r w:rsidRPr="002334F1">
        <w:rPr>
          <w:rFonts w:ascii="Palatino Linotype" w:hAnsi="Palatino Linotype"/>
          <w:sz w:val="22"/>
          <w:szCs w:val="22"/>
        </w:rPr>
        <w:t xml:space="preserve"> </w:t>
      </w:r>
    </w:p>
    <w:p w14:paraId="32167930" w14:textId="77777777" w:rsidR="00897BB9" w:rsidRPr="00734ED9" w:rsidRDefault="00897BB9" w:rsidP="00934271">
      <w:pPr>
        <w:spacing w:line="360" w:lineRule="auto"/>
        <w:contextualSpacing/>
        <w:jc w:val="both"/>
        <w:rPr>
          <w:rFonts w:ascii="Palatino Linotype" w:hAnsi="Palatino Linotype"/>
          <w:sz w:val="22"/>
          <w:szCs w:val="22"/>
        </w:rPr>
      </w:pPr>
      <w:r w:rsidRPr="002334F1">
        <w:rPr>
          <w:rFonts w:ascii="Palatino Linotype" w:hAnsi="Palatino Linotype"/>
          <w:sz w:val="22"/>
          <w:szCs w:val="22"/>
        </w:rPr>
        <w:t xml:space="preserve">ASÍ LO RESUELVE, POR </w:t>
      </w:r>
      <w:r w:rsidRPr="008C0B5C">
        <w:rPr>
          <w:rFonts w:ascii="Palatino Linotype" w:hAnsi="Palatino Linotype"/>
          <w:b/>
          <w:sz w:val="22"/>
          <w:szCs w:val="22"/>
        </w:rPr>
        <w:t>UNANIMIDAD</w:t>
      </w:r>
      <w:r w:rsidRPr="002334F1">
        <w:rPr>
          <w:rFonts w:ascii="Palatino Linotype" w:hAnsi="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VEINTISIETE DE NOVIEMBRE DE DOS MIL VEINTICUATRO, ANTE EL SECRETARIO TÉCNICO DEL PLENO, ALEXIS TAPIA RAMÍREZ.</w:t>
      </w:r>
    </w:p>
    <w:p w14:paraId="237CF60E" w14:textId="1B36E097" w:rsidR="007F7E05" w:rsidRPr="00192B3C" w:rsidRDefault="007F7E05" w:rsidP="00192B3C">
      <w:pPr>
        <w:spacing w:line="360" w:lineRule="auto"/>
        <w:contextualSpacing/>
        <w:jc w:val="both"/>
        <w:rPr>
          <w:rFonts w:ascii="Palatino Linotype" w:hAnsi="Palatino Linotype" w:cs="Tahoma"/>
          <w:sz w:val="22"/>
          <w:szCs w:val="22"/>
        </w:rPr>
      </w:pPr>
      <w:bookmarkStart w:id="3" w:name="_GoBack"/>
      <w:bookmarkEnd w:id="3"/>
    </w:p>
    <w:sectPr w:rsidR="007F7E05" w:rsidRPr="00192B3C" w:rsidSect="0082658C">
      <w:headerReference w:type="even" r:id="rId9"/>
      <w:headerReference w:type="default" r:id="rId10"/>
      <w:footerReference w:type="default" r:id="rId11"/>
      <w:headerReference w:type="first" r:id="rId12"/>
      <w:footerReference w:type="first" r:id="rId13"/>
      <w:pgSz w:w="12240" w:h="15840"/>
      <w:pgMar w:top="80" w:right="1608" w:bottom="1134" w:left="1588" w:header="850"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A2976" w14:textId="77777777" w:rsidR="005503BD" w:rsidRDefault="005503BD" w:rsidP="00897BB9">
      <w:r>
        <w:separator/>
      </w:r>
    </w:p>
  </w:endnote>
  <w:endnote w:type="continuationSeparator" w:id="0">
    <w:p w14:paraId="010D515B" w14:textId="77777777" w:rsidR="005503BD" w:rsidRDefault="005503BD" w:rsidP="0089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5053877D" w14:textId="77777777" w:rsidR="00392F60" w:rsidRPr="00C13895" w:rsidRDefault="00392F60">
            <w:pPr>
              <w:pStyle w:val="Piedepgina"/>
              <w:jc w:val="right"/>
              <w:rPr>
                <w:sz w:val="26"/>
                <w:szCs w:val="26"/>
              </w:rPr>
            </w:pPr>
          </w:p>
          <w:p w14:paraId="2F81B3F5" w14:textId="77777777" w:rsidR="00392F60" w:rsidRDefault="00392F6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92B3C">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92B3C">
              <w:rPr>
                <w:b/>
                <w:bCs/>
                <w:noProof/>
              </w:rPr>
              <w:t>20</w:t>
            </w:r>
            <w:r>
              <w:rPr>
                <w:b/>
                <w:bCs/>
                <w:sz w:val="24"/>
                <w:szCs w:val="24"/>
              </w:rPr>
              <w:fldChar w:fldCharType="end"/>
            </w:r>
          </w:p>
        </w:sdtContent>
      </w:sdt>
    </w:sdtContent>
  </w:sdt>
  <w:p w14:paraId="1DE186E9" w14:textId="77777777" w:rsidR="00392F60" w:rsidRDefault="00392F6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635BFCEE" w14:textId="77777777" w:rsidR="00392F60" w:rsidRDefault="00392F60">
            <w:pPr>
              <w:pStyle w:val="Piedepgina"/>
              <w:jc w:val="right"/>
            </w:pPr>
          </w:p>
          <w:p w14:paraId="5B0324C1" w14:textId="77777777" w:rsidR="00392F60" w:rsidRDefault="00392F60">
            <w:pPr>
              <w:pStyle w:val="Piedepgina"/>
              <w:jc w:val="right"/>
            </w:pPr>
          </w:p>
          <w:p w14:paraId="22A5E857" w14:textId="77777777" w:rsidR="00392F60" w:rsidRDefault="00392F60">
            <w:pPr>
              <w:pStyle w:val="Piedepgina"/>
              <w:jc w:val="right"/>
            </w:pPr>
          </w:p>
          <w:p w14:paraId="51CF1E7B" w14:textId="77777777" w:rsidR="00392F60" w:rsidRDefault="00392F6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92B3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92B3C">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6B10C" w14:textId="77777777" w:rsidR="005503BD" w:rsidRDefault="005503BD" w:rsidP="00897BB9">
      <w:r>
        <w:separator/>
      </w:r>
    </w:p>
  </w:footnote>
  <w:footnote w:type="continuationSeparator" w:id="0">
    <w:p w14:paraId="70BCAC88" w14:textId="77777777" w:rsidR="005503BD" w:rsidRDefault="005503BD" w:rsidP="00897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9B59A" w14:textId="77777777" w:rsidR="00392F60" w:rsidRDefault="005503BD">
    <w:pPr>
      <w:pStyle w:val="Encabezado"/>
    </w:pPr>
    <w:r>
      <w:rPr>
        <w:noProof/>
        <w:lang w:eastAsia="es-MX"/>
      </w:rPr>
      <w:pict w14:anchorId="358DF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49" type="#_x0000_t75" alt="marcaaguaINFOEM" style="position:absolute;margin-left:0;margin-top:0;width:663.5pt;height:12in;z-index:-251659776;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B902" w14:textId="77777777" w:rsidR="00392F60" w:rsidRPr="009E6858" w:rsidRDefault="005503BD" w:rsidP="0082658C">
    <w:pPr>
      <w:tabs>
        <w:tab w:val="left" w:pos="3416"/>
      </w:tabs>
      <w:rPr>
        <w:sz w:val="22"/>
        <w:szCs w:val="22"/>
      </w:rPr>
    </w:pPr>
    <w:r>
      <w:rPr>
        <w:noProof/>
        <w:sz w:val="14"/>
        <w:lang w:eastAsia="es-MX"/>
      </w:rPr>
      <w:pict w14:anchorId="21801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100.7pt;margin-top:-126.25pt;width:663.5pt;height:12in;z-index:-251658752;mso-wrap-edited:f;mso-width-percent:0;mso-height-percent:0;mso-position-horizontal-relative:margin;mso-position-vertical-relative:margin;mso-width-percent:0;mso-height-percent:0" o:allowincell="f">
          <v:imagedata r:id="rId1" o:title="marcaaguaINFOEM"/>
          <w10:wrap anchorx="margin" anchory="margin"/>
        </v:shape>
      </w:pict>
    </w:r>
  </w:p>
  <w:tbl>
    <w:tblPr>
      <w:tblW w:w="9461" w:type="dxa"/>
      <w:tblLayout w:type="fixed"/>
      <w:tblLook w:val="04A0" w:firstRow="1" w:lastRow="0" w:firstColumn="1" w:lastColumn="0" w:noHBand="0" w:noVBand="1"/>
    </w:tblPr>
    <w:tblGrid>
      <w:gridCol w:w="2268"/>
      <w:gridCol w:w="7193"/>
    </w:tblGrid>
    <w:tr w:rsidR="00392F60" w:rsidRPr="005C106F" w14:paraId="4612AFB5" w14:textId="77777777" w:rsidTr="0082658C">
      <w:trPr>
        <w:trHeight w:val="70"/>
      </w:trPr>
      <w:tc>
        <w:tcPr>
          <w:tcW w:w="2268" w:type="dxa"/>
          <w:shd w:val="clear" w:color="auto" w:fill="auto"/>
        </w:tcPr>
        <w:p w14:paraId="08EB2FBC" w14:textId="77777777" w:rsidR="00392F60" w:rsidRPr="005C106F" w:rsidRDefault="00392F60" w:rsidP="0082658C">
          <w:pPr>
            <w:tabs>
              <w:tab w:val="right" w:pos="4273"/>
            </w:tabs>
            <w:rPr>
              <w:rFonts w:ascii="Garamond" w:eastAsia="Calibri" w:hAnsi="Garamond"/>
              <w:sz w:val="16"/>
              <w:szCs w:val="16"/>
            </w:rPr>
          </w:pPr>
        </w:p>
      </w:tc>
      <w:tc>
        <w:tcPr>
          <w:tcW w:w="7193" w:type="dxa"/>
          <w:shd w:val="clear" w:color="auto" w:fill="auto"/>
        </w:tcPr>
        <w:tbl>
          <w:tblPr>
            <w:tblStyle w:val="Tablaconcuadrcula"/>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726"/>
            <w:gridCol w:w="4212"/>
          </w:tblGrid>
          <w:tr w:rsidR="00392F60" w14:paraId="1D6F06D1" w14:textId="77777777" w:rsidTr="0082658C">
            <w:trPr>
              <w:trHeight w:val="128"/>
            </w:trPr>
            <w:tc>
              <w:tcPr>
                <w:tcW w:w="3726" w:type="dxa"/>
                <w:vAlign w:val="bottom"/>
              </w:tcPr>
              <w:p w14:paraId="41930701" w14:textId="77777777" w:rsidR="00392F60" w:rsidRPr="008B41A2" w:rsidRDefault="00392F60" w:rsidP="0082658C">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4212" w:type="dxa"/>
              </w:tcPr>
              <w:p w14:paraId="408084AF" w14:textId="77777777" w:rsidR="00392F60" w:rsidRPr="00651A13" w:rsidRDefault="00392F60" w:rsidP="0082658C">
                <w:pPr>
                  <w:tabs>
                    <w:tab w:val="right" w:pos="8838"/>
                  </w:tabs>
                  <w:ind w:left="-28" w:right="683"/>
                  <w:rPr>
                    <w:rFonts w:ascii="Palatino Linotype" w:eastAsia="Calibri" w:hAnsi="Palatino Linotype" w:cs="Tahoma"/>
                    <w:sz w:val="22"/>
                    <w:szCs w:val="22"/>
                  </w:rPr>
                </w:pPr>
                <w:r w:rsidRPr="006D1DD9">
                  <w:rPr>
                    <w:rFonts w:ascii="Palatino Linotype" w:eastAsia="Calibri" w:hAnsi="Palatino Linotype" w:cs="Tahoma"/>
                    <w:sz w:val="22"/>
                    <w:szCs w:val="22"/>
                    <w:lang w:val="es-MX"/>
                  </w:rPr>
                  <w:t>0</w:t>
                </w:r>
                <w:r>
                  <w:rPr>
                    <w:rFonts w:ascii="Palatino Linotype" w:eastAsia="Calibri" w:hAnsi="Palatino Linotype" w:cs="Tahoma"/>
                    <w:sz w:val="22"/>
                    <w:szCs w:val="22"/>
                    <w:lang w:val="es-MX"/>
                  </w:rPr>
                  <w:t>6886/INFOEM/IP/RR/2024</w:t>
                </w:r>
              </w:p>
            </w:tc>
          </w:tr>
          <w:tr w:rsidR="00392F60" w14:paraId="211EAF0D" w14:textId="77777777" w:rsidTr="0082658C">
            <w:trPr>
              <w:trHeight w:val="251"/>
            </w:trPr>
            <w:tc>
              <w:tcPr>
                <w:tcW w:w="3726" w:type="dxa"/>
              </w:tcPr>
              <w:p w14:paraId="47654037" w14:textId="77777777" w:rsidR="00392F60" w:rsidRPr="008B41A2" w:rsidRDefault="00392F60" w:rsidP="0082658C">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4212" w:type="dxa"/>
              </w:tcPr>
              <w:p w14:paraId="125D51FA" w14:textId="77777777" w:rsidR="00392F60" w:rsidRPr="008B41A2" w:rsidRDefault="00392F60" w:rsidP="0082658C">
                <w:pPr>
                  <w:tabs>
                    <w:tab w:val="right" w:pos="8838"/>
                  </w:tabs>
                  <w:ind w:right="1008"/>
                  <w:jc w:val="both"/>
                  <w:rPr>
                    <w:rFonts w:ascii="Palatino Linotype" w:eastAsia="Calibri" w:hAnsi="Palatino Linotype" w:cs="Tahoma"/>
                    <w:sz w:val="22"/>
                    <w:szCs w:val="22"/>
                    <w:lang w:val="es-MX"/>
                  </w:rPr>
                </w:pPr>
                <w:r>
                  <w:rPr>
                    <w:rFonts w:ascii="Palatino Linotype" w:hAnsi="Palatino Linotype"/>
                    <w:sz w:val="22"/>
                    <w:szCs w:val="22"/>
                  </w:rPr>
                  <w:t xml:space="preserve">Ayuntamiento de </w:t>
                </w:r>
                <w:proofErr w:type="spellStart"/>
                <w:r>
                  <w:rPr>
                    <w:rFonts w:ascii="Palatino Linotype" w:hAnsi="Palatino Linotype"/>
                    <w:sz w:val="22"/>
                    <w:szCs w:val="22"/>
                  </w:rPr>
                  <w:t>Temamatla</w:t>
                </w:r>
                <w:proofErr w:type="spellEnd"/>
              </w:p>
            </w:tc>
          </w:tr>
          <w:tr w:rsidR="00392F60" w14:paraId="3B1CE05D" w14:textId="77777777" w:rsidTr="0082658C">
            <w:trPr>
              <w:trHeight w:val="251"/>
            </w:trPr>
            <w:tc>
              <w:tcPr>
                <w:tcW w:w="3726" w:type="dxa"/>
              </w:tcPr>
              <w:p w14:paraId="312E4749" w14:textId="77777777" w:rsidR="00392F60" w:rsidRPr="008B41A2" w:rsidRDefault="00392F60" w:rsidP="0082658C">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4212" w:type="dxa"/>
              </w:tcPr>
              <w:p w14:paraId="577192E3" w14:textId="77777777" w:rsidR="00392F60" w:rsidRPr="008B41A2" w:rsidRDefault="00392F60" w:rsidP="0082658C">
                <w:pPr>
                  <w:tabs>
                    <w:tab w:val="right" w:pos="8838"/>
                  </w:tabs>
                  <w:ind w:right="-32"/>
                  <w:rPr>
                    <w:rFonts w:ascii="Palatino Linotype" w:eastAsia="Calibri" w:hAnsi="Palatino Linotype" w:cs="Tahoma"/>
                    <w:b/>
                    <w:sz w:val="22"/>
                    <w:szCs w:val="22"/>
                    <w:lang w:val="es-MX"/>
                  </w:rPr>
                </w:pPr>
                <w:r w:rsidRPr="008B41A2">
                  <w:rPr>
                    <w:rFonts w:ascii="Palatino Linotype" w:eastAsia="Calibri" w:hAnsi="Palatino Linotype" w:cs="Tahoma"/>
                    <w:sz w:val="22"/>
                    <w:szCs w:val="22"/>
                    <w:lang w:val="es-MX"/>
                  </w:rPr>
                  <w:t>Luis Gustavo Parra Noriega</w:t>
                </w:r>
              </w:p>
            </w:tc>
          </w:tr>
        </w:tbl>
        <w:p w14:paraId="5DD817B7" w14:textId="77777777" w:rsidR="00392F60" w:rsidRPr="005C106F" w:rsidRDefault="00392F60" w:rsidP="0082658C">
          <w:pPr>
            <w:tabs>
              <w:tab w:val="right" w:pos="8838"/>
            </w:tabs>
            <w:ind w:left="-28"/>
            <w:rPr>
              <w:rFonts w:ascii="Arial" w:eastAsia="Calibri" w:hAnsi="Arial" w:cs="Arial"/>
              <w:b/>
            </w:rPr>
          </w:pPr>
        </w:p>
      </w:tc>
    </w:tr>
  </w:tbl>
  <w:p w14:paraId="55EB7FA1" w14:textId="77777777" w:rsidR="00392F60" w:rsidRDefault="00392F60" w:rsidP="0082658C">
    <w:pPr>
      <w:pStyle w:val="Encabezado"/>
      <w:rPr>
        <w:sz w:val="14"/>
      </w:rPr>
    </w:pPr>
  </w:p>
  <w:p w14:paraId="468C2B44" w14:textId="77777777" w:rsidR="00392F60" w:rsidRPr="00443C6B" w:rsidRDefault="00392F60" w:rsidP="0082658C">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94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828"/>
      <w:gridCol w:w="3118"/>
    </w:tblGrid>
    <w:tr w:rsidR="00392F60" w:rsidRPr="00264223" w14:paraId="169DEC86" w14:textId="77777777" w:rsidTr="0082658C">
      <w:trPr>
        <w:trHeight w:val="302"/>
      </w:trPr>
      <w:tc>
        <w:tcPr>
          <w:tcW w:w="3828" w:type="dxa"/>
        </w:tcPr>
        <w:p w14:paraId="010DC22F" w14:textId="77777777" w:rsidR="00392F60" w:rsidRPr="00D3618F" w:rsidRDefault="00392F60" w:rsidP="0082658C">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3118" w:type="dxa"/>
        </w:tcPr>
        <w:p w14:paraId="07DF2513" w14:textId="77777777" w:rsidR="00392F60" w:rsidRPr="00651A13" w:rsidRDefault="00392F60" w:rsidP="0082658C">
          <w:pPr>
            <w:tabs>
              <w:tab w:val="right" w:pos="8838"/>
            </w:tabs>
            <w:jc w:val="both"/>
            <w:rPr>
              <w:rFonts w:ascii="Palatino Linotype" w:eastAsia="Calibri" w:hAnsi="Palatino Linotype" w:cs="Tahoma"/>
              <w:sz w:val="22"/>
              <w:szCs w:val="22"/>
              <w:lang w:eastAsia="en-US"/>
            </w:rPr>
          </w:pPr>
          <w:r w:rsidRPr="00BE31CC">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6886</w:t>
          </w:r>
          <w:r w:rsidRPr="00BE31CC">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4</w:t>
          </w:r>
        </w:p>
      </w:tc>
    </w:tr>
    <w:tr w:rsidR="00392F60" w:rsidRPr="00264223" w14:paraId="514FF70D" w14:textId="77777777" w:rsidTr="0082658C">
      <w:trPr>
        <w:trHeight w:val="110"/>
      </w:trPr>
      <w:tc>
        <w:tcPr>
          <w:tcW w:w="3828" w:type="dxa"/>
        </w:tcPr>
        <w:p w14:paraId="43878C83" w14:textId="77777777" w:rsidR="00392F60" w:rsidRPr="00D3618F" w:rsidRDefault="00392F60" w:rsidP="0082658C">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3118" w:type="dxa"/>
        </w:tcPr>
        <w:p w14:paraId="422645C9" w14:textId="77777777" w:rsidR="00392F60" w:rsidRPr="00E22A9C" w:rsidRDefault="00392F60" w:rsidP="0082658C">
          <w:pPr>
            <w:jc w:val="both"/>
            <w:rPr>
              <w:rFonts w:ascii="Palatino Linotype" w:hAnsi="Palatino Linotype"/>
              <w:sz w:val="22"/>
              <w:szCs w:val="22"/>
              <w:lang w:eastAsia="es-MX"/>
            </w:rPr>
          </w:pPr>
        </w:p>
      </w:tc>
    </w:tr>
    <w:tr w:rsidR="00392F60" w:rsidRPr="00264223" w14:paraId="28F2AA01" w14:textId="77777777" w:rsidTr="0082658C">
      <w:trPr>
        <w:trHeight w:val="248"/>
      </w:trPr>
      <w:tc>
        <w:tcPr>
          <w:tcW w:w="3828" w:type="dxa"/>
        </w:tcPr>
        <w:p w14:paraId="03C58F0F" w14:textId="77777777" w:rsidR="00392F60" w:rsidRPr="00D3618F" w:rsidRDefault="00392F60" w:rsidP="0082658C">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3118" w:type="dxa"/>
        </w:tcPr>
        <w:p w14:paraId="4D0DE40D" w14:textId="77777777" w:rsidR="00392F60" w:rsidRPr="00651A13" w:rsidRDefault="00392F60" w:rsidP="0082658C">
          <w:pPr>
            <w:tabs>
              <w:tab w:val="right" w:pos="8838"/>
            </w:tabs>
            <w:jc w:val="both"/>
            <w:rPr>
              <w:rFonts w:ascii="Palatino Linotype" w:eastAsia="Calibri" w:hAnsi="Palatino Linotype" w:cs="Tahoma"/>
              <w:sz w:val="22"/>
              <w:szCs w:val="22"/>
              <w:lang w:val="es-MX" w:eastAsia="en-US"/>
            </w:rPr>
          </w:pPr>
          <w:r>
            <w:rPr>
              <w:rFonts w:ascii="Palatino Linotype" w:hAnsi="Palatino Linotype"/>
              <w:sz w:val="22"/>
              <w:szCs w:val="22"/>
            </w:rPr>
            <w:t xml:space="preserve">Ayuntamiento de </w:t>
          </w:r>
          <w:proofErr w:type="spellStart"/>
          <w:r>
            <w:rPr>
              <w:rFonts w:ascii="Palatino Linotype" w:hAnsi="Palatino Linotype"/>
              <w:sz w:val="22"/>
              <w:szCs w:val="22"/>
            </w:rPr>
            <w:t>Temamatla</w:t>
          </w:r>
          <w:proofErr w:type="spellEnd"/>
        </w:p>
      </w:tc>
    </w:tr>
    <w:tr w:rsidR="00392F60" w:rsidRPr="00264223" w14:paraId="669A57F6" w14:textId="77777777" w:rsidTr="0082658C">
      <w:trPr>
        <w:trHeight w:val="248"/>
      </w:trPr>
      <w:tc>
        <w:tcPr>
          <w:tcW w:w="3828" w:type="dxa"/>
        </w:tcPr>
        <w:p w14:paraId="0070B5B2" w14:textId="77777777" w:rsidR="00392F60" w:rsidRPr="00D3618F" w:rsidRDefault="00392F60" w:rsidP="0082658C">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3118" w:type="dxa"/>
        </w:tcPr>
        <w:p w14:paraId="7EF70C28" w14:textId="77777777" w:rsidR="00392F60" w:rsidRPr="00D3618F" w:rsidRDefault="00392F60" w:rsidP="0082658C">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4A2D604B" w14:textId="77777777" w:rsidR="00392F60" w:rsidRDefault="005503BD" w:rsidP="0082658C">
    <w:pPr>
      <w:ind w:right="-312"/>
    </w:pPr>
    <w:r>
      <w:rPr>
        <w:noProof/>
        <w:lang w:eastAsia="es-MX"/>
      </w:rPr>
      <w:pict w14:anchorId="4A6FA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51" type="#_x0000_t75" alt="marcaaguaINFOEM" style="position:absolute;margin-left:-92.55pt;margin-top:-120.95pt;width:663.5pt;height:12in;z-index:-251657728;mso-wrap-edited:f;mso-width-percent:0;mso-height-percent:0;mso-position-horizontal-relative:margin;mso-position-vertical-relative:margin;mso-width-percent:0;mso-height-percent:0"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1C63"/>
    <w:multiLevelType w:val="hybridMultilevel"/>
    <w:tmpl w:val="50A89D6A"/>
    <w:lvl w:ilvl="0" w:tplc="286AF750">
      <w:start w:val="1"/>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3512B6"/>
    <w:multiLevelType w:val="hybridMultilevel"/>
    <w:tmpl w:val="23780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C06910"/>
    <w:multiLevelType w:val="hybridMultilevel"/>
    <w:tmpl w:val="AF2C9F4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19F44AE3"/>
    <w:multiLevelType w:val="hybridMultilevel"/>
    <w:tmpl w:val="49861438"/>
    <w:lvl w:ilvl="0" w:tplc="0FEE5F58">
      <w:start w:val="4"/>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E0506D"/>
    <w:multiLevelType w:val="hybridMultilevel"/>
    <w:tmpl w:val="2618E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1F1831"/>
    <w:multiLevelType w:val="hybridMultilevel"/>
    <w:tmpl w:val="88E8D31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0A13372"/>
    <w:multiLevelType w:val="hybridMultilevel"/>
    <w:tmpl w:val="9B547A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7B931387"/>
    <w:multiLevelType w:val="hybridMultilevel"/>
    <w:tmpl w:val="AC2A4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8"/>
  </w:num>
  <w:num w:numId="6">
    <w:abstractNumId w:val="0"/>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B9"/>
    <w:rsid w:val="000B1C9C"/>
    <w:rsid w:val="00192B3C"/>
    <w:rsid w:val="001D33C0"/>
    <w:rsid w:val="002334F1"/>
    <w:rsid w:val="00235AD2"/>
    <w:rsid w:val="003212E8"/>
    <w:rsid w:val="00392F60"/>
    <w:rsid w:val="00532E6C"/>
    <w:rsid w:val="005503BD"/>
    <w:rsid w:val="005F30FD"/>
    <w:rsid w:val="00667446"/>
    <w:rsid w:val="006D5EF0"/>
    <w:rsid w:val="007F7E05"/>
    <w:rsid w:val="0082658C"/>
    <w:rsid w:val="008872AE"/>
    <w:rsid w:val="00897BB9"/>
    <w:rsid w:val="008B3B77"/>
    <w:rsid w:val="008B5174"/>
    <w:rsid w:val="008C0B5C"/>
    <w:rsid w:val="00934271"/>
    <w:rsid w:val="00983334"/>
    <w:rsid w:val="00A3621F"/>
    <w:rsid w:val="00AD3BBF"/>
    <w:rsid w:val="00B2140B"/>
    <w:rsid w:val="00BF0BB7"/>
    <w:rsid w:val="00C71C67"/>
    <w:rsid w:val="00CD7E5A"/>
    <w:rsid w:val="00CE3050"/>
    <w:rsid w:val="00DF51A8"/>
    <w:rsid w:val="00E032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BF1010"/>
  <w15:chartTrackingRefBased/>
  <w15:docId w15:val="{6D3B6826-3F8F-48C7-A48D-A4854CFB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BB9"/>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7BB9"/>
    <w:pPr>
      <w:tabs>
        <w:tab w:val="center" w:pos="4419"/>
        <w:tab w:val="right" w:pos="8838"/>
      </w:tabs>
    </w:pPr>
  </w:style>
  <w:style w:type="character" w:customStyle="1" w:styleId="EncabezadoCar">
    <w:name w:val="Encabezado Car"/>
    <w:basedOn w:val="Fuentedeprrafopredeter"/>
    <w:link w:val="Encabezado"/>
    <w:uiPriority w:val="99"/>
    <w:rsid w:val="00897BB9"/>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897BB9"/>
    <w:pPr>
      <w:tabs>
        <w:tab w:val="center" w:pos="4419"/>
        <w:tab w:val="right" w:pos="8838"/>
      </w:tabs>
    </w:pPr>
  </w:style>
  <w:style w:type="character" w:customStyle="1" w:styleId="PiedepginaCar">
    <w:name w:val="Pie de página Car"/>
    <w:basedOn w:val="Fuentedeprrafopredeter"/>
    <w:link w:val="Piedepgina"/>
    <w:uiPriority w:val="99"/>
    <w:rsid w:val="00897BB9"/>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97BB9"/>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897BB9"/>
    <w:rPr>
      <w:rFonts w:ascii="Century Gothic" w:eastAsia="Times New Roman" w:hAnsi="Century Gothic" w:cs="Times New Roman"/>
      <w:szCs w:val="24"/>
      <w:lang w:eastAsia="es-ES"/>
    </w:rPr>
  </w:style>
  <w:style w:type="table" w:styleId="Tablaconcuadrcula">
    <w:name w:val="Table Grid"/>
    <w:basedOn w:val="Tablanormal"/>
    <w:uiPriority w:val="39"/>
    <w:rsid w:val="00897BB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5259</Words>
  <Characters>28927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INFOEM</cp:lastModifiedBy>
  <cp:revision>4</cp:revision>
  <cp:lastPrinted>2024-11-28T23:41:00Z</cp:lastPrinted>
  <dcterms:created xsi:type="dcterms:W3CDTF">2024-11-28T23:41:00Z</dcterms:created>
  <dcterms:modified xsi:type="dcterms:W3CDTF">2025-02-05T16:42:00Z</dcterms:modified>
</cp:coreProperties>
</file>