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A4557" w14:textId="77777777" w:rsidR="00267298" w:rsidRDefault="00267298">
      <w:pPr>
        <w:widowControl w:val="0"/>
        <w:pBdr>
          <w:top w:val="nil"/>
          <w:left w:val="nil"/>
          <w:bottom w:val="nil"/>
          <w:right w:val="nil"/>
          <w:between w:val="nil"/>
        </w:pBdr>
        <w:spacing w:line="276" w:lineRule="auto"/>
      </w:pPr>
    </w:p>
    <w:p w14:paraId="0B2303F5" w14:textId="77777777" w:rsidR="00267298" w:rsidRDefault="00267298">
      <w:pPr>
        <w:widowControl w:val="0"/>
        <w:pBdr>
          <w:top w:val="nil"/>
          <w:left w:val="nil"/>
          <w:bottom w:val="nil"/>
          <w:right w:val="nil"/>
          <w:between w:val="nil"/>
        </w:pBdr>
        <w:spacing w:line="276" w:lineRule="auto"/>
      </w:pPr>
    </w:p>
    <w:p w14:paraId="595B9077" w14:textId="71BF22BA" w:rsidR="00267298" w:rsidRPr="00B3795E" w:rsidRDefault="006A72E6">
      <w:pPr>
        <w:spacing w:line="360" w:lineRule="auto"/>
        <w:ind w:right="-876"/>
        <w:jc w:val="both"/>
        <w:rPr>
          <w:rFonts w:ascii="Palatino Linotype" w:eastAsia="Palatino Linotype" w:hAnsi="Palatino Linotype" w:cs="Palatino Linotype"/>
        </w:rPr>
      </w:pPr>
      <w:r w:rsidRPr="00B3795E">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w:t>
      </w:r>
      <w:r w:rsidR="00194172" w:rsidRPr="00B3795E">
        <w:rPr>
          <w:rFonts w:ascii="Palatino Linotype" w:eastAsia="Palatino Linotype" w:hAnsi="Palatino Linotype" w:cs="Palatino Linotype"/>
        </w:rPr>
        <w:t>do</w:t>
      </w:r>
      <w:r w:rsidR="00ED4D9D" w:rsidRPr="00B3795E">
        <w:rPr>
          <w:rFonts w:ascii="Palatino Linotype" w:eastAsia="Palatino Linotype" w:hAnsi="Palatino Linotype" w:cs="Palatino Linotype"/>
        </w:rPr>
        <w:t xml:space="preserve"> de México; de fecha cuatro (04) de diciembre</w:t>
      </w:r>
      <w:r w:rsidRPr="00B3795E">
        <w:rPr>
          <w:rFonts w:ascii="Palatino Linotype" w:eastAsia="Palatino Linotype" w:hAnsi="Palatino Linotype" w:cs="Palatino Linotype"/>
        </w:rPr>
        <w:t xml:space="preserve"> de dos mil veinticuatro.</w:t>
      </w:r>
    </w:p>
    <w:p w14:paraId="28C2037E" w14:textId="77777777" w:rsidR="00267298" w:rsidRPr="00B3795E" w:rsidRDefault="00267298">
      <w:pPr>
        <w:spacing w:line="360" w:lineRule="auto"/>
        <w:ind w:right="-876"/>
        <w:jc w:val="both"/>
        <w:rPr>
          <w:rFonts w:ascii="Palatino Linotype" w:eastAsia="Palatino Linotype" w:hAnsi="Palatino Linotype" w:cs="Palatino Linotype"/>
        </w:rPr>
      </w:pPr>
    </w:p>
    <w:p w14:paraId="360CBF95" w14:textId="57C7664B" w:rsidR="00267298" w:rsidRPr="00B3795E" w:rsidRDefault="006A72E6">
      <w:pPr>
        <w:spacing w:line="360" w:lineRule="auto"/>
        <w:ind w:right="-876"/>
        <w:jc w:val="both"/>
        <w:rPr>
          <w:rFonts w:ascii="Palatino Linotype" w:eastAsia="Palatino Linotype" w:hAnsi="Palatino Linotype" w:cs="Palatino Linotype"/>
        </w:rPr>
      </w:pPr>
      <w:r w:rsidRPr="00B3795E">
        <w:rPr>
          <w:rFonts w:ascii="Palatino Linotype" w:eastAsia="Palatino Linotype" w:hAnsi="Palatino Linotype" w:cs="Palatino Linotype"/>
          <w:b/>
        </w:rPr>
        <w:t>VISTOS</w:t>
      </w:r>
      <w:r w:rsidRPr="00B3795E">
        <w:rPr>
          <w:rFonts w:ascii="Palatino Linotype" w:eastAsia="Palatino Linotype" w:hAnsi="Palatino Linotype" w:cs="Palatino Linotype"/>
        </w:rPr>
        <w:t xml:space="preserve"> los expedientes electrónicos formados con motivo de los recursos de revisión</w:t>
      </w:r>
      <w:r w:rsidR="00194172" w:rsidRPr="00B3795E">
        <w:rPr>
          <w:rFonts w:ascii="Palatino Linotype" w:eastAsia="Palatino Linotype" w:hAnsi="Palatino Linotype" w:cs="Palatino Linotype"/>
          <w:b/>
        </w:rPr>
        <w:t xml:space="preserve"> </w:t>
      </w:r>
      <w:r w:rsidR="003C387B" w:rsidRPr="00B3795E">
        <w:rPr>
          <w:rFonts w:ascii="Palatino Linotype" w:eastAsia="Palatino Linotype" w:hAnsi="Palatino Linotype" w:cs="Palatino Linotype"/>
          <w:b/>
        </w:rPr>
        <w:t>04338</w:t>
      </w:r>
      <w:r w:rsidR="00D72999" w:rsidRPr="00B3795E">
        <w:rPr>
          <w:rFonts w:ascii="Palatino Linotype" w:eastAsia="Palatino Linotype" w:hAnsi="Palatino Linotype" w:cs="Palatino Linotype"/>
          <w:b/>
        </w:rPr>
        <w:t>/INFOEM/IP/RR/2024 y</w:t>
      </w:r>
      <w:r w:rsidR="00ED4D9D" w:rsidRPr="00B3795E">
        <w:rPr>
          <w:rFonts w:ascii="Palatino Linotype" w:eastAsia="Palatino Linotype" w:hAnsi="Palatino Linotype" w:cs="Palatino Linotype"/>
          <w:b/>
        </w:rPr>
        <w:t xml:space="preserve"> </w:t>
      </w:r>
      <w:r w:rsidR="00D72999" w:rsidRPr="00B3795E">
        <w:rPr>
          <w:rFonts w:ascii="Palatino Linotype" w:eastAsia="Palatino Linotype" w:hAnsi="Palatino Linotype" w:cs="Palatino Linotype"/>
          <w:b/>
        </w:rPr>
        <w:t>04340/INFOEM/IP/RR/2024</w:t>
      </w:r>
      <w:r w:rsidRPr="00B3795E">
        <w:rPr>
          <w:rFonts w:ascii="Palatino Linotype" w:eastAsia="Palatino Linotype" w:hAnsi="Palatino Linotype" w:cs="Palatino Linotype"/>
          <w:b/>
        </w:rPr>
        <w:t xml:space="preserve">, </w:t>
      </w:r>
      <w:r w:rsidRPr="00B3795E">
        <w:rPr>
          <w:rFonts w:ascii="Palatino Linotype" w:eastAsia="Palatino Linotype" w:hAnsi="Palatino Linotype" w:cs="Palatino Linotype"/>
        </w:rPr>
        <w:t xml:space="preserve">promovidos por </w:t>
      </w:r>
      <w:r w:rsidR="00317296">
        <w:rPr>
          <w:rFonts w:ascii="Palatino Linotype" w:eastAsia="Palatino Linotype" w:hAnsi="Palatino Linotype" w:cs="Palatino Linotype"/>
        </w:rPr>
        <w:t>XXXXXXXXXXX</w:t>
      </w:r>
      <w:bookmarkStart w:id="0" w:name="_GoBack"/>
      <w:bookmarkEnd w:id="0"/>
      <w:r w:rsidRPr="00B3795E">
        <w:rPr>
          <w:rFonts w:ascii="Palatino Linotype" w:eastAsia="Palatino Linotype" w:hAnsi="Palatino Linotype" w:cs="Palatino Linotype"/>
          <w:b/>
        </w:rPr>
        <w:t>,</w:t>
      </w:r>
      <w:r w:rsidRPr="00B3795E">
        <w:rPr>
          <w:rFonts w:ascii="Palatino Linotype" w:eastAsia="Palatino Linotype" w:hAnsi="Palatino Linotype" w:cs="Palatino Linotype"/>
        </w:rPr>
        <w:t xml:space="preserve"> a quien en lo sucesivo se identificará </w:t>
      </w:r>
      <w:r w:rsidR="003C387B" w:rsidRPr="00B3795E">
        <w:rPr>
          <w:rFonts w:ascii="Palatino Linotype" w:eastAsia="Palatino Linotype" w:hAnsi="Palatino Linotype" w:cs="Palatino Linotype"/>
        </w:rPr>
        <w:t>como EL</w:t>
      </w:r>
      <w:r w:rsidRPr="00B3795E">
        <w:rPr>
          <w:rFonts w:ascii="Palatino Linotype" w:eastAsia="Palatino Linotype" w:hAnsi="Palatino Linotype" w:cs="Palatino Linotype"/>
          <w:b/>
        </w:rPr>
        <w:t xml:space="preserve"> RECURRENTE</w:t>
      </w:r>
      <w:r w:rsidRPr="00B3795E">
        <w:rPr>
          <w:rFonts w:ascii="Palatino Linotype" w:eastAsia="Palatino Linotype" w:hAnsi="Palatino Linotype" w:cs="Palatino Linotype"/>
        </w:rPr>
        <w:t>, en contra de la respues</w:t>
      </w:r>
      <w:r w:rsidR="00D72999" w:rsidRPr="00B3795E">
        <w:rPr>
          <w:rFonts w:ascii="Palatino Linotype" w:eastAsia="Palatino Linotype" w:hAnsi="Palatino Linotype" w:cs="Palatino Linotype"/>
        </w:rPr>
        <w:t>ta de la Secretaría de Finanzas</w:t>
      </w:r>
      <w:r w:rsidRPr="00B3795E">
        <w:rPr>
          <w:rFonts w:ascii="Palatino Linotype" w:eastAsia="Palatino Linotype" w:hAnsi="Palatino Linotype" w:cs="Palatino Linotype"/>
          <w:b/>
        </w:rPr>
        <w:t xml:space="preserve">, </w:t>
      </w:r>
      <w:r w:rsidRPr="00B3795E">
        <w:rPr>
          <w:rFonts w:ascii="Palatino Linotype" w:eastAsia="Palatino Linotype" w:hAnsi="Palatino Linotype" w:cs="Palatino Linotype"/>
        </w:rPr>
        <w:t>en adelante el</w:t>
      </w:r>
      <w:r w:rsidRPr="00B3795E">
        <w:rPr>
          <w:rFonts w:ascii="Palatino Linotype" w:eastAsia="Palatino Linotype" w:hAnsi="Palatino Linotype" w:cs="Palatino Linotype"/>
          <w:b/>
        </w:rPr>
        <w:t xml:space="preserve"> SUJETO OBLIGADO</w:t>
      </w:r>
      <w:r w:rsidRPr="00B3795E">
        <w:rPr>
          <w:rFonts w:ascii="Palatino Linotype" w:eastAsia="Palatino Linotype" w:hAnsi="Palatino Linotype" w:cs="Palatino Linotype"/>
        </w:rPr>
        <w:t>, por lo que se procede a dictar la presente resolución, con base en los siguientes:</w:t>
      </w:r>
    </w:p>
    <w:p w14:paraId="221E838F" w14:textId="77777777" w:rsidR="00267298" w:rsidRPr="00B3795E" w:rsidRDefault="00267298">
      <w:pPr>
        <w:spacing w:line="360" w:lineRule="auto"/>
        <w:ind w:right="-876"/>
        <w:jc w:val="both"/>
        <w:rPr>
          <w:rFonts w:ascii="Palatino Linotype" w:eastAsia="Palatino Linotype" w:hAnsi="Palatino Linotype" w:cs="Palatino Linotype"/>
        </w:rPr>
      </w:pPr>
    </w:p>
    <w:p w14:paraId="07A9C2EB" w14:textId="77777777" w:rsidR="00267298" w:rsidRPr="00B3795E" w:rsidRDefault="006A72E6">
      <w:pPr>
        <w:keepNext/>
        <w:keepLines/>
        <w:spacing w:line="360" w:lineRule="auto"/>
        <w:ind w:right="-876"/>
        <w:jc w:val="center"/>
        <w:rPr>
          <w:rFonts w:ascii="Palatino Linotype" w:eastAsia="Palatino Linotype" w:hAnsi="Palatino Linotype" w:cs="Palatino Linotype"/>
          <w:b/>
        </w:rPr>
      </w:pPr>
      <w:bookmarkStart w:id="1" w:name="_heading=h.gjdgxs" w:colFirst="0" w:colLast="0"/>
      <w:bookmarkEnd w:id="1"/>
      <w:r w:rsidRPr="00B3795E">
        <w:rPr>
          <w:rFonts w:ascii="Palatino Linotype" w:eastAsia="Palatino Linotype" w:hAnsi="Palatino Linotype" w:cs="Palatino Linotype"/>
          <w:b/>
        </w:rPr>
        <w:t>A N T E C E D E N T E S</w:t>
      </w:r>
    </w:p>
    <w:p w14:paraId="16A76D2B" w14:textId="77777777" w:rsidR="00267298" w:rsidRPr="00B3795E" w:rsidRDefault="00267298">
      <w:pPr>
        <w:spacing w:line="360" w:lineRule="auto"/>
        <w:ind w:right="-876"/>
        <w:rPr>
          <w:rFonts w:ascii="Palatino Linotype" w:eastAsia="Palatino Linotype" w:hAnsi="Palatino Linotype" w:cs="Palatino Linotype"/>
        </w:rPr>
      </w:pPr>
    </w:p>
    <w:p w14:paraId="3013BC26" w14:textId="77777777" w:rsidR="00267298" w:rsidRPr="00B3795E" w:rsidRDefault="003639FA">
      <w:pPr>
        <w:numPr>
          <w:ilvl w:val="0"/>
          <w:numId w:val="9"/>
        </w:numPr>
        <w:spacing w:line="360" w:lineRule="auto"/>
        <w:ind w:right="-876"/>
        <w:jc w:val="both"/>
        <w:rPr>
          <w:rFonts w:ascii="Palatino Linotype" w:eastAsia="Palatino Linotype" w:hAnsi="Palatino Linotype" w:cs="Palatino Linotype"/>
        </w:rPr>
      </w:pPr>
      <w:r w:rsidRPr="00B3795E">
        <w:rPr>
          <w:rFonts w:ascii="Palatino Linotype" w:eastAsia="Palatino Linotype" w:hAnsi="Palatino Linotype" w:cs="Palatino Linotype"/>
        </w:rPr>
        <w:t>En fecha</w:t>
      </w:r>
      <w:r w:rsidR="00D72999" w:rsidRPr="00B3795E">
        <w:rPr>
          <w:rFonts w:ascii="Palatino Linotype" w:eastAsia="Palatino Linotype" w:hAnsi="Palatino Linotype" w:cs="Palatino Linotype"/>
        </w:rPr>
        <w:t xml:space="preserve"> doce de junio</w:t>
      </w:r>
      <w:r w:rsidR="006A72E6" w:rsidRPr="00B3795E">
        <w:rPr>
          <w:rFonts w:ascii="Palatino Linotype" w:eastAsia="Palatino Linotype" w:hAnsi="Palatino Linotype" w:cs="Palatino Linotype"/>
        </w:rPr>
        <w:t xml:space="preserve"> de dos mil veinticuatro, </w:t>
      </w:r>
      <w:r w:rsidR="006A72E6" w:rsidRPr="00B3795E">
        <w:rPr>
          <w:rFonts w:ascii="Palatino Linotype" w:eastAsia="Palatino Linotype" w:hAnsi="Palatino Linotype" w:cs="Palatino Linotype"/>
          <w:b/>
        </w:rPr>
        <w:t>EL RECURRENTE,</w:t>
      </w:r>
      <w:r w:rsidR="006A72E6" w:rsidRPr="00B3795E">
        <w:rPr>
          <w:rFonts w:ascii="Palatino Linotype" w:eastAsia="Palatino Linotype" w:hAnsi="Palatino Linotype" w:cs="Palatino Linotype"/>
        </w:rPr>
        <w:t xml:space="preserve"> ante el </w:t>
      </w:r>
      <w:r w:rsidR="006A72E6" w:rsidRPr="00B3795E">
        <w:rPr>
          <w:rFonts w:ascii="Palatino Linotype" w:eastAsia="Palatino Linotype" w:hAnsi="Palatino Linotype" w:cs="Palatino Linotype"/>
          <w:b/>
        </w:rPr>
        <w:t>SUJETO OBLIGADO</w:t>
      </w:r>
      <w:r w:rsidR="006A72E6" w:rsidRPr="00B3795E">
        <w:rPr>
          <w:rFonts w:ascii="Palatino Linotype" w:eastAsia="Palatino Linotype" w:hAnsi="Palatino Linotype" w:cs="Palatino Linotype"/>
        </w:rPr>
        <w:t xml:space="preserve"> vía Sistema de Acceso a la Información Mexiquense (</w:t>
      </w:r>
      <w:r w:rsidR="006A72E6" w:rsidRPr="00B3795E">
        <w:rPr>
          <w:rFonts w:ascii="Palatino Linotype" w:eastAsia="Palatino Linotype" w:hAnsi="Palatino Linotype" w:cs="Palatino Linotype"/>
          <w:b/>
        </w:rPr>
        <w:t>SAIMEX)</w:t>
      </w:r>
      <w:r w:rsidR="006A72E6" w:rsidRPr="00B3795E">
        <w:rPr>
          <w:rFonts w:ascii="Palatino Linotype" w:eastAsia="Palatino Linotype" w:hAnsi="Palatino Linotype" w:cs="Palatino Linotype"/>
        </w:rPr>
        <w:t>, presentó las solicitudes de información registradas con los números</w:t>
      </w:r>
      <w:r w:rsidR="006A72E6" w:rsidRPr="00B3795E">
        <w:rPr>
          <w:rFonts w:ascii="Palatino Linotype" w:eastAsia="Palatino Linotype" w:hAnsi="Palatino Linotype" w:cs="Palatino Linotype"/>
          <w:b/>
        </w:rPr>
        <w:t xml:space="preserve"> </w:t>
      </w:r>
      <w:r w:rsidR="00D72999" w:rsidRPr="00B3795E">
        <w:rPr>
          <w:rFonts w:ascii="Palatino Linotype" w:eastAsia="Palatino Linotype" w:hAnsi="Palatino Linotype" w:cs="Palatino Linotype"/>
          <w:b/>
        </w:rPr>
        <w:t>00408/SF/IP/2024 y</w:t>
      </w:r>
      <w:r w:rsidR="006A72E6" w:rsidRPr="00B3795E">
        <w:rPr>
          <w:rFonts w:ascii="Palatino Linotype" w:eastAsia="Palatino Linotype" w:hAnsi="Palatino Linotype" w:cs="Palatino Linotype"/>
          <w:b/>
        </w:rPr>
        <w:t xml:space="preserve"> </w:t>
      </w:r>
      <w:r w:rsidR="00D72999" w:rsidRPr="00B3795E">
        <w:rPr>
          <w:rFonts w:ascii="Palatino Linotype" w:eastAsia="Palatino Linotype" w:hAnsi="Palatino Linotype" w:cs="Palatino Linotype"/>
          <w:b/>
        </w:rPr>
        <w:t xml:space="preserve">00407/SF/IP/2024, </w:t>
      </w:r>
      <w:r w:rsidR="006A72E6" w:rsidRPr="00B3795E">
        <w:rPr>
          <w:rFonts w:ascii="Palatino Linotype" w:eastAsia="Palatino Linotype" w:hAnsi="Palatino Linotype" w:cs="Palatino Linotype"/>
        </w:rPr>
        <w:t>en las que se solicitó lo siguiente:</w:t>
      </w:r>
    </w:p>
    <w:p w14:paraId="0025DA1F" w14:textId="77777777" w:rsidR="00267298" w:rsidRPr="00B3795E" w:rsidRDefault="00267298">
      <w:pPr>
        <w:spacing w:line="360" w:lineRule="auto"/>
        <w:ind w:right="-876"/>
        <w:jc w:val="both"/>
        <w:rPr>
          <w:rFonts w:ascii="Palatino Linotype" w:eastAsia="Palatino Linotype" w:hAnsi="Palatino Linotype" w:cs="Palatino Linotype"/>
        </w:rPr>
      </w:pPr>
    </w:p>
    <w:p w14:paraId="472D8258" w14:textId="77777777" w:rsidR="00267298" w:rsidRPr="00B3795E" w:rsidRDefault="00D72999">
      <w:pPr>
        <w:spacing w:line="360" w:lineRule="auto"/>
        <w:ind w:left="851" w:right="568"/>
        <w:jc w:val="both"/>
        <w:rPr>
          <w:rFonts w:ascii="Palatino Linotype" w:eastAsia="Palatino Linotype" w:hAnsi="Palatino Linotype" w:cs="Palatino Linotype"/>
          <w:b/>
        </w:rPr>
      </w:pPr>
      <w:r w:rsidRPr="00B3795E">
        <w:rPr>
          <w:rFonts w:ascii="Palatino Linotype" w:eastAsia="Palatino Linotype" w:hAnsi="Palatino Linotype" w:cs="Palatino Linotype"/>
          <w:b/>
        </w:rPr>
        <w:t>00408/SF/IP/2024</w:t>
      </w:r>
    </w:p>
    <w:p w14:paraId="37EE54D2" w14:textId="77777777" w:rsidR="00267298" w:rsidRPr="00B3795E" w:rsidRDefault="006A72E6">
      <w:pPr>
        <w:spacing w:line="360" w:lineRule="auto"/>
        <w:ind w:left="851" w:right="568"/>
        <w:jc w:val="both"/>
        <w:rPr>
          <w:rFonts w:ascii="Palatino Linotype" w:eastAsia="Palatino Linotype" w:hAnsi="Palatino Linotype" w:cs="Palatino Linotype"/>
        </w:rPr>
      </w:pPr>
      <w:r w:rsidRPr="00B3795E">
        <w:rPr>
          <w:rFonts w:ascii="Palatino Linotype" w:eastAsia="Palatino Linotype" w:hAnsi="Palatino Linotype" w:cs="Palatino Linotype"/>
          <w:i/>
        </w:rPr>
        <w:t>“</w:t>
      </w:r>
      <w:r w:rsidR="00D72999" w:rsidRPr="00B3795E">
        <w:rPr>
          <w:rFonts w:ascii="Palatino Linotype" w:eastAsia="Palatino Linotype" w:hAnsi="Palatino Linotype" w:cs="Palatino Linotype"/>
          <w:i/>
        </w:rPr>
        <w:t>REQUIERO ME INFORMEN DE MANERA DETALLADA LA CUENTA POR PAGAR A PROVEEDORES QUE SE TIENE</w:t>
      </w:r>
      <w:r w:rsidR="009205C1" w:rsidRPr="00B3795E">
        <w:rPr>
          <w:rFonts w:ascii="Palatino Linotype" w:eastAsia="Palatino Linotype" w:hAnsi="Palatino Linotype" w:cs="Palatino Linotype"/>
          <w:i/>
        </w:rPr>
        <w:t xml:space="preserve"> ACTUALMENTE DEL EJERCICIO 2024</w:t>
      </w:r>
      <w:r w:rsidRPr="00B3795E">
        <w:rPr>
          <w:rFonts w:ascii="Palatino Linotype" w:eastAsia="Palatino Linotype" w:hAnsi="Palatino Linotype" w:cs="Palatino Linotype"/>
          <w:i/>
        </w:rPr>
        <w:t>.”</w:t>
      </w:r>
      <w:r w:rsidRPr="00B3795E">
        <w:rPr>
          <w:rFonts w:ascii="Palatino Linotype" w:eastAsia="Palatino Linotype" w:hAnsi="Palatino Linotype" w:cs="Palatino Linotype"/>
        </w:rPr>
        <w:t xml:space="preserve"> (Sic.)</w:t>
      </w:r>
    </w:p>
    <w:p w14:paraId="4D38BEE6" w14:textId="77777777" w:rsidR="00ED4D9D" w:rsidRPr="00B3795E" w:rsidRDefault="00ED4D9D">
      <w:pPr>
        <w:spacing w:line="360" w:lineRule="auto"/>
        <w:ind w:left="851" w:right="568"/>
        <w:jc w:val="both"/>
        <w:rPr>
          <w:rFonts w:ascii="Palatino Linotype" w:eastAsia="Palatino Linotype" w:hAnsi="Palatino Linotype" w:cs="Palatino Linotype"/>
        </w:rPr>
      </w:pPr>
    </w:p>
    <w:p w14:paraId="150069C1" w14:textId="77777777" w:rsidR="00267298" w:rsidRPr="00B3795E" w:rsidRDefault="00D72999">
      <w:pPr>
        <w:spacing w:line="360" w:lineRule="auto"/>
        <w:ind w:left="851" w:right="568"/>
        <w:jc w:val="both"/>
        <w:rPr>
          <w:rFonts w:ascii="Palatino Linotype" w:eastAsia="Palatino Linotype" w:hAnsi="Palatino Linotype" w:cs="Palatino Linotype"/>
        </w:rPr>
      </w:pPr>
      <w:r w:rsidRPr="00B3795E">
        <w:rPr>
          <w:rFonts w:ascii="Palatino Linotype" w:eastAsia="Palatino Linotype" w:hAnsi="Palatino Linotype" w:cs="Palatino Linotype"/>
          <w:b/>
        </w:rPr>
        <w:t>00407/SF/IP/2024</w:t>
      </w:r>
    </w:p>
    <w:p w14:paraId="4BE5CFAE" w14:textId="77777777" w:rsidR="00267298" w:rsidRPr="00B3795E" w:rsidRDefault="006A72E6">
      <w:pPr>
        <w:tabs>
          <w:tab w:val="left" w:pos="3828"/>
        </w:tabs>
        <w:spacing w:line="360" w:lineRule="auto"/>
        <w:ind w:left="851" w:right="568"/>
        <w:jc w:val="both"/>
        <w:rPr>
          <w:rFonts w:ascii="Palatino Linotype" w:eastAsia="Palatino Linotype" w:hAnsi="Palatino Linotype" w:cs="Palatino Linotype"/>
          <w:i/>
          <w:color w:val="000000"/>
        </w:rPr>
      </w:pPr>
      <w:r w:rsidRPr="00B3795E">
        <w:rPr>
          <w:rFonts w:ascii="Palatino Linotype" w:eastAsia="Palatino Linotype" w:hAnsi="Palatino Linotype" w:cs="Palatino Linotype"/>
          <w:i/>
        </w:rPr>
        <w:lastRenderedPageBreak/>
        <w:t>“</w:t>
      </w:r>
      <w:r w:rsidR="00D72999" w:rsidRPr="00B3795E">
        <w:rPr>
          <w:rFonts w:ascii="Palatino Linotype" w:eastAsia="Palatino Linotype" w:hAnsi="Palatino Linotype" w:cs="Palatino Linotype"/>
          <w:i/>
        </w:rPr>
        <w:t>REQUIERO CONOCER LO MONTOS PAGADOS A PROVEEDORES DEL MES DE MAYO DE 2024, CON REFERENCIA AL PROVEEDOR, NOMBRE DEL MISMO.”</w:t>
      </w:r>
      <w:r w:rsidRPr="00B3795E">
        <w:rPr>
          <w:rFonts w:ascii="Palatino Linotype" w:eastAsia="Palatino Linotype" w:hAnsi="Palatino Linotype" w:cs="Palatino Linotype"/>
          <w:i/>
          <w:color w:val="000000"/>
        </w:rPr>
        <w:t>(Sic)</w:t>
      </w:r>
    </w:p>
    <w:p w14:paraId="4A5D1363" w14:textId="77777777" w:rsidR="00267298" w:rsidRPr="00B3795E" w:rsidRDefault="00267298">
      <w:pPr>
        <w:tabs>
          <w:tab w:val="left" w:pos="3828"/>
        </w:tabs>
        <w:spacing w:line="360" w:lineRule="auto"/>
        <w:ind w:right="-876"/>
        <w:jc w:val="both"/>
        <w:rPr>
          <w:rFonts w:ascii="Palatino Linotype" w:eastAsia="Palatino Linotype" w:hAnsi="Palatino Linotype" w:cs="Palatino Linotype"/>
          <w:i/>
          <w:color w:val="000000"/>
        </w:rPr>
      </w:pPr>
    </w:p>
    <w:p w14:paraId="6FBD9A3F" w14:textId="77777777" w:rsidR="00267298" w:rsidRPr="00B3795E" w:rsidRDefault="006A72E6">
      <w:pPr>
        <w:numPr>
          <w:ilvl w:val="0"/>
          <w:numId w:val="9"/>
        </w:numPr>
        <w:spacing w:line="360" w:lineRule="auto"/>
        <w:ind w:left="0" w:right="-876" w:firstLine="0"/>
        <w:jc w:val="both"/>
        <w:rPr>
          <w:rFonts w:ascii="Palatino Linotype" w:eastAsia="Palatino Linotype" w:hAnsi="Palatino Linotype" w:cs="Palatino Linotype"/>
        </w:rPr>
      </w:pPr>
      <w:r w:rsidRPr="00B3795E">
        <w:rPr>
          <w:rFonts w:ascii="Palatino Linotype" w:eastAsia="Palatino Linotype" w:hAnsi="Palatino Linotype" w:cs="Palatino Linotype"/>
        </w:rPr>
        <w:t>Se eligió como modalidad de entrega a través de la plataforma digital Sistema de Acceso a la Información Mexiquense (SAIMEX).</w:t>
      </w:r>
    </w:p>
    <w:p w14:paraId="57D3688F" w14:textId="77777777" w:rsidR="00267298" w:rsidRPr="00B3795E" w:rsidRDefault="00267298">
      <w:pPr>
        <w:spacing w:line="360" w:lineRule="auto"/>
        <w:ind w:right="-876"/>
        <w:jc w:val="both"/>
        <w:rPr>
          <w:rFonts w:ascii="Palatino Linotype" w:eastAsia="Palatino Linotype" w:hAnsi="Palatino Linotype" w:cs="Palatino Linotype"/>
        </w:rPr>
      </w:pPr>
    </w:p>
    <w:p w14:paraId="645F1196" w14:textId="77777777" w:rsidR="00267298" w:rsidRPr="00B3795E" w:rsidRDefault="006A72E6">
      <w:pPr>
        <w:numPr>
          <w:ilvl w:val="0"/>
          <w:numId w:val="9"/>
        </w:numPr>
        <w:spacing w:line="360" w:lineRule="auto"/>
        <w:ind w:left="0" w:right="-876" w:firstLine="0"/>
        <w:jc w:val="both"/>
        <w:rPr>
          <w:rFonts w:ascii="Palatino Linotype" w:eastAsia="Palatino Linotype" w:hAnsi="Palatino Linotype" w:cs="Palatino Linotype"/>
        </w:rPr>
      </w:pPr>
      <w:r w:rsidRPr="00B3795E">
        <w:rPr>
          <w:rFonts w:ascii="Palatino Linotype" w:eastAsia="Palatino Linotype" w:hAnsi="Palatino Linotype" w:cs="Palatino Linotype"/>
        </w:rPr>
        <w:t>En fecha</w:t>
      </w:r>
      <w:r w:rsidR="00D72999" w:rsidRPr="00B3795E">
        <w:rPr>
          <w:rFonts w:ascii="Palatino Linotype" w:eastAsia="Palatino Linotype" w:hAnsi="Palatino Linotype" w:cs="Palatino Linotype"/>
        </w:rPr>
        <w:t xml:space="preserve"> veintiuno y veintiséis de junio </w:t>
      </w:r>
      <w:r w:rsidRPr="00B3795E">
        <w:rPr>
          <w:rFonts w:ascii="Palatino Linotype" w:eastAsia="Palatino Linotype" w:hAnsi="Palatino Linotype" w:cs="Palatino Linotype"/>
        </w:rPr>
        <w:t xml:space="preserve">de dos mil veinticuatro, se realizaron a los servidores públicos habilitados requerimientos. </w:t>
      </w:r>
    </w:p>
    <w:p w14:paraId="2E3286F4" w14:textId="77777777" w:rsidR="00267298" w:rsidRPr="00B3795E" w:rsidRDefault="00267298">
      <w:pPr>
        <w:ind w:right="-876"/>
        <w:jc w:val="both"/>
        <w:rPr>
          <w:rFonts w:ascii="Palatino Linotype" w:eastAsia="Palatino Linotype" w:hAnsi="Palatino Linotype" w:cs="Palatino Linotype"/>
          <w:i/>
        </w:rPr>
      </w:pPr>
    </w:p>
    <w:p w14:paraId="637001D9" w14:textId="77777777" w:rsidR="00267298" w:rsidRPr="00B3795E" w:rsidRDefault="00D72999">
      <w:pPr>
        <w:numPr>
          <w:ilvl w:val="0"/>
          <w:numId w:val="9"/>
        </w:numPr>
        <w:spacing w:line="360" w:lineRule="auto"/>
        <w:ind w:left="0" w:right="-876" w:firstLine="0"/>
        <w:jc w:val="both"/>
        <w:rPr>
          <w:rFonts w:ascii="Palatino Linotype" w:eastAsia="Palatino Linotype" w:hAnsi="Palatino Linotype" w:cs="Palatino Linotype"/>
        </w:rPr>
      </w:pPr>
      <w:r w:rsidRPr="00B3795E">
        <w:rPr>
          <w:rFonts w:ascii="Palatino Linotype" w:eastAsia="Palatino Linotype" w:hAnsi="Palatino Linotype" w:cs="Palatino Linotype"/>
        </w:rPr>
        <w:t>En fechas veintiuno y veinticinco de junio</w:t>
      </w:r>
      <w:r w:rsidR="0060220F" w:rsidRPr="00B3795E">
        <w:rPr>
          <w:rFonts w:ascii="Palatino Linotype" w:eastAsia="Palatino Linotype" w:hAnsi="Palatino Linotype" w:cs="Palatino Linotype"/>
        </w:rPr>
        <w:t xml:space="preserve"> </w:t>
      </w:r>
      <w:r w:rsidR="006A72E6" w:rsidRPr="00B3795E">
        <w:rPr>
          <w:rFonts w:ascii="Palatino Linotype" w:eastAsia="Palatino Linotype" w:hAnsi="Palatino Linotype" w:cs="Palatino Linotype"/>
        </w:rPr>
        <w:t xml:space="preserve">de dos mil veinticuatro, el </w:t>
      </w:r>
      <w:r w:rsidR="006A72E6" w:rsidRPr="00B3795E">
        <w:rPr>
          <w:rFonts w:ascii="Palatino Linotype" w:eastAsia="Palatino Linotype" w:hAnsi="Palatino Linotype" w:cs="Palatino Linotype"/>
          <w:b/>
        </w:rPr>
        <w:t>SUJETO OBLIGADO</w:t>
      </w:r>
      <w:r w:rsidR="006A72E6" w:rsidRPr="00B3795E">
        <w:rPr>
          <w:rFonts w:ascii="Palatino Linotype" w:eastAsia="Palatino Linotype" w:hAnsi="Palatino Linotype" w:cs="Palatino Linotype"/>
          <w:b/>
          <w:i/>
        </w:rPr>
        <w:t xml:space="preserve"> </w:t>
      </w:r>
      <w:r w:rsidR="006A72E6" w:rsidRPr="00B3795E">
        <w:rPr>
          <w:rFonts w:ascii="Palatino Linotype" w:eastAsia="Palatino Linotype" w:hAnsi="Palatino Linotype" w:cs="Palatino Linotype"/>
        </w:rPr>
        <w:t>dio respuesta a la solicitudes de información a través de los siguientes archivos electrónicos:</w:t>
      </w:r>
    </w:p>
    <w:p w14:paraId="5B03DF69" w14:textId="77777777" w:rsidR="00267298" w:rsidRPr="00B3795E" w:rsidRDefault="00267298">
      <w:pPr>
        <w:spacing w:line="360" w:lineRule="auto"/>
        <w:ind w:right="-876"/>
        <w:jc w:val="both"/>
        <w:rPr>
          <w:rFonts w:ascii="Palatino Linotype" w:eastAsia="Palatino Linotype" w:hAnsi="Palatino Linotype" w:cs="Palatino Linotype"/>
        </w:rPr>
      </w:pPr>
    </w:p>
    <w:p w14:paraId="3E9EA978" w14:textId="77777777" w:rsidR="00267298" w:rsidRPr="00B3795E" w:rsidRDefault="00D72999">
      <w:pPr>
        <w:spacing w:line="360" w:lineRule="auto"/>
        <w:ind w:right="-876"/>
        <w:jc w:val="both"/>
        <w:rPr>
          <w:rFonts w:ascii="Palatino Linotype" w:eastAsia="Palatino Linotype" w:hAnsi="Palatino Linotype" w:cs="Palatino Linotype"/>
          <w:b/>
        </w:rPr>
      </w:pPr>
      <w:r w:rsidRPr="00B3795E">
        <w:rPr>
          <w:rFonts w:ascii="Palatino Linotype" w:eastAsia="Palatino Linotype" w:hAnsi="Palatino Linotype" w:cs="Palatino Linotype"/>
          <w:b/>
        </w:rPr>
        <w:t>04338/INFOEM/IP/RR/2024</w:t>
      </w:r>
    </w:p>
    <w:p w14:paraId="67D830C4" w14:textId="77777777" w:rsidR="00267298" w:rsidRPr="00B3795E" w:rsidRDefault="00D72999">
      <w:pPr>
        <w:spacing w:line="360" w:lineRule="auto"/>
        <w:ind w:right="-876"/>
        <w:jc w:val="both"/>
        <w:rPr>
          <w:rFonts w:ascii="Palatino Linotype" w:eastAsia="Palatino Linotype" w:hAnsi="Palatino Linotype" w:cs="Palatino Linotype"/>
          <w:b/>
        </w:rPr>
      </w:pPr>
      <w:r w:rsidRPr="00B3795E">
        <w:rPr>
          <w:rFonts w:ascii="Palatino Linotype" w:eastAsia="Palatino Linotype" w:hAnsi="Palatino Linotype" w:cs="Palatino Linotype"/>
          <w:b/>
        </w:rPr>
        <w:t>00408/SF/IP/2024</w:t>
      </w:r>
    </w:p>
    <w:p w14:paraId="6BD3B6AD" w14:textId="77777777" w:rsidR="00267298" w:rsidRPr="00B3795E" w:rsidRDefault="00267298">
      <w:pPr>
        <w:spacing w:line="360" w:lineRule="auto"/>
        <w:ind w:right="-876"/>
        <w:jc w:val="both"/>
        <w:rPr>
          <w:rFonts w:ascii="Palatino Linotype" w:eastAsia="Palatino Linotype" w:hAnsi="Palatino Linotype" w:cs="Palatino Linotype"/>
          <w:b/>
        </w:rPr>
      </w:pPr>
    </w:p>
    <w:p w14:paraId="34140522" w14:textId="77777777" w:rsidR="001E5BC1" w:rsidRPr="00B3795E" w:rsidRDefault="001E5BC1" w:rsidP="001E5BC1">
      <w:pPr>
        <w:pStyle w:val="Prrafodelista"/>
        <w:numPr>
          <w:ilvl w:val="0"/>
          <w:numId w:val="25"/>
        </w:numPr>
        <w:spacing w:line="360" w:lineRule="auto"/>
        <w:ind w:right="-876"/>
        <w:jc w:val="both"/>
        <w:rPr>
          <w:rFonts w:ascii="Palatino Linotype" w:hAnsi="Palatino Linotype"/>
        </w:rPr>
      </w:pPr>
      <w:r w:rsidRPr="00B3795E">
        <w:rPr>
          <w:rFonts w:ascii="Palatino Linotype" w:hAnsi="Palatino Linotype"/>
        </w:rPr>
        <w:t>00408 SUBSE TESORERIA.pdf: Contiene:</w:t>
      </w:r>
    </w:p>
    <w:p w14:paraId="7F15AD9C" w14:textId="77777777" w:rsidR="001E5BC1" w:rsidRPr="00B3795E" w:rsidRDefault="001E5BC1" w:rsidP="001E5BC1">
      <w:pPr>
        <w:pStyle w:val="Prrafodelista"/>
        <w:spacing w:line="360" w:lineRule="auto"/>
        <w:ind w:right="-876"/>
        <w:jc w:val="both"/>
        <w:rPr>
          <w:rFonts w:ascii="Palatino Linotype" w:hAnsi="Palatino Linotype"/>
        </w:rPr>
      </w:pPr>
    </w:p>
    <w:p w14:paraId="7DB225B7" w14:textId="77777777" w:rsidR="001E5BC1" w:rsidRPr="00B3795E" w:rsidRDefault="001E5BC1" w:rsidP="001E5BC1">
      <w:pPr>
        <w:pStyle w:val="Prrafodelista"/>
        <w:spacing w:line="360" w:lineRule="auto"/>
        <w:ind w:right="-876"/>
        <w:jc w:val="both"/>
        <w:rPr>
          <w:rFonts w:ascii="Palatino Linotype" w:eastAsia="Palatino Linotype" w:hAnsi="Palatino Linotype" w:cs="Palatino Linotype"/>
        </w:rPr>
      </w:pPr>
      <w:r w:rsidRPr="00B3795E">
        <w:rPr>
          <w:rFonts w:ascii="Palatino Linotype" w:hAnsi="Palatino Linotype"/>
        </w:rPr>
        <w:t xml:space="preserve">1.-  </w:t>
      </w:r>
      <w:r w:rsidRPr="00B3795E">
        <w:rPr>
          <w:rFonts w:ascii="Palatino Linotype" w:eastAsia="Palatino Linotype" w:hAnsi="Palatino Linotype" w:cs="Palatino Linotype"/>
        </w:rPr>
        <w:t xml:space="preserve">Oficio suscrito por el JEFE DE LA UNIDAD, dirigido al Jefe de la UIPPE Y TITULAR DE LA UNIDAD DE TRANSPARENCIA DE LA SECRETARÍA DE FINANZAS, en el cual refiere que: Dando cumplimiento al requerimiento </w:t>
      </w:r>
      <w:r w:rsidR="00633D2A" w:rsidRPr="00B3795E">
        <w:rPr>
          <w:rFonts w:ascii="Palatino Linotype" w:eastAsia="Palatino Linotype" w:hAnsi="Palatino Linotype" w:cs="Palatino Linotype"/>
        </w:rPr>
        <w:t>realizado</w:t>
      </w:r>
      <w:r w:rsidRPr="00B3795E">
        <w:rPr>
          <w:rFonts w:ascii="Palatino Linotype" w:eastAsia="Palatino Linotype" w:hAnsi="Palatino Linotype" w:cs="Palatino Linotype"/>
        </w:rPr>
        <w:t xml:space="preserve"> través del diverso 207051ª00000000/255/2024. A través del cual se informa que de manera detallada que existen 434 proveedores y con un saldo de $ 375,090,861.43, información actualizada al </w:t>
      </w:r>
      <w:r w:rsidRPr="00B3795E">
        <w:rPr>
          <w:rFonts w:ascii="Palatino Linotype" w:eastAsia="Palatino Linotype" w:hAnsi="Palatino Linotype" w:cs="Palatino Linotype"/>
        </w:rPr>
        <w:lastRenderedPageBreak/>
        <w:t>17 de junio del año en curso, se envía listado de los proveedores correspondiente a la fecha de la respectiva respuesta.</w:t>
      </w:r>
    </w:p>
    <w:p w14:paraId="365DDAFC" w14:textId="77777777" w:rsidR="001E5BC1" w:rsidRPr="00B3795E" w:rsidRDefault="001E5BC1" w:rsidP="001E5BC1">
      <w:pPr>
        <w:pStyle w:val="Prrafodelista"/>
        <w:spacing w:line="360" w:lineRule="auto"/>
        <w:ind w:right="-876"/>
        <w:jc w:val="both"/>
        <w:rPr>
          <w:rFonts w:ascii="Palatino Linotype" w:eastAsia="Palatino Linotype" w:hAnsi="Palatino Linotype" w:cs="Palatino Linotype"/>
        </w:rPr>
      </w:pPr>
    </w:p>
    <w:p w14:paraId="49A6D8FA" w14:textId="77777777" w:rsidR="001E5BC1" w:rsidRPr="00B3795E" w:rsidRDefault="001E5BC1" w:rsidP="001E5BC1">
      <w:pPr>
        <w:pStyle w:val="Prrafodelista"/>
        <w:spacing w:line="360" w:lineRule="auto"/>
        <w:ind w:right="-876"/>
        <w:jc w:val="both"/>
        <w:rPr>
          <w:rFonts w:ascii="Palatino Linotype" w:eastAsia="Palatino Linotype" w:hAnsi="Palatino Linotype" w:cs="Palatino Linotype"/>
        </w:rPr>
      </w:pPr>
      <w:r w:rsidRPr="00B3795E">
        <w:rPr>
          <w:rFonts w:ascii="Palatino Linotype" w:eastAsia="Palatino Linotype" w:hAnsi="Palatino Linotype" w:cs="Palatino Linotype"/>
        </w:rPr>
        <w:t>2.-  Oficio suscrito por el Director General de Tesorería, dirigido al Jefe de la Unidad de Apoyo Técnico Financiero, mediante el cual informa lo siguiente:</w:t>
      </w:r>
    </w:p>
    <w:p w14:paraId="20DECA16" w14:textId="77777777" w:rsidR="001E5BC1" w:rsidRPr="00B3795E" w:rsidRDefault="001E5BC1" w:rsidP="001E5BC1">
      <w:pPr>
        <w:pStyle w:val="Prrafodelista"/>
        <w:spacing w:line="360" w:lineRule="auto"/>
        <w:ind w:right="-876"/>
        <w:jc w:val="both"/>
        <w:rPr>
          <w:rFonts w:ascii="Palatino Linotype" w:eastAsia="Palatino Linotype" w:hAnsi="Palatino Linotype" w:cs="Palatino Linotype"/>
        </w:rPr>
      </w:pPr>
      <w:r w:rsidRPr="00B3795E">
        <w:rPr>
          <w:rFonts w:ascii="Palatino Linotype" w:eastAsia="Palatino Linotype" w:hAnsi="Palatino Linotype" w:cs="Palatino Linotype"/>
          <w:noProof/>
        </w:rPr>
        <w:drawing>
          <wp:inline distT="0" distB="0" distL="0" distR="0" wp14:anchorId="4156CF04" wp14:editId="3A50A9F7">
            <wp:extent cx="5761355" cy="5511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1355" cy="551180"/>
                    </a:xfrm>
                    <a:prstGeom prst="rect">
                      <a:avLst/>
                    </a:prstGeom>
                  </pic:spPr>
                </pic:pic>
              </a:graphicData>
            </a:graphic>
          </wp:inline>
        </w:drawing>
      </w:r>
      <w:r w:rsidR="00412579" w:rsidRPr="00B3795E">
        <w:rPr>
          <w:rFonts w:ascii="Palatino Linotype" w:eastAsia="Palatino Linotype" w:hAnsi="Palatino Linotype" w:cs="Palatino Linotype"/>
        </w:rPr>
        <w:t>La información proporcionada está actualizada al 17 de junio del presente año, por lo que el número de proveedores y el sado varia conforme al ingreso de documentos nuevos y los documentos pagados por día.</w:t>
      </w:r>
    </w:p>
    <w:p w14:paraId="1DFB6A9D" w14:textId="77777777" w:rsidR="00412579" w:rsidRPr="00B3795E" w:rsidRDefault="00412579" w:rsidP="001E5BC1">
      <w:pPr>
        <w:pStyle w:val="Prrafodelista"/>
        <w:spacing w:line="360" w:lineRule="auto"/>
        <w:ind w:right="-876"/>
        <w:jc w:val="both"/>
        <w:rPr>
          <w:rFonts w:ascii="Palatino Linotype" w:eastAsia="Palatino Linotype" w:hAnsi="Palatino Linotype" w:cs="Palatino Linotype"/>
        </w:rPr>
      </w:pPr>
    </w:p>
    <w:p w14:paraId="5135BA7D" w14:textId="77777777" w:rsidR="00412579" w:rsidRPr="00B3795E" w:rsidRDefault="00412579" w:rsidP="001E5BC1">
      <w:pPr>
        <w:pStyle w:val="Prrafodelista"/>
        <w:spacing w:line="360" w:lineRule="auto"/>
        <w:ind w:right="-876"/>
        <w:jc w:val="both"/>
        <w:rPr>
          <w:rFonts w:ascii="Palatino Linotype" w:eastAsia="Palatino Linotype" w:hAnsi="Palatino Linotype" w:cs="Palatino Linotype"/>
        </w:rPr>
      </w:pPr>
      <w:r w:rsidRPr="00B3795E">
        <w:rPr>
          <w:rFonts w:ascii="Palatino Linotype" w:eastAsia="Palatino Linotype" w:hAnsi="Palatino Linotype" w:cs="Palatino Linotype"/>
        </w:rPr>
        <w:t>3.- Anexa 7  Copias de un listado de PROVEEDORES PENDIENTES DE PAGO AL 17 DE JUNIO 2024.</w:t>
      </w:r>
    </w:p>
    <w:p w14:paraId="154022C2" w14:textId="77777777" w:rsidR="00412579" w:rsidRPr="00B3795E" w:rsidRDefault="00412579" w:rsidP="001E5BC1">
      <w:pPr>
        <w:pStyle w:val="Prrafodelista"/>
        <w:spacing w:line="360" w:lineRule="auto"/>
        <w:ind w:right="-876"/>
        <w:jc w:val="both"/>
        <w:rPr>
          <w:rFonts w:ascii="Palatino Linotype" w:eastAsia="Palatino Linotype" w:hAnsi="Palatino Linotype" w:cs="Palatino Linotype"/>
        </w:rPr>
      </w:pPr>
      <w:r w:rsidRPr="00B3795E">
        <w:rPr>
          <w:rFonts w:ascii="Palatino Linotype" w:eastAsia="Palatino Linotype" w:hAnsi="Palatino Linotype" w:cs="Palatino Linotype"/>
          <w:noProof/>
        </w:rPr>
        <w:drawing>
          <wp:inline distT="0" distB="0" distL="0" distR="0" wp14:anchorId="43953695" wp14:editId="4E5BC167">
            <wp:extent cx="5761355" cy="40132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1355" cy="401320"/>
                    </a:xfrm>
                    <a:prstGeom prst="rect">
                      <a:avLst/>
                    </a:prstGeom>
                  </pic:spPr>
                </pic:pic>
              </a:graphicData>
            </a:graphic>
          </wp:inline>
        </w:drawing>
      </w:r>
    </w:p>
    <w:p w14:paraId="58821BAE" w14:textId="77777777" w:rsidR="001E5BC1" w:rsidRPr="00B3795E" w:rsidRDefault="001E5BC1" w:rsidP="00412579">
      <w:pPr>
        <w:spacing w:line="360" w:lineRule="auto"/>
        <w:ind w:right="-876"/>
        <w:jc w:val="both"/>
        <w:rPr>
          <w:rFonts w:ascii="Palatino Linotype" w:hAnsi="Palatino Linotype"/>
        </w:rPr>
      </w:pPr>
    </w:p>
    <w:p w14:paraId="126CCCB0" w14:textId="77777777" w:rsidR="001E5BC1" w:rsidRPr="00B3795E" w:rsidRDefault="001E5BC1" w:rsidP="00F63FE4">
      <w:pPr>
        <w:pStyle w:val="Prrafodelista"/>
        <w:spacing w:line="360" w:lineRule="auto"/>
        <w:ind w:right="-876"/>
        <w:jc w:val="both"/>
        <w:rPr>
          <w:rFonts w:ascii="Palatino Linotype" w:hAnsi="Palatino Linotype"/>
        </w:rPr>
      </w:pPr>
      <w:r w:rsidRPr="00B3795E">
        <w:rPr>
          <w:rFonts w:ascii="Palatino Linotype" w:hAnsi="Palatino Linotype"/>
        </w:rPr>
        <w:t>1 PROVEEDORES MAYO 2024.pdf</w:t>
      </w:r>
      <w:r w:rsidR="00412579" w:rsidRPr="00B3795E">
        <w:rPr>
          <w:rFonts w:ascii="Palatino Linotype" w:hAnsi="Palatino Linotype"/>
        </w:rPr>
        <w:t>: Contiene seis fojas con una lista de Proveedores mayo 2024</w:t>
      </w:r>
    </w:p>
    <w:p w14:paraId="72F533AE" w14:textId="77777777" w:rsidR="001E5BC1" w:rsidRPr="00B3795E" w:rsidRDefault="001E5BC1" w:rsidP="00F63FE4">
      <w:pPr>
        <w:pStyle w:val="Prrafodelista"/>
        <w:spacing w:line="360" w:lineRule="auto"/>
        <w:ind w:right="-876"/>
        <w:jc w:val="both"/>
        <w:rPr>
          <w:rFonts w:ascii="Palatino Linotype" w:hAnsi="Palatino Linotype"/>
        </w:rPr>
      </w:pPr>
      <w:r w:rsidRPr="00B3795E">
        <w:rPr>
          <w:rFonts w:ascii="Palatino Linotype" w:hAnsi="Palatino Linotype"/>
        </w:rPr>
        <w:t>2 MONTOS PROVEEDORES MAYO 2024.pdf</w:t>
      </w:r>
      <w:r w:rsidR="00412579" w:rsidRPr="00B3795E">
        <w:rPr>
          <w:rFonts w:ascii="Palatino Linotype" w:hAnsi="Palatino Linotype"/>
        </w:rPr>
        <w:t>: Contiene 31 fojas de un listado de MONTOS PAGADOS A PROVEEDORES MAYO 2024.</w:t>
      </w:r>
    </w:p>
    <w:p w14:paraId="43CC9FCF" w14:textId="77777777" w:rsidR="00412579" w:rsidRPr="00B3795E" w:rsidRDefault="00412579" w:rsidP="00412579">
      <w:pPr>
        <w:pStyle w:val="Prrafodelista"/>
        <w:spacing w:line="360" w:lineRule="auto"/>
        <w:ind w:right="-876"/>
        <w:jc w:val="both"/>
        <w:rPr>
          <w:rFonts w:ascii="Palatino Linotype" w:hAnsi="Palatino Linotype"/>
        </w:rPr>
      </w:pPr>
    </w:p>
    <w:p w14:paraId="1C1B9CF2" w14:textId="77777777" w:rsidR="00857AFF" w:rsidRPr="00B3795E" w:rsidRDefault="001E5BC1" w:rsidP="00412579">
      <w:pPr>
        <w:pStyle w:val="Prrafodelista"/>
        <w:numPr>
          <w:ilvl w:val="0"/>
          <w:numId w:val="25"/>
        </w:numPr>
        <w:spacing w:line="360" w:lineRule="auto"/>
        <w:ind w:right="-876"/>
        <w:jc w:val="both"/>
        <w:rPr>
          <w:rFonts w:ascii="Palatino Linotype" w:eastAsia="Palatino Linotype" w:hAnsi="Palatino Linotype" w:cs="Palatino Linotype"/>
        </w:rPr>
      </w:pPr>
      <w:r w:rsidRPr="00B3795E">
        <w:rPr>
          <w:rFonts w:ascii="Palatino Linotype" w:hAnsi="Palatino Linotype"/>
        </w:rPr>
        <w:t>SOLICITANTE 00408.pdf</w:t>
      </w:r>
      <w:r w:rsidR="00412579" w:rsidRPr="00B3795E">
        <w:rPr>
          <w:rFonts w:ascii="Palatino Linotype" w:hAnsi="Palatino Linotype"/>
        </w:rPr>
        <w:t xml:space="preserve">: </w:t>
      </w:r>
      <w:r w:rsidR="00412579" w:rsidRPr="00B3795E">
        <w:rPr>
          <w:rFonts w:ascii="Palatino Linotype" w:eastAsia="Palatino Linotype" w:hAnsi="Palatino Linotype" w:cs="Palatino Linotype"/>
        </w:rPr>
        <w:t xml:space="preserve">Contiene Oficio suscrito por el JEFE DE LA UIPPE Y TITULAR DE LA UNIDAD DE TRANSPARENCIA DE LA SECRETARIA DE FINANZAS, dirigido al SOLICITANTE, por medio del cual le refiere “…sírvase </w:t>
      </w:r>
      <w:r w:rsidR="00412579" w:rsidRPr="00B3795E">
        <w:rPr>
          <w:rFonts w:ascii="Palatino Linotype" w:eastAsia="Palatino Linotype" w:hAnsi="Palatino Linotype" w:cs="Palatino Linotype"/>
        </w:rPr>
        <w:lastRenderedPageBreak/>
        <w:t>encontrar en los archivos adjuntos, el oficio con número 20705001000000S/461/2024 emitido por el servidor público habilitado de la Subsecretaría de Tesorería en el que se detalla lo referente a la solicitud de mérito.”</w:t>
      </w:r>
    </w:p>
    <w:p w14:paraId="6A60B419" w14:textId="77777777" w:rsidR="00267298" w:rsidRPr="00B3795E" w:rsidRDefault="00267298">
      <w:pPr>
        <w:spacing w:line="360" w:lineRule="auto"/>
        <w:ind w:right="-876"/>
        <w:jc w:val="both"/>
        <w:rPr>
          <w:rFonts w:ascii="Palatino Linotype" w:eastAsia="Palatino Linotype" w:hAnsi="Palatino Linotype" w:cs="Palatino Linotype"/>
          <w:b/>
        </w:rPr>
      </w:pPr>
    </w:p>
    <w:p w14:paraId="1AEA082A" w14:textId="77777777" w:rsidR="00267298" w:rsidRPr="00B3795E" w:rsidRDefault="00D72999">
      <w:pPr>
        <w:spacing w:line="360" w:lineRule="auto"/>
        <w:ind w:right="-876"/>
        <w:jc w:val="both"/>
        <w:rPr>
          <w:rFonts w:ascii="Palatino Linotype" w:eastAsia="Palatino Linotype" w:hAnsi="Palatino Linotype" w:cs="Palatino Linotype"/>
          <w:b/>
        </w:rPr>
      </w:pPr>
      <w:r w:rsidRPr="00B3795E">
        <w:rPr>
          <w:rFonts w:ascii="Palatino Linotype" w:eastAsia="Palatino Linotype" w:hAnsi="Palatino Linotype" w:cs="Palatino Linotype"/>
          <w:b/>
        </w:rPr>
        <w:t>04340/INFOEM/IP/RR/2024</w:t>
      </w:r>
    </w:p>
    <w:p w14:paraId="1F47E802" w14:textId="77777777" w:rsidR="00D72999" w:rsidRPr="00B3795E" w:rsidRDefault="00D72999" w:rsidP="00D72999">
      <w:pPr>
        <w:spacing w:line="360" w:lineRule="auto"/>
        <w:ind w:right="-876"/>
        <w:jc w:val="both"/>
        <w:rPr>
          <w:rFonts w:ascii="Palatino Linotype" w:eastAsia="Palatino Linotype" w:hAnsi="Palatino Linotype" w:cs="Palatino Linotype"/>
          <w:b/>
        </w:rPr>
      </w:pPr>
      <w:r w:rsidRPr="00B3795E">
        <w:rPr>
          <w:rFonts w:ascii="Palatino Linotype" w:eastAsia="Palatino Linotype" w:hAnsi="Palatino Linotype" w:cs="Palatino Linotype"/>
          <w:b/>
        </w:rPr>
        <w:t>00407/SF/IP/2024</w:t>
      </w:r>
    </w:p>
    <w:p w14:paraId="249C69C6" w14:textId="77777777" w:rsidR="00D72999" w:rsidRPr="00B3795E" w:rsidRDefault="00D72999">
      <w:pPr>
        <w:spacing w:line="360" w:lineRule="auto"/>
        <w:ind w:right="-876"/>
        <w:jc w:val="both"/>
        <w:rPr>
          <w:rFonts w:ascii="Palatino Linotype" w:eastAsia="Palatino Linotype" w:hAnsi="Palatino Linotype" w:cs="Palatino Linotype"/>
          <w:b/>
        </w:rPr>
      </w:pPr>
    </w:p>
    <w:p w14:paraId="1F928AA0" w14:textId="77777777" w:rsidR="001E5BC1" w:rsidRPr="00B3795E" w:rsidRDefault="00857AFF" w:rsidP="001E5BC1">
      <w:pPr>
        <w:pStyle w:val="Prrafodelista"/>
        <w:spacing w:line="360" w:lineRule="auto"/>
        <w:ind w:right="-876"/>
        <w:jc w:val="both"/>
        <w:rPr>
          <w:rFonts w:ascii="Palatino Linotype" w:eastAsia="Palatino Linotype" w:hAnsi="Palatino Linotype" w:cs="Palatino Linotype"/>
        </w:rPr>
      </w:pPr>
      <w:r w:rsidRPr="00B3795E">
        <w:rPr>
          <w:rFonts w:ascii="Palatino Linotype" w:eastAsia="Palatino Linotype" w:hAnsi="Palatino Linotype" w:cs="Palatino Linotype"/>
        </w:rPr>
        <w:t xml:space="preserve">00407 SUBSE TESORERIA.pdf: </w:t>
      </w:r>
      <w:r w:rsidR="001E5BC1" w:rsidRPr="00B3795E">
        <w:rPr>
          <w:rFonts w:ascii="Palatino Linotype" w:eastAsia="Palatino Linotype" w:hAnsi="Palatino Linotype" w:cs="Palatino Linotype"/>
        </w:rPr>
        <w:t>Contiene.</w:t>
      </w:r>
    </w:p>
    <w:p w14:paraId="53DCF0B8" w14:textId="77777777" w:rsidR="001E5BC1" w:rsidRPr="00B3795E" w:rsidRDefault="001E5BC1" w:rsidP="001E5BC1">
      <w:pPr>
        <w:pStyle w:val="Prrafodelista"/>
        <w:spacing w:line="360" w:lineRule="auto"/>
        <w:ind w:right="-876"/>
        <w:jc w:val="both"/>
        <w:rPr>
          <w:rFonts w:ascii="Palatino Linotype" w:eastAsia="Palatino Linotype" w:hAnsi="Palatino Linotype" w:cs="Palatino Linotype"/>
        </w:rPr>
      </w:pPr>
    </w:p>
    <w:p w14:paraId="5E0B9F74" w14:textId="77777777" w:rsidR="001E5BC1" w:rsidRPr="00B3795E" w:rsidRDefault="001E5BC1" w:rsidP="001E5BC1">
      <w:pPr>
        <w:pStyle w:val="Prrafodelista"/>
        <w:spacing w:line="360" w:lineRule="auto"/>
        <w:ind w:right="-876"/>
        <w:jc w:val="both"/>
        <w:rPr>
          <w:rFonts w:ascii="Palatino Linotype" w:eastAsia="Palatino Linotype" w:hAnsi="Palatino Linotype" w:cs="Palatino Linotype"/>
        </w:rPr>
      </w:pPr>
      <w:r w:rsidRPr="00B3795E">
        <w:rPr>
          <w:rFonts w:ascii="Palatino Linotype" w:eastAsia="Palatino Linotype" w:hAnsi="Palatino Linotype" w:cs="Palatino Linotype"/>
        </w:rPr>
        <w:t xml:space="preserve">1.- Oficio suscrito por el JEFE DE LA UNIDAD, dirigido al Jefe de la UIPPE Y TITULAR DE LA UNIDAD DE TRANSPARENCIA DE LA SECRETARÍA DE FINANZAS, en el cual refiere que: Dando cumplimiento al requerimiento realizado la Dirección </w:t>
      </w:r>
      <w:r w:rsidR="00633D2A" w:rsidRPr="00B3795E">
        <w:rPr>
          <w:rFonts w:ascii="Palatino Linotype" w:eastAsia="Palatino Linotype" w:hAnsi="Palatino Linotype" w:cs="Palatino Linotype"/>
        </w:rPr>
        <w:t>General</w:t>
      </w:r>
      <w:r w:rsidRPr="00B3795E">
        <w:rPr>
          <w:rFonts w:ascii="Palatino Linotype" w:eastAsia="Palatino Linotype" w:hAnsi="Palatino Linotype" w:cs="Palatino Linotype"/>
        </w:rPr>
        <w:t xml:space="preserve"> de Tesorería, envía a esta Unidad de Apoyo Técnico Financiero la información requerida en medio magnético el cual contiene el listado de proveedores y el monto pagado a los mismos, correspondiente al mes de mayo de 2024 (se anexa CD).</w:t>
      </w:r>
    </w:p>
    <w:p w14:paraId="7EF11275" w14:textId="77777777" w:rsidR="001E5BC1" w:rsidRPr="00B3795E" w:rsidRDefault="001E5BC1" w:rsidP="001E5BC1">
      <w:pPr>
        <w:pStyle w:val="Prrafodelista"/>
        <w:spacing w:line="360" w:lineRule="auto"/>
        <w:ind w:right="-876"/>
        <w:jc w:val="both"/>
        <w:rPr>
          <w:rFonts w:ascii="Palatino Linotype" w:eastAsia="Palatino Linotype" w:hAnsi="Palatino Linotype" w:cs="Palatino Linotype"/>
        </w:rPr>
      </w:pPr>
    </w:p>
    <w:p w14:paraId="015E133C" w14:textId="77777777" w:rsidR="001E5BC1" w:rsidRPr="00B3795E" w:rsidRDefault="001E5BC1" w:rsidP="001E5BC1">
      <w:pPr>
        <w:pStyle w:val="Prrafodelista"/>
        <w:spacing w:line="360" w:lineRule="auto"/>
        <w:ind w:right="-876"/>
        <w:jc w:val="both"/>
        <w:rPr>
          <w:rFonts w:ascii="Palatino Linotype" w:eastAsia="Palatino Linotype" w:hAnsi="Palatino Linotype" w:cs="Palatino Linotype"/>
        </w:rPr>
      </w:pPr>
      <w:r w:rsidRPr="00B3795E">
        <w:rPr>
          <w:rFonts w:ascii="Palatino Linotype" w:eastAsia="Palatino Linotype" w:hAnsi="Palatino Linotype" w:cs="Palatino Linotype"/>
        </w:rPr>
        <w:t xml:space="preserve">2.- Oficio suscrito por el CAJERO GENERAL DE GOBIERNO, dirigido al JEFE DE LA UNIDAD DE APOYO TÉCNICO FINANCIERO, en el cual refiere que envía la información correspondiente al mes de mayo 2024. Al correo electrónico. </w:t>
      </w:r>
      <w:r w:rsidRPr="00B3795E">
        <w:rPr>
          <w:rFonts w:ascii="Palatino Linotype" w:eastAsia="Palatino Linotype" w:hAnsi="Palatino Linotype" w:cs="Palatino Linotype"/>
          <w:noProof/>
        </w:rPr>
        <w:drawing>
          <wp:inline distT="0" distB="0" distL="0" distR="0" wp14:anchorId="31176D00" wp14:editId="6ABD7802">
            <wp:extent cx="2048161" cy="266737"/>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48161" cy="266737"/>
                    </a:xfrm>
                    <a:prstGeom prst="rect">
                      <a:avLst/>
                    </a:prstGeom>
                  </pic:spPr>
                </pic:pic>
              </a:graphicData>
            </a:graphic>
          </wp:inline>
        </w:drawing>
      </w:r>
    </w:p>
    <w:p w14:paraId="11149AAC" w14:textId="77777777" w:rsidR="001E5BC1" w:rsidRPr="00B3795E" w:rsidRDefault="001E5BC1" w:rsidP="001E5BC1">
      <w:pPr>
        <w:pStyle w:val="Prrafodelista"/>
        <w:spacing w:line="360" w:lineRule="auto"/>
        <w:ind w:right="-876"/>
        <w:jc w:val="both"/>
        <w:rPr>
          <w:rFonts w:ascii="Palatino Linotype" w:eastAsia="Palatino Linotype" w:hAnsi="Palatino Linotype" w:cs="Palatino Linotype"/>
        </w:rPr>
      </w:pPr>
    </w:p>
    <w:p w14:paraId="5E7E82F6" w14:textId="77777777" w:rsidR="00857AFF" w:rsidRPr="00B3795E" w:rsidRDefault="00857AFF" w:rsidP="001E5BC1">
      <w:pPr>
        <w:pStyle w:val="Prrafodelista"/>
        <w:spacing w:line="360" w:lineRule="auto"/>
        <w:ind w:right="-876"/>
        <w:jc w:val="both"/>
        <w:rPr>
          <w:rFonts w:ascii="Palatino Linotype" w:eastAsia="Palatino Linotype" w:hAnsi="Palatino Linotype" w:cs="Palatino Linotype"/>
        </w:rPr>
      </w:pPr>
    </w:p>
    <w:p w14:paraId="367311D7" w14:textId="77777777" w:rsidR="00A156D6" w:rsidRPr="00B3795E" w:rsidRDefault="00857AFF" w:rsidP="00412579">
      <w:pPr>
        <w:pStyle w:val="Prrafodelista"/>
        <w:numPr>
          <w:ilvl w:val="0"/>
          <w:numId w:val="25"/>
        </w:numPr>
        <w:spacing w:line="360" w:lineRule="auto"/>
        <w:ind w:right="-876"/>
        <w:jc w:val="both"/>
        <w:rPr>
          <w:rFonts w:ascii="Palatino Linotype" w:eastAsia="Palatino Linotype" w:hAnsi="Palatino Linotype" w:cs="Palatino Linotype"/>
        </w:rPr>
      </w:pPr>
      <w:r w:rsidRPr="00B3795E">
        <w:rPr>
          <w:rFonts w:ascii="Palatino Linotype" w:eastAsia="Palatino Linotype" w:hAnsi="Palatino Linotype" w:cs="Palatino Linotype"/>
        </w:rPr>
        <w:lastRenderedPageBreak/>
        <w:t>00407 SOLICITANTE.pdf</w:t>
      </w:r>
      <w:r w:rsidR="001E5BC1" w:rsidRPr="00B3795E">
        <w:rPr>
          <w:rFonts w:ascii="Palatino Linotype" w:eastAsia="Palatino Linotype" w:hAnsi="Palatino Linotype" w:cs="Palatino Linotype"/>
        </w:rPr>
        <w:t>: 00407 SOLICITANTE.pdf: Contiene Oficio suscrito por el JEFE DE LA UIPPE Y TITULAR DE LA UNIDAD DE TRANSPARENCIA DE LA SECRETARIA DE FINANZAS, dirigido al SOLICITANTE, por medio del cual le refiere “…sírvase encontrar en los archivos adjuntos, el oficio con número 20705001000000S/457/2024, del día 19 de junio del año en curso, emitido por el servidor público habilitado de la Subsecretaría de Tesorería en el que se detalla lo referente a la solicitud de mérito.”</w:t>
      </w:r>
    </w:p>
    <w:p w14:paraId="778027A4" w14:textId="77777777" w:rsidR="00267298" w:rsidRPr="00B3795E" w:rsidRDefault="00267298">
      <w:pPr>
        <w:spacing w:line="360" w:lineRule="auto"/>
        <w:ind w:right="-876"/>
        <w:jc w:val="both"/>
        <w:rPr>
          <w:rFonts w:ascii="Palatino Linotype" w:eastAsia="Palatino Linotype" w:hAnsi="Palatino Linotype" w:cs="Palatino Linotype"/>
        </w:rPr>
      </w:pPr>
    </w:p>
    <w:p w14:paraId="0A7DA3CF" w14:textId="77777777" w:rsidR="00267298" w:rsidRPr="00B3795E" w:rsidRDefault="00412579">
      <w:pPr>
        <w:numPr>
          <w:ilvl w:val="0"/>
          <w:numId w:val="9"/>
        </w:numPr>
        <w:spacing w:line="360" w:lineRule="auto"/>
        <w:ind w:left="0" w:right="-876" w:firstLine="0"/>
        <w:jc w:val="both"/>
        <w:rPr>
          <w:rFonts w:ascii="Palatino Linotype" w:eastAsia="Palatino Linotype" w:hAnsi="Palatino Linotype" w:cs="Palatino Linotype"/>
        </w:rPr>
      </w:pPr>
      <w:bookmarkStart w:id="2" w:name="_heading=h.30j0zll" w:colFirst="0" w:colLast="0"/>
      <w:bookmarkEnd w:id="2"/>
      <w:r w:rsidRPr="00B3795E">
        <w:rPr>
          <w:rFonts w:ascii="Palatino Linotype" w:eastAsia="Palatino Linotype" w:hAnsi="Palatino Linotype" w:cs="Palatino Linotype"/>
        </w:rPr>
        <w:t xml:space="preserve">El nueve de julio </w:t>
      </w:r>
      <w:r w:rsidR="007D405B" w:rsidRPr="00B3795E">
        <w:rPr>
          <w:rFonts w:ascii="Palatino Linotype" w:eastAsia="Palatino Linotype" w:hAnsi="Palatino Linotype" w:cs="Palatino Linotype"/>
        </w:rPr>
        <w:t xml:space="preserve"> </w:t>
      </w:r>
      <w:r w:rsidR="006A72E6" w:rsidRPr="00B3795E">
        <w:rPr>
          <w:rFonts w:ascii="Palatino Linotype" w:eastAsia="Palatino Linotype" w:hAnsi="Palatino Linotype" w:cs="Palatino Linotype"/>
        </w:rPr>
        <w:t xml:space="preserve">de dos mil veinticuatro, </w:t>
      </w:r>
      <w:r w:rsidR="006A72E6" w:rsidRPr="00B3795E">
        <w:rPr>
          <w:rFonts w:ascii="Palatino Linotype" w:eastAsia="Palatino Linotype" w:hAnsi="Palatino Linotype" w:cs="Palatino Linotype"/>
          <w:b/>
        </w:rPr>
        <w:t>EL RECURRENTE</w:t>
      </w:r>
      <w:r w:rsidR="00C17E61" w:rsidRPr="00B3795E">
        <w:rPr>
          <w:rFonts w:ascii="Palatino Linotype" w:eastAsia="Palatino Linotype" w:hAnsi="Palatino Linotype" w:cs="Palatino Linotype"/>
        </w:rPr>
        <w:t xml:space="preserve"> interpuso los</w:t>
      </w:r>
      <w:r w:rsidR="006A72E6" w:rsidRPr="00B3795E">
        <w:rPr>
          <w:rFonts w:ascii="Palatino Linotype" w:eastAsia="Palatino Linotype" w:hAnsi="Palatino Linotype" w:cs="Palatino Linotype"/>
        </w:rPr>
        <w:t xml:space="preserve"> recurso</w:t>
      </w:r>
      <w:r w:rsidR="00C17E61" w:rsidRPr="00B3795E">
        <w:rPr>
          <w:rFonts w:ascii="Palatino Linotype" w:eastAsia="Palatino Linotype" w:hAnsi="Palatino Linotype" w:cs="Palatino Linotype"/>
        </w:rPr>
        <w:t>s</w:t>
      </w:r>
      <w:r w:rsidR="006A72E6" w:rsidRPr="00B3795E">
        <w:rPr>
          <w:rFonts w:ascii="Palatino Linotype" w:eastAsia="Palatino Linotype" w:hAnsi="Palatino Linotype" w:cs="Palatino Linotype"/>
        </w:rPr>
        <w:t xml:space="preserve"> de revisión, en contra de la respuesta</w:t>
      </w:r>
      <w:r w:rsidR="00C17E61" w:rsidRPr="00B3795E">
        <w:rPr>
          <w:rFonts w:ascii="Palatino Linotype" w:eastAsia="Palatino Linotype" w:hAnsi="Palatino Linotype" w:cs="Palatino Linotype"/>
        </w:rPr>
        <w:t>s</w:t>
      </w:r>
      <w:r w:rsidR="006A72E6" w:rsidRPr="00B3795E">
        <w:rPr>
          <w:rFonts w:ascii="Palatino Linotype" w:eastAsia="Palatino Linotype" w:hAnsi="Palatino Linotype" w:cs="Palatino Linotype"/>
        </w:rPr>
        <w:t>, señalando como:</w:t>
      </w:r>
    </w:p>
    <w:p w14:paraId="1101FEF7" w14:textId="77777777" w:rsidR="00267298" w:rsidRPr="00B3795E" w:rsidRDefault="00267298">
      <w:pPr>
        <w:ind w:left="-283" w:right="257"/>
        <w:jc w:val="both"/>
        <w:rPr>
          <w:rFonts w:ascii="Palatino Linotype" w:eastAsia="Palatino Linotype" w:hAnsi="Palatino Linotype" w:cs="Palatino Linotype"/>
          <w:b/>
          <w:sz w:val="22"/>
          <w:szCs w:val="22"/>
        </w:rPr>
      </w:pPr>
    </w:p>
    <w:p w14:paraId="149EF724" w14:textId="77777777" w:rsidR="007D405B" w:rsidRPr="00B3795E" w:rsidRDefault="00412579" w:rsidP="007D405B">
      <w:pPr>
        <w:spacing w:line="360" w:lineRule="auto"/>
        <w:ind w:right="-876"/>
        <w:jc w:val="both"/>
        <w:rPr>
          <w:rFonts w:ascii="Palatino Linotype" w:eastAsia="Palatino Linotype" w:hAnsi="Palatino Linotype" w:cs="Palatino Linotype"/>
          <w:b/>
        </w:rPr>
      </w:pPr>
      <w:r w:rsidRPr="00B3795E">
        <w:rPr>
          <w:rFonts w:ascii="Palatino Linotype" w:eastAsia="Palatino Linotype" w:hAnsi="Palatino Linotype" w:cs="Palatino Linotype"/>
          <w:b/>
        </w:rPr>
        <w:t>04338</w:t>
      </w:r>
      <w:r w:rsidR="00D72999" w:rsidRPr="00B3795E">
        <w:rPr>
          <w:rFonts w:ascii="Palatino Linotype" w:eastAsia="Palatino Linotype" w:hAnsi="Palatino Linotype" w:cs="Palatino Linotype"/>
          <w:b/>
        </w:rPr>
        <w:t>/INFOEM/IP/RR/2024</w:t>
      </w:r>
    </w:p>
    <w:p w14:paraId="317BD667" w14:textId="77777777" w:rsidR="007D405B" w:rsidRPr="00B3795E" w:rsidRDefault="00D72999" w:rsidP="007D405B">
      <w:pPr>
        <w:spacing w:line="360" w:lineRule="auto"/>
        <w:ind w:right="-876"/>
        <w:jc w:val="both"/>
        <w:rPr>
          <w:rFonts w:ascii="Palatino Linotype" w:eastAsia="Palatino Linotype" w:hAnsi="Palatino Linotype" w:cs="Palatino Linotype"/>
          <w:b/>
        </w:rPr>
      </w:pPr>
      <w:r w:rsidRPr="00B3795E">
        <w:rPr>
          <w:rFonts w:ascii="Palatino Linotype" w:eastAsia="Palatino Linotype" w:hAnsi="Palatino Linotype" w:cs="Palatino Linotype"/>
          <w:b/>
        </w:rPr>
        <w:t>00408/SF/IP/2024</w:t>
      </w:r>
    </w:p>
    <w:p w14:paraId="76DCFB57" w14:textId="77777777" w:rsidR="00267298" w:rsidRPr="00B3795E" w:rsidRDefault="00267298">
      <w:pPr>
        <w:ind w:left="-283" w:right="257"/>
        <w:jc w:val="both"/>
        <w:rPr>
          <w:rFonts w:ascii="Palatino Linotype" w:eastAsia="Palatino Linotype" w:hAnsi="Palatino Linotype" w:cs="Palatino Linotype"/>
          <w:b/>
          <w:sz w:val="22"/>
          <w:szCs w:val="22"/>
        </w:rPr>
      </w:pPr>
    </w:p>
    <w:p w14:paraId="16A33537" w14:textId="77777777" w:rsidR="00267298" w:rsidRPr="00B3795E" w:rsidRDefault="006A72E6" w:rsidP="000E6B22">
      <w:pPr>
        <w:numPr>
          <w:ilvl w:val="0"/>
          <w:numId w:val="1"/>
        </w:numPr>
        <w:spacing w:line="360" w:lineRule="auto"/>
        <w:ind w:right="257"/>
        <w:jc w:val="both"/>
        <w:rPr>
          <w:rFonts w:ascii="Palatino Linotype" w:eastAsia="Palatino Linotype" w:hAnsi="Palatino Linotype" w:cs="Palatino Linotype"/>
          <w:sz w:val="22"/>
          <w:szCs w:val="22"/>
        </w:rPr>
      </w:pPr>
      <w:r w:rsidRPr="00B3795E">
        <w:rPr>
          <w:rFonts w:ascii="Palatino Linotype" w:eastAsia="Palatino Linotype" w:hAnsi="Palatino Linotype" w:cs="Palatino Linotype"/>
          <w:b/>
          <w:sz w:val="22"/>
          <w:szCs w:val="22"/>
        </w:rPr>
        <w:t>Acto impugnado</w:t>
      </w:r>
      <w:r w:rsidRPr="00B3795E">
        <w:rPr>
          <w:rFonts w:ascii="Palatino Linotype" w:eastAsia="Palatino Linotype" w:hAnsi="Palatino Linotype" w:cs="Palatino Linotype"/>
          <w:b/>
          <w:i/>
          <w:sz w:val="22"/>
          <w:szCs w:val="22"/>
        </w:rPr>
        <w:t>:</w:t>
      </w:r>
      <w:r w:rsidR="00C17E61" w:rsidRPr="00B3795E">
        <w:rPr>
          <w:rFonts w:ascii="Palatino Linotype" w:eastAsia="Palatino Linotype" w:hAnsi="Palatino Linotype" w:cs="Palatino Linotype"/>
          <w:i/>
          <w:color w:val="000000"/>
          <w:sz w:val="22"/>
          <w:szCs w:val="22"/>
        </w:rPr>
        <w:t xml:space="preserve"> “</w:t>
      </w:r>
      <w:r w:rsidR="000E6B22" w:rsidRPr="00B3795E">
        <w:rPr>
          <w:rFonts w:ascii="Palatino Linotype" w:eastAsia="Palatino Linotype" w:hAnsi="Palatino Linotype" w:cs="Palatino Linotype"/>
          <w:i/>
          <w:color w:val="000000"/>
          <w:sz w:val="22"/>
          <w:szCs w:val="22"/>
        </w:rPr>
        <w:t>LA INFORMACIÓN REQUERIDA NO CUMPLE CON EL FORMADO DE DATOS ABIERTOS, POR UNA PARTE ANEXAN EL LISTADO DE PROVEEDORES Y POR OTRA ANEXAN LOS MONTOS. QUE ABSURDO Y QUE DESCONOCIMIENTO DE LA LEY, POR ELLO PIDO QUE ME ANEXEN LA INFORMACIÓN EN FORMATO ABIERTO COMO LO MARCAN LOS PRINCIPIOS DE ACCESO A LA INFORMACIÓN</w:t>
      </w:r>
      <w:r w:rsidRPr="00B3795E">
        <w:rPr>
          <w:rFonts w:ascii="Palatino Linotype" w:eastAsia="Palatino Linotype" w:hAnsi="Palatino Linotype" w:cs="Palatino Linotype"/>
          <w:i/>
          <w:color w:val="000000"/>
          <w:sz w:val="22"/>
          <w:szCs w:val="22"/>
        </w:rPr>
        <w:t>” (Sic)</w:t>
      </w:r>
    </w:p>
    <w:p w14:paraId="0E3D3528" w14:textId="77777777" w:rsidR="00267298" w:rsidRPr="00B3795E" w:rsidRDefault="00267298">
      <w:pPr>
        <w:spacing w:line="360" w:lineRule="auto"/>
        <w:ind w:right="257"/>
        <w:jc w:val="both"/>
        <w:rPr>
          <w:rFonts w:ascii="Palatino Linotype" w:eastAsia="Palatino Linotype" w:hAnsi="Palatino Linotype" w:cs="Palatino Linotype"/>
          <w:sz w:val="22"/>
          <w:szCs w:val="22"/>
        </w:rPr>
      </w:pPr>
    </w:p>
    <w:p w14:paraId="5D2CFF85" w14:textId="77777777" w:rsidR="00267298" w:rsidRPr="00B3795E" w:rsidRDefault="006A72E6" w:rsidP="000E6B22">
      <w:pPr>
        <w:numPr>
          <w:ilvl w:val="0"/>
          <w:numId w:val="1"/>
        </w:numPr>
        <w:spacing w:line="360" w:lineRule="auto"/>
        <w:ind w:right="257"/>
        <w:jc w:val="both"/>
        <w:rPr>
          <w:rFonts w:ascii="Palatino Linotype" w:eastAsia="Palatino Linotype" w:hAnsi="Palatino Linotype" w:cs="Palatino Linotype"/>
          <w:sz w:val="22"/>
          <w:szCs w:val="22"/>
        </w:rPr>
      </w:pPr>
      <w:r w:rsidRPr="00B3795E">
        <w:rPr>
          <w:rFonts w:ascii="Palatino Linotype" w:eastAsia="Palatino Linotype" w:hAnsi="Palatino Linotype" w:cs="Palatino Linotype"/>
          <w:b/>
          <w:sz w:val="22"/>
          <w:szCs w:val="22"/>
        </w:rPr>
        <w:t>Razones o Motivos de inconformidad:</w:t>
      </w:r>
      <w:r w:rsidRPr="00B3795E">
        <w:rPr>
          <w:rFonts w:ascii="Palatino Linotype" w:eastAsia="Palatino Linotype" w:hAnsi="Palatino Linotype" w:cs="Palatino Linotype"/>
          <w:b/>
          <w:color w:val="2E75B5"/>
          <w:sz w:val="22"/>
          <w:szCs w:val="22"/>
        </w:rPr>
        <w:t xml:space="preserve"> </w:t>
      </w:r>
      <w:r w:rsidRPr="00B3795E">
        <w:rPr>
          <w:rFonts w:ascii="Palatino Linotype" w:eastAsia="Palatino Linotype" w:hAnsi="Palatino Linotype" w:cs="Palatino Linotype"/>
          <w:i/>
          <w:sz w:val="22"/>
          <w:szCs w:val="22"/>
        </w:rPr>
        <w:t>“</w:t>
      </w:r>
      <w:r w:rsidR="000E6B22" w:rsidRPr="00B3795E">
        <w:rPr>
          <w:rFonts w:ascii="Palatino Linotype" w:eastAsia="Palatino Linotype" w:hAnsi="Palatino Linotype" w:cs="Palatino Linotype"/>
          <w:i/>
          <w:sz w:val="22"/>
          <w:szCs w:val="22"/>
        </w:rPr>
        <w:t xml:space="preserve">LA INFORMACIÓN REQUERIDA NO CUMPLE CON EL FORMADO DE DATOS ABIERTOS, POR UNA PARTE ANEXAN EL LISTADO DE PROVEEDORES Y POR OTRA ANEXAN LOS MONTOS. QUE ABSURDO Y QUE DESCONOCIMIENTO DE LA LEY, POR ELLO PIDO QUE ME </w:t>
      </w:r>
      <w:r w:rsidR="000E6B22" w:rsidRPr="00B3795E">
        <w:rPr>
          <w:rFonts w:ascii="Palatino Linotype" w:eastAsia="Palatino Linotype" w:hAnsi="Palatino Linotype" w:cs="Palatino Linotype"/>
          <w:i/>
          <w:sz w:val="22"/>
          <w:szCs w:val="22"/>
        </w:rPr>
        <w:lastRenderedPageBreak/>
        <w:t>ANEXEN LA INFORMACIÓN EN FORMATO ABIERTO COMO LO MARCAN LOS PRINCIPIOS DE ACCESO A LA INFORMACIÓN</w:t>
      </w:r>
      <w:r w:rsidRPr="00B3795E">
        <w:rPr>
          <w:rFonts w:ascii="Palatino Linotype" w:eastAsia="Palatino Linotype" w:hAnsi="Palatino Linotype" w:cs="Palatino Linotype"/>
          <w:i/>
          <w:sz w:val="22"/>
          <w:szCs w:val="22"/>
        </w:rPr>
        <w:t>.”</w:t>
      </w:r>
      <w:r w:rsidRPr="00B3795E">
        <w:rPr>
          <w:rFonts w:ascii="Palatino Linotype" w:eastAsia="Palatino Linotype" w:hAnsi="Palatino Linotype" w:cs="Palatino Linotype"/>
          <w:i/>
          <w:color w:val="000000"/>
          <w:sz w:val="22"/>
          <w:szCs w:val="22"/>
        </w:rPr>
        <w:t xml:space="preserve"> (Sic).</w:t>
      </w:r>
    </w:p>
    <w:p w14:paraId="22536FCE" w14:textId="77777777" w:rsidR="00267298" w:rsidRPr="00B3795E" w:rsidRDefault="00267298">
      <w:pPr>
        <w:spacing w:line="360" w:lineRule="auto"/>
        <w:ind w:right="257"/>
        <w:jc w:val="both"/>
        <w:rPr>
          <w:rFonts w:ascii="Palatino Linotype" w:eastAsia="Palatino Linotype" w:hAnsi="Palatino Linotype" w:cs="Palatino Linotype"/>
          <w:sz w:val="22"/>
          <w:szCs w:val="22"/>
        </w:rPr>
      </w:pPr>
    </w:p>
    <w:p w14:paraId="75F4E72F" w14:textId="77777777" w:rsidR="007D405B" w:rsidRPr="00B3795E" w:rsidRDefault="00D72999" w:rsidP="007D405B">
      <w:pPr>
        <w:spacing w:line="360" w:lineRule="auto"/>
        <w:ind w:right="-876"/>
        <w:jc w:val="both"/>
        <w:rPr>
          <w:rFonts w:ascii="Palatino Linotype" w:eastAsia="Palatino Linotype" w:hAnsi="Palatino Linotype" w:cs="Palatino Linotype"/>
          <w:b/>
        </w:rPr>
      </w:pPr>
      <w:r w:rsidRPr="00B3795E">
        <w:rPr>
          <w:rFonts w:ascii="Palatino Linotype" w:eastAsia="Palatino Linotype" w:hAnsi="Palatino Linotype" w:cs="Palatino Linotype"/>
          <w:b/>
        </w:rPr>
        <w:t>04340/INFOEM/IP/RR/2024</w:t>
      </w:r>
    </w:p>
    <w:p w14:paraId="4F55DC80" w14:textId="77777777" w:rsidR="00412579" w:rsidRPr="00B3795E" w:rsidRDefault="00412579" w:rsidP="00412579">
      <w:pPr>
        <w:spacing w:line="360" w:lineRule="auto"/>
        <w:ind w:right="-876"/>
        <w:jc w:val="both"/>
        <w:rPr>
          <w:rFonts w:ascii="Palatino Linotype" w:eastAsia="Palatino Linotype" w:hAnsi="Palatino Linotype" w:cs="Palatino Linotype"/>
          <w:b/>
        </w:rPr>
      </w:pPr>
      <w:r w:rsidRPr="00B3795E">
        <w:rPr>
          <w:rFonts w:ascii="Palatino Linotype" w:eastAsia="Palatino Linotype" w:hAnsi="Palatino Linotype" w:cs="Palatino Linotype"/>
          <w:b/>
        </w:rPr>
        <w:t>00407/SF/IP/2024</w:t>
      </w:r>
    </w:p>
    <w:p w14:paraId="2BF90008" w14:textId="77777777" w:rsidR="00412579" w:rsidRPr="00B3795E" w:rsidRDefault="00412579" w:rsidP="007D405B">
      <w:pPr>
        <w:spacing w:line="360" w:lineRule="auto"/>
        <w:ind w:right="-876"/>
        <w:jc w:val="both"/>
        <w:rPr>
          <w:rFonts w:ascii="Palatino Linotype" w:eastAsia="Palatino Linotype" w:hAnsi="Palatino Linotype" w:cs="Palatino Linotype"/>
          <w:b/>
        </w:rPr>
      </w:pPr>
    </w:p>
    <w:p w14:paraId="0A82EB1B" w14:textId="77777777" w:rsidR="00267298" w:rsidRPr="00B3795E" w:rsidRDefault="00267298">
      <w:pPr>
        <w:pBdr>
          <w:top w:val="nil"/>
          <w:left w:val="nil"/>
          <w:bottom w:val="nil"/>
          <w:right w:val="nil"/>
          <w:between w:val="nil"/>
        </w:pBdr>
        <w:ind w:right="257"/>
        <w:rPr>
          <w:rFonts w:ascii="Palatino Linotype" w:eastAsia="Palatino Linotype" w:hAnsi="Palatino Linotype" w:cs="Palatino Linotype"/>
          <w:color w:val="000000"/>
          <w:sz w:val="22"/>
          <w:szCs w:val="22"/>
        </w:rPr>
      </w:pPr>
    </w:p>
    <w:p w14:paraId="5B822720" w14:textId="77777777" w:rsidR="00267298" w:rsidRPr="00B3795E" w:rsidRDefault="006A72E6" w:rsidP="000E6B22">
      <w:pPr>
        <w:numPr>
          <w:ilvl w:val="0"/>
          <w:numId w:val="8"/>
        </w:numPr>
        <w:spacing w:line="360" w:lineRule="auto"/>
        <w:ind w:right="257"/>
        <w:jc w:val="both"/>
        <w:rPr>
          <w:rFonts w:ascii="Palatino Linotype" w:eastAsia="Palatino Linotype" w:hAnsi="Palatino Linotype" w:cs="Palatino Linotype"/>
          <w:sz w:val="22"/>
          <w:szCs w:val="22"/>
        </w:rPr>
      </w:pPr>
      <w:r w:rsidRPr="00B3795E">
        <w:rPr>
          <w:rFonts w:ascii="Palatino Linotype" w:eastAsia="Palatino Linotype" w:hAnsi="Palatino Linotype" w:cs="Palatino Linotype"/>
          <w:b/>
          <w:sz w:val="22"/>
          <w:szCs w:val="22"/>
        </w:rPr>
        <w:t>Acto impugnado</w:t>
      </w:r>
      <w:r w:rsidRPr="00B3795E">
        <w:rPr>
          <w:rFonts w:ascii="Palatino Linotype" w:eastAsia="Palatino Linotype" w:hAnsi="Palatino Linotype" w:cs="Palatino Linotype"/>
          <w:b/>
          <w:i/>
          <w:sz w:val="22"/>
          <w:szCs w:val="22"/>
        </w:rPr>
        <w:t>:</w:t>
      </w:r>
      <w:r w:rsidRPr="00B3795E">
        <w:rPr>
          <w:rFonts w:ascii="Palatino Linotype" w:eastAsia="Palatino Linotype" w:hAnsi="Palatino Linotype" w:cs="Palatino Linotype"/>
          <w:i/>
          <w:color w:val="000000"/>
          <w:sz w:val="22"/>
          <w:szCs w:val="22"/>
        </w:rPr>
        <w:t xml:space="preserve"> “</w:t>
      </w:r>
      <w:r w:rsidR="000E6B22" w:rsidRPr="00B3795E">
        <w:rPr>
          <w:rFonts w:ascii="Palatino Linotype" w:eastAsia="Palatino Linotype" w:hAnsi="Palatino Linotype" w:cs="Palatino Linotype"/>
          <w:i/>
          <w:color w:val="000000"/>
          <w:sz w:val="22"/>
          <w:szCs w:val="22"/>
        </w:rPr>
        <w:t>NO SE ANEXA INFORMACIÓN SOLICITADA</w:t>
      </w:r>
      <w:r w:rsidRPr="00B3795E">
        <w:rPr>
          <w:rFonts w:ascii="Palatino Linotype" w:eastAsia="Palatino Linotype" w:hAnsi="Palatino Linotype" w:cs="Palatino Linotype"/>
          <w:i/>
          <w:color w:val="000000"/>
          <w:sz w:val="22"/>
          <w:szCs w:val="22"/>
        </w:rPr>
        <w:t>.” (Sic)</w:t>
      </w:r>
    </w:p>
    <w:p w14:paraId="2B23D8EF" w14:textId="77777777" w:rsidR="00267298" w:rsidRPr="00B3795E" w:rsidRDefault="00267298">
      <w:pPr>
        <w:spacing w:line="360" w:lineRule="auto"/>
        <w:ind w:left="720" w:right="257"/>
        <w:jc w:val="both"/>
        <w:rPr>
          <w:rFonts w:ascii="Palatino Linotype" w:eastAsia="Palatino Linotype" w:hAnsi="Palatino Linotype" w:cs="Palatino Linotype"/>
          <w:sz w:val="22"/>
          <w:szCs w:val="22"/>
        </w:rPr>
      </w:pPr>
    </w:p>
    <w:p w14:paraId="1946084B" w14:textId="77777777" w:rsidR="00267298" w:rsidRPr="00B3795E" w:rsidRDefault="006A72E6" w:rsidP="000E6B22">
      <w:pPr>
        <w:numPr>
          <w:ilvl w:val="0"/>
          <w:numId w:val="8"/>
        </w:numPr>
        <w:spacing w:line="360" w:lineRule="auto"/>
        <w:ind w:right="257"/>
        <w:jc w:val="both"/>
        <w:rPr>
          <w:rFonts w:ascii="Palatino Linotype" w:eastAsia="Palatino Linotype" w:hAnsi="Palatino Linotype" w:cs="Palatino Linotype"/>
          <w:sz w:val="22"/>
          <w:szCs w:val="22"/>
        </w:rPr>
      </w:pPr>
      <w:r w:rsidRPr="00B3795E">
        <w:rPr>
          <w:rFonts w:ascii="Palatino Linotype" w:eastAsia="Palatino Linotype" w:hAnsi="Palatino Linotype" w:cs="Palatino Linotype"/>
          <w:b/>
          <w:sz w:val="22"/>
          <w:szCs w:val="22"/>
        </w:rPr>
        <w:t>Razones o Motivos de inconformidad:</w:t>
      </w:r>
      <w:r w:rsidRPr="00B3795E">
        <w:rPr>
          <w:rFonts w:ascii="Palatino Linotype" w:eastAsia="Palatino Linotype" w:hAnsi="Palatino Linotype" w:cs="Palatino Linotype"/>
          <w:b/>
          <w:color w:val="2E75B5"/>
          <w:sz w:val="22"/>
          <w:szCs w:val="22"/>
        </w:rPr>
        <w:t xml:space="preserve"> </w:t>
      </w:r>
      <w:r w:rsidRPr="00B3795E">
        <w:rPr>
          <w:rFonts w:ascii="Palatino Linotype" w:eastAsia="Palatino Linotype" w:hAnsi="Palatino Linotype" w:cs="Palatino Linotype"/>
          <w:i/>
          <w:sz w:val="22"/>
          <w:szCs w:val="22"/>
        </w:rPr>
        <w:t>“</w:t>
      </w:r>
      <w:r w:rsidR="000E6B22" w:rsidRPr="00B3795E">
        <w:rPr>
          <w:rFonts w:ascii="Palatino Linotype" w:eastAsia="Palatino Linotype" w:hAnsi="Palatino Linotype" w:cs="Palatino Linotype"/>
          <w:i/>
          <w:sz w:val="22"/>
          <w:szCs w:val="22"/>
        </w:rPr>
        <w:t>NO SE ANEXA INFORMACIÓN SOLICITADA</w:t>
      </w:r>
      <w:r w:rsidRPr="00B3795E">
        <w:rPr>
          <w:rFonts w:ascii="Palatino Linotype" w:eastAsia="Palatino Linotype" w:hAnsi="Palatino Linotype" w:cs="Palatino Linotype"/>
          <w:color w:val="000000"/>
          <w:sz w:val="22"/>
          <w:szCs w:val="22"/>
        </w:rPr>
        <w:t>.”(SIC.)</w:t>
      </w:r>
    </w:p>
    <w:p w14:paraId="2EB8D2F4" w14:textId="77777777" w:rsidR="00267298" w:rsidRPr="00B3795E" w:rsidRDefault="00267298">
      <w:pPr>
        <w:spacing w:line="360" w:lineRule="auto"/>
        <w:ind w:right="-876"/>
        <w:jc w:val="both"/>
        <w:rPr>
          <w:rFonts w:ascii="Palatino Linotype" w:eastAsia="Palatino Linotype" w:hAnsi="Palatino Linotype" w:cs="Palatino Linotype"/>
          <w:i/>
          <w:color w:val="000000"/>
        </w:rPr>
      </w:pPr>
    </w:p>
    <w:p w14:paraId="0381ACD7" w14:textId="77777777" w:rsidR="00267298" w:rsidRPr="00B3795E" w:rsidRDefault="006A72E6">
      <w:pPr>
        <w:numPr>
          <w:ilvl w:val="0"/>
          <w:numId w:val="9"/>
        </w:numPr>
        <w:spacing w:line="360" w:lineRule="auto"/>
        <w:ind w:left="0" w:right="-876" w:firstLine="0"/>
        <w:jc w:val="both"/>
        <w:rPr>
          <w:rFonts w:ascii="Palatino Linotype" w:eastAsia="Palatino Linotype" w:hAnsi="Palatino Linotype" w:cs="Palatino Linotype"/>
        </w:rPr>
      </w:pPr>
      <w:r w:rsidRPr="00B3795E">
        <w:rPr>
          <w:rFonts w:ascii="Palatino Linotype" w:eastAsia="Palatino Linotype" w:hAnsi="Palatino Linotype" w:cs="Palatino Linotype"/>
        </w:rPr>
        <w:t xml:space="preserve">Se registraron los recursos de revisión bajo el número de expediente al rubro indicado, asimismo con fundamento en lo dispuesto por el artículo 185 fracción I de la </w:t>
      </w:r>
      <w:r w:rsidRPr="00B3795E">
        <w:rPr>
          <w:rFonts w:ascii="Palatino Linotype" w:eastAsia="Palatino Linotype" w:hAnsi="Palatino Linotype" w:cs="Palatino Linotype"/>
          <w:b/>
        </w:rPr>
        <w:t xml:space="preserve">Ley de Transparencia y Acceso a la Información Pública del Estado de México y Municipios </w:t>
      </w:r>
      <w:r w:rsidRPr="00B3795E">
        <w:rPr>
          <w:rFonts w:ascii="Palatino Linotype" w:eastAsia="Palatino Linotype" w:hAnsi="Palatino Linotype" w:cs="Palatino Linotype"/>
        </w:rPr>
        <w:t xml:space="preserve">se turna a la </w:t>
      </w:r>
      <w:r w:rsidRPr="00B3795E">
        <w:rPr>
          <w:rFonts w:ascii="Palatino Linotype" w:eastAsia="Palatino Linotype" w:hAnsi="Palatino Linotype" w:cs="Palatino Linotype"/>
          <w:b/>
        </w:rPr>
        <w:t xml:space="preserve">Comisionada María del Rosario Mejía Ayala, </w:t>
      </w:r>
      <w:r w:rsidRPr="00B3795E">
        <w:rPr>
          <w:rFonts w:ascii="Palatino Linotype" w:eastAsia="Palatino Linotype" w:hAnsi="Palatino Linotype" w:cs="Palatino Linotype"/>
        </w:rPr>
        <w:t xml:space="preserve">para su análisis. </w:t>
      </w:r>
    </w:p>
    <w:p w14:paraId="20D0718D" w14:textId="77777777" w:rsidR="00267298" w:rsidRPr="00B3795E" w:rsidRDefault="00267298">
      <w:pPr>
        <w:spacing w:line="360" w:lineRule="auto"/>
        <w:ind w:right="-876"/>
        <w:jc w:val="both"/>
        <w:rPr>
          <w:rFonts w:ascii="Palatino Linotype" w:eastAsia="Palatino Linotype" w:hAnsi="Palatino Linotype" w:cs="Palatino Linotype"/>
        </w:rPr>
      </w:pPr>
    </w:p>
    <w:p w14:paraId="77A0DF99" w14:textId="77777777" w:rsidR="00267298" w:rsidRPr="00B3795E" w:rsidRDefault="006A72E6">
      <w:pPr>
        <w:numPr>
          <w:ilvl w:val="0"/>
          <w:numId w:val="9"/>
        </w:numPr>
        <w:spacing w:line="360" w:lineRule="auto"/>
        <w:ind w:left="0" w:right="-876" w:firstLine="0"/>
        <w:jc w:val="both"/>
        <w:rPr>
          <w:rFonts w:ascii="Palatino Linotype" w:eastAsia="Palatino Linotype" w:hAnsi="Palatino Linotype" w:cs="Palatino Linotype"/>
          <w:b/>
        </w:rPr>
      </w:pPr>
      <w:r w:rsidRPr="00B3795E">
        <w:rPr>
          <w:rFonts w:ascii="Palatino Linotype" w:eastAsia="Palatino Linotype" w:hAnsi="Palatino Linotype" w:cs="Palatino Linotype"/>
        </w:rPr>
        <w:t xml:space="preserve">La Comisionada Ponente con fundamento en lo dispuesto por el artículo 185 fracción II de la ley de la materia, a través de los acuerdo de admisión </w:t>
      </w:r>
      <w:r w:rsidR="000E6B22" w:rsidRPr="00B3795E">
        <w:rPr>
          <w:rFonts w:ascii="Palatino Linotype" w:eastAsia="Palatino Linotype" w:hAnsi="Palatino Linotype" w:cs="Palatino Linotype"/>
        </w:rPr>
        <w:t>de fecha doce de julio</w:t>
      </w:r>
      <w:r w:rsidRPr="00B3795E">
        <w:rPr>
          <w:rFonts w:ascii="Palatino Linotype" w:eastAsia="Palatino Linotype" w:hAnsi="Palatino Linotype" w:cs="Palatino Linotype"/>
        </w:rPr>
        <w:t xml:space="preserve"> de dos mil veinticuatro , puso a disposición de las partes los expedientes electrónicos vía SAIMEX a efecto de que en un plazo máximo de siete días manifestara lo que a derecho conviniera, ofreciera pruebas y alegatos según corresponda al caso concreto, de esta forma para que el SUJETO OBLIGADO presentará el informe justificado procedente.</w:t>
      </w:r>
    </w:p>
    <w:p w14:paraId="71AEE551" w14:textId="77777777" w:rsidR="000E6B22" w:rsidRPr="00B3795E" w:rsidRDefault="000E6B22" w:rsidP="000E6B22">
      <w:pPr>
        <w:pStyle w:val="Prrafodelista"/>
        <w:rPr>
          <w:rFonts w:ascii="Palatino Linotype" w:eastAsia="Palatino Linotype" w:hAnsi="Palatino Linotype" w:cs="Palatino Linotype"/>
          <w:b/>
        </w:rPr>
      </w:pPr>
    </w:p>
    <w:p w14:paraId="5DA054A0" w14:textId="77777777" w:rsidR="000E6B22" w:rsidRPr="00B3795E" w:rsidRDefault="000E6B22">
      <w:pPr>
        <w:numPr>
          <w:ilvl w:val="0"/>
          <w:numId w:val="9"/>
        </w:numPr>
        <w:spacing w:line="360" w:lineRule="auto"/>
        <w:ind w:left="0" w:right="-876" w:firstLine="0"/>
        <w:jc w:val="both"/>
        <w:rPr>
          <w:rFonts w:ascii="Palatino Linotype" w:eastAsia="Palatino Linotype" w:hAnsi="Palatino Linotype" w:cs="Palatino Linotype"/>
        </w:rPr>
      </w:pPr>
      <w:r w:rsidRPr="00B3795E">
        <w:rPr>
          <w:rFonts w:ascii="Palatino Linotype" w:eastAsia="Palatino Linotype" w:hAnsi="Palatino Linotype" w:cs="Palatino Linotype"/>
        </w:rPr>
        <w:lastRenderedPageBreak/>
        <w:t>En fecha treinta y uno de julio de dos mil veinticuatro, El Sujeto Obligado realizó, las siguientes manifestaciones, adjuntando los siguientes archivos.</w:t>
      </w:r>
    </w:p>
    <w:p w14:paraId="6ADB763C" w14:textId="77777777" w:rsidR="000E6B22" w:rsidRPr="00B3795E" w:rsidRDefault="000E6B22" w:rsidP="000E6B22">
      <w:pPr>
        <w:pStyle w:val="Prrafodelista"/>
        <w:rPr>
          <w:rFonts w:ascii="Palatino Linotype" w:eastAsia="Palatino Linotype" w:hAnsi="Palatino Linotype" w:cs="Palatino Linotype"/>
        </w:rPr>
      </w:pPr>
    </w:p>
    <w:p w14:paraId="0053BC29" w14:textId="77777777" w:rsidR="000E6B22" w:rsidRPr="00B3795E" w:rsidRDefault="000E6B22" w:rsidP="000E6B22">
      <w:pPr>
        <w:spacing w:line="360" w:lineRule="auto"/>
        <w:ind w:right="-876"/>
        <w:jc w:val="both"/>
        <w:rPr>
          <w:rFonts w:ascii="Palatino Linotype" w:eastAsia="Palatino Linotype" w:hAnsi="Palatino Linotype" w:cs="Palatino Linotype"/>
          <w:b/>
        </w:rPr>
      </w:pPr>
      <w:r w:rsidRPr="00B3795E">
        <w:rPr>
          <w:rFonts w:ascii="Palatino Linotype" w:eastAsia="Palatino Linotype" w:hAnsi="Palatino Linotype" w:cs="Palatino Linotype"/>
          <w:b/>
        </w:rPr>
        <w:t>04338/INFOEM/IP/RR/2024</w:t>
      </w:r>
    </w:p>
    <w:p w14:paraId="276614C9" w14:textId="77777777" w:rsidR="000E6B22" w:rsidRPr="00B3795E" w:rsidRDefault="000E6B22" w:rsidP="000E6B22">
      <w:pPr>
        <w:spacing w:line="360" w:lineRule="auto"/>
        <w:ind w:right="-876"/>
        <w:jc w:val="both"/>
        <w:rPr>
          <w:rFonts w:ascii="Palatino Linotype" w:eastAsia="Palatino Linotype" w:hAnsi="Palatino Linotype" w:cs="Palatino Linotype"/>
          <w:b/>
        </w:rPr>
      </w:pPr>
      <w:r w:rsidRPr="00B3795E">
        <w:rPr>
          <w:rFonts w:ascii="Palatino Linotype" w:eastAsia="Palatino Linotype" w:hAnsi="Palatino Linotype" w:cs="Palatino Linotype"/>
          <w:b/>
        </w:rPr>
        <w:t>00408/SF/IP/2024</w:t>
      </w:r>
    </w:p>
    <w:p w14:paraId="12383D17" w14:textId="77777777" w:rsidR="000E6B22" w:rsidRPr="00B3795E" w:rsidRDefault="000E6B22" w:rsidP="000E6B22">
      <w:pPr>
        <w:spacing w:line="360" w:lineRule="auto"/>
        <w:ind w:right="-876"/>
        <w:jc w:val="both"/>
        <w:rPr>
          <w:rFonts w:ascii="Palatino Linotype" w:eastAsia="Palatino Linotype" w:hAnsi="Palatino Linotype" w:cs="Palatino Linotype"/>
        </w:rPr>
      </w:pPr>
    </w:p>
    <w:p w14:paraId="128C4398" w14:textId="77777777" w:rsidR="000E6B22" w:rsidRPr="00B3795E" w:rsidRDefault="000E6B22" w:rsidP="00696F5B">
      <w:pPr>
        <w:pStyle w:val="Prrafodelista"/>
        <w:numPr>
          <w:ilvl w:val="0"/>
          <w:numId w:val="25"/>
        </w:numPr>
        <w:ind w:left="1134" w:right="-850"/>
        <w:jc w:val="both"/>
        <w:rPr>
          <w:rFonts w:ascii="Palatino Linotype" w:eastAsia="Palatino Linotype" w:hAnsi="Palatino Linotype" w:cs="Palatino Linotype"/>
          <w:b/>
        </w:rPr>
      </w:pPr>
      <w:r w:rsidRPr="00B3795E">
        <w:rPr>
          <w:rFonts w:ascii="Palatino Linotype" w:eastAsia="Palatino Linotype" w:hAnsi="Palatino Linotype" w:cs="Palatino Linotype"/>
          <w:b/>
        </w:rPr>
        <w:t xml:space="preserve">Informe Justificado RR 04338-2024.pdf: </w:t>
      </w:r>
      <w:r w:rsidRPr="00B3795E">
        <w:rPr>
          <w:rFonts w:ascii="Palatino Linotype" w:eastAsia="Palatino Linotype" w:hAnsi="Palatino Linotype" w:cs="Palatino Linotype"/>
        </w:rPr>
        <w:t xml:space="preserve">Contiene Informe Justificado, mediante el cual ratifica en todas y cada una de sus partes la respuesta proporcionada por el servidor </w:t>
      </w:r>
      <w:r w:rsidR="00845169" w:rsidRPr="00B3795E">
        <w:rPr>
          <w:rFonts w:ascii="Palatino Linotype" w:eastAsia="Palatino Linotype" w:hAnsi="Palatino Linotype" w:cs="Palatino Linotype"/>
        </w:rPr>
        <w:t>público</w:t>
      </w:r>
      <w:r w:rsidRPr="00B3795E">
        <w:rPr>
          <w:rFonts w:ascii="Palatino Linotype" w:eastAsia="Palatino Linotype" w:hAnsi="Palatino Linotype" w:cs="Palatino Linotype"/>
        </w:rPr>
        <w:t xml:space="preserve"> habilitado </w:t>
      </w:r>
    </w:p>
    <w:p w14:paraId="2A09E674" w14:textId="77777777" w:rsidR="000E6B22" w:rsidRPr="00B3795E" w:rsidRDefault="000E6B22" w:rsidP="00696F5B">
      <w:pPr>
        <w:spacing w:line="360" w:lineRule="auto"/>
        <w:ind w:left="1134" w:right="-876"/>
        <w:jc w:val="both"/>
        <w:rPr>
          <w:rFonts w:ascii="Palatino Linotype" w:eastAsia="Palatino Linotype" w:hAnsi="Palatino Linotype" w:cs="Palatino Linotype"/>
          <w:b/>
        </w:rPr>
      </w:pPr>
    </w:p>
    <w:p w14:paraId="58DAA783" w14:textId="77777777" w:rsidR="000E6B22" w:rsidRPr="00B3795E" w:rsidRDefault="000E6B22" w:rsidP="00696F5B">
      <w:pPr>
        <w:pStyle w:val="Prrafodelista"/>
        <w:numPr>
          <w:ilvl w:val="0"/>
          <w:numId w:val="25"/>
        </w:numPr>
        <w:ind w:left="1134" w:right="-850"/>
        <w:rPr>
          <w:rFonts w:ascii="Palatino Linotype" w:eastAsia="Palatino Linotype" w:hAnsi="Palatino Linotype" w:cs="Palatino Linotype"/>
        </w:rPr>
      </w:pPr>
      <w:r w:rsidRPr="00B3795E">
        <w:rPr>
          <w:rFonts w:ascii="Palatino Linotype" w:eastAsia="Palatino Linotype" w:hAnsi="Palatino Linotype" w:cs="Palatino Linotype"/>
          <w:b/>
        </w:rPr>
        <w:t xml:space="preserve">RR 04338 INFOEM SUBSE TESORERIA.pdf: </w:t>
      </w:r>
      <w:r w:rsidRPr="00B3795E">
        <w:rPr>
          <w:rFonts w:ascii="Palatino Linotype" w:eastAsia="Palatino Linotype" w:hAnsi="Palatino Linotype" w:cs="Palatino Linotype"/>
        </w:rPr>
        <w:t xml:space="preserve">Contiene </w:t>
      </w:r>
    </w:p>
    <w:p w14:paraId="57592F58" w14:textId="77777777" w:rsidR="000E6B22" w:rsidRPr="00B3795E" w:rsidRDefault="000E6B22" w:rsidP="00696F5B">
      <w:pPr>
        <w:pStyle w:val="Prrafodelista"/>
        <w:ind w:left="1134"/>
        <w:rPr>
          <w:rFonts w:ascii="Palatino Linotype" w:eastAsia="Palatino Linotype" w:hAnsi="Palatino Linotype" w:cs="Palatino Linotype"/>
        </w:rPr>
      </w:pPr>
    </w:p>
    <w:p w14:paraId="137A2C3F" w14:textId="77777777" w:rsidR="000E6B22" w:rsidRPr="00B3795E" w:rsidRDefault="000E6B22" w:rsidP="00696F5B">
      <w:pPr>
        <w:pStyle w:val="Prrafodelista"/>
        <w:ind w:left="1134" w:right="-850"/>
        <w:jc w:val="both"/>
        <w:rPr>
          <w:rFonts w:ascii="Palatino Linotype" w:eastAsia="Palatino Linotype" w:hAnsi="Palatino Linotype" w:cs="Palatino Linotype"/>
        </w:rPr>
      </w:pPr>
      <w:r w:rsidRPr="00B3795E">
        <w:rPr>
          <w:rFonts w:ascii="Palatino Linotype" w:eastAsia="Palatino Linotype" w:hAnsi="Palatino Linotype" w:cs="Palatino Linotype"/>
        </w:rPr>
        <w:t xml:space="preserve">1.- Oficio suscrito por el JEFE DE LA UNIDAD dirigido al JEFE DE LA UIIPE Y TITULAR DE LA UNIDAD DE TRANSPAREWNCIA DE LA SECRETARIA DE FINANZAS, mediante el cual le informa que ratifica en todas y cada una de sus partes la contestación </w:t>
      </w:r>
      <w:r w:rsidR="00845169" w:rsidRPr="00B3795E">
        <w:rPr>
          <w:rFonts w:ascii="Palatino Linotype" w:eastAsia="Palatino Linotype" w:hAnsi="Palatino Linotype" w:cs="Palatino Linotype"/>
        </w:rPr>
        <w:t>otorgada</w:t>
      </w:r>
      <w:r w:rsidRPr="00B3795E">
        <w:rPr>
          <w:rFonts w:ascii="Palatino Linotype" w:eastAsia="Palatino Linotype" w:hAnsi="Palatino Linotype" w:cs="Palatino Linotype"/>
        </w:rPr>
        <w:t xml:space="preserve"> la solicitud de información pública</w:t>
      </w:r>
      <w:r w:rsidR="00696F5B" w:rsidRPr="00B3795E">
        <w:rPr>
          <w:rFonts w:ascii="Palatino Linotype" w:eastAsia="Palatino Linotype" w:hAnsi="Palatino Linotype" w:cs="Palatino Linotype"/>
        </w:rPr>
        <w:t>.</w:t>
      </w:r>
    </w:p>
    <w:p w14:paraId="5100283B" w14:textId="77777777" w:rsidR="00696F5B" w:rsidRPr="00B3795E" w:rsidRDefault="00696F5B" w:rsidP="00696F5B">
      <w:pPr>
        <w:pStyle w:val="Prrafodelista"/>
        <w:ind w:left="1134" w:right="-850"/>
        <w:jc w:val="both"/>
        <w:rPr>
          <w:rFonts w:ascii="Palatino Linotype" w:eastAsia="Palatino Linotype" w:hAnsi="Palatino Linotype" w:cs="Palatino Linotype"/>
        </w:rPr>
      </w:pPr>
    </w:p>
    <w:p w14:paraId="0E1433E2" w14:textId="77777777" w:rsidR="00696F5B" w:rsidRPr="00B3795E" w:rsidRDefault="00696F5B" w:rsidP="00696F5B">
      <w:pPr>
        <w:pStyle w:val="Prrafodelista"/>
        <w:ind w:left="1134" w:right="-850"/>
        <w:jc w:val="both"/>
        <w:rPr>
          <w:rFonts w:ascii="Palatino Linotype" w:eastAsia="Palatino Linotype" w:hAnsi="Palatino Linotype" w:cs="Palatino Linotype"/>
        </w:rPr>
      </w:pPr>
      <w:r w:rsidRPr="00B3795E">
        <w:rPr>
          <w:rFonts w:ascii="Palatino Linotype" w:eastAsia="Palatino Linotype" w:hAnsi="Palatino Linotype" w:cs="Palatino Linotype"/>
        </w:rPr>
        <w:t xml:space="preserve">2.- Oficio suscrito por el DIRECTOR GENERAL DE </w:t>
      </w:r>
      <w:r w:rsidR="00845169" w:rsidRPr="00B3795E">
        <w:rPr>
          <w:rFonts w:ascii="Palatino Linotype" w:eastAsia="Palatino Linotype" w:hAnsi="Palatino Linotype" w:cs="Palatino Linotype"/>
        </w:rPr>
        <w:t>TESORERÍA,</w:t>
      </w:r>
      <w:r w:rsidRPr="00B3795E">
        <w:rPr>
          <w:rFonts w:ascii="Palatino Linotype" w:eastAsia="Palatino Linotype" w:hAnsi="Palatino Linotype" w:cs="Palatino Linotype"/>
        </w:rPr>
        <w:t xml:space="preserve"> dirigido al JEFE DE LA UNIDAD DE APOYO TÉCNICO FINACIERO, mediante el cual le informa que ratifica en todas y cada una de sus partes, la contestación otorgada a la </w:t>
      </w:r>
      <w:r w:rsidR="00845169" w:rsidRPr="00B3795E">
        <w:rPr>
          <w:rFonts w:ascii="Palatino Linotype" w:eastAsia="Palatino Linotype" w:hAnsi="Palatino Linotype" w:cs="Palatino Linotype"/>
        </w:rPr>
        <w:t>solicitud</w:t>
      </w:r>
      <w:r w:rsidRPr="00B3795E">
        <w:rPr>
          <w:rFonts w:ascii="Palatino Linotype" w:eastAsia="Palatino Linotype" w:hAnsi="Palatino Linotype" w:cs="Palatino Linotype"/>
        </w:rPr>
        <w:t xml:space="preserve"> de información pública.</w:t>
      </w:r>
    </w:p>
    <w:p w14:paraId="38170D6A" w14:textId="77777777" w:rsidR="00696F5B" w:rsidRPr="00B3795E" w:rsidRDefault="00696F5B" w:rsidP="00696F5B">
      <w:pPr>
        <w:pStyle w:val="Prrafodelista"/>
        <w:ind w:left="1134" w:right="-850"/>
        <w:jc w:val="both"/>
        <w:rPr>
          <w:rFonts w:ascii="Palatino Linotype" w:eastAsia="Palatino Linotype" w:hAnsi="Palatino Linotype" w:cs="Palatino Linotype"/>
        </w:rPr>
      </w:pPr>
    </w:p>
    <w:p w14:paraId="676A6AB4" w14:textId="77777777" w:rsidR="00696F5B" w:rsidRPr="00B3795E" w:rsidRDefault="00696F5B" w:rsidP="00696F5B">
      <w:pPr>
        <w:pStyle w:val="Prrafodelista"/>
        <w:spacing w:line="360" w:lineRule="auto"/>
        <w:ind w:left="1134" w:right="-876"/>
        <w:jc w:val="both"/>
        <w:rPr>
          <w:rFonts w:ascii="Palatino Linotype" w:eastAsia="Palatino Linotype" w:hAnsi="Palatino Linotype" w:cs="Palatino Linotype"/>
        </w:rPr>
      </w:pPr>
      <w:r w:rsidRPr="00B3795E">
        <w:rPr>
          <w:rFonts w:ascii="Palatino Linotype" w:eastAsia="Palatino Linotype" w:hAnsi="Palatino Linotype" w:cs="Palatino Linotype"/>
        </w:rPr>
        <w:t>3.- .-  Oficio suscrito por el Director General de Tesorería, dirigido al Jefe de la Unidad de Apoyo Técnico Financiero, mediante el cual informa lo siguiente:</w:t>
      </w:r>
    </w:p>
    <w:p w14:paraId="788C7B5D" w14:textId="77777777" w:rsidR="00696F5B" w:rsidRPr="00B3795E" w:rsidRDefault="00696F5B" w:rsidP="00696F5B">
      <w:pPr>
        <w:pStyle w:val="Prrafodelista"/>
        <w:spacing w:line="360" w:lineRule="auto"/>
        <w:ind w:left="1134" w:right="-876"/>
        <w:jc w:val="both"/>
        <w:rPr>
          <w:rFonts w:ascii="Palatino Linotype" w:eastAsia="Palatino Linotype" w:hAnsi="Palatino Linotype" w:cs="Palatino Linotype"/>
        </w:rPr>
      </w:pPr>
      <w:r w:rsidRPr="00B3795E">
        <w:rPr>
          <w:rFonts w:ascii="Palatino Linotype" w:eastAsia="Palatino Linotype" w:hAnsi="Palatino Linotype" w:cs="Palatino Linotype"/>
          <w:noProof/>
        </w:rPr>
        <w:drawing>
          <wp:inline distT="0" distB="0" distL="0" distR="0" wp14:anchorId="01B1CADC" wp14:editId="1CBFFD24">
            <wp:extent cx="5761355" cy="551180"/>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1355" cy="551180"/>
                    </a:xfrm>
                    <a:prstGeom prst="rect">
                      <a:avLst/>
                    </a:prstGeom>
                  </pic:spPr>
                </pic:pic>
              </a:graphicData>
            </a:graphic>
          </wp:inline>
        </w:drawing>
      </w:r>
      <w:r w:rsidRPr="00B3795E">
        <w:rPr>
          <w:rFonts w:ascii="Palatino Linotype" w:eastAsia="Palatino Linotype" w:hAnsi="Palatino Linotype" w:cs="Palatino Linotype"/>
        </w:rPr>
        <w:t xml:space="preserve">La información proporcionada está actualizada al 17 de junio del presente año, por lo que el número de proveedores y el sado </w:t>
      </w:r>
      <w:r w:rsidR="002837FF" w:rsidRPr="00B3795E">
        <w:rPr>
          <w:rFonts w:ascii="Palatino Linotype" w:eastAsia="Palatino Linotype" w:hAnsi="Palatino Linotype" w:cs="Palatino Linotype"/>
        </w:rPr>
        <w:t>varía</w:t>
      </w:r>
      <w:r w:rsidRPr="00B3795E">
        <w:rPr>
          <w:rFonts w:ascii="Palatino Linotype" w:eastAsia="Palatino Linotype" w:hAnsi="Palatino Linotype" w:cs="Palatino Linotype"/>
        </w:rPr>
        <w:t xml:space="preserve"> conforme al ingreso de documentos nuevos y los documentos pagados por día.</w:t>
      </w:r>
    </w:p>
    <w:p w14:paraId="4065A847" w14:textId="77777777" w:rsidR="00696F5B" w:rsidRPr="00B3795E" w:rsidRDefault="00696F5B" w:rsidP="00696F5B">
      <w:pPr>
        <w:spacing w:line="360" w:lineRule="auto"/>
        <w:ind w:right="-876"/>
        <w:jc w:val="both"/>
        <w:rPr>
          <w:rFonts w:ascii="Palatino Linotype" w:eastAsia="Palatino Linotype" w:hAnsi="Palatino Linotype" w:cs="Palatino Linotype"/>
          <w:b/>
        </w:rPr>
      </w:pPr>
      <w:r w:rsidRPr="00B3795E">
        <w:rPr>
          <w:rFonts w:ascii="Palatino Linotype" w:eastAsia="Palatino Linotype" w:hAnsi="Palatino Linotype" w:cs="Palatino Linotype"/>
          <w:b/>
        </w:rPr>
        <w:lastRenderedPageBreak/>
        <w:t>04340/INFOEM/IP/RR/2024</w:t>
      </w:r>
    </w:p>
    <w:p w14:paraId="16F591A0" w14:textId="77777777" w:rsidR="00696F5B" w:rsidRPr="00B3795E" w:rsidRDefault="00696F5B" w:rsidP="00696F5B">
      <w:pPr>
        <w:spacing w:line="360" w:lineRule="auto"/>
        <w:ind w:right="-876"/>
        <w:jc w:val="both"/>
        <w:rPr>
          <w:rFonts w:ascii="Palatino Linotype" w:eastAsia="Palatino Linotype" w:hAnsi="Palatino Linotype" w:cs="Palatino Linotype"/>
          <w:b/>
        </w:rPr>
      </w:pPr>
      <w:r w:rsidRPr="00B3795E">
        <w:rPr>
          <w:rFonts w:ascii="Palatino Linotype" w:eastAsia="Palatino Linotype" w:hAnsi="Palatino Linotype" w:cs="Palatino Linotype"/>
          <w:b/>
        </w:rPr>
        <w:t>00407/SF/IP/2024</w:t>
      </w:r>
    </w:p>
    <w:p w14:paraId="65E054D4" w14:textId="77777777" w:rsidR="00696F5B" w:rsidRPr="00B3795E" w:rsidRDefault="00696F5B" w:rsidP="00696F5B">
      <w:pPr>
        <w:spacing w:line="360" w:lineRule="auto"/>
        <w:ind w:right="-876"/>
        <w:jc w:val="both"/>
        <w:rPr>
          <w:rFonts w:ascii="Palatino Linotype" w:eastAsia="Palatino Linotype" w:hAnsi="Palatino Linotype" w:cs="Palatino Linotype"/>
          <w:b/>
        </w:rPr>
      </w:pPr>
    </w:p>
    <w:p w14:paraId="6A234193" w14:textId="77777777" w:rsidR="00696F5B" w:rsidRPr="00B3795E" w:rsidRDefault="00696F5B" w:rsidP="00696F5B">
      <w:pPr>
        <w:pStyle w:val="Prrafodelista"/>
        <w:numPr>
          <w:ilvl w:val="0"/>
          <w:numId w:val="26"/>
        </w:numPr>
        <w:spacing w:line="360" w:lineRule="auto"/>
        <w:ind w:left="1134" w:right="-876"/>
        <w:jc w:val="both"/>
        <w:rPr>
          <w:rFonts w:ascii="Palatino Linotype" w:eastAsia="Palatino Linotype" w:hAnsi="Palatino Linotype" w:cs="Palatino Linotype"/>
        </w:rPr>
      </w:pPr>
      <w:r w:rsidRPr="00B3795E">
        <w:rPr>
          <w:rFonts w:ascii="Palatino Linotype" w:eastAsia="Palatino Linotype" w:hAnsi="Palatino Linotype" w:cs="Palatino Linotype"/>
          <w:b/>
        </w:rPr>
        <w:t xml:space="preserve">MONTOS PROVEEDORES MAYO 2024.pdf: </w:t>
      </w:r>
      <w:r w:rsidRPr="00B3795E">
        <w:rPr>
          <w:rFonts w:ascii="Palatino Linotype" w:eastAsia="Palatino Linotype" w:hAnsi="Palatino Linotype" w:cs="Palatino Linotype"/>
        </w:rPr>
        <w:t>Contiene un listado</w:t>
      </w:r>
      <w:r w:rsidR="00845169" w:rsidRPr="00B3795E">
        <w:rPr>
          <w:rFonts w:ascii="Palatino Linotype" w:eastAsia="Palatino Linotype" w:hAnsi="Palatino Linotype" w:cs="Palatino Linotype"/>
        </w:rPr>
        <w:t xml:space="preserve"> con 31 fojas,</w:t>
      </w:r>
      <w:r w:rsidRPr="00B3795E">
        <w:rPr>
          <w:rFonts w:ascii="Palatino Linotype" w:eastAsia="Palatino Linotype" w:hAnsi="Palatino Linotype" w:cs="Palatino Linotype"/>
        </w:rPr>
        <w:t xml:space="preserve"> de MONTOS PAGOS A PROVEEDORES MAYO 2024</w:t>
      </w:r>
    </w:p>
    <w:p w14:paraId="65978834" w14:textId="77777777" w:rsidR="00696F5B" w:rsidRPr="00B3795E" w:rsidRDefault="00696F5B" w:rsidP="00696F5B">
      <w:pPr>
        <w:spacing w:line="360" w:lineRule="auto"/>
        <w:ind w:left="1134" w:right="-850"/>
        <w:jc w:val="both"/>
        <w:rPr>
          <w:rFonts w:ascii="Palatino Linotype" w:eastAsia="Palatino Linotype" w:hAnsi="Palatino Linotype" w:cs="Palatino Linotype"/>
        </w:rPr>
      </w:pPr>
    </w:p>
    <w:p w14:paraId="01513100" w14:textId="77777777" w:rsidR="006D07BE" w:rsidRPr="00B3795E" w:rsidRDefault="00696F5B" w:rsidP="00696F5B">
      <w:pPr>
        <w:pStyle w:val="Prrafodelista"/>
        <w:numPr>
          <w:ilvl w:val="0"/>
          <w:numId w:val="26"/>
        </w:numPr>
        <w:spacing w:line="360" w:lineRule="auto"/>
        <w:ind w:left="1134" w:right="-876"/>
        <w:jc w:val="both"/>
        <w:rPr>
          <w:rFonts w:ascii="Palatino Linotype" w:eastAsia="Palatino Linotype" w:hAnsi="Palatino Linotype" w:cs="Palatino Linotype"/>
          <w:b/>
          <w:color w:val="000000"/>
        </w:rPr>
      </w:pPr>
      <w:r w:rsidRPr="00B3795E">
        <w:rPr>
          <w:rFonts w:ascii="Palatino Linotype" w:eastAsia="Palatino Linotype" w:hAnsi="Palatino Linotype" w:cs="Palatino Linotype"/>
          <w:b/>
          <w:color w:val="000000"/>
        </w:rPr>
        <w:t xml:space="preserve">Informe Justificado RR 04340-2024.pdf: </w:t>
      </w:r>
      <w:r w:rsidRPr="00B3795E">
        <w:rPr>
          <w:rFonts w:ascii="Palatino Linotype" w:eastAsia="Palatino Linotype" w:hAnsi="Palatino Linotype" w:cs="Palatino Linotype"/>
          <w:color w:val="000000"/>
        </w:rPr>
        <w:t xml:space="preserve">Contiene Informe Justificado, mediante el cual refiere que se confirme la respuesta entregada por el Sujeto Obligado a la solicitud de acceso a la </w:t>
      </w:r>
      <w:r w:rsidR="00E63CEC" w:rsidRPr="00B3795E">
        <w:rPr>
          <w:rFonts w:ascii="Palatino Linotype" w:eastAsia="Palatino Linotype" w:hAnsi="Palatino Linotype" w:cs="Palatino Linotype"/>
          <w:color w:val="000000"/>
        </w:rPr>
        <w:t>información,</w:t>
      </w:r>
      <w:r w:rsidRPr="00B3795E">
        <w:rPr>
          <w:rFonts w:ascii="Palatino Linotype" w:eastAsia="Palatino Linotype" w:hAnsi="Palatino Linotype" w:cs="Palatino Linotype"/>
          <w:color w:val="000000"/>
        </w:rPr>
        <w:t xml:space="preserve"> por resultar </w:t>
      </w:r>
      <w:r w:rsidR="00E63CEC" w:rsidRPr="00B3795E">
        <w:rPr>
          <w:rFonts w:ascii="Palatino Linotype" w:eastAsia="Palatino Linotype" w:hAnsi="Palatino Linotype" w:cs="Palatino Linotype"/>
          <w:color w:val="000000"/>
        </w:rPr>
        <w:t>infundadas</w:t>
      </w:r>
      <w:r w:rsidRPr="00B3795E">
        <w:rPr>
          <w:rFonts w:ascii="Palatino Linotype" w:eastAsia="Palatino Linotype" w:hAnsi="Palatino Linotype" w:cs="Palatino Linotype"/>
          <w:color w:val="000000"/>
        </w:rPr>
        <w:t xml:space="preserve"> las razones y motivos de inconformidad hechos valer por el Recurrentes.</w:t>
      </w:r>
      <w:r w:rsidRPr="00B3795E">
        <w:rPr>
          <w:rFonts w:ascii="Palatino Linotype" w:eastAsia="Palatino Linotype" w:hAnsi="Palatino Linotype" w:cs="Palatino Linotype"/>
          <w:b/>
          <w:color w:val="000000"/>
        </w:rPr>
        <w:t xml:space="preserve"> </w:t>
      </w:r>
    </w:p>
    <w:p w14:paraId="22D17504" w14:textId="77777777" w:rsidR="00696F5B" w:rsidRPr="00B3795E" w:rsidRDefault="00696F5B" w:rsidP="00696F5B">
      <w:pPr>
        <w:spacing w:line="360" w:lineRule="auto"/>
        <w:ind w:left="1134" w:right="-876"/>
        <w:jc w:val="both"/>
        <w:rPr>
          <w:rFonts w:ascii="Palatino Linotype" w:eastAsia="Palatino Linotype" w:hAnsi="Palatino Linotype" w:cs="Palatino Linotype"/>
          <w:b/>
          <w:color w:val="000000"/>
        </w:rPr>
      </w:pPr>
    </w:p>
    <w:p w14:paraId="5882CDC7" w14:textId="77777777" w:rsidR="00696F5B" w:rsidRPr="00B3795E" w:rsidRDefault="00696F5B" w:rsidP="00696F5B">
      <w:pPr>
        <w:pStyle w:val="Prrafodelista"/>
        <w:numPr>
          <w:ilvl w:val="0"/>
          <w:numId w:val="26"/>
        </w:numPr>
        <w:spacing w:line="360" w:lineRule="auto"/>
        <w:ind w:left="1134" w:right="-876"/>
        <w:jc w:val="both"/>
        <w:rPr>
          <w:rFonts w:ascii="Palatino Linotype" w:eastAsia="Palatino Linotype" w:hAnsi="Palatino Linotype" w:cs="Palatino Linotype"/>
          <w:color w:val="000000"/>
        </w:rPr>
      </w:pPr>
      <w:r w:rsidRPr="00B3795E">
        <w:rPr>
          <w:rFonts w:ascii="Palatino Linotype" w:eastAsia="Palatino Linotype" w:hAnsi="Palatino Linotype" w:cs="Palatino Linotype"/>
          <w:b/>
          <w:color w:val="000000"/>
        </w:rPr>
        <w:t xml:space="preserve">PROVEEDORES MAYO 2024.pdf: </w:t>
      </w:r>
      <w:r w:rsidR="00E63CEC" w:rsidRPr="00B3795E">
        <w:rPr>
          <w:rFonts w:ascii="Palatino Linotype" w:eastAsia="Palatino Linotype" w:hAnsi="Palatino Linotype" w:cs="Palatino Linotype"/>
          <w:color w:val="000000"/>
        </w:rPr>
        <w:t>Contiene un listado de 6 fojas de PROVEEDORES MAYO 2024.</w:t>
      </w:r>
    </w:p>
    <w:p w14:paraId="2D1D40E5" w14:textId="77777777" w:rsidR="00696F5B" w:rsidRPr="00B3795E" w:rsidRDefault="00696F5B" w:rsidP="006D07BE">
      <w:pPr>
        <w:spacing w:line="360" w:lineRule="auto"/>
        <w:ind w:right="-876"/>
        <w:jc w:val="both"/>
        <w:rPr>
          <w:rFonts w:ascii="Palatino Linotype" w:eastAsia="Palatino Linotype" w:hAnsi="Palatino Linotype" w:cs="Palatino Linotype"/>
          <w:b/>
          <w:color w:val="000000"/>
        </w:rPr>
      </w:pPr>
    </w:p>
    <w:p w14:paraId="564F5B12" w14:textId="77777777" w:rsidR="00267298" w:rsidRPr="00B3795E" w:rsidRDefault="006A72E6">
      <w:pPr>
        <w:numPr>
          <w:ilvl w:val="0"/>
          <w:numId w:val="9"/>
        </w:numPr>
        <w:spacing w:line="360" w:lineRule="auto"/>
        <w:ind w:left="0" w:right="-876" w:firstLine="0"/>
        <w:jc w:val="both"/>
        <w:rPr>
          <w:rFonts w:ascii="Palatino Linotype" w:eastAsia="Palatino Linotype" w:hAnsi="Palatino Linotype" w:cs="Palatino Linotype"/>
        </w:rPr>
      </w:pPr>
      <w:r w:rsidRPr="00B3795E">
        <w:rPr>
          <w:rFonts w:ascii="Palatino Linotype" w:eastAsia="Palatino Linotype" w:hAnsi="Palatino Linotype" w:cs="Palatino Linotype"/>
        </w:rPr>
        <w:t xml:space="preserve">Asimismo, con fundamento en lo dispuesto por el artículo 185 fracción I de la </w:t>
      </w:r>
      <w:r w:rsidRPr="00B3795E">
        <w:rPr>
          <w:rFonts w:ascii="Palatino Linotype" w:eastAsia="Palatino Linotype" w:hAnsi="Palatino Linotype" w:cs="Palatino Linotype"/>
          <w:b/>
        </w:rPr>
        <w:t>Ley de Transparencia y Acceso a la Información Pública del Estado de México y Municipios,</w:t>
      </w:r>
      <w:r w:rsidRPr="00B3795E">
        <w:rPr>
          <w:rFonts w:ascii="Palatino Linotype" w:eastAsia="Palatino Linotype" w:hAnsi="Palatino Linotype" w:cs="Palatino Linotype"/>
        </w:rPr>
        <w:t xml:space="preserve"> el recurso de revisión con número </w:t>
      </w:r>
      <w:r w:rsidR="00E63CEC" w:rsidRPr="00B3795E">
        <w:rPr>
          <w:rFonts w:ascii="Palatino Linotype" w:eastAsia="Palatino Linotype" w:hAnsi="Palatino Linotype" w:cs="Palatino Linotype"/>
          <w:b/>
        </w:rPr>
        <w:t>04338</w:t>
      </w:r>
      <w:r w:rsidR="00D72999" w:rsidRPr="00B3795E">
        <w:rPr>
          <w:rFonts w:ascii="Palatino Linotype" w:eastAsia="Palatino Linotype" w:hAnsi="Palatino Linotype" w:cs="Palatino Linotype"/>
          <w:b/>
        </w:rPr>
        <w:t>/INFOEM/IP/RR/2024</w:t>
      </w:r>
      <w:r w:rsidRPr="00B3795E">
        <w:rPr>
          <w:rFonts w:ascii="Palatino Linotype" w:eastAsia="Palatino Linotype" w:hAnsi="Palatino Linotype" w:cs="Palatino Linotype"/>
          <w:b/>
        </w:rPr>
        <w:t xml:space="preserve">, </w:t>
      </w:r>
      <w:r w:rsidRPr="00B3795E">
        <w:rPr>
          <w:rFonts w:ascii="Palatino Linotype" w:eastAsia="Palatino Linotype" w:hAnsi="Palatino Linotype" w:cs="Palatino Linotype"/>
        </w:rPr>
        <w:t>fue turnado</w:t>
      </w:r>
      <w:r w:rsidRPr="00B3795E">
        <w:rPr>
          <w:rFonts w:ascii="Palatino Linotype" w:eastAsia="Palatino Linotype" w:hAnsi="Palatino Linotype" w:cs="Palatino Linotype"/>
          <w:b/>
        </w:rPr>
        <w:t xml:space="preserve"> </w:t>
      </w:r>
      <w:r w:rsidRPr="00B3795E">
        <w:rPr>
          <w:rFonts w:ascii="Palatino Linotype" w:eastAsia="Palatino Linotype" w:hAnsi="Palatino Linotype" w:cs="Palatino Linotype"/>
        </w:rPr>
        <w:t xml:space="preserve">a la </w:t>
      </w:r>
      <w:r w:rsidRPr="00B3795E">
        <w:rPr>
          <w:rFonts w:ascii="Palatino Linotype" w:eastAsia="Palatino Linotype" w:hAnsi="Palatino Linotype" w:cs="Palatino Linotype"/>
          <w:b/>
        </w:rPr>
        <w:t>Comisionada</w:t>
      </w:r>
      <w:r w:rsidRPr="00B3795E">
        <w:rPr>
          <w:rFonts w:ascii="Palatino Linotype" w:eastAsia="Palatino Linotype" w:hAnsi="Palatino Linotype" w:cs="Palatino Linotype"/>
        </w:rPr>
        <w:t xml:space="preserve"> </w:t>
      </w:r>
      <w:r w:rsidRPr="00B3795E">
        <w:rPr>
          <w:rFonts w:ascii="Palatino Linotype" w:eastAsia="Palatino Linotype" w:hAnsi="Palatino Linotype" w:cs="Palatino Linotype"/>
          <w:b/>
        </w:rPr>
        <w:t xml:space="preserve">María del Rosario Mejía Ayala </w:t>
      </w:r>
      <w:r w:rsidRPr="00B3795E">
        <w:rPr>
          <w:rFonts w:ascii="Palatino Linotype" w:eastAsia="Palatino Linotype" w:hAnsi="Palatino Linotype" w:cs="Palatino Linotype"/>
        </w:rPr>
        <w:t xml:space="preserve">con el objeto de su análisis, posteriormente el Pleno de este Órgano Autónomo, </w:t>
      </w:r>
      <w:r w:rsidR="00D514F3" w:rsidRPr="00B3795E">
        <w:rPr>
          <w:rFonts w:ascii="Palatino Linotype" w:eastAsia="Palatino Linotype" w:hAnsi="Palatino Linotype" w:cs="Palatino Linotype"/>
        </w:rPr>
        <w:t>en la Vigési</w:t>
      </w:r>
      <w:r w:rsidR="005739BB" w:rsidRPr="00B3795E">
        <w:rPr>
          <w:rFonts w:ascii="Palatino Linotype" w:eastAsia="Palatino Linotype" w:hAnsi="Palatino Linotype" w:cs="Palatino Linotype"/>
        </w:rPr>
        <w:t>ma Octava</w:t>
      </w:r>
      <w:r w:rsidR="00D514F3" w:rsidRPr="00B3795E">
        <w:rPr>
          <w:rFonts w:ascii="Palatino Linotype" w:eastAsia="Palatino Linotype" w:hAnsi="Palatino Linotype" w:cs="Palatino Linotype"/>
        </w:rPr>
        <w:t xml:space="preserve"> </w:t>
      </w:r>
      <w:r w:rsidR="0092673A" w:rsidRPr="00B3795E">
        <w:rPr>
          <w:rFonts w:ascii="Palatino Linotype" w:eastAsia="Palatino Linotype" w:hAnsi="Palatino Linotype" w:cs="Palatino Linotype"/>
        </w:rPr>
        <w:t>Sesión Or</w:t>
      </w:r>
      <w:r w:rsidR="00E63CEC" w:rsidRPr="00B3795E">
        <w:rPr>
          <w:rFonts w:ascii="Palatino Linotype" w:eastAsia="Palatino Linotype" w:hAnsi="Palatino Linotype" w:cs="Palatino Linotype"/>
        </w:rPr>
        <w:t>dinaria del catorce de agosto</w:t>
      </w:r>
      <w:r w:rsidR="0092673A" w:rsidRPr="00B3795E">
        <w:rPr>
          <w:rFonts w:ascii="Palatino Linotype" w:eastAsia="Palatino Linotype" w:hAnsi="Palatino Linotype" w:cs="Palatino Linotype"/>
        </w:rPr>
        <w:t xml:space="preserve"> de</w:t>
      </w:r>
      <w:r w:rsidRPr="00B3795E">
        <w:rPr>
          <w:rFonts w:ascii="Palatino Linotype" w:eastAsia="Palatino Linotype" w:hAnsi="Palatino Linotype" w:cs="Palatino Linotype"/>
        </w:rPr>
        <w:t xml:space="preserve"> dos mil veinticuatro se determinó la acumulación de los recursos de revisión</w:t>
      </w:r>
      <w:r w:rsidR="0092673A" w:rsidRPr="00B3795E">
        <w:rPr>
          <w:rFonts w:ascii="Palatino Linotype" w:eastAsia="Palatino Linotype" w:hAnsi="Palatino Linotype" w:cs="Palatino Linotype"/>
        </w:rPr>
        <w:t xml:space="preserve">, </w:t>
      </w:r>
      <w:r w:rsidRPr="00B3795E">
        <w:rPr>
          <w:rFonts w:ascii="Palatino Linotype" w:eastAsia="Palatino Linotype" w:hAnsi="Palatino Linotype" w:cs="Palatino Linotype"/>
          <w:b/>
        </w:rPr>
        <w:t xml:space="preserve"> </w:t>
      </w:r>
      <w:r w:rsidR="00D72999" w:rsidRPr="00B3795E">
        <w:rPr>
          <w:rFonts w:ascii="Palatino Linotype" w:eastAsia="Palatino Linotype" w:hAnsi="Palatino Linotype" w:cs="Palatino Linotype"/>
          <w:b/>
        </w:rPr>
        <w:t>04340/INFOEM/IP/RR/2024</w:t>
      </w:r>
      <w:r w:rsidRPr="00B3795E">
        <w:rPr>
          <w:rFonts w:ascii="Palatino Linotype" w:eastAsia="Palatino Linotype" w:hAnsi="Palatino Linotype" w:cs="Palatino Linotype"/>
          <w:b/>
        </w:rPr>
        <w:t>.</w:t>
      </w:r>
    </w:p>
    <w:p w14:paraId="3D659F20" w14:textId="77777777" w:rsidR="00267298" w:rsidRPr="00B3795E" w:rsidRDefault="00267298">
      <w:pPr>
        <w:spacing w:line="360" w:lineRule="auto"/>
        <w:ind w:right="-876"/>
        <w:jc w:val="both"/>
        <w:rPr>
          <w:rFonts w:ascii="Palatino Linotype" w:eastAsia="Palatino Linotype" w:hAnsi="Palatino Linotype" w:cs="Palatino Linotype"/>
        </w:rPr>
      </w:pPr>
    </w:p>
    <w:p w14:paraId="7E966371" w14:textId="77777777" w:rsidR="00267298" w:rsidRPr="00B3795E" w:rsidRDefault="003639FA">
      <w:pPr>
        <w:numPr>
          <w:ilvl w:val="0"/>
          <w:numId w:val="9"/>
        </w:numPr>
        <w:spacing w:line="360" w:lineRule="auto"/>
        <w:ind w:left="0" w:right="-876" w:firstLine="0"/>
        <w:jc w:val="both"/>
        <w:rPr>
          <w:rFonts w:ascii="Palatino Linotype" w:eastAsia="Palatino Linotype" w:hAnsi="Palatino Linotype" w:cs="Palatino Linotype"/>
        </w:rPr>
      </w:pPr>
      <w:r w:rsidRPr="00B3795E">
        <w:rPr>
          <w:rFonts w:ascii="Palatino Linotype" w:eastAsia="Palatino Linotype" w:hAnsi="Palatino Linotype" w:cs="Palatino Linotype"/>
        </w:rPr>
        <w:lastRenderedPageBreak/>
        <w:t xml:space="preserve">Así el </w:t>
      </w:r>
      <w:r w:rsidR="00D514F3" w:rsidRPr="00B3795E">
        <w:rPr>
          <w:rFonts w:ascii="Palatino Linotype" w:eastAsia="Palatino Linotype" w:hAnsi="Palatino Linotype" w:cs="Palatino Linotype"/>
        </w:rPr>
        <w:t>veintiocho</w:t>
      </w:r>
      <w:r w:rsidR="006A72E6" w:rsidRPr="00B3795E">
        <w:rPr>
          <w:rFonts w:ascii="Palatino Linotype" w:eastAsia="Palatino Linotype" w:hAnsi="Palatino Linotype" w:cs="Palatino Linotype"/>
        </w:rPr>
        <w:t xml:space="preserve"> de noviembre de dos mil veinticuatro, se notificó el acuerdo mediante el cual se decretó la acumulación de los recursos de revisión.</w:t>
      </w:r>
    </w:p>
    <w:p w14:paraId="6A71D791" w14:textId="77777777" w:rsidR="00267298" w:rsidRPr="00B3795E" w:rsidRDefault="00267298">
      <w:pPr>
        <w:spacing w:line="360" w:lineRule="auto"/>
        <w:ind w:right="-876"/>
        <w:jc w:val="both"/>
        <w:rPr>
          <w:rFonts w:ascii="Palatino Linotype" w:eastAsia="Palatino Linotype" w:hAnsi="Palatino Linotype" w:cs="Palatino Linotype"/>
        </w:rPr>
      </w:pPr>
    </w:p>
    <w:p w14:paraId="2C67B6B6" w14:textId="77777777" w:rsidR="00267298" w:rsidRPr="00B3795E" w:rsidRDefault="006A72E6">
      <w:pPr>
        <w:numPr>
          <w:ilvl w:val="0"/>
          <w:numId w:val="9"/>
        </w:numPr>
        <w:spacing w:line="360" w:lineRule="auto"/>
        <w:ind w:left="0" w:right="-876" w:firstLine="0"/>
        <w:jc w:val="both"/>
        <w:rPr>
          <w:rFonts w:ascii="Palatino Linotype" w:eastAsia="Palatino Linotype" w:hAnsi="Palatino Linotype" w:cs="Palatino Linotype"/>
        </w:rPr>
      </w:pPr>
      <w:r w:rsidRPr="00B3795E">
        <w:rPr>
          <w:rFonts w:ascii="Palatino Linotype" w:eastAsia="Palatino Linotype" w:hAnsi="Palatino Linotype" w:cs="Palatino Linotype"/>
        </w:rPr>
        <w:t>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21D92036" w14:textId="77777777" w:rsidR="00267298" w:rsidRPr="00B3795E" w:rsidRDefault="006A72E6">
      <w:pPr>
        <w:spacing w:line="360" w:lineRule="auto"/>
        <w:ind w:left="851" w:right="1135"/>
        <w:jc w:val="center"/>
        <w:rPr>
          <w:rFonts w:ascii="Palatino Linotype" w:eastAsia="Palatino Linotype" w:hAnsi="Palatino Linotype" w:cs="Palatino Linotype"/>
          <w:b/>
          <w:i/>
          <w:sz w:val="22"/>
          <w:szCs w:val="22"/>
        </w:rPr>
      </w:pPr>
      <w:r w:rsidRPr="00B3795E">
        <w:rPr>
          <w:rFonts w:ascii="Palatino Linotype" w:eastAsia="Palatino Linotype" w:hAnsi="Palatino Linotype" w:cs="Palatino Linotype"/>
          <w:b/>
          <w:i/>
          <w:sz w:val="22"/>
          <w:szCs w:val="22"/>
        </w:rPr>
        <w:t>Código de Procedimientos Administrativos del Estado de México.</w:t>
      </w:r>
    </w:p>
    <w:p w14:paraId="21B58505" w14:textId="77777777" w:rsidR="00267298" w:rsidRPr="00B3795E" w:rsidRDefault="00267298">
      <w:pPr>
        <w:spacing w:line="360" w:lineRule="auto"/>
        <w:ind w:left="851" w:right="1135"/>
        <w:jc w:val="center"/>
        <w:rPr>
          <w:rFonts w:ascii="Palatino Linotype" w:eastAsia="Palatino Linotype" w:hAnsi="Palatino Linotype" w:cs="Palatino Linotype"/>
          <w:b/>
          <w:i/>
          <w:sz w:val="22"/>
          <w:szCs w:val="22"/>
        </w:rPr>
      </w:pPr>
    </w:p>
    <w:p w14:paraId="4BBCDCA5" w14:textId="77777777" w:rsidR="00267298" w:rsidRPr="00B3795E" w:rsidRDefault="006A72E6">
      <w:pPr>
        <w:spacing w:line="360" w:lineRule="auto"/>
        <w:ind w:left="851" w:right="1135"/>
        <w:jc w:val="both"/>
        <w:rPr>
          <w:rFonts w:ascii="Palatino Linotype" w:eastAsia="Palatino Linotype" w:hAnsi="Palatino Linotype" w:cs="Palatino Linotype"/>
          <w:i/>
          <w:sz w:val="22"/>
          <w:szCs w:val="22"/>
        </w:rPr>
      </w:pPr>
      <w:r w:rsidRPr="00B3795E">
        <w:rPr>
          <w:rFonts w:ascii="Palatino Linotype" w:eastAsia="Palatino Linotype" w:hAnsi="Palatino Linotype" w:cs="Palatino Linotype"/>
          <w:b/>
          <w:i/>
          <w:sz w:val="22"/>
          <w:szCs w:val="22"/>
        </w:rPr>
        <w:t>“Artículo 18.-</w:t>
      </w:r>
      <w:r w:rsidRPr="00B3795E">
        <w:rPr>
          <w:rFonts w:ascii="Palatino Linotype" w:eastAsia="Palatino Linotype" w:hAnsi="Palatino Linotype" w:cs="Palatino Linotype"/>
          <w:i/>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276978E4" w14:textId="77777777" w:rsidR="00267298" w:rsidRPr="00B3795E" w:rsidRDefault="00267298">
      <w:pPr>
        <w:spacing w:line="360" w:lineRule="auto"/>
        <w:ind w:left="851" w:right="1135"/>
        <w:jc w:val="both"/>
        <w:rPr>
          <w:rFonts w:ascii="Palatino Linotype" w:eastAsia="Palatino Linotype" w:hAnsi="Palatino Linotype" w:cs="Palatino Linotype"/>
          <w:i/>
          <w:sz w:val="22"/>
          <w:szCs w:val="22"/>
        </w:rPr>
      </w:pPr>
    </w:p>
    <w:p w14:paraId="144F793B" w14:textId="77777777" w:rsidR="00267298" w:rsidRPr="00B3795E" w:rsidRDefault="006A72E6">
      <w:pPr>
        <w:spacing w:line="360" w:lineRule="auto"/>
        <w:ind w:left="851" w:right="1135"/>
        <w:jc w:val="center"/>
        <w:rPr>
          <w:rFonts w:ascii="Palatino Linotype" w:eastAsia="Palatino Linotype" w:hAnsi="Palatino Linotype" w:cs="Palatino Linotype"/>
          <w:b/>
          <w:i/>
          <w:sz w:val="22"/>
          <w:szCs w:val="22"/>
        </w:rPr>
      </w:pPr>
      <w:r w:rsidRPr="00B3795E">
        <w:rPr>
          <w:rFonts w:ascii="Palatino Linotype" w:eastAsia="Palatino Linotype" w:hAnsi="Palatino Linotype" w:cs="Palatino Linotype"/>
          <w:b/>
          <w:i/>
          <w:sz w:val="22"/>
          <w:szCs w:val="22"/>
        </w:rPr>
        <w:t>Ley de Transparencia y Acceso a la Información Pública del Estado de México y Municipios</w:t>
      </w:r>
    </w:p>
    <w:p w14:paraId="47EA7AF7" w14:textId="77777777" w:rsidR="00267298" w:rsidRPr="00B3795E" w:rsidRDefault="00267298">
      <w:pPr>
        <w:spacing w:line="360" w:lineRule="auto"/>
        <w:ind w:left="851" w:right="1135"/>
        <w:jc w:val="center"/>
        <w:rPr>
          <w:rFonts w:ascii="Palatino Linotype" w:eastAsia="Palatino Linotype" w:hAnsi="Palatino Linotype" w:cs="Palatino Linotype"/>
          <w:b/>
          <w:i/>
          <w:sz w:val="22"/>
          <w:szCs w:val="22"/>
        </w:rPr>
      </w:pPr>
    </w:p>
    <w:p w14:paraId="097C27DB" w14:textId="77777777" w:rsidR="00267298" w:rsidRPr="00B3795E" w:rsidRDefault="006A72E6">
      <w:pPr>
        <w:spacing w:line="360" w:lineRule="auto"/>
        <w:ind w:left="851" w:right="1135"/>
        <w:jc w:val="both"/>
        <w:rPr>
          <w:rFonts w:ascii="Palatino Linotype" w:eastAsia="Palatino Linotype" w:hAnsi="Palatino Linotype" w:cs="Palatino Linotype"/>
          <w:i/>
        </w:rPr>
      </w:pPr>
      <w:r w:rsidRPr="00B3795E">
        <w:rPr>
          <w:rFonts w:ascii="Palatino Linotype" w:eastAsia="Palatino Linotype" w:hAnsi="Palatino Linotype" w:cs="Palatino Linotype"/>
          <w:b/>
          <w:i/>
          <w:sz w:val="22"/>
          <w:szCs w:val="22"/>
        </w:rPr>
        <w:t>“Artículo 195.</w:t>
      </w:r>
      <w:r w:rsidRPr="00B3795E">
        <w:rPr>
          <w:rFonts w:ascii="Palatino Linotype" w:eastAsia="Palatino Linotype" w:hAnsi="Palatino Linotype" w:cs="Palatino Linotype"/>
          <w:i/>
          <w:sz w:val="22"/>
          <w:szCs w:val="22"/>
        </w:rPr>
        <w:t xml:space="preserve"> En la tramitación del recurso de revisión se aplicarán supletoriamente las disposiciones contenidas en el Código de Procedimientos Adm</w:t>
      </w:r>
      <w:r w:rsidRPr="00B3795E">
        <w:rPr>
          <w:rFonts w:ascii="Palatino Linotype" w:eastAsia="Palatino Linotype" w:hAnsi="Palatino Linotype" w:cs="Palatino Linotype"/>
          <w:i/>
        </w:rPr>
        <w:t>inistrativos del Estado de México.”</w:t>
      </w:r>
    </w:p>
    <w:p w14:paraId="7B11B307" w14:textId="77777777" w:rsidR="007538F0" w:rsidRPr="00B3795E" w:rsidRDefault="007538F0" w:rsidP="007538F0">
      <w:pPr>
        <w:spacing w:line="360" w:lineRule="auto"/>
        <w:ind w:right="1135"/>
        <w:jc w:val="both"/>
        <w:rPr>
          <w:rFonts w:ascii="Palatino Linotype" w:eastAsia="Palatino Linotype" w:hAnsi="Palatino Linotype" w:cs="Palatino Linotype"/>
          <w:i/>
        </w:rPr>
      </w:pPr>
    </w:p>
    <w:p w14:paraId="710E15C4" w14:textId="77777777" w:rsidR="004212E3" w:rsidRPr="00B3795E" w:rsidRDefault="00E63CEC" w:rsidP="004212E3">
      <w:pPr>
        <w:numPr>
          <w:ilvl w:val="0"/>
          <w:numId w:val="9"/>
        </w:numPr>
        <w:spacing w:line="360" w:lineRule="auto"/>
        <w:ind w:left="0" w:right="-876" w:firstLine="0"/>
        <w:jc w:val="both"/>
        <w:rPr>
          <w:rFonts w:ascii="Palatino Linotype" w:eastAsia="Palatino Linotype" w:hAnsi="Palatino Linotype" w:cs="Palatino Linotype"/>
          <w:color w:val="000000"/>
        </w:rPr>
      </w:pPr>
      <w:r w:rsidRPr="00B3795E">
        <w:rPr>
          <w:rFonts w:ascii="Palatino Linotype" w:eastAsia="Palatino Linotype" w:hAnsi="Palatino Linotype" w:cs="Palatino Linotype"/>
          <w:color w:val="000000"/>
        </w:rPr>
        <w:t>El cinco de septiembre</w:t>
      </w:r>
      <w:r w:rsidR="004212E3" w:rsidRPr="00B3795E">
        <w:rPr>
          <w:rFonts w:ascii="Palatino Linotype" w:eastAsia="Palatino Linotype" w:hAnsi="Palatino Linotype" w:cs="Palatino Linotype"/>
          <w:color w:val="000000"/>
        </w:rPr>
        <w:t xml:space="preserve"> de d</w:t>
      </w:r>
      <w:r w:rsidR="00D514F3" w:rsidRPr="00B3795E">
        <w:rPr>
          <w:rFonts w:ascii="Palatino Linotype" w:eastAsia="Palatino Linotype" w:hAnsi="Palatino Linotype" w:cs="Palatino Linotype"/>
          <w:color w:val="000000"/>
        </w:rPr>
        <w:t xml:space="preserve">os mil veinticuatro, se notificaron los </w:t>
      </w:r>
      <w:r w:rsidR="004212E3" w:rsidRPr="00B3795E">
        <w:rPr>
          <w:rFonts w:ascii="Palatino Linotype" w:eastAsia="Palatino Linotype" w:hAnsi="Palatino Linotype" w:cs="Palatino Linotype"/>
          <w:color w:val="000000"/>
        </w:rPr>
        <w:t xml:space="preserve"> acuerdo</w:t>
      </w:r>
      <w:r w:rsidR="00D514F3" w:rsidRPr="00B3795E">
        <w:rPr>
          <w:rFonts w:ascii="Palatino Linotype" w:eastAsia="Palatino Linotype" w:hAnsi="Palatino Linotype" w:cs="Palatino Linotype"/>
          <w:color w:val="000000"/>
        </w:rPr>
        <w:t>s por los</w:t>
      </w:r>
      <w:r w:rsidR="004212E3" w:rsidRPr="00B3795E">
        <w:rPr>
          <w:rFonts w:ascii="Palatino Linotype" w:eastAsia="Palatino Linotype" w:hAnsi="Palatino Linotype" w:cs="Palatino Linotype"/>
          <w:color w:val="000000"/>
        </w:rPr>
        <w:t xml:space="preserve"> cual</w:t>
      </w:r>
      <w:r w:rsidR="00D514F3" w:rsidRPr="00B3795E">
        <w:rPr>
          <w:rFonts w:ascii="Palatino Linotype" w:eastAsia="Palatino Linotype" w:hAnsi="Palatino Linotype" w:cs="Palatino Linotype"/>
          <w:color w:val="000000"/>
        </w:rPr>
        <w:t>es</w:t>
      </w:r>
      <w:r w:rsidR="004212E3" w:rsidRPr="00B3795E">
        <w:rPr>
          <w:rFonts w:ascii="Palatino Linotype" w:eastAsia="Palatino Linotype" w:hAnsi="Palatino Linotype" w:cs="Palatino Linotype"/>
          <w:color w:val="000000"/>
        </w:rPr>
        <w:t xml:space="preserve"> se aprobó la ampliación de plazo para emitir resolución.</w:t>
      </w:r>
    </w:p>
    <w:p w14:paraId="4465F4B7" w14:textId="77777777" w:rsidR="004212E3" w:rsidRPr="00B3795E" w:rsidRDefault="004212E3" w:rsidP="004212E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669FBB5" w14:textId="77777777" w:rsidR="004212E3" w:rsidRPr="00B3795E"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B3795E">
        <w:rPr>
          <w:rFonts w:ascii="Palatino Linotype" w:eastAsia="Palatino Linotype" w:hAnsi="Palatino Linotype" w:cs="Palatino Linotype"/>
        </w:rPr>
        <w:t>Este organismo garante no pasa por alto justificar, que la dilación en la resolución del presente asunto encuentra justificación en el alto número de recursos de revisión, circunstancia atípica que ha rebasado las capacidades técnicas y humanas del personal encargado de la proyección de las resoluciones a dichos medios de impugnación.</w:t>
      </w:r>
    </w:p>
    <w:p w14:paraId="7AE9FF74" w14:textId="77777777" w:rsidR="004212E3" w:rsidRPr="00B3795E" w:rsidRDefault="004212E3" w:rsidP="004212E3">
      <w:pPr>
        <w:spacing w:line="360" w:lineRule="auto"/>
        <w:rPr>
          <w:rFonts w:ascii="Palatino Linotype" w:eastAsia="Palatino Linotype" w:hAnsi="Palatino Linotype" w:cs="Palatino Linotype"/>
        </w:rPr>
      </w:pPr>
    </w:p>
    <w:p w14:paraId="7DFA07E3" w14:textId="77777777" w:rsidR="004212E3" w:rsidRPr="00B3795E"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B3795E">
        <w:rPr>
          <w:rFonts w:ascii="Palatino Linotype" w:eastAsia="Palatino Linotype" w:hAnsi="Palatino Linotype" w:cs="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7C0D8E51" w14:textId="77777777" w:rsidR="004212E3" w:rsidRPr="00B3795E" w:rsidRDefault="004212E3" w:rsidP="004212E3">
      <w:pPr>
        <w:spacing w:line="360" w:lineRule="auto"/>
        <w:rPr>
          <w:rFonts w:ascii="Palatino Linotype" w:eastAsia="Palatino Linotype" w:hAnsi="Palatino Linotype" w:cs="Palatino Linotype"/>
        </w:rPr>
      </w:pPr>
    </w:p>
    <w:p w14:paraId="2F19A732" w14:textId="77777777" w:rsidR="004212E3" w:rsidRPr="00B3795E"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B3795E">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630070E" w14:textId="77777777" w:rsidR="004212E3" w:rsidRPr="00B3795E" w:rsidRDefault="004212E3" w:rsidP="004212E3">
      <w:pPr>
        <w:spacing w:line="360" w:lineRule="auto"/>
        <w:rPr>
          <w:rFonts w:ascii="Palatino Linotype" w:eastAsia="Palatino Linotype" w:hAnsi="Palatino Linotype" w:cs="Palatino Linotype"/>
        </w:rPr>
      </w:pPr>
    </w:p>
    <w:p w14:paraId="7B8B480C" w14:textId="77777777" w:rsidR="004212E3" w:rsidRPr="00B3795E"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B3795E">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w:t>
      </w:r>
      <w:r w:rsidRPr="00B3795E">
        <w:rPr>
          <w:rFonts w:ascii="Palatino Linotype" w:eastAsia="Palatino Linotype" w:hAnsi="Palatino Linotype" w:cs="Palatino Linotype"/>
        </w:rPr>
        <w:lastRenderedPageBreak/>
        <w:t xml:space="preserve">jurisdiccionales o cuasi jurisdiccionales, tanto por la complejidad de los hechos, como por el número de casos que conocen. </w:t>
      </w:r>
    </w:p>
    <w:p w14:paraId="2957FBC2" w14:textId="77777777" w:rsidR="004212E3" w:rsidRPr="00B3795E" w:rsidRDefault="004212E3" w:rsidP="004212E3">
      <w:pPr>
        <w:spacing w:line="360" w:lineRule="auto"/>
        <w:jc w:val="both"/>
        <w:rPr>
          <w:rFonts w:ascii="Palatino Linotype" w:eastAsia="Palatino Linotype" w:hAnsi="Palatino Linotype" w:cs="Palatino Linotype"/>
          <w:b/>
        </w:rPr>
      </w:pPr>
    </w:p>
    <w:p w14:paraId="2F61FDA5" w14:textId="77777777" w:rsidR="004212E3" w:rsidRPr="00B3795E"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B3795E">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5D4C774F" w14:textId="77777777" w:rsidR="004212E3" w:rsidRPr="00B3795E" w:rsidRDefault="004212E3" w:rsidP="004212E3">
      <w:pPr>
        <w:spacing w:line="360" w:lineRule="auto"/>
        <w:jc w:val="both"/>
        <w:rPr>
          <w:rFonts w:ascii="Palatino Linotype" w:eastAsia="Palatino Linotype" w:hAnsi="Palatino Linotype" w:cs="Palatino Linotype"/>
          <w:b/>
        </w:rPr>
      </w:pPr>
    </w:p>
    <w:p w14:paraId="5989FFC5" w14:textId="77777777" w:rsidR="004212E3" w:rsidRPr="00B3795E" w:rsidRDefault="004212E3" w:rsidP="004212E3">
      <w:pPr>
        <w:numPr>
          <w:ilvl w:val="0"/>
          <w:numId w:val="18"/>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B3795E">
        <w:rPr>
          <w:rFonts w:ascii="Palatino Linotype" w:eastAsia="Palatino Linotype" w:hAnsi="Palatino Linotype" w:cs="Palatino Linotype"/>
          <w:color w:val="000000"/>
          <w:szCs w:val="22"/>
        </w:rPr>
        <w:t xml:space="preserve">Complejidad del </w:t>
      </w:r>
      <w:r w:rsidRPr="00B3795E">
        <w:rPr>
          <w:rFonts w:ascii="Palatino Linotype" w:eastAsia="Palatino Linotype" w:hAnsi="Palatino Linotype" w:cs="Palatino Linotype"/>
          <w:szCs w:val="22"/>
        </w:rPr>
        <w:t>asunto</w:t>
      </w:r>
      <w:r w:rsidRPr="00B3795E">
        <w:rPr>
          <w:rFonts w:ascii="Palatino Linotype" w:eastAsia="Palatino Linotype" w:hAnsi="Palatino Linotype" w:cs="Palatino Linotype"/>
          <w:color w:val="000000"/>
          <w:szCs w:val="22"/>
        </w:rPr>
        <w:t xml:space="preserve">: La complejidad de la prueba, la pluralidad de sujetos procesales, el tiempo transcurrido, las características y contexto del recurso. </w:t>
      </w:r>
    </w:p>
    <w:p w14:paraId="1E25FBE4" w14:textId="77777777" w:rsidR="004212E3" w:rsidRPr="00B3795E" w:rsidRDefault="004212E3" w:rsidP="004212E3">
      <w:pPr>
        <w:numPr>
          <w:ilvl w:val="0"/>
          <w:numId w:val="18"/>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B3795E">
        <w:rPr>
          <w:rFonts w:ascii="Palatino Linotype" w:eastAsia="Palatino Linotype" w:hAnsi="Palatino Linotype" w:cs="Palatino Linotype"/>
          <w:color w:val="000000"/>
          <w:szCs w:val="22"/>
        </w:rPr>
        <w:t>Actividad Procesal del interesado. Acciones u omisiones del interesado.</w:t>
      </w:r>
    </w:p>
    <w:p w14:paraId="323D0CB5" w14:textId="77777777" w:rsidR="004212E3" w:rsidRPr="00B3795E" w:rsidRDefault="004212E3" w:rsidP="004212E3">
      <w:pPr>
        <w:numPr>
          <w:ilvl w:val="0"/>
          <w:numId w:val="18"/>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B3795E">
        <w:rPr>
          <w:rFonts w:ascii="Palatino Linotype" w:eastAsia="Palatino Linotype" w:hAnsi="Palatino Linotype" w:cs="Palatino Linotype"/>
          <w:color w:val="000000"/>
          <w:szCs w:val="22"/>
        </w:rPr>
        <w:t>Conducta de la Autoridad: Las Acciones u omisiones realizadas en el procedimiento. Así como si la autoridad actuó con la debida diligencia.</w:t>
      </w:r>
    </w:p>
    <w:p w14:paraId="6B1D3C0A" w14:textId="77777777" w:rsidR="004212E3" w:rsidRPr="00B3795E" w:rsidRDefault="004212E3" w:rsidP="004212E3">
      <w:pPr>
        <w:spacing w:line="360" w:lineRule="auto"/>
        <w:ind w:left="851" w:right="822"/>
        <w:jc w:val="both"/>
        <w:rPr>
          <w:rFonts w:ascii="Palatino Linotype" w:eastAsia="Palatino Linotype" w:hAnsi="Palatino Linotype" w:cs="Palatino Linotype"/>
          <w:szCs w:val="22"/>
        </w:rPr>
      </w:pPr>
      <w:r w:rsidRPr="00B3795E">
        <w:rPr>
          <w:rFonts w:ascii="Palatino Linotype" w:eastAsia="Palatino Linotype" w:hAnsi="Palatino Linotype" w:cs="Palatino Linotype"/>
          <w:szCs w:val="22"/>
        </w:rPr>
        <w:t>d) La afectación generada en la situación jurídica de la persona involucrada en el proceso: Violación a sus derechos humanos.</w:t>
      </w:r>
    </w:p>
    <w:p w14:paraId="5B9545FD" w14:textId="77777777" w:rsidR="004212E3" w:rsidRPr="00B3795E" w:rsidRDefault="004212E3" w:rsidP="004212E3">
      <w:pPr>
        <w:spacing w:line="360" w:lineRule="auto"/>
        <w:rPr>
          <w:rFonts w:ascii="Palatino Linotype" w:eastAsia="Palatino Linotype" w:hAnsi="Palatino Linotype" w:cs="Palatino Linotype"/>
        </w:rPr>
      </w:pPr>
    </w:p>
    <w:p w14:paraId="08AAEC94" w14:textId="77777777" w:rsidR="004212E3" w:rsidRPr="00B3795E"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B3795E">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042B24C" w14:textId="77777777" w:rsidR="004212E3" w:rsidRPr="00B3795E" w:rsidRDefault="004212E3" w:rsidP="004212E3">
      <w:pPr>
        <w:spacing w:line="360" w:lineRule="auto"/>
        <w:jc w:val="both"/>
        <w:rPr>
          <w:rFonts w:ascii="Palatino Linotype" w:eastAsia="Palatino Linotype" w:hAnsi="Palatino Linotype" w:cs="Palatino Linotype"/>
          <w:b/>
        </w:rPr>
      </w:pPr>
    </w:p>
    <w:p w14:paraId="39BEE0DB" w14:textId="77777777" w:rsidR="004212E3" w:rsidRPr="00B3795E"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B3795E">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B3795E">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B3795E">
        <w:rPr>
          <w:rFonts w:ascii="Palatino Linotype" w:eastAsia="Palatino Linotype" w:hAnsi="Palatino Linotype" w:cs="Palatino Linotype"/>
        </w:rPr>
        <w:t>, visible en la Gaceta del Seminario Judicial de la Federación con el registro digital 205635.</w:t>
      </w:r>
    </w:p>
    <w:p w14:paraId="6AC503D4" w14:textId="77777777" w:rsidR="004212E3" w:rsidRPr="00B3795E" w:rsidRDefault="004212E3" w:rsidP="004212E3">
      <w:pPr>
        <w:spacing w:line="360" w:lineRule="auto"/>
        <w:rPr>
          <w:rFonts w:ascii="Palatino Linotype" w:eastAsia="Palatino Linotype" w:hAnsi="Palatino Linotype" w:cs="Palatino Linotype"/>
        </w:rPr>
      </w:pPr>
    </w:p>
    <w:p w14:paraId="2330C6CA" w14:textId="77777777" w:rsidR="004212E3" w:rsidRPr="00B3795E"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B3795E">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1470714" w14:textId="77777777" w:rsidR="004212E3" w:rsidRPr="00B3795E" w:rsidRDefault="004212E3" w:rsidP="004212E3">
      <w:pPr>
        <w:spacing w:line="360" w:lineRule="auto"/>
        <w:rPr>
          <w:rFonts w:ascii="Palatino Linotype" w:eastAsia="Palatino Linotype" w:hAnsi="Palatino Linotype" w:cs="Palatino Linotype"/>
        </w:rPr>
      </w:pPr>
    </w:p>
    <w:p w14:paraId="3CE75FFC" w14:textId="77777777" w:rsidR="004212E3" w:rsidRPr="00B3795E"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B3795E">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135A1899" w14:textId="77777777" w:rsidR="004212E3" w:rsidRPr="00B3795E" w:rsidRDefault="004212E3" w:rsidP="004212E3">
      <w:pPr>
        <w:spacing w:line="360" w:lineRule="auto"/>
        <w:rPr>
          <w:rFonts w:ascii="Palatino Linotype" w:eastAsia="Palatino Linotype" w:hAnsi="Palatino Linotype" w:cs="Palatino Linotype"/>
        </w:rPr>
      </w:pPr>
    </w:p>
    <w:p w14:paraId="026E5517" w14:textId="77777777" w:rsidR="004212E3" w:rsidRPr="00B3795E"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B3795E">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5DC30CF9" w14:textId="77777777" w:rsidR="004212E3" w:rsidRPr="00B3795E" w:rsidRDefault="004212E3" w:rsidP="004212E3">
      <w:pPr>
        <w:spacing w:line="360" w:lineRule="auto"/>
        <w:jc w:val="both"/>
        <w:rPr>
          <w:rFonts w:ascii="Palatino Linotype" w:eastAsia="Palatino Linotype" w:hAnsi="Palatino Linotype" w:cs="Palatino Linotype"/>
          <w:b/>
        </w:rPr>
      </w:pPr>
    </w:p>
    <w:p w14:paraId="1ED5A073" w14:textId="77777777" w:rsidR="004212E3" w:rsidRPr="00B3795E" w:rsidRDefault="004212E3" w:rsidP="004212E3">
      <w:pPr>
        <w:spacing w:line="360" w:lineRule="auto"/>
        <w:ind w:left="851" w:right="822"/>
        <w:jc w:val="both"/>
        <w:rPr>
          <w:rFonts w:ascii="Palatino Linotype" w:eastAsia="Palatino Linotype" w:hAnsi="Palatino Linotype" w:cs="Palatino Linotype"/>
          <w:sz w:val="22"/>
          <w:szCs w:val="22"/>
        </w:rPr>
      </w:pPr>
      <w:r w:rsidRPr="00B3795E">
        <w:rPr>
          <w:rFonts w:ascii="Palatino Linotype" w:eastAsia="Palatino Linotype" w:hAnsi="Palatino Linotype" w:cs="Palatino Linotype"/>
          <w:sz w:val="22"/>
          <w:szCs w:val="22"/>
        </w:rPr>
        <w:t xml:space="preserve"> </w:t>
      </w:r>
      <w:r w:rsidRPr="00B3795E">
        <w:rPr>
          <w:rFonts w:ascii="Palatino Linotype" w:eastAsia="Palatino Linotype" w:hAnsi="Palatino Linotype" w:cs="Palatino Linotype"/>
          <w:i/>
          <w:sz w:val="22"/>
          <w:szCs w:val="22"/>
        </w:rPr>
        <w:t>“PLAZO RAZONABLE PARA RESOLVER. DIMENSIÓN Y EFECTOS DE ESTE CONCEPTO CUANDO SE ADUCE EXCESIVA CARGA DE TRABAJO.”</w:t>
      </w:r>
      <w:r w:rsidRPr="00B3795E">
        <w:rPr>
          <w:rFonts w:ascii="Palatino Linotype" w:eastAsia="Palatino Linotype" w:hAnsi="Palatino Linotype" w:cs="Palatino Linotype"/>
          <w:sz w:val="22"/>
          <w:szCs w:val="22"/>
        </w:rPr>
        <w:t xml:space="preserve"> consultable en el Seminario Judicial de la Federación y su gaceta, con el registro digital 2002351.</w:t>
      </w:r>
    </w:p>
    <w:p w14:paraId="04792D27" w14:textId="77777777" w:rsidR="004212E3" w:rsidRPr="00B3795E" w:rsidRDefault="004212E3" w:rsidP="004212E3">
      <w:pPr>
        <w:spacing w:line="360" w:lineRule="auto"/>
        <w:ind w:left="851" w:right="822"/>
        <w:jc w:val="both"/>
        <w:rPr>
          <w:rFonts w:ascii="Palatino Linotype" w:eastAsia="Palatino Linotype" w:hAnsi="Palatino Linotype" w:cs="Palatino Linotype"/>
          <w:b/>
          <w:sz w:val="22"/>
          <w:szCs w:val="22"/>
        </w:rPr>
      </w:pPr>
    </w:p>
    <w:p w14:paraId="37C5EEAF" w14:textId="77777777" w:rsidR="004212E3" w:rsidRPr="00B3795E" w:rsidRDefault="004212E3" w:rsidP="004212E3">
      <w:pPr>
        <w:spacing w:line="360" w:lineRule="auto"/>
        <w:ind w:left="851" w:right="822"/>
        <w:jc w:val="both"/>
        <w:rPr>
          <w:rFonts w:ascii="Palatino Linotype" w:eastAsia="Palatino Linotype" w:hAnsi="Palatino Linotype" w:cs="Palatino Linotype"/>
          <w:sz w:val="22"/>
          <w:szCs w:val="22"/>
        </w:rPr>
      </w:pPr>
      <w:r w:rsidRPr="00B3795E">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B3795E">
        <w:rPr>
          <w:rFonts w:ascii="Palatino Linotype" w:eastAsia="Palatino Linotype" w:hAnsi="Palatino Linotype" w:cs="Palatino Linotype"/>
          <w:sz w:val="22"/>
          <w:szCs w:val="22"/>
        </w:rPr>
        <w:t>, visible en el Seminario Judicial de la Federación y su gaceta, con el registro digital 2002350.</w:t>
      </w:r>
    </w:p>
    <w:p w14:paraId="3F628E49" w14:textId="77777777" w:rsidR="004212E3" w:rsidRPr="00B3795E" w:rsidRDefault="004212E3" w:rsidP="004212E3">
      <w:pPr>
        <w:spacing w:line="360" w:lineRule="auto"/>
        <w:ind w:right="822"/>
        <w:jc w:val="both"/>
        <w:rPr>
          <w:rFonts w:ascii="Palatino Linotype" w:eastAsia="Palatino Linotype" w:hAnsi="Palatino Linotype" w:cs="Palatino Linotype"/>
          <w:i/>
        </w:rPr>
      </w:pPr>
    </w:p>
    <w:p w14:paraId="42F950C6" w14:textId="77777777" w:rsidR="004212E3" w:rsidRPr="00B3795E" w:rsidRDefault="004212E3" w:rsidP="004212E3">
      <w:pPr>
        <w:numPr>
          <w:ilvl w:val="0"/>
          <w:numId w:val="9"/>
        </w:numPr>
        <w:spacing w:line="360" w:lineRule="auto"/>
        <w:ind w:left="0" w:right="-876" w:firstLine="0"/>
        <w:jc w:val="both"/>
        <w:rPr>
          <w:rFonts w:ascii="Palatino Linotype" w:eastAsia="Palatino Linotype" w:hAnsi="Palatino Linotype" w:cs="Palatino Linotype"/>
          <w:color w:val="000000"/>
        </w:rPr>
      </w:pPr>
      <w:r w:rsidRPr="00B3795E">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14:paraId="719C95FE" w14:textId="77777777" w:rsidR="00267298" w:rsidRPr="00B3795E" w:rsidRDefault="00267298" w:rsidP="004212E3">
      <w:pPr>
        <w:spacing w:line="360" w:lineRule="auto"/>
        <w:ind w:right="-876"/>
        <w:jc w:val="both"/>
        <w:rPr>
          <w:rFonts w:ascii="Palatino Linotype" w:eastAsia="Palatino Linotype" w:hAnsi="Palatino Linotype" w:cs="Palatino Linotype"/>
        </w:rPr>
      </w:pPr>
    </w:p>
    <w:p w14:paraId="1F3317DA" w14:textId="77777777" w:rsidR="00267298" w:rsidRPr="00B3795E" w:rsidRDefault="00D514F3">
      <w:pPr>
        <w:numPr>
          <w:ilvl w:val="0"/>
          <w:numId w:val="9"/>
        </w:numPr>
        <w:spacing w:line="360" w:lineRule="auto"/>
        <w:ind w:left="0" w:right="-876" w:firstLine="0"/>
        <w:jc w:val="both"/>
        <w:rPr>
          <w:rFonts w:ascii="Palatino Linotype" w:eastAsia="Palatino Linotype" w:hAnsi="Palatino Linotype" w:cs="Palatino Linotype"/>
        </w:rPr>
      </w:pPr>
      <w:r w:rsidRPr="00B3795E">
        <w:rPr>
          <w:rFonts w:ascii="Palatino Linotype" w:eastAsia="Palatino Linotype" w:hAnsi="Palatino Linotype" w:cs="Palatino Linotype"/>
        </w:rPr>
        <w:t>El veintiocho</w:t>
      </w:r>
      <w:r w:rsidR="006A72E6" w:rsidRPr="00B3795E">
        <w:rPr>
          <w:rFonts w:ascii="Palatino Linotype" w:eastAsia="Palatino Linotype" w:hAnsi="Palatino Linotype" w:cs="Palatino Linotype"/>
        </w:rPr>
        <w:t xml:space="preserve"> de noviembre</w:t>
      </w:r>
      <w:r w:rsidR="00E63CEC" w:rsidRPr="00B3795E">
        <w:rPr>
          <w:rFonts w:ascii="Palatino Linotype" w:eastAsia="Palatino Linotype" w:hAnsi="Palatino Linotype" w:cs="Palatino Linotype"/>
        </w:rPr>
        <w:t xml:space="preserve"> y cuatro de diciembre</w:t>
      </w:r>
      <w:r w:rsidR="006A72E6" w:rsidRPr="00B3795E">
        <w:rPr>
          <w:rFonts w:ascii="Palatino Linotype" w:eastAsia="Palatino Linotype" w:hAnsi="Palatino Linotype" w:cs="Palatino Linotype"/>
        </w:rPr>
        <w:t xml:space="preserve"> de dos mil veinticuatro, se notificaron los acuerdos a través de los cuales se decretó el cierre de instrucción. </w:t>
      </w:r>
    </w:p>
    <w:p w14:paraId="0626D34D" w14:textId="77777777" w:rsidR="00267298" w:rsidRPr="00B3795E" w:rsidRDefault="00267298">
      <w:pPr>
        <w:spacing w:line="360" w:lineRule="auto"/>
        <w:ind w:right="-876"/>
        <w:jc w:val="both"/>
        <w:rPr>
          <w:rFonts w:ascii="Palatino Linotype" w:eastAsia="Palatino Linotype" w:hAnsi="Palatino Linotype" w:cs="Palatino Linotype"/>
        </w:rPr>
      </w:pPr>
    </w:p>
    <w:p w14:paraId="1A84E0EE" w14:textId="77777777" w:rsidR="00267298" w:rsidRPr="00B3795E" w:rsidRDefault="006A72E6">
      <w:pPr>
        <w:keepNext/>
        <w:keepLines/>
        <w:spacing w:line="360" w:lineRule="auto"/>
        <w:ind w:right="-876"/>
        <w:jc w:val="center"/>
        <w:rPr>
          <w:rFonts w:ascii="Palatino Linotype" w:eastAsia="Palatino Linotype" w:hAnsi="Palatino Linotype" w:cs="Palatino Linotype"/>
        </w:rPr>
      </w:pPr>
      <w:bookmarkStart w:id="3" w:name="_heading=h.1fob9te" w:colFirst="0" w:colLast="0"/>
      <w:bookmarkEnd w:id="3"/>
      <w:r w:rsidRPr="00B3795E">
        <w:rPr>
          <w:rFonts w:ascii="Palatino Linotype" w:eastAsia="Palatino Linotype" w:hAnsi="Palatino Linotype" w:cs="Palatino Linotype"/>
          <w:b/>
        </w:rPr>
        <w:t xml:space="preserve">C O N S I D E R A N D O </w:t>
      </w:r>
    </w:p>
    <w:p w14:paraId="76B5C786" w14:textId="77777777" w:rsidR="00267298" w:rsidRPr="00B3795E" w:rsidRDefault="00267298">
      <w:pPr>
        <w:spacing w:line="360" w:lineRule="auto"/>
        <w:ind w:right="-876"/>
        <w:rPr>
          <w:rFonts w:ascii="Palatino Linotype" w:eastAsia="Palatino Linotype" w:hAnsi="Palatino Linotype" w:cs="Palatino Linotype"/>
        </w:rPr>
      </w:pPr>
    </w:p>
    <w:p w14:paraId="36B4614E" w14:textId="77777777" w:rsidR="00267298" w:rsidRPr="00B3795E" w:rsidRDefault="006A72E6">
      <w:pPr>
        <w:keepNext/>
        <w:keepLines/>
        <w:spacing w:line="360" w:lineRule="auto"/>
        <w:ind w:right="-876"/>
        <w:rPr>
          <w:rFonts w:ascii="Palatino Linotype" w:eastAsia="Palatino Linotype" w:hAnsi="Palatino Linotype" w:cs="Palatino Linotype"/>
          <w:b/>
        </w:rPr>
      </w:pPr>
      <w:bookmarkStart w:id="4" w:name="_heading=h.3znysh7" w:colFirst="0" w:colLast="0"/>
      <w:bookmarkEnd w:id="4"/>
      <w:r w:rsidRPr="00B3795E">
        <w:rPr>
          <w:rFonts w:ascii="Palatino Linotype" w:eastAsia="Palatino Linotype" w:hAnsi="Palatino Linotype" w:cs="Palatino Linotype"/>
          <w:b/>
        </w:rPr>
        <w:lastRenderedPageBreak/>
        <w:t>PRIMERO. De la competencia</w:t>
      </w:r>
    </w:p>
    <w:p w14:paraId="4105D077" w14:textId="77777777" w:rsidR="00267298" w:rsidRPr="00B3795E" w:rsidRDefault="00267298">
      <w:pPr>
        <w:keepNext/>
        <w:keepLines/>
        <w:spacing w:line="360" w:lineRule="auto"/>
        <w:ind w:right="-876"/>
        <w:rPr>
          <w:rFonts w:ascii="Palatino Linotype" w:eastAsia="Palatino Linotype" w:hAnsi="Palatino Linotype" w:cs="Palatino Linotype"/>
          <w:b/>
        </w:rPr>
      </w:pPr>
    </w:p>
    <w:p w14:paraId="171B4AFC" w14:textId="77777777" w:rsidR="00267298" w:rsidRPr="00B3795E" w:rsidRDefault="006A72E6">
      <w:pPr>
        <w:numPr>
          <w:ilvl w:val="0"/>
          <w:numId w:val="9"/>
        </w:numPr>
        <w:spacing w:line="360" w:lineRule="auto"/>
        <w:ind w:left="0" w:right="-876" w:firstLine="0"/>
        <w:jc w:val="both"/>
        <w:rPr>
          <w:rFonts w:ascii="Palatino Linotype" w:eastAsia="Palatino Linotype" w:hAnsi="Palatino Linotype" w:cs="Palatino Linotype"/>
        </w:rPr>
      </w:pPr>
      <w:r w:rsidRPr="00B3795E">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0D1872A7" w14:textId="77777777" w:rsidR="00267298" w:rsidRPr="00B3795E" w:rsidRDefault="00267298">
      <w:pPr>
        <w:spacing w:line="360" w:lineRule="auto"/>
        <w:ind w:right="-876"/>
        <w:jc w:val="both"/>
        <w:rPr>
          <w:rFonts w:ascii="Palatino Linotype" w:eastAsia="Palatino Linotype" w:hAnsi="Palatino Linotype" w:cs="Palatino Linotype"/>
        </w:rPr>
      </w:pPr>
    </w:p>
    <w:p w14:paraId="7DF3209E" w14:textId="77777777" w:rsidR="00267298" w:rsidRPr="00B3795E" w:rsidRDefault="006A72E6">
      <w:pPr>
        <w:keepNext/>
        <w:keepLines/>
        <w:spacing w:line="360" w:lineRule="auto"/>
        <w:ind w:right="-876"/>
        <w:rPr>
          <w:rFonts w:ascii="Palatino Linotype" w:eastAsia="Palatino Linotype" w:hAnsi="Palatino Linotype" w:cs="Palatino Linotype"/>
          <w:b/>
        </w:rPr>
      </w:pPr>
      <w:bookmarkStart w:id="5" w:name="_heading=h.2et92p0" w:colFirst="0" w:colLast="0"/>
      <w:bookmarkEnd w:id="5"/>
      <w:r w:rsidRPr="00B3795E">
        <w:rPr>
          <w:rFonts w:ascii="Palatino Linotype" w:eastAsia="Palatino Linotype" w:hAnsi="Palatino Linotype" w:cs="Palatino Linotype"/>
          <w:b/>
        </w:rPr>
        <w:t>SEGUNDO. De la oportunidad y procedencia.</w:t>
      </w:r>
    </w:p>
    <w:p w14:paraId="73375730" w14:textId="77777777" w:rsidR="00267298" w:rsidRPr="00B3795E" w:rsidRDefault="006A72E6">
      <w:pPr>
        <w:numPr>
          <w:ilvl w:val="0"/>
          <w:numId w:val="9"/>
        </w:numPr>
        <w:spacing w:line="360" w:lineRule="auto"/>
        <w:ind w:left="0" w:right="-876" w:firstLine="0"/>
        <w:jc w:val="both"/>
        <w:rPr>
          <w:rFonts w:ascii="Palatino Linotype" w:eastAsia="Palatino Linotype" w:hAnsi="Palatino Linotype" w:cs="Palatino Linotype"/>
        </w:rPr>
      </w:pPr>
      <w:r w:rsidRPr="00B3795E">
        <w:rPr>
          <w:rFonts w:ascii="Palatino Linotype" w:eastAsia="Palatino Linotype" w:hAnsi="Palatino Linotype" w:cs="Palatino Linotype"/>
        </w:rPr>
        <w:t xml:space="preserve">El medio de impugnación fue presentado a través del </w:t>
      </w:r>
      <w:r w:rsidRPr="00B3795E">
        <w:rPr>
          <w:rFonts w:ascii="Palatino Linotype" w:eastAsia="Palatino Linotype" w:hAnsi="Palatino Linotype" w:cs="Palatino Linotype"/>
          <w:b/>
        </w:rPr>
        <w:t>SAIMEX,</w:t>
      </w:r>
      <w:r w:rsidRPr="00B3795E">
        <w:rPr>
          <w:rFonts w:ascii="Palatino Linotype" w:eastAsia="Palatino Linotype" w:hAnsi="Palatino Linotype" w:cs="Palatino Linotype"/>
        </w:rPr>
        <w:t xml:space="preserve"> en el formato previamente aprobado para tal efecto y dentro del plazo legal de quince días hábiles otorgados; siendo así que el </w:t>
      </w:r>
      <w:r w:rsidRPr="00B3795E">
        <w:rPr>
          <w:rFonts w:ascii="Palatino Linotype" w:eastAsia="Palatino Linotype" w:hAnsi="Palatino Linotype" w:cs="Palatino Linotype"/>
          <w:b/>
        </w:rPr>
        <w:t>SUJETO OBLIGADO</w:t>
      </w:r>
      <w:r w:rsidRPr="00B3795E">
        <w:rPr>
          <w:rFonts w:ascii="Palatino Linotype" w:eastAsia="Palatino Linotype" w:hAnsi="Palatino Linotype" w:cs="Palatino Linotype"/>
        </w:rPr>
        <w:t xml:space="preserve"> entregó respuestas a l</w:t>
      </w:r>
      <w:r w:rsidR="003639FA" w:rsidRPr="00B3795E">
        <w:rPr>
          <w:rFonts w:ascii="Palatino Linotype" w:eastAsia="Palatino Linotype" w:hAnsi="Palatino Linotype" w:cs="Palatino Linotype"/>
        </w:rPr>
        <w:t xml:space="preserve">as solicitudes </w:t>
      </w:r>
      <w:r w:rsidR="00E63CEC" w:rsidRPr="00B3795E">
        <w:rPr>
          <w:rFonts w:ascii="Palatino Linotype" w:eastAsia="Palatino Linotype" w:hAnsi="Palatino Linotype" w:cs="Palatino Linotype"/>
        </w:rPr>
        <w:t xml:space="preserve">el día veintiuno  y veinticinco de junio </w:t>
      </w:r>
      <w:r w:rsidRPr="00B3795E">
        <w:rPr>
          <w:rFonts w:ascii="Palatino Linotype" w:eastAsia="Palatino Linotype" w:hAnsi="Palatino Linotype" w:cs="Palatino Linotype"/>
        </w:rPr>
        <w:t>de dos mil veinticuatro, de tal forma</w:t>
      </w:r>
      <w:r w:rsidR="003639FA" w:rsidRPr="00B3795E">
        <w:rPr>
          <w:rFonts w:ascii="Palatino Linotype" w:eastAsia="Palatino Linotype" w:hAnsi="Palatino Linotype" w:cs="Palatino Linotype"/>
        </w:rPr>
        <w:t xml:space="preserve"> que el plazo para interponer los</w:t>
      </w:r>
      <w:r w:rsidRPr="00B3795E">
        <w:rPr>
          <w:rFonts w:ascii="Palatino Linotype" w:eastAsia="Palatino Linotype" w:hAnsi="Palatino Linotype" w:cs="Palatino Linotype"/>
        </w:rPr>
        <w:t xml:space="preserve"> recurso</w:t>
      </w:r>
      <w:r w:rsidR="003639FA" w:rsidRPr="00B3795E">
        <w:rPr>
          <w:rFonts w:ascii="Palatino Linotype" w:eastAsia="Palatino Linotype" w:hAnsi="Palatino Linotype" w:cs="Palatino Linotype"/>
        </w:rPr>
        <w:t>s</w:t>
      </w:r>
      <w:r w:rsidRPr="00B3795E">
        <w:rPr>
          <w:rFonts w:ascii="Palatino Linotype" w:eastAsia="Palatino Linotype" w:hAnsi="Palatino Linotype" w:cs="Palatino Linotype"/>
        </w:rPr>
        <w:t xml:space="preserve"> de revisión transcur</w:t>
      </w:r>
      <w:r w:rsidR="00E63CEC" w:rsidRPr="00B3795E">
        <w:rPr>
          <w:rFonts w:ascii="Palatino Linotype" w:eastAsia="Palatino Linotype" w:hAnsi="Palatino Linotype" w:cs="Palatino Linotype"/>
        </w:rPr>
        <w:t xml:space="preserve">rieron  el veinticuatro y veintiséis de junio al doce y dieciseis de julio </w:t>
      </w:r>
      <w:r w:rsidRPr="00B3795E">
        <w:rPr>
          <w:rFonts w:ascii="Palatino Linotype" w:eastAsia="Palatino Linotype" w:hAnsi="Palatino Linotype" w:cs="Palatino Linotype"/>
        </w:rPr>
        <w:t xml:space="preserve"> de dos mil veinticuatro, de acuerdo al calendario oficial del INFOEM; en consecuencia, presentó su</w:t>
      </w:r>
      <w:r w:rsidR="00466224" w:rsidRPr="00B3795E">
        <w:rPr>
          <w:rFonts w:ascii="Palatino Linotype" w:eastAsia="Palatino Linotype" w:hAnsi="Palatino Linotype" w:cs="Palatino Linotype"/>
        </w:rPr>
        <w:t>s inconformidade</w:t>
      </w:r>
      <w:r w:rsidR="00E63CEC" w:rsidRPr="00B3795E">
        <w:rPr>
          <w:rFonts w:ascii="Palatino Linotype" w:eastAsia="Palatino Linotype" w:hAnsi="Palatino Linotype" w:cs="Palatino Linotype"/>
        </w:rPr>
        <w:t>s el día nueve de julio</w:t>
      </w:r>
      <w:r w:rsidRPr="00B3795E">
        <w:rPr>
          <w:rFonts w:ascii="Palatino Linotype" w:eastAsia="Palatino Linotype" w:hAnsi="Palatino Linotype" w:cs="Palatino Linotype"/>
        </w:rPr>
        <w:t xml:space="preserve"> de dos mil veinticuatro, por lo que se encuentra dentro de los márgenes temporales previstos en el artículo 178 de la </w:t>
      </w:r>
      <w:r w:rsidRPr="00B3795E">
        <w:rPr>
          <w:rFonts w:ascii="Palatino Linotype" w:eastAsia="Palatino Linotype" w:hAnsi="Palatino Linotype" w:cs="Palatino Linotype"/>
          <w:b/>
        </w:rPr>
        <w:t xml:space="preserve">Ley de Transparencia y Acceso a la Información Pública del Estado de México y Municipios </w:t>
      </w:r>
      <w:r w:rsidRPr="00B3795E">
        <w:rPr>
          <w:rFonts w:ascii="Palatino Linotype" w:eastAsia="Palatino Linotype" w:hAnsi="Palatino Linotype" w:cs="Palatino Linotype"/>
        </w:rPr>
        <w:t>vigente.</w:t>
      </w:r>
    </w:p>
    <w:p w14:paraId="2D18CE24" w14:textId="77777777" w:rsidR="00267298" w:rsidRPr="00B3795E" w:rsidRDefault="00267298" w:rsidP="00A46C06">
      <w:pPr>
        <w:spacing w:line="360" w:lineRule="auto"/>
        <w:ind w:right="-876"/>
        <w:jc w:val="both"/>
        <w:rPr>
          <w:rFonts w:ascii="Palatino Linotype" w:eastAsia="Palatino Linotype" w:hAnsi="Palatino Linotype" w:cs="Palatino Linotype"/>
        </w:rPr>
      </w:pPr>
    </w:p>
    <w:p w14:paraId="2BA8FEBD" w14:textId="77777777" w:rsidR="00267298" w:rsidRPr="00B3795E" w:rsidRDefault="006A72E6">
      <w:pPr>
        <w:numPr>
          <w:ilvl w:val="0"/>
          <w:numId w:val="9"/>
        </w:numPr>
        <w:spacing w:line="360" w:lineRule="auto"/>
        <w:ind w:left="0" w:right="-876" w:firstLine="0"/>
        <w:jc w:val="both"/>
        <w:rPr>
          <w:rFonts w:ascii="Palatino Linotype" w:eastAsia="Palatino Linotype" w:hAnsi="Palatino Linotype" w:cs="Palatino Linotype"/>
        </w:rPr>
      </w:pPr>
      <w:bookmarkStart w:id="6" w:name="_heading=h.tyjcwt" w:colFirst="0" w:colLast="0"/>
      <w:bookmarkEnd w:id="6"/>
      <w:r w:rsidRPr="00B3795E">
        <w:rPr>
          <w:rFonts w:ascii="Palatino Linotype" w:eastAsia="Palatino Linotype" w:hAnsi="Palatino Linotype" w:cs="Palatino Linotype"/>
        </w:rPr>
        <w:lastRenderedPageBreak/>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D417354" w14:textId="77777777" w:rsidR="00267298" w:rsidRPr="00B3795E" w:rsidRDefault="00267298">
      <w:pPr>
        <w:spacing w:line="360" w:lineRule="auto"/>
        <w:ind w:right="-876"/>
        <w:jc w:val="both"/>
        <w:rPr>
          <w:rFonts w:ascii="Palatino Linotype" w:eastAsia="Palatino Linotype" w:hAnsi="Palatino Linotype" w:cs="Palatino Linotype"/>
        </w:rPr>
      </w:pPr>
    </w:p>
    <w:p w14:paraId="22F208C0" w14:textId="77777777" w:rsidR="00267298" w:rsidRPr="00B3795E" w:rsidRDefault="006A72E6">
      <w:pPr>
        <w:keepNext/>
        <w:keepLines/>
        <w:spacing w:line="360" w:lineRule="auto"/>
        <w:ind w:right="-876"/>
        <w:rPr>
          <w:rFonts w:ascii="Palatino Linotype" w:eastAsia="Palatino Linotype" w:hAnsi="Palatino Linotype" w:cs="Palatino Linotype"/>
          <w:b/>
          <w:color w:val="000000"/>
        </w:rPr>
      </w:pPr>
      <w:bookmarkStart w:id="7" w:name="_heading=h.3dy6vkm" w:colFirst="0" w:colLast="0"/>
      <w:bookmarkEnd w:id="7"/>
      <w:r w:rsidRPr="00B3795E">
        <w:rPr>
          <w:rFonts w:ascii="Palatino Linotype" w:eastAsia="Palatino Linotype" w:hAnsi="Palatino Linotype" w:cs="Palatino Linotype"/>
          <w:b/>
        </w:rPr>
        <w:t xml:space="preserve">TERCERO. </w:t>
      </w:r>
      <w:r w:rsidRPr="00B3795E">
        <w:rPr>
          <w:rFonts w:ascii="Palatino Linotype" w:eastAsia="Palatino Linotype" w:hAnsi="Palatino Linotype" w:cs="Palatino Linotype"/>
          <w:b/>
          <w:color w:val="000000"/>
        </w:rPr>
        <w:t xml:space="preserve">Del planteamiento de la </w:t>
      </w:r>
      <w:r w:rsidRPr="00B3795E">
        <w:rPr>
          <w:rFonts w:ascii="Palatino Linotype" w:eastAsia="Palatino Linotype" w:hAnsi="Palatino Linotype" w:cs="Palatino Linotype"/>
          <w:b/>
          <w:i/>
          <w:color w:val="000000"/>
        </w:rPr>
        <w:t>Litis</w:t>
      </w:r>
      <w:r w:rsidRPr="00B3795E">
        <w:rPr>
          <w:rFonts w:ascii="Palatino Linotype" w:eastAsia="Palatino Linotype" w:hAnsi="Palatino Linotype" w:cs="Palatino Linotype"/>
          <w:b/>
          <w:color w:val="000000"/>
        </w:rPr>
        <w:t>.</w:t>
      </w:r>
    </w:p>
    <w:p w14:paraId="3A46802C" w14:textId="77777777" w:rsidR="00267298" w:rsidRPr="00B3795E" w:rsidRDefault="00267298">
      <w:pPr>
        <w:keepNext/>
        <w:keepLines/>
        <w:spacing w:line="360" w:lineRule="auto"/>
        <w:ind w:right="-876"/>
        <w:rPr>
          <w:rFonts w:ascii="Palatino Linotype" w:eastAsia="Palatino Linotype" w:hAnsi="Palatino Linotype" w:cs="Palatino Linotype"/>
          <w:b/>
        </w:rPr>
      </w:pPr>
      <w:bookmarkStart w:id="8" w:name="_heading=h.a8y84zpusc69" w:colFirst="0" w:colLast="0"/>
      <w:bookmarkEnd w:id="8"/>
    </w:p>
    <w:p w14:paraId="3DAFEA55" w14:textId="77777777" w:rsidR="00267298" w:rsidRPr="00B3795E" w:rsidRDefault="006A72E6">
      <w:pPr>
        <w:numPr>
          <w:ilvl w:val="0"/>
          <w:numId w:val="9"/>
        </w:numPr>
        <w:spacing w:line="360" w:lineRule="auto"/>
        <w:ind w:left="0" w:right="-876" w:firstLine="0"/>
        <w:jc w:val="both"/>
        <w:rPr>
          <w:rFonts w:ascii="Palatino Linotype" w:eastAsia="Palatino Linotype" w:hAnsi="Palatino Linotype" w:cs="Palatino Linotype"/>
        </w:rPr>
      </w:pPr>
      <w:r w:rsidRPr="00B3795E">
        <w:rPr>
          <w:rFonts w:ascii="Palatino Linotype" w:eastAsia="Palatino Linotype" w:hAnsi="Palatino Linotype" w:cs="Palatino Linotype"/>
        </w:rPr>
        <w:t>Se solicitó tener acceso, a la siguiente  información:</w:t>
      </w:r>
    </w:p>
    <w:p w14:paraId="20BD8A42" w14:textId="77777777" w:rsidR="00267298" w:rsidRPr="00B3795E" w:rsidRDefault="00267298">
      <w:pPr>
        <w:spacing w:line="360" w:lineRule="auto"/>
        <w:ind w:left="851" w:right="-876"/>
        <w:jc w:val="both"/>
        <w:rPr>
          <w:rFonts w:ascii="Palatino Linotype" w:eastAsia="Palatino Linotype" w:hAnsi="Palatino Linotype" w:cs="Palatino Linotype"/>
          <w:b/>
          <w:sz w:val="22"/>
          <w:szCs w:val="22"/>
        </w:rPr>
      </w:pPr>
    </w:p>
    <w:p w14:paraId="226DD57A" w14:textId="77777777" w:rsidR="00E63CEC" w:rsidRPr="00B3795E" w:rsidRDefault="00E63CEC" w:rsidP="00E63CEC">
      <w:pPr>
        <w:spacing w:line="360" w:lineRule="auto"/>
        <w:ind w:right="-876"/>
        <w:jc w:val="both"/>
        <w:rPr>
          <w:rFonts w:ascii="Palatino Linotype" w:eastAsia="Palatino Linotype" w:hAnsi="Palatino Linotype" w:cs="Palatino Linotype"/>
          <w:b/>
        </w:rPr>
      </w:pPr>
      <w:r w:rsidRPr="00B3795E">
        <w:rPr>
          <w:rFonts w:ascii="Palatino Linotype" w:eastAsia="Palatino Linotype" w:hAnsi="Palatino Linotype" w:cs="Palatino Linotype"/>
          <w:b/>
        </w:rPr>
        <w:t>04338/INFOEM/IP/RR/2024</w:t>
      </w:r>
    </w:p>
    <w:p w14:paraId="6AA37871" w14:textId="77777777" w:rsidR="00E63CEC" w:rsidRPr="00B3795E" w:rsidRDefault="00E63CEC" w:rsidP="00E63CEC">
      <w:pPr>
        <w:spacing w:line="360" w:lineRule="auto"/>
        <w:ind w:right="-876"/>
        <w:jc w:val="both"/>
        <w:rPr>
          <w:rFonts w:ascii="Palatino Linotype" w:eastAsia="Palatino Linotype" w:hAnsi="Palatino Linotype" w:cs="Palatino Linotype"/>
          <w:b/>
        </w:rPr>
      </w:pPr>
      <w:r w:rsidRPr="00B3795E">
        <w:rPr>
          <w:rFonts w:ascii="Palatino Linotype" w:eastAsia="Palatino Linotype" w:hAnsi="Palatino Linotype" w:cs="Palatino Linotype"/>
          <w:b/>
        </w:rPr>
        <w:t>00408/SF/IP/2024</w:t>
      </w:r>
    </w:p>
    <w:p w14:paraId="1C508010" w14:textId="77777777" w:rsidR="00E63CEC" w:rsidRPr="00B3795E" w:rsidRDefault="00E63CEC" w:rsidP="00E63CEC">
      <w:pPr>
        <w:spacing w:line="360" w:lineRule="auto"/>
        <w:ind w:right="-876"/>
        <w:jc w:val="both"/>
        <w:rPr>
          <w:rFonts w:ascii="Palatino Linotype" w:eastAsia="Palatino Linotype" w:hAnsi="Palatino Linotype" w:cs="Palatino Linotype"/>
          <w:b/>
        </w:rPr>
      </w:pPr>
    </w:p>
    <w:p w14:paraId="574DA6B3" w14:textId="77777777" w:rsidR="00E63CEC" w:rsidRPr="00B3795E" w:rsidRDefault="00E63CEC" w:rsidP="00633D2A">
      <w:pPr>
        <w:pStyle w:val="Prrafodelista"/>
        <w:numPr>
          <w:ilvl w:val="0"/>
          <w:numId w:val="27"/>
        </w:numPr>
        <w:spacing w:line="360" w:lineRule="auto"/>
        <w:ind w:right="568"/>
        <w:jc w:val="both"/>
        <w:rPr>
          <w:rFonts w:ascii="Palatino Linotype" w:eastAsia="Palatino Linotype" w:hAnsi="Palatino Linotype" w:cs="Palatino Linotype"/>
        </w:rPr>
      </w:pPr>
      <w:r w:rsidRPr="00B3795E">
        <w:rPr>
          <w:rFonts w:ascii="Palatino Linotype" w:eastAsia="Palatino Linotype" w:hAnsi="Palatino Linotype" w:cs="Palatino Linotype"/>
        </w:rPr>
        <w:t>Cuenta por pagar a proveedores del ejercicio 2024.</w:t>
      </w:r>
    </w:p>
    <w:p w14:paraId="59010667" w14:textId="77777777" w:rsidR="00E63CEC" w:rsidRPr="00B3795E" w:rsidRDefault="00E63CEC" w:rsidP="00E63CEC">
      <w:pPr>
        <w:spacing w:line="360" w:lineRule="auto"/>
        <w:ind w:right="-876"/>
        <w:jc w:val="both"/>
        <w:rPr>
          <w:rFonts w:ascii="Palatino Linotype" w:eastAsia="Palatino Linotype" w:hAnsi="Palatino Linotype" w:cs="Palatino Linotype"/>
          <w:b/>
        </w:rPr>
      </w:pPr>
    </w:p>
    <w:p w14:paraId="175F9468" w14:textId="77777777" w:rsidR="00E63CEC" w:rsidRPr="00B3795E" w:rsidRDefault="00E63CEC" w:rsidP="00E63CEC">
      <w:pPr>
        <w:spacing w:line="360" w:lineRule="auto"/>
        <w:ind w:right="-876"/>
        <w:jc w:val="both"/>
        <w:rPr>
          <w:rFonts w:ascii="Palatino Linotype" w:eastAsia="Palatino Linotype" w:hAnsi="Palatino Linotype" w:cs="Palatino Linotype"/>
          <w:b/>
        </w:rPr>
      </w:pPr>
      <w:r w:rsidRPr="00B3795E">
        <w:rPr>
          <w:rFonts w:ascii="Palatino Linotype" w:eastAsia="Palatino Linotype" w:hAnsi="Palatino Linotype" w:cs="Palatino Linotype"/>
          <w:b/>
        </w:rPr>
        <w:t>04340/INFOEM/IP/RR/2024</w:t>
      </w:r>
    </w:p>
    <w:p w14:paraId="48CD1E57" w14:textId="77777777" w:rsidR="00E63CEC" w:rsidRPr="00B3795E" w:rsidRDefault="00E63CEC" w:rsidP="00E63CEC">
      <w:pPr>
        <w:spacing w:line="360" w:lineRule="auto"/>
        <w:ind w:right="-876"/>
        <w:jc w:val="both"/>
        <w:rPr>
          <w:rFonts w:ascii="Palatino Linotype" w:eastAsia="Palatino Linotype" w:hAnsi="Palatino Linotype" w:cs="Palatino Linotype"/>
          <w:b/>
        </w:rPr>
      </w:pPr>
      <w:r w:rsidRPr="00B3795E">
        <w:rPr>
          <w:rFonts w:ascii="Palatino Linotype" w:eastAsia="Palatino Linotype" w:hAnsi="Palatino Linotype" w:cs="Palatino Linotype"/>
          <w:b/>
        </w:rPr>
        <w:t>00407/SF/IP/2024</w:t>
      </w:r>
    </w:p>
    <w:p w14:paraId="0011D12B" w14:textId="77777777" w:rsidR="00E63CEC" w:rsidRPr="00B3795E" w:rsidRDefault="00633D2A" w:rsidP="00633D2A">
      <w:pPr>
        <w:pStyle w:val="Prrafodelista"/>
        <w:numPr>
          <w:ilvl w:val="0"/>
          <w:numId w:val="27"/>
        </w:numPr>
        <w:spacing w:line="360" w:lineRule="auto"/>
        <w:ind w:right="-876"/>
        <w:jc w:val="both"/>
        <w:rPr>
          <w:rFonts w:ascii="Palatino Linotype" w:eastAsia="Palatino Linotype" w:hAnsi="Palatino Linotype" w:cs="Palatino Linotype"/>
          <w:b/>
        </w:rPr>
      </w:pPr>
      <w:r w:rsidRPr="00B3795E">
        <w:rPr>
          <w:rFonts w:ascii="Palatino Linotype" w:eastAsia="Palatino Linotype" w:hAnsi="Palatino Linotype" w:cs="Palatino Linotype"/>
        </w:rPr>
        <w:t>Montos pagados a proveedores del mes de mayo de 2024, con referencia al proveedor, nombre del mismo.</w:t>
      </w:r>
    </w:p>
    <w:p w14:paraId="4691FEC4" w14:textId="77777777" w:rsidR="00267298" w:rsidRPr="00B3795E" w:rsidRDefault="00267298" w:rsidP="00E63CEC">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14:paraId="69E77C1E" w14:textId="77777777" w:rsidR="006E63E3" w:rsidRPr="00B3795E" w:rsidRDefault="006A72E6" w:rsidP="00633D2A">
      <w:pPr>
        <w:numPr>
          <w:ilvl w:val="0"/>
          <w:numId w:val="9"/>
        </w:numPr>
        <w:spacing w:line="360" w:lineRule="auto"/>
        <w:ind w:left="0" w:right="-876" w:firstLine="0"/>
        <w:jc w:val="both"/>
        <w:rPr>
          <w:rFonts w:ascii="Palatino Linotype" w:eastAsia="Palatino Linotype" w:hAnsi="Palatino Linotype" w:cs="Palatino Linotype"/>
          <w:color w:val="000000"/>
        </w:rPr>
      </w:pPr>
      <w:r w:rsidRPr="00B3795E">
        <w:rPr>
          <w:rFonts w:ascii="Palatino Linotype" w:eastAsia="Palatino Linotype" w:hAnsi="Palatino Linotype" w:cs="Palatino Linotype"/>
        </w:rPr>
        <w:t xml:space="preserve">En respuesta a las solicitudes, el </w:t>
      </w:r>
      <w:r w:rsidRPr="00B3795E">
        <w:rPr>
          <w:rFonts w:ascii="Palatino Linotype" w:eastAsia="Palatino Linotype" w:hAnsi="Palatino Linotype" w:cs="Palatino Linotype"/>
          <w:b/>
        </w:rPr>
        <w:t xml:space="preserve">SUJETO OBLIGADO </w:t>
      </w:r>
      <w:r w:rsidR="00557C72" w:rsidRPr="00B3795E">
        <w:rPr>
          <w:rFonts w:ascii="Palatino Linotype" w:eastAsia="Palatino Linotype" w:hAnsi="Palatino Linotype" w:cs="Palatino Linotype"/>
        </w:rPr>
        <w:t>informó:</w:t>
      </w:r>
    </w:p>
    <w:p w14:paraId="70918D59" w14:textId="77777777" w:rsidR="00557C72" w:rsidRPr="00B3795E" w:rsidRDefault="00557C72" w:rsidP="00557C72">
      <w:pPr>
        <w:spacing w:line="360" w:lineRule="auto"/>
        <w:ind w:right="-876"/>
        <w:jc w:val="both"/>
        <w:rPr>
          <w:rFonts w:ascii="Palatino Linotype" w:eastAsia="Palatino Linotype" w:hAnsi="Palatino Linotype" w:cs="Palatino Linotype"/>
        </w:rPr>
      </w:pPr>
    </w:p>
    <w:p w14:paraId="1AE8723D" w14:textId="77777777" w:rsidR="00557C72" w:rsidRPr="00B3795E" w:rsidRDefault="00557C72" w:rsidP="00171D0B">
      <w:pPr>
        <w:spacing w:line="360" w:lineRule="auto"/>
        <w:ind w:left="993" w:right="-876"/>
        <w:jc w:val="both"/>
        <w:rPr>
          <w:rFonts w:ascii="Palatino Linotype" w:eastAsia="Palatino Linotype" w:hAnsi="Palatino Linotype" w:cs="Palatino Linotype"/>
          <w:b/>
        </w:rPr>
      </w:pPr>
      <w:r w:rsidRPr="00B3795E">
        <w:rPr>
          <w:rFonts w:ascii="Palatino Linotype" w:eastAsia="Palatino Linotype" w:hAnsi="Palatino Linotype" w:cs="Palatino Linotype"/>
          <w:b/>
        </w:rPr>
        <w:t>04338/INFOEM/IP/RR/2024</w:t>
      </w:r>
    </w:p>
    <w:p w14:paraId="62735F02" w14:textId="77777777" w:rsidR="00557C72" w:rsidRPr="00B3795E" w:rsidRDefault="00557C72" w:rsidP="00171D0B">
      <w:pPr>
        <w:spacing w:line="360" w:lineRule="auto"/>
        <w:ind w:left="993" w:right="-876"/>
        <w:jc w:val="both"/>
        <w:rPr>
          <w:rFonts w:ascii="Palatino Linotype" w:eastAsia="Palatino Linotype" w:hAnsi="Palatino Linotype" w:cs="Palatino Linotype"/>
          <w:b/>
        </w:rPr>
      </w:pPr>
      <w:r w:rsidRPr="00B3795E">
        <w:rPr>
          <w:rFonts w:ascii="Palatino Linotype" w:eastAsia="Palatino Linotype" w:hAnsi="Palatino Linotype" w:cs="Palatino Linotype"/>
          <w:b/>
        </w:rPr>
        <w:t>00408/SF/IP/2024</w:t>
      </w:r>
    </w:p>
    <w:p w14:paraId="7F10A930" w14:textId="77777777" w:rsidR="00557C72" w:rsidRPr="00B3795E" w:rsidRDefault="00557C72" w:rsidP="00171D0B">
      <w:pPr>
        <w:spacing w:line="360" w:lineRule="auto"/>
        <w:ind w:left="993" w:right="-876"/>
        <w:contextualSpacing/>
        <w:jc w:val="both"/>
        <w:rPr>
          <w:rFonts w:ascii="Palatino Linotype" w:eastAsia="Palatino Linotype" w:hAnsi="Palatino Linotype" w:cs="Palatino Linotype"/>
        </w:rPr>
      </w:pPr>
      <w:r w:rsidRPr="00B3795E">
        <w:rPr>
          <w:rFonts w:ascii="Palatino Linotype" w:eastAsia="Palatino Linotype" w:hAnsi="Palatino Linotype" w:cs="Palatino Linotype"/>
        </w:rPr>
        <w:lastRenderedPageBreak/>
        <w:t xml:space="preserve">Que de manera detallada que existen 434 proveedores y con un saldo de $ 375,090,861.43, información actualizada al </w:t>
      </w:r>
      <w:r w:rsidR="00C77382" w:rsidRPr="00B3795E">
        <w:rPr>
          <w:rFonts w:ascii="Palatino Linotype" w:eastAsia="Palatino Linotype" w:hAnsi="Palatino Linotype" w:cs="Palatino Linotype"/>
        </w:rPr>
        <w:t>17 de junio del año en curso, y</w:t>
      </w:r>
      <w:r w:rsidRPr="00B3795E">
        <w:rPr>
          <w:rFonts w:ascii="Palatino Linotype" w:eastAsia="Palatino Linotype" w:hAnsi="Palatino Linotype" w:cs="Palatino Linotype"/>
        </w:rPr>
        <w:t xml:space="preserve"> envía listado de los proveedores pendientes de pago y un </w:t>
      </w:r>
      <w:r w:rsidRPr="00B3795E">
        <w:rPr>
          <w:rFonts w:ascii="Palatino Linotype" w:hAnsi="Palatino Linotype"/>
        </w:rPr>
        <w:t>listado de montos pagados a proveedores mayo 2024.</w:t>
      </w:r>
    </w:p>
    <w:p w14:paraId="3D3791FF" w14:textId="77777777" w:rsidR="00557C72" w:rsidRPr="00B3795E" w:rsidRDefault="00557C72" w:rsidP="00171D0B">
      <w:pPr>
        <w:spacing w:line="360" w:lineRule="auto"/>
        <w:ind w:left="993" w:right="-876"/>
        <w:jc w:val="both"/>
        <w:rPr>
          <w:rFonts w:ascii="Palatino Linotype" w:eastAsia="Palatino Linotype" w:hAnsi="Palatino Linotype" w:cs="Palatino Linotype"/>
          <w:b/>
        </w:rPr>
      </w:pPr>
    </w:p>
    <w:p w14:paraId="17E8AB59" w14:textId="77777777" w:rsidR="00557C72" w:rsidRPr="00B3795E" w:rsidRDefault="00557C72" w:rsidP="00171D0B">
      <w:pPr>
        <w:spacing w:line="360" w:lineRule="auto"/>
        <w:ind w:left="993" w:right="-876"/>
        <w:jc w:val="both"/>
        <w:rPr>
          <w:rFonts w:ascii="Palatino Linotype" w:eastAsia="Palatino Linotype" w:hAnsi="Palatino Linotype" w:cs="Palatino Linotype"/>
          <w:b/>
        </w:rPr>
      </w:pPr>
      <w:r w:rsidRPr="00B3795E">
        <w:rPr>
          <w:rFonts w:ascii="Palatino Linotype" w:eastAsia="Palatino Linotype" w:hAnsi="Palatino Linotype" w:cs="Palatino Linotype"/>
          <w:b/>
        </w:rPr>
        <w:t>04340/INFOEM/IP/RR/2024</w:t>
      </w:r>
    </w:p>
    <w:p w14:paraId="5402224A" w14:textId="77777777" w:rsidR="00557C72" w:rsidRPr="00B3795E" w:rsidRDefault="00557C72" w:rsidP="00171D0B">
      <w:pPr>
        <w:spacing w:line="360" w:lineRule="auto"/>
        <w:ind w:left="993" w:right="-876"/>
        <w:jc w:val="both"/>
        <w:rPr>
          <w:rFonts w:ascii="Palatino Linotype" w:eastAsia="Palatino Linotype" w:hAnsi="Palatino Linotype" w:cs="Palatino Linotype"/>
          <w:b/>
        </w:rPr>
      </w:pPr>
      <w:r w:rsidRPr="00B3795E">
        <w:rPr>
          <w:rFonts w:ascii="Palatino Linotype" w:eastAsia="Palatino Linotype" w:hAnsi="Palatino Linotype" w:cs="Palatino Linotype"/>
          <w:b/>
        </w:rPr>
        <w:t>00407/SF/IP/2024</w:t>
      </w:r>
    </w:p>
    <w:p w14:paraId="70EA4A1F" w14:textId="77777777" w:rsidR="00557C72" w:rsidRPr="00B3795E" w:rsidRDefault="00557C72" w:rsidP="00171D0B">
      <w:pPr>
        <w:spacing w:line="360" w:lineRule="auto"/>
        <w:ind w:left="993" w:right="-876"/>
        <w:jc w:val="both"/>
        <w:rPr>
          <w:rFonts w:ascii="Palatino Linotype" w:eastAsia="Palatino Linotype" w:hAnsi="Palatino Linotype" w:cs="Palatino Linotype"/>
          <w:b/>
        </w:rPr>
      </w:pPr>
    </w:p>
    <w:p w14:paraId="672A6DE9" w14:textId="77777777" w:rsidR="00557C72" w:rsidRPr="00B3795E" w:rsidRDefault="00C77382" w:rsidP="00171D0B">
      <w:pPr>
        <w:spacing w:line="360" w:lineRule="auto"/>
        <w:ind w:left="993" w:right="-876"/>
        <w:contextualSpacing/>
        <w:jc w:val="both"/>
        <w:rPr>
          <w:rFonts w:ascii="Palatino Linotype" w:eastAsia="Palatino Linotype" w:hAnsi="Palatino Linotype" w:cs="Palatino Linotype"/>
        </w:rPr>
      </w:pPr>
      <w:r w:rsidRPr="00B3795E">
        <w:rPr>
          <w:rFonts w:ascii="Palatino Linotype" w:eastAsia="Palatino Linotype" w:hAnsi="Palatino Linotype" w:cs="Palatino Linotype"/>
        </w:rPr>
        <w:t xml:space="preserve">El Sujeto Obligado le informa al Solicitante que </w:t>
      </w:r>
      <w:r w:rsidR="00557C72" w:rsidRPr="00B3795E">
        <w:rPr>
          <w:rFonts w:ascii="Palatino Linotype" w:eastAsia="Palatino Linotype" w:hAnsi="Palatino Linotype" w:cs="Palatino Linotype"/>
        </w:rPr>
        <w:t>sírvase encontrar en los archivos adjuntos, el oficio con número 20705001000000S/457/2024, del día 19 de junio del año en curso, emitido por el servidor público habilitado de la Subsecretaría de Tesorería en el que se detalla lo refe</w:t>
      </w:r>
      <w:r w:rsidRPr="00B3795E">
        <w:rPr>
          <w:rFonts w:ascii="Palatino Linotype" w:eastAsia="Palatino Linotype" w:hAnsi="Palatino Linotype" w:cs="Palatino Linotype"/>
        </w:rPr>
        <w:t>rente a la solicitud de mérito.</w:t>
      </w:r>
    </w:p>
    <w:p w14:paraId="61C77E27" w14:textId="77777777" w:rsidR="00C77382" w:rsidRPr="00B3795E" w:rsidRDefault="00C77382" w:rsidP="00C77382">
      <w:pPr>
        <w:spacing w:line="360" w:lineRule="auto"/>
        <w:ind w:right="-876"/>
        <w:contextualSpacing/>
        <w:jc w:val="both"/>
        <w:rPr>
          <w:rFonts w:ascii="Palatino Linotype" w:eastAsia="Palatino Linotype" w:hAnsi="Palatino Linotype" w:cs="Palatino Linotype"/>
        </w:rPr>
      </w:pPr>
    </w:p>
    <w:p w14:paraId="3D3F7755" w14:textId="77777777" w:rsidR="00C77382" w:rsidRPr="00B3795E" w:rsidRDefault="00C77382" w:rsidP="00C77382">
      <w:pPr>
        <w:numPr>
          <w:ilvl w:val="0"/>
          <w:numId w:val="9"/>
        </w:numPr>
        <w:spacing w:line="360" w:lineRule="auto"/>
        <w:ind w:left="0" w:right="-876" w:firstLine="0"/>
        <w:jc w:val="both"/>
        <w:rPr>
          <w:rFonts w:ascii="Palatino Linotype" w:eastAsia="Palatino Linotype" w:hAnsi="Palatino Linotype" w:cs="Palatino Linotype"/>
        </w:rPr>
      </w:pPr>
      <w:r w:rsidRPr="00B3795E">
        <w:rPr>
          <w:rFonts w:ascii="Palatino Linotype" w:eastAsia="Palatino Linotype" w:hAnsi="Palatino Linotype" w:cs="Palatino Linotype"/>
        </w:rPr>
        <w:t xml:space="preserve">El Recurrente se inconformo , porque </w:t>
      </w:r>
    </w:p>
    <w:p w14:paraId="46D1D790" w14:textId="77777777" w:rsidR="00C77382" w:rsidRPr="00B3795E" w:rsidRDefault="00C77382" w:rsidP="00C77382">
      <w:pPr>
        <w:spacing w:line="360" w:lineRule="auto"/>
        <w:ind w:right="-876"/>
        <w:contextualSpacing/>
        <w:jc w:val="both"/>
        <w:rPr>
          <w:rFonts w:ascii="Palatino Linotype" w:eastAsia="Palatino Linotype" w:hAnsi="Palatino Linotype" w:cs="Palatino Linotype"/>
        </w:rPr>
      </w:pPr>
    </w:p>
    <w:p w14:paraId="7B47876D" w14:textId="77777777" w:rsidR="00C77382" w:rsidRPr="00B3795E" w:rsidRDefault="00C77382" w:rsidP="00171D0B">
      <w:pPr>
        <w:spacing w:line="360" w:lineRule="auto"/>
        <w:ind w:left="851" w:right="-876"/>
        <w:jc w:val="both"/>
        <w:rPr>
          <w:rFonts w:ascii="Palatino Linotype" w:eastAsia="Palatino Linotype" w:hAnsi="Palatino Linotype" w:cs="Palatino Linotype"/>
          <w:b/>
        </w:rPr>
      </w:pPr>
      <w:r w:rsidRPr="00B3795E">
        <w:rPr>
          <w:rFonts w:ascii="Palatino Linotype" w:eastAsia="Palatino Linotype" w:hAnsi="Palatino Linotype" w:cs="Palatino Linotype"/>
          <w:b/>
        </w:rPr>
        <w:t>04338/INFOEM/IP/RR/2024</w:t>
      </w:r>
    </w:p>
    <w:p w14:paraId="022351D2" w14:textId="77777777" w:rsidR="00C77382" w:rsidRPr="00B3795E" w:rsidRDefault="00C77382" w:rsidP="00171D0B">
      <w:pPr>
        <w:spacing w:line="360" w:lineRule="auto"/>
        <w:ind w:left="851" w:right="-876"/>
        <w:jc w:val="both"/>
        <w:rPr>
          <w:rFonts w:ascii="Palatino Linotype" w:eastAsia="Palatino Linotype" w:hAnsi="Palatino Linotype" w:cs="Palatino Linotype"/>
          <w:b/>
        </w:rPr>
      </w:pPr>
      <w:r w:rsidRPr="00B3795E">
        <w:rPr>
          <w:rFonts w:ascii="Palatino Linotype" w:eastAsia="Palatino Linotype" w:hAnsi="Palatino Linotype" w:cs="Palatino Linotype"/>
          <w:b/>
        </w:rPr>
        <w:t>00408/SF/IP/2024</w:t>
      </w:r>
    </w:p>
    <w:p w14:paraId="20068416" w14:textId="77777777" w:rsidR="00C77382" w:rsidRPr="00B3795E" w:rsidRDefault="00C77382" w:rsidP="00171D0B">
      <w:pPr>
        <w:ind w:left="851" w:right="257"/>
        <w:jc w:val="both"/>
        <w:rPr>
          <w:rFonts w:ascii="Palatino Linotype" w:eastAsia="Palatino Linotype" w:hAnsi="Palatino Linotype" w:cs="Palatino Linotype"/>
          <w:b/>
          <w:sz w:val="22"/>
          <w:szCs w:val="22"/>
        </w:rPr>
      </w:pPr>
    </w:p>
    <w:p w14:paraId="35060C92" w14:textId="77777777" w:rsidR="00C77382" w:rsidRPr="00B3795E" w:rsidRDefault="00C77382" w:rsidP="00171D0B">
      <w:pPr>
        <w:numPr>
          <w:ilvl w:val="0"/>
          <w:numId w:val="1"/>
        </w:numPr>
        <w:spacing w:line="360" w:lineRule="auto"/>
        <w:ind w:left="851" w:right="257"/>
        <w:jc w:val="both"/>
        <w:rPr>
          <w:rFonts w:ascii="Palatino Linotype" w:eastAsia="Palatino Linotype" w:hAnsi="Palatino Linotype" w:cs="Palatino Linotype"/>
          <w:i/>
        </w:rPr>
      </w:pPr>
      <w:r w:rsidRPr="00B3795E">
        <w:rPr>
          <w:rFonts w:ascii="Palatino Linotype" w:eastAsia="Palatino Linotype" w:hAnsi="Palatino Linotype" w:cs="Palatino Linotype"/>
          <w:i/>
        </w:rPr>
        <w:t>La información requerida no cumple con el formado de datos abiertos, por una parte anexan el listado de proveedores y por otra anexan los montos. que absurdo y que desconocimiento de la ley, por ello pido que me anexen la información en formato abierto como lo marcan los principios de acceso a la información.</w:t>
      </w:r>
    </w:p>
    <w:p w14:paraId="441D1FF2" w14:textId="77777777" w:rsidR="00C77382" w:rsidRPr="00B3795E" w:rsidRDefault="00C77382" w:rsidP="00171D0B">
      <w:pPr>
        <w:spacing w:line="360" w:lineRule="auto"/>
        <w:ind w:left="851" w:right="257"/>
        <w:jc w:val="both"/>
        <w:rPr>
          <w:rFonts w:ascii="Palatino Linotype" w:eastAsia="Palatino Linotype" w:hAnsi="Palatino Linotype" w:cs="Palatino Linotype"/>
          <w:sz w:val="22"/>
          <w:szCs w:val="22"/>
        </w:rPr>
      </w:pPr>
    </w:p>
    <w:p w14:paraId="2C5F57C3" w14:textId="77777777" w:rsidR="00C77382" w:rsidRPr="00B3795E" w:rsidRDefault="00C77382" w:rsidP="00171D0B">
      <w:pPr>
        <w:spacing w:line="360" w:lineRule="auto"/>
        <w:ind w:left="851" w:right="-876"/>
        <w:jc w:val="both"/>
        <w:rPr>
          <w:rFonts w:ascii="Palatino Linotype" w:eastAsia="Palatino Linotype" w:hAnsi="Palatino Linotype" w:cs="Palatino Linotype"/>
          <w:b/>
        </w:rPr>
      </w:pPr>
      <w:r w:rsidRPr="00B3795E">
        <w:rPr>
          <w:rFonts w:ascii="Palatino Linotype" w:eastAsia="Palatino Linotype" w:hAnsi="Palatino Linotype" w:cs="Palatino Linotype"/>
          <w:b/>
        </w:rPr>
        <w:t>04340/INFOEM/IP/RR/2024</w:t>
      </w:r>
    </w:p>
    <w:p w14:paraId="60B6AD4D" w14:textId="77777777" w:rsidR="00C77382" w:rsidRPr="00B3795E" w:rsidRDefault="00C77382" w:rsidP="00171D0B">
      <w:pPr>
        <w:spacing w:line="360" w:lineRule="auto"/>
        <w:ind w:left="851" w:right="-876"/>
        <w:jc w:val="both"/>
        <w:rPr>
          <w:rFonts w:ascii="Palatino Linotype" w:eastAsia="Palatino Linotype" w:hAnsi="Palatino Linotype" w:cs="Palatino Linotype"/>
          <w:b/>
        </w:rPr>
      </w:pPr>
      <w:r w:rsidRPr="00B3795E">
        <w:rPr>
          <w:rFonts w:ascii="Palatino Linotype" w:eastAsia="Palatino Linotype" w:hAnsi="Palatino Linotype" w:cs="Palatino Linotype"/>
          <w:b/>
        </w:rPr>
        <w:lastRenderedPageBreak/>
        <w:t>00407/SF/IP/2024</w:t>
      </w:r>
    </w:p>
    <w:p w14:paraId="5B235E87" w14:textId="77777777" w:rsidR="00C77382" w:rsidRPr="00B3795E" w:rsidRDefault="00C77382" w:rsidP="00171D0B">
      <w:pPr>
        <w:numPr>
          <w:ilvl w:val="0"/>
          <w:numId w:val="8"/>
        </w:numPr>
        <w:spacing w:line="360" w:lineRule="auto"/>
        <w:ind w:left="851" w:right="257"/>
        <w:jc w:val="both"/>
        <w:rPr>
          <w:rFonts w:ascii="Palatino Linotype" w:eastAsia="Palatino Linotype" w:hAnsi="Palatino Linotype" w:cs="Palatino Linotype"/>
          <w:i/>
        </w:rPr>
      </w:pPr>
      <w:r w:rsidRPr="00B3795E">
        <w:rPr>
          <w:rFonts w:ascii="Palatino Linotype" w:eastAsia="Palatino Linotype" w:hAnsi="Palatino Linotype" w:cs="Palatino Linotype"/>
          <w:i/>
        </w:rPr>
        <w:t>No se anexa información solicitada</w:t>
      </w:r>
      <w:r w:rsidRPr="00B3795E">
        <w:rPr>
          <w:rFonts w:ascii="Palatino Linotype" w:eastAsia="Palatino Linotype" w:hAnsi="Palatino Linotype" w:cs="Palatino Linotype"/>
          <w:i/>
          <w:color w:val="000000"/>
        </w:rPr>
        <w:t>.</w:t>
      </w:r>
    </w:p>
    <w:p w14:paraId="76EE4F09" w14:textId="77777777" w:rsidR="00C77382" w:rsidRPr="00B3795E" w:rsidRDefault="00C77382" w:rsidP="00C77382">
      <w:pPr>
        <w:spacing w:line="360" w:lineRule="auto"/>
        <w:ind w:right="-876"/>
        <w:jc w:val="both"/>
        <w:rPr>
          <w:rFonts w:ascii="Palatino Linotype" w:eastAsia="Palatino Linotype" w:hAnsi="Palatino Linotype" w:cs="Palatino Linotype"/>
        </w:rPr>
      </w:pPr>
    </w:p>
    <w:p w14:paraId="2F5AFEFC" w14:textId="77777777" w:rsidR="00C77382" w:rsidRPr="00B3795E" w:rsidRDefault="00C77382" w:rsidP="00C77382">
      <w:pPr>
        <w:numPr>
          <w:ilvl w:val="0"/>
          <w:numId w:val="9"/>
        </w:numPr>
        <w:spacing w:line="360" w:lineRule="auto"/>
        <w:ind w:left="0" w:right="-876" w:firstLine="0"/>
        <w:jc w:val="both"/>
        <w:rPr>
          <w:rFonts w:ascii="Palatino Linotype" w:eastAsia="Palatino Linotype" w:hAnsi="Palatino Linotype" w:cs="Palatino Linotype"/>
        </w:rPr>
      </w:pPr>
      <w:r w:rsidRPr="00B3795E">
        <w:rPr>
          <w:rFonts w:ascii="Palatino Linotype" w:eastAsia="Palatino Linotype" w:hAnsi="Palatino Linotype" w:cs="Palatino Linotype"/>
        </w:rPr>
        <w:t xml:space="preserve">En dichas condiciones, la Litis a resolver en este recurso se circunscribe a determinar si se actualiza la causal de procedencia prevista en el artículo 179, </w:t>
      </w:r>
      <w:r w:rsidR="002837FF" w:rsidRPr="00B3795E">
        <w:rPr>
          <w:rFonts w:ascii="Palatino Linotype" w:eastAsia="Palatino Linotype" w:hAnsi="Palatino Linotype" w:cs="Palatino Linotype"/>
        </w:rPr>
        <w:t>fracciones</w:t>
      </w:r>
      <w:r w:rsidR="006C673C" w:rsidRPr="00B3795E">
        <w:rPr>
          <w:rFonts w:ascii="Palatino Linotype" w:eastAsia="Palatino Linotype" w:hAnsi="Palatino Linotype" w:cs="Palatino Linotype"/>
        </w:rPr>
        <w:t xml:space="preserve"> I y  IX</w:t>
      </w:r>
      <w:r w:rsidRPr="00B3795E">
        <w:rPr>
          <w:rFonts w:ascii="Palatino Linotype" w:eastAsia="Palatino Linotype" w:hAnsi="Palatino Linotype" w:cs="Palatino Linotype"/>
        </w:rPr>
        <w:t xml:space="preserve">  de la Ley de Transparencia y Acceso a la Información Pública del Estado de México y Municipios; fraccion</w:t>
      </w:r>
      <w:r w:rsidR="006C673C" w:rsidRPr="00B3795E">
        <w:rPr>
          <w:rFonts w:ascii="Palatino Linotype" w:eastAsia="Palatino Linotype" w:hAnsi="Palatino Linotype" w:cs="Palatino Linotype"/>
        </w:rPr>
        <w:t>es</w:t>
      </w:r>
      <w:r w:rsidRPr="00B3795E">
        <w:rPr>
          <w:rFonts w:ascii="Palatino Linotype" w:eastAsia="Palatino Linotype" w:hAnsi="Palatino Linotype" w:cs="Palatino Linotype"/>
        </w:rPr>
        <w:t xml:space="preserve"> que determina</w:t>
      </w:r>
      <w:r w:rsidR="006C673C" w:rsidRPr="00B3795E">
        <w:rPr>
          <w:rFonts w:ascii="Palatino Linotype" w:eastAsia="Palatino Linotype" w:hAnsi="Palatino Linotype" w:cs="Palatino Linotype"/>
        </w:rPr>
        <w:t>n</w:t>
      </w:r>
      <w:r w:rsidRPr="00B3795E">
        <w:rPr>
          <w:rFonts w:ascii="Palatino Linotype" w:eastAsia="Palatino Linotype" w:hAnsi="Palatino Linotype" w:cs="Palatino Linotype"/>
        </w:rPr>
        <w:t xml:space="preserve"> las hipótesis jurídicas relativa</w:t>
      </w:r>
      <w:r w:rsidR="006C673C" w:rsidRPr="00B3795E">
        <w:rPr>
          <w:rFonts w:ascii="Palatino Linotype" w:eastAsia="Palatino Linotype" w:hAnsi="Palatino Linotype" w:cs="Palatino Linotype"/>
        </w:rPr>
        <w:t>s</w:t>
      </w:r>
      <w:r w:rsidRPr="00B3795E">
        <w:rPr>
          <w:rFonts w:ascii="Palatino Linotype" w:eastAsia="Palatino Linotype" w:hAnsi="Palatino Linotype" w:cs="Palatino Linotype"/>
        </w:rPr>
        <w:t xml:space="preserve"> a la negati</w:t>
      </w:r>
      <w:r w:rsidR="006C673C" w:rsidRPr="00B3795E">
        <w:rPr>
          <w:rFonts w:ascii="Palatino Linotype" w:eastAsia="Palatino Linotype" w:hAnsi="Palatino Linotype" w:cs="Palatino Linotype"/>
        </w:rPr>
        <w:t xml:space="preserve">va a la información solicitada y la entrega o puesta a disposición de información en un formato incomprensible y/o no accesible para el solicitante, </w:t>
      </w:r>
      <w:r w:rsidRPr="00B3795E">
        <w:rPr>
          <w:rFonts w:ascii="Palatino Linotype" w:eastAsia="Palatino Linotype" w:hAnsi="Palatino Linotype" w:cs="Palatino Linotype"/>
        </w:rPr>
        <w:t>contexto del cual se dolió EL RECURRENTE al momento de interponer su inconformidad. De modo tal que el presente recurso de revisión se abocará en determinar si el SUJETO OBLIGADO con sus respuestas ciertamente actualiza la causal de procedencia antes señalada.</w:t>
      </w:r>
    </w:p>
    <w:p w14:paraId="50F4E6FB" w14:textId="77777777" w:rsidR="00C77382" w:rsidRPr="00B3795E" w:rsidRDefault="00C77382" w:rsidP="00C77382">
      <w:pPr>
        <w:ind w:right="-876"/>
        <w:rPr>
          <w:rFonts w:ascii="Palatino Linotype" w:eastAsia="Palatino Linotype" w:hAnsi="Palatino Linotype" w:cs="Palatino Linotype"/>
          <w:b/>
        </w:rPr>
      </w:pPr>
    </w:p>
    <w:p w14:paraId="5E4E186D" w14:textId="77777777" w:rsidR="00C77382" w:rsidRPr="00B3795E" w:rsidRDefault="00C77382" w:rsidP="00C77382">
      <w:pPr>
        <w:keepNext/>
        <w:keepLines/>
        <w:spacing w:line="360" w:lineRule="auto"/>
        <w:ind w:right="-876"/>
        <w:rPr>
          <w:rFonts w:ascii="Palatino Linotype" w:eastAsia="Palatino Linotype" w:hAnsi="Palatino Linotype" w:cs="Palatino Linotype"/>
          <w:b/>
          <w:color w:val="000000"/>
        </w:rPr>
      </w:pPr>
      <w:bookmarkStart w:id="9" w:name="_heading=h.1t3h5sf" w:colFirst="0" w:colLast="0"/>
      <w:bookmarkEnd w:id="9"/>
      <w:r w:rsidRPr="00B3795E">
        <w:rPr>
          <w:rFonts w:ascii="Palatino Linotype" w:eastAsia="Palatino Linotype" w:hAnsi="Palatino Linotype" w:cs="Palatino Linotype"/>
          <w:b/>
          <w:color w:val="000000"/>
        </w:rPr>
        <w:t>CUARTO. Del estudio y resolución del asunto.</w:t>
      </w:r>
    </w:p>
    <w:p w14:paraId="750C075A" w14:textId="77777777" w:rsidR="00C77382" w:rsidRPr="00B3795E" w:rsidRDefault="00C77382" w:rsidP="00C77382">
      <w:pPr>
        <w:keepNext/>
        <w:keepLines/>
        <w:spacing w:line="360" w:lineRule="auto"/>
        <w:ind w:right="-876"/>
        <w:rPr>
          <w:rFonts w:ascii="Palatino Linotype" w:eastAsia="Palatino Linotype" w:hAnsi="Palatino Linotype" w:cs="Palatino Linotype"/>
          <w:b/>
        </w:rPr>
      </w:pPr>
      <w:bookmarkStart w:id="10" w:name="_heading=h.bub4yvq0if74" w:colFirst="0" w:colLast="0"/>
      <w:bookmarkEnd w:id="10"/>
    </w:p>
    <w:p w14:paraId="69830E44" w14:textId="77777777" w:rsidR="00C77382" w:rsidRPr="00B3795E" w:rsidRDefault="00C77382" w:rsidP="006C673C">
      <w:pPr>
        <w:numPr>
          <w:ilvl w:val="0"/>
          <w:numId w:val="9"/>
        </w:numPr>
        <w:spacing w:line="360" w:lineRule="auto"/>
        <w:ind w:left="0" w:right="-876" w:firstLine="0"/>
        <w:jc w:val="both"/>
        <w:rPr>
          <w:rFonts w:ascii="Palatino Linotype" w:eastAsia="Palatino Linotype" w:hAnsi="Palatino Linotype" w:cs="Palatino Linotype"/>
          <w:b/>
        </w:rPr>
      </w:pPr>
      <w:r w:rsidRPr="00B3795E">
        <w:rPr>
          <w:rFonts w:ascii="Palatino Linotype" w:eastAsia="Palatino Linotype" w:hAnsi="Palatino Linotype" w:cs="Palatino Linotype"/>
        </w:rPr>
        <w:t xml:space="preserve">Acotada la Litis, en cuanto a las solicitudes de información es de indicar que el Recurrente a través de su solicitudes de información </w:t>
      </w:r>
      <w:r w:rsidRPr="00B3795E">
        <w:rPr>
          <w:rFonts w:ascii="Palatino Linotype" w:eastAsia="Palatino Linotype" w:hAnsi="Palatino Linotype" w:cs="Palatino Linotype"/>
          <w:b/>
        </w:rPr>
        <w:t xml:space="preserve"> requirió</w:t>
      </w:r>
      <w:r w:rsidRPr="00B3795E">
        <w:rPr>
          <w:rFonts w:ascii="Palatino Linotype" w:eastAsia="Palatino Linotype" w:hAnsi="Palatino Linotype" w:cs="Palatino Linotype"/>
        </w:rPr>
        <w:t xml:space="preserve"> </w:t>
      </w:r>
    </w:p>
    <w:p w14:paraId="63C7293B" w14:textId="77777777" w:rsidR="00C77382" w:rsidRPr="00B3795E" w:rsidRDefault="00C77382" w:rsidP="006C673C">
      <w:pPr>
        <w:spacing w:line="360" w:lineRule="auto"/>
        <w:ind w:left="720" w:right="257"/>
        <w:jc w:val="both"/>
        <w:rPr>
          <w:rFonts w:ascii="Palatino Linotype" w:eastAsia="Palatino Linotype" w:hAnsi="Palatino Linotype" w:cs="Palatino Linotype"/>
        </w:rPr>
      </w:pPr>
    </w:p>
    <w:p w14:paraId="6A85B72A" w14:textId="77777777" w:rsidR="006C673C" w:rsidRPr="00B3795E" w:rsidRDefault="006C673C" w:rsidP="00171D0B">
      <w:pPr>
        <w:spacing w:line="360" w:lineRule="auto"/>
        <w:ind w:left="993" w:right="-876"/>
        <w:jc w:val="both"/>
        <w:rPr>
          <w:rFonts w:ascii="Palatino Linotype" w:eastAsia="Palatino Linotype" w:hAnsi="Palatino Linotype" w:cs="Palatino Linotype"/>
          <w:b/>
        </w:rPr>
      </w:pPr>
      <w:r w:rsidRPr="00B3795E">
        <w:rPr>
          <w:rFonts w:ascii="Palatino Linotype" w:eastAsia="Palatino Linotype" w:hAnsi="Palatino Linotype" w:cs="Palatino Linotype"/>
          <w:b/>
        </w:rPr>
        <w:t>04338/INFOEM/IP/RR/2024</w:t>
      </w:r>
    </w:p>
    <w:p w14:paraId="26D0B454" w14:textId="77777777" w:rsidR="006C673C" w:rsidRPr="00B3795E" w:rsidRDefault="006C673C" w:rsidP="00171D0B">
      <w:pPr>
        <w:spacing w:line="360" w:lineRule="auto"/>
        <w:ind w:left="993" w:right="-876"/>
        <w:jc w:val="both"/>
        <w:rPr>
          <w:rFonts w:ascii="Palatino Linotype" w:eastAsia="Palatino Linotype" w:hAnsi="Palatino Linotype" w:cs="Palatino Linotype"/>
          <w:b/>
        </w:rPr>
      </w:pPr>
      <w:r w:rsidRPr="00B3795E">
        <w:rPr>
          <w:rFonts w:ascii="Palatino Linotype" w:eastAsia="Palatino Linotype" w:hAnsi="Palatino Linotype" w:cs="Palatino Linotype"/>
          <w:b/>
        </w:rPr>
        <w:t>00408/SF/IP/2024</w:t>
      </w:r>
    </w:p>
    <w:p w14:paraId="2FA2CDD6" w14:textId="77777777" w:rsidR="006C673C" w:rsidRPr="00B3795E" w:rsidRDefault="006C673C" w:rsidP="00171D0B">
      <w:pPr>
        <w:spacing w:line="360" w:lineRule="auto"/>
        <w:ind w:left="993" w:right="-876"/>
        <w:jc w:val="both"/>
        <w:rPr>
          <w:rFonts w:ascii="Palatino Linotype" w:eastAsia="Palatino Linotype" w:hAnsi="Palatino Linotype" w:cs="Palatino Linotype"/>
          <w:b/>
        </w:rPr>
      </w:pPr>
    </w:p>
    <w:p w14:paraId="13BF63FC" w14:textId="77777777" w:rsidR="006C673C" w:rsidRPr="00B3795E" w:rsidRDefault="006C673C" w:rsidP="00171D0B">
      <w:pPr>
        <w:pStyle w:val="Prrafodelista"/>
        <w:numPr>
          <w:ilvl w:val="0"/>
          <w:numId w:val="27"/>
        </w:numPr>
        <w:spacing w:line="360" w:lineRule="auto"/>
        <w:ind w:left="993" w:right="568"/>
        <w:jc w:val="both"/>
        <w:rPr>
          <w:rFonts w:ascii="Palatino Linotype" w:eastAsia="Palatino Linotype" w:hAnsi="Palatino Linotype" w:cs="Palatino Linotype"/>
        </w:rPr>
      </w:pPr>
      <w:r w:rsidRPr="00B3795E">
        <w:rPr>
          <w:rFonts w:ascii="Palatino Linotype" w:eastAsia="Palatino Linotype" w:hAnsi="Palatino Linotype" w:cs="Palatino Linotype"/>
        </w:rPr>
        <w:t>Cuenta por pagar a proveedores del ejercicio 2024.</w:t>
      </w:r>
    </w:p>
    <w:p w14:paraId="306B7AD6" w14:textId="77777777" w:rsidR="006C673C" w:rsidRPr="00B3795E" w:rsidRDefault="006C673C" w:rsidP="00171D0B">
      <w:pPr>
        <w:spacing w:line="360" w:lineRule="auto"/>
        <w:ind w:left="993" w:right="-876"/>
        <w:jc w:val="both"/>
        <w:rPr>
          <w:rFonts w:ascii="Palatino Linotype" w:eastAsia="Palatino Linotype" w:hAnsi="Palatino Linotype" w:cs="Palatino Linotype"/>
          <w:b/>
        </w:rPr>
      </w:pPr>
    </w:p>
    <w:p w14:paraId="265437BD" w14:textId="77777777" w:rsidR="006C673C" w:rsidRPr="00B3795E" w:rsidRDefault="006C673C" w:rsidP="00171D0B">
      <w:pPr>
        <w:spacing w:line="360" w:lineRule="auto"/>
        <w:ind w:left="993" w:right="-876"/>
        <w:jc w:val="both"/>
        <w:rPr>
          <w:rFonts w:ascii="Palatino Linotype" w:eastAsia="Palatino Linotype" w:hAnsi="Palatino Linotype" w:cs="Palatino Linotype"/>
          <w:b/>
        </w:rPr>
      </w:pPr>
      <w:r w:rsidRPr="00B3795E">
        <w:rPr>
          <w:rFonts w:ascii="Palatino Linotype" w:eastAsia="Palatino Linotype" w:hAnsi="Palatino Linotype" w:cs="Palatino Linotype"/>
          <w:b/>
        </w:rPr>
        <w:t>04340/INFOEM/IP/RR/2024</w:t>
      </w:r>
    </w:p>
    <w:p w14:paraId="07EB18E4" w14:textId="77777777" w:rsidR="006C673C" w:rsidRPr="00B3795E" w:rsidRDefault="006C673C" w:rsidP="00171D0B">
      <w:pPr>
        <w:spacing w:line="360" w:lineRule="auto"/>
        <w:ind w:left="993" w:right="-876"/>
        <w:jc w:val="both"/>
        <w:rPr>
          <w:rFonts w:ascii="Palatino Linotype" w:eastAsia="Palatino Linotype" w:hAnsi="Palatino Linotype" w:cs="Palatino Linotype"/>
          <w:b/>
        </w:rPr>
      </w:pPr>
      <w:r w:rsidRPr="00B3795E">
        <w:rPr>
          <w:rFonts w:ascii="Palatino Linotype" w:eastAsia="Palatino Linotype" w:hAnsi="Palatino Linotype" w:cs="Palatino Linotype"/>
          <w:b/>
        </w:rPr>
        <w:lastRenderedPageBreak/>
        <w:t>00407/SF/IP/2024</w:t>
      </w:r>
    </w:p>
    <w:p w14:paraId="6126A464" w14:textId="77777777" w:rsidR="006C673C" w:rsidRPr="00B3795E" w:rsidRDefault="006C673C" w:rsidP="00171D0B">
      <w:pPr>
        <w:pStyle w:val="Prrafodelista"/>
        <w:numPr>
          <w:ilvl w:val="0"/>
          <w:numId w:val="27"/>
        </w:numPr>
        <w:spacing w:line="360" w:lineRule="auto"/>
        <w:ind w:left="993" w:right="-876"/>
        <w:jc w:val="both"/>
        <w:rPr>
          <w:rFonts w:ascii="Palatino Linotype" w:eastAsia="Palatino Linotype" w:hAnsi="Palatino Linotype" w:cs="Palatino Linotype"/>
          <w:b/>
        </w:rPr>
      </w:pPr>
      <w:r w:rsidRPr="00B3795E">
        <w:rPr>
          <w:rFonts w:ascii="Palatino Linotype" w:eastAsia="Palatino Linotype" w:hAnsi="Palatino Linotype" w:cs="Palatino Linotype"/>
        </w:rPr>
        <w:t>Montos pagados a proveedores del mes de mayo de 2024, con referencia al proveedor, nombre del mismo.</w:t>
      </w:r>
    </w:p>
    <w:p w14:paraId="227D67B2" w14:textId="77777777" w:rsidR="00633D2A" w:rsidRPr="00B3795E" w:rsidRDefault="00633D2A" w:rsidP="00633D2A">
      <w:pPr>
        <w:spacing w:line="360" w:lineRule="auto"/>
        <w:ind w:right="-876"/>
        <w:jc w:val="both"/>
        <w:rPr>
          <w:rFonts w:ascii="Palatino Linotype" w:eastAsia="Palatino Linotype" w:hAnsi="Palatino Linotype" w:cs="Palatino Linotype"/>
          <w:color w:val="000000"/>
        </w:rPr>
      </w:pPr>
    </w:p>
    <w:p w14:paraId="3FFFE990" w14:textId="77777777" w:rsidR="006C673C" w:rsidRPr="00B3795E" w:rsidRDefault="006C673C" w:rsidP="006C673C">
      <w:pPr>
        <w:numPr>
          <w:ilvl w:val="0"/>
          <w:numId w:val="9"/>
        </w:numPr>
        <w:spacing w:line="360" w:lineRule="auto"/>
        <w:ind w:left="0" w:right="-876" w:firstLine="0"/>
        <w:jc w:val="both"/>
        <w:rPr>
          <w:rFonts w:ascii="Palatino Linotype" w:eastAsia="Palatino Linotype" w:hAnsi="Palatino Linotype" w:cs="Palatino Linotype"/>
        </w:rPr>
      </w:pPr>
      <w:r w:rsidRPr="00B3795E">
        <w:rPr>
          <w:rFonts w:ascii="Palatino Linotype" w:eastAsia="Palatino Linotype" w:hAnsi="Palatino Linotype" w:cs="Palatino Linotype"/>
        </w:rPr>
        <w:t xml:space="preserve">El Recurrente se inconformo , porque </w:t>
      </w:r>
    </w:p>
    <w:p w14:paraId="57B0013E" w14:textId="77777777" w:rsidR="006C673C" w:rsidRPr="00B3795E" w:rsidRDefault="006C673C" w:rsidP="006C673C">
      <w:pPr>
        <w:spacing w:line="360" w:lineRule="auto"/>
        <w:ind w:right="-876"/>
        <w:contextualSpacing/>
        <w:jc w:val="both"/>
        <w:rPr>
          <w:rFonts w:ascii="Palatino Linotype" w:eastAsia="Palatino Linotype" w:hAnsi="Palatino Linotype" w:cs="Palatino Linotype"/>
        </w:rPr>
      </w:pPr>
    </w:p>
    <w:p w14:paraId="162C8FC0" w14:textId="77777777" w:rsidR="006C673C" w:rsidRPr="00B3795E" w:rsidRDefault="006C673C" w:rsidP="00171D0B">
      <w:pPr>
        <w:spacing w:line="360" w:lineRule="auto"/>
        <w:ind w:left="851" w:right="-876"/>
        <w:jc w:val="both"/>
        <w:rPr>
          <w:rFonts w:ascii="Palatino Linotype" w:eastAsia="Palatino Linotype" w:hAnsi="Palatino Linotype" w:cs="Palatino Linotype"/>
          <w:b/>
        </w:rPr>
      </w:pPr>
      <w:r w:rsidRPr="00B3795E">
        <w:rPr>
          <w:rFonts w:ascii="Palatino Linotype" w:eastAsia="Palatino Linotype" w:hAnsi="Palatino Linotype" w:cs="Palatino Linotype"/>
          <w:b/>
        </w:rPr>
        <w:t>04338/INFOEM/IP/RR/2024</w:t>
      </w:r>
    </w:p>
    <w:p w14:paraId="469385A0" w14:textId="77777777" w:rsidR="006C673C" w:rsidRPr="00B3795E" w:rsidRDefault="006C673C" w:rsidP="00171D0B">
      <w:pPr>
        <w:spacing w:line="360" w:lineRule="auto"/>
        <w:ind w:left="851" w:right="-876"/>
        <w:jc w:val="both"/>
        <w:rPr>
          <w:rFonts w:ascii="Palatino Linotype" w:eastAsia="Palatino Linotype" w:hAnsi="Palatino Linotype" w:cs="Palatino Linotype"/>
          <w:b/>
        </w:rPr>
      </w:pPr>
      <w:r w:rsidRPr="00B3795E">
        <w:rPr>
          <w:rFonts w:ascii="Palatino Linotype" w:eastAsia="Palatino Linotype" w:hAnsi="Palatino Linotype" w:cs="Palatino Linotype"/>
          <w:b/>
        </w:rPr>
        <w:t>00408/SF/IP/2024</w:t>
      </w:r>
    </w:p>
    <w:p w14:paraId="247A32E7" w14:textId="77777777" w:rsidR="006C673C" w:rsidRPr="00B3795E" w:rsidRDefault="006C673C" w:rsidP="00171D0B">
      <w:pPr>
        <w:ind w:left="851" w:right="257"/>
        <w:jc w:val="both"/>
        <w:rPr>
          <w:rFonts w:ascii="Palatino Linotype" w:eastAsia="Palatino Linotype" w:hAnsi="Palatino Linotype" w:cs="Palatino Linotype"/>
          <w:b/>
          <w:sz w:val="22"/>
          <w:szCs w:val="22"/>
        </w:rPr>
      </w:pPr>
    </w:p>
    <w:p w14:paraId="7EFF9158" w14:textId="77777777" w:rsidR="006C673C" w:rsidRPr="00B3795E" w:rsidRDefault="006C673C" w:rsidP="00171D0B">
      <w:pPr>
        <w:numPr>
          <w:ilvl w:val="0"/>
          <w:numId w:val="1"/>
        </w:numPr>
        <w:spacing w:line="360" w:lineRule="auto"/>
        <w:ind w:left="851" w:right="257"/>
        <w:jc w:val="both"/>
        <w:rPr>
          <w:rFonts w:ascii="Palatino Linotype" w:eastAsia="Palatino Linotype" w:hAnsi="Palatino Linotype" w:cs="Palatino Linotype"/>
          <w:i/>
        </w:rPr>
      </w:pPr>
      <w:r w:rsidRPr="00B3795E">
        <w:rPr>
          <w:rFonts w:ascii="Palatino Linotype" w:eastAsia="Palatino Linotype" w:hAnsi="Palatino Linotype" w:cs="Palatino Linotype"/>
          <w:i/>
        </w:rPr>
        <w:t>La información requerida no cumple con el formado de datos abiertos, por una parte anexan el listado de proveedores y por otra anexan los montos. que absurdo y que desconocimiento de la ley, por ello pido que me anexen la información en formato abierto como lo marcan los principios de acceso a la información.</w:t>
      </w:r>
    </w:p>
    <w:p w14:paraId="2D77DD79" w14:textId="77777777" w:rsidR="006C673C" w:rsidRPr="00B3795E" w:rsidRDefault="006C673C" w:rsidP="00171D0B">
      <w:pPr>
        <w:spacing w:line="360" w:lineRule="auto"/>
        <w:ind w:left="851" w:right="257"/>
        <w:jc w:val="both"/>
        <w:rPr>
          <w:rFonts w:ascii="Palatino Linotype" w:eastAsia="Palatino Linotype" w:hAnsi="Palatino Linotype" w:cs="Palatino Linotype"/>
          <w:sz w:val="22"/>
          <w:szCs w:val="22"/>
        </w:rPr>
      </w:pPr>
    </w:p>
    <w:p w14:paraId="6A783236" w14:textId="77777777" w:rsidR="006C673C" w:rsidRPr="00B3795E" w:rsidRDefault="006C673C" w:rsidP="00171D0B">
      <w:pPr>
        <w:spacing w:line="360" w:lineRule="auto"/>
        <w:ind w:left="851" w:right="-876"/>
        <w:jc w:val="both"/>
        <w:rPr>
          <w:rFonts w:ascii="Palatino Linotype" w:eastAsia="Palatino Linotype" w:hAnsi="Palatino Linotype" w:cs="Palatino Linotype"/>
          <w:b/>
        </w:rPr>
      </w:pPr>
      <w:r w:rsidRPr="00B3795E">
        <w:rPr>
          <w:rFonts w:ascii="Palatino Linotype" w:eastAsia="Palatino Linotype" w:hAnsi="Palatino Linotype" w:cs="Palatino Linotype"/>
          <w:b/>
        </w:rPr>
        <w:t>04340/INFOEM/IP/RR/2024</w:t>
      </w:r>
    </w:p>
    <w:p w14:paraId="202B37DB" w14:textId="77777777" w:rsidR="006C673C" w:rsidRPr="00B3795E" w:rsidRDefault="006C673C" w:rsidP="00171D0B">
      <w:pPr>
        <w:spacing w:line="360" w:lineRule="auto"/>
        <w:ind w:left="851" w:right="-876"/>
        <w:jc w:val="both"/>
        <w:rPr>
          <w:rFonts w:ascii="Palatino Linotype" w:eastAsia="Palatino Linotype" w:hAnsi="Palatino Linotype" w:cs="Palatino Linotype"/>
          <w:b/>
        </w:rPr>
      </w:pPr>
      <w:r w:rsidRPr="00B3795E">
        <w:rPr>
          <w:rFonts w:ascii="Palatino Linotype" w:eastAsia="Palatino Linotype" w:hAnsi="Palatino Linotype" w:cs="Palatino Linotype"/>
          <w:b/>
        </w:rPr>
        <w:t>00407/SF/IP/2024</w:t>
      </w:r>
    </w:p>
    <w:p w14:paraId="350A982A" w14:textId="77777777" w:rsidR="006C673C" w:rsidRPr="00B3795E" w:rsidRDefault="006C673C" w:rsidP="00171D0B">
      <w:pPr>
        <w:numPr>
          <w:ilvl w:val="0"/>
          <w:numId w:val="8"/>
        </w:numPr>
        <w:spacing w:line="360" w:lineRule="auto"/>
        <w:ind w:left="851" w:right="257"/>
        <w:jc w:val="both"/>
        <w:rPr>
          <w:rFonts w:ascii="Palatino Linotype" w:eastAsia="Palatino Linotype" w:hAnsi="Palatino Linotype" w:cs="Palatino Linotype"/>
          <w:i/>
        </w:rPr>
      </w:pPr>
      <w:r w:rsidRPr="00B3795E">
        <w:rPr>
          <w:rFonts w:ascii="Palatino Linotype" w:eastAsia="Palatino Linotype" w:hAnsi="Palatino Linotype" w:cs="Palatino Linotype"/>
          <w:i/>
        </w:rPr>
        <w:t>No se anexa información solicitada</w:t>
      </w:r>
      <w:r w:rsidRPr="00B3795E">
        <w:rPr>
          <w:rFonts w:ascii="Palatino Linotype" w:eastAsia="Palatino Linotype" w:hAnsi="Palatino Linotype" w:cs="Palatino Linotype"/>
          <w:i/>
          <w:color w:val="000000"/>
        </w:rPr>
        <w:t>.</w:t>
      </w:r>
    </w:p>
    <w:p w14:paraId="727C414C" w14:textId="77777777" w:rsidR="005739BB" w:rsidRPr="00B3795E" w:rsidRDefault="005739BB" w:rsidP="005739BB">
      <w:pPr>
        <w:spacing w:line="360" w:lineRule="auto"/>
        <w:ind w:right="-876"/>
        <w:jc w:val="both"/>
        <w:rPr>
          <w:rFonts w:ascii="Palatino Linotype" w:eastAsia="Palatino Linotype" w:hAnsi="Palatino Linotype" w:cs="Palatino Linotype"/>
          <w:color w:val="000000"/>
        </w:rPr>
      </w:pPr>
    </w:p>
    <w:p w14:paraId="23E1E9BC" w14:textId="77777777" w:rsidR="005C45D6" w:rsidRPr="00B3795E" w:rsidRDefault="005C45D6" w:rsidP="00804395">
      <w:pPr>
        <w:numPr>
          <w:ilvl w:val="0"/>
          <w:numId w:val="9"/>
        </w:numPr>
        <w:spacing w:line="360" w:lineRule="auto"/>
        <w:ind w:left="0" w:right="-876" w:firstLine="0"/>
        <w:jc w:val="both"/>
        <w:rPr>
          <w:rFonts w:ascii="Palatino Linotype" w:eastAsia="MS Mincho" w:hAnsi="Palatino Linotype"/>
          <w:lang w:eastAsia="es-ES"/>
        </w:rPr>
      </w:pPr>
      <w:r w:rsidRPr="00B3795E">
        <w:rPr>
          <w:rFonts w:ascii="Palatino Linotype" w:eastAsia="MS Mincho" w:hAnsi="Palatino Linotype"/>
          <w:lang w:eastAsia="es-ES"/>
        </w:rPr>
        <w:t>Derivado de la naturaleza de la información requerida</w:t>
      </w:r>
      <w:r w:rsidR="00804395" w:rsidRPr="00B3795E">
        <w:rPr>
          <w:rFonts w:ascii="Palatino Linotype" w:eastAsia="MS Mincho" w:hAnsi="Palatino Linotype"/>
          <w:lang w:eastAsia="es-ES"/>
        </w:rPr>
        <w:t xml:space="preserve"> en las solicitudes de información </w:t>
      </w:r>
      <w:r w:rsidRPr="00B3795E">
        <w:rPr>
          <w:rFonts w:ascii="Palatino Linotype" w:eastAsia="MS Mincho" w:hAnsi="Palatino Linotype"/>
          <w:lang w:eastAsia="es-ES"/>
        </w:rPr>
        <w:t>, e</w:t>
      </w:r>
      <w:r w:rsidRPr="00B3795E">
        <w:rPr>
          <w:rFonts w:ascii="Palatino Linotype" w:hAnsi="Palatino Linotype" w:cs="Arial"/>
          <w:lang w:val="es-ES" w:eastAsia="es-ES"/>
        </w:rPr>
        <w:t xml:space="preserve">s conveniente traer a contexto lo dispuesto en la Ley de la Contratación Pública del Estado de México y Municipios, la cual tiene por objeto regular los actos relativos a la planeación, programación, presupuestación, ejecución y control de </w:t>
      </w:r>
      <w:r w:rsidRPr="00B3795E">
        <w:rPr>
          <w:rFonts w:ascii="Palatino Linotype" w:hAnsi="Palatino Linotype" w:cs="Arial"/>
          <w:b/>
          <w:lang w:val="es-ES" w:eastAsia="es-ES"/>
        </w:rPr>
        <w:t xml:space="preserve">la </w:t>
      </w:r>
      <w:r w:rsidRPr="00B3795E">
        <w:rPr>
          <w:rFonts w:ascii="Palatino Linotype" w:hAnsi="Palatino Linotype" w:cs="Arial"/>
          <w:b/>
          <w:u w:val="single"/>
          <w:lang w:val="es-ES" w:eastAsia="es-ES"/>
        </w:rPr>
        <w:t>adquisición</w:t>
      </w:r>
      <w:r w:rsidRPr="00B3795E">
        <w:rPr>
          <w:rFonts w:ascii="Palatino Linotype" w:hAnsi="Palatino Linotype" w:cs="Arial"/>
          <w:lang w:val="es-ES" w:eastAsia="es-ES"/>
        </w:rPr>
        <w:t xml:space="preserve">, enajenación y </w:t>
      </w:r>
      <w:r w:rsidRPr="00B3795E">
        <w:rPr>
          <w:rFonts w:ascii="Palatino Linotype" w:hAnsi="Palatino Linotype" w:cs="Arial"/>
          <w:b/>
          <w:lang w:val="es-ES" w:eastAsia="es-ES"/>
        </w:rPr>
        <w:t xml:space="preserve">arrendamiento </w:t>
      </w:r>
      <w:r w:rsidRPr="00B3795E">
        <w:rPr>
          <w:rFonts w:ascii="Palatino Linotype" w:hAnsi="Palatino Linotype" w:cs="Arial"/>
          <w:b/>
          <w:u w:val="single"/>
          <w:lang w:val="es-ES" w:eastAsia="es-ES"/>
        </w:rPr>
        <w:t>de bienes</w:t>
      </w:r>
      <w:r w:rsidRPr="00B3795E">
        <w:rPr>
          <w:rFonts w:ascii="Palatino Linotype" w:hAnsi="Palatino Linotype" w:cs="Arial"/>
          <w:lang w:val="es-ES" w:eastAsia="es-ES"/>
        </w:rPr>
        <w:t xml:space="preserve">, </w:t>
      </w:r>
      <w:r w:rsidRPr="00B3795E">
        <w:rPr>
          <w:rFonts w:ascii="Palatino Linotype" w:hAnsi="Palatino Linotype" w:cs="Arial"/>
          <w:b/>
          <w:lang w:val="es-ES" w:eastAsia="es-ES"/>
        </w:rPr>
        <w:t xml:space="preserve">y la </w:t>
      </w:r>
      <w:r w:rsidRPr="00B3795E">
        <w:rPr>
          <w:rFonts w:ascii="Palatino Linotype" w:hAnsi="Palatino Linotype" w:cs="Arial"/>
          <w:b/>
          <w:u w:val="single"/>
          <w:lang w:val="es-ES" w:eastAsia="es-ES"/>
        </w:rPr>
        <w:t>contratación de servicios de cualquier naturaleza</w:t>
      </w:r>
      <w:r w:rsidRPr="00B3795E">
        <w:rPr>
          <w:rFonts w:ascii="Palatino Linotype" w:hAnsi="Palatino Linotype" w:cs="Arial"/>
          <w:u w:val="single"/>
          <w:lang w:val="es-ES" w:eastAsia="es-ES"/>
        </w:rPr>
        <w:t>, que realicen los Ayuntamientos del Estado</w:t>
      </w:r>
      <w:r w:rsidRPr="00B3795E">
        <w:rPr>
          <w:rFonts w:ascii="Palatino Linotype" w:hAnsi="Palatino Linotype" w:cs="Arial"/>
          <w:lang w:val="es-ES" w:eastAsia="es-ES"/>
        </w:rPr>
        <w:t xml:space="preserve">; los cuales se adjudicarán a través de </w:t>
      </w:r>
      <w:r w:rsidRPr="00B3795E">
        <w:rPr>
          <w:rFonts w:ascii="Palatino Linotype" w:hAnsi="Palatino Linotype" w:cs="Arial"/>
          <w:u w:val="single"/>
          <w:lang w:val="es-ES" w:eastAsia="es-ES"/>
        </w:rPr>
        <w:t>licitaciones públicas</w:t>
      </w:r>
      <w:r w:rsidRPr="00B3795E">
        <w:rPr>
          <w:rFonts w:ascii="Palatino Linotype" w:hAnsi="Palatino Linotype" w:cs="Arial"/>
          <w:lang w:val="es-ES" w:eastAsia="es-ES"/>
        </w:rPr>
        <w:t xml:space="preserve">, </w:t>
      </w:r>
      <w:r w:rsidRPr="00B3795E">
        <w:rPr>
          <w:rFonts w:ascii="Palatino Linotype" w:hAnsi="Palatino Linotype" w:cs="Arial"/>
          <w:lang w:val="es-ES" w:eastAsia="es-ES"/>
        </w:rPr>
        <w:lastRenderedPageBreak/>
        <w:t>i</w:t>
      </w:r>
      <w:r w:rsidRPr="00B3795E">
        <w:rPr>
          <w:rFonts w:ascii="Palatino Linotype" w:hAnsi="Palatino Linotype" w:cs="Arial"/>
          <w:u w:val="single"/>
          <w:lang w:val="es-ES" w:eastAsia="es-ES"/>
        </w:rPr>
        <w:t>nvitación restringida o adjudicación directa,</w:t>
      </w:r>
      <w:r w:rsidRPr="00B3795E">
        <w:rPr>
          <w:rFonts w:ascii="Palatino Linotype" w:hAnsi="Palatino Linotype" w:cs="Arial"/>
          <w:lang w:val="es-ES" w:eastAsia="es-ES"/>
        </w:rPr>
        <w:t xml:space="preserve"> mediante convocatoria pública, tal y como lo establecen los artículos 4, 26 y 27 de dicha Ley, los cuales son del tenor siguiente:</w:t>
      </w:r>
    </w:p>
    <w:p w14:paraId="2CD0A525" w14:textId="77777777" w:rsidR="005C45D6" w:rsidRPr="00B3795E" w:rsidRDefault="005C45D6" w:rsidP="005C45D6">
      <w:pPr>
        <w:jc w:val="both"/>
        <w:rPr>
          <w:rFonts w:ascii="Palatino Linotype" w:hAnsi="Palatino Linotype" w:cs="Arial"/>
          <w:sz w:val="20"/>
          <w:szCs w:val="20"/>
          <w:lang w:val="es-ES" w:eastAsia="es-ES"/>
        </w:rPr>
      </w:pPr>
    </w:p>
    <w:p w14:paraId="5B5C39BB" w14:textId="77777777" w:rsidR="005C45D6" w:rsidRPr="00B3795E" w:rsidRDefault="005C45D6" w:rsidP="005C45D6">
      <w:pPr>
        <w:spacing w:line="360" w:lineRule="auto"/>
        <w:ind w:left="567" w:right="822"/>
        <w:jc w:val="both"/>
        <w:rPr>
          <w:rFonts w:ascii="Palatino Linotype" w:hAnsi="Palatino Linotype" w:cs="Arial"/>
          <w:i/>
          <w:sz w:val="22"/>
          <w:szCs w:val="20"/>
          <w:lang w:val="es-ES" w:eastAsia="es-ES"/>
        </w:rPr>
      </w:pPr>
      <w:r w:rsidRPr="00B3795E">
        <w:rPr>
          <w:rFonts w:ascii="Palatino Linotype" w:hAnsi="Palatino Linotype" w:cs="Arial"/>
          <w:i/>
          <w:sz w:val="22"/>
          <w:szCs w:val="20"/>
          <w:lang w:val="es-ES" w:eastAsia="es-ES"/>
        </w:rPr>
        <w:t>“</w:t>
      </w:r>
      <w:r w:rsidRPr="00B3795E">
        <w:rPr>
          <w:rFonts w:ascii="Palatino Linotype" w:hAnsi="Palatino Linotype" w:cs="Arial"/>
          <w:b/>
          <w:i/>
          <w:sz w:val="22"/>
          <w:szCs w:val="20"/>
          <w:lang w:val="es-ES" w:eastAsia="es-ES"/>
        </w:rPr>
        <w:t>Artículo 4.-</w:t>
      </w:r>
      <w:r w:rsidRPr="00B3795E">
        <w:rPr>
          <w:rFonts w:ascii="Palatino Linotype" w:hAnsi="Palatino Linotype" w:cs="Arial"/>
          <w:i/>
          <w:sz w:val="22"/>
          <w:szCs w:val="20"/>
          <w:lang w:val="es-ES" w:eastAsia="es-ES"/>
        </w:rPr>
        <w:t xml:space="preserve"> Para los efectos de esta Ley, en las adquisiciones, enajenaciones, arrendamientos y servicios, quedan comprendidos: </w:t>
      </w:r>
    </w:p>
    <w:p w14:paraId="7C1FAB19" w14:textId="77777777" w:rsidR="005C45D6" w:rsidRPr="00B3795E" w:rsidRDefault="005C45D6" w:rsidP="005C45D6">
      <w:pPr>
        <w:spacing w:line="360" w:lineRule="auto"/>
        <w:ind w:left="567" w:right="822"/>
        <w:jc w:val="both"/>
        <w:rPr>
          <w:rFonts w:ascii="Palatino Linotype" w:hAnsi="Palatino Linotype" w:cs="Arial"/>
          <w:b/>
          <w:i/>
          <w:sz w:val="22"/>
          <w:szCs w:val="20"/>
          <w:u w:val="single"/>
          <w:lang w:val="es-ES" w:eastAsia="es-ES"/>
        </w:rPr>
      </w:pPr>
      <w:r w:rsidRPr="00B3795E">
        <w:rPr>
          <w:rFonts w:ascii="Palatino Linotype" w:hAnsi="Palatino Linotype" w:cs="Arial"/>
          <w:b/>
          <w:i/>
          <w:sz w:val="22"/>
          <w:szCs w:val="20"/>
          <w:u w:val="single"/>
          <w:lang w:val="es-ES" w:eastAsia="es-ES"/>
        </w:rPr>
        <w:t xml:space="preserve">I. La adquisición de bienes muebles. </w:t>
      </w:r>
    </w:p>
    <w:p w14:paraId="65F3DB0F" w14:textId="77777777" w:rsidR="005C45D6" w:rsidRPr="00B3795E" w:rsidRDefault="005C45D6" w:rsidP="005C45D6">
      <w:pPr>
        <w:spacing w:line="360" w:lineRule="auto"/>
        <w:ind w:left="567" w:right="822"/>
        <w:jc w:val="both"/>
        <w:rPr>
          <w:rFonts w:ascii="Palatino Linotype" w:hAnsi="Palatino Linotype" w:cs="Arial"/>
          <w:i/>
          <w:sz w:val="22"/>
          <w:szCs w:val="20"/>
          <w:lang w:val="es-ES" w:eastAsia="es-ES"/>
        </w:rPr>
      </w:pPr>
      <w:r w:rsidRPr="00B3795E">
        <w:rPr>
          <w:rFonts w:ascii="Palatino Linotype" w:hAnsi="Palatino Linotype" w:cs="Arial"/>
          <w:i/>
          <w:sz w:val="22"/>
          <w:szCs w:val="20"/>
          <w:lang w:val="es-ES" w:eastAsia="es-ES"/>
        </w:rPr>
        <w:t xml:space="preserve">II. La adquisición de bienes inmuebles, a través de compraventa. </w:t>
      </w:r>
    </w:p>
    <w:p w14:paraId="5727CDC0" w14:textId="77777777" w:rsidR="005C45D6" w:rsidRPr="00B3795E" w:rsidRDefault="005C45D6" w:rsidP="005C45D6">
      <w:pPr>
        <w:spacing w:line="360" w:lineRule="auto"/>
        <w:ind w:left="567" w:right="822"/>
        <w:jc w:val="both"/>
        <w:rPr>
          <w:rFonts w:ascii="Palatino Linotype" w:hAnsi="Palatino Linotype" w:cs="Arial"/>
          <w:i/>
          <w:sz w:val="22"/>
          <w:szCs w:val="20"/>
          <w:lang w:val="es-ES" w:eastAsia="es-ES"/>
        </w:rPr>
      </w:pPr>
      <w:r w:rsidRPr="00B3795E">
        <w:rPr>
          <w:rFonts w:ascii="Palatino Linotype" w:hAnsi="Palatino Linotype" w:cs="Arial"/>
          <w:i/>
          <w:sz w:val="22"/>
          <w:szCs w:val="20"/>
          <w:lang w:val="es-ES" w:eastAsia="es-ES"/>
        </w:rPr>
        <w:t xml:space="preserve">III. La enajenación de bienes muebles e inmuebles. </w:t>
      </w:r>
    </w:p>
    <w:p w14:paraId="2D0D2FE5" w14:textId="77777777" w:rsidR="005C45D6" w:rsidRPr="00B3795E" w:rsidRDefault="005C45D6" w:rsidP="005C45D6">
      <w:pPr>
        <w:spacing w:line="360" w:lineRule="auto"/>
        <w:ind w:left="567" w:right="822"/>
        <w:jc w:val="both"/>
        <w:rPr>
          <w:rFonts w:ascii="Palatino Linotype" w:hAnsi="Palatino Linotype" w:cs="Arial"/>
          <w:b/>
          <w:i/>
          <w:sz w:val="22"/>
          <w:szCs w:val="20"/>
          <w:u w:val="single"/>
          <w:lang w:val="es-ES" w:eastAsia="es-ES"/>
        </w:rPr>
      </w:pPr>
      <w:r w:rsidRPr="00B3795E">
        <w:rPr>
          <w:rFonts w:ascii="Palatino Linotype" w:hAnsi="Palatino Linotype" w:cs="Arial"/>
          <w:b/>
          <w:i/>
          <w:sz w:val="22"/>
          <w:szCs w:val="20"/>
          <w:u w:val="single"/>
          <w:lang w:val="es-ES" w:eastAsia="es-ES"/>
        </w:rPr>
        <w:t xml:space="preserve">IV. El arrendamiento de bienes muebles e inmuebles. </w:t>
      </w:r>
    </w:p>
    <w:p w14:paraId="6DF3224E" w14:textId="77777777" w:rsidR="005C45D6" w:rsidRPr="00B3795E" w:rsidRDefault="005C45D6" w:rsidP="005C45D6">
      <w:pPr>
        <w:spacing w:line="360" w:lineRule="auto"/>
        <w:ind w:left="567" w:right="822"/>
        <w:jc w:val="both"/>
        <w:rPr>
          <w:rFonts w:ascii="Palatino Linotype" w:hAnsi="Palatino Linotype" w:cs="Arial"/>
          <w:b/>
          <w:i/>
          <w:sz w:val="22"/>
          <w:szCs w:val="20"/>
          <w:u w:val="single"/>
          <w:lang w:val="es-ES" w:eastAsia="es-ES"/>
        </w:rPr>
      </w:pPr>
      <w:r w:rsidRPr="00B3795E">
        <w:rPr>
          <w:rFonts w:ascii="Palatino Linotype" w:hAnsi="Palatino Linotype" w:cs="Arial"/>
          <w:b/>
          <w:i/>
          <w:sz w:val="22"/>
          <w:szCs w:val="20"/>
          <w:u w:val="single"/>
          <w:lang w:val="es-ES" w:eastAsia="es-ES"/>
        </w:rPr>
        <w:t xml:space="preserve">V. La contratación de los servicios, relacionados con bienes muebles que se encuentran incorporados o adheridos a bienes inmuebles, cuya instalación o mantenimiento no implique modificación al bien inmueble. </w:t>
      </w:r>
    </w:p>
    <w:p w14:paraId="2377FA6E" w14:textId="77777777" w:rsidR="005C45D6" w:rsidRPr="00B3795E" w:rsidRDefault="005C45D6" w:rsidP="005C45D6">
      <w:pPr>
        <w:spacing w:line="360" w:lineRule="auto"/>
        <w:ind w:left="567" w:right="822"/>
        <w:jc w:val="both"/>
        <w:rPr>
          <w:rFonts w:ascii="Palatino Linotype" w:hAnsi="Palatino Linotype" w:cs="Arial"/>
          <w:i/>
          <w:sz w:val="22"/>
          <w:szCs w:val="20"/>
          <w:lang w:val="es-ES" w:eastAsia="es-ES"/>
        </w:rPr>
      </w:pPr>
      <w:r w:rsidRPr="00B3795E">
        <w:rPr>
          <w:rFonts w:ascii="Palatino Linotype" w:hAnsi="Palatino Linotype" w:cs="Arial"/>
          <w:i/>
          <w:sz w:val="22"/>
          <w:szCs w:val="20"/>
          <w:lang w:val="es-ES" w:eastAsia="es-ES"/>
        </w:rPr>
        <w:t xml:space="preserve">VI. La contratación de los servicios de reconstrucción y mantenimiento de bienes muebles. </w:t>
      </w:r>
    </w:p>
    <w:p w14:paraId="4CCF1D9C" w14:textId="77777777" w:rsidR="005C45D6" w:rsidRPr="00B3795E" w:rsidRDefault="005C45D6" w:rsidP="005C45D6">
      <w:pPr>
        <w:spacing w:line="360" w:lineRule="auto"/>
        <w:ind w:left="567" w:right="822"/>
        <w:jc w:val="both"/>
        <w:rPr>
          <w:rFonts w:ascii="Palatino Linotype" w:hAnsi="Palatino Linotype" w:cs="Arial"/>
          <w:i/>
          <w:sz w:val="22"/>
          <w:szCs w:val="20"/>
          <w:lang w:val="es-ES" w:eastAsia="es-ES"/>
        </w:rPr>
      </w:pPr>
      <w:r w:rsidRPr="00B3795E">
        <w:rPr>
          <w:rFonts w:ascii="Palatino Linotype" w:hAnsi="Palatino Linotype" w:cs="Arial"/>
          <w:b/>
          <w:i/>
          <w:sz w:val="22"/>
          <w:szCs w:val="20"/>
          <w:u w:val="single"/>
          <w:lang w:val="es-ES" w:eastAsia="es-ES"/>
        </w:rPr>
        <w:t xml:space="preserve">VII. La contratación de los servicios </w:t>
      </w:r>
      <w:r w:rsidRPr="00B3795E">
        <w:rPr>
          <w:rFonts w:ascii="Palatino Linotype" w:hAnsi="Palatino Linotype" w:cs="Arial"/>
          <w:i/>
          <w:sz w:val="22"/>
          <w:szCs w:val="20"/>
          <w:lang w:val="es-ES" w:eastAsia="es-ES"/>
        </w:rPr>
        <w:t>de maquila, seguros y transportación, así como de los de limpieza y vigilancia de bienes inmuebles</w:t>
      </w:r>
    </w:p>
    <w:p w14:paraId="40AFC6BC" w14:textId="77777777" w:rsidR="005C45D6" w:rsidRPr="00B3795E" w:rsidRDefault="005C45D6" w:rsidP="005C45D6">
      <w:pPr>
        <w:spacing w:line="360" w:lineRule="auto"/>
        <w:ind w:left="567" w:right="822"/>
        <w:jc w:val="both"/>
        <w:rPr>
          <w:rFonts w:ascii="Palatino Linotype" w:hAnsi="Palatino Linotype" w:cs="Arial"/>
          <w:i/>
          <w:sz w:val="22"/>
          <w:szCs w:val="20"/>
          <w:lang w:val="es-ES" w:eastAsia="es-ES"/>
        </w:rPr>
      </w:pPr>
      <w:r w:rsidRPr="00B3795E">
        <w:rPr>
          <w:rFonts w:ascii="Palatino Linotype" w:hAnsi="Palatino Linotype" w:cs="Arial"/>
          <w:i/>
          <w:sz w:val="22"/>
          <w:szCs w:val="20"/>
          <w:lang w:val="es-ES" w:eastAsia="es-ES"/>
        </w:rPr>
        <w:t xml:space="preserve">VIII. La prestación de servicios profesionales, la contratación de consultorías, asesorías y estudios e investigaciones, excepto la contratación de servicios personales de personas físicas bajo el régimen de honorarios. </w:t>
      </w:r>
    </w:p>
    <w:p w14:paraId="3267E4B4" w14:textId="77777777" w:rsidR="005C45D6" w:rsidRPr="00B3795E" w:rsidRDefault="005C45D6" w:rsidP="005C45D6">
      <w:pPr>
        <w:spacing w:line="360" w:lineRule="auto"/>
        <w:ind w:left="567" w:right="822"/>
        <w:jc w:val="both"/>
        <w:rPr>
          <w:rFonts w:ascii="Palatino Linotype" w:hAnsi="Palatino Linotype" w:cs="Arial"/>
          <w:b/>
          <w:i/>
          <w:sz w:val="22"/>
          <w:szCs w:val="20"/>
          <w:u w:val="single"/>
          <w:lang w:val="es-ES" w:eastAsia="es-ES"/>
        </w:rPr>
      </w:pPr>
      <w:r w:rsidRPr="00B3795E">
        <w:rPr>
          <w:rFonts w:ascii="Palatino Linotype" w:hAnsi="Palatino Linotype" w:cs="Arial"/>
          <w:b/>
          <w:i/>
          <w:sz w:val="22"/>
          <w:szCs w:val="20"/>
          <w:u w:val="single"/>
          <w:lang w:val="es-ES" w:eastAsia="es-ES"/>
        </w:rPr>
        <w:t>En general, otros actos que impliquen la contratación de servicios de cualquier naturaleza.</w:t>
      </w:r>
    </w:p>
    <w:p w14:paraId="56BD8F07" w14:textId="77777777" w:rsidR="005C45D6" w:rsidRPr="00B3795E" w:rsidRDefault="005C45D6" w:rsidP="005C45D6">
      <w:pPr>
        <w:spacing w:line="360" w:lineRule="auto"/>
        <w:ind w:left="567" w:right="822"/>
        <w:jc w:val="both"/>
        <w:rPr>
          <w:rFonts w:ascii="Palatino Linotype" w:hAnsi="Palatino Linotype" w:cs="Arial"/>
          <w:b/>
          <w:i/>
          <w:sz w:val="22"/>
          <w:szCs w:val="20"/>
          <w:lang w:val="es-ES" w:eastAsia="es-ES"/>
        </w:rPr>
      </w:pPr>
      <w:r w:rsidRPr="00B3795E">
        <w:rPr>
          <w:rFonts w:ascii="Palatino Linotype" w:hAnsi="Palatino Linotype" w:cs="Arial"/>
          <w:b/>
          <w:i/>
          <w:sz w:val="22"/>
          <w:szCs w:val="20"/>
          <w:lang w:val="es-ES" w:eastAsia="es-ES"/>
        </w:rPr>
        <w:t>Artículo 26.- Las adquisiciones, arrendamientos y servicios se adjudicarán a través de licitaciones públicas, mediante convocatoria pública.</w:t>
      </w:r>
    </w:p>
    <w:p w14:paraId="4124DDE1" w14:textId="77777777" w:rsidR="005C45D6" w:rsidRPr="00B3795E" w:rsidRDefault="005C45D6" w:rsidP="005C45D6">
      <w:pPr>
        <w:spacing w:line="360" w:lineRule="auto"/>
        <w:ind w:left="567" w:right="822"/>
        <w:jc w:val="both"/>
        <w:rPr>
          <w:rFonts w:ascii="Palatino Linotype" w:hAnsi="Palatino Linotype" w:cs="Arial"/>
          <w:b/>
          <w:i/>
          <w:sz w:val="22"/>
          <w:szCs w:val="20"/>
          <w:lang w:val="es-ES" w:eastAsia="es-ES"/>
        </w:rPr>
      </w:pPr>
    </w:p>
    <w:p w14:paraId="3E60CE84" w14:textId="77777777" w:rsidR="005C45D6" w:rsidRPr="00B3795E" w:rsidRDefault="005C45D6" w:rsidP="005C45D6">
      <w:pPr>
        <w:spacing w:line="360" w:lineRule="auto"/>
        <w:ind w:left="567" w:right="822"/>
        <w:jc w:val="both"/>
        <w:rPr>
          <w:rFonts w:ascii="Palatino Linotype" w:hAnsi="Palatino Linotype" w:cs="Arial"/>
          <w:i/>
          <w:sz w:val="22"/>
          <w:szCs w:val="20"/>
          <w:lang w:val="es-ES" w:eastAsia="es-ES"/>
        </w:rPr>
      </w:pPr>
      <w:r w:rsidRPr="00B3795E">
        <w:rPr>
          <w:rFonts w:ascii="Palatino Linotype" w:hAnsi="Palatino Linotype" w:cs="Arial"/>
          <w:b/>
          <w:i/>
          <w:sz w:val="22"/>
          <w:szCs w:val="20"/>
          <w:lang w:val="es-ES" w:eastAsia="es-ES"/>
        </w:rPr>
        <w:lastRenderedPageBreak/>
        <w:t xml:space="preserve">Artículo 27.- </w:t>
      </w:r>
      <w:r w:rsidRPr="00B3795E">
        <w:rPr>
          <w:rFonts w:ascii="Palatino Linotype" w:hAnsi="Palatino Linotype" w:cs="Arial"/>
          <w:i/>
          <w:sz w:val="22"/>
          <w:szCs w:val="20"/>
          <w:lang w:val="es-ES" w:eastAsia="es-ES"/>
        </w:rPr>
        <w:t xml:space="preserve">La Secretaría, las entidades, los tribunales administrativos y los ayuntamientos podrán adjudicar adquisiciones, arrendamientos y servicios, mediante las excepciones al procedimiento de licitación que a continuación se señalan: </w:t>
      </w:r>
    </w:p>
    <w:p w14:paraId="22DF6643" w14:textId="77777777" w:rsidR="005C45D6" w:rsidRPr="00B3795E" w:rsidRDefault="005C45D6" w:rsidP="005C45D6">
      <w:pPr>
        <w:spacing w:line="360" w:lineRule="auto"/>
        <w:ind w:left="567" w:right="822"/>
        <w:jc w:val="both"/>
        <w:rPr>
          <w:rFonts w:ascii="Palatino Linotype" w:hAnsi="Palatino Linotype" w:cs="Arial"/>
          <w:b/>
          <w:i/>
          <w:sz w:val="22"/>
          <w:szCs w:val="20"/>
          <w:lang w:val="es-ES" w:eastAsia="es-ES"/>
        </w:rPr>
      </w:pPr>
      <w:r w:rsidRPr="00B3795E">
        <w:rPr>
          <w:rFonts w:ascii="Palatino Linotype" w:hAnsi="Palatino Linotype" w:cs="Arial"/>
          <w:b/>
          <w:i/>
          <w:sz w:val="22"/>
          <w:szCs w:val="20"/>
          <w:lang w:val="es-ES" w:eastAsia="es-ES"/>
        </w:rPr>
        <w:t xml:space="preserve">I. Invitación restringida. </w:t>
      </w:r>
    </w:p>
    <w:p w14:paraId="6F62D6AD" w14:textId="77777777" w:rsidR="005C45D6" w:rsidRPr="00B3795E" w:rsidRDefault="005C45D6" w:rsidP="005C45D6">
      <w:pPr>
        <w:spacing w:line="360" w:lineRule="auto"/>
        <w:ind w:left="567" w:right="822"/>
        <w:jc w:val="both"/>
        <w:rPr>
          <w:rFonts w:ascii="Palatino Linotype" w:hAnsi="Palatino Linotype" w:cs="Arial"/>
          <w:b/>
          <w:i/>
          <w:sz w:val="22"/>
          <w:szCs w:val="20"/>
          <w:lang w:val="es-ES" w:eastAsia="es-ES"/>
        </w:rPr>
      </w:pPr>
      <w:r w:rsidRPr="00B3795E">
        <w:rPr>
          <w:rFonts w:ascii="Palatino Linotype" w:hAnsi="Palatino Linotype" w:cs="Arial"/>
          <w:b/>
          <w:i/>
          <w:sz w:val="22"/>
          <w:szCs w:val="20"/>
          <w:lang w:val="es-ES" w:eastAsia="es-ES"/>
        </w:rPr>
        <w:t>II. Adjudicación directa.”</w:t>
      </w:r>
    </w:p>
    <w:p w14:paraId="3DD2AFD9" w14:textId="77777777" w:rsidR="005C45D6" w:rsidRPr="00B3795E" w:rsidRDefault="005C45D6" w:rsidP="005C45D6">
      <w:pPr>
        <w:ind w:left="567" w:right="567"/>
        <w:jc w:val="right"/>
        <w:rPr>
          <w:rFonts w:ascii="Palatino Linotype" w:hAnsi="Palatino Linotype" w:cs="Arial"/>
          <w:i/>
          <w:sz w:val="20"/>
          <w:szCs w:val="20"/>
          <w:lang w:val="es-ES" w:eastAsia="es-ES"/>
        </w:rPr>
      </w:pPr>
      <w:r w:rsidRPr="00B3795E">
        <w:rPr>
          <w:rFonts w:ascii="Palatino Linotype" w:hAnsi="Palatino Linotype" w:cs="Arial"/>
          <w:i/>
          <w:sz w:val="20"/>
          <w:szCs w:val="20"/>
          <w:lang w:val="es-ES" w:eastAsia="es-ES"/>
        </w:rPr>
        <w:t xml:space="preserve">(Énfasis añadido) </w:t>
      </w:r>
    </w:p>
    <w:p w14:paraId="56B0DB31" w14:textId="77777777" w:rsidR="005C45D6" w:rsidRPr="00B3795E" w:rsidRDefault="005C45D6" w:rsidP="005C45D6">
      <w:pPr>
        <w:spacing w:line="360" w:lineRule="auto"/>
        <w:jc w:val="both"/>
        <w:rPr>
          <w:rFonts w:ascii="Palatino Linotype" w:hAnsi="Palatino Linotype" w:cs="Arial"/>
          <w:sz w:val="20"/>
          <w:szCs w:val="20"/>
          <w:lang w:val="es-ES" w:eastAsia="es-ES"/>
        </w:rPr>
      </w:pPr>
    </w:p>
    <w:p w14:paraId="59D5CBF4" w14:textId="77777777" w:rsidR="005C45D6" w:rsidRPr="00B3795E" w:rsidRDefault="005C45D6" w:rsidP="00804395">
      <w:pPr>
        <w:numPr>
          <w:ilvl w:val="0"/>
          <w:numId w:val="9"/>
        </w:numPr>
        <w:spacing w:line="360" w:lineRule="auto"/>
        <w:ind w:left="0" w:right="-876" w:firstLine="0"/>
        <w:jc w:val="both"/>
        <w:rPr>
          <w:rFonts w:ascii="Palatino Linotype" w:hAnsi="Palatino Linotype" w:cs="Arial"/>
          <w:lang w:val="es-ES" w:eastAsia="es-ES"/>
        </w:rPr>
      </w:pPr>
      <w:r w:rsidRPr="00B3795E">
        <w:rPr>
          <w:rFonts w:ascii="Palatino Linotype" w:hAnsi="Palatino Linotype" w:cs="Arial"/>
          <w:lang w:val="es-ES" w:eastAsia="es-ES"/>
        </w:rPr>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14:paraId="79FE31B8" w14:textId="77777777" w:rsidR="005C45D6" w:rsidRPr="00B3795E" w:rsidRDefault="005C45D6" w:rsidP="005C45D6">
      <w:pPr>
        <w:spacing w:line="360" w:lineRule="auto"/>
        <w:contextualSpacing/>
        <w:jc w:val="both"/>
        <w:rPr>
          <w:rFonts w:ascii="Palatino Linotype" w:hAnsi="Palatino Linotype" w:cs="Arial"/>
          <w:lang w:val="es-ES" w:eastAsia="es-ES"/>
        </w:rPr>
      </w:pPr>
    </w:p>
    <w:p w14:paraId="27C65722" w14:textId="77777777" w:rsidR="005C45D6" w:rsidRPr="00B3795E" w:rsidRDefault="005C45D6" w:rsidP="00804395">
      <w:pPr>
        <w:numPr>
          <w:ilvl w:val="0"/>
          <w:numId w:val="9"/>
        </w:numPr>
        <w:spacing w:line="360" w:lineRule="auto"/>
        <w:ind w:left="0" w:right="-876" w:firstLine="0"/>
        <w:jc w:val="both"/>
        <w:rPr>
          <w:rFonts w:ascii="Palatino Linotype" w:hAnsi="Palatino Linotype" w:cs="Arial"/>
          <w:lang w:val="es-ES" w:eastAsia="es-ES"/>
        </w:rPr>
      </w:pPr>
      <w:r w:rsidRPr="00B3795E">
        <w:rPr>
          <w:rFonts w:ascii="Palatino Linotype" w:hAnsi="Palatino Linotype" w:cs="Arial"/>
          <w:lang w:val="es-ES" w:eastAsia="es-ES"/>
        </w:rPr>
        <w:t xml:space="preserve">Asimismo, el artículo 33, del mismo ordenamiento legal, puntualmente señala el contenido que deberá tener la convocatoria para la celebración de las licitaciones públicas y por su parte, el consecutivo 34 señala que las bases de la licitación pública tendrán un costo de recuperación y contendrán los requisitos que se establezcan en el reglamento de dicha Ley. </w:t>
      </w:r>
    </w:p>
    <w:p w14:paraId="7F096D6B" w14:textId="77777777" w:rsidR="005C45D6" w:rsidRPr="00B3795E" w:rsidRDefault="005C45D6" w:rsidP="005C45D6">
      <w:pPr>
        <w:ind w:left="720"/>
        <w:contextualSpacing/>
        <w:rPr>
          <w:rFonts w:ascii="Palatino Linotype" w:hAnsi="Palatino Linotype" w:cs="Arial"/>
          <w:lang w:val="es-ES" w:eastAsia="es-ES"/>
        </w:rPr>
      </w:pPr>
    </w:p>
    <w:p w14:paraId="27B7994F" w14:textId="77777777" w:rsidR="005C45D6" w:rsidRPr="00B3795E" w:rsidRDefault="005C45D6" w:rsidP="00804395">
      <w:pPr>
        <w:numPr>
          <w:ilvl w:val="0"/>
          <w:numId w:val="9"/>
        </w:numPr>
        <w:spacing w:line="360" w:lineRule="auto"/>
        <w:ind w:left="0" w:right="-876" w:firstLine="0"/>
        <w:jc w:val="both"/>
        <w:rPr>
          <w:rFonts w:ascii="Palatino Linotype" w:hAnsi="Palatino Linotype" w:cs="Arial"/>
          <w:lang w:val="es-ES" w:eastAsia="es-ES"/>
        </w:rPr>
      </w:pPr>
      <w:r w:rsidRPr="00B3795E">
        <w:rPr>
          <w:rFonts w:ascii="Palatino Linotype" w:hAnsi="Palatino Linotype" w:cs="Arial"/>
          <w:lang w:val="es-ES" w:eastAsia="es-ES"/>
        </w:rPr>
        <w:t>Por lo que, en las licitaciones se debe seguir el procedimiento marcado en el artículo 35 del precitado ordenamiento, que literalmente establece:</w:t>
      </w:r>
    </w:p>
    <w:p w14:paraId="498133DB" w14:textId="77777777" w:rsidR="005C45D6" w:rsidRPr="00B3795E" w:rsidRDefault="005C45D6" w:rsidP="005C45D6">
      <w:pPr>
        <w:jc w:val="both"/>
        <w:rPr>
          <w:rFonts w:ascii="Palatino Linotype" w:hAnsi="Palatino Linotype" w:cs="Arial"/>
          <w:sz w:val="20"/>
          <w:szCs w:val="20"/>
          <w:lang w:val="es-ES" w:eastAsia="es-ES"/>
        </w:rPr>
      </w:pPr>
    </w:p>
    <w:p w14:paraId="7CAF2F52" w14:textId="77777777" w:rsidR="005C45D6" w:rsidRPr="00B3795E" w:rsidRDefault="005C45D6" w:rsidP="005C45D6">
      <w:pPr>
        <w:spacing w:line="360" w:lineRule="auto"/>
        <w:ind w:left="567" w:right="567"/>
        <w:jc w:val="both"/>
        <w:rPr>
          <w:rFonts w:ascii="Palatino Linotype" w:hAnsi="Palatino Linotype" w:cs="Arial"/>
          <w:i/>
          <w:sz w:val="22"/>
          <w:szCs w:val="20"/>
          <w:lang w:val="es-ES" w:eastAsia="es-ES"/>
        </w:rPr>
      </w:pPr>
      <w:r w:rsidRPr="00B3795E">
        <w:rPr>
          <w:rFonts w:ascii="Palatino Linotype" w:hAnsi="Palatino Linotype" w:cs="Arial"/>
          <w:b/>
          <w:i/>
          <w:sz w:val="22"/>
          <w:szCs w:val="20"/>
          <w:lang w:val="es-ES" w:eastAsia="es-ES"/>
        </w:rPr>
        <w:t>“Artículo 35</w:t>
      </w:r>
      <w:r w:rsidRPr="00B3795E">
        <w:rPr>
          <w:rFonts w:ascii="Palatino Linotype" w:hAnsi="Palatino Linotype" w:cs="Arial"/>
          <w:i/>
          <w:sz w:val="22"/>
          <w:szCs w:val="20"/>
          <w:lang w:val="es-ES" w:eastAsia="es-ES"/>
        </w:rPr>
        <w:t>.- En los procedimientos de licitación pública se observará lo siguiente:</w:t>
      </w:r>
    </w:p>
    <w:p w14:paraId="67B76A07" w14:textId="77777777" w:rsidR="005C45D6" w:rsidRPr="00B3795E" w:rsidRDefault="005C45D6" w:rsidP="005C45D6">
      <w:pPr>
        <w:spacing w:line="360" w:lineRule="auto"/>
        <w:ind w:left="567" w:right="567"/>
        <w:jc w:val="both"/>
        <w:rPr>
          <w:rFonts w:ascii="Palatino Linotype" w:hAnsi="Palatino Linotype" w:cs="Arial"/>
          <w:i/>
          <w:sz w:val="22"/>
          <w:szCs w:val="20"/>
          <w:lang w:val="es-ES" w:eastAsia="es-ES"/>
        </w:rPr>
      </w:pPr>
      <w:r w:rsidRPr="00B3795E">
        <w:rPr>
          <w:rFonts w:ascii="Palatino Linotype" w:hAnsi="Palatino Linotype" w:cs="Arial"/>
          <w:i/>
          <w:sz w:val="22"/>
          <w:szCs w:val="20"/>
          <w:lang w:val="es-ES" w:eastAsia="es-ES"/>
        </w:rPr>
        <w:t>I. El acto de presentación y apertura de propuestas se llevará a cabo por el servidor público que designe la convocante, conforme al procedimiento que se establezca en el reglamento de esta Ley.</w:t>
      </w:r>
    </w:p>
    <w:p w14:paraId="026B7786" w14:textId="77777777" w:rsidR="005C45D6" w:rsidRPr="00B3795E" w:rsidRDefault="005C45D6" w:rsidP="005C45D6">
      <w:pPr>
        <w:spacing w:line="360" w:lineRule="auto"/>
        <w:ind w:left="567" w:right="567"/>
        <w:jc w:val="both"/>
        <w:rPr>
          <w:rFonts w:ascii="Palatino Linotype" w:hAnsi="Palatino Linotype" w:cs="Arial"/>
          <w:i/>
          <w:sz w:val="22"/>
          <w:szCs w:val="20"/>
          <w:lang w:val="es-ES" w:eastAsia="es-ES"/>
        </w:rPr>
      </w:pPr>
      <w:r w:rsidRPr="00B3795E">
        <w:rPr>
          <w:rFonts w:ascii="Palatino Linotype" w:hAnsi="Palatino Linotype" w:cs="Arial"/>
          <w:i/>
          <w:sz w:val="22"/>
          <w:szCs w:val="20"/>
          <w:lang w:val="es-ES" w:eastAsia="es-ES"/>
        </w:rPr>
        <w:lastRenderedPageBreak/>
        <w:t>II. El comité de adquisiciones y servicios evaluará y analizará las propuestas técnicas y económicas presentadas por los licitantes en el ámbito de las respectivas competencias de sus integrantes, y emitirá el dictamen de adjudicación.</w:t>
      </w:r>
    </w:p>
    <w:p w14:paraId="6FD4EF26" w14:textId="77777777" w:rsidR="005C45D6" w:rsidRPr="00B3795E" w:rsidRDefault="005C45D6" w:rsidP="005C45D6">
      <w:pPr>
        <w:spacing w:line="360" w:lineRule="auto"/>
        <w:ind w:left="567" w:right="567"/>
        <w:jc w:val="both"/>
        <w:rPr>
          <w:rFonts w:ascii="Palatino Linotype" w:hAnsi="Palatino Linotype" w:cs="Arial"/>
          <w:i/>
          <w:sz w:val="22"/>
          <w:szCs w:val="20"/>
          <w:u w:val="single"/>
          <w:lang w:val="es-ES" w:eastAsia="es-ES"/>
        </w:rPr>
      </w:pPr>
      <w:r w:rsidRPr="00B3795E">
        <w:rPr>
          <w:rFonts w:ascii="Palatino Linotype" w:hAnsi="Palatino Linotype" w:cs="Arial"/>
          <w:i/>
          <w:sz w:val="22"/>
          <w:szCs w:val="20"/>
          <w:u w:val="single"/>
          <w:lang w:val="es-ES" w:eastAsia="es-ES"/>
        </w:rPr>
        <w:t xml:space="preserve">III. Las bases de licitación se pondrán a la venta a partir de la fecha de publicación de la convocatoria y hasta el día hábil anterior a la fecha de celebración </w:t>
      </w:r>
      <w:r w:rsidRPr="00B3795E">
        <w:rPr>
          <w:rFonts w:ascii="Palatino Linotype" w:hAnsi="Palatino Linotype" w:cs="Arial"/>
          <w:b/>
          <w:i/>
          <w:sz w:val="22"/>
          <w:szCs w:val="20"/>
          <w:u w:val="single"/>
          <w:lang w:val="es-ES" w:eastAsia="es-ES"/>
        </w:rPr>
        <w:t>de la junta de aclaraciones</w:t>
      </w:r>
      <w:r w:rsidRPr="00B3795E">
        <w:rPr>
          <w:rFonts w:ascii="Palatino Linotype" w:hAnsi="Palatino Linotype" w:cs="Arial"/>
          <w:i/>
          <w:sz w:val="22"/>
          <w:szCs w:val="20"/>
          <w:u w:val="single"/>
          <w:lang w:val="es-ES" w:eastAsia="es-ES"/>
        </w:rPr>
        <w:t xml:space="preserve"> o, en su defecto, del acto de presentación y apertura de propuestas.</w:t>
      </w:r>
    </w:p>
    <w:p w14:paraId="56E769BC" w14:textId="77777777" w:rsidR="005C45D6" w:rsidRPr="00B3795E" w:rsidRDefault="005C45D6" w:rsidP="005C45D6">
      <w:pPr>
        <w:spacing w:line="360" w:lineRule="auto"/>
        <w:ind w:left="567" w:right="567"/>
        <w:jc w:val="both"/>
        <w:rPr>
          <w:rFonts w:ascii="Palatino Linotype" w:hAnsi="Palatino Linotype" w:cs="Arial"/>
          <w:i/>
          <w:sz w:val="22"/>
          <w:szCs w:val="20"/>
          <w:lang w:val="es-ES" w:eastAsia="es-ES"/>
        </w:rPr>
      </w:pPr>
      <w:r w:rsidRPr="00B3795E">
        <w:rPr>
          <w:rFonts w:ascii="Palatino Linotype" w:hAnsi="Palatino Linotype" w:cs="Arial"/>
          <w:i/>
          <w:sz w:val="22"/>
          <w:szCs w:val="20"/>
          <w:lang w:val="es-ES" w:eastAsia="es-ES"/>
        </w:rPr>
        <w:t>IV. Las convocantes podrán modificar los plazos y términos establecidos en la convocatoria o en las bases de licitación, hasta cinco días hábiles anteriores a la fecha de la celebración del acto de presentación y apertura de propuestas.</w:t>
      </w:r>
    </w:p>
    <w:p w14:paraId="06D0357B" w14:textId="77777777" w:rsidR="005C45D6" w:rsidRPr="00B3795E" w:rsidRDefault="005C45D6" w:rsidP="005C45D6">
      <w:pPr>
        <w:spacing w:line="360" w:lineRule="auto"/>
        <w:ind w:left="567" w:right="567"/>
        <w:jc w:val="both"/>
        <w:rPr>
          <w:rFonts w:ascii="Palatino Linotype" w:hAnsi="Palatino Linotype" w:cs="Arial"/>
          <w:i/>
          <w:sz w:val="22"/>
          <w:szCs w:val="20"/>
          <w:lang w:val="es-ES" w:eastAsia="es-ES"/>
        </w:rPr>
      </w:pPr>
      <w:r w:rsidRPr="00B3795E">
        <w:rPr>
          <w:rFonts w:ascii="Palatino Linotype" w:hAnsi="Palatino Linotype" w:cs="Arial"/>
          <w:i/>
          <w:sz w:val="22"/>
          <w:szCs w:val="20"/>
          <w:lang w:val="es-ES" w:eastAsia="es-ES"/>
        </w:rPr>
        <w:t>V. Las modificaciones no podrán limitar el número de licitantes, sustituir o variar sustancialmente los bienes o servicios convocados originalmente, ni adicionar otros  distintos.</w:t>
      </w:r>
    </w:p>
    <w:p w14:paraId="7CA05D89" w14:textId="77777777" w:rsidR="005C45D6" w:rsidRPr="00B3795E" w:rsidRDefault="005C45D6" w:rsidP="005C45D6">
      <w:pPr>
        <w:spacing w:line="360" w:lineRule="auto"/>
        <w:ind w:left="567" w:right="567"/>
        <w:jc w:val="both"/>
        <w:rPr>
          <w:rFonts w:ascii="Palatino Linotype" w:hAnsi="Palatino Linotype" w:cs="Arial"/>
          <w:i/>
          <w:sz w:val="22"/>
          <w:szCs w:val="20"/>
          <w:lang w:val="es-ES" w:eastAsia="es-ES"/>
        </w:rPr>
      </w:pPr>
      <w:r w:rsidRPr="00B3795E">
        <w:rPr>
          <w:rFonts w:ascii="Palatino Linotype" w:hAnsi="Palatino Linotype" w:cs="Arial"/>
          <w:i/>
          <w:sz w:val="22"/>
          <w:szCs w:val="20"/>
          <w:lang w:val="es-ES" w:eastAsia="es-ES"/>
        </w:rPr>
        <w:t>VI. Las modificaciones a la convocatoria o a las bases se harán del conocimiento de los interesados hasta tres días hábiles antes de la fecha señalada para el acto de presentación y apertura de propuestas.</w:t>
      </w:r>
    </w:p>
    <w:p w14:paraId="2F315744" w14:textId="77777777" w:rsidR="005C45D6" w:rsidRPr="00B3795E" w:rsidRDefault="005C45D6" w:rsidP="005C45D6">
      <w:pPr>
        <w:spacing w:line="360" w:lineRule="auto"/>
        <w:ind w:left="567" w:right="567"/>
        <w:jc w:val="both"/>
        <w:rPr>
          <w:rFonts w:ascii="Palatino Linotype" w:hAnsi="Palatino Linotype" w:cs="Arial"/>
          <w:i/>
          <w:sz w:val="22"/>
          <w:szCs w:val="20"/>
          <w:lang w:val="es-ES" w:eastAsia="es-ES"/>
        </w:rPr>
      </w:pPr>
      <w:r w:rsidRPr="00B3795E">
        <w:rPr>
          <w:rFonts w:ascii="Palatino Linotype" w:hAnsi="Palatino Linotype" w:cs="Arial"/>
          <w:i/>
          <w:sz w:val="22"/>
          <w:szCs w:val="20"/>
          <w:lang w:val="es-ES" w:eastAsia="es-ES"/>
        </w:rPr>
        <w:t>VII. Se emitirá el fallo dentro de los 15 días hábiles siguientes a la publicación de la convocatoria.</w:t>
      </w:r>
    </w:p>
    <w:p w14:paraId="12EDA758" w14:textId="77777777" w:rsidR="005C45D6" w:rsidRPr="00B3795E" w:rsidRDefault="005C45D6" w:rsidP="005C45D6">
      <w:pPr>
        <w:spacing w:line="360" w:lineRule="auto"/>
        <w:ind w:left="567" w:right="567"/>
        <w:jc w:val="both"/>
        <w:rPr>
          <w:rFonts w:ascii="Palatino Linotype" w:hAnsi="Palatino Linotype" w:cs="Arial"/>
          <w:i/>
          <w:sz w:val="22"/>
          <w:szCs w:val="20"/>
          <w:lang w:val="es-ES" w:eastAsia="es-ES"/>
        </w:rPr>
      </w:pPr>
      <w:r w:rsidRPr="00B3795E">
        <w:rPr>
          <w:rFonts w:ascii="Palatino Linotype" w:hAnsi="Palatino Linotype" w:cs="Arial"/>
          <w:i/>
          <w:sz w:val="22"/>
          <w:szCs w:val="20"/>
          <w:lang w:val="es-ES" w:eastAsia="es-ES"/>
        </w:rPr>
        <w:t>VIII. Los licitantes se podrán registrar hasta el día y la hora fijados para el acto de presentación y apertura de propuestas.</w:t>
      </w:r>
      <w:r w:rsidRPr="00B3795E">
        <w:rPr>
          <w:rFonts w:ascii="Palatino Linotype" w:hAnsi="Palatino Linotype" w:cs="Arial"/>
          <w:b/>
          <w:i/>
          <w:sz w:val="22"/>
          <w:szCs w:val="20"/>
          <w:lang w:val="es-ES" w:eastAsia="es-ES"/>
        </w:rPr>
        <w:t>”</w:t>
      </w:r>
    </w:p>
    <w:p w14:paraId="42399410" w14:textId="77777777" w:rsidR="005C45D6" w:rsidRPr="00B3795E" w:rsidRDefault="005C45D6" w:rsidP="005C45D6">
      <w:pPr>
        <w:spacing w:line="360" w:lineRule="auto"/>
        <w:ind w:left="567" w:right="567"/>
        <w:jc w:val="right"/>
        <w:rPr>
          <w:rFonts w:ascii="Palatino Linotype" w:hAnsi="Palatino Linotype" w:cs="Arial"/>
          <w:i/>
          <w:sz w:val="22"/>
          <w:szCs w:val="20"/>
          <w:lang w:val="es-ES" w:eastAsia="es-ES"/>
        </w:rPr>
      </w:pPr>
      <w:r w:rsidRPr="00B3795E">
        <w:rPr>
          <w:rFonts w:ascii="Palatino Linotype" w:hAnsi="Palatino Linotype" w:cs="Arial"/>
          <w:i/>
          <w:sz w:val="22"/>
          <w:szCs w:val="20"/>
          <w:lang w:val="es-ES" w:eastAsia="es-ES"/>
        </w:rPr>
        <w:t>(Énfasis añadido)</w:t>
      </w:r>
    </w:p>
    <w:p w14:paraId="35F21363" w14:textId="77777777" w:rsidR="005C45D6" w:rsidRPr="00B3795E" w:rsidRDefault="005C45D6" w:rsidP="00804395">
      <w:pPr>
        <w:numPr>
          <w:ilvl w:val="0"/>
          <w:numId w:val="9"/>
        </w:numPr>
        <w:spacing w:line="360" w:lineRule="auto"/>
        <w:ind w:left="0" w:right="-876" w:firstLine="0"/>
        <w:jc w:val="both"/>
        <w:rPr>
          <w:rFonts w:ascii="Palatino Linotype" w:hAnsi="Palatino Linotype" w:cs="Arial"/>
          <w:lang w:val="es-ES" w:eastAsia="es-ES"/>
        </w:rPr>
      </w:pPr>
      <w:r w:rsidRPr="00B3795E">
        <w:rPr>
          <w:rFonts w:ascii="Palatino Linotype" w:hAnsi="Palatino Linotype" w:cs="Arial"/>
          <w:lang w:val="es-ES" w:eastAsia="es-ES"/>
        </w:rPr>
        <w:t>Del precepto legal, se desprende que al Comité de Adquisiciones y Servicios, le corresponde evaluar y analizar las propuestas técnicas y económicas presentadas por los licitantes en el ámbito de las respectivas competencias de sus integrantes, debiendo emitir para ello un dictamen de adjudicación y conforme a dicho dictamen se deberá emitir el fallo dentro de los quince días hábiles siguientes a la publicación de la convocatoria.</w:t>
      </w:r>
    </w:p>
    <w:p w14:paraId="22DE942F" w14:textId="77777777" w:rsidR="005C45D6" w:rsidRPr="00B3795E" w:rsidRDefault="005C45D6" w:rsidP="005C45D6">
      <w:pPr>
        <w:spacing w:line="360" w:lineRule="auto"/>
        <w:contextualSpacing/>
        <w:jc w:val="both"/>
        <w:rPr>
          <w:rFonts w:ascii="Palatino Linotype" w:hAnsi="Palatino Linotype" w:cs="Arial"/>
          <w:lang w:val="es-ES" w:eastAsia="es-ES"/>
        </w:rPr>
      </w:pPr>
    </w:p>
    <w:p w14:paraId="4FE79309" w14:textId="77777777" w:rsidR="005C45D6" w:rsidRPr="00B3795E" w:rsidRDefault="005C45D6" w:rsidP="00804395">
      <w:pPr>
        <w:numPr>
          <w:ilvl w:val="0"/>
          <w:numId w:val="9"/>
        </w:numPr>
        <w:spacing w:line="360" w:lineRule="auto"/>
        <w:ind w:left="0" w:right="-876" w:firstLine="0"/>
        <w:jc w:val="both"/>
        <w:rPr>
          <w:rFonts w:ascii="Palatino Linotype" w:hAnsi="Palatino Linotype" w:cs="Arial"/>
          <w:lang w:val="es-ES" w:eastAsia="es-ES"/>
        </w:rPr>
      </w:pPr>
      <w:r w:rsidRPr="00B3795E">
        <w:rPr>
          <w:rFonts w:ascii="Palatino Linotype" w:hAnsi="Palatino Linotype" w:cs="Arial"/>
          <w:lang w:val="es-ES" w:eastAsia="es-ES"/>
        </w:rPr>
        <w:t>Además, respecto al dictamen y el fallo de la adjudicación, es de señalar que la Ley en mención indica lo siguiente:</w:t>
      </w:r>
    </w:p>
    <w:p w14:paraId="02009072" w14:textId="77777777" w:rsidR="005C45D6" w:rsidRPr="00B3795E" w:rsidRDefault="005C45D6" w:rsidP="005C45D6">
      <w:pPr>
        <w:jc w:val="both"/>
        <w:rPr>
          <w:rFonts w:ascii="Palatino Linotype" w:hAnsi="Palatino Linotype" w:cs="Arial"/>
          <w:sz w:val="20"/>
          <w:szCs w:val="20"/>
          <w:lang w:val="es-ES" w:eastAsia="es-ES"/>
        </w:rPr>
      </w:pPr>
    </w:p>
    <w:p w14:paraId="6AB22686" w14:textId="77777777" w:rsidR="005C45D6" w:rsidRPr="00B3795E" w:rsidRDefault="005C45D6" w:rsidP="005C45D6">
      <w:pPr>
        <w:spacing w:line="360" w:lineRule="auto"/>
        <w:ind w:left="567" w:right="567"/>
        <w:jc w:val="both"/>
        <w:rPr>
          <w:rFonts w:ascii="Palatino Linotype" w:hAnsi="Palatino Linotype" w:cs="Arial"/>
          <w:i/>
          <w:sz w:val="22"/>
          <w:szCs w:val="20"/>
          <w:lang w:val="es-ES" w:eastAsia="es-ES"/>
        </w:rPr>
      </w:pPr>
      <w:r w:rsidRPr="00B3795E">
        <w:rPr>
          <w:rFonts w:ascii="Palatino Linotype" w:hAnsi="Palatino Linotype" w:cs="Arial"/>
          <w:b/>
          <w:i/>
          <w:sz w:val="22"/>
          <w:szCs w:val="20"/>
          <w:lang w:val="es-ES" w:eastAsia="es-ES"/>
        </w:rPr>
        <w:t>“Artículo 37.-</w:t>
      </w:r>
      <w:r w:rsidRPr="00B3795E">
        <w:rPr>
          <w:rFonts w:ascii="Palatino Linotype" w:hAnsi="Palatino Linotype" w:cs="Arial"/>
          <w:i/>
          <w:sz w:val="22"/>
          <w:szCs w:val="20"/>
          <w:lang w:val="es-ES" w:eastAsia="es-ES"/>
        </w:rPr>
        <w:t xml:space="preserve"> El comité de adquisiciones y servicios realizará el análisis y evaluación de las propuestas, mediante la verificación del cumplimiento de la información y de la documentación solicitada en las bases de la licitación y conforme al criterio establecidas en las mismas. Una vez efectuado el análisis cualitativo de las propuestas presentadas, emitirá el dictamen de adjudicación a favor del oferente u oferentes que reúnan los requisitos administrativos, financieros, legales y técnicos requeridos por la convocante; garantizando en todo momento la obtención de las mejores condiciones en cuanto a precio, calidad, financiamiento, oportunidad y demás circunstancias pertinentes.</w:t>
      </w:r>
    </w:p>
    <w:p w14:paraId="4F7CDCF7" w14:textId="77777777" w:rsidR="005C45D6" w:rsidRPr="00B3795E" w:rsidRDefault="005C45D6" w:rsidP="005C45D6">
      <w:pPr>
        <w:spacing w:line="360" w:lineRule="auto"/>
        <w:ind w:left="567" w:right="567"/>
        <w:jc w:val="both"/>
        <w:rPr>
          <w:rFonts w:ascii="Palatino Linotype" w:hAnsi="Palatino Linotype" w:cs="Arial"/>
          <w:b/>
          <w:i/>
          <w:sz w:val="22"/>
          <w:szCs w:val="20"/>
          <w:lang w:val="es-ES" w:eastAsia="es-ES"/>
        </w:rPr>
      </w:pPr>
    </w:p>
    <w:p w14:paraId="0435CAFF" w14:textId="77777777" w:rsidR="005C45D6" w:rsidRPr="00B3795E" w:rsidRDefault="005C45D6" w:rsidP="005C45D6">
      <w:pPr>
        <w:spacing w:line="360" w:lineRule="auto"/>
        <w:ind w:left="567" w:right="567"/>
        <w:jc w:val="both"/>
        <w:rPr>
          <w:rFonts w:ascii="Palatino Linotype" w:hAnsi="Palatino Linotype" w:cs="Arial"/>
          <w:i/>
          <w:sz w:val="22"/>
          <w:szCs w:val="20"/>
          <w:lang w:val="es-ES" w:eastAsia="es-ES"/>
        </w:rPr>
      </w:pPr>
      <w:r w:rsidRPr="00B3795E">
        <w:rPr>
          <w:rFonts w:ascii="Palatino Linotype" w:hAnsi="Palatino Linotype" w:cs="Arial"/>
          <w:b/>
          <w:i/>
          <w:sz w:val="22"/>
          <w:szCs w:val="20"/>
          <w:lang w:val="es-ES" w:eastAsia="es-ES"/>
        </w:rPr>
        <w:t>Artículo 38.-</w:t>
      </w:r>
      <w:r w:rsidRPr="00B3795E">
        <w:rPr>
          <w:rFonts w:ascii="Palatino Linotype" w:hAnsi="Palatino Linotype" w:cs="Arial"/>
          <w:i/>
          <w:sz w:val="22"/>
          <w:szCs w:val="20"/>
          <w:lang w:val="es-ES" w:eastAsia="es-ES"/>
        </w:rPr>
        <w:t xml:space="preserve"> La convocante emitirá el fallo con base en el dictamen de adjudicación emitido por el comité de adquisiciones y servicios, y lo dará a conocer a los licitantes en junta pública, cuya fecha se informará en el acto de presentación y apertura de proposiciones, pudiéndose diferir por una sola ocasión.</w:t>
      </w:r>
    </w:p>
    <w:p w14:paraId="1EB95542" w14:textId="77777777" w:rsidR="005C45D6" w:rsidRPr="00B3795E" w:rsidRDefault="005C45D6" w:rsidP="005C45D6">
      <w:pPr>
        <w:spacing w:line="360" w:lineRule="auto"/>
        <w:ind w:left="567" w:right="567"/>
        <w:jc w:val="both"/>
        <w:rPr>
          <w:rFonts w:ascii="Palatino Linotype" w:hAnsi="Palatino Linotype" w:cs="Arial"/>
          <w:i/>
          <w:sz w:val="22"/>
          <w:szCs w:val="20"/>
          <w:lang w:val="es-ES" w:eastAsia="es-ES"/>
        </w:rPr>
      </w:pPr>
      <w:r w:rsidRPr="00B3795E">
        <w:rPr>
          <w:rFonts w:ascii="Palatino Linotype" w:hAnsi="Palatino Linotype" w:cs="Arial"/>
          <w:i/>
          <w:sz w:val="22"/>
          <w:szCs w:val="20"/>
          <w:lang w:val="es-ES" w:eastAsia="es-ES"/>
        </w:rPr>
        <w:t>El fallo de adjudicación surtirá efectos desde la emisión, siendo responsabilidad de los licitantes enterarse de su contenido, por lo que a partir de ese momento, las obligaciones derivadas de éste serán exigibles sin perjuicio de la formalización del contrato respectivo, en los términos señalados en el fallo.</w:t>
      </w:r>
      <w:r w:rsidRPr="00B3795E">
        <w:rPr>
          <w:rFonts w:ascii="Palatino Linotype" w:hAnsi="Palatino Linotype" w:cs="Arial"/>
          <w:b/>
          <w:i/>
          <w:sz w:val="22"/>
          <w:szCs w:val="20"/>
          <w:lang w:val="es-ES" w:eastAsia="es-ES"/>
        </w:rPr>
        <w:t>”</w:t>
      </w:r>
      <w:r w:rsidRPr="00B3795E">
        <w:rPr>
          <w:rFonts w:ascii="Palatino Linotype" w:hAnsi="Palatino Linotype" w:cs="Arial"/>
          <w:i/>
          <w:sz w:val="22"/>
          <w:szCs w:val="20"/>
          <w:lang w:val="es-ES" w:eastAsia="es-ES"/>
        </w:rPr>
        <w:t xml:space="preserve"> </w:t>
      </w:r>
    </w:p>
    <w:p w14:paraId="4708766E" w14:textId="77777777" w:rsidR="005C45D6" w:rsidRPr="00B3795E" w:rsidRDefault="005C45D6" w:rsidP="005C45D6">
      <w:pPr>
        <w:spacing w:line="360" w:lineRule="auto"/>
        <w:ind w:left="567" w:right="567"/>
        <w:jc w:val="both"/>
        <w:rPr>
          <w:rFonts w:ascii="Palatino Linotype" w:hAnsi="Palatino Linotype" w:cs="Arial"/>
          <w:i/>
          <w:sz w:val="22"/>
          <w:szCs w:val="20"/>
          <w:lang w:val="es-ES" w:eastAsia="es-ES"/>
        </w:rPr>
      </w:pPr>
    </w:p>
    <w:p w14:paraId="2AB42F4E" w14:textId="77777777" w:rsidR="005C45D6" w:rsidRPr="00B3795E" w:rsidRDefault="005C45D6" w:rsidP="00804395">
      <w:pPr>
        <w:numPr>
          <w:ilvl w:val="0"/>
          <w:numId w:val="9"/>
        </w:numPr>
        <w:spacing w:line="360" w:lineRule="auto"/>
        <w:ind w:left="0" w:right="-876" w:firstLine="0"/>
        <w:jc w:val="both"/>
        <w:rPr>
          <w:rFonts w:ascii="Palatino Linotype" w:hAnsi="Palatino Linotype" w:cs="Arial"/>
          <w:lang w:val="es-ES" w:eastAsia="es-ES"/>
        </w:rPr>
      </w:pPr>
      <w:r w:rsidRPr="00B3795E">
        <w:rPr>
          <w:rFonts w:ascii="Palatino Linotype" w:hAnsi="Palatino Linotype" w:cs="Arial"/>
          <w:lang w:val="es-ES" w:eastAsia="es-ES"/>
        </w:rPr>
        <w:t xml:space="preserve">Ahora bien, por cuanto hace a la invitación restringida el artículo 44 de la Ley de la Contratación Pública del Estado de México y Municipios, dispone que podrá realizarse cuando se hubiere declarado desierto un procedimiento de licitación o cuando el importe de la </w:t>
      </w:r>
      <w:r w:rsidRPr="00B3795E">
        <w:rPr>
          <w:rFonts w:ascii="Palatino Linotype" w:hAnsi="Palatino Linotype" w:cs="Arial"/>
          <w:lang w:val="es-ES" w:eastAsia="es-ES"/>
        </w:rPr>
        <w:lastRenderedPageBreak/>
        <w:t xml:space="preserve">operación no exceda de los montos establecidos por el Presupuesto de Egresos del Gobierno del Estado de México del ejercicio correspondiente. </w:t>
      </w:r>
    </w:p>
    <w:p w14:paraId="5D8798E7" w14:textId="77777777" w:rsidR="005C45D6" w:rsidRPr="00B3795E" w:rsidRDefault="005C45D6" w:rsidP="005C45D6">
      <w:pPr>
        <w:spacing w:line="360" w:lineRule="auto"/>
        <w:contextualSpacing/>
        <w:jc w:val="both"/>
        <w:rPr>
          <w:rFonts w:ascii="Palatino Linotype" w:hAnsi="Palatino Linotype" w:cs="Arial"/>
          <w:lang w:val="es-ES" w:eastAsia="es-ES"/>
        </w:rPr>
      </w:pPr>
    </w:p>
    <w:p w14:paraId="3601C064" w14:textId="77777777" w:rsidR="005C45D6" w:rsidRPr="00B3795E" w:rsidRDefault="005C45D6" w:rsidP="00804395">
      <w:pPr>
        <w:numPr>
          <w:ilvl w:val="0"/>
          <w:numId w:val="9"/>
        </w:numPr>
        <w:spacing w:line="360" w:lineRule="auto"/>
        <w:ind w:left="0" w:right="-876" w:firstLine="0"/>
        <w:jc w:val="both"/>
        <w:rPr>
          <w:rFonts w:ascii="Palatino Linotype" w:hAnsi="Palatino Linotype" w:cs="Arial"/>
          <w:lang w:val="es-ES" w:eastAsia="es-ES"/>
        </w:rPr>
      </w:pPr>
      <w:r w:rsidRPr="00B3795E">
        <w:rPr>
          <w:rFonts w:ascii="Palatino Linotype" w:hAnsi="Palatino Linotype" w:cs="Arial"/>
          <w:lang w:val="es-ES" w:eastAsia="es-ES"/>
        </w:rPr>
        <w:t>Además, es oportuno señalar que, las disposiciones respecto a las bases, dictámenes, fallos y fianzas, se realizan con similitud al procedimiento de licitación pública, tal como lo señalan los artículos 46 y 90 de la misma Ley, que literalmente establecen:</w:t>
      </w:r>
    </w:p>
    <w:p w14:paraId="7C3E9A6F" w14:textId="77777777" w:rsidR="005C45D6" w:rsidRPr="00B3795E" w:rsidRDefault="005C45D6" w:rsidP="005C45D6">
      <w:pPr>
        <w:spacing w:line="360" w:lineRule="auto"/>
        <w:jc w:val="both"/>
        <w:rPr>
          <w:rFonts w:ascii="Palatino Linotype" w:hAnsi="Palatino Linotype" w:cs="Arial"/>
          <w:sz w:val="20"/>
          <w:szCs w:val="20"/>
          <w:lang w:val="es-ES" w:eastAsia="es-ES"/>
        </w:rPr>
      </w:pPr>
    </w:p>
    <w:p w14:paraId="08B799ED" w14:textId="77777777" w:rsidR="005C45D6" w:rsidRPr="00B3795E" w:rsidRDefault="005C45D6" w:rsidP="005C45D6">
      <w:pPr>
        <w:spacing w:line="360" w:lineRule="auto"/>
        <w:ind w:left="567" w:right="822"/>
        <w:jc w:val="both"/>
        <w:rPr>
          <w:rFonts w:ascii="Palatino Linotype" w:hAnsi="Palatino Linotype" w:cs="Arial"/>
          <w:i/>
          <w:sz w:val="22"/>
          <w:szCs w:val="20"/>
          <w:lang w:val="es-ES" w:eastAsia="es-ES"/>
        </w:rPr>
      </w:pPr>
      <w:r w:rsidRPr="00B3795E">
        <w:rPr>
          <w:rFonts w:ascii="Palatino Linotype" w:hAnsi="Palatino Linotype" w:cs="Arial"/>
          <w:b/>
          <w:i/>
          <w:sz w:val="22"/>
          <w:szCs w:val="20"/>
          <w:lang w:val="es-ES" w:eastAsia="es-ES"/>
        </w:rPr>
        <w:t>“Artículo 46.-</w:t>
      </w:r>
      <w:r w:rsidRPr="00B3795E">
        <w:rPr>
          <w:rFonts w:ascii="Palatino Linotype" w:hAnsi="Palatino Linotype" w:cs="Arial"/>
          <w:i/>
          <w:sz w:val="22"/>
          <w:szCs w:val="20"/>
          <w:lang w:val="es-ES" w:eastAsia="es-ES"/>
        </w:rPr>
        <w:t xml:space="preserve"> El procedimiento de invitación restringida se desarrollará en los términos de la licitación pública, a excepción de la publicación de la convocatoria.” (Sic)</w:t>
      </w:r>
    </w:p>
    <w:p w14:paraId="0698C77B" w14:textId="77777777" w:rsidR="005C45D6" w:rsidRPr="00B3795E" w:rsidRDefault="005C45D6" w:rsidP="005C45D6">
      <w:pPr>
        <w:spacing w:line="360" w:lineRule="auto"/>
        <w:ind w:left="567" w:right="822"/>
        <w:jc w:val="both"/>
        <w:rPr>
          <w:rFonts w:ascii="Palatino Linotype" w:hAnsi="Palatino Linotype" w:cs="Arial"/>
          <w:i/>
          <w:sz w:val="22"/>
          <w:szCs w:val="20"/>
          <w:lang w:val="es-ES" w:eastAsia="es-ES"/>
        </w:rPr>
      </w:pPr>
      <w:r w:rsidRPr="00B3795E">
        <w:rPr>
          <w:rFonts w:ascii="Palatino Linotype" w:hAnsi="Palatino Linotype" w:cs="Arial"/>
          <w:i/>
          <w:sz w:val="22"/>
          <w:szCs w:val="20"/>
          <w:lang w:val="es-ES" w:eastAsia="es-ES"/>
        </w:rPr>
        <w:t>Por ello, el Reglamento de la Ley en comento, en su artículo 90, indica cuales lo son los supuestos que deberán observarse para llevar a cabo dicho procedimiento:</w:t>
      </w:r>
    </w:p>
    <w:p w14:paraId="2E297DDF" w14:textId="77777777" w:rsidR="005C45D6" w:rsidRPr="00B3795E" w:rsidRDefault="005C45D6" w:rsidP="005C45D6">
      <w:pPr>
        <w:spacing w:line="360" w:lineRule="auto"/>
        <w:ind w:left="567" w:right="822"/>
        <w:jc w:val="both"/>
        <w:rPr>
          <w:rFonts w:ascii="Palatino Linotype" w:hAnsi="Palatino Linotype" w:cs="Arial"/>
          <w:b/>
          <w:i/>
          <w:sz w:val="22"/>
          <w:szCs w:val="20"/>
          <w:lang w:val="es-ES" w:eastAsia="es-ES"/>
        </w:rPr>
      </w:pPr>
    </w:p>
    <w:p w14:paraId="08CE92BB" w14:textId="77777777" w:rsidR="005C45D6" w:rsidRPr="00B3795E" w:rsidRDefault="005C45D6" w:rsidP="005C45D6">
      <w:pPr>
        <w:spacing w:line="360" w:lineRule="auto"/>
        <w:ind w:left="567" w:right="822"/>
        <w:jc w:val="both"/>
        <w:rPr>
          <w:rFonts w:ascii="Palatino Linotype" w:hAnsi="Palatino Linotype" w:cs="Arial"/>
          <w:i/>
          <w:sz w:val="22"/>
          <w:szCs w:val="20"/>
          <w:lang w:val="es-ES" w:eastAsia="es-ES"/>
        </w:rPr>
      </w:pPr>
      <w:r w:rsidRPr="00B3795E">
        <w:rPr>
          <w:rFonts w:ascii="Palatino Linotype" w:hAnsi="Palatino Linotype" w:cs="Arial"/>
          <w:b/>
          <w:i/>
          <w:sz w:val="22"/>
          <w:szCs w:val="20"/>
          <w:lang w:val="es-ES" w:eastAsia="es-ES"/>
        </w:rPr>
        <w:t>Artículo 90.-</w:t>
      </w:r>
      <w:r w:rsidRPr="00B3795E">
        <w:rPr>
          <w:rFonts w:ascii="Palatino Linotype" w:hAnsi="Palatino Linotype" w:cs="Arial"/>
          <w:i/>
          <w:sz w:val="22"/>
          <w:szCs w:val="20"/>
          <w:lang w:val="es-ES" w:eastAsia="es-ES"/>
        </w:rPr>
        <w:t xml:space="preserve"> En el procedimiento de invitación restringida se deberá observar lo siguiente:</w:t>
      </w:r>
    </w:p>
    <w:p w14:paraId="77DFC4AE" w14:textId="77777777" w:rsidR="005C45D6" w:rsidRPr="00B3795E" w:rsidRDefault="005C45D6" w:rsidP="005C45D6">
      <w:pPr>
        <w:spacing w:line="360" w:lineRule="auto"/>
        <w:ind w:left="567" w:right="822"/>
        <w:jc w:val="both"/>
        <w:rPr>
          <w:rFonts w:ascii="Palatino Linotype" w:hAnsi="Palatino Linotype" w:cs="Arial"/>
          <w:i/>
          <w:sz w:val="22"/>
          <w:szCs w:val="20"/>
          <w:lang w:val="es-ES" w:eastAsia="es-ES"/>
        </w:rPr>
      </w:pPr>
    </w:p>
    <w:p w14:paraId="5E89429E" w14:textId="77777777" w:rsidR="005C45D6" w:rsidRPr="00B3795E" w:rsidRDefault="005C45D6" w:rsidP="005C45D6">
      <w:pPr>
        <w:spacing w:line="360" w:lineRule="auto"/>
        <w:ind w:left="567" w:right="822"/>
        <w:jc w:val="both"/>
        <w:rPr>
          <w:rFonts w:ascii="Palatino Linotype" w:hAnsi="Palatino Linotype" w:cs="Arial"/>
          <w:i/>
          <w:sz w:val="22"/>
          <w:szCs w:val="20"/>
          <w:lang w:val="es-ES" w:eastAsia="es-ES"/>
        </w:rPr>
      </w:pPr>
      <w:r w:rsidRPr="00B3795E">
        <w:rPr>
          <w:rFonts w:ascii="Palatino Linotype" w:hAnsi="Palatino Linotype" w:cs="Arial"/>
          <w:i/>
          <w:sz w:val="22"/>
          <w:szCs w:val="20"/>
          <w:lang w:val="es-ES" w:eastAsia="es-ES"/>
        </w:rPr>
        <w:t>I. Se invitará a un mínimo de tres personas seleccionadas de entre las que se encuentren inscritas en el catálogo de proveedores y de prestadores de servicios.</w:t>
      </w:r>
    </w:p>
    <w:p w14:paraId="52CD8788" w14:textId="77777777" w:rsidR="005C45D6" w:rsidRPr="00B3795E" w:rsidRDefault="005C45D6" w:rsidP="005C45D6">
      <w:pPr>
        <w:spacing w:line="360" w:lineRule="auto"/>
        <w:ind w:left="567" w:right="822"/>
        <w:jc w:val="both"/>
        <w:rPr>
          <w:rFonts w:ascii="Palatino Linotype" w:hAnsi="Palatino Linotype" w:cs="Arial"/>
          <w:i/>
          <w:sz w:val="22"/>
          <w:szCs w:val="20"/>
          <w:lang w:val="es-ES" w:eastAsia="es-ES"/>
        </w:rPr>
      </w:pPr>
      <w:r w:rsidRPr="00B3795E">
        <w:rPr>
          <w:rFonts w:ascii="Palatino Linotype" w:hAnsi="Palatino Linotype" w:cs="Arial"/>
          <w:i/>
          <w:sz w:val="22"/>
          <w:szCs w:val="20"/>
          <w:lang w:val="es-ES" w:eastAsia="es-ES"/>
        </w:rPr>
        <w:t>Se podrá invitar a personas que no se encuentren inscritas, cuando en el giro correspondiente del catálogo de proveedores y prestadores de servicios no exista el registro mínimo de personas requeridas para tal modalidad;</w:t>
      </w:r>
    </w:p>
    <w:p w14:paraId="31D547F8" w14:textId="77777777" w:rsidR="005C45D6" w:rsidRPr="00B3795E" w:rsidRDefault="005C45D6" w:rsidP="005C45D6">
      <w:pPr>
        <w:spacing w:line="360" w:lineRule="auto"/>
        <w:ind w:left="567" w:right="822"/>
        <w:jc w:val="both"/>
        <w:rPr>
          <w:rFonts w:ascii="Palatino Linotype" w:hAnsi="Palatino Linotype" w:cs="Arial"/>
          <w:i/>
          <w:sz w:val="22"/>
          <w:szCs w:val="20"/>
          <w:lang w:val="es-ES" w:eastAsia="es-ES"/>
        </w:rPr>
      </w:pPr>
      <w:r w:rsidRPr="00B3795E">
        <w:rPr>
          <w:rFonts w:ascii="Palatino Linotype" w:hAnsi="Palatino Linotype" w:cs="Arial"/>
          <w:i/>
          <w:sz w:val="22"/>
          <w:szCs w:val="20"/>
          <w:lang w:val="es-ES" w:eastAsia="es-ES"/>
        </w:rPr>
        <w:t>II. Las bases de la invitación restringida indicarán los aspectos de la adquisición o contratación; y</w:t>
      </w:r>
    </w:p>
    <w:p w14:paraId="5E36CD95" w14:textId="77777777" w:rsidR="005C45D6" w:rsidRPr="00B3795E" w:rsidRDefault="005C45D6" w:rsidP="005C45D6">
      <w:pPr>
        <w:spacing w:line="360" w:lineRule="auto"/>
        <w:ind w:left="567" w:right="822"/>
        <w:jc w:val="both"/>
        <w:rPr>
          <w:rFonts w:ascii="Palatino Linotype" w:hAnsi="Palatino Linotype" w:cs="Arial"/>
          <w:b/>
          <w:i/>
          <w:sz w:val="22"/>
          <w:szCs w:val="20"/>
          <w:lang w:val="es-ES" w:eastAsia="es-ES"/>
        </w:rPr>
      </w:pPr>
      <w:r w:rsidRPr="00B3795E">
        <w:rPr>
          <w:rFonts w:ascii="Palatino Linotype" w:hAnsi="Palatino Linotype" w:cs="Arial"/>
          <w:i/>
          <w:sz w:val="22"/>
          <w:szCs w:val="20"/>
          <w:lang w:val="es-ES" w:eastAsia="es-ES"/>
        </w:rPr>
        <w:t>III. Serán aplicables, en lo conducente, las disposiciones de la licitación pública.</w:t>
      </w:r>
      <w:r w:rsidRPr="00B3795E">
        <w:rPr>
          <w:rFonts w:ascii="Palatino Linotype" w:hAnsi="Palatino Linotype" w:cs="Arial"/>
          <w:b/>
          <w:i/>
          <w:sz w:val="22"/>
          <w:szCs w:val="20"/>
          <w:lang w:val="es-ES" w:eastAsia="es-ES"/>
        </w:rPr>
        <w:t>”</w:t>
      </w:r>
    </w:p>
    <w:p w14:paraId="7779BAD2" w14:textId="77777777" w:rsidR="005C45D6" w:rsidRPr="00B3795E" w:rsidRDefault="005C45D6" w:rsidP="005C45D6">
      <w:pPr>
        <w:spacing w:line="360" w:lineRule="auto"/>
        <w:ind w:left="709" w:right="822"/>
        <w:jc w:val="both"/>
        <w:rPr>
          <w:rFonts w:ascii="Palatino Linotype" w:hAnsi="Palatino Linotype" w:cs="Arial"/>
          <w:i/>
          <w:sz w:val="22"/>
          <w:szCs w:val="20"/>
          <w:lang w:val="es-ES" w:eastAsia="es-ES"/>
        </w:rPr>
      </w:pPr>
    </w:p>
    <w:p w14:paraId="1401077F" w14:textId="77777777" w:rsidR="005C45D6" w:rsidRPr="00B3795E" w:rsidRDefault="005C45D6" w:rsidP="00804395">
      <w:pPr>
        <w:numPr>
          <w:ilvl w:val="0"/>
          <w:numId w:val="9"/>
        </w:numPr>
        <w:spacing w:line="360" w:lineRule="auto"/>
        <w:ind w:left="0" w:right="-876" w:firstLine="0"/>
        <w:jc w:val="both"/>
        <w:rPr>
          <w:rFonts w:ascii="Palatino Linotype" w:hAnsi="Palatino Linotype" w:cs="Arial"/>
          <w:lang w:val="es-ES" w:eastAsia="es-ES"/>
        </w:rPr>
      </w:pPr>
      <w:r w:rsidRPr="00B3795E">
        <w:rPr>
          <w:rFonts w:ascii="Palatino Linotype" w:hAnsi="Palatino Linotype" w:cs="Arial"/>
          <w:lang w:val="es-ES" w:eastAsia="es-ES"/>
        </w:rPr>
        <w:lastRenderedPageBreak/>
        <w:t>En conclusión, referente a este punto cuando los procedimientos de adquisición o prestación de servicios materia de la Ley en cita, se hubieran llevado a cabo mediante invitación restringida, por cada procedimiento se debe contar con las bases, dictámenes, fallos y en su caso, fianzas, de haber sido esta la garantía exhibida.</w:t>
      </w:r>
    </w:p>
    <w:p w14:paraId="06895AB2" w14:textId="77777777" w:rsidR="005C45D6" w:rsidRPr="00B3795E" w:rsidRDefault="005C45D6" w:rsidP="005C45D6">
      <w:pPr>
        <w:spacing w:line="360" w:lineRule="auto"/>
        <w:contextualSpacing/>
        <w:jc w:val="both"/>
        <w:rPr>
          <w:rFonts w:ascii="Palatino Linotype" w:hAnsi="Palatino Linotype" w:cs="Arial"/>
          <w:lang w:val="es-ES" w:eastAsia="es-ES"/>
        </w:rPr>
      </w:pPr>
    </w:p>
    <w:p w14:paraId="5E69240C" w14:textId="77777777" w:rsidR="005C45D6" w:rsidRPr="00B3795E" w:rsidRDefault="005C45D6" w:rsidP="00804395">
      <w:pPr>
        <w:numPr>
          <w:ilvl w:val="0"/>
          <w:numId w:val="9"/>
        </w:numPr>
        <w:spacing w:line="360" w:lineRule="auto"/>
        <w:ind w:left="0" w:right="-876" w:firstLine="0"/>
        <w:jc w:val="both"/>
        <w:rPr>
          <w:rFonts w:ascii="Palatino Linotype" w:hAnsi="Palatino Linotype" w:cs="Arial"/>
          <w:lang w:val="es-ES" w:eastAsia="es-ES"/>
        </w:rPr>
      </w:pPr>
      <w:r w:rsidRPr="00B3795E">
        <w:rPr>
          <w:rFonts w:ascii="Palatino Linotype" w:hAnsi="Palatino Linotype" w:cs="Arial"/>
          <w:lang w:val="es-ES" w:eastAsia="es-ES"/>
        </w:rPr>
        <w:t>Por último, y en cuanto hace a la adjudicación directa, el artículo 48 de la Ley de la Contratación Pública del Estado de México y Municipios y 91 del Reglamento de dicha Ley, indican en qué supuestos puede llevarse a cabo este procedimiento.</w:t>
      </w:r>
    </w:p>
    <w:p w14:paraId="0298C1D8" w14:textId="77777777" w:rsidR="005C45D6" w:rsidRPr="00B3795E" w:rsidRDefault="005C45D6" w:rsidP="005C45D6">
      <w:pPr>
        <w:ind w:left="720"/>
        <w:contextualSpacing/>
        <w:rPr>
          <w:rFonts w:ascii="Palatino Linotype" w:hAnsi="Palatino Linotype" w:cs="Arial"/>
          <w:lang w:val="es-ES" w:eastAsia="es-ES"/>
        </w:rPr>
      </w:pPr>
    </w:p>
    <w:p w14:paraId="39513B02" w14:textId="77777777" w:rsidR="005C45D6" w:rsidRPr="00B3795E" w:rsidRDefault="005C45D6" w:rsidP="00804395">
      <w:pPr>
        <w:numPr>
          <w:ilvl w:val="0"/>
          <w:numId w:val="9"/>
        </w:numPr>
        <w:spacing w:line="360" w:lineRule="auto"/>
        <w:ind w:left="0" w:right="-876" w:firstLine="0"/>
        <w:jc w:val="both"/>
        <w:rPr>
          <w:rFonts w:ascii="Palatino Linotype" w:hAnsi="Palatino Linotype" w:cs="Arial"/>
          <w:lang w:val="es-ES" w:eastAsia="es-ES"/>
        </w:rPr>
      </w:pPr>
      <w:r w:rsidRPr="00B3795E">
        <w:rPr>
          <w:rFonts w:ascii="Palatino Linotype" w:hAnsi="Palatino Linotype" w:cs="Arial"/>
          <w:lang w:val="es-ES" w:eastAsia="es-ES"/>
        </w:rPr>
        <w:t>En este sentido, el convocante debe solicitar a su comité el dictamen correspondiente del procedimiento de adjudicación directa, en el que se acredite previamente la descripción general de los bienes a adquirir; la justificación o conveniencia de llevar a cabo la adjudicación directa; y la certificación de suficiencia presupuestaria.</w:t>
      </w:r>
    </w:p>
    <w:p w14:paraId="7C5196C3" w14:textId="77777777" w:rsidR="005C45D6" w:rsidRPr="00B3795E" w:rsidRDefault="005C45D6" w:rsidP="005C45D6">
      <w:pPr>
        <w:ind w:left="720"/>
        <w:contextualSpacing/>
        <w:rPr>
          <w:rFonts w:ascii="Palatino Linotype" w:hAnsi="Palatino Linotype" w:cs="Arial"/>
          <w:lang w:val="es-ES" w:eastAsia="es-ES"/>
        </w:rPr>
      </w:pPr>
    </w:p>
    <w:p w14:paraId="6111C248" w14:textId="77777777" w:rsidR="005C45D6" w:rsidRPr="00B3795E" w:rsidRDefault="005C45D6" w:rsidP="00804395">
      <w:pPr>
        <w:numPr>
          <w:ilvl w:val="0"/>
          <w:numId w:val="9"/>
        </w:numPr>
        <w:spacing w:line="360" w:lineRule="auto"/>
        <w:ind w:left="0" w:right="-876" w:firstLine="0"/>
        <w:jc w:val="both"/>
        <w:rPr>
          <w:rFonts w:ascii="Palatino Linotype" w:hAnsi="Palatino Linotype" w:cs="Arial"/>
          <w:lang w:eastAsia="es-ES"/>
        </w:rPr>
      </w:pPr>
      <w:r w:rsidRPr="00B3795E">
        <w:rPr>
          <w:rFonts w:ascii="Palatino Linotype" w:hAnsi="Palatino Linotype"/>
          <w:lang w:val="es-ES" w:eastAsia="es-ES"/>
        </w:rPr>
        <w:t xml:space="preserve">En este sentido, </w:t>
      </w:r>
      <w:r w:rsidRPr="00B3795E">
        <w:rPr>
          <w:rFonts w:ascii="Palatino Linotype" w:hAnsi="Palatino Linotype" w:cs="Arial"/>
          <w:lang w:val="es-ES" w:eastAsia="es-ES"/>
        </w:rPr>
        <w:t xml:space="preserve">debe decirse que los </w:t>
      </w:r>
      <w:r w:rsidRPr="00B3795E">
        <w:rPr>
          <w:rFonts w:ascii="Palatino Linotype" w:hAnsi="Palatino Linotype" w:cs="Arial"/>
          <w:b/>
          <w:bCs/>
          <w:u w:val="single"/>
          <w:lang w:val="es-ES" w:eastAsia="es-ES"/>
        </w:rPr>
        <w:t>expedientes de las adquisiciones, arrendamientos, enajenaciones y servicios</w:t>
      </w:r>
      <w:r w:rsidRPr="00B3795E">
        <w:rPr>
          <w:rFonts w:ascii="Palatino Linotype" w:hAnsi="Palatino Linotype" w:cs="Arial"/>
          <w:lang w:val="es-ES" w:eastAsia="es-ES"/>
        </w:rPr>
        <w:t xml:space="preserve">, </w:t>
      </w:r>
      <w:r w:rsidRPr="00B3795E">
        <w:rPr>
          <w:rFonts w:ascii="Palatino Linotype" w:hAnsi="Palatino Linotype" w:cs="Arial"/>
          <w:lang w:eastAsia="es-ES"/>
        </w:rPr>
        <w:t>se encuentra considerada como una de las obligaciones de transparencias comunes que l</w:t>
      </w:r>
      <w:r w:rsidRPr="00B3795E">
        <w:rPr>
          <w:rFonts w:ascii="Palatino Linotype" w:hAnsi="Palatino Linotype"/>
          <w:lang w:eastAsia="es-ES"/>
        </w:rPr>
        <w:t xml:space="preserve">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w:t>
      </w:r>
      <w:r w:rsidRPr="00B3795E">
        <w:rPr>
          <w:rFonts w:ascii="Palatino Linotype" w:hAnsi="Palatino Linotype" w:cs="Arial"/>
          <w:color w:val="000000"/>
          <w:lang w:eastAsia="es-ES"/>
        </w:rPr>
        <w:t xml:space="preserve">el </w:t>
      </w:r>
      <w:r w:rsidRPr="00B3795E">
        <w:rPr>
          <w:rFonts w:ascii="Palatino Linotype" w:hAnsi="Palatino Linotype" w:cs="Arial"/>
          <w:lang w:eastAsia="es-ES"/>
        </w:rPr>
        <w:t>artículo 92 de la de la Ley de Transparencia y Acceso a la Información Pública del Estado de México y Municipios, en su fracción XXIX, dispone lo siguiente:</w:t>
      </w:r>
    </w:p>
    <w:p w14:paraId="01571F59" w14:textId="77777777" w:rsidR="005C45D6" w:rsidRPr="00B3795E" w:rsidRDefault="005C45D6" w:rsidP="005C45D6">
      <w:pPr>
        <w:jc w:val="both"/>
        <w:rPr>
          <w:rFonts w:ascii="Palatino Linotype" w:hAnsi="Palatino Linotype" w:cs="Arial"/>
          <w:sz w:val="20"/>
          <w:szCs w:val="20"/>
          <w:lang w:eastAsia="es-ES"/>
        </w:rPr>
      </w:pPr>
    </w:p>
    <w:p w14:paraId="065A4EFC" w14:textId="77777777" w:rsidR="005C45D6" w:rsidRPr="00B3795E" w:rsidRDefault="005C45D6" w:rsidP="005C45D6">
      <w:pPr>
        <w:spacing w:line="360" w:lineRule="auto"/>
        <w:ind w:left="567" w:right="822"/>
        <w:jc w:val="both"/>
        <w:rPr>
          <w:rFonts w:ascii="Palatino Linotype" w:hAnsi="Palatino Linotype" w:cs="Arial"/>
          <w:sz w:val="22"/>
          <w:szCs w:val="20"/>
          <w:lang w:val="es-ES" w:eastAsia="es-ES"/>
        </w:rPr>
      </w:pPr>
      <w:r w:rsidRPr="00B3795E">
        <w:rPr>
          <w:rFonts w:ascii="Palatino Linotype" w:hAnsi="Palatino Linotype" w:cs="Arial"/>
          <w:b/>
          <w:bCs/>
          <w:i/>
          <w:iCs/>
          <w:sz w:val="22"/>
          <w:szCs w:val="20"/>
          <w:lang w:val="es-ES" w:eastAsia="es-ES"/>
        </w:rPr>
        <w:t>“Artículo 92. </w:t>
      </w:r>
      <w:r w:rsidRPr="00B3795E">
        <w:rPr>
          <w:rFonts w:ascii="Palatino Linotype" w:hAnsi="Palatino Linotype" w:cs="Arial"/>
          <w:i/>
          <w:iCs/>
          <w:sz w:val="22"/>
          <w:szCs w:val="20"/>
          <w:lang w:val="es-ES" w:eastAsia="es-ES"/>
        </w:rPr>
        <w:t xml:space="preserve">Los sujetos obligados deberán poner a disposición del público de manera permanente y actualizada de forma sencilla, precisa y entendible, en los </w:t>
      </w:r>
      <w:r w:rsidRPr="00B3795E">
        <w:rPr>
          <w:rFonts w:ascii="Palatino Linotype" w:hAnsi="Palatino Linotype" w:cs="Arial"/>
          <w:i/>
          <w:iCs/>
          <w:sz w:val="22"/>
          <w:szCs w:val="20"/>
          <w:lang w:val="es-ES" w:eastAsia="es-ES"/>
        </w:rPr>
        <w:lastRenderedPageBreak/>
        <w:t>respectivos medios electrónicos, de acuerdo con sus facultades, atribuciones, funciones u objeto social, según corresponda, la información, por lo menos, de los temas, documentos y políticas que a continuación se señalan:</w:t>
      </w:r>
    </w:p>
    <w:p w14:paraId="5194CF1F" w14:textId="77777777" w:rsidR="005C45D6" w:rsidRPr="00B3795E" w:rsidRDefault="005C45D6" w:rsidP="005C45D6">
      <w:pPr>
        <w:spacing w:line="360" w:lineRule="auto"/>
        <w:ind w:left="567" w:right="822"/>
        <w:jc w:val="both"/>
        <w:rPr>
          <w:rFonts w:ascii="Palatino Linotype" w:hAnsi="Palatino Linotype" w:cs="Arial"/>
          <w:sz w:val="22"/>
          <w:szCs w:val="20"/>
          <w:lang w:val="es-ES" w:eastAsia="es-ES"/>
        </w:rPr>
      </w:pPr>
      <w:r w:rsidRPr="00B3795E">
        <w:rPr>
          <w:rFonts w:ascii="Palatino Linotype" w:hAnsi="Palatino Linotype" w:cs="Arial"/>
          <w:i/>
          <w:iCs/>
          <w:sz w:val="22"/>
          <w:szCs w:val="20"/>
          <w:lang w:val="es-ES" w:eastAsia="es-ES"/>
        </w:rPr>
        <w:t>(…)</w:t>
      </w:r>
    </w:p>
    <w:p w14:paraId="54DAB8BA" w14:textId="77777777" w:rsidR="005C45D6" w:rsidRPr="00B3795E" w:rsidRDefault="005C45D6" w:rsidP="005C45D6">
      <w:pPr>
        <w:spacing w:line="360" w:lineRule="auto"/>
        <w:ind w:left="567" w:right="822"/>
        <w:jc w:val="both"/>
        <w:rPr>
          <w:rFonts w:ascii="Palatino Linotype" w:hAnsi="Palatino Linotype" w:cs="Arial"/>
          <w:b/>
          <w:bCs/>
          <w:i/>
          <w:iCs/>
          <w:sz w:val="22"/>
          <w:szCs w:val="20"/>
          <w:lang w:val="es-ES" w:eastAsia="es-ES"/>
        </w:rPr>
      </w:pPr>
    </w:p>
    <w:p w14:paraId="65ED97B4" w14:textId="77777777" w:rsidR="005C45D6" w:rsidRPr="00B3795E" w:rsidRDefault="005C45D6" w:rsidP="005C45D6">
      <w:pPr>
        <w:spacing w:line="360" w:lineRule="auto"/>
        <w:ind w:left="567" w:right="822"/>
        <w:jc w:val="both"/>
        <w:rPr>
          <w:rFonts w:ascii="Palatino Linotype" w:hAnsi="Palatino Linotype" w:cs="Arial"/>
          <w:sz w:val="22"/>
          <w:szCs w:val="20"/>
          <w:lang w:val="es-ES" w:eastAsia="es-ES"/>
        </w:rPr>
      </w:pPr>
      <w:r w:rsidRPr="00B3795E">
        <w:rPr>
          <w:rFonts w:ascii="Palatino Linotype" w:hAnsi="Palatino Linotype" w:cs="Arial"/>
          <w:b/>
          <w:bCs/>
          <w:i/>
          <w:iCs/>
          <w:sz w:val="22"/>
          <w:szCs w:val="20"/>
          <w:lang w:val="es-ES" w:eastAsia="es-ES"/>
        </w:rPr>
        <w:t>XXIX. </w:t>
      </w:r>
      <w:r w:rsidRPr="00B3795E">
        <w:rPr>
          <w:rFonts w:ascii="Palatino Linotype" w:hAnsi="Palatino Linotype" w:cs="Arial"/>
          <w:i/>
          <w:iCs/>
          <w:sz w:val="22"/>
          <w:szCs w:val="20"/>
          <w:lang w:val="es-ES" w:eastAsia="es-ES"/>
        </w:rPr>
        <w:t>La información sobre los procesos y resultados sobre procedimientos de adjudicación directa, invitación restringida y licitación de cualquier naturaleza, </w:t>
      </w:r>
      <w:r w:rsidRPr="00B3795E">
        <w:rPr>
          <w:rFonts w:ascii="Palatino Linotype" w:hAnsi="Palatino Linotype" w:cs="Arial"/>
          <w:b/>
          <w:bCs/>
          <w:i/>
          <w:iCs/>
          <w:sz w:val="22"/>
          <w:szCs w:val="20"/>
          <w:u w:val="single"/>
          <w:lang w:val="es-ES" w:eastAsia="es-ES"/>
        </w:rPr>
        <w:t>incluyendo la versión pública del expediente respectivo y de los contratos</w:t>
      </w:r>
      <w:r w:rsidRPr="00B3795E">
        <w:rPr>
          <w:rFonts w:ascii="Palatino Linotype" w:hAnsi="Palatino Linotype" w:cs="Arial"/>
          <w:i/>
          <w:iCs/>
          <w:sz w:val="22"/>
          <w:szCs w:val="20"/>
          <w:lang w:val="es-ES" w:eastAsia="es-ES"/>
        </w:rPr>
        <w:t> celebrados, que deberán contener, por los menos, lo siguiente:</w:t>
      </w:r>
    </w:p>
    <w:p w14:paraId="66E1AFF3" w14:textId="77777777" w:rsidR="005C45D6" w:rsidRPr="00B3795E" w:rsidRDefault="005C45D6" w:rsidP="005C45D6">
      <w:pPr>
        <w:spacing w:line="360" w:lineRule="auto"/>
        <w:ind w:left="567" w:right="822"/>
        <w:jc w:val="both"/>
        <w:rPr>
          <w:rFonts w:ascii="Palatino Linotype" w:hAnsi="Palatino Linotype" w:cs="Arial"/>
          <w:sz w:val="22"/>
          <w:szCs w:val="20"/>
          <w:lang w:val="es-ES" w:eastAsia="es-ES"/>
        </w:rPr>
      </w:pPr>
      <w:r w:rsidRPr="00B3795E">
        <w:rPr>
          <w:rFonts w:ascii="Palatino Linotype" w:hAnsi="Palatino Linotype" w:cs="Arial"/>
          <w:b/>
          <w:bCs/>
          <w:i/>
          <w:iCs/>
          <w:sz w:val="22"/>
          <w:szCs w:val="20"/>
          <w:lang w:val="es-ES" w:eastAsia="es-ES"/>
        </w:rPr>
        <w:t>a) </w:t>
      </w:r>
      <w:r w:rsidRPr="00B3795E">
        <w:rPr>
          <w:rFonts w:ascii="Palatino Linotype" w:hAnsi="Palatino Linotype" w:cs="Arial"/>
          <w:i/>
          <w:iCs/>
          <w:sz w:val="22"/>
          <w:szCs w:val="20"/>
          <w:lang w:val="es-ES" w:eastAsia="es-ES"/>
        </w:rPr>
        <w:t>De licitaciones públicas o procedimientos de invitación restringida:</w:t>
      </w:r>
    </w:p>
    <w:p w14:paraId="7B27FC21" w14:textId="77777777" w:rsidR="005C45D6" w:rsidRPr="00B3795E" w:rsidRDefault="005C45D6" w:rsidP="005C45D6">
      <w:pPr>
        <w:spacing w:line="360" w:lineRule="auto"/>
        <w:ind w:left="567" w:right="822"/>
        <w:jc w:val="both"/>
        <w:rPr>
          <w:rFonts w:ascii="Palatino Linotype" w:hAnsi="Palatino Linotype" w:cs="Arial"/>
          <w:sz w:val="22"/>
          <w:szCs w:val="20"/>
          <w:lang w:val="es-ES" w:eastAsia="es-ES"/>
        </w:rPr>
      </w:pPr>
      <w:r w:rsidRPr="00B3795E">
        <w:rPr>
          <w:rFonts w:ascii="Palatino Linotype" w:hAnsi="Palatino Linotype" w:cs="Arial"/>
          <w:b/>
          <w:bCs/>
          <w:i/>
          <w:iCs/>
          <w:sz w:val="22"/>
          <w:szCs w:val="20"/>
          <w:lang w:val="es-ES" w:eastAsia="es-ES"/>
        </w:rPr>
        <w:t>1)</w:t>
      </w:r>
      <w:r w:rsidRPr="00B3795E">
        <w:rPr>
          <w:rFonts w:ascii="Palatino Linotype" w:hAnsi="Palatino Linotype" w:cs="Arial"/>
          <w:i/>
          <w:iCs/>
          <w:sz w:val="22"/>
          <w:szCs w:val="20"/>
          <w:lang w:val="es-ES" w:eastAsia="es-ES"/>
        </w:rPr>
        <w:t> La convocatoria o invitación emitida, así como los fundamentos legales aplicados para llevarla a cabo;</w:t>
      </w:r>
    </w:p>
    <w:p w14:paraId="48006BAF" w14:textId="77777777" w:rsidR="005C45D6" w:rsidRPr="00B3795E" w:rsidRDefault="005C45D6" w:rsidP="005C45D6">
      <w:pPr>
        <w:spacing w:line="360" w:lineRule="auto"/>
        <w:ind w:left="567" w:right="822"/>
        <w:jc w:val="both"/>
        <w:rPr>
          <w:rFonts w:ascii="Palatino Linotype" w:hAnsi="Palatino Linotype" w:cs="Arial"/>
          <w:sz w:val="22"/>
          <w:szCs w:val="20"/>
          <w:lang w:val="es-ES" w:eastAsia="es-ES"/>
        </w:rPr>
      </w:pPr>
      <w:r w:rsidRPr="00B3795E">
        <w:rPr>
          <w:rFonts w:ascii="Palatino Linotype" w:hAnsi="Palatino Linotype" w:cs="Arial"/>
          <w:b/>
          <w:bCs/>
          <w:i/>
          <w:iCs/>
          <w:sz w:val="22"/>
          <w:szCs w:val="20"/>
          <w:lang w:val="es-ES" w:eastAsia="es-ES"/>
        </w:rPr>
        <w:t>2) </w:t>
      </w:r>
      <w:r w:rsidRPr="00B3795E">
        <w:rPr>
          <w:rFonts w:ascii="Palatino Linotype" w:hAnsi="Palatino Linotype" w:cs="Arial"/>
          <w:i/>
          <w:iCs/>
          <w:sz w:val="22"/>
          <w:szCs w:val="20"/>
          <w:lang w:val="es-ES" w:eastAsia="es-ES"/>
        </w:rPr>
        <w:t>Los nombres de los participantes o invitados;</w:t>
      </w:r>
    </w:p>
    <w:p w14:paraId="532FEF6A" w14:textId="77777777" w:rsidR="005C45D6" w:rsidRPr="00B3795E" w:rsidRDefault="005C45D6" w:rsidP="005C45D6">
      <w:pPr>
        <w:spacing w:line="360" w:lineRule="auto"/>
        <w:ind w:left="567" w:right="822"/>
        <w:jc w:val="both"/>
        <w:rPr>
          <w:rFonts w:ascii="Palatino Linotype" w:hAnsi="Palatino Linotype" w:cs="Arial"/>
          <w:sz w:val="22"/>
          <w:szCs w:val="20"/>
          <w:lang w:val="es-ES" w:eastAsia="es-ES"/>
        </w:rPr>
      </w:pPr>
      <w:r w:rsidRPr="00B3795E">
        <w:rPr>
          <w:rFonts w:ascii="Palatino Linotype" w:hAnsi="Palatino Linotype" w:cs="Arial"/>
          <w:b/>
          <w:bCs/>
          <w:i/>
          <w:iCs/>
          <w:sz w:val="22"/>
          <w:szCs w:val="20"/>
          <w:lang w:val="es-ES" w:eastAsia="es-ES"/>
        </w:rPr>
        <w:t>3)</w:t>
      </w:r>
      <w:r w:rsidRPr="00B3795E">
        <w:rPr>
          <w:rFonts w:ascii="Palatino Linotype" w:hAnsi="Palatino Linotype" w:cs="Arial"/>
          <w:i/>
          <w:iCs/>
          <w:sz w:val="22"/>
          <w:szCs w:val="20"/>
          <w:lang w:val="es-ES" w:eastAsia="es-ES"/>
        </w:rPr>
        <w:t> El nombre del ganador y las razones que lo justifican;</w:t>
      </w:r>
    </w:p>
    <w:p w14:paraId="7100A35A" w14:textId="77777777" w:rsidR="005C45D6" w:rsidRPr="00B3795E" w:rsidRDefault="005C45D6" w:rsidP="005C45D6">
      <w:pPr>
        <w:spacing w:line="360" w:lineRule="auto"/>
        <w:ind w:left="567" w:right="822"/>
        <w:jc w:val="both"/>
        <w:rPr>
          <w:rFonts w:ascii="Palatino Linotype" w:hAnsi="Palatino Linotype" w:cs="Arial"/>
          <w:sz w:val="22"/>
          <w:szCs w:val="20"/>
          <w:lang w:val="es-ES" w:eastAsia="es-ES"/>
        </w:rPr>
      </w:pPr>
      <w:r w:rsidRPr="00B3795E">
        <w:rPr>
          <w:rFonts w:ascii="Palatino Linotype" w:hAnsi="Palatino Linotype" w:cs="Arial"/>
          <w:b/>
          <w:bCs/>
          <w:i/>
          <w:iCs/>
          <w:sz w:val="22"/>
          <w:szCs w:val="20"/>
          <w:lang w:val="es-ES" w:eastAsia="es-ES"/>
        </w:rPr>
        <w:t>4) </w:t>
      </w:r>
      <w:r w:rsidRPr="00B3795E">
        <w:rPr>
          <w:rFonts w:ascii="Palatino Linotype" w:hAnsi="Palatino Linotype" w:cs="Arial"/>
          <w:i/>
          <w:iCs/>
          <w:sz w:val="22"/>
          <w:szCs w:val="20"/>
          <w:lang w:val="es-ES" w:eastAsia="es-ES"/>
        </w:rPr>
        <w:t>El área solicitante y la responsable de su ejecución;</w:t>
      </w:r>
    </w:p>
    <w:p w14:paraId="40879879" w14:textId="77777777" w:rsidR="005C45D6" w:rsidRPr="00B3795E" w:rsidRDefault="005C45D6" w:rsidP="005C45D6">
      <w:pPr>
        <w:spacing w:line="360" w:lineRule="auto"/>
        <w:ind w:left="567" w:right="822"/>
        <w:jc w:val="both"/>
        <w:rPr>
          <w:rFonts w:ascii="Palatino Linotype" w:hAnsi="Palatino Linotype" w:cs="Arial"/>
          <w:sz w:val="22"/>
          <w:szCs w:val="20"/>
          <w:lang w:val="es-ES" w:eastAsia="es-ES"/>
        </w:rPr>
      </w:pPr>
      <w:r w:rsidRPr="00B3795E">
        <w:rPr>
          <w:rFonts w:ascii="Palatino Linotype" w:hAnsi="Palatino Linotype" w:cs="Arial"/>
          <w:b/>
          <w:bCs/>
          <w:i/>
          <w:iCs/>
          <w:sz w:val="22"/>
          <w:szCs w:val="20"/>
          <w:lang w:val="es-ES" w:eastAsia="es-ES"/>
        </w:rPr>
        <w:t>5) </w:t>
      </w:r>
      <w:r w:rsidRPr="00B3795E">
        <w:rPr>
          <w:rFonts w:ascii="Palatino Linotype" w:hAnsi="Palatino Linotype" w:cs="Arial"/>
          <w:i/>
          <w:iCs/>
          <w:sz w:val="22"/>
          <w:szCs w:val="20"/>
          <w:lang w:val="es-ES" w:eastAsia="es-ES"/>
        </w:rPr>
        <w:t>Las convocatorias e invitaciones emitidas;</w:t>
      </w:r>
    </w:p>
    <w:p w14:paraId="2CF13FA3" w14:textId="77777777" w:rsidR="005C45D6" w:rsidRPr="00B3795E" w:rsidRDefault="005C45D6" w:rsidP="005C45D6">
      <w:pPr>
        <w:spacing w:line="360" w:lineRule="auto"/>
        <w:ind w:left="567" w:right="822"/>
        <w:jc w:val="both"/>
        <w:rPr>
          <w:rFonts w:ascii="Palatino Linotype" w:hAnsi="Palatino Linotype" w:cs="Arial"/>
          <w:i/>
          <w:sz w:val="22"/>
          <w:szCs w:val="20"/>
          <w:lang w:val="es-ES" w:eastAsia="es-ES"/>
        </w:rPr>
      </w:pPr>
      <w:r w:rsidRPr="00B3795E">
        <w:rPr>
          <w:rFonts w:ascii="Palatino Linotype" w:hAnsi="Palatino Linotype" w:cs="Arial"/>
          <w:bCs/>
          <w:i/>
          <w:iCs/>
          <w:sz w:val="22"/>
          <w:szCs w:val="20"/>
          <w:lang w:val="es-ES" w:eastAsia="es-ES"/>
        </w:rPr>
        <w:t>6)</w:t>
      </w:r>
      <w:r w:rsidRPr="00B3795E">
        <w:rPr>
          <w:rFonts w:ascii="Palatino Linotype" w:hAnsi="Palatino Linotype" w:cs="Arial"/>
          <w:i/>
          <w:iCs/>
          <w:sz w:val="22"/>
          <w:szCs w:val="20"/>
          <w:lang w:val="es-ES" w:eastAsia="es-ES"/>
        </w:rPr>
        <w:t> Los dictámenes y fallo de adjudicación;</w:t>
      </w:r>
    </w:p>
    <w:p w14:paraId="3E231659" w14:textId="77777777" w:rsidR="005C45D6" w:rsidRPr="00B3795E" w:rsidRDefault="005C45D6" w:rsidP="005C45D6">
      <w:pPr>
        <w:spacing w:line="360" w:lineRule="auto"/>
        <w:ind w:left="567" w:right="822"/>
        <w:jc w:val="both"/>
        <w:rPr>
          <w:rFonts w:ascii="Palatino Linotype" w:hAnsi="Palatino Linotype" w:cs="Arial"/>
          <w:i/>
          <w:sz w:val="22"/>
          <w:szCs w:val="20"/>
          <w:lang w:val="es-ES" w:eastAsia="es-ES"/>
        </w:rPr>
      </w:pPr>
      <w:r w:rsidRPr="00B3795E">
        <w:rPr>
          <w:rFonts w:ascii="Palatino Linotype" w:hAnsi="Palatino Linotype" w:cs="Arial"/>
          <w:bCs/>
          <w:i/>
          <w:iCs/>
          <w:sz w:val="22"/>
          <w:szCs w:val="20"/>
          <w:u w:val="single"/>
          <w:lang w:val="es-ES" w:eastAsia="es-ES"/>
        </w:rPr>
        <w:t>7) El contrato y, en su caso, sus anexos</w:t>
      </w:r>
      <w:r w:rsidRPr="00B3795E">
        <w:rPr>
          <w:rFonts w:ascii="Palatino Linotype" w:hAnsi="Palatino Linotype" w:cs="Arial"/>
          <w:bCs/>
          <w:i/>
          <w:iCs/>
          <w:sz w:val="22"/>
          <w:szCs w:val="20"/>
          <w:lang w:val="es-ES" w:eastAsia="es-ES"/>
        </w:rPr>
        <w:t>;</w:t>
      </w:r>
    </w:p>
    <w:p w14:paraId="631D2EC5" w14:textId="77777777" w:rsidR="005C45D6" w:rsidRPr="00B3795E" w:rsidRDefault="005C45D6" w:rsidP="005C45D6">
      <w:pPr>
        <w:spacing w:line="360" w:lineRule="auto"/>
        <w:ind w:left="567" w:right="822"/>
        <w:jc w:val="both"/>
        <w:rPr>
          <w:rFonts w:ascii="Palatino Linotype" w:hAnsi="Palatino Linotype" w:cs="Arial"/>
          <w:i/>
          <w:sz w:val="22"/>
          <w:szCs w:val="20"/>
          <w:lang w:val="es-ES" w:eastAsia="es-ES"/>
        </w:rPr>
      </w:pPr>
      <w:r w:rsidRPr="00B3795E">
        <w:rPr>
          <w:rFonts w:ascii="Palatino Linotype" w:hAnsi="Palatino Linotype" w:cs="Arial"/>
          <w:bCs/>
          <w:i/>
          <w:iCs/>
          <w:sz w:val="22"/>
          <w:szCs w:val="20"/>
          <w:lang w:val="es-ES" w:eastAsia="es-ES"/>
        </w:rPr>
        <w:t>8) </w:t>
      </w:r>
      <w:r w:rsidRPr="00B3795E">
        <w:rPr>
          <w:rFonts w:ascii="Palatino Linotype" w:hAnsi="Palatino Linotype" w:cs="Arial"/>
          <w:i/>
          <w:iCs/>
          <w:sz w:val="22"/>
          <w:szCs w:val="20"/>
          <w:lang w:val="es-ES" w:eastAsia="es-ES"/>
        </w:rPr>
        <w:t>Los mecanismos de vigilancia y supervisión, incluyendo en su caso, los estudios de impacto urbano y ambiental, según corresponda;</w:t>
      </w:r>
    </w:p>
    <w:p w14:paraId="71981E9E" w14:textId="77777777" w:rsidR="005C45D6" w:rsidRPr="00B3795E" w:rsidRDefault="005C45D6" w:rsidP="005C45D6">
      <w:pPr>
        <w:spacing w:line="360" w:lineRule="auto"/>
        <w:ind w:left="567" w:right="822"/>
        <w:jc w:val="both"/>
        <w:rPr>
          <w:rFonts w:ascii="Palatino Linotype" w:hAnsi="Palatino Linotype" w:cs="Arial"/>
          <w:sz w:val="22"/>
          <w:szCs w:val="20"/>
          <w:lang w:val="es-ES" w:eastAsia="es-ES"/>
        </w:rPr>
      </w:pPr>
      <w:r w:rsidRPr="00B3795E">
        <w:rPr>
          <w:rFonts w:ascii="Palatino Linotype" w:hAnsi="Palatino Linotype" w:cs="Arial"/>
          <w:b/>
          <w:bCs/>
          <w:i/>
          <w:iCs/>
          <w:sz w:val="22"/>
          <w:szCs w:val="20"/>
          <w:lang w:val="es-ES" w:eastAsia="es-ES"/>
        </w:rPr>
        <w:t>9) </w:t>
      </w:r>
      <w:r w:rsidRPr="00B3795E">
        <w:rPr>
          <w:rFonts w:ascii="Palatino Linotype" w:hAnsi="Palatino Linotype" w:cs="Arial"/>
          <w:i/>
          <w:iCs/>
          <w:sz w:val="22"/>
          <w:szCs w:val="20"/>
          <w:lang w:val="es-ES" w:eastAsia="es-ES"/>
        </w:rPr>
        <w:t>La partida presupuestal, de conformidad con el clasificador por objeto del gasto, en el caso de ser aplicable;</w:t>
      </w:r>
    </w:p>
    <w:p w14:paraId="73DB988B" w14:textId="77777777" w:rsidR="005C45D6" w:rsidRPr="00B3795E" w:rsidRDefault="005C45D6" w:rsidP="005C45D6">
      <w:pPr>
        <w:spacing w:line="360" w:lineRule="auto"/>
        <w:ind w:left="567" w:right="822"/>
        <w:jc w:val="both"/>
        <w:rPr>
          <w:rFonts w:ascii="Palatino Linotype" w:hAnsi="Palatino Linotype" w:cs="Arial"/>
          <w:sz w:val="22"/>
          <w:szCs w:val="20"/>
          <w:lang w:val="es-ES" w:eastAsia="es-ES"/>
        </w:rPr>
      </w:pPr>
      <w:r w:rsidRPr="00B3795E">
        <w:rPr>
          <w:rFonts w:ascii="Palatino Linotype" w:hAnsi="Palatino Linotype" w:cs="Arial"/>
          <w:bCs/>
          <w:i/>
          <w:iCs/>
          <w:sz w:val="22"/>
          <w:szCs w:val="20"/>
          <w:lang w:val="es-ES" w:eastAsia="es-ES"/>
        </w:rPr>
        <w:t xml:space="preserve">10) Origen de los recursos especificando si son federales, estatales o municipales, </w:t>
      </w:r>
      <w:r w:rsidRPr="00B3795E">
        <w:rPr>
          <w:rFonts w:ascii="Palatino Linotype" w:hAnsi="Palatino Linotype" w:cs="Arial"/>
          <w:i/>
          <w:iCs/>
          <w:sz w:val="22"/>
          <w:szCs w:val="20"/>
          <w:lang w:val="es-ES" w:eastAsia="es-ES"/>
        </w:rPr>
        <w:t>así como el tipo de fondo de participación o aportación respectiva;</w:t>
      </w:r>
    </w:p>
    <w:p w14:paraId="4A780428" w14:textId="77777777" w:rsidR="005C45D6" w:rsidRPr="00B3795E" w:rsidRDefault="005C45D6" w:rsidP="005C45D6">
      <w:pPr>
        <w:spacing w:line="360" w:lineRule="auto"/>
        <w:ind w:left="567" w:right="822"/>
        <w:jc w:val="both"/>
        <w:rPr>
          <w:rFonts w:ascii="Palatino Linotype" w:hAnsi="Palatino Linotype" w:cs="Arial"/>
          <w:sz w:val="22"/>
          <w:szCs w:val="20"/>
          <w:lang w:val="es-ES" w:eastAsia="es-ES"/>
        </w:rPr>
      </w:pPr>
      <w:r w:rsidRPr="00B3795E">
        <w:rPr>
          <w:rFonts w:ascii="Palatino Linotype" w:hAnsi="Palatino Linotype" w:cs="Arial"/>
          <w:b/>
          <w:bCs/>
          <w:i/>
          <w:iCs/>
          <w:sz w:val="22"/>
          <w:szCs w:val="20"/>
          <w:lang w:val="es-ES" w:eastAsia="es-ES"/>
        </w:rPr>
        <w:t>11) </w:t>
      </w:r>
      <w:r w:rsidRPr="00B3795E">
        <w:rPr>
          <w:rFonts w:ascii="Palatino Linotype" w:hAnsi="Palatino Linotype" w:cs="Arial"/>
          <w:i/>
          <w:iCs/>
          <w:sz w:val="22"/>
          <w:szCs w:val="20"/>
          <w:lang w:val="es-ES" w:eastAsia="es-ES"/>
        </w:rPr>
        <w:t>Los convenios modificatorios que, en su caso, sean firmados, precisando el objeto y la fecha de celebración;</w:t>
      </w:r>
    </w:p>
    <w:p w14:paraId="79444F84" w14:textId="77777777" w:rsidR="005C45D6" w:rsidRPr="00B3795E" w:rsidRDefault="005C45D6" w:rsidP="005C45D6">
      <w:pPr>
        <w:spacing w:line="360" w:lineRule="auto"/>
        <w:ind w:left="567" w:right="822"/>
        <w:jc w:val="both"/>
        <w:rPr>
          <w:rFonts w:ascii="Palatino Linotype" w:hAnsi="Palatino Linotype" w:cs="Arial"/>
          <w:sz w:val="22"/>
          <w:szCs w:val="20"/>
          <w:lang w:val="es-ES" w:eastAsia="es-ES"/>
        </w:rPr>
      </w:pPr>
      <w:r w:rsidRPr="00B3795E">
        <w:rPr>
          <w:rFonts w:ascii="Palatino Linotype" w:hAnsi="Palatino Linotype" w:cs="Arial"/>
          <w:b/>
          <w:bCs/>
          <w:i/>
          <w:iCs/>
          <w:sz w:val="22"/>
          <w:szCs w:val="20"/>
          <w:lang w:val="es-ES" w:eastAsia="es-ES"/>
        </w:rPr>
        <w:lastRenderedPageBreak/>
        <w:t>12) </w:t>
      </w:r>
      <w:r w:rsidRPr="00B3795E">
        <w:rPr>
          <w:rFonts w:ascii="Palatino Linotype" w:hAnsi="Palatino Linotype" w:cs="Arial"/>
          <w:i/>
          <w:iCs/>
          <w:sz w:val="22"/>
          <w:szCs w:val="20"/>
          <w:lang w:val="es-ES" w:eastAsia="es-ES"/>
        </w:rPr>
        <w:t>Los informes de avance físico y financiero sobre las obras o servicios contratados;</w:t>
      </w:r>
    </w:p>
    <w:p w14:paraId="4CAB64C0" w14:textId="77777777" w:rsidR="005C45D6" w:rsidRPr="00B3795E" w:rsidRDefault="005C45D6" w:rsidP="005C45D6">
      <w:pPr>
        <w:spacing w:line="360" w:lineRule="auto"/>
        <w:ind w:left="567" w:right="822"/>
        <w:jc w:val="both"/>
        <w:rPr>
          <w:rFonts w:ascii="Palatino Linotype" w:hAnsi="Palatino Linotype" w:cs="Arial"/>
          <w:sz w:val="22"/>
          <w:szCs w:val="20"/>
          <w:lang w:val="es-ES" w:eastAsia="es-ES"/>
        </w:rPr>
      </w:pPr>
      <w:r w:rsidRPr="00B3795E">
        <w:rPr>
          <w:rFonts w:ascii="Palatino Linotype" w:hAnsi="Palatino Linotype" w:cs="Arial"/>
          <w:b/>
          <w:bCs/>
          <w:i/>
          <w:iCs/>
          <w:sz w:val="22"/>
          <w:szCs w:val="20"/>
          <w:lang w:val="es-ES" w:eastAsia="es-ES"/>
        </w:rPr>
        <w:t>13) </w:t>
      </w:r>
      <w:r w:rsidRPr="00B3795E">
        <w:rPr>
          <w:rFonts w:ascii="Palatino Linotype" w:hAnsi="Palatino Linotype" w:cs="Arial"/>
          <w:i/>
          <w:iCs/>
          <w:sz w:val="22"/>
          <w:szCs w:val="20"/>
          <w:lang w:val="es-ES" w:eastAsia="es-ES"/>
        </w:rPr>
        <w:t>El convenio de terminación; y</w:t>
      </w:r>
    </w:p>
    <w:p w14:paraId="664505DF" w14:textId="77777777" w:rsidR="005C45D6" w:rsidRPr="00B3795E" w:rsidRDefault="005C45D6" w:rsidP="005C45D6">
      <w:pPr>
        <w:spacing w:line="360" w:lineRule="auto"/>
        <w:ind w:left="567" w:right="822"/>
        <w:jc w:val="both"/>
        <w:rPr>
          <w:rFonts w:ascii="Palatino Linotype" w:hAnsi="Palatino Linotype" w:cs="Arial"/>
          <w:sz w:val="22"/>
          <w:szCs w:val="20"/>
          <w:lang w:val="es-ES" w:eastAsia="es-ES"/>
        </w:rPr>
      </w:pPr>
      <w:r w:rsidRPr="00B3795E">
        <w:rPr>
          <w:rFonts w:ascii="Palatino Linotype" w:hAnsi="Palatino Linotype" w:cs="Arial"/>
          <w:b/>
          <w:bCs/>
          <w:i/>
          <w:iCs/>
          <w:sz w:val="22"/>
          <w:szCs w:val="20"/>
          <w:lang w:val="es-ES" w:eastAsia="es-ES"/>
        </w:rPr>
        <w:t>14) </w:t>
      </w:r>
      <w:r w:rsidRPr="00B3795E">
        <w:rPr>
          <w:rFonts w:ascii="Palatino Linotype" w:hAnsi="Palatino Linotype" w:cs="Arial"/>
          <w:i/>
          <w:iCs/>
          <w:sz w:val="22"/>
          <w:szCs w:val="20"/>
          <w:lang w:val="es-ES" w:eastAsia="es-ES"/>
        </w:rPr>
        <w:t>El finiquito.</w:t>
      </w:r>
    </w:p>
    <w:p w14:paraId="00FF19FA" w14:textId="77777777" w:rsidR="005C45D6" w:rsidRPr="00B3795E" w:rsidRDefault="005C45D6" w:rsidP="005C45D6">
      <w:pPr>
        <w:spacing w:line="360" w:lineRule="auto"/>
        <w:ind w:left="426" w:right="822"/>
        <w:jc w:val="both"/>
        <w:rPr>
          <w:rFonts w:ascii="Palatino Linotype" w:hAnsi="Palatino Linotype" w:cs="Arial"/>
          <w:b/>
          <w:sz w:val="22"/>
          <w:szCs w:val="20"/>
          <w:lang w:val="es-ES" w:eastAsia="es-ES"/>
        </w:rPr>
      </w:pPr>
      <w:r w:rsidRPr="00B3795E">
        <w:rPr>
          <w:rFonts w:ascii="Palatino Linotype" w:hAnsi="Palatino Linotype" w:cs="Arial"/>
          <w:b/>
          <w:bCs/>
          <w:i/>
          <w:iCs/>
          <w:sz w:val="22"/>
          <w:szCs w:val="20"/>
          <w:lang w:val="es-ES" w:eastAsia="es-ES"/>
        </w:rPr>
        <w:t>b) </w:t>
      </w:r>
      <w:r w:rsidRPr="00B3795E">
        <w:rPr>
          <w:rFonts w:ascii="Palatino Linotype" w:hAnsi="Palatino Linotype" w:cs="Arial"/>
          <w:b/>
          <w:i/>
          <w:iCs/>
          <w:sz w:val="22"/>
          <w:szCs w:val="20"/>
          <w:lang w:val="es-ES" w:eastAsia="es-ES"/>
        </w:rPr>
        <w:t>De las adjudicaciones directas:</w:t>
      </w:r>
    </w:p>
    <w:p w14:paraId="559436C1" w14:textId="77777777" w:rsidR="005C45D6" w:rsidRPr="00B3795E" w:rsidRDefault="005C45D6" w:rsidP="005C45D6">
      <w:pPr>
        <w:spacing w:line="360" w:lineRule="auto"/>
        <w:ind w:left="567" w:right="822"/>
        <w:jc w:val="both"/>
        <w:rPr>
          <w:rFonts w:ascii="Palatino Linotype" w:hAnsi="Palatino Linotype" w:cs="Arial"/>
          <w:sz w:val="22"/>
          <w:szCs w:val="20"/>
          <w:lang w:val="es-ES" w:eastAsia="es-ES"/>
        </w:rPr>
      </w:pPr>
      <w:r w:rsidRPr="00B3795E">
        <w:rPr>
          <w:rFonts w:ascii="Palatino Linotype" w:hAnsi="Palatino Linotype" w:cs="Arial"/>
          <w:b/>
          <w:bCs/>
          <w:i/>
          <w:iCs/>
          <w:sz w:val="22"/>
          <w:szCs w:val="20"/>
          <w:lang w:val="es-ES" w:eastAsia="es-ES"/>
        </w:rPr>
        <w:t>1) </w:t>
      </w:r>
      <w:r w:rsidRPr="00B3795E">
        <w:rPr>
          <w:rFonts w:ascii="Palatino Linotype" w:hAnsi="Palatino Linotype" w:cs="Arial"/>
          <w:i/>
          <w:iCs/>
          <w:sz w:val="22"/>
          <w:szCs w:val="20"/>
          <w:lang w:val="es-ES" w:eastAsia="es-ES"/>
        </w:rPr>
        <w:t>La propuesta enviada por el participante;</w:t>
      </w:r>
    </w:p>
    <w:p w14:paraId="32056707" w14:textId="77777777" w:rsidR="005C45D6" w:rsidRPr="00B3795E" w:rsidRDefault="005C45D6" w:rsidP="005C45D6">
      <w:pPr>
        <w:spacing w:line="360" w:lineRule="auto"/>
        <w:ind w:left="567" w:right="822"/>
        <w:jc w:val="both"/>
        <w:rPr>
          <w:rFonts w:ascii="Palatino Linotype" w:hAnsi="Palatino Linotype" w:cs="Arial"/>
          <w:sz w:val="22"/>
          <w:szCs w:val="20"/>
          <w:lang w:val="es-ES" w:eastAsia="es-ES"/>
        </w:rPr>
      </w:pPr>
      <w:r w:rsidRPr="00B3795E">
        <w:rPr>
          <w:rFonts w:ascii="Palatino Linotype" w:hAnsi="Palatino Linotype" w:cs="Arial"/>
          <w:b/>
          <w:bCs/>
          <w:i/>
          <w:iCs/>
          <w:sz w:val="22"/>
          <w:szCs w:val="20"/>
          <w:lang w:val="es-ES" w:eastAsia="es-ES"/>
        </w:rPr>
        <w:t>2) </w:t>
      </w:r>
      <w:r w:rsidRPr="00B3795E">
        <w:rPr>
          <w:rFonts w:ascii="Palatino Linotype" w:hAnsi="Palatino Linotype" w:cs="Arial"/>
          <w:i/>
          <w:iCs/>
          <w:sz w:val="22"/>
          <w:szCs w:val="20"/>
          <w:lang w:val="es-ES" w:eastAsia="es-ES"/>
        </w:rPr>
        <w:t>Los motivos y fundamentos legales aplicados para llevarla a cabo;</w:t>
      </w:r>
    </w:p>
    <w:p w14:paraId="144E3F7A" w14:textId="77777777" w:rsidR="005C45D6" w:rsidRPr="00B3795E" w:rsidRDefault="005C45D6" w:rsidP="005C45D6">
      <w:pPr>
        <w:spacing w:line="360" w:lineRule="auto"/>
        <w:ind w:left="567" w:right="822"/>
        <w:jc w:val="both"/>
        <w:rPr>
          <w:rFonts w:ascii="Palatino Linotype" w:hAnsi="Palatino Linotype" w:cs="Arial"/>
          <w:sz w:val="22"/>
          <w:szCs w:val="20"/>
          <w:lang w:val="es-ES" w:eastAsia="es-ES"/>
        </w:rPr>
      </w:pPr>
      <w:r w:rsidRPr="00B3795E">
        <w:rPr>
          <w:rFonts w:ascii="Palatino Linotype" w:hAnsi="Palatino Linotype" w:cs="Arial"/>
          <w:b/>
          <w:bCs/>
          <w:i/>
          <w:iCs/>
          <w:sz w:val="22"/>
          <w:szCs w:val="20"/>
          <w:lang w:val="es-ES" w:eastAsia="es-ES"/>
        </w:rPr>
        <w:t>3) </w:t>
      </w:r>
      <w:r w:rsidRPr="00B3795E">
        <w:rPr>
          <w:rFonts w:ascii="Palatino Linotype" w:hAnsi="Palatino Linotype" w:cs="Arial"/>
          <w:i/>
          <w:iCs/>
          <w:sz w:val="22"/>
          <w:szCs w:val="20"/>
          <w:lang w:val="es-ES" w:eastAsia="es-ES"/>
        </w:rPr>
        <w:t>La autorización del ejercicio de la opción;</w:t>
      </w:r>
    </w:p>
    <w:p w14:paraId="18E5ED2F" w14:textId="77777777" w:rsidR="005C45D6" w:rsidRPr="00B3795E" w:rsidRDefault="005C45D6" w:rsidP="005C45D6">
      <w:pPr>
        <w:spacing w:line="360" w:lineRule="auto"/>
        <w:ind w:left="567" w:right="822"/>
        <w:jc w:val="both"/>
        <w:rPr>
          <w:rFonts w:ascii="Palatino Linotype" w:hAnsi="Palatino Linotype" w:cs="Arial"/>
          <w:sz w:val="22"/>
          <w:szCs w:val="20"/>
          <w:lang w:val="es-ES" w:eastAsia="es-ES"/>
        </w:rPr>
      </w:pPr>
      <w:r w:rsidRPr="00B3795E">
        <w:rPr>
          <w:rFonts w:ascii="Palatino Linotype" w:hAnsi="Palatino Linotype" w:cs="Arial"/>
          <w:bCs/>
          <w:i/>
          <w:iCs/>
          <w:sz w:val="22"/>
          <w:szCs w:val="20"/>
          <w:lang w:val="es-ES" w:eastAsia="es-ES"/>
        </w:rPr>
        <w:t>4) En su caso, las cotizaciones consideradas, especificando los nombres de los proveedores y sus montos</w:t>
      </w:r>
      <w:r w:rsidRPr="00B3795E">
        <w:rPr>
          <w:rFonts w:ascii="Palatino Linotype" w:hAnsi="Palatino Linotype" w:cs="Arial"/>
          <w:i/>
          <w:iCs/>
          <w:sz w:val="22"/>
          <w:szCs w:val="20"/>
          <w:lang w:val="es-ES" w:eastAsia="es-ES"/>
        </w:rPr>
        <w:t>;</w:t>
      </w:r>
    </w:p>
    <w:p w14:paraId="47C8F0F3" w14:textId="77777777" w:rsidR="005C45D6" w:rsidRPr="00B3795E" w:rsidRDefault="005C45D6" w:rsidP="005C45D6">
      <w:pPr>
        <w:spacing w:line="360" w:lineRule="auto"/>
        <w:ind w:left="567" w:right="822"/>
        <w:jc w:val="both"/>
        <w:rPr>
          <w:rFonts w:ascii="Palatino Linotype" w:hAnsi="Palatino Linotype" w:cs="Arial"/>
          <w:sz w:val="22"/>
          <w:szCs w:val="20"/>
          <w:lang w:val="es-ES" w:eastAsia="es-ES"/>
        </w:rPr>
      </w:pPr>
      <w:r w:rsidRPr="00B3795E">
        <w:rPr>
          <w:rFonts w:ascii="Palatino Linotype" w:hAnsi="Palatino Linotype" w:cs="Arial"/>
          <w:b/>
          <w:bCs/>
          <w:i/>
          <w:iCs/>
          <w:sz w:val="22"/>
          <w:szCs w:val="20"/>
          <w:lang w:val="es-ES" w:eastAsia="es-ES"/>
        </w:rPr>
        <w:t>5) </w:t>
      </w:r>
      <w:r w:rsidRPr="00B3795E">
        <w:rPr>
          <w:rFonts w:ascii="Palatino Linotype" w:hAnsi="Palatino Linotype" w:cs="Arial"/>
          <w:i/>
          <w:iCs/>
          <w:sz w:val="22"/>
          <w:szCs w:val="20"/>
          <w:lang w:val="es-ES" w:eastAsia="es-ES"/>
        </w:rPr>
        <w:t>El nombre de la persona física o jurídica colectiva adjudicada;</w:t>
      </w:r>
    </w:p>
    <w:p w14:paraId="02D0820F" w14:textId="77777777" w:rsidR="005C45D6" w:rsidRPr="00B3795E" w:rsidRDefault="005C45D6" w:rsidP="005C45D6">
      <w:pPr>
        <w:spacing w:line="360" w:lineRule="auto"/>
        <w:ind w:left="567" w:right="822"/>
        <w:jc w:val="both"/>
        <w:rPr>
          <w:rFonts w:ascii="Palatino Linotype" w:hAnsi="Palatino Linotype" w:cs="Arial"/>
          <w:sz w:val="22"/>
          <w:szCs w:val="20"/>
          <w:lang w:val="es-ES" w:eastAsia="es-ES"/>
        </w:rPr>
      </w:pPr>
      <w:r w:rsidRPr="00B3795E">
        <w:rPr>
          <w:rFonts w:ascii="Palatino Linotype" w:hAnsi="Palatino Linotype" w:cs="Arial"/>
          <w:b/>
          <w:bCs/>
          <w:i/>
          <w:iCs/>
          <w:sz w:val="22"/>
          <w:szCs w:val="20"/>
          <w:lang w:val="es-ES" w:eastAsia="es-ES"/>
        </w:rPr>
        <w:t>6) </w:t>
      </w:r>
      <w:r w:rsidRPr="00B3795E">
        <w:rPr>
          <w:rFonts w:ascii="Palatino Linotype" w:hAnsi="Palatino Linotype" w:cs="Arial"/>
          <w:i/>
          <w:iCs/>
          <w:sz w:val="22"/>
          <w:szCs w:val="20"/>
          <w:lang w:val="es-ES" w:eastAsia="es-ES"/>
        </w:rPr>
        <w:t>La unidad administrativa solicitante y la responsable de su ejecución;</w:t>
      </w:r>
    </w:p>
    <w:p w14:paraId="141A1C85" w14:textId="77777777" w:rsidR="005C45D6" w:rsidRPr="00B3795E" w:rsidRDefault="005C45D6" w:rsidP="005C45D6">
      <w:pPr>
        <w:spacing w:line="360" w:lineRule="auto"/>
        <w:ind w:left="567" w:right="822"/>
        <w:jc w:val="both"/>
        <w:rPr>
          <w:rFonts w:ascii="Palatino Linotype" w:hAnsi="Palatino Linotype" w:cs="Arial"/>
          <w:sz w:val="22"/>
          <w:szCs w:val="20"/>
          <w:lang w:val="es-ES" w:eastAsia="es-ES"/>
        </w:rPr>
      </w:pPr>
      <w:r w:rsidRPr="00B3795E">
        <w:rPr>
          <w:rFonts w:ascii="Palatino Linotype" w:hAnsi="Palatino Linotype" w:cs="Arial"/>
          <w:b/>
          <w:bCs/>
          <w:i/>
          <w:iCs/>
          <w:sz w:val="22"/>
          <w:szCs w:val="20"/>
          <w:lang w:val="es-ES" w:eastAsia="es-ES"/>
        </w:rPr>
        <w:t>7)</w:t>
      </w:r>
      <w:r w:rsidRPr="00B3795E">
        <w:rPr>
          <w:rFonts w:ascii="Palatino Linotype" w:hAnsi="Palatino Linotype" w:cs="Arial"/>
          <w:bCs/>
          <w:i/>
          <w:iCs/>
          <w:sz w:val="22"/>
          <w:szCs w:val="20"/>
          <w:lang w:val="es-ES" w:eastAsia="es-ES"/>
        </w:rPr>
        <w:t> El número, fecha, el monto del contrato y el plazo de entrega o de ejecución de los servicios u obra;</w:t>
      </w:r>
    </w:p>
    <w:p w14:paraId="48C4CE18" w14:textId="77777777" w:rsidR="005C45D6" w:rsidRPr="00B3795E" w:rsidRDefault="005C45D6" w:rsidP="005C45D6">
      <w:pPr>
        <w:spacing w:line="360" w:lineRule="auto"/>
        <w:ind w:left="567" w:right="822"/>
        <w:jc w:val="both"/>
        <w:rPr>
          <w:rFonts w:ascii="Palatino Linotype" w:hAnsi="Palatino Linotype" w:cs="Arial"/>
          <w:sz w:val="22"/>
          <w:szCs w:val="20"/>
          <w:lang w:val="es-ES" w:eastAsia="es-ES"/>
        </w:rPr>
      </w:pPr>
      <w:r w:rsidRPr="00B3795E">
        <w:rPr>
          <w:rFonts w:ascii="Palatino Linotype" w:hAnsi="Palatino Linotype" w:cs="Arial"/>
          <w:b/>
          <w:bCs/>
          <w:i/>
          <w:iCs/>
          <w:sz w:val="22"/>
          <w:szCs w:val="20"/>
          <w:lang w:val="es-ES" w:eastAsia="es-ES"/>
        </w:rPr>
        <w:t>8) </w:t>
      </w:r>
      <w:r w:rsidRPr="00B3795E">
        <w:rPr>
          <w:rFonts w:ascii="Palatino Linotype" w:hAnsi="Palatino Linotype" w:cs="Arial"/>
          <w:i/>
          <w:iCs/>
          <w:sz w:val="22"/>
          <w:szCs w:val="20"/>
          <w:lang w:val="es-ES" w:eastAsia="es-ES"/>
        </w:rPr>
        <w:t>Los mecanismos de vigilancia y supervisión, incluyendo, en su caso, los estudios de impacto urbano y ambiental, según corresponda;</w:t>
      </w:r>
    </w:p>
    <w:p w14:paraId="41234CE7" w14:textId="77777777" w:rsidR="005C45D6" w:rsidRPr="00B3795E" w:rsidRDefault="005C45D6" w:rsidP="005C45D6">
      <w:pPr>
        <w:spacing w:line="360" w:lineRule="auto"/>
        <w:ind w:left="567" w:right="822"/>
        <w:jc w:val="both"/>
        <w:rPr>
          <w:rFonts w:ascii="Palatino Linotype" w:hAnsi="Palatino Linotype" w:cs="Arial"/>
          <w:sz w:val="22"/>
          <w:szCs w:val="20"/>
          <w:lang w:val="es-ES" w:eastAsia="es-ES"/>
        </w:rPr>
      </w:pPr>
      <w:r w:rsidRPr="00B3795E">
        <w:rPr>
          <w:rFonts w:ascii="Palatino Linotype" w:hAnsi="Palatino Linotype" w:cs="Arial"/>
          <w:b/>
          <w:bCs/>
          <w:i/>
          <w:iCs/>
          <w:sz w:val="22"/>
          <w:szCs w:val="20"/>
          <w:lang w:val="es-ES" w:eastAsia="es-ES"/>
        </w:rPr>
        <w:t>9) </w:t>
      </w:r>
      <w:r w:rsidRPr="00B3795E">
        <w:rPr>
          <w:rFonts w:ascii="Palatino Linotype" w:hAnsi="Palatino Linotype" w:cs="Arial"/>
          <w:i/>
          <w:iCs/>
          <w:sz w:val="22"/>
          <w:szCs w:val="20"/>
          <w:lang w:val="es-ES" w:eastAsia="es-ES"/>
        </w:rPr>
        <w:t>Los informes de avance sobre las obras o servicios contratados;</w:t>
      </w:r>
    </w:p>
    <w:p w14:paraId="024A2020" w14:textId="77777777" w:rsidR="005C45D6" w:rsidRPr="00B3795E" w:rsidRDefault="005C45D6" w:rsidP="005C45D6">
      <w:pPr>
        <w:spacing w:line="360" w:lineRule="auto"/>
        <w:ind w:left="567" w:right="822"/>
        <w:jc w:val="both"/>
        <w:rPr>
          <w:rFonts w:ascii="Palatino Linotype" w:hAnsi="Palatino Linotype" w:cs="Arial"/>
          <w:sz w:val="22"/>
          <w:szCs w:val="20"/>
          <w:lang w:val="es-ES" w:eastAsia="es-ES"/>
        </w:rPr>
      </w:pPr>
      <w:r w:rsidRPr="00B3795E">
        <w:rPr>
          <w:rFonts w:ascii="Palatino Linotype" w:hAnsi="Palatino Linotype" w:cs="Arial"/>
          <w:b/>
          <w:bCs/>
          <w:i/>
          <w:iCs/>
          <w:sz w:val="22"/>
          <w:szCs w:val="20"/>
          <w:lang w:val="es-ES" w:eastAsia="es-ES"/>
        </w:rPr>
        <w:t>10) </w:t>
      </w:r>
      <w:r w:rsidRPr="00B3795E">
        <w:rPr>
          <w:rFonts w:ascii="Palatino Linotype" w:hAnsi="Palatino Linotype" w:cs="Arial"/>
          <w:i/>
          <w:iCs/>
          <w:sz w:val="22"/>
          <w:szCs w:val="20"/>
          <w:lang w:val="es-ES" w:eastAsia="es-ES"/>
        </w:rPr>
        <w:t>El convenio de terminación; y</w:t>
      </w:r>
    </w:p>
    <w:p w14:paraId="70BF15CF" w14:textId="77777777" w:rsidR="005C45D6" w:rsidRPr="00B3795E" w:rsidRDefault="005C45D6" w:rsidP="005C45D6">
      <w:pPr>
        <w:spacing w:line="360" w:lineRule="auto"/>
        <w:ind w:left="567" w:right="822"/>
        <w:jc w:val="both"/>
        <w:rPr>
          <w:rFonts w:ascii="Palatino Linotype" w:hAnsi="Palatino Linotype" w:cs="Arial"/>
          <w:b/>
          <w:i/>
          <w:iCs/>
          <w:sz w:val="22"/>
          <w:szCs w:val="20"/>
          <w:lang w:val="es-ES" w:eastAsia="es-ES"/>
        </w:rPr>
      </w:pPr>
      <w:r w:rsidRPr="00B3795E">
        <w:rPr>
          <w:rFonts w:ascii="Palatino Linotype" w:hAnsi="Palatino Linotype" w:cs="Arial"/>
          <w:b/>
          <w:bCs/>
          <w:i/>
          <w:iCs/>
          <w:sz w:val="22"/>
          <w:szCs w:val="20"/>
          <w:lang w:val="es-ES" w:eastAsia="es-ES"/>
        </w:rPr>
        <w:t>11) </w:t>
      </w:r>
      <w:r w:rsidRPr="00B3795E">
        <w:rPr>
          <w:rFonts w:ascii="Palatino Linotype" w:hAnsi="Palatino Linotype" w:cs="Arial"/>
          <w:i/>
          <w:iCs/>
          <w:sz w:val="22"/>
          <w:szCs w:val="20"/>
          <w:lang w:val="es-ES" w:eastAsia="es-ES"/>
        </w:rPr>
        <w:t>El finiquito.</w:t>
      </w:r>
      <w:r w:rsidRPr="00B3795E">
        <w:rPr>
          <w:rFonts w:ascii="Palatino Linotype" w:hAnsi="Palatino Linotype" w:cs="Arial"/>
          <w:b/>
          <w:i/>
          <w:iCs/>
          <w:sz w:val="22"/>
          <w:szCs w:val="20"/>
          <w:lang w:val="es-ES" w:eastAsia="es-ES"/>
        </w:rPr>
        <w:t>”</w:t>
      </w:r>
    </w:p>
    <w:p w14:paraId="6DB48A27" w14:textId="77777777" w:rsidR="005C45D6" w:rsidRPr="00B3795E" w:rsidRDefault="005C45D6" w:rsidP="00804395">
      <w:pPr>
        <w:spacing w:line="360" w:lineRule="auto"/>
        <w:ind w:right="-876"/>
        <w:jc w:val="both"/>
        <w:rPr>
          <w:rFonts w:ascii="Palatino Linotype" w:hAnsi="Palatino Linotype" w:cs="Arial"/>
          <w:sz w:val="20"/>
          <w:szCs w:val="20"/>
          <w:lang w:val="es-ES" w:eastAsia="es-ES"/>
        </w:rPr>
      </w:pPr>
    </w:p>
    <w:p w14:paraId="4224F6EC" w14:textId="77777777" w:rsidR="005C45D6" w:rsidRPr="00B3795E" w:rsidRDefault="005C45D6" w:rsidP="00804395">
      <w:pPr>
        <w:numPr>
          <w:ilvl w:val="0"/>
          <w:numId w:val="9"/>
        </w:numPr>
        <w:spacing w:line="360" w:lineRule="auto"/>
        <w:ind w:left="0" w:right="-876" w:firstLine="0"/>
        <w:jc w:val="both"/>
        <w:rPr>
          <w:rFonts w:ascii="Palatino Linotype" w:hAnsi="Palatino Linotype"/>
          <w:lang w:val="es-ES" w:eastAsia="es-ES"/>
        </w:rPr>
      </w:pPr>
      <w:r w:rsidRPr="00B3795E">
        <w:rPr>
          <w:rFonts w:ascii="Palatino Linotype" w:eastAsia="Calibri" w:hAnsi="Palatino Linotype" w:cs="Arial"/>
          <w:lang w:eastAsia="es-ES"/>
        </w:rPr>
        <w:t>En consecuencia, se determina que existe fuente obligacional para celebrar contratos relacionados con la adquisición de bienes y servicio</w:t>
      </w:r>
      <w:r w:rsidR="00804395" w:rsidRPr="00B3795E">
        <w:rPr>
          <w:rFonts w:ascii="Palatino Linotype" w:eastAsia="Calibri" w:hAnsi="Palatino Linotype" w:cs="Arial"/>
          <w:lang w:eastAsia="es-ES"/>
        </w:rPr>
        <w:t>s por parte de las dependencias estatales</w:t>
      </w:r>
      <w:r w:rsidRPr="00B3795E">
        <w:rPr>
          <w:rFonts w:ascii="Palatino Linotype" w:eastAsia="Calibri" w:hAnsi="Palatino Linotype" w:cs="Arial"/>
          <w:lang w:eastAsia="es-ES"/>
        </w:rPr>
        <w:t>, a través de procedimientos de licitación, invitación restringida o adjudicación directa, en todos los casos, existe la obligación de hacer pública la información relacionada con las mismas, de acuerdo al artículo 92 de la Ley de Transparencia Local, ya que existe un interés colectivo de conocer el uso y destino de los recursos públicos.</w:t>
      </w:r>
    </w:p>
    <w:p w14:paraId="1F21A636" w14:textId="77777777" w:rsidR="005C45D6" w:rsidRPr="00B3795E" w:rsidRDefault="005C45D6" w:rsidP="005C45D6">
      <w:pPr>
        <w:spacing w:line="360" w:lineRule="auto"/>
        <w:contextualSpacing/>
        <w:jc w:val="both"/>
        <w:rPr>
          <w:rFonts w:ascii="Palatino Linotype" w:eastAsia="Calibri" w:hAnsi="Palatino Linotype" w:cs="Arial"/>
          <w:lang w:eastAsia="es-ES"/>
        </w:rPr>
      </w:pPr>
    </w:p>
    <w:p w14:paraId="68F21D5D" w14:textId="77777777" w:rsidR="005C45D6" w:rsidRPr="00B3795E" w:rsidRDefault="005C45D6" w:rsidP="00804395">
      <w:pPr>
        <w:numPr>
          <w:ilvl w:val="0"/>
          <w:numId w:val="9"/>
        </w:numPr>
        <w:spacing w:line="360" w:lineRule="auto"/>
        <w:ind w:left="0" w:right="-876" w:firstLine="0"/>
        <w:jc w:val="both"/>
        <w:rPr>
          <w:rFonts w:ascii="Palatino Linotype" w:hAnsi="Palatino Linotype"/>
          <w:lang w:val="es-ES" w:eastAsia="es-ES"/>
        </w:rPr>
      </w:pPr>
      <w:r w:rsidRPr="00B3795E">
        <w:rPr>
          <w:rFonts w:ascii="Palatino Linotype" w:eastAsia="Calibri" w:hAnsi="Palatino Linotype" w:cs="Arial"/>
          <w:lang w:eastAsia="es-ES"/>
        </w:rPr>
        <w:t>Robustecen lo anterior</w:t>
      </w:r>
      <w:r w:rsidRPr="00B3795E">
        <w:rPr>
          <w:rFonts w:ascii="Palatino Linotype" w:hAnsi="Palatino Linotype"/>
          <w:lang w:val="es-ES" w:eastAsia="es-ES"/>
        </w:rPr>
        <w:t xml:space="preserve"> </w:t>
      </w:r>
      <w:r w:rsidRPr="00B3795E">
        <w:rPr>
          <w:rFonts w:ascii="Palatino Linotype" w:hAnsi="Palatino Linotype"/>
          <w:i/>
          <w:lang w:eastAsia="es-ES"/>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r w:rsidRPr="00B3795E">
        <w:rPr>
          <w:rFonts w:ascii="Palatino Linotype" w:hAnsi="Palatino Linotype"/>
          <w:lang w:eastAsia="es-ES"/>
        </w:rPr>
        <w:t>en los criterios sustantivos de contenido correspondientes a la fracción XXVIII del artículo 70 de la Ley General de Transparencia que marcan los parámetros para publicar la información en medios electrónicos en los siguientes términos:</w:t>
      </w:r>
    </w:p>
    <w:p w14:paraId="2B5D5805" w14:textId="77777777" w:rsidR="005C45D6" w:rsidRPr="00B3795E" w:rsidRDefault="005C45D6" w:rsidP="005C45D6">
      <w:pPr>
        <w:contextualSpacing/>
        <w:rPr>
          <w:rFonts w:ascii="Palatino Linotype" w:hAnsi="Palatino Linotype"/>
          <w:sz w:val="22"/>
          <w:lang w:val="es-ES" w:eastAsia="es-ES"/>
        </w:rPr>
      </w:pPr>
    </w:p>
    <w:p w14:paraId="37068C7C"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B3795E">
        <w:rPr>
          <w:rFonts w:ascii="Palatino Linotype" w:hAnsi="Palatino Linotype"/>
          <w:b/>
          <w:i/>
          <w:sz w:val="22"/>
          <w:szCs w:val="22"/>
          <w:lang w:eastAsia="es-ES"/>
        </w:rPr>
        <w:t xml:space="preserve">Criterios sustantivos de contenido </w:t>
      </w:r>
    </w:p>
    <w:p w14:paraId="114854A1"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B3795E">
        <w:rPr>
          <w:rFonts w:ascii="Palatino Linotype" w:hAnsi="Palatino Linotype"/>
          <w:i/>
          <w:sz w:val="22"/>
          <w:szCs w:val="22"/>
          <w:lang w:eastAsia="es-ES"/>
        </w:rPr>
        <w:t xml:space="preserve">Respecto de cada uno de los eventos de licitación pública y de invitación a cuando menos tres personas se publicarán los siguientes datos: </w:t>
      </w:r>
    </w:p>
    <w:p w14:paraId="1EE36754"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p>
    <w:p w14:paraId="14FFB5E5"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B3795E">
        <w:rPr>
          <w:rFonts w:ascii="Palatino Linotype" w:hAnsi="Palatino Linotype"/>
          <w:i/>
          <w:sz w:val="22"/>
          <w:szCs w:val="22"/>
          <w:lang w:eastAsia="es-ES"/>
        </w:rPr>
        <w:t>Criterio 1 Ejercicio</w:t>
      </w:r>
    </w:p>
    <w:p w14:paraId="30F1C465"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B3795E">
        <w:rPr>
          <w:rFonts w:ascii="Palatino Linotype" w:hAnsi="Palatino Linotype"/>
          <w:i/>
          <w:sz w:val="22"/>
          <w:szCs w:val="22"/>
          <w:lang w:eastAsia="es-ES"/>
        </w:rPr>
        <w:t xml:space="preserve">Criterio 2 Periodo que se informa (fecha de inicio y fecha de término con el formato día/mes/año) </w:t>
      </w:r>
    </w:p>
    <w:p w14:paraId="460824FE"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B3795E">
        <w:rPr>
          <w:rFonts w:ascii="Palatino Linotype" w:hAnsi="Palatino Linotype"/>
          <w:i/>
          <w:sz w:val="22"/>
          <w:szCs w:val="22"/>
          <w:lang w:eastAsia="es-ES"/>
        </w:rPr>
        <w:t xml:space="preserve">Criterio 3 Tipo de procedimiento (catálogo): Licitación pública/Invitación a cuando menos tres personas/ Otra (especificar) En caso de que no se haya llevado a cabo alguno de los tres procedimientos en el periodo que se informa, se deberá incluir un registro con el periodo respectivo, el procedimiento y señalar mediante una nota fundamentada, motivada y actualizada al periodo correspondiente, que no se llevó a cabo ningún procedimiento de ese tipo. </w:t>
      </w:r>
    </w:p>
    <w:p w14:paraId="417FF6FF"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B3795E">
        <w:rPr>
          <w:rFonts w:ascii="Palatino Linotype" w:hAnsi="Palatino Linotype"/>
          <w:i/>
          <w:sz w:val="22"/>
          <w:szCs w:val="22"/>
          <w:lang w:eastAsia="es-ES"/>
        </w:rPr>
        <w:t xml:space="preserve">Criterio 4 Materia o tipo de contratación (catálogo): Obra pública/Servicios relacionados con obra pública/Adquisiciones/Arrendamientos/Servicios </w:t>
      </w:r>
    </w:p>
    <w:p w14:paraId="65335C7E"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B3795E">
        <w:rPr>
          <w:rFonts w:ascii="Palatino Linotype" w:hAnsi="Palatino Linotype"/>
          <w:i/>
          <w:sz w:val="22"/>
          <w:szCs w:val="22"/>
          <w:lang w:eastAsia="es-ES"/>
        </w:rPr>
        <w:lastRenderedPageBreak/>
        <w:t xml:space="preserve">Criterio 5 Carácter del procedimiento (catálogo): Nacional/Internacional Relación con los nombres de las personas físicas o morales de los posibles contratantes: </w:t>
      </w:r>
    </w:p>
    <w:p w14:paraId="7E702F07"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B3795E">
        <w:rPr>
          <w:rFonts w:ascii="Palatino Linotype" w:hAnsi="Palatino Linotype"/>
          <w:i/>
          <w:sz w:val="22"/>
          <w:szCs w:val="22"/>
          <w:lang w:eastAsia="es-ES"/>
        </w:rPr>
        <w:t>Criterio 6 En el caso de personas físicas: nombre[s], primer apellido, segundo apellido. En el caso de persona moral: razón social. En su caso, incluir una leyenda señalando que no se realizaron cotizaciones</w:t>
      </w:r>
    </w:p>
    <w:p w14:paraId="30C916E8"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B3795E">
        <w:rPr>
          <w:rFonts w:ascii="Palatino Linotype" w:hAnsi="Palatino Linotype"/>
          <w:i/>
          <w:sz w:val="22"/>
          <w:szCs w:val="22"/>
          <w:lang w:eastAsia="es-ES"/>
        </w:rPr>
        <w:t xml:space="preserve">Criterio 7 Registro Federal de Contribuyentes (RFC) de las personas físicas o morales de los posibles contratantes </w:t>
      </w:r>
    </w:p>
    <w:p w14:paraId="2D808365"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B3795E">
        <w:rPr>
          <w:rFonts w:ascii="Palatino Linotype" w:hAnsi="Palatino Linotype"/>
          <w:i/>
          <w:sz w:val="22"/>
          <w:szCs w:val="22"/>
          <w:lang w:eastAsia="es-ES"/>
        </w:rPr>
        <w:t xml:space="preserve">Criterio 8 Número de expediente, folio o nomenclatura que identifique a cada procedimiento Criterio 9 Hipervínculo a la convocatoria o invitaciones emitidas </w:t>
      </w:r>
    </w:p>
    <w:p w14:paraId="363D8D9D"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B3795E">
        <w:rPr>
          <w:rFonts w:ascii="Palatino Linotype" w:hAnsi="Palatino Linotype"/>
          <w:i/>
          <w:sz w:val="22"/>
          <w:szCs w:val="22"/>
          <w:lang w:eastAsia="es-ES"/>
        </w:rPr>
        <w:t xml:space="preserve">Criterio 10 Fecha de la convocatoria o invitación, expresada con el formato día/mes/año </w:t>
      </w:r>
    </w:p>
    <w:p w14:paraId="726E844B"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B3795E">
        <w:rPr>
          <w:rFonts w:ascii="Palatino Linotype" w:hAnsi="Palatino Linotype"/>
          <w:i/>
          <w:sz w:val="22"/>
          <w:szCs w:val="22"/>
          <w:lang w:eastAsia="es-ES"/>
        </w:rPr>
        <w:t xml:space="preserve">Criterio 11 Descripción de las obras públicas, los bienes o los servicios contratados </w:t>
      </w:r>
    </w:p>
    <w:p w14:paraId="14D61D4C"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p>
    <w:p w14:paraId="752E9D63"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B3795E">
        <w:rPr>
          <w:rFonts w:ascii="Palatino Linotype" w:hAnsi="Palatino Linotype"/>
          <w:i/>
          <w:sz w:val="22"/>
          <w:szCs w:val="22"/>
          <w:lang w:eastAsia="es-ES"/>
        </w:rPr>
        <w:t xml:space="preserve">Relación con los nombres de las personas físicas o morales que presentaron una proposición u oferta: </w:t>
      </w:r>
    </w:p>
    <w:p w14:paraId="1858C253"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p>
    <w:p w14:paraId="2023983C"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B3795E">
        <w:rPr>
          <w:rFonts w:ascii="Palatino Linotype" w:hAnsi="Palatino Linotype"/>
          <w:i/>
          <w:sz w:val="22"/>
          <w:szCs w:val="22"/>
          <w:lang w:eastAsia="es-ES"/>
        </w:rPr>
        <w:t xml:space="preserve">Criterio 12 En el caso de personas físicas: nombre[s], primer apellido, segundo apellido. En el caso de persona moral: razón social </w:t>
      </w:r>
    </w:p>
    <w:p w14:paraId="1094047A"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B3795E">
        <w:rPr>
          <w:rFonts w:ascii="Palatino Linotype" w:hAnsi="Palatino Linotype"/>
          <w:i/>
          <w:sz w:val="22"/>
          <w:szCs w:val="22"/>
          <w:lang w:eastAsia="es-ES"/>
        </w:rPr>
        <w:t>Criterio 13 Registro Federal de Contribuyentes (RFC</w:t>
      </w:r>
      <w:r w:rsidRPr="00B3795E">
        <w:rPr>
          <w:rFonts w:ascii="Palatino Linotype" w:hAnsi="Palatino Linotype"/>
          <w:b/>
          <w:i/>
          <w:sz w:val="22"/>
          <w:szCs w:val="22"/>
          <w:lang w:eastAsia="es-ES"/>
        </w:rPr>
        <w:t xml:space="preserve">) </w:t>
      </w:r>
      <w:r w:rsidRPr="00B3795E">
        <w:rPr>
          <w:rFonts w:ascii="Palatino Linotype" w:hAnsi="Palatino Linotype"/>
          <w:i/>
          <w:sz w:val="22"/>
          <w:szCs w:val="22"/>
          <w:lang w:eastAsia="es-ES"/>
        </w:rPr>
        <w:t xml:space="preserve">de las personas físicas o morales que presentaron una proposición u oferta </w:t>
      </w:r>
    </w:p>
    <w:p w14:paraId="197C6529"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B3795E">
        <w:rPr>
          <w:rFonts w:ascii="Palatino Linotype" w:hAnsi="Palatino Linotype"/>
          <w:i/>
          <w:sz w:val="22"/>
          <w:szCs w:val="22"/>
          <w:lang w:eastAsia="es-ES"/>
        </w:rPr>
        <w:t xml:space="preserve">Criterio 14 Fecha en la que se celebró la junta de aclaraciones108, expresada con el formato día/mes/año </w:t>
      </w:r>
    </w:p>
    <w:p w14:paraId="54418925"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p>
    <w:p w14:paraId="71373392"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B3795E">
        <w:rPr>
          <w:rFonts w:ascii="Palatino Linotype" w:hAnsi="Palatino Linotype"/>
          <w:b/>
          <w:i/>
          <w:sz w:val="22"/>
          <w:szCs w:val="22"/>
          <w:lang w:eastAsia="es-ES"/>
        </w:rPr>
        <w:t>Relación con los nombres de los asistentes a la junta de aclaraciones</w:t>
      </w:r>
      <w:r w:rsidRPr="00B3795E">
        <w:rPr>
          <w:rFonts w:ascii="Palatino Linotype" w:hAnsi="Palatino Linotype"/>
          <w:i/>
          <w:sz w:val="22"/>
          <w:szCs w:val="22"/>
          <w:lang w:eastAsia="es-ES"/>
        </w:rPr>
        <w:t xml:space="preserve">: </w:t>
      </w:r>
    </w:p>
    <w:p w14:paraId="6DC24DCA"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p>
    <w:p w14:paraId="522F31FF"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B3795E">
        <w:rPr>
          <w:rFonts w:ascii="Palatino Linotype" w:hAnsi="Palatino Linotype"/>
          <w:b/>
          <w:i/>
          <w:sz w:val="22"/>
          <w:szCs w:val="22"/>
          <w:lang w:eastAsia="es-ES"/>
        </w:rPr>
        <w:t>Criterio 15 Nombre[s], primer apellido, segundo apellido. En el caso de personas morales especificar su denominación o razón social</w:t>
      </w:r>
    </w:p>
    <w:p w14:paraId="779DE7F6"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B3795E">
        <w:rPr>
          <w:rFonts w:ascii="Palatino Linotype" w:hAnsi="Palatino Linotype"/>
          <w:b/>
          <w:i/>
          <w:sz w:val="22"/>
          <w:szCs w:val="22"/>
          <w:lang w:eastAsia="es-ES"/>
        </w:rPr>
        <w:lastRenderedPageBreak/>
        <w:t xml:space="preserve">Criterio 16 Registro Federal de Contribuyentes (RFC) de las personas físicas o morales asistentes a la junta de aclaraciones </w:t>
      </w:r>
    </w:p>
    <w:p w14:paraId="7FD8D0E2"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p>
    <w:p w14:paraId="3BD26C82"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B3795E">
        <w:rPr>
          <w:rFonts w:ascii="Palatino Linotype" w:hAnsi="Palatino Linotype"/>
          <w:b/>
          <w:i/>
          <w:sz w:val="22"/>
          <w:szCs w:val="22"/>
          <w:lang w:eastAsia="es-ES"/>
        </w:rPr>
        <w:t xml:space="preserve">Relación con los nombres de los servidores públicos asistentes a la junta de aclaraciones: </w:t>
      </w:r>
    </w:p>
    <w:p w14:paraId="12997B31"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p>
    <w:p w14:paraId="2517B09D"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B3795E">
        <w:rPr>
          <w:rFonts w:ascii="Palatino Linotype" w:hAnsi="Palatino Linotype"/>
          <w:b/>
          <w:i/>
          <w:sz w:val="22"/>
          <w:szCs w:val="22"/>
          <w:lang w:eastAsia="es-ES"/>
        </w:rPr>
        <w:t xml:space="preserve">Criterio 17 Nombre[s], primer apellido, segundo apellido) </w:t>
      </w:r>
    </w:p>
    <w:p w14:paraId="18DF3827"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B3795E">
        <w:rPr>
          <w:rFonts w:ascii="Palatino Linotype" w:hAnsi="Palatino Linotype"/>
          <w:b/>
          <w:i/>
          <w:sz w:val="22"/>
          <w:szCs w:val="22"/>
          <w:lang w:eastAsia="es-ES"/>
        </w:rPr>
        <w:t xml:space="preserve">Criterio 18 Registro Federal de Contribuyentes (RFC) de los servidores públicos asistentes a la junta de aclaraciones </w:t>
      </w:r>
    </w:p>
    <w:p w14:paraId="4679DDB9"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B3795E">
        <w:rPr>
          <w:rFonts w:ascii="Palatino Linotype" w:hAnsi="Palatino Linotype"/>
          <w:i/>
          <w:sz w:val="22"/>
          <w:szCs w:val="22"/>
          <w:lang w:eastAsia="es-ES"/>
        </w:rPr>
        <w:t xml:space="preserve">Criterio 19 Cargo que ocupan en el sujeto obligado los servidores públicos asistentes a la junta de aclaraciones </w:t>
      </w:r>
    </w:p>
    <w:p w14:paraId="4C3BECD4"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B3795E">
        <w:rPr>
          <w:rFonts w:ascii="Palatino Linotype" w:hAnsi="Palatino Linotype"/>
          <w:b/>
          <w:i/>
          <w:sz w:val="22"/>
          <w:szCs w:val="22"/>
          <w:lang w:eastAsia="es-ES"/>
        </w:rPr>
        <w:t xml:space="preserve">Criterio 20 Hipervínculo al fallo de la junta de aclaraciones o al documento correspondiente </w:t>
      </w:r>
    </w:p>
    <w:p w14:paraId="31F96D10"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B3795E">
        <w:rPr>
          <w:rFonts w:ascii="Palatino Linotype" w:hAnsi="Palatino Linotype"/>
          <w:b/>
          <w:i/>
          <w:sz w:val="22"/>
          <w:szCs w:val="22"/>
          <w:lang w:eastAsia="es-ES"/>
        </w:rPr>
        <w:t>Criterio 21 Hipervínculo al documento donde conste la presentación las propuestas</w:t>
      </w:r>
    </w:p>
    <w:p w14:paraId="48D9D5CE"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B3795E">
        <w:rPr>
          <w:rFonts w:ascii="Palatino Linotype" w:hAnsi="Palatino Linotype"/>
          <w:b/>
          <w:i/>
          <w:sz w:val="22"/>
          <w:szCs w:val="22"/>
          <w:lang w:eastAsia="es-ES"/>
        </w:rPr>
        <w:t xml:space="preserve">Criterio 22 Hipervínculo, en su caso, al (los) dictamen(es) </w:t>
      </w:r>
    </w:p>
    <w:p w14:paraId="67EC1541"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B3795E">
        <w:rPr>
          <w:rFonts w:ascii="Palatino Linotype" w:hAnsi="Palatino Linotype"/>
          <w:b/>
          <w:i/>
          <w:sz w:val="22"/>
          <w:szCs w:val="22"/>
          <w:lang w:eastAsia="es-ES"/>
        </w:rPr>
        <w:t xml:space="preserve">Criterio 23 Nombre completo o razón social del contratista o proveedor (en el caso de personas físicas: nombre[s], primer apellido, segundo apellido) </w:t>
      </w:r>
    </w:p>
    <w:p w14:paraId="66F83B26"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B3795E">
        <w:rPr>
          <w:rFonts w:ascii="Palatino Linotype" w:hAnsi="Palatino Linotype"/>
          <w:b/>
          <w:i/>
          <w:sz w:val="22"/>
          <w:szCs w:val="22"/>
          <w:lang w:eastAsia="es-ES"/>
        </w:rPr>
        <w:t xml:space="preserve">Criterio 24 RFC de la persona física o moral contratista o proveedor </w:t>
      </w:r>
    </w:p>
    <w:p w14:paraId="5C020728"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B3795E">
        <w:rPr>
          <w:rFonts w:ascii="Palatino Linotype" w:hAnsi="Palatino Linotype"/>
          <w:i/>
          <w:sz w:val="22"/>
          <w:szCs w:val="22"/>
          <w:lang w:eastAsia="es-ES"/>
        </w:rPr>
        <w:t>Criterio 25 Domicilio fiscal de la empresa, contratista o proveedor (tipo de vialidad [catálogo], nombre de vialidad [calle], número exterior, número interior [en su caso], Tipo de asentamiento humano [catálogo], nombre de asentamiento humano [colonia], clave de la localidad, nombre de la localidad, clave del municipio, nombre del municipio o delegación, clave de la entidad federativa, nombre de la entidad federativa [catálogo], código postal), es decir, el proporcionado ante el SAT</w:t>
      </w:r>
    </w:p>
    <w:p w14:paraId="54D96804"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B3795E">
        <w:rPr>
          <w:rFonts w:ascii="Palatino Linotype" w:hAnsi="Palatino Linotype"/>
          <w:i/>
          <w:sz w:val="22"/>
          <w:szCs w:val="22"/>
          <w:lang w:eastAsia="es-ES"/>
        </w:rPr>
        <w:lastRenderedPageBreak/>
        <w:t>Criterio 26 Domicilio en el extranjero. En caso de que la empresa, proveedor o contratista sea de otro país, se deberá especificar, por lo menos: país, ciudad, calle y número</w:t>
      </w:r>
    </w:p>
    <w:p w14:paraId="33783D2B"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B3795E">
        <w:rPr>
          <w:rFonts w:ascii="Palatino Linotype" w:hAnsi="Palatino Linotype"/>
          <w:b/>
          <w:i/>
          <w:sz w:val="22"/>
          <w:szCs w:val="22"/>
          <w:lang w:eastAsia="es-ES"/>
        </w:rPr>
        <w:t xml:space="preserve">Criterio 27 Descripción breve de las razones que justifican la elección del/los proveedor/es o contratista/s </w:t>
      </w:r>
    </w:p>
    <w:p w14:paraId="26CF5AB0"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B3795E">
        <w:rPr>
          <w:rFonts w:ascii="Palatino Linotype" w:hAnsi="Palatino Linotype"/>
          <w:i/>
          <w:sz w:val="22"/>
          <w:szCs w:val="22"/>
          <w:lang w:eastAsia="es-ES"/>
        </w:rPr>
        <w:t xml:space="preserve">Criterio 28 Área(s) solicitante(s) de las obras públicas, el arrendamiento, la adquisición de bienes y/o la prestación de servicios </w:t>
      </w:r>
    </w:p>
    <w:p w14:paraId="7BD6D106"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B3795E">
        <w:rPr>
          <w:rFonts w:ascii="Palatino Linotype" w:hAnsi="Palatino Linotype"/>
          <w:b/>
          <w:i/>
          <w:sz w:val="22"/>
          <w:szCs w:val="22"/>
          <w:lang w:eastAsia="es-ES"/>
        </w:rPr>
        <w:t xml:space="preserve">Criterio 29 Área(s) contratante(s) </w:t>
      </w:r>
    </w:p>
    <w:p w14:paraId="7B1DD122"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B3795E">
        <w:rPr>
          <w:rFonts w:ascii="Palatino Linotype" w:hAnsi="Palatino Linotype"/>
          <w:i/>
          <w:sz w:val="22"/>
          <w:szCs w:val="22"/>
          <w:lang w:eastAsia="es-ES"/>
        </w:rPr>
        <w:t xml:space="preserve">Criterio 30 Área(s) responsable de la ejecución </w:t>
      </w:r>
    </w:p>
    <w:p w14:paraId="41ECEC3A"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B3795E">
        <w:rPr>
          <w:rFonts w:ascii="Palatino Linotype" w:hAnsi="Palatino Linotype"/>
          <w:i/>
          <w:sz w:val="22"/>
          <w:szCs w:val="22"/>
          <w:lang w:eastAsia="es-ES"/>
        </w:rPr>
        <w:t xml:space="preserve">Criterio 31 Número que identifique al contrato </w:t>
      </w:r>
    </w:p>
    <w:p w14:paraId="392F560C"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B3795E">
        <w:rPr>
          <w:rFonts w:ascii="Palatino Linotype" w:hAnsi="Palatino Linotype"/>
          <w:i/>
          <w:sz w:val="22"/>
          <w:szCs w:val="22"/>
          <w:lang w:eastAsia="es-ES"/>
        </w:rPr>
        <w:t xml:space="preserve">Criterio 32 Fecha del contrato, expresada con el formato día/mes/año </w:t>
      </w:r>
    </w:p>
    <w:p w14:paraId="6804D031"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B3795E">
        <w:rPr>
          <w:rFonts w:ascii="Palatino Linotype" w:hAnsi="Palatino Linotype"/>
          <w:i/>
          <w:sz w:val="22"/>
          <w:szCs w:val="22"/>
          <w:lang w:eastAsia="es-ES"/>
        </w:rPr>
        <w:t xml:space="preserve">Criterio 33 Fecha de inicio de la vigencia del contrato, expresada con el formato día/mes/año </w:t>
      </w:r>
    </w:p>
    <w:p w14:paraId="1BB3CCBB"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B3795E">
        <w:rPr>
          <w:rFonts w:ascii="Palatino Linotype" w:hAnsi="Palatino Linotype"/>
          <w:i/>
          <w:sz w:val="22"/>
          <w:szCs w:val="22"/>
          <w:lang w:eastAsia="es-ES"/>
        </w:rPr>
        <w:t>Criterio 34 Fecha de término de la vigencia del contrato, expresada con el formato día/mes/año Criterio</w:t>
      </w:r>
    </w:p>
    <w:p w14:paraId="5BC1EF1C"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B3795E">
        <w:rPr>
          <w:rFonts w:ascii="Palatino Linotype" w:hAnsi="Palatino Linotype"/>
          <w:b/>
          <w:i/>
          <w:sz w:val="22"/>
          <w:szCs w:val="22"/>
          <w:lang w:eastAsia="es-ES"/>
        </w:rPr>
        <w:t xml:space="preserve">Criterio 35 Monto del contrato sin impuestos incluidos (expresados en pesos mexicanos) </w:t>
      </w:r>
    </w:p>
    <w:p w14:paraId="39FEE275"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B3795E">
        <w:rPr>
          <w:rFonts w:ascii="Palatino Linotype" w:hAnsi="Palatino Linotype"/>
          <w:b/>
          <w:i/>
          <w:sz w:val="22"/>
          <w:szCs w:val="22"/>
          <w:lang w:eastAsia="es-ES"/>
        </w:rPr>
        <w:t xml:space="preserve">Criterio 36 Monto total del contrato con impuestos incluidos (expresados en pesos mexicanos) </w:t>
      </w:r>
    </w:p>
    <w:p w14:paraId="024281D1"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B3795E">
        <w:rPr>
          <w:rFonts w:ascii="Palatino Linotype" w:hAnsi="Palatino Linotype"/>
          <w:b/>
          <w:i/>
          <w:sz w:val="22"/>
          <w:szCs w:val="22"/>
          <w:lang w:eastAsia="es-ES"/>
        </w:rPr>
        <w:t>Criterio 37 Monto mínimo con impuestos incluidos, en su caso109</w:t>
      </w:r>
    </w:p>
    <w:p w14:paraId="4C7AE433"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B3795E">
        <w:rPr>
          <w:rFonts w:ascii="Palatino Linotype" w:hAnsi="Palatino Linotype"/>
          <w:b/>
          <w:i/>
          <w:sz w:val="22"/>
          <w:szCs w:val="22"/>
          <w:lang w:eastAsia="es-ES"/>
        </w:rPr>
        <w:t xml:space="preserve">Criterio 38 Monto máximo con impuestos incluidos, en su caso </w:t>
      </w:r>
    </w:p>
    <w:p w14:paraId="219157FE"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B3795E">
        <w:rPr>
          <w:rFonts w:ascii="Palatino Linotype" w:hAnsi="Palatino Linotype"/>
          <w:i/>
          <w:sz w:val="22"/>
          <w:szCs w:val="22"/>
          <w:lang w:eastAsia="es-ES"/>
        </w:rPr>
        <w:t xml:space="preserve">Criterio 39 Tipo de moneda. Por ejemplo: Peso, Dólar, Euro, Libra, Yen </w:t>
      </w:r>
    </w:p>
    <w:p w14:paraId="5FE95F1F"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B3795E">
        <w:rPr>
          <w:rFonts w:ascii="Palatino Linotype" w:hAnsi="Palatino Linotype"/>
          <w:i/>
          <w:sz w:val="22"/>
          <w:szCs w:val="22"/>
          <w:lang w:eastAsia="es-ES"/>
        </w:rPr>
        <w:t xml:space="preserve">Criterio 40 Tipo de cambio de referencia, en su caso </w:t>
      </w:r>
    </w:p>
    <w:p w14:paraId="16F31CC7"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B3795E">
        <w:rPr>
          <w:rFonts w:ascii="Palatino Linotype" w:hAnsi="Palatino Linotype"/>
          <w:i/>
          <w:sz w:val="22"/>
          <w:szCs w:val="22"/>
          <w:lang w:eastAsia="es-ES"/>
        </w:rPr>
        <w:t xml:space="preserve">Criterio 41 Forma de pago. Por ejemplo: efectivo, cheque o transacción bancaria </w:t>
      </w:r>
    </w:p>
    <w:p w14:paraId="07A3C315"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B3795E">
        <w:rPr>
          <w:rFonts w:ascii="Palatino Linotype" w:hAnsi="Palatino Linotype"/>
          <w:i/>
          <w:sz w:val="22"/>
          <w:szCs w:val="22"/>
          <w:lang w:eastAsia="es-ES"/>
        </w:rPr>
        <w:t xml:space="preserve">Criterio 42 Objeto del contrato </w:t>
      </w:r>
    </w:p>
    <w:p w14:paraId="307FA65E"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p>
    <w:p w14:paraId="2C1E1E4B"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B3795E">
        <w:rPr>
          <w:rFonts w:ascii="Palatino Linotype" w:hAnsi="Palatino Linotype"/>
          <w:b/>
          <w:i/>
          <w:sz w:val="22"/>
          <w:szCs w:val="22"/>
          <w:lang w:eastAsia="es-ES"/>
        </w:rPr>
        <w:lastRenderedPageBreak/>
        <w:t xml:space="preserve">Señalar el plazo de entrega o de ejecución de los servicios contratados u obra pública a realizar: </w:t>
      </w:r>
    </w:p>
    <w:p w14:paraId="1A7CFB4A"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p>
    <w:p w14:paraId="47C109C5"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B3795E">
        <w:rPr>
          <w:rFonts w:ascii="Palatino Linotype" w:hAnsi="Palatino Linotype"/>
          <w:i/>
          <w:sz w:val="22"/>
          <w:szCs w:val="22"/>
          <w:lang w:eastAsia="es-ES"/>
        </w:rPr>
        <w:t xml:space="preserve">Criterio 43 Fecha de inicio expresada con el formato día/mes/año </w:t>
      </w:r>
    </w:p>
    <w:p w14:paraId="53A093C5"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B3795E">
        <w:rPr>
          <w:rFonts w:ascii="Palatino Linotype" w:hAnsi="Palatino Linotype"/>
          <w:i/>
          <w:sz w:val="22"/>
          <w:szCs w:val="22"/>
          <w:lang w:eastAsia="es-ES"/>
        </w:rPr>
        <w:t xml:space="preserve">Criterio 44 Fecha de término expresada con el formato día/mes/año </w:t>
      </w:r>
    </w:p>
    <w:p w14:paraId="5251D82A" w14:textId="77777777" w:rsidR="005C45D6" w:rsidRPr="00B3795E" w:rsidRDefault="005C45D6" w:rsidP="005C45D6">
      <w:pPr>
        <w:tabs>
          <w:tab w:val="left" w:pos="851"/>
          <w:tab w:val="left" w:pos="8505"/>
        </w:tabs>
        <w:spacing w:before="240" w:after="240" w:line="360" w:lineRule="auto"/>
        <w:ind w:left="567" w:right="616"/>
        <w:contextualSpacing/>
        <w:jc w:val="both"/>
        <w:rPr>
          <w:rFonts w:ascii="Palatino Linotype" w:hAnsi="Palatino Linotype"/>
          <w:b/>
          <w:i/>
          <w:sz w:val="22"/>
          <w:szCs w:val="22"/>
          <w:u w:val="single"/>
          <w:lang w:eastAsia="es-ES"/>
        </w:rPr>
      </w:pPr>
      <w:r w:rsidRPr="00B3795E">
        <w:rPr>
          <w:rFonts w:ascii="Palatino Linotype" w:hAnsi="Palatino Linotype"/>
          <w:b/>
          <w:i/>
          <w:sz w:val="22"/>
          <w:szCs w:val="22"/>
          <w:u w:val="single"/>
          <w:lang w:eastAsia="es-ES"/>
        </w:rPr>
        <w:t>Criterio 45 Hipervínculo al documento del contrato y sus anexos, en versión pública si así corresponde</w:t>
      </w:r>
    </w:p>
    <w:p w14:paraId="28DE96CE" w14:textId="77777777" w:rsidR="005C45D6" w:rsidRPr="00B3795E" w:rsidRDefault="005C45D6" w:rsidP="005C45D6">
      <w:pPr>
        <w:tabs>
          <w:tab w:val="left" w:pos="851"/>
        </w:tabs>
        <w:spacing w:before="240" w:after="240" w:line="360" w:lineRule="auto"/>
        <w:ind w:right="49"/>
        <w:contextualSpacing/>
        <w:jc w:val="both"/>
        <w:rPr>
          <w:rFonts w:ascii="Palatino Linotype" w:hAnsi="Palatino Linotype"/>
          <w:sz w:val="22"/>
          <w:lang w:val="es-ES" w:eastAsia="es-ES"/>
        </w:rPr>
      </w:pPr>
    </w:p>
    <w:p w14:paraId="7E4C249D" w14:textId="77777777" w:rsidR="005C38B7" w:rsidRPr="00B3795E" w:rsidRDefault="005C45D6" w:rsidP="00804395">
      <w:pPr>
        <w:numPr>
          <w:ilvl w:val="0"/>
          <w:numId w:val="9"/>
        </w:numPr>
        <w:spacing w:line="360" w:lineRule="auto"/>
        <w:ind w:left="0" w:right="-876" w:firstLine="0"/>
        <w:jc w:val="both"/>
        <w:rPr>
          <w:rFonts w:ascii="Palatino Linotype" w:hAnsi="Palatino Linotype" w:cs="Arial"/>
          <w:lang w:val="es-ES" w:eastAsia="es-ES"/>
        </w:rPr>
      </w:pPr>
      <w:r w:rsidRPr="00B3795E">
        <w:rPr>
          <w:rFonts w:ascii="Palatino Linotype" w:eastAsia="Calibri" w:hAnsi="Palatino Linotype" w:cs="Arial"/>
          <w:lang w:eastAsia="es-ES"/>
        </w:rPr>
        <w:t>Los</w:t>
      </w:r>
      <w:r w:rsidRPr="00B3795E">
        <w:rPr>
          <w:rFonts w:ascii="Palatino Linotype" w:hAnsi="Palatino Linotype" w:cs="Arial"/>
          <w:lang w:val="es-ES" w:eastAsia="es-ES"/>
        </w:rPr>
        <w:t xml:space="preserve"> Sujetos Obligados están obligados a poner a disposición del público de manera constante y actualizada, de forma sencilla, precisa y entendible, en los respectivos medios electrónicos, la información referente a los procesos y resultados sobre procedimientos de adjudicación directa, invitación restringida y licitación de cualquier naturaleza, en el que se debe contener dentro de la versión pública del expediente respectivo toda la información relativa a dichos procedimientos, desde la convocatoria hasta el fallo de adjudicación, contratos y demás información, conforme a lo dispuesto en la normatividad en la materia.</w:t>
      </w:r>
    </w:p>
    <w:p w14:paraId="4A259BB0" w14:textId="77777777" w:rsidR="00804395" w:rsidRPr="00B3795E" w:rsidRDefault="00804395" w:rsidP="00804395">
      <w:pPr>
        <w:spacing w:line="360" w:lineRule="auto"/>
        <w:ind w:right="-876"/>
        <w:jc w:val="both"/>
        <w:rPr>
          <w:rFonts w:ascii="Palatino Linotype" w:hAnsi="Palatino Linotype" w:cs="Arial"/>
          <w:lang w:val="es-ES" w:eastAsia="es-ES"/>
        </w:rPr>
      </w:pPr>
    </w:p>
    <w:p w14:paraId="1FD28422" w14:textId="77777777" w:rsidR="00804395" w:rsidRPr="00B3795E" w:rsidRDefault="00804395" w:rsidP="00804395">
      <w:pPr>
        <w:numPr>
          <w:ilvl w:val="0"/>
          <w:numId w:val="9"/>
        </w:numPr>
        <w:spacing w:line="360" w:lineRule="auto"/>
        <w:ind w:left="0" w:right="-876" w:firstLine="0"/>
        <w:jc w:val="both"/>
        <w:rPr>
          <w:rFonts w:ascii="Palatino Linotype" w:eastAsia="Arial Unicode MS" w:hAnsi="Palatino Linotype" w:cs="Arial"/>
          <w:b/>
          <w:lang w:val="es-ES" w:eastAsia="es-ES"/>
        </w:rPr>
      </w:pPr>
      <w:r w:rsidRPr="00B3795E">
        <w:rPr>
          <w:rFonts w:ascii="Palatino Linotype" w:eastAsia="Arial Unicode MS" w:hAnsi="Palatino Linotype" w:cs="Arial"/>
          <w:lang w:val="es-ES" w:eastAsia="es-ES"/>
        </w:rPr>
        <w:t xml:space="preserve">En primer término se considera importante referir que para efectos de dar claridad a la presente resolución, se considera pertinente precisar que se entiende por catálogo de proveedores y servicios; contratante y </w:t>
      </w:r>
      <w:r w:rsidRPr="00B3795E">
        <w:rPr>
          <w:rFonts w:ascii="Palatino Linotype" w:eastAsia="Arial Unicode MS" w:hAnsi="Palatino Linotype" w:cs="Arial"/>
          <w:b/>
          <w:lang w:val="es-ES" w:eastAsia="es-ES"/>
        </w:rPr>
        <w:t>proveedor.</w:t>
      </w:r>
    </w:p>
    <w:p w14:paraId="6A23D3FB" w14:textId="77777777" w:rsidR="00804395" w:rsidRPr="00B3795E" w:rsidRDefault="00804395" w:rsidP="00804395">
      <w:pPr>
        <w:numPr>
          <w:ilvl w:val="0"/>
          <w:numId w:val="30"/>
        </w:numPr>
        <w:autoSpaceDE w:val="0"/>
        <w:autoSpaceDN w:val="0"/>
        <w:adjustRightInd w:val="0"/>
        <w:spacing w:before="240" w:line="360" w:lineRule="auto"/>
        <w:jc w:val="both"/>
        <w:rPr>
          <w:rFonts w:ascii="Palatino Linotype" w:eastAsia="Arial Unicode MS" w:hAnsi="Palatino Linotype" w:cs="Arial"/>
          <w:sz w:val="22"/>
          <w:szCs w:val="22"/>
          <w:lang w:eastAsia="en-US"/>
        </w:rPr>
      </w:pPr>
      <w:r w:rsidRPr="00B3795E">
        <w:rPr>
          <w:rFonts w:ascii="Palatino Linotype" w:eastAsia="Arial Unicode MS" w:hAnsi="Palatino Linotype" w:cs="Arial"/>
          <w:sz w:val="22"/>
          <w:szCs w:val="22"/>
          <w:lang w:val="es-ES" w:eastAsia="en-US"/>
        </w:rPr>
        <w:t xml:space="preserve">Catálogo de Proveedores y Prestadores de Servicios: Lista de carácter público en la que se registran en el Sistema COMPRAMEX los proveedores y prestadores de servicios que han acreditado cumplir con los requisitos establecidos por la Secretaría, con la finalidad de que se les permita en los procedimientos de adquisición omitir la presentación de los documentos relacionados con su información administrativa, legal </w:t>
      </w:r>
      <w:r w:rsidRPr="00B3795E">
        <w:rPr>
          <w:rFonts w:ascii="Palatino Linotype" w:eastAsia="Arial Unicode MS" w:hAnsi="Palatino Linotype" w:cs="Arial"/>
          <w:sz w:val="22"/>
          <w:szCs w:val="22"/>
          <w:lang w:val="es-ES" w:eastAsia="en-US"/>
        </w:rPr>
        <w:lastRenderedPageBreak/>
        <w:t>y financiera, así como tener preferencia en las convocatorias que se realicen a procedimientos de invitación restringida (</w:t>
      </w:r>
      <w:r w:rsidRPr="00B3795E">
        <w:rPr>
          <w:rFonts w:ascii="Palatino Linotype" w:eastAsia="Arial Unicode MS" w:hAnsi="Palatino Linotype" w:cs="Arial"/>
          <w:i/>
          <w:sz w:val="22"/>
          <w:szCs w:val="22"/>
          <w:lang w:val="es-ES" w:eastAsia="en-US"/>
        </w:rPr>
        <w:t>artículo 2 fracción IV del Reglamento de la Ley de Contratación Pública del Estado de México y Municipios</w:t>
      </w:r>
      <w:r w:rsidRPr="00B3795E">
        <w:rPr>
          <w:rFonts w:ascii="Palatino Linotype" w:eastAsia="Arial Unicode MS" w:hAnsi="Palatino Linotype" w:cs="Arial"/>
          <w:sz w:val="22"/>
          <w:szCs w:val="22"/>
          <w:lang w:val="es-ES" w:eastAsia="en-US"/>
        </w:rPr>
        <w:t>).</w:t>
      </w:r>
    </w:p>
    <w:p w14:paraId="7B8836E5" w14:textId="77777777" w:rsidR="00804395" w:rsidRPr="00B3795E" w:rsidRDefault="00804395" w:rsidP="00804395">
      <w:pPr>
        <w:numPr>
          <w:ilvl w:val="0"/>
          <w:numId w:val="30"/>
        </w:numPr>
        <w:autoSpaceDE w:val="0"/>
        <w:autoSpaceDN w:val="0"/>
        <w:adjustRightInd w:val="0"/>
        <w:spacing w:before="240" w:line="360" w:lineRule="auto"/>
        <w:jc w:val="both"/>
        <w:rPr>
          <w:rFonts w:ascii="Palatino Linotype" w:eastAsia="Arial Unicode MS" w:hAnsi="Palatino Linotype" w:cs="Arial"/>
          <w:sz w:val="22"/>
          <w:szCs w:val="22"/>
          <w:lang w:eastAsia="en-US"/>
        </w:rPr>
      </w:pPr>
      <w:r w:rsidRPr="00B3795E">
        <w:rPr>
          <w:rFonts w:ascii="Palatino Linotype" w:eastAsia="Arial Unicode MS" w:hAnsi="Palatino Linotype" w:cs="Arial"/>
          <w:sz w:val="22"/>
          <w:szCs w:val="22"/>
          <w:lang w:val="es-ES" w:eastAsia="en-US"/>
        </w:rPr>
        <w:t>Contratante: Secretaría, dependencia, entidad, tribunal administrativo o municipio, que celebra contrato con un proveedor de bienes o prestador de servicios que haya resultado adjudicado en un procedimiento para la adquisición, enajenación o arrendamiento de bienes o servicios, en términos de la Ley y del presente Reglamento (</w:t>
      </w:r>
      <w:r w:rsidRPr="00B3795E">
        <w:rPr>
          <w:rFonts w:ascii="Palatino Linotype" w:eastAsia="Arial Unicode MS" w:hAnsi="Palatino Linotype" w:cs="Arial"/>
          <w:i/>
          <w:sz w:val="22"/>
          <w:szCs w:val="22"/>
          <w:lang w:val="es-ES" w:eastAsia="en-US"/>
        </w:rPr>
        <w:t>artículo 2 fracción VI del Reglamento de la Ley de Contratación Pública del Estado de México y Municipios</w:t>
      </w:r>
      <w:r w:rsidRPr="00B3795E">
        <w:rPr>
          <w:rFonts w:ascii="Palatino Linotype" w:eastAsia="Arial Unicode MS" w:hAnsi="Palatino Linotype" w:cs="Arial"/>
          <w:sz w:val="22"/>
          <w:szCs w:val="22"/>
          <w:lang w:val="es-ES" w:eastAsia="en-US"/>
        </w:rPr>
        <w:t>).</w:t>
      </w:r>
    </w:p>
    <w:p w14:paraId="33AEF2EB" w14:textId="77777777" w:rsidR="00804395" w:rsidRPr="00B3795E" w:rsidRDefault="00804395" w:rsidP="00804395">
      <w:pPr>
        <w:numPr>
          <w:ilvl w:val="0"/>
          <w:numId w:val="30"/>
        </w:numPr>
        <w:autoSpaceDE w:val="0"/>
        <w:autoSpaceDN w:val="0"/>
        <w:adjustRightInd w:val="0"/>
        <w:spacing w:before="240" w:line="360" w:lineRule="auto"/>
        <w:jc w:val="both"/>
        <w:rPr>
          <w:rFonts w:ascii="Palatino Linotype" w:eastAsia="Arial Unicode MS" w:hAnsi="Palatino Linotype" w:cs="Arial"/>
          <w:sz w:val="22"/>
          <w:szCs w:val="22"/>
          <w:lang w:eastAsia="en-US"/>
        </w:rPr>
      </w:pPr>
      <w:r w:rsidRPr="00B3795E">
        <w:rPr>
          <w:rFonts w:ascii="Palatino Linotype" w:eastAsia="Arial Unicode MS" w:hAnsi="Palatino Linotype" w:cs="Arial"/>
          <w:b/>
          <w:sz w:val="22"/>
          <w:szCs w:val="22"/>
          <w:lang w:val="es-ES" w:eastAsia="en-US"/>
        </w:rPr>
        <w:t>Proveedor:</w:t>
      </w:r>
      <w:r w:rsidRPr="00B3795E">
        <w:rPr>
          <w:rFonts w:ascii="Palatino Linotype" w:eastAsia="Arial Unicode MS" w:hAnsi="Palatino Linotype" w:cs="Arial"/>
          <w:sz w:val="22"/>
          <w:szCs w:val="22"/>
          <w:lang w:val="es-ES" w:eastAsia="en-US"/>
        </w:rPr>
        <w:t xml:space="preserve"> Persona que celebra contratos de adquisición de bienes con la Secretaría, las dependencias, organismos auxiliares, tribunales administrativos o municipios (</w:t>
      </w:r>
      <w:r w:rsidRPr="00B3795E">
        <w:rPr>
          <w:rFonts w:ascii="Palatino Linotype" w:eastAsia="Arial Unicode MS" w:hAnsi="Palatino Linotype" w:cs="Arial"/>
          <w:i/>
          <w:sz w:val="22"/>
          <w:szCs w:val="22"/>
          <w:lang w:val="es-ES" w:eastAsia="en-US"/>
        </w:rPr>
        <w:t>artículo 2 fracción XXII del Reglamento de la Ley de Contratación Pública del Estado de México y Municipios</w:t>
      </w:r>
      <w:r w:rsidRPr="00B3795E">
        <w:rPr>
          <w:rFonts w:ascii="Palatino Linotype" w:eastAsia="Arial Unicode MS" w:hAnsi="Palatino Linotype" w:cs="Arial"/>
          <w:sz w:val="22"/>
          <w:szCs w:val="22"/>
          <w:lang w:val="es-ES" w:eastAsia="en-US"/>
        </w:rPr>
        <w:t>).</w:t>
      </w:r>
    </w:p>
    <w:p w14:paraId="59A9E16F" w14:textId="77777777" w:rsidR="00804395" w:rsidRPr="00B3795E" w:rsidRDefault="00804395" w:rsidP="005C45D6">
      <w:pPr>
        <w:spacing w:line="360" w:lineRule="auto"/>
        <w:contextualSpacing/>
        <w:jc w:val="both"/>
        <w:rPr>
          <w:rFonts w:ascii="Palatino Linotype" w:hAnsi="Palatino Linotype" w:cs="Arial"/>
          <w:lang w:val="es-ES" w:eastAsia="es-ES"/>
        </w:rPr>
      </w:pPr>
    </w:p>
    <w:p w14:paraId="653A44C6" w14:textId="77777777" w:rsidR="005C38B7" w:rsidRPr="00B3795E" w:rsidRDefault="005C38B7" w:rsidP="00804395">
      <w:pPr>
        <w:spacing w:line="360" w:lineRule="auto"/>
        <w:ind w:right="-876"/>
        <w:jc w:val="both"/>
        <w:rPr>
          <w:rFonts w:ascii="Palatino Linotype" w:eastAsia="Palatino Linotype" w:hAnsi="Palatino Linotype" w:cs="Palatino Linotype"/>
          <w:color w:val="000000"/>
        </w:rPr>
      </w:pPr>
    </w:p>
    <w:p w14:paraId="076D5DE3" w14:textId="77777777" w:rsidR="006C673C" w:rsidRPr="00B3795E" w:rsidRDefault="005C45D6" w:rsidP="006C673C">
      <w:pPr>
        <w:numPr>
          <w:ilvl w:val="0"/>
          <w:numId w:val="9"/>
        </w:numPr>
        <w:spacing w:line="360" w:lineRule="auto"/>
        <w:ind w:left="0" w:right="-876" w:firstLine="0"/>
        <w:jc w:val="both"/>
        <w:rPr>
          <w:rFonts w:ascii="Palatino Linotype" w:eastAsia="Palatino Linotype" w:hAnsi="Palatino Linotype" w:cs="Palatino Linotype"/>
          <w:b/>
        </w:rPr>
      </w:pPr>
      <w:r w:rsidRPr="00B3795E">
        <w:rPr>
          <w:rFonts w:ascii="Palatino Linotype" w:eastAsia="Palatino Linotype" w:hAnsi="Palatino Linotype" w:cs="Palatino Linotype"/>
        </w:rPr>
        <w:t>R</w:t>
      </w:r>
      <w:r w:rsidR="006C673C" w:rsidRPr="00B3795E">
        <w:rPr>
          <w:rFonts w:ascii="Palatino Linotype" w:eastAsia="Palatino Linotype" w:hAnsi="Palatino Linotype" w:cs="Palatino Linotype"/>
          <w:color w:val="000000"/>
        </w:rPr>
        <w:t xml:space="preserve">especto al Recurso de Revisión </w:t>
      </w:r>
      <w:r w:rsidR="006C673C" w:rsidRPr="00B3795E">
        <w:rPr>
          <w:rFonts w:ascii="Palatino Linotype" w:eastAsia="Palatino Linotype" w:hAnsi="Palatino Linotype" w:cs="Palatino Linotype"/>
          <w:b/>
        </w:rPr>
        <w:t xml:space="preserve">04338/INFOEM/IP/RR/2024, </w:t>
      </w:r>
      <w:r w:rsidR="006C673C" w:rsidRPr="00B3795E">
        <w:rPr>
          <w:rFonts w:ascii="Palatino Linotype" w:eastAsia="Palatino Linotype" w:hAnsi="Palatino Linotype" w:cs="Palatino Linotype"/>
        </w:rPr>
        <w:t>e</w:t>
      </w:r>
      <w:r w:rsidRPr="00B3795E">
        <w:rPr>
          <w:rFonts w:ascii="Palatino Linotype" w:eastAsia="Palatino Linotype" w:hAnsi="Palatino Linotype" w:cs="Palatino Linotype"/>
        </w:rPr>
        <w:t>n donde el Recurrente solicita,</w:t>
      </w:r>
      <w:r w:rsidR="006C673C" w:rsidRPr="00B3795E">
        <w:rPr>
          <w:rFonts w:ascii="Palatino Linotype" w:eastAsia="Palatino Linotype" w:hAnsi="Palatino Linotype" w:cs="Palatino Linotype"/>
        </w:rPr>
        <w:t xml:space="preserve"> la</w:t>
      </w:r>
      <w:r w:rsidR="006C673C" w:rsidRPr="00B3795E">
        <w:rPr>
          <w:rFonts w:ascii="Palatino Linotype" w:eastAsia="Palatino Linotype" w:hAnsi="Palatino Linotype" w:cs="Palatino Linotype"/>
          <w:b/>
        </w:rPr>
        <w:t xml:space="preserve"> </w:t>
      </w:r>
      <w:r w:rsidR="006C673C" w:rsidRPr="00B3795E">
        <w:rPr>
          <w:rFonts w:ascii="Palatino Linotype" w:eastAsia="Palatino Linotype" w:hAnsi="Palatino Linotype" w:cs="Palatino Linotype"/>
        </w:rPr>
        <w:t>Cuenta por pagar a proveedores del ejercicio 2024.</w:t>
      </w:r>
    </w:p>
    <w:p w14:paraId="09B78DE8" w14:textId="77777777" w:rsidR="00171D0B" w:rsidRPr="00B3795E" w:rsidRDefault="00171D0B" w:rsidP="00171D0B">
      <w:pPr>
        <w:spacing w:line="360" w:lineRule="auto"/>
        <w:ind w:right="-876"/>
        <w:jc w:val="both"/>
        <w:rPr>
          <w:rFonts w:ascii="Palatino Linotype" w:eastAsia="Palatino Linotype" w:hAnsi="Palatino Linotype" w:cs="Palatino Linotype"/>
        </w:rPr>
      </w:pPr>
    </w:p>
    <w:p w14:paraId="61CBB8D9" w14:textId="77777777" w:rsidR="001A0ED2" w:rsidRPr="00B3795E" w:rsidRDefault="001A0ED2" w:rsidP="001A0ED2">
      <w:pPr>
        <w:numPr>
          <w:ilvl w:val="0"/>
          <w:numId w:val="9"/>
        </w:numPr>
        <w:spacing w:line="360" w:lineRule="auto"/>
        <w:ind w:left="0" w:right="-876" w:firstLine="0"/>
        <w:jc w:val="both"/>
        <w:rPr>
          <w:rFonts w:ascii="Palatino Linotype" w:eastAsia="Palatino Linotype" w:hAnsi="Palatino Linotype" w:cs="Palatino Linotype"/>
        </w:rPr>
      </w:pPr>
      <w:r w:rsidRPr="00B3795E">
        <w:rPr>
          <w:rFonts w:ascii="Palatino Linotype" w:eastAsia="Palatino Linotype" w:hAnsi="Palatino Linotype" w:cs="Palatino Linotype"/>
        </w:rPr>
        <w:t>Ahora</w:t>
      </w:r>
      <w:r w:rsidRPr="00B3795E">
        <w:rPr>
          <w:rFonts w:ascii="Palatino Linotype" w:eastAsia="Palatino Linotype" w:hAnsi="Palatino Linotype" w:cs="Palatino Linotype"/>
          <w:color w:val="000000"/>
        </w:rPr>
        <w:t xml:space="preserve"> bien el Recurrente se inconformó por que la información</w:t>
      </w:r>
      <w:r w:rsidRPr="00B3795E">
        <w:rPr>
          <w:rFonts w:ascii="Palatino Linotype" w:eastAsia="Palatino Linotype" w:hAnsi="Palatino Linotype" w:cs="Palatino Linotype"/>
        </w:rPr>
        <w:t xml:space="preserve"> requerida no cumple con el formato de datos abiertos, por una parte anexan el listado de proveedores y por otra anexan los montos. que absurdo y que desconocimiento de la ley, por ello pido que me anexen la información en formato abierto como lo marcan los principios de acceso a la información. Sin embargo de la información remitida por el Sujeto Obligado, esta, si bien se remitio en </w:t>
      </w:r>
      <w:r w:rsidRPr="00B3795E">
        <w:rPr>
          <w:rFonts w:ascii="Palatino Linotype" w:eastAsia="Palatino Linotype" w:hAnsi="Palatino Linotype" w:cs="Palatino Linotype"/>
        </w:rPr>
        <w:lastRenderedPageBreak/>
        <w:t>formato pdf, también lo es que la misma información es accesible. Por lo que resulta necesario realizar las siguientes anotaciones.</w:t>
      </w:r>
    </w:p>
    <w:p w14:paraId="5F7F462E" w14:textId="77777777" w:rsidR="001A0ED2" w:rsidRPr="00B3795E" w:rsidRDefault="001A0ED2" w:rsidP="001A0ED2">
      <w:pPr>
        <w:spacing w:line="360" w:lineRule="auto"/>
        <w:ind w:right="-876"/>
        <w:jc w:val="both"/>
        <w:rPr>
          <w:rFonts w:ascii="Palatino Linotype" w:eastAsia="Palatino Linotype" w:hAnsi="Palatino Linotype" w:cs="Palatino Linotype"/>
        </w:rPr>
      </w:pPr>
    </w:p>
    <w:p w14:paraId="30B43B63" w14:textId="77777777" w:rsidR="001A0ED2" w:rsidRPr="00B3795E" w:rsidRDefault="001A0ED2" w:rsidP="001A0ED2">
      <w:pPr>
        <w:numPr>
          <w:ilvl w:val="0"/>
          <w:numId w:val="9"/>
        </w:numPr>
        <w:spacing w:line="360" w:lineRule="auto"/>
        <w:ind w:left="0" w:right="-876" w:firstLine="0"/>
        <w:jc w:val="both"/>
        <w:rPr>
          <w:rFonts w:ascii="Palatino Linotype" w:eastAsia="MS Mincho" w:hAnsi="Palatino Linotype"/>
          <w:color w:val="000000"/>
          <w:lang w:eastAsia="es-ES"/>
        </w:rPr>
      </w:pPr>
      <w:r w:rsidRPr="00B3795E">
        <w:rPr>
          <w:rFonts w:ascii="Palatino Linotype" w:eastAsia="MS Mincho" w:hAnsi="Palatino Linotype"/>
          <w:color w:val="000000"/>
          <w:lang w:eastAsia="es-ES"/>
        </w:rPr>
        <w:t>La Ley de Transparencia y Acceso a la Información Pública del Estado de México y Municipios, en su artículo 3, fracción VIII, establece que se entenderá por Datos Abiertos a los datos digitales de carácter público que son accesibles en línea que pueden ser usados, reutilizados y redistribuidos por cualquier interesado y que tienen las siguientes características:</w:t>
      </w:r>
    </w:p>
    <w:p w14:paraId="0D57154B" w14:textId="77777777" w:rsidR="001A0ED2" w:rsidRPr="00B3795E" w:rsidRDefault="001A0ED2" w:rsidP="001A0ED2">
      <w:pPr>
        <w:numPr>
          <w:ilvl w:val="1"/>
          <w:numId w:val="28"/>
        </w:numPr>
        <w:tabs>
          <w:tab w:val="left" w:pos="426"/>
        </w:tabs>
        <w:spacing w:before="240" w:after="240" w:line="360" w:lineRule="auto"/>
        <w:ind w:left="1134" w:right="51"/>
        <w:contextualSpacing/>
        <w:jc w:val="both"/>
        <w:rPr>
          <w:rFonts w:ascii="Palatino Linotype" w:eastAsia="MS Mincho" w:hAnsi="Palatino Linotype"/>
          <w:color w:val="000000"/>
          <w:lang w:eastAsia="es-ES"/>
        </w:rPr>
      </w:pPr>
      <w:r w:rsidRPr="00B3795E">
        <w:rPr>
          <w:rFonts w:ascii="Palatino Linotype" w:eastAsia="MS Mincho" w:hAnsi="Palatino Linotype"/>
          <w:b/>
          <w:bCs/>
          <w:color w:val="000000"/>
          <w:lang w:eastAsia="es-ES"/>
        </w:rPr>
        <w:t>Accesibles:</w:t>
      </w:r>
      <w:r w:rsidRPr="00B3795E">
        <w:rPr>
          <w:rFonts w:ascii="Palatino Linotype" w:eastAsia="MS Mincho" w:hAnsi="Palatino Linotype"/>
          <w:color w:val="000000"/>
          <w:lang w:eastAsia="es-ES"/>
        </w:rPr>
        <w:t xml:space="preserve"> Los datos están disponibles para la gama más amplia de usuarios, para cualquier propósito; </w:t>
      </w:r>
    </w:p>
    <w:p w14:paraId="60D886EE" w14:textId="77777777" w:rsidR="001A0ED2" w:rsidRPr="00B3795E" w:rsidRDefault="001A0ED2" w:rsidP="001A0ED2">
      <w:pPr>
        <w:numPr>
          <w:ilvl w:val="1"/>
          <w:numId w:val="28"/>
        </w:numPr>
        <w:tabs>
          <w:tab w:val="left" w:pos="426"/>
        </w:tabs>
        <w:spacing w:before="240" w:after="240" w:line="360" w:lineRule="auto"/>
        <w:ind w:left="1134" w:right="51"/>
        <w:contextualSpacing/>
        <w:jc w:val="both"/>
        <w:rPr>
          <w:rFonts w:ascii="Palatino Linotype" w:eastAsia="MS Mincho" w:hAnsi="Palatino Linotype"/>
          <w:color w:val="000000"/>
          <w:lang w:eastAsia="es-ES"/>
        </w:rPr>
      </w:pPr>
      <w:r w:rsidRPr="00B3795E">
        <w:rPr>
          <w:rFonts w:ascii="Palatino Linotype" w:eastAsia="MS Mincho" w:hAnsi="Palatino Linotype"/>
          <w:b/>
          <w:bCs/>
          <w:color w:val="000000"/>
          <w:lang w:eastAsia="es-ES"/>
        </w:rPr>
        <w:t>Integrales:</w:t>
      </w:r>
      <w:r w:rsidRPr="00B3795E">
        <w:rPr>
          <w:rFonts w:ascii="Palatino Linotype" w:eastAsia="MS Mincho" w:hAnsi="Palatino Linotype"/>
          <w:color w:val="000000"/>
          <w:lang w:eastAsia="es-ES"/>
        </w:rPr>
        <w:t xml:space="preserve"> Contienen el tema que describen a detalle y con los metadatos necesarios; </w:t>
      </w:r>
    </w:p>
    <w:p w14:paraId="6DBD4A80" w14:textId="77777777" w:rsidR="001A0ED2" w:rsidRPr="00B3795E" w:rsidRDefault="001A0ED2" w:rsidP="001A0ED2">
      <w:pPr>
        <w:numPr>
          <w:ilvl w:val="1"/>
          <w:numId w:val="28"/>
        </w:numPr>
        <w:tabs>
          <w:tab w:val="left" w:pos="426"/>
        </w:tabs>
        <w:spacing w:before="240" w:after="240" w:line="360" w:lineRule="auto"/>
        <w:ind w:left="1134" w:right="51"/>
        <w:contextualSpacing/>
        <w:jc w:val="both"/>
        <w:rPr>
          <w:rFonts w:ascii="Palatino Linotype" w:eastAsia="MS Mincho" w:hAnsi="Palatino Linotype"/>
          <w:color w:val="000000"/>
          <w:lang w:eastAsia="es-ES"/>
        </w:rPr>
      </w:pPr>
      <w:r w:rsidRPr="00B3795E">
        <w:rPr>
          <w:rFonts w:ascii="Palatino Linotype" w:eastAsia="MS Mincho" w:hAnsi="Palatino Linotype"/>
          <w:b/>
          <w:bCs/>
          <w:color w:val="000000"/>
          <w:lang w:eastAsia="es-ES"/>
        </w:rPr>
        <w:t>Gratuitos:</w:t>
      </w:r>
      <w:r w:rsidRPr="00B3795E">
        <w:rPr>
          <w:rFonts w:ascii="Palatino Linotype" w:eastAsia="MS Mincho" w:hAnsi="Palatino Linotype"/>
          <w:color w:val="000000"/>
          <w:lang w:eastAsia="es-ES"/>
        </w:rPr>
        <w:t xml:space="preserve"> Se obtienen sin entregar a cambio contraprestación alguna; </w:t>
      </w:r>
    </w:p>
    <w:p w14:paraId="11DFFBE0" w14:textId="77777777" w:rsidR="001A0ED2" w:rsidRPr="00B3795E" w:rsidRDefault="001A0ED2" w:rsidP="001A0ED2">
      <w:pPr>
        <w:numPr>
          <w:ilvl w:val="1"/>
          <w:numId w:val="28"/>
        </w:numPr>
        <w:tabs>
          <w:tab w:val="left" w:pos="426"/>
        </w:tabs>
        <w:spacing w:before="240" w:after="240" w:line="360" w:lineRule="auto"/>
        <w:ind w:left="1134" w:right="51"/>
        <w:contextualSpacing/>
        <w:jc w:val="both"/>
        <w:rPr>
          <w:rFonts w:ascii="Palatino Linotype" w:eastAsia="MS Mincho" w:hAnsi="Palatino Linotype"/>
          <w:color w:val="000000"/>
          <w:lang w:eastAsia="es-ES"/>
        </w:rPr>
      </w:pPr>
      <w:r w:rsidRPr="00B3795E">
        <w:rPr>
          <w:rFonts w:ascii="Palatino Linotype" w:eastAsia="MS Mincho" w:hAnsi="Palatino Linotype"/>
          <w:b/>
          <w:bCs/>
          <w:color w:val="000000"/>
          <w:lang w:eastAsia="es-ES"/>
        </w:rPr>
        <w:t>No discriminatorios:</w:t>
      </w:r>
      <w:r w:rsidRPr="00B3795E">
        <w:rPr>
          <w:rFonts w:ascii="Palatino Linotype" w:eastAsia="MS Mincho" w:hAnsi="Palatino Linotype"/>
          <w:color w:val="000000"/>
          <w:lang w:eastAsia="es-ES"/>
        </w:rPr>
        <w:t xml:space="preserve"> Los datos están disponibles para cualquier persona, sin necesidad de registro; </w:t>
      </w:r>
    </w:p>
    <w:p w14:paraId="58CE7F17" w14:textId="77777777" w:rsidR="001A0ED2" w:rsidRPr="00B3795E" w:rsidRDefault="001A0ED2" w:rsidP="001A0ED2">
      <w:pPr>
        <w:numPr>
          <w:ilvl w:val="1"/>
          <w:numId w:val="28"/>
        </w:numPr>
        <w:tabs>
          <w:tab w:val="left" w:pos="426"/>
        </w:tabs>
        <w:spacing w:before="240" w:after="240" w:line="360" w:lineRule="auto"/>
        <w:ind w:left="1134" w:right="51"/>
        <w:contextualSpacing/>
        <w:jc w:val="both"/>
        <w:rPr>
          <w:rFonts w:ascii="Palatino Linotype" w:eastAsia="MS Mincho" w:hAnsi="Palatino Linotype"/>
          <w:color w:val="000000"/>
          <w:lang w:eastAsia="es-ES"/>
        </w:rPr>
      </w:pPr>
      <w:r w:rsidRPr="00B3795E">
        <w:rPr>
          <w:rFonts w:ascii="Palatino Linotype" w:eastAsia="MS Mincho" w:hAnsi="Palatino Linotype"/>
          <w:b/>
          <w:bCs/>
          <w:color w:val="000000"/>
          <w:lang w:eastAsia="es-ES"/>
        </w:rPr>
        <w:t>Oportunos:</w:t>
      </w:r>
      <w:r w:rsidRPr="00B3795E">
        <w:rPr>
          <w:rFonts w:ascii="Palatino Linotype" w:eastAsia="MS Mincho" w:hAnsi="Palatino Linotype"/>
          <w:color w:val="000000"/>
          <w:lang w:eastAsia="es-ES"/>
        </w:rPr>
        <w:t xml:space="preserve"> Son actualizados, periódicamente, conforme se generen; </w:t>
      </w:r>
    </w:p>
    <w:p w14:paraId="04EE7079" w14:textId="77777777" w:rsidR="001A0ED2" w:rsidRPr="00B3795E" w:rsidRDefault="001A0ED2" w:rsidP="001A0ED2">
      <w:pPr>
        <w:numPr>
          <w:ilvl w:val="1"/>
          <w:numId w:val="28"/>
        </w:numPr>
        <w:tabs>
          <w:tab w:val="left" w:pos="426"/>
        </w:tabs>
        <w:spacing w:before="240" w:after="240" w:line="360" w:lineRule="auto"/>
        <w:ind w:left="1134" w:right="51"/>
        <w:contextualSpacing/>
        <w:jc w:val="both"/>
        <w:rPr>
          <w:rFonts w:ascii="Palatino Linotype" w:eastAsia="MS Mincho" w:hAnsi="Palatino Linotype"/>
          <w:color w:val="000000"/>
          <w:lang w:eastAsia="es-ES"/>
        </w:rPr>
      </w:pPr>
      <w:r w:rsidRPr="00B3795E">
        <w:rPr>
          <w:rFonts w:ascii="Palatino Linotype" w:eastAsia="MS Mincho" w:hAnsi="Palatino Linotype"/>
          <w:b/>
          <w:bCs/>
          <w:color w:val="000000"/>
          <w:lang w:eastAsia="es-ES"/>
        </w:rPr>
        <w:t>Permanentes:</w:t>
      </w:r>
      <w:r w:rsidRPr="00B3795E">
        <w:rPr>
          <w:rFonts w:ascii="Palatino Linotype" w:eastAsia="MS Mincho" w:hAnsi="Palatino Linotype"/>
          <w:color w:val="000000"/>
          <w:lang w:eastAsia="es-ES"/>
        </w:rPr>
        <w:t xml:space="preserve"> Se conservan en el tiempo, para lo cual, las versiones históricas relevantes para uso público se mantendrán disponibles con identificadores adecuados al efecto; </w:t>
      </w:r>
    </w:p>
    <w:p w14:paraId="4A5D80A3" w14:textId="77777777" w:rsidR="001A0ED2" w:rsidRPr="00B3795E" w:rsidRDefault="001A0ED2" w:rsidP="001A0ED2">
      <w:pPr>
        <w:numPr>
          <w:ilvl w:val="1"/>
          <w:numId w:val="28"/>
        </w:numPr>
        <w:tabs>
          <w:tab w:val="left" w:pos="426"/>
        </w:tabs>
        <w:spacing w:before="240" w:after="240" w:line="360" w:lineRule="auto"/>
        <w:ind w:left="1134" w:right="51"/>
        <w:contextualSpacing/>
        <w:jc w:val="both"/>
        <w:rPr>
          <w:rFonts w:ascii="Palatino Linotype" w:eastAsia="MS Mincho" w:hAnsi="Palatino Linotype"/>
          <w:color w:val="000000"/>
          <w:lang w:eastAsia="es-ES"/>
        </w:rPr>
      </w:pPr>
      <w:r w:rsidRPr="00B3795E">
        <w:rPr>
          <w:rFonts w:ascii="Palatino Linotype" w:eastAsia="MS Mincho" w:hAnsi="Palatino Linotype"/>
          <w:b/>
          <w:bCs/>
          <w:color w:val="000000"/>
          <w:lang w:eastAsia="es-ES"/>
        </w:rPr>
        <w:t xml:space="preserve">Primarios: </w:t>
      </w:r>
      <w:r w:rsidRPr="00B3795E">
        <w:rPr>
          <w:rFonts w:ascii="Palatino Linotype" w:eastAsia="MS Mincho" w:hAnsi="Palatino Linotype"/>
          <w:color w:val="000000"/>
          <w:lang w:eastAsia="es-ES"/>
        </w:rPr>
        <w:t xml:space="preserve">Provienen de la fuente de origen con el máximo nivel de desagregación posible; </w:t>
      </w:r>
    </w:p>
    <w:p w14:paraId="001CCD47" w14:textId="77777777" w:rsidR="001A0ED2" w:rsidRPr="00B3795E" w:rsidRDefault="001A0ED2" w:rsidP="001A0ED2">
      <w:pPr>
        <w:numPr>
          <w:ilvl w:val="1"/>
          <w:numId w:val="28"/>
        </w:numPr>
        <w:tabs>
          <w:tab w:val="left" w:pos="426"/>
        </w:tabs>
        <w:spacing w:before="240" w:after="240" w:line="360" w:lineRule="auto"/>
        <w:ind w:left="1134" w:right="51"/>
        <w:contextualSpacing/>
        <w:jc w:val="both"/>
        <w:rPr>
          <w:rFonts w:ascii="Palatino Linotype" w:eastAsia="MS Mincho" w:hAnsi="Palatino Linotype"/>
          <w:b/>
          <w:bCs/>
          <w:color w:val="000000"/>
          <w:lang w:eastAsia="es-ES"/>
        </w:rPr>
      </w:pPr>
      <w:r w:rsidRPr="00B3795E">
        <w:rPr>
          <w:rFonts w:ascii="Palatino Linotype" w:eastAsia="MS Mincho" w:hAnsi="Palatino Linotype"/>
          <w:b/>
          <w:bCs/>
          <w:color w:val="000000"/>
          <w:lang w:eastAsia="es-ES"/>
        </w:rPr>
        <w:lastRenderedPageBreak/>
        <w:t xml:space="preserve">Legibles por máquinas: Deberán estar estructurados, total o parcialmente, para ser procesados e interpretados por equipos electrónicos de manera automática; </w:t>
      </w:r>
    </w:p>
    <w:p w14:paraId="6BFBCB05" w14:textId="77777777" w:rsidR="001A0ED2" w:rsidRPr="00B3795E" w:rsidRDefault="001A0ED2" w:rsidP="001A0ED2">
      <w:pPr>
        <w:numPr>
          <w:ilvl w:val="1"/>
          <w:numId w:val="28"/>
        </w:numPr>
        <w:tabs>
          <w:tab w:val="left" w:pos="426"/>
        </w:tabs>
        <w:spacing w:before="240" w:after="240" w:line="360" w:lineRule="auto"/>
        <w:ind w:left="1134" w:right="51"/>
        <w:contextualSpacing/>
        <w:jc w:val="both"/>
        <w:rPr>
          <w:rFonts w:ascii="Palatino Linotype" w:eastAsia="MS Mincho" w:hAnsi="Palatino Linotype"/>
          <w:b/>
          <w:bCs/>
          <w:color w:val="000000"/>
          <w:lang w:eastAsia="es-ES"/>
        </w:rPr>
      </w:pPr>
      <w:r w:rsidRPr="00B3795E">
        <w:rPr>
          <w:rFonts w:ascii="Palatino Linotype" w:eastAsia="MS Mincho" w:hAnsi="Palatino Linotype"/>
          <w:b/>
          <w:bCs/>
          <w:color w:val="000000"/>
          <w:lang w:eastAsia="es-ES"/>
        </w:rPr>
        <w:t xml:space="preserve">En formatos abiertos: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y </w:t>
      </w:r>
    </w:p>
    <w:p w14:paraId="35A881CB" w14:textId="77777777" w:rsidR="001A0ED2" w:rsidRPr="00B3795E" w:rsidRDefault="001A0ED2" w:rsidP="001A0ED2">
      <w:pPr>
        <w:numPr>
          <w:ilvl w:val="1"/>
          <w:numId w:val="28"/>
        </w:numPr>
        <w:tabs>
          <w:tab w:val="left" w:pos="426"/>
        </w:tabs>
        <w:spacing w:before="240" w:after="240" w:line="360" w:lineRule="auto"/>
        <w:ind w:left="1134" w:right="51"/>
        <w:contextualSpacing/>
        <w:jc w:val="both"/>
        <w:rPr>
          <w:rFonts w:ascii="Palatino Linotype" w:eastAsia="MS Mincho" w:hAnsi="Palatino Linotype"/>
          <w:color w:val="000000"/>
          <w:lang w:eastAsia="es-ES"/>
        </w:rPr>
      </w:pPr>
      <w:r w:rsidRPr="00B3795E">
        <w:rPr>
          <w:rFonts w:ascii="Palatino Linotype" w:eastAsia="MS Mincho" w:hAnsi="Palatino Linotype"/>
          <w:b/>
          <w:bCs/>
          <w:color w:val="000000"/>
          <w:lang w:eastAsia="es-ES"/>
        </w:rPr>
        <w:t>De libre uso:</w:t>
      </w:r>
      <w:r w:rsidRPr="00B3795E">
        <w:rPr>
          <w:rFonts w:ascii="Palatino Linotype" w:eastAsia="MS Mincho" w:hAnsi="Palatino Linotype"/>
          <w:color w:val="000000"/>
          <w:lang w:eastAsia="es-ES"/>
        </w:rPr>
        <w:t xml:space="preserve"> Citan la fuente de origen como único requerimiento para ser utilizados libremente.</w:t>
      </w:r>
    </w:p>
    <w:p w14:paraId="1C881E18" w14:textId="77777777" w:rsidR="001A0ED2" w:rsidRPr="00B3795E" w:rsidRDefault="001A0ED2" w:rsidP="001A0ED2">
      <w:pPr>
        <w:tabs>
          <w:tab w:val="left" w:pos="426"/>
        </w:tabs>
        <w:spacing w:before="240" w:after="240" w:line="360" w:lineRule="auto"/>
        <w:ind w:right="51"/>
        <w:contextualSpacing/>
        <w:jc w:val="both"/>
        <w:rPr>
          <w:rFonts w:ascii="Palatino Linotype" w:eastAsia="MS Mincho" w:hAnsi="Palatino Linotype"/>
          <w:color w:val="000000"/>
          <w:lang w:eastAsia="es-ES"/>
        </w:rPr>
      </w:pPr>
    </w:p>
    <w:p w14:paraId="2CF72DED" w14:textId="77777777" w:rsidR="001A0ED2" w:rsidRPr="00B3795E" w:rsidRDefault="001A0ED2" w:rsidP="00171D0B">
      <w:pPr>
        <w:numPr>
          <w:ilvl w:val="0"/>
          <w:numId w:val="9"/>
        </w:numPr>
        <w:spacing w:line="360" w:lineRule="auto"/>
        <w:ind w:left="0" w:right="-876" w:firstLine="0"/>
        <w:jc w:val="both"/>
        <w:rPr>
          <w:rFonts w:ascii="Palatino Linotype" w:eastAsia="MS Mincho" w:hAnsi="Palatino Linotype"/>
          <w:color w:val="000000"/>
          <w:lang w:eastAsia="es-ES"/>
        </w:rPr>
      </w:pPr>
      <w:r w:rsidRPr="00B3795E">
        <w:rPr>
          <w:rFonts w:ascii="Palatino Linotype" w:eastAsia="MS Mincho" w:hAnsi="Palatino Linotype"/>
          <w:color w:val="000000"/>
          <w:lang w:eastAsia="es-ES"/>
        </w:rPr>
        <w:t xml:space="preserve">Así </w:t>
      </w:r>
      <w:r w:rsidRPr="00B3795E">
        <w:rPr>
          <w:rFonts w:ascii="Palatino Linotype" w:eastAsia="MS Mincho" w:hAnsi="Palatino Linotype" w:cs="Arial"/>
          <w:lang w:eastAsia="es-ES"/>
        </w:rPr>
        <w:t>las cosas, las características que determinan a los datos abiertos permite establecer el objetivo que busca su generación y uso: la interoperabilidad.</w:t>
      </w:r>
    </w:p>
    <w:p w14:paraId="21A9A136" w14:textId="77777777" w:rsidR="001A0ED2" w:rsidRPr="00B3795E" w:rsidRDefault="001A0ED2" w:rsidP="001A0ED2">
      <w:pPr>
        <w:tabs>
          <w:tab w:val="left" w:pos="426"/>
        </w:tabs>
        <w:spacing w:before="240" w:after="240" w:line="360" w:lineRule="auto"/>
        <w:ind w:right="51"/>
        <w:contextualSpacing/>
        <w:jc w:val="both"/>
        <w:rPr>
          <w:rFonts w:ascii="Palatino Linotype" w:eastAsia="MS Mincho" w:hAnsi="Palatino Linotype"/>
          <w:color w:val="000000"/>
          <w:lang w:eastAsia="es-ES"/>
        </w:rPr>
      </w:pPr>
    </w:p>
    <w:p w14:paraId="039A4C5E" w14:textId="77777777" w:rsidR="001A0ED2" w:rsidRPr="00B3795E" w:rsidRDefault="001A0ED2" w:rsidP="00171D0B">
      <w:pPr>
        <w:numPr>
          <w:ilvl w:val="0"/>
          <w:numId w:val="9"/>
        </w:numPr>
        <w:spacing w:line="360" w:lineRule="auto"/>
        <w:ind w:left="0" w:right="-876" w:firstLine="0"/>
        <w:jc w:val="both"/>
        <w:rPr>
          <w:rFonts w:ascii="Palatino Linotype" w:eastAsia="MS Mincho" w:hAnsi="Palatino Linotype"/>
          <w:color w:val="000000"/>
          <w:lang w:eastAsia="es-ES"/>
        </w:rPr>
      </w:pPr>
      <w:r w:rsidRPr="00B3795E">
        <w:rPr>
          <w:rFonts w:ascii="Palatino Linotype" w:eastAsia="MS Mincho" w:hAnsi="Palatino Linotype" w:cs="Arial"/>
          <w:lang w:eastAsia="es-ES"/>
        </w:rPr>
        <w:t>La interoperabilidad denota la habilidad de diversos sistemas y organizaciones para trabajar juntos (interoperar). En este caso, es la habilidad para interoperar o integrar diferentes conjuntos de datos</w:t>
      </w:r>
      <w:r w:rsidRPr="00B3795E">
        <w:rPr>
          <w:rFonts w:ascii="Cambria" w:eastAsia="MS Mincho" w:hAnsi="Cambria" w:cs="Arial"/>
          <w:vertAlign w:val="superscript"/>
          <w:lang w:eastAsia="es-ES"/>
        </w:rPr>
        <w:footnoteReference w:id="1"/>
      </w:r>
      <w:r w:rsidRPr="00B3795E">
        <w:rPr>
          <w:rFonts w:ascii="Palatino Linotype" w:eastAsia="MS Mincho" w:hAnsi="Palatino Linotype" w:cs="Arial"/>
          <w:lang w:eastAsia="es-ES"/>
        </w:rPr>
        <w:t>.</w:t>
      </w:r>
    </w:p>
    <w:p w14:paraId="51706B05" w14:textId="77777777" w:rsidR="001A0ED2" w:rsidRPr="00B3795E" w:rsidRDefault="001A0ED2" w:rsidP="001A0ED2">
      <w:pPr>
        <w:tabs>
          <w:tab w:val="left" w:pos="426"/>
        </w:tabs>
        <w:spacing w:before="240" w:after="240" w:line="360" w:lineRule="auto"/>
        <w:ind w:right="51"/>
        <w:contextualSpacing/>
        <w:jc w:val="both"/>
        <w:rPr>
          <w:rFonts w:ascii="Palatino Linotype" w:eastAsia="MS Mincho" w:hAnsi="Palatino Linotype"/>
          <w:color w:val="000000"/>
          <w:lang w:eastAsia="es-ES"/>
        </w:rPr>
      </w:pPr>
    </w:p>
    <w:p w14:paraId="60C6737C" w14:textId="77777777" w:rsidR="001A0ED2" w:rsidRPr="00B3795E" w:rsidRDefault="001A0ED2" w:rsidP="00171D0B">
      <w:pPr>
        <w:numPr>
          <w:ilvl w:val="0"/>
          <w:numId w:val="9"/>
        </w:numPr>
        <w:spacing w:line="360" w:lineRule="auto"/>
        <w:ind w:left="0" w:right="-876" w:firstLine="0"/>
        <w:jc w:val="both"/>
        <w:rPr>
          <w:rFonts w:ascii="Palatino Linotype" w:eastAsia="MS Mincho" w:hAnsi="Palatino Linotype"/>
          <w:color w:val="000000"/>
          <w:lang w:eastAsia="es-ES"/>
        </w:rPr>
      </w:pPr>
      <w:r w:rsidRPr="00B3795E">
        <w:rPr>
          <w:rFonts w:ascii="Palatino Linotype" w:eastAsia="MS Mincho" w:hAnsi="Palatino Linotype" w:cs="Arial"/>
          <w:lang w:eastAsia="es-ES"/>
        </w:rPr>
        <w:t xml:space="preserve">De </w:t>
      </w:r>
      <w:r w:rsidRPr="00B3795E">
        <w:rPr>
          <w:rFonts w:ascii="Palatino Linotype" w:eastAsia="MS Mincho" w:hAnsi="Palatino Linotype"/>
          <w:lang w:eastAsia="es-ES"/>
        </w:rPr>
        <w:t xml:space="preserve">tal guisa que </w:t>
      </w:r>
      <w:r w:rsidRPr="00B3795E">
        <w:rPr>
          <w:rFonts w:ascii="Palatino Linotype" w:eastAsia="MS Mincho" w:hAnsi="Palatino Linotype" w:cs="Arial"/>
          <w:lang w:eastAsia="es-ES"/>
        </w:rPr>
        <w:t xml:space="preserve">los datos abiertos son información pública del gobierno, que es puesta a disposición de toda la población de manera accesible, en formatos técnicos y legales que </w:t>
      </w:r>
      <w:r w:rsidRPr="00B3795E">
        <w:rPr>
          <w:rFonts w:ascii="Palatino Linotype" w:eastAsia="MS Mincho" w:hAnsi="Palatino Linotype" w:cs="Arial"/>
          <w:lang w:eastAsia="es-ES"/>
        </w:rPr>
        <w:lastRenderedPageBreak/>
        <w:t>permiten su uso, reutilización y redistribución para cualquier fin legal que se desee</w:t>
      </w:r>
      <w:r w:rsidRPr="00B3795E">
        <w:rPr>
          <w:rFonts w:ascii="Cambria" w:eastAsia="MS Mincho" w:hAnsi="Cambria" w:cs="Arial"/>
          <w:vertAlign w:val="superscript"/>
          <w:lang w:eastAsia="es-ES"/>
        </w:rPr>
        <w:footnoteReference w:id="2"/>
      </w:r>
      <w:r w:rsidRPr="00B3795E">
        <w:rPr>
          <w:rFonts w:ascii="Palatino Linotype" w:eastAsia="MS Mincho" w:hAnsi="Palatino Linotype" w:cs="Arial"/>
          <w:lang w:eastAsia="es-ES"/>
        </w:rPr>
        <w:t>; esto es, que permite su interoperabilidad.</w:t>
      </w:r>
    </w:p>
    <w:p w14:paraId="38493FA1" w14:textId="77777777" w:rsidR="001A0ED2" w:rsidRPr="00B3795E" w:rsidRDefault="001A0ED2" w:rsidP="001A0ED2">
      <w:pPr>
        <w:tabs>
          <w:tab w:val="left" w:pos="426"/>
        </w:tabs>
        <w:spacing w:before="240" w:after="240" w:line="360" w:lineRule="auto"/>
        <w:ind w:right="51"/>
        <w:contextualSpacing/>
        <w:jc w:val="both"/>
        <w:rPr>
          <w:rFonts w:ascii="Palatino Linotype" w:eastAsia="MS Mincho" w:hAnsi="Palatino Linotype"/>
          <w:color w:val="000000"/>
          <w:lang w:eastAsia="es-ES"/>
        </w:rPr>
      </w:pPr>
    </w:p>
    <w:p w14:paraId="6D1AC652" w14:textId="77777777" w:rsidR="001A0ED2" w:rsidRPr="00B3795E" w:rsidRDefault="001A0ED2" w:rsidP="00171D0B">
      <w:pPr>
        <w:numPr>
          <w:ilvl w:val="0"/>
          <w:numId w:val="9"/>
        </w:numPr>
        <w:spacing w:line="360" w:lineRule="auto"/>
        <w:ind w:left="0" w:right="-876" w:firstLine="0"/>
        <w:jc w:val="both"/>
        <w:rPr>
          <w:rFonts w:ascii="Palatino Linotype" w:eastAsia="MS Mincho" w:hAnsi="Palatino Linotype"/>
          <w:color w:val="000000"/>
          <w:lang w:eastAsia="es-ES"/>
        </w:rPr>
      </w:pPr>
      <w:r w:rsidRPr="00B3795E">
        <w:rPr>
          <w:rFonts w:ascii="Palatino Linotype" w:eastAsia="MS Mincho" w:hAnsi="Palatino Linotype" w:cs="Arial"/>
          <w:lang w:eastAsia="es-ES"/>
        </w:rPr>
        <w:t>El avance en la generación de la información pública que posean, generen o administren los Sujetos Obligados en datos abiertos no ha sido rápido, no obstante, cada vez nacen más portales gubernamentales con información en datos abiertos disponible para todo aquél que pretenda usar, reutilizar y/o redistribuirla según sus pretensiones.</w:t>
      </w:r>
    </w:p>
    <w:p w14:paraId="373738E4" w14:textId="77777777" w:rsidR="001A0ED2" w:rsidRPr="00B3795E" w:rsidRDefault="001A0ED2" w:rsidP="001A0ED2">
      <w:pPr>
        <w:tabs>
          <w:tab w:val="left" w:pos="426"/>
        </w:tabs>
        <w:spacing w:before="240" w:after="240" w:line="360" w:lineRule="auto"/>
        <w:ind w:right="51"/>
        <w:contextualSpacing/>
        <w:jc w:val="both"/>
        <w:rPr>
          <w:rFonts w:ascii="Palatino Linotype" w:eastAsia="MS Mincho" w:hAnsi="Palatino Linotype"/>
          <w:color w:val="000000"/>
          <w:lang w:eastAsia="es-ES"/>
        </w:rPr>
      </w:pPr>
    </w:p>
    <w:p w14:paraId="5C8E5B78" w14:textId="77777777" w:rsidR="001A0ED2" w:rsidRPr="00B3795E" w:rsidRDefault="001A0ED2" w:rsidP="00171D0B">
      <w:pPr>
        <w:numPr>
          <w:ilvl w:val="0"/>
          <w:numId w:val="9"/>
        </w:numPr>
        <w:spacing w:line="360" w:lineRule="auto"/>
        <w:ind w:left="0" w:right="-876" w:firstLine="0"/>
        <w:jc w:val="both"/>
        <w:rPr>
          <w:rFonts w:ascii="Palatino Linotype" w:eastAsia="MS Mincho" w:hAnsi="Palatino Linotype"/>
          <w:color w:val="000000"/>
          <w:lang w:eastAsia="es-ES"/>
        </w:rPr>
      </w:pPr>
      <w:r w:rsidRPr="00B3795E">
        <w:rPr>
          <w:rFonts w:ascii="Palatino Linotype" w:eastAsia="MS Mincho" w:hAnsi="Palatino Linotype" w:cs="Arial"/>
          <w:lang w:eastAsia="es-ES"/>
        </w:rPr>
        <w:t>Un claro ejemplo de ello es el Portal de Datos Abiertos del Gobierno de la capital de nuestro país</w:t>
      </w:r>
      <w:r w:rsidRPr="00B3795E">
        <w:rPr>
          <w:rFonts w:ascii="Cambria" w:eastAsia="MS Mincho" w:hAnsi="Cambria" w:cs="Arial"/>
          <w:vertAlign w:val="superscript"/>
          <w:lang w:eastAsia="es-ES"/>
        </w:rPr>
        <w:footnoteReference w:id="3"/>
      </w:r>
      <w:r w:rsidRPr="00B3795E">
        <w:rPr>
          <w:rFonts w:ascii="Palatino Linotype" w:eastAsia="MS Mincho" w:hAnsi="Palatino Linotype" w:cs="Arial"/>
          <w:lang w:eastAsia="es-ES"/>
        </w:rPr>
        <w:t xml:space="preserve">, dentro del cual, se puede consultar información en datos abiertos por su categoría, como </w:t>
      </w:r>
      <w:r w:rsidRPr="00B3795E">
        <w:rPr>
          <w:rFonts w:ascii="Palatino Linotype" w:eastAsia="MS Mincho" w:hAnsi="Palatino Linotype" w:cs="Arial"/>
          <w:i/>
          <w:iCs/>
          <w:lang w:eastAsia="es-ES"/>
        </w:rPr>
        <w:t>Administración y Finanzas, Cultura, Deporte, COVID-19, Desarrollo Urbano,</w:t>
      </w:r>
      <w:r w:rsidRPr="00B3795E">
        <w:rPr>
          <w:rFonts w:ascii="Palatino Linotype" w:eastAsia="MS Mincho" w:hAnsi="Palatino Linotype" w:cs="Arial"/>
          <w:lang w:eastAsia="es-ES"/>
        </w:rPr>
        <w:t xml:space="preserve"> entre otros.</w:t>
      </w:r>
    </w:p>
    <w:p w14:paraId="5C57DFDC" w14:textId="77777777" w:rsidR="001A0ED2" w:rsidRPr="00B3795E" w:rsidRDefault="001A0ED2" w:rsidP="001A0ED2">
      <w:pPr>
        <w:tabs>
          <w:tab w:val="left" w:pos="426"/>
        </w:tabs>
        <w:spacing w:before="240" w:after="240" w:line="360" w:lineRule="auto"/>
        <w:ind w:right="51"/>
        <w:contextualSpacing/>
        <w:jc w:val="both"/>
        <w:rPr>
          <w:rFonts w:ascii="Palatino Linotype" w:eastAsia="MS Mincho" w:hAnsi="Palatino Linotype"/>
          <w:color w:val="000000"/>
          <w:lang w:eastAsia="es-ES"/>
        </w:rPr>
      </w:pPr>
    </w:p>
    <w:p w14:paraId="3233EFE3" w14:textId="77777777" w:rsidR="001A0ED2" w:rsidRPr="00B3795E" w:rsidRDefault="001A0ED2" w:rsidP="00171D0B">
      <w:pPr>
        <w:numPr>
          <w:ilvl w:val="0"/>
          <w:numId w:val="9"/>
        </w:numPr>
        <w:spacing w:line="360" w:lineRule="auto"/>
        <w:ind w:left="0" w:right="-876" w:firstLine="0"/>
        <w:jc w:val="both"/>
        <w:rPr>
          <w:rFonts w:ascii="Palatino Linotype" w:eastAsia="MS Mincho" w:hAnsi="Palatino Linotype"/>
          <w:color w:val="000000"/>
          <w:lang w:eastAsia="es-ES"/>
        </w:rPr>
      </w:pPr>
      <w:r w:rsidRPr="00B3795E">
        <w:rPr>
          <w:rFonts w:ascii="Palatino Linotype" w:eastAsia="MS Mincho" w:hAnsi="Palatino Linotype" w:cs="Arial"/>
          <w:lang w:eastAsia="es-ES"/>
        </w:rPr>
        <w:t xml:space="preserve">Al ingresar a una de estas categorías, nos refleja un listado de diversos documentos como, por mencionar algunos: </w:t>
      </w:r>
      <w:r w:rsidRPr="00B3795E">
        <w:rPr>
          <w:rFonts w:ascii="Palatino Linotype" w:eastAsia="MS Mincho" w:hAnsi="Palatino Linotype" w:cs="Arial"/>
          <w:i/>
          <w:iCs/>
          <w:lang w:eastAsia="es-ES"/>
        </w:rPr>
        <w:t>Convocatorias de compras públicas, Ingresos del Sistema de Transporte Colectivo Metro, Presupuesto de egresos de la Ciudad, e, Ingresos de la Ciudad</w:t>
      </w:r>
      <w:r w:rsidRPr="00B3795E">
        <w:rPr>
          <w:rFonts w:ascii="Palatino Linotype" w:eastAsia="MS Mincho" w:hAnsi="Palatino Linotype" w:cs="Arial"/>
          <w:lang w:eastAsia="es-ES"/>
        </w:rPr>
        <w:t xml:space="preserve">. Por su parte, cada uno de estos documentos ofrece su consulta y descarga a través de uno o varios formatos electrónicos como </w:t>
      </w:r>
      <w:r w:rsidRPr="00B3795E">
        <w:rPr>
          <w:rFonts w:ascii="Palatino Linotype" w:eastAsia="MS Mincho" w:hAnsi="Palatino Linotype" w:cs="Arial"/>
          <w:i/>
          <w:iCs/>
          <w:lang w:eastAsia="es-ES"/>
        </w:rPr>
        <w:t xml:space="preserve">.csv, .txt., </w:t>
      </w:r>
      <w:r w:rsidRPr="00B3795E">
        <w:rPr>
          <w:rFonts w:ascii="Palatino Linotype" w:eastAsia="MS Mincho" w:hAnsi="Palatino Linotype" w:cs="Arial"/>
          <w:b/>
          <w:bCs/>
          <w:i/>
          <w:iCs/>
          <w:lang w:eastAsia="es-ES"/>
        </w:rPr>
        <w:t>.pdf</w:t>
      </w:r>
      <w:r w:rsidRPr="00B3795E">
        <w:rPr>
          <w:rFonts w:ascii="Palatino Linotype" w:eastAsia="MS Mincho" w:hAnsi="Palatino Linotype" w:cs="Arial"/>
          <w:i/>
          <w:iCs/>
          <w:lang w:eastAsia="es-ES"/>
        </w:rPr>
        <w:t xml:space="preserve">, .json, </w:t>
      </w:r>
      <w:r w:rsidRPr="00B3795E">
        <w:rPr>
          <w:rFonts w:ascii="Palatino Linotype" w:eastAsia="MS Mincho" w:hAnsi="Palatino Linotype" w:cs="Arial"/>
          <w:b/>
          <w:bCs/>
          <w:i/>
          <w:iCs/>
          <w:lang w:eastAsia="es-ES"/>
        </w:rPr>
        <w:t>.xlsx</w:t>
      </w:r>
      <w:r w:rsidRPr="00B3795E">
        <w:rPr>
          <w:rFonts w:ascii="Palatino Linotype" w:eastAsia="MS Mincho" w:hAnsi="Palatino Linotype" w:cs="Arial"/>
          <w:lang w:eastAsia="es-ES"/>
        </w:rPr>
        <w:t xml:space="preserve">, etcétera. </w:t>
      </w:r>
    </w:p>
    <w:p w14:paraId="0D869FB3" w14:textId="77777777" w:rsidR="001A0ED2" w:rsidRPr="00B3795E" w:rsidRDefault="001A0ED2" w:rsidP="001A0ED2">
      <w:pPr>
        <w:tabs>
          <w:tab w:val="left" w:pos="426"/>
        </w:tabs>
        <w:spacing w:before="240" w:after="240" w:line="360" w:lineRule="auto"/>
        <w:ind w:right="51"/>
        <w:contextualSpacing/>
        <w:jc w:val="both"/>
        <w:rPr>
          <w:rFonts w:ascii="Palatino Linotype" w:eastAsia="MS Mincho" w:hAnsi="Palatino Linotype"/>
          <w:color w:val="000000"/>
          <w:lang w:eastAsia="es-ES"/>
        </w:rPr>
      </w:pPr>
    </w:p>
    <w:p w14:paraId="00A94D67" w14:textId="77777777" w:rsidR="001A0ED2" w:rsidRPr="00B3795E" w:rsidRDefault="001A0ED2" w:rsidP="00171D0B">
      <w:pPr>
        <w:numPr>
          <w:ilvl w:val="0"/>
          <w:numId w:val="9"/>
        </w:numPr>
        <w:spacing w:line="360" w:lineRule="auto"/>
        <w:ind w:left="0" w:right="-876" w:firstLine="0"/>
        <w:jc w:val="both"/>
        <w:rPr>
          <w:rFonts w:ascii="Palatino Linotype" w:eastAsia="MS Mincho" w:hAnsi="Palatino Linotype"/>
          <w:color w:val="000000"/>
          <w:lang w:eastAsia="es-ES"/>
        </w:rPr>
      </w:pPr>
      <w:r w:rsidRPr="00B3795E">
        <w:rPr>
          <w:rFonts w:ascii="Palatino Linotype" w:eastAsia="MS Mincho" w:hAnsi="Palatino Linotype" w:cs="Arial"/>
          <w:lang w:eastAsia="es-ES"/>
        </w:rPr>
        <w:lastRenderedPageBreak/>
        <w:t xml:space="preserve">Así las cosas, es concluyente que </w:t>
      </w:r>
      <w:r w:rsidRPr="00B3795E">
        <w:rPr>
          <w:rFonts w:ascii="Palatino Linotype" w:eastAsia="MS Mincho" w:hAnsi="Palatino Linotype" w:cs="Arial"/>
          <w:b/>
          <w:bCs/>
          <w:lang w:eastAsia="es-ES"/>
        </w:rPr>
        <w:t>la generación de información en datos abiertos es parte de la cultura de transparencia proactiva</w:t>
      </w:r>
      <w:r w:rsidRPr="00B3795E">
        <w:rPr>
          <w:rFonts w:ascii="Palatino Linotype" w:eastAsia="MS Mincho" w:hAnsi="Palatino Linotype" w:cs="Arial"/>
          <w:lang w:eastAsia="es-ES"/>
        </w:rPr>
        <w:t>, mas no una obligación, como tal, por parte de los Sujetos Obligados, más aún porque -se insiste- los entes públicos únicamente tendrán la encomienda de poner a disposición de la ciudadanía la información que generen, posean o administren en el ejercicio de sus funciones y atribuciones; empero, no estarán obligados a procesarla o presentarla conforme a los intereses de los particulares, lo cual incluye que se otorgue en un formato electrónico específico.</w:t>
      </w:r>
    </w:p>
    <w:p w14:paraId="7A0B24CF" w14:textId="77777777" w:rsidR="001A0ED2" w:rsidRPr="00B3795E" w:rsidRDefault="001A0ED2" w:rsidP="005550ED">
      <w:pPr>
        <w:tabs>
          <w:tab w:val="left" w:pos="426"/>
        </w:tabs>
        <w:spacing w:before="240" w:after="240" w:line="360" w:lineRule="auto"/>
        <w:ind w:right="49"/>
        <w:contextualSpacing/>
        <w:jc w:val="both"/>
        <w:rPr>
          <w:rFonts w:ascii="Palatino Linotype" w:eastAsia="MS Mincho" w:hAnsi="Palatino Linotype"/>
          <w:color w:val="000000"/>
          <w:lang w:eastAsia="es-ES"/>
        </w:rPr>
      </w:pPr>
    </w:p>
    <w:p w14:paraId="1890027A" w14:textId="77777777" w:rsidR="005550ED" w:rsidRPr="00B3795E" w:rsidRDefault="005550ED" w:rsidP="00171D0B">
      <w:pPr>
        <w:numPr>
          <w:ilvl w:val="0"/>
          <w:numId w:val="9"/>
        </w:numPr>
        <w:spacing w:line="360" w:lineRule="auto"/>
        <w:ind w:left="0" w:right="-876" w:firstLine="0"/>
        <w:jc w:val="both"/>
        <w:rPr>
          <w:rFonts w:ascii="Palatino Linotype" w:hAnsi="Palatino Linotype" w:cs="Tahoma"/>
          <w:b/>
          <w:bCs/>
          <w:i/>
          <w:sz w:val="22"/>
          <w:szCs w:val="22"/>
          <w:lang w:eastAsia="es-ES"/>
        </w:rPr>
      </w:pPr>
      <w:r w:rsidRPr="00B3795E">
        <w:rPr>
          <w:rFonts w:ascii="Palatino Linotype" w:eastAsia="MS Mincho" w:hAnsi="Palatino Linotype"/>
          <w:color w:val="000000"/>
          <w:lang w:eastAsia="es-ES"/>
        </w:rPr>
        <w:t>Conforme</w:t>
      </w:r>
      <w:r w:rsidRPr="00B3795E">
        <w:rPr>
          <w:rFonts w:ascii="Palatino Linotype" w:eastAsia="Calibri" w:hAnsi="Palatino Linotype" w:cs="Tahoma"/>
          <w:bCs/>
          <w:sz w:val="22"/>
          <w:szCs w:val="22"/>
          <w:lang w:eastAsia="es-ES"/>
        </w:rPr>
        <w:t xml:space="preserve"> a lo anterior, respecto a</w:t>
      </w:r>
      <w:r w:rsidRPr="00B3795E">
        <w:rPr>
          <w:rFonts w:ascii="Palatino Linotype" w:hAnsi="Palatino Linotype" w:cs="Tahoma"/>
          <w:bCs/>
          <w:sz w:val="22"/>
          <w:szCs w:val="22"/>
          <w:lang w:eastAsia="es-ES"/>
        </w:rPr>
        <w:t xml:space="preserve">l formato de datos abiertos; la Carta Internacional de Datos Abiertos; véase: </w:t>
      </w:r>
      <w:hyperlink r:id="rId11" w:history="1">
        <w:r w:rsidRPr="00B3795E">
          <w:rPr>
            <w:rFonts w:ascii="Palatino Linotype" w:hAnsi="Palatino Linotype" w:cs="Tahoma"/>
            <w:bCs/>
            <w:color w:val="0563C1"/>
            <w:sz w:val="22"/>
            <w:szCs w:val="22"/>
            <w:u w:val="single"/>
            <w:lang w:eastAsia="es-ES"/>
          </w:rPr>
          <w:t>https://opendatacharter.net/principles-es/</w:t>
        </w:r>
      </w:hyperlink>
      <w:r w:rsidRPr="00B3795E">
        <w:rPr>
          <w:rFonts w:ascii="Palatino Linotype" w:hAnsi="Palatino Linotype" w:cs="Tahoma"/>
          <w:bCs/>
          <w:sz w:val="22"/>
          <w:szCs w:val="22"/>
          <w:lang w:eastAsia="es-ES"/>
        </w:rPr>
        <w:t xml:space="preserve">; prevé: </w:t>
      </w:r>
      <w:r w:rsidRPr="00B3795E">
        <w:rPr>
          <w:rFonts w:ascii="Palatino Linotype" w:hAnsi="Palatino Linotype" w:cs="Tahoma"/>
          <w:bCs/>
          <w:i/>
          <w:sz w:val="22"/>
          <w:szCs w:val="22"/>
          <w:lang w:eastAsia="es-ES"/>
        </w:rPr>
        <w:t xml:space="preserve">Datos abiertos son datos digitales que son puestos a disposición con las características técnicas y jurídicas necesarias para que </w:t>
      </w:r>
      <w:r w:rsidRPr="00B3795E">
        <w:rPr>
          <w:rFonts w:ascii="Palatino Linotype" w:hAnsi="Palatino Linotype" w:cs="Tahoma"/>
          <w:b/>
          <w:bCs/>
          <w:i/>
          <w:sz w:val="22"/>
          <w:szCs w:val="22"/>
          <w:lang w:eastAsia="es-ES"/>
        </w:rPr>
        <w:t xml:space="preserve">puedan ser </w:t>
      </w:r>
      <w:r w:rsidRPr="00B3795E">
        <w:rPr>
          <w:rFonts w:ascii="Palatino Linotype" w:hAnsi="Palatino Linotype" w:cs="Tahoma"/>
          <w:b/>
          <w:bCs/>
          <w:i/>
          <w:sz w:val="22"/>
          <w:szCs w:val="22"/>
          <w:u w:val="single"/>
          <w:lang w:eastAsia="es-ES"/>
        </w:rPr>
        <w:t>usados, reutilizados y redistribuidos</w:t>
      </w:r>
      <w:r w:rsidRPr="00B3795E">
        <w:rPr>
          <w:rFonts w:ascii="Palatino Linotype" w:hAnsi="Palatino Linotype" w:cs="Tahoma"/>
          <w:b/>
          <w:bCs/>
          <w:i/>
          <w:sz w:val="22"/>
          <w:szCs w:val="22"/>
          <w:lang w:eastAsia="es-ES"/>
        </w:rPr>
        <w:t xml:space="preserve"> libremente por cualquier persona, en cualquier momento y en cualquier lugar.</w:t>
      </w:r>
    </w:p>
    <w:p w14:paraId="67BBC946" w14:textId="77777777" w:rsidR="005550ED" w:rsidRPr="00B3795E" w:rsidRDefault="005550ED" w:rsidP="005550ED">
      <w:pPr>
        <w:spacing w:line="360" w:lineRule="auto"/>
        <w:jc w:val="both"/>
        <w:rPr>
          <w:rFonts w:ascii="Palatino Linotype" w:hAnsi="Palatino Linotype" w:cs="Tahoma"/>
          <w:b/>
          <w:bCs/>
          <w:i/>
          <w:lang w:eastAsia="es-ES"/>
        </w:rPr>
      </w:pPr>
    </w:p>
    <w:p w14:paraId="2A258328" w14:textId="77777777" w:rsidR="005550ED" w:rsidRPr="00B3795E" w:rsidRDefault="005550ED" w:rsidP="00171D0B">
      <w:pPr>
        <w:numPr>
          <w:ilvl w:val="0"/>
          <w:numId w:val="9"/>
        </w:numPr>
        <w:spacing w:line="360" w:lineRule="auto"/>
        <w:ind w:left="0" w:right="-876" w:firstLine="0"/>
        <w:jc w:val="both"/>
        <w:rPr>
          <w:rFonts w:ascii="Palatino Linotype" w:hAnsi="Palatino Linotype" w:cs="Tahoma"/>
          <w:bCs/>
          <w:sz w:val="22"/>
          <w:szCs w:val="22"/>
          <w:lang w:eastAsia="es-ES"/>
        </w:rPr>
      </w:pPr>
      <w:r w:rsidRPr="00B3795E">
        <w:rPr>
          <w:rFonts w:ascii="Palatino Linotype" w:eastAsia="MS Mincho" w:hAnsi="Palatino Linotype"/>
          <w:color w:val="000000"/>
          <w:lang w:eastAsia="es-ES"/>
        </w:rPr>
        <w:t>Por</w:t>
      </w:r>
      <w:r w:rsidRPr="00B3795E">
        <w:rPr>
          <w:rFonts w:ascii="Palatino Linotype" w:hAnsi="Palatino Linotype" w:cs="Tahoma"/>
          <w:bCs/>
          <w:sz w:val="22"/>
          <w:szCs w:val="22"/>
          <w:lang w:eastAsia="es-ES"/>
        </w:rPr>
        <w:t xml:space="preserve"> su parte, el Decreto por el que se establece la regulación en materia de Datos Abiertos; véase: </w:t>
      </w:r>
      <w:hyperlink r:id="rId12" w:anchor="gsc.tab=0" w:history="1">
        <w:r w:rsidRPr="00B3795E">
          <w:rPr>
            <w:rFonts w:ascii="Palatino Linotype" w:hAnsi="Palatino Linotype" w:cs="Tahoma"/>
            <w:bCs/>
            <w:color w:val="0563C1"/>
            <w:sz w:val="22"/>
            <w:szCs w:val="22"/>
            <w:u w:val="single"/>
            <w:lang w:eastAsia="es-ES"/>
          </w:rPr>
          <w:t>https://www.dof.gob.mx/nota_detalle.php?codigo=5382838&amp;fecha=20/02/2015#gsc.tab=0</w:t>
        </w:r>
      </w:hyperlink>
      <w:r w:rsidRPr="00B3795E">
        <w:rPr>
          <w:rFonts w:ascii="Palatino Linotype" w:hAnsi="Palatino Linotype" w:cs="Tahoma"/>
          <w:bCs/>
          <w:sz w:val="22"/>
          <w:szCs w:val="22"/>
          <w:lang w:eastAsia="es-ES"/>
        </w:rPr>
        <w:t xml:space="preserve">; indica lo siguiente:  </w:t>
      </w:r>
    </w:p>
    <w:p w14:paraId="7C25719D" w14:textId="77777777" w:rsidR="005550ED" w:rsidRPr="00B3795E" w:rsidRDefault="005550ED" w:rsidP="005550ED">
      <w:pPr>
        <w:spacing w:line="360" w:lineRule="auto"/>
        <w:jc w:val="both"/>
        <w:rPr>
          <w:rFonts w:ascii="Palatino Linotype" w:hAnsi="Palatino Linotype" w:cs="Tahoma"/>
          <w:bCs/>
          <w:sz w:val="20"/>
          <w:szCs w:val="20"/>
          <w:lang w:eastAsia="es-ES"/>
        </w:rPr>
      </w:pPr>
    </w:p>
    <w:p w14:paraId="43849D4E" w14:textId="77777777" w:rsidR="005550ED" w:rsidRPr="00B3795E" w:rsidRDefault="005550ED" w:rsidP="00171D0B">
      <w:pPr>
        <w:spacing w:line="360" w:lineRule="auto"/>
        <w:ind w:left="851" w:right="616"/>
        <w:jc w:val="both"/>
        <w:rPr>
          <w:rFonts w:ascii="Palatino Linotype" w:hAnsi="Palatino Linotype" w:cs="Tahoma"/>
          <w:b/>
          <w:bCs/>
          <w:i/>
          <w:sz w:val="20"/>
          <w:szCs w:val="20"/>
          <w:lang w:eastAsia="es-ES"/>
        </w:rPr>
      </w:pPr>
      <w:r w:rsidRPr="00B3795E">
        <w:rPr>
          <w:rFonts w:ascii="Palatino Linotype" w:hAnsi="Palatino Linotype" w:cs="Tahoma"/>
          <w:b/>
          <w:bCs/>
          <w:i/>
          <w:sz w:val="20"/>
          <w:szCs w:val="20"/>
          <w:lang w:eastAsia="es-ES"/>
        </w:rPr>
        <w:t>ARTÍCULO SEGUNDO. - Para los efectos del presente Decreto, se entenderá por:</w:t>
      </w:r>
    </w:p>
    <w:p w14:paraId="51938A2F" w14:textId="77777777" w:rsidR="005550ED" w:rsidRPr="00B3795E" w:rsidRDefault="005550ED" w:rsidP="00171D0B">
      <w:pPr>
        <w:spacing w:line="360" w:lineRule="auto"/>
        <w:ind w:left="851" w:right="616"/>
        <w:jc w:val="both"/>
        <w:rPr>
          <w:rFonts w:ascii="Palatino Linotype" w:hAnsi="Palatino Linotype" w:cs="Tahoma"/>
          <w:bCs/>
          <w:i/>
          <w:sz w:val="20"/>
          <w:szCs w:val="20"/>
          <w:lang w:eastAsia="es-ES"/>
        </w:rPr>
      </w:pPr>
      <w:r w:rsidRPr="00B3795E">
        <w:rPr>
          <w:rFonts w:ascii="Palatino Linotype" w:hAnsi="Palatino Linotype" w:cs="Tahoma"/>
          <w:bCs/>
          <w:i/>
          <w:sz w:val="20"/>
          <w:szCs w:val="20"/>
          <w:lang w:eastAsia="es-ES"/>
        </w:rPr>
        <w:t>I al IV…</w:t>
      </w:r>
    </w:p>
    <w:p w14:paraId="2429068A" w14:textId="77777777" w:rsidR="005550ED" w:rsidRPr="00B3795E" w:rsidRDefault="005550ED" w:rsidP="00171D0B">
      <w:pPr>
        <w:spacing w:line="360" w:lineRule="auto"/>
        <w:ind w:left="851" w:right="616"/>
        <w:jc w:val="both"/>
        <w:rPr>
          <w:rFonts w:ascii="Palatino Linotype" w:hAnsi="Palatino Linotype" w:cs="Tahoma"/>
          <w:bCs/>
          <w:i/>
          <w:sz w:val="20"/>
          <w:szCs w:val="20"/>
          <w:lang w:eastAsia="es-ES"/>
        </w:rPr>
      </w:pPr>
      <w:r w:rsidRPr="00B3795E">
        <w:rPr>
          <w:rFonts w:ascii="Palatino Linotype" w:hAnsi="Palatino Linotype" w:cs="Tahoma"/>
          <w:b/>
          <w:bCs/>
          <w:i/>
          <w:sz w:val="20"/>
          <w:szCs w:val="20"/>
          <w:lang w:eastAsia="es-ES"/>
        </w:rPr>
        <w:t>V.       Datos abiertos</w:t>
      </w:r>
      <w:r w:rsidRPr="00B3795E">
        <w:rPr>
          <w:rFonts w:ascii="Palatino Linotype" w:hAnsi="Palatino Linotype" w:cs="Tahoma"/>
          <w:bCs/>
          <w:i/>
          <w:sz w:val="20"/>
          <w:szCs w:val="20"/>
          <w:lang w:eastAsia="es-ES"/>
        </w:rPr>
        <w:t xml:space="preserve">: los datos digitales de carácter público que son accesibles en línea, y pueden </w:t>
      </w:r>
      <w:r w:rsidRPr="00B3795E">
        <w:rPr>
          <w:rFonts w:ascii="Palatino Linotype" w:hAnsi="Palatino Linotype" w:cs="Tahoma"/>
          <w:b/>
          <w:bCs/>
          <w:i/>
          <w:sz w:val="20"/>
          <w:szCs w:val="20"/>
          <w:u w:val="single"/>
          <w:lang w:eastAsia="es-ES"/>
        </w:rPr>
        <w:t>ser usados, reutilizados y redistribuidos</w:t>
      </w:r>
      <w:r w:rsidRPr="00B3795E">
        <w:rPr>
          <w:rFonts w:ascii="Palatino Linotype" w:hAnsi="Palatino Linotype" w:cs="Tahoma"/>
          <w:bCs/>
          <w:i/>
          <w:sz w:val="20"/>
          <w:szCs w:val="20"/>
          <w:lang w:eastAsia="es-ES"/>
        </w:rPr>
        <w:t>, por cualquier interesado</w:t>
      </w:r>
    </w:p>
    <w:p w14:paraId="54ECB153" w14:textId="77777777" w:rsidR="005550ED" w:rsidRPr="00B3795E" w:rsidRDefault="005550ED" w:rsidP="00171D0B">
      <w:pPr>
        <w:spacing w:line="360" w:lineRule="auto"/>
        <w:ind w:left="851" w:right="616"/>
        <w:jc w:val="both"/>
        <w:rPr>
          <w:rFonts w:ascii="Palatino Linotype" w:hAnsi="Palatino Linotype" w:cs="Tahoma"/>
          <w:bCs/>
          <w:i/>
          <w:sz w:val="20"/>
          <w:szCs w:val="20"/>
          <w:lang w:eastAsia="es-ES"/>
        </w:rPr>
      </w:pPr>
      <w:r w:rsidRPr="00B3795E">
        <w:rPr>
          <w:rFonts w:ascii="Palatino Linotype" w:hAnsi="Palatino Linotype" w:cs="Tahoma"/>
          <w:bCs/>
          <w:i/>
          <w:sz w:val="20"/>
          <w:szCs w:val="20"/>
          <w:lang w:eastAsia="es-ES"/>
        </w:rPr>
        <w:t>VI al VIII…</w:t>
      </w:r>
    </w:p>
    <w:p w14:paraId="175BAB26" w14:textId="77777777" w:rsidR="005550ED" w:rsidRPr="00B3795E" w:rsidRDefault="005550ED" w:rsidP="00171D0B">
      <w:pPr>
        <w:spacing w:line="360" w:lineRule="auto"/>
        <w:ind w:left="851" w:right="616"/>
        <w:jc w:val="both"/>
        <w:rPr>
          <w:rFonts w:ascii="Palatino Linotype" w:hAnsi="Palatino Linotype" w:cs="Tahoma"/>
          <w:bCs/>
          <w:i/>
          <w:sz w:val="20"/>
          <w:szCs w:val="20"/>
          <w:lang w:eastAsia="es-ES"/>
        </w:rPr>
      </w:pPr>
      <w:r w:rsidRPr="00B3795E">
        <w:rPr>
          <w:rFonts w:ascii="Palatino Linotype" w:hAnsi="Palatino Linotype" w:cs="Tahoma"/>
          <w:b/>
          <w:bCs/>
          <w:i/>
          <w:sz w:val="20"/>
          <w:szCs w:val="20"/>
          <w:lang w:eastAsia="es-ES"/>
        </w:rPr>
        <w:t>IX.      Formato Abierto:</w:t>
      </w:r>
      <w:r w:rsidRPr="00B3795E">
        <w:rPr>
          <w:rFonts w:ascii="Palatino Linotype" w:hAnsi="Palatino Linotype" w:cs="Tahoma"/>
          <w:bCs/>
          <w:i/>
          <w:sz w:val="20"/>
          <w:szCs w:val="20"/>
          <w:lang w:eastAsia="es-ES"/>
        </w:rPr>
        <w:t xml:space="preserve"> el conjunto de características técnicas y de presentación que corresponden a la estructura lógica usada para almacenar datos en un archivo digital, cuyas </w:t>
      </w:r>
      <w:r w:rsidRPr="00B3795E">
        <w:rPr>
          <w:rFonts w:ascii="Palatino Linotype" w:hAnsi="Palatino Linotype" w:cs="Tahoma"/>
          <w:bCs/>
          <w:i/>
          <w:sz w:val="20"/>
          <w:szCs w:val="20"/>
          <w:lang w:eastAsia="es-ES"/>
        </w:rPr>
        <w:lastRenderedPageBreak/>
        <w:t xml:space="preserve">especificaciones técnicas están disponibles públicamente, </w:t>
      </w:r>
      <w:r w:rsidRPr="00B3795E">
        <w:rPr>
          <w:rFonts w:ascii="Palatino Linotype" w:hAnsi="Palatino Linotype" w:cs="Tahoma"/>
          <w:b/>
          <w:bCs/>
          <w:i/>
          <w:sz w:val="20"/>
          <w:szCs w:val="20"/>
          <w:u w:val="single"/>
          <w:lang w:eastAsia="es-ES"/>
        </w:rPr>
        <w:t>que no suponen una dificultad de acceso y que su aplicación y reproducción no estén condicionadas a contraprestación alguna</w:t>
      </w:r>
      <w:r w:rsidRPr="00B3795E">
        <w:rPr>
          <w:rFonts w:ascii="Palatino Linotype" w:hAnsi="Palatino Linotype" w:cs="Tahoma"/>
          <w:bCs/>
          <w:i/>
          <w:sz w:val="20"/>
          <w:szCs w:val="20"/>
          <w:lang w:eastAsia="es-ES"/>
        </w:rPr>
        <w:t>;</w:t>
      </w:r>
    </w:p>
    <w:p w14:paraId="32C19D28" w14:textId="77777777" w:rsidR="005550ED" w:rsidRPr="00B3795E" w:rsidRDefault="005550ED" w:rsidP="00171D0B">
      <w:pPr>
        <w:spacing w:line="360" w:lineRule="auto"/>
        <w:ind w:left="851" w:right="616"/>
        <w:jc w:val="both"/>
        <w:rPr>
          <w:rFonts w:ascii="Palatino Linotype" w:hAnsi="Palatino Linotype" w:cs="Tahoma"/>
          <w:bCs/>
          <w:i/>
          <w:sz w:val="20"/>
          <w:szCs w:val="20"/>
          <w:lang w:eastAsia="es-ES"/>
        </w:rPr>
      </w:pPr>
      <w:r w:rsidRPr="00B3795E">
        <w:rPr>
          <w:rFonts w:ascii="Palatino Linotype" w:hAnsi="Palatino Linotype" w:cs="Tahoma"/>
          <w:bCs/>
          <w:i/>
          <w:sz w:val="20"/>
          <w:szCs w:val="20"/>
          <w:lang w:eastAsia="es-ES"/>
        </w:rPr>
        <w:t>X al XII…</w:t>
      </w:r>
    </w:p>
    <w:p w14:paraId="48B6E4E4" w14:textId="77777777" w:rsidR="005550ED" w:rsidRPr="00B3795E" w:rsidRDefault="005550ED" w:rsidP="00171D0B">
      <w:pPr>
        <w:spacing w:line="360" w:lineRule="auto"/>
        <w:ind w:left="851" w:right="616"/>
        <w:jc w:val="both"/>
        <w:rPr>
          <w:rFonts w:ascii="Palatino Linotype" w:hAnsi="Palatino Linotype" w:cs="Tahoma"/>
          <w:bCs/>
          <w:sz w:val="20"/>
          <w:szCs w:val="20"/>
          <w:lang w:eastAsia="es-ES"/>
        </w:rPr>
      </w:pPr>
      <w:r w:rsidRPr="00B3795E">
        <w:rPr>
          <w:rFonts w:ascii="Palatino Linotype" w:hAnsi="Palatino Linotype" w:cs="Tahoma"/>
          <w:bCs/>
          <w:sz w:val="20"/>
          <w:szCs w:val="20"/>
          <w:lang w:eastAsia="es-ES"/>
        </w:rPr>
        <w:t>(Énfasis añadido)</w:t>
      </w:r>
    </w:p>
    <w:p w14:paraId="2B77E51B" w14:textId="77777777" w:rsidR="005550ED" w:rsidRPr="00B3795E" w:rsidRDefault="005550ED" w:rsidP="005550ED">
      <w:pPr>
        <w:spacing w:line="360" w:lineRule="auto"/>
        <w:ind w:left="567"/>
        <w:jc w:val="both"/>
        <w:rPr>
          <w:rFonts w:ascii="Palatino Linotype" w:hAnsi="Palatino Linotype" w:cs="Tahoma"/>
          <w:bCs/>
          <w:sz w:val="20"/>
          <w:szCs w:val="20"/>
          <w:lang w:eastAsia="es-ES"/>
        </w:rPr>
      </w:pPr>
    </w:p>
    <w:p w14:paraId="319D1453" w14:textId="77777777" w:rsidR="005550ED" w:rsidRPr="00B3795E" w:rsidRDefault="005550ED" w:rsidP="00171D0B">
      <w:pPr>
        <w:spacing w:line="360" w:lineRule="auto"/>
        <w:ind w:right="-876"/>
        <w:jc w:val="both"/>
        <w:rPr>
          <w:rFonts w:ascii="Palatino Linotype" w:hAnsi="Palatino Linotype" w:cs="Tahoma"/>
          <w:bCs/>
          <w:sz w:val="20"/>
          <w:szCs w:val="20"/>
          <w:lang w:eastAsia="es-ES"/>
        </w:rPr>
      </w:pPr>
    </w:p>
    <w:p w14:paraId="722193FC" w14:textId="77777777" w:rsidR="005550ED" w:rsidRPr="00B3795E" w:rsidRDefault="005550ED" w:rsidP="00171D0B">
      <w:pPr>
        <w:numPr>
          <w:ilvl w:val="0"/>
          <w:numId w:val="9"/>
        </w:numPr>
        <w:spacing w:line="360" w:lineRule="auto"/>
        <w:ind w:left="0" w:right="-876" w:firstLine="0"/>
        <w:jc w:val="both"/>
        <w:rPr>
          <w:rFonts w:ascii="Palatino Linotype" w:hAnsi="Palatino Linotype" w:cs="Tahoma"/>
          <w:bCs/>
          <w:sz w:val="22"/>
          <w:szCs w:val="22"/>
          <w:lang w:eastAsia="es-ES"/>
        </w:rPr>
      </w:pPr>
      <w:r w:rsidRPr="00B3795E">
        <w:rPr>
          <w:rFonts w:ascii="Palatino Linotype" w:eastAsia="MS Mincho" w:hAnsi="Palatino Linotype"/>
          <w:color w:val="000000"/>
          <w:lang w:eastAsia="es-ES"/>
        </w:rPr>
        <w:t>Derivado</w:t>
      </w:r>
      <w:r w:rsidRPr="00B3795E">
        <w:rPr>
          <w:rFonts w:ascii="Palatino Linotype" w:hAnsi="Palatino Linotype" w:cs="Tahoma"/>
          <w:bCs/>
          <w:sz w:val="22"/>
          <w:szCs w:val="22"/>
          <w:lang w:eastAsia="es-ES"/>
        </w:rPr>
        <w:t xml:space="preserve"> de lo anterior, es dable considerar que los datos abiertos cumplen con la finalidad de poder ser utilizados, </w:t>
      </w:r>
      <w:r w:rsidRPr="00B3795E">
        <w:rPr>
          <w:rFonts w:ascii="Palatino Linotype" w:hAnsi="Palatino Linotype" w:cs="Tahoma"/>
          <w:sz w:val="22"/>
          <w:szCs w:val="22"/>
          <w:u w:val="single"/>
          <w:lang w:eastAsia="es-ES"/>
        </w:rPr>
        <w:t>reutilizados</w:t>
      </w:r>
      <w:r w:rsidRPr="00B3795E">
        <w:rPr>
          <w:rFonts w:ascii="Palatino Linotype" w:hAnsi="Palatino Linotype" w:cs="Tahoma"/>
          <w:b/>
          <w:bCs/>
          <w:sz w:val="22"/>
          <w:szCs w:val="22"/>
          <w:u w:val="single"/>
          <w:lang w:eastAsia="es-ES"/>
        </w:rPr>
        <w:t xml:space="preserve"> </w:t>
      </w:r>
      <w:r w:rsidRPr="00B3795E">
        <w:rPr>
          <w:rFonts w:ascii="Palatino Linotype" w:hAnsi="Palatino Linotype" w:cs="Tahoma"/>
          <w:bCs/>
          <w:sz w:val="22"/>
          <w:szCs w:val="22"/>
          <w:lang w:eastAsia="es-ES"/>
        </w:rPr>
        <w:t xml:space="preserve">y redistribuidos; y que el formato de datos abiertos, </w:t>
      </w:r>
      <w:r w:rsidRPr="00B3795E">
        <w:rPr>
          <w:rFonts w:ascii="Palatino Linotype" w:hAnsi="Palatino Linotype" w:cs="Tahoma"/>
          <w:b/>
          <w:bCs/>
          <w:sz w:val="22"/>
          <w:szCs w:val="22"/>
          <w:lang w:eastAsia="es-ES"/>
        </w:rPr>
        <w:t>debe permitir la aplicación y reproducción</w:t>
      </w:r>
      <w:r w:rsidRPr="00B3795E">
        <w:rPr>
          <w:rFonts w:ascii="Palatino Linotype" w:hAnsi="Palatino Linotype" w:cs="Tahoma"/>
          <w:bCs/>
          <w:sz w:val="22"/>
          <w:szCs w:val="22"/>
          <w:lang w:eastAsia="es-ES"/>
        </w:rPr>
        <w:t xml:space="preserve"> de la información sin estar condicionados a contraprestaciones</w:t>
      </w:r>
      <w:r w:rsidR="009359CE" w:rsidRPr="00B3795E">
        <w:rPr>
          <w:rFonts w:ascii="Palatino Linotype" w:hAnsi="Palatino Linotype" w:cs="Tahoma"/>
          <w:bCs/>
          <w:sz w:val="22"/>
          <w:szCs w:val="22"/>
          <w:lang w:eastAsia="es-ES"/>
        </w:rPr>
        <w:t>.</w:t>
      </w:r>
    </w:p>
    <w:p w14:paraId="0D37109A" w14:textId="77777777" w:rsidR="001A0ED2" w:rsidRPr="00B3795E" w:rsidRDefault="001A0ED2" w:rsidP="001A0ED2">
      <w:pPr>
        <w:spacing w:line="360" w:lineRule="auto"/>
        <w:ind w:right="-876"/>
        <w:jc w:val="both"/>
        <w:rPr>
          <w:rFonts w:ascii="Palatino Linotype" w:eastAsia="Palatino Linotype" w:hAnsi="Palatino Linotype" w:cs="Palatino Linotype"/>
        </w:rPr>
      </w:pPr>
    </w:p>
    <w:p w14:paraId="1484A6B6" w14:textId="77777777" w:rsidR="006C673C" w:rsidRPr="00B3795E" w:rsidRDefault="005550ED" w:rsidP="006C673C">
      <w:pPr>
        <w:numPr>
          <w:ilvl w:val="0"/>
          <w:numId w:val="9"/>
        </w:numPr>
        <w:spacing w:line="360" w:lineRule="auto"/>
        <w:ind w:left="0" w:right="-876" w:firstLine="0"/>
        <w:jc w:val="both"/>
        <w:rPr>
          <w:rFonts w:ascii="Palatino Linotype" w:eastAsia="Palatino Linotype" w:hAnsi="Palatino Linotype" w:cs="Palatino Linotype"/>
          <w:color w:val="000000"/>
        </w:rPr>
      </w:pPr>
      <w:r w:rsidRPr="00B3795E">
        <w:rPr>
          <w:rFonts w:ascii="Palatino Linotype" w:eastAsia="Palatino Linotype" w:hAnsi="Palatino Linotype" w:cs="Palatino Linotype"/>
        </w:rPr>
        <w:t xml:space="preserve">Por </w:t>
      </w:r>
      <w:r w:rsidR="009359CE" w:rsidRPr="00B3795E">
        <w:rPr>
          <w:rFonts w:ascii="Palatino Linotype" w:eastAsia="Palatino Linotype" w:hAnsi="Palatino Linotype" w:cs="Palatino Linotype"/>
        </w:rPr>
        <w:t>último</w:t>
      </w:r>
      <w:r w:rsidRPr="00B3795E">
        <w:rPr>
          <w:rFonts w:ascii="Palatino Linotype" w:eastAsia="Palatino Linotype" w:hAnsi="Palatino Linotype" w:cs="Palatino Linotype"/>
        </w:rPr>
        <w:t xml:space="preserve"> es de indicar que la información </w:t>
      </w:r>
      <w:r w:rsidR="009359CE" w:rsidRPr="00B3795E">
        <w:rPr>
          <w:rFonts w:ascii="Palatino Linotype" w:eastAsia="Palatino Linotype" w:hAnsi="Palatino Linotype" w:cs="Palatino Linotype"/>
        </w:rPr>
        <w:t>proporcionada</w:t>
      </w:r>
      <w:r w:rsidRPr="00B3795E">
        <w:rPr>
          <w:rFonts w:ascii="Palatino Linotype" w:eastAsia="Palatino Linotype" w:hAnsi="Palatino Linotype" w:cs="Palatino Linotype"/>
        </w:rPr>
        <w:t xml:space="preserve"> por el Sujeto Obligado, </w:t>
      </w:r>
      <w:r w:rsidR="005C45D6" w:rsidRPr="00B3795E">
        <w:rPr>
          <w:rFonts w:ascii="Palatino Linotype" w:eastAsia="Palatino Linotype" w:hAnsi="Palatino Linotype" w:cs="Palatino Linotype"/>
        </w:rPr>
        <w:t xml:space="preserve">no </w:t>
      </w:r>
      <w:r w:rsidRPr="00B3795E">
        <w:rPr>
          <w:rFonts w:ascii="Palatino Linotype" w:eastAsia="Palatino Linotype" w:hAnsi="Palatino Linotype" w:cs="Palatino Linotype"/>
        </w:rPr>
        <w:t>es accesible para el Recurrente, toda vez que este</w:t>
      </w:r>
      <w:r w:rsidR="005C45D6" w:rsidRPr="00B3795E">
        <w:rPr>
          <w:rFonts w:ascii="Palatino Linotype" w:eastAsia="Palatino Linotype" w:hAnsi="Palatino Linotype" w:cs="Palatino Linotype"/>
        </w:rPr>
        <w:t xml:space="preserve"> no </w:t>
      </w:r>
      <w:r w:rsidRPr="00B3795E">
        <w:rPr>
          <w:rFonts w:ascii="Palatino Linotype" w:eastAsia="Palatino Linotype" w:hAnsi="Palatino Linotype" w:cs="Palatino Linotype"/>
        </w:rPr>
        <w:t xml:space="preserve">se puede editar, </w:t>
      </w:r>
      <w:r w:rsidR="009359CE" w:rsidRPr="00B3795E">
        <w:rPr>
          <w:rFonts w:ascii="Palatino Linotype" w:eastAsia="Palatino Linotype" w:hAnsi="Palatino Linotype" w:cs="Palatino Linotype"/>
        </w:rPr>
        <w:t>reproducir.</w:t>
      </w:r>
    </w:p>
    <w:p w14:paraId="3FFC4186" w14:textId="77777777" w:rsidR="005C45D6" w:rsidRPr="00B3795E" w:rsidRDefault="005C45D6" w:rsidP="005C45D6">
      <w:pPr>
        <w:pStyle w:val="Prrafodelista"/>
        <w:rPr>
          <w:rFonts w:ascii="Palatino Linotype" w:eastAsia="Palatino Linotype" w:hAnsi="Palatino Linotype" w:cs="Palatino Linotype"/>
          <w:color w:val="000000"/>
        </w:rPr>
      </w:pPr>
    </w:p>
    <w:p w14:paraId="4B6A8E5E" w14:textId="77777777" w:rsidR="005C45D6" w:rsidRPr="00B3795E" w:rsidRDefault="005C45D6" w:rsidP="006C673C">
      <w:pPr>
        <w:numPr>
          <w:ilvl w:val="0"/>
          <w:numId w:val="9"/>
        </w:numPr>
        <w:spacing w:line="360" w:lineRule="auto"/>
        <w:ind w:left="0" w:right="-876" w:firstLine="0"/>
        <w:jc w:val="both"/>
        <w:rPr>
          <w:rFonts w:ascii="Palatino Linotype" w:eastAsia="Palatino Linotype" w:hAnsi="Palatino Linotype" w:cs="Palatino Linotype"/>
          <w:color w:val="000000"/>
        </w:rPr>
      </w:pPr>
      <w:r w:rsidRPr="00B3795E">
        <w:rPr>
          <w:rFonts w:ascii="Palatino Linotype" w:eastAsia="Palatino Linotype" w:hAnsi="Palatino Linotype" w:cs="Palatino Linotype"/>
          <w:color w:val="000000"/>
        </w:rPr>
        <w:t xml:space="preserve">Ahora bien, es de indicar que el Sujeto Obligado, en respuesta </w:t>
      </w:r>
      <w:r w:rsidR="005B4998" w:rsidRPr="00B3795E">
        <w:rPr>
          <w:rFonts w:ascii="Palatino Linotype" w:eastAsia="Palatino Linotype" w:hAnsi="Palatino Linotype" w:cs="Palatino Linotype"/>
          <w:color w:val="000000"/>
        </w:rPr>
        <w:t>remitió</w:t>
      </w:r>
      <w:r w:rsidRPr="00B3795E">
        <w:rPr>
          <w:rFonts w:ascii="Palatino Linotype" w:eastAsia="Palatino Linotype" w:hAnsi="Palatino Linotype" w:cs="Palatino Linotype"/>
          <w:color w:val="000000"/>
        </w:rPr>
        <w:t xml:space="preserve"> tres lista</w:t>
      </w:r>
      <w:r w:rsidR="005B4998" w:rsidRPr="00B3795E">
        <w:rPr>
          <w:rFonts w:ascii="Palatino Linotype" w:eastAsia="Palatino Linotype" w:hAnsi="Palatino Linotype" w:cs="Palatino Linotype"/>
          <w:color w:val="000000"/>
        </w:rPr>
        <w:t>s</w:t>
      </w:r>
      <w:r w:rsidRPr="00B3795E">
        <w:rPr>
          <w:rFonts w:ascii="Palatino Linotype" w:eastAsia="Palatino Linotype" w:hAnsi="Palatino Linotype" w:cs="Palatino Linotype"/>
          <w:color w:val="000000"/>
        </w:rPr>
        <w:t xml:space="preserve">; la </w:t>
      </w:r>
      <w:r w:rsidR="005B4998" w:rsidRPr="00B3795E">
        <w:rPr>
          <w:rFonts w:ascii="Palatino Linotype" w:eastAsia="Palatino Linotype" w:hAnsi="Palatino Linotype" w:cs="Palatino Linotype"/>
          <w:color w:val="000000"/>
        </w:rPr>
        <w:t>primera</w:t>
      </w:r>
      <w:r w:rsidRPr="00B3795E">
        <w:rPr>
          <w:rFonts w:ascii="Palatino Linotype" w:eastAsia="Palatino Linotype" w:hAnsi="Palatino Linotype" w:cs="Palatino Linotype"/>
          <w:color w:val="000000"/>
        </w:rPr>
        <w:t xml:space="preserve"> correspondiente a los proveedores pendientes de pago, la segunda, en relación </w:t>
      </w:r>
      <w:r w:rsidR="005B4998" w:rsidRPr="00B3795E">
        <w:rPr>
          <w:rFonts w:ascii="Palatino Linotype" w:eastAsia="Palatino Linotype" w:hAnsi="Palatino Linotype" w:cs="Palatino Linotype"/>
          <w:color w:val="000000"/>
        </w:rPr>
        <w:t>al listado de proveedores y la tercera, a los montos de pago de los proveedores. Sin embargo, la información remitida por el Sujeto Obligado</w:t>
      </w:r>
      <w:r w:rsidR="00FC5FA0" w:rsidRPr="00B3795E">
        <w:rPr>
          <w:rFonts w:ascii="Palatino Linotype" w:eastAsia="Palatino Linotype" w:hAnsi="Palatino Linotype" w:cs="Palatino Linotype"/>
          <w:color w:val="000000"/>
        </w:rPr>
        <w:t xml:space="preserve">, </w:t>
      </w:r>
      <w:r w:rsidR="00804395" w:rsidRPr="00B3795E">
        <w:rPr>
          <w:rFonts w:ascii="Palatino Linotype" w:eastAsia="Palatino Linotype" w:hAnsi="Palatino Linotype" w:cs="Palatino Linotype"/>
          <w:color w:val="000000"/>
        </w:rPr>
        <w:t xml:space="preserve">no permite colmar la solicitud de información, requerida por el Recurrente, toda vez, que  </w:t>
      </w:r>
      <w:r w:rsidR="00FC5FA0" w:rsidRPr="00B3795E">
        <w:rPr>
          <w:rFonts w:ascii="Palatino Linotype" w:eastAsia="Palatino Linotype" w:hAnsi="Palatino Linotype" w:cs="Palatino Linotype"/>
          <w:color w:val="000000"/>
        </w:rPr>
        <w:t>no</w:t>
      </w:r>
      <w:r w:rsidR="005B4998" w:rsidRPr="00B3795E">
        <w:rPr>
          <w:rFonts w:ascii="Palatino Linotype" w:eastAsia="Palatino Linotype" w:hAnsi="Palatino Linotype" w:cs="Palatino Linotype"/>
          <w:color w:val="000000"/>
        </w:rPr>
        <w:t xml:space="preserve"> permite relacionar la información entre proveedores y el monto de pago de proveedores, es decir no permite realizar un correlación entre proveedor y moto pagado a proveedores, toda vez que por un lado remite el listado de proveedores y por otro la lista de montos de pago de proveedores</w:t>
      </w:r>
      <w:r w:rsidR="00FC5FA0" w:rsidRPr="00B3795E">
        <w:rPr>
          <w:rFonts w:ascii="Palatino Linotype" w:eastAsia="Palatino Linotype" w:hAnsi="Palatino Linotype" w:cs="Palatino Linotype"/>
          <w:color w:val="000000"/>
        </w:rPr>
        <w:t>, lo cual no permite abonar a la rendición de cuentas y transparencia</w:t>
      </w:r>
      <w:r w:rsidR="005B4998" w:rsidRPr="00B3795E">
        <w:rPr>
          <w:rFonts w:ascii="Palatino Linotype" w:eastAsia="Palatino Linotype" w:hAnsi="Palatino Linotype" w:cs="Palatino Linotype"/>
          <w:color w:val="000000"/>
        </w:rPr>
        <w:t xml:space="preserve">. Por lo </w:t>
      </w:r>
      <w:r w:rsidR="00FC5FA0" w:rsidRPr="00B3795E">
        <w:rPr>
          <w:rFonts w:ascii="Palatino Linotype" w:eastAsia="Palatino Linotype" w:hAnsi="Palatino Linotype" w:cs="Palatino Linotype"/>
          <w:color w:val="000000"/>
        </w:rPr>
        <w:t>anterior resulta</w:t>
      </w:r>
      <w:r w:rsidR="005B4998" w:rsidRPr="00B3795E">
        <w:rPr>
          <w:rFonts w:ascii="Palatino Linotype" w:eastAsia="Palatino Linotype" w:hAnsi="Palatino Linotype" w:cs="Palatino Linotype"/>
          <w:color w:val="000000"/>
        </w:rPr>
        <w:t xml:space="preserve"> dable ORDENAR al Sujeto Obligado, haga entrega del o los documentos donde conste la información solicitada por el Recurrente.</w:t>
      </w:r>
    </w:p>
    <w:p w14:paraId="51E47A13" w14:textId="77777777" w:rsidR="009359CE" w:rsidRPr="00B3795E" w:rsidRDefault="009359CE" w:rsidP="009359CE">
      <w:pPr>
        <w:spacing w:line="360" w:lineRule="auto"/>
        <w:ind w:right="-876"/>
        <w:jc w:val="both"/>
        <w:rPr>
          <w:rFonts w:ascii="Palatino Linotype" w:eastAsia="Palatino Linotype" w:hAnsi="Palatino Linotype" w:cs="Palatino Linotype"/>
        </w:rPr>
      </w:pPr>
    </w:p>
    <w:p w14:paraId="452C0125" w14:textId="77777777" w:rsidR="009359CE" w:rsidRPr="00B3795E" w:rsidRDefault="009359CE" w:rsidP="009359CE">
      <w:pPr>
        <w:numPr>
          <w:ilvl w:val="0"/>
          <w:numId w:val="9"/>
        </w:numPr>
        <w:spacing w:line="360" w:lineRule="auto"/>
        <w:ind w:left="0" w:right="-876" w:firstLine="0"/>
        <w:jc w:val="both"/>
        <w:rPr>
          <w:rFonts w:ascii="Palatino Linotype" w:eastAsia="Palatino Linotype" w:hAnsi="Palatino Linotype" w:cs="Palatino Linotype"/>
          <w:b/>
        </w:rPr>
      </w:pPr>
      <w:r w:rsidRPr="00B3795E">
        <w:rPr>
          <w:rFonts w:ascii="Palatino Linotype" w:eastAsia="Palatino Linotype" w:hAnsi="Palatino Linotype" w:cs="Palatino Linotype"/>
        </w:rPr>
        <w:t xml:space="preserve">Por lo que respecta al Recurso de Revisión </w:t>
      </w:r>
      <w:r w:rsidRPr="00B3795E">
        <w:rPr>
          <w:rFonts w:ascii="Palatino Linotype" w:eastAsia="Palatino Linotype" w:hAnsi="Palatino Linotype" w:cs="Palatino Linotype"/>
          <w:b/>
        </w:rPr>
        <w:t xml:space="preserve">04340/INFOEM/IP/RR/202, </w:t>
      </w:r>
      <w:r w:rsidRPr="00B3795E">
        <w:rPr>
          <w:rFonts w:ascii="Palatino Linotype" w:eastAsia="Palatino Linotype" w:hAnsi="Palatino Linotype" w:cs="Palatino Linotype"/>
        </w:rPr>
        <w:t>en donde el Recurrente solicito, los</w:t>
      </w:r>
      <w:r w:rsidRPr="00B3795E">
        <w:rPr>
          <w:rFonts w:ascii="Palatino Linotype" w:eastAsia="Palatino Linotype" w:hAnsi="Palatino Linotype" w:cs="Palatino Linotype"/>
          <w:b/>
        </w:rPr>
        <w:t xml:space="preserve"> </w:t>
      </w:r>
      <w:r w:rsidRPr="00B3795E">
        <w:rPr>
          <w:rFonts w:ascii="Palatino Linotype" w:eastAsia="Palatino Linotype" w:hAnsi="Palatino Linotype" w:cs="Palatino Linotype"/>
        </w:rPr>
        <w:t>Montos pagados a proveedores del mes de mayo de 2024, con referencia al proveedor, nombre del mismo. El Sujeto Obligado, en respuesta informo que adjuntaba la información, el cual fue omiso en adjuntar la misma, por lo que el Recurrente se inconformó porque, no se anexa información solicitada</w:t>
      </w:r>
      <w:r w:rsidRPr="00B3795E">
        <w:rPr>
          <w:rFonts w:ascii="Palatino Linotype" w:eastAsia="Palatino Linotype" w:hAnsi="Palatino Linotype" w:cs="Palatino Linotype"/>
          <w:color w:val="000000"/>
        </w:rPr>
        <w:t xml:space="preserve">. </w:t>
      </w:r>
      <w:r w:rsidR="00B85C6F" w:rsidRPr="00B3795E">
        <w:rPr>
          <w:rFonts w:ascii="Palatino Linotype" w:eastAsia="Palatino Linotype" w:hAnsi="Palatino Linotype" w:cs="Palatino Linotype"/>
          <w:color w:val="000000"/>
        </w:rPr>
        <w:t>Sin</w:t>
      </w:r>
      <w:r w:rsidRPr="00B3795E">
        <w:rPr>
          <w:rFonts w:ascii="Palatino Linotype" w:eastAsia="Palatino Linotype" w:hAnsi="Palatino Linotype" w:cs="Palatino Linotype"/>
          <w:color w:val="000000"/>
        </w:rPr>
        <w:t xml:space="preserve"> embargo el Sujeto Obligado en un</w:t>
      </w:r>
      <w:r w:rsidR="00FC5FA0" w:rsidRPr="00B3795E">
        <w:rPr>
          <w:rFonts w:ascii="Palatino Linotype" w:eastAsia="Palatino Linotype" w:hAnsi="Palatino Linotype" w:cs="Palatino Linotype"/>
          <w:color w:val="000000"/>
        </w:rPr>
        <w:t>a etapa posterior, como lo es</w:t>
      </w:r>
      <w:r w:rsidRPr="00B3795E">
        <w:rPr>
          <w:rFonts w:ascii="Palatino Linotype" w:eastAsia="Palatino Linotype" w:hAnsi="Palatino Linotype" w:cs="Palatino Linotype"/>
          <w:color w:val="000000"/>
        </w:rPr>
        <w:t xml:space="preserve"> la Etapa de Manifestaciones, este </w:t>
      </w:r>
      <w:r w:rsidR="00B85C6F" w:rsidRPr="00B3795E">
        <w:rPr>
          <w:rFonts w:ascii="Palatino Linotype" w:eastAsia="Palatino Linotype" w:hAnsi="Palatino Linotype" w:cs="Palatino Linotype"/>
          <w:color w:val="000000"/>
        </w:rPr>
        <w:t>remitió</w:t>
      </w:r>
      <w:r w:rsidRPr="00B3795E">
        <w:rPr>
          <w:rFonts w:ascii="Palatino Linotype" w:eastAsia="Palatino Linotype" w:hAnsi="Palatino Linotype" w:cs="Palatino Linotype"/>
          <w:color w:val="000000"/>
        </w:rPr>
        <w:t xml:space="preserve"> la información </w:t>
      </w:r>
      <w:r w:rsidR="00B85C6F" w:rsidRPr="00B3795E">
        <w:rPr>
          <w:rFonts w:ascii="Palatino Linotype" w:eastAsia="Palatino Linotype" w:hAnsi="Palatino Linotype" w:cs="Palatino Linotype"/>
          <w:color w:val="000000"/>
        </w:rPr>
        <w:t>solicitada</w:t>
      </w:r>
      <w:r w:rsidRPr="00B3795E">
        <w:rPr>
          <w:rFonts w:ascii="Palatino Linotype" w:eastAsia="Palatino Linotype" w:hAnsi="Palatino Linotype" w:cs="Palatino Linotype"/>
          <w:color w:val="000000"/>
        </w:rPr>
        <w:t xml:space="preserve"> por el Recurrente. </w:t>
      </w:r>
    </w:p>
    <w:p w14:paraId="4434C4E7" w14:textId="77777777" w:rsidR="00FC5FA0" w:rsidRPr="00B3795E" w:rsidRDefault="00FC5FA0" w:rsidP="00FC5FA0">
      <w:pPr>
        <w:pStyle w:val="Prrafodelista"/>
        <w:rPr>
          <w:rFonts w:ascii="Palatino Linotype" w:eastAsia="Palatino Linotype" w:hAnsi="Palatino Linotype" w:cs="Palatino Linotype"/>
          <w:b/>
        </w:rPr>
      </w:pPr>
    </w:p>
    <w:p w14:paraId="3772B14D" w14:textId="77777777" w:rsidR="00FC5FA0" w:rsidRPr="00B3795E" w:rsidRDefault="00FC5FA0" w:rsidP="009359CE">
      <w:pPr>
        <w:numPr>
          <w:ilvl w:val="0"/>
          <w:numId w:val="9"/>
        </w:numPr>
        <w:spacing w:line="360" w:lineRule="auto"/>
        <w:ind w:left="0" w:right="-876" w:firstLine="0"/>
        <w:jc w:val="both"/>
        <w:rPr>
          <w:rFonts w:ascii="Palatino Linotype" w:eastAsia="Palatino Linotype" w:hAnsi="Palatino Linotype" w:cs="Palatino Linotype"/>
        </w:rPr>
      </w:pPr>
      <w:r w:rsidRPr="00B3795E">
        <w:rPr>
          <w:rFonts w:ascii="Palatino Linotype" w:eastAsia="Palatino Linotype" w:hAnsi="Palatino Linotype" w:cs="Palatino Linotype"/>
        </w:rPr>
        <w:t>Sin embargo, de un análisis realizado  a la información remitida por el Sujeto Obligado, en Informe Justificado, se puede señalar que la inform</w:t>
      </w:r>
      <w:r w:rsidR="002723D2" w:rsidRPr="00B3795E">
        <w:rPr>
          <w:rFonts w:ascii="Palatino Linotype" w:eastAsia="Palatino Linotype" w:hAnsi="Palatino Linotype" w:cs="Palatino Linotype"/>
        </w:rPr>
        <w:t>ación entregada, se hizo a través</w:t>
      </w:r>
      <w:r w:rsidRPr="00B3795E">
        <w:rPr>
          <w:rFonts w:ascii="Palatino Linotype" w:eastAsia="Palatino Linotype" w:hAnsi="Palatino Linotype" w:cs="Palatino Linotype"/>
        </w:rPr>
        <w:t xml:space="preserve"> de dos listados, una correspondiente al monto de pagos a proveedores  y el otro a un listado con el nombre de los </w:t>
      </w:r>
      <w:r w:rsidR="002723D2" w:rsidRPr="00B3795E">
        <w:rPr>
          <w:rFonts w:ascii="Palatino Linotype" w:eastAsia="Palatino Linotype" w:hAnsi="Palatino Linotype" w:cs="Palatino Linotype"/>
        </w:rPr>
        <w:t>proveedores</w:t>
      </w:r>
      <w:r w:rsidRPr="00B3795E">
        <w:rPr>
          <w:rFonts w:ascii="Palatino Linotype" w:eastAsia="Palatino Linotype" w:hAnsi="Palatino Linotype" w:cs="Palatino Linotype"/>
        </w:rPr>
        <w:t xml:space="preserve">, las cuales no permiten realizar una relación entre  el </w:t>
      </w:r>
      <w:r w:rsidR="002723D2" w:rsidRPr="00B3795E">
        <w:rPr>
          <w:rFonts w:ascii="Palatino Linotype" w:eastAsia="Palatino Linotype" w:hAnsi="Palatino Linotype" w:cs="Palatino Linotype"/>
        </w:rPr>
        <w:t>proveedor</w:t>
      </w:r>
      <w:r w:rsidRPr="00B3795E">
        <w:rPr>
          <w:rFonts w:ascii="Palatino Linotype" w:eastAsia="Palatino Linotype" w:hAnsi="Palatino Linotype" w:cs="Palatino Linotype"/>
        </w:rPr>
        <w:t xml:space="preserve">  y el monto de pago, por lo que la información remitida por el Sujeto Obligado, no colma la información solicitada por el Recurrente. Por lo</w:t>
      </w:r>
      <w:r w:rsidR="002723D2" w:rsidRPr="00B3795E">
        <w:rPr>
          <w:rFonts w:ascii="Palatino Linotype" w:eastAsia="Palatino Linotype" w:hAnsi="Palatino Linotype" w:cs="Palatino Linotype"/>
        </w:rPr>
        <w:t xml:space="preserve"> anterior, se REVOCA la respuesta emitida por el Sujeto Obligado y se ORDENA, haga entrega de la información solicitada por el Recurrente, respecto a los montos pagados a proveedores del mes de mayo de 2024.</w:t>
      </w:r>
    </w:p>
    <w:p w14:paraId="4608B994" w14:textId="77777777" w:rsidR="002723D2" w:rsidRPr="00B3795E" w:rsidRDefault="002723D2" w:rsidP="002723D2">
      <w:pPr>
        <w:spacing w:line="360" w:lineRule="auto"/>
        <w:ind w:right="-876"/>
        <w:jc w:val="both"/>
        <w:rPr>
          <w:rFonts w:ascii="Palatino Linotype" w:eastAsia="Palatino Linotype" w:hAnsi="Palatino Linotype" w:cs="Palatino Linotype"/>
        </w:rPr>
      </w:pPr>
    </w:p>
    <w:p w14:paraId="57C43E1A" w14:textId="77777777" w:rsidR="002723D2" w:rsidRPr="00B3795E" w:rsidRDefault="002723D2" w:rsidP="002723D2">
      <w:pPr>
        <w:keepNext/>
        <w:keepLines/>
        <w:spacing w:before="240"/>
        <w:rPr>
          <w:rFonts w:ascii="Palatino Linotype" w:eastAsia="Palatino Linotype" w:hAnsi="Palatino Linotype" w:cs="Palatino Linotype"/>
          <w:b/>
        </w:rPr>
      </w:pPr>
      <w:r w:rsidRPr="00B3795E">
        <w:rPr>
          <w:rFonts w:ascii="Palatino Linotype" w:eastAsia="Palatino Linotype" w:hAnsi="Palatino Linotype" w:cs="Palatino Linotype"/>
          <w:b/>
        </w:rPr>
        <w:t>QUINTO. De la versión pública.</w:t>
      </w:r>
    </w:p>
    <w:p w14:paraId="1E8F5565" w14:textId="77777777" w:rsidR="002723D2" w:rsidRPr="00B3795E" w:rsidRDefault="002723D2" w:rsidP="002723D2">
      <w:pPr>
        <w:rPr>
          <w:rFonts w:ascii="Palatino Linotype" w:eastAsia="Palatino Linotype" w:hAnsi="Palatino Linotype" w:cs="Palatino Linotype"/>
          <w:sz w:val="16"/>
          <w:szCs w:val="16"/>
        </w:rPr>
      </w:pPr>
    </w:p>
    <w:p w14:paraId="7BCBD762" w14:textId="77777777" w:rsidR="002723D2" w:rsidRPr="00B3795E" w:rsidRDefault="002723D2" w:rsidP="002723D2">
      <w:pPr>
        <w:keepNext/>
        <w:keepLines/>
        <w:numPr>
          <w:ilvl w:val="0"/>
          <w:numId w:val="6"/>
        </w:numPr>
        <w:tabs>
          <w:tab w:val="left" w:pos="284"/>
        </w:tabs>
        <w:spacing w:line="360" w:lineRule="auto"/>
        <w:ind w:left="0" w:firstLine="0"/>
        <w:rPr>
          <w:rFonts w:ascii="Palatino Linotype" w:eastAsia="Palatino Linotype" w:hAnsi="Palatino Linotype" w:cs="Palatino Linotype"/>
          <w:b/>
        </w:rPr>
      </w:pPr>
      <w:bookmarkStart w:id="11" w:name="_heading=h.3rdcrjn" w:colFirst="0" w:colLast="0"/>
      <w:bookmarkEnd w:id="11"/>
      <w:r w:rsidRPr="00B3795E">
        <w:rPr>
          <w:rFonts w:ascii="Palatino Linotype" w:eastAsia="Palatino Linotype" w:hAnsi="Palatino Linotype" w:cs="Palatino Linotype"/>
          <w:b/>
        </w:rPr>
        <w:t xml:space="preserve">Nociones generales. </w:t>
      </w:r>
    </w:p>
    <w:p w14:paraId="5612C6AF" w14:textId="77777777" w:rsidR="002723D2" w:rsidRPr="00B3795E" w:rsidRDefault="002723D2" w:rsidP="002723D2">
      <w:pPr>
        <w:rPr>
          <w:rFonts w:ascii="Palatino Linotype" w:eastAsia="Palatino Linotype" w:hAnsi="Palatino Linotype" w:cs="Palatino Linotype"/>
          <w:sz w:val="20"/>
          <w:szCs w:val="20"/>
        </w:rPr>
      </w:pPr>
    </w:p>
    <w:p w14:paraId="295CF99F" w14:textId="77777777" w:rsidR="002723D2" w:rsidRPr="00B3795E" w:rsidRDefault="002723D2" w:rsidP="002723D2">
      <w:pPr>
        <w:numPr>
          <w:ilvl w:val="0"/>
          <w:numId w:val="9"/>
        </w:numPr>
        <w:spacing w:line="360" w:lineRule="auto"/>
        <w:ind w:left="0" w:right="-876" w:firstLine="0"/>
        <w:jc w:val="both"/>
        <w:rPr>
          <w:rFonts w:ascii="Palatino Linotype" w:eastAsia="Palatino Linotype" w:hAnsi="Palatino Linotype" w:cs="Palatino Linotype"/>
          <w:color w:val="000000"/>
        </w:rPr>
      </w:pPr>
      <w:r w:rsidRPr="00B3795E">
        <w:rPr>
          <w:rFonts w:ascii="Palatino Linotype" w:eastAsia="Palatino Linotype" w:hAnsi="Palatino Linotype" w:cs="Palatino Linotype"/>
          <w:color w:val="000000"/>
        </w:rPr>
        <w:t>Debe destacarse que, debido a la naturaleza de la información solicitada</w:t>
      </w:r>
      <w:r w:rsidRPr="00B3795E">
        <w:rPr>
          <w:rFonts w:ascii="Palatino Linotype" w:eastAsia="Palatino Linotype" w:hAnsi="Palatino Linotype" w:cs="Palatino Linotype"/>
          <w:b/>
          <w:color w:val="000000"/>
        </w:rPr>
        <w:t xml:space="preserve">, </w:t>
      </w:r>
      <w:r w:rsidRPr="00B3795E">
        <w:rPr>
          <w:rFonts w:ascii="Palatino Linotype" w:eastAsia="Palatino Linotype" w:hAnsi="Palatino Linotype" w:cs="Palatino Linotype"/>
          <w:color w:val="000000"/>
        </w:rPr>
        <w:t xml:space="preserve">eventualmente pudiera obrar datos personales susceptibles de protegerse, así como información susceptible </w:t>
      </w:r>
      <w:r w:rsidRPr="00B3795E">
        <w:rPr>
          <w:rFonts w:ascii="Palatino Linotype" w:eastAsia="Palatino Linotype" w:hAnsi="Palatino Linotype" w:cs="Palatino Linotype"/>
          <w:color w:val="000000"/>
        </w:rPr>
        <w:lastRenderedPageBreak/>
        <w:t xml:space="preserve">de clasificarse como reservada, el </w:t>
      </w:r>
      <w:r w:rsidRPr="00B3795E">
        <w:rPr>
          <w:rFonts w:ascii="Palatino Linotype" w:eastAsia="Palatino Linotype" w:hAnsi="Palatino Linotype" w:cs="Palatino Linotype"/>
          <w:b/>
          <w:color w:val="000000"/>
        </w:rPr>
        <w:t xml:space="preserve">Sujeto Obligado </w:t>
      </w:r>
      <w:r w:rsidRPr="00B3795E">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6EE11EA1" w14:textId="77777777" w:rsidR="002723D2" w:rsidRPr="00B3795E" w:rsidRDefault="002723D2" w:rsidP="002723D2">
      <w:pPr>
        <w:tabs>
          <w:tab w:val="left" w:pos="0"/>
          <w:tab w:val="left" w:pos="284"/>
        </w:tabs>
        <w:spacing w:line="360" w:lineRule="auto"/>
        <w:ind w:right="49"/>
        <w:jc w:val="both"/>
        <w:rPr>
          <w:rFonts w:ascii="Palatino Linotype" w:eastAsia="Palatino Linotype" w:hAnsi="Palatino Linotype" w:cs="Palatino Linotype"/>
        </w:rPr>
      </w:pPr>
    </w:p>
    <w:p w14:paraId="4D60E679" w14:textId="77777777" w:rsidR="002723D2" w:rsidRPr="00B3795E" w:rsidRDefault="002723D2" w:rsidP="002723D2">
      <w:pPr>
        <w:numPr>
          <w:ilvl w:val="0"/>
          <w:numId w:val="9"/>
        </w:numPr>
        <w:spacing w:line="360" w:lineRule="auto"/>
        <w:ind w:left="0" w:right="-876" w:firstLine="0"/>
        <w:jc w:val="both"/>
        <w:rPr>
          <w:rFonts w:ascii="Palatino Linotype" w:eastAsia="Palatino Linotype" w:hAnsi="Palatino Linotype" w:cs="Palatino Linotype"/>
          <w:color w:val="000000"/>
        </w:rPr>
      </w:pPr>
      <w:r w:rsidRPr="00B3795E">
        <w:rPr>
          <w:rFonts w:ascii="Palatino Linotype" w:eastAsia="Palatino Linotype" w:hAnsi="Palatino Linotype" w:cs="Palatino Linotype"/>
          <w:color w:val="000000"/>
        </w:rPr>
        <w:t xml:space="preserve">No pasa desapercibido para este Órgano Garante que los </w:t>
      </w:r>
      <w:r w:rsidRPr="00B3795E">
        <w:rPr>
          <w:rFonts w:ascii="Palatino Linotype" w:eastAsia="Palatino Linotype" w:hAnsi="Palatino Linotype" w:cs="Palatino Linotype"/>
          <w:b/>
          <w:color w:val="000000"/>
        </w:rPr>
        <w:t xml:space="preserve">Sujetos Obligados </w:t>
      </w:r>
      <w:r w:rsidRPr="00B3795E">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19767DA9" w14:textId="77777777" w:rsidR="002723D2" w:rsidRPr="00B3795E" w:rsidRDefault="002723D2" w:rsidP="002723D2">
      <w:pPr>
        <w:tabs>
          <w:tab w:val="left" w:pos="284"/>
        </w:tabs>
        <w:spacing w:line="360" w:lineRule="auto"/>
        <w:ind w:right="49"/>
        <w:jc w:val="both"/>
        <w:rPr>
          <w:rFonts w:ascii="Palatino Linotype" w:eastAsia="Palatino Linotype" w:hAnsi="Palatino Linotype" w:cs="Palatino Linotype"/>
          <w:color w:val="000000"/>
          <w:sz w:val="20"/>
          <w:szCs w:val="20"/>
        </w:rPr>
      </w:pPr>
    </w:p>
    <w:tbl>
      <w:tblPr>
        <w:tblW w:w="8505"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667"/>
      </w:tblGrid>
      <w:tr w:rsidR="002723D2" w:rsidRPr="00B3795E" w14:paraId="3F88B417" w14:textId="77777777" w:rsidTr="004A6FA0">
        <w:tc>
          <w:tcPr>
            <w:tcW w:w="1838" w:type="dxa"/>
          </w:tcPr>
          <w:p w14:paraId="71BF7DBB" w14:textId="77777777" w:rsidR="002723D2" w:rsidRPr="00B3795E" w:rsidRDefault="002723D2" w:rsidP="004A6FA0">
            <w:pPr>
              <w:tabs>
                <w:tab w:val="left" w:pos="284"/>
              </w:tabs>
              <w:spacing w:line="360" w:lineRule="auto"/>
              <w:rPr>
                <w:rFonts w:ascii="Palatino Linotype" w:eastAsia="Palatino Linotype" w:hAnsi="Palatino Linotype" w:cs="Palatino Linotype"/>
                <w:sz w:val="20"/>
                <w:szCs w:val="20"/>
              </w:rPr>
            </w:pPr>
            <w:r w:rsidRPr="00B3795E">
              <w:rPr>
                <w:rFonts w:ascii="Palatino Linotype" w:eastAsia="Palatino Linotype" w:hAnsi="Palatino Linotype" w:cs="Palatino Linotype"/>
                <w:sz w:val="20"/>
                <w:szCs w:val="20"/>
              </w:rPr>
              <w:t>a) Requisitos previos.</w:t>
            </w:r>
          </w:p>
        </w:tc>
        <w:tc>
          <w:tcPr>
            <w:tcW w:w="6667" w:type="dxa"/>
          </w:tcPr>
          <w:p w14:paraId="5A4757C2" w14:textId="77777777" w:rsidR="002723D2" w:rsidRPr="00B3795E" w:rsidRDefault="002723D2" w:rsidP="004A6FA0">
            <w:pPr>
              <w:tabs>
                <w:tab w:val="left" w:pos="284"/>
              </w:tabs>
              <w:spacing w:line="360" w:lineRule="auto"/>
              <w:ind w:right="49"/>
              <w:jc w:val="both"/>
              <w:rPr>
                <w:rFonts w:ascii="Palatino Linotype" w:eastAsia="Palatino Linotype" w:hAnsi="Palatino Linotype" w:cs="Palatino Linotype"/>
                <w:sz w:val="20"/>
                <w:szCs w:val="20"/>
              </w:rPr>
            </w:pPr>
            <w:r w:rsidRPr="00B3795E">
              <w:rPr>
                <w:rFonts w:ascii="Palatino Linotype" w:eastAsia="Palatino Linotype" w:hAnsi="Palatino Linotype" w:cs="Palatino Linotype"/>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7DFE8BCF" w14:textId="77777777" w:rsidR="002723D2" w:rsidRPr="00B3795E" w:rsidRDefault="002723D2" w:rsidP="004A6FA0">
            <w:pPr>
              <w:tabs>
                <w:tab w:val="left" w:pos="284"/>
              </w:tabs>
              <w:spacing w:line="360" w:lineRule="auto"/>
              <w:ind w:right="49"/>
              <w:jc w:val="both"/>
              <w:rPr>
                <w:rFonts w:ascii="Palatino Linotype" w:eastAsia="Palatino Linotype" w:hAnsi="Palatino Linotype" w:cs="Palatino Linotype"/>
                <w:sz w:val="20"/>
                <w:szCs w:val="20"/>
              </w:rPr>
            </w:pPr>
            <w:r w:rsidRPr="00B3795E">
              <w:rPr>
                <w:rFonts w:ascii="Palatino Linotype" w:eastAsia="Palatino Linotype" w:hAnsi="Palatino Linotype" w:cs="Palatino Linotype"/>
                <w:sz w:val="20"/>
                <w:szCs w:val="20"/>
              </w:rPr>
              <w:t>Al hacerlo tienen que precisar de qué información se trata, señalando el supuesto de clasificación (confidencialidad o reserva).</w:t>
            </w:r>
          </w:p>
          <w:p w14:paraId="29467857" w14:textId="77777777" w:rsidR="002723D2" w:rsidRPr="00B3795E" w:rsidRDefault="002723D2" w:rsidP="004A6FA0">
            <w:pPr>
              <w:tabs>
                <w:tab w:val="left" w:pos="284"/>
              </w:tabs>
              <w:spacing w:line="360" w:lineRule="auto"/>
              <w:ind w:right="49"/>
              <w:jc w:val="both"/>
              <w:rPr>
                <w:rFonts w:ascii="Palatino Linotype" w:eastAsia="Palatino Linotype" w:hAnsi="Palatino Linotype" w:cs="Palatino Linotype"/>
                <w:sz w:val="20"/>
                <w:szCs w:val="20"/>
              </w:rPr>
            </w:pPr>
            <w:r w:rsidRPr="00B3795E">
              <w:rPr>
                <w:rFonts w:ascii="Palatino Linotype" w:eastAsia="Palatino Linotype" w:hAnsi="Palatino Linotype" w:cs="Palatino Linotype"/>
                <w:sz w:val="20"/>
                <w:szCs w:val="20"/>
              </w:rPr>
              <w:t>Además, se debe señalar el procedimiento, de los tres que establecen los artículos 132 y 106 de la Ley Estatal y General, respectivamente.</w:t>
            </w:r>
          </w:p>
          <w:p w14:paraId="0F836A10" w14:textId="77777777" w:rsidR="002723D2" w:rsidRPr="00B3795E" w:rsidRDefault="002723D2" w:rsidP="004A6FA0">
            <w:pPr>
              <w:tabs>
                <w:tab w:val="left" w:pos="284"/>
              </w:tabs>
              <w:spacing w:line="360" w:lineRule="auto"/>
              <w:jc w:val="both"/>
              <w:rPr>
                <w:rFonts w:ascii="Palatino Linotype" w:eastAsia="Palatino Linotype" w:hAnsi="Palatino Linotype" w:cs="Palatino Linotype"/>
                <w:sz w:val="20"/>
                <w:szCs w:val="20"/>
              </w:rPr>
            </w:pPr>
            <w:r w:rsidRPr="00B3795E">
              <w:rPr>
                <w:rFonts w:ascii="Palatino Linotype" w:eastAsia="Palatino Linotype" w:hAnsi="Palatino Linotype" w:cs="Palatino Linotype"/>
                <w:sz w:val="20"/>
                <w:szCs w:val="20"/>
              </w:rPr>
              <w:t xml:space="preserve">El último de estos requisitos previos consiste en que no se pueden emitir acuerdos de carácter general ni particular, esto es, </w:t>
            </w:r>
            <w:r w:rsidRPr="00B3795E">
              <w:rPr>
                <w:rFonts w:ascii="Palatino Linotype" w:eastAsia="Palatino Linotype" w:hAnsi="Palatino Linotype" w:cs="Palatino Linotype"/>
                <w:sz w:val="20"/>
                <w:szCs w:val="20"/>
                <w:u w:val="single"/>
              </w:rPr>
              <w:t>no se puede hacer un acuerdo para clasificar de manera general todos los documentos de un expediente o área, sin</w:t>
            </w:r>
            <w:r w:rsidRPr="00B3795E">
              <w:rPr>
                <w:rFonts w:ascii="Palatino Linotype" w:eastAsia="Palatino Linotype" w:hAnsi="Palatino Linotype" w:cs="Palatino Linotype"/>
                <w:sz w:val="20"/>
                <w:szCs w:val="20"/>
              </w:rPr>
              <w:t xml:space="preserve"> individualizar su análisis y tampoco se puede hacer un acuerdo por cada dato que se vaya a clasificar dentro de un documento con diez datos, por ejemplo, susceptibles de ser clasificados.</w:t>
            </w:r>
          </w:p>
        </w:tc>
      </w:tr>
      <w:tr w:rsidR="002723D2" w:rsidRPr="00B3795E" w14:paraId="7365726A" w14:textId="77777777" w:rsidTr="004A6FA0">
        <w:tc>
          <w:tcPr>
            <w:tcW w:w="1838" w:type="dxa"/>
          </w:tcPr>
          <w:p w14:paraId="7A71ACBF" w14:textId="77777777" w:rsidR="002723D2" w:rsidRPr="00B3795E" w:rsidRDefault="002723D2" w:rsidP="004A6FA0">
            <w:pPr>
              <w:tabs>
                <w:tab w:val="left" w:pos="284"/>
              </w:tabs>
              <w:spacing w:line="360" w:lineRule="auto"/>
              <w:rPr>
                <w:rFonts w:ascii="Palatino Linotype" w:eastAsia="Palatino Linotype" w:hAnsi="Palatino Linotype" w:cs="Palatino Linotype"/>
                <w:sz w:val="20"/>
                <w:szCs w:val="20"/>
              </w:rPr>
            </w:pPr>
            <w:r w:rsidRPr="00B3795E">
              <w:rPr>
                <w:rFonts w:ascii="Palatino Linotype" w:eastAsia="Palatino Linotype" w:hAnsi="Palatino Linotype" w:cs="Palatino Linotype"/>
                <w:sz w:val="20"/>
                <w:szCs w:val="20"/>
              </w:rPr>
              <w:lastRenderedPageBreak/>
              <w:t>b) Supuestos de clasificación.</w:t>
            </w:r>
          </w:p>
        </w:tc>
        <w:tc>
          <w:tcPr>
            <w:tcW w:w="6667" w:type="dxa"/>
          </w:tcPr>
          <w:p w14:paraId="75FD05C8" w14:textId="77777777" w:rsidR="002723D2" w:rsidRPr="00B3795E" w:rsidRDefault="002723D2" w:rsidP="004A6FA0">
            <w:pPr>
              <w:tabs>
                <w:tab w:val="left" w:pos="284"/>
              </w:tabs>
              <w:spacing w:line="360" w:lineRule="auto"/>
              <w:ind w:right="49"/>
              <w:jc w:val="both"/>
              <w:rPr>
                <w:rFonts w:ascii="Palatino Linotype" w:eastAsia="Palatino Linotype" w:hAnsi="Palatino Linotype" w:cs="Palatino Linotype"/>
                <w:sz w:val="20"/>
                <w:szCs w:val="20"/>
              </w:rPr>
            </w:pPr>
            <w:r w:rsidRPr="00B3795E">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14:paraId="06D3C72A" w14:textId="77777777" w:rsidR="002723D2" w:rsidRPr="00B3795E" w:rsidRDefault="002723D2" w:rsidP="004A6FA0">
            <w:pPr>
              <w:tabs>
                <w:tab w:val="left" w:pos="284"/>
              </w:tabs>
              <w:spacing w:line="360" w:lineRule="auto"/>
              <w:ind w:right="49"/>
              <w:jc w:val="both"/>
              <w:rPr>
                <w:rFonts w:ascii="Palatino Linotype" w:eastAsia="Palatino Linotype" w:hAnsi="Palatino Linotype" w:cs="Palatino Linotype"/>
                <w:sz w:val="20"/>
                <w:szCs w:val="20"/>
              </w:rPr>
            </w:pPr>
            <w:r w:rsidRPr="00B3795E">
              <w:rPr>
                <w:rFonts w:ascii="Palatino Linotype" w:eastAsia="Palatino Linotype" w:hAnsi="Palatino Linotype" w:cs="Palatino Linotype"/>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058C5354" w14:textId="77777777" w:rsidR="002723D2" w:rsidRPr="00B3795E" w:rsidRDefault="002723D2" w:rsidP="004A6FA0">
            <w:pPr>
              <w:tabs>
                <w:tab w:val="left" w:pos="284"/>
              </w:tabs>
              <w:spacing w:line="360" w:lineRule="auto"/>
              <w:jc w:val="both"/>
              <w:rPr>
                <w:rFonts w:ascii="Palatino Linotype" w:eastAsia="Palatino Linotype" w:hAnsi="Palatino Linotype" w:cs="Palatino Linotype"/>
                <w:sz w:val="20"/>
                <w:szCs w:val="20"/>
              </w:rPr>
            </w:pPr>
            <w:r w:rsidRPr="00B3795E">
              <w:rPr>
                <w:rFonts w:ascii="Palatino Linotype" w:eastAsia="Palatino Linotype" w:hAnsi="Palatino Linotype" w:cs="Palatino Linotype"/>
                <w:sz w:val="20"/>
                <w:szCs w:val="20"/>
              </w:rPr>
              <w:t xml:space="preserve">El </w:t>
            </w:r>
            <w:r w:rsidRPr="00B3795E">
              <w:rPr>
                <w:rFonts w:ascii="Palatino Linotype" w:eastAsia="Palatino Linotype" w:hAnsi="Palatino Linotype" w:cs="Palatino Linotype"/>
                <w:b/>
                <w:sz w:val="20"/>
                <w:szCs w:val="20"/>
              </w:rPr>
              <w:t>Sujeto Obligado</w:t>
            </w:r>
            <w:r w:rsidRPr="00B3795E">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723D2" w:rsidRPr="00B3795E" w14:paraId="5EC75F94" w14:textId="77777777" w:rsidTr="004A6FA0">
        <w:tc>
          <w:tcPr>
            <w:tcW w:w="1838" w:type="dxa"/>
          </w:tcPr>
          <w:p w14:paraId="15E32F7E" w14:textId="77777777" w:rsidR="002723D2" w:rsidRPr="00B3795E" w:rsidRDefault="002723D2" w:rsidP="004A6FA0">
            <w:pPr>
              <w:tabs>
                <w:tab w:val="left" w:pos="284"/>
              </w:tabs>
              <w:spacing w:line="360" w:lineRule="auto"/>
              <w:rPr>
                <w:rFonts w:ascii="Palatino Linotype" w:eastAsia="Palatino Linotype" w:hAnsi="Palatino Linotype" w:cs="Palatino Linotype"/>
                <w:sz w:val="20"/>
                <w:szCs w:val="20"/>
              </w:rPr>
            </w:pPr>
            <w:r w:rsidRPr="00B3795E">
              <w:rPr>
                <w:rFonts w:ascii="Palatino Linotype" w:eastAsia="Palatino Linotype" w:hAnsi="Palatino Linotype" w:cs="Palatino Linotype"/>
                <w:sz w:val="20"/>
                <w:szCs w:val="20"/>
              </w:rPr>
              <w:t>c) Formalidades para emitir el acuerdo de clasificación.</w:t>
            </w:r>
          </w:p>
        </w:tc>
        <w:tc>
          <w:tcPr>
            <w:tcW w:w="6667" w:type="dxa"/>
          </w:tcPr>
          <w:p w14:paraId="47A1A64D" w14:textId="77777777" w:rsidR="002723D2" w:rsidRPr="00B3795E" w:rsidRDefault="002723D2" w:rsidP="004A6FA0">
            <w:pPr>
              <w:tabs>
                <w:tab w:val="left" w:pos="284"/>
              </w:tabs>
              <w:spacing w:line="360" w:lineRule="auto"/>
              <w:ind w:right="49"/>
              <w:jc w:val="both"/>
              <w:rPr>
                <w:rFonts w:ascii="Palatino Linotype" w:eastAsia="Palatino Linotype" w:hAnsi="Palatino Linotype" w:cs="Palatino Linotype"/>
                <w:sz w:val="20"/>
                <w:szCs w:val="20"/>
              </w:rPr>
            </w:pPr>
            <w:r w:rsidRPr="00B3795E">
              <w:rPr>
                <w:rFonts w:ascii="Palatino Linotype" w:eastAsia="Palatino Linotype" w:hAnsi="Palatino Linotype" w:cs="Palatino Linotype"/>
                <w:sz w:val="20"/>
                <w:szCs w:val="20"/>
              </w:rPr>
              <w:t xml:space="preserve">El Comité de Transparencia, según lo dispuesto en los artículos cuenta con las facultades para aprobar, modificar o revocar la clasificación de la información que haya propuesto. </w:t>
            </w:r>
          </w:p>
          <w:p w14:paraId="1F75B449" w14:textId="77777777" w:rsidR="002723D2" w:rsidRPr="00B3795E" w:rsidRDefault="002723D2" w:rsidP="004A6FA0">
            <w:pPr>
              <w:tabs>
                <w:tab w:val="left" w:pos="284"/>
              </w:tabs>
              <w:spacing w:line="360" w:lineRule="auto"/>
              <w:ind w:right="49"/>
              <w:jc w:val="both"/>
              <w:rPr>
                <w:rFonts w:ascii="Palatino Linotype" w:eastAsia="Palatino Linotype" w:hAnsi="Palatino Linotype" w:cs="Palatino Linotype"/>
                <w:sz w:val="20"/>
                <w:szCs w:val="20"/>
              </w:rPr>
            </w:pPr>
            <w:r w:rsidRPr="00B3795E">
              <w:rPr>
                <w:rFonts w:ascii="Palatino Linotype" w:eastAsia="Palatino Linotype" w:hAnsi="Palatino Linotype" w:cs="Palatino Linotype"/>
                <w:sz w:val="20"/>
                <w:szCs w:val="20"/>
              </w:rPr>
              <w:t xml:space="preserve">Es necesario que </w:t>
            </w:r>
            <w:r w:rsidRPr="00B3795E">
              <w:rPr>
                <w:rFonts w:ascii="Palatino Linotype" w:eastAsia="Palatino Linotype" w:hAnsi="Palatino Linotype" w:cs="Palatino Linotype"/>
                <w:b/>
                <w:sz w:val="20"/>
                <w:szCs w:val="20"/>
                <w:u w:val="single"/>
              </w:rPr>
              <w:t>el acto reúna con los requisitos elementales</w:t>
            </w:r>
            <w:r w:rsidRPr="00B3795E">
              <w:rPr>
                <w:rFonts w:ascii="Palatino Linotype" w:eastAsia="Palatino Linotype" w:hAnsi="Palatino Linotype" w:cs="Palatino Linotype"/>
                <w:sz w:val="20"/>
                <w:szCs w:val="20"/>
              </w:rPr>
              <w:t>, entre ellos, que la autoridad que va a emitir el acto de autoridad sea la legalmente facultada para ello.</w:t>
            </w:r>
          </w:p>
          <w:p w14:paraId="019225F9" w14:textId="77777777" w:rsidR="002723D2" w:rsidRPr="00B3795E" w:rsidRDefault="002723D2" w:rsidP="004A6FA0">
            <w:pPr>
              <w:tabs>
                <w:tab w:val="left" w:pos="284"/>
              </w:tabs>
              <w:spacing w:line="360" w:lineRule="auto"/>
              <w:jc w:val="both"/>
              <w:rPr>
                <w:rFonts w:ascii="Palatino Linotype" w:eastAsia="Palatino Linotype" w:hAnsi="Palatino Linotype" w:cs="Palatino Linotype"/>
                <w:sz w:val="20"/>
                <w:szCs w:val="20"/>
              </w:rPr>
            </w:pPr>
            <w:r w:rsidRPr="00B3795E">
              <w:rPr>
                <w:rFonts w:ascii="Palatino Linotype" w:eastAsia="Palatino Linotype" w:hAnsi="Palatino Linotype" w:cs="Palatino Linotype"/>
                <w:sz w:val="20"/>
                <w:szCs w:val="20"/>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w:t>
            </w:r>
            <w:r w:rsidRPr="00B3795E">
              <w:rPr>
                <w:rFonts w:ascii="Palatino Linotype" w:eastAsia="Palatino Linotype" w:hAnsi="Palatino Linotype" w:cs="Palatino Linotype"/>
                <w:sz w:val="20"/>
                <w:szCs w:val="20"/>
              </w:rPr>
              <w:lastRenderedPageBreak/>
              <w:t>y que son sujetas a control, en primera instancia, por el Comité de Transparencia.</w:t>
            </w:r>
          </w:p>
        </w:tc>
      </w:tr>
      <w:tr w:rsidR="002723D2" w:rsidRPr="00B3795E" w14:paraId="5F834A2F" w14:textId="77777777" w:rsidTr="004A6FA0">
        <w:tc>
          <w:tcPr>
            <w:tcW w:w="1838" w:type="dxa"/>
          </w:tcPr>
          <w:p w14:paraId="21AA8B5B" w14:textId="77777777" w:rsidR="002723D2" w:rsidRPr="00B3795E" w:rsidRDefault="002723D2" w:rsidP="004A6FA0">
            <w:pPr>
              <w:tabs>
                <w:tab w:val="left" w:pos="284"/>
              </w:tabs>
              <w:spacing w:line="360" w:lineRule="auto"/>
              <w:rPr>
                <w:rFonts w:ascii="Palatino Linotype" w:eastAsia="Palatino Linotype" w:hAnsi="Palatino Linotype" w:cs="Palatino Linotype"/>
                <w:sz w:val="20"/>
                <w:szCs w:val="20"/>
              </w:rPr>
            </w:pPr>
          </w:p>
          <w:p w14:paraId="26B0F827" w14:textId="77777777" w:rsidR="002723D2" w:rsidRPr="00B3795E" w:rsidRDefault="002723D2" w:rsidP="004A6FA0">
            <w:pPr>
              <w:tabs>
                <w:tab w:val="left" w:pos="284"/>
              </w:tabs>
              <w:spacing w:line="360" w:lineRule="auto"/>
              <w:jc w:val="both"/>
              <w:rPr>
                <w:rFonts w:ascii="Palatino Linotype" w:eastAsia="Palatino Linotype" w:hAnsi="Palatino Linotype" w:cs="Palatino Linotype"/>
                <w:sz w:val="20"/>
                <w:szCs w:val="20"/>
              </w:rPr>
            </w:pPr>
            <w:r w:rsidRPr="00B3795E">
              <w:rPr>
                <w:rFonts w:ascii="Palatino Linotype" w:eastAsia="Palatino Linotype" w:hAnsi="Palatino Linotype" w:cs="Palatino Linotype"/>
                <w:sz w:val="20"/>
                <w:szCs w:val="20"/>
              </w:rPr>
              <w:t xml:space="preserve">d) Requisitos de fondo del acuerdo de clasificación. </w:t>
            </w:r>
          </w:p>
        </w:tc>
        <w:tc>
          <w:tcPr>
            <w:tcW w:w="6667" w:type="dxa"/>
          </w:tcPr>
          <w:p w14:paraId="6E2CBEB1" w14:textId="77777777" w:rsidR="002723D2" w:rsidRPr="00B3795E" w:rsidRDefault="002723D2" w:rsidP="004A6FA0">
            <w:pPr>
              <w:tabs>
                <w:tab w:val="left" w:pos="284"/>
              </w:tabs>
              <w:spacing w:line="360" w:lineRule="auto"/>
              <w:ind w:right="49"/>
              <w:jc w:val="both"/>
              <w:rPr>
                <w:rFonts w:ascii="Palatino Linotype" w:eastAsia="Palatino Linotype" w:hAnsi="Palatino Linotype" w:cs="Palatino Linotype"/>
                <w:sz w:val="20"/>
                <w:szCs w:val="20"/>
              </w:rPr>
            </w:pPr>
            <w:r w:rsidRPr="00B3795E">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B3795E">
              <w:rPr>
                <w:rFonts w:ascii="Palatino Linotype" w:eastAsia="Palatino Linotype" w:hAnsi="Palatino Linotype" w:cs="Palatino Linotype"/>
                <w:b/>
                <w:sz w:val="20"/>
                <w:szCs w:val="20"/>
              </w:rPr>
              <w:t>Sujetos Obligados</w:t>
            </w:r>
            <w:r w:rsidRPr="00B3795E">
              <w:rPr>
                <w:rFonts w:ascii="Palatino Linotype" w:eastAsia="Palatino Linotype" w:hAnsi="Palatino Linotype" w:cs="Palatino Linotype"/>
                <w:sz w:val="20"/>
                <w:szCs w:val="20"/>
              </w:rPr>
              <w:t xml:space="preserve">, por lo que deberán fundar y motivar debidamente la clasificación. </w:t>
            </w:r>
          </w:p>
          <w:p w14:paraId="459C73ED" w14:textId="77777777" w:rsidR="002723D2" w:rsidRPr="00B3795E" w:rsidRDefault="002723D2" w:rsidP="004A6FA0">
            <w:pPr>
              <w:tabs>
                <w:tab w:val="left" w:pos="284"/>
              </w:tabs>
              <w:spacing w:line="360" w:lineRule="auto"/>
              <w:ind w:right="49"/>
              <w:jc w:val="both"/>
              <w:rPr>
                <w:rFonts w:ascii="Palatino Linotype" w:eastAsia="Palatino Linotype" w:hAnsi="Palatino Linotype" w:cs="Palatino Linotype"/>
                <w:sz w:val="20"/>
                <w:szCs w:val="20"/>
              </w:rPr>
            </w:pPr>
            <w:r w:rsidRPr="00B3795E">
              <w:rPr>
                <w:rFonts w:ascii="Palatino Linotype" w:eastAsia="Palatino Linotype" w:hAnsi="Palatino Linotype" w:cs="Palatino Linotype"/>
                <w:sz w:val="20"/>
                <w:szCs w:val="20"/>
              </w:rPr>
              <w:t xml:space="preserve">De lo anterior, se desprende que para una correcta </w:t>
            </w:r>
            <w:r w:rsidRPr="00B3795E">
              <w:rPr>
                <w:rFonts w:ascii="Palatino Linotype" w:eastAsia="Palatino Linotype" w:hAnsi="Palatino Linotype" w:cs="Palatino Linotype"/>
                <w:b/>
                <w:sz w:val="20"/>
                <w:szCs w:val="20"/>
              </w:rPr>
              <w:t>clasificación total o parcial</w:t>
            </w:r>
            <w:r w:rsidRPr="00B3795E">
              <w:rPr>
                <w:rFonts w:ascii="Palatino Linotype" w:eastAsia="Palatino Linotype" w:hAnsi="Palatino Linotype" w:cs="Palatino Linotype"/>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E182D08" w14:textId="77777777" w:rsidR="002723D2" w:rsidRPr="00B3795E" w:rsidRDefault="002723D2" w:rsidP="004A6FA0">
            <w:pPr>
              <w:tabs>
                <w:tab w:val="left" w:pos="284"/>
              </w:tabs>
              <w:spacing w:line="360" w:lineRule="auto"/>
              <w:ind w:right="49"/>
              <w:jc w:val="both"/>
              <w:rPr>
                <w:rFonts w:ascii="Palatino Linotype" w:eastAsia="Palatino Linotype" w:hAnsi="Palatino Linotype" w:cs="Palatino Linotype"/>
                <w:sz w:val="20"/>
                <w:szCs w:val="20"/>
              </w:rPr>
            </w:pPr>
            <w:r w:rsidRPr="00B3795E">
              <w:rPr>
                <w:rFonts w:ascii="Palatino Linotype" w:eastAsia="Palatino Linotype" w:hAnsi="Palatino Linotype" w:cs="Palatino Linotype"/>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0844EE5" w14:textId="77777777" w:rsidR="002723D2" w:rsidRPr="00B3795E" w:rsidRDefault="002723D2" w:rsidP="004A6FA0">
            <w:pPr>
              <w:tabs>
                <w:tab w:val="left" w:pos="284"/>
              </w:tabs>
              <w:spacing w:line="360" w:lineRule="auto"/>
              <w:ind w:right="49"/>
              <w:jc w:val="both"/>
              <w:rPr>
                <w:rFonts w:ascii="Palatino Linotype" w:eastAsia="Palatino Linotype" w:hAnsi="Palatino Linotype" w:cs="Palatino Linotype"/>
                <w:sz w:val="20"/>
                <w:szCs w:val="20"/>
              </w:rPr>
            </w:pPr>
            <w:r w:rsidRPr="00B3795E">
              <w:rPr>
                <w:rFonts w:ascii="Palatino Linotype" w:eastAsia="Palatino Linotype" w:hAnsi="Palatino Linotype" w:cs="Palatino Linotype"/>
                <w:sz w:val="20"/>
                <w:szCs w:val="20"/>
              </w:rPr>
              <w:t>En ese mismo sentido, el numeral trigésimo tercero fracción V de los Lineamientos Generales, precisa que para motivar la clasificación se deben acreditar las circunstancias de tiempo, modo y lugar.</w:t>
            </w:r>
          </w:p>
          <w:p w14:paraId="0ED36982" w14:textId="77777777" w:rsidR="002723D2" w:rsidRPr="00B3795E" w:rsidRDefault="002723D2" w:rsidP="004A6FA0">
            <w:pPr>
              <w:tabs>
                <w:tab w:val="left" w:pos="284"/>
              </w:tabs>
              <w:spacing w:line="360" w:lineRule="auto"/>
              <w:ind w:right="49"/>
              <w:jc w:val="both"/>
              <w:rPr>
                <w:rFonts w:ascii="Palatino Linotype" w:eastAsia="Palatino Linotype" w:hAnsi="Palatino Linotype" w:cs="Palatino Linotype"/>
                <w:sz w:val="20"/>
                <w:szCs w:val="20"/>
              </w:rPr>
            </w:pPr>
            <w:r w:rsidRPr="00B3795E">
              <w:rPr>
                <w:rFonts w:ascii="Palatino Linotype" w:eastAsia="Palatino Linotype" w:hAnsi="Palatino Linotype" w:cs="Palatino Linotype"/>
                <w:sz w:val="20"/>
                <w:szCs w:val="20"/>
              </w:rPr>
              <w:t xml:space="preserve">Ahora bien, </w:t>
            </w:r>
            <w:r w:rsidRPr="00B3795E">
              <w:rPr>
                <w:rFonts w:ascii="Palatino Linotype" w:eastAsia="Palatino Linotype" w:hAnsi="Palatino Linotype" w:cs="Palatino Linotype"/>
                <w:b/>
                <w:sz w:val="20"/>
                <w:szCs w:val="20"/>
                <w:u w:val="single"/>
              </w:rPr>
              <w:t>para cada caso además de fundar y motivar</w:t>
            </w:r>
            <w:r w:rsidRPr="00B3795E">
              <w:rPr>
                <w:rFonts w:ascii="Palatino Linotype" w:eastAsia="Palatino Linotype" w:hAnsi="Palatino Linotype" w:cs="Palatino Linotype"/>
                <w:sz w:val="20"/>
                <w:szCs w:val="20"/>
              </w:rPr>
              <w:t xml:space="preserve">, se debe identificar con claridad que datos contenidos en las documentales que son susceptibles de suprimirse, por ejemplo; Clave Única de Registro de </w:t>
            </w:r>
            <w:r w:rsidRPr="00B3795E">
              <w:rPr>
                <w:rFonts w:ascii="Palatino Linotype" w:eastAsia="Palatino Linotype" w:hAnsi="Palatino Linotype" w:cs="Palatino Linotype"/>
                <w:sz w:val="20"/>
                <w:szCs w:val="20"/>
              </w:rPr>
              <w:lastRenderedPageBreak/>
              <w:t>Población (CURP), Registro Federal de Contribuyentes (R.F.C.), claves de seguros, préstamos o descuentos personales, secretos bancario, fiduciario, industrial, comercial, fiscal, bursátil y postal, cuya titularidad corresponda a particulares, entre otros.</w:t>
            </w:r>
          </w:p>
        </w:tc>
      </w:tr>
      <w:tr w:rsidR="002723D2" w:rsidRPr="00B3795E" w14:paraId="69057186" w14:textId="77777777" w:rsidTr="004A6FA0">
        <w:tc>
          <w:tcPr>
            <w:tcW w:w="1838" w:type="dxa"/>
          </w:tcPr>
          <w:p w14:paraId="4AC1E27D" w14:textId="77777777" w:rsidR="002723D2" w:rsidRPr="00B3795E" w:rsidRDefault="002723D2" w:rsidP="004A6FA0">
            <w:pPr>
              <w:tabs>
                <w:tab w:val="left" w:pos="284"/>
              </w:tabs>
              <w:spacing w:line="360" w:lineRule="auto"/>
              <w:ind w:right="49"/>
              <w:jc w:val="both"/>
              <w:rPr>
                <w:rFonts w:ascii="Palatino Linotype" w:eastAsia="Palatino Linotype" w:hAnsi="Palatino Linotype" w:cs="Palatino Linotype"/>
                <w:sz w:val="20"/>
                <w:szCs w:val="20"/>
              </w:rPr>
            </w:pPr>
            <w:r w:rsidRPr="00B3795E">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6667" w:type="dxa"/>
          </w:tcPr>
          <w:p w14:paraId="0B1AA117" w14:textId="77777777" w:rsidR="002723D2" w:rsidRPr="00B3795E" w:rsidRDefault="002723D2" w:rsidP="004A6FA0">
            <w:pPr>
              <w:tabs>
                <w:tab w:val="left" w:pos="284"/>
              </w:tabs>
              <w:spacing w:line="360" w:lineRule="auto"/>
              <w:ind w:right="49"/>
              <w:jc w:val="both"/>
              <w:rPr>
                <w:rFonts w:ascii="Palatino Linotype" w:eastAsia="Palatino Linotype" w:hAnsi="Palatino Linotype" w:cs="Palatino Linotype"/>
                <w:sz w:val="20"/>
                <w:szCs w:val="20"/>
              </w:rPr>
            </w:pPr>
            <w:r w:rsidRPr="00B3795E">
              <w:rPr>
                <w:rFonts w:ascii="Palatino Linotype" w:eastAsia="Palatino Linotype" w:hAnsi="Palatino Linotype" w:cs="Palatino Linotype"/>
                <w:sz w:val="20"/>
                <w:szCs w:val="20"/>
              </w:rPr>
              <w:t xml:space="preserve">Los artículos 148 y 120 de la Ley Estatal y de la Ley General, respectivamente, establecen que aun tratándose de datos personales, se podrán proporcionar, incluso sin solicitar el consentimiento de su titular. </w:t>
            </w:r>
          </w:p>
          <w:p w14:paraId="17A2B45E" w14:textId="77777777" w:rsidR="002723D2" w:rsidRPr="00B3795E" w:rsidRDefault="002723D2" w:rsidP="004A6FA0">
            <w:pPr>
              <w:tabs>
                <w:tab w:val="left" w:pos="284"/>
              </w:tabs>
              <w:spacing w:line="360" w:lineRule="auto"/>
              <w:ind w:right="49"/>
              <w:jc w:val="both"/>
              <w:rPr>
                <w:rFonts w:ascii="Palatino Linotype" w:eastAsia="Palatino Linotype" w:hAnsi="Palatino Linotype" w:cs="Palatino Linotype"/>
                <w:sz w:val="20"/>
                <w:szCs w:val="20"/>
              </w:rPr>
            </w:pPr>
            <w:r w:rsidRPr="00B3795E">
              <w:rPr>
                <w:rFonts w:ascii="Palatino Linotype" w:eastAsia="Palatino Linotype" w:hAnsi="Palatino Linotype" w:cs="Palatino Linotype"/>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7EE38CA" w14:textId="77777777" w:rsidR="002723D2" w:rsidRPr="00B3795E" w:rsidRDefault="002723D2" w:rsidP="004A6FA0">
            <w:pPr>
              <w:tabs>
                <w:tab w:val="left" w:pos="284"/>
              </w:tabs>
              <w:spacing w:line="360" w:lineRule="auto"/>
              <w:rPr>
                <w:rFonts w:ascii="Palatino Linotype" w:eastAsia="Palatino Linotype" w:hAnsi="Palatino Linotype" w:cs="Palatino Linotype"/>
                <w:sz w:val="20"/>
                <w:szCs w:val="20"/>
              </w:rPr>
            </w:pPr>
            <w:r w:rsidRPr="00B3795E">
              <w:rPr>
                <w:rFonts w:ascii="Palatino Linotype" w:eastAsia="Palatino Linotype" w:hAnsi="Palatino Linotype" w:cs="Palatino Linotype"/>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0E12136" w14:textId="77777777" w:rsidR="002723D2" w:rsidRPr="00B3795E" w:rsidRDefault="002723D2" w:rsidP="002723D2">
      <w:pPr>
        <w:tabs>
          <w:tab w:val="left" w:pos="284"/>
        </w:tabs>
        <w:spacing w:line="360" w:lineRule="auto"/>
        <w:jc w:val="both"/>
        <w:rPr>
          <w:rFonts w:ascii="Palatino Linotype" w:eastAsia="Palatino Linotype" w:hAnsi="Palatino Linotype" w:cs="Palatino Linotype"/>
          <w:color w:val="000000"/>
          <w:sz w:val="22"/>
          <w:szCs w:val="22"/>
        </w:rPr>
      </w:pPr>
    </w:p>
    <w:p w14:paraId="27C3CDF0" w14:textId="77777777" w:rsidR="002723D2" w:rsidRPr="00B3795E" w:rsidRDefault="002723D2" w:rsidP="002723D2">
      <w:pPr>
        <w:numPr>
          <w:ilvl w:val="0"/>
          <w:numId w:val="9"/>
        </w:numPr>
        <w:spacing w:line="360" w:lineRule="auto"/>
        <w:ind w:left="0" w:right="-876" w:firstLine="0"/>
        <w:jc w:val="both"/>
        <w:rPr>
          <w:rFonts w:ascii="Palatino Linotype" w:eastAsia="Palatino Linotype" w:hAnsi="Palatino Linotype" w:cs="Palatino Linotype"/>
        </w:rPr>
      </w:pPr>
      <w:r w:rsidRPr="00B3795E">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1DC0484E" w14:textId="77777777" w:rsidR="00267298" w:rsidRPr="00B3795E" w:rsidRDefault="00267298" w:rsidP="00804395">
      <w:pPr>
        <w:spacing w:line="360" w:lineRule="auto"/>
        <w:ind w:right="-876"/>
        <w:jc w:val="both"/>
        <w:rPr>
          <w:rFonts w:ascii="Palatino Linotype" w:eastAsia="Palatino Linotype" w:hAnsi="Palatino Linotype" w:cs="Palatino Linotype"/>
          <w:b/>
          <w:color w:val="000000"/>
        </w:rPr>
      </w:pPr>
      <w:bookmarkStart w:id="12" w:name="_heading=h.17dp8vu" w:colFirst="0" w:colLast="0"/>
      <w:bookmarkEnd w:id="12"/>
    </w:p>
    <w:p w14:paraId="74A2A330" w14:textId="77777777" w:rsidR="00267298" w:rsidRPr="00B3795E" w:rsidRDefault="006A72E6">
      <w:pPr>
        <w:numPr>
          <w:ilvl w:val="0"/>
          <w:numId w:val="9"/>
        </w:numPr>
        <w:spacing w:line="360" w:lineRule="auto"/>
        <w:ind w:left="0" w:right="-876" w:firstLine="0"/>
        <w:jc w:val="both"/>
        <w:rPr>
          <w:rFonts w:ascii="Palatino Linotype" w:eastAsia="Palatino Linotype" w:hAnsi="Palatino Linotype" w:cs="Palatino Linotype"/>
        </w:rPr>
      </w:pPr>
      <w:r w:rsidRPr="00B3795E">
        <w:rPr>
          <w:rFonts w:ascii="Palatino Linotype" w:eastAsia="Palatino Linotype" w:hAnsi="Palatino Linotype" w:cs="Palatino Linotype"/>
          <w:b/>
        </w:rPr>
        <w:t xml:space="preserve"> </w:t>
      </w:r>
      <w:r w:rsidRPr="00B3795E">
        <w:rPr>
          <w:rFonts w:ascii="Palatino Linotype" w:eastAsia="Palatino Linotype" w:hAnsi="Palatino Linotype" w:cs="Palatino Linotype"/>
        </w:rPr>
        <w:t xml:space="preserve">Por lo anteriormente expuesto y fundado, este </w:t>
      </w:r>
      <w:r w:rsidRPr="00B3795E">
        <w:rPr>
          <w:rFonts w:ascii="Palatino Linotype" w:eastAsia="Palatino Linotype" w:hAnsi="Palatino Linotype" w:cs="Palatino Linotype"/>
          <w:b/>
        </w:rPr>
        <w:t>ÓRGANO GARANTE</w:t>
      </w:r>
      <w:r w:rsidRPr="00B3795E">
        <w:rPr>
          <w:rFonts w:ascii="Palatino Linotype" w:eastAsia="Palatino Linotype" w:hAnsi="Palatino Linotype" w:cs="Palatino Linotype"/>
        </w:rPr>
        <w:t xml:space="preserve"> emite los siguientes:------------------------------------------------------------------------------------------------------------</w:t>
      </w:r>
    </w:p>
    <w:p w14:paraId="1E5B53E3" w14:textId="77777777" w:rsidR="00267298" w:rsidRPr="00B3795E" w:rsidRDefault="00267298">
      <w:pPr>
        <w:pBdr>
          <w:top w:val="nil"/>
          <w:left w:val="nil"/>
          <w:bottom w:val="nil"/>
          <w:right w:val="nil"/>
          <w:between w:val="nil"/>
        </w:pBdr>
        <w:tabs>
          <w:tab w:val="left" w:pos="284"/>
        </w:tabs>
        <w:spacing w:line="360" w:lineRule="auto"/>
        <w:ind w:right="-876"/>
        <w:jc w:val="both"/>
        <w:rPr>
          <w:rFonts w:ascii="Palatino Linotype" w:eastAsia="Palatino Linotype" w:hAnsi="Palatino Linotype" w:cs="Palatino Linotype"/>
          <w:color w:val="000000"/>
        </w:rPr>
      </w:pPr>
    </w:p>
    <w:p w14:paraId="30ADF139" w14:textId="77777777" w:rsidR="00267298" w:rsidRPr="00B3795E" w:rsidRDefault="006A72E6">
      <w:pPr>
        <w:spacing w:line="360" w:lineRule="auto"/>
        <w:ind w:right="-876"/>
        <w:jc w:val="center"/>
        <w:rPr>
          <w:rFonts w:ascii="Palatino Linotype" w:eastAsia="Palatino Linotype" w:hAnsi="Palatino Linotype" w:cs="Palatino Linotype"/>
          <w:b/>
        </w:rPr>
      </w:pPr>
      <w:r w:rsidRPr="00B3795E">
        <w:rPr>
          <w:rFonts w:ascii="Palatino Linotype" w:eastAsia="Palatino Linotype" w:hAnsi="Palatino Linotype" w:cs="Palatino Linotype"/>
          <w:b/>
        </w:rPr>
        <w:lastRenderedPageBreak/>
        <w:t>R E S O L U T I V O S</w:t>
      </w:r>
    </w:p>
    <w:p w14:paraId="1C0BF5AB" w14:textId="77777777" w:rsidR="00267298" w:rsidRPr="00B3795E" w:rsidRDefault="00267298" w:rsidP="00EE484C">
      <w:pPr>
        <w:spacing w:line="360" w:lineRule="auto"/>
        <w:ind w:right="-876"/>
        <w:rPr>
          <w:rFonts w:ascii="Palatino Linotype" w:eastAsia="Palatino Linotype" w:hAnsi="Palatino Linotype" w:cs="Palatino Linotype"/>
          <w:b/>
        </w:rPr>
      </w:pPr>
    </w:p>
    <w:p w14:paraId="11DC726C" w14:textId="77777777" w:rsidR="00267298" w:rsidRPr="00B3795E" w:rsidRDefault="006A72E6">
      <w:pPr>
        <w:tabs>
          <w:tab w:val="left" w:pos="284"/>
        </w:tabs>
        <w:spacing w:line="360" w:lineRule="auto"/>
        <w:jc w:val="both"/>
        <w:rPr>
          <w:rFonts w:ascii="Palatino Linotype" w:eastAsia="Palatino Linotype" w:hAnsi="Palatino Linotype" w:cs="Palatino Linotype"/>
        </w:rPr>
      </w:pPr>
      <w:r w:rsidRPr="00B3795E">
        <w:rPr>
          <w:rFonts w:ascii="Palatino Linotype" w:eastAsia="Palatino Linotype" w:hAnsi="Palatino Linotype" w:cs="Palatino Linotype"/>
          <w:b/>
        </w:rPr>
        <w:t xml:space="preserve">PRIMERO. </w:t>
      </w:r>
      <w:r w:rsidRPr="00B3795E">
        <w:rPr>
          <w:rFonts w:ascii="Palatino Linotype" w:eastAsia="Palatino Linotype" w:hAnsi="Palatino Linotype" w:cs="Palatino Linotype"/>
        </w:rPr>
        <w:t>Resultan fundadas las</w:t>
      </w:r>
      <w:r w:rsidRPr="00B3795E">
        <w:rPr>
          <w:rFonts w:ascii="Palatino Linotype" w:eastAsia="Palatino Linotype" w:hAnsi="Palatino Linotype" w:cs="Palatino Linotype"/>
          <w:b/>
        </w:rPr>
        <w:t xml:space="preserve"> </w:t>
      </w:r>
      <w:r w:rsidRPr="00B3795E">
        <w:rPr>
          <w:rFonts w:ascii="Palatino Linotype" w:eastAsia="Palatino Linotype" w:hAnsi="Palatino Linotype" w:cs="Palatino Linotype"/>
        </w:rPr>
        <w:t>razones o motivos de i</w:t>
      </w:r>
      <w:r w:rsidR="00E5702E" w:rsidRPr="00B3795E">
        <w:rPr>
          <w:rFonts w:ascii="Palatino Linotype" w:eastAsia="Palatino Linotype" w:hAnsi="Palatino Linotype" w:cs="Palatino Linotype"/>
        </w:rPr>
        <w:t xml:space="preserve">nconformidad hechos valer en los </w:t>
      </w:r>
      <w:r w:rsidR="00171D0B" w:rsidRPr="00B3795E">
        <w:rPr>
          <w:rFonts w:ascii="Palatino Linotype" w:eastAsia="Palatino Linotype" w:hAnsi="Palatino Linotype" w:cs="Palatino Linotype"/>
        </w:rPr>
        <w:t>recurso</w:t>
      </w:r>
      <w:r w:rsidR="00E5702E" w:rsidRPr="00B3795E">
        <w:rPr>
          <w:rFonts w:ascii="Palatino Linotype" w:eastAsia="Palatino Linotype" w:hAnsi="Palatino Linotype" w:cs="Palatino Linotype"/>
        </w:rPr>
        <w:t>s</w:t>
      </w:r>
      <w:r w:rsidRPr="00B3795E">
        <w:rPr>
          <w:rFonts w:ascii="Palatino Linotype" w:eastAsia="Palatino Linotype" w:hAnsi="Palatino Linotype" w:cs="Palatino Linotype"/>
        </w:rPr>
        <w:t xml:space="preserve"> de revisión </w:t>
      </w:r>
      <w:r w:rsidR="00171D0B" w:rsidRPr="00B3795E">
        <w:rPr>
          <w:rFonts w:ascii="Palatino Linotype" w:eastAsia="Palatino Linotype" w:hAnsi="Palatino Linotype" w:cs="Palatino Linotype"/>
          <w:b/>
        </w:rPr>
        <w:t>04338</w:t>
      </w:r>
      <w:r w:rsidR="00D72999" w:rsidRPr="00B3795E">
        <w:rPr>
          <w:rFonts w:ascii="Palatino Linotype" w:eastAsia="Palatino Linotype" w:hAnsi="Palatino Linotype" w:cs="Palatino Linotype"/>
          <w:b/>
        </w:rPr>
        <w:t>/INFOEM/IP/RR/2024</w:t>
      </w:r>
      <w:r w:rsidR="002723D2" w:rsidRPr="00B3795E">
        <w:rPr>
          <w:rFonts w:ascii="Palatino Linotype" w:eastAsia="Palatino Linotype" w:hAnsi="Palatino Linotype" w:cs="Palatino Linotype"/>
          <w:b/>
        </w:rPr>
        <w:t xml:space="preserve"> Y 04340/INFOEM/IP/RR/2024</w:t>
      </w:r>
      <w:r w:rsidR="003C387B" w:rsidRPr="00B3795E">
        <w:rPr>
          <w:rFonts w:ascii="Palatino Linotype" w:eastAsia="Palatino Linotype" w:hAnsi="Palatino Linotype" w:cs="Palatino Linotype"/>
          <w:b/>
        </w:rPr>
        <w:t xml:space="preserve"> </w:t>
      </w:r>
      <w:r w:rsidRPr="00B3795E">
        <w:rPr>
          <w:rFonts w:ascii="Palatino Linotype" w:eastAsia="Palatino Linotype" w:hAnsi="Palatino Linotype" w:cs="Palatino Linotype"/>
        </w:rPr>
        <w:t xml:space="preserve">en términos de los </w:t>
      </w:r>
      <w:r w:rsidR="00171D0B" w:rsidRPr="00B3795E">
        <w:rPr>
          <w:rFonts w:ascii="Palatino Linotype" w:eastAsia="Palatino Linotype" w:hAnsi="Palatino Linotype" w:cs="Palatino Linotype"/>
          <w:b/>
        </w:rPr>
        <w:t>Considerando CUARTO</w:t>
      </w:r>
      <w:r w:rsidR="002723D2" w:rsidRPr="00B3795E">
        <w:rPr>
          <w:rFonts w:ascii="Palatino Linotype" w:eastAsia="Palatino Linotype" w:hAnsi="Palatino Linotype" w:cs="Palatino Linotype"/>
          <w:b/>
        </w:rPr>
        <w:t xml:space="preserve"> y QUINTO</w:t>
      </w:r>
      <w:r w:rsidRPr="00B3795E">
        <w:rPr>
          <w:rFonts w:ascii="Palatino Linotype" w:eastAsia="Palatino Linotype" w:hAnsi="Palatino Linotype" w:cs="Palatino Linotype"/>
          <w:b/>
        </w:rPr>
        <w:t xml:space="preserve"> </w:t>
      </w:r>
      <w:r w:rsidRPr="00B3795E">
        <w:rPr>
          <w:rFonts w:ascii="Palatino Linotype" w:eastAsia="Palatino Linotype" w:hAnsi="Palatino Linotype" w:cs="Palatino Linotype"/>
        </w:rPr>
        <w:t>de la presente resolución.</w:t>
      </w:r>
    </w:p>
    <w:p w14:paraId="511E4FC8" w14:textId="77777777" w:rsidR="00267298" w:rsidRPr="00B3795E" w:rsidRDefault="00267298">
      <w:pPr>
        <w:tabs>
          <w:tab w:val="left" w:pos="284"/>
        </w:tabs>
        <w:spacing w:line="360" w:lineRule="auto"/>
        <w:jc w:val="both"/>
        <w:rPr>
          <w:rFonts w:ascii="Palatino Linotype" w:eastAsia="Palatino Linotype" w:hAnsi="Palatino Linotype" w:cs="Palatino Linotype"/>
        </w:rPr>
      </w:pPr>
    </w:p>
    <w:p w14:paraId="12E78E7D" w14:textId="77777777" w:rsidR="00171D0B" w:rsidRPr="00B3795E" w:rsidRDefault="006A72E6" w:rsidP="00AA315D">
      <w:pPr>
        <w:spacing w:line="360" w:lineRule="auto"/>
        <w:ind w:right="1"/>
        <w:jc w:val="both"/>
        <w:rPr>
          <w:rFonts w:ascii="Palatino Linotype" w:eastAsia="Palatino Linotype" w:hAnsi="Palatino Linotype" w:cs="Palatino Linotype"/>
          <w:b/>
        </w:rPr>
      </w:pPr>
      <w:r w:rsidRPr="00B3795E">
        <w:rPr>
          <w:rFonts w:ascii="Palatino Linotype" w:eastAsia="Palatino Linotype" w:hAnsi="Palatino Linotype" w:cs="Palatino Linotype"/>
          <w:b/>
        </w:rPr>
        <w:t xml:space="preserve">SEGUNDO. </w:t>
      </w:r>
      <w:r w:rsidR="00171D0B" w:rsidRPr="00B3795E">
        <w:rPr>
          <w:rFonts w:ascii="Palatino Linotype" w:eastAsia="Palatino Linotype" w:hAnsi="Palatino Linotype" w:cs="Palatino Linotype"/>
        </w:rPr>
        <w:t xml:space="preserve">Se </w:t>
      </w:r>
      <w:r w:rsidR="002723D2" w:rsidRPr="00B3795E">
        <w:rPr>
          <w:rFonts w:ascii="Palatino Linotype" w:eastAsia="Palatino Linotype" w:hAnsi="Palatino Linotype" w:cs="Palatino Linotype"/>
          <w:b/>
        </w:rPr>
        <w:t>MODIFICA</w:t>
      </w:r>
      <w:r w:rsidR="00171D0B" w:rsidRPr="00B3795E">
        <w:rPr>
          <w:rFonts w:ascii="Palatino Linotype" w:eastAsia="Palatino Linotype" w:hAnsi="Palatino Linotype" w:cs="Palatino Linotype"/>
        </w:rPr>
        <w:t xml:space="preserve"> la respuesta</w:t>
      </w:r>
      <w:r w:rsidRPr="00B3795E">
        <w:rPr>
          <w:rFonts w:ascii="Palatino Linotype" w:eastAsia="Palatino Linotype" w:hAnsi="Palatino Linotype" w:cs="Palatino Linotype"/>
        </w:rPr>
        <w:t xml:space="preserve"> emitida </w:t>
      </w:r>
      <w:r w:rsidR="00E5702E" w:rsidRPr="00B3795E">
        <w:rPr>
          <w:rFonts w:ascii="Palatino Linotype" w:eastAsia="Palatino Linotype" w:hAnsi="Palatino Linotype" w:cs="Palatino Linotype"/>
        </w:rPr>
        <w:t>por la Secretarí</w:t>
      </w:r>
      <w:r w:rsidR="00171D0B" w:rsidRPr="00B3795E">
        <w:rPr>
          <w:rFonts w:ascii="Palatino Linotype" w:eastAsia="Palatino Linotype" w:hAnsi="Palatino Linotype" w:cs="Palatino Linotype"/>
        </w:rPr>
        <w:t xml:space="preserve">a de Finanzas, a la solicitud </w:t>
      </w:r>
      <w:r w:rsidR="00804395" w:rsidRPr="00B3795E">
        <w:rPr>
          <w:rFonts w:ascii="Palatino Linotype" w:eastAsia="Palatino Linotype" w:hAnsi="Palatino Linotype" w:cs="Palatino Linotype"/>
        </w:rPr>
        <w:t xml:space="preserve">de información </w:t>
      </w:r>
      <w:r w:rsidR="00171D0B" w:rsidRPr="00B3795E">
        <w:rPr>
          <w:rFonts w:ascii="Palatino Linotype" w:eastAsia="Palatino Linotype" w:hAnsi="Palatino Linotype" w:cs="Palatino Linotype"/>
          <w:b/>
        </w:rPr>
        <w:t>00408/SF/IP/2024</w:t>
      </w:r>
      <w:r w:rsidR="00EE484C" w:rsidRPr="00B3795E">
        <w:rPr>
          <w:rFonts w:ascii="Palatino Linotype" w:eastAsia="Palatino Linotype" w:hAnsi="Palatino Linotype" w:cs="Palatino Linotype"/>
          <w:b/>
        </w:rPr>
        <w:t>.</w:t>
      </w:r>
    </w:p>
    <w:p w14:paraId="58521B4A" w14:textId="77777777" w:rsidR="002723D2" w:rsidRPr="00B3795E" w:rsidRDefault="00171D0B" w:rsidP="00EE484C">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r w:rsidRPr="00B3795E">
        <w:rPr>
          <w:rFonts w:ascii="Palatino Linotype" w:eastAsia="Palatino Linotype" w:hAnsi="Palatino Linotype" w:cs="Palatino Linotype"/>
          <w:b/>
        </w:rPr>
        <w:t xml:space="preserve">TERCERO. </w:t>
      </w:r>
      <w:r w:rsidR="002723D2" w:rsidRPr="00B3795E">
        <w:rPr>
          <w:rFonts w:ascii="Palatino Linotype" w:eastAsia="Palatino Linotype" w:hAnsi="Palatino Linotype" w:cs="Palatino Linotype"/>
        </w:rPr>
        <w:t xml:space="preserve">Se </w:t>
      </w:r>
      <w:r w:rsidR="00AA315D" w:rsidRPr="00B3795E">
        <w:rPr>
          <w:rFonts w:ascii="Palatino Linotype" w:eastAsia="Palatino Linotype" w:hAnsi="Palatino Linotype" w:cs="Palatino Linotype"/>
          <w:b/>
        </w:rPr>
        <w:t>REVOCA</w:t>
      </w:r>
      <w:r w:rsidR="002723D2" w:rsidRPr="00B3795E">
        <w:rPr>
          <w:rFonts w:ascii="Palatino Linotype" w:eastAsia="Palatino Linotype" w:hAnsi="Palatino Linotype" w:cs="Palatino Linotype"/>
        </w:rPr>
        <w:t xml:space="preserve"> la respuesta emitida por el Sujeto Obligado</w:t>
      </w:r>
      <w:r w:rsidR="00AA315D" w:rsidRPr="00B3795E">
        <w:rPr>
          <w:rFonts w:ascii="Palatino Linotype" w:eastAsia="Palatino Linotype" w:hAnsi="Palatino Linotype" w:cs="Palatino Linotype"/>
        </w:rPr>
        <w:t xml:space="preserve"> a la solicitud </w:t>
      </w:r>
      <w:r w:rsidR="00804395" w:rsidRPr="00B3795E">
        <w:rPr>
          <w:rFonts w:ascii="Palatino Linotype" w:eastAsia="Palatino Linotype" w:hAnsi="Palatino Linotype" w:cs="Palatino Linotype"/>
        </w:rPr>
        <w:t xml:space="preserve">de información </w:t>
      </w:r>
      <w:r w:rsidR="00AA315D" w:rsidRPr="00B3795E">
        <w:rPr>
          <w:rFonts w:ascii="Palatino Linotype" w:eastAsia="Palatino Linotype" w:hAnsi="Palatino Linotype" w:cs="Palatino Linotype"/>
          <w:b/>
        </w:rPr>
        <w:t>00407/SF/IP/2024</w:t>
      </w:r>
      <w:r w:rsidR="00AA315D" w:rsidRPr="00B3795E">
        <w:rPr>
          <w:rFonts w:ascii="Palatino Linotype" w:eastAsia="Palatino Linotype" w:hAnsi="Palatino Linotype" w:cs="Palatino Linotype"/>
        </w:rPr>
        <w:t xml:space="preserve"> y</w:t>
      </w:r>
      <w:r w:rsidR="002723D2" w:rsidRPr="00B3795E">
        <w:rPr>
          <w:rFonts w:ascii="Palatino Linotype" w:eastAsia="Palatino Linotype" w:hAnsi="Palatino Linotype" w:cs="Palatino Linotype"/>
        </w:rPr>
        <w:t xml:space="preserve"> se ORDENA entregar a través del Sistema de Acceso a la Información Mexiquense (SAIMEX), en versión </w:t>
      </w:r>
      <w:r w:rsidR="00AA315D" w:rsidRPr="00B3795E">
        <w:rPr>
          <w:rFonts w:ascii="Palatino Linotype" w:eastAsia="Palatino Linotype" w:hAnsi="Palatino Linotype" w:cs="Palatino Linotype"/>
        </w:rPr>
        <w:t>pública</w:t>
      </w:r>
      <w:r w:rsidR="002723D2" w:rsidRPr="00B3795E">
        <w:rPr>
          <w:rFonts w:ascii="Palatino Linotype" w:eastAsia="Palatino Linotype" w:hAnsi="Palatino Linotype" w:cs="Palatino Linotype"/>
        </w:rPr>
        <w:t xml:space="preserve"> la siguiente información:</w:t>
      </w:r>
    </w:p>
    <w:p w14:paraId="60EDC377" w14:textId="77777777" w:rsidR="00AA315D" w:rsidRPr="00B3795E" w:rsidRDefault="00AA315D" w:rsidP="00AA315D">
      <w:pPr>
        <w:spacing w:line="360" w:lineRule="auto"/>
        <w:ind w:left="851" w:right="568"/>
        <w:jc w:val="both"/>
        <w:rPr>
          <w:rFonts w:ascii="Palatino Linotype" w:eastAsia="Palatino Linotype" w:hAnsi="Palatino Linotype" w:cs="Palatino Linotype"/>
          <w:b/>
        </w:rPr>
      </w:pPr>
      <w:r w:rsidRPr="00B3795E">
        <w:rPr>
          <w:rFonts w:ascii="Palatino Linotype" w:eastAsia="Palatino Linotype" w:hAnsi="Palatino Linotype" w:cs="Palatino Linotype"/>
          <w:b/>
        </w:rPr>
        <w:t xml:space="preserve"> 1.- Cuenta por pagar a proveedores del ejercicio 2024.</w:t>
      </w:r>
    </w:p>
    <w:p w14:paraId="1C70A76A" w14:textId="77777777" w:rsidR="00AA315D" w:rsidRPr="00B3795E" w:rsidRDefault="00AA315D" w:rsidP="00AA315D">
      <w:pPr>
        <w:spacing w:line="360" w:lineRule="auto"/>
        <w:ind w:right="568"/>
        <w:jc w:val="both"/>
        <w:rPr>
          <w:rFonts w:ascii="Palatino Linotype" w:eastAsia="Palatino Linotype" w:hAnsi="Palatino Linotype" w:cs="Palatino Linotype"/>
          <w:b/>
        </w:rPr>
      </w:pPr>
    </w:p>
    <w:p w14:paraId="28D358AA" w14:textId="77777777" w:rsidR="00AA315D" w:rsidRPr="00B3795E" w:rsidRDefault="00AA315D" w:rsidP="002837FF">
      <w:pPr>
        <w:tabs>
          <w:tab w:val="left" w:pos="3828"/>
        </w:tabs>
        <w:spacing w:line="360" w:lineRule="auto"/>
        <w:ind w:left="851" w:right="568"/>
        <w:jc w:val="both"/>
        <w:rPr>
          <w:rFonts w:ascii="Palatino Linotype" w:eastAsia="Palatino Linotype" w:hAnsi="Palatino Linotype" w:cs="Palatino Linotype"/>
          <w:b/>
          <w:color w:val="000000"/>
        </w:rPr>
      </w:pPr>
      <w:r w:rsidRPr="00B3795E">
        <w:rPr>
          <w:rFonts w:ascii="Palatino Linotype" w:eastAsia="Palatino Linotype" w:hAnsi="Palatino Linotype" w:cs="Palatino Linotype"/>
          <w:b/>
          <w:i/>
        </w:rPr>
        <w:t xml:space="preserve"> 2.- </w:t>
      </w:r>
      <w:r w:rsidRPr="00B3795E">
        <w:rPr>
          <w:rFonts w:ascii="Palatino Linotype" w:eastAsia="Palatino Linotype" w:hAnsi="Palatino Linotype" w:cs="Palatino Linotype"/>
          <w:b/>
        </w:rPr>
        <w:t>Montos pagados a proveedores del mes de mayo de 2024, con nombre del proveedor</w:t>
      </w:r>
    </w:p>
    <w:p w14:paraId="4EFD2C5A" w14:textId="77777777" w:rsidR="002837FF" w:rsidRPr="00B3795E" w:rsidRDefault="002837FF" w:rsidP="002837FF">
      <w:pPr>
        <w:tabs>
          <w:tab w:val="left" w:pos="3828"/>
        </w:tabs>
        <w:spacing w:line="360" w:lineRule="auto"/>
        <w:ind w:left="851" w:right="568"/>
        <w:jc w:val="both"/>
        <w:rPr>
          <w:rFonts w:ascii="Palatino Linotype" w:eastAsia="Palatino Linotype" w:hAnsi="Palatino Linotype" w:cs="Palatino Linotype"/>
          <w:b/>
          <w:color w:val="000000"/>
        </w:rPr>
      </w:pPr>
    </w:p>
    <w:p w14:paraId="619B542E" w14:textId="77777777" w:rsidR="00AA315D" w:rsidRPr="00B3795E" w:rsidRDefault="00AA315D" w:rsidP="00AA315D">
      <w:pPr>
        <w:spacing w:line="360" w:lineRule="auto"/>
        <w:jc w:val="both"/>
        <w:rPr>
          <w:rFonts w:ascii="Palatino Linotype" w:eastAsia="Palatino Linotype" w:hAnsi="Palatino Linotype" w:cs="Palatino Linotype"/>
        </w:rPr>
      </w:pPr>
      <w:r w:rsidRPr="00B3795E">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B3795E">
        <w:rPr>
          <w:rFonts w:ascii="Palatino Linotype" w:eastAsia="Palatino Linotype" w:hAnsi="Palatino Linotype" w:cs="Palatino Linotype"/>
          <w:b/>
        </w:rPr>
        <w:t xml:space="preserve"> RECURRENTE</w:t>
      </w:r>
      <w:r w:rsidRPr="00B3795E">
        <w:rPr>
          <w:rFonts w:ascii="Palatino Linotype" w:eastAsia="Palatino Linotype" w:hAnsi="Palatino Linotype" w:cs="Palatino Linotype"/>
        </w:rPr>
        <w:t>.</w:t>
      </w:r>
    </w:p>
    <w:p w14:paraId="1EF96099" w14:textId="77777777" w:rsidR="002723D2" w:rsidRPr="00B3795E" w:rsidRDefault="002723D2" w:rsidP="00EE484C">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b/>
        </w:rPr>
      </w:pPr>
    </w:p>
    <w:p w14:paraId="5FFB9908" w14:textId="77777777" w:rsidR="002723D2" w:rsidRPr="00B3795E" w:rsidRDefault="00AA315D" w:rsidP="002723D2">
      <w:pPr>
        <w:tabs>
          <w:tab w:val="left" w:pos="284"/>
          <w:tab w:val="left" w:pos="8080"/>
        </w:tabs>
        <w:spacing w:line="360" w:lineRule="auto"/>
        <w:ind w:right="49"/>
        <w:jc w:val="both"/>
        <w:rPr>
          <w:rFonts w:ascii="Palatino Linotype" w:eastAsia="Palatino Linotype" w:hAnsi="Palatino Linotype" w:cs="Palatino Linotype"/>
          <w:b/>
        </w:rPr>
      </w:pPr>
      <w:r w:rsidRPr="00B3795E">
        <w:rPr>
          <w:rFonts w:ascii="Palatino Linotype" w:eastAsia="Palatino Linotype" w:hAnsi="Palatino Linotype" w:cs="Palatino Linotype"/>
          <w:b/>
        </w:rPr>
        <w:t>CUARTO</w:t>
      </w:r>
      <w:r w:rsidR="002723D2" w:rsidRPr="00B3795E">
        <w:rPr>
          <w:rFonts w:ascii="Palatino Linotype" w:eastAsia="Palatino Linotype" w:hAnsi="Palatino Linotype" w:cs="Palatino Linotype"/>
          <w:b/>
        </w:rPr>
        <w:t xml:space="preserve">. </w:t>
      </w:r>
      <w:r w:rsidR="002723D2" w:rsidRPr="00B3795E">
        <w:rPr>
          <w:rFonts w:ascii="Palatino Linotype" w:eastAsia="Palatino Linotype" w:hAnsi="Palatino Linotype" w:cs="Palatino Linotype"/>
          <w:b/>
          <w:color w:val="222222"/>
        </w:rPr>
        <w:t>NOTIFÍQUESE</w:t>
      </w:r>
      <w:r w:rsidR="002723D2" w:rsidRPr="00B3795E">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22AC4BC" w14:textId="77777777" w:rsidR="002723D2" w:rsidRPr="00B3795E" w:rsidRDefault="002723D2" w:rsidP="002723D2">
      <w:pPr>
        <w:shd w:val="clear" w:color="auto" w:fill="FFFFFF"/>
        <w:tabs>
          <w:tab w:val="left" w:pos="284"/>
        </w:tabs>
        <w:spacing w:line="360" w:lineRule="auto"/>
        <w:jc w:val="both"/>
        <w:rPr>
          <w:rFonts w:ascii="Palatino Linotype" w:eastAsia="Palatino Linotype" w:hAnsi="Palatino Linotype" w:cs="Palatino Linotype"/>
          <w:b/>
        </w:rPr>
      </w:pPr>
    </w:p>
    <w:p w14:paraId="4DCA51AA" w14:textId="77777777" w:rsidR="002723D2" w:rsidRPr="00B3795E" w:rsidRDefault="00AA315D" w:rsidP="002723D2">
      <w:pPr>
        <w:spacing w:line="360" w:lineRule="auto"/>
        <w:jc w:val="both"/>
        <w:rPr>
          <w:rFonts w:ascii="Palatino Linotype" w:eastAsia="Palatino Linotype" w:hAnsi="Palatino Linotype" w:cs="Palatino Linotype"/>
        </w:rPr>
      </w:pPr>
      <w:r w:rsidRPr="00B3795E">
        <w:rPr>
          <w:rFonts w:ascii="Palatino Linotype" w:eastAsia="Palatino Linotype" w:hAnsi="Palatino Linotype" w:cs="Palatino Linotype"/>
          <w:b/>
        </w:rPr>
        <w:t>QUINTO</w:t>
      </w:r>
      <w:r w:rsidR="002723D2" w:rsidRPr="00B3795E">
        <w:rPr>
          <w:rFonts w:ascii="Palatino Linotype" w:eastAsia="Palatino Linotype" w:hAnsi="Palatino Linotype" w:cs="Palatino Linotype"/>
          <w:b/>
        </w:rPr>
        <w:t xml:space="preserve">. </w:t>
      </w:r>
      <w:r w:rsidR="002723D2" w:rsidRPr="00B3795E">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002723D2" w:rsidRPr="00B3795E">
        <w:rPr>
          <w:rFonts w:ascii="Palatino Linotype" w:eastAsia="Palatino Linotype" w:hAnsi="Palatino Linotype" w:cs="Palatino Linotype"/>
          <w:b/>
        </w:rPr>
        <w:t>SUJETO OBLIGADO</w:t>
      </w:r>
      <w:r w:rsidR="002723D2" w:rsidRPr="00B3795E">
        <w:rPr>
          <w:rFonts w:ascii="Palatino Linotype" w:eastAsia="Palatino Linotype" w:hAnsi="Palatino Linotype" w:cs="Palatino Linotype"/>
        </w:rPr>
        <w:t xml:space="preserve"> de manera fundada y motivada, podrá solicitar una ampliación de plazo para el cumplimiento de la presente resolución.</w:t>
      </w:r>
    </w:p>
    <w:p w14:paraId="65ABB9C7" w14:textId="77777777" w:rsidR="002723D2" w:rsidRPr="00B3795E" w:rsidRDefault="002723D2" w:rsidP="002723D2">
      <w:pPr>
        <w:spacing w:line="360" w:lineRule="auto"/>
        <w:jc w:val="both"/>
        <w:rPr>
          <w:rFonts w:ascii="Palatino Linotype" w:eastAsia="Palatino Linotype" w:hAnsi="Palatino Linotype" w:cs="Palatino Linotype"/>
        </w:rPr>
      </w:pPr>
    </w:p>
    <w:p w14:paraId="0802EB07" w14:textId="77777777" w:rsidR="002723D2" w:rsidRPr="00B3795E" w:rsidRDefault="00AA315D" w:rsidP="002723D2">
      <w:pPr>
        <w:tabs>
          <w:tab w:val="left" w:pos="8080"/>
        </w:tabs>
        <w:spacing w:line="360" w:lineRule="auto"/>
        <w:ind w:right="49"/>
        <w:jc w:val="both"/>
        <w:rPr>
          <w:rFonts w:ascii="Palatino Linotype" w:eastAsia="Palatino Linotype" w:hAnsi="Palatino Linotype" w:cs="Palatino Linotype"/>
        </w:rPr>
      </w:pPr>
      <w:bookmarkStart w:id="13" w:name="_heading=h.lnxbz9" w:colFirst="0" w:colLast="0"/>
      <w:bookmarkEnd w:id="13"/>
      <w:r w:rsidRPr="00B3795E">
        <w:rPr>
          <w:rFonts w:ascii="Palatino Linotype" w:eastAsia="Palatino Linotype" w:hAnsi="Palatino Linotype" w:cs="Palatino Linotype"/>
          <w:b/>
        </w:rPr>
        <w:t>SEXTO</w:t>
      </w:r>
      <w:r w:rsidR="002723D2" w:rsidRPr="00B3795E">
        <w:rPr>
          <w:rFonts w:ascii="Palatino Linotype" w:eastAsia="Palatino Linotype" w:hAnsi="Palatino Linotype" w:cs="Palatino Linotype"/>
          <w:b/>
        </w:rPr>
        <w:t xml:space="preserve">. </w:t>
      </w:r>
      <w:r w:rsidR="002723D2" w:rsidRPr="00B3795E">
        <w:rPr>
          <w:rFonts w:ascii="Palatino Linotype" w:eastAsia="Palatino Linotype" w:hAnsi="Palatino Linotype" w:cs="Palatino Linotype"/>
        </w:rPr>
        <w:t>Notifíquese al</w:t>
      </w:r>
      <w:r w:rsidR="002723D2" w:rsidRPr="00B3795E">
        <w:rPr>
          <w:rFonts w:ascii="Palatino Linotype" w:eastAsia="Palatino Linotype" w:hAnsi="Palatino Linotype" w:cs="Palatino Linotype"/>
          <w:b/>
        </w:rPr>
        <w:t xml:space="preserve"> RECURRENTE</w:t>
      </w:r>
      <w:r w:rsidR="002723D2" w:rsidRPr="00B3795E">
        <w:rPr>
          <w:rFonts w:ascii="Palatino Linotype" w:eastAsia="Palatino Linotype" w:hAnsi="Palatino Linotype" w:cs="Palatino Linotype"/>
        </w:rPr>
        <w:t xml:space="preserve"> la presente resolución, vía Sistema de Acceso a la Información Mexiquense (SAIMEX).</w:t>
      </w:r>
    </w:p>
    <w:p w14:paraId="72FF15F3" w14:textId="77777777" w:rsidR="002723D2" w:rsidRPr="00B3795E" w:rsidRDefault="002723D2" w:rsidP="002723D2">
      <w:pPr>
        <w:tabs>
          <w:tab w:val="left" w:pos="8080"/>
        </w:tabs>
        <w:spacing w:line="360" w:lineRule="auto"/>
        <w:ind w:right="49"/>
        <w:jc w:val="both"/>
        <w:rPr>
          <w:rFonts w:ascii="Palatino Linotype" w:eastAsia="Palatino Linotype" w:hAnsi="Palatino Linotype" w:cs="Palatino Linotype"/>
        </w:rPr>
      </w:pPr>
    </w:p>
    <w:p w14:paraId="3EFA0423" w14:textId="77777777" w:rsidR="002723D2" w:rsidRPr="00B3795E" w:rsidRDefault="00AA315D" w:rsidP="002723D2">
      <w:pPr>
        <w:shd w:val="clear" w:color="auto" w:fill="FFFFFF"/>
        <w:spacing w:line="360" w:lineRule="auto"/>
        <w:jc w:val="both"/>
        <w:rPr>
          <w:rFonts w:ascii="Palatino Linotype" w:eastAsia="Palatino Linotype" w:hAnsi="Palatino Linotype" w:cs="Palatino Linotype"/>
        </w:rPr>
      </w:pPr>
      <w:r w:rsidRPr="00B3795E">
        <w:rPr>
          <w:rFonts w:ascii="Palatino Linotype" w:eastAsia="Palatino Linotype" w:hAnsi="Palatino Linotype" w:cs="Palatino Linotype"/>
          <w:b/>
        </w:rPr>
        <w:t>SEPTIMO</w:t>
      </w:r>
      <w:r w:rsidR="002723D2" w:rsidRPr="00B3795E">
        <w:rPr>
          <w:rFonts w:ascii="Palatino Linotype" w:eastAsia="Palatino Linotype" w:hAnsi="Palatino Linotype" w:cs="Palatino Linotype"/>
          <w:b/>
        </w:rPr>
        <w:t xml:space="preserve">. </w:t>
      </w:r>
      <w:r w:rsidR="002723D2" w:rsidRPr="00B3795E">
        <w:rPr>
          <w:rFonts w:ascii="Palatino Linotype" w:eastAsia="Palatino Linotype" w:hAnsi="Palatino Linotype" w:cs="Palatino Linotype"/>
        </w:rPr>
        <w:t xml:space="preserve">Se hace del conocimiento del </w:t>
      </w:r>
      <w:r w:rsidR="002723D2" w:rsidRPr="00B3795E">
        <w:rPr>
          <w:rFonts w:ascii="Palatino Linotype" w:eastAsia="Palatino Linotype" w:hAnsi="Palatino Linotype" w:cs="Palatino Linotype"/>
          <w:b/>
        </w:rPr>
        <w:t xml:space="preserve">RECURRENTE </w:t>
      </w:r>
      <w:r w:rsidR="002723D2" w:rsidRPr="00B3795E">
        <w:rPr>
          <w:rFonts w:ascii="Palatino Linotype" w:eastAsia="Palatino Linotype" w:hAnsi="Palatino Linotype" w:cs="Palatino Linotype"/>
        </w:rPr>
        <w:t xml:space="preserve">que, de conformidad con lo establecido en el artículo 196 de la Ley de Transparencia y Acceso a la Información Pública del Estado de México y Municipios, en caso de que considere que la resolución </w:t>
      </w:r>
      <w:r w:rsidR="002723D2" w:rsidRPr="00B3795E">
        <w:rPr>
          <w:rFonts w:ascii="Palatino Linotype" w:eastAsia="Palatino Linotype" w:hAnsi="Palatino Linotype" w:cs="Palatino Linotype"/>
        </w:rPr>
        <w:lastRenderedPageBreak/>
        <w:t>le cause algún perjuicio podrá impugnarla vía juicio de amparo en los términos de las leyes aplicables.</w:t>
      </w:r>
    </w:p>
    <w:p w14:paraId="187D8C1B" w14:textId="77777777" w:rsidR="00267298" w:rsidRPr="00B3795E" w:rsidRDefault="00267298" w:rsidP="002723D2">
      <w:pPr>
        <w:tabs>
          <w:tab w:val="left" w:pos="8080"/>
        </w:tabs>
        <w:spacing w:line="360" w:lineRule="auto"/>
        <w:ind w:right="49"/>
        <w:jc w:val="both"/>
        <w:rPr>
          <w:rFonts w:ascii="Palatino Linotype" w:eastAsia="Palatino Linotype" w:hAnsi="Palatino Linotype" w:cs="Palatino Linotype"/>
        </w:rPr>
      </w:pPr>
    </w:p>
    <w:p w14:paraId="2374B609" w14:textId="77777777" w:rsidR="00E5702E" w:rsidRPr="003C7186" w:rsidRDefault="00E5702E" w:rsidP="00E5702E">
      <w:pPr>
        <w:spacing w:line="360" w:lineRule="auto"/>
        <w:ind w:left="-142" w:right="-234" w:firstLine="1"/>
        <w:jc w:val="both"/>
        <w:rPr>
          <w:rFonts w:ascii="Palatino Linotype" w:hAnsi="Palatino Linotype"/>
        </w:rPr>
      </w:pPr>
      <w:r w:rsidRPr="00B3795E">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SEGUNDA SESIÓN ORDINARIA CELEBRADA EL CUATRO (04) DE DICIEMBRE DE DOS MIL VEINTICUATRO, ANTE EL SECRETARIO TÉCNICO DEL PLENO ALEXIS TAPIA RAMÍREZ.</w:t>
      </w:r>
      <w:r w:rsidRPr="003C7186">
        <w:rPr>
          <w:rFonts w:ascii="Palatino Linotype" w:hAnsi="Palatino Linotype"/>
        </w:rPr>
        <w:t xml:space="preserve"> </w:t>
      </w:r>
    </w:p>
    <w:p w14:paraId="4F784305" w14:textId="77777777" w:rsidR="00267298" w:rsidRDefault="00267298">
      <w:pPr>
        <w:spacing w:before="240" w:after="240" w:line="360" w:lineRule="auto"/>
        <w:ind w:right="-876"/>
        <w:jc w:val="both"/>
        <w:rPr>
          <w:rFonts w:ascii="Palatino Linotype" w:eastAsia="Palatino Linotype" w:hAnsi="Palatino Linotype" w:cs="Palatino Linotype"/>
        </w:rPr>
      </w:pPr>
    </w:p>
    <w:p w14:paraId="53B00928" w14:textId="77777777" w:rsidR="00267298" w:rsidRDefault="00267298">
      <w:pPr>
        <w:spacing w:line="360" w:lineRule="auto"/>
        <w:ind w:right="-876"/>
        <w:jc w:val="both"/>
        <w:rPr>
          <w:rFonts w:ascii="Palatino Linotype" w:eastAsia="Palatino Linotype" w:hAnsi="Palatino Linotype" w:cs="Palatino Linotype"/>
        </w:rPr>
      </w:pPr>
    </w:p>
    <w:p w14:paraId="235C246A" w14:textId="77777777" w:rsidR="00267298" w:rsidRDefault="00267298">
      <w:pPr>
        <w:spacing w:line="360" w:lineRule="auto"/>
        <w:ind w:right="-876"/>
        <w:jc w:val="both"/>
        <w:rPr>
          <w:rFonts w:ascii="Palatino Linotype" w:eastAsia="Palatino Linotype" w:hAnsi="Palatino Linotype" w:cs="Palatino Linotype"/>
        </w:rPr>
      </w:pPr>
    </w:p>
    <w:p w14:paraId="20EDCB07" w14:textId="77777777" w:rsidR="00267298" w:rsidRDefault="00267298">
      <w:pPr>
        <w:spacing w:line="360" w:lineRule="auto"/>
        <w:ind w:right="-876"/>
        <w:jc w:val="both"/>
        <w:rPr>
          <w:rFonts w:ascii="Palatino Linotype" w:eastAsia="Palatino Linotype" w:hAnsi="Palatino Linotype" w:cs="Palatino Linotype"/>
        </w:rPr>
      </w:pPr>
    </w:p>
    <w:p w14:paraId="5D92A12F" w14:textId="77777777" w:rsidR="00267298" w:rsidRDefault="00267298">
      <w:pPr>
        <w:spacing w:line="360" w:lineRule="auto"/>
        <w:ind w:right="-876"/>
        <w:jc w:val="both"/>
        <w:rPr>
          <w:rFonts w:ascii="Palatino Linotype" w:eastAsia="Palatino Linotype" w:hAnsi="Palatino Linotype" w:cs="Palatino Linotype"/>
        </w:rPr>
      </w:pPr>
    </w:p>
    <w:p w14:paraId="5D3E7984" w14:textId="77777777" w:rsidR="00267298" w:rsidRDefault="00267298">
      <w:pPr>
        <w:spacing w:line="360" w:lineRule="auto"/>
        <w:ind w:right="-876"/>
        <w:jc w:val="both"/>
        <w:rPr>
          <w:rFonts w:ascii="Palatino Linotype" w:eastAsia="Palatino Linotype" w:hAnsi="Palatino Linotype" w:cs="Palatino Linotype"/>
        </w:rPr>
      </w:pPr>
    </w:p>
    <w:p w14:paraId="40C896F1" w14:textId="77777777" w:rsidR="00267298" w:rsidRDefault="00267298">
      <w:pPr>
        <w:spacing w:line="360" w:lineRule="auto"/>
        <w:ind w:right="-876"/>
        <w:jc w:val="both"/>
        <w:rPr>
          <w:rFonts w:ascii="Palatino Linotype" w:eastAsia="Palatino Linotype" w:hAnsi="Palatino Linotype" w:cs="Palatino Linotype"/>
        </w:rPr>
      </w:pPr>
    </w:p>
    <w:p w14:paraId="6A537B28" w14:textId="77777777" w:rsidR="00267298" w:rsidRDefault="00267298">
      <w:pPr>
        <w:spacing w:line="360" w:lineRule="auto"/>
        <w:ind w:right="-876"/>
        <w:jc w:val="both"/>
        <w:rPr>
          <w:rFonts w:ascii="Palatino Linotype" w:eastAsia="Palatino Linotype" w:hAnsi="Palatino Linotype" w:cs="Palatino Linotype"/>
        </w:rPr>
      </w:pPr>
    </w:p>
    <w:p w14:paraId="1FA8A50B" w14:textId="77777777" w:rsidR="00267298" w:rsidRDefault="00267298">
      <w:pPr>
        <w:spacing w:line="360" w:lineRule="auto"/>
        <w:ind w:right="-876"/>
        <w:jc w:val="both"/>
        <w:rPr>
          <w:rFonts w:ascii="Palatino Linotype" w:eastAsia="Palatino Linotype" w:hAnsi="Palatino Linotype" w:cs="Palatino Linotype"/>
        </w:rPr>
      </w:pPr>
    </w:p>
    <w:p w14:paraId="23D065F9" w14:textId="77777777" w:rsidR="00267298" w:rsidRDefault="00267298">
      <w:pPr>
        <w:spacing w:line="360" w:lineRule="auto"/>
        <w:ind w:right="-876"/>
        <w:jc w:val="both"/>
        <w:rPr>
          <w:rFonts w:ascii="Palatino Linotype" w:eastAsia="Palatino Linotype" w:hAnsi="Palatino Linotype" w:cs="Palatino Linotype"/>
        </w:rPr>
      </w:pPr>
    </w:p>
    <w:p w14:paraId="0CE4C62B" w14:textId="77777777" w:rsidR="00267298" w:rsidRDefault="00267298">
      <w:pPr>
        <w:spacing w:line="360" w:lineRule="auto"/>
        <w:ind w:right="-876"/>
        <w:jc w:val="both"/>
        <w:rPr>
          <w:rFonts w:ascii="Palatino Linotype" w:eastAsia="Palatino Linotype" w:hAnsi="Palatino Linotype" w:cs="Palatino Linotype"/>
        </w:rPr>
      </w:pPr>
    </w:p>
    <w:p w14:paraId="3F9328C0" w14:textId="77777777" w:rsidR="00267298" w:rsidRDefault="00267298">
      <w:pPr>
        <w:spacing w:line="360" w:lineRule="auto"/>
        <w:ind w:right="-876"/>
        <w:jc w:val="both"/>
        <w:rPr>
          <w:rFonts w:ascii="Palatino Linotype" w:eastAsia="Palatino Linotype" w:hAnsi="Palatino Linotype" w:cs="Palatino Linotype"/>
        </w:rPr>
      </w:pPr>
    </w:p>
    <w:p w14:paraId="0B8F3262" w14:textId="77777777" w:rsidR="00267298" w:rsidRDefault="00267298">
      <w:pPr>
        <w:spacing w:line="360" w:lineRule="auto"/>
        <w:ind w:right="-876"/>
        <w:jc w:val="both"/>
        <w:rPr>
          <w:rFonts w:ascii="Palatino Linotype" w:eastAsia="Palatino Linotype" w:hAnsi="Palatino Linotype" w:cs="Palatino Linotype"/>
        </w:rPr>
      </w:pPr>
    </w:p>
    <w:p w14:paraId="0F8C8AE8" w14:textId="77777777" w:rsidR="00267298" w:rsidRDefault="00267298">
      <w:pPr>
        <w:spacing w:line="360" w:lineRule="auto"/>
        <w:ind w:right="-876"/>
        <w:jc w:val="both"/>
        <w:rPr>
          <w:rFonts w:ascii="Palatino Linotype" w:eastAsia="Palatino Linotype" w:hAnsi="Palatino Linotype" w:cs="Palatino Linotype"/>
        </w:rPr>
      </w:pPr>
    </w:p>
    <w:p w14:paraId="1DB9ADB1" w14:textId="77777777" w:rsidR="00267298" w:rsidRDefault="00267298">
      <w:pPr>
        <w:spacing w:line="360" w:lineRule="auto"/>
        <w:ind w:right="-876"/>
        <w:jc w:val="both"/>
        <w:rPr>
          <w:rFonts w:ascii="Palatino Linotype" w:eastAsia="Palatino Linotype" w:hAnsi="Palatino Linotype" w:cs="Palatino Linotype"/>
        </w:rPr>
      </w:pPr>
    </w:p>
    <w:p w14:paraId="774916BF" w14:textId="77777777" w:rsidR="00267298" w:rsidRDefault="00267298">
      <w:pPr>
        <w:spacing w:line="360" w:lineRule="auto"/>
        <w:ind w:right="-876"/>
        <w:jc w:val="both"/>
        <w:rPr>
          <w:rFonts w:ascii="Palatino Linotype" w:eastAsia="Palatino Linotype" w:hAnsi="Palatino Linotype" w:cs="Palatino Linotype"/>
        </w:rPr>
      </w:pPr>
    </w:p>
    <w:p w14:paraId="49FA871C" w14:textId="77777777" w:rsidR="00267298" w:rsidRDefault="00267298">
      <w:pPr>
        <w:spacing w:line="360" w:lineRule="auto"/>
        <w:ind w:right="-876"/>
        <w:jc w:val="both"/>
        <w:rPr>
          <w:rFonts w:ascii="Palatino Linotype" w:eastAsia="Palatino Linotype" w:hAnsi="Palatino Linotype" w:cs="Palatino Linotype"/>
        </w:rPr>
      </w:pPr>
    </w:p>
    <w:p w14:paraId="2B1E2267" w14:textId="77777777" w:rsidR="00267298" w:rsidRDefault="00267298">
      <w:pPr>
        <w:spacing w:line="360" w:lineRule="auto"/>
        <w:ind w:right="-876"/>
        <w:jc w:val="both"/>
        <w:rPr>
          <w:rFonts w:ascii="Palatino Linotype" w:eastAsia="Palatino Linotype" w:hAnsi="Palatino Linotype" w:cs="Palatino Linotype"/>
        </w:rPr>
      </w:pPr>
    </w:p>
    <w:p w14:paraId="3E1A8C1B" w14:textId="77777777" w:rsidR="00267298" w:rsidRDefault="00267298">
      <w:pPr>
        <w:spacing w:line="360" w:lineRule="auto"/>
        <w:ind w:right="-876"/>
        <w:jc w:val="both"/>
        <w:rPr>
          <w:rFonts w:ascii="Palatino Linotype" w:eastAsia="Palatino Linotype" w:hAnsi="Palatino Linotype" w:cs="Palatino Linotype"/>
        </w:rPr>
      </w:pPr>
    </w:p>
    <w:p w14:paraId="1B7DB49D" w14:textId="77777777" w:rsidR="00267298" w:rsidRDefault="00267298">
      <w:pPr>
        <w:spacing w:line="360" w:lineRule="auto"/>
        <w:ind w:right="-876"/>
        <w:jc w:val="both"/>
        <w:rPr>
          <w:rFonts w:ascii="Palatino Linotype" w:eastAsia="Palatino Linotype" w:hAnsi="Palatino Linotype" w:cs="Palatino Linotype"/>
        </w:rPr>
      </w:pPr>
    </w:p>
    <w:p w14:paraId="4086A57B" w14:textId="77777777" w:rsidR="00267298" w:rsidRDefault="00267298">
      <w:pPr>
        <w:spacing w:line="360" w:lineRule="auto"/>
        <w:ind w:right="-876"/>
        <w:jc w:val="both"/>
        <w:rPr>
          <w:rFonts w:ascii="Palatino Linotype" w:eastAsia="Palatino Linotype" w:hAnsi="Palatino Linotype" w:cs="Palatino Linotype"/>
        </w:rPr>
      </w:pPr>
    </w:p>
    <w:p w14:paraId="08872D3D" w14:textId="77777777" w:rsidR="00267298" w:rsidRDefault="00267298">
      <w:pPr>
        <w:spacing w:line="360" w:lineRule="auto"/>
        <w:ind w:right="-876"/>
        <w:jc w:val="both"/>
        <w:rPr>
          <w:rFonts w:ascii="Palatino Linotype" w:eastAsia="Palatino Linotype" w:hAnsi="Palatino Linotype" w:cs="Palatino Linotype"/>
        </w:rPr>
      </w:pPr>
    </w:p>
    <w:p w14:paraId="44DF3090" w14:textId="77777777" w:rsidR="00267298" w:rsidRDefault="00267298">
      <w:pPr>
        <w:spacing w:line="360" w:lineRule="auto"/>
        <w:ind w:right="-876"/>
        <w:jc w:val="both"/>
        <w:rPr>
          <w:rFonts w:ascii="Palatino Linotype" w:eastAsia="Palatino Linotype" w:hAnsi="Palatino Linotype" w:cs="Palatino Linotype"/>
        </w:rPr>
      </w:pPr>
    </w:p>
    <w:sectPr w:rsidR="00267298">
      <w:headerReference w:type="even" r:id="rId13"/>
      <w:headerReference w:type="default" r:id="rId14"/>
      <w:footerReference w:type="default" r:id="rId15"/>
      <w:headerReference w:type="first" r:id="rId16"/>
      <w:footerReference w:type="first" r:id="rId17"/>
      <w:pgSz w:w="12240" w:h="15840"/>
      <w:pgMar w:top="80" w:right="1579"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5021F" w14:textId="77777777" w:rsidR="00DD3E47" w:rsidRDefault="00DD3E47">
      <w:r>
        <w:separator/>
      </w:r>
    </w:p>
  </w:endnote>
  <w:endnote w:type="continuationSeparator" w:id="0">
    <w:p w14:paraId="31D2C587" w14:textId="77777777" w:rsidR="00DD3E47" w:rsidRDefault="00DD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626B9" w14:textId="77777777" w:rsidR="00FC5FA0" w:rsidRDefault="00FC5FA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317296">
      <w:rPr>
        <w:b/>
        <w:noProof/>
        <w:color w:val="000000"/>
      </w:rPr>
      <w:t>7</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317296">
      <w:rPr>
        <w:b/>
        <w:noProof/>
        <w:color w:val="000000"/>
      </w:rPr>
      <w:t>46</w:t>
    </w:r>
    <w:r>
      <w:rPr>
        <w:b/>
        <w:color w:val="000000"/>
      </w:rPr>
      <w:fldChar w:fldCharType="end"/>
    </w:r>
  </w:p>
  <w:p w14:paraId="09683C43" w14:textId="77777777" w:rsidR="00FC5FA0" w:rsidRDefault="00FC5FA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97A2B" w14:textId="77777777" w:rsidR="00FC5FA0" w:rsidRDefault="00FC5FA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317296">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317296">
      <w:rPr>
        <w:b/>
        <w:noProof/>
        <w:color w:val="000000"/>
      </w:rPr>
      <w:t>46</w:t>
    </w:r>
    <w:r>
      <w:rPr>
        <w:b/>
        <w:color w:val="000000"/>
      </w:rPr>
      <w:fldChar w:fldCharType="end"/>
    </w:r>
  </w:p>
  <w:p w14:paraId="5E909A29" w14:textId="77777777" w:rsidR="00FC5FA0" w:rsidRDefault="00FC5FA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450D0" w14:textId="77777777" w:rsidR="00DD3E47" w:rsidRDefault="00DD3E47">
      <w:r>
        <w:separator/>
      </w:r>
    </w:p>
  </w:footnote>
  <w:footnote w:type="continuationSeparator" w:id="0">
    <w:p w14:paraId="6D616900" w14:textId="77777777" w:rsidR="00DD3E47" w:rsidRDefault="00DD3E47">
      <w:r>
        <w:continuationSeparator/>
      </w:r>
    </w:p>
  </w:footnote>
  <w:footnote w:id="1">
    <w:p w14:paraId="19EB922E" w14:textId="77777777" w:rsidR="00FC5FA0" w:rsidRPr="0090763E" w:rsidRDefault="00FC5FA0" w:rsidP="001A0ED2">
      <w:pPr>
        <w:pStyle w:val="Textonotapie"/>
      </w:pPr>
      <w:r>
        <w:rPr>
          <w:rStyle w:val="Refdenotaalpie"/>
        </w:rPr>
        <w:footnoteRef/>
      </w:r>
      <w:r w:rsidRPr="0090763E">
        <w:rPr>
          <w:lang w:val="en-US"/>
        </w:rPr>
        <w:t xml:space="preserve"> Open Knowledge Foundation, </w:t>
      </w:r>
      <w:r w:rsidRPr="0090763E">
        <w:rPr>
          <w:i/>
          <w:iCs/>
          <w:lang w:val="en-US"/>
        </w:rPr>
        <w:t>¿Qué son los datos abiertos?</w:t>
      </w:r>
      <w:r w:rsidRPr="0090763E">
        <w:rPr>
          <w:lang w:val="en-US"/>
        </w:rPr>
        <w:t xml:space="preserve"> Open Data</w:t>
      </w:r>
      <w:r>
        <w:rPr>
          <w:lang w:val="en-US"/>
        </w:rPr>
        <w:t xml:space="preserve"> Handbook. </w:t>
      </w:r>
      <w:r w:rsidRPr="0090763E">
        <w:t>Recuperado de: http://opendatahandbook.org/guide/es/what-is-open-data/</w:t>
      </w:r>
    </w:p>
  </w:footnote>
  <w:footnote w:id="2">
    <w:p w14:paraId="7D53A0D6" w14:textId="77777777" w:rsidR="00FC5FA0" w:rsidRDefault="00FC5FA0" w:rsidP="001A0ED2">
      <w:pPr>
        <w:pStyle w:val="Textonotapie"/>
        <w:jc w:val="both"/>
      </w:pPr>
      <w:r>
        <w:rPr>
          <w:rStyle w:val="Refdenotaalpie"/>
        </w:rPr>
        <w:footnoteRef/>
      </w:r>
      <w:r>
        <w:t xml:space="preserve"> Datos Abiertos. Comisión Intersecretarial para el Desarrollo del Gobierno Electrónico. Consultable en </w:t>
      </w:r>
      <w:r w:rsidRPr="00F412C7">
        <w:t>https://www.gob.mx/cidge/acciones-y-programas/datos-abiertos#:~:text=Los%20Datos%20Abiertos%20son%20informaci%C3%B3n,fin%20legal%20que%20se%20desee.</w:t>
      </w:r>
    </w:p>
  </w:footnote>
  <w:footnote w:id="3">
    <w:p w14:paraId="0C4E1F71" w14:textId="77777777" w:rsidR="00FC5FA0" w:rsidRDefault="00FC5FA0" w:rsidP="001A0ED2">
      <w:pPr>
        <w:pStyle w:val="Textonotapie"/>
      </w:pPr>
      <w:r>
        <w:rPr>
          <w:rStyle w:val="Refdenotaalpie"/>
        </w:rPr>
        <w:footnoteRef/>
      </w:r>
      <w:r>
        <w:t xml:space="preserve"> </w:t>
      </w:r>
      <w:r w:rsidRPr="00100574">
        <w:t>https://datos.cdmx.gob.mx/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4A348" w14:textId="77777777" w:rsidR="00FC5FA0" w:rsidRDefault="00DD3E47">
    <w:pPr>
      <w:pBdr>
        <w:top w:val="nil"/>
        <w:left w:val="nil"/>
        <w:bottom w:val="nil"/>
        <w:right w:val="nil"/>
        <w:between w:val="nil"/>
      </w:pBdr>
      <w:tabs>
        <w:tab w:val="center" w:pos="4419"/>
        <w:tab w:val="right" w:pos="8838"/>
      </w:tabs>
      <w:rPr>
        <w:color w:val="000000"/>
      </w:rPr>
    </w:pPr>
    <w:r>
      <w:rPr>
        <w:color w:val="000000"/>
      </w:rPr>
      <w:pict w14:anchorId="6928B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7BFFF" w14:textId="77777777" w:rsidR="00FC5FA0" w:rsidRDefault="00FC5FA0">
    <w:pPr>
      <w:widowControl w:val="0"/>
      <w:pBdr>
        <w:top w:val="nil"/>
        <w:left w:val="nil"/>
        <w:bottom w:val="nil"/>
        <w:right w:val="nil"/>
        <w:between w:val="nil"/>
      </w:pBdr>
      <w:tabs>
        <w:tab w:val="left" w:pos="4536"/>
      </w:tabs>
      <w:spacing w:line="276" w:lineRule="auto"/>
      <w:rPr>
        <w:color w:val="000000"/>
      </w:rPr>
    </w:pPr>
  </w:p>
  <w:tbl>
    <w:tblPr>
      <w:tblStyle w:val="af"/>
      <w:tblW w:w="10365" w:type="dxa"/>
      <w:tblInd w:w="0" w:type="dxa"/>
      <w:tblLayout w:type="fixed"/>
      <w:tblLook w:val="0400" w:firstRow="0" w:lastRow="0" w:firstColumn="0" w:lastColumn="0" w:noHBand="0" w:noVBand="1"/>
    </w:tblPr>
    <w:tblGrid>
      <w:gridCol w:w="2265"/>
      <w:gridCol w:w="8100"/>
    </w:tblGrid>
    <w:tr w:rsidR="00FC5FA0" w14:paraId="351E17DC" w14:textId="77777777">
      <w:trPr>
        <w:trHeight w:val="1727"/>
      </w:trPr>
      <w:tc>
        <w:tcPr>
          <w:tcW w:w="2265" w:type="dxa"/>
        </w:tcPr>
        <w:p w14:paraId="20AD8EE7" w14:textId="77777777" w:rsidR="00FC5FA0" w:rsidRDefault="00FC5FA0">
          <w:pPr>
            <w:tabs>
              <w:tab w:val="right" w:pos="4273"/>
            </w:tabs>
            <w:rPr>
              <w:rFonts w:ascii="Garamond" w:eastAsia="Garamond" w:hAnsi="Garamond" w:cs="Garamond"/>
              <w:sz w:val="16"/>
              <w:szCs w:val="16"/>
            </w:rPr>
          </w:pPr>
        </w:p>
      </w:tc>
      <w:tc>
        <w:tcPr>
          <w:tcW w:w="8100" w:type="dxa"/>
        </w:tcPr>
        <w:p w14:paraId="3D4FF1A9" w14:textId="77777777" w:rsidR="00FC5FA0" w:rsidRDefault="00FC5FA0">
          <w:pPr>
            <w:ind w:right="-676"/>
          </w:pPr>
        </w:p>
        <w:tbl>
          <w:tblPr>
            <w:tblStyle w:val="af0"/>
            <w:tblW w:w="7800" w:type="dxa"/>
            <w:tblInd w:w="40" w:type="dxa"/>
            <w:tblLayout w:type="fixed"/>
            <w:tblLook w:val="0400" w:firstRow="0" w:lastRow="0" w:firstColumn="0" w:lastColumn="0" w:noHBand="0" w:noVBand="1"/>
          </w:tblPr>
          <w:tblGrid>
            <w:gridCol w:w="3225"/>
            <w:gridCol w:w="4575"/>
          </w:tblGrid>
          <w:tr w:rsidR="00FC5FA0" w14:paraId="2D99945A" w14:textId="77777777">
            <w:trPr>
              <w:trHeight w:val="150"/>
            </w:trPr>
            <w:tc>
              <w:tcPr>
                <w:tcW w:w="3225" w:type="dxa"/>
                <w:tcBorders>
                  <w:top w:val="nil"/>
                  <w:left w:val="nil"/>
                  <w:bottom w:val="nil"/>
                  <w:right w:val="nil"/>
                </w:tcBorders>
              </w:tcPr>
              <w:p w14:paraId="3EF6ADA5" w14:textId="77777777" w:rsidR="00FC5FA0" w:rsidRDefault="00FC5FA0">
                <w:pPr>
                  <w:ind w:left="283" w:right="-67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75" w:type="dxa"/>
                <w:tcBorders>
                  <w:top w:val="nil"/>
                  <w:left w:val="nil"/>
                  <w:bottom w:val="nil"/>
                  <w:right w:val="nil"/>
                </w:tcBorders>
              </w:tcPr>
              <w:p w14:paraId="18707733" w14:textId="41AD10FB" w:rsidR="00FC5FA0" w:rsidRDefault="00FC5FA0">
                <w:pPr>
                  <w:ind w:right="-148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04338/INFOEM/IP/RR/2024 y Acumulado</w:t>
                </w:r>
              </w:p>
            </w:tc>
          </w:tr>
          <w:tr w:rsidR="00FC5FA0" w14:paraId="26368659" w14:textId="77777777">
            <w:trPr>
              <w:trHeight w:val="295"/>
            </w:trPr>
            <w:tc>
              <w:tcPr>
                <w:tcW w:w="3225" w:type="dxa"/>
                <w:tcBorders>
                  <w:top w:val="nil"/>
                  <w:left w:val="nil"/>
                  <w:bottom w:val="nil"/>
                  <w:right w:val="nil"/>
                </w:tcBorders>
              </w:tcPr>
              <w:p w14:paraId="77DD1CB4" w14:textId="77777777" w:rsidR="00FC5FA0" w:rsidRDefault="00FC5FA0">
                <w:pPr>
                  <w:ind w:left="283" w:right="-67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75" w:type="dxa"/>
                <w:tcBorders>
                  <w:top w:val="nil"/>
                  <w:left w:val="nil"/>
                  <w:bottom w:val="nil"/>
                  <w:right w:val="nil"/>
                </w:tcBorders>
              </w:tcPr>
              <w:p w14:paraId="78A327B0" w14:textId="77777777" w:rsidR="00FC5FA0" w:rsidRDefault="00E5702E">
                <w:pPr>
                  <w:ind w:right="-148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w:t>
                </w:r>
                <w:r w:rsidR="00FC5FA0">
                  <w:rPr>
                    <w:rFonts w:ascii="Palatino Linotype" w:eastAsia="Palatino Linotype" w:hAnsi="Palatino Linotype" w:cs="Palatino Linotype"/>
                    <w:sz w:val="22"/>
                    <w:szCs w:val="22"/>
                  </w:rPr>
                  <w:t>a de Finanzas</w:t>
                </w:r>
              </w:p>
            </w:tc>
          </w:tr>
          <w:tr w:rsidR="00FC5FA0" w14:paraId="766DDBAC" w14:textId="77777777">
            <w:trPr>
              <w:trHeight w:val="295"/>
            </w:trPr>
            <w:tc>
              <w:tcPr>
                <w:tcW w:w="3225" w:type="dxa"/>
                <w:tcBorders>
                  <w:top w:val="nil"/>
                  <w:left w:val="nil"/>
                  <w:bottom w:val="nil"/>
                  <w:right w:val="nil"/>
                </w:tcBorders>
              </w:tcPr>
              <w:p w14:paraId="14CCBE1B" w14:textId="77777777" w:rsidR="00FC5FA0" w:rsidRDefault="00FC5FA0">
                <w:pPr>
                  <w:ind w:left="283" w:right="-67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75" w:type="dxa"/>
                <w:tcBorders>
                  <w:top w:val="nil"/>
                  <w:left w:val="nil"/>
                  <w:bottom w:val="nil"/>
                  <w:right w:val="nil"/>
                </w:tcBorders>
              </w:tcPr>
              <w:p w14:paraId="0DA5C703" w14:textId="77777777" w:rsidR="00FC5FA0" w:rsidRDefault="00FC5FA0">
                <w:pPr>
                  <w:ind w:right="-148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2BD07038" w14:textId="77777777" w:rsidR="00FC5FA0" w:rsidRDefault="00FC5FA0">
                <w:pPr>
                  <w:ind w:right="-1482"/>
                  <w:rPr>
                    <w:rFonts w:ascii="Palatino Linotype" w:eastAsia="Palatino Linotype" w:hAnsi="Palatino Linotype" w:cs="Palatino Linotype"/>
                    <w:b/>
                    <w:sz w:val="22"/>
                    <w:szCs w:val="22"/>
                  </w:rPr>
                </w:pPr>
              </w:p>
            </w:tc>
          </w:tr>
        </w:tbl>
        <w:p w14:paraId="6F9152B0" w14:textId="77777777" w:rsidR="00FC5FA0" w:rsidRDefault="00FC5FA0">
          <w:pPr>
            <w:tabs>
              <w:tab w:val="right" w:pos="8838"/>
            </w:tabs>
            <w:ind w:left="-28" w:right="-676"/>
            <w:jc w:val="both"/>
            <w:rPr>
              <w:rFonts w:ascii="Arial" w:eastAsia="Arial" w:hAnsi="Arial" w:cs="Arial"/>
              <w:b/>
            </w:rPr>
          </w:pPr>
        </w:p>
      </w:tc>
    </w:tr>
  </w:tbl>
  <w:p w14:paraId="5E861861" w14:textId="77777777" w:rsidR="00FC5FA0" w:rsidRDefault="00DD3E47">
    <w:pPr>
      <w:pBdr>
        <w:top w:val="nil"/>
        <w:left w:val="nil"/>
        <w:bottom w:val="nil"/>
        <w:right w:val="nil"/>
        <w:between w:val="nil"/>
      </w:pBdr>
      <w:tabs>
        <w:tab w:val="center" w:pos="4111"/>
        <w:tab w:val="right" w:pos="8838"/>
      </w:tabs>
      <w:rPr>
        <w:color w:val="000000"/>
        <w:sz w:val="14"/>
        <w:szCs w:val="14"/>
      </w:rPr>
    </w:pPr>
    <w:r>
      <w:rPr>
        <w:color w:val="000000"/>
      </w:rPr>
      <w:pict w14:anchorId="59DD3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582FA" w14:textId="77777777" w:rsidR="00FC5FA0" w:rsidRDefault="00FC5FA0">
    <w:pPr>
      <w:widowControl w:val="0"/>
      <w:pBdr>
        <w:top w:val="nil"/>
        <w:left w:val="nil"/>
        <w:bottom w:val="nil"/>
        <w:right w:val="nil"/>
        <w:between w:val="nil"/>
      </w:pBdr>
      <w:spacing w:line="276" w:lineRule="auto"/>
      <w:rPr>
        <w:color w:val="000000"/>
        <w:sz w:val="14"/>
        <w:szCs w:val="14"/>
      </w:rPr>
    </w:pPr>
  </w:p>
  <w:tbl>
    <w:tblPr>
      <w:tblStyle w:val="af1"/>
      <w:tblW w:w="10050" w:type="dxa"/>
      <w:tblInd w:w="0" w:type="dxa"/>
      <w:tblLayout w:type="fixed"/>
      <w:tblLook w:val="0400" w:firstRow="0" w:lastRow="0" w:firstColumn="0" w:lastColumn="0" w:noHBand="0" w:noVBand="1"/>
    </w:tblPr>
    <w:tblGrid>
      <w:gridCol w:w="2265"/>
      <w:gridCol w:w="7785"/>
    </w:tblGrid>
    <w:tr w:rsidR="00FC5FA0" w14:paraId="3EF89D77" w14:textId="77777777">
      <w:trPr>
        <w:trHeight w:val="1435"/>
      </w:trPr>
      <w:tc>
        <w:tcPr>
          <w:tcW w:w="2265" w:type="dxa"/>
        </w:tcPr>
        <w:p w14:paraId="4A8EAD6D" w14:textId="77777777" w:rsidR="00FC5FA0" w:rsidRDefault="00FC5FA0">
          <w:pPr>
            <w:tabs>
              <w:tab w:val="right" w:pos="4273"/>
            </w:tabs>
            <w:rPr>
              <w:rFonts w:ascii="Garamond" w:eastAsia="Garamond" w:hAnsi="Garamond" w:cs="Garamond"/>
            </w:rPr>
          </w:pPr>
        </w:p>
      </w:tc>
      <w:tc>
        <w:tcPr>
          <w:tcW w:w="7785" w:type="dxa"/>
        </w:tcPr>
        <w:p w14:paraId="5EA00B22" w14:textId="77777777" w:rsidR="00FC5FA0" w:rsidRDefault="00FC5FA0">
          <w:pPr>
            <w:widowControl w:val="0"/>
            <w:pBdr>
              <w:top w:val="nil"/>
              <w:left w:val="nil"/>
              <w:bottom w:val="nil"/>
              <w:right w:val="nil"/>
              <w:between w:val="nil"/>
            </w:pBdr>
            <w:spacing w:line="276" w:lineRule="auto"/>
            <w:rPr>
              <w:rFonts w:ascii="Garamond" w:eastAsia="Garamond" w:hAnsi="Garamond" w:cs="Garamond"/>
            </w:rPr>
          </w:pPr>
        </w:p>
        <w:tbl>
          <w:tblPr>
            <w:tblStyle w:val="af2"/>
            <w:tblW w:w="7485" w:type="dxa"/>
            <w:tblInd w:w="40" w:type="dxa"/>
            <w:tblLayout w:type="fixed"/>
            <w:tblLook w:val="0400" w:firstRow="0" w:lastRow="0" w:firstColumn="0" w:lastColumn="0" w:noHBand="0" w:noVBand="1"/>
          </w:tblPr>
          <w:tblGrid>
            <w:gridCol w:w="3197"/>
            <w:gridCol w:w="4288"/>
          </w:tblGrid>
          <w:tr w:rsidR="00FC5FA0" w14:paraId="60F02D16" w14:textId="77777777">
            <w:trPr>
              <w:trHeight w:val="291"/>
            </w:trPr>
            <w:tc>
              <w:tcPr>
                <w:tcW w:w="3197" w:type="dxa"/>
                <w:tcBorders>
                  <w:top w:val="nil"/>
                  <w:left w:val="nil"/>
                  <w:bottom w:val="nil"/>
                  <w:right w:val="nil"/>
                </w:tcBorders>
              </w:tcPr>
              <w:p w14:paraId="3CD7FDB4" w14:textId="77777777" w:rsidR="00FC5FA0" w:rsidRDefault="00FC5FA0">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88" w:type="dxa"/>
                <w:tcBorders>
                  <w:top w:val="nil"/>
                  <w:left w:val="nil"/>
                  <w:bottom w:val="nil"/>
                  <w:right w:val="nil"/>
                </w:tcBorders>
              </w:tcPr>
              <w:p w14:paraId="452CC0E0" w14:textId="77777777" w:rsidR="00FC5FA0" w:rsidRDefault="00FC5FA0">
                <w:pPr>
                  <w:ind w:right="-16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0433</w:t>
                </w:r>
                <w:r w:rsidR="00E5702E">
                  <w:rPr>
                    <w:rFonts w:ascii="Palatino Linotype" w:eastAsia="Palatino Linotype" w:hAnsi="Palatino Linotype" w:cs="Palatino Linotype"/>
                    <w:sz w:val="22"/>
                    <w:szCs w:val="22"/>
                  </w:rPr>
                  <w:t>8/INFOEM/IP/RR/2024 y Acumulado</w:t>
                </w:r>
              </w:p>
            </w:tc>
          </w:tr>
          <w:tr w:rsidR="00FC5FA0" w14:paraId="6169E0E4" w14:textId="77777777">
            <w:trPr>
              <w:trHeight w:val="291"/>
            </w:trPr>
            <w:tc>
              <w:tcPr>
                <w:tcW w:w="3197" w:type="dxa"/>
                <w:tcBorders>
                  <w:top w:val="nil"/>
                  <w:left w:val="nil"/>
                  <w:bottom w:val="nil"/>
                  <w:right w:val="nil"/>
                </w:tcBorders>
              </w:tcPr>
              <w:p w14:paraId="78FE8B6A" w14:textId="77777777" w:rsidR="00FC5FA0" w:rsidRDefault="00FC5FA0">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88" w:type="dxa"/>
                <w:tcBorders>
                  <w:top w:val="nil"/>
                  <w:left w:val="nil"/>
                  <w:bottom w:val="nil"/>
                  <w:right w:val="nil"/>
                </w:tcBorders>
              </w:tcPr>
              <w:p w14:paraId="58376D53" w14:textId="5245906B" w:rsidR="00FC5FA0" w:rsidRDefault="00317296">
                <w:pPr>
                  <w:ind w:right="-16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XXXXXXXXXXXXX</w:t>
                </w:r>
              </w:p>
            </w:tc>
          </w:tr>
          <w:tr w:rsidR="00FC5FA0" w14:paraId="199654E3" w14:textId="77777777">
            <w:trPr>
              <w:trHeight w:val="291"/>
            </w:trPr>
            <w:tc>
              <w:tcPr>
                <w:tcW w:w="3197" w:type="dxa"/>
                <w:tcBorders>
                  <w:top w:val="nil"/>
                  <w:left w:val="nil"/>
                  <w:bottom w:val="nil"/>
                  <w:right w:val="nil"/>
                </w:tcBorders>
              </w:tcPr>
              <w:p w14:paraId="35E57F91" w14:textId="77777777" w:rsidR="00FC5FA0" w:rsidRDefault="00FC5FA0">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88" w:type="dxa"/>
                <w:tcBorders>
                  <w:top w:val="nil"/>
                  <w:left w:val="nil"/>
                  <w:bottom w:val="nil"/>
                  <w:right w:val="nil"/>
                </w:tcBorders>
              </w:tcPr>
              <w:p w14:paraId="405BB75E" w14:textId="77777777" w:rsidR="00FC5FA0" w:rsidRDefault="00FC5FA0">
                <w:pPr>
                  <w:ind w:right="-16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de Finanzas</w:t>
                </w:r>
              </w:p>
            </w:tc>
          </w:tr>
          <w:tr w:rsidR="00FC5FA0" w14:paraId="7BF54464" w14:textId="77777777">
            <w:trPr>
              <w:trHeight w:val="583"/>
            </w:trPr>
            <w:tc>
              <w:tcPr>
                <w:tcW w:w="3197" w:type="dxa"/>
                <w:tcBorders>
                  <w:top w:val="nil"/>
                  <w:left w:val="nil"/>
                  <w:bottom w:val="nil"/>
                  <w:right w:val="nil"/>
                </w:tcBorders>
              </w:tcPr>
              <w:p w14:paraId="374343BC" w14:textId="77777777" w:rsidR="00FC5FA0" w:rsidRDefault="00FC5FA0">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88" w:type="dxa"/>
                <w:tcBorders>
                  <w:top w:val="nil"/>
                  <w:left w:val="nil"/>
                  <w:bottom w:val="nil"/>
                  <w:right w:val="nil"/>
                </w:tcBorders>
              </w:tcPr>
              <w:p w14:paraId="2A8A50C6" w14:textId="77777777" w:rsidR="00FC5FA0" w:rsidRDefault="00FC5FA0">
                <w:pPr>
                  <w:ind w:right="-16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17498EBA" w14:textId="77777777" w:rsidR="00FC5FA0" w:rsidRDefault="00FC5FA0">
                <w:pPr>
                  <w:ind w:right="-1625"/>
                  <w:rPr>
                    <w:rFonts w:ascii="Palatino Linotype" w:eastAsia="Palatino Linotype" w:hAnsi="Palatino Linotype" w:cs="Palatino Linotype"/>
                    <w:b/>
                    <w:sz w:val="22"/>
                    <w:szCs w:val="22"/>
                  </w:rPr>
                </w:pPr>
              </w:p>
            </w:tc>
          </w:tr>
        </w:tbl>
        <w:p w14:paraId="0B4DB3D5" w14:textId="77777777" w:rsidR="00FC5FA0" w:rsidRDefault="00FC5FA0">
          <w:pPr>
            <w:tabs>
              <w:tab w:val="right" w:pos="8838"/>
            </w:tabs>
            <w:ind w:left="-28"/>
            <w:jc w:val="both"/>
            <w:rPr>
              <w:rFonts w:ascii="Arial" w:eastAsia="Arial" w:hAnsi="Arial" w:cs="Arial"/>
              <w:b/>
            </w:rPr>
          </w:pPr>
        </w:p>
      </w:tc>
    </w:tr>
  </w:tbl>
  <w:p w14:paraId="62BDA2B7" w14:textId="77777777" w:rsidR="00FC5FA0" w:rsidRDefault="00DD3E47">
    <w:pPr>
      <w:pBdr>
        <w:top w:val="nil"/>
        <w:left w:val="nil"/>
        <w:bottom w:val="nil"/>
        <w:right w:val="nil"/>
        <w:between w:val="nil"/>
      </w:pBdr>
      <w:tabs>
        <w:tab w:val="center" w:pos="4419"/>
        <w:tab w:val="right" w:pos="8838"/>
      </w:tabs>
      <w:rPr>
        <w:color w:val="000000"/>
        <w:sz w:val="2"/>
        <w:szCs w:val="2"/>
      </w:rPr>
    </w:pPr>
    <w:r>
      <w:rPr>
        <w:color w:val="000000"/>
      </w:rPr>
      <w:pict w14:anchorId="15C74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172D8"/>
    <w:multiLevelType w:val="hybridMultilevel"/>
    <w:tmpl w:val="137E25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9800AB"/>
    <w:multiLevelType w:val="multilevel"/>
    <w:tmpl w:val="A7CA65C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15:restartNumberingAfterBreak="0">
    <w:nsid w:val="121F5F5B"/>
    <w:multiLevelType w:val="hybridMultilevel"/>
    <w:tmpl w:val="D778AD3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 w15:restartNumberingAfterBreak="0">
    <w:nsid w:val="126E3E65"/>
    <w:multiLevelType w:val="hybridMultilevel"/>
    <w:tmpl w:val="A59A9E8E"/>
    <w:lvl w:ilvl="0" w:tplc="352E8DDA">
      <w:start w:val="1"/>
      <w:numFmt w:val="decimal"/>
      <w:lvlText w:val="%1."/>
      <w:lvlJc w:val="left"/>
      <w:pPr>
        <w:ind w:left="720" w:hanging="360"/>
      </w:pPr>
      <w:rPr>
        <w:b/>
        <w:i w:val="0"/>
        <w:sz w:val="24"/>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FA1BDB"/>
    <w:multiLevelType w:val="multilevel"/>
    <w:tmpl w:val="B4FCB38C"/>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5" w15:restartNumberingAfterBreak="0">
    <w:nsid w:val="1ED047B3"/>
    <w:multiLevelType w:val="multilevel"/>
    <w:tmpl w:val="9E187D88"/>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3675E91"/>
    <w:multiLevelType w:val="hybridMultilevel"/>
    <w:tmpl w:val="FD68291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4383671"/>
    <w:multiLevelType w:val="multilevel"/>
    <w:tmpl w:val="A0BCC91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15:restartNumberingAfterBreak="0">
    <w:nsid w:val="248954F3"/>
    <w:multiLevelType w:val="hybridMultilevel"/>
    <w:tmpl w:val="681C648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9" w15:restartNumberingAfterBreak="0">
    <w:nsid w:val="255A3124"/>
    <w:multiLevelType w:val="multilevel"/>
    <w:tmpl w:val="BBE02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3F48C0"/>
    <w:multiLevelType w:val="hybridMultilevel"/>
    <w:tmpl w:val="9B24635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1" w15:restartNumberingAfterBreak="0">
    <w:nsid w:val="29DB6DFE"/>
    <w:multiLevelType w:val="multilevel"/>
    <w:tmpl w:val="F6B06B5C"/>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 w15:restartNumberingAfterBreak="0">
    <w:nsid w:val="2BAA4402"/>
    <w:multiLevelType w:val="multilevel"/>
    <w:tmpl w:val="9BC09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342298C"/>
    <w:multiLevelType w:val="multilevel"/>
    <w:tmpl w:val="531E0EEA"/>
    <w:lvl w:ilvl="0">
      <w:start w:val="1"/>
      <w:numFmt w:val="decimal"/>
      <w:lvlText w:val="%1."/>
      <w:lvlJc w:val="left"/>
      <w:pPr>
        <w:ind w:left="359"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3196"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317490"/>
    <w:multiLevelType w:val="hybridMultilevel"/>
    <w:tmpl w:val="9244E622"/>
    <w:lvl w:ilvl="0" w:tplc="92BE0B36">
      <w:start w:val="1"/>
      <w:numFmt w:val="decimal"/>
      <w:lvlText w:val="%1."/>
      <w:lvlJc w:val="left"/>
      <w:pPr>
        <w:ind w:left="502"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E5203E"/>
    <w:multiLevelType w:val="multilevel"/>
    <w:tmpl w:val="6136B0C8"/>
    <w:lvl w:ilvl="0">
      <w:start w:val="1"/>
      <w:numFmt w:val="decimal"/>
      <w:lvlText w:val="%1."/>
      <w:lvlJc w:val="left"/>
      <w:pPr>
        <w:ind w:left="644"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0003B1"/>
    <w:multiLevelType w:val="multilevel"/>
    <w:tmpl w:val="BDD644D0"/>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C1113DC"/>
    <w:multiLevelType w:val="multilevel"/>
    <w:tmpl w:val="1604F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D2F762D"/>
    <w:multiLevelType w:val="multilevel"/>
    <w:tmpl w:val="E2208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1BF050A"/>
    <w:multiLevelType w:val="hybridMultilevel"/>
    <w:tmpl w:val="01AEB1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78A4087"/>
    <w:multiLevelType w:val="hybridMultilevel"/>
    <w:tmpl w:val="F034AD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5E120B"/>
    <w:multiLevelType w:val="multilevel"/>
    <w:tmpl w:val="ECAE52B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56025585"/>
    <w:multiLevelType w:val="hybridMultilevel"/>
    <w:tmpl w:val="4BF66AB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4" w15:restartNumberingAfterBreak="0">
    <w:nsid w:val="57F944BD"/>
    <w:multiLevelType w:val="hybridMultilevel"/>
    <w:tmpl w:val="FCCEF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DFB1F20"/>
    <w:multiLevelType w:val="multilevel"/>
    <w:tmpl w:val="A8568B9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7D77A4"/>
    <w:multiLevelType w:val="multilevel"/>
    <w:tmpl w:val="34064B5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F06465"/>
    <w:multiLevelType w:val="hybridMultilevel"/>
    <w:tmpl w:val="7A4AF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DF1054A"/>
    <w:multiLevelType w:val="hybridMultilevel"/>
    <w:tmpl w:val="5410774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7A63779C"/>
    <w:multiLevelType w:val="hybridMultilevel"/>
    <w:tmpl w:val="D7BA9082"/>
    <w:lvl w:ilvl="0" w:tplc="734CB2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
  </w:num>
  <w:num w:numId="3">
    <w:abstractNumId w:val="7"/>
  </w:num>
  <w:num w:numId="4">
    <w:abstractNumId w:val="4"/>
  </w:num>
  <w:num w:numId="5">
    <w:abstractNumId w:val="17"/>
  </w:num>
  <w:num w:numId="6">
    <w:abstractNumId w:val="25"/>
  </w:num>
  <w:num w:numId="7">
    <w:abstractNumId w:val="11"/>
  </w:num>
  <w:num w:numId="8">
    <w:abstractNumId w:val="9"/>
  </w:num>
  <w:num w:numId="9">
    <w:abstractNumId w:val="13"/>
  </w:num>
  <w:num w:numId="10">
    <w:abstractNumId w:val="18"/>
  </w:num>
  <w:num w:numId="11">
    <w:abstractNumId w:val="14"/>
  </w:num>
  <w:num w:numId="12">
    <w:abstractNumId w:val="2"/>
  </w:num>
  <w:num w:numId="13">
    <w:abstractNumId w:val="23"/>
  </w:num>
  <w:num w:numId="14">
    <w:abstractNumId w:val="8"/>
  </w:num>
  <w:num w:numId="15">
    <w:abstractNumId w:val="29"/>
  </w:num>
  <w:num w:numId="16">
    <w:abstractNumId w:val="0"/>
  </w:num>
  <w:num w:numId="17">
    <w:abstractNumId w:val="15"/>
  </w:num>
  <w:num w:numId="18">
    <w:abstractNumId w:val="21"/>
  </w:num>
  <w:num w:numId="19">
    <w:abstractNumId w:val="6"/>
  </w:num>
  <w:num w:numId="20">
    <w:abstractNumId w:val="28"/>
  </w:num>
  <w:num w:numId="21">
    <w:abstractNumId w:val="5"/>
  </w:num>
  <w:num w:numId="22">
    <w:abstractNumId w:val="16"/>
  </w:num>
  <w:num w:numId="23">
    <w:abstractNumId w:val="22"/>
  </w:num>
  <w:num w:numId="24">
    <w:abstractNumId w:val="19"/>
  </w:num>
  <w:num w:numId="25">
    <w:abstractNumId w:val="24"/>
  </w:num>
  <w:num w:numId="26">
    <w:abstractNumId w:val="27"/>
  </w:num>
  <w:num w:numId="27">
    <w:abstractNumId w:val="10"/>
  </w:num>
  <w:num w:numId="28">
    <w:abstractNumId w:val="3"/>
  </w:num>
  <w:num w:numId="29">
    <w:abstractNumId w:val="2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298"/>
    <w:rsid w:val="00023A56"/>
    <w:rsid w:val="00030C61"/>
    <w:rsid w:val="000545B3"/>
    <w:rsid w:val="00081A8D"/>
    <w:rsid w:val="000E6B22"/>
    <w:rsid w:val="00121074"/>
    <w:rsid w:val="001349E7"/>
    <w:rsid w:val="00136F9B"/>
    <w:rsid w:val="00171D0B"/>
    <w:rsid w:val="00187FE6"/>
    <w:rsid w:val="00194172"/>
    <w:rsid w:val="001A0ED2"/>
    <w:rsid w:val="001A5C0C"/>
    <w:rsid w:val="001C62C0"/>
    <w:rsid w:val="001E5BC1"/>
    <w:rsid w:val="00250EE2"/>
    <w:rsid w:val="00267298"/>
    <w:rsid w:val="002723D2"/>
    <w:rsid w:val="002837FF"/>
    <w:rsid w:val="002975CC"/>
    <w:rsid w:val="003020A0"/>
    <w:rsid w:val="00317296"/>
    <w:rsid w:val="003639FA"/>
    <w:rsid w:val="00383A02"/>
    <w:rsid w:val="003C387B"/>
    <w:rsid w:val="003C7DA5"/>
    <w:rsid w:val="00407B1F"/>
    <w:rsid w:val="00412579"/>
    <w:rsid w:val="004212E3"/>
    <w:rsid w:val="00465C45"/>
    <w:rsid w:val="00466224"/>
    <w:rsid w:val="004A3661"/>
    <w:rsid w:val="00515ACF"/>
    <w:rsid w:val="00545807"/>
    <w:rsid w:val="005550ED"/>
    <w:rsid w:val="00557C72"/>
    <w:rsid w:val="00564B54"/>
    <w:rsid w:val="00570A1D"/>
    <w:rsid w:val="005739BB"/>
    <w:rsid w:val="005B4998"/>
    <w:rsid w:val="005C38B7"/>
    <w:rsid w:val="005C45D6"/>
    <w:rsid w:val="0060220F"/>
    <w:rsid w:val="00633D2A"/>
    <w:rsid w:val="00694FBD"/>
    <w:rsid w:val="00696F5B"/>
    <w:rsid w:val="006A72E6"/>
    <w:rsid w:val="006B1B7E"/>
    <w:rsid w:val="006C673C"/>
    <w:rsid w:val="006D07BE"/>
    <w:rsid w:val="006E63E3"/>
    <w:rsid w:val="00703DF3"/>
    <w:rsid w:val="007132A0"/>
    <w:rsid w:val="007538F0"/>
    <w:rsid w:val="007924BF"/>
    <w:rsid w:val="007D405B"/>
    <w:rsid w:val="00804395"/>
    <w:rsid w:val="00845169"/>
    <w:rsid w:val="00852EC6"/>
    <w:rsid w:val="00857AFF"/>
    <w:rsid w:val="009205C1"/>
    <w:rsid w:val="0092673A"/>
    <w:rsid w:val="009359CE"/>
    <w:rsid w:val="00956E78"/>
    <w:rsid w:val="009E2606"/>
    <w:rsid w:val="00A125D2"/>
    <w:rsid w:val="00A156D6"/>
    <w:rsid w:val="00A3112E"/>
    <w:rsid w:val="00A46324"/>
    <w:rsid w:val="00A46C06"/>
    <w:rsid w:val="00A86093"/>
    <w:rsid w:val="00AA315D"/>
    <w:rsid w:val="00AA7DA2"/>
    <w:rsid w:val="00B3795E"/>
    <w:rsid w:val="00B85C6F"/>
    <w:rsid w:val="00BB5229"/>
    <w:rsid w:val="00BF0D7C"/>
    <w:rsid w:val="00C17E61"/>
    <w:rsid w:val="00C77382"/>
    <w:rsid w:val="00CF422C"/>
    <w:rsid w:val="00D514F3"/>
    <w:rsid w:val="00D72999"/>
    <w:rsid w:val="00DA701E"/>
    <w:rsid w:val="00DD3E47"/>
    <w:rsid w:val="00DF5381"/>
    <w:rsid w:val="00E0027D"/>
    <w:rsid w:val="00E02710"/>
    <w:rsid w:val="00E36860"/>
    <w:rsid w:val="00E5702E"/>
    <w:rsid w:val="00E63CEC"/>
    <w:rsid w:val="00EA6305"/>
    <w:rsid w:val="00EC6357"/>
    <w:rsid w:val="00ED4D9D"/>
    <w:rsid w:val="00EE484C"/>
    <w:rsid w:val="00F36372"/>
    <w:rsid w:val="00F63FE4"/>
    <w:rsid w:val="00F80375"/>
    <w:rsid w:val="00F909DE"/>
    <w:rsid w:val="00FC5FA0"/>
    <w:rsid w:val="00FC7CFC"/>
    <w:rsid w:val="00FF1E28"/>
    <w:rsid w:val="00FF7603"/>
    <w:rsid w:val="00FF7A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8DE33D"/>
  <w15:docId w15:val="{7DEDBFE5-197A-4C34-9EFE-F79175AC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15D"/>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1E6B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5101F"/>
    <w:pPr>
      <w:tabs>
        <w:tab w:val="center" w:pos="4419"/>
        <w:tab w:val="right" w:pos="8838"/>
      </w:tabs>
    </w:pPr>
  </w:style>
  <w:style w:type="character" w:customStyle="1" w:styleId="EncabezadoCar">
    <w:name w:val="Encabezado Car"/>
    <w:basedOn w:val="Fuentedeprrafopredeter"/>
    <w:link w:val="Encabezado"/>
    <w:uiPriority w:val="99"/>
    <w:rsid w:val="00E5101F"/>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E5101F"/>
    <w:pPr>
      <w:tabs>
        <w:tab w:val="center" w:pos="4419"/>
        <w:tab w:val="right" w:pos="8838"/>
      </w:tabs>
    </w:pPr>
  </w:style>
  <w:style w:type="character" w:customStyle="1" w:styleId="PiedepginaCar">
    <w:name w:val="Pie de página Car"/>
    <w:basedOn w:val="Fuentedeprrafopredeter"/>
    <w:link w:val="Piedepgina"/>
    <w:uiPriority w:val="99"/>
    <w:rsid w:val="00E5101F"/>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5101F"/>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5101F"/>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E5101F"/>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5101F"/>
    <w:rPr>
      <w:rFonts w:cs="Times New Roman"/>
      <w:vertAlign w:val="superscript"/>
    </w:rPr>
  </w:style>
  <w:style w:type="character" w:customStyle="1" w:styleId="TextonotapieCar">
    <w:name w:val="Texto nota pie Car"/>
    <w:aliases w:val="Footnote Text Char Char Char Char Char Car,Footnote Text Char Char Char Char Car,Ref. de nota al pie1 Car,FA Fu Car,Footnote Text Char Char Char Car,Footnote Text Cha Car,FA Fußnotentext Car,FA Fu?notentext Car,FA Fuﬂnotentext Car"/>
    <w:basedOn w:val="Fuentedeprrafopredeter"/>
    <w:link w:val="Textonotapie"/>
    <w:uiPriority w:val="99"/>
    <w:qFormat/>
    <w:locked/>
    <w:rsid w:val="00E5101F"/>
    <w:rPr>
      <w:rFonts w:cs="Times New Roman"/>
      <w:sz w:val="20"/>
      <w:szCs w:val="20"/>
    </w:rPr>
  </w:style>
  <w:style w:type="paragraph" w:styleId="Textonotapie">
    <w:name w:val="footnote text"/>
    <w:aliases w:val="Footnote Text Char Char Char Char Char,Footnote Text Char Char Char Char,Ref. de nota al pie1,FA Fu,Footnote Text Char Char Char,Footnote Text Cha,FA Fußnotentext,FA Fu?notentext,Footnote Text Char Char,FA Fuﬂnotentext,Ca,FA Fu?notente"/>
    <w:basedOn w:val="Normal"/>
    <w:link w:val="TextonotapieCar"/>
    <w:uiPriority w:val="99"/>
    <w:unhideWhenUsed/>
    <w:qFormat/>
    <w:rsid w:val="00E5101F"/>
    <w:rPr>
      <w:rFonts w:asciiTheme="minorHAnsi" w:eastAsiaTheme="minorHAnsi" w:hAnsiTheme="minorHAnsi"/>
      <w:sz w:val="20"/>
      <w:szCs w:val="20"/>
      <w:lang w:eastAsia="en-US"/>
    </w:rPr>
  </w:style>
  <w:style w:type="character" w:customStyle="1" w:styleId="TextonotapieCar1">
    <w:name w:val="Texto nota pie Car1"/>
    <w:basedOn w:val="Fuentedeprrafopredeter"/>
    <w:uiPriority w:val="99"/>
    <w:semiHidden/>
    <w:rsid w:val="00E5101F"/>
    <w:rPr>
      <w:rFonts w:ascii="Times New Roman" w:eastAsia="Times New Roman" w:hAnsi="Times New Roman" w:cs="Times New Roman"/>
      <w:sz w:val="20"/>
      <w:szCs w:val="20"/>
      <w:lang w:eastAsia="es-MX"/>
    </w:rPr>
  </w:style>
  <w:style w:type="paragraph" w:customStyle="1" w:styleId="Default">
    <w:name w:val="Default"/>
    <w:rsid w:val="00E5101F"/>
    <w:pPr>
      <w:autoSpaceDE w:val="0"/>
      <w:autoSpaceDN w:val="0"/>
      <w:adjustRightInd w:val="0"/>
    </w:pPr>
    <w:rPr>
      <w:rFonts w:ascii="Arial" w:hAnsi="Arial" w:cs="Arial"/>
      <w:color w:val="000000"/>
    </w:rPr>
  </w:style>
  <w:style w:type="character" w:customStyle="1" w:styleId="Ttulo2Car">
    <w:name w:val="Título 2 Car"/>
    <w:basedOn w:val="Fuentedeprrafopredeter"/>
    <w:link w:val="Ttulo2"/>
    <w:uiPriority w:val="9"/>
    <w:rsid w:val="001E6BCD"/>
    <w:rPr>
      <w:rFonts w:asciiTheme="majorHAnsi" w:eastAsiaTheme="majorEastAsia" w:hAnsiTheme="majorHAnsi" w:cstheme="majorBidi"/>
      <w:color w:val="2E74B5" w:themeColor="accent1" w:themeShade="BF"/>
      <w:sz w:val="26"/>
      <w:szCs w:val="26"/>
      <w:lang w:eastAsia="es-MX"/>
    </w:rPr>
  </w:style>
  <w:style w:type="paragraph" w:styleId="Sinespaciado">
    <w:name w:val="No Spacing"/>
    <w:aliases w:val="Francesa,INAI"/>
    <w:link w:val="SinespaciadoCar"/>
    <w:uiPriority w:val="1"/>
    <w:qFormat/>
    <w:rsid w:val="001E6BCD"/>
    <w:rPr>
      <w:lang w:eastAsia="es-ES"/>
    </w:rPr>
  </w:style>
  <w:style w:type="character" w:customStyle="1" w:styleId="SinespaciadoCar">
    <w:name w:val="Sin espaciado Car"/>
    <w:aliases w:val="Francesa Car,INAI Car"/>
    <w:link w:val="Sinespaciado"/>
    <w:uiPriority w:val="1"/>
    <w:locked/>
    <w:rsid w:val="001E6BCD"/>
    <w:rPr>
      <w:rFonts w:ascii="Times New Roman" w:eastAsia="Times New Roman" w:hAnsi="Times New Roman" w:cs="Times New Roman"/>
      <w:sz w:val="24"/>
      <w:szCs w:val="24"/>
      <w:lang w:eastAsia="es-ES"/>
    </w:rPr>
  </w:style>
  <w:style w:type="table" w:styleId="Tablaconcuadrcula">
    <w:name w:val="Table Grid"/>
    <w:basedOn w:val="Tablanormal"/>
    <w:uiPriority w:val="39"/>
    <w:rsid w:val="005D6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39"/>
    <w:rsid w:val="00FD40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1032C9"/>
    <w:pPr>
      <w:spacing w:before="240" w:after="160" w:line="360" w:lineRule="auto"/>
      <w:ind w:left="851" w:right="851"/>
      <w:jc w:val="both"/>
    </w:pPr>
    <w:rPr>
      <w:rFonts w:ascii="Palatino Linotype" w:hAnsi="Palatino Linotype" w:cs="Arial"/>
      <w:i/>
      <w:sz w:val="22"/>
      <w:szCs w:val="22"/>
      <w:lang w:eastAsia="en-US"/>
    </w:r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Tablanormal11">
    <w:name w:val="Tabla normal 11"/>
    <w:basedOn w:val="Tablanormal"/>
    <w:next w:val="Tablanormal1"/>
    <w:uiPriority w:val="41"/>
    <w:rsid w:val="00D0261A"/>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D0261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e">
    <w:basedOn w:val="TableNormal0"/>
    <w:rPr>
      <w:rFonts w:ascii="Calibri" w:eastAsia="Calibri" w:hAnsi="Calibri" w:cs="Calibri"/>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paragraph" w:customStyle="1" w:styleId="INFOEM">
    <w:name w:val="INFOEM"/>
    <w:basedOn w:val="Normal"/>
    <w:qFormat/>
    <w:rsid w:val="006A72E6"/>
    <w:pPr>
      <w:spacing w:before="240" w:after="160" w:line="360" w:lineRule="auto"/>
      <w:ind w:left="851" w:right="851"/>
      <w:jc w:val="both"/>
    </w:pPr>
    <w:rPr>
      <w:rFonts w:ascii="Palatino Linotype" w:eastAsiaTheme="minorHAnsi" w:hAnsi="Palatino Linotype" w:cstheme="minorBidi"/>
      <w:i/>
      <w:sz w:val="22"/>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f.gob.mx/nota_detalle.php?codigo=5382838&amp;fecha=20/02/201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datacharter.net/principles-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GVWnDzU9KIlOatoOByRlv04Y1A==">CgMxLjAyCGguZ2pkZ3hzMgloLjMwajB6bGwyCWguMWZvYjl0ZTIJaC4zem55c2g3MgloLjJldDkycDAyCGgudHlqY3d0MgloLjNkeTZ2a20yDmguYTh5ODR6cHVzYzY5MgloLjF0M2g1c2YyDmguYnViNHl2cTBpZjc0MgloLjRkMzRvZzgyCWguMTdkcDh2dTIJaC4zcmRjcmpuMghoLmxueGJ6OTgAciExS3RTQTFOdWFpU0xWWVYxVjBxaU1ySlVzQ0w1QVZPVFQ=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46</Pages>
  <Words>9486</Words>
  <Characters>52177</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7</cp:revision>
  <cp:lastPrinted>2024-12-05T21:19:00Z</cp:lastPrinted>
  <dcterms:created xsi:type="dcterms:W3CDTF">2024-12-02T19:59:00Z</dcterms:created>
  <dcterms:modified xsi:type="dcterms:W3CDTF">2025-01-21T18:39:00Z</dcterms:modified>
</cp:coreProperties>
</file>