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51" w:rsidRDefault="009044BD">
      <w:pPr>
        <w:spacing w:before="240" w:after="240" w:line="360" w:lineRule="auto"/>
        <w:ind w:right="-73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diecinueve (19) de septiembre de dos mil veinticuatro.</w:t>
      </w:r>
    </w:p>
    <w:p w:rsidR="00CB4B51" w:rsidRDefault="009044BD">
      <w:pPr>
        <w:pBdr>
          <w:top w:val="nil"/>
          <w:left w:val="nil"/>
          <w:bottom w:val="nil"/>
          <w:right w:val="nil"/>
          <w:between w:val="nil"/>
        </w:pBdr>
        <w:tabs>
          <w:tab w:val="center" w:pos="4419"/>
          <w:tab w:val="right" w:pos="8838"/>
        </w:tabs>
        <w:spacing w:line="360" w:lineRule="auto"/>
        <w:ind w:right="-73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03688/INFOEM/IP/RR/2024, </w:t>
      </w:r>
      <w:r>
        <w:rPr>
          <w:rFonts w:ascii="Palatino Linotype" w:eastAsia="Palatino Linotype" w:hAnsi="Palatino Linotype" w:cs="Palatino Linotype"/>
          <w:color w:val="000000"/>
          <w:sz w:val="24"/>
          <w:szCs w:val="24"/>
        </w:rPr>
        <w:t xml:space="preserve">promovido por </w:t>
      </w:r>
      <w:r>
        <w:rPr>
          <w:rFonts w:ascii="Palatino Linotype" w:eastAsia="Palatino Linotype" w:hAnsi="Palatino Linotype" w:cs="Palatino Linotype"/>
          <w:b/>
          <w:sz w:val="24"/>
          <w:szCs w:val="24"/>
        </w:rPr>
        <w:t>un usuario que no registró nombre alguno</w:t>
      </w:r>
      <w:r>
        <w:rPr>
          <w:rFonts w:ascii="Palatino Linotype" w:eastAsia="Palatino Linotype" w:hAnsi="Palatino Linotype" w:cs="Palatino Linotype"/>
          <w:color w:val="000000"/>
          <w:sz w:val="24"/>
          <w:szCs w:val="24"/>
        </w:rPr>
        <w:t>, a quien en lo su</w:t>
      </w:r>
      <w:r>
        <w:rPr>
          <w:rFonts w:ascii="Palatino Linotype" w:eastAsia="Palatino Linotype" w:hAnsi="Palatino Linotype" w:cs="Palatino Linotype"/>
          <w:sz w:val="24"/>
          <w:szCs w:val="24"/>
        </w:rPr>
        <w:t xml:space="preserve">cesivo denominaremos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respuesta del </w:t>
      </w:r>
      <w:r>
        <w:rPr>
          <w:rFonts w:ascii="Palatino Linotype" w:eastAsia="Palatino Linotype" w:hAnsi="Palatino Linotype" w:cs="Palatino Linotype"/>
          <w:b/>
          <w:color w:val="000000"/>
          <w:sz w:val="24"/>
          <w:szCs w:val="24"/>
        </w:rPr>
        <w:t xml:space="preserve">Ayuntamiento de Ecatepec de Morelos, </w:t>
      </w:r>
      <w:r>
        <w:rPr>
          <w:rFonts w:ascii="Palatino Linotype" w:eastAsia="Palatino Linotype" w:hAnsi="Palatino Linotype" w:cs="Palatino Linotype"/>
          <w:color w:val="000000"/>
          <w:sz w:val="24"/>
          <w:szCs w:val="24"/>
        </w:rPr>
        <w:t xml:space="preserve">en </w:t>
      </w:r>
      <w:r>
        <w:rPr>
          <w:rFonts w:ascii="Palatino Linotype" w:eastAsia="Palatino Linotype" w:hAnsi="Palatino Linotype" w:cs="Palatino Linotype"/>
          <w:sz w:val="24"/>
          <w:szCs w:val="24"/>
        </w:rPr>
        <w:t>adelante</w:t>
      </w:r>
      <w:r>
        <w:rPr>
          <w:rFonts w:ascii="Palatino Linotype" w:eastAsia="Palatino Linotype" w:hAnsi="Palatino Linotype" w:cs="Palatino Linotype"/>
          <w:color w:val="000000"/>
          <w:sz w:val="24"/>
          <w:szCs w:val="24"/>
        </w:rPr>
        <w:t xml:space="preserve">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rsidR="00CB4B51" w:rsidRDefault="00CB4B51">
      <w:pPr>
        <w:pBdr>
          <w:top w:val="nil"/>
          <w:left w:val="nil"/>
          <w:bottom w:val="nil"/>
          <w:right w:val="nil"/>
          <w:between w:val="nil"/>
        </w:pBdr>
        <w:tabs>
          <w:tab w:val="center" w:pos="4419"/>
          <w:tab w:val="right" w:pos="8838"/>
        </w:tabs>
        <w:spacing w:line="360" w:lineRule="auto"/>
        <w:ind w:right="-734"/>
        <w:jc w:val="both"/>
        <w:rPr>
          <w:rFonts w:ascii="Palatino Linotype" w:eastAsia="Palatino Linotype" w:hAnsi="Palatino Linotype" w:cs="Palatino Linotype"/>
          <w:sz w:val="24"/>
          <w:szCs w:val="24"/>
        </w:rPr>
      </w:pPr>
    </w:p>
    <w:p w:rsidR="00CB4B51" w:rsidRDefault="009044BD">
      <w:pPr>
        <w:pStyle w:val="Ttulo1"/>
        <w:ind w:right="-734"/>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rsidR="00CB4B51" w:rsidRDefault="00CB4B51">
      <w:pPr>
        <w:ind w:right="-734"/>
        <w:rPr>
          <w:rFonts w:ascii="Palatino Linotype" w:eastAsia="Palatino Linotype" w:hAnsi="Palatino Linotype" w:cs="Palatino Linotype"/>
          <w:sz w:val="24"/>
          <w:szCs w:val="24"/>
        </w:rPr>
      </w:pPr>
    </w:p>
    <w:p w:rsidR="00CB4B51" w:rsidRPr="00DF16A3"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treinta de mayo de dos mil veinticuatro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 xml:space="preserve">00577/ECATEPEC/IP/2024, </w:t>
      </w:r>
      <w:r w:rsidR="00DF16A3">
        <w:rPr>
          <w:rFonts w:ascii="Palatino Linotype" w:eastAsia="Palatino Linotype" w:hAnsi="Palatino Linotype" w:cs="Palatino Linotype"/>
          <w:sz w:val="24"/>
          <w:szCs w:val="24"/>
        </w:rPr>
        <w:t xml:space="preserve">en la que </w:t>
      </w:r>
      <w:r>
        <w:rPr>
          <w:rFonts w:ascii="Palatino Linotype" w:eastAsia="Palatino Linotype" w:hAnsi="Palatino Linotype" w:cs="Palatino Linotype"/>
          <w:color w:val="000000"/>
          <w:sz w:val="24"/>
          <w:szCs w:val="24"/>
        </w:rPr>
        <w:t>solicitó lo siguiente:</w:t>
      </w:r>
    </w:p>
    <w:p w:rsidR="00DF16A3" w:rsidRDefault="00DF16A3" w:rsidP="00DF16A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B4B51" w:rsidRDefault="009044BD">
      <w:pPr>
        <w:pBdr>
          <w:top w:val="nil"/>
          <w:left w:val="nil"/>
          <w:bottom w:val="nil"/>
          <w:right w:val="nil"/>
          <w:between w:val="nil"/>
        </w:pBdr>
        <w:spacing w:line="360" w:lineRule="auto"/>
        <w:ind w:left="567" w:right="25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“En relación con la Comisión Municipal para el Bienestar y la Incorporación al Desarrollo de las Personas con Discapacidad, prevista en el Bando Municipal del Ayuntamiento de Ecatepec de Morelos 2024, solicito la siguiente información del periodo del 1 enero al 31 de diciembre de 2024: 1.- Fundamento legal 2.- Reglamento, reglas de organización y funcionamiento o similar 3.- Nombre del área responsable 4.- Nombre de la persona servidora pública titular del área responsable 5.- Datos de </w:t>
      </w:r>
      <w:r>
        <w:rPr>
          <w:rFonts w:ascii="Palatino Linotype" w:eastAsia="Palatino Linotype" w:hAnsi="Palatino Linotype" w:cs="Palatino Linotype"/>
          <w:i/>
          <w:color w:val="000000"/>
          <w:sz w:val="24"/>
          <w:szCs w:val="24"/>
        </w:rPr>
        <w:lastRenderedPageBreak/>
        <w:t>contacto (teléfono, correo electrónico, dirección de oficina) de la persona servidora pública titular del área responsable”</w:t>
      </w:r>
    </w:p>
    <w:p w:rsidR="00CB4B51" w:rsidRDefault="009044BD">
      <w:pPr>
        <w:numPr>
          <w:ilvl w:val="0"/>
          <w:numId w:val="4"/>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Señaló como modalidad de entrega de la información a través de SAIMEX</w:t>
      </w:r>
      <w:r>
        <w:rPr>
          <w:rFonts w:ascii="Palatino Linotype" w:eastAsia="Palatino Linotype" w:hAnsi="Palatino Linotype" w:cs="Palatino Linotype"/>
          <w:b/>
          <w:color w:val="000000"/>
          <w:sz w:val="24"/>
          <w:szCs w:val="24"/>
        </w:rPr>
        <w:t>.</w:t>
      </w:r>
    </w:p>
    <w:p w:rsidR="00CB4B51" w:rsidRDefault="00CB4B51">
      <w:pPr>
        <w:pBdr>
          <w:top w:val="nil"/>
          <w:left w:val="nil"/>
          <w:bottom w:val="nil"/>
          <w:right w:val="nil"/>
          <w:between w:val="nil"/>
        </w:pBdr>
        <w:ind w:left="720" w:right="257"/>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siete de junio de dos mil veinticuatro</w:t>
      </w:r>
      <w:r>
        <w:rPr>
          <w:rFonts w:ascii="Palatino Linotype" w:eastAsia="Palatino Linotype" w:hAnsi="Palatino Linotype" w:cs="Palatino Linotype"/>
          <w:color w:val="000000"/>
          <w:sz w:val="24"/>
          <w:szCs w:val="24"/>
        </w:rPr>
        <w:t>, el Sujeto Obligado dio respuesta a la solicitud, en los siguientes términos:</w:t>
      </w:r>
    </w:p>
    <w:p w:rsidR="00CB4B51" w:rsidRPr="00DF16A3" w:rsidRDefault="009044BD">
      <w:pPr>
        <w:pBdr>
          <w:top w:val="nil"/>
          <w:left w:val="nil"/>
          <w:bottom w:val="nil"/>
          <w:right w:val="nil"/>
          <w:between w:val="nil"/>
        </w:pBdr>
        <w:ind w:left="720" w:right="115"/>
        <w:jc w:val="both"/>
        <w:rPr>
          <w:rFonts w:ascii="Palatino Linotype" w:eastAsia="Palatino Linotype" w:hAnsi="Palatino Linotype" w:cs="Palatino Linotype"/>
          <w:i/>
          <w:color w:val="000000"/>
          <w:sz w:val="22"/>
          <w:szCs w:val="24"/>
        </w:rPr>
      </w:pPr>
      <w:r w:rsidRPr="00DF16A3">
        <w:rPr>
          <w:rFonts w:ascii="Palatino Linotype" w:eastAsia="Palatino Linotype" w:hAnsi="Palatino Linotype" w:cs="Palatino Linotype"/>
          <w:i/>
          <w:color w:val="000000"/>
          <w:sz w:val="22"/>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CB4B51" w:rsidRPr="00DF16A3" w:rsidRDefault="00CB4B51">
      <w:pPr>
        <w:pBdr>
          <w:top w:val="nil"/>
          <w:left w:val="nil"/>
          <w:bottom w:val="nil"/>
          <w:right w:val="nil"/>
          <w:between w:val="nil"/>
        </w:pBdr>
        <w:ind w:left="720" w:right="115"/>
        <w:jc w:val="both"/>
        <w:rPr>
          <w:rFonts w:ascii="Palatino Linotype" w:eastAsia="Palatino Linotype" w:hAnsi="Palatino Linotype" w:cs="Palatino Linotype"/>
          <w:i/>
          <w:color w:val="000000"/>
          <w:sz w:val="22"/>
          <w:szCs w:val="24"/>
        </w:rPr>
      </w:pPr>
    </w:p>
    <w:p w:rsidR="00CB4B51" w:rsidRPr="00DF16A3" w:rsidRDefault="009044BD">
      <w:pPr>
        <w:pBdr>
          <w:top w:val="nil"/>
          <w:left w:val="nil"/>
          <w:bottom w:val="nil"/>
          <w:right w:val="nil"/>
          <w:between w:val="nil"/>
        </w:pBdr>
        <w:ind w:left="720" w:right="115"/>
        <w:jc w:val="both"/>
        <w:rPr>
          <w:rFonts w:ascii="Palatino Linotype" w:eastAsia="Palatino Linotype" w:hAnsi="Palatino Linotype" w:cs="Palatino Linotype"/>
          <w:i/>
          <w:color w:val="000000"/>
          <w:sz w:val="22"/>
          <w:szCs w:val="24"/>
        </w:rPr>
      </w:pPr>
      <w:r w:rsidRPr="00DF16A3">
        <w:rPr>
          <w:rFonts w:ascii="Palatino Linotype" w:eastAsia="Palatino Linotype" w:hAnsi="Palatino Linotype" w:cs="Palatino Linotype"/>
          <w:i/>
          <w:color w:val="000000"/>
          <w:sz w:val="22"/>
          <w:szCs w:val="24"/>
        </w:rPr>
        <w:t>El H. Ayuntamiento Constitucional de Ecatepec de Morelos hace de su conocimiento la respuesta emitida por, Secretaría del H. Ayuntamiento, la cual se anexa al presente en formato PDF.</w:t>
      </w:r>
    </w:p>
    <w:p w:rsidR="00CB4B51" w:rsidRPr="00DF16A3" w:rsidRDefault="00CB4B51">
      <w:pPr>
        <w:pBdr>
          <w:top w:val="nil"/>
          <w:left w:val="nil"/>
          <w:bottom w:val="nil"/>
          <w:right w:val="nil"/>
          <w:between w:val="nil"/>
        </w:pBdr>
        <w:ind w:left="720" w:right="115"/>
        <w:jc w:val="both"/>
        <w:rPr>
          <w:rFonts w:ascii="Palatino Linotype" w:eastAsia="Palatino Linotype" w:hAnsi="Palatino Linotype" w:cs="Palatino Linotype"/>
          <w:i/>
          <w:color w:val="000000"/>
          <w:sz w:val="22"/>
          <w:szCs w:val="24"/>
        </w:rPr>
      </w:pPr>
    </w:p>
    <w:p w:rsidR="00CB4B51" w:rsidRPr="00DF16A3" w:rsidRDefault="009044BD">
      <w:pPr>
        <w:pBdr>
          <w:top w:val="nil"/>
          <w:left w:val="nil"/>
          <w:bottom w:val="nil"/>
          <w:right w:val="nil"/>
          <w:between w:val="nil"/>
        </w:pBdr>
        <w:ind w:left="720" w:right="115"/>
        <w:jc w:val="both"/>
        <w:rPr>
          <w:rFonts w:ascii="Palatino Linotype" w:eastAsia="Palatino Linotype" w:hAnsi="Palatino Linotype" w:cs="Palatino Linotype"/>
          <w:i/>
          <w:color w:val="000000"/>
          <w:sz w:val="22"/>
          <w:szCs w:val="24"/>
        </w:rPr>
      </w:pPr>
      <w:r w:rsidRPr="00DF16A3">
        <w:rPr>
          <w:rFonts w:ascii="Palatino Linotype" w:eastAsia="Palatino Linotype" w:hAnsi="Palatino Linotype" w:cs="Palatino Linotype"/>
          <w:i/>
          <w:color w:val="000000"/>
          <w:sz w:val="22"/>
          <w:szCs w:val="24"/>
        </w:rPr>
        <w:t>ATENTAMENTE</w:t>
      </w:r>
    </w:p>
    <w:p w:rsidR="00CB4B51" w:rsidRPr="00DF16A3" w:rsidRDefault="009044BD">
      <w:pPr>
        <w:pBdr>
          <w:top w:val="nil"/>
          <w:left w:val="nil"/>
          <w:bottom w:val="nil"/>
          <w:right w:val="nil"/>
          <w:between w:val="nil"/>
        </w:pBdr>
        <w:ind w:left="720" w:right="115"/>
        <w:jc w:val="both"/>
        <w:rPr>
          <w:rFonts w:ascii="Palatino Linotype" w:eastAsia="Palatino Linotype" w:hAnsi="Palatino Linotype" w:cs="Palatino Linotype"/>
          <w:i/>
          <w:color w:val="000000"/>
          <w:sz w:val="22"/>
          <w:szCs w:val="24"/>
        </w:rPr>
      </w:pPr>
      <w:r w:rsidRPr="00DF16A3">
        <w:rPr>
          <w:rFonts w:ascii="Palatino Linotype" w:eastAsia="Palatino Linotype" w:hAnsi="Palatino Linotype" w:cs="Palatino Linotype"/>
          <w:i/>
          <w:color w:val="000000"/>
          <w:sz w:val="22"/>
          <w:szCs w:val="24"/>
        </w:rPr>
        <w:t>C. Lizbeth Patricia Morales Tapia</w:t>
      </w:r>
    </w:p>
    <w:p w:rsidR="00CB4B51" w:rsidRPr="00DF16A3" w:rsidRDefault="00CB4B51">
      <w:pPr>
        <w:pBdr>
          <w:top w:val="nil"/>
          <w:left w:val="nil"/>
          <w:bottom w:val="nil"/>
          <w:right w:val="nil"/>
          <w:between w:val="nil"/>
        </w:pBdr>
        <w:spacing w:line="360" w:lineRule="auto"/>
        <w:ind w:left="720" w:right="115"/>
        <w:jc w:val="both"/>
        <w:rPr>
          <w:rFonts w:ascii="Palatino Linotype" w:eastAsia="Palatino Linotype" w:hAnsi="Palatino Linotype" w:cs="Palatino Linotype"/>
          <w:color w:val="000000"/>
          <w:sz w:val="22"/>
          <w:szCs w:val="24"/>
        </w:rPr>
      </w:pPr>
    </w:p>
    <w:p w:rsidR="00CB4B51" w:rsidRPr="00DF16A3" w:rsidRDefault="009044BD">
      <w:pPr>
        <w:numPr>
          <w:ilvl w:val="0"/>
          <w:numId w:val="1"/>
        </w:numPr>
        <w:pBdr>
          <w:top w:val="nil"/>
          <w:left w:val="nil"/>
          <w:bottom w:val="nil"/>
          <w:right w:val="nil"/>
          <w:between w:val="nil"/>
        </w:pBdr>
        <w:spacing w:line="360" w:lineRule="auto"/>
        <w:ind w:left="567" w:right="115"/>
        <w:jc w:val="both"/>
        <w:rPr>
          <w:rFonts w:ascii="Palatino Linotype" w:eastAsia="Palatino Linotype" w:hAnsi="Palatino Linotype" w:cs="Palatino Linotype"/>
          <w:color w:val="000000"/>
          <w:sz w:val="22"/>
          <w:szCs w:val="24"/>
        </w:rPr>
      </w:pPr>
      <w:r w:rsidRPr="00DF16A3">
        <w:rPr>
          <w:rFonts w:ascii="Palatino Linotype" w:eastAsia="Palatino Linotype" w:hAnsi="Palatino Linotype" w:cs="Palatino Linotype"/>
          <w:color w:val="000000"/>
          <w:sz w:val="22"/>
          <w:szCs w:val="24"/>
        </w:rPr>
        <w:t xml:space="preserve">El </w:t>
      </w:r>
      <w:r w:rsidRPr="00DF16A3">
        <w:rPr>
          <w:rFonts w:ascii="Palatino Linotype" w:eastAsia="Palatino Linotype" w:hAnsi="Palatino Linotype" w:cs="Palatino Linotype"/>
          <w:b/>
          <w:color w:val="000000"/>
          <w:sz w:val="22"/>
          <w:szCs w:val="24"/>
        </w:rPr>
        <w:t>SUJETO OBLIGADO</w:t>
      </w:r>
      <w:r w:rsidRPr="00DF16A3">
        <w:rPr>
          <w:rFonts w:ascii="Palatino Linotype" w:eastAsia="Palatino Linotype" w:hAnsi="Palatino Linotype" w:cs="Palatino Linotype"/>
          <w:color w:val="000000"/>
          <w:sz w:val="22"/>
          <w:szCs w:val="24"/>
        </w:rPr>
        <w:t xml:space="preserve"> adjuntó los siguientes documentos electrónicos:</w:t>
      </w:r>
    </w:p>
    <w:p w:rsidR="00CB4B51" w:rsidRPr="00DF16A3" w:rsidRDefault="009044BD">
      <w:pPr>
        <w:numPr>
          <w:ilvl w:val="0"/>
          <w:numId w:val="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4"/>
        </w:rPr>
      </w:pPr>
      <w:r w:rsidRPr="00DF16A3">
        <w:rPr>
          <w:rFonts w:ascii="Palatino Linotype" w:eastAsia="Palatino Linotype" w:hAnsi="Palatino Linotype" w:cs="Palatino Linotype"/>
          <w:b/>
          <w:color w:val="000000"/>
          <w:sz w:val="22"/>
          <w:szCs w:val="24"/>
        </w:rPr>
        <w:t>bando municipal 24.pdf</w:t>
      </w:r>
    </w:p>
    <w:p w:rsidR="00CB4B51" w:rsidRPr="00DF16A3" w:rsidRDefault="009044BD">
      <w:p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4"/>
        </w:rPr>
      </w:pPr>
      <w:r w:rsidRPr="00DF16A3">
        <w:rPr>
          <w:rFonts w:ascii="Palatino Linotype" w:eastAsia="Palatino Linotype" w:hAnsi="Palatino Linotype" w:cs="Palatino Linotype"/>
          <w:color w:val="000000"/>
          <w:sz w:val="22"/>
          <w:szCs w:val="24"/>
        </w:rPr>
        <w:t>Gaceta Municipal por la que se aprueba el Bando Municipal 2024</w:t>
      </w:r>
    </w:p>
    <w:p w:rsidR="00CB4B51" w:rsidRPr="00DF16A3" w:rsidRDefault="009044BD">
      <w:pPr>
        <w:numPr>
          <w:ilvl w:val="0"/>
          <w:numId w:val="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4"/>
        </w:rPr>
      </w:pPr>
      <w:r w:rsidRPr="00DF16A3">
        <w:rPr>
          <w:rFonts w:ascii="Palatino Linotype" w:eastAsia="Palatino Linotype" w:hAnsi="Palatino Linotype" w:cs="Palatino Linotype"/>
          <w:b/>
          <w:color w:val="000000"/>
          <w:sz w:val="22"/>
          <w:szCs w:val="24"/>
        </w:rPr>
        <w:t>00577-2024.pdf</w:t>
      </w:r>
    </w:p>
    <w:p w:rsidR="00CB4B51" w:rsidRPr="00DF16A3" w:rsidRDefault="009044BD">
      <w:p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4"/>
        </w:rPr>
      </w:pPr>
      <w:r w:rsidRPr="00DF16A3">
        <w:rPr>
          <w:rFonts w:ascii="Palatino Linotype" w:eastAsia="Palatino Linotype" w:hAnsi="Palatino Linotype" w:cs="Palatino Linotype"/>
          <w:color w:val="000000"/>
          <w:sz w:val="22"/>
          <w:szCs w:val="24"/>
        </w:rPr>
        <w:t xml:space="preserve">Escrito de 07 de junio de 2024, firmado por la Titular de la Unidad de Transparencia, por medio del cual informa que remite la respuesta proporcionada por la Secretaria del H. Ayuntamiento, la cual se anexa en formato pdf. </w:t>
      </w:r>
    </w:p>
    <w:p w:rsidR="00CB4B51" w:rsidRPr="00DF16A3" w:rsidRDefault="009044BD">
      <w:pPr>
        <w:pBdr>
          <w:top w:val="nil"/>
          <w:left w:val="nil"/>
          <w:bottom w:val="nil"/>
          <w:right w:val="nil"/>
          <w:between w:val="nil"/>
        </w:pBdr>
        <w:spacing w:line="360" w:lineRule="auto"/>
        <w:ind w:right="115"/>
        <w:jc w:val="both"/>
        <w:rPr>
          <w:rFonts w:ascii="Palatino Linotype" w:eastAsia="Palatino Linotype" w:hAnsi="Palatino Linotype" w:cs="Palatino Linotype"/>
          <w:i/>
          <w:color w:val="000000"/>
          <w:sz w:val="22"/>
          <w:szCs w:val="24"/>
        </w:rPr>
      </w:pPr>
      <w:r w:rsidRPr="00DF16A3">
        <w:rPr>
          <w:rFonts w:ascii="Palatino Linotype" w:eastAsia="Palatino Linotype" w:hAnsi="Palatino Linotype" w:cs="Palatino Linotype"/>
          <w:color w:val="000000"/>
          <w:sz w:val="22"/>
          <w:szCs w:val="24"/>
        </w:rPr>
        <w:t xml:space="preserve">Escrito de 04 de junio de 2024, firmado por la Secretaria del H. Ayuntamiento quien </w:t>
      </w:r>
      <w:r w:rsidRPr="00DF16A3">
        <w:rPr>
          <w:rFonts w:ascii="Palatino Linotype" w:eastAsia="Palatino Linotype" w:hAnsi="Palatino Linotype" w:cs="Palatino Linotype"/>
          <w:sz w:val="22"/>
          <w:szCs w:val="24"/>
        </w:rPr>
        <w:t>informó</w:t>
      </w:r>
      <w:r w:rsidRPr="00DF16A3">
        <w:rPr>
          <w:rFonts w:ascii="Palatino Linotype" w:eastAsia="Palatino Linotype" w:hAnsi="Palatino Linotype" w:cs="Palatino Linotype"/>
          <w:color w:val="000000"/>
          <w:sz w:val="22"/>
          <w:szCs w:val="24"/>
        </w:rPr>
        <w:t xml:space="preserve"> que “</w:t>
      </w:r>
      <w:r w:rsidRPr="00DF16A3">
        <w:rPr>
          <w:rFonts w:ascii="Palatino Linotype" w:eastAsia="Palatino Linotype" w:hAnsi="Palatino Linotype" w:cs="Palatino Linotype"/>
          <w:i/>
          <w:color w:val="000000"/>
          <w:sz w:val="22"/>
          <w:szCs w:val="24"/>
        </w:rPr>
        <w:t>se realizó una búsqueda minuciosa, exhaustiva y razonable en los archivos de la secretaria del H. Ayuntamiento a mi cargo, encontrándose dentro del periodo solicitado, el siguiente acuerdo de cabildo:</w:t>
      </w:r>
    </w:p>
    <w:p w:rsidR="00CB4B51" w:rsidRPr="00DF16A3" w:rsidRDefault="00CB4B51">
      <w:pPr>
        <w:pBdr>
          <w:top w:val="nil"/>
          <w:left w:val="nil"/>
          <w:bottom w:val="nil"/>
          <w:right w:val="nil"/>
          <w:between w:val="nil"/>
        </w:pBdr>
        <w:spacing w:line="360" w:lineRule="auto"/>
        <w:ind w:right="115"/>
        <w:jc w:val="both"/>
        <w:rPr>
          <w:rFonts w:ascii="Palatino Linotype" w:eastAsia="Palatino Linotype" w:hAnsi="Palatino Linotype" w:cs="Palatino Linotype"/>
          <w:i/>
          <w:color w:val="000000"/>
          <w:sz w:val="22"/>
          <w:szCs w:val="24"/>
        </w:rPr>
      </w:pPr>
    </w:p>
    <w:p w:rsidR="00CB4B51" w:rsidRPr="00DF16A3" w:rsidRDefault="009044BD">
      <w:pPr>
        <w:pBdr>
          <w:top w:val="nil"/>
          <w:left w:val="nil"/>
          <w:bottom w:val="nil"/>
          <w:right w:val="nil"/>
          <w:between w:val="nil"/>
        </w:pBdr>
        <w:spacing w:line="360" w:lineRule="auto"/>
        <w:ind w:right="115"/>
        <w:jc w:val="center"/>
        <w:rPr>
          <w:rFonts w:ascii="Palatino Linotype" w:eastAsia="Palatino Linotype" w:hAnsi="Palatino Linotype" w:cs="Palatino Linotype"/>
          <w:i/>
          <w:color w:val="000000"/>
          <w:sz w:val="22"/>
          <w:szCs w:val="24"/>
        </w:rPr>
      </w:pPr>
      <w:r w:rsidRPr="00DF16A3">
        <w:rPr>
          <w:rFonts w:ascii="Palatino Linotype" w:eastAsia="Palatino Linotype" w:hAnsi="Palatino Linotype" w:cs="Palatino Linotype"/>
          <w:i/>
          <w:noProof/>
          <w:color w:val="000000"/>
          <w:sz w:val="22"/>
          <w:szCs w:val="24"/>
          <w:lang w:eastAsia="es-MX"/>
        </w:rPr>
        <w:lastRenderedPageBreak/>
        <w:drawing>
          <wp:inline distT="0" distB="0" distL="0" distR="0">
            <wp:extent cx="4910202" cy="468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10202" cy="468000"/>
                    </a:xfrm>
                    <a:prstGeom prst="rect">
                      <a:avLst/>
                    </a:prstGeom>
                    <a:ln/>
                  </pic:spPr>
                </pic:pic>
              </a:graphicData>
            </a:graphic>
          </wp:inline>
        </w:drawing>
      </w:r>
    </w:p>
    <w:p w:rsidR="00CB4B51" w:rsidRPr="00DF16A3" w:rsidRDefault="00CB4B51">
      <w:pPr>
        <w:pBdr>
          <w:top w:val="nil"/>
          <w:left w:val="nil"/>
          <w:bottom w:val="nil"/>
          <w:right w:val="nil"/>
          <w:between w:val="nil"/>
        </w:pBdr>
        <w:spacing w:line="360" w:lineRule="auto"/>
        <w:ind w:right="115"/>
        <w:jc w:val="center"/>
        <w:rPr>
          <w:rFonts w:ascii="Palatino Linotype" w:eastAsia="Palatino Linotype" w:hAnsi="Palatino Linotype" w:cs="Palatino Linotype"/>
          <w:i/>
          <w:color w:val="000000"/>
          <w:sz w:val="22"/>
          <w:szCs w:val="24"/>
        </w:rPr>
      </w:pPr>
    </w:p>
    <w:p w:rsidR="00CB4B51" w:rsidRPr="00DF16A3" w:rsidRDefault="009044BD">
      <w:pPr>
        <w:pBdr>
          <w:top w:val="nil"/>
          <w:left w:val="nil"/>
          <w:bottom w:val="nil"/>
          <w:right w:val="nil"/>
          <w:between w:val="nil"/>
        </w:pBdr>
        <w:spacing w:line="360" w:lineRule="auto"/>
        <w:ind w:right="115"/>
        <w:jc w:val="both"/>
        <w:rPr>
          <w:rFonts w:ascii="Palatino Linotype" w:eastAsia="Palatino Linotype" w:hAnsi="Palatino Linotype" w:cs="Palatino Linotype"/>
          <w:i/>
          <w:color w:val="000000"/>
          <w:sz w:val="22"/>
          <w:szCs w:val="24"/>
        </w:rPr>
      </w:pPr>
      <w:r w:rsidRPr="00DF16A3">
        <w:rPr>
          <w:rFonts w:ascii="Palatino Linotype" w:eastAsia="Palatino Linotype" w:hAnsi="Palatino Linotype" w:cs="Palatino Linotype"/>
          <w:color w:val="000000"/>
          <w:sz w:val="22"/>
          <w:szCs w:val="24"/>
        </w:rPr>
        <w:t xml:space="preserve">Asimismo, </w:t>
      </w:r>
      <w:r w:rsidRPr="00DF16A3">
        <w:rPr>
          <w:rFonts w:ascii="Palatino Linotype" w:eastAsia="Palatino Linotype" w:hAnsi="Palatino Linotype" w:cs="Palatino Linotype"/>
          <w:sz w:val="22"/>
          <w:szCs w:val="24"/>
        </w:rPr>
        <w:t>informó</w:t>
      </w:r>
      <w:r w:rsidRPr="00DF16A3">
        <w:rPr>
          <w:rFonts w:ascii="Palatino Linotype" w:eastAsia="Palatino Linotype" w:hAnsi="Palatino Linotype" w:cs="Palatino Linotype"/>
          <w:color w:val="000000"/>
          <w:sz w:val="22"/>
          <w:szCs w:val="24"/>
        </w:rPr>
        <w:t xml:space="preserve"> que en el periodo del 1 </w:t>
      </w:r>
      <w:r w:rsidRPr="00DF16A3">
        <w:rPr>
          <w:rFonts w:ascii="Palatino Linotype" w:eastAsia="Palatino Linotype" w:hAnsi="Palatino Linotype" w:cs="Palatino Linotype"/>
          <w:sz w:val="22"/>
          <w:szCs w:val="24"/>
        </w:rPr>
        <w:t>de enero</w:t>
      </w:r>
      <w:r w:rsidRPr="00DF16A3">
        <w:rPr>
          <w:rFonts w:ascii="Palatino Linotype" w:eastAsia="Palatino Linotype" w:hAnsi="Palatino Linotype" w:cs="Palatino Linotype"/>
          <w:color w:val="000000"/>
          <w:sz w:val="22"/>
          <w:szCs w:val="24"/>
        </w:rPr>
        <w:t xml:space="preserve"> al 31 de diciembre de 2024, no se generó reglamento, reglas de organización y funcionamiento similar, nombre del área responsable, nombre de la servidora pública titular del área responsable, no datos de contacto (teléfono, correo electrónico, dirección de oficina) de la persona servidora pública titular del área responsable en virtud de que no ha sido instalada la Comisión multicitada</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bookmarkStart w:id="1" w:name="_heading=h.30j0zll" w:colFirst="0" w:colLast="0"/>
      <w:bookmarkEnd w:id="1"/>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diecisiete de junio de dos mil veinticuatro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recurso de revisión en contra de la respuesta, mediante el cual señaló como:</w:t>
      </w:r>
    </w:p>
    <w:p w:rsidR="00CB4B51" w:rsidRDefault="009044BD">
      <w:pPr>
        <w:numPr>
          <w:ilvl w:val="0"/>
          <w:numId w:val="2"/>
        </w:numPr>
        <w:pBdr>
          <w:top w:val="nil"/>
          <w:left w:val="nil"/>
          <w:bottom w:val="nil"/>
          <w:right w:val="nil"/>
          <w:between w:val="nil"/>
        </w:pBdr>
        <w:spacing w:line="360" w:lineRule="auto"/>
        <w:ind w:left="993" w:right="115" w:hanging="28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“No adjuntan los oficios de donde realizaron la búsqueda exhaustiva y municiona (sic)</w:t>
      </w:r>
    </w:p>
    <w:p w:rsidR="00CB4B51" w:rsidRPr="00DF16A3" w:rsidRDefault="009044BD">
      <w:pPr>
        <w:numPr>
          <w:ilvl w:val="0"/>
          <w:numId w:val="2"/>
        </w:numPr>
        <w:pBdr>
          <w:top w:val="nil"/>
          <w:left w:val="nil"/>
          <w:bottom w:val="nil"/>
          <w:right w:val="nil"/>
          <w:between w:val="nil"/>
        </w:pBdr>
        <w:spacing w:line="360" w:lineRule="auto"/>
        <w:ind w:left="993" w:right="115" w:hanging="28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Motivos o razones de inconformidad: “</w:t>
      </w:r>
      <w:r>
        <w:rPr>
          <w:rFonts w:ascii="Palatino Linotype" w:eastAsia="Palatino Linotype" w:hAnsi="Palatino Linotype" w:cs="Palatino Linotype"/>
          <w:i/>
          <w:color w:val="000000"/>
          <w:sz w:val="22"/>
          <w:szCs w:val="22"/>
        </w:rPr>
        <w:t>No adjuntan los oficios de donde realizaron la búsqueda exhaustiva y municiona” (sic)</w:t>
      </w:r>
    </w:p>
    <w:p w:rsidR="00DF16A3" w:rsidRDefault="00DF16A3" w:rsidP="00DF16A3">
      <w:pPr>
        <w:pBdr>
          <w:top w:val="nil"/>
          <w:left w:val="nil"/>
          <w:bottom w:val="nil"/>
          <w:right w:val="nil"/>
          <w:between w:val="nil"/>
        </w:pBdr>
        <w:spacing w:line="360" w:lineRule="auto"/>
        <w:ind w:left="993" w:right="115"/>
        <w:jc w:val="both"/>
        <w:rPr>
          <w:rFonts w:ascii="Palatino Linotype" w:eastAsia="Palatino Linotype" w:hAnsi="Palatino Linotype" w:cs="Palatino Linotype"/>
          <w:color w:val="000000"/>
          <w:sz w:val="22"/>
          <w:szCs w:val="22"/>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after="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notificado el </w:t>
      </w:r>
      <w:r>
        <w:rPr>
          <w:rFonts w:ascii="Palatino Linotype" w:eastAsia="Palatino Linotype" w:hAnsi="Palatino Linotype" w:cs="Palatino Linotype"/>
          <w:b/>
          <w:color w:val="000000"/>
          <w:sz w:val="24"/>
          <w:szCs w:val="24"/>
        </w:rPr>
        <w:t>veinticuatro de junio de dos mil veinticuatro</w:t>
      </w:r>
      <w:r>
        <w:rPr>
          <w:rFonts w:ascii="Palatino Linotype" w:eastAsia="Palatino Linotype" w:hAnsi="Palatino Linotype" w:cs="Palatino Linotype"/>
          <w:color w:val="000000"/>
          <w:sz w:val="24"/>
          <w:szCs w:val="24"/>
        </w:rPr>
        <w:t xml:space="preserve">, puso a disposición de las partes el expediente electrónico vía </w:t>
      </w:r>
      <w:r>
        <w:rPr>
          <w:rFonts w:ascii="Palatino Linotype" w:eastAsia="Palatino Linotype" w:hAnsi="Palatino Linotype" w:cs="Palatino Linotype"/>
          <w:b/>
          <w:color w:val="000000"/>
          <w:sz w:val="24"/>
          <w:szCs w:val="24"/>
        </w:rPr>
        <w:lastRenderedPageBreak/>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rsidR="00CB4B51" w:rsidRDefault="009044BD">
      <w:pPr>
        <w:numPr>
          <w:ilvl w:val="0"/>
          <w:numId w:val="3"/>
        </w:numPr>
        <w:tabs>
          <w:tab w:val="left" w:pos="284"/>
        </w:tabs>
        <w:spacing w:before="240" w:after="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rindió informe justificado el </w:t>
      </w:r>
      <w:r>
        <w:rPr>
          <w:rFonts w:ascii="Palatino Linotype" w:eastAsia="Palatino Linotype" w:hAnsi="Palatino Linotype" w:cs="Palatino Linotype"/>
          <w:b/>
          <w:color w:val="000000"/>
          <w:sz w:val="24"/>
          <w:szCs w:val="24"/>
        </w:rPr>
        <w:t>doce y dieciocho de junio de dos mil veinticuatro</w:t>
      </w:r>
      <w:r>
        <w:rPr>
          <w:rFonts w:ascii="Palatino Linotype" w:eastAsia="Palatino Linotype" w:hAnsi="Palatino Linotype" w:cs="Palatino Linotype"/>
          <w:color w:val="000000"/>
          <w:sz w:val="24"/>
          <w:szCs w:val="24"/>
        </w:rPr>
        <w:t xml:space="preserve">, mismos que fueron puesto a la vista el </w:t>
      </w:r>
      <w:r>
        <w:rPr>
          <w:rFonts w:ascii="Palatino Linotype" w:eastAsia="Palatino Linotype" w:hAnsi="Palatino Linotype" w:cs="Palatino Linotype"/>
          <w:b/>
          <w:color w:val="000000"/>
          <w:sz w:val="24"/>
          <w:szCs w:val="24"/>
        </w:rPr>
        <w:t xml:space="preserve">doce de </w:t>
      </w:r>
      <w:r>
        <w:rPr>
          <w:rFonts w:ascii="Palatino Linotype" w:eastAsia="Palatino Linotype" w:hAnsi="Palatino Linotype" w:cs="Palatino Linotype"/>
          <w:b/>
          <w:sz w:val="24"/>
          <w:szCs w:val="24"/>
        </w:rPr>
        <w:t>septiembre</w:t>
      </w:r>
      <w:r>
        <w:rPr>
          <w:rFonts w:ascii="Palatino Linotype" w:eastAsia="Palatino Linotype" w:hAnsi="Palatino Linotype" w:cs="Palatino Linotype"/>
          <w:b/>
          <w:color w:val="000000"/>
          <w:sz w:val="24"/>
          <w:szCs w:val="24"/>
        </w:rPr>
        <w:t xml:space="preserve"> de dos mil veinticuatro, </w:t>
      </w:r>
      <w:r>
        <w:rPr>
          <w:rFonts w:ascii="Palatino Linotype" w:eastAsia="Palatino Linotype" w:hAnsi="Palatino Linotype" w:cs="Palatino Linotype"/>
          <w:color w:val="000000"/>
          <w:sz w:val="24"/>
          <w:szCs w:val="24"/>
        </w:rPr>
        <w:t>a través de los archivos siguientes:</w:t>
      </w:r>
    </w:p>
    <w:p w:rsidR="00CB4B51" w:rsidRDefault="00371117" w:rsidP="00DF16A3">
      <w:pPr>
        <w:numPr>
          <w:ilvl w:val="0"/>
          <w:numId w:val="5"/>
        </w:numPr>
        <w:pBdr>
          <w:top w:val="nil"/>
          <w:left w:val="nil"/>
          <w:bottom w:val="nil"/>
          <w:right w:val="nil"/>
          <w:between w:val="nil"/>
        </w:pBdr>
        <w:tabs>
          <w:tab w:val="left" w:pos="284"/>
        </w:tabs>
        <w:spacing w:before="240" w:after="240" w:line="360" w:lineRule="auto"/>
        <w:ind w:right="113"/>
        <w:jc w:val="both"/>
        <w:rPr>
          <w:rFonts w:ascii="Palatino Linotype" w:eastAsia="Palatino Linotype" w:hAnsi="Palatino Linotype" w:cs="Palatino Linotype"/>
          <w:color w:val="000000"/>
          <w:sz w:val="22"/>
          <w:szCs w:val="22"/>
        </w:rPr>
      </w:pPr>
      <w:hyperlink r:id="rId9">
        <w:r w:rsidR="009044BD">
          <w:rPr>
            <w:rFonts w:ascii="Palatino Linotype" w:eastAsia="Palatino Linotype" w:hAnsi="Palatino Linotype" w:cs="Palatino Linotype"/>
            <w:b/>
            <w:color w:val="000000"/>
            <w:sz w:val="22"/>
            <w:szCs w:val="22"/>
            <w:u w:val="single"/>
          </w:rPr>
          <w:t>577.pdf</w:t>
        </w:r>
      </w:hyperlink>
      <w:r w:rsidR="009044BD">
        <w:rPr>
          <w:rFonts w:ascii="Palatino Linotype" w:eastAsia="Palatino Linotype" w:hAnsi="Palatino Linotype" w:cs="Palatino Linotype"/>
          <w:color w:val="000000"/>
          <w:sz w:val="22"/>
          <w:szCs w:val="22"/>
        </w:rPr>
        <w:t xml:space="preserve">, Oficio de 11 de julio de 2024, por medio del cual la secretaria del H. Ayuntamiento confirma su respuesta primigenia </w:t>
      </w:r>
    </w:p>
    <w:p w:rsidR="00CB4B51" w:rsidRDefault="00371117" w:rsidP="00DF16A3">
      <w:pPr>
        <w:numPr>
          <w:ilvl w:val="0"/>
          <w:numId w:val="5"/>
        </w:numPr>
        <w:pBdr>
          <w:top w:val="nil"/>
          <w:left w:val="nil"/>
          <w:bottom w:val="nil"/>
          <w:right w:val="nil"/>
          <w:between w:val="nil"/>
        </w:pBdr>
        <w:tabs>
          <w:tab w:val="left" w:pos="284"/>
        </w:tabs>
        <w:spacing w:before="240" w:after="240" w:line="360" w:lineRule="auto"/>
        <w:ind w:right="113"/>
        <w:jc w:val="both"/>
        <w:rPr>
          <w:rFonts w:ascii="Palatino Linotype" w:eastAsia="Palatino Linotype" w:hAnsi="Palatino Linotype" w:cs="Palatino Linotype"/>
          <w:color w:val="000000"/>
          <w:sz w:val="22"/>
          <w:szCs w:val="22"/>
        </w:rPr>
      </w:pPr>
      <w:hyperlink r:id="rId10">
        <w:r w:rsidR="009044BD">
          <w:rPr>
            <w:rFonts w:ascii="Palatino Linotype" w:eastAsia="Palatino Linotype" w:hAnsi="Palatino Linotype" w:cs="Palatino Linotype"/>
            <w:b/>
            <w:color w:val="000000"/>
            <w:sz w:val="22"/>
            <w:szCs w:val="22"/>
            <w:u w:val="single"/>
          </w:rPr>
          <w:t>577.pdf</w:t>
        </w:r>
      </w:hyperlink>
      <w:r w:rsidR="009044BD">
        <w:rPr>
          <w:rFonts w:ascii="Palatino Linotype" w:eastAsia="Palatino Linotype" w:hAnsi="Palatino Linotype" w:cs="Palatino Linotype"/>
          <w:color w:val="000000"/>
          <w:sz w:val="22"/>
          <w:szCs w:val="22"/>
        </w:rPr>
        <w:t xml:space="preserve">: Oficio de 17 de julio de 2024, firmado por la secretaria del ayuntamiento, por medio del cual se pronuncia respecto de los motivos y razones de inconformidad hechos valer por el </w:t>
      </w:r>
      <w:r w:rsidR="009044BD">
        <w:rPr>
          <w:rFonts w:ascii="Palatino Linotype" w:eastAsia="Palatino Linotype" w:hAnsi="Palatino Linotype" w:cs="Palatino Linotype"/>
          <w:b/>
          <w:color w:val="000000"/>
          <w:sz w:val="22"/>
          <w:szCs w:val="22"/>
        </w:rPr>
        <w:t>PARTICULAR</w:t>
      </w: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su parte, el Recurrente fue omiso en realizar manifestaciones, presentar pruebas o alegatos que a su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veintiuno de agosto de dos mil veinticuatro</w:t>
      </w:r>
      <w:r>
        <w:rPr>
          <w:rFonts w:ascii="Palatino Linotype" w:eastAsia="Palatino Linotype" w:hAnsi="Palatino Linotype" w:cs="Palatino Linotype"/>
          <w:color w:val="000000"/>
          <w:sz w:val="24"/>
          <w:szCs w:val="24"/>
        </w:rPr>
        <w:t>, la Comisionada Ponente notificó el acuerdo mediante el cual se amplió el plazo para emitir resolución; asimismo.</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rsidR="00CB4B51" w:rsidRDefault="009044BD">
      <w:pPr>
        <w:pBdr>
          <w:top w:val="nil"/>
          <w:left w:val="nil"/>
          <w:bottom w:val="nil"/>
          <w:right w:val="nil"/>
          <w:between w:val="nil"/>
        </w:pBdr>
        <w:spacing w:line="360" w:lineRule="auto"/>
        <w:ind w:left="284"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4"/>
          <w:szCs w:val="24"/>
        </w:rPr>
        <w:t xml:space="preserve">a)   </w:t>
      </w:r>
      <w:r>
        <w:rPr>
          <w:rFonts w:ascii="Palatino Linotype" w:eastAsia="Palatino Linotype" w:hAnsi="Palatino Linotype" w:cs="Palatino Linotype"/>
          <w:color w:val="000000"/>
          <w:sz w:val="22"/>
          <w:szCs w:val="22"/>
        </w:rPr>
        <w:t>Complejidad del asunto: La complejidad de la prueba, la pluralidad de sujetos procesales, el tiempo transcurrido, las características y contexto del recurso.</w:t>
      </w:r>
    </w:p>
    <w:p w:rsidR="00CB4B51" w:rsidRDefault="009044BD">
      <w:pPr>
        <w:pBdr>
          <w:top w:val="nil"/>
          <w:left w:val="nil"/>
          <w:bottom w:val="nil"/>
          <w:right w:val="nil"/>
          <w:between w:val="nil"/>
        </w:pBdr>
        <w:spacing w:line="360" w:lineRule="auto"/>
        <w:ind w:left="284"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rsidR="00CB4B51" w:rsidRDefault="009044BD">
      <w:pPr>
        <w:pBdr>
          <w:top w:val="nil"/>
          <w:left w:val="nil"/>
          <w:bottom w:val="nil"/>
          <w:right w:val="nil"/>
          <w:between w:val="nil"/>
        </w:pBdr>
        <w:spacing w:line="360" w:lineRule="auto"/>
        <w:ind w:left="284"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 </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CB4B51" w:rsidRDefault="009044BD">
      <w:pPr>
        <w:pBdr>
          <w:top w:val="nil"/>
          <w:left w:val="nil"/>
          <w:bottom w:val="nil"/>
          <w:right w:val="nil"/>
          <w:between w:val="nil"/>
        </w:pBdr>
        <w:spacing w:line="360" w:lineRule="auto"/>
        <w:ind w:left="284"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   La afectación generada en la situación jurídica de la persona involucrada en el proceso: Violación a sus derechos humanos.</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w:t>
      </w:r>
      <w:r>
        <w:rPr>
          <w:rFonts w:ascii="Palatino Linotype" w:eastAsia="Palatino Linotype" w:hAnsi="Palatino Linotype" w:cs="Palatino Linotype"/>
          <w:color w:val="000000"/>
          <w:sz w:val="24"/>
          <w:szCs w:val="24"/>
        </w:rPr>
        <w:lastRenderedPageBreak/>
        <w:t>los recursos dentro de los términos legales previamente establecidos por la Ley, por tratarse de causas de fuerza mayor.</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CB4B51" w:rsidRDefault="009044BD" w:rsidP="00DF16A3">
      <w:pPr>
        <w:pBdr>
          <w:top w:val="nil"/>
          <w:left w:val="nil"/>
          <w:bottom w:val="nil"/>
          <w:right w:val="nil"/>
          <w:between w:val="nil"/>
        </w:pBdr>
        <w:spacing w:line="360" w:lineRule="auto"/>
        <w:ind w:left="567"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2002351.</w:t>
      </w:r>
    </w:p>
    <w:p w:rsidR="00CB4B51" w:rsidRDefault="009044BD" w:rsidP="00DF16A3">
      <w:pPr>
        <w:pBdr>
          <w:top w:val="nil"/>
          <w:left w:val="nil"/>
          <w:bottom w:val="nil"/>
          <w:right w:val="nil"/>
          <w:between w:val="nil"/>
        </w:pBdr>
        <w:spacing w:line="360" w:lineRule="auto"/>
        <w:ind w:left="567"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2002350.</w:t>
      </w:r>
    </w:p>
    <w:p w:rsidR="00CB4B51" w:rsidRDefault="00CB4B51">
      <w:pPr>
        <w:pBdr>
          <w:top w:val="nil"/>
          <w:left w:val="nil"/>
          <w:bottom w:val="nil"/>
          <w:right w:val="nil"/>
          <w:between w:val="nil"/>
        </w:pBdr>
        <w:spacing w:line="360" w:lineRule="auto"/>
        <w:ind w:left="567"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Pr="00DF16A3"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diecinueve de septiembre de dos mil veinticuatro,</w:t>
      </w:r>
      <w:r>
        <w:rPr>
          <w:rFonts w:ascii="Palatino Linotype" w:eastAsia="Palatino Linotype" w:hAnsi="Palatino Linotype" w:cs="Palatino Linotype"/>
          <w:color w:val="000000"/>
          <w:sz w:val="24"/>
          <w:szCs w:val="24"/>
        </w:rPr>
        <w:t xml:space="preserve"> se notificó el acuerdo mediante el cual se decretó el cierre de instrucción, por lo que </w:t>
      </w:r>
      <w:r>
        <w:rPr>
          <w:rFonts w:ascii="Palatino Linotype" w:eastAsia="Palatino Linotype" w:hAnsi="Palatino Linotype" w:cs="Palatino Linotype"/>
          <w:sz w:val="24"/>
          <w:szCs w:val="24"/>
        </w:rPr>
        <w:t>tornó</w:t>
      </w:r>
      <w:r>
        <w:rPr>
          <w:rFonts w:ascii="Palatino Linotype" w:eastAsia="Palatino Linotype" w:hAnsi="Palatino Linotype" w:cs="Palatino Linotype"/>
          <w:color w:val="000000"/>
          <w:sz w:val="24"/>
          <w:szCs w:val="24"/>
        </w:rPr>
        <w:t xml:space="preserve"> la presente resolución para su aprobación, por lo que</w:t>
      </w:r>
      <w:r w:rsidR="00DF16A3">
        <w:rPr>
          <w:rFonts w:ascii="Palatino Linotype" w:eastAsia="Palatino Linotype" w:hAnsi="Palatino Linotype" w:cs="Palatino Linotype"/>
          <w:color w:val="000000"/>
          <w:sz w:val="24"/>
          <w:szCs w:val="24"/>
        </w:rPr>
        <w:t xml:space="preserve"> -------------------------------------------------------------------------------------------</w:t>
      </w:r>
    </w:p>
    <w:p w:rsidR="00DF16A3" w:rsidRDefault="00DF16A3" w:rsidP="00DF16A3">
      <w:pPr>
        <w:pStyle w:val="Prrafodelista"/>
        <w:rPr>
          <w:rFonts w:ascii="Palatino Linotype" w:eastAsia="Palatino Linotype" w:hAnsi="Palatino Linotype" w:cs="Palatino Linotype"/>
          <w:color w:val="000000"/>
        </w:rPr>
      </w:pPr>
    </w:p>
    <w:p w:rsidR="00DF16A3" w:rsidRDefault="00DF16A3" w:rsidP="00DF16A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sz w:val="24"/>
          <w:szCs w:val="24"/>
        </w:rPr>
      </w:pPr>
    </w:p>
    <w:p w:rsidR="00CB4B51" w:rsidRDefault="009044BD">
      <w:pPr>
        <w:pBdr>
          <w:top w:val="nil"/>
          <w:left w:val="nil"/>
          <w:bottom w:val="nil"/>
          <w:right w:val="nil"/>
          <w:between w:val="nil"/>
        </w:pBdr>
        <w:spacing w:line="360" w:lineRule="auto"/>
        <w:ind w:right="-734"/>
        <w:jc w:val="center"/>
        <w:rPr>
          <w:rFonts w:ascii="Palatino Linotype" w:eastAsia="Palatino Linotype" w:hAnsi="Palatino Linotype" w:cs="Palatino Linotype"/>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lastRenderedPageBreak/>
        <w:t>C O N S I D E R A N D O</w:t>
      </w:r>
    </w:p>
    <w:p w:rsidR="00CB4B51" w:rsidRDefault="00CB4B51">
      <w:pPr>
        <w:ind w:right="-734"/>
        <w:rPr>
          <w:rFonts w:ascii="Palatino Linotype" w:eastAsia="Palatino Linotype" w:hAnsi="Palatino Linotype" w:cs="Palatino Linotype"/>
          <w:sz w:val="24"/>
          <w:szCs w:val="24"/>
        </w:rPr>
      </w:pPr>
    </w:p>
    <w:p w:rsidR="00CB4B51" w:rsidRDefault="009044BD">
      <w:pPr>
        <w:pStyle w:val="Ttulo2"/>
        <w:ind w:right="-734"/>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rsidR="00CB4B51" w:rsidRDefault="009044BD">
      <w:pPr>
        <w:numPr>
          <w:ilvl w:val="0"/>
          <w:numId w:val="3"/>
        </w:numPr>
        <w:pBdr>
          <w:top w:val="nil"/>
          <w:left w:val="nil"/>
          <w:bottom w:val="nil"/>
          <w:right w:val="nil"/>
          <w:between w:val="nil"/>
        </w:pBdr>
        <w:spacing w:before="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XXIII,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rsidR="00CB4B51" w:rsidRDefault="00CB4B51">
      <w:pPr>
        <w:pBdr>
          <w:top w:val="nil"/>
          <w:left w:val="nil"/>
          <w:bottom w:val="nil"/>
          <w:right w:val="nil"/>
          <w:between w:val="nil"/>
        </w:pBdr>
        <w:spacing w:after="240" w:line="360" w:lineRule="auto"/>
        <w:ind w:right="-734"/>
        <w:jc w:val="both"/>
        <w:rPr>
          <w:rFonts w:ascii="Palatino Linotype" w:eastAsia="Palatino Linotype" w:hAnsi="Palatino Linotype" w:cs="Palatino Linotype"/>
          <w:color w:val="000000"/>
          <w:sz w:val="24"/>
          <w:szCs w:val="24"/>
        </w:rPr>
      </w:pPr>
    </w:p>
    <w:p w:rsidR="00CB4B51" w:rsidRDefault="009044BD">
      <w:pPr>
        <w:pStyle w:val="Ttulo2"/>
        <w:ind w:right="-734"/>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rsidR="00CB4B51" w:rsidRDefault="009044BD">
      <w:pPr>
        <w:numPr>
          <w:ilvl w:val="0"/>
          <w:numId w:val="3"/>
        </w:numPr>
        <w:pBdr>
          <w:top w:val="nil"/>
          <w:left w:val="nil"/>
          <w:bottom w:val="nil"/>
          <w:right w:val="nil"/>
          <w:between w:val="nil"/>
        </w:pBdr>
        <w:tabs>
          <w:tab w:val="left" w:pos="426"/>
        </w:tabs>
        <w:spacing w:line="360" w:lineRule="auto"/>
        <w:ind w:left="0" w:right="-734" w:firstLine="0"/>
        <w:jc w:val="both"/>
        <w:rPr>
          <w:rFonts w:ascii="Palatino Linotype" w:eastAsia="Palatino Linotype" w:hAnsi="Palatino Linotype" w:cs="Palatino Linotype"/>
          <w:color w:val="000000"/>
        </w:rPr>
      </w:pPr>
      <w:bookmarkStart w:id="5" w:name="_heading=h.tyjcwt" w:colFirst="0" w:colLast="0"/>
      <w:bookmarkEnd w:id="5"/>
      <w:r>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respuesta siete de junio de dos mil veinticuatro, de tal forma que el plazo para interponer el recurso de revisión transcurrió del diez al veintiocho de junio de dos mil veinticuatro. El recurso de revisión fue interpuesto el diecisiete de junio de dos mil veinticuatro, éste se encuentra 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vigente. </w:t>
      </w:r>
    </w:p>
    <w:p w:rsidR="00CB4B51" w:rsidRDefault="009044BD">
      <w:pPr>
        <w:numPr>
          <w:ilvl w:val="0"/>
          <w:numId w:val="3"/>
        </w:numPr>
        <w:pBdr>
          <w:top w:val="nil"/>
          <w:left w:val="nil"/>
          <w:bottom w:val="nil"/>
          <w:right w:val="nil"/>
          <w:between w:val="nil"/>
        </w:pBdr>
        <w:tabs>
          <w:tab w:val="left" w:pos="426"/>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CB4B51" w:rsidRDefault="009044BD">
      <w:pPr>
        <w:pStyle w:val="Ttulo1"/>
        <w:ind w:right="-734"/>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De las causales del sobreseimiento </w:t>
      </w:r>
    </w:p>
    <w:p w:rsidR="00CB4B51" w:rsidRDefault="009044BD">
      <w:pPr>
        <w:numPr>
          <w:ilvl w:val="0"/>
          <w:numId w:val="3"/>
        </w:numPr>
        <w:pBdr>
          <w:top w:val="nil"/>
          <w:left w:val="nil"/>
          <w:bottom w:val="nil"/>
          <w:right w:val="nil"/>
          <w:between w:val="nil"/>
        </w:pBdr>
        <w:spacing w:before="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recurrente solicitó la siguiente información: </w:t>
      </w:r>
    </w:p>
    <w:p w:rsidR="00CB4B51" w:rsidRDefault="009044BD">
      <w:pPr>
        <w:numPr>
          <w:ilvl w:val="0"/>
          <w:numId w:val="6"/>
        </w:numPr>
        <w:pBdr>
          <w:top w:val="nil"/>
          <w:left w:val="nil"/>
          <w:bottom w:val="nil"/>
          <w:right w:val="nil"/>
          <w:between w:val="nil"/>
        </w:pBdr>
        <w:spacing w:line="360" w:lineRule="auto"/>
        <w:ind w:left="709"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relación con la Comisión Municipal para el Bienestar y la Incorporación al Desarrollo de las Personas con Discapacidad, prevista en el Bando Municipal del Ayuntamiento de Ecatepec de Morelos 2024, solicito la siguiente información del periodo del 1 enero al 31 de diciembre de 2024: 1.- Fundamento legal 2.- Reglamento, reglas de organización y funcionamiento o similar 3.- Nombre del área responsable 4.- Nombre de la persona servidora pública titular del área responsable 5.- Datos de contacto (teléfono, correo electrónico, dirección de oficina) de la persona servidora pública titular del área responsable</w:t>
      </w:r>
    </w:p>
    <w:p w:rsidR="00CB4B51" w:rsidRDefault="00CB4B51">
      <w:pPr>
        <w:pBdr>
          <w:top w:val="nil"/>
          <w:left w:val="nil"/>
          <w:bottom w:val="nil"/>
          <w:right w:val="nil"/>
          <w:between w:val="nil"/>
        </w:pBdr>
        <w:spacing w:line="360" w:lineRule="auto"/>
        <w:ind w:left="709" w:right="-734"/>
        <w:jc w:val="both"/>
        <w:rPr>
          <w:rFonts w:ascii="Palatino Linotype" w:eastAsia="Palatino Linotype" w:hAnsi="Palatino Linotype" w:cs="Palatino Linotype"/>
          <w:i/>
          <w:color w:val="000000"/>
          <w:sz w:val="24"/>
          <w:szCs w:val="24"/>
        </w:rPr>
      </w:pPr>
    </w:p>
    <w:p w:rsidR="00CB4B51" w:rsidRDefault="009044BD">
      <w:pPr>
        <w:numPr>
          <w:ilvl w:val="0"/>
          <w:numId w:val="3"/>
        </w:numPr>
        <w:pBdr>
          <w:top w:val="nil"/>
          <w:left w:val="nil"/>
          <w:bottom w:val="nil"/>
          <w:right w:val="nil"/>
          <w:between w:val="nil"/>
        </w:pBdr>
        <w:tabs>
          <w:tab w:val="left" w:pos="284"/>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Sujeto Obligado dio respuesta como </w:t>
      </w:r>
      <w:r>
        <w:rPr>
          <w:rFonts w:ascii="Palatino Linotype" w:eastAsia="Palatino Linotype" w:hAnsi="Palatino Linotype" w:cs="Palatino Linotype"/>
          <w:sz w:val="24"/>
          <w:szCs w:val="24"/>
        </w:rPr>
        <w:t>quedó</w:t>
      </w:r>
      <w:r>
        <w:rPr>
          <w:rFonts w:ascii="Palatino Linotype" w:eastAsia="Palatino Linotype" w:hAnsi="Palatino Linotype" w:cs="Palatino Linotype"/>
          <w:color w:val="000000"/>
          <w:sz w:val="24"/>
          <w:szCs w:val="24"/>
        </w:rPr>
        <w:t xml:space="preserve"> referido el numeral dos del presente proyecto</w:t>
      </w:r>
    </w:p>
    <w:p w:rsidR="00CB4B51" w:rsidRDefault="009044BD">
      <w:pPr>
        <w:numPr>
          <w:ilvl w:val="0"/>
          <w:numId w:val="3"/>
        </w:numPr>
        <w:pBdr>
          <w:top w:val="nil"/>
          <w:left w:val="nil"/>
          <w:bottom w:val="nil"/>
          <w:right w:val="nil"/>
          <w:between w:val="nil"/>
        </w:pBdr>
        <w:tabs>
          <w:tab w:val="left" w:pos="284"/>
        </w:tabs>
        <w:spacing w:before="240" w:after="240" w:line="360" w:lineRule="auto"/>
        <w:ind w:left="0" w:right="-734" w:firstLine="0"/>
        <w:jc w:val="both"/>
        <w:rPr>
          <w:rFonts w:ascii="Palatino Linotype" w:eastAsia="Palatino Linotype" w:hAnsi="Palatino Linotype" w:cs="Palatino Linotype"/>
          <w:i/>
        </w:rPr>
      </w:pPr>
      <w:r>
        <w:rPr>
          <w:rFonts w:ascii="Palatino Linotype" w:eastAsia="Palatino Linotype" w:hAnsi="Palatino Linotype" w:cs="Palatino Linotype"/>
          <w:color w:val="000000"/>
          <w:sz w:val="24"/>
          <w:szCs w:val="24"/>
        </w:rPr>
        <w:t xml:space="preserve"> El particular se inconformó porque no se le proporcionaron los oficios donde  realizaron la búsqueda exhaustiva</w:t>
      </w:r>
    </w:p>
    <w:p w:rsidR="00CB4B51" w:rsidRPr="00DF16A3" w:rsidRDefault="009044BD">
      <w:pPr>
        <w:numPr>
          <w:ilvl w:val="0"/>
          <w:numId w:val="3"/>
        </w:numPr>
        <w:tabs>
          <w:tab w:val="left" w:pos="284"/>
        </w:tabs>
        <w:spacing w:after="240"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V, relativo a la </w:t>
      </w:r>
      <w:r>
        <w:rPr>
          <w:rFonts w:ascii="Palatino Linotype" w:eastAsia="Palatino Linotype" w:hAnsi="Palatino Linotype" w:cs="Palatino Linotype"/>
          <w:sz w:val="24"/>
          <w:szCs w:val="24"/>
        </w:rPr>
        <w:lastRenderedPageBreak/>
        <w:t xml:space="preserve">entrega de información incompleta,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p>
    <w:p w:rsidR="00DF16A3" w:rsidRDefault="00DF16A3" w:rsidP="00DF16A3">
      <w:pPr>
        <w:tabs>
          <w:tab w:val="left" w:pos="284"/>
        </w:tabs>
        <w:spacing w:after="240" w:line="360" w:lineRule="auto"/>
        <w:ind w:right="-734"/>
        <w:jc w:val="both"/>
        <w:rPr>
          <w:rFonts w:ascii="Palatino Linotype" w:eastAsia="Palatino Linotype" w:hAnsi="Palatino Linotype" w:cs="Palatino Linotype"/>
        </w:rPr>
      </w:pPr>
    </w:p>
    <w:p w:rsidR="00CB4B51" w:rsidRDefault="009044BD">
      <w:pPr>
        <w:pBdr>
          <w:top w:val="nil"/>
          <w:left w:val="nil"/>
          <w:bottom w:val="nil"/>
          <w:right w:val="nil"/>
          <w:between w:val="nil"/>
        </w:pBdr>
        <w:tabs>
          <w:tab w:val="left" w:pos="426"/>
        </w:tabs>
        <w:spacing w:before="240" w:after="240" w:line="360" w:lineRule="auto"/>
        <w:ind w:right="-734"/>
        <w:jc w:val="both"/>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I. De la atención a la solicitud de información.</w:t>
      </w:r>
    </w:p>
    <w:p w:rsidR="00CB4B51" w:rsidRDefault="009044BD">
      <w:pPr>
        <w:numPr>
          <w:ilvl w:val="0"/>
          <w:numId w:val="3"/>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rsidR="00CB4B51" w:rsidRDefault="00CB4B51">
      <w:pPr>
        <w:tabs>
          <w:tab w:val="left" w:pos="284"/>
        </w:tabs>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tabs>
          <w:tab w:val="left" w:pos="284"/>
        </w:tabs>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1"/>
      </w:r>
      <w:r>
        <w:rPr>
          <w:rFonts w:ascii="Palatino Linotype" w:eastAsia="Palatino Linotype" w:hAnsi="Palatino Linotype" w:cs="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i/>
          <w:color w:val="000000"/>
          <w:sz w:val="24"/>
          <w:szCs w:val="24"/>
        </w:rPr>
        <w:lastRenderedPageBreak/>
        <w:t>municipal,</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rsidR="00CB4B51" w:rsidRDefault="00CB4B51">
      <w:pPr>
        <w:tabs>
          <w:tab w:val="left" w:pos="284"/>
        </w:tabs>
        <w:ind w:right="-734"/>
        <w:rPr>
          <w:rFonts w:ascii="Palatino Linotype" w:eastAsia="Palatino Linotype" w:hAnsi="Palatino Linotype" w:cs="Palatino Linotype"/>
          <w:sz w:val="24"/>
          <w:szCs w:val="24"/>
        </w:rPr>
      </w:pPr>
    </w:p>
    <w:p w:rsidR="00CB4B51" w:rsidRDefault="009044BD">
      <w:pPr>
        <w:numPr>
          <w:ilvl w:val="0"/>
          <w:numId w:val="3"/>
        </w:numPr>
        <w:tabs>
          <w:tab w:val="left" w:pos="284"/>
        </w:tabs>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rsidR="00CB4B51" w:rsidRDefault="009044BD">
      <w:pPr>
        <w:tabs>
          <w:tab w:val="left" w:pos="284"/>
        </w:tabs>
        <w:spacing w:line="360" w:lineRule="auto"/>
        <w:ind w:right="-73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w:t>
      </w:r>
    </w:p>
    <w:p w:rsidR="00CB4B51" w:rsidRDefault="009044BD">
      <w:pPr>
        <w:numPr>
          <w:ilvl w:val="0"/>
          <w:numId w:val="3"/>
        </w:numPr>
        <w:tabs>
          <w:tab w:val="left" w:pos="284"/>
        </w:tabs>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Pr>
          <w:rFonts w:ascii="Palatino Linotype" w:eastAsia="Palatino Linotype" w:hAnsi="Palatino Linotype" w:cs="Palatino Linotype"/>
          <w:i/>
          <w:sz w:val="24"/>
          <w:szCs w:val="24"/>
        </w:rPr>
        <w:t>por los principios de simplicidad, rapidez gratuidad del procedimiento, auxilio y orientación a los particulares</w:t>
      </w:r>
      <w:r>
        <w:rPr>
          <w:rFonts w:ascii="Palatino Linotype" w:eastAsia="Palatino Linotype" w:hAnsi="Palatino Linotype" w:cs="Palatino Linotype"/>
          <w:sz w:val="24"/>
          <w:szCs w:val="24"/>
        </w:rPr>
        <w:t xml:space="preserve">, contemplando el derecho de las personas con discapacidad y hablantes de lengua indígena. </w:t>
      </w:r>
    </w:p>
    <w:p w:rsidR="00CB4B51" w:rsidRDefault="00CB4B51">
      <w:pPr>
        <w:tabs>
          <w:tab w:val="left" w:pos="284"/>
        </w:tabs>
        <w:spacing w:line="360" w:lineRule="auto"/>
        <w:ind w:right="-734"/>
        <w:jc w:val="both"/>
        <w:rPr>
          <w:rFonts w:ascii="Palatino Linotype" w:eastAsia="Palatino Linotype" w:hAnsi="Palatino Linotype" w:cs="Palatino Linotype"/>
          <w:sz w:val="24"/>
          <w:szCs w:val="24"/>
        </w:rPr>
      </w:pPr>
    </w:p>
    <w:p w:rsidR="00CB4B51" w:rsidRDefault="009044BD">
      <w:pPr>
        <w:numPr>
          <w:ilvl w:val="0"/>
          <w:numId w:val="3"/>
        </w:numPr>
        <w:tabs>
          <w:tab w:val="left" w:pos="284"/>
        </w:tabs>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 xml:space="preserve">cuyo objeto es establecer principios, bases generales y procedimientos para tutelar y garantizar la transparencia y el derecho humano de acceso a la información </w:t>
      </w:r>
      <w:r>
        <w:rPr>
          <w:rFonts w:ascii="Palatino Linotype" w:eastAsia="Palatino Linotype" w:hAnsi="Palatino Linotype" w:cs="Palatino Linotype"/>
          <w:sz w:val="24"/>
          <w:szCs w:val="24"/>
        </w:rPr>
        <w:lastRenderedPageBreak/>
        <w:t>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rsidR="00CB4B51" w:rsidRDefault="00CB4B51">
      <w:pPr>
        <w:tabs>
          <w:tab w:val="left" w:pos="284"/>
        </w:tabs>
        <w:ind w:right="-734"/>
        <w:rPr>
          <w:rFonts w:ascii="Palatino Linotype" w:eastAsia="Palatino Linotype" w:hAnsi="Palatino Linotype" w:cs="Palatino Linotype"/>
          <w:sz w:val="24"/>
          <w:szCs w:val="24"/>
        </w:rPr>
      </w:pPr>
    </w:p>
    <w:p w:rsidR="00CB4B51" w:rsidRDefault="009044BD">
      <w:pPr>
        <w:numPr>
          <w:ilvl w:val="0"/>
          <w:numId w:val="3"/>
        </w:numPr>
        <w:pBdr>
          <w:top w:val="nil"/>
          <w:left w:val="nil"/>
          <w:bottom w:val="nil"/>
          <w:right w:val="nil"/>
          <w:between w:val="nil"/>
        </w:pBdr>
        <w:spacing w:before="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CB4B51" w:rsidRDefault="009044BD">
      <w:pPr>
        <w:ind w:left="567" w:right="2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rsidR="00CB4B51" w:rsidRDefault="009044BD">
      <w:pPr>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rsidR="00CB4B51" w:rsidRDefault="009044BD">
      <w:pPr>
        <w:numPr>
          <w:ilvl w:val="0"/>
          <w:numId w:val="3"/>
        </w:numPr>
        <w:pBdr>
          <w:top w:val="nil"/>
          <w:left w:val="nil"/>
          <w:bottom w:val="nil"/>
          <w:right w:val="nil"/>
          <w:between w:val="nil"/>
        </w:pBdr>
        <w:tabs>
          <w:tab w:val="left" w:pos="851"/>
        </w:tabs>
        <w:spacing w:after="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El derecho de acceso a la información encuentra su materia elemental en los documentos, y la Ley de Transparencia local nos brinda el siguiente concepto, para darnos un mejor panorama:</w:t>
      </w: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w:t>
      </w:r>
      <w:r>
        <w:rPr>
          <w:rFonts w:ascii="Palatino Linotype" w:eastAsia="Palatino Linotype" w:hAnsi="Palatino Linotype" w:cs="Palatino Linotype"/>
          <w:b/>
          <w:i/>
          <w:sz w:val="22"/>
          <w:szCs w:val="22"/>
        </w:rPr>
        <w:t>oficios,</w:t>
      </w:r>
      <w:r>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CB4B51" w:rsidRDefault="00CB4B51">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tabs>
          <w:tab w:val="left" w:pos="851"/>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CB4B51" w:rsidRDefault="00CB4B51">
      <w:pPr>
        <w:pBdr>
          <w:top w:val="nil"/>
          <w:left w:val="nil"/>
          <w:bottom w:val="nil"/>
          <w:right w:val="nil"/>
          <w:between w:val="nil"/>
        </w:pBdr>
        <w:tabs>
          <w:tab w:val="left" w:pos="851"/>
        </w:tabs>
        <w:spacing w:line="360" w:lineRule="auto"/>
        <w:ind w:left="4613" w:right="-734"/>
        <w:jc w:val="both"/>
        <w:rPr>
          <w:rFonts w:ascii="Palatino Linotype" w:eastAsia="Palatino Linotype" w:hAnsi="Palatino Linotype" w:cs="Palatino Linotype"/>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sz w:val="24"/>
          <w:szCs w:val="24"/>
        </w:rPr>
        <w:t>los Sujetos Obligados deberán documentar todo acto que se derive del ejercicio de sus facultades, competencias o funciones,</w:t>
      </w:r>
      <w:r>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Además, debemos tomar en cuenta los artículos 4 y 12, de la Ley de Transparencia y Acceso a la Información Pública del Estado de México y Municipios, los cuales establecen lo siguiente:</w:t>
      </w: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CB4B51" w:rsidRDefault="00CB4B51">
      <w:pPr>
        <w:ind w:left="567" w:right="257"/>
        <w:jc w:val="both"/>
        <w:rPr>
          <w:rFonts w:ascii="Palatino Linotype" w:eastAsia="Palatino Linotype" w:hAnsi="Palatino Linotype" w:cs="Palatino Linotype"/>
          <w:i/>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CB4B51" w:rsidRDefault="00CB4B51">
      <w:pPr>
        <w:ind w:left="567" w:right="257"/>
        <w:jc w:val="both"/>
        <w:rPr>
          <w:rFonts w:ascii="Palatino Linotype" w:eastAsia="Palatino Linotype" w:hAnsi="Palatino Linotype" w:cs="Palatino Linotype"/>
          <w:i/>
          <w:color w:val="000000"/>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rsidR="00CB4B51" w:rsidRDefault="00CB4B51">
      <w:pPr>
        <w:ind w:left="567" w:right="257"/>
        <w:jc w:val="both"/>
        <w:rPr>
          <w:rFonts w:ascii="Palatino Linotype" w:eastAsia="Palatino Linotype" w:hAnsi="Palatino Linotype" w:cs="Palatino Linotype"/>
          <w:i/>
          <w:sz w:val="22"/>
          <w:szCs w:val="22"/>
        </w:rPr>
      </w:pPr>
    </w:p>
    <w:p w:rsidR="00CB4B51" w:rsidRDefault="009044BD">
      <w:pPr>
        <w:ind w:left="567" w:right="25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rsidR="00CB4B51" w:rsidRDefault="00CB4B51">
      <w:pPr>
        <w:spacing w:line="360" w:lineRule="auto"/>
        <w:ind w:left="567" w:right="257"/>
        <w:jc w:val="both"/>
        <w:rPr>
          <w:rFonts w:ascii="Palatino Linotype" w:eastAsia="Palatino Linotype" w:hAnsi="Palatino Linotype" w:cs="Palatino Linotype"/>
          <w:i/>
          <w:sz w:val="22"/>
          <w:szCs w:val="22"/>
        </w:rPr>
      </w:pPr>
    </w:p>
    <w:p w:rsidR="00CB4B51" w:rsidRDefault="009044BD">
      <w:pPr>
        <w:numPr>
          <w:ilvl w:val="0"/>
          <w:numId w:val="3"/>
        </w:numPr>
        <w:pBdr>
          <w:top w:val="nil"/>
          <w:left w:val="nil"/>
          <w:bottom w:val="nil"/>
          <w:right w:val="nil"/>
          <w:between w:val="nil"/>
        </w:pBdr>
        <w:tabs>
          <w:tab w:val="left" w:pos="851"/>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w:t>
      </w:r>
      <w:r>
        <w:rPr>
          <w:rFonts w:ascii="Palatino Linotype" w:eastAsia="Palatino Linotype" w:hAnsi="Palatino Linotype" w:cs="Palatino Linotype"/>
          <w:color w:val="000000"/>
          <w:sz w:val="24"/>
          <w:szCs w:val="24"/>
        </w:rPr>
        <w:lastRenderedPageBreak/>
        <w:t>encuentre en su posesión en estricto apego a los principios de eficacia</w:t>
      </w:r>
      <w:r>
        <w:rPr>
          <w:rFonts w:ascii="Palatino Linotype" w:eastAsia="Palatino Linotype" w:hAnsi="Palatino Linotype" w:cs="Palatino Linotype"/>
          <w:color w:val="000000"/>
          <w:sz w:val="24"/>
          <w:szCs w:val="24"/>
          <w:vertAlign w:val="superscript"/>
        </w:rPr>
        <w:footnoteReference w:id="5"/>
      </w:r>
      <w:r>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CB4B51" w:rsidRDefault="00CB4B51">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tabs>
          <w:tab w:val="left" w:pos="851"/>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CB4B51" w:rsidRDefault="009044BD">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w:t>
      </w:r>
      <w:r>
        <w:rPr>
          <w:rFonts w:ascii="Palatino Linotype" w:eastAsia="Palatino Linotype" w:hAnsi="Palatino Linotype" w:cs="Palatino Linotype"/>
          <w:i/>
          <w:color w:val="000000"/>
          <w:sz w:val="22"/>
          <w:szCs w:val="22"/>
        </w:rPr>
        <w:lastRenderedPageBreak/>
        <w:t xml:space="preserve">justificados bajo determinadas circunstancias, se podrá clasificar como confidencial o reservada, esto es, considerarla con una calidad diversa. </w:t>
      </w:r>
    </w:p>
    <w:p w:rsidR="00CB4B51" w:rsidRDefault="00CB4B51">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2"/>
          <w:szCs w:val="22"/>
        </w:rPr>
      </w:pPr>
    </w:p>
    <w:p w:rsidR="00CB4B51" w:rsidRDefault="009044BD">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CUARTO TRIBUNAL COLEGIADO EN MATERIA ADMINISTRATIVA DEL PRIMER CIRCUITO. </w:t>
      </w:r>
    </w:p>
    <w:p w:rsidR="00CB4B51" w:rsidRDefault="009044BD">
      <w:pPr>
        <w:pBdr>
          <w:top w:val="nil"/>
          <w:left w:val="nil"/>
          <w:bottom w:val="nil"/>
          <w:right w:val="nil"/>
          <w:between w:val="nil"/>
        </w:pBdr>
        <w:tabs>
          <w:tab w:val="left" w:pos="851"/>
        </w:tabs>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rsidR="00CB4B51" w:rsidRDefault="00CB4B51">
      <w:pPr>
        <w:pBdr>
          <w:top w:val="nil"/>
          <w:left w:val="nil"/>
          <w:bottom w:val="nil"/>
          <w:right w:val="nil"/>
          <w:between w:val="nil"/>
        </w:pBdr>
        <w:tabs>
          <w:tab w:val="left" w:pos="851"/>
        </w:tabs>
        <w:ind w:left="567" w:right="-734"/>
        <w:jc w:val="both"/>
        <w:rPr>
          <w:rFonts w:ascii="Palatino Linotype" w:eastAsia="Palatino Linotype" w:hAnsi="Palatino Linotype" w:cs="Palatino Linotype"/>
          <w:i/>
          <w:color w:val="000000"/>
          <w:sz w:val="24"/>
          <w:szCs w:val="24"/>
        </w:rPr>
      </w:pPr>
    </w:p>
    <w:p w:rsidR="00CB4B51" w:rsidRDefault="009044BD">
      <w:pPr>
        <w:numPr>
          <w:ilvl w:val="0"/>
          <w:numId w:val="3"/>
        </w:numPr>
        <w:pBdr>
          <w:top w:val="nil"/>
          <w:left w:val="nil"/>
          <w:bottom w:val="nil"/>
          <w:right w:val="nil"/>
          <w:between w:val="nil"/>
        </w:pBdr>
        <w:tabs>
          <w:tab w:val="left" w:pos="851"/>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Como se ha señalado, los Sujetos Obligados deberán proporcionar toda la información que se encuentre en su posesión bajo los estándares más altos de transparencia y máxima publicidad. </w:t>
      </w:r>
    </w:p>
    <w:p w:rsidR="00CB4B51" w:rsidRDefault="00CB4B51">
      <w:pPr>
        <w:tabs>
          <w:tab w:val="left" w:pos="851"/>
        </w:tabs>
        <w:spacing w:line="360" w:lineRule="auto"/>
        <w:ind w:right="-734"/>
        <w:jc w:val="both"/>
        <w:rPr>
          <w:rFonts w:ascii="Palatino Linotype" w:eastAsia="Palatino Linotype" w:hAnsi="Palatino Linotype" w:cs="Palatino Linotype"/>
          <w:sz w:val="24"/>
          <w:szCs w:val="24"/>
        </w:rPr>
      </w:pPr>
    </w:p>
    <w:p w:rsidR="00CB4B51" w:rsidRDefault="009044BD">
      <w:pPr>
        <w:numPr>
          <w:ilvl w:val="0"/>
          <w:numId w:val="3"/>
        </w:numPr>
        <w:pBdr>
          <w:top w:val="nil"/>
          <w:left w:val="nil"/>
          <w:bottom w:val="nil"/>
          <w:right w:val="nil"/>
          <w:between w:val="nil"/>
        </w:pBdr>
        <w:tabs>
          <w:tab w:val="left" w:pos="0"/>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Es pertinente enfatizar lo que respecto al derecho de acceso a la información pública, refiere el artículo 6° de la Constitución Política de los Estados Unidos Mexicanos, que en su parte conducente señala:</w:t>
      </w: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w:t>
      </w:r>
    </w:p>
    <w:p w:rsidR="00CB4B51" w:rsidRDefault="00CB4B51">
      <w:pPr>
        <w:ind w:left="567" w:right="257"/>
        <w:jc w:val="both"/>
        <w:rPr>
          <w:rFonts w:ascii="Palatino Linotype" w:eastAsia="Palatino Linotype" w:hAnsi="Palatino Linotype" w:cs="Palatino Linotype"/>
          <w:i/>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tiene derecho al libre acceso a información plural y oportuna, así como a buscar, recibir y difundir información e ideas de toda índole por cualquier medio de expresión.</w:t>
      </w:r>
    </w:p>
    <w:p w:rsidR="00CB4B51" w:rsidRDefault="00CB4B51">
      <w:pPr>
        <w:ind w:left="567" w:right="257"/>
        <w:jc w:val="both"/>
        <w:rPr>
          <w:rFonts w:ascii="Palatino Linotype" w:eastAsia="Palatino Linotype" w:hAnsi="Palatino Linotype" w:cs="Palatino Linotype"/>
          <w:i/>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CB4B51" w:rsidRDefault="00CB4B51">
      <w:pPr>
        <w:ind w:left="567" w:right="257"/>
        <w:jc w:val="both"/>
        <w:rPr>
          <w:rFonts w:ascii="Palatino Linotype" w:eastAsia="Palatino Linotype" w:hAnsi="Palatino Linotype" w:cs="Palatino Linotype"/>
          <w:i/>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CB4B51" w:rsidRDefault="00CB4B51">
      <w:pPr>
        <w:ind w:left="567" w:right="257"/>
        <w:jc w:val="both"/>
        <w:rPr>
          <w:rFonts w:ascii="Palatino Linotype" w:eastAsia="Palatino Linotype" w:hAnsi="Palatino Linotype" w:cs="Palatino Linotype"/>
          <w:b/>
          <w:i/>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cualquier 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w:t>
      </w:r>
      <w:r>
        <w:rPr>
          <w:rFonts w:ascii="Palatino Linotype" w:eastAsia="Palatino Linotype" w:hAnsi="Palatino Linotype" w:cs="Palatino Linotype"/>
          <w:i/>
          <w:sz w:val="22"/>
          <w:szCs w:val="22"/>
        </w:rPr>
        <w:lastRenderedPageBreak/>
        <w:t xml:space="preserve">reciba y ejerza recursos públicos o realice actos de autoridad en el ámbito federal,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CB4B51" w:rsidRDefault="00CB4B51">
      <w:pPr>
        <w:ind w:left="567" w:right="257"/>
        <w:jc w:val="both"/>
        <w:rPr>
          <w:rFonts w:ascii="Palatino Linotype" w:eastAsia="Palatino Linotype" w:hAnsi="Palatino Linotype" w:cs="Palatino Linotype"/>
          <w:i/>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que se refiere a la vida privada y los datos personales será protegida en los términos y con las excepciones que fijen las leyes.</w:t>
      </w:r>
    </w:p>
    <w:p w:rsidR="00CB4B51" w:rsidRDefault="00CB4B51">
      <w:pPr>
        <w:ind w:left="567" w:right="257"/>
        <w:jc w:val="both"/>
        <w:rPr>
          <w:rFonts w:ascii="Palatino Linotype" w:eastAsia="Palatino Linotype" w:hAnsi="Palatino Linotype" w:cs="Palatino Linotype"/>
          <w:i/>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CB4B51" w:rsidRDefault="00CB4B51">
      <w:pPr>
        <w:ind w:left="567" w:right="257"/>
        <w:jc w:val="both"/>
        <w:rPr>
          <w:rFonts w:ascii="Palatino Linotype" w:eastAsia="Palatino Linotype" w:hAnsi="Palatino Linotype" w:cs="Palatino Linotype"/>
          <w:i/>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rsidR="00CB4B51" w:rsidRDefault="00CB4B51">
      <w:pPr>
        <w:ind w:left="567" w:right="257"/>
        <w:jc w:val="both"/>
        <w:rPr>
          <w:rFonts w:ascii="Palatino Linotype" w:eastAsia="Palatino Linotype" w:hAnsi="Palatino Linotype" w:cs="Palatino Linotype"/>
          <w:b/>
          <w:i/>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Los sujetos obligados deberán preservar sus documentos en archivos administrativos actualizados y publicarán, a través de los medios electrónicos disponibles</w:t>
      </w:r>
      <w:r>
        <w:rPr>
          <w:rFonts w:ascii="Palatino Linotype" w:eastAsia="Palatino Linotype" w:hAnsi="Palatino Linotype" w:cs="Palatino Linotype"/>
          <w:i/>
          <w:sz w:val="22"/>
          <w:szCs w:val="22"/>
        </w:rPr>
        <w:t>, la información completa y actualizada sobre el ejercicio de los recursos públicos y los indicadores que permitan rendir cuenta del cumplimiento de sus objetivos y de los resultados obtenidos.</w:t>
      </w:r>
    </w:p>
    <w:p w:rsidR="00CB4B51" w:rsidRDefault="00CB4B51">
      <w:pPr>
        <w:ind w:left="567" w:right="257"/>
        <w:jc w:val="both"/>
        <w:rPr>
          <w:rFonts w:ascii="Palatino Linotype" w:eastAsia="Palatino Linotype" w:hAnsi="Palatino Linotype" w:cs="Palatino Linotype"/>
          <w:i/>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leyes determinarán la manera en que los sujetos obligados deberán hacer pública la información relativa a los recursos públicos que entreguen a personas físicas o morales.</w:t>
      </w:r>
    </w:p>
    <w:p w:rsidR="00CB4B51" w:rsidRDefault="00CB4B51">
      <w:pPr>
        <w:ind w:left="567" w:right="257"/>
        <w:jc w:val="both"/>
        <w:rPr>
          <w:rFonts w:ascii="Palatino Linotype" w:eastAsia="Palatino Linotype" w:hAnsi="Palatino Linotype" w:cs="Palatino Linotype"/>
          <w:i/>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w:t>
      </w:r>
    </w:p>
    <w:p w:rsidR="00CB4B51" w:rsidRDefault="00CB4B51">
      <w:pPr>
        <w:ind w:left="567" w:right="257"/>
        <w:jc w:val="both"/>
        <w:rPr>
          <w:rFonts w:ascii="Palatino Linotype" w:eastAsia="Palatino Linotype" w:hAnsi="Palatino Linotype" w:cs="Palatino Linotype"/>
          <w:i/>
          <w:sz w:val="22"/>
          <w:szCs w:val="22"/>
        </w:rPr>
      </w:pP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ley establecerá aquella información que se considere reservada o confidencial.”</w:t>
      </w:r>
    </w:p>
    <w:p w:rsidR="00CB4B51" w:rsidRDefault="009044BD">
      <w:pPr>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(Énfasis añadido)</w:t>
      </w:r>
    </w:p>
    <w:p w:rsidR="00CB4B51" w:rsidRDefault="00CB4B51">
      <w:pPr>
        <w:spacing w:line="360" w:lineRule="auto"/>
        <w:ind w:left="709" w:right="-734"/>
        <w:jc w:val="both"/>
        <w:rPr>
          <w:rFonts w:ascii="Palatino Linotype" w:eastAsia="Palatino Linotype" w:hAnsi="Palatino Linotype" w:cs="Palatino Linotype"/>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rsidR="00CB4B51" w:rsidRDefault="009044BD">
      <w:pPr>
        <w:ind w:left="567"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5. … </w:t>
      </w: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La ley establecerá las previsiones que permitan asegurar la protección, el respeto y la difusión de este derecho. </w:t>
      </w: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rsidR="00CB4B51" w:rsidRDefault="00CB4B51">
      <w:pPr>
        <w:ind w:left="567" w:right="115"/>
        <w:jc w:val="both"/>
        <w:rPr>
          <w:rFonts w:ascii="Palatino Linotype" w:eastAsia="Palatino Linotype" w:hAnsi="Palatino Linotype" w:cs="Palatino Linotype"/>
          <w:i/>
          <w:sz w:val="22"/>
          <w:szCs w:val="22"/>
        </w:rPr>
      </w:pP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Este derecho se regirá por los principios y bases siguientes:</w:t>
      </w:r>
    </w:p>
    <w:p w:rsidR="00CB4B51" w:rsidRDefault="00CB4B51">
      <w:pPr>
        <w:ind w:left="567" w:right="115"/>
        <w:jc w:val="both"/>
        <w:rPr>
          <w:rFonts w:ascii="Palatino Linotype" w:eastAsia="Palatino Linotype" w:hAnsi="Palatino Linotype" w:cs="Palatino Linotype"/>
          <w:b/>
          <w:i/>
          <w:sz w:val="22"/>
          <w:szCs w:val="22"/>
        </w:rPr>
      </w:pP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Toda la información en posesión </w:t>
      </w:r>
      <w:r>
        <w:rPr>
          <w:rFonts w:ascii="Palatino Linotype" w:eastAsia="Palatino Linotype" w:hAnsi="Palatino Linotype" w:cs="Palatino Linotype"/>
          <w:i/>
          <w:sz w:val="22"/>
          <w:szCs w:val="22"/>
        </w:rPr>
        <w:t xml:space="preserve">de cualquier autoridad, entidad, órgano y organismos de los Poderes Ejecutivo, Legislativo y Judicial, órganos autónomos, partidos políticos, fideicomisos y fondos públicos estatales y municipales, así como </w:t>
      </w:r>
      <w:r>
        <w:rPr>
          <w:rFonts w:ascii="Palatino Linotype" w:eastAsia="Palatino Linotype" w:hAnsi="Palatino Linotype" w:cs="Palatino Linotype"/>
          <w:b/>
          <w:i/>
          <w:sz w:val="22"/>
          <w:szCs w:val="22"/>
        </w:rPr>
        <w:t>del gobierno y de la administración pública municipal y sus organismos descentralizados</w:t>
      </w:r>
      <w:r>
        <w:rPr>
          <w:rFonts w:ascii="Palatino Linotype" w:eastAsia="Palatino Linotype" w:hAnsi="Palatino Linotype" w:cs="Palatino Linotype"/>
          <w:i/>
          <w:sz w:val="22"/>
          <w:szCs w:val="22"/>
        </w:rPr>
        <w:t xml:space="preserve">,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CB4B51" w:rsidRDefault="00CB4B51">
      <w:pPr>
        <w:ind w:left="567" w:right="115"/>
        <w:jc w:val="both"/>
        <w:rPr>
          <w:rFonts w:ascii="Palatino Linotype" w:eastAsia="Palatino Linotype" w:hAnsi="Palatino Linotype" w:cs="Palatino Linotype"/>
          <w:i/>
          <w:sz w:val="22"/>
          <w:szCs w:val="22"/>
        </w:rPr>
      </w:pP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rsidR="00CB4B51" w:rsidRDefault="00CB4B51">
      <w:pPr>
        <w:ind w:left="567" w:right="115"/>
        <w:jc w:val="both"/>
        <w:rPr>
          <w:rFonts w:ascii="Palatino Linotype" w:eastAsia="Palatino Linotype" w:hAnsi="Palatino Linotype" w:cs="Palatino Linotype"/>
          <w:i/>
          <w:sz w:val="22"/>
          <w:szCs w:val="22"/>
        </w:rPr>
      </w:pP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CB4B51" w:rsidRDefault="00CB4B51">
      <w:pPr>
        <w:ind w:left="567" w:right="115"/>
        <w:jc w:val="both"/>
        <w:rPr>
          <w:rFonts w:ascii="Palatino Linotype" w:eastAsia="Palatino Linotype" w:hAnsi="Palatino Linotype" w:cs="Palatino Linotype"/>
          <w:i/>
          <w:sz w:val="22"/>
          <w:szCs w:val="22"/>
        </w:rPr>
      </w:pP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IV. Se establecerán mecanismos de acceso a la información y procedimientos de revisión expeditos que se sustanciarán ante el organismo autónomo especializado e imparcial que establece esta Constitución.</w:t>
      </w:r>
    </w:p>
    <w:p w:rsidR="00CB4B51" w:rsidRDefault="00CB4B51">
      <w:pPr>
        <w:ind w:left="567" w:right="115"/>
        <w:jc w:val="both"/>
        <w:rPr>
          <w:rFonts w:ascii="Palatino Linotype" w:eastAsia="Palatino Linotype" w:hAnsi="Palatino Linotype" w:cs="Palatino Linotype"/>
          <w:i/>
          <w:sz w:val="22"/>
          <w:szCs w:val="22"/>
        </w:rPr>
      </w:pP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rsidR="00CB4B51" w:rsidRDefault="00CB4B51">
      <w:pPr>
        <w:ind w:left="567" w:right="115"/>
        <w:jc w:val="both"/>
        <w:rPr>
          <w:rFonts w:ascii="Palatino Linotype" w:eastAsia="Palatino Linotype" w:hAnsi="Palatino Linotype" w:cs="Palatino Linotype"/>
          <w:b/>
          <w:i/>
          <w:sz w:val="22"/>
          <w:szCs w:val="22"/>
        </w:rPr>
      </w:pP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 Los sujetos obligados deberán preservar sus documentos en archivos administrativos actualizados y publicarán, a través de los medios electrónicos disponibles, la información completa y actualizada sobre el ejercicio de los recursos públicos</w:t>
      </w:r>
      <w:r>
        <w:rPr>
          <w:rFonts w:ascii="Palatino Linotype" w:eastAsia="Palatino Linotype" w:hAnsi="Palatino Linotype" w:cs="Palatino Linotype"/>
          <w:i/>
          <w:sz w:val="22"/>
          <w:szCs w:val="22"/>
        </w:rPr>
        <w:t xml:space="preserve"> y los indicadores que permitan rendir cuenta del cumplimiento de sus objetivos y los resultados obtenidos.</w:t>
      </w:r>
    </w:p>
    <w:p w:rsidR="00CB4B51" w:rsidRDefault="00CB4B51">
      <w:pPr>
        <w:ind w:left="567" w:right="115"/>
        <w:jc w:val="both"/>
        <w:rPr>
          <w:rFonts w:ascii="Palatino Linotype" w:eastAsia="Palatino Linotype" w:hAnsi="Palatino Linotype" w:cs="Palatino Linotype"/>
          <w:i/>
          <w:sz w:val="22"/>
          <w:szCs w:val="22"/>
        </w:rPr>
      </w:pP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ley reglamentaria, determinará la manera en que los sujetos obligados deberán hacer pública la información relativa a los recursos públicos que entreguen a personas físicas o jurídicas colectivas.”</w:t>
      </w:r>
    </w:p>
    <w:p w:rsidR="00CB4B51" w:rsidRDefault="00CB4B51">
      <w:pPr>
        <w:ind w:left="567" w:right="115"/>
        <w:jc w:val="both"/>
        <w:rPr>
          <w:rFonts w:ascii="Palatino Linotype" w:eastAsia="Palatino Linotype" w:hAnsi="Palatino Linotype" w:cs="Palatino Linotype"/>
          <w:sz w:val="22"/>
          <w:szCs w:val="22"/>
        </w:rPr>
      </w:pPr>
    </w:p>
    <w:p w:rsidR="00CB4B51" w:rsidRDefault="009044BD">
      <w:pPr>
        <w:ind w:left="567"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rsidR="00CB4B51" w:rsidRDefault="00CB4B51">
      <w:pPr>
        <w:spacing w:line="360" w:lineRule="auto"/>
        <w:ind w:left="567" w:right="-734"/>
        <w:jc w:val="both"/>
        <w:rPr>
          <w:rFonts w:ascii="Palatino Linotype" w:eastAsia="Palatino Linotype" w:hAnsi="Palatino Linotype" w:cs="Palatino Linotype"/>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Adicional, tenemos que la Ley de Transparencia y Acceso a la Información Pública del Estado de México y Municipios, prevé en su artículo 23 fracción </w:t>
      </w:r>
      <w:r w:rsidRPr="00DF16A3">
        <w:rPr>
          <w:rFonts w:ascii="Palatino Linotype" w:eastAsia="Palatino Linotype" w:hAnsi="Palatino Linotype" w:cs="Palatino Linotype"/>
          <w:color w:val="000000"/>
          <w:sz w:val="24"/>
          <w:szCs w:val="24"/>
        </w:rPr>
        <w:t>I,</w:t>
      </w:r>
      <w:r>
        <w:rPr>
          <w:rFonts w:ascii="Palatino Linotype" w:eastAsia="Palatino Linotype" w:hAnsi="Palatino Linotype" w:cs="Palatino Linotype"/>
          <w:color w:val="000000"/>
          <w:sz w:val="24"/>
          <w:szCs w:val="24"/>
        </w:rPr>
        <w:t xml:space="preserve"> lo siguiente:</w:t>
      </w: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rsidR="00CB4B51" w:rsidRDefault="00CB4B51">
      <w:pPr>
        <w:ind w:left="567" w:right="115"/>
        <w:jc w:val="both"/>
        <w:rPr>
          <w:rFonts w:ascii="Palatino Linotype" w:eastAsia="Palatino Linotype" w:hAnsi="Palatino Linotype" w:cs="Palatino Linotype"/>
          <w:i/>
          <w:sz w:val="22"/>
          <w:szCs w:val="22"/>
        </w:rPr>
      </w:pPr>
    </w:p>
    <w:p w:rsidR="00CB4B51" w:rsidRDefault="009044BD">
      <w:pPr>
        <w:ind w:left="567"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I. El Poder Ejecutivo del Estado de México, las dependencias, organismos auxiliares, órganos, entidades, fideicomisos y fondos públicos, así como la Fiscalía General de Justicia del Estado de México; </w:t>
      </w:r>
    </w:p>
    <w:p w:rsidR="00CB4B51" w:rsidRDefault="00CB4B51">
      <w:pPr>
        <w:ind w:left="567" w:right="115"/>
        <w:jc w:val="both"/>
        <w:rPr>
          <w:rFonts w:ascii="Palatino Linotype" w:eastAsia="Palatino Linotype" w:hAnsi="Palatino Linotype" w:cs="Palatino Linotype"/>
          <w:b/>
          <w:i/>
          <w:sz w:val="22"/>
          <w:szCs w:val="22"/>
        </w:rPr>
      </w:pPr>
    </w:p>
    <w:p w:rsidR="00CB4B51" w:rsidRDefault="009044BD">
      <w:pPr>
        <w:ind w:left="567"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rsidR="00CB4B51" w:rsidRDefault="009044BD">
      <w:pPr>
        <w:ind w:left="567"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lastRenderedPageBreak/>
        <w:t>así como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informes que dichas personas les entreguen sobre el uso y destino de dichos recursos.</w:t>
      </w:r>
    </w:p>
    <w:p w:rsidR="00CB4B51" w:rsidRDefault="00CB4B51">
      <w:pPr>
        <w:ind w:left="567" w:right="115"/>
        <w:jc w:val="both"/>
        <w:rPr>
          <w:rFonts w:ascii="Palatino Linotype" w:eastAsia="Palatino Linotype" w:hAnsi="Palatino Linotype" w:cs="Palatino Linotype"/>
          <w:b/>
          <w:i/>
          <w:sz w:val="22"/>
          <w:szCs w:val="22"/>
        </w:rPr>
      </w:pP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rsidR="00CB4B51" w:rsidRDefault="009044BD">
      <w:pPr>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rsidR="00DF16A3" w:rsidRDefault="00DF16A3">
      <w:pPr>
        <w:ind w:left="567" w:right="115"/>
        <w:jc w:val="both"/>
        <w:rPr>
          <w:rFonts w:ascii="Palatino Linotype" w:eastAsia="Palatino Linotype" w:hAnsi="Palatino Linotype" w:cs="Palatino Linotype"/>
          <w:i/>
          <w:sz w:val="22"/>
          <w:szCs w:val="22"/>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Por lo anterior, es de referir que,</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Ayuntamiento de Ecatepec de Morelos</w:t>
      </w:r>
      <w:r>
        <w:rPr>
          <w:rFonts w:ascii="Palatino Linotype" w:eastAsia="Palatino Linotype" w:hAnsi="Palatino Linotype" w:cs="Palatino Linotype"/>
          <w:color w:val="000000"/>
          <w:sz w:val="24"/>
          <w:szCs w:val="24"/>
        </w:rPr>
        <w:t>, al ser un Sujeto Obligado comprendido por la Legislación Local en materia de Transparencia, se encuentra obligado a hacer pública toda aquella información que genere, administre o posea.</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 xml:space="preserve">II. Del agravio del Recurrente. </w:t>
      </w:r>
    </w:p>
    <w:p w:rsidR="00CB4B51" w:rsidRDefault="009044BD">
      <w:pPr>
        <w:numPr>
          <w:ilvl w:val="0"/>
          <w:numId w:val="3"/>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Conocida la respuesta, el Recurrente se </w:t>
      </w:r>
      <w:r>
        <w:rPr>
          <w:rFonts w:ascii="Palatino Linotype" w:eastAsia="Palatino Linotype" w:hAnsi="Palatino Linotype" w:cs="Palatino Linotype"/>
          <w:sz w:val="24"/>
          <w:szCs w:val="24"/>
        </w:rPr>
        <w:t>inconforma</w:t>
      </w:r>
      <w:r>
        <w:rPr>
          <w:rFonts w:ascii="Palatino Linotype" w:eastAsia="Palatino Linotype" w:hAnsi="Palatino Linotype" w:cs="Palatino Linotype"/>
          <w:color w:val="000000"/>
          <w:sz w:val="24"/>
          <w:szCs w:val="24"/>
        </w:rPr>
        <w:t xml:space="preserve"> porque no se le entregaron los oficios de la búsqueda exhaustiva que se realizó, entendiéndose esto como los oficios de turno de la solicitud a las áreas competentes que generan, administran o poseen la información requerida.</w:t>
      </w:r>
    </w:p>
    <w:p w:rsidR="00CB4B51" w:rsidRDefault="00CB4B51">
      <w:pPr>
        <w:pBdr>
          <w:top w:val="nil"/>
          <w:left w:val="nil"/>
          <w:bottom w:val="nil"/>
          <w:right w:val="nil"/>
          <w:between w:val="nil"/>
        </w:pBdr>
        <w:tabs>
          <w:tab w:val="left" w:pos="567"/>
        </w:tabs>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Primeramente es necesario señalar que el particular no impugnó nada de la información que se le proporcionó en respuesta, solo se inconforma porque no se le entregaron los oficios por medios de los cuales se realizó la búsqueda exhaustiva de la información, es decir, </w:t>
      </w:r>
      <w:r>
        <w:rPr>
          <w:rFonts w:ascii="Palatino Linotype" w:eastAsia="Palatino Linotype" w:hAnsi="Palatino Linotype" w:cs="Palatino Linotype"/>
          <w:sz w:val="24"/>
          <w:szCs w:val="24"/>
        </w:rPr>
        <w:lastRenderedPageBreak/>
        <w:t xml:space="preserve">respecto de la información proporcionada en respuesta por el Sujeto Obligado, se tiene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CB4B51" w:rsidRDefault="00CB4B51">
      <w:pPr>
        <w:ind w:left="720" w:right="-734"/>
        <w:rPr>
          <w:rFonts w:ascii="Palatino Linotype" w:eastAsia="Palatino Linotype" w:hAnsi="Palatino Linotype" w:cs="Palatino Linotype"/>
          <w:sz w:val="24"/>
          <w:szCs w:val="24"/>
        </w:rPr>
      </w:pPr>
    </w:p>
    <w:p w:rsidR="00CB4B51" w:rsidRDefault="009044BD">
      <w:pPr>
        <w:numPr>
          <w:ilvl w:val="0"/>
          <w:numId w:val="3"/>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Sirve de sustento, la tesis jurisprudencial número VI.3o.C. J/60, publicada en el Semanario Judicial de la Federación y su Gaceta bajo el número de registro 176,608 que a la letra dice:</w:t>
      </w:r>
    </w:p>
    <w:p w:rsidR="00CB4B51" w:rsidRDefault="009044BD">
      <w:pPr>
        <w:tabs>
          <w:tab w:val="left" w:pos="851"/>
        </w:tabs>
        <w:spacing w:line="360" w:lineRule="auto"/>
        <w:ind w:left="502"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“ACTOS CONSENTIDOS. SON LOS QUE NO SE IMPUGNAN MEDIANTE EL RECURSO IDÓNEO. </w:t>
      </w:r>
      <w:r>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CB4B51" w:rsidRDefault="00CB4B51">
      <w:pPr>
        <w:spacing w:line="360" w:lineRule="auto"/>
        <w:ind w:left="502" w:right="-734"/>
        <w:jc w:val="both"/>
        <w:rPr>
          <w:rFonts w:ascii="Palatino Linotype" w:eastAsia="Palatino Linotype" w:hAnsi="Palatino Linotype" w:cs="Palatino Linotype"/>
          <w:sz w:val="24"/>
          <w:szCs w:val="24"/>
        </w:rPr>
      </w:pPr>
    </w:p>
    <w:p w:rsidR="00CB4B51" w:rsidRPr="00DF16A3" w:rsidRDefault="009044BD">
      <w:pPr>
        <w:numPr>
          <w:ilvl w:val="0"/>
          <w:numId w:val="3"/>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De la interpretación del criterio antes citado, se advierte que cuando el particular impugnó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expresó razón o motivo de inconformidad en contra de todos los rubros solicitados, por tanto estos deben declararse atendidos, pues se entiende que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está conforme con la respuesta proporcionada por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al no contravenir la misma. </w:t>
      </w:r>
    </w:p>
    <w:p w:rsidR="00DF16A3" w:rsidRDefault="00DF16A3" w:rsidP="00DF16A3">
      <w:pPr>
        <w:pBdr>
          <w:top w:val="nil"/>
          <w:left w:val="nil"/>
          <w:bottom w:val="nil"/>
          <w:right w:val="nil"/>
          <w:between w:val="nil"/>
        </w:pBdr>
        <w:tabs>
          <w:tab w:val="left" w:pos="567"/>
        </w:tabs>
        <w:spacing w:line="360" w:lineRule="auto"/>
        <w:ind w:right="-734"/>
        <w:jc w:val="both"/>
        <w:rPr>
          <w:rFonts w:ascii="Palatino Linotype" w:eastAsia="Palatino Linotype" w:hAnsi="Palatino Linotype" w:cs="Palatino Linotype"/>
        </w:rPr>
      </w:pPr>
    </w:p>
    <w:p w:rsidR="00CB4B51" w:rsidRDefault="009044BD">
      <w:pPr>
        <w:numPr>
          <w:ilvl w:val="0"/>
          <w:numId w:val="3"/>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lastRenderedPageBreak/>
        <w:t>Atento a ello, es importante traer a contexto la Tesis Jurisprudencial Número 3ª./J.7/91, Publicada en el Semanario Judicial de la Federación y su Gaceta bajo el número de registro 174,177, que establece lo siguiente:</w:t>
      </w:r>
    </w:p>
    <w:p w:rsidR="00CB4B51" w:rsidRDefault="009044BD">
      <w:pPr>
        <w:tabs>
          <w:tab w:val="left" w:pos="7937"/>
          <w:tab w:val="left" w:pos="8222"/>
        </w:tabs>
        <w:spacing w:line="360" w:lineRule="auto"/>
        <w:ind w:left="502"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“REVISIÓN EN AMPARO. LOS RESOLUTIVOS NO COMBATIDOS DEBEN DECLARARSE FIRMES. </w:t>
      </w:r>
      <w:r>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CB4B51" w:rsidRDefault="00CB4B51">
      <w:pPr>
        <w:pBdr>
          <w:top w:val="nil"/>
          <w:left w:val="nil"/>
          <w:bottom w:val="nil"/>
          <w:right w:val="nil"/>
          <w:between w:val="nil"/>
        </w:pBdr>
        <w:tabs>
          <w:tab w:val="left" w:pos="567"/>
        </w:tabs>
        <w:spacing w:line="360" w:lineRule="auto"/>
        <w:ind w:right="-734"/>
        <w:jc w:val="both"/>
        <w:rPr>
          <w:rFonts w:ascii="Palatino Linotype" w:eastAsia="Palatino Linotype" w:hAnsi="Palatino Linotype" w:cs="Palatino Linotype"/>
          <w:sz w:val="24"/>
          <w:szCs w:val="24"/>
        </w:rPr>
      </w:pPr>
    </w:p>
    <w:p w:rsidR="00CB4B51" w:rsidRDefault="009044BD">
      <w:pPr>
        <w:numPr>
          <w:ilvl w:val="0"/>
          <w:numId w:val="3"/>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Ahora bien, respecto de lo manifestado en los motivos de inconformidad por el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Pr>
          <w:rFonts w:ascii="Palatino Linotype" w:eastAsia="Palatino Linotype" w:hAnsi="Palatino Linotype" w:cs="Palatino Linotype"/>
          <w:i/>
          <w:color w:val="000000"/>
          <w:sz w:val="24"/>
          <w:szCs w:val="24"/>
        </w:rPr>
        <w:t xml:space="preserve">en el ámbito de sus atribuciones, de promover, respetar, proteger y </w:t>
      </w:r>
      <w:r>
        <w:rPr>
          <w:rFonts w:ascii="Palatino Linotype" w:eastAsia="Palatino Linotype" w:hAnsi="Palatino Linotype" w:cs="Palatino Linotype"/>
          <w:b/>
          <w:i/>
          <w:color w:val="000000"/>
          <w:sz w:val="24"/>
          <w:szCs w:val="24"/>
        </w:rPr>
        <w:t>garantizar</w:t>
      </w:r>
      <w:r>
        <w:rPr>
          <w:rFonts w:ascii="Palatino Linotype" w:eastAsia="Palatino Linotype" w:hAnsi="Palatino Linotype" w:cs="Palatino Linotype"/>
          <w:i/>
          <w:color w:val="000000"/>
          <w:sz w:val="24"/>
          <w:szCs w:val="24"/>
        </w:rPr>
        <w:t xml:space="preserve"> los derechos humanos. </w:t>
      </w:r>
      <w:r>
        <w:rPr>
          <w:rFonts w:ascii="Palatino Linotype" w:eastAsia="Palatino Linotype" w:hAnsi="Palatino Linotype" w:cs="Palatino Linotype"/>
          <w:b/>
          <w:i/>
          <w:color w:val="000000"/>
          <w:sz w:val="24"/>
          <w:szCs w:val="24"/>
        </w:rPr>
        <w:t>En cuanto al derecho de acceso a la información, la Ley de Transparencia y Acceso a la Información Pública del Estado de México y Municipios prevé establece que e</w:t>
      </w:r>
      <w:r>
        <w:rPr>
          <w:rFonts w:ascii="Palatino Linotype" w:eastAsia="Palatino Linotype" w:hAnsi="Palatino Linotype" w:cs="Palatino Linotype"/>
          <w:i/>
          <w:color w:val="000000"/>
          <w:sz w:val="24"/>
          <w:szCs w:val="24"/>
        </w:rPr>
        <w:t>l procedimiento de acceso a la información es la garantía primaria del derecho en cuestión y se rige por los principios de simplicidad, rapidez y gratuidad del procedimiento, auxilio y orientación a los particulares</w:t>
      </w:r>
      <w:r>
        <w:rPr>
          <w:rFonts w:ascii="Palatino Linotype" w:eastAsia="Palatino Linotype" w:hAnsi="Palatino Linotype" w:cs="Palatino Linotype"/>
          <w:i/>
          <w:color w:val="000000"/>
          <w:sz w:val="24"/>
          <w:szCs w:val="24"/>
          <w:vertAlign w:val="superscript"/>
        </w:rPr>
        <w:footnoteReference w:id="6"/>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color w:val="000000"/>
          <w:sz w:val="24"/>
          <w:szCs w:val="24"/>
        </w:rPr>
        <w:t>asimismo establece</w:t>
      </w:r>
      <w:r>
        <w:rPr>
          <w:rFonts w:ascii="Palatino Linotype" w:eastAsia="Palatino Linotype" w:hAnsi="Palatino Linotype" w:cs="Palatino Linotype"/>
          <w:i/>
          <w:color w:val="000000"/>
          <w:sz w:val="24"/>
          <w:szCs w:val="24"/>
        </w:rPr>
        <w:t xml:space="preserve"> que las unidades de transparencia de los Sujetos </w:t>
      </w:r>
      <w:r>
        <w:rPr>
          <w:rFonts w:ascii="Palatino Linotype" w:eastAsia="Palatino Linotype" w:hAnsi="Palatino Linotype" w:cs="Palatino Linotype"/>
          <w:i/>
          <w:color w:val="000000"/>
          <w:sz w:val="24"/>
          <w:szCs w:val="24"/>
        </w:rPr>
        <w:lastRenderedPageBreak/>
        <w:t>Obligados deberán garantizar las medidas y condiciones de accesibilidad para que toda persona pueda ejercer el derecho de acceso a la información, mediante solicitudes de información y deberá apoyar al solicitante en la elaboración de las mismas.</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Pr>
          <w:rFonts w:ascii="Palatino Linotype" w:eastAsia="Palatino Linotype" w:hAnsi="Palatino Linotype" w:cs="Palatino Linotype"/>
          <w:sz w:val="24"/>
          <w:szCs w:val="24"/>
        </w:rPr>
        <w:t>administran</w:t>
      </w:r>
      <w:r>
        <w:rPr>
          <w:rFonts w:ascii="Palatino Linotype" w:eastAsia="Palatino Linotype" w:hAnsi="Palatino Linotype" w:cs="Palatino Linotype"/>
          <w:color w:val="000000"/>
          <w:sz w:val="24"/>
          <w:szCs w:val="24"/>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Pr>
          <w:rFonts w:ascii="Palatino Linotype" w:eastAsia="Palatino Linotype" w:hAnsi="Palatino Linotype" w:cs="Palatino Linotype"/>
          <w:i/>
          <w:color w:val="000000"/>
          <w:sz w:val="24"/>
          <w:szCs w:val="24"/>
        </w:rPr>
        <w:t>realizar, con efectividad, los trámites internos necesarios para la atención de las solicitudes de información</w:t>
      </w:r>
      <w:r>
        <w:rPr>
          <w:rFonts w:ascii="Palatino Linotype" w:eastAsia="Palatino Linotype" w:hAnsi="Palatino Linotype" w:cs="Palatino Linotype"/>
          <w:color w:val="000000"/>
          <w:sz w:val="24"/>
          <w:szCs w:val="24"/>
          <w:vertAlign w:val="superscript"/>
        </w:rPr>
        <w:footnoteReference w:id="7"/>
      </w:r>
      <w:r>
        <w:rPr>
          <w:rFonts w:ascii="Palatino Linotype" w:eastAsia="Palatino Linotype" w:hAnsi="Palatino Linotype" w:cs="Palatino Linotype"/>
          <w:color w:val="000000"/>
          <w:sz w:val="24"/>
          <w:szCs w:val="24"/>
        </w:rPr>
        <w:t>, es decir, deben otorgar respuestas concisas, contundentes y certeras, además de estar en estricto apego a lo que la normatividad en la materia establece.</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Debiendo cumplir con lo dispuesto en la Ley de Transparencia y Acceso a la Información Pública del Estado de México y Municipios, en el artículo 162, mismo del que se inserta su contenido: </w:t>
      </w:r>
    </w:p>
    <w:p w:rsidR="00CB4B51" w:rsidRDefault="009044B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Artículo 162. </w:t>
      </w:r>
      <w:r>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CB4B51" w:rsidRDefault="009044BD">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w:t>
      </w: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bookmarkStart w:id="8" w:name="_heading=h.35nkun2" w:colFirst="0" w:colLast="0"/>
      <w:bookmarkEnd w:id="8"/>
      <w:r>
        <w:rPr>
          <w:rFonts w:ascii="Palatino Linotype" w:eastAsia="Palatino Linotype" w:hAnsi="Palatino Linotype" w:cs="Palatino Linotype"/>
          <w:color w:val="000000"/>
          <w:sz w:val="24"/>
          <w:szCs w:val="24"/>
        </w:rPr>
        <w:t xml:space="preserve">Las unidades de transparencia deberán turnar las solicitudes de acceso a la información a las áreas correspondientes para que estas a su vez, manifestarán lo conducente; situación se materializó, puesto que el Titular de la Unidad de Transparencia </w:t>
      </w:r>
      <w:r>
        <w:rPr>
          <w:rFonts w:ascii="Palatino Linotype" w:eastAsia="Palatino Linotype" w:hAnsi="Palatino Linotype" w:cs="Palatino Linotype"/>
          <w:sz w:val="24"/>
          <w:szCs w:val="24"/>
        </w:rPr>
        <w:t>turno</w:t>
      </w:r>
      <w:r>
        <w:rPr>
          <w:rFonts w:ascii="Palatino Linotype" w:eastAsia="Palatino Linotype" w:hAnsi="Palatino Linotype" w:cs="Palatino Linotype"/>
          <w:color w:val="000000"/>
          <w:sz w:val="24"/>
          <w:szCs w:val="24"/>
        </w:rPr>
        <w:t xml:space="preserve"> la solicitud a la Secretaria del Ayuntamiento, quien de acuerdo a sus facultades, atribuciones y competencias deben generar, administrar y poseer la información requerida.</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La falta de carteo o turno de las Unidades de Transparencia a las diferentes áreas que integran la estructura orgánica de los Sujetos Obligados, podrían causar una afectación o restricción al derecho ejercido por los particulares.</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Es necesario que los Sujetos Obligados, a efecto de brindar certeza jurídica y correcta tutela al derecho accionado por los particulares realicen una correcta búsqueda en todas las </w:t>
      </w:r>
      <w:r>
        <w:rPr>
          <w:rFonts w:ascii="Palatino Linotype" w:eastAsia="Palatino Linotype" w:hAnsi="Palatino Linotype" w:cs="Palatino Linotype"/>
          <w:color w:val="000000"/>
          <w:sz w:val="24"/>
          <w:szCs w:val="24"/>
        </w:rPr>
        <w:lastRenderedPageBreak/>
        <w:t xml:space="preserve">áreas que de acuerdo a sus </w:t>
      </w:r>
      <w:r>
        <w:rPr>
          <w:rFonts w:ascii="Palatino Linotype" w:eastAsia="Palatino Linotype" w:hAnsi="Palatino Linotype" w:cs="Palatino Linotype"/>
          <w:sz w:val="24"/>
          <w:szCs w:val="24"/>
        </w:rPr>
        <w:t>funciones, atribuciones</w:t>
      </w:r>
      <w:r>
        <w:rPr>
          <w:rFonts w:ascii="Palatino Linotype" w:eastAsia="Palatino Linotype" w:hAnsi="Palatino Linotype" w:cs="Palatino Linotype"/>
          <w:color w:val="000000"/>
          <w:sz w:val="24"/>
          <w:szCs w:val="24"/>
        </w:rPr>
        <w:t xml:space="preserve"> y competencias deban generar, administrar y poseer la información de interés para los particulares.</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rsidR="00CB4B51" w:rsidRDefault="009044BD">
      <w:pPr>
        <w:pBdr>
          <w:top w:val="nil"/>
          <w:left w:val="nil"/>
          <w:bottom w:val="nil"/>
          <w:right w:val="nil"/>
          <w:between w:val="nil"/>
        </w:pBdr>
        <w:spacing w:line="360" w:lineRule="auto"/>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53. Las Unidades de Transparencia tendrán las siguientes funciones: </w:t>
      </w:r>
    </w:p>
    <w:p w:rsidR="00CB4B51" w:rsidRDefault="009044BD">
      <w:pPr>
        <w:pBdr>
          <w:top w:val="nil"/>
          <w:left w:val="nil"/>
          <w:bottom w:val="nil"/>
          <w:right w:val="nil"/>
          <w:between w:val="nil"/>
        </w:pBdr>
        <w:spacing w:line="360" w:lineRule="auto"/>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w:t>
      </w:r>
    </w:p>
    <w:p w:rsidR="00CB4B51" w:rsidRDefault="009044BD">
      <w:pPr>
        <w:pBdr>
          <w:top w:val="nil"/>
          <w:left w:val="nil"/>
          <w:bottom w:val="nil"/>
          <w:right w:val="nil"/>
          <w:between w:val="nil"/>
        </w:pBdr>
        <w:spacing w:line="360" w:lineRule="auto"/>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Recibir, tramitar y dar respuesta a las solicitudes de acceso a la información;</w:t>
      </w:r>
    </w:p>
    <w:p w:rsidR="00CB4B51" w:rsidRDefault="009044BD">
      <w:pPr>
        <w:pBdr>
          <w:top w:val="nil"/>
          <w:left w:val="nil"/>
          <w:bottom w:val="nil"/>
          <w:right w:val="nil"/>
          <w:between w:val="nil"/>
        </w:pBdr>
        <w:spacing w:line="360" w:lineRule="auto"/>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CB4B51" w:rsidRDefault="009044BD">
      <w:pPr>
        <w:pBdr>
          <w:top w:val="nil"/>
          <w:left w:val="nil"/>
          <w:bottom w:val="nil"/>
          <w:right w:val="nil"/>
          <w:between w:val="nil"/>
        </w:pBdr>
        <w:spacing w:line="360" w:lineRule="auto"/>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Realizar, con efectividad, los trámites internos necesarios para la atención de las solicitudes de acceso a la información;</w:t>
      </w:r>
    </w:p>
    <w:p w:rsidR="00CB4B51" w:rsidRDefault="00CB4B51">
      <w:pPr>
        <w:ind w:right="-734"/>
        <w:rPr>
          <w:rFonts w:ascii="Palatino Linotype" w:eastAsia="Palatino Linotype" w:hAnsi="Palatino Linotype" w:cs="Palatino Linotype"/>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su parte, las unidades administrativas cuentan con servidores públicos habilitados que son las </w:t>
      </w:r>
      <w:r>
        <w:rPr>
          <w:rFonts w:ascii="Palatino Linotype" w:eastAsia="Palatino Linotype" w:hAnsi="Palatino Linotype" w:cs="Palatino Linotype"/>
          <w:i/>
          <w:color w:val="000000"/>
          <w:sz w:val="24"/>
          <w:szCs w:val="24"/>
        </w:rPr>
        <w:t>personas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CB4B51" w:rsidRDefault="00CB4B51">
      <w:pPr>
        <w:spacing w:line="360" w:lineRule="auto"/>
        <w:ind w:right="-734"/>
        <w:jc w:val="both"/>
        <w:rPr>
          <w:rFonts w:ascii="Palatino Linotype" w:eastAsia="Palatino Linotype" w:hAnsi="Palatino Linotype" w:cs="Palatino Linotype"/>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Es así que, los servidores públicos habilitados de cada unidad administrativa, son las autoridades encargadas de realizar la búsqueda de la información y la eventual entrega a la Unidad de Transparencia, para que </w:t>
      </w:r>
      <w:r>
        <w:rPr>
          <w:rFonts w:ascii="Palatino Linotype" w:eastAsia="Palatino Linotype" w:hAnsi="Palatino Linotype" w:cs="Palatino Linotype"/>
          <w:sz w:val="24"/>
          <w:szCs w:val="24"/>
        </w:rPr>
        <w:t>ésta</w:t>
      </w:r>
      <w:r>
        <w:rPr>
          <w:rFonts w:ascii="Palatino Linotype" w:eastAsia="Palatino Linotype" w:hAnsi="Palatino Linotype" w:cs="Palatino Linotype"/>
          <w:color w:val="000000"/>
          <w:sz w:val="24"/>
          <w:szCs w:val="24"/>
        </w:rPr>
        <w:t xml:space="preserve">, a su vez, la ponga a disposición de los particulares. </w:t>
      </w:r>
      <w:r>
        <w:rPr>
          <w:rFonts w:ascii="Palatino Linotype" w:eastAsia="Palatino Linotype" w:hAnsi="Palatino Linotype" w:cs="Palatino Linotype"/>
          <w:color w:val="000000"/>
          <w:sz w:val="24"/>
          <w:szCs w:val="24"/>
        </w:rPr>
        <w:lastRenderedPageBreak/>
        <w:t xml:space="preserve">Resultando así la responsabilidad de los servidores públicos el elaborar y emitir los oficios o documentos que acompañen la información a proporcionar. </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Dicho lo anterior, es importante mencionar que el Sistema de Acceso a la Información Mexiquense fue creado para que los particulares formulen solicitudes de acceso a la información pública y los recursos de revisión, en el sitio oficial de este Órgano Garante se tiene difundida la siguiente información:</w:t>
      </w:r>
    </w:p>
    <w:p w:rsidR="00CB4B51" w:rsidRDefault="009044BD">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p>
    <w:p w:rsidR="00CB4B51" w:rsidRDefault="009044BD">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En este sentido, es pertinente detallar que el Saimex es una plataforma tecnológica destinada a la presentación, registro y seguimiento de las solicitudes de información</w:t>
      </w:r>
      <w:r>
        <w:rPr>
          <w:rFonts w:ascii="Palatino Linotype" w:eastAsia="Palatino Linotype" w:hAnsi="Palatino Linotype" w:cs="Palatino Linotype"/>
          <w:i/>
          <w:color w:val="000000"/>
          <w:sz w:val="22"/>
          <w:szCs w:val="22"/>
        </w:rPr>
        <w:t xml:space="preserve"> planteadas a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w:t>
      </w:r>
    </w:p>
    <w:p w:rsidR="00CB4B51" w:rsidRDefault="00CB4B51">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p>
    <w:p w:rsidR="00CB4B51" w:rsidRDefault="009044BD">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Este sistema constituye un medio rápido y confiable para comunicarse con la autoridad así como con este órgano garante</w:t>
      </w:r>
      <w:r>
        <w:rPr>
          <w:rFonts w:ascii="Palatino Linotype" w:eastAsia="Palatino Linotype" w:hAnsi="Palatino Linotype" w:cs="Palatino Linotype"/>
          <w:i/>
          <w:color w:val="000000"/>
          <w:sz w:val="22"/>
          <w:szCs w:val="22"/>
        </w:rPr>
        <w:t>. Su diseño incluye las formalidades señaladas por la Ley de Transparencia y Acceso a la Información Pública del Estado de México y Municipios (LTAIPEMYM), de tal modo que no es necesario tener conocimientos especializados para utilizarlo.</w:t>
      </w:r>
    </w:p>
    <w:p w:rsidR="00CB4B51" w:rsidRDefault="00CB4B51">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p>
    <w:p w:rsidR="00CB4B51" w:rsidRDefault="009044BD">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Saimex se encuentra disponible en internet las 24 horas de los 365 días del año. Se puede acceder a él a través de www.saimex.org.mx, en el icono situado en los sitios electrónicos de la institución pública o los motores de búsqueda de preferencia. Así mismo, para presentar una o varias solicitudes de información a las instituciones públicas, es necesario contar con un nombre </w:t>
      </w:r>
      <w:r>
        <w:rPr>
          <w:rFonts w:ascii="Palatino Linotype" w:eastAsia="Palatino Linotype" w:hAnsi="Palatino Linotype" w:cs="Palatino Linotype"/>
          <w:i/>
          <w:color w:val="000000"/>
          <w:sz w:val="22"/>
          <w:szCs w:val="22"/>
        </w:rPr>
        <w:lastRenderedPageBreak/>
        <w:t>de usuario y contraseña, que se puede obtener mediante el formulario de registro incorporado a la plataforma.</w:t>
      </w:r>
    </w:p>
    <w:p w:rsidR="00CB4B51" w:rsidRDefault="00CB4B51">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p>
    <w:p w:rsidR="00CB4B51" w:rsidRDefault="009044BD">
      <w:pPr>
        <w:pBdr>
          <w:top w:val="nil"/>
          <w:left w:val="nil"/>
          <w:bottom w:val="nil"/>
          <w:right w:val="nil"/>
          <w:between w:val="nil"/>
        </w:pBdr>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continuación, se deben seguir las instrucciones para registrar los requerimientos, con especial atención al ente público al cual se dirige y a la descripción de la información que se desea consultar. Actualmente, el Estado de México tiene registrados a 332 sujetos obligados ante quienes puede realizarse una solicitud.</w:t>
      </w:r>
    </w:p>
    <w:p w:rsidR="00CB4B51" w:rsidRDefault="009044BD">
      <w:pPr>
        <w:pBdr>
          <w:top w:val="nil"/>
          <w:left w:val="nil"/>
          <w:bottom w:val="nil"/>
          <w:right w:val="nil"/>
          <w:between w:val="nil"/>
        </w:pBdr>
        <w:spacing w:line="360" w:lineRule="auto"/>
        <w:ind w:left="56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Cabe resaltar que el Saimex, una plataforma de desarrollo propio del Infoem, es considerado como un sitio seguro. Además, muestra los plazos de respuesta de cada solicitud, por lo que seguir su desarrollo resulta muy sencillo. Si el sujeto obligado no responde o contesta con información ilegible, incompleta o diferente a la cual requirió el particular, éste puede hacer valer su inconformidad mediante un recurso de revisión, cuya resolución recae en el Pleno del Infoem.</w:t>
      </w:r>
    </w:p>
    <w:p w:rsidR="00CB4B51" w:rsidRDefault="00CB4B51">
      <w:pPr>
        <w:spacing w:line="360" w:lineRule="auto"/>
        <w:ind w:right="-734"/>
        <w:jc w:val="both"/>
        <w:rPr>
          <w:rFonts w:ascii="Palatino Linotype" w:eastAsia="Palatino Linotype" w:hAnsi="Palatino Linotype" w:cs="Palatino Linotype"/>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Tal y como se menciona, el SAIMEX es un sistema creado como un medio rápido y confiable para comunicarse con la autoridad, así como el Órgano Garante, además, cuenta con un apartado especial de requerimientos, esto facilita la comunicación interna entre el Titular de la Unidad de Transparencia y los Servidores Públicos Habilitados, pues a través de esta herramienta se turna la solicitud al área o a las áreas con atribuciones para generar, administrar o poseer la información requerida por los particulares, haciendo más eficiente. </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color w:val="000000"/>
          <w:sz w:val="24"/>
          <w:szCs w:val="24"/>
          <w:u w:val="single"/>
        </w:rPr>
        <w:t>turno de las solicitudes por medio del propio Sistema no implica necesariamente la generación de oficios;</w:t>
      </w:r>
      <w:r>
        <w:rPr>
          <w:rFonts w:ascii="Palatino Linotype" w:eastAsia="Palatino Linotype" w:hAnsi="Palatino Linotype" w:cs="Palatino Linotype"/>
          <w:color w:val="000000"/>
          <w:sz w:val="24"/>
          <w:szCs w:val="24"/>
        </w:rPr>
        <w:t xml:space="preserve"> sin embargo, tampoco exime de su generación, por lo que es decisión de los Titulares de la Unidad de Transparencia y los Servidores Públicos Habilitados.</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En este caso en particular, el Recurrente formuló su solicitud inicial en el que requirió la evidencia del año 2018 a la fecha de la tramitación de publicaciones en la Gaceta del Gobierno del Estado de México.</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De la simple lectura, no se advierte que requiera los oficios de turno de la solicitud por parte del Titular de la Unidad de Transparencia a los Servidores Públicos Habilitados, en ese contexto, no hay normatividad que exija el anexo de los mismos a las respuestas, además de que, </w:t>
      </w:r>
      <w:r>
        <w:rPr>
          <w:rFonts w:ascii="Palatino Linotype" w:eastAsia="Palatino Linotype" w:hAnsi="Palatino Linotype" w:cs="Palatino Linotype"/>
          <w:b/>
          <w:color w:val="000000"/>
          <w:sz w:val="24"/>
          <w:szCs w:val="24"/>
        </w:rPr>
        <w:t>al solicitarlos a través del recurso de revisión se considera como una petición adicional no contemplada en la solicitud inicial.</w:t>
      </w:r>
    </w:p>
    <w:p w:rsidR="00CB4B51" w:rsidRDefault="00CB4B51">
      <w:pPr>
        <w:pBdr>
          <w:top w:val="nil"/>
          <w:left w:val="nil"/>
          <w:bottom w:val="nil"/>
          <w:right w:val="nil"/>
          <w:between w:val="nil"/>
        </w:pBdr>
        <w:ind w:left="720" w:right="-734"/>
        <w:rPr>
          <w:rFonts w:ascii="Palatino Linotype" w:eastAsia="Palatino Linotype" w:hAnsi="Palatino Linotype" w:cs="Palatino Linotype"/>
          <w:b/>
          <w:color w:val="000000"/>
          <w:sz w:val="24"/>
          <w:szCs w:val="24"/>
        </w:rPr>
      </w:pPr>
    </w:p>
    <w:p w:rsidR="00CB4B51" w:rsidRDefault="009044BD">
      <w:pPr>
        <w:numPr>
          <w:ilvl w:val="0"/>
          <w:numId w:val="3"/>
        </w:numPr>
        <w:pBdr>
          <w:top w:val="nil"/>
          <w:left w:val="nil"/>
          <w:bottom w:val="nil"/>
          <w:right w:val="nil"/>
          <w:between w:val="nil"/>
        </w:pBdr>
        <w:tabs>
          <w:tab w:val="left" w:pos="851"/>
        </w:tabs>
        <w:spacing w:after="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acuerdo con lo anterior, los particulares pueden interponer el recurso de revisión, cuando la actuación u omisión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cause un perjuicio en su derecho de acceso a la información, teniéndose previstos para la interposición del recurso el cumplimiento de ciertos requisitos formales y de fondo, a saber:</w:t>
      </w:r>
    </w:p>
    <w:p w:rsidR="00CB4B51" w:rsidRDefault="009044B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180. El recurso de revisión contendrá:</w:t>
      </w:r>
    </w:p>
    <w:p w:rsidR="00CB4B51" w:rsidRDefault="009044B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El sujeto obligado ante la cual se presentó la solicitud;</w:t>
      </w:r>
    </w:p>
    <w:p w:rsidR="00CB4B51" w:rsidRDefault="009044B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El nombre del solicitante que recurre o de su representante y, en su caso, del tercero interesado, así como la dirección o medio que señale para recibir notificaciones;</w:t>
      </w:r>
    </w:p>
    <w:p w:rsidR="00CB4B51" w:rsidRDefault="009044B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El número de folio de respuesta de la solicitud de acceso;</w:t>
      </w:r>
    </w:p>
    <w:p w:rsidR="00CB4B51" w:rsidRDefault="009044B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La fecha en que fue notificada la respuesta al solicitante o tuvo conocimiento del acto reclamado, o de presentación de la solicitud, en caso de falta de respuesta;</w:t>
      </w:r>
    </w:p>
    <w:p w:rsidR="00CB4B51" w:rsidRDefault="009044B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El acto que se recurre;</w:t>
      </w:r>
    </w:p>
    <w:p w:rsidR="00CB4B51" w:rsidRDefault="009044BD">
      <w:pPr>
        <w:spacing w:line="360" w:lineRule="auto"/>
        <w:ind w:left="567"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 Las razones o motivos de inconformidad;</w:t>
      </w:r>
    </w:p>
    <w:p w:rsidR="00CB4B51" w:rsidRDefault="009044B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VII. La copia de la respuesta que se impugna y, en su caso, de la notificación correspondiente, en el caso de respuesta de la solicitud; y</w:t>
      </w:r>
    </w:p>
    <w:p w:rsidR="00CB4B51" w:rsidRDefault="009044B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Firma del recurrente o en su caso huella digital para el caso de que se presente por escrito, requisitos sin los cuales no se dará trámite al recurso.</w:t>
      </w:r>
    </w:p>
    <w:p w:rsidR="00CB4B51" w:rsidRDefault="009044B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Adicionalmente, se podrán anexar las pruebas y demás elementos que considere procedentes someter a juicio del Instituto.</w:t>
      </w:r>
    </w:p>
    <w:p w:rsidR="00CB4B51" w:rsidRDefault="009044B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ningún caso será necesario que el particular ratifique el recurso de revisión interpuesto.</w:t>
      </w:r>
    </w:p>
    <w:p w:rsidR="00CB4B51" w:rsidRDefault="009044BD">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rsidR="00CB4B51" w:rsidRDefault="00CB4B51">
      <w:pPr>
        <w:pBdr>
          <w:top w:val="nil"/>
          <w:left w:val="nil"/>
          <w:bottom w:val="nil"/>
          <w:right w:val="nil"/>
          <w:between w:val="nil"/>
        </w:pBdr>
        <w:tabs>
          <w:tab w:val="left" w:pos="567"/>
        </w:tabs>
        <w:spacing w:line="360" w:lineRule="auto"/>
        <w:ind w:right="-734"/>
        <w:jc w:val="both"/>
        <w:rPr>
          <w:rFonts w:ascii="Palatino Linotype" w:eastAsia="Palatino Linotype" w:hAnsi="Palatino Linotype" w:cs="Palatino Linotype"/>
          <w:color w:val="000000"/>
          <w:sz w:val="24"/>
          <w:szCs w:val="24"/>
        </w:rPr>
      </w:pPr>
    </w:p>
    <w:p w:rsidR="00CB4B51" w:rsidRPr="00DF16A3" w:rsidRDefault="009044BD">
      <w:pPr>
        <w:numPr>
          <w:ilvl w:val="0"/>
          <w:numId w:val="3"/>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sistema de medios de impugnación en nuestro país se centra en el análisis de los agravios o motivos de inconformidad, los que deben tener relación directa con el acto de autoridad que lo motiva. En materia de transparencia, los motivos de la inconformidad deben versar sobre la respuesta de información proporcionada por los sujetos obligados o la negativa de entrega de la misma, derivada de la solicitud de información pública. </w:t>
      </w:r>
      <w:r>
        <w:rPr>
          <w:rFonts w:ascii="Palatino Linotype" w:eastAsia="Palatino Linotype" w:hAnsi="Palatino Linotype" w:cs="Palatino Linotype"/>
          <w:b/>
          <w:color w:val="000000"/>
          <w:sz w:val="24"/>
          <w:szCs w:val="24"/>
        </w:rPr>
        <w:t>De este modo, en los motivos de inconformidad los recurrentes no pueden incluir situaciones novedosas o solicitudes de información nuevas</w:t>
      </w:r>
      <w:r>
        <w:rPr>
          <w:rFonts w:ascii="Palatino Linotype" w:eastAsia="Palatino Linotype" w:hAnsi="Palatino Linotype" w:cs="Palatino Linotype"/>
          <w:color w:val="000000"/>
          <w:sz w:val="24"/>
          <w:szCs w:val="24"/>
        </w:rPr>
        <w:t xml:space="preserve"> de las que el Sujeto Obligado no tuvo la oportunidad de conocer y por consiguiente producir un posicionamiento.</w:t>
      </w:r>
    </w:p>
    <w:p w:rsidR="00DF16A3" w:rsidRDefault="00DF16A3" w:rsidP="00DF16A3">
      <w:pPr>
        <w:pBdr>
          <w:top w:val="nil"/>
          <w:left w:val="nil"/>
          <w:bottom w:val="nil"/>
          <w:right w:val="nil"/>
          <w:between w:val="nil"/>
        </w:pBdr>
        <w:tabs>
          <w:tab w:val="left" w:pos="567"/>
        </w:tabs>
        <w:spacing w:line="360" w:lineRule="auto"/>
        <w:ind w:right="-734"/>
        <w:jc w:val="both"/>
        <w:rPr>
          <w:rFonts w:ascii="Palatino Linotype" w:eastAsia="Palatino Linotype" w:hAnsi="Palatino Linotype" w:cs="Palatino Linotype"/>
          <w:color w:val="000000"/>
        </w:rPr>
      </w:pPr>
    </w:p>
    <w:p w:rsidR="00CB4B51" w:rsidRDefault="009044BD">
      <w:pPr>
        <w:numPr>
          <w:ilvl w:val="0"/>
          <w:numId w:val="3"/>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Es por ello, que la Ley de la materia contempla que en los casos en que a través del recurso de revisión se pretenda ampliar los requerimientos de información, la inconformidad relativa a estas situaciones novedosas no debe ser tomada en cuenta como parte de la Litis y debe ser desechada, tal y como lo establece el artículo 191 fracción VII:</w:t>
      </w:r>
    </w:p>
    <w:p w:rsidR="00CB4B51" w:rsidRDefault="009044B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191. El recurso será desechado por improcedente cuando:</w:t>
      </w:r>
    </w:p>
    <w:p w:rsidR="00CB4B51" w:rsidRDefault="009044B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rsidR="00CB4B51" w:rsidRDefault="009044BD">
      <w:pPr>
        <w:spacing w:line="360" w:lineRule="auto"/>
        <w:ind w:left="567" w:right="257"/>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rPr>
        <w:t xml:space="preserve">VII. El recurrente amplíe su solicitud en el recurso de revisión, </w:t>
      </w:r>
      <w:r>
        <w:rPr>
          <w:rFonts w:ascii="Palatino Linotype" w:eastAsia="Palatino Linotype" w:hAnsi="Palatino Linotype" w:cs="Palatino Linotype"/>
          <w:b/>
          <w:i/>
          <w:sz w:val="22"/>
          <w:szCs w:val="22"/>
          <w:u w:val="single"/>
        </w:rPr>
        <w:t>únicamente respecto de los nuevos contenidos.</w:t>
      </w:r>
    </w:p>
    <w:p w:rsidR="00CB4B51" w:rsidRDefault="00CB4B51">
      <w:pPr>
        <w:ind w:left="567" w:right="-734"/>
        <w:jc w:val="both"/>
        <w:rPr>
          <w:rFonts w:ascii="Palatino Linotype" w:eastAsia="Palatino Linotype" w:hAnsi="Palatino Linotype" w:cs="Palatino Linotype"/>
          <w:b/>
          <w:i/>
          <w:sz w:val="24"/>
          <w:szCs w:val="24"/>
          <w:u w:val="single"/>
        </w:rPr>
      </w:pPr>
    </w:p>
    <w:p w:rsidR="00CB4B51" w:rsidRDefault="009044BD">
      <w:pPr>
        <w:numPr>
          <w:ilvl w:val="0"/>
          <w:numId w:val="3"/>
        </w:numPr>
        <w:pBdr>
          <w:top w:val="nil"/>
          <w:left w:val="nil"/>
          <w:bottom w:val="nil"/>
          <w:right w:val="nil"/>
          <w:between w:val="nil"/>
        </w:pBdr>
        <w:spacing w:before="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 Por lo anterior, resulta improcedente parcialmente el referido agravio, toda vez que el Recurrente se excede dentro de su inconformidad solicitando al Sujeto Obligado indique cuales son las cámaras que necesitan reparación, lo que hace que se surta lo que en la teoría jurídica se le denomina como </w:t>
      </w:r>
      <w:r>
        <w:rPr>
          <w:rFonts w:ascii="Palatino Linotype" w:eastAsia="Palatino Linotype" w:hAnsi="Palatino Linotype" w:cs="Palatino Linotype"/>
          <w:b/>
          <w:i/>
          <w:color w:val="000000"/>
          <w:sz w:val="24"/>
          <w:szCs w:val="24"/>
        </w:rPr>
        <w:t>plus petitio</w:t>
      </w:r>
      <w:r>
        <w:rPr>
          <w:rFonts w:ascii="Palatino Linotype" w:eastAsia="Palatino Linotype" w:hAnsi="Palatino Linotype" w:cs="Palatino Linotype"/>
          <w:i/>
          <w:color w:val="000000"/>
          <w:sz w:val="24"/>
          <w:szCs w:val="24"/>
        </w:rPr>
        <w:t>.</w:t>
      </w:r>
    </w:p>
    <w:p w:rsidR="00CB4B51" w:rsidRDefault="009044BD">
      <w:pPr>
        <w:numPr>
          <w:ilvl w:val="0"/>
          <w:numId w:val="3"/>
        </w:numPr>
        <w:pBdr>
          <w:top w:val="nil"/>
          <w:left w:val="nil"/>
          <w:bottom w:val="nil"/>
          <w:right w:val="nil"/>
          <w:between w:val="nil"/>
        </w:pBdr>
        <w:spacing w:before="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Sustenta lo anterior el Criterio de Interpretación 01/17 emitido por el Instituto Nacional de Transparencia, Acceso a la Información y Protección de Datos Personales que establece lo siguiente:</w:t>
      </w:r>
    </w:p>
    <w:p w:rsidR="00CB4B51" w:rsidRDefault="009044BD">
      <w:pPr>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ES IMPROCEDENTE AMPLIAR LAS SOLICITUDES DE ACCESO A INFORMACIÓN, A TRAVÉS DE LA INTERPOSICIÓN DEL RECURSO DE REVISIÓN.</w:t>
      </w:r>
      <w:r>
        <w:rPr>
          <w:rFonts w:ascii="Palatino Linotype" w:eastAsia="Palatino Linotype" w:hAnsi="Palatino Linotype" w:cs="Palatino Linotype"/>
          <w:i/>
          <w:color w:val="000000"/>
          <w:sz w:val="22"/>
          <w:szCs w:val="22"/>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CB4B51" w:rsidRDefault="00CB4B51">
      <w:pPr>
        <w:ind w:left="567" w:right="-734"/>
        <w:jc w:val="both"/>
        <w:rPr>
          <w:rFonts w:ascii="Palatino Linotype" w:eastAsia="Palatino Linotype" w:hAnsi="Palatino Linotype" w:cs="Palatino Linotype"/>
          <w:i/>
          <w:color w:val="000000"/>
          <w:sz w:val="24"/>
          <w:szCs w:val="24"/>
        </w:rPr>
      </w:pPr>
    </w:p>
    <w:p w:rsidR="00CB4B51" w:rsidRDefault="009044BD">
      <w:pPr>
        <w:numPr>
          <w:ilvl w:val="0"/>
          <w:numId w:val="3"/>
        </w:numPr>
        <w:pBdr>
          <w:top w:val="nil"/>
          <w:left w:val="nil"/>
          <w:bottom w:val="nil"/>
          <w:right w:val="nil"/>
          <w:between w:val="nil"/>
        </w:pBdr>
        <w:spacing w:before="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Asimismo, sirve de apoyo, por analogía, la Jurisprudencia No. 29 visible a foja 19 del Apéndice al Semanario Judicial de la Federación 1917-1995, </w:t>
      </w:r>
      <w:r>
        <w:rPr>
          <w:rFonts w:ascii="Palatino Linotype" w:eastAsia="Palatino Linotype" w:hAnsi="Palatino Linotype" w:cs="Palatino Linotype"/>
          <w:sz w:val="24"/>
          <w:szCs w:val="24"/>
        </w:rPr>
        <w:t>Tomo</w:t>
      </w:r>
      <w:r>
        <w:rPr>
          <w:rFonts w:ascii="Palatino Linotype" w:eastAsia="Palatino Linotype" w:hAnsi="Palatino Linotype" w:cs="Palatino Linotype"/>
          <w:color w:val="000000"/>
          <w:sz w:val="24"/>
          <w:szCs w:val="24"/>
        </w:rPr>
        <w:t xml:space="preserve"> VI, Materia Común, Primera Parte, Tesis de la Suprema Corte de Justicia, que contiene:</w:t>
      </w:r>
    </w:p>
    <w:p w:rsidR="00CB4B51" w:rsidRDefault="009044BD">
      <w:pPr>
        <w:ind w:left="56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AGRAVIOS EN LA REVISION. DEBEN ESTAR EN RELACION DIRECTA CON LOS FUNDAMENTOS Y CONSIDERACIONES DE LA SENTENCIA. </w:t>
      </w:r>
      <w:r>
        <w:rPr>
          <w:rFonts w:ascii="Palatino Linotype" w:eastAsia="Palatino Linotype" w:hAnsi="Palatino Linotype" w:cs="Palatino Linotype"/>
          <w:i/>
          <w:color w:val="000000"/>
          <w:sz w:val="22"/>
          <w:szCs w:val="22"/>
        </w:rPr>
        <w:t xml:space="preserve">“Los agravios deben estar en relación directa e inmediata con los fundamentos contenidos en la sentencia que se </w:t>
      </w:r>
      <w:r>
        <w:rPr>
          <w:rFonts w:ascii="Palatino Linotype" w:eastAsia="Palatino Linotype" w:hAnsi="Palatino Linotype" w:cs="Palatino Linotype"/>
          <w:i/>
          <w:color w:val="000000"/>
          <w:sz w:val="22"/>
          <w:szCs w:val="22"/>
        </w:rPr>
        <w:lastRenderedPageBreak/>
        <w:t>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rsidR="00CB4B51" w:rsidRDefault="00CB4B51">
      <w:pPr>
        <w:spacing w:line="360" w:lineRule="auto"/>
        <w:ind w:right="-734"/>
        <w:jc w:val="both"/>
        <w:rPr>
          <w:rFonts w:ascii="Palatino Linotype" w:eastAsia="Palatino Linotype" w:hAnsi="Palatino Linotype" w:cs="Palatino Linotype"/>
          <w:color w:val="000000"/>
          <w:sz w:val="24"/>
          <w:szCs w:val="24"/>
        </w:rPr>
      </w:pP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Sin embargo, al haber sido admitido el recurso de revisión, aún y cuando actualiza una causal de improcedencia, es necesario traer a contexto el artículo 192 fracción IV, de la multicitada Ley de Transparencia:</w:t>
      </w:r>
    </w:p>
    <w:p w:rsidR="00CB4B51" w:rsidRDefault="009044B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192. El recurso será sobreseído, en todo o en parte, cuando una vez admitido, se actualicen alguno de los siguientes supuestos:</w:t>
      </w:r>
    </w:p>
    <w:p w:rsidR="00CB4B51" w:rsidRDefault="009044B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El recurrente se desista expresamente del recurso; </w:t>
      </w:r>
    </w:p>
    <w:p w:rsidR="00CB4B51" w:rsidRDefault="009044B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El recurrente fallezca o, tratándose de personas jurídicas colectivas, se disuelva; </w:t>
      </w:r>
    </w:p>
    <w:p w:rsidR="00CB4B51" w:rsidRDefault="009044B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El sujeto obligado responsable del acto lo modifique o revoque de tal manera que el recurso de revisión quede sin materia; </w:t>
      </w:r>
    </w:p>
    <w:p w:rsidR="00CB4B51" w:rsidRDefault="009044B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VII. Admitido el recurso de revisión, aparezca alguna causal de improcedencia en los términos de la presente Ley; y </w:t>
      </w:r>
    </w:p>
    <w:p w:rsidR="00CB4B51" w:rsidRDefault="009044B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Cuando por cualquier motivo quede sin materia el recurso.</w:t>
      </w:r>
    </w:p>
    <w:p w:rsidR="00CB4B51" w:rsidRDefault="00CB4B51">
      <w:pPr>
        <w:pBdr>
          <w:top w:val="nil"/>
          <w:left w:val="nil"/>
          <w:bottom w:val="nil"/>
          <w:right w:val="nil"/>
          <w:between w:val="nil"/>
        </w:pBdr>
        <w:tabs>
          <w:tab w:val="left" w:pos="567"/>
        </w:tabs>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Es así que, el recurso de revisión actualiza la causal de sobreseimiento establecida en la fracción IV del artículo 192, en relación a la fracción VII del artículo 191, ambos de la Ley de Transparencia y Acceso a la Información Pública del Estado de México y Municipios.</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after="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rsidR="00CB4B51" w:rsidRDefault="009044B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rsidR="00CB4B51" w:rsidRDefault="009044B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SEPTIMO TRIBUNAL COLEGIADO EN MATERIA CIVIL DEL PRIMER CIRCUITO</w:t>
      </w:r>
    </w:p>
    <w:p w:rsidR="00CB4B51" w:rsidRDefault="009044BD">
      <w:pPr>
        <w:spacing w:line="360"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rsidR="00CB4B51" w:rsidRDefault="00CB4B51">
      <w:pPr>
        <w:pBdr>
          <w:top w:val="nil"/>
          <w:left w:val="nil"/>
          <w:bottom w:val="nil"/>
          <w:right w:val="nil"/>
          <w:between w:val="nil"/>
        </w:pBdr>
        <w:tabs>
          <w:tab w:val="left" w:pos="567"/>
        </w:tabs>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No obstante, a efecto de no vulnerar los derechos del particular, este Órgano Garante deja a salvo sus derechos para que, si así lo desea, presente una nueva solicitud de acceso a la información requiriendo información que sea de su interés.</w:t>
      </w:r>
    </w:p>
    <w:p w:rsidR="00CB4B51" w:rsidRDefault="00CB4B51">
      <w:pPr>
        <w:pBdr>
          <w:top w:val="nil"/>
          <w:left w:val="nil"/>
          <w:bottom w:val="nil"/>
          <w:right w:val="nil"/>
          <w:between w:val="nil"/>
        </w:pBdr>
        <w:tabs>
          <w:tab w:val="left" w:pos="567"/>
        </w:tabs>
        <w:spacing w:line="360" w:lineRule="auto"/>
        <w:ind w:right="-734"/>
        <w:jc w:val="both"/>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tabs>
          <w:tab w:val="left" w:pos="567"/>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Bajo esas consideraciones, se afirma que en el recurso de revisión sujeto a estudio se actualiza la hipótesis jurídica citada, toda vez que quedó probado que el recurso de revisión </w:t>
      </w:r>
      <w:r>
        <w:rPr>
          <w:rFonts w:ascii="Palatino Linotype" w:eastAsia="Palatino Linotype" w:hAnsi="Palatino Linotype" w:cs="Palatino Linotype"/>
          <w:color w:val="000000"/>
          <w:sz w:val="24"/>
          <w:szCs w:val="24"/>
        </w:rPr>
        <w:lastRenderedPageBreak/>
        <w:t>amplia los requerimientos solicitando información adicional, actualizando causal de improcedencia.</w:t>
      </w:r>
    </w:p>
    <w:p w:rsidR="00CB4B51" w:rsidRDefault="00CB4B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B4B51" w:rsidRDefault="009044BD">
      <w:pPr>
        <w:numPr>
          <w:ilvl w:val="0"/>
          <w:numId w:val="3"/>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rsidR="00CB4B51" w:rsidRDefault="00CB4B51">
      <w:pPr>
        <w:pBdr>
          <w:top w:val="nil"/>
          <w:left w:val="nil"/>
          <w:bottom w:val="nil"/>
          <w:right w:val="nil"/>
          <w:between w:val="nil"/>
        </w:pBdr>
        <w:spacing w:line="360" w:lineRule="auto"/>
        <w:ind w:right="-734"/>
        <w:jc w:val="both"/>
        <w:rPr>
          <w:rFonts w:ascii="Palatino Linotype" w:eastAsia="Palatino Linotype" w:hAnsi="Palatino Linotype" w:cs="Palatino Linotype"/>
          <w:color w:val="222222"/>
          <w:sz w:val="24"/>
          <w:szCs w:val="24"/>
        </w:rPr>
      </w:pPr>
    </w:p>
    <w:p w:rsidR="00CB4B51" w:rsidRDefault="009044BD">
      <w:pPr>
        <w:pStyle w:val="Ttulo1"/>
        <w:spacing w:line="360" w:lineRule="auto"/>
        <w:ind w:right="-734"/>
        <w:jc w:val="center"/>
        <w:rPr>
          <w:rFonts w:ascii="Palatino Linotype" w:eastAsia="Palatino Linotype" w:hAnsi="Palatino Linotype" w:cs="Palatino Linotype"/>
          <w:b/>
          <w:color w:val="000000"/>
          <w:sz w:val="24"/>
          <w:szCs w:val="24"/>
        </w:rPr>
      </w:pPr>
      <w:bookmarkStart w:id="9" w:name="_heading=h.4d34og8" w:colFirst="0" w:colLast="0"/>
      <w:bookmarkEnd w:id="9"/>
      <w:r>
        <w:rPr>
          <w:rFonts w:ascii="Palatino Linotype" w:eastAsia="Palatino Linotype" w:hAnsi="Palatino Linotype" w:cs="Palatino Linotype"/>
          <w:b/>
          <w:color w:val="000000"/>
          <w:sz w:val="24"/>
          <w:szCs w:val="24"/>
        </w:rPr>
        <w:t>R E S O L U T I V O S</w:t>
      </w:r>
    </w:p>
    <w:p w:rsidR="00CB4B51" w:rsidRDefault="00CB4B51">
      <w:pPr>
        <w:ind w:right="-734"/>
        <w:rPr>
          <w:rFonts w:ascii="Palatino Linotype" w:eastAsia="Palatino Linotype" w:hAnsi="Palatino Linotype" w:cs="Palatino Linotype"/>
          <w:sz w:val="24"/>
          <w:szCs w:val="24"/>
        </w:rPr>
      </w:pPr>
    </w:p>
    <w:p w:rsidR="00CB4B51" w:rsidRDefault="009044BD">
      <w:pPr>
        <w:widowControl w:val="0"/>
        <w:pBdr>
          <w:top w:val="nil"/>
          <w:left w:val="nil"/>
          <w:bottom w:val="nil"/>
          <w:right w:val="nil"/>
          <w:between w:val="nil"/>
        </w:pBdr>
        <w:tabs>
          <w:tab w:val="left" w:pos="1701"/>
        </w:tabs>
        <w:spacing w:before="120" w:line="360" w:lineRule="auto"/>
        <w:ind w:right="-734"/>
        <w:jc w:val="both"/>
        <w:rPr>
          <w:rFonts w:ascii="Palatino Linotype" w:eastAsia="Palatino Linotype" w:hAnsi="Palatino Linotype" w:cs="Palatino Linotype"/>
          <w:color w:val="000000"/>
          <w:sz w:val="24"/>
          <w:szCs w:val="24"/>
        </w:rPr>
      </w:pPr>
      <w:bookmarkStart w:id="10" w:name="_heading=h.2s8eyo1" w:colFirst="0" w:colLast="0"/>
      <w:bookmarkEnd w:id="10"/>
      <w:r>
        <w:rPr>
          <w:rFonts w:ascii="Palatino Linotype" w:eastAsia="Palatino Linotype" w:hAnsi="Palatino Linotype" w:cs="Palatino Linotype"/>
          <w:b/>
          <w:color w:val="000000"/>
          <w:sz w:val="24"/>
          <w:szCs w:val="24"/>
        </w:rPr>
        <w:t xml:space="preserve">PRIMERO.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SOBRESEE</w:t>
      </w:r>
      <w:r>
        <w:rPr>
          <w:rFonts w:ascii="Palatino Linotype" w:eastAsia="Palatino Linotype" w:hAnsi="Palatino Linotype" w:cs="Palatino Linotype"/>
          <w:color w:val="000000"/>
          <w:sz w:val="24"/>
          <w:szCs w:val="24"/>
        </w:rPr>
        <w:t xml:space="preserve"> el recurso de revisión número </w:t>
      </w:r>
      <w:r>
        <w:rPr>
          <w:rFonts w:ascii="Palatino Linotype" w:eastAsia="Palatino Linotype" w:hAnsi="Palatino Linotype" w:cs="Palatino Linotype"/>
          <w:b/>
          <w:color w:val="000000"/>
          <w:sz w:val="24"/>
          <w:szCs w:val="24"/>
        </w:rPr>
        <w:t xml:space="preserve">03688/INFOEM/IP/RR/2024, </w:t>
      </w:r>
      <w:r>
        <w:rPr>
          <w:rFonts w:ascii="Palatino Linotype" w:eastAsia="Palatino Linotype" w:hAnsi="Palatino Linotype" w:cs="Palatino Linotype"/>
          <w:color w:val="000000"/>
          <w:sz w:val="24"/>
          <w:szCs w:val="24"/>
        </w:rPr>
        <w:t xml:space="preserve">conforme al artículo 192 fracción IV, en relación con el artículo 191 fracción VII de la Ley de Transparencia y Acceso a la Información Pública del Estado de México y Municipios, en términos del Considerando </w:t>
      </w:r>
      <w:r>
        <w:rPr>
          <w:rFonts w:ascii="Palatino Linotype" w:eastAsia="Palatino Linotype" w:hAnsi="Palatino Linotype" w:cs="Palatino Linotype"/>
          <w:b/>
          <w:color w:val="000000"/>
          <w:sz w:val="24"/>
          <w:szCs w:val="24"/>
        </w:rPr>
        <w:t>TERCERO</w:t>
      </w:r>
      <w:r>
        <w:rPr>
          <w:rFonts w:ascii="Palatino Linotype" w:eastAsia="Palatino Linotype" w:hAnsi="Palatino Linotype" w:cs="Palatino Linotype"/>
          <w:color w:val="000000"/>
          <w:sz w:val="24"/>
          <w:szCs w:val="24"/>
        </w:rPr>
        <w:t xml:space="preserve"> de la presente resolución.</w:t>
      </w:r>
    </w:p>
    <w:p w:rsidR="00CB4B51" w:rsidRDefault="009044BD">
      <w:pPr>
        <w:spacing w:before="240" w:after="360" w:line="360" w:lineRule="auto"/>
        <w:ind w:right="-734"/>
        <w:jc w:val="both"/>
        <w:rPr>
          <w:rFonts w:ascii="Palatino Linotype" w:eastAsia="Palatino Linotype" w:hAnsi="Palatino Linotype" w:cs="Palatino Linotype"/>
          <w:b/>
          <w:color w:val="000000"/>
          <w:sz w:val="24"/>
          <w:szCs w:val="24"/>
        </w:rPr>
      </w:pPr>
      <w:bookmarkStart w:id="11" w:name="_heading=h.17dp8vu" w:colFirst="0" w:colLast="0"/>
      <w:bookmarkEnd w:id="11"/>
      <w:r>
        <w:rPr>
          <w:rFonts w:ascii="Palatino Linotype" w:eastAsia="Palatino Linotype" w:hAnsi="Palatino Linotype" w:cs="Palatino Linotype"/>
          <w:b/>
          <w:sz w:val="24"/>
          <w:szCs w:val="24"/>
        </w:rPr>
        <w:t>SEGUNDO.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highlight w:val="white"/>
        </w:rPr>
        <w:t xml:space="preserve">Remítase </w:t>
      </w:r>
      <w:r>
        <w:rPr>
          <w:rFonts w:ascii="Palatino Linotype" w:eastAsia="Palatino Linotype" w:hAnsi="Palatino Linotype" w:cs="Palatino Linotype"/>
          <w:color w:val="000000"/>
          <w:sz w:val="24"/>
          <w:szCs w:val="24"/>
          <w:highlight w:val="white"/>
        </w:rPr>
        <w:t>al Titular de la Unidad de Transparencia del</w:t>
      </w:r>
      <w:r>
        <w:rPr>
          <w:rFonts w:ascii="Palatino Linotype" w:eastAsia="Palatino Linotype" w:hAnsi="Palatino Linotype" w:cs="Palatino Linotype"/>
          <w:b/>
          <w:color w:val="000000"/>
          <w:sz w:val="24"/>
          <w:szCs w:val="24"/>
          <w:highlight w:val="white"/>
        </w:rPr>
        <w:t xml:space="preserve"> SUJETO OBLIGADO</w:t>
      </w:r>
      <w:r>
        <w:rPr>
          <w:rFonts w:ascii="Palatino Linotype" w:eastAsia="Palatino Linotype" w:hAnsi="Palatino Linotype" w:cs="Palatino Linotype"/>
          <w:color w:val="000000"/>
          <w:sz w:val="24"/>
          <w:szCs w:val="24"/>
          <w:highlight w:val="white"/>
        </w:rPr>
        <w:t xml:space="preserve"> vía Sistema de Acceso a Información Mexiquense, SAIMEX, la presente resolución. </w:t>
      </w:r>
    </w:p>
    <w:p w:rsidR="00CB4B51" w:rsidRDefault="009044BD">
      <w:pPr>
        <w:shd w:val="clear" w:color="auto" w:fill="FFFFFF"/>
        <w:tabs>
          <w:tab w:val="left" w:pos="284"/>
        </w:tabs>
        <w:spacing w:line="360" w:lineRule="auto"/>
        <w:ind w:right="-7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rPr>
        <w:t>Notifíquese a</w:t>
      </w:r>
      <w:r>
        <w:rPr>
          <w:rFonts w:ascii="Palatino Linotype" w:eastAsia="Palatino Linotype" w:hAnsi="Palatino Linotype" w:cs="Palatino Linotype"/>
          <w:b/>
          <w:sz w:val="24"/>
          <w:szCs w:val="24"/>
        </w:rPr>
        <w:t xml:space="preserve">l RECURRENTE </w:t>
      </w:r>
      <w:r>
        <w:rPr>
          <w:rFonts w:ascii="Palatino Linotype" w:eastAsia="Palatino Linotype" w:hAnsi="Palatino Linotype" w:cs="Palatino Linotype"/>
          <w:sz w:val="24"/>
          <w:szCs w:val="24"/>
        </w:rPr>
        <w:t>la presente resolución a través del Sistema de Acceso a la Información Mexiquense (SAIMEX).</w:t>
      </w:r>
    </w:p>
    <w:p w:rsidR="00CB4B51" w:rsidRDefault="00CB4B51">
      <w:pPr>
        <w:spacing w:line="360" w:lineRule="auto"/>
        <w:ind w:right="-734"/>
        <w:jc w:val="both"/>
        <w:rPr>
          <w:rFonts w:ascii="Palatino Linotype" w:eastAsia="Palatino Linotype" w:hAnsi="Palatino Linotype" w:cs="Palatino Linotype"/>
          <w:sz w:val="24"/>
          <w:szCs w:val="24"/>
        </w:rPr>
      </w:pPr>
    </w:p>
    <w:p w:rsidR="00CB4B51" w:rsidRDefault="009044BD">
      <w:pPr>
        <w:spacing w:line="360" w:lineRule="auto"/>
        <w:ind w:right="-7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Se hace del conocimiento del RECURRENTE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210EE5" w:rsidRPr="00535AD2" w:rsidRDefault="00210EE5" w:rsidP="00210EE5">
      <w:pPr>
        <w:spacing w:line="360" w:lineRule="auto"/>
        <w:ind w:right="-737" w:firstLine="1"/>
        <w:jc w:val="both"/>
        <w:rPr>
          <w:rFonts w:ascii="Palatino Linotype" w:hAnsi="Palatino Linotype"/>
          <w:sz w:val="24"/>
        </w:rPr>
      </w:pPr>
      <w:r w:rsidRPr="00535AD2">
        <w:rPr>
          <w:rFonts w:ascii="Palatino Linotype" w:hAnsi="Palatino Linotype"/>
          <w:sz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(AUSENCIA JUSTIFICADA) EN LA TRIGÉSIMA TERCERA SESIÓN ORDINARIA CELEBRADA EL DIECINUEVE (19) DE SEPTIEMBRE DE DOS MIL VEINTICUATRO, ANTE EL SECRETARIO TÉCNICO DEL PLENO ALEXIS TAPIA RAMÍREZ. </w:t>
      </w:r>
    </w:p>
    <w:p w:rsidR="00210EE5" w:rsidRPr="00902BA4" w:rsidRDefault="00210EE5" w:rsidP="00210EE5">
      <w:pPr>
        <w:widowControl w:val="0"/>
        <w:autoSpaceDE w:val="0"/>
        <w:autoSpaceDN w:val="0"/>
        <w:adjustRightInd w:val="0"/>
        <w:spacing w:after="200" w:line="276" w:lineRule="auto"/>
        <w:ind w:right="-737"/>
        <w:rPr>
          <w:rFonts w:ascii="Calibri" w:hAnsi="Calibri" w:cs="Calibri"/>
        </w:rPr>
      </w:pPr>
    </w:p>
    <w:p w:rsidR="00CB4B51" w:rsidRDefault="00CB4B51">
      <w:pPr>
        <w:spacing w:before="240" w:after="360" w:line="360" w:lineRule="auto"/>
        <w:ind w:right="-734"/>
        <w:jc w:val="both"/>
        <w:rPr>
          <w:rFonts w:ascii="Palatino Linotype" w:eastAsia="Palatino Linotype" w:hAnsi="Palatino Linotype" w:cs="Palatino Linotype"/>
          <w:color w:val="222222"/>
          <w:sz w:val="24"/>
          <w:szCs w:val="24"/>
        </w:rPr>
      </w:pPr>
    </w:p>
    <w:p w:rsidR="00CB4B51" w:rsidRDefault="00CB4B51">
      <w:pPr>
        <w:spacing w:before="240" w:after="360" w:line="360" w:lineRule="auto"/>
        <w:ind w:right="-734"/>
        <w:jc w:val="both"/>
        <w:rPr>
          <w:rFonts w:ascii="Palatino Linotype" w:eastAsia="Palatino Linotype" w:hAnsi="Palatino Linotype" w:cs="Palatino Linotype"/>
          <w:color w:val="222222"/>
          <w:sz w:val="24"/>
          <w:szCs w:val="24"/>
        </w:rPr>
      </w:pPr>
    </w:p>
    <w:p w:rsidR="00CB4B51" w:rsidRDefault="00CB4B51">
      <w:pPr>
        <w:spacing w:before="240" w:after="360" w:line="360" w:lineRule="auto"/>
        <w:ind w:right="-734"/>
        <w:jc w:val="both"/>
        <w:rPr>
          <w:rFonts w:ascii="Palatino Linotype" w:eastAsia="Palatino Linotype" w:hAnsi="Palatino Linotype" w:cs="Palatino Linotype"/>
          <w:color w:val="222222"/>
          <w:sz w:val="24"/>
          <w:szCs w:val="24"/>
        </w:rPr>
      </w:pPr>
    </w:p>
    <w:p w:rsidR="00B71E71" w:rsidRDefault="00B71E71">
      <w:pPr>
        <w:spacing w:before="240" w:after="360" w:line="360" w:lineRule="auto"/>
        <w:ind w:right="-734"/>
        <w:jc w:val="both"/>
        <w:rPr>
          <w:rFonts w:ascii="Palatino Linotype" w:eastAsia="Palatino Linotype" w:hAnsi="Palatino Linotype" w:cs="Palatino Linotype"/>
          <w:color w:val="222222"/>
          <w:sz w:val="24"/>
          <w:szCs w:val="24"/>
        </w:rPr>
      </w:pPr>
    </w:p>
    <w:p w:rsidR="00B71E71" w:rsidRDefault="00B71E71">
      <w:pPr>
        <w:spacing w:before="240" w:after="360" w:line="360" w:lineRule="auto"/>
        <w:ind w:right="-734"/>
        <w:jc w:val="both"/>
        <w:rPr>
          <w:rFonts w:ascii="Palatino Linotype" w:eastAsia="Palatino Linotype" w:hAnsi="Palatino Linotype" w:cs="Palatino Linotype"/>
          <w:color w:val="222222"/>
          <w:sz w:val="24"/>
          <w:szCs w:val="24"/>
        </w:rPr>
      </w:pPr>
    </w:p>
    <w:p w:rsidR="00B71E71" w:rsidRDefault="00B71E71">
      <w:pPr>
        <w:spacing w:before="240" w:after="360" w:line="360" w:lineRule="auto"/>
        <w:ind w:right="-734"/>
        <w:jc w:val="both"/>
        <w:rPr>
          <w:rFonts w:ascii="Palatino Linotype" w:eastAsia="Palatino Linotype" w:hAnsi="Palatino Linotype" w:cs="Palatino Linotype"/>
          <w:color w:val="222222"/>
          <w:sz w:val="24"/>
          <w:szCs w:val="24"/>
        </w:rPr>
      </w:pPr>
    </w:p>
    <w:p w:rsidR="00B71E71" w:rsidRDefault="00B71E71">
      <w:pPr>
        <w:spacing w:before="240" w:after="360" w:line="360" w:lineRule="auto"/>
        <w:ind w:right="-734"/>
        <w:jc w:val="both"/>
        <w:rPr>
          <w:rFonts w:ascii="Palatino Linotype" w:eastAsia="Palatino Linotype" w:hAnsi="Palatino Linotype" w:cs="Palatino Linotype"/>
          <w:color w:val="222222"/>
          <w:sz w:val="24"/>
          <w:szCs w:val="24"/>
        </w:rPr>
      </w:pPr>
    </w:p>
    <w:p w:rsidR="00B71E71" w:rsidRDefault="00B71E71">
      <w:pPr>
        <w:spacing w:before="240" w:after="360" w:line="360" w:lineRule="auto"/>
        <w:ind w:right="-734"/>
        <w:jc w:val="both"/>
        <w:rPr>
          <w:rFonts w:ascii="Palatino Linotype" w:eastAsia="Palatino Linotype" w:hAnsi="Palatino Linotype" w:cs="Palatino Linotype"/>
          <w:color w:val="222222"/>
          <w:sz w:val="24"/>
          <w:szCs w:val="24"/>
        </w:rPr>
      </w:pPr>
    </w:p>
    <w:p w:rsidR="00B71E71" w:rsidRDefault="00B71E71">
      <w:pPr>
        <w:spacing w:before="240" w:after="360" w:line="360" w:lineRule="auto"/>
        <w:ind w:right="-734"/>
        <w:jc w:val="both"/>
        <w:rPr>
          <w:rFonts w:ascii="Palatino Linotype" w:eastAsia="Palatino Linotype" w:hAnsi="Palatino Linotype" w:cs="Palatino Linotype"/>
          <w:color w:val="222222"/>
          <w:sz w:val="24"/>
          <w:szCs w:val="24"/>
        </w:rPr>
      </w:pPr>
      <w:bookmarkStart w:id="12" w:name="_GoBack"/>
      <w:bookmarkEnd w:id="12"/>
    </w:p>
    <w:p w:rsidR="00CB4B51" w:rsidRDefault="00CB4B51">
      <w:pPr>
        <w:spacing w:before="240" w:after="360" w:line="360" w:lineRule="auto"/>
        <w:ind w:right="-734"/>
        <w:jc w:val="both"/>
        <w:rPr>
          <w:rFonts w:ascii="Palatino Linotype" w:eastAsia="Palatino Linotype" w:hAnsi="Palatino Linotype" w:cs="Palatino Linotype"/>
          <w:color w:val="222222"/>
          <w:sz w:val="24"/>
          <w:szCs w:val="24"/>
        </w:rPr>
      </w:pPr>
    </w:p>
    <w:p w:rsidR="00CB4B51" w:rsidRDefault="00CB4B51">
      <w:pPr>
        <w:spacing w:before="240" w:after="360" w:line="360" w:lineRule="auto"/>
        <w:ind w:right="-734"/>
        <w:jc w:val="both"/>
        <w:rPr>
          <w:rFonts w:ascii="Palatino Linotype" w:eastAsia="Palatino Linotype" w:hAnsi="Palatino Linotype" w:cs="Palatino Linotype"/>
          <w:color w:val="222222"/>
          <w:sz w:val="24"/>
          <w:szCs w:val="24"/>
        </w:rPr>
      </w:pPr>
    </w:p>
    <w:p w:rsidR="00CB4B51" w:rsidRDefault="00CB4B51">
      <w:pPr>
        <w:spacing w:before="240" w:after="360" w:line="360" w:lineRule="auto"/>
        <w:ind w:right="-734"/>
        <w:jc w:val="both"/>
        <w:rPr>
          <w:rFonts w:ascii="Palatino Linotype" w:eastAsia="Palatino Linotype" w:hAnsi="Palatino Linotype" w:cs="Palatino Linotype"/>
          <w:color w:val="222222"/>
          <w:sz w:val="24"/>
          <w:szCs w:val="24"/>
        </w:rPr>
      </w:pPr>
    </w:p>
    <w:p w:rsidR="00CB4B51" w:rsidRDefault="00CB4B51">
      <w:pPr>
        <w:spacing w:before="240" w:after="360" w:line="360" w:lineRule="auto"/>
        <w:ind w:right="-734"/>
        <w:jc w:val="both"/>
        <w:rPr>
          <w:rFonts w:ascii="Palatino Linotype" w:eastAsia="Palatino Linotype" w:hAnsi="Palatino Linotype" w:cs="Palatino Linotype"/>
          <w:color w:val="222222"/>
          <w:sz w:val="24"/>
          <w:szCs w:val="24"/>
        </w:rPr>
      </w:pPr>
    </w:p>
    <w:p w:rsidR="00CB4B51" w:rsidRDefault="00CB4B51">
      <w:pPr>
        <w:spacing w:before="240" w:after="360" w:line="360" w:lineRule="auto"/>
        <w:ind w:right="-734"/>
        <w:jc w:val="both"/>
        <w:rPr>
          <w:rFonts w:ascii="Palatino Linotype" w:eastAsia="Palatino Linotype" w:hAnsi="Palatino Linotype" w:cs="Palatino Linotype"/>
          <w:color w:val="222222"/>
          <w:sz w:val="24"/>
          <w:szCs w:val="24"/>
        </w:rPr>
      </w:pPr>
    </w:p>
    <w:sectPr w:rsidR="00CB4B51">
      <w:headerReference w:type="even" r:id="rId11"/>
      <w:headerReference w:type="default" r:id="rId12"/>
      <w:footerReference w:type="default" r:id="rId13"/>
      <w:headerReference w:type="first" r:id="rId14"/>
      <w:footerReference w:type="first" r:id="rId15"/>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117" w:rsidRDefault="00371117">
      <w:r>
        <w:separator/>
      </w:r>
    </w:p>
  </w:endnote>
  <w:endnote w:type="continuationSeparator" w:id="0">
    <w:p w:rsidR="00371117" w:rsidRDefault="0037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51" w:rsidRDefault="00CB4B51">
    <w:pPr>
      <w:pBdr>
        <w:top w:val="nil"/>
        <w:left w:val="nil"/>
        <w:bottom w:val="nil"/>
        <w:right w:val="nil"/>
        <w:between w:val="nil"/>
      </w:pBdr>
      <w:tabs>
        <w:tab w:val="center" w:pos="4419"/>
        <w:tab w:val="right" w:pos="8838"/>
      </w:tabs>
      <w:jc w:val="right"/>
      <w:rPr>
        <w:color w:val="000000"/>
      </w:rPr>
    </w:pPr>
  </w:p>
  <w:p w:rsidR="00CB4B51" w:rsidRDefault="009044B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71E71">
      <w:rPr>
        <w:b/>
        <w:noProof/>
        <w:color w:val="000000"/>
        <w:sz w:val="24"/>
        <w:szCs w:val="24"/>
      </w:rPr>
      <w:t>35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71E71">
      <w:rPr>
        <w:b/>
        <w:noProof/>
        <w:color w:val="000000"/>
        <w:sz w:val="24"/>
        <w:szCs w:val="24"/>
      </w:rPr>
      <w:t>35</w:t>
    </w:r>
    <w:r>
      <w:rPr>
        <w:b/>
        <w:color w:val="000000"/>
        <w:sz w:val="24"/>
        <w:szCs w:val="24"/>
      </w:rPr>
      <w:fldChar w:fldCharType="end"/>
    </w:r>
  </w:p>
  <w:p w:rsidR="00CB4B51" w:rsidRDefault="00CB4B51">
    <w:pPr>
      <w:pBdr>
        <w:top w:val="nil"/>
        <w:left w:val="nil"/>
        <w:bottom w:val="nil"/>
        <w:right w:val="nil"/>
        <w:between w:val="nil"/>
      </w:pBdr>
      <w:tabs>
        <w:tab w:val="center" w:pos="4419"/>
        <w:tab w:val="right" w:pos="8838"/>
      </w:tabs>
      <w:rPr>
        <w:color w:val="000000"/>
      </w:rPr>
    </w:pPr>
  </w:p>
  <w:p w:rsidR="00CB4B51" w:rsidRDefault="00CB4B51"/>
  <w:p w:rsidR="00CB4B51" w:rsidRDefault="00CB4B51"/>
  <w:p w:rsidR="00CB4B51" w:rsidRDefault="00CB4B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51" w:rsidRDefault="009044B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71E7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71E71">
      <w:rPr>
        <w:b/>
        <w:noProof/>
        <w:color w:val="000000"/>
        <w:sz w:val="24"/>
        <w:szCs w:val="24"/>
      </w:rPr>
      <w:t>34</w:t>
    </w:r>
    <w:r>
      <w:rPr>
        <w:b/>
        <w:color w:val="000000"/>
        <w:sz w:val="24"/>
        <w:szCs w:val="24"/>
      </w:rPr>
      <w:fldChar w:fldCharType="end"/>
    </w:r>
  </w:p>
  <w:p w:rsidR="00CB4B51" w:rsidRDefault="00CB4B51">
    <w:pPr>
      <w:pBdr>
        <w:top w:val="nil"/>
        <w:left w:val="nil"/>
        <w:bottom w:val="nil"/>
        <w:right w:val="nil"/>
        <w:between w:val="nil"/>
      </w:pBdr>
      <w:tabs>
        <w:tab w:val="center" w:pos="4419"/>
        <w:tab w:val="right" w:pos="8838"/>
      </w:tabs>
      <w:rPr>
        <w:color w:val="000000"/>
      </w:rPr>
    </w:pPr>
  </w:p>
  <w:p w:rsidR="00CB4B51" w:rsidRDefault="00CB4B51"/>
  <w:p w:rsidR="00CB4B51" w:rsidRDefault="00CB4B51"/>
  <w:p w:rsidR="00CB4B51" w:rsidRDefault="00CB4B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117" w:rsidRDefault="00371117">
      <w:r>
        <w:separator/>
      </w:r>
    </w:p>
  </w:footnote>
  <w:footnote w:type="continuationSeparator" w:id="0">
    <w:p w:rsidR="00371117" w:rsidRDefault="00371117">
      <w:r>
        <w:continuationSeparator/>
      </w:r>
    </w:p>
  </w:footnote>
  <w:footnote w:id="1">
    <w:p w:rsidR="00CB4B51" w:rsidRDefault="009044BD">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rsidR="00CB4B51" w:rsidRDefault="009044BD">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rsidR="00CB4B51" w:rsidRDefault="009044BD">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rsidR="00CB4B51" w:rsidRDefault="009044BD">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 w:id="5">
    <w:p w:rsidR="00CB4B51" w:rsidRDefault="009044BD">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rsidR="00CB4B51" w:rsidRDefault="009044B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rsidR="00CB4B51" w:rsidRDefault="009044B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 w:id="6">
    <w:p w:rsidR="00CB4B51" w:rsidRDefault="009044BD">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Artículo 150. Ley de Transparencia y Acceso a la Información Pública del Estado de México y Municipios.</w:t>
      </w:r>
    </w:p>
    <w:p w:rsidR="00CB4B51" w:rsidRDefault="009044B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Artículo 151. Ibídem.</w:t>
      </w:r>
    </w:p>
  </w:footnote>
  <w:footnote w:id="7">
    <w:p w:rsidR="00CB4B51" w:rsidRDefault="009044BD">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51" w:rsidRDefault="00371117">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rsidR="00CB4B51" w:rsidRDefault="00CB4B51"/>
  <w:p w:rsidR="00CB4B51" w:rsidRDefault="00CB4B51"/>
  <w:p w:rsidR="00CB4B51" w:rsidRDefault="00CB4B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9356" w:type="dxa"/>
      <w:tblInd w:w="-115" w:type="dxa"/>
      <w:tblLayout w:type="fixed"/>
      <w:tblLook w:val="0400" w:firstRow="0" w:lastRow="0" w:firstColumn="0" w:lastColumn="0" w:noHBand="0" w:noVBand="1"/>
    </w:tblPr>
    <w:tblGrid>
      <w:gridCol w:w="1843"/>
      <w:gridCol w:w="7513"/>
    </w:tblGrid>
    <w:tr w:rsidR="00CB4B51">
      <w:trPr>
        <w:trHeight w:val="1435"/>
      </w:trPr>
      <w:tc>
        <w:tcPr>
          <w:tcW w:w="1843" w:type="dxa"/>
          <w:shd w:val="clear" w:color="auto" w:fill="auto"/>
        </w:tcPr>
        <w:p w:rsidR="00CB4B51" w:rsidRDefault="009044BD">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tbl>
          <w:tblPr>
            <w:tblStyle w:val="a4"/>
            <w:tblW w:w="7513" w:type="dxa"/>
            <w:tblInd w:w="858" w:type="dxa"/>
            <w:tblBorders>
              <w:top w:val="nil"/>
              <w:left w:val="nil"/>
              <w:bottom w:val="nil"/>
              <w:right w:val="nil"/>
              <w:insideH w:val="nil"/>
              <w:insideV w:val="nil"/>
            </w:tblBorders>
            <w:tblLayout w:type="fixed"/>
            <w:tblLook w:val="0400" w:firstRow="0" w:lastRow="0" w:firstColumn="0" w:lastColumn="0" w:noHBand="0" w:noVBand="1"/>
          </w:tblPr>
          <w:tblGrid>
            <w:gridCol w:w="2565"/>
            <w:gridCol w:w="4948"/>
          </w:tblGrid>
          <w:tr w:rsidR="00CB4B51" w:rsidTr="00DF16A3">
            <w:trPr>
              <w:trHeight w:val="338"/>
            </w:trPr>
            <w:tc>
              <w:tcPr>
                <w:tcW w:w="2565" w:type="dxa"/>
              </w:tcPr>
              <w:p w:rsidR="00CB4B51" w:rsidRDefault="009044B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48" w:type="dxa"/>
              </w:tcPr>
              <w:p w:rsidR="00CB4B51" w:rsidRDefault="009044BD">
                <w:pPr>
                  <w:ind w:right="-16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03688/INFOEM/IP/RR/2024</w:t>
                </w:r>
              </w:p>
            </w:tc>
          </w:tr>
          <w:tr w:rsidR="00CB4B51" w:rsidTr="00DF16A3">
            <w:trPr>
              <w:trHeight w:val="283"/>
            </w:trPr>
            <w:tc>
              <w:tcPr>
                <w:tcW w:w="2565" w:type="dxa"/>
              </w:tcPr>
              <w:p w:rsidR="00CB4B51" w:rsidRDefault="009044BD">
                <w:pPr>
                  <w:tabs>
                    <w:tab w:val="right" w:pos="8838"/>
                  </w:tabs>
                  <w:ind w:right="-105"/>
                  <w:rPr>
                    <w:rFonts w:ascii="Palatino Linotype" w:eastAsia="Palatino Linotype" w:hAnsi="Palatino Linotype" w:cs="Palatino Linotype"/>
                    <w:b/>
                    <w:sz w:val="22"/>
                    <w:szCs w:val="22"/>
                  </w:rPr>
                </w:pPr>
                <w:bookmarkStart w:id="13" w:name="_heading=h.3rdcrjn" w:colFirst="0" w:colLast="0"/>
                <w:bookmarkEnd w:id="13"/>
                <w:r>
                  <w:rPr>
                    <w:rFonts w:ascii="Palatino Linotype" w:eastAsia="Palatino Linotype" w:hAnsi="Palatino Linotype" w:cs="Palatino Linotype"/>
                    <w:b/>
                    <w:sz w:val="22"/>
                    <w:szCs w:val="22"/>
                  </w:rPr>
                  <w:t>Sujeto Obligado:</w:t>
                </w:r>
              </w:p>
            </w:tc>
            <w:tc>
              <w:tcPr>
                <w:tcW w:w="4948" w:type="dxa"/>
              </w:tcPr>
              <w:p w:rsidR="00CB4B51" w:rsidRDefault="009044BD" w:rsidP="00DF16A3">
                <w:pPr>
                  <w:ind w:right="-16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w:t>
                </w:r>
                <w:r w:rsidR="00DF16A3">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Morelos</w:t>
                </w:r>
              </w:p>
            </w:tc>
          </w:tr>
          <w:tr w:rsidR="00CB4B51" w:rsidTr="00DF16A3">
            <w:trPr>
              <w:trHeight w:val="283"/>
            </w:trPr>
            <w:tc>
              <w:tcPr>
                <w:tcW w:w="2565" w:type="dxa"/>
              </w:tcPr>
              <w:p w:rsidR="00CB4B51" w:rsidRDefault="009044B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48" w:type="dxa"/>
              </w:tcPr>
              <w:p w:rsidR="00CB4B51" w:rsidRDefault="009044BD">
                <w:pPr>
                  <w:ind w:right="-16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CB4B51" w:rsidRDefault="00CB4B51">
          <w:pPr>
            <w:tabs>
              <w:tab w:val="right" w:pos="8838"/>
            </w:tabs>
            <w:ind w:left="-28"/>
            <w:jc w:val="both"/>
            <w:rPr>
              <w:rFonts w:ascii="Arial" w:eastAsia="Arial" w:hAnsi="Arial" w:cs="Arial"/>
              <w:b/>
              <w:sz w:val="22"/>
              <w:szCs w:val="22"/>
            </w:rPr>
          </w:pPr>
        </w:p>
      </w:tc>
    </w:tr>
  </w:tbl>
  <w:p w:rsidR="00CB4B51" w:rsidRPr="00DF16A3" w:rsidRDefault="00371117" w:rsidP="00DF16A3">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4.2pt;margin-top:-132.25pt;width:663.5pt;height:12in;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10365" w:type="dxa"/>
      <w:tblInd w:w="-115" w:type="dxa"/>
      <w:tblLayout w:type="fixed"/>
      <w:tblLook w:val="0400" w:firstRow="0" w:lastRow="0" w:firstColumn="0" w:lastColumn="0" w:noHBand="0" w:noVBand="1"/>
    </w:tblPr>
    <w:tblGrid>
      <w:gridCol w:w="1560"/>
      <w:gridCol w:w="8805"/>
    </w:tblGrid>
    <w:tr w:rsidR="00CB4B51">
      <w:trPr>
        <w:trHeight w:val="1435"/>
      </w:trPr>
      <w:tc>
        <w:tcPr>
          <w:tcW w:w="1560" w:type="dxa"/>
          <w:shd w:val="clear" w:color="auto" w:fill="auto"/>
        </w:tcPr>
        <w:p w:rsidR="00CB4B51" w:rsidRDefault="00CB4B51">
          <w:pPr>
            <w:tabs>
              <w:tab w:val="right" w:pos="4273"/>
            </w:tabs>
            <w:rPr>
              <w:rFonts w:ascii="Garamond" w:eastAsia="Garamond" w:hAnsi="Garamond" w:cs="Garamond"/>
              <w:sz w:val="22"/>
              <w:szCs w:val="22"/>
            </w:rPr>
          </w:pPr>
        </w:p>
      </w:tc>
      <w:tc>
        <w:tcPr>
          <w:tcW w:w="8805" w:type="dxa"/>
          <w:shd w:val="clear" w:color="auto" w:fill="auto"/>
        </w:tcPr>
        <w:tbl>
          <w:tblPr>
            <w:tblStyle w:val="a6"/>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260"/>
            <w:gridCol w:w="2235"/>
          </w:tblGrid>
          <w:tr w:rsidR="00CB4B51">
            <w:trPr>
              <w:trHeight w:val="341"/>
            </w:trPr>
            <w:tc>
              <w:tcPr>
                <w:tcW w:w="2445" w:type="dxa"/>
              </w:tcPr>
              <w:p w:rsidR="00CB4B51" w:rsidRDefault="009044BD">
                <w:pPr>
                  <w:tabs>
                    <w:tab w:val="right" w:pos="8838"/>
                  </w:tabs>
                  <w:ind w:left="-74" w:right="-105"/>
                  <w:rPr>
                    <w:rFonts w:ascii="Palatino Linotype" w:eastAsia="Palatino Linotype" w:hAnsi="Palatino Linotype" w:cs="Palatino Linotype"/>
                    <w:b/>
                    <w:sz w:val="22"/>
                    <w:szCs w:val="22"/>
                  </w:rPr>
                </w:pPr>
                <w:bookmarkStart w:id="14" w:name="_heading=h.26in1rg" w:colFirst="0" w:colLast="0"/>
                <w:bookmarkEnd w:id="14"/>
                <w:r>
                  <w:rPr>
                    <w:rFonts w:ascii="Palatino Linotype" w:eastAsia="Palatino Linotype" w:hAnsi="Palatino Linotype" w:cs="Palatino Linotype"/>
                    <w:b/>
                    <w:sz w:val="22"/>
                    <w:szCs w:val="22"/>
                  </w:rPr>
                  <w:t>Recurso de Revisión:</w:t>
                </w:r>
              </w:p>
            </w:tc>
            <w:tc>
              <w:tcPr>
                <w:tcW w:w="4260" w:type="dxa"/>
              </w:tcPr>
              <w:p w:rsidR="00CB4B51" w:rsidRDefault="009044BD">
                <w:pPr>
                  <w:tabs>
                    <w:tab w:val="right" w:pos="8838"/>
                  </w:tabs>
                  <w:ind w:left="-3" w:right="-10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03688/INFOEM/IP/RR/2024</w:t>
                </w:r>
              </w:p>
            </w:tc>
            <w:tc>
              <w:tcPr>
                <w:tcW w:w="2235" w:type="dxa"/>
              </w:tcPr>
              <w:p w:rsidR="00CB4B51" w:rsidRDefault="00CB4B51">
                <w:pPr>
                  <w:tabs>
                    <w:tab w:val="right" w:pos="8838"/>
                  </w:tabs>
                  <w:ind w:left="-74" w:right="-105"/>
                  <w:jc w:val="both"/>
                  <w:rPr>
                    <w:rFonts w:ascii="Palatino Linotype" w:eastAsia="Palatino Linotype" w:hAnsi="Palatino Linotype" w:cs="Palatino Linotype"/>
                    <w:sz w:val="22"/>
                    <w:szCs w:val="22"/>
                  </w:rPr>
                </w:pPr>
              </w:p>
            </w:tc>
          </w:tr>
          <w:tr w:rsidR="00CB4B51">
            <w:trPr>
              <w:trHeight w:val="144"/>
            </w:trPr>
            <w:tc>
              <w:tcPr>
                <w:tcW w:w="2445" w:type="dxa"/>
              </w:tcPr>
              <w:p w:rsidR="00CB4B51" w:rsidRDefault="009044BD">
                <w:pPr>
                  <w:tabs>
                    <w:tab w:val="right" w:pos="8838"/>
                  </w:tabs>
                  <w:ind w:left="-74" w:right="-105"/>
                  <w:rPr>
                    <w:rFonts w:ascii="Palatino Linotype" w:eastAsia="Palatino Linotype" w:hAnsi="Palatino Linotype" w:cs="Palatino Linotype"/>
                    <w:b/>
                    <w:sz w:val="22"/>
                    <w:szCs w:val="22"/>
                  </w:rPr>
                </w:pPr>
                <w:bookmarkStart w:id="15" w:name="_heading=h.lnxbz9" w:colFirst="0" w:colLast="0"/>
                <w:bookmarkEnd w:id="15"/>
                <w:r>
                  <w:rPr>
                    <w:rFonts w:ascii="Palatino Linotype" w:eastAsia="Palatino Linotype" w:hAnsi="Palatino Linotype" w:cs="Palatino Linotype"/>
                    <w:b/>
                    <w:sz w:val="22"/>
                    <w:szCs w:val="22"/>
                  </w:rPr>
                  <w:t>Recurrente:</w:t>
                </w:r>
              </w:p>
            </w:tc>
            <w:tc>
              <w:tcPr>
                <w:tcW w:w="4260" w:type="dxa"/>
              </w:tcPr>
              <w:p w:rsidR="00CB4B51" w:rsidRDefault="00CB4B51">
                <w:pPr>
                  <w:tabs>
                    <w:tab w:val="left" w:pos="3122"/>
                    <w:tab w:val="right" w:pos="8838"/>
                  </w:tabs>
                  <w:ind w:right="-1088"/>
                  <w:rPr>
                    <w:rFonts w:ascii="Palatino Linotype" w:eastAsia="Palatino Linotype" w:hAnsi="Palatino Linotype" w:cs="Palatino Linotype"/>
                    <w:sz w:val="22"/>
                    <w:szCs w:val="22"/>
                  </w:rPr>
                </w:pPr>
              </w:p>
            </w:tc>
            <w:tc>
              <w:tcPr>
                <w:tcW w:w="2235" w:type="dxa"/>
              </w:tcPr>
              <w:p w:rsidR="00CB4B51" w:rsidRDefault="00CB4B51">
                <w:pPr>
                  <w:tabs>
                    <w:tab w:val="left" w:pos="3122"/>
                    <w:tab w:val="right" w:pos="8838"/>
                  </w:tabs>
                  <w:ind w:right="-105"/>
                  <w:jc w:val="both"/>
                  <w:rPr>
                    <w:rFonts w:ascii="Palatino Linotype" w:eastAsia="Palatino Linotype" w:hAnsi="Palatino Linotype" w:cs="Palatino Linotype"/>
                    <w:sz w:val="22"/>
                    <w:szCs w:val="22"/>
                  </w:rPr>
                </w:pPr>
              </w:p>
            </w:tc>
          </w:tr>
          <w:tr w:rsidR="00CB4B51">
            <w:trPr>
              <w:trHeight w:val="283"/>
            </w:trPr>
            <w:tc>
              <w:tcPr>
                <w:tcW w:w="2445" w:type="dxa"/>
              </w:tcPr>
              <w:p w:rsidR="00CB4B51" w:rsidRDefault="009044B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60" w:type="dxa"/>
              </w:tcPr>
              <w:p w:rsidR="00CB4B51" w:rsidRDefault="009044BD">
                <w:pPr>
                  <w:tabs>
                    <w:tab w:val="left" w:pos="2834"/>
                    <w:tab w:val="right" w:pos="8838"/>
                  </w:tabs>
                  <w:ind w:left="-3" w:right="-10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c>
              <w:tcPr>
                <w:tcW w:w="2235" w:type="dxa"/>
              </w:tcPr>
              <w:p w:rsidR="00CB4B51" w:rsidRDefault="00CB4B51">
                <w:pPr>
                  <w:tabs>
                    <w:tab w:val="left" w:pos="2834"/>
                    <w:tab w:val="right" w:pos="8838"/>
                  </w:tabs>
                  <w:ind w:left="-74" w:right="-105"/>
                  <w:jc w:val="both"/>
                  <w:rPr>
                    <w:rFonts w:ascii="Palatino Linotype" w:eastAsia="Palatino Linotype" w:hAnsi="Palatino Linotype" w:cs="Palatino Linotype"/>
                    <w:sz w:val="22"/>
                    <w:szCs w:val="22"/>
                  </w:rPr>
                </w:pPr>
              </w:p>
            </w:tc>
          </w:tr>
          <w:tr w:rsidR="00CB4B51">
            <w:trPr>
              <w:trHeight w:val="283"/>
            </w:trPr>
            <w:tc>
              <w:tcPr>
                <w:tcW w:w="2445" w:type="dxa"/>
              </w:tcPr>
              <w:p w:rsidR="00CB4B51" w:rsidRDefault="009044B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60" w:type="dxa"/>
              </w:tcPr>
              <w:p w:rsidR="00CB4B51" w:rsidRDefault="009044BD">
                <w:pPr>
                  <w:tabs>
                    <w:tab w:val="right" w:pos="8838"/>
                  </w:tabs>
                  <w:ind w:left="-3" w:right="-10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235" w:type="dxa"/>
              </w:tcPr>
              <w:p w:rsidR="00CB4B51" w:rsidRDefault="00CB4B51">
                <w:pPr>
                  <w:tabs>
                    <w:tab w:val="right" w:pos="8838"/>
                  </w:tabs>
                  <w:ind w:left="-74" w:right="-105"/>
                  <w:jc w:val="both"/>
                  <w:rPr>
                    <w:rFonts w:ascii="Palatino Linotype" w:eastAsia="Palatino Linotype" w:hAnsi="Palatino Linotype" w:cs="Palatino Linotype"/>
                    <w:sz w:val="22"/>
                    <w:szCs w:val="22"/>
                  </w:rPr>
                </w:pPr>
              </w:p>
            </w:tc>
          </w:tr>
        </w:tbl>
        <w:p w:rsidR="00CB4B51" w:rsidRDefault="00CB4B51">
          <w:pPr>
            <w:tabs>
              <w:tab w:val="right" w:pos="8838"/>
            </w:tabs>
            <w:ind w:left="-28"/>
            <w:jc w:val="both"/>
            <w:rPr>
              <w:rFonts w:ascii="Arial" w:eastAsia="Arial" w:hAnsi="Arial" w:cs="Arial"/>
              <w:b/>
              <w:sz w:val="22"/>
              <w:szCs w:val="22"/>
            </w:rPr>
          </w:pPr>
        </w:p>
      </w:tc>
    </w:tr>
  </w:tbl>
  <w:p w:rsidR="00CB4B51" w:rsidRPr="00DF16A3" w:rsidRDefault="00371117" w:rsidP="00DF16A3">
    <w:pPr>
      <w:pBdr>
        <w:top w:val="nil"/>
        <w:left w:val="nil"/>
        <w:bottom w:val="nil"/>
        <w:right w:val="nil"/>
        <w:between w:val="nil"/>
      </w:pBdr>
      <w:tabs>
        <w:tab w:val="center" w:pos="4419"/>
        <w:tab w:val="right" w:pos="8838"/>
        <w:tab w:val="center" w:pos="4522"/>
      </w:tabs>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4.65pt;margin-top:-131.75pt;width:663.5pt;height:12in;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86AB3"/>
    <w:multiLevelType w:val="multilevel"/>
    <w:tmpl w:val="4E125E1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17607438"/>
    <w:multiLevelType w:val="multilevel"/>
    <w:tmpl w:val="CB74D1EC"/>
    <w:lvl w:ilvl="0">
      <w:start w:val="1"/>
      <w:numFmt w:val="bullet"/>
      <w:pStyle w:val="Listaconvietas2"/>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nsid w:val="225D0AAE"/>
    <w:multiLevelType w:val="multilevel"/>
    <w:tmpl w:val="B0565B0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B34DE0"/>
    <w:multiLevelType w:val="multilevel"/>
    <w:tmpl w:val="C4F8C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1F90D4C"/>
    <w:multiLevelType w:val="multilevel"/>
    <w:tmpl w:val="84C61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11B03FE"/>
    <w:multiLevelType w:val="multilevel"/>
    <w:tmpl w:val="B7886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51"/>
    <w:rsid w:val="00210EE5"/>
    <w:rsid w:val="00371117"/>
    <w:rsid w:val="00535AD2"/>
    <w:rsid w:val="009044BD"/>
    <w:rsid w:val="00B063B2"/>
    <w:rsid w:val="00B71E71"/>
    <w:rsid w:val="00CB4B51"/>
    <w:rsid w:val="00DF16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703008D-DB83-41DF-A8A6-7E2EBAB0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paragraph" w:styleId="Continuarlista">
    <w:name w:val="List Continue"/>
    <w:basedOn w:val="Normal"/>
    <w:uiPriority w:val="99"/>
    <w:unhideWhenUsed/>
    <w:rsid w:val="00AB4E43"/>
    <w:pPr>
      <w:spacing w:after="120"/>
      <w:ind w:left="283"/>
      <w:contextualSpacing/>
    </w:pPr>
  </w:style>
  <w:style w:type="table" w:customStyle="1" w:styleId="a3">
    <w:basedOn w:val="TableNormal0"/>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a4">
    <w:basedOn w:val="TableNormal0"/>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a5">
    <w:basedOn w:val="TableNormal0"/>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a6">
    <w:basedOn w:val="TableNormal0"/>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character" w:styleId="Referenciasutil">
    <w:name w:val="Subtle Reference"/>
    <w:basedOn w:val="Fuentedeprrafopredeter"/>
    <w:uiPriority w:val="31"/>
    <w:qFormat/>
    <w:rsid w:val="00DF16A3"/>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172264.page" TargetMode="External"/><Relationship Id="rId4" Type="http://schemas.openxmlformats.org/officeDocument/2006/relationships/settings" Target="settings.xml"/><Relationship Id="rId9" Type="http://schemas.openxmlformats.org/officeDocument/2006/relationships/hyperlink" Target="https://saimex.org.mx/saimex/solicitud/downloadAttach/2165965.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CsVoK2yq+3FTryg0CJHbIM0gA==">CgMxLjAyCGguZ2pkZ3hzMgloLjMwajB6bGwyCWguMWZvYjl0ZTIJaC4zem55c2g3MgloLjJldDkycDAyCGgudHlqY3d0MgloLjNkeTZ2a20yCWguMXQzaDVzZjIJaC4zNW5rdW4yMgloLjRkMzRvZzgyCWguMnM4ZXlvMTIJaC4xN2RwOHZ1MgloLjNyZGNyam4yCWguMjZpbjFyZzIIaC5sbnhiejk4AHIhMXFBdHhGR1gzV1VDbW5fWWdhZFhkUW9DdUktbXAySjVO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8716</Words>
  <Characters>47941</Characters>
  <Application>Microsoft Office Word</Application>
  <DocSecurity>0</DocSecurity>
  <Lines>399</Lines>
  <Paragraphs>113</Paragraphs>
  <ScaleCrop>false</ScaleCrop>
  <Company>HP Inc.</Company>
  <LinksUpToDate>false</LinksUpToDate>
  <CharactersWithSpaces>56544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USUARIO</cp:lastModifiedBy>
  <cp:revision>9</cp:revision>
  <dcterms:created xsi:type="dcterms:W3CDTF">2024-09-12T18:40:00Z</dcterms:created>
  <dcterms:modified xsi:type="dcterms:W3CDTF">2024-09-23T17:23:00Z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