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2D37" w14:textId="77777777" w:rsidR="00B1000A" w:rsidRPr="00E95235" w:rsidRDefault="00B1000A" w:rsidP="00B1000A">
      <w:pPr>
        <w:spacing w:line="360" w:lineRule="auto"/>
        <w:jc w:val="both"/>
        <w:rPr>
          <w:rFonts w:ascii="Palatino Linotype" w:eastAsiaTheme="minorEastAsia" w:hAnsi="Palatino Linotype"/>
          <w:lang w:val="es-ES_tradnl" w:eastAsia="es-ES"/>
        </w:rPr>
      </w:pPr>
      <w:r w:rsidRPr="00E95235">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w:t>
      </w:r>
      <w:r w:rsidR="0049568D">
        <w:rPr>
          <w:rFonts w:ascii="Palatino Linotype" w:eastAsiaTheme="minorEastAsia" w:hAnsi="Palatino Linotype"/>
          <w:lang w:val="es-ES_tradnl" w:eastAsia="es-ES"/>
        </w:rPr>
        <w:t xml:space="preserve"> de México; del ocho (08) de febrero de dos mil veinticuatro</w:t>
      </w:r>
      <w:r>
        <w:rPr>
          <w:rFonts w:ascii="Palatino Linotype" w:eastAsiaTheme="minorEastAsia" w:hAnsi="Palatino Linotype"/>
          <w:lang w:val="es-ES_tradnl" w:eastAsia="es-ES"/>
        </w:rPr>
        <w:t xml:space="preserve">. </w:t>
      </w:r>
    </w:p>
    <w:p w14:paraId="4D8B52B3" w14:textId="77777777" w:rsidR="00B1000A" w:rsidRPr="00E95235" w:rsidRDefault="00B1000A" w:rsidP="00B1000A">
      <w:pPr>
        <w:spacing w:line="360" w:lineRule="auto"/>
        <w:jc w:val="both"/>
        <w:rPr>
          <w:rFonts w:ascii="Palatino Linotype" w:eastAsiaTheme="minorEastAsia" w:hAnsi="Palatino Linotype"/>
          <w:lang w:val="es-ES_tradnl" w:eastAsia="es-ES"/>
        </w:rPr>
      </w:pPr>
    </w:p>
    <w:p w14:paraId="74F06DF2" w14:textId="48967736" w:rsidR="00B1000A" w:rsidRPr="00E95235" w:rsidRDefault="00B1000A" w:rsidP="00B1000A">
      <w:pPr>
        <w:spacing w:line="360" w:lineRule="auto"/>
        <w:jc w:val="both"/>
        <w:rPr>
          <w:rFonts w:ascii="Palatino Linotype" w:hAnsi="Palatino Linotype"/>
        </w:rPr>
      </w:pPr>
      <w:r w:rsidRPr="00E95235">
        <w:rPr>
          <w:rFonts w:ascii="Palatino Linotype" w:hAnsi="Palatino Linotype"/>
          <w:b/>
        </w:rPr>
        <w:t>VISTO</w:t>
      </w:r>
      <w:r w:rsidR="003B7DC3">
        <w:rPr>
          <w:rFonts w:ascii="Palatino Linotype" w:hAnsi="Palatino Linotype"/>
        </w:rPr>
        <w:t xml:space="preserve"> el</w:t>
      </w:r>
      <w:r w:rsidRPr="00E95235">
        <w:rPr>
          <w:rFonts w:ascii="Palatino Linotype" w:hAnsi="Palatino Linotype"/>
        </w:rPr>
        <w:t xml:space="preserve"> expediente electrónico formado con motivo de recurso de revisión </w:t>
      </w:r>
      <w:r w:rsidR="0049568D">
        <w:rPr>
          <w:rFonts w:ascii="Palatino Linotype" w:hAnsi="Palatino Linotype"/>
          <w:b/>
        </w:rPr>
        <w:t>16093</w:t>
      </w:r>
      <w:r w:rsidR="003B7DC3">
        <w:rPr>
          <w:rFonts w:ascii="Palatino Linotype" w:hAnsi="Palatino Linotype"/>
          <w:b/>
        </w:rPr>
        <w:t>/INFOEM/IP/RR/2022</w:t>
      </w:r>
      <w:r w:rsidRPr="00E95235">
        <w:rPr>
          <w:rFonts w:ascii="Palatino Linotype" w:hAnsi="Palatino Linotype"/>
          <w:b/>
        </w:rPr>
        <w:t>,</w:t>
      </w:r>
      <w:r w:rsidRPr="00E95235">
        <w:rPr>
          <w:rFonts w:ascii="Palatino Linotype" w:hAnsi="Palatino Linotype" w:cs="Arial"/>
          <w:b/>
          <w:bCs/>
        </w:rPr>
        <w:t xml:space="preserve"> </w:t>
      </w:r>
      <w:r w:rsidRPr="00E95235">
        <w:rPr>
          <w:rFonts w:ascii="Palatino Linotype" w:eastAsiaTheme="minorEastAsia" w:hAnsi="Palatino Linotype"/>
          <w:lang w:val="es-ES_tradnl" w:eastAsia="es-ES"/>
        </w:rPr>
        <w:t xml:space="preserve">promovido </w:t>
      </w:r>
      <w:r w:rsidR="0049568D">
        <w:rPr>
          <w:rFonts w:ascii="Palatino Linotype" w:eastAsiaTheme="minorEastAsia" w:hAnsi="Palatino Linotype"/>
          <w:lang w:val="es-ES_tradnl" w:eastAsia="es-ES"/>
        </w:rPr>
        <w:t xml:space="preserve">por </w:t>
      </w:r>
      <w:r w:rsidR="002B3814">
        <w:rPr>
          <w:rFonts w:ascii="Palatino Linotype" w:eastAsiaTheme="minorEastAsia" w:hAnsi="Palatino Linotype"/>
          <w:b/>
          <w:bCs/>
          <w:lang w:eastAsia="es-ES"/>
        </w:rPr>
        <w:t xml:space="preserve">XXX </w:t>
      </w:r>
      <w:proofErr w:type="spellStart"/>
      <w:r w:rsidR="002B3814">
        <w:rPr>
          <w:rFonts w:ascii="Palatino Linotype" w:eastAsiaTheme="minorEastAsia" w:hAnsi="Palatino Linotype"/>
          <w:b/>
          <w:bCs/>
          <w:lang w:eastAsia="es-ES"/>
        </w:rPr>
        <w:t>XXX</w:t>
      </w:r>
      <w:proofErr w:type="spellEnd"/>
      <w:r w:rsidR="002B3814">
        <w:rPr>
          <w:rFonts w:ascii="Palatino Linotype" w:eastAsiaTheme="minorEastAsia" w:hAnsi="Palatino Linotype"/>
          <w:b/>
          <w:bCs/>
          <w:lang w:eastAsia="es-ES"/>
        </w:rPr>
        <w:t xml:space="preserve"> </w:t>
      </w:r>
      <w:proofErr w:type="spellStart"/>
      <w:r w:rsidR="002B3814">
        <w:rPr>
          <w:rFonts w:ascii="Palatino Linotype" w:eastAsiaTheme="minorEastAsia" w:hAnsi="Palatino Linotype"/>
          <w:b/>
          <w:bCs/>
          <w:lang w:eastAsia="es-ES"/>
        </w:rPr>
        <w:t>XXX</w:t>
      </w:r>
      <w:proofErr w:type="spellEnd"/>
      <w:r>
        <w:rPr>
          <w:rFonts w:ascii="Palatino Linotype" w:eastAsiaTheme="minorEastAsia" w:hAnsi="Palatino Linotype"/>
          <w:b/>
          <w:lang w:val="es-ES_tradnl" w:eastAsia="es-ES"/>
        </w:rPr>
        <w:t>,</w:t>
      </w:r>
      <w:r w:rsidRPr="00E95235">
        <w:rPr>
          <w:rFonts w:ascii="Palatino Linotype" w:hAnsi="Palatino Linotype"/>
        </w:rPr>
        <w:t xml:space="preserve"> quien en lo sucesivo se identificará como </w:t>
      </w:r>
      <w:r w:rsidRPr="00E95235">
        <w:rPr>
          <w:rFonts w:ascii="Palatino Linotype" w:hAnsi="Palatino Linotype"/>
          <w:b/>
        </w:rPr>
        <w:t xml:space="preserve">EL </w:t>
      </w:r>
      <w:r w:rsidRPr="00E95235">
        <w:rPr>
          <w:rFonts w:ascii="Palatino Linotype" w:hAnsi="Palatino Linotype" w:cs="Arial"/>
          <w:b/>
        </w:rPr>
        <w:t>RECURRENTE</w:t>
      </w:r>
      <w:r w:rsidRPr="00E95235">
        <w:rPr>
          <w:rFonts w:ascii="Palatino Linotype" w:hAnsi="Palatino Linotype" w:cs="Arial"/>
        </w:rPr>
        <w:t xml:space="preserve">, en contra de la respuesta del </w:t>
      </w:r>
      <w:r w:rsidR="0049568D" w:rsidRPr="0049568D">
        <w:rPr>
          <w:rFonts w:ascii="Palatino Linotype" w:hAnsi="Palatino Linotype" w:cs="Arial"/>
          <w:b/>
          <w:bCs/>
        </w:rPr>
        <w:t>Ayuntamiento de Tepotzotlán</w:t>
      </w:r>
      <w:r>
        <w:rPr>
          <w:rFonts w:ascii="Palatino Linotype" w:hAnsi="Palatino Linotype" w:cs="Arial"/>
          <w:b/>
        </w:rPr>
        <w:t>,</w:t>
      </w:r>
      <w:r w:rsidRPr="00E95235">
        <w:rPr>
          <w:rFonts w:ascii="Palatino Linotype" w:hAnsi="Palatino Linotype"/>
          <w:b/>
        </w:rPr>
        <w:t xml:space="preserve"> </w:t>
      </w:r>
      <w:r w:rsidRPr="00E95235">
        <w:rPr>
          <w:rFonts w:ascii="Palatino Linotype" w:hAnsi="Palatino Linotype"/>
        </w:rPr>
        <w:t>en lo sucesivo el</w:t>
      </w:r>
      <w:r w:rsidRPr="00E95235">
        <w:rPr>
          <w:rFonts w:ascii="Palatino Linotype" w:hAnsi="Palatino Linotype"/>
          <w:b/>
        </w:rPr>
        <w:t xml:space="preserve"> SUJETO OBLIGADO</w:t>
      </w:r>
      <w:r w:rsidRPr="00E95235">
        <w:rPr>
          <w:rFonts w:ascii="Palatino Linotype" w:hAnsi="Palatino Linotype"/>
        </w:rPr>
        <w:t>, por lo que se procede a dictar la presente resolución, con base en los siguientes:</w:t>
      </w:r>
    </w:p>
    <w:p w14:paraId="46B6E3B6" w14:textId="77777777" w:rsidR="00B1000A" w:rsidRPr="00E95235" w:rsidRDefault="00B1000A" w:rsidP="00B1000A">
      <w:pPr>
        <w:spacing w:line="360" w:lineRule="auto"/>
        <w:jc w:val="both"/>
        <w:rPr>
          <w:rFonts w:ascii="Palatino Linotype" w:hAnsi="Palatino Linotype"/>
          <w:b/>
        </w:rPr>
      </w:pPr>
    </w:p>
    <w:p w14:paraId="714A8E43" w14:textId="77777777" w:rsidR="00B1000A" w:rsidRPr="00E95235" w:rsidRDefault="00B1000A" w:rsidP="00B1000A">
      <w:pPr>
        <w:keepNext/>
        <w:keepLines/>
        <w:spacing w:line="360" w:lineRule="auto"/>
        <w:jc w:val="center"/>
        <w:outlineLvl w:val="0"/>
        <w:rPr>
          <w:rFonts w:ascii="Palatino Linotype" w:eastAsiaTheme="majorEastAsia" w:hAnsi="Palatino Linotype" w:cstheme="majorBidi"/>
          <w:b/>
        </w:rPr>
      </w:pPr>
      <w:bookmarkStart w:id="0" w:name="_Toc66992241"/>
      <w:r w:rsidRPr="00E95235">
        <w:rPr>
          <w:rFonts w:ascii="Palatino Linotype" w:eastAsiaTheme="majorEastAsia" w:hAnsi="Palatino Linotype" w:cstheme="majorBidi"/>
          <w:b/>
        </w:rPr>
        <w:t>ANTECEDENTES</w:t>
      </w:r>
      <w:bookmarkEnd w:id="0"/>
    </w:p>
    <w:p w14:paraId="544095AD" w14:textId="77777777" w:rsidR="00B1000A" w:rsidRPr="00E95235" w:rsidRDefault="00B1000A" w:rsidP="00B1000A">
      <w:pPr>
        <w:spacing w:line="360" w:lineRule="auto"/>
        <w:rPr>
          <w:rFonts w:ascii="Palatino Linotype" w:eastAsiaTheme="minorEastAsia" w:hAnsi="Palatino Linotype"/>
        </w:rPr>
      </w:pPr>
    </w:p>
    <w:p w14:paraId="4CBAF912" w14:textId="77777777" w:rsidR="00B1000A" w:rsidRPr="00E95235"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Pr>
          <w:rFonts w:ascii="Palatino Linotype" w:eastAsia="Calibri" w:hAnsi="Palatino Linotype" w:cs="Arial"/>
          <w:sz w:val="24"/>
          <w:lang w:val="es-ES" w:eastAsia="es-ES"/>
        </w:rPr>
        <w:t xml:space="preserve">El </w:t>
      </w:r>
      <w:r w:rsidR="0049568D">
        <w:rPr>
          <w:rFonts w:ascii="Palatino Linotype" w:eastAsia="Calibri" w:hAnsi="Palatino Linotype" w:cs="Arial"/>
          <w:sz w:val="24"/>
          <w:lang w:val="es-ES" w:eastAsia="es-ES"/>
        </w:rPr>
        <w:t xml:space="preserve">tres (03) de octubre </w:t>
      </w:r>
      <w:r w:rsidR="003B7DC3">
        <w:rPr>
          <w:rFonts w:ascii="Palatino Linotype" w:eastAsia="Calibri" w:hAnsi="Palatino Linotype" w:cs="Arial"/>
          <w:sz w:val="24"/>
          <w:lang w:val="es-ES" w:eastAsia="es-ES"/>
        </w:rPr>
        <w:t>de dos mil veintidós</w:t>
      </w:r>
      <w:r w:rsidRPr="00E95235">
        <w:rPr>
          <w:rFonts w:ascii="Palatino Linotype" w:eastAsia="Calibri" w:hAnsi="Palatino Linotype" w:cs="Arial"/>
          <w:sz w:val="24"/>
          <w:lang w:val="es-ES" w:eastAsia="es-ES"/>
        </w:rPr>
        <w:t>,</w:t>
      </w:r>
      <w:r w:rsidRPr="00E95235">
        <w:rPr>
          <w:rFonts w:ascii="Palatino Linotype" w:eastAsia="Calibri" w:hAnsi="Palatino Linotype"/>
          <w:sz w:val="24"/>
          <w:lang w:val="es-ES" w:eastAsia="es-ES"/>
        </w:rPr>
        <w:t xml:space="preserve"> </w:t>
      </w:r>
      <w:r w:rsidRPr="00E95235">
        <w:rPr>
          <w:rFonts w:ascii="Palatino Linotype" w:eastAsia="Calibri" w:hAnsi="Palatino Linotype"/>
          <w:b/>
          <w:sz w:val="24"/>
          <w:lang w:val="es-ES" w:eastAsia="es-ES"/>
        </w:rPr>
        <w:t>EL RECURRENTE</w:t>
      </w:r>
      <w:r w:rsidRPr="00E95235">
        <w:rPr>
          <w:rFonts w:ascii="Palatino Linotype" w:eastAsiaTheme="minorEastAsia" w:hAnsi="Palatino Linotype"/>
          <w:b/>
          <w:sz w:val="24"/>
          <w:lang w:val="es-ES_tradnl" w:eastAsia="es-ES"/>
        </w:rPr>
        <w:t>,</w:t>
      </w:r>
      <w:r w:rsidRPr="00E95235">
        <w:rPr>
          <w:rFonts w:ascii="Palatino Linotype" w:eastAsia="Calibri" w:hAnsi="Palatino Linotype" w:cs="Arial"/>
          <w:sz w:val="24"/>
          <w:lang w:val="es-ES" w:eastAsia="es-ES"/>
        </w:rPr>
        <w:t xml:space="preserve"> ante el </w:t>
      </w:r>
      <w:r w:rsidRPr="00E95235">
        <w:rPr>
          <w:rFonts w:ascii="Palatino Linotype" w:eastAsia="Calibri" w:hAnsi="Palatino Linotype" w:cs="Arial"/>
          <w:b/>
          <w:sz w:val="24"/>
          <w:lang w:val="es-ES" w:eastAsia="es-ES"/>
        </w:rPr>
        <w:t>SUJETO OBLIGADO</w:t>
      </w:r>
      <w:r w:rsidRPr="00E95235">
        <w:rPr>
          <w:rFonts w:ascii="Palatino Linotype" w:eastAsia="Calibri" w:hAnsi="Palatino Linotype" w:cs="Arial"/>
          <w:sz w:val="24"/>
          <w:lang w:val="es-ES_tradnl" w:eastAsia="es-ES"/>
        </w:rPr>
        <w:t xml:space="preserve"> vía </w:t>
      </w:r>
      <w:r w:rsidRPr="00E95235">
        <w:rPr>
          <w:rFonts w:ascii="Palatino Linotype" w:eastAsia="Calibri" w:hAnsi="Palatino Linotype" w:cs="Arial"/>
          <w:sz w:val="24"/>
          <w:lang w:val="es-ES" w:eastAsia="es-ES"/>
        </w:rPr>
        <w:t>Sistema de Acceso a la Información Mexiquense (</w:t>
      </w:r>
      <w:r w:rsidRPr="00E95235">
        <w:rPr>
          <w:rFonts w:ascii="Palatino Linotype" w:eastAsia="Calibri" w:hAnsi="Palatino Linotype" w:cs="Arial"/>
          <w:b/>
          <w:sz w:val="24"/>
          <w:lang w:val="es-ES" w:eastAsia="es-ES"/>
        </w:rPr>
        <w:t>SAIMEX)</w:t>
      </w:r>
      <w:r w:rsidR="003B7DC3">
        <w:rPr>
          <w:rFonts w:ascii="Palatino Linotype" w:eastAsia="Calibri" w:hAnsi="Palatino Linotype" w:cs="Arial"/>
          <w:sz w:val="24"/>
          <w:lang w:val="es-ES" w:eastAsia="es-ES"/>
        </w:rPr>
        <w:t>, presentó la</w:t>
      </w:r>
      <w:r w:rsidRPr="00E95235">
        <w:rPr>
          <w:rFonts w:ascii="Palatino Linotype" w:eastAsia="Calibri" w:hAnsi="Palatino Linotype" w:cs="Arial"/>
          <w:sz w:val="24"/>
          <w:lang w:val="es-ES" w:eastAsia="es-ES"/>
        </w:rPr>
        <w:t xml:space="preserve"> solicitud de información registrada</w:t>
      </w:r>
      <w:r w:rsidR="003B7DC3">
        <w:rPr>
          <w:rFonts w:ascii="Palatino Linotype" w:eastAsia="Calibri" w:hAnsi="Palatino Linotype" w:cs="Arial"/>
          <w:sz w:val="24"/>
          <w:lang w:val="es-ES" w:eastAsia="es-ES"/>
        </w:rPr>
        <w:t xml:space="preserve"> con el</w:t>
      </w:r>
      <w:r w:rsidRPr="00E95235">
        <w:rPr>
          <w:rFonts w:ascii="Palatino Linotype" w:eastAsia="Calibri" w:hAnsi="Palatino Linotype" w:cs="Arial"/>
          <w:sz w:val="24"/>
          <w:lang w:val="es-ES" w:eastAsia="es-ES"/>
        </w:rPr>
        <w:t xml:space="preserve"> número </w:t>
      </w:r>
      <w:r w:rsidR="0049568D" w:rsidRPr="0049568D">
        <w:rPr>
          <w:rFonts w:ascii="Palatino Linotype" w:hAnsi="Palatino Linotype"/>
          <w:b/>
          <w:bCs/>
          <w:sz w:val="24"/>
        </w:rPr>
        <w:t>00533/TEPOTZOT/IP/2022</w:t>
      </w:r>
      <w:r w:rsidRPr="00E95235">
        <w:rPr>
          <w:rFonts w:ascii="Palatino Linotype" w:eastAsiaTheme="minorEastAsia" w:hAnsi="Palatino Linotype"/>
          <w:b/>
          <w:sz w:val="24"/>
          <w:lang w:val="es-ES_tradnl" w:eastAsia="es-ES"/>
        </w:rPr>
        <w:t xml:space="preserve">, </w:t>
      </w:r>
      <w:r w:rsidRPr="00E95235">
        <w:rPr>
          <w:rFonts w:ascii="Palatino Linotype" w:eastAsia="Calibri" w:hAnsi="Palatino Linotype" w:cs="Arial"/>
          <w:sz w:val="24"/>
          <w:lang w:val="es-ES" w:eastAsia="es-ES"/>
        </w:rPr>
        <w:t>mediante la</w:t>
      </w:r>
      <w:r w:rsidR="00094768">
        <w:rPr>
          <w:rFonts w:ascii="Palatino Linotype" w:eastAsia="Calibri" w:hAnsi="Palatino Linotype" w:cs="Arial"/>
          <w:sz w:val="24"/>
          <w:lang w:val="es-ES" w:eastAsia="es-ES"/>
        </w:rPr>
        <w:t>s</w:t>
      </w:r>
      <w:r w:rsidRPr="00E95235">
        <w:rPr>
          <w:rFonts w:ascii="Palatino Linotype" w:eastAsia="Calibri" w:hAnsi="Palatino Linotype" w:cs="Arial"/>
          <w:sz w:val="24"/>
          <w:lang w:val="es-ES" w:eastAsia="es-ES"/>
        </w:rPr>
        <w:t xml:space="preserve"> cual</w:t>
      </w:r>
      <w:r w:rsidR="00094768">
        <w:rPr>
          <w:rFonts w:ascii="Palatino Linotype" w:eastAsia="Calibri" w:hAnsi="Palatino Linotype" w:cs="Arial"/>
          <w:sz w:val="24"/>
          <w:lang w:val="es-ES" w:eastAsia="es-ES"/>
        </w:rPr>
        <w:t>es</w:t>
      </w:r>
      <w:r w:rsidRPr="00E95235">
        <w:rPr>
          <w:rFonts w:ascii="Palatino Linotype" w:eastAsia="Calibri" w:hAnsi="Palatino Linotype" w:cs="Arial"/>
          <w:sz w:val="24"/>
          <w:lang w:val="es-ES" w:eastAsia="es-ES"/>
        </w:rPr>
        <w:t xml:space="preserve"> solicitó lo siguiente:</w:t>
      </w:r>
    </w:p>
    <w:p w14:paraId="3BF1FE9B" w14:textId="77777777" w:rsidR="00B1000A" w:rsidRDefault="00B1000A" w:rsidP="00B1000A">
      <w:pPr>
        <w:pStyle w:val="Prrafodelista"/>
        <w:spacing w:line="360" w:lineRule="auto"/>
        <w:ind w:left="0"/>
        <w:jc w:val="both"/>
        <w:rPr>
          <w:rFonts w:ascii="Palatino Linotype" w:hAnsi="Palatino Linotype" w:cs="Arial"/>
          <w:szCs w:val="22"/>
          <w:lang w:val="es-ES" w:eastAsia="es-ES"/>
        </w:rPr>
      </w:pPr>
    </w:p>
    <w:p w14:paraId="4DC15CB2" w14:textId="6FC5B53D" w:rsidR="00094768" w:rsidRDefault="003B7DC3" w:rsidP="00094768">
      <w:pPr>
        <w:pStyle w:val="Prrafodelista"/>
        <w:spacing w:line="360" w:lineRule="auto"/>
        <w:ind w:right="567"/>
        <w:jc w:val="both"/>
        <w:rPr>
          <w:rFonts w:ascii="Palatino Linotype" w:hAnsi="Palatino Linotype"/>
          <w:i/>
          <w:color w:val="000000"/>
          <w:szCs w:val="22"/>
        </w:rPr>
      </w:pPr>
      <w:r w:rsidRPr="00E95235">
        <w:rPr>
          <w:rFonts w:ascii="Palatino Linotype" w:hAnsi="Palatino Linotype"/>
          <w:i/>
          <w:color w:val="000000"/>
          <w:szCs w:val="22"/>
        </w:rPr>
        <w:t xml:space="preserve"> </w:t>
      </w:r>
      <w:r w:rsidR="00094768" w:rsidRPr="00E95235">
        <w:rPr>
          <w:rFonts w:ascii="Palatino Linotype" w:hAnsi="Palatino Linotype"/>
          <w:i/>
          <w:color w:val="000000"/>
          <w:szCs w:val="22"/>
        </w:rPr>
        <w:t>“</w:t>
      </w:r>
      <w:r w:rsidR="0049568D" w:rsidRPr="0049568D">
        <w:rPr>
          <w:rFonts w:ascii="Palatino Linotype" w:hAnsi="Palatino Linotype"/>
          <w:i/>
          <w:color w:val="000000"/>
          <w:szCs w:val="22"/>
        </w:rPr>
        <w:t xml:space="preserve">Con fundamento en la ley en la materia y tal como lo marca el articulo 1,2 </w:t>
      </w:r>
      <w:proofErr w:type="spellStart"/>
      <w:r w:rsidR="0049568D" w:rsidRPr="0049568D">
        <w:rPr>
          <w:rFonts w:ascii="Palatino Linotype" w:hAnsi="Palatino Linotype"/>
          <w:i/>
          <w:color w:val="000000"/>
          <w:szCs w:val="22"/>
        </w:rPr>
        <w:t>fracciòn</w:t>
      </w:r>
      <w:proofErr w:type="spellEnd"/>
      <w:r w:rsidR="0049568D" w:rsidRPr="0049568D">
        <w:rPr>
          <w:rFonts w:ascii="Palatino Linotype" w:hAnsi="Palatino Linotype"/>
          <w:i/>
          <w:color w:val="000000"/>
          <w:szCs w:val="22"/>
        </w:rPr>
        <w:t xml:space="preserve"> II, III, VII, VIII, XII, 4, 6, 11, 12, 15, 17, 70 </w:t>
      </w:r>
      <w:proofErr w:type="spellStart"/>
      <w:r w:rsidR="0049568D" w:rsidRPr="0049568D">
        <w:rPr>
          <w:rFonts w:ascii="Palatino Linotype" w:hAnsi="Palatino Linotype"/>
          <w:i/>
          <w:color w:val="000000"/>
          <w:szCs w:val="22"/>
        </w:rPr>
        <w:t>Fracciòn</w:t>
      </w:r>
      <w:proofErr w:type="spellEnd"/>
      <w:r w:rsidR="0049568D" w:rsidRPr="0049568D">
        <w:rPr>
          <w:rFonts w:ascii="Palatino Linotype" w:hAnsi="Palatino Linotype"/>
          <w:i/>
          <w:color w:val="000000"/>
          <w:szCs w:val="22"/>
        </w:rPr>
        <w:t xml:space="preserve"> XXVII, XXXVIII. 1.- RELACIÒN, LISTADO O INFORMACIÒN REFERENTE AL NUMERO DE SOLICITUDES RECIBIDAS EN EL AREA CORRESPONDIENTE O DEPENDENCIA DE LA DIRECCIÒN DE DESARROLLO Y FOMENTO ECONOMICO,</w:t>
      </w:r>
      <w:r w:rsidR="00530040">
        <w:rPr>
          <w:rFonts w:ascii="Palatino Linotype" w:hAnsi="Palatino Linotype"/>
          <w:i/>
          <w:color w:val="000000"/>
          <w:szCs w:val="22"/>
        </w:rPr>
        <w:t xml:space="preserve"> </w:t>
      </w:r>
      <w:r w:rsidR="0049568D" w:rsidRPr="0049568D">
        <w:rPr>
          <w:rFonts w:ascii="Palatino Linotype" w:hAnsi="Palatino Linotype"/>
          <w:i/>
          <w:color w:val="000000"/>
          <w:szCs w:val="22"/>
        </w:rPr>
        <w:t xml:space="preserve">SOBRE LICENCIAS DE FUNCIONAMIENTO PARA TODO TIPO DE GIROS, BAJO, MEDIANO O ALTO IMPACTO. 2.-RELACIÒN DE LICENCIAS AUTORIZADAS POR PARTE DE LA DIRECCIÒN DE DESARROLLO Y FOMENTO ECONOMICO DEL PRESENTE AÑO, QUE ENTRE OTROS DATOS </w:t>
      </w:r>
      <w:r w:rsidR="0049568D" w:rsidRPr="0049568D">
        <w:rPr>
          <w:rFonts w:ascii="Palatino Linotype" w:hAnsi="Palatino Linotype"/>
          <w:i/>
          <w:color w:val="000000"/>
          <w:szCs w:val="22"/>
        </w:rPr>
        <w:lastRenderedPageBreak/>
        <w:t>CONTENGA: -NOMBRE O DENOMINACIÒN SOCIAL -DIRECCIÒN O UBICACIÒN -TIPO DE GIRO O NEGOCIO -CLASIFICACIÒN DE BAJO, MEDIANO O ALTO IMPACTO</w:t>
      </w:r>
      <w:r w:rsidR="00094768" w:rsidRPr="00E95235">
        <w:rPr>
          <w:rFonts w:ascii="Palatino Linotype" w:hAnsi="Palatino Linotype"/>
          <w:i/>
          <w:color w:val="000000"/>
          <w:szCs w:val="22"/>
        </w:rPr>
        <w:t xml:space="preserve">” (Sic) </w:t>
      </w:r>
    </w:p>
    <w:p w14:paraId="0E0DF115" w14:textId="77777777" w:rsidR="00094768" w:rsidRPr="00646849" w:rsidRDefault="00094768" w:rsidP="00B1000A">
      <w:pPr>
        <w:pStyle w:val="Prrafodelista"/>
        <w:spacing w:line="360" w:lineRule="auto"/>
        <w:ind w:left="0"/>
        <w:jc w:val="both"/>
        <w:rPr>
          <w:rFonts w:ascii="Palatino Linotype" w:hAnsi="Palatino Linotype" w:cs="Arial"/>
          <w:sz w:val="24"/>
          <w:szCs w:val="22"/>
          <w:lang w:val="es-ES" w:eastAsia="es-ES"/>
        </w:rPr>
      </w:pPr>
    </w:p>
    <w:p w14:paraId="47E672FE" w14:textId="77777777" w:rsidR="00B1000A" w:rsidRDefault="00B1000A"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Pr>
          <w:rFonts w:ascii="Palatino Linotype" w:hAnsi="Palatino Linotype" w:cs="Arial"/>
          <w:sz w:val="24"/>
          <w:szCs w:val="22"/>
          <w:lang w:val="es-ES" w:eastAsia="es-ES"/>
        </w:rPr>
        <w:t>Se señaló como modalidad de entrega a través de SAIMEX.</w:t>
      </w:r>
    </w:p>
    <w:p w14:paraId="6ED6553C" w14:textId="77777777" w:rsidR="00B1000A" w:rsidRPr="00B1000A" w:rsidRDefault="00B1000A" w:rsidP="00B1000A">
      <w:pPr>
        <w:pStyle w:val="Prrafodelista"/>
        <w:spacing w:line="360" w:lineRule="auto"/>
        <w:ind w:left="0"/>
        <w:jc w:val="both"/>
        <w:rPr>
          <w:rFonts w:ascii="Palatino Linotype" w:hAnsi="Palatino Linotype" w:cs="Arial"/>
          <w:sz w:val="24"/>
          <w:szCs w:val="22"/>
          <w:lang w:val="es-ES" w:eastAsia="es-ES"/>
        </w:rPr>
      </w:pPr>
    </w:p>
    <w:p w14:paraId="2F90CC45" w14:textId="77777777" w:rsidR="0049568D" w:rsidRDefault="0049568D"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Pr>
          <w:rFonts w:ascii="Palatino Linotype" w:hAnsi="Palatino Linotype" w:cs="Arial"/>
          <w:sz w:val="24"/>
          <w:szCs w:val="22"/>
          <w:lang w:val="es-ES" w:eastAsia="es-ES"/>
        </w:rPr>
        <w:t>El tres (03) de octubre de dos mil veintidós, se realizó una solicitud de aclaración en el siguiente sentido:</w:t>
      </w:r>
    </w:p>
    <w:p w14:paraId="60F93514" w14:textId="77777777" w:rsidR="0049568D" w:rsidRPr="0049568D" w:rsidRDefault="0049568D" w:rsidP="0049568D">
      <w:pPr>
        <w:pStyle w:val="Prrafodelista"/>
        <w:rPr>
          <w:rFonts w:ascii="Palatino Linotype" w:hAnsi="Palatino Linotype" w:cs="Arial"/>
          <w:sz w:val="24"/>
          <w:szCs w:val="22"/>
          <w:lang w:val="es-ES" w:eastAsia="es-ES"/>
        </w:rPr>
      </w:pPr>
    </w:p>
    <w:tbl>
      <w:tblPr>
        <w:tblW w:w="8202" w:type="dxa"/>
        <w:jc w:val="center"/>
        <w:tblCellSpacing w:w="0" w:type="dxa"/>
        <w:tblCellMar>
          <w:left w:w="0" w:type="dxa"/>
          <w:right w:w="0" w:type="dxa"/>
        </w:tblCellMar>
        <w:tblLook w:val="04A0" w:firstRow="1" w:lastRow="0" w:firstColumn="1" w:lastColumn="0" w:noHBand="0" w:noVBand="1"/>
      </w:tblPr>
      <w:tblGrid>
        <w:gridCol w:w="8202"/>
      </w:tblGrid>
      <w:tr w:rsidR="0049568D" w:rsidRPr="0049568D" w14:paraId="74F9ADCC" w14:textId="77777777" w:rsidTr="0049568D">
        <w:trPr>
          <w:trHeight w:val="300"/>
          <w:tblCellSpacing w:w="0" w:type="dxa"/>
          <w:jc w:val="center"/>
        </w:trPr>
        <w:tc>
          <w:tcPr>
            <w:tcW w:w="0" w:type="auto"/>
            <w:vAlign w:val="center"/>
            <w:hideMark/>
          </w:tcPr>
          <w:p w14:paraId="53761B14" w14:textId="77777777" w:rsidR="0049568D" w:rsidRPr="0049568D" w:rsidRDefault="0049568D" w:rsidP="0049568D">
            <w:pPr>
              <w:pStyle w:val="Prrafodelista"/>
              <w:spacing w:line="360" w:lineRule="auto"/>
              <w:jc w:val="right"/>
              <w:rPr>
                <w:rFonts w:ascii="Palatino Linotype" w:hAnsi="Palatino Linotype" w:cs="Arial"/>
                <w:i/>
                <w:szCs w:val="22"/>
                <w:lang w:eastAsia="es-ES"/>
              </w:rPr>
            </w:pPr>
            <w:r w:rsidRPr="0049568D">
              <w:rPr>
                <w:rFonts w:ascii="Palatino Linotype" w:hAnsi="Palatino Linotype" w:cs="Arial"/>
                <w:i/>
                <w:szCs w:val="22"/>
                <w:lang w:eastAsia="es-ES"/>
              </w:rPr>
              <w:t>Tepotzotlán, México a 03 de Octubre de 2022</w:t>
            </w:r>
          </w:p>
        </w:tc>
      </w:tr>
      <w:tr w:rsidR="0049568D" w:rsidRPr="0049568D" w14:paraId="2F01E8EA" w14:textId="77777777" w:rsidTr="0049568D">
        <w:trPr>
          <w:trHeight w:val="300"/>
          <w:tblCellSpacing w:w="0" w:type="dxa"/>
          <w:jc w:val="center"/>
        </w:trPr>
        <w:tc>
          <w:tcPr>
            <w:tcW w:w="0" w:type="auto"/>
            <w:vAlign w:val="center"/>
            <w:hideMark/>
          </w:tcPr>
          <w:p w14:paraId="298D5BA7" w14:textId="77777777" w:rsidR="0049568D" w:rsidRPr="0049568D" w:rsidRDefault="0049568D" w:rsidP="0049568D">
            <w:pPr>
              <w:pStyle w:val="Prrafodelista"/>
              <w:spacing w:line="360" w:lineRule="auto"/>
              <w:jc w:val="right"/>
              <w:rPr>
                <w:rFonts w:ascii="Palatino Linotype" w:hAnsi="Palatino Linotype" w:cs="Arial"/>
                <w:i/>
                <w:szCs w:val="22"/>
                <w:lang w:eastAsia="es-ES"/>
              </w:rPr>
            </w:pPr>
            <w:r w:rsidRPr="0049568D">
              <w:rPr>
                <w:rFonts w:ascii="Palatino Linotype" w:hAnsi="Palatino Linotype" w:cs="Arial"/>
                <w:i/>
                <w:szCs w:val="22"/>
                <w:lang w:eastAsia="es-ES"/>
              </w:rPr>
              <w:t>Nombre del solicitante: C. Solicitante</w:t>
            </w:r>
          </w:p>
        </w:tc>
      </w:tr>
      <w:tr w:rsidR="0049568D" w:rsidRPr="0049568D" w14:paraId="7FF62D90" w14:textId="77777777" w:rsidTr="0049568D">
        <w:trPr>
          <w:trHeight w:val="300"/>
          <w:tblCellSpacing w:w="0" w:type="dxa"/>
          <w:jc w:val="center"/>
        </w:trPr>
        <w:tc>
          <w:tcPr>
            <w:tcW w:w="0" w:type="auto"/>
            <w:vAlign w:val="center"/>
            <w:hideMark/>
          </w:tcPr>
          <w:p w14:paraId="77512B47" w14:textId="77777777" w:rsidR="0049568D" w:rsidRPr="0049568D" w:rsidRDefault="0049568D" w:rsidP="0049568D">
            <w:pPr>
              <w:pStyle w:val="Prrafodelista"/>
              <w:spacing w:line="360" w:lineRule="auto"/>
              <w:jc w:val="right"/>
              <w:rPr>
                <w:rFonts w:ascii="Palatino Linotype" w:hAnsi="Palatino Linotype" w:cs="Arial"/>
                <w:i/>
                <w:szCs w:val="22"/>
                <w:lang w:eastAsia="es-ES"/>
              </w:rPr>
            </w:pPr>
            <w:r w:rsidRPr="0049568D">
              <w:rPr>
                <w:rFonts w:ascii="Palatino Linotype" w:hAnsi="Palatino Linotype" w:cs="Arial"/>
                <w:i/>
                <w:szCs w:val="22"/>
                <w:lang w:eastAsia="es-ES"/>
              </w:rPr>
              <w:t>Folio de la solicitud: 00533/TEPOTZOT/IP/2022</w:t>
            </w:r>
          </w:p>
        </w:tc>
      </w:tr>
      <w:tr w:rsidR="0049568D" w:rsidRPr="0049568D" w14:paraId="623EFD4E" w14:textId="77777777" w:rsidTr="0049568D">
        <w:trPr>
          <w:trHeight w:val="450"/>
          <w:tblCellSpacing w:w="0" w:type="dxa"/>
          <w:jc w:val="center"/>
        </w:trPr>
        <w:tc>
          <w:tcPr>
            <w:tcW w:w="0" w:type="auto"/>
            <w:vAlign w:val="center"/>
            <w:hideMark/>
          </w:tcPr>
          <w:p w14:paraId="223EE75F" w14:textId="77777777" w:rsidR="0049568D" w:rsidRPr="0049568D" w:rsidRDefault="0049568D" w:rsidP="0049568D">
            <w:pPr>
              <w:pStyle w:val="Prrafodelista"/>
              <w:spacing w:line="360" w:lineRule="auto"/>
              <w:jc w:val="both"/>
              <w:rPr>
                <w:rFonts w:ascii="Palatino Linotype" w:hAnsi="Palatino Linotype" w:cs="Arial"/>
                <w:i/>
                <w:szCs w:val="22"/>
                <w:lang w:eastAsia="es-ES"/>
              </w:rPr>
            </w:pPr>
          </w:p>
        </w:tc>
      </w:tr>
      <w:tr w:rsidR="0049568D" w:rsidRPr="0049568D" w14:paraId="7E97B870" w14:textId="77777777" w:rsidTr="0049568D">
        <w:trPr>
          <w:trHeight w:val="150"/>
          <w:tblCellSpacing w:w="0" w:type="dxa"/>
          <w:jc w:val="center"/>
        </w:trPr>
        <w:tc>
          <w:tcPr>
            <w:tcW w:w="0" w:type="auto"/>
            <w:vAlign w:val="center"/>
            <w:hideMark/>
          </w:tcPr>
          <w:p w14:paraId="2588725A" w14:textId="77777777" w:rsidR="0049568D" w:rsidRPr="0049568D" w:rsidRDefault="0049568D" w:rsidP="0049568D">
            <w:pPr>
              <w:pStyle w:val="Prrafodelista"/>
              <w:spacing w:line="360" w:lineRule="auto"/>
              <w:jc w:val="both"/>
              <w:rPr>
                <w:rFonts w:ascii="Palatino Linotype" w:hAnsi="Palatino Linotype" w:cs="Arial"/>
                <w:i/>
                <w:szCs w:val="22"/>
                <w:lang w:eastAsia="es-ES"/>
              </w:rPr>
            </w:pPr>
            <w:r w:rsidRPr="0049568D">
              <w:rPr>
                <w:rFonts w:ascii="Palatino Linotype" w:hAnsi="Palatino Linotype" w:cs="Arial"/>
                <w:i/>
                <w:szCs w:val="22"/>
                <w:lang w:eastAsia="es-ES"/>
              </w:rPr>
              <w:t xml:space="preserve">Con fundamento en el </w:t>
            </w:r>
            <w:proofErr w:type="spellStart"/>
            <w:r w:rsidRPr="0049568D">
              <w:rPr>
                <w:rFonts w:ascii="Palatino Linotype" w:hAnsi="Palatino Linotype" w:cs="Arial"/>
                <w:i/>
                <w:szCs w:val="22"/>
                <w:lang w:eastAsia="es-ES"/>
              </w:rPr>
              <w:t>articulo</w:t>
            </w:r>
            <w:proofErr w:type="spellEnd"/>
            <w:r w:rsidRPr="0049568D">
              <w:rPr>
                <w:rFonts w:ascii="Palatino Linotype" w:hAnsi="Palatino Linotype" w:cs="Arial"/>
                <w:i/>
                <w:szCs w:val="22"/>
                <w:lang w:eastAsia="es-ES"/>
              </w:rPr>
              <w:t xml:space="preserve"> 159 de la Ley de Transparencia y Acceso a la Información Pública del Estado de México y Municipios, se le requiere para que dentro del plazo de diez días hábiles realice lo siguiente:</w:t>
            </w:r>
          </w:p>
        </w:tc>
      </w:tr>
      <w:tr w:rsidR="0049568D" w:rsidRPr="0049568D" w14:paraId="11A23167" w14:textId="77777777" w:rsidTr="0049568D">
        <w:trPr>
          <w:trHeight w:val="375"/>
          <w:tblCellSpacing w:w="0" w:type="dxa"/>
          <w:jc w:val="center"/>
        </w:trPr>
        <w:tc>
          <w:tcPr>
            <w:tcW w:w="0" w:type="auto"/>
            <w:vAlign w:val="center"/>
            <w:hideMark/>
          </w:tcPr>
          <w:p w14:paraId="1D8BA769" w14:textId="77777777" w:rsidR="0049568D" w:rsidRPr="0049568D" w:rsidRDefault="0049568D" w:rsidP="0049568D">
            <w:pPr>
              <w:pStyle w:val="Prrafodelista"/>
              <w:spacing w:line="360" w:lineRule="auto"/>
              <w:jc w:val="both"/>
              <w:rPr>
                <w:rFonts w:ascii="Palatino Linotype" w:hAnsi="Palatino Linotype" w:cs="Arial"/>
                <w:i/>
                <w:szCs w:val="22"/>
                <w:lang w:eastAsia="es-ES"/>
              </w:rPr>
            </w:pPr>
          </w:p>
        </w:tc>
      </w:tr>
      <w:tr w:rsidR="0049568D" w:rsidRPr="0049568D" w14:paraId="4701957A" w14:textId="77777777" w:rsidTr="0049568D">
        <w:trPr>
          <w:trHeight w:val="150"/>
          <w:tblCellSpacing w:w="0" w:type="dxa"/>
          <w:jc w:val="center"/>
        </w:trPr>
        <w:tc>
          <w:tcPr>
            <w:tcW w:w="0" w:type="auto"/>
            <w:vAlign w:val="center"/>
            <w:hideMark/>
          </w:tcPr>
          <w:p w14:paraId="164DF01F" w14:textId="77777777" w:rsidR="0049568D" w:rsidRPr="0049568D" w:rsidRDefault="0049568D" w:rsidP="0049568D">
            <w:pPr>
              <w:pStyle w:val="Prrafodelista"/>
              <w:spacing w:line="360" w:lineRule="auto"/>
              <w:jc w:val="both"/>
              <w:rPr>
                <w:rFonts w:ascii="Palatino Linotype" w:hAnsi="Palatino Linotype" w:cs="Arial"/>
                <w:i/>
                <w:szCs w:val="22"/>
                <w:lang w:eastAsia="es-ES"/>
              </w:rPr>
            </w:pPr>
            <w:r w:rsidRPr="0049568D">
              <w:rPr>
                <w:rFonts w:ascii="Palatino Linotype" w:hAnsi="Palatino Linotype" w:cs="Arial"/>
                <w:i/>
                <w:szCs w:val="22"/>
                <w:lang w:eastAsia="es-ES"/>
              </w:rPr>
              <w:t>SOLICITAMOS ACLARACIÓN DE SU SOLICITUD YA QUE NO ESPECIFÍCA A QUÉ LEY Y MATERIA SE REFIERE, POR LO QUE PEDIMOS, NOS PRECISE A QUÉ LEY Y MATERIA HACE REFERENCIA</w:t>
            </w:r>
          </w:p>
        </w:tc>
      </w:tr>
      <w:tr w:rsidR="0049568D" w:rsidRPr="0049568D" w14:paraId="28C1C3AF" w14:textId="77777777" w:rsidTr="0049568D">
        <w:trPr>
          <w:trHeight w:val="375"/>
          <w:tblCellSpacing w:w="0" w:type="dxa"/>
          <w:jc w:val="center"/>
        </w:trPr>
        <w:tc>
          <w:tcPr>
            <w:tcW w:w="0" w:type="auto"/>
            <w:vAlign w:val="center"/>
            <w:hideMark/>
          </w:tcPr>
          <w:p w14:paraId="22D03659" w14:textId="77777777" w:rsidR="0049568D" w:rsidRPr="0049568D" w:rsidRDefault="0049568D" w:rsidP="0049568D">
            <w:pPr>
              <w:pStyle w:val="Prrafodelista"/>
              <w:spacing w:line="360" w:lineRule="auto"/>
              <w:jc w:val="both"/>
              <w:rPr>
                <w:rFonts w:ascii="Palatino Linotype" w:hAnsi="Palatino Linotype" w:cs="Arial"/>
                <w:i/>
                <w:szCs w:val="22"/>
                <w:lang w:eastAsia="es-ES"/>
              </w:rPr>
            </w:pPr>
          </w:p>
        </w:tc>
      </w:tr>
      <w:tr w:rsidR="0049568D" w:rsidRPr="0049568D" w14:paraId="4B8800BA" w14:textId="77777777" w:rsidTr="0049568D">
        <w:trPr>
          <w:trHeight w:val="150"/>
          <w:tblCellSpacing w:w="0" w:type="dxa"/>
          <w:jc w:val="center"/>
        </w:trPr>
        <w:tc>
          <w:tcPr>
            <w:tcW w:w="0" w:type="auto"/>
            <w:vAlign w:val="center"/>
            <w:hideMark/>
          </w:tcPr>
          <w:p w14:paraId="2C7CD1C3" w14:textId="77777777" w:rsidR="0049568D" w:rsidRPr="0049568D" w:rsidRDefault="0049568D" w:rsidP="0049568D">
            <w:pPr>
              <w:pStyle w:val="Prrafodelista"/>
              <w:spacing w:line="360" w:lineRule="auto"/>
              <w:jc w:val="both"/>
              <w:rPr>
                <w:rFonts w:ascii="Palatino Linotype" w:hAnsi="Palatino Linotype" w:cs="Arial"/>
                <w:i/>
                <w:szCs w:val="22"/>
                <w:lang w:eastAsia="es-ES"/>
              </w:rPr>
            </w:pPr>
            <w:r w:rsidRPr="0049568D">
              <w:rPr>
                <w:rFonts w:ascii="Palatino Linotype" w:hAnsi="Palatino Linotype" w:cs="Arial"/>
                <w:i/>
                <w:szCs w:val="22"/>
                <w:lang w:eastAsia="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r w:rsidR="0049568D" w:rsidRPr="0049568D" w14:paraId="3C0B8CF6" w14:textId="77777777" w:rsidTr="0049568D">
        <w:trPr>
          <w:trHeight w:val="150"/>
          <w:tblCellSpacing w:w="0" w:type="dxa"/>
          <w:jc w:val="center"/>
        </w:trPr>
        <w:tc>
          <w:tcPr>
            <w:tcW w:w="0" w:type="auto"/>
            <w:vAlign w:val="center"/>
            <w:hideMark/>
          </w:tcPr>
          <w:p w14:paraId="3B90C613" w14:textId="77777777" w:rsidR="0049568D" w:rsidRPr="0049568D" w:rsidRDefault="0049568D" w:rsidP="0049568D">
            <w:pPr>
              <w:pStyle w:val="Prrafodelista"/>
              <w:spacing w:line="360" w:lineRule="auto"/>
              <w:jc w:val="both"/>
              <w:rPr>
                <w:rFonts w:ascii="Palatino Linotype" w:hAnsi="Palatino Linotype" w:cs="Arial"/>
                <w:i/>
                <w:szCs w:val="22"/>
                <w:lang w:eastAsia="es-ES"/>
              </w:rPr>
            </w:pPr>
          </w:p>
        </w:tc>
      </w:tr>
      <w:tr w:rsidR="0049568D" w:rsidRPr="0049568D" w14:paraId="7BC6D4EA" w14:textId="77777777" w:rsidTr="0049568D">
        <w:trPr>
          <w:trHeight w:val="150"/>
          <w:tblCellSpacing w:w="0" w:type="dxa"/>
          <w:jc w:val="center"/>
        </w:trPr>
        <w:tc>
          <w:tcPr>
            <w:tcW w:w="0" w:type="auto"/>
            <w:vAlign w:val="center"/>
            <w:hideMark/>
          </w:tcPr>
          <w:p w14:paraId="222B8CD7" w14:textId="77777777" w:rsidR="0049568D" w:rsidRPr="0049568D" w:rsidRDefault="0049568D" w:rsidP="0049568D">
            <w:pPr>
              <w:pStyle w:val="Prrafodelista"/>
              <w:spacing w:line="360" w:lineRule="auto"/>
              <w:jc w:val="both"/>
              <w:rPr>
                <w:rFonts w:ascii="Palatino Linotype" w:hAnsi="Palatino Linotype" w:cs="Arial"/>
                <w:i/>
                <w:szCs w:val="22"/>
                <w:lang w:eastAsia="es-ES"/>
              </w:rPr>
            </w:pPr>
            <w:r w:rsidRPr="0049568D">
              <w:rPr>
                <w:rFonts w:ascii="Palatino Linotype" w:hAnsi="Palatino Linotype" w:cs="Arial"/>
                <w:i/>
                <w:szCs w:val="22"/>
                <w:lang w:eastAsia="es-ES"/>
              </w:rPr>
              <w:t>ATENTAMENTE</w:t>
            </w:r>
          </w:p>
        </w:tc>
      </w:tr>
      <w:tr w:rsidR="0049568D" w:rsidRPr="0049568D" w14:paraId="4460E266" w14:textId="77777777" w:rsidTr="0049568D">
        <w:trPr>
          <w:trHeight w:val="225"/>
          <w:tblCellSpacing w:w="0" w:type="dxa"/>
          <w:jc w:val="center"/>
        </w:trPr>
        <w:tc>
          <w:tcPr>
            <w:tcW w:w="0" w:type="auto"/>
            <w:vAlign w:val="center"/>
            <w:hideMark/>
          </w:tcPr>
          <w:p w14:paraId="15E319C9" w14:textId="77777777" w:rsidR="0049568D" w:rsidRPr="0049568D" w:rsidRDefault="0049568D" w:rsidP="0049568D">
            <w:pPr>
              <w:pStyle w:val="Prrafodelista"/>
              <w:spacing w:line="360" w:lineRule="auto"/>
              <w:jc w:val="both"/>
              <w:rPr>
                <w:rFonts w:ascii="Palatino Linotype" w:hAnsi="Palatino Linotype" w:cs="Arial"/>
                <w:i/>
                <w:szCs w:val="22"/>
                <w:lang w:eastAsia="es-ES"/>
              </w:rPr>
            </w:pPr>
          </w:p>
        </w:tc>
      </w:tr>
      <w:tr w:rsidR="0049568D" w:rsidRPr="0049568D" w14:paraId="78DFF205" w14:textId="77777777" w:rsidTr="0049568D">
        <w:trPr>
          <w:trHeight w:val="150"/>
          <w:tblCellSpacing w:w="0" w:type="dxa"/>
          <w:jc w:val="center"/>
        </w:trPr>
        <w:tc>
          <w:tcPr>
            <w:tcW w:w="0" w:type="auto"/>
            <w:vAlign w:val="center"/>
            <w:hideMark/>
          </w:tcPr>
          <w:p w14:paraId="53DA4D9A" w14:textId="77777777" w:rsidR="0049568D" w:rsidRPr="0049568D" w:rsidRDefault="0049568D" w:rsidP="0049568D">
            <w:pPr>
              <w:pStyle w:val="Prrafodelista"/>
              <w:spacing w:line="360" w:lineRule="auto"/>
              <w:jc w:val="both"/>
              <w:rPr>
                <w:rFonts w:ascii="Palatino Linotype" w:hAnsi="Palatino Linotype" w:cs="Arial"/>
                <w:i/>
                <w:szCs w:val="22"/>
                <w:lang w:eastAsia="es-ES"/>
              </w:rPr>
            </w:pPr>
            <w:r w:rsidRPr="0049568D">
              <w:rPr>
                <w:rFonts w:ascii="Palatino Linotype" w:hAnsi="Palatino Linotype" w:cs="Arial"/>
                <w:i/>
                <w:szCs w:val="22"/>
                <w:lang w:eastAsia="es-ES"/>
              </w:rPr>
              <w:lastRenderedPageBreak/>
              <w:t>Lic. Miguel Ángel Jiménez Martínez</w:t>
            </w:r>
          </w:p>
        </w:tc>
      </w:tr>
    </w:tbl>
    <w:p w14:paraId="4254AB4B" w14:textId="77777777" w:rsidR="0049568D" w:rsidRDefault="0049568D" w:rsidP="0049568D">
      <w:pPr>
        <w:pStyle w:val="Prrafodelista"/>
        <w:spacing w:line="360" w:lineRule="auto"/>
        <w:ind w:left="0"/>
        <w:jc w:val="both"/>
        <w:rPr>
          <w:rFonts w:ascii="Palatino Linotype" w:hAnsi="Palatino Linotype" w:cs="Arial"/>
          <w:sz w:val="24"/>
          <w:szCs w:val="22"/>
          <w:lang w:val="es-ES" w:eastAsia="es-ES"/>
        </w:rPr>
      </w:pPr>
    </w:p>
    <w:p w14:paraId="453C314A" w14:textId="77777777" w:rsidR="0049568D" w:rsidRPr="0049568D" w:rsidRDefault="0049568D" w:rsidP="0049568D">
      <w:pPr>
        <w:pStyle w:val="Prrafodelista"/>
        <w:rPr>
          <w:rFonts w:ascii="Palatino Linotype" w:hAnsi="Palatino Linotype" w:cs="Arial"/>
          <w:sz w:val="24"/>
          <w:szCs w:val="22"/>
          <w:lang w:val="es-ES" w:eastAsia="es-ES"/>
        </w:rPr>
      </w:pPr>
    </w:p>
    <w:p w14:paraId="313BC3F1" w14:textId="77777777" w:rsidR="0049568D" w:rsidRDefault="0049568D"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Pr>
          <w:rFonts w:ascii="Palatino Linotype" w:hAnsi="Palatino Linotype" w:cs="Arial"/>
          <w:sz w:val="24"/>
          <w:szCs w:val="22"/>
          <w:lang w:val="es-ES" w:eastAsia="es-ES"/>
        </w:rPr>
        <w:t>El seis (06) de octubre de dos mil veintidós, el Solicitante desahogo la aclaración en el siguiente sentido:</w:t>
      </w:r>
    </w:p>
    <w:p w14:paraId="5CD8C925" w14:textId="77777777" w:rsidR="0049568D" w:rsidRDefault="0049568D" w:rsidP="0049568D">
      <w:pPr>
        <w:pStyle w:val="Prrafodelista"/>
        <w:spacing w:line="360" w:lineRule="auto"/>
        <w:ind w:left="0"/>
        <w:jc w:val="both"/>
        <w:rPr>
          <w:rFonts w:ascii="Palatino Linotype" w:hAnsi="Palatino Linotype" w:cs="Arial"/>
          <w:sz w:val="24"/>
          <w:szCs w:val="22"/>
          <w:lang w:val="es-ES" w:eastAsia="es-ES"/>
        </w:rPr>
      </w:pPr>
    </w:p>
    <w:p w14:paraId="03A96D0F" w14:textId="77777777" w:rsidR="0049568D" w:rsidRPr="0049568D" w:rsidRDefault="0049568D" w:rsidP="0049568D">
      <w:pPr>
        <w:pStyle w:val="Prrafodelista"/>
        <w:spacing w:line="360" w:lineRule="auto"/>
        <w:ind w:left="851" w:right="822"/>
        <w:jc w:val="both"/>
        <w:rPr>
          <w:rFonts w:ascii="Palatino Linotype" w:hAnsi="Palatino Linotype" w:cs="Arial"/>
          <w:i/>
          <w:szCs w:val="22"/>
          <w:lang w:val="es-ES" w:eastAsia="es-ES"/>
        </w:rPr>
      </w:pPr>
      <w:r>
        <w:rPr>
          <w:rFonts w:ascii="Palatino Linotype" w:hAnsi="Palatino Linotype" w:cs="Arial"/>
          <w:i/>
          <w:szCs w:val="22"/>
          <w:lang w:eastAsia="es-ES"/>
        </w:rPr>
        <w:t>“</w:t>
      </w:r>
      <w:r w:rsidRPr="0049568D">
        <w:rPr>
          <w:rFonts w:ascii="Palatino Linotype" w:hAnsi="Palatino Linotype" w:cs="Arial"/>
          <w:i/>
          <w:szCs w:val="22"/>
          <w:lang w:eastAsia="es-ES"/>
        </w:rPr>
        <w:t>Derivado a mi solicitud que obviamente me refiero a la ley en la materia en la cuáles ustedes tienen la obligación de hacerla cumplir es la Ley General de Transparencia y Acceso a la información Pública Cabe mencionar que como ciudadano no tengo ninguna obligación en fundamentar pero lo quise hacer. Más bien un titular de la Unidad de Transferencia se tiene que enfocar a la información pública y de oficio en este caso a la cual tiene que dar contestación en tiempo y forma!</w:t>
      </w:r>
      <w:r>
        <w:rPr>
          <w:rFonts w:ascii="Palatino Linotype" w:hAnsi="Palatino Linotype" w:cs="Arial"/>
          <w:i/>
          <w:szCs w:val="22"/>
          <w:lang w:eastAsia="es-ES"/>
        </w:rPr>
        <w:t>” (Sic)</w:t>
      </w:r>
    </w:p>
    <w:p w14:paraId="15C9790C" w14:textId="77777777" w:rsidR="0049568D" w:rsidRPr="0049568D" w:rsidRDefault="0049568D" w:rsidP="0049568D">
      <w:pPr>
        <w:pStyle w:val="Prrafodelista"/>
        <w:spacing w:line="360" w:lineRule="auto"/>
        <w:ind w:left="0"/>
        <w:jc w:val="both"/>
        <w:rPr>
          <w:rFonts w:ascii="Palatino Linotype" w:hAnsi="Palatino Linotype" w:cs="Arial"/>
          <w:sz w:val="24"/>
          <w:szCs w:val="22"/>
          <w:lang w:val="es-ES" w:eastAsia="es-ES"/>
        </w:rPr>
      </w:pPr>
    </w:p>
    <w:p w14:paraId="6D35755B" w14:textId="77777777" w:rsidR="00AA5A04" w:rsidRDefault="0049568D" w:rsidP="00AA5A04">
      <w:pPr>
        <w:pStyle w:val="Prrafodelista"/>
        <w:numPr>
          <w:ilvl w:val="0"/>
          <w:numId w:val="1"/>
        </w:numPr>
        <w:spacing w:line="360" w:lineRule="auto"/>
        <w:ind w:left="0" w:firstLine="0"/>
        <w:jc w:val="both"/>
        <w:rPr>
          <w:rFonts w:ascii="Palatino Linotype" w:hAnsi="Palatino Linotype" w:cs="Arial"/>
          <w:sz w:val="24"/>
          <w:szCs w:val="22"/>
          <w:lang w:val="es-ES" w:eastAsia="es-ES"/>
        </w:rPr>
      </w:pPr>
      <w:r>
        <w:rPr>
          <w:rFonts w:ascii="Palatino Linotype" w:hAnsi="Palatino Linotype" w:cs="Arial"/>
          <w:sz w:val="24"/>
          <w:szCs w:val="22"/>
          <w:lang w:val="es-ES" w:eastAsia="es-ES"/>
        </w:rPr>
        <w:t>El ocho (08) de octubre de dos mil veintidós, se realizó un requerimiento al servidor público habilitado.</w:t>
      </w:r>
    </w:p>
    <w:p w14:paraId="36E42682" w14:textId="77777777" w:rsidR="00787F07" w:rsidRPr="00787F07" w:rsidRDefault="00787F07" w:rsidP="00787F07">
      <w:pPr>
        <w:pStyle w:val="Prrafodelista"/>
        <w:spacing w:line="360" w:lineRule="auto"/>
        <w:ind w:left="0"/>
        <w:jc w:val="both"/>
        <w:rPr>
          <w:rFonts w:ascii="Palatino Linotype" w:hAnsi="Palatino Linotype" w:cs="Arial"/>
          <w:sz w:val="24"/>
          <w:szCs w:val="22"/>
          <w:lang w:val="es-ES" w:eastAsia="es-ES"/>
        </w:rPr>
      </w:pPr>
    </w:p>
    <w:p w14:paraId="69A62C34" w14:textId="77777777" w:rsidR="00B1000A" w:rsidRDefault="00B1000A"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Pr>
          <w:rFonts w:ascii="Palatino Linotype" w:eastAsiaTheme="minorEastAsia" w:hAnsi="Palatino Linotype"/>
          <w:sz w:val="24"/>
          <w:szCs w:val="22"/>
          <w:lang w:val="es-ES_tradnl" w:eastAsia="es-ES"/>
        </w:rPr>
        <w:t xml:space="preserve">El </w:t>
      </w:r>
      <w:r w:rsidR="00787F07">
        <w:rPr>
          <w:rFonts w:ascii="Palatino Linotype" w:eastAsiaTheme="minorEastAsia" w:hAnsi="Palatino Linotype"/>
          <w:sz w:val="24"/>
          <w:szCs w:val="22"/>
          <w:lang w:val="es-ES_tradnl" w:eastAsia="es-ES"/>
        </w:rPr>
        <w:t xml:space="preserve">veintisiete (27) de octubre </w:t>
      </w:r>
      <w:r w:rsidR="002314EE">
        <w:rPr>
          <w:rFonts w:ascii="Palatino Linotype" w:eastAsiaTheme="minorEastAsia" w:hAnsi="Palatino Linotype"/>
          <w:sz w:val="24"/>
          <w:szCs w:val="22"/>
          <w:lang w:val="es-ES_tradnl" w:eastAsia="es-ES"/>
        </w:rPr>
        <w:t xml:space="preserve"> de dos mil ve</w:t>
      </w:r>
      <w:r w:rsidR="003B7DC3">
        <w:rPr>
          <w:rFonts w:ascii="Palatino Linotype" w:eastAsiaTheme="minorEastAsia" w:hAnsi="Palatino Linotype"/>
          <w:sz w:val="24"/>
          <w:szCs w:val="22"/>
          <w:lang w:val="es-ES_tradnl" w:eastAsia="es-ES"/>
        </w:rPr>
        <w:t>intidós</w:t>
      </w:r>
      <w:r w:rsidRPr="00E95235">
        <w:rPr>
          <w:rFonts w:ascii="Palatino Linotype" w:eastAsiaTheme="minorEastAsia" w:hAnsi="Palatino Linotype"/>
          <w:sz w:val="24"/>
          <w:szCs w:val="22"/>
          <w:lang w:val="es-ES_tradnl" w:eastAsia="es-ES"/>
        </w:rPr>
        <w:t xml:space="preserve">, </w:t>
      </w:r>
      <w:r w:rsidRPr="00E95235">
        <w:rPr>
          <w:rFonts w:ascii="Palatino Linotype" w:eastAsia="Calibri" w:hAnsi="Palatino Linotype"/>
          <w:sz w:val="24"/>
          <w:szCs w:val="22"/>
          <w:lang w:val="es-ES" w:eastAsia="es-ES"/>
        </w:rPr>
        <w:t xml:space="preserve">el </w:t>
      </w:r>
      <w:r w:rsidRPr="00E95235">
        <w:rPr>
          <w:rFonts w:ascii="Palatino Linotype" w:eastAsia="Calibri" w:hAnsi="Palatino Linotype" w:cs="Arial"/>
          <w:b/>
          <w:sz w:val="24"/>
          <w:szCs w:val="22"/>
          <w:lang w:val="es-AR" w:eastAsia="es-ES"/>
        </w:rPr>
        <w:t>SUJETO OBLIGADO</w:t>
      </w:r>
      <w:r w:rsidRPr="00E95235">
        <w:rPr>
          <w:rFonts w:ascii="Palatino Linotype" w:eastAsia="Calibri" w:hAnsi="Palatino Linotype" w:cs="Arial"/>
          <w:b/>
          <w:i/>
          <w:sz w:val="24"/>
          <w:szCs w:val="22"/>
          <w:lang w:val="es-AR" w:eastAsia="es-ES"/>
        </w:rPr>
        <w:t xml:space="preserve"> </w:t>
      </w:r>
      <w:r w:rsidRPr="00E95235">
        <w:rPr>
          <w:rFonts w:ascii="Palatino Linotype" w:hAnsi="Palatino Linotype" w:cs="Arial"/>
          <w:sz w:val="24"/>
          <w:szCs w:val="22"/>
          <w:lang w:val="es-ES" w:eastAsia="es-ES"/>
        </w:rPr>
        <w:t>dio respuesta a la</w:t>
      </w:r>
      <w:r w:rsidR="00AA5A04">
        <w:rPr>
          <w:rFonts w:ascii="Palatino Linotype" w:hAnsi="Palatino Linotype" w:cs="Arial"/>
          <w:sz w:val="24"/>
          <w:szCs w:val="22"/>
          <w:lang w:val="es-ES" w:eastAsia="es-ES"/>
        </w:rPr>
        <w:t>s</w:t>
      </w:r>
      <w:r w:rsidRPr="00E95235">
        <w:rPr>
          <w:rFonts w:ascii="Palatino Linotype" w:hAnsi="Palatino Linotype" w:cs="Arial"/>
          <w:sz w:val="24"/>
          <w:szCs w:val="22"/>
          <w:lang w:val="es-ES" w:eastAsia="es-ES"/>
        </w:rPr>
        <w:t xml:space="preserve"> solicitud</w:t>
      </w:r>
      <w:r w:rsidR="002314EE">
        <w:rPr>
          <w:rFonts w:ascii="Palatino Linotype" w:hAnsi="Palatino Linotype" w:cs="Arial"/>
          <w:sz w:val="24"/>
          <w:szCs w:val="22"/>
          <w:lang w:val="es-ES" w:eastAsia="es-ES"/>
        </w:rPr>
        <w:t xml:space="preserve"> de información en el siguiente</w:t>
      </w:r>
      <w:r w:rsidRPr="00E95235">
        <w:rPr>
          <w:rFonts w:ascii="Palatino Linotype" w:hAnsi="Palatino Linotype" w:cs="Arial"/>
          <w:sz w:val="24"/>
          <w:szCs w:val="22"/>
          <w:lang w:val="es-ES" w:eastAsia="es-ES"/>
        </w:rPr>
        <w:t xml:space="preserve"> </w:t>
      </w:r>
      <w:r w:rsidR="002314EE">
        <w:rPr>
          <w:rFonts w:ascii="Palatino Linotype" w:hAnsi="Palatino Linotype" w:cs="Arial"/>
          <w:sz w:val="24"/>
          <w:szCs w:val="22"/>
          <w:lang w:val="es-ES" w:eastAsia="es-ES"/>
        </w:rPr>
        <w:t>sentido</w:t>
      </w:r>
      <w:r w:rsidRPr="00E95235">
        <w:rPr>
          <w:rFonts w:ascii="Palatino Linotype" w:hAnsi="Palatino Linotype" w:cs="Arial"/>
          <w:sz w:val="24"/>
          <w:szCs w:val="22"/>
          <w:lang w:val="es-ES" w:eastAsia="es-ES"/>
        </w:rPr>
        <w:t>:</w:t>
      </w:r>
    </w:p>
    <w:p w14:paraId="26FAC512" w14:textId="77777777" w:rsidR="00B06153" w:rsidRDefault="00B06153" w:rsidP="00B06153">
      <w:pPr>
        <w:pStyle w:val="Prrafodelista"/>
        <w:spacing w:line="360" w:lineRule="auto"/>
        <w:ind w:left="0"/>
        <w:jc w:val="both"/>
        <w:rPr>
          <w:rFonts w:ascii="Palatino Linotype" w:hAnsi="Palatino Linotype" w:cs="Arial"/>
          <w:sz w:val="24"/>
          <w:szCs w:val="22"/>
          <w:lang w:val="es-ES" w:eastAsia="es-ES"/>
        </w:rPr>
      </w:pPr>
    </w:p>
    <w:tbl>
      <w:tblPr>
        <w:tblW w:w="7078" w:type="dxa"/>
        <w:jc w:val="center"/>
        <w:tblCellSpacing w:w="0" w:type="dxa"/>
        <w:tblCellMar>
          <w:left w:w="0" w:type="dxa"/>
          <w:right w:w="0" w:type="dxa"/>
        </w:tblCellMar>
        <w:tblLook w:val="04A0" w:firstRow="1" w:lastRow="0" w:firstColumn="1" w:lastColumn="0" w:noHBand="0" w:noVBand="1"/>
      </w:tblPr>
      <w:tblGrid>
        <w:gridCol w:w="7078"/>
      </w:tblGrid>
      <w:tr w:rsidR="00787F07" w:rsidRPr="00787F07" w14:paraId="77326BAB" w14:textId="77777777" w:rsidTr="00787F07">
        <w:trPr>
          <w:trHeight w:val="657"/>
          <w:tblCellSpacing w:w="0" w:type="dxa"/>
          <w:jc w:val="center"/>
        </w:trPr>
        <w:tc>
          <w:tcPr>
            <w:tcW w:w="0" w:type="auto"/>
            <w:vAlign w:val="center"/>
            <w:hideMark/>
          </w:tcPr>
          <w:p w14:paraId="7D6718E1" w14:textId="77777777" w:rsidR="00787F07" w:rsidRPr="00787F07" w:rsidRDefault="00787F07" w:rsidP="00787F07">
            <w:pPr>
              <w:jc w:val="right"/>
              <w:rPr>
                <w:rFonts w:ascii="Palatino Linotype" w:hAnsi="Palatino Linotype"/>
                <w:i/>
                <w:sz w:val="22"/>
              </w:rPr>
            </w:pPr>
            <w:r w:rsidRPr="00787F07">
              <w:rPr>
                <w:rFonts w:ascii="Palatino Linotype" w:hAnsi="Palatino Linotype"/>
                <w:i/>
                <w:sz w:val="22"/>
                <w:szCs w:val="18"/>
              </w:rPr>
              <w:t>Tepotzotlán, México a 27 de Octubre de 2022</w:t>
            </w:r>
          </w:p>
        </w:tc>
      </w:tr>
      <w:tr w:rsidR="00787F07" w:rsidRPr="00787F07" w14:paraId="553A8A25" w14:textId="77777777" w:rsidTr="00787F07">
        <w:trPr>
          <w:trHeight w:val="657"/>
          <w:tblCellSpacing w:w="0" w:type="dxa"/>
          <w:jc w:val="center"/>
        </w:trPr>
        <w:tc>
          <w:tcPr>
            <w:tcW w:w="0" w:type="auto"/>
            <w:vAlign w:val="center"/>
            <w:hideMark/>
          </w:tcPr>
          <w:p w14:paraId="645969BE" w14:textId="77777777" w:rsidR="00787F07" w:rsidRPr="00787F07" w:rsidRDefault="00787F07" w:rsidP="00787F07">
            <w:pPr>
              <w:jc w:val="right"/>
              <w:rPr>
                <w:rFonts w:ascii="Palatino Linotype" w:hAnsi="Palatino Linotype"/>
                <w:i/>
                <w:sz w:val="22"/>
              </w:rPr>
            </w:pPr>
            <w:r w:rsidRPr="00787F07">
              <w:rPr>
                <w:rFonts w:ascii="Palatino Linotype" w:hAnsi="Palatino Linotype"/>
                <w:i/>
                <w:sz w:val="22"/>
                <w:szCs w:val="18"/>
              </w:rPr>
              <w:t>Nombre del solicitante: C. Solicitante</w:t>
            </w:r>
          </w:p>
        </w:tc>
      </w:tr>
      <w:tr w:rsidR="00787F07" w:rsidRPr="00787F07" w14:paraId="453ABFB7" w14:textId="77777777" w:rsidTr="00787F07">
        <w:trPr>
          <w:trHeight w:val="657"/>
          <w:tblCellSpacing w:w="0" w:type="dxa"/>
          <w:jc w:val="center"/>
        </w:trPr>
        <w:tc>
          <w:tcPr>
            <w:tcW w:w="0" w:type="auto"/>
            <w:vAlign w:val="center"/>
            <w:hideMark/>
          </w:tcPr>
          <w:p w14:paraId="41D28B67" w14:textId="77777777" w:rsidR="00787F07" w:rsidRPr="00787F07" w:rsidRDefault="00787F07" w:rsidP="00787F07">
            <w:pPr>
              <w:jc w:val="right"/>
              <w:rPr>
                <w:rFonts w:ascii="Palatino Linotype" w:hAnsi="Palatino Linotype"/>
                <w:i/>
                <w:sz w:val="22"/>
              </w:rPr>
            </w:pPr>
            <w:r w:rsidRPr="00787F07">
              <w:rPr>
                <w:rFonts w:ascii="Palatino Linotype" w:hAnsi="Palatino Linotype"/>
                <w:i/>
                <w:sz w:val="22"/>
                <w:szCs w:val="18"/>
              </w:rPr>
              <w:t>Folio de la solicitud: 00533/TEPOTZOT/IP/2022</w:t>
            </w:r>
          </w:p>
        </w:tc>
      </w:tr>
      <w:tr w:rsidR="00787F07" w:rsidRPr="00787F07" w14:paraId="2EB75B29" w14:textId="77777777" w:rsidTr="00787F07">
        <w:trPr>
          <w:trHeight w:val="986"/>
          <w:tblCellSpacing w:w="0" w:type="dxa"/>
          <w:jc w:val="center"/>
        </w:trPr>
        <w:tc>
          <w:tcPr>
            <w:tcW w:w="0" w:type="auto"/>
            <w:vAlign w:val="center"/>
            <w:hideMark/>
          </w:tcPr>
          <w:p w14:paraId="79D9AC63" w14:textId="77777777" w:rsidR="00787F07" w:rsidRPr="00787F07" w:rsidRDefault="00787F07" w:rsidP="00787F07">
            <w:pPr>
              <w:jc w:val="right"/>
              <w:rPr>
                <w:rFonts w:ascii="Palatino Linotype" w:hAnsi="Palatino Linotype"/>
                <w:i/>
                <w:sz w:val="22"/>
              </w:rPr>
            </w:pPr>
          </w:p>
        </w:tc>
      </w:tr>
      <w:tr w:rsidR="00787F07" w:rsidRPr="00787F07" w14:paraId="2F7070AA" w14:textId="77777777" w:rsidTr="00787F07">
        <w:trPr>
          <w:trHeight w:val="328"/>
          <w:tblCellSpacing w:w="0" w:type="dxa"/>
          <w:jc w:val="center"/>
        </w:trPr>
        <w:tc>
          <w:tcPr>
            <w:tcW w:w="0" w:type="auto"/>
            <w:vAlign w:val="center"/>
            <w:hideMark/>
          </w:tcPr>
          <w:p w14:paraId="4B30FDD9" w14:textId="77777777" w:rsidR="00787F07" w:rsidRDefault="00787F07" w:rsidP="00787F07">
            <w:pPr>
              <w:rPr>
                <w:rFonts w:ascii="Palatino Linotype" w:hAnsi="Palatino Linotype"/>
                <w:i/>
                <w:sz w:val="22"/>
                <w:szCs w:val="18"/>
              </w:rPr>
            </w:pPr>
            <w:r w:rsidRPr="00787F07">
              <w:rPr>
                <w:rFonts w:ascii="Palatino Linotype" w:hAnsi="Palatino Linotype"/>
                <w:i/>
                <w:sz w:val="22"/>
                <w:szCs w:val="18"/>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1875263" w14:textId="77777777" w:rsidR="00787F07" w:rsidRPr="00787F07" w:rsidRDefault="00787F07" w:rsidP="00787F07">
            <w:pPr>
              <w:rPr>
                <w:rFonts w:ascii="Palatino Linotype" w:hAnsi="Palatino Linotype"/>
                <w:i/>
                <w:sz w:val="22"/>
              </w:rPr>
            </w:pPr>
          </w:p>
        </w:tc>
      </w:tr>
      <w:tr w:rsidR="00787F07" w:rsidRPr="00787F07" w14:paraId="7834CEF4" w14:textId="77777777" w:rsidTr="00787F07">
        <w:trPr>
          <w:trHeight w:val="328"/>
          <w:tblCellSpacing w:w="0" w:type="dxa"/>
          <w:jc w:val="center"/>
        </w:trPr>
        <w:tc>
          <w:tcPr>
            <w:tcW w:w="0" w:type="auto"/>
            <w:vAlign w:val="center"/>
            <w:hideMark/>
          </w:tcPr>
          <w:p w14:paraId="079EF54A" w14:textId="77777777" w:rsidR="00787F07" w:rsidRPr="00787F07" w:rsidRDefault="00787F07" w:rsidP="00787F07">
            <w:pPr>
              <w:rPr>
                <w:rFonts w:ascii="Palatino Linotype" w:hAnsi="Palatino Linotype"/>
                <w:i/>
                <w:sz w:val="22"/>
              </w:rPr>
            </w:pPr>
            <w:r w:rsidRPr="00787F07">
              <w:rPr>
                <w:rFonts w:ascii="Palatino Linotype" w:hAnsi="Palatino Linotype"/>
                <w:i/>
                <w:sz w:val="22"/>
                <w:szCs w:val="18"/>
              </w:rPr>
              <w:t>SE ADJUNTA RESPUESTA DE SERVIDOR PÚBLICO HABILITADO</w:t>
            </w:r>
          </w:p>
        </w:tc>
      </w:tr>
      <w:tr w:rsidR="00787F07" w:rsidRPr="00787F07" w14:paraId="6442FF02" w14:textId="77777777" w:rsidTr="00787F07">
        <w:trPr>
          <w:trHeight w:val="328"/>
          <w:tblCellSpacing w:w="0" w:type="dxa"/>
          <w:jc w:val="center"/>
        </w:trPr>
        <w:tc>
          <w:tcPr>
            <w:tcW w:w="0" w:type="auto"/>
            <w:vAlign w:val="center"/>
            <w:hideMark/>
          </w:tcPr>
          <w:p w14:paraId="1CF453E3" w14:textId="77777777" w:rsidR="00787F07" w:rsidRPr="00787F07" w:rsidRDefault="00787F07" w:rsidP="00787F07">
            <w:pPr>
              <w:rPr>
                <w:rFonts w:ascii="Palatino Linotype" w:hAnsi="Palatino Linotype"/>
                <w:i/>
                <w:sz w:val="22"/>
                <w:szCs w:val="20"/>
              </w:rPr>
            </w:pPr>
          </w:p>
        </w:tc>
      </w:tr>
      <w:tr w:rsidR="00787F07" w:rsidRPr="00787F07" w14:paraId="55758E4D" w14:textId="77777777" w:rsidTr="00787F07">
        <w:trPr>
          <w:trHeight w:val="328"/>
          <w:tblCellSpacing w:w="0" w:type="dxa"/>
          <w:jc w:val="center"/>
        </w:trPr>
        <w:tc>
          <w:tcPr>
            <w:tcW w:w="0" w:type="auto"/>
            <w:vAlign w:val="center"/>
            <w:hideMark/>
          </w:tcPr>
          <w:p w14:paraId="793DDDDE" w14:textId="77777777" w:rsidR="00787F07" w:rsidRPr="00787F07" w:rsidRDefault="00787F07" w:rsidP="00787F07">
            <w:pPr>
              <w:rPr>
                <w:rFonts w:ascii="Palatino Linotype" w:hAnsi="Palatino Linotype"/>
                <w:i/>
                <w:sz w:val="22"/>
              </w:rPr>
            </w:pPr>
            <w:r w:rsidRPr="00787F07">
              <w:rPr>
                <w:rFonts w:ascii="Palatino Linotype" w:hAnsi="Palatino Linotype"/>
                <w:i/>
                <w:sz w:val="22"/>
                <w:szCs w:val="18"/>
              </w:rPr>
              <w:t>ATENTAMENTE</w:t>
            </w:r>
          </w:p>
        </w:tc>
      </w:tr>
      <w:tr w:rsidR="00787F07" w:rsidRPr="00787F07" w14:paraId="662A3A40" w14:textId="77777777" w:rsidTr="00787F07">
        <w:trPr>
          <w:trHeight w:val="493"/>
          <w:tblCellSpacing w:w="0" w:type="dxa"/>
          <w:jc w:val="center"/>
        </w:trPr>
        <w:tc>
          <w:tcPr>
            <w:tcW w:w="0" w:type="auto"/>
            <w:vAlign w:val="center"/>
            <w:hideMark/>
          </w:tcPr>
          <w:p w14:paraId="19E0F52B" w14:textId="77777777" w:rsidR="00787F07" w:rsidRPr="00787F07" w:rsidRDefault="00787F07" w:rsidP="00787F07">
            <w:pPr>
              <w:rPr>
                <w:rFonts w:ascii="Palatino Linotype" w:hAnsi="Palatino Linotype"/>
                <w:i/>
                <w:sz w:val="22"/>
              </w:rPr>
            </w:pPr>
          </w:p>
        </w:tc>
      </w:tr>
      <w:tr w:rsidR="00787F07" w:rsidRPr="00787F07" w14:paraId="74B13017" w14:textId="77777777" w:rsidTr="00787F07">
        <w:trPr>
          <w:trHeight w:val="328"/>
          <w:tblCellSpacing w:w="0" w:type="dxa"/>
          <w:jc w:val="center"/>
        </w:trPr>
        <w:tc>
          <w:tcPr>
            <w:tcW w:w="0" w:type="auto"/>
            <w:vAlign w:val="center"/>
            <w:hideMark/>
          </w:tcPr>
          <w:p w14:paraId="7D099BF6" w14:textId="77777777" w:rsidR="00787F07" w:rsidRPr="00787F07" w:rsidRDefault="00787F07" w:rsidP="00787F07">
            <w:pPr>
              <w:rPr>
                <w:rFonts w:ascii="Palatino Linotype" w:hAnsi="Palatino Linotype"/>
                <w:i/>
                <w:sz w:val="22"/>
              </w:rPr>
            </w:pPr>
            <w:r w:rsidRPr="00787F07">
              <w:rPr>
                <w:rFonts w:ascii="Palatino Linotype" w:hAnsi="Palatino Linotype"/>
                <w:i/>
                <w:sz w:val="22"/>
                <w:szCs w:val="18"/>
              </w:rPr>
              <w:t>Lic. Miguel Ángel Jiménez Martínez</w:t>
            </w:r>
          </w:p>
        </w:tc>
      </w:tr>
    </w:tbl>
    <w:p w14:paraId="4C8EC8C8" w14:textId="77777777" w:rsidR="00AA5A04" w:rsidRDefault="00AA5A04" w:rsidP="00AA5A04">
      <w:pPr>
        <w:spacing w:line="360" w:lineRule="auto"/>
        <w:jc w:val="both"/>
        <w:rPr>
          <w:rFonts w:ascii="Palatino Linotype" w:hAnsi="Palatino Linotype" w:cs="Arial"/>
          <w:szCs w:val="22"/>
          <w:lang w:val="es-ES" w:eastAsia="es-ES"/>
        </w:rPr>
      </w:pPr>
    </w:p>
    <w:p w14:paraId="1CB98630" w14:textId="77777777" w:rsidR="00787F07" w:rsidRPr="00787F07" w:rsidRDefault="00787F07" w:rsidP="00787F07">
      <w:pPr>
        <w:pStyle w:val="Prrafodelista"/>
        <w:numPr>
          <w:ilvl w:val="0"/>
          <w:numId w:val="11"/>
        </w:numPr>
        <w:spacing w:line="360" w:lineRule="auto"/>
        <w:jc w:val="both"/>
        <w:rPr>
          <w:rFonts w:ascii="Palatino Linotype" w:hAnsi="Palatino Linotype"/>
          <w:szCs w:val="22"/>
        </w:rPr>
      </w:pPr>
      <w:r w:rsidRPr="00787F07">
        <w:rPr>
          <w:rFonts w:ascii="Palatino Linotype" w:hAnsi="Palatino Linotype" w:cs="Arial"/>
          <w:szCs w:val="22"/>
          <w:lang w:val="es-ES" w:eastAsia="es-ES"/>
        </w:rPr>
        <w:t xml:space="preserve">A la respuesta se adjuntó el archivo </w:t>
      </w:r>
      <w:hyperlink r:id="rId7" w:tgtFrame="_blank" w:history="1">
        <w:r w:rsidRPr="00787F07">
          <w:rPr>
            <w:rStyle w:val="Hipervnculo"/>
            <w:rFonts w:ascii="Palatino Linotype" w:eastAsiaTheme="majorEastAsia" w:hAnsi="Palatino Linotype" w:cs="Arial"/>
            <w:b/>
            <w:bCs/>
            <w:color w:val="auto"/>
            <w:szCs w:val="22"/>
          </w:rPr>
          <w:t>DDFYE-869-2022.PDF</w:t>
        </w:r>
      </w:hyperlink>
      <w:r w:rsidRPr="00787F07">
        <w:rPr>
          <w:rFonts w:ascii="Palatino Linotype" w:hAnsi="Palatino Linotype"/>
          <w:szCs w:val="22"/>
        </w:rPr>
        <w:t xml:space="preserve">, con número de oficio DDYFE/869/2022, suscrito por la Directora de Desarrollo Económico en el que señaló que no es posible la entrega de la información ya que las licencias de funcionamiento se entregan a los solicitantes y es un documentos oficial que contiene datos personales. </w:t>
      </w:r>
    </w:p>
    <w:p w14:paraId="145D97A3" w14:textId="77777777" w:rsidR="00787F07" w:rsidRPr="002527E8" w:rsidRDefault="00787F07" w:rsidP="00AA5A04">
      <w:pPr>
        <w:spacing w:line="360" w:lineRule="auto"/>
        <w:jc w:val="both"/>
        <w:rPr>
          <w:rFonts w:ascii="Palatino Linotype" w:hAnsi="Palatino Linotype" w:cs="Arial"/>
          <w:szCs w:val="22"/>
          <w:lang w:val="es-ES" w:eastAsia="es-ES"/>
        </w:rPr>
      </w:pPr>
    </w:p>
    <w:p w14:paraId="658F0488" w14:textId="77777777" w:rsidR="00B1000A" w:rsidRPr="00E95235" w:rsidRDefault="00B1000A"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eastAsia="Calibri" w:hAnsi="Palatino Linotype" w:cs="Arial"/>
          <w:sz w:val="24"/>
          <w:szCs w:val="22"/>
          <w:lang w:val="es-AR" w:eastAsia="es-ES"/>
        </w:rPr>
        <w:t xml:space="preserve">El </w:t>
      </w:r>
      <w:r w:rsidR="00787F07">
        <w:rPr>
          <w:rFonts w:ascii="Palatino Linotype" w:eastAsia="Calibri" w:hAnsi="Palatino Linotype" w:cs="Arial"/>
          <w:sz w:val="24"/>
          <w:szCs w:val="22"/>
          <w:lang w:val="es-AR" w:eastAsia="es-ES"/>
        </w:rPr>
        <w:t>tres (03) de noviembre</w:t>
      </w:r>
      <w:r w:rsidR="00261CFE">
        <w:rPr>
          <w:rFonts w:ascii="Palatino Linotype" w:eastAsia="Calibri" w:hAnsi="Palatino Linotype" w:cs="Arial"/>
          <w:sz w:val="24"/>
          <w:szCs w:val="22"/>
          <w:lang w:val="es-AR" w:eastAsia="es-ES"/>
        </w:rPr>
        <w:t xml:space="preserve"> de dos mil veintidós</w:t>
      </w:r>
      <w:r w:rsidRPr="00E95235">
        <w:rPr>
          <w:rFonts w:ascii="Palatino Linotype" w:hAnsi="Palatino Linotype" w:cs="Arial"/>
          <w:sz w:val="24"/>
          <w:szCs w:val="22"/>
          <w:lang w:val="es-ES" w:eastAsia="es-ES"/>
        </w:rPr>
        <w:t xml:space="preserve">, </w:t>
      </w:r>
      <w:r w:rsidRPr="00E95235">
        <w:rPr>
          <w:rFonts w:ascii="Palatino Linotype" w:eastAsiaTheme="minorEastAsia" w:hAnsi="Palatino Linotype"/>
          <w:b/>
          <w:sz w:val="24"/>
          <w:szCs w:val="22"/>
          <w:lang w:val="es-ES_tradnl" w:eastAsia="es-ES"/>
        </w:rPr>
        <w:t>EL RECURRENTE</w:t>
      </w:r>
      <w:r w:rsidRPr="00E95235">
        <w:rPr>
          <w:rFonts w:ascii="Palatino Linotype" w:hAnsi="Palatino Linotype" w:cs="Arial"/>
          <w:sz w:val="24"/>
          <w:szCs w:val="22"/>
          <w:lang w:val="es-ES" w:eastAsia="es-ES"/>
        </w:rPr>
        <w:t xml:space="preserve"> interpuso el recurso de revisión, en contra de la respuesta, señalando como:</w:t>
      </w:r>
    </w:p>
    <w:p w14:paraId="3AADB7B6" w14:textId="77777777" w:rsidR="002F385F" w:rsidRDefault="002F385F" w:rsidP="002F385F">
      <w:pPr>
        <w:spacing w:line="360" w:lineRule="auto"/>
        <w:ind w:right="567"/>
        <w:contextualSpacing/>
        <w:jc w:val="both"/>
        <w:rPr>
          <w:rFonts w:ascii="Palatino Linotype" w:hAnsi="Palatino Linotype" w:cs="Arial"/>
          <w:sz w:val="22"/>
          <w:szCs w:val="22"/>
        </w:rPr>
      </w:pPr>
    </w:p>
    <w:p w14:paraId="356DA6F2" w14:textId="77777777" w:rsidR="002F385F" w:rsidRPr="00E95235" w:rsidRDefault="002F385F" w:rsidP="002F385F">
      <w:pPr>
        <w:spacing w:line="360" w:lineRule="auto"/>
        <w:ind w:left="567" w:right="567"/>
        <w:contextualSpacing/>
        <w:jc w:val="both"/>
        <w:rPr>
          <w:rFonts w:ascii="Palatino Linotype" w:eastAsia="Calibri" w:hAnsi="Palatino Linotype" w:cs="Arial"/>
          <w:i/>
          <w:sz w:val="22"/>
          <w:szCs w:val="22"/>
          <w:lang w:val="es-ES" w:eastAsia="es-ES"/>
        </w:rPr>
      </w:pPr>
      <w:r w:rsidRPr="00E95235">
        <w:rPr>
          <w:rFonts w:ascii="Palatino Linotype" w:eastAsiaTheme="minorEastAsia" w:hAnsi="Palatino Linotype"/>
          <w:b/>
          <w:sz w:val="22"/>
          <w:szCs w:val="22"/>
          <w:lang w:val="es-ES_tradnl" w:eastAsia="es-ES"/>
        </w:rPr>
        <w:t>Acto impugnado</w:t>
      </w:r>
      <w:r w:rsidRPr="00E95235">
        <w:rPr>
          <w:rFonts w:ascii="Palatino Linotype" w:eastAsiaTheme="minorEastAsia" w:hAnsi="Palatino Linotype"/>
          <w:b/>
          <w:i/>
          <w:sz w:val="22"/>
          <w:szCs w:val="22"/>
          <w:lang w:val="es-ES_tradnl" w:eastAsia="es-ES"/>
        </w:rPr>
        <w:t>:</w:t>
      </w:r>
      <w:r>
        <w:rPr>
          <w:rFonts w:ascii="Palatino Linotype" w:hAnsi="Palatino Linotype"/>
          <w:i/>
          <w:color w:val="000000"/>
          <w:sz w:val="22"/>
          <w:szCs w:val="22"/>
        </w:rPr>
        <w:t xml:space="preserve"> </w:t>
      </w:r>
      <w:r w:rsidRPr="00646849">
        <w:rPr>
          <w:rFonts w:ascii="Palatino Linotype" w:hAnsi="Palatino Linotype"/>
          <w:i/>
          <w:color w:val="000000"/>
          <w:sz w:val="22"/>
          <w:szCs w:val="22"/>
        </w:rPr>
        <w:t>"</w:t>
      </w:r>
      <w:r w:rsidRPr="00AC3651">
        <w:rPr>
          <w:rFonts w:ascii="Verdana" w:hAnsi="Verdana"/>
          <w:color w:val="000000"/>
          <w:sz w:val="14"/>
          <w:szCs w:val="14"/>
        </w:rPr>
        <w:t xml:space="preserve"> </w:t>
      </w:r>
      <w:r w:rsidR="00787F07" w:rsidRPr="00787F07">
        <w:rPr>
          <w:rFonts w:ascii="Palatino Linotype" w:hAnsi="Palatino Linotype"/>
          <w:i/>
          <w:color w:val="000000"/>
          <w:sz w:val="22"/>
          <w:szCs w:val="22"/>
        </w:rPr>
        <w:t>Opacidad y negligencia en negar la información pública de oficio, derivado a qué solicito datos oficiales en versión pública sin que contenga datos personales de particulares.</w:t>
      </w:r>
      <w:r w:rsidRPr="00E95235">
        <w:rPr>
          <w:rFonts w:ascii="Palatino Linotype" w:hAnsi="Palatino Linotype"/>
          <w:i/>
          <w:color w:val="000000"/>
          <w:sz w:val="22"/>
          <w:szCs w:val="22"/>
        </w:rPr>
        <w:t>" (Sic)</w:t>
      </w:r>
    </w:p>
    <w:p w14:paraId="4AAA65FC" w14:textId="77777777" w:rsidR="002F385F" w:rsidRPr="00E95235" w:rsidRDefault="002F385F" w:rsidP="002F385F">
      <w:pPr>
        <w:spacing w:line="360" w:lineRule="auto"/>
        <w:ind w:left="567" w:right="567"/>
        <w:contextualSpacing/>
        <w:jc w:val="both"/>
        <w:rPr>
          <w:rFonts w:ascii="Palatino Linotype" w:eastAsia="Calibri" w:hAnsi="Palatino Linotype" w:cs="Arial"/>
          <w:sz w:val="22"/>
          <w:szCs w:val="22"/>
          <w:lang w:val="es-ES" w:eastAsia="es-ES"/>
        </w:rPr>
      </w:pPr>
    </w:p>
    <w:p w14:paraId="061746BF" w14:textId="77777777" w:rsidR="002F385F" w:rsidRDefault="002F385F" w:rsidP="002F385F">
      <w:pPr>
        <w:spacing w:line="360" w:lineRule="auto"/>
        <w:ind w:left="567" w:right="567"/>
        <w:contextualSpacing/>
        <w:jc w:val="both"/>
        <w:rPr>
          <w:rFonts w:ascii="Palatino Linotype" w:hAnsi="Palatino Linotype" w:cs="Arial"/>
          <w:sz w:val="22"/>
          <w:szCs w:val="22"/>
        </w:rPr>
      </w:pPr>
      <w:r w:rsidRPr="00E95235">
        <w:rPr>
          <w:rFonts w:ascii="Palatino Linotype" w:eastAsiaTheme="minorEastAsia" w:hAnsi="Palatino Linotype"/>
          <w:b/>
          <w:sz w:val="22"/>
          <w:szCs w:val="22"/>
          <w:lang w:val="es-ES_tradnl" w:eastAsia="es-ES"/>
        </w:rPr>
        <w:t>Raz</w:t>
      </w:r>
      <w:r>
        <w:rPr>
          <w:rFonts w:ascii="Palatino Linotype" w:eastAsiaTheme="minorEastAsia" w:hAnsi="Palatino Linotype"/>
          <w:b/>
          <w:sz w:val="22"/>
          <w:szCs w:val="22"/>
          <w:lang w:val="es-ES_tradnl" w:eastAsia="es-ES"/>
        </w:rPr>
        <w:t>ones o Motivos de inconformidad: “</w:t>
      </w:r>
      <w:r w:rsidR="00787F07" w:rsidRPr="00787F07">
        <w:rPr>
          <w:rFonts w:ascii="Palatino Linotype" w:hAnsi="Palatino Linotype"/>
          <w:i/>
          <w:color w:val="000000"/>
          <w:sz w:val="22"/>
          <w:szCs w:val="14"/>
        </w:rPr>
        <w:t>Niegan información pública de oficio</w:t>
      </w:r>
      <w:r>
        <w:rPr>
          <w:rFonts w:ascii="Palatino Linotype" w:hAnsi="Palatino Linotype"/>
          <w:i/>
          <w:color w:val="000000"/>
          <w:sz w:val="22"/>
          <w:szCs w:val="14"/>
        </w:rPr>
        <w:t>” (Sic)</w:t>
      </w:r>
      <w:r>
        <w:rPr>
          <w:rFonts w:ascii="Palatino Linotype" w:hAnsi="Palatino Linotype" w:cs="Arial"/>
          <w:sz w:val="22"/>
          <w:szCs w:val="22"/>
        </w:rPr>
        <w:t xml:space="preserve">. </w:t>
      </w:r>
    </w:p>
    <w:p w14:paraId="4601CAD4" w14:textId="77777777" w:rsidR="002F385F" w:rsidRPr="00061E89" w:rsidRDefault="002F385F" w:rsidP="002F385F">
      <w:pPr>
        <w:spacing w:line="360" w:lineRule="auto"/>
        <w:ind w:right="567"/>
        <w:contextualSpacing/>
        <w:jc w:val="both"/>
        <w:rPr>
          <w:rFonts w:ascii="Palatino Linotype" w:hAnsi="Palatino Linotype" w:cs="Arial"/>
          <w:sz w:val="22"/>
          <w:szCs w:val="22"/>
        </w:rPr>
      </w:pPr>
    </w:p>
    <w:p w14:paraId="4DCEFEC2" w14:textId="77777777" w:rsidR="00B1000A" w:rsidRPr="00E95235" w:rsidRDefault="00B1000A"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hAnsi="Palatino Linotype" w:cs="Arial"/>
          <w:sz w:val="24"/>
          <w:lang w:val="es-ES" w:eastAsia="es-ES"/>
        </w:rPr>
        <w:t xml:space="preserve">Se registró el recurso de revisión bajo el número de expediente </w:t>
      </w:r>
      <w:r w:rsidRPr="00E95235">
        <w:rPr>
          <w:rFonts w:ascii="Palatino Linotype" w:eastAsiaTheme="minorEastAsia" w:hAnsi="Palatino Linotype" w:cs="Arial"/>
          <w:bCs/>
          <w:sz w:val="24"/>
          <w:lang w:val="es-ES_tradnl" w:eastAsia="es-ES"/>
        </w:rPr>
        <w:t xml:space="preserve">al rubro indicado, asimismo con fundamento en lo dispuesto por el </w:t>
      </w:r>
      <w:r w:rsidRPr="00E95235">
        <w:rPr>
          <w:rFonts w:ascii="Palatino Linotype" w:eastAsia="Calibri" w:hAnsi="Palatino Linotype" w:cs="Arial"/>
          <w:sz w:val="24"/>
          <w:lang w:val="es-ES" w:eastAsia="es-ES"/>
        </w:rPr>
        <w:t xml:space="preserve">artículo 185 fracción I de la </w:t>
      </w:r>
      <w:r w:rsidRPr="00E95235">
        <w:rPr>
          <w:rFonts w:ascii="Palatino Linotype" w:eastAsia="Calibri" w:hAnsi="Palatino Linotype" w:cs="Arial"/>
          <w:b/>
          <w:sz w:val="24"/>
          <w:lang w:val="es-ES" w:eastAsia="es-ES"/>
        </w:rPr>
        <w:t xml:space="preserve">Ley de Transparencia y Acceso a la Información Pública del Estado de México y </w:t>
      </w:r>
      <w:r w:rsidRPr="00E95235">
        <w:rPr>
          <w:rFonts w:ascii="Palatino Linotype" w:eastAsia="Calibri" w:hAnsi="Palatino Linotype" w:cs="Arial"/>
          <w:b/>
          <w:sz w:val="24"/>
          <w:lang w:val="es-ES" w:eastAsia="es-ES"/>
        </w:rPr>
        <w:lastRenderedPageBreak/>
        <w:t xml:space="preserve">Municipios </w:t>
      </w:r>
      <w:r w:rsidRPr="00E95235">
        <w:rPr>
          <w:rFonts w:ascii="Palatino Linotype" w:hAnsi="Palatino Linotype" w:cs="Arial"/>
          <w:sz w:val="24"/>
          <w:lang w:val="es-ES" w:eastAsia="es-ES"/>
        </w:rPr>
        <w:t xml:space="preserve">se turnó a la </w:t>
      </w:r>
      <w:r w:rsidRPr="00E95235">
        <w:rPr>
          <w:rFonts w:ascii="Palatino Linotype" w:hAnsi="Palatino Linotype" w:cs="Arial"/>
          <w:b/>
          <w:sz w:val="24"/>
          <w:lang w:val="es-ES" w:eastAsia="es-ES"/>
        </w:rPr>
        <w:t xml:space="preserve">Comisionada María del Rosario Mejía Ayala, </w:t>
      </w:r>
      <w:r w:rsidRPr="00E95235">
        <w:rPr>
          <w:rFonts w:ascii="Palatino Linotype" w:hAnsi="Palatino Linotype" w:cs="Arial"/>
          <w:sz w:val="24"/>
          <w:lang w:val="es-ES" w:eastAsia="es-ES"/>
        </w:rPr>
        <w:t xml:space="preserve">con el objeto de </w:t>
      </w:r>
      <w:r w:rsidRPr="00E95235">
        <w:rPr>
          <w:rFonts w:ascii="Palatino Linotype" w:hAnsi="Palatino Linotype" w:cs="Arial"/>
          <w:sz w:val="24"/>
          <w:lang w:eastAsia="es-ES"/>
        </w:rPr>
        <w:t xml:space="preserve">su análisis. </w:t>
      </w:r>
    </w:p>
    <w:p w14:paraId="191026DB" w14:textId="77777777" w:rsidR="00B1000A" w:rsidRPr="00E95235" w:rsidRDefault="00B1000A" w:rsidP="00B1000A">
      <w:pPr>
        <w:pStyle w:val="Prrafodelista"/>
        <w:spacing w:line="360" w:lineRule="auto"/>
        <w:ind w:left="0"/>
        <w:jc w:val="both"/>
        <w:rPr>
          <w:rFonts w:ascii="Palatino Linotype" w:hAnsi="Palatino Linotype" w:cs="Arial"/>
          <w:sz w:val="24"/>
          <w:szCs w:val="22"/>
          <w:lang w:val="es-ES" w:eastAsia="es-ES"/>
        </w:rPr>
      </w:pPr>
    </w:p>
    <w:p w14:paraId="1BAF52E3" w14:textId="77777777" w:rsidR="00787F07" w:rsidRPr="00787F07" w:rsidRDefault="00B1000A"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eastAsia="Calibri" w:hAnsi="Palatino Linotype" w:cs="Arial"/>
          <w:sz w:val="24"/>
          <w:lang w:val="es-ES" w:eastAsia="es-ES"/>
        </w:rPr>
        <w:t>El Comisionado Ponente con fundamento en lo dispuesto por el artículo 185 fracción II de la ley de la materia, a través d</w:t>
      </w:r>
      <w:r>
        <w:rPr>
          <w:rFonts w:ascii="Palatino Linotype" w:eastAsia="Calibri" w:hAnsi="Palatino Linotype" w:cs="Arial"/>
          <w:sz w:val="24"/>
          <w:lang w:val="es-ES" w:eastAsia="es-ES"/>
        </w:rPr>
        <w:t xml:space="preserve">el acuerdo de admisión de fecha </w:t>
      </w:r>
      <w:r w:rsidR="00787F07">
        <w:rPr>
          <w:rFonts w:ascii="Palatino Linotype" w:eastAsia="Calibri" w:hAnsi="Palatino Linotype" w:cs="Arial"/>
          <w:sz w:val="24"/>
          <w:lang w:val="es-ES" w:eastAsia="es-ES"/>
        </w:rPr>
        <w:t>ocho (08) de noviembre</w:t>
      </w:r>
      <w:r w:rsidR="00261CFE">
        <w:rPr>
          <w:rFonts w:ascii="Palatino Linotype" w:eastAsia="Calibri" w:hAnsi="Palatino Linotype" w:cs="Arial"/>
          <w:sz w:val="24"/>
          <w:lang w:val="es-ES" w:eastAsia="es-ES"/>
        </w:rPr>
        <w:t xml:space="preserve"> de dos mil veintidós</w:t>
      </w:r>
      <w:r w:rsidRPr="00E95235">
        <w:rPr>
          <w:rFonts w:ascii="Palatino Linotype" w:eastAsia="Calibri" w:hAnsi="Palatino Linotype" w:cs="Arial"/>
          <w:sz w:val="24"/>
          <w:lang w:val="es-ES" w:eastAsia="es-ES"/>
        </w:rPr>
        <w:t xml:space="preserve">, puso a disposición de las partes el expediente electrónico </w:t>
      </w:r>
      <w:r w:rsidRPr="00E95235">
        <w:rPr>
          <w:rFonts w:ascii="Palatino Linotype" w:eastAsia="Calibri" w:hAnsi="Palatino Linotype" w:cs="Arial"/>
          <w:sz w:val="24"/>
          <w:lang w:val="es-ES_tradnl" w:eastAsia="es-ES"/>
        </w:rPr>
        <w:t xml:space="preserve">vía </w:t>
      </w:r>
      <w:r w:rsidRPr="00E95235">
        <w:rPr>
          <w:rFonts w:ascii="Palatino Linotype" w:eastAsia="Calibri" w:hAnsi="Palatino Linotype" w:cs="Arial"/>
          <w:b/>
          <w:sz w:val="24"/>
          <w:lang w:val="es-ES" w:eastAsia="es-ES"/>
        </w:rPr>
        <w:t xml:space="preserve">SAIMEX </w:t>
      </w:r>
      <w:r w:rsidRPr="00E95235">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corresponda al caso concreto, de esta forma para que el </w:t>
      </w:r>
      <w:r w:rsidRPr="00E95235">
        <w:rPr>
          <w:rFonts w:ascii="Palatino Linotype" w:eastAsia="Calibri" w:hAnsi="Palatino Linotype" w:cs="Arial"/>
          <w:b/>
          <w:sz w:val="24"/>
          <w:lang w:val="es-ES" w:eastAsia="es-ES"/>
        </w:rPr>
        <w:t>SUJETO OBLIGADO</w:t>
      </w:r>
      <w:r w:rsidRPr="00E95235">
        <w:rPr>
          <w:rFonts w:ascii="Palatino Linotype" w:eastAsia="Calibri" w:hAnsi="Palatino Linotype" w:cs="Arial"/>
          <w:sz w:val="24"/>
          <w:lang w:val="es-ES" w:eastAsia="es-ES"/>
        </w:rPr>
        <w:t xml:space="preserve"> presentara el informe justificado procedente. </w:t>
      </w:r>
    </w:p>
    <w:p w14:paraId="300B9234" w14:textId="77777777" w:rsidR="00787F07" w:rsidRPr="00787F07" w:rsidRDefault="00787F07" w:rsidP="00787F07">
      <w:pPr>
        <w:pStyle w:val="Prrafodelista"/>
        <w:rPr>
          <w:rFonts w:ascii="Palatino Linotype" w:eastAsia="Calibri" w:hAnsi="Palatino Linotype" w:cs="Arial"/>
          <w:sz w:val="24"/>
          <w:lang w:val="es-ES" w:eastAsia="es-ES"/>
        </w:rPr>
      </w:pPr>
    </w:p>
    <w:p w14:paraId="46F49029" w14:textId="77777777" w:rsidR="00B1000A" w:rsidRPr="00787F07" w:rsidRDefault="00B1000A" w:rsidP="00787F07">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eastAsia="Calibri" w:hAnsi="Palatino Linotype" w:cs="Arial"/>
          <w:sz w:val="24"/>
          <w:lang w:val="es-ES" w:eastAsia="es-ES"/>
        </w:rPr>
        <w:t>De las constancias que obran en el expediente electrónico SAIMEX el partic</w:t>
      </w:r>
      <w:r>
        <w:rPr>
          <w:rFonts w:ascii="Palatino Linotype" w:eastAsia="Calibri" w:hAnsi="Palatino Linotype" w:cs="Arial"/>
          <w:sz w:val="24"/>
          <w:lang w:val="es-ES" w:eastAsia="es-ES"/>
        </w:rPr>
        <w:t xml:space="preserve">ular no realizó manifestaciones. </w:t>
      </w:r>
      <w:r w:rsidRPr="00787F07">
        <w:rPr>
          <w:rFonts w:ascii="Palatino Linotype" w:eastAsia="Calibri" w:hAnsi="Palatino Linotype" w:cs="Arial"/>
          <w:sz w:val="24"/>
          <w:lang w:val="es-ES" w:eastAsia="es-ES"/>
        </w:rPr>
        <w:t xml:space="preserve">Por su parte, el Sujeto Obligado </w:t>
      </w:r>
      <w:r w:rsidR="00787F07">
        <w:rPr>
          <w:rFonts w:ascii="Palatino Linotype" w:eastAsia="Calibri" w:hAnsi="Palatino Linotype" w:cs="Arial"/>
          <w:sz w:val="24"/>
          <w:lang w:val="es-ES" w:eastAsia="es-ES"/>
        </w:rPr>
        <w:t>entregó</w:t>
      </w:r>
      <w:r w:rsidRPr="00787F07">
        <w:rPr>
          <w:rFonts w:ascii="Palatino Linotype" w:eastAsia="Calibri" w:hAnsi="Palatino Linotype" w:cs="Arial"/>
          <w:sz w:val="24"/>
          <w:lang w:val="es-ES" w:eastAsia="es-ES"/>
        </w:rPr>
        <w:t xml:space="preserve"> informe justifica</w:t>
      </w:r>
      <w:r w:rsidR="002F385F" w:rsidRPr="00787F07">
        <w:rPr>
          <w:rFonts w:ascii="Palatino Linotype" w:eastAsia="Calibri" w:hAnsi="Palatino Linotype" w:cs="Arial"/>
          <w:sz w:val="24"/>
          <w:lang w:val="es-ES" w:eastAsia="es-ES"/>
        </w:rPr>
        <w:t>do</w:t>
      </w:r>
      <w:r w:rsidR="00787F07">
        <w:rPr>
          <w:rFonts w:ascii="Palatino Linotype" w:eastAsia="Calibri" w:hAnsi="Palatino Linotype" w:cs="Arial"/>
          <w:sz w:val="24"/>
          <w:lang w:val="es-ES" w:eastAsia="es-ES"/>
        </w:rPr>
        <w:t xml:space="preserve"> el diecinueve (19) de noviembre de dos mil veintidós, que contiene los archivos que se describen enseguida:</w:t>
      </w:r>
    </w:p>
    <w:p w14:paraId="2F4B425F" w14:textId="77777777" w:rsidR="00787F07" w:rsidRPr="00787F07" w:rsidRDefault="00787F07" w:rsidP="00787F07">
      <w:pPr>
        <w:pStyle w:val="Prrafodelista"/>
        <w:rPr>
          <w:rFonts w:ascii="Palatino Linotype" w:hAnsi="Palatino Linotype" w:cs="Arial"/>
          <w:sz w:val="24"/>
          <w:szCs w:val="22"/>
          <w:lang w:val="es-ES" w:eastAsia="es-ES"/>
        </w:rPr>
      </w:pPr>
    </w:p>
    <w:p w14:paraId="753E094E" w14:textId="77777777" w:rsidR="00787F07" w:rsidRDefault="00020D23" w:rsidP="00BE5FD0">
      <w:pPr>
        <w:pStyle w:val="Prrafodelista"/>
        <w:numPr>
          <w:ilvl w:val="0"/>
          <w:numId w:val="11"/>
        </w:numPr>
        <w:spacing w:line="360" w:lineRule="auto"/>
        <w:ind w:right="822"/>
        <w:jc w:val="both"/>
        <w:rPr>
          <w:rFonts w:ascii="Palatino Linotype" w:hAnsi="Palatino Linotype"/>
          <w:szCs w:val="22"/>
        </w:rPr>
      </w:pPr>
      <w:hyperlink r:id="rId8" w:history="1">
        <w:r w:rsidR="00787F07" w:rsidRPr="00787F07">
          <w:rPr>
            <w:rStyle w:val="Hipervnculo"/>
            <w:rFonts w:ascii="Palatino Linotype" w:eastAsiaTheme="majorEastAsia" w:hAnsi="Palatino Linotype" w:cs="Arial"/>
            <w:b/>
            <w:bCs/>
            <w:color w:val="auto"/>
            <w:szCs w:val="22"/>
          </w:rPr>
          <w:t>HAT-UTAIP-2022-554 acuerdo.pdf</w:t>
        </w:r>
      </w:hyperlink>
      <w:r w:rsidR="00787F07" w:rsidRPr="00787F07">
        <w:rPr>
          <w:rFonts w:ascii="Palatino Linotype" w:hAnsi="Palatino Linotype"/>
          <w:szCs w:val="22"/>
        </w:rPr>
        <w:t>:</w:t>
      </w:r>
      <w:r w:rsidR="00787F07">
        <w:rPr>
          <w:rFonts w:ascii="Palatino Linotype" w:hAnsi="Palatino Linotype"/>
          <w:szCs w:val="22"/>
        </w:rPr>
        <w:t xml:space="preserve"> oficio HAT/UTAIP/2022/554 suscrito por la Auxiliar Administrativo de la Unidad de Transparencia, en el que señaló la aprobación de la clasificación del nombre o razón social en la relación de licencias de funcionamiento. </w:t>
      </w:r>
    </w:p>
    <w:p w14:paraId="67F7EA86" w14:textId="77777777" w:rsidR="00787F07" w:rsidRPr="00787F07" w:rsidRDefault="00787F07" w:rsidP="00BE5FD0">
      <w:pPr>
        <w:pStyle w:val="Prrafodelista"/>
        <w:spacing w:line="360" w:lineRule="auto"/>
        <w:ind w:right="822"/>
        <w:jc w:val="both"/>
        <w:rPr>
          <w:rFonts w:ascii="Palatino Linotype" w:hAnsi="Palatino Linotype"/>
          <w:szCs w:val="22"/>
        </w:rPr>
      </w:pPr>
    </w:p>
    <w:p w14:paraId="2CECF3D1" w14:textId="77777777" w:rsidR="00BE5FD0" w:rsidRPr="00BE5FD0" w:rsidRDefault="00020D23" w:rsidP="00BE5FD0">
      <w:pPr>
        <w:pStyle w:val="Prrafodelista"/>
        <w:numPr>
          <w:ilvl w:val="0"/>
          <w:numId w:val="11"/>
        </w:numPr>
        <w:spacing w:line="360" w:lineRule="auto"/>
        <w:ind w:right="822"/>
        <w:jc w:val="both"/>
        <w:rPr>
          <w:rFonts w:ascii="Palatino Linotype" w:hAnsi="Palatino Linotype" w:cs="Arial"/>
          <w:szCs w:val="22"/>
          <w:lang w:val="es-ES" w:eastAsia="es-ES"/>
        </w:rPr>
      </w:pPr>
      <w:hyperlink r:id="rId9" w:history="1">
        <w:r w:rsidR="00787F07" w:rsidRPr="00787F07">
          <w:rPr>
            <w:rStyle w:val="Hipervnculo"/>
            <w:rFonts w:ascii="Palatino Linotype" w:eastAsiaTheme="majorEastAsia" w:hAnsi="Palatino Linotype" w:cs="Arial"/>
            <w:b/>
            <w:bCs/>
            <w:color w:val="auto"/>
            <w:szCs w:val="22"/>
          </w:rPr>
          <w:t>DDYFE-887-2022.pdf</w:t>
        </w:r>
      </w:hyperlink>
      <w:r w:rsidR="00787F07" w:rsidRPr="00787F07">
        <w:rPr>
          <w:rFonts w:ascii="Palatino Linotype" w:hAnsi="Palatino Linotype"/>
          <w:szCs w:val="22"/>
        </w:rPr>
        <w:t>:</w:t>
      </w:r>
      <w:r w:rsidR="00787F07">
        <w:rPr>
          <w:rFonts w:ascii="Palatino Linotype" w:hAnsi="Palatino Linotype"/>
          <w:szCs w:val="22"/>
        </w:rPr>
        <w:t xml:space="preserve"> se adjuntó </w:t>
      </w:r>
      <w:r w:rsidR="00BE5FD0">
        <w:rPr>
          <w:rFonts w:ascii="Palatino Linotype" w:hAnsi="Palatino Linotype"/>
          <w:szCs w:val="22"/>
        </w:rPr>
        <w:t>oficio DDYFE/887/2022 suscrito por la Directora de Desarrollo y Fomento Económico en el que señaló “</w:t>
      </w:r>
      <w:r w:rsidR="00BE5FD0" w:rsidRPr="00BE5FD0">
        <w:rPr>
          <w:rFonts w:ascii="Palatino Linotype" w:hAnsi="Palatino Linotype"/>
          <w:i/>
          <w:szCs w:val="22"/>
        </w:rPr>
        <w:t xml:space="preserve">Después de la exhaustiva búsqueda dentro de las bases de datos </w:t>
      </w:r>
      <w:r w:rsidR="00BE5FD0" w:rsidRPr="00BE5FD0">
        <w:rPr>
          <w:rFonts w:ascii="Palatino Linotype" w:hAnsi="Palatino Linotype"/>
          <w:i/>
          <w:szCs w:val="22"/>
        </w:rPr>
        <w:tab/>
        <w:t xml:space="preserve">que obran en esta Dirección, he de informarle </w:t>
      </w:r>
      <w:r w:rsidR="00BE5FD0" w:rsidRPr="00BE5FD0">
        <w:rPr>
          <w:rFonts w:ascii="Palatino Linotype" w:hAnsi="Palatino Linotype"/>
          <w:i/>
          <w:szCs w:val="22"/>
        </w:rPr>
        <w:lastRenderedPageBreak/>
        <w:t>que el número total de solicitudes recibidas es de 840, 94 solicitudes de bajo impacto, 97 de mediano impacto y 186 de alto impacto, así como también, 463 solicitudes ingresadas para licencias SARE a lo que va del presente año.”, “Sobre la relación de licencias autorizadas en la que solicitan nombre o denominación social, dirección o ubicación tipo de giro o negocio, clasificación de bajo, mediano o alto impacto, le informe que no puedo proporcionar nombres ya que son datos personales…”.</w:t>
      </w:r>
      <w:r w:rsidR="00BE5FD0">
        <w:rPr>
          <w:rFonts w:ascii="Palatino Linotype" w:hAnsi="Palatino Linotype"/>
          <w:i/>
          <w:szCs w:val="22"/>
        </w:rPr>
        <w:t xml:space="preserve"> </w:t>
      </w:r>
      <w:r w:rsidR="00BE5FD0">
        <w:rPr>
          <w:rFonts w:ascii="Palatino Linotype" w:hAnsi="Palatino Linotype"/>
          <w:szCs w:val="22"/>
        </w:rPr>
        <w:t xml:space="preserve">Asimismo, se adjuntó la relación de las licencias de funcionamiento en el que se advierte, el tipo de impacto, giro y dirección, clasificando el nombre. </w:t>
      </w:r>
    </w:p>
    <w:p w14:paraId="19526A4D" w14:textId="77777777" w:rsidR="002F385F" w:rsidRPr="001E4ECB" w:rsidRDefault="002F385F" w:rsidP="002F385F">
      <w:pPr>
        <w:pStyle w:val="Prrafodelista"/>
        <w:spacing w:line="360" w:lineRule="auto"/>
        <w:ind w:left="0"/>
        <w:jc w:val="both"/>
        <w:rPr>
          <w:rFonts w:ascii="Palatino Linotype" w:hAnsi="Palatino Linotype" w:cs="Arial"/>
          <w:sz w:val="24"/>
          <w:szCs w:val="22"/>
          <w:lang w:val="es-ES" w:eastAsia="es-ES"/>
        </w:rPr>
      </w:pPr>
    </w:p>
    <w:p w14:paraId="09C4C97E" w14:textId="77777777" w:rsidR="00B1000A" w:rsidRPr="00261CFE" w:rsidRDefault="001E4ECB" w:rsidP="00B1000A">
      <w:pPr>
        <w:pStyle w:val="Prrafodelista"/>
        <w:numPr>
          <w:ilvl w:val="0"/>
          <w:numId w:val="1"/>
        </w:numPr>
        <w:spacing w:line="360" w:lineRule="auto"/>
        <w:ind w:left="0" w:firstLine="0"/>
        <w:jc w:val="both"/>
        <w:rPr>
          <w:rFonts w:ascii="Palatino Linotype" w:hAnsi="Palatino Linotype" w:cs="Arial"/>
          <w:sz w:val="28"/>
          <w:szCs w:val="22"/>
          <w:lang w:val="es-ES" w:eastAsia="es-ES"/>
        </w:rPr>
      </w:pPr>
      <w:r>
        <w:rPr>
          <w:rFonts w:ascii="Palatino Linotype" w:eastAsiaTheme="minorEastAsia" w:hAnsi="Palatino Linotype"/>
          <w:sz w:val="24"/>
          <w:lang w:val="es-ES_tradnl" w:eastAsia="es-ES"/>
        </w:rPr>
        <w:t xml:space="preserve">El </w:t>
      </w:r>
      <w:r w:rsidR="004024B4">
        <w:rPr>
          <w:rFonts w:ascii="Palatino Linotype" w:eastAsiaTheme="minorEastAsia" w:hAnsi="Palatino Linotype"/>
          <w:sz w:val="24"/>
          <w:lang w:val="es-ES_tradnl" w:eastAsia="es-ES"/>
        </w:rPr>
        <w:t>treinta (30) de enero</w:t>
      </w:r>
      <w:r w:rsidR="00261CFE">
        <w:rPr>
          <w:rFonts w:ascii="Palatino Linotype" w:eastAsiaTheme="minorEastAsia" w:hAnsi="Palatino Linotype"/>
          <w:sz w:val="24"/>
          <w:lang w:val="es-ES_tradnl" w:eastAsia="es-ES"/>
        </w:rPr>
        <w:t xml:space="preserve"> </w:t>
      </w:r>
      <w:r w:rsidR="00B1000A" w:rsidRPr="00036E0D">
        <w:rPr>
          <w:rFonts w:ascii="Palatino Linotype" w:eastAsiaTheme="minorEastAsia" w:hAnsi="Palatino Linotype"/>
          <w:sz w:val="24"/>
          <w:lang w:val="es-ES_tradnl" w:eastAsia="es-ES"/>
        </w:rPr>
        <w:t xml:space="preserve">de dos mil veintitrés, se notificó el acuerdo mediante el cual se aprobó la ampliación para emitir resolución por un plazo de quince (15) días. </w:t>
      </w:r>
    </w:p>
    <w:p w14:paraId="5D729F1E" w14:textId="77777777" w:rsidR="00261CFE" w:rsidRPr="00261CFE" w:rsidRDefault="00261CFE" w:rsidP="00261CFE">
      <w:pPr>
        <w:pStyle w:val="Prrafodelista"/>
        <w:spacing w:line="360" w:lineRule="auto"/>
        <w:ind w:left="0"/>
        <w:jc w:val="both"/>
        <w:rPr>
          <w:rFonts w:ascii="Palatino Linotype" w:hAnsi="Palatino Linotype" w:cs="Arial"/>
          <w:sz w:val="28"/>
          <w:szCs w:val="22"/>
          <w:lang w:val="es-ES" w:eastAsia="es-ES"/>
        </w:rPr>
      </w:pPr>
    </w:p>
    <w:p w14:paraId="114F3285" w14:textId="77777777" w:rsidR="00B1000A" w:rsidRPr="003E7E6E" w:rsidRDefault="00B1000A" w:rsidP="00B1000A">
      <w:pPr>
        <w:numPr>
          <w:ilvl w:val="0"/>
          <w:numId w:val="1"/>
        </w:numPr>
        <w:spacing w:line="360" w:lineRule="auto"/>
        <w:ind w:left="0" w:firstLine="0"/>
        <w:contextualSpacing/>
        <w:jc w:val="both"/>
        <w:rPr>
          <w:rFonts w:ascii="Palatino Linotype" w:eastAsia="MS Mincho" w:hAnsi="Palatino Linotype"/>
          <w:b/>
        </w:rPr>
      </w:pPr>
      <w:r w:rsidRPr="003E7E6E">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651CC05" w14:textId="77777777" w:rsidR="00B1000A" w:rsidRPr="003E7E6E" w:rsidRDefault="00B1000A" w:rsidP="00B1000A">
      <w:pPr>
        <w:spacing w:line="360" w:lineRule="auto"/>
        <w:rPr>
          <w:rFonts w:ascii="Palatino Linotype" w:hAnsi="Palatino Linotype"/>
        </w:rPr>
      </w:pPr>
    </w:p>
    <w:p w14:paraId="2B0C9C08" w14:textId="77777777" w:rsidR="00B1000A" w:rsidRPr="003E7E6E" w:rsidRDefault="00B1000A" w:rsidP="00B1000A">
      <w:pPr>
        <w:numPr>
          <w:ilvl w:val="0"/>
          <w:numId w:val="1"/>
        </w:numPr>
        <w:spacing w:line="360" w:lineRule="auto"/>
        <w:ind w:left="0" w:firstLine="0"/>
        <w:contextualSpacing/>
        <w:jc w:val="both"/>
        <w:rPr>
          <w:rFonts w:ascii="Palatino Linotype" w:eastAsia="MS Mincho" w:hAnsi="Palatino Linotype"/>
          <w:b/>
        </w:rPr>
      </w:pPr>
      <w:r w:rsidRPr="003E7E6E">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sidRPr="003E7E6E">
        <w:rPr>
          <w:rFonts w:ascii="Palatino Linotype" w:hAnsi="Palatino Linotype"/>
        </w:rPr>
        <w:lastRenderedPageBreak/>
        <w:t>establecidos por diversos órganos jurisdiccionales federales, aplicables también en procedimientos análogos, como el que nos ocupa.</w:t>
      </w:r>
    </w:p>
    <w:p w14:paraId="1DCAABEF" w14:textId="77777777" w:rsidR="00B1000A" w:rsidRPr="003E7E6E" w:rsidRDefault="00B1000A" w:rsidP="00B1000A">
      <w:pPr>
        <w:spacing w:line="360" w:lineRule="auto"/>
        <w:rPr>
          <w:rFonts w:ascii="Palatino Linotype" w:hAnsi="Palatino Linotype"/>
        </w:rPr>
      </w:pPr>
    </w:p>
    <w:p w14:paraId="0332BF2D" w14:textId="77777777" w:rsidR="00B1000A" w:rsidRPr="003E7E6E" w:rsidRDefault="00B1000A" w:rsidP="00B1000A">
      <w:pPr>
        <w:numPr>
          <w:ilvl w:val="0"/>
          <w:numId w:val="1"/>
        </w:numPr>
        <w:spacing w:line="360" w:lineRule="auto"/>
        <w:ind w:left="0" w:firstLine="0"/>
        <w:contextualSpacing/>
        <w:jc w:val="both"/>
        <w:rPr>
          <w:rFonts w:ascii="Palatino Linotype" w:eastAsia="MS Mincho" w:hAnsi="Palatino Linotype"/>
          <w:b/>
        </w:rPr>
      </w:pPr>
      <w:r w:rsidRPr="003E7E6E">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CDCE289" w14:textId="77777777" w:rsidR="00B1000A" w:rsidRPr="003E7E6E" w:rsidRDefault="00B1000A" w:rsidP="00B1000A">
      <w:pPr>
        <w:spacing w:line="360" w:lineRule="auto"/>
        <w:rPr>
          <w:rFonts w:ascii="Palatino Linotype" w:hAnsi="Palatino Linotype"/>
        </w:rPr>
      </w:pPr>
    </w:p>
    <w:p w14:paraId="50EB7CA9" w14:textId="77777777" w:rsidR="00B1000A" w:rsidRPr="001E4ECB" w:rsidRDefault="00B1000A" w:rsidP="00B1000A">
      <w:pPr>
        <w:numPr>
          <w:ilvl w:val="0"/>
          <w:numId w:val="1"/>
        </w:numPr>
        <w:spacing w:line="360" w:lineRule="auto"/>
        <w:ind w:left="0" w:firstLine="0"/>
        <w:contextualSpacing/>
        <w:jc w:val="both"/>
        <w:rPr>
          <w:rFonts w:ascii="Palatino Linotype" w:eastAsia="MS Mincho" w:hAnsi="Palatino Linotype"/>
          <w:b/>
        </w:rPr>
      </w:pPr>
      <w:r w:rsidRPr="003E7E6E">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51A3689" w14:textId="77777777" w:rsidR="001E4ECB" w:rsidRPr="00036E0D" w:rsidRDefault="001E4ECB" w:rsidP="001E4ECB">
      <w:pPr>
        <w:spacing w:line="360" w:lineRule="auto"/>
        <w:contextualSpacing/>
        <w:jc w:val="both"/>
        <w:rPr>
          <w:rFonts w:ascii="Palatino Linotype" w:eastAsia="MS Mincho" w:hAnsi="Palatino Linotype"/>
          <w:b/>
        </w:rPr>
      </w:pPr>
    </w:p>
    <w:p w14:paraId="09AB0921" w14:textId="77777777" w:rsidR="00B1000A" w:rsidRPr="003E7E6E" w:rsidRDefault="00B1000A" w:rsidP="00B1000A">
      <w:pPr>
        <w:numPr>
          <w:ilvl w:val="0"/>
          <w:numId w:val="1"/>
        </w:numPr>
        <w:spacing w:line="360" w:lineRule="auto"/>
        <w:ind w:left="0" w:firstLine="0"/>
        <w:contextualSpacing/>
        <w:jc w:val="both"/>
        <w:rPr>
          <w:rFonts w:ascii="Palatino Linotype" w:eastAsia="MS Mincho" w:hAnsi="Palatino Linotype"/>
          <w:b/>
        </w:rPr>
      </w:pPr>
      <w:r w:rsidRPr="003E7E6E">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0189E513" w14:textId="77777777" w:rsidR="00B1000A" w:rsidRPr="003E7E6E" w:rsidRDefault="00B1000A" w:rsidP="00B1000A">
      <w:pPr>
        <w:spacing w:line="360" w:lineRule="auto"/>
        <w:rPr>
          <w:rFonts w:ascii="Palatino Linotype" w:hAnsi="Palatino Linotype"/>
        </w:rPr>
      </w:pPr>
    </w:p>
    <w:p w14:paraId="2225B237" w14:textId="77777777" w:rsidR="00B1000A" w:rsidRPr="003E7E6E" w:rsidRDefault="00B1000A" w:rsidP="00B1000A">
      <w:pPr>
        <w:pStyle w:val="Prrafodelista"/>
        <w:numPr>
          <w:ilvl w:val="0"/>
          <w:numId w:val="4"/>
        </w:numPr>
        <w:spacing w:line="360" w:lineRule="auto"/>
        <w:jc w:val="both"/>
        <w:rPr>
          <w:rFonts w:ascii="Palatino Linotype" w:hAnsi="Palatino Linotype"/>
          <w:sz w:val="24"/>
        </w:rPr>
      </w:pPr>
      <w:r w:rsidRPr="003E7E6E">
        <w:rPr>
          <w:rFonts w:ascii="Palatino Linotype" w:hAnsi="Palatino Linotype"/>
          <w:sz w:val="24"/>
        </w:rPr>
        <w:t xml:space="preserve">Complejidad del Asunto: La complejidad de la prueba, la pluralidad de sujetos procesales, el tiempo transcurrido, las características y contexto del recurso. </w:t>
      </w:r>
    </w:p>
    <w:p w14:paraId="1B32B72F" w14:textId="77777777" w:rsidR="00B1000A" w:rsidRPr="003E7E6E" w:rsidRDefault="00B1000A" w:rsidP="00B1000A">
      <w:pPr>
        <w:pStyle w:val="Prrafodelista"/>
        <w:spacing w:line="360" w:lineRule="auto"/>
        <w:ind w:left="927"/>
        <w:jc w:val="both"/>
        <w:rPr>
          <w:rFonts w:ascii="Palatino Linotype" w:hAnsi="Palatino Linotype"/>
          <w:sz w:val="24"/>
        </w:rPr>
      </w:pPr>
    </w:p>
    <w:p w14:paraId="03AA44D5" w14:textId="77777777" w:rsidR="00B1000A" w:rsidRPr="003E7E6E" w:rsidRDefault="00B1000A" w:rsidP="00B1000A">
      <w:pPr>
        <w:pStyle w:val="Prrafodelista"/>
        <w:numPr>
          <w:ilvl w:val="0"/>
          <w:numId w:val="4"/>
        </w:numPr>
        <w:spacing w:line="360" w:lineRule="auto"/>
        <w:jc w:val="both"/>
        <w:rPr>
          <w:rFonts w:ascii="Palatino Linotype" w:hAnsi="Palatino Linotype"/>
          <w:sz w:val="24"/>
        </w:rPr>
      </w:pPr>
      <w:r w:rsidRPr="003E7E6E">
        <w:rPr>
          <w:rFonts w:ascii="Palatino Linotype" w:hAnsi="Palatino Linotype"/>
          <w:sz w:val="24"/>
        </w:rPr>
        <w:t>Actividad Procesal del interesado. Acciones u omisiones del interesado.</w:t>
      </w:r>
    </w:p>
    <w:p w14:paraId="361F446F" w14:textId="77777777" w:rsidR="00B1000A" w:rsidRPr="003E7E6E" w:rsidRDefault="00B1000A" w:rsidP="00B1000A">
      <w:pPr>
        <w:spacing w:line="360" w:lineRule="auto"/>
        <w:jc w:val="both"/>
        <w:rPr>
          <w:rFonts w:ascii="Palatino Linotype" w:hAnsi="Palatino Linotype"/>
        </w:rPr>
      </w:pPr>
    </w:p>
    <w:p w14:paraId="68911620" w14:textId="77777777" w:rsidR="00B1000A" w:rsidRPr="003E7E6E" w:rsidRDefault="00B1000A" w:rsidP="00B1000A">
      <w:pPr>
        <w:pStyle w:val="Prrafodelista"/>
        <w:numPr>
          <w:ilvl w:val="0"/>
          <w:numId w:val="4"/>
        </w:numPr>
        <w:spacing w:line="360" w:lineRule="auto"/>
        <w:jc w:val="both"/>
        <w:rPr>
          <w:rFonts w:ascii="Palatino Linotype" w:hAnsi="Palatino Linotype"/>
          <w:sz w:val="24"/>
        </w:rPr>
      </w:pPr>
      <w:r w:rsidRPr="003E7E6E">
        <w:rPr>
          <w:rFonts w:ascii="Palatino Linotype" w:hAnsi="Palatino Linotype"/>
          <w:sz w:val="24"/>
        </w:rPr>
        <w:t>Conducta de la Autoridad: Las Acciones u omisiones realizadas en el procedimiento. Así como si la autoridad actuó con la debida diligencia.</w:t>
      </w:r>
    </w:p>
    <w:p w14:paraId="210AA9D6" w14:textId="77777777" w:rsidR="00B1000A" w:rsidRPr="003E7E6E" w:rsidRDefault="00B1000A" w:rsidP="00B1000A">
      <w:pPr>
        <w:pStyle w:val="Prrafodelista"/>
        <w:spacing w:line="360" w:lineRule="auto"/>
        <w:rPr>
          <w:rFonts w:ascii="Palatino Linotype" w:hAnsi="Palatino Linotype"/>
          <w:sz w:val="24"/>
        </w:rPr>
      </w:pPr>
    </w:p>
    <w:p w14:paraId="312232E9" w14:textId="77777777" w:rsidR="00B1000A" w:rsidRPr="003E7E6E" w:rsidRDefault="00B1000A" w:rsidP="00B1000A">
      <w:pPr>
        <w:spacing w:line="360" w:lineRule="auto"/>
        <w:ind w:left="567"/>
        <w:jc w:val="both"/>
        <w:rPr>
          <w:rFonts w:ascii="Palatino Linotype" w:hAnsi="Palatino Linotype"/>
        </w:rPr>
      </w:pPr>
      <w:r w:rsidRPr="003E7E6E">
        <w:rPr>
          <w:rFonts w:ascii="Palatino Linotype" w:hAnsi="Palatino Linotype"/>
        </w:rPr>
        <w:t>d) La afectación generada en la situación jurídica de la persona involucrada en el proceso: Violación a sus derechos humanos.</w:t>
      </w:r>
    </w:p>
    <w:p w14:paraId="0807E904" w14:textId="77777777" w:rsidR="00B1000A" w:rsidRPr="003E7E6E" w:rsidRDefault="00B1000A" w:rsidP="00B1000A">
      <w:pPr>
        <w:spacing w:line="360" w:lineRule="auto"/>
        <w:rPr>
          <w:rFonts w:ascii="Palatino Linotype" w:hAnsi="Palatino Linotype"/>
        </w:rPr>
      </w:pPr>
    </w:p>
    <w:p w14:paraId="32830629" w14:textId="77777777" w:rsidR="00B1000A" w:rsidRPr="003E7E6E" w:rsidRDefault="00B1000A" w:rsidP="00B1000A">
      <w:pPr>
        <w:numPr>
          <w:ilvl w:val="0"/>
          <w:numId w:val="1"/>
        </w:numPr>
        <w:spacing w:line="360" w:lineRule="auto"/>
        <w:ind w:left="0" w:firstLine="0"/>
        <w:contextualSpacing/>
        <w:jc w:val="both"/>
        <w:rPr>
          <w:rFonts w:ascii="Palatino Linotype" w:eastAsia="MS Mincho" w:hAnsi="Palatino Linotype"/>
          <w:b/>
        </w:rPr>
      </w:pPr>
      <w:r w:rsidRPr="003E7E6E">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7902636" w14:textId="77777777" w:rsidR="00B1000A" w:rsidRPr="003E7E6E" w:rsidRDefault="00B1000A" w:rsidP="00B1000A">
      <w:pPr>
        <w:spacing w:line="360" w:lineRule="auto"/>
        <w:contextualSpacing/>
        <w:jc w:val="both"/>
        <w:rPr>
          <w:rFonts w:ascii="Palatino Linotype" w:eastAsia="MS Mincho" w:hAnsi="Palatino Linotype"/>
          <w:b/>
        </w:rPr>
      </w:pPr>
    </w:p>
    <w:p w14:paraId="2016E539" w14:textId="77777777" w:rsidR="00B1000A" w:rsidRPr="003E7E6E" w:rsidRDefault="00B1000A" w:rsidP="00B1000A">
      <w:pPr>
        <w:numPr>
          <w:ilvl w:val="0"/>
          <w:numId w:val="1"/>
        </w:numPr>
        <w:spacing w:line="360" w:lineRule="auto"/>
        <w:ind w:left="0" w:firstLine="0"/>
        <w:contextualSpacing/>
        <w:jc w:val="both"/>
        <w:rPr>
          <w:rFonts w:ascii="Palatino Linotype" w:eastAsia="MS Mincho" w:hAnsi="Palatino Linotype"/>
          <w:b/>
        </w:rPr>
      </w:pPr>
      <w:r w:rsidRPr="003E7E6E">
        <w:rPr>
          <w:rFonts w:ascii="Palatino Linotype" w:hAnsi="Palatino Linotype"/>
        </w:rPr>
        <w:t xml:space="preserve">Argumento que encuentra sustento en la jurisprudencia P./J. 32/92 emitida por el Pleno de la Suprema Corte de Justicia de la Nación de rubro </w:t>
      </w:r>
      <w:r w:rsidRPr="003E7E6E">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3E7E6E">
        <w:rPr>
          <w:rFonts w:ascii="Palatino Linotype" w:hAnsi="Palatino Linotype"/>
        </w:rPr>
        <w:t>, visible en la Gaceta del Seminario Judicial de la Federación con el registro digital 205635.</w:t>
      </w:r>
    </w:p>
    <w:p w14:paraId="29647BFF" w14:textId="77777777" w:rsidR="00B1000A" w:rsidRPr="003E7E6E" w:rsidRDefault="00B1000A" w:rsidP="00B1000A">
      <w:pPr>
        <w:spacing w:line="360" w:lineRule="auto"/>
        <w:rPr>
          <w:rFonts w:ascii="Palatino Linotype" w:hAnsi="Palatino Linotype"/>
        </w:rPr>
      </w:pPr>
    </w:p>
    <w:p w14:paraId="0EF5B9A2" w14:textId="77777777" w:rsidR="00B1000A" w:rsidRPr="003E7E6E" w:rsidRDefault="00B1000A" w:rsidP="00B1000A">
      <w:pPr>
        <w:numPr>
          <w:ilvl w:val="0"/>
          <w:numId w:val="1"/>
        </w:numPr>
        <w:spacing w:line="360" w:lineRule="auto"/>
        <w:ind w:left="0" w:firstLine="0"/>
        <w:contextualSpacing/>
        <w:jc w:val="both"/>
        <w:rPr>
          <w:rFonts w:ascii="Palatino Linotype" w:eastAsia="MS Mincho" w:hAnsi="Palatino Linotype"/>
          <w:b/>
        </w:rPr>
      </w:pPr>
      <w:r w:rsidRPr="003E7E6E">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3E7E6E">
        <w:rPr>
          <w:rFonts w:ascii="Palatino Linotype" w:hAnsi="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03DF4715" w14:textId="77777777" w:rsidR="00B1000A" w:rsidRPr="003E7E6E" w:rsidRDefault="00B1000A" w:rsidP="00B1000A">
      <w:pPr>
        <w:spacing w:line="360" w:lineRule="auto"/>
        <w:rPr>
          <w:rFonts w:ascii="Palatino Linotype" w:hAnsi="Palatino Linotype"/>
        </w:rPr>
      </w:pPr>
    </w:p>
    <w:p w14:paraId="27B6B231" w14:textId="77777777" w:rsidR="00B1000A" w:rsidRPr="003E7E6E" w:rsidRDefault="00B1000A" w:rsidP="00B1000A">
      <w:pPr>
        <w:numPr>
          <w:ilvl w:val="0"/>
          <w:numId w:val="1"/>
        </w:numPr>
        <w:spacing w:line="360" w:lineRule="auto"/>
        <w:ind w:left="0" w:firstLine="0"/>
        <w:contextualSpacing/>
        <w:jc w:val="both"/>
        <w:rPr>
          <w:rFonts w:ascii="Palatino Linotype" w:eastAsia="MS Mincho" w:hAnsi="Palatino Linotype"/>
          <w:b/>
        </w:rPr>
      </w:pPr>
      <w:r w:rsidRPr="003E7E6E">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26DED92B" w14:textId="77777777" w:rsidR="00B1000A" w:rsidRPr="003E7E6E" w:rsidRDefault="00B1000A" w:rsidP="00B1000A">
      <w:pPr>
        <w:spacing w:line="360" w:lineRule="auto"/>
        <w:rPr>
          <w:rFonts w:ascii="Palatino Linotype" w:hAnsi="Palatino Linotype"/>
        </w:rPr>
      </w:pPr>
    </w:p>
    <w:p w14:paraId="4E3E1884" w14:textId="77777777" w:rsidR="00B1000A" w:rsidRPr="003E7E6E" w:rsidRDefault="00B1000A" w:rsidP="00B1000A">
      <w:pPr>
        <w:numPr>
          <w:ilvl w:val="0"/>
          <w:numId w:val="1"/>
        </w:numPr>
        <w:spacing w:line="360" w:lineRule="auto"/>
        <w:ind w:left="0" w:firstLine="0"/>
        <w:contextualSpacing/>
        <w:jc w:val="both"/>
        <w:rPr>
          <w:rFonts w:ascii="Palatino Linotype" w:eastAsia="MS Mincho" w:hAnsi="Palatino Linotype"/>
          <w:b/>
        </w:rPr>
      </w:pPr>
      <w:r w:rsidRPr="003E7E6E">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F3F6E3F" w14:textId="77777777" w:rsidR="00B1000A" w:rsidRPr="003E7E6E" w:rsidRDefault="00B1000A" w:rsidP="00B1000A">
      <w:pPr>
        <w:spacing w:line="360" w:lineRule="auto"/>
        <w:jc w:val="both"/>
        <w:rPr>
          <w:rFonts w:ascii="Palatino Linotype" w:hAnsi="Palatino Linotype"/>
        </w:rPr>
      </w:pPr>
    </w:p>
    <w:p w14:paraId="7F754F1C" w14:textId="77777777" w:rsidR="00B1000A" w:rsidRPr="003E7E6E" w:rsidRDefault="00B1000A" w:rsidP="00B1000A">
      <w:pPr>
        <w:spacing w:line="360" w:lineRule="auto"/>
        <w:ind w:left="851" w:right="822"/>
        <w:jc w:val="both"/>
        <w:rPr>
          <w:rFonts w:ascii="Palatino Linotype" w:hAnsi="Palatino Linotype"/>
        </w:rPr>
      </w:pPr>
      <w:r w:rsidRPr="003E7E6E">
        <w:rPr>
          <w:rFonts w:ascii="Palatino Linotype" w:hAnsi="Palatino Linotype"/>
        </w:rPr>
        <w:t xml:space="preserve"> </w:t>
      </w:r>
      <w:r w:rsidRPr="003E7E6E">
        <w:rPr>
          <w:rFonts w:ascii="Palatino Linotype" w:hAnsi="Palatino Linotype"/>
          <w:i/>
        </w:rPr>
        <w:t>“PLAZO RAZONABLE PARA RESOLVER. DIMENSIÓN Y EFECTOS DE ESTE CONCEPTO CUANDO SE ADUCE EXCESIVA CARGA DE TRABAJO.”</w:t>
      </w:r>
      <w:r w:rsidRPr="003E7E6E">
        <w:rPr>
          <w:rFonts w:ascii="Palatino Linotype" w:hAnsi="Palatino Linotype"/>
        </w:rPr>
        <w:t xml:space="preserve"> consultable en el Seminario Judicial de la Federación y su gaceta, con el registro digital 2002351.</w:t>
      </w:r>
    </w:p>
    <w:p w14:paraId="5268D869" w14:textId="77777777" w:rsidR="00B1000A" w:rsidRPr="003E7E6E" w:rsidRDefault="00B1000A" w:rsidP="00B1000A">
      <w:pPr>
        <w:spacing w:line="360" w:lineRule="auto"/>
        <w:ind w:left="851" w:right="822"/>
        <w:jc w:val="both"/>
        <w:rPr>
          <w:rFonts w:ascii="Palatino Linotype" w:hAnsi="Palatino Linotype"/>
          <w:b/>
        </w:rPr>
      </w:pPr>
    </w:p>
    <w:p w14:paraId="1B431C13" w14:textId="77777777" w:rsidR="00B1000A" w:rsidRPr="003E7E6E" w:rsidRDefault="00B1000A" w:rsidP="00B1000A">
      <w:pPr>
        <w:spacing w:line="360" w:lineRule="auto"/>
        <w:ind w:left="851" w:right="822"/>
        <w:jc w:val="both"/>
        <w:rPr>
          <w:rFonts w:ascii="Palatino Linotype" w:hAnsi="Palatino Linotype"/>
        </w:rPr>
      </w:pPr>
      <w:r w:rsidRPr="003E7E6E">
        <w:rPr>
          <w:rFonts w:ascii="Palatino Linotype" w:hAnsi="Palatino Linotype"/>
          <w:i/>
        </w:rPr>
        <w:t>“PLAZO RAZONABLE PARA RESOLVER. CONCEPTO Y ELEMENTOS QUE LO INTEGRAN A LA LUZ DEL DERECHO INTERNACIONAL DE LOS DERECHOS HUMANOS.”</w:t>
      </w:r>
      <w:r w:rsidRPr="003E7E6E">
        <w:rPr>
          <w:rFonts w:ascii="Palatino Linotype" w:hAnsi="Palatino Linotype"/>
        </w:rPr>
        <w:t>, visible en el Seminario Judicial de la Federación y su gaceta, con el registro digital 2002350.</w:t>
      </w:r>
    </w:p>
    <w:p w14:paraId="7898B5E7" w14:textId="77777777" w:rsidR="00B1000A" w:rsidRPr="003E7E6E" w:rsidRDefault="00B1000A" w:rsidP="00B1000A">
      <w:pPr>
        <w:spacing w:line="360" w:lineRule="auto"/>
        <w:ind w:right="822"/>
        <w:jc w:val="both"/>
        <w:rPr>
          <w:rFonts w:ascii="Palatino Linotype" w:hAnsi="Palatino Linotype"/>
          <w:i/>
        </w:rPr>
      </w:pPr>
    </w:p>
    <w:p w14:paraId="1587572E" w14:textId="77777777" w:rsidR="00B1000A" w:rsidRPr="00036E0D" w:rsidRDefault="00B1000A" w:rsidP="00B1000A">
      <w:pPr>
        <w:pStyle w:val="Prrafodelista"/>
        <w:numPr>
          <w:ilvl w:val="0"/>
          <w:numId w:val="1"/>
        </w:numPr>
        <w:spacing w:line="360" w:lineRule="auto"/>
        <w:ind w:left="0" w:right="113" w:firstLine="0"/>
        <w:jc w:val="both"/>
        <w:rPr>
          <w:rFonts w:ascii="Palatino Linotype" w:hAnsi="Palatino Linotype"/>
          <w:sz w:val="24"/>
        </w:rPr>
      </w:pPr>
      <w:r w:rsidRPr="003E7E6E">
        <w:rPr>
          <w:rFonts w:ascii="Palatino Linotype" w:hAnsi="Palatino Linotype"/>
          <w:sz w:val="24"/>
        </w:rPr>
        <w:lastRenderedPageBreak/>
        <w:t xml:space="preserve">Por ello, este Organismo Garante comprometido con la tutela de los derechos humanos confiados, señala que este exceso de plazo legal para resolver el presente asunto, resulta de carácter excepcional. </w:t>
      </w:r>
    </w:p>
    <w:p w14:paraId="042847B9" w14:textId="77777777" w:rsidR="00B1000A" w:rsidRPr="00036E0D" w:rsidRDefault="00B1000A" w:rsidP="00B1000A">
      <w:pPr>
        <w:pStyle w:val="Prrafodelista"/>
        <w:spacing w:line="360" w:lineRule="auto"/>
        <w:ind w:left="0"/>
        <w:jc w:val="both"/>
        <w:rPr>
          <w:rFonts w:ascii="Palatino Linotype" w:hAnsi="Palatino Linotype" w:cs="Arial"/>
          <w:sz w:val="24"/>
          <w:szCs w:val="22"/>
          <w:lang w:val="es-ES" w:eastAsia="es-ES"/>
        </w:rPr>
      </w:pPr>
    </w:p>
    <w:p w14:paraId="185426AD" w14:textId="77777777" w:rsidR="001E4ECB" w:rsidRPr="00061D51" w:rsidRDefault="00B1000A"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eastAsiaTheme="minorEastAsia" w:hAnsi="Palatino Linotype"/>
          <w:sz w:val="24"/>
          <w:lang w:val="es-ES_tradnl" w:eastAsia="es-ES"/>
        </w:rPr>
        <w:t>El Comisionado Ponente decretó el cierre de instrucción</w:t>
      </w:r>
      <w:r w:rsidRPr="00E95235">
        <w:rPr>
          <w:rFonts w:ascii="Palatino Linotype" w:eastAsiaTheme="minorEastAsia" w:hAnsi="Palatino Linotype" w:cs="Arial"/>
          <w:sz w:val="24"/>
          <w:lang w:val="es-ES_tradnl" w:eastAsia="es-ES"/>
        </w:rPr>
        <w:t xml:space="preserve"> </w:t>
      </w:r>
      <w:r w:rsidRPr="00E95235">
        <w:rPr>
          <w:rFonts w:ascii="Palatino Linotype" w:eastAsiaTheme="minorEastAsia" w:hAnsi="Palatino Linotype"/>
          <w:sz w:val="24"/>
          <w:lang w:val="es-ES_tradnl" w:eastAsia="es-ES"/>
        </w:rPr>
        <w:t xml:space="preserve">mediante el acuerdo de fecha </w:t>
      </w:r>
      <w:r w:rsidR="004024B4">
        <w:rPr>
          <w:rFonts w:ascii="Palatino Linotype" w:eastAsiaTheme="minorEastAsia" w:hAnsi="Palatino Linotype"/>
          <w:sz w:val="24"/>
          <w:lang w:val="es-ES_tradnl" w:eastAsia="es-ES"/>
        </w:rPr>
        <w:t>seis (06</w:t>
      </w:r>
      <w:r w:rsidR="001E4ECB">
        <w:rPr>
          <w:rFonts w:ascii="Palatino Linotype" w:eastAsiaTheme="minorEastAsia" w:hAnsi="Palatino Linotype"/>
          <w:sz w:val="24"/>
          <w:lang w:val="es-ES_tradnl" w:eastAsia="es-ES"/>
        </w:rPr>
        <w:t xml:space="preserve">) </w:t>
      </w:r>
      <w:r w:rsidR="00261CFE">
        <w:rPr>
          <w:rFonts w:ascii="Palatino Linotype" w:eastAsiaTheme="minorEastAsia" w:hAnsi="Palatino Linotype"/>
          <w:sz w:val="24"/>
          <w:lang w:val="es-ES_tradnl" w:eastAsia="es-ES"/>
        </w:rPr>
        <w:t>de enero de dos mil veinticuatro</w:t>
      </w:r>
      <w:r w:rsidRPr="00E95235">
        <w:rPr>
          <w:rFonts w:ascii="Palatino Linotype" w:eastAsiaTheme="minorEastAsia" w:hAnsi="Palatino Linotype"/>
          <w:sz w:val="24"/>
          <w:lang w:val="es-ES_tradnl" w:eastAsia="es-ES"/>
        </w:rPr>
        <w:t>.</w:t>
      </w:r>
    </w:p>
    <w:p w14:paraId="6F5C839A" w14:textId="77777777" w:rsidR="001E4ECB" w:rsidRPr="00E95235" w:rsidRDefault="001E4ECB" w:rsidP="00B1000A">
      <w:pPr>
        <w:spacing w:line="360" w:lineRule="auto"/>
        <w:rPr>
          <w:rFonts w:ascii="Palatino Linotype" w:hAnsi="Palatino Linotype" w:cs="Arial"/>
          <w:szCs w:val="22"/>
          <w:lang w:val="es-ES" w:eastAsia="es-ES"/>
        </w:rPr>
      </w:pPr>
    </w:p>
    <w:p w14:paraId="4B319318" w14:textId="77777777" w:rsidR="00B1000A" w:rsidRDefault="00B1000A" w:rsidP="00B1000A">
      <w:pPr>
        <w:spacing w:line="360" w:lineRule="auto"/>
        <w:jc w:val="center"/>
        <w:rPr>
          <w:rFonts w:ascii="Palatino Linotype" w:hAnsi="Palatino Linotype" w:cs="Arial"/>
          <w:lang w:eastAsia="es-ES"/>
        </w:rPr>
      </w:pPr>
      <w:bookmarkStart w:id="1" w:name="_Toc66992242"/>
      <w:r w:rsidRPr="00E95235">
        <w:rPr>
          <w:rFonts w:ascii="Palatino Linotype" w:hAnsi="Palatino Linotype" w:cs="Arial"/>
          <w:b/>
          <w:lang w:eastAsia="es-ES"/>
        </w:rPr>
        <w:t>CONSIDERANDO</w:t>
      </w:r>
      <w:bookmarkEnd w:id="1"/>
    </w:p>
    <w:p w14:paraId="47E4EC24" w14:textId="77777777" w:rsidR="00B1000A" w:rsidRPr="00E95235" w:rsidRDefault="00B1000A" w:rsidP="00B1000A">
      <w:pPr>
        <w:spacing w:line="360" w:lineRule="auto"/>
        <w:jc w:val="center"/>
        <w:rPr>
          <w:rFonts w:ascii="Palatino Linotype" w:hAnsi="Palatino Linotype" w:cs="Arial"/>
          <w:lang w:eastAsia="es-ES"/>
        </w:rPr>
      </w:pPr>
    </w:p>
    <w:p w14:paraId="3443F48D" w14:textId="77777777" w:rsidR="00B1000A" w:rsidRDefault="00B1000A" w:rsidP="00B1000A">
      <w:pPr>
        <w:spacing w:line="360" w:lineRule="auto"/>
        <w:jc w:val="both"/>
        <w:rPr>
          <w:rFonts w:ascii="Palatino Linotype" w:hAnsi="Palatino Linotype" w:cs="Arial"/>
          <w:b/>
          <w:lang w:eastAsia="es-ES"/>
        </w:rPr>
      </w:pPr>
      <w:bookmarkStart w:id="2" w:name="_Toc66992243"/>
      <w:r w:rsidRPr="00E95235">
        <w:rPr>
          <w:rFonts w:ascii="Palatino Linotype" w:hAnsi="Palatino Linotype" w:cs="Arial"/>
          <w:b/>
          <w:lang w:eastAsia="es-ES"/>
        </w:rPr>
        <w:t>PRIMERO. De la competencia</w:t>
      </w:r>
      <w:bookmarkEnd w:id="2"/>
    </w:p>
    <w:p w14:paraId="2E098609" w14:textId="77777777" w:rsidR="00B1000A" w:rsidRPr="0097175B" w:rsidRDefault="00B1000A" w:rsidP="00B1000A">
      <w:pPr>
        <w:spacing w:line="360" w:lineRule="auto"/>
        <w:jc w:val="both"/>
        <w:rPr>
          <w:rFonts w:ascii="Palatino Linotype" w:hAnsi="Palatino Linotype" w:cs="Arial"/>
          <w:b/>
          <w:lang w:eastAsia="es-ES"/>
        </w:rPr>
      </w:pPr>
    </w:p>
    <w:p w14:paraId="3E67E5AE" w14:textId="77777777" w:rsidR="00B1000A" w:rsidRPr="00B510E5" w:rsidRDefault="00B1000A" w:rsidP="00B1000A">
      <w:pPr>
        <w:pStyle w:val="Prrafodelista"/>
        <w:numPr>
          <w:ilvl w:val="0"/>
          <w:numId w:val="1"/>
        </w:numPr>
        <w:spacing w:before="240" w:after="240" w:line="360" w:lineRule="auto"/>
        <w:ind w:left="0" w:firstLine="0"/>
        <w:jc w:val="both"/>
        <w:rPr>
          <w:rFonts w:ascii="Palatino Linotype" w:hAnsi="Palatino Linotype"/>
          <w:sz w:val="24"/>
        </w:rPr>
      </w:pPr>
      <w:r w:rsidRPr="003A5DA6">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2E318F5" w14:textId="77777777" w:rsidR="00B1000A" w:rsidRPr="00E95235" w:rsidRDefault="00B1000A" w:rsidP="00B1000A">
      <w:pPr>
        <w:pStyle w:val="Prrafodelista"/>
        <w:spacing w:line="360" w:lineRule="auto"/>
        <w:ind w:left="0"/>
        <w:jc w:val="both"/>
        <w:rPr>
          <w:rFonts w:ascii="Palatino Linotype" w:hAnsi="Palatino Linotype" w:cs="Arial"/>
          <w:sz w:val="24"/>
          <w:lang w:val="es-ES" w:eastAsia="es-ES"/>
        </w:rPr>
      </w:pPr>
    </w:p>
    <w:p w14:paraId="4D413330" w14:textId="77777777" w:rsidR="00B1000A" w:rsidRPr="00E95235" w:rsidRDefault="00B1000A" w:rsidP="00B1000A">
      <w:pPr>
        <w:keepNext/>
        <w:keepLines/>
        <w:spacing w:line="360" w:lineRule="auto"/>
        <w:outlineLvl w:val="1"/>
        <w:rPr>
          <w:rFonts w:ascii="Palatino Linotype" w:eastAsiaTheme="majorEastAsia" w:hAnsi="Palatino Linotype" w:cstheme="majorBidi"/>
          <w:b/>
        </w:rPr>
      </w:pPr>
      <w:bookmarkStart w:id="3" w:name="_Toc66992244"/>
      <w:r w:rsidRPr="00E95235">
        <w:rPr>
          <w:rFonts w:ascii="Palatino Linotype" w:eastAsiaTheme="majorEastAsia" w:hAnsi="Palatino Linotype" w:cstheme="majorBidi"/>
          <w:b/>
        </w:rPr>
        <w:t>SEGUNDO. De la oportunidad y procedencia.</w:t>
      </w:r>
      <w:bookmarkEnd w:id="3"/>
    </w:p>
    <w:p w14:paraId="59559D84" w14:textId="77777777" w:rsidR="00B1000A" w:rsidRPr="00E95235" w:rsidRDefault="00B1000A" w:rsidP="00B1000A">
      <w:pPr>
        <w:pStyle w:val="Prrafodelista"/>
        <w:spacing w:line="360" w:lineRule="auto"/>
        <w:ind w:left="0"/>
        <w:jc w:val="both"/>
        <w:rPr>
          <w:rFonts w:ascii="Palatino Linotype" w:hAnsi="Palatino Linotype" w:cs="Arial"/>
          <w:sz w:val="24"/>
          <w:lang w:val="es-ES" w:eastAsia="es-ES"/>
        </w:rPr>
      </w:pPr>
    </w:p>
    <w:p w14:paraId="4488AC11" w14:textId="77777777" w:rsidR="00B1000A" w:rsidRPr="007653FA"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E95235">
        <w:rPr>
          <w:rFonts w:ascii="Palatino Linotype" w:eastAsia="Calibri" w:hAnsi="Palatino Linotype" w:cs="Arial"/>
          <w:sz w:val="24"/>
          <w:lang w:val="es-ES_tradnl" w:eastAsia="es-ES"/>
        </w:rPr>
        <w:lastRenderedPageBreak/>
        <w:t xml:space="preserve">El medio de impugnación fue presentado a través del </w:t>
      </w:r>
      <w:r w:rsidRPr="00E95235">
        <w:rPr>
          <w:rFonts w:ascii="Palatino Linotype" w:eastAsia="Calibri" w:hAnsi="Palatino Linotype" w:cs="Arial"/>
          <w:b/>
          <w:sz w:val="24"/>
          <w:lang w:val="es-ES_tradnl" w:eastAsia="es-ES"/>
        </w:rPr>
        <w:t>SAIMEX,</w:t>
      </w:r>
      <w:r w:rsidRPr="00E95235">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E95235">
        <w:rPr>
          <w:rFonts w:ascii="Palatino Linotype" w:eastAsia="Calibri" w:hAnsi="Palatino Linotype" w:cs="Arial"/>
          <w:b/>
          <w:sz w:val="24"/>
          <w:lang w:val="es-ES_tradnl" w:eastAsia="es-ES"/>
        </w:rPr>
        <w:t>SUJETO OBLIGADO</w:t>
      </w:r>
      <w:r w:rsidRPr="00E95235">
        <w:rPr>
          <w:rFonts w:ascii="Palatino Linotype" w:eastAsia="Calibri" w:hAnsi="Palatino Linotype" w:cs="Arial"/>
          <w:sz w:val="24"/>
          <w:lang w:val="es-ES_tradnl" w:eastAsia="es-ES"/>
        </w:rPr>
        <w:t xml:space="preserve"> entregó respuesta a la solicitud el </w:t>
      </w:r>
      <w:r w:rsidR="004024B4">
        <w:rPr>
          <w:rFonts w:ascii="Palatino Linotype" w:eastAsia="Calibri" w:hAnsi="Palatino Linotype" w:cs="Arial"/>
          <w:sz w:val="24"/>
          <w:lang w:val="es-ES_tradnl" w:eastAsia="es-ES"/>
        </w:rPr>
        <w:t>veintisiete (27) de octubre</w:t>
      </w:r>
      <w:r w:rsidR="00261CFE">
        <w:rPr>
          <w:rFonts w:ascii="Palatino Linotype" w:eastAsia="Calibri" w:hAnsi="Palatino Linotype" w:cs="Arial"/>
          <w:sz w:val="24"/>
          <w:lang w:val="es-ES_tradnl" w:eastAsia="es-ES"/>
        </w:rPr>
        <w:t xml:space="preserve"> de dos mil veintidós</w:t>
      </w:r>
      <w:r w:rsidRPr="00E95235">
        <w:rPr>
          <w:rFonts w:ascii="Palatino Linotype" w:eastAsia="Calibri" w:hAnsi="Palatino Linotype" w:cs="Arial"/>
          <w:sz w:val="24"/>
          <w:lang w:val="es-ES_tradnl" w:eastAsia="es-ES"/>
        </w:rPr>
        <w:t xml:space="preserve">, </w:t>
      </w:r>
      <w:r w:rsidRPr="00E95235">
        <w:rPr>
          <w:rFonts w:ascii="Palatino Linotype" w:eastAsiaTheme="minorEastAsia" w:hAnsi="Palatino Linotype" w:cs="Arial"/>
          <w:sz w:val="24"/>
          <w:lang w:val="es-ES_tradnl" w:eastAsia="es-ES"/>
        </w:rPr>
        <w:t xml:space="preserve">de tal forma que el plazo para interponer el recurso de revisión transcurrió </w:t>
      </w:r>
      <w:r w:rsidR="00261CFE">
        <w:rPr>
          <w:rFonts w:ascii="Palatino Linotype" w:eastAsiaTheme="minorEastAsia" w:hAnsi="Palatino Linotype" w:cs="Arial"/>
          <w:sz w:val="24"/>
          <w:lang w:val="es-ES_tradnl" w:eastAsia="es-ES"/>
        </w:rPr>
        <w:t xml:space="preserve">del </w:t>
      </w:r>
      <w:r w:rsidR="004024B4">
        <w:rPr>
          <w:rFonts w:ascii="Palatino Linotype" w:eastAsiaTheme="minorEastAsia" w:hAnsi="Palatino Linotype" w:cs="Arial"/>
          <w:sz w:val="24"/>
          <w:lang w:val="es-ES_tradnl" w:eastAsia="es-ES"/>
        </w:rPr>
        <w:t>veintiocho (28) de octubre al dieciocho (18) de noviembre</w:t>
      </w:r>
      <w:r w:rsidR="00261CFE">
        <w:rPr>
          <w:rFonts w:ascii="Palatino Linotype" w:eastAsiaTheme="minorEastAsia" w:hAnsi="Palatino Linotype" w:cs="Arial"/>
          <w:sz w:val="24"/>
          <w:lang w:val="es-ES_tradnl" w:eastAsia="es-ES"/>
        </w:rPr>
        <w:t xml:space="preserve"> de dos mil veintidós</w:t>
      </w:r>
      <w:r w:rsidRPr="00E95235">
        <w:rPr>
          <w:rFonts w:ascii="Palatino Linotype" w:eastAsiaTheme="minorEastAsia" w:hAnsi="Palatino Linotype" w:cs="Arial"/>
          <w:sz w:val="24"/>
          <w:lang w:val="es-ES_tradnl" w:eastAsia="es-ES"/>
        </w:rPr>
        <w:t xml:space="preserve">; en consecuencia, presentó su inconformidad </w:t>
      </w:r>
      <w:r w:rsidR="00261CFE">
        <w:rPr>
          <w:rFonts w:ascii="Palatino Linotype" w:eastAsiaTheme="minorEastAsia" w:hAnsi="Palatino Linotype" w:cs="Arial"/>
          <w:sz w:val="24"/>
          <w:lang w:val="es-ES_tradnl" w:eastAsia="es-ES"/>
        </w:rPr>
        <w:t xml:space="preserve">el día </w:t>
      </w:r>
      <w:r w:rsidR="004024B4">
        <w:rPr>
          <w:rFonts w:ascii="Palatino Linotype" w:eastAsiaTheme="minorEastAsia" w:hAnsi="Palatino Linotype" w:cs="Arial"/>
          <w:sz w:val="24"/>
          <w:lang w:val="es-ES_tradnl" w:eastAsia="es-ES"/>
        </w:rPr>
        <w:t>tres (03) de noviembre</w:t>
      </w:r>
      <w:r w:rsidR="00261CFE">
        <w:rPr>
          <w:rFonts w:ascii="Palatino Linotype" w:eastAsiaTheme="minorEastAsia" w:hAnsi="Palatino Linotype" w:cs="Arial"/>
          <w:sz w:val="24"/>
          <w:lang w:val="es-ES_tradnl" w:eastAsia="es-ES"/>
        </w:rPr>
        <w:t xml:space="preserve"> de dos mil veintidós</w:t>
      </w:r>
      <w:r w:rsidRPr="00E95235">
        <w:rPr>
          <w:rFonts w:ascii="Palatino Linotype" w:eastAsiaTheme="minorEastAsia" w:hAnsi="Palatino Linotype" w:cs="Arial"/>
          <w:sz w:val="24"/>
          <w:lang w:val="es-ES_tradnl" w:eastAsia="es-ES"/>
        </w:rPr>
        <w:t xml:space="preserve">, por lo que se encuentra dentro de los márgenes temporales previstos en el artículo 178 de la </w:t>
      </w:r>
      <w:r w:rsidRPr="00E95235">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E95235">
        <w:rPr>
          <w:rFonts w:ascii="Palatino Linotype" w:eastAsiaTheme="minorEastAsia" w:hAnsi="Palatino Linotype" w:cs="Arial"/>
          <w:sz w:val="24"/>
          <w:lang w:val="es-ES_tradnl" w:eastAsia="es-ES"/>
        </w:rPr>
        <w:t>vigente.</w:t>
      </w:r>
    </w:p>
    <w:p w14:paraId="4A3DDD38" w14:textId="77777777" w:rsidR="00B1000A" w:rsidRPr="005F7806" w:rsidRDefault="00B1000A" w:rsidP="00B1000A">
      <w:pPr>
        <w:spacing w:line="360" w:lineRule="auto"/>
        <w:rPr>
          <w:rFonts w:ascii="Palatino Linotype" w:eastAsia="Calibri" w:hAnsi="Palatino Linotype" w:cs="Arial"/>
          <w:lang w:val="es-ES_tradnl" w:eastAsia="es-ES"/>
        </w:rPr>
      </w:pPr>
    </w:p>
    <w:p w14:paraId="425C8D67" w14:textId="77777777" w:rsidR="00B1000A" w:rsidRPr="001E4ECB"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E95235">
        <w:rPr>
          <w:rFonts w:ascii="Palatino Linotype" w:eastAsia="Calibri" w:hAnsi="Palatino Linotype" w:cs="Arial"/>
          <w:sz w:val="24"/>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3A97D02" w14:textId="77777777" w:rsidR="001E4ECB" w:rsidRPr="00036E0D" w:rsidRDefault="001E4ECB" w:rsidP="001E4ECB">
      <w:pPr>
        <w:pStyle w:val="Prrafodelista"/>
        <w:spacing w:line="360" w:lineRule="auto"/>
        <w:ind w:left="0"/>
        <w:jc w:val="both"/>
        <w:rPr>
          <w:rFonts w:ascii="Palatino Linotype" w:hAnsi="Palatino Linotype" w:cs="Arial"/>
          <w:sz w:val="24"/>
          <w:lang w:val="es-ES" w:eastAsia="es-ES"/>
        </w:rPr>
      </w:pPr>
    </w:p>
    <w:p w14:paraId="482DB8B3" w14:textId="77777777" w:rsidR="00B1000A" w:rsidRPr="00ED3EBB" w:rsidRDefault="00B1000A" w:rsidP="00B1000A">
      <w:pPr>
        <w:spacing w:line="360" w:lineRule="auto"/>
        <w:ind w:right="49"/>
        <w:contextualSpacing/>
        <w:jc w:val="both"/>
        <w:rPr>
          <w:rFonts w:ascii="Palatino Linotype" w:eastAsia="MS Gothic" w:hAnsi="Palatino Linotype" w:cstheme="majorBidi"/>
          <w:b/>
          <w:lang w:eastAsia="es-ES"/>
        </w:rPr>
      </w:pPr>
      <w:bookmarkStart w:id="4" w:name="_Toc497905366"/>
      <w:bookmarkStart w:id="5" w:name="_Toc495427547"/>
      <w:bookmarkStart w:id="6" w:name="_Toc466377653"/>
      <w:bookmarkStart w:id="7" w:name="_Toc466371865"/>
      <w:r w:rsidRPr="00ED3EBB">
        <w:rPr>
          <w:rFonts w:ascii="Palatino Linotype" w:eastAsia="MS Gothic" w:hAnsi="Palatino Linotype" w:cstheme="majorBidi"/>
          <w:b/>
          <w:lang w:val="es-ES_tradnl" w:eastAsia="es-ES"/>
        </w:rPr>
        <w:t>TERCERO. Planteamiento de la Litis</w:t>
      </w:r>
      <w:r w:rsidRPr="00ED3EBB">
        <w:rPr>
          <w:rFonts w:ascii="Palatino Linotype" w:eastAsia="MS Gothic" w:hAnsi="Palatino Linotype" w:cstheme="majorBidi"/>
          <w:b/>
          <w:lang w:eastAsia="es-ES"/>
        </w:rPr>
        <w:t>.</w:t>
      </w:r>
    </w:p>
    <w:p w14:paraId="1D13985A" w14:textId="77777777" w:rsidR="00B1000A" w:rsidRPr="00ED3EBB" w:rsidRDefault="00B1000A" w:rsidP="00B1000A">
      <w:pPr>
        <w:spacing w:line="360" w:lineRule="auto"/>
        <w:ind w:right="49"/>
        <w:contextualSpacing/>
        <w:jc w:val="both"/>
        <w:rPr>
          <w:rFonts w:ascii="Palatino Linotype" w:eastAsia="MS Gothic" w:hAnsi="Palatino Linotype" w:cstheme="majorBidi"/>
          <w:b/>
          <w:lang w:eastAsia="es-ES"/>
        </w:rPr>
      </w:pPr>
    </w:p>
    <w:p w14:paraId="13C868B3" w14:textId="77777777" w:rsidR="00B1000A" w:rsidRPr="004024B4" w:rsidRDefault="00B1000A" w:rsidP="00B1000A">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ED3EBB">
        <w:rPr>
          <w:rFonts w:ascii="Palatino Linotype" w:eastAsia="MS Gothic" w:hAnsi="Palatino Linotype" w:cstheme="majorBidi"/>
          <w:lang w:eastAsia="es-ES"/>
        </w:rPr>
        <w:t>El particular solicitó</w:t>
      </w:r>
      <w:r w:rsidR="00EA682D">
        <w:rPr>
          <w:rFonts w:ascii="Palatino Linotype" w:eastAsia="MS Gothic" w:hAnsi="Palatino Linotype" w:cstheme="majorBidi"/>
          <w:lang w:eastAsia="es-ES"/>
        </w:rPr>
        <w:t xml:space="preserve"> del año dos mil veintidós</w:t>
      </w:r>
      <w:r w:rsidR="004024B4">
        <w:rPr>
          <w:rFonts w:ascii="Palatino Linotype" w:eastAsia="MS Gothic" w:hAnsi="Palatino Linotype" w:cstheme="majorBidi"/>
          <w:lang w:eastAsia="es-ES"/>
        </w:rPr>
        <w:t>:</w:t>
      </w:r>
    </w:p>
    <w:p w14:paraId="0A6550C1" w14:textId="77777777" w:rsidR="004024B4" w:rsidRDefault="004024B4" w:rsidP="004024B4">
      <w:pPr>
        <w:spacing w:line="360" w:lineRule="auto"/>
        <w:ind w:right="49"/>
        <w:contextualSpacing/>
        <w:jc w:val="both"/>
        <w:rPr>
          <w:rFonts w:ascii="Palatino Linotype" w:eastAsia="MS Gothic" w:hAnsi="Palatino Linotype" w:cstheme="majorBidi"/>
          <w:lang w:eastAsia="es-ES"/>
        </w:rPr>
      </w:pPr>
    </w:p>
    <w:p w14:paraId="6BD7B8A7" w14:textId="77777777" w:rsidR="004024B4" w:rsidRDefault="004024B4" w:rsidP="004024B4">
      <w:pPr>
        <w:spacing w:line="360" w:lineRule="auto"/>
        <w:ind w:left="851" w:right="822"/>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a. Relación, listado o información referente al  número de solicitudes recibidas sobre licencias de funcionamiento para todo tipo de giros (bajo, mediano o alto impacto);</w:t>
      </w:r>
    </w:p>
    <w:p w14:paraId="4DD3D5E1" w14:textId="77777777" w:rsidR="004024B4" w:rsidRDefault="004024B4" w:rsidP="004024B4">
      <w:pPr>
        <w:spacing w:line="360" w:lineRule="auto"/>
        <w:ind w:left="851" w:right="822"/>
        <w:contextualSpacing/>
        <w:jc w:val="both"/>
        <w:rPr>
          <w:rFonts w:ascii="Palatino Linotype" w:eastAsia="MS Gothic" w:hAnsi="Palatino Linotype" w:cstheme="majorBidi"/>
          <w:lang w:eastAsia="es-ES"/>
        </w:rPr>
      </w:pPr>
    </w:p>
    <w:p w14:paraId="52C0F247" w14:textId="77777777" w:rsidR="004024B4" w:rsidRPr="004024B4" w:rsidRDefault="004024B4" w:rsidP="004024B4">
      <w:pPr>
        <w:spacing w:line="360" w:lineRule="auto"/>
        <w:ind w:left="851" w:right="822"/>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lastRenderedPageBreak/>
        <w:t xml:space="preserve">b. Relación de licencias de funcionamiento autorizadas que contengan nombre o denominación social, dirección, tipo de giro o negocio y clasificación de bajo, mediano o alto impacto. </w:t>
      </w:r>
    </w:p>
    <w:p w14:paraId="4F1B69F4" w14:textId="77777777" w:rsidR="004024B4" w:rsidRPr="004024B4" w:rsidRDefault="004024B4" w:rsidP="004024B4">
      <w:pPr>
        <w:spacing w:line="360" w:lineRule="auto"/>
        <w:ind w:right="49"/>
        <w:jc w:val="both"/>
        <w:rPr>
          <w:rFonts w:ascii="Palatino Linotype" w:eastAsia="MS Gothic" w:hAnsi="Palatino Linotype" w:cstheme="majorBidi"/>
          <w:iCs/>
          <w:lang w:val="es-ES" w:eastAsia="es-ES"/>
        </w:rPr>
      </w:pPr>
    </w:p>
    <w:p w14:paraId="69BC9F83" w14:textId="77777777" w:rsidR="006D6868" w:rsidRPr="006D6868" w:rsidRDefault="00B1000A" w:rsidP="006D6868">
      <w:pPr>
        <w:numPr>
          <w:ilvl w:val="0"/>
          <w:numId w:val="1"/>
        </w:numPr>
        <w:spacing w:line="360" w:lineRule="auto"/>
        <w:ind w:left="0" w:right="49" w:firstLine="0"/>
        <w:jc w:val="both"/>
        <w:rPr>
          <w:rFonts w:ascii="Palatino Linotype" w:eastAsia="MS Gothic" w:hAnsi="Palatino Linotype" w:cstheme="majorBidi"/>
          <w:iCs/>
          <w:lang w:val="es-ES" w:eastAsia="es-ES"/>
        </w:rPr>
      </w:pPr>
      <w:r w:rsidRPr="00ED3EBB">
        <w:rPr>
          <w:rFonts w:ascii="Palatino Linotype" w:eastAsia="MS Gothic" w:hAnsi="Palatino Linotype" w:cstheme="majorBidi"/>
          <w:iCs/>
          <w:lang w:eastAsia="es-ES"/>
        </w:rPr>
        <w:t>En</w:t>
      </w:r>
      <w:r>
        <w:rPr>
          <w:rFonts w:ascii="Palatino Linotype" w:eastAsia="MS Gothic" w:hAnsi="Palatino Linotype" w:cstheme="majorBidi"/>
          <w:iCs/>
          <w:lang w:eastAsia="es-ES"/>
        </w:rPr>
        <w:t xml:space="preserve"> respuesta, el SUJETO OBLIGADO </w:t>
      </w:r>
      <w:r w:rsidR="003D4382">
        <w:rPr>
          <w:rFonts w:ascii="Palatino Linotype" w:eastAsia="MS Gothic" w:hAnsi="Palatino Linotype" w:cstheme="majorBidi"/>
          <w:iCs/>
          <w:lang w:eastAsia="es-ES"/>
        </w:rPr>
        <w:t>manifestó que</w:t>
      </w:r>
      <w:r w:rsidR="00E96FD1">
        <w:rPr>
          <w:rFonts w:ascii="Palatino Linotype" w:eastAsia="MS Gothic" w:hAnsi="Palatino Linotype" w:cstheme="majorBidi"/>
          <w:iCs/>
          <w:lang w:eastAsia="es-ES"/>
        </w:rPr>
        <w:t xml:space="preserve"> no era</w:t>
      </w:r>
      <w:r w:rsidR="003D4382">
        <w:rPr>
          <w:rFonts w:ascii="Palatino Linotype" w:eastAsia="MS Gothic" w:hAnsi="Palatino Linotype" w:cstheme="majorBidi"/>
          <w:iCs/>
          <w:lang w:eastAsia="es-ES"/>
        </w:rPr>
        <w:t xml:space="preserve"> </w:t>
      </w:r>
      <w:r w:rsidR="00E96FD1" w:rsidRPr="00E96FD1">
        <w:rPr>
          <w:rFonts w:ascii="Palatino Linotype" w:eastAsia="MS Gothic" w:hAnsi="Palatino Linotype" w:cstheme="majorBidi"/>
          <w:iCs/>
          <w:lang w:eastAsia="es-ES"/>
        </w:rPr>
        <w:t>posible la entrega de la información ya que las licencias de funcionamiento se entregan a los</w:t>
      </w:r>
      <w:r w:rsidR="00E96FD1">
        <w:rPr>
          <w:rFonts w:ascii="Palatino Linotype" w:eastAsia="MS Gothic" w:hAnsi="Palatino Linotype" w:cstheme="majorBidi"/>
          <w:iCs/>
          <w:lang w:eastAsia="es-ES"/>
        </w:rPr>
        <w:t xml:space="preserve"> solicitantes y es un documento</w:t>
      </w:r>
      <w:r w:rsidR="00E96FD1" w:rsidRPr="00E96FD1">
        <w:rPr>
          <w:rFonts w:ascii="Palatino Linotype" w:eastAsia="MS Gothic" w:hAnsi="Palatino Linotype" w:cstheme="majorBidi"/>
          <w:iCs/>
          <w:lang w:eastAsia="es-ES"/>
        </w:rPr>
        <w:t xml:space="preserve"> oficial que contiene datos personales</w:t>
      </w:r>
      <w:r w:rsidR="00261CFE" w:rsidRPr="00261CFE">
        <w:rPr>
          <w:rFonts w:ascii="Palatino Linotype" w:eastAsia="MS Gothic" w:hAnsi="Palatino Linotype" w:cstheme="majorBidi"/>
          <w:iCs/>
          <w:lang w:eastAsia="es-ES"/>
        </w:rPr>
        <w:t xml:space="preserve">. Inconforme con la respuesta, el particular interpuso recurso de revisión, manifestó de forma medular como motivos de inconformidad, </w:t>
      </w:r>
      <w:r w:rsidR="00E96FD1">
        <w:rPr>
          <w:rFonts w:ascii="Palatino Linotype" w:eastAsia="MS Gothic" w:hAnsi="Palatino Linotype" w:cstheme="majorBidi"/>
          <w:iCs/>
          <w:lang w:eastAsia="es-ES"/>
        </w:rPr>
        <w:t xml:space="preserve">por na negativa de la información. </w:t>
      </w:r>
    </w:p>
    <w:p w14:paraId="044057AF" w14:textId="77777777" w:rsidR="006D6868" w:rsidRPr="006D6868" w:rsidRDefault="006D6868" w:rsidP="006D6868">
      <w:pPr>
        <w:spacing w:line="360" w:lineRule="auto"/>
        <w:ind w:right="49"/>
        <w:jc w:val="both"/>
        <w:rPr>
          <w:rFonts w:ascii="Palatino Linotype" w:eastAsia="MS Gothic" w:hAnsi="Palatino Linotype" w:cstheme="majorBidi"/>
          <w:iCs/>
          <w:lang w:val="es-ES" w:eastAsia="es-ES"/>
        </w:rPr>
      </w:pPr>
    </w:p>
    <w:p w14:paraId="3370880D" w14:textId="77777777" w:rsidR="00B1000A" w:rsidRPr="00261CFE" w:rsidRDefault="00B1000A" w:rsidP="00261CFE">
      <w:pPr>
        <w:numPr>
          <w:ilvl w:val="0"/>
          <w:numId w:val="1"/>
        </w:numPr>
        <w:spacing w:line="360" w:lineRule="auto"/>
        <w:ind w:left="0" w:right="49" w:firstLine="0"/>
        <w:jc w:val="both"/>
        <w:rPr>
          <w:rFonts w:ascii="Palatino Linotype" w:eastAsia="MS Gothic" w:hAnsi="Palatino Linotype" w:cstheme="majorBidi"/>
          <w:lang w:eastAsia="es-ES"/>
        </w:rPr>
      </w:pPr>
      <w:r w:rsidRPr="006D6868">
        <w:rPr>
          <w:rFonts w:ascii="Palatino Linotype" w:eastAsia="MS Gothic" w:hAnsi="Palatino Linotype" w:cstheme="majorBidi"/>
          <w:lang w:eastAsia="es-ES"/>
        </w:rPr>
        <w:t xml:space="preserve">En consecuencia, </w:t>
      </w:r>
      <w:r w:rsidR="00261CFE" w:rsidRPr="00261CFE">
        <w:rPr>
          <w:rFonts w:ascii="Palatino Linotype" w:eastAsia="MS Gothic" w:hAnsi="Palatino Linotype" w:cstheme="majorBidi"/>
          <w:lang w:eastAsia="es-ES"/>
        </w:rPr>
        <w:t>la Litis a resolver en este recurso, se circunscribe a determinar si la respuesta colma con lo solicitado o si se actualizan las causales de procedencia previstas en el</w:t>
      </w:r>
      <w:r w:rsidR="00E96FD1">
        <w:rPr>
          <w:rFonts w:ascii="Palatino Linotype" w:eastAsia="MS Gothic" w:hAnsi="Palatino Linotype" w:cstheme="majorBidi"/>
          <w:lang w:eastAsia="es-ES"/>
        </w:rPr>
        <w:t xml:space="preserve"> artículo 179, fracción I </w:t>
      </w:r>
      <w:r w:rsidR="00261CFE" w:rsidRPr="00261CFE">
        <w:rPr>
          <w:rFonts w:ascii="Palatino Linotype" w:eastAsia="MS Gothic" w:hAnsi="Palatino Linotype" w:cstheme="majorBidi"/>
          <w:lang w:eastAsia="es-ES"/>
        </w:rPr>
        <w:t xml:space="preserve"> de la Ley de Transparencia y Acceso a la Información Pública del Estado de México y Municipios; que establece</w:t>
      </w:r>
      <w:r w:rsidR="00E96FD1">
        <w:rPr>
          <w:rFonts w:ascii="Palatino Linotype" w:eastAsia="MS Gothic" w:hAnsi="Palatino Linotype" w:cstheme="majorBidi"/>
          <w:lang w:eastAsia="es-ES"/>
        </w:rPr>
        <w:t xml:space="preserve"> la negativa de la información.</w:t>
      </w:r>
    </w:p>
    <w:p w14:paraId="7F202C64" w14:textId="77777777" w:rsidR="00B1000A" w:rsidRPr="00ED3EBB" w:rsidRDefault="00B1000A" w:rsidP="00B1000A">
      <w:pPr>
        <w:spacing w:line="360" w:lineRule="auto"/>
        <w:ind w:right="49"/>
        <w:contextualSpacing/>
        <w:jc w:val="both"/>
        <w:rPr>
          <w:rFonts w:ascii="Palatino Linotype" w:eastAsia="MS Gothic" w:hAnsi="Palatino Linotype"/>
        </w:rPr>
      </w:pPr>
    </w:p>
    <w:p w14:paraId="1053F816" w14:textId="77777777" w:rsidR="00B1000A" w:rsidRPr="00ED3EBB" w:rsidRDefault="00B1000A" w:rsidP="00B1000A">
      <w:pPr>
        <w:keepNext/>
        <w:keepLines/>
        <w:spacing w:line="360" w:lineRule="auto"/>
        <w:ind w:right="48"/>
        <w:outlineLvl w:val="0"/>
        <w:rPr>
          <w:rFonts w:ascii="Palatino Linotype" w:eastAsia="MS Gothic" w:hAnsi="Palatino Linotype" w:cstheme="majorBidi"/>
          <w:b/>
          <w:lang w:val="es-ES_tradnl" w:eastAsia="es-ES"/>
        </w:rPr>
      </w:pPr>
      <w:bookmarkStart w:id="8" w:name="_Toc70417466"/>
      <w:bookmarkStart w:id="9" w:name="_Toc80812775"/>
      <w:bookmarkStart w:id="10" w:name="_Toc83301638"/>
      <w:r w:rsidRPr="00ED3EBB">
        <w:rPr>
          <w:rFonts w:ascii="Palatino Linotype" w:eastAsia="MS Gothic" w:hAnsi="Palatino Linotype" w:cstheme="majorBidi"/>
          <w:b/>
          <w:lang w:val="es-ES_tradnl" w:eastAsia="es-ES"/>
        </w:rPr>
        <w:t>CUARTO. Del estudio y resolución del recurso de revisión.</w:t>
      </w:r>
      <w:bookmarkEnd w:id="8"/>
      <w:bookmarkEnd w:id="9"/>
      <w:bookmarkEnd w:id="10"/>
    </w:p>
    <w:p w14:paraId="00610BEF" w14:textId="77777777" w:rsidR="00B1000A" w:rsidRPr="00ED3EBB" w:rsidRDefault="00B1000A" w:rsidP="00B1000A">
      <w:pPr>
        <w:keepNext/>
        <w:keepLines/>
        <w:spacing w:line="360" w:lineRule="auto"/>
        <w:ind w:right="48"/>
        <w:outlineLvl w:val="0"/>
        <w:rPr>
          <w:rFonts w:ascii="Palatino Linotype" w:eastAsia="MS Gothic" w:hAnsi="Palatino Linotype" w:cstheme="majorBidi"/>
          <w:b/>
          <w:lang w:val="es-ES_tradnl" w:eastAsia="es-ES"/>
        </w:rPr>
      </w:pPr>
    </w:p>
    <w:p w14:paraId="26137C2F" w14:textId="77777777" w:rsidR="00B1000A" w:rsidRPr="00ED3EBB" w:rsidRDefault="00B1000A" w:rsidP="00B1000A">
      <w:pPr>
        <w:pStyle w:val="Ttulo1"/>
        <w:spacing w:before="0" w:line="360" w:lineRule="auto"/>
        <w:rPr>
          <w:rFonts w:ascii="Palatino Linotype" w:hAnsi="Palatino Linotype"/>
          <w:b/>
          <w:color w:val="auto"/>
          <w:sz w:val="24"/>
          <w:szCs w:val="24"/>
        </w:rPr>
      </w:pPr>
      <w:bookmarkStart w:id="11" w:name="_Toc80812777"/>
      <w:bookmarkStart w:id="12" w:name="_Toc83301641"/>
      <w:r w:rsidRPr="00ED3EBB">
        <w:rPr>
          <w:rFonts w:ascii="Palatino Linotype" w:hAnsi="Palatino Linotype"/>
          <w:b/>
          <w:color w:val="auto"/>
          <w:sz w:val="24"/>
          <w:szCs w:val="24"/>
        </w:rPr>
        <w:t>De la información solicitada y la respuesta del Sujeto Obligado.</w:t>
      </w:r>
      <w:bookmarkEnd w:id="11"/>
      <w:bookmarkEnd w:id="12"/>
    </w:p>
    <w:p w14:paraId="548FDEEE" w14:textId="77777777" w:rsidR="00B1000A" w:rsidRPr="00ED3EBB" w:rsidRDefault="00B1000A" w:rsidP="00B1000A">
      <w:pPr>
        <w:spacing w:line="360" w:lineRule="auto"/>
        <w:ind w:right="49"/>
        <w:contextualSpacing/>
        <w:jc w:val="both"/>
        <w:rPr>
          <w:rFonts w:ascii="Palatino Linotype" w:eastAsiaTheme="minorEastAsia" w:hAnsi="Palatino Linotype"/>
          <w:lang w:val="es-ES_tradnl" w:eastAsia="es-ES"/>
        </w:rPr>
      </w:pPr>
    </w:p>
    <w:p w14:paraId="2E68401B" w14:textId="77777777" w:rsidR="00B1000A" w:rsidRPr="00ED3EBB" w:rsidRDefault="00B1000A" w:rsidP="00B1000A">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ED3EBB">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ED3EBB">
        <w:rPr>
          <w:rFonts w:ascii="Palatino Linotype" w:eastAsia="Calibri" w:hAnsi="Palatino Linotype" w:cs="Arial"/>
          <w:lang w:val="es-ES"/>
        </w:rPr>
        <w:t>Ley de Transparencia y Acceso a la Información Pública del Estado de México y Municipios</w:t>
      </w:r>
      <w:r w:rsidRPr="00ED3EBB">
        <w:rPr>
          <w:rFonts w:ascii="Palatino Linotype" w:hAnsi="Palatino Linotype" w:cs="Arial"/>
          <w:lang w:val="es-ES"/>
        </w:rPr>
        <w:t>.</w:t>
      </w:r>
    </w:p>
    <w:p w14:paraId="70701802" w14:textId="77777777" w:rsidR="00B1000A" w:rsidRPr="00ED3EBB" w:rsidRDefault="00B1000A" w:rsidP="00B1000A">
      <w:pPr>
        <w:spacing w:line="360" w:lineRule="auto"/>
        <w:ind w:right="49"/>
        <w:contextualSpacing/>
        <w:jc w:val="both"/>
        <w:rPr>
          <w:rFonts w:ascii="Palatino Linotype" w:eastAsiaTheme="minorEastAsia" w:hAnsi="Palatino Linotype"/>
          <w:lang w:val="es-ES_tradnl" w:eastAsia="es-ES"/>
        </w:rPr>
      </w:pPr>
    </w:p>
    <w:p w14:paraId="1755FA84" w14:textId="77777777" w:rsidR="00E96FD1" w:rsidRPr="00E96FD1" w:rsidRDefault="00B1000A" w:rsidP="00E96FD1">
      <w:pPr>
        <w:numPr>
          <w:ilvl w:val="0"/>
          <w:numId w:val="1"/>
        </w:numPr>
        <w:spacing w:line="360" w:lineRule="auto"/>
        <w:ind w:left="0" w:right="49" w:firstLine="0"/>
        <w:contextualSpacing/>
        <w:jc w:val="both"/>
        <w:rPr>
          <w:rFonts w:ascii="Palatino Linotype" w:eastAsia="MS Gothic" w:hAnsi="Palatino Linotype" w:cstheme="majorBidi"/>
          <w:iCs/>
          <w:lang w:val="es-ES" w:eastAsia="es-ES"/>
        </w:rPr>
      </w:pPr>
      <w:r>
        <w:rPr>
          <w:rFonts w:ascii="Palatino Linotype" w:hAnsi="Palatino Linotype" w:cs="Arial"/>
          <w:lang w:val="es-ES"/>
        </w:rPr>
        <w:t xml:space="preserve">En este caso, el particular solicitó </w:t>
      </w:r>
      <w:r w:rsidR="00E96FD1" w:rsidRPr="00E96FD1">
        <w:rPr>
          <w:rFonts w:ascii="Palatino Linotype" w:eastAsia="MS Gothic" w:hAnsi="Palatino Linotype" w:cstheme="majorBidi"/>
          <w:lang w:eastAsia="es-ES"/>
        </w:rPr>
        <w:t>del año dos mil veintidós:</w:t>
      </w:r>
    </w:p>
    <w:p w14:paraId="5878621C" w14:textId="77777777" w:rsidR="00E96FD1" w:rsidRDefault="00E96FD1" w:rsidP="00E96FD1">
      <w:pPr>
        <w:spacing w:line="360" w:lineRule="auto"/>
        <w:ind w:right="49"/>
        <w:contextualSpacing/>
        <w:jc w:val="both"/>
        <w:rPr>
          <w:rFonts w:ascii="Palatino Linotype" w:eastAsia="MS Gothic" w:hAnsi="Palatino Linotype" w:cstheme="majorBidi"/>
          <w:lang w:eastAsia="es-ES"/>
        </w:rPr>
      </w:pPr>
    </w:p>
    <w:p w14:paraId="1D58A2F1" w14:textId="77777777" w:rsidR="00E96FD1" w:rsidRDefault="00E96FD1" w:rsidP="00E96FD1">
      <w:pPr>
        <w:spacing w:line="360" w:lineRule="auto"/>
        <w:ind w:left="851" w:right="822"/>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a. Relación, listado o información referente al  número de solicitudes recibidas sobre licencias de funcionamiento para todo tipo de giros (bajo, mediano o alto impacto);</w:t>
      </w:r>
    </w:p>
    <w:p w14:paraId="6C6FB810" w14:textId="77777777" w:rsidR="00E96FD1" w:rsidRDefault="00E96FD1" w:rsidP="00E96FD1">
      <w:pPr>
        <w:spacing w:line="360" w:lineRule="auto"/>
        <w:ind w:left="851" w:right="822"/>
        <w:contextualSpacing/>
        <w:jc w:val="both"/>
        <w:rPr>
          <w:rFonts w:ascii="Palatino Linotype" w:eastAsia="MS Gothic" w:hAnsi="Palatino Linotype" w:cstheme="majorBidi"/>
          <w:lang w:eastAsia="es-ES"/>
        </w:rPr>
      </w:pPr>
    </w:p>
    <w:p w14:paraId="14F526B7" w14:textId="77777777" w:rsidR="00E96FD1" w:rsidRPr="004024B4" w:rsidRDefault="00E96FD1" w:rsidP="00E96FD1">
      <w:pPr>
        <w:spacing w:line="360" w:lineRule="auto"/>
        <w:ind w:left="851" w:right="822"/>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 xml:space="preserve">b. Relación de licencias de funcionamiento autorizadas que contengan nombre o denominación social, dirección, tipo de giro o negocio y clasificación de bajo, mediano o alto impacto. </w:t>
      </w:r>
    </w:p>
    <w:p w14:paraId="1BDAF959" w14:textId="77777777" w:rsidR="00E96FD1" w:rsidRPr="004024B4" w:rsidRDefault="00E96FD1" w:rsidP="00E96FD1">
      <w:pPr>
        <w:spacing w:line="360" w:lineRule="auto"/>
        <w:ind w:right="49"/>
        <w:jc w:val="both"/>
        <w:rPr>
          <w:rFonts w:ascii="Palatino Linotype" w:eastAsia="MS Gothic" w:hAnsi="Palatino Linotype" w:cstheme="majorBidi"/>
          <w:iCs/>
          <w:lang w:val="es-ES" w:eastAsia="es-ES"/>
        </w:rPr>
      </w:pPr>
    </w:p>
    <w:p w14:paraId="3A9C8E05" w14:textId="77777777" w:rsidR="00E96FD1" w:rsidRPr="006D6868" w:rsidRDefault="00E96FD1" w:rsidP="00E96FD1">
      <w:pPr>
        <w:numPr>
          <w:ilvl w:val="0"/>
          <w:numId w:val="1"/>
        </w:numPr>
        <w:spacing w:line="360" w:lineRule="auto"/>
        <w:ind w:left="0" w:right="49" w:firstLine="0"/>
        <w:jc w:val="both"/>
        <w:rPr>
          <w:rFonts w:ascii="Palatino Linotype" w:eastAsia="MS Gothic" w:hAnsi="Palatino Linotype" w:cstheme="majorBidi"/>
          <w:iCs/>
          <w:lang w:val="es-ES" w:eastAsia="es-ES"/>
        </w:rPr>
      </w:pPr>
      <w:r w:rsidRPr="00ED3EBB">
        <w:rPr>
          <w:rFonts w:ascii="Palatino Linotype" w:eastAsia="MS Gothic" w:hAnsi="Palatino Linotype" w:cstheme="majorBidi"/>
          <w:iCs/>
          <w:lang w:eastAsia="es-ES"/>
        </w:rPr>
        <w:t>En</w:t>
      </w:r>
      <w:r>
        <w:rPr>
          <w:rFonts w:ascii="Palatino Linotype" w:eastAsia="MS Gothic" w:hAnsi="Palatino Linotype" w:cstheme="majorBidi"/>
          <w:iCs/>
          <w:lang w:eastAsia="es-ES"/>
        </w:rPr>
        <w:t xml:space="preserve"> respuesta, el SUJETO OBLIGADO manifestó que no era </w:t>
      </w:r>
      <w:r w:rsidRPr="00E96FD1">
        <w:rPr>
          <w:rFonts w:ascii="Palatino Linotype" w:eastAsia="MS Gothic" w:hAnsi="Palatino Linotype" w:cstheme="majorBidi"/>
          <w:iCs/>
          <w:lang w:eastAsia="es-ES"/>
        </w:rPr>
        <w:t>posible la entrega de la información ya que las licencias de funcionamiento se entregan a los</w:t>
      </w:r>
      <w:r>
        <w:rPr>
          <w:rFonts w:ascii="Palatino Linotype" w:eastAsia="MS Gothic" w:hAnsi="Palatino Linotype" w:cstheme="majorBidi"/>
          <w:iCs/>
          <w:lang w:eastAsia="es-ES"/>
        </w:rPr>
        <w:t xml:space="preserve"> solicitantes y es un documento</w:t>
      </w:r>
      <w:r w:rsidRPr="00E96FD1">
        <w:rPr>
          <w:rFonts w:ascii="Palatino Linotype" w:eastAsia="MS Gothic" w:hAnsi="Palatino Linotype" w:cstheme="majorBidi"/>
          <w:iCs/>
          <w:lang w:eastAsia="es-ES"/>
        </w:rPr>
        <w:t xml:space="preserve"> oficial que contiene datos personales</w:t>
      </w:r>
      <w:r w:rsidRPr="00261CFE">
        <w:rPr>
          <w:rFonts w:ascii="Palatino Linotype" w:eastAsia="MS Gothic" w:hAnsi="Palatino Linotype" w:cstheme="majorBidi"/>
          <w:iCs/>
          <w:lang w:eastAsia="es-ES"/>
        </w:rPr>
        <w:t xml:space="preserve">. Inconforme con la respuesta, el particular interpuso recurso de revisión, manifestó de forma medular como motivos de inconformidad, </w:t>
      </w:r>
      <w:r>
        <w:rPr>
          <w:rFonts w:ascii="Palatino Linotype" w:eastAsia="MS Gothic" w:hAnsi="Palatino Linotype" w:cstheme="majorBidi"/>
          <w:iCs/>
          <w:lang w:eastAsia="es-ES"/>
        </w:rPr>
        <w:t xml:space="preserve">por na negativa de la información. </w:t>
      </w:r>
    </w:p>
    <w:p w14:paraId="2301229F" w14:textId="77777777" w:rsidR="00E96FD1" w:rsidRPr="00261CFE" w:rsidRDefault="00E96FD1" w:rsidP="00E96FD1">
      <w:pPr>
        <w:spacing w:line="360" w:lineRule="auto"/>
        <w:ind w:right="49"/>
        <w:contextualSpacing/>
        <w:jc w:val="both"/>
        <w:rPr>
          <w:rFonts w:ascii="Palatino Linotype" w:eastAsia="MS Gothic" w:hAnsi="Palatino Linotype" w:cstheme="majorBidi"/>
          <w:iCs/>
          <w:lang w:val="es-ES" w:eastAsia="es-ES"/>
        </w:rPr>
      </w:pPr>
    </w:p>
    <w:p w14:paraId="7D99E834" w14:textId="77777777" w:rsidR="00B1000A" w:rsidRPr="00BD3D95" w:rsidRDefault="00B1000A" w:rsidP="00B1000A">
      <w:pPr>
        <w:numPr>
          <w:ilvl w:val="0"/>
          <w:numId w:val="1"/>
        </w:numPr>
        <w:spacing w:line="360" w:lineRule="auto"/>
        <w:ind w:left="0" w:right="49" w:firstLine="0"/>
        <w:jc w:val="both"/>
        <w:rPr>
          <w:rFonts w:ascii="Palatino Linotype" w:eastAsia="MS Gothic" w:hAnsi="Palatino Linotype" w:cstheme="majorBidi"/>
          <w:iCs/>
          <w:lang w:val="es-ES" w:eastAsia="es-ES"/>
        </w:rPr>
      </w:pPr>
      <w:r>
        <w:rPr>
          <w:rFonts w:ascii="Palatino Linotype" w:eastAsia="MS Gothic" w:hAnsi="Palatino Linotype" w:cstheme="majorBidi"/>
          <w:lang w:eastAsia="es-ES"/>
        </w:rPr>
        <w:t>Puntualizado lo anterior</w:t>
      </w:r>
      <w:r w:rsidRPr="00BD3D95">
        <w:rPr>
          <w:rFonts w:ascii="Palatino Linotype" w:eastAsia="MS Gothic" w:hAnsi="Palatino Linotype" w:cstheme="majorBidi"/>
          <w:lang w:eastAsia="es-ES"/>
        </w:rPr>
        <w:t xml:space="preserve">, el </w:t>
      </w:r>
      <w:r w:rsidRPr="00BD3D95">
        <w:rPr>
          <w:rFonts w:ascii="Palatino Linotype" w:hAnsi="Palatino Linotype" w:cs="Tahoma"/>
          <w:szCs w:val="22"/>
          <w:lang w:val="es-ES"/>
        </w:rPr>
        <w:t xml:space="preserve">el artículo 12 párrafo segundo y 24 último párrafo </w:t>
      </w:r>
      <w:r w:rsidRPr="00BD3D95">
        <w:rPr>
          <w:rFonts w:ascii="Palatino Linotype" w:hAnsi="Palatino Linotype"/>
        </w:rPr>
        <w:t>de La Ley de Transparencia y Acceso a la Información Pública del Estado de México y Municipios establecen:</w:t>
      </w:r>
    </w:p>
    <w:p w14:paraId="146E06CF" w14:textId="77777777" w:rsidR="00B1000A" w:rsidRPr="00910286" w:rsidRDefault="00B1000A" w:rsidP="00B1000A">
      <w:pPr>
        <w:pStyle w:val="Prrafodelista"/>
        <w:tabs>
          <w:tab w:val="left" w:pos="0"/>
        </w:tabs>
        <w:spacing w:line="360" w:lineRule="auto"/>
        <w:ind w:left="0"/>
        <w:jc w:val="both"/>
        <w:rPr>
          <w:rFonts w:ascii="Palatino Linotype" w:hAnsi="Palatino Linotype"/>
          <w:sz w:val="24"/>
        </w:rPr>
      </w:pPr>
    </w:p>
    <w:p w14:paraId="5C07E6AC" w14:textId="77777777" w:rsidR="00B1000A" w:rsidRPr="00B2485A" w:rsidRDefault="00B1000A" w:rsidP="00B1000A">
      <w:pPr>
        <w:pStyle w:val="Prrafodelista"/>
        <w:tabs>
          <w:tab w:val="left" w:pos="851"/>
        </w:tabs>
        <w:spacing w:line="360" w:lineRule="auto"/>
        <w:ind w:left="851" w:right="822"/>
        <w:jc w:val="both"/>
        <w:rPr>
          <w:rFonts w:ascii="Palatino Linotype" w:hAnsi="Palatino Linotype"/>
          <w:i/>
        </w:rPr>
      </w:pPr>
      <w:r w:rsidRPr="00910286">
        <w:rPr>
          <w:rFonts w:ascii="Palatino Linotype" w:hAnsi="Palatino Linotype"/>
          <w:i/>
        </w:rPr>
        <w:t xml:space="preserve">Artículo 12. Quienes generen, recopilen, administren, manejen, procesen, archiven o conserven información pública serán responsables de la misma en los términos de las disposiciones jurídicas aplicables. </w:t>
      </w:r>
    </w:p>
    <w:p w14:paraId="36294C85" w14:textId="77777777" w:rsidR="00B1000A" w:rsidRPr="00910286" w:rsidRDefault="00B1000A" w:rsidP="00B1000A">
      <w:pPr>
        <w:pStyle w:val="Prrafodelista"/>
        <w:tabs>
          <w:tab w:val="left" w:pos="851"/>
        </w:tabs>
        <w:spacing w:line="360" w:lineRule="auto"/>
        <w:ind w:left="851" w:right="822"/>
        <w:jc w:val="both"/>
        <w:rPr>
          <w:rFonts w:ascii="Palatino Linotype" w:hAnsi="Palatino Linotype"/>
          <w:i/>
        </w:rPr>
      </w:pPr>
      <w:r w:rsidRPr="00910286">
        <w:rPr>
          <w:rFonts w:ascii="Palatino Linotype" w:hAnsi="Palatino Linotype"/>
          <w:i/>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96963B4" w14:textId="77777777" w:rsidR="00B1000A" w:rsidRPr="00910286" w:rsidRDefault="00B1000A" w:rsidP="00B1000A">
      <w:pPr>
        <w:pStyle w:val="Prrafodelista"/>
        <w:tabs>
          <w:tab w:val="left" w:pos="851"/>
        </w:tabs>
        <w:spacing w:line="360" w:lineRule="auto"/>
        <w:ind w:left="851" w:right="822"/>
        <w:jc w:val="both"/>
        <w:rPr>
          <w:rFonts w:ascii="Palatino Linotype" w:hAnsi="Palatino Linotype"/>
          <w:i/>
        </w:rPr>
      </w:pPr>
    </w:p>
    <w:p w14:paraId="0B22E4FC" w14:textId="77777777" w:rsidR="00B1000A" w:rsidRPr="00910286" w:rsidRDefault="00B1000A" w:rsidP="00B1000A">
      <w:pPr>
        <w:pStyle w:val="Prrafodelista"/>
        <w:tabs>
          <w:tab w:val="left" w:pos="851"/>
        </w:tabs>
        <w:spacing w:line="360" w:lineRule="auto"/>
        <w:ind w:left="851" w:right="822"/>
        <w:jc w:val="both"/>
        <w:rPr>
          <w:rFonts w:ascii="Palatino Linotype" w:hAnsi="Palatino Linotype"/>
          <w:i/>
        </w:rPr>
      </w:pPr>
      <w:r w:rsidRPr="00910286">
        <w:rPr>
          <w:rFonts w:ascii="Palatino Linotype" w:hAnsi="Palatino Linotype"/>
          <w:i/>
        </w:rPr>
        <w:t>Artículo 24.</w:t>
      </w:r>
    </w:p>
    <w:p w14:paraId="54B73CEF" w14:textId="77777777" w:rsidR="00B1000A" w:rsidRPr="00910286" w:rsidRDefault="00B1000A" w:rsidP="00B1000A">
      <w:pPr>
        <w:pStyle w:val="Prrafodelista"/>
        <w:tabs>
          <w:tab w:val="left" w:pos="851"/>
        </w:tabs>
        <w:spacing w:line="360" w:lineRule="auto"/>
        <w:ind w:left="851" w:right="822"/>
        <w:jc w:val="both"/>
        <w:rPr>
          <w:rFonts w:ascii="Palatino Linotype" w:hAnsi="Palatino Linotype"/>
          <w:i/>
        </w:rPr>
      </w:pPr>
      <w:r w:rsidRPr="00910286">
        <w:rPr>
          <w:rFonts w:ascii="Palatino Linotype" w:hAnsi="Palatino Linotype"/>
          <w:i/>
        </w:rPr>
        <w:t>…</w:t>
      </w:r>
    </w:p>
    <w:p w14:paraId="14A98F2B" w14:textId="77777777" w:rsidR="00B1000A" w:rsidRPr="00910286" w:rsidRDefault="00B1000A" w:rsidP="00B1000A">
      <w:pPr>
        <w:pStyle w:val="Prrafodelista"/>
        <w:tabs>
          <w:tab w:val="left" w:pos="851"/>
        </w:tabs>
        <w:spacing w:line="360" w:lineRule="auto"/>
        <w:ind w:left="851" w:right="822"/>
        <w:jc w:val="both"/>
        <w:rPr>
          <w:rFonts w:ascii="Palatino Linotype" w:hAnsi="Palatino Linotype"/>
          <w:i/>
        </w:rPr>
      </w:pPr>
      <w:r w:rsidRPr="00910286">
        <w:rPr>
          <w:rFonts w:ascii="Palatino Linotype" w:hAnsi="Palatino Linotype"/>
          <w:i/>
        </w:rPr>
        <w:t>Los sujetos obligados solo proporcionarán la información pública que generen, administren o posean en el ejercicio de sus atribuciones.</w:t>
      </w:r>
    </w:p>
    <w:p w14:paraId="47E61F24" w14:textId="77777777" w:rsidR="00B1000A" w:rsidRDefault="00B1000A" w:rsidP="00B1000A">
      <w:pPr>
        <w:pStyle w:val="Prrafodelista"/>
        <w:tabs>
          <w:tab w:val="left" w:pos="851"/>
        </w:tabs>
        <w:spacing w:line="360" w:lineRule="auto"/>
        <w:ind w:left="851" w:right="822"/>
        <w:jc w:val="both"/>
        <w:rPr>
          <w:rFonts w:ascii="Palatino Linotype" w:hAnsi="Palatino Linotype"/>
          <w:i/>
        </w:rPr>
      </w:pPr>
      <w:r w:rsidRPr="00910286">
        <w:rPr>
          <w:rFonts w:ascii="Palatino Linotype" w:hAnsi="Palatino Linotype"/>
          <w:i/>
        </w:rPr>
        <w:t>…”</w:t>
      </w:r>
    </w:p>
    <w:p w14:paraId="62457C98" w14:textId="77777777" w:rsidR="00B1000A" w:rsidRPr="00B2485A" w:rsidRDefault="00B1000A" w:rsidP="00B1000A">
      <w:pPr>
        <w:pStyle w:val="Prrafodelista"/>
        <w:tabs>
          <w:tab w:val="left" w:pos="851"/>
        </w:tabs>
        <w:spacing w:line="360" w:lineRule="auto"/>
        <w:ind w:left="851" w:right="822"/>
        <w:jc w:val="both"/>
        <w:rPr>
          <w:rFonts w:ascii="Palatino Linotype" w:hAnsi="Palatino Linotype"/>
          <w:i/>
        </w:rPr>
      </w:pPr>
    </w:p>
    <w:p w14:paraId="1EC9CF3A" w14:textId="77777777" w:rsidR="00B1000A" w:rsidRPr="008A08D8" w:rsidRDefault="00B1000A" w:rsidP="00B1000A">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8A08D8">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6E74A1">
        <w:rPr>
          <w:rStyle w:val="Refdenotaalpie"/>
          <w:rFonts w:ascii="Palatino Linotype" w:hAnsi="Palatino Linotype"/>
          <w:lang w:val="es-ES"/>
        </w:rPr>
        <w:footnoteReference w:id="1"/>
      </w:r>
      <w:r w:rsidRPr="008A08D8">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3F1FAF26" w14:textId="77777777" w:rsidR="00B1000A" w:rsidRDefault="00B1000A" w:rsidP="00B1000A">
      <w:pPr>
        <w:spacing w:line="360" w:lineRule="auto"/>
        <w:ind w:right="49"/>
        <w:contextualSpacing/>
        <w:jc w:val="both"/>
        <w:rPr>
          <w:rFonts w:ascii="Palatino Linotype" w:eastAsia="MS Gothic" w:hAnsi="Palatino Linotype" w:cstheme="majorBidi"/>
          <w:lang w:eastAsia="es-ES"/>
        </w:rPr>
      </w:pPr>
    </w:p>
    <w:p w14:paraId="3D8F1ECB" w14:textId="77777777" w:rsidR="00B1000A" w:rsidRPr="008A08D8" w:rsidRDefault="00B1000A" w:rsidP="00B1000A">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8A08D8">
        <w:rPr>
          <w:rFonts w:ascii="Palatino Linotype" w:hAnsi="Palatino Linotype"/>
          <w:lang w:val="es-ES"/>
        </w:rPr>
        <w:lastRenderedPageBreak/>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369D315B" w14:textId="77777777" w:rsidR="00B1000A" w:rsidRPr="006E74A1" w:rsidRDefault="00B1000A" w:rsidP="00B1000A">
      <w:pPr>
        <w:pStyle w:val="Prrafodelista"/>
        <w:spacing w:line="360" w:lineRule="auto"/>
        <w:rPr>
          <w:rFonts w:ascii="Palatino Linotype" w:hAnsi="Palatino Linotype"/>
          <w:lang w:val="es-ES"/>
        </w:rPr>
      </w:pPr>
    </w:p>
    <w:p w14:paraId="477B4135" w14:textId="77777777" w:rsidR="00B1000A" w:rsidRPr="006E74A1" w:rsidRDefault="00B1000A" w:rsidP="00B1000A">
      <w:pPr>
        <w:pStyle w:val="Prrafodelista"/>
        <w:tabs>
          <w:tab w:val="left" w:pos="851"/>
        </w:tabs>
        <w:spacing w:line="360" w:lineRule="auto"/>
        <w:ind w:left="567" w:right="567"/>
        <w:jc w:val="both"/>
        <w:rPr>
          <w:rFonts w:ascii="Palatino Linotype" w:hAnsi="Palatino Linotype"/>
          <w:i/>
        </w:rPr>
      </w:pPr>
      <w:r w:rsidRPr="006E74A1">
        <w:rPr>
          <w:rFonts w:ascii="Palatino Linotype" w:hAnsi="Palatino Linotype"/>
          <w:b/>
          <w:i/>
        </w:rPr>
        <w:t>ACCESO A LA INFORMACIÓN. IMPLICACIÓN DEL PRINCIPIO DE MÁXIMA PUBLICIDAD EN EL DERECHO FUNDAMENTAL RELATIVO.</w:t>
      </w:r>
      <w:r w:rsidRPr="006E74A1">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w:t>
      </w:r>
      <w:r w:rsidRPr="006E74A1">
        <w:rPr>
          <w:rFonts w:ascii="Palatino Linotype" w:hAnsi="Palatino Linotype"/>
          <w:i/>
        </w:rPr>
        <w:lastRenderedPageBreak/>
        <w:t xml:space="preserve">justificados bajo determinadas circunstancias, se podrá clasificar como confidencial o reservada, esto es, considerarla con una calidad diversa. </w:t>
      </w:r>
    </w:p>
    <w:p w14:paraId="5E815D3A" w14:textId="77777777" w:rsidR="00B1000A" w:rsidRPr="006E74A1" w:rsidRDefault="00B1000A" w:rsidP="00B1000A">
      <w:pPr>
        <w:pStyle w:val="Prrafodelista"/>
        <w:tabs>
          <w:tab w:val="left" w:pos="851"/>
        </w:tabs>
        <w:spacing w:line="360" w:lineRule="auto"/>
        <w:ind w:left="567" w:right="567"/>
        <w:jc w:val="both"/>
        <w:rPr>
          <w:rFonts w:ascii="Palatino Linotype" w:hAnsi="Palatino Linotype"/>
          <w:i/>
        </w:rPr>
      </w:pPr>
    </w:p>
    <w:p w14:paraId="23E26525" w14:textId="77777777" w:rsidR="00B1000A" w:rsidRDefault="00B1000A" w:rsidP="00B1000A">
      <w:pPr>
        <w:pStyle w:val="Prrafodelista"/>
        <w:tabs>
          <w:tab w:val="left" w:pos="851"/>
        </w:tabs>
        <w:spacing w:line="360" w:lineRule="auto"/>
        <w:ind w:left="567" w:right="567"/>
        <w:jc w:val="both"/>
        <w:rPr>
          <w:rFonts w:ascii="Palatino Linotype" w:hAnsi="Palatino Linotype"/>
          <w:i/>
        </w:rPr>
      </w:pPr>
      <w:r w:rsidRPr="006E74A1">
        <w:rPr>
          <w:rFonts w:ascii="Palatino Linotype" w:hAnsi="Palatino Linotype"/>
          <w:i/>
        </w:rPr>
        <w:t xml:space="preserve">CUARTO TRIBUNAL COLEGIADO EN MATERIA ADMINISTRATIVA DEL PRIMER CIRCUITO. </w:t>
      </w:r>
    </w:p>
    <w:p w14:paraId="3F4F0592" w14:textId="77777777" w:rsidR="00B1000A" w:rsidRDefault="00B1000A" w:rsidP="00B1000A">
      <w:pPr>
        <w:pStyle w:val="Prrafodelista"/>
        <w:tabs>
          <w:tab w:val="left" w:pos="851"/>
        </w:tabs>
        <w:spacing w:line="360" w:lineRule="auto"/>
        <w:ind w:left="567" w:right="567"/>
        <w:jc w:val="both"/>
        <w:rPr>
          <w:rFonts w:ascii="Palatino Linotype" w:hAnsi="Palatino Linotype"/>
          <w:i/>
        </w:rPr>
      </w:pPr>
    </w:p>
    <w:p w14:paraId="559596AB" w14:textId="77777777" w:rsidR="00B1000A" w:rsidRDefault="00B1000A" w:rsidP="00B1000A">
      <w:pPr>
        <w:pStyle w:val="Prrafodelista"/>
        <w:tabs>
          <w:tab w:val="left" w:pos="851"/>
        </w:tabs>
        <w:spacing w:line="360" w:lineRule="auto"/>
        <w:ind w:left="567" w:right="567"/>
        <w:jc w:val="both"/>
        <w:rPr>
          <w:rFonts w:ascii="Palatino Linotype" w:hAnsi="Palatino Linotype"/>
          <w:i/>
        </w:rPr>
      </w:pPr>
      <w:r w:rsidRPr="006E74A1">
        <w:rPr>
          <w:rFonts w:ascii="Palatino Linotype" w:hAnsi="Palatino Linotype"/>
          <w:i/>
        </w:rPr>
        <w:t>Amparo en revisión 257/2012. Ruth Corona Muñoz. 6 de diciembre de 2012. Unanimidad de votos. Ponente: Jean Claude Tron Petit. Secretaria: Mayra Susana Martínez López.</w:t>
      </w:r>
    </w:p>
    <w:p w14:paraId="66C1F5C9" w14:textId="77777777" w:rsidR="00B1000A" w:rsidRPr="00841FF7" w:rsidRDefault="00B1000A" w:rsidP="00B1000A">
      <w:pPr>
        <w:pStyle w:val="Prrafodelista"/>
        <w:tabs>
          <w:tab w:val="left" w:pos="851"/>
        </w:tabs>
        <w:spacing w:line="360" w:lineRule="auto"/>
        <w:ind w:left="567" w:right="567"/>
        <w:jc w:val="both"/>
        <w:rPr>
          <w:rFonts w:ascii="Palatino Linotype" w:hAnsi="Palatino Linotype"/>
          <w:i/>
        </w:rPr>
      </w:pPr>
    </w:p>
    <w:p w14:paraId="39FF0DCA" w14:textId="77777777" w:rsidR="00B1000A" w:rsidRPr="00255BB5" w:rsidRDefault="00B1000A" w:rsidP="00B1000A">
      <w:pPr>
        <w:numPr>
          <w:ilvl w:val="0"/>
          <w:numId w:val="1"/>
        </w:numPr>
        <w:spacing w:line="360" w:lineRule="auto"/>
        <w:ind w:left="0" w:right="49" w:firstLine="0"/>
        <w:contextualSpacing/>
        <w:jc w:val="both"/>
        <w:rPr>
          <w:rFonts w:ascii="Palatino Linotype" w:eastAsia="MS Gothic" w:hAnsi="Palatino Linotype" w:cstheme="majorBidi"/>
          <w:lang w:eastAsia="es-ES"/>
        </w:rPr>
      </w:pPr>
      <w:r>
        <w:rPr>
          <w:rFonts w:ascii="Palatino Linotype" w:hAnsi="Palatino Linotype"/>
          <w:color w:val="222222"/>
        </w:rPr>
        <w:t>Es así que, toda la información que se encuentra en posesión de los Sujetos Obligados tiene el carácter de información pública y debe proporcionarse a los particulares que la soliciten, para favorecer la trans</w:t>
      </w:r>
      <w:r w:rsidR="00911F13">
        <w:rPr>
          <w:rFonts w:ascii="Palatino Linotype" w:hAnsi="Palatino Linotype"/>
          <w:color w:val="222222"/>
        </w:rPr>
        <w:t>parencia y rendición de cuentas.</w:t>
      </w:r>
      <w:r>
        <w:rPr>
          <w:rFonts w:ascii="Palatino Linotype" w:hAnsi="Palatino Linotype"/>
          <w:color w:val="222222"/>
        </w:rPr>
        <w:t xml:space="preserve"> </w:t>
      </w:r>
    </w:p>
    <w:p w14:paraId="08C0DC32" w14:textId="77777777" w:rsidR="00255BB5" w:rsidRPr="00255BB5" w:rsidRDefault="00255BB5" w:rsidP="00255BB5">
      <w:pPr>
        <w:spacing w:line="360" w:lineRule="auto"/>
        <w:ind w:right="49"/>
        <w:contextualSpacing/>
        <w:jc w:val="both"/>
        <w:rPr>
          <w:rFonts w:ascii="Palatino Linotype" w:eastAsia="MS Gothic" w:hAnsi="Palatino Linotype" w:cstheme="majorBidi"/>
          <w:lang w:eastAsia="es-ES"/>
        </w:rPr>
      </w:pPr>
    </w:p>
    <w:p w14:paraId="69CC2D86" w14:textId="77777777" w:rsidR="00255BB5" w:rsidRDefault="00255BB5" w:rsidP="00255BB5">
      <w:pPr>
        <w:numPr>
          <w:ilvl w:val="0"/>
          <w:numId w:val="1"/>
        </w:numPr>
        <w:spacing w:line="360" w:lineRule="auto"/>
        <w:ind w:left="0" w:right="49" w:firstLine="0"/>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 xml:space="preserve">Asimismo, </w:t>
      </w:r>
      <w:r w:rsidRPr="00255BB5">
        <w:rPr>
          <w:rFonts w:ascii="Palatino Linotype" w:hAnsi="Palatino Linotype"/>
        </w:rPr>
        <w:t xml:space="preserve">se precisa que se obvia el análisis de la competencia por parte del </w:t>
      </w:r>
      <w:r w:rsidRPr="00255BB5">
        <w:rPr>
          <w:rFonts w:ascii="Palatino Linotype" w:hAnsi="Palatino Linotype"/>
          <w:bCs/>
        </w:rPr>
        <w:t>Sujeto Obligado</w:t>
      </w:r>
      <w:r w:rsidRPr="00255BB5">
        <w:rPr>
          <w:rFonts w:ascii="Palatino Linotype" w:hAnsi="Palatino Linotype"/>
        </w:rPr>
        <w:t>, para generar, administrar o poseer la información solicitada, dado que éste ha asumido la misma, en razón de que en su respuesta admitió contar con dicha información.</w:t>
      </w:r>
    </w:p>
    <w:p w14:paraId="58FB52D5" w14:textId="77777777" w:rsidR="00255BB5" w:rsidRDefault="00255BB5" w:rsidP="00255BB5">
      <w:pPr>
        <w:pStyle w:val="Prrafodelista"/>
        <w:rPr>
          <w:rFonts w:ascii="Palatino Linotype" w:hAnsi="Palatino Linotype"/>
        </w:rPr>
      </w:pPr>
    </w:p>
    <w:p w14:paraId="3CA59776" w14:textId="77777777" w:rsidR="00255BB5" w:rsidRDefault="00255BB5" w:rsidP="00255BB5">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255BB5">
        <w:rPr>
          <w:rFonts w:ascii="Palatino Linotype" w:hAnsi="Palatino Linotype"/>
        </w:rPr>
        <w:t xml:space="preserve">En efecto, el hecho de que </w:t>
      </w:r>
      <w:r w:rsidRPr="00255BB5">
        <w:rPr>
          <w:rFonts w:ascii="Palatino Linotype" w:hAnsi="Palatino Linotype"/>
          <w:b/>
          <w:bCs/>
        </w:rPr>
        <w:t>EL SUJETO OBLIGADO</w:t>
      </w:r>
      <w:r w:rsidRPr="00255BB5">
        <w:rPr>
          <w:rFonts w:ascii="Palatino Linotype" w:hAnsi="Palatino Linotype"/>
        </w:rPr>
        <w:t xml:space="preserve"> haya admitido contar con la información pública solicitada, acepta que l</w:t>
      </w:r>
      <w:bookmarkStart w:id="13" w:name="_Hlk94787977"/>
      <w:r w:rsidRPr="00255BB5">
        <w:rPr>
          <w:rFonts w:ascii="Palatino Linotype" w:hAnsi="Palatino Linotype"/>
        </w:rPr>
        <w:t>a genera, posee y administra, en ejercicio de sus funciones</w:t>
      </w:r>
      <w:bookmarkEnd w:id="13"/>
      <w:r w:rsidRPr="00255BB5">
        <w:rPr>
          <w:rFonts w:ascii="Palatino Linotype" w:hAnsi="Palatino Linotype"/>
        </w:rPr>
        <w:t xml:space="preserve"> de derecho público, motivo por el cual se actualiza el supuesto jurídico, previsto en el artículo 12 de la Ley de Transparencia y Acceso a la Información Pública del Estado de México y Municipios.</w:t>
      </w:r>
    </w:p>
    <w:p w14:paraId="37B05ACA" w14:textId="77777777" w:rsidR="00255BB5" w:rsidRDefault="00255BB5" w:rsidP="00255BB5">
      <w:pPr>
        <w:pStyle w:val="Prrafodelista"/>
        <w:rPr>
          <w:rFonts w:ascii="Palatino Linotype" w:hAnsi="Palatino Linotype"/>
        </w:rPr>
      </w:pPr>
    </w:p>
    <w:p w14:paraId="0397D7D2" w14:textId="77777777" w:rsidR="00255BB5" w:rsidRPr="006C5518" w:rsidRDefault="00255BB5" w:rsidP="00255BB5">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255BB5">
        <w:rPr>
          <w:rFonts w:ascii="Palatino Linotype" w:hAnsi="Palatino Linotype"/>
        </w:rPr>
        <w:t>Así, el estudio de la naturaleza jurídica de la información pública solicitada, tiene por objeto determinar si ésta la genera, posee o administra </w:t>
      </w:r>
      <w:r w:rsidRPr="00255BB5">
        <w:rPr>
          <w:rFonts w:ascii="Palatino Linotype" w:hAnsi="Palatino Linotype"/>
          <w:b/>
          <w:bCs/>
        </w:rPr>
        <w:t xml:space="preserve">EL SUJETO </w:t>
      </w:r>
      <w:r w:rsidRPr="00255BB5">
        <w:rPr>
          <w:rFonts w:ascii="Palatino Linotype" w:hAnsi="Palatino Linotype"/>
          <w:b/>
          <w:bCs/>
        </w:rPr>
        <w:lastRenderedPageBreak/>
        <w:t>OBLIGADO</w:t>
      </w:r>
      <w:r w:rsidRPr="00255BB5">
        <w:rPr>
          <w:rFonts w:ascii="Palatino Linotype" w:hAnsi="Palatino Linotype"/>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733F3DFF" w14:textId="77777777" w:rsidR="006C5518" w:rsidRDefault="006C5518" w:rsidP="006C5518">
      <w:pPr>
        <w:pStyle w:val="Prrafodelista"/>
        <w:rPr>
          <w:rFonts w:ascii="Palatino Linotype" w:eastAsia="MS Gothic" w:hAnsi="Palatino Linotype" w:cstheme="majorBidi"/>
          <w:lang w:eastAsia="es-ES"/>
        </w:rPr>
      </w:pPr>
    </w:p>
    <w:p w14:paraId="5C3A4E01" w14:textId="77777777" w:rsidR="006C5518" w:rsidRDefault="006C5518" w:rsidP="00255BB5">
      <w:pPr>
        <w:numPr>
          <w:ilvl w:val="0"/>
          <w:numId w:val="1"/>
        </w:numPr>
        <w:spacing w:line="360" w:lineRule="auto"/>
        <w:ind w:left="0" w:right="49" w:firstLine="0"/>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Ahora bien, mediante informe justificado, el Sujeto Obligado manifestó los siguiente al primer cuestionamiento (</w:t>
      </w:r>
      <w:r w:rsidRPr="006C5518">
        <w:rPr>
          <w:rFonts w:ascii="Palatino Linotype" w:eastAsia="MS Gothic" w:hAnsi="Palatino Linotype" w:cstheme="majorBidi"/>
          <w:lang w:eastAsia="es-ES"/>
        </w:rPr>
        <w:t>Relación, listado o información referente al  número de solicitudes recibidas sobre licencias de funcionamiento para todo tipo de giros</w:t>
      </w:r>
      <w:r>
        <w:rPr>
          <w:rFonts w:ascii="Palatino Linotype" w:eastAsia="MS Gothic" w:hAnsi="Palatino Linotype" w:cstheme="majorBidi"/>
          <w:lang w:eastAsia="es-ES"/>
        </w:rPr>
        <w:t>):</w:t>
      </w:r>
    </w:p>
    <w:p w14:paraId="43CF6BA2" w14:textId="77777777" w:rsidR="006C5518" w:rsidRDefault="006C5518" w:rsidP="006C5518">
      <w:pPr>
        <w:pStyle w:val="Prrafodelista"/>
        <w:rPr>
          <w:rFonts w:ascii="Palatino Linotype" w:eastAsia="MS Gothic" w:hAnsi="Palatino Linotype" w:cstheme="majorBidi"/>
          <w:lang w:eastAsia="es-ES"/>
        </w:rPr>
      </w:pPr>
    </w:p>
    <w:p w14:paraId="0760F594" w14:textId="77777777" w:rsidR="006C5518" w:rsidRDefault="006C5518" w:rsidP="006C5518">
      <w:pPr>
        <w:spacing w:line="360" w:lineRule="auto"/>
        <w:ind w:left="851" w:right="822"/>
        <w:contextualSpacing/>
        <w:jc w:val="both"/>
        <w:rPr>
          <w:rFonts w:ascii="Palatino Linotype" w:hAnsi="Palatino Linotype"/>
          <w:i/>
          <w:szCs w:val="22"/>
        </w:rPr>
      </w:pPr>
      <w:r>
        <w:rPr>
          <w:rFonts w:ascii="Palatino Linotype" w:hAnsi="Palatino Linotype"/>
          <w:szCs w:val="22"/>
        </w:rPr>
        <w:t>“</w:t>
      </w:r>
      <w:r w:rsidRPr="00BE5FD0">
        <w:rPr>
          <w:rFonts w:ascii="Palatino Linotype" w:hAnsi="Palatino Linotype"/>
          <w:i/>
          <w:szCs w:val="22"/>
        </w:rPr>
        <w:t>Después de la exhaustiva búsqued</w:t>
      </w:r>
      <w:r>
        <w:rPr>
          <w:rFonts w:ascii="Palatino Linotype" w:hAnsi="Palatino Linotype"/>
          <w:i/>
          <w:szCs w:val="22"/>
        </w:rPr>
        <w:t xml:space="preserve">a dentro de las bases de datos </w:t>
      </w:r>
      <w:r w:rsidRPr="00BE5FD0">
        <w:rPr>
          <w:rFonts w:ascii="Palatino Linotype" w:hAnsi="Palatino Linotype"/>
          <w:i/>
          <w:szCs w:val="22"/>
        </w:rPr>
        <w:t xml:space="preserve">que obran en esta Dirección, he de informarle que el número total de solicitudes recibidas es de </w:t>
      </w:r>
      <w:r w:rsidRPr="006C5518">
        <w:rPr>
          <w:rFonts w:ascii="Palatino Linotype" w:hAnsi="Palatino Linotype"/>
          <w:b/>
          <w:i/>
          <w:szCs w:val="22"/>
        </w:rPr>
        <w:t>840</w:t>
      </w:r>
      <w:r w:rsidRPr="00BE5FD0">
        <w:rPr>
          <w:rFonts w:ascii="Palatino Linotype" w:hAnsi="Palatino Linotype"/>
          <w:i/>
          <w:szCs w:val="22"/>
        </w:rPr>
        <w:t xml:space="preserve">, </w:t>
      </w:r>
      <w:r w:rsidRPr="006C5518">
        <w:rPr>
          <w:rFonts w:ascii="Palatino Linotype" w:hAnsi="Palatino Linotype"/>
          <w:b/>
          <w:i/>
          <w:szCs w:val="22"/>
        </w:rPr>
        <w:t>94 solicitudes de bajo impacto, 97 de mediano impacto y 186 de alto impacto, así como también, 463 solicitudes ingresadas para licencias SARE a lo que va del presente año</w:t>
      </w:r>
      <w:r>
        <w:rPr>
          <w:rFonts w:ascii="Palatino Linotype" w:hAnsi="Palatino Linotype"/>
          <w:i/>
          <w:szCs w:val="22"/>
        </w:rPr>
        <w:t>.”</w:t>
      </w:r>
    </w:p>
    <w:p w14:paraId="2DB9EC6F" w14:textId="77777777" w:rsidR="006C5518" w:rsidRDefault="006C5518" w:rsidP="006C5518">
      <w:pPr>
        <w:pStyle w:val="Prrafodelista"/>
        <w:rPr>
          <w:rFonts w:ascii="Palatino Linotype" w:eastAsia="MS Gothic" w:hAnsi="Palatino Linotype" w:cstheme="majorBidi"/>
          <w:lang w:eastAsia="es-ES"/>
        </w:rPr>
      </w:pPr>
    </w:p>
    <w:p w14:paraId="50B0249B" w14:textId="77777777" w:rsidR="006C5518" w:rsidRPr="006C5518" w:rsidRDefault="006C5518" w:rsidP="006C5518">
      <w:pPr>
        <w:numPr>
          <w:ilvl w:val="0"/>
          <w:numId w:val="1"/>
        </w:numPr>
        <w:spacing w:line="360" w:lineRule="auto"/>
        <w:ind w:left="0" w:right="49" w:firstLine="0"/>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 xml:space="preserve">Como se advierte, el Sujeto Obligado señaló el número de solicitudes sobre licencias de funcionamiento solicitadas, en ese sentido,  </w:t>
      </w:r>
      <w:r w:rsidRPr="006C5518">
        <w:rPr>
          <w:rFonts w:ascii="Palatino Linotype" w:hAnsi="Palatino Linotype" w:cs="Arial"/>
        </w:rPr>
        <w:t>es necesario señalar que</w:t>
      </w:r>
      <w:r>
        <w:rPr>
          <w:rFonts w:ascii="Palatino Linotype" w:hAnsi="Palatino Linotype" w:cs="Arial"/>
        </w:rPr>
        <w:t xml:space="preserve"> al haber emitido un pronunciamiento,</w:t>
      </w:r>
      <w:r w:rsidRPr="006C5518">
        <w:rPr>
          <w:rFonts w:ascii="Palatino Linotype" w:hAnsi="Palatino Linotype" w:cs="Arial"/>
        </w:rPr>
        <w:t xml:space="preserve"> éste Órgano Garante no está facultado para pronunciarse sobre la veracidad de la información que los Sujetos Obligados ponen a disposición de los solicitantes; situación que se aleja de las atribuciones de este Instituto </w:t>
      </w:r>
      <w:r w:rsidRPr="006C5518">
        <w:rPr>
          <w:rFonts w:ascii="Palatino Linotype" w:hAnsi="Palatino Linotype"/>
          <w:color w:val="000000"/>
        </w:rPr>
        <w:t>máxime que al momento que ponen a disposición ésta, la misma tiene el carácter oficial y se presume veraz, tan es así que la misma queda registrada en el Sistema de Acceso a la Información Mexiquense (SAIMEX).</w:t>
      </w:r>
    </w:p>
    <w:p w14:paraId="107936B0" w14:textId="77777777" w:rsidR="006C5518" w:rsidRPr="00761E84" w:rsidRDefault="006C5518" w:rsidP="006C5518">
      <w:pPr>
        <w:pStyle w:val="Default"/>
        <w:numPr>
          <w:ilvl w:val="0"/>
          <w:numId w:val="1"/>
        </w:numPr>
        <w:spacing w:before="240" w:after="360" w:line="360" w:lineRule="auto"/>
        <w:ind w:left="0" w:firstLine="0"/>
        <w:jc w:val="both"/>
        <w:rPr>
          <w:rFonts w:ascii="Palatino Linotype" w:hAnsi="Palatino Linotype"/>
        </w:rPr>
      </w:pPr>
      <w:r>
        <w:rPr>
          <w:rFonts w:ascii="Palatino Linotype" w:hAnsi="Palatino Linotype"/>
        </w:rPr>
        <w:lastRenderedPageBreak/>
        <w:t>Sirviendo</w:t>
      </w:r>
      <w:r w:rsidRPr="00761E84">
        <w:rPr>
          <w:rFonts w:ascii="Palatino Linotype" w:hAnsi="Palatino Linotype"/>
        </w:rPr>
        <w:t xml:space="preserve"> de apoyo a lo anterior por analogía</w:t>
      </w:r>
      <w:r>
        <w:rPr>
          <w:rFonts w:ascii="Palatino Linotype" w:hAnsi="Palatino Linotype"/>
        </w:rPr>
        <w:t>,</w:t>
      </w:r>
      <w:r w:rsidRPr="00761E84">
        <w:rPr>
          <w:rFonts w:ascii="Palatino Linotype" w:hAnsi="Palatino Linotype"/>
        </w:rPr>
        <w:t xml:space="preserve"> el criterio 31-10 emitido por el </w:t>
      </w:r>
      <w:r>
        <w:rPr>
          <w:rFonts w:ascii="Palatino Linotype" w:hAnsi="Palatino Linotype"/>
        </w:rPr>
        <w:t xml:space="preserve">ahora </w:t>
      </w:r>
      <w:r w:rsidRPr="00761E84">
        <w:rPr>
          <w:rFonts w:ascii="Palatino Linotype" w:hAnsi="Palatino Linotype"/>
        </w:rPr>
        <w:t xml:space="preserve">Instituto </w:t>
      </w:r>
      <w:r>
        <w:rPr>
          <w:rFonts w:ascii="Palatino Linotype" w:hAnsi="Palatino Linotype"/>
        </w:rPr>
        <w:t>Nacional</w:t>
      </w:r>
      <w:r w:rsidRPr="00761E84">
        <w:rPr>
          <w:rFonts w:ascii="Palatino Linotype" w:hAnsi="Palatino Linotype"/>
        </w:rPr>
        <w:t xml:space="preserve"> de </w:t>
      </w:r>
      <w:r>
        <w:rPr>
          <w:rFonts w:ascii="Palatino Linotype" w:hAnsi="Palatino Linotype"/>
        </w:rPr>
        <w:t xml:space="preserve">Transparencia, </w:t>
      </w:r>
      <w:r w:rsidRPr="00761E84">
        <w:rPr>
          <w:rFonts w:ascii="Palatino Linotype" w:hAnsi="Palatino Linotype"/>
        </w:rPr>
        <w:t>Acceso a la Información y Protección de Datos</w:t>
      </w:r>
      <w:r>
        <w:rPr>
          <w:rFonts w:ascii="Palatino Linotype" w:hAnsi="Palatino Linotype"/>
        </w:rPr>
        <w:t xml:space="preserve"> Personales</w:t>
      </w:r>
      <w:r w:rsidRPr="00761E84">
        <w:rPr>
          <w:rFonts w:ascii="Palatino Linotype" w:hAnsi="Palatino Linotype"/>
        </w:rPr>
        <w:t>, que a la letra dice:</w:t>
      </w:r>
    </w:p>
    <w:p w14:paraId="1533B264" w14:textId="77777777" w:rsidR="006C5518" w:rsidRPr="00031358" w:rsidRDefault="006C5518" w:rsidP="006C5518">
      <w:pPr>
        <w:pStyle w:val="Default"/>
        <w:spacing w:before="240" w:after="360" w:line="360" w:lineRule="auto"/>
        <w:ind w:left="720" w:right="850"/>
        <w:jc w:val="both"/>
        <w:rPr>
          <w:rFonts w:ascii="Palatino Linotype" w:hAnsi="Palatino Linotype"/>
          <w:i/>
          <w:sz w:val="22"/>
          <w:szCs w:val="20"/>
        </w:rPr>
      </w:pPr>
      <w:r w:rsidRPr="00031358">
        <w:rPr>
          <w:rFonts w:ascii="Palatino Linotype" w:hAnsi="Palatino Linotype"/>
          <w:i/>
          <w:sz w:val="22"/>
          <w:szCs w:val="20"/>
        </w:rPr>
        <w:t xml:space="preserve">El Instituto Federal de Acceso a la Información y Protección de Datos </w:t>
      </w:r>
      <w:r w:rsidRPr="004B3660">
        <w:rPr>
          <w:rFonts w:ascii="Palatino Linotype" w:hAnsi="Palatino Linotype"/>
          <w:b/>
          <w:i/>
          <w:sz w:val="22"/>
          <w:szCs w:val="20"/>
        </w:rPr>
        <w:t>no cuenta con facultades para pronunciarse respecto de la veracidad de los documentos proporcionados por los sujetos obligados.</w:t>
      </w:r>
      <w:r w:rsidRPr="00031358">
        <w:rPr>
          <w:rFonts w:ascii="Palatino Linotype" w:hAnsi="Palatino Linotype"/>
          <w:i/>
          <w:sz w:val="22"/>
          <w:szCs w:val="2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w:t>
      </w:r>
      <w:r>
        <w:rPr>
          <w:rFonts w:ascii="Palatino Linotype" w:hAnsi="Palatino Linotype"/>
          <w:i/>
          <w:sz w:val="22"/>
          <w:szCs w:val="20"/>
        </w:rPr>
        <w:t xml:space="preserve"> recurso revisión, al respecto.</w:t>
      </w:r>
    </w:p>
    <w:p w14:paraId="7B4F5F7F" w14:textId="77777777" w:rsidR="006C5518" w:rsidRPr="006C5518" w:rsidRDefault="006C5518" w:rsidP="006C5518">
      <w:pPr>
        <w:pStyle w:val="Prrafodelista"/>
        <w:numPr>
          <w:ilvl w:val="0"/>
          <w:numId w:val="1"/>
        </w:numPr>
        <w:spacing w:line="360" w:lineRule="auto"/>
        <w:ind w:left="0" w:firstLine="0"/>
        <w:jc w:val="both"/>
        <w:rPr>
          <w:rFonts w:ascii="Palatino Linotype" w:hAnsi="Palatino Linotype" w:cs="Arial"/>
          <w:sz w:val="24"/>
        </w:rPr>
      </w:pPr>
      <w:r w:rsidRPr="006C5518">
        <w:rPr>
          <w:rFonts w:ascii="Palatino Linotype" w:hAnsi="Palatino Linotype" w:cs="Arial"/>
          <w:sz w:val="24"/>
        </w:rPr>
        <w:t xml:space="preserve">Así mismo, la </w:t>
      </w:r>
      <w:r w:rsidRPr="006C5518">
        <w:rPr>
          <w:rFonts w:ascii="Palatino Linotype" w:hAnsi="Palatino Linotype" w:cs="Arial"/>
          <w:b/>
          <w:sz w:val="24"/>
        </w:rPr>
        <w:t>Ley de Transparencia y Acceso a la Información Pública del Estado de México y Municipios</w:t>
      </w:r>
      <w:r w:rsidRPr="006C5518">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2F0F7BAE" w14:textId="77777777" w:rsidR="006C5518" w:rsidRPr="006C5518" w:rsidRDefault="006C5518" w:rsidP="006C5518">
      <w:pPr>
        <w:pStyle w:val="Prrafodelista"/>
        <w:spacing w:line="360" w:lineRule="auto"/>
        <w:jc w:val="both"/>
        <w:rPr>
          <w:rFonts w:ascii="Palatino Linotype" w:hAnsi="Palatino Linotype" w:cs="Arial"/>
        </w:rPr>
      </w:pPr>
    </w:p>
    <w:p w14:paraId="00089576" w14:textId="77777777" w:rsidR="006C5518" w:rsidRPr="00E81F69" w:rsidRDefault="006C5518" w:rsidP="006C5518">
      <w:pPr>
        <w:pStyle w:val="Prrafodelista"/>
        <w:spacing w:line="360" w:lineRule="auto"/>
        <w:ind w:left="851" w:right="902"/>
        <w:jc w:val="both"/>
        <w:rPr>
          <w:rFonts w:ascii="Palatino Linotype" w:hAnsi="Palatino Linotype" w:cs="Arial"/>
          <w:b/>
          <w:i/>
        </w:rPr>
      </w:pPr>
      <w:r w:rsidRPr="00D51E15">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81F69">
        <w:rPr>
          <w:rFonts w:ascii="Palatino Linotype" w:hAnsi="Palatino Linotype" w:cs="Arial"/>
          <w:b/>
          <w:i/>
        </w:rPr>
        <w:t>Los Sujetos Obligados deben poner en práctica, políticas y programas de acceso a la información que se apeguen a criterios de publicidad, veracidad, oportunidad, precisión y suficiencia en</w:t>
      </w:r>
      <w:r>
        <w:rPr>
          <w:rFonts w:ascii="Palatino Linotype" w:hAnsi="Palatino Linotype" w:cs="Arial"/>
          <w:b/>
          <w:i/>
        </w:rPr>
        <w:t xml:space="preserve"> beneficio de los solicitantes.</w:t>
      </w:r>
    </w:p>
    <w:p w14:paraId="645A7BC6" w14:textId="77777777" w:rsidR="006C5518" w:rsidRPr="006C5518" w:rsidRDefault="006C5518" w:rsidP="006C5518">
      <w:pPr>
        <w:pStyle w:val="Prrafodelista"/>
        <w:tabs>
          <w:tab w:val="left" w:pos="709"/>
        </w:tabs>
        <w:spacing w:line="360" w:lineRule="auto"/>
        <w:ind w:right="51"/>
        <w:jc w:val="both"/>
        <w:rPr>
          <w:rFonts w:ascii="Palatino Linotype" w:hAnsi="Palatino Linotype" w:cs="Arial"/>
          <w:noProof/>
        </w:rPr>
      </w:pPr>
    </w:p>
    <w:p w14:paraId="7E4B45B3" w14:textId="77777777" w:rsidR="006C5518" w:rsidRPr="006C5518" w:rsidRDefault="006C5518" w:rsidP="006C5518">
      <w:pPr>
        <w:pStyle w:val="Prrafodelista"/>
        <w:numPr>
          <w:ilvl w:val="0"/>
          <w:numId w:val="1"/>
        </w:numPr>
        <w:tabs>
          <w:tab w:val="left" w:pos="360"/>
        </w:tabs>
        <w:spacing w:line="360" w:lineRule="auto"/>
        <w:ind w:left="0" w:right="51" w:firstLine="0"/>
        <w:jc w:val="both"/>
        <w:rPr>
          <w:rFonts w:ascii="Palatino Linotype" w:hAnsi="Palatino Linotype" w:cs="Arial"/>
          <w:noProof/>
          <w:sz w:val="24"/>
        </w:rPr>
      </w:pPr>
      <w:r w:rsidRPr="006C5518">
        <w:rPr>
          <w:rFonts w:ascii="Palatino Linotype" w:hAnsi="Palatino Linotype" w:cs="Arial"/>
          <w:noProof/>
          <w:sz w:val="24"/>
        </w:rPr>
        <w:t xml:space="preserve">Numerales que compelen al </w:t>
      </w:r>
      <w:r w:rsidRPr="006C5518">
        <w:rPr>
          <w:rFonts w:ascii="Palatino Linotype" w:hAnsi="Palatino Linotype" w:cs="Arial"/>
          <w:b/>
          <w:noProof/>
          <w:sz w:val="24"/>
        </w:rPr>
        <w:t>SUJETO OBLIGADO</w:t>
      </w:r>
      <w:r w:rsidRPr="006C5518">
        <w:rPr>
          <w:rFonts w:ascii="Palatino Linotype" w:hAnsi="Palatino Linotype" w:cs="Arial"/>
          <w:noProof/>
          <w:sz w:val="24"/>
        </w:rPr>
        <w:t xml:space="preserve"> a apegarse en todo momento a los criterios ya expuestos, imipidiendo a este Órgano Colegiado cuestionar la veracidad de la información.</w:t>
      </w:r>
    </w:p>
    <w:p w14:paraId="28BDEBA6" w14:textId="77777777" w:rsidR="006C5518" w:rsidRDefault="006C5518" w:rsidP="006359F0">
      <w:pPr>
        <w:spacing w:line="360" w:lineRule="auto"/>
        <w:ind w:right="49"/>
        <w:contextualSpacing/>
        <w:jc w:val="both"/>
        <w:rPr>
          <w:rFonts w:ascii="Palatino Linotype" w:eastAsia="MS Gothic" w:hAnsi="Palatino Linotype" w:cstheme="majorBidi"/>
          <w:lang w:eastAsia="es-ES"/>
        </w:rPr>
      </w:pPr>
    </w:p>
    <w:p w14:paraId="19061074" w14:textId="77777777" w:rsidR="006359F0" w:rsidRDefault="006359F0" w:rsidP="006359F0">
      <w:pPr>
        <w:numPr>
          <w:ilvl w:val="0"/>
          <w:numId w:val="1"/>
        </w:numPr>
        <w:spacing w:line="360" w:lineRule="auto"/>
        <w:ind w:left="0" w:right="49" w:firstLine="0"/>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Por otro lado, sobre segundo requerimiento (licencias de funcionamiento autorizadas que contengan nombre o denominación social, dirección, tipo de giro o negocio y clasificación de bajo, mediano o alto impacto), el Sujeto Obligado adjuntó un documento ad hoc en el que se advierte la relación de licencias de funcionamiento con el tipo de impacto, giro y dirección; sin embargo, se testó el nombre:</w:t>
      </w:r>
    </w:p>
    <w:p w14:paraId="18B2011E" w14:textId="77777777" w:rsidR="006359F0" w:rsidRDefault="006359F0" w:rsidP="006359F0">
      <w:pPr>
        <w:pStyle w:val="Prrafodelista"/>
        <w:rPr>
          <w:rFonts w:ascii="Palatino Linotype" w:eastAsia="MS Gothic" w:hAnsi="Palatino Linotype" w:cstheme="majorBidi"/>
          <w:lang w:eastAsia="es-ES"/>
        </w:rPr>
      </w:pPr>
    </w:p>
    <w:p w14:paraId="7FE1A09B" w14:textId="77777777" w:rsidR="006C5518" w:rsidRDefault="00D40A8F" w:rsidP="006359F0">
      <w:pPr>
        <w:spacing w:line="360" w:lineRule="auto"/>
        <w:ind w:right="49"/>
        <w:contextualSpacing/>
        <w:jc w:val="both"/>
        <w:rPr>
          <w:rFonts w:ascii="Palatino Linotype" w:eastAsia="MS Gothic" w:hAnsi="Palatino Linotype" w:cstheme="majorBidi"/>
          <w:lang w:eastAsia="es-ES"/>
        </w:rPr>
      </w:pPr>
      <w:r w:rsidRPr="00D40A8F">
        <w:rPr>
          <w:rFonts w:ascii="Palatino Linotype" w:eastAsia="MS Gothic" w:hAnsi="Palatino Linotype" w:cstheme="majorBidi"/>
          <w:noProof/>
        </w:rPr>
        <w:drawing>
          <wp:inline distT="0" distB="0" distL="0" distR="0" wp14:anchorId="5D87873D" wp14:editId="335C137E">
            <wp:extent cx="5742940" cy="17969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2249" cy="1802944"/>
                    </a:xfrm>
                    <a:prstGeom prst="rect">
                      <a:avLst/>
                    </a:prstGeom>
                  </pic:spPr>
                </pic:pic>
              </a:graphicData>
            </a:graphic>
          </wp:inline>
        </w:drawing>
      </w:r>
      <w:r w:rsidR="006359F0">
        <w:rPr>
          <w:rFonts w:ascii="Palatino Linotype" w:eastAsia="MS Gothic" w:hAnsi="Palatino Linotype" w:cstheme="majorBidi"/>
          <w:lang w:eastAsia="es-ES"/>
        </w:rPr>
        <w:t xml:space="preserve"> </w:t>
      </w:r>
    </w:p>
    <w:p w14:paraId="0DDB49CE" w14:textId="77777777" w:rsidR="006359F0" w:rsidRDefault="006359F0" w:rsidP="006359F0">
      <w:pPr>
        <w:pStyle w:val="Prrafodelista"/>
        <w:rPr>
          <w:rFonts w:ascii="Palatino Linotype" w:eastAsia="MS Gothic" w:hAnsi="Palatino Linotype" w:cstheme="majorBidi"/>
          <w:lang w:eastAsia="es-ES"/>
        </w:rPr>
      </w:pPr>
    </w:p>
    <w:p w14:paraId="30AB221A" w14:textId="77777777" w:rsidR="00C32C28" w:rsidRPr="00C32C28" w:rsidRDefault="006359F0" w:rsidP="006359F0">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6359F0">
        <w:rPr>
          <w:rFonts w:ascii="Palatino Linotype" w:hAnsi="Palatino Linotype" w:cs="Arial"/>
          <w:bCs/>
        </w:rPr>
        <w:lastRenderedPageBreak/>
        <w:t xml:space="preserve">En ese sentido, se aprecia que el Sujeto Obligado </w:t>
      </w:r>
      <w:r w:rsidR="00D40A8F">
        <w:rPr>
          <w:rFonts w:ascii="Palatino Linotype" w:hAnsi="Palatino Linotype" w:cs="Arial"/>
          <w:bCs/>
        </w:rPr>
        <w:t>adjuntó un cuadro que presenta los</w:t>
      </w:r>
      <w:r w:rsidRPr="006359F0">
        <w:rPr>
          <w:rFonts w:ascii="Palatino Linotype" w:hAnsi="Palatino Linotype" w:cs="Arial"/>
          <w:bCs/>
        </w:rPr>
        <w:t xml:space="preserve"> rubros que informan sobre </w:t>
      </w:r>
      <w:r>
        <w:rPr>
          <w:rFonts w:ascii="Palatino Linotype" w:hAnsi="Palatino Linotype" w:cs="Arial"/>
          <w:bCs/>
        </w:rPr>
        <w:t>el requerimiento</w:t>
      </w:r>
      <w:r w:rsidRPr="006359F0">
        <w:rPr>
          <w:rFonts w:ascii="Palatino Linotype" w:hAnsi="Palatino Linotype" w:cs="Arial"/>
          <w:bCs/>
        </w:rPr>
        <w:t xml:space="preserve">, </w:t>
      </w:r>
      <w:r>
        <w:rPr>
          <w:rFonts w:ascii="Palatino Linotype" w:hAnsi="Palatino Linotype" w:cs="Arial"/>
          <w:bCs/>
        </w:rPr>
        <w:t xml:space="preserve">pero </w:t>
      </w:r>
      <w:r w:rsidRPr="006359F0">
        <w:rPr>
          <w:rFonts w:ascii="Palatino Linotype" w:hAnsi="Palatino Linotype" w:cs="Arial"/>
          <w:bCs/>
        </w:rPr>
        <w:t>no se hizo de forma completa, si bien, elaboró un documento ad hoc, es decir, un documento que se rea</w:t>
      </w:r>
      <w:r w:rsidR="00C32C28">
        <w:rPr>
          <w:rFonts w:ascii="Palatino Linotype" w:hAnsi="Palatino Linotype" w:cs="Arial"/>
          <w:bCs/>
        </w:rPr>
        <w:t xml:space="preserve">lizó para atender la solicitud </w:t>
      </w:r>
      <w:r w:rsidRPr="006359F0">
        <w:rPr>
          <w:rFonts w:ascii="Palatino Linotype" w:hAnsi="Palatino Linotype" w:cs="Arial"/>
          <w:bCs/>
        </w:rPr>
        <w:t xml:space="preserve">de acuerdo al artículo 12 de </w:t>
      </w:r>
      <w:r w:rsidR="00C32C28">
        <w:rPr>
          <w:rFonts w:ascii="Palatino Linotype" w:hAnsi="Palatino Linotype" w:cs="Arial"/>
          <w:bCs/>
        </w:rPr>
        <w:t xml:space="preserve">la ley de la materia que señala </w:t>
      </w:r>
      <w:r w:rsidR="00C32C28" w:rsidRPr="00C32C28">
        <w:rPr>
          <w:rFonts w:ascii="Palatino Linotype" w:hAnsi="Palatino Linotype" w:cs="Arial"/>
          <w:bCs/>
          <w:i/>
        </w:rPr>
        <w:t>“</w:t>
      </w:r>
      <w:r w:rsidRPr="00C32C28">
        <w:rPr>
          <w:rFonts w:ascii="Palatino Linotype" w:hAnsi="Palatino Linotype" w:cs="Arial"/>
          <w:b/>
          <w:bCs/>
          <w:i/>
        </w:rPr>
        <w:t>sólo proporcionarán la información pública que se les requiera y que obre en sus archivos</w:t>
      </w:r>
      <w:r w:rsidRPr="00C32C28">
        <w:rPr>
          <w:rFonts w:ascii="Palatino Linotype" w:hAnsi="Palatino Linotype" w:cs="Arial"/>
          <w:bCs/>
          <w:i/>
        </w:rPr>
        <w:t xml:space="preserve"> </w:t>
      </w:r>
      <w:r w:rsidRPr="00C32C28">
        <w:rPr>
          <w:rFonts w:ascii="Palatino Linotype" w:hAnsi="Palatino Linotype" w:cs="Arial"/>
          <w:b/>
          <w:bCs/>
          <w:i/>
        </w:rPr>
        <w:t xml:space="preserve">y en el </w:t>
      </w:r>
      <w:r w:rsidRPr="00C32C28">
        <w:rPr>
          <w:rFonts w:ascii="Palatino Linotype" w:hAnsi="Palatino Linotype" w:cs="Arial"/>
          <w:b/>
          <w:bCs/>
          <w:i/>
          <w:u w:val="single"/>
        </w:rPr>
        <w:t>estado en que ésta se encuentre.</w:t>
      </w:r>
      <w:r w:rsidRPr="00C32C28">
        <w:rPr>
          <w:rFonts w:ascii="Palatino Linotype" w:hAnsi="Palatino Linotype" w:cs="Arial"/>
          <w:bCs/>
          <w:i/>
        </w:rPr>
        <w:t xml:space="preserve"> La obligación de proporcionar información </w:t>
      </w:r>
      <w:r w:rsidRPr="00C32C28">
        <w:rPr>
          <w:rFonts w:ascii="Palatino Linotype" w:hAnsi="Palatino Linotype" w:cs="Arial"/>
          <w:b/>
          <w:bCs/>
          <w:i/>
        </w:rPr>
        <w:t>no comprende</w:t>
      </w:r>
      <w:r w:rsidRPr="00C32C28">
        <w:rPr>
          <w:rFonts w:ascii="Palatino Linotype" w:hAnsi="Palatino Linotype" w:cs="Arial"/>
          <w:bCs/>
          <w:i/>
        </w:rPr>
        <w:t xml:space="preserve"> el procesamiento de la misma, ni el presentarla conforme al interés del solicitante; no estarán obligados a generarla, resumirla, efectuar cálculos o práctica investigaciones.</w:t>
      </w:r>
      <w:r w:rsidR="00C32C28" w:rsidRPr="00C32C28">
        <w:rPr>
          <w:rFonts w:ascii="Palatino Linotype" w:hAnsi="Palatino Linotype" w:cs="Arial"/>
          <w:bCs/>
          <w:i/>
        </w:rPr>
        <w:t>”</w:t>
      </w:r>
    </w:p>
    <w:p w14:paraId="3048171D" w14:textId="77777777" w:rsidR="00C32C28" w:rsidRPr="00C32C28" w:rsidRDefault="00C32C28" w:rsidP="00C32C28">
      <w:pPr>
        <w:spacing w:line="360" w:lineRule="auto"/>
        <w:ind w:right="49"/>
        <w:contextualSpacing/>
        <w:jc w:val="both"/>
        <w:rPr>
          <w:rFonts w:ascii="Palatino Linotype" w:eastAsia="MS Gothic" w:hAnsi="Palatino Linotype" w:cstheme="majorBidi"/>
          <w:lang w:eastAsia="es-ES"/>
        </w:rPr>
      </w:pPr>
    </w:p>
    <w:p w14:paraId="58AB7AF1" w14:textId="77777777" w:rsidR="00C32C28" w:rsidRDefault="006359F0" w:rsidP="00C32C28">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C32C28">
        <w:rPr>
          <w:rFonts w:ascii="Palatino Linotype" w:hAnsi="Palatino Linotype" w:cs="Arial"/>
          <w:bCs/>
        </w:rPr>
        <w:t xml:space="preserve">Se señala que no están obligados a procesar, ni presentarla conforme al interés del solicitante, resumirla, efectuar cálculos o generar nuevos documentos para atender una solicitud, la ley tampoco lo prohíbe, es decir, los </w:t>
      </w:r>
      <w:r w:rsidRPr="00C32C28">
        <w:rPr>
          <w:rFonts w:ascii="Palatino Linotype" w:hAnsi="Palatino Linotype" w:cs="Arial"/>
          <w:b/>
          <w:bCs/>
        </w:rPr>
        <w:t>SUJETOS OBLIGADOS</w:t>
      </w:r>
      <w:r w:rsidRPr="00C32C28">
        <w:rPr>
          <w:rFonts w:ascii="Palatino Linotype" w:hAnsi="Palatino Linotype" w:cs="Arial"/>
          <w:bCs/>
        </w:rPr>
        <w:t xml:space="preserve"> pueden adoptar como buena práctica para atender las solicitudes de acceso a información pública la elaboración de documentos que satisfagan el derecho, dicho de otro modo, pueden proporcionar la información que atienda las solicitudes, proporcionando aquella información que atienda de manera  exacta, concreta y completa dado que no están impedidos y no es una prohibición que la ley contemple, por ello, la generación de documentos </w:t>
      </w:r>
      <w:r w:rsidRPr="00C32C28">
        <w:rPr>
          <w:rFonts w:ascii="Palatino Linotype" w:hAnsi="Palatino Linotype" w:cs="Arial"/>
          <w:b/>
          <w:bCs/>
        </w:rPr>
        <w:t>ad hoc</w:t>
      </w:r>
      <w:r w:rsidRPr="00C32C28">
        <w:rPr>
          <w:rFonts w:ascii="Palatino Linotype" w:hAnsi="Palatino Linotype" w:cs="Arial"/>
          <w:bCs/>
        </w:rPr>
        <w:t>, puede llevar a cabo siempre y cuando se haga garantice el derecho.</w:t>
      </w:r>
    </w:p>
    <w:p w14:paraId="45984D5C" w14:textId="77777777" w:rsidR="00C32C28" w:rsidRDefault="00C32C28" w:rsidP="00C32C28">
      <w:pPr>
        <w:pStyle w:val="Prrafodelista"/>
        <w:rPr>
          <w:rFonts w:ascii="Palatino Linotype" w:hAnsi="Palatino Linotype" w:cs="Arial"/>
          <w:bCs/>
        </w:rPr>
      </w:pPr>
    </w:p>
    <w:p w14:paraId="7EDCAC24" w14:textId="77777777" w:rsidR="006359F0" w:rsidRPr="00EA6302" w:rsidRDefault="006359F0" w:rsidP="00C32C28">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C32C28">
        <w:rPr>
          <w:rFonts w:ascii="Palatino Linotype" w:hAnsi="Palatino Linotype" w:cs="Arial"/>
          <w:bCs/>
        </w:rPr>
        <w:t>Y bajo la óptica de que este órgano garante no puede dudar de la veracidad de la información que se proporcione, aquellos datos que se informen no serán sujetos a dudar de los mismos, sin embargo</w:t>
      </w:r>
      <w:r w:rsidR="00EA6302">
        <w:rPr>
          <w:rFonts w:ascii="Palatino Linotype" w:hAnsi="Palatino Linotype" w:cs="Arial"/>
          <w:bCs/>
        </w:rPr>
        <w:t>, aunque en este asunto</w:t>
      </w:r>
      <w:r w:rsidRPr="00C32C28">
        <w:rPr>
          <w:rFonts w:ascii="Palatino Linotype" w:hAnsi="Palatino Linotype" w:cs="Arial"/>
          <w:bCs/>
        </w:rPr>
        <w:t xml:space="preserve"> se trató de atender la solicitud, dich</w:t>
      </w:r>
      <w:r w:rsidR="00C32C28">
        <w:rPr>
          <w:rFonts w:ascii="Palatino Linotype" w:hAnsi="Palatino Linotype" w:cs="Arial"/>
          <w:bCs/>
        </w:rPr>
        <w:t xml:space="preserve">a situación no se </w:t>
      </w:r>
      <w:r w:rsidR="00EA6302">
        <w:rPr>
          <w:rFonts w:ascii="Palatino Linotype" w:hAnsi="Palatino Linotype" w:cs="Arial"/>
          <w:bCs/>
        </w:rPr>
        <w:t xml:space="preserve">logró, pues si bien el documento contiene todos los </w:t>
      </w:r>
      <w:r w:rsidR="00EA6302">
        <w:rPr>
          <w:rFonts w:ascii="Palatino Linotype" w:hAnsi="Palatino Linotype" w:cs="Arial"/>
          <w:bCs/>
        </w:rPr>
        <w:lastRenderedPageBreak/>
        <w:t xml:space="preserve">elementos solicitados por el particular, y pudo colmar con la solicitud de información, se testo el nombre, dato que no amerita clasificación, esto en relación a lo señalado en los siguientes párrafos. </w:t>
      </w:r>
    </w:p>
    <w:p w14:paraId="72C4EC98" w14:textId="77777777" w:rsidR="00EA6302" w:rsidRPr="00C32C28" w:rsidRDefault="00EA6302" w:rsidP="00EA6302">
      <w:pPr>
        <w:spacing w:line="360" w:lineRule="auto"/>
        <w:ind w:right="49"/>
        <w:contextualSpacing/>
        <w:jc w:val="both"/>
        <w:rPr>
          <w:rFonts w:ascii="Palatino Linotype" w:eastAsia="MS Gothic" w:hAnsi="Palatino Linotype" w:cstheme="majorBidi"/>
          <w:lang w:eastAsia="es-ES"/>
        </w:rPr>
      </w:pPr>
    </w:p>
    <w:p w14:paraId="07B56574" w14:textId="77777777" w:rsidR="00C32C28" w:rsidRPr="00C32C28" w:rsidRDefault="00C32C28" w:rsidP="00C32C28">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C32C28">
        <w:rPr>
          <w:rFonts w:ascii="Palatino Linotype" w:eastAsia="MS Gothic" w:hAnsi="Palatino Linotype" w:cstheme="majorBidi"/>
          <w:lang w:val="es-ES_tradnl" w:eastAsia="es-ES"/>
        </w:rPr>
        <w:t xml:space="preserve">Respecto al nombre en las licencias de funcionamiento, </w:t>
      </w:r>
      <w:r w:rsidRPr="00C32C28">
        <w:rPr>
          <w:rFonts w:ascii="Palatino Linotype" w:eastAsia="MS Gothic" w:hAnsi="Palatino Linotype" w:cstheme="majorBidi"/>
          <w:bCs/>
          <w:lang w:eastAsia="es-ES"/>
        </w:rPr>
        <w:t xml:space="preserve">se considera que el nombre de una persona se integra </w:t>
      </w:r>
      <w:r w:rsidRPr="00C32C28">
        <w:rPr>
          <w:rFonts w:ascii="Palatino Linotype" w:eastAsia="MS Gothic" w:hAnsi="Palatino Linotype" w:cstheme="majorBidi"/>
          <w:bCs/>
          <w:lang w:val="es-ES_tradnl" w:eastAsia="es-E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C32C28">
        <w:rPr>
          <w:rFonts w:ascii="Palatino Linotype" w:eastAsia="MS Gothic" w:hAnsi="Palatino Linotype" w:cstheme="majorBidi"/>
          <w:bCs/>
          <w:i/>
          <w:lang w:val="es-ES_tradnl" w:eastAsia="es-ES"/>
        </w:rPr>
        <w:t>per se</w:t>
      </w:r>
      <w:r w:rsidRPr="00C32C28">
        <w:rPr>
          <w:rFonts w:ascii="Palatino Linotype" w:eastAsia="MS Gothic" w:hAnsi="Palatino Linotype" w:cstheme="majorBidi"/>
          <w:bCs/>
          <w:lang w:val="es-ES_tradnl" w:eastAsia="es-ES"/>
        </w:rPr>
        <w:t xml:space="preserve"> es un elemento que hace a una persona física identificada o identificable, por lo que, se considera un dato personal.</w:t>
      </w:r>
    </w:p>
    <w:p w14:paraId="5501CBB6" w14:textId="77777777" w:rsidR="00C32C28" w:rsidRDefault="00C32C28" w:rsidP="00C32C28">
      <w:pPr>
        <w:spacing w:line="360" w:lineRule="auto"/>
        <w:ind w:right="49"/>
        <w:contextualSpacing/>
        <w:jc w:val="both"/>
        <w:rPr>
          <w:rFonts w:ascii="Palatino Linotype" w:eastAsia="MS Gothic" w:hAnsi="Palatino Linotype" w:cstheme="majorBidi"/>
          <w:b/>
          <w:bCs/>
          <w:lang w:val="es-ES_tradnl" w:eastAsia="es-ES"/>
        </w:rPr>
      </w:pPr>
    </w:p>
    <w:p w14:paraId="40F0E447" w14:textId="77777777" w:rsidR="00C32C28" w:rsidRPr="005A334B" w:rsidRDefault="00C32C28" w:rsidP="00C32C28">
      <w:pPr>
        <w:numPr>
          <w:ilvl w:val="0"/>
          <w:numId w:val="1"/>
        </w:numPr>
        <w:spacing w:line="360" w:lineRule="auto"/>
        <w:ind w:left="0" w:right="49" w:firstLine="0"/>
        <w:contextualSpacing/>
        <w:jc w:val="both"/>
        <w:rPr>
          <w:rFonts w:ascii="Palatino Linotype" w:eastAsia="MS Gothic" w:hAnsi="Palatino Linotype" w:cstheme="majorBidi"/>
          <w:b/>
          <w:bCs/>
          <w:lang w:val="es-ES_tradnl" w:eastAsia="es-ES"/>
        </w:rPr>
      </w:pPr>
      <w:r w:rsidRPr="005A334B">
        <w:rPr>
          <w:rFonts w:ascii="Palatino Linotype" w:eastAsia="Calibri" w:hAnsi="Palatino Linotype" w:cs="Tahoma"/>
          <w:bCs/>
          <w:lang w:val="es-ES_tradnl"/>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7472457E" w14:textId="77777777" w:rsidR="00C32C28" w:rsidRPr="005A334B" w:rsidRDefault="00C32C28" w:rsidP="00C32C28">
      <w:pPr>
        <w:pStyle w:val="Prrafodelista"/>
        <w:spacing w:line="360" w:lineRule="auto"/>
        <w:ind w:left="644"/>
        <w:jc w:val="both"/>
        <w:rPr>
          <w:rFonts w:ascii="Palatino Linotype" w:eastAsia="Calibri" w:hAnsi="Palatino Linotype" w:cs="Tahoma"/>
          <w:bCs/>
          <w:sz w:val="20"/>
          <w:lang w:val="es-ES_tradnl"/>
        </w:rPr>
      </w:pPr>
    </w:p>
    <w:p w14:paraId="5EE0DA79" w14:textId="77777777" w:rsidR="00C32C28" w:rsidRPr="00C32C28" w:rsidRDefault="00C32C28" w:rsidP="00C32C28">
      <w:pPr>
        <w:pStyle w:val="Prrafodelista"/>
        <w:spacing w:line="360" w:lineRule="auto"/>
        <w:ind w:left="851" w:right="822"/>
        <w:jc w:val="both"/>
        <w:rPr>
          <w:rFonts w:ascii="Palatino Linotype" w:eastAsia="Calibri" w:hAnsi="Palatino Linotype" w:cs="Tahoma"/>
          <w:bCs/>
          <w:i/>
        </w:rPr>
      </w:pPr>
      <w:r w:rsidRPr="00C32C28">
        <w:rPr>
          <w:rFonts w:ascii="Palatino Linotype" w:eastAsia="Calibri" w:hAnsi="Palatino Linotype" w:cs="Tahoma"/>
          <w:b/>
          <w:bCs/>
          <w:i/>
        </w:rPr>
        <w:t>“Nombre del titular de una licencia que no involucre el aprovechamiento de bienes, servicios y/o recursos públicos, constituye un dato personal susceptible de clasificar como confidencial.</w:t>
      </w:r>
      <w:r w:rsidRPr="00C32C28">
        <w:rPr>
          <w:rFonts w:ascii="Palatino Linotype" w:eastAsia="Calibri" w:hAnsi="Palatino Linotype" w:cs="Tahoma"/>
          <w:bCs/>
          <w:i/>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w:t>
      </w:r>
      <w:r w:rsidRPr="00C32C28">
        <w:rPr>
          <w:rFonts w:ascii="Palatino Linotype" w:eastAsia="Calibri" w:hAnsi="Palatino Linotype" w:cs="Tahoma"/>
          <w:bCs/>
          <w:i/>
        </w:rPr>
        <w:lastRenderedPageBreak/>
        <w:t>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732A3CC7" w14:textId="77777777" w:rsidR="00C32C28" w:rsidRPr="005A334B" w:rsidRDefault="00C32C28" w:rsidP="00C32C28">
      <w:pPr>
        <w:pStyle w:val="Prrafodelista"/>
        <w:spacing w:line="360" w:lineRule="auto"/>
        <w:ind w:left="644" w:right="-93"/>
        <w:jc w:val="both"/>
        <w:rPr>
          <w:rFonts w:ascii="Palatino Linotype" w:eastAsia="Calibri" w:hAnsi="Palatino Linotype" w:cs="Tahoma"/>
          <w:bCs/>
        </w:rPr>
      </w:pPr>
    </w:p>
    <w:p w14:paraId="366AA2EB" w14:textId="77777777" w:rsidR="00C32C28" w:rsidRPr="005A334B" w:rsidRDefault="00C32C28" w:rsidP="00C32C28">
      <w:pPr>
        <w:pStyle w:val="Prrafodelista"/>
        <w:numPr>
          <w:ilvl w:val="0"/>
          <w:numId w:val="1"/>
        </w:numPr>
        <w:spacing w:line="360" w:lineRule="auto"/>
        <w:ind w:left="0" w:right="-93" w:firstLine="0"/>
        <w:jc w:val="both"/>
        <w:rPr>
          <w:rFonts w:ascii="Palatino Linotype" w:eastAsia="Calibri" w:hAnsi="Palatino Linotype" w:cs="Tahoma"/>
          <w:bCs/>
          <w:sz w:val="24"/>
        </w:rPr>
      </w:pPr>
      <w:r w:rsidRPr="005A334B">
        <w:rPr>
          <w:rFonts w:ascii="Palatino Linotype" w:eastAsia="Calibri" w:hAnsi="Palatino Linotype" w:cs="Tahoma"/>
          <w:bCs/>
          <w:sz w:val="24"/>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33F8D854" w14:textId="77777777" w:rsidR="00C32C28" w:rsidRPr="005A334B" w:rsidRDefault="00C32C28" w:rsidP="00C32C28">
      <w:pPr>
        <w:pStyle w:val="Prrafodelista"/>
        <w:spacing w:line="360" w:lineRule="auto"/>
        <w:ind w:left="0" w:right="-93"/>
        <w:jc w:val="both"/>
        <w:rPr>
          <w:rFonts w:ascii="Palatino Linotype" w:eastAsia="Calibri" w:hAnsi="Palatino Linotype" w:cs="Tahoma"/>
          <w:bCs/>
          <w:sz w:val="24"/>
        </w:rPr>
      </w:pPr>
    </w:p>
    <w:p w14:paraId="6C8FE8E0" w14:textId="77777777" w:rsidR="00C32C28" w:rsidRDefault="00C32C28" w:rsidP="00C32C28">
      <w:pPr>
        <w:pStyle w:val="Prrafodelista"/>
        <w:numPr>
          <w:ilvl w:val="0"/>
          <w:numId w:val="1"/>
        </w:numPr>
        <w:spacing w:line="360" w:lineRule="auto"/>
        <w:ind w:left="0" w:right="-93" w:firstLine="0"/>
        <w:jc w:val="both"/>
        <w:rPr>
          <w:rFonts w:ascii="Palatino Linotype" w:eastAsia="Calibri" w:hAnsi="Palatino Linotype" w:cs="Tahoma"/>
          <w:bCs/>
          <w:sz w:val="24"/>
          <w:lang w:val="es-ES_tradnl"/>
        </w:rPr>
      </w:pPr>
      <w:r w:rsidRPr="005A334B">
        <w:rPr>
          <w:rFonts w:ascii="Palatino Linotype" w:eastAsia="Calibri" w:hAnsi="Palatino Linotype" w:cs="Tahoma"/>
          <w:bCs/>
          <w:sz w:val="24"/>
          <w:lang w:val="es-ES_tradnl"/>
        </w:rPr>
        <w:t>No obstante, se considera que el nombre localizado en una licencia de funcionamiento, guarda cierto interés público, dado que cualquier actividad comercial, industrial o económica, es regulada por el Municipio dentro de su circunscripción territorial, pues ayuda a transparentar la gestión pública.</w:t>
      </w:r>
    </w:p>
    <w:p w14:paraId="67E5DBD3" w14:textId="77777777" w:rsidR="00C32C28" w:rsidRPr="005A334B" w:rsidRDefault="00C32C28" w:rsidP="00C32C28">
      <w:pPr>
        <w:pStyle w:val="Prrafodelista"/>
        <w:spacing w:line="360" w:lineRule="auto"/>
        <w:ind w:left="0" w:right="-93"/>
        <w:jc w:val="both"/>
        <w:rPr>
          <w:rFonts w:ascii="Palatino Linotype" w:eastAsia="Calibri" w:hAnsi="Palatino Linotype" w:cs="Tahoma"/>
          <w:bCs/>
          <w:sz w:val="24"/>
          <w:lang w:val="es-ES_tradnl"/>
        </w:rPr>
      </w:pPr>
    </w:p>
    <w:p w14:paraId="782F10A1" w14:textId="77777777" w:rsidR="00B1000A" w:rsidRPr="009F1D76" w:rsidRDefault="00AE7A51" w:rsidP="009F1D76">
      <w:pPr>
        <w:numPr>
          <w:ilvl w:val="0"/>
          <w:numId w:val="1"/>
        </w:numPr>
        <w:spacing w:line="360" w:lineRule="auto"/>
        <w:ind w:left="0" w:right="49" w:firstLine="0"/>
        <w:jc w:val="both"/>
        <w:rPr>
          <w:rFonts w:ascii="Palatino Linotype" w:eastAsia="MS Gothic" w:hAnsi="Palatino Linotype" w:cstheme="majorBidi"/>
          <w:b/>
          <w:bCs/>
        </w:rPr>
      </w:pPr>
      <w:bookmarkStart w:id="14" w:name="_Toc81487308"/>
      <w:bookmarkStart w:id="15" w:name="_Toc69765093"/>
      <w:bookmarkStart w:id="16" w:name="_Toc70417468"/>
      <w:r w:rsidRPr="00AE7A51">
        <w:rPr>
          <w:rFonts w:ascii="Palatino Linotype" w:eastAsia="MS Gothic" w:hAnsi="Palatino Linotype" w:cstheme="majorBidi"/>
          <w:bCs/>
        </w:rPr>
        <w:t>Derivad</w:t>
      </w:r>
      <w:r>
        <w:rPr>
          <w:rFonts w:ascii="Palatino Linotype" w:eastAsia="MS Gothic" w:hAnsi="Palatino Linotype" w:cstheme="majorBidi"/>
          <w:bCs/>
        </w:rPr>
        <w:t>o del estudio</w:t>
      </w:r>
      <w:r w:rsidRPr="00AE7A51">
        <w:rPr>
          <w:rFonts w:ascii="Palatino Linotype" w:eastAsia="MS Gothic" w:hAnsi="Palatino Linotype" w:cstheme="majorBidi"/>
          <w:bCs/>
        </w:rPr>
        <w:t xml:space="preserve">, así como de la respuesta del Sujeto Obligado, resultan fundados los motivos de inconformidad hechos valer por el recurrente, por lo cual, con fundamento en el artículo 186, fracción III de la Ley de Transparencia y Acceso a la Información Pública del Estado de México y Municipios, de determina </w:t>
      </w:r>
      <w:r w:rsidRPr="00AE7A51">
        <w:rPr>
          <w:rFonts w:ascii="Palatino Linotype" w:eastAsia="MS Gothic" w:hAnsi="Palatino Linotype" w:cstheme="majorBidi"/>
          <w:b/>
          <w:bCs/>
        </w:rPr>
        <w:t>REVOCAR</w:t>
      </w:r>
      <w:r w:rsidRPr="00AE7A51">
        <w:rPr>
          <w:rFonts w:ascii="Palatino Linotype" w:eastAsia="MS Gothic" w:hAnsi="Palatino Linotype" w:cstheme="majorBidi"/>
          <w:bCs/>
        </w:rPr>
        <w:t xml:space="preserve"> la respuesta del </w:t>
      </w:r>
      <w:r w:rsidRPr="00AE7A51">
        <w:rPr>
          <w:rFonts w:ascii="Palatino Linotype" w:eastAsia="MS Gothic" w:hAnsi="Palatino Linotype" w:cstheme="majorBidi"/>
          <w:b/>
          <w:bCs/>
        </w:rPr>
        <w:t xml:space="preserve">SUJETO OBLIGADO </w:t>
      </w:r>
      <w:r w:rsidRPr="00AE7A51">
        <w:rPr>
          <w:rFonts w:ascii="Palatino Linotype" w:eastAsia="MS Gothic" w:hAnsi="Palatino Linotype" w:cstheme="majorBidi"/>
          <w:bCs/>
        </w:rPr>
        <w:t>y se</w:t>
      </w:r>
      <w:r w:rsidRPr="00AE7A51">
        <w:rPr>
          <w:rFonts w:ascii="Palatino Linotype" w:eastAsia="MS Gothic" w:hAnsi="Palatino Linotype" w:cstheme="majorBidi"/>
          <w:b/>
          <w:bCs/>
        </w:rPr>
        <w:t xml:space="preserve"> ORDENA </w:t>
      </w:r>
      <w:r w:rsidRPr="00AE7A51">
        <w:rPr>
          <w:rFonts w:ascii="Palatino Linotype" w:eastAsia="MS Gothic" w:hAnsi="Palatino Linotype" w:cstheme="majorBidi"/>
          <w:bCs/>
        </w:rPr>
        <w:t>la entrega</w:t>
      </w:r>
      <w:r w:rsidR="00BA7922">
        <w:rPr>
          <w:rFonts w:ascii="Palatino Linotype" w:eastAsia="MS Gothic" w:hAnsi="Palatino Linotype" w:cstheme="majorBidi"/>
          <w:bCs/>
        </w:rPr>
        <w:t xml:space="preserve"> </w:t>
      </w:r>
      <w:r w:rsidR="009F1D76">
        <w:rPr>
          <w:rFonts w:ascii="Palatino Linotype" w:eastAsia="MS Gothic" w:hAnsi="Palatino Linotype" w:cstheme="majorBidi"/>
          <w:bCs/>
        </w:rPr>
        <w:t xml:space="preserve">del </w:t>
      </w:r>
      <w:bookmarkEnd w:id="14"/>
      <w:bookmarkEnd w:id="15"/>
      <w:bookmarkEnd w:id="16"/>
      <w:r w:rsidR="009F1D76">
        <w:rPr>
          <w:rFonts w:ascii="Palatino Linotype" w:eastAsia="MS Gothic" w:hAnsi="Palatino Linotype" w:cstheme="majorBidi"/>
          <w:b/>
          <w:bCs/>
          <w:lang w:val="es-ES"/>
        </w:rPr>
        <w:t>d</w:t>
      </w:r>
      <w:r w:rsidR="009F1D76" w:rsidRPr="009F1D76">
        <w:rPr>
          <w:rFonts w:ascii="Palatino Linotype" w:eastAsia="MS Gothic" w:hAnsi="Palatino Linotype" w:cstheme="majorBidi"/>
          <w:b/>
          <w:bCs/>
          <w:lang w:val="es-ES"/>
        </w:rPr>
        <w:t>ocumento emitido a través de informe justificado</w:t>
      </w:r>
      <w:r w:rsidR="009F1D76">
        <w:rPr>
          <w:rFonts w:ascii="Palatino Linotype" w:eastAsia="MS Gothic" w:hAnsi="Palatino Linotype" w:cstheme="majorBidi"/>
          <w:b/>
          <w:bCs/>
          <w:lang w:val="es-ES"/>
        </w:rPr>
        <w:t>,</w:t>
      </w:r>
      <w:r w:rsidR="009F1D76" w:rsidRPr="009F1D76">
        <w:rPr>
          <w:rFonts w:ascii="Palatino Linotype" w:eastAsia="MS Gothic" w:hAnsi="Palatino Linotype" w:cstheme="majorBidi"/>
          <w:b/>
          <w:bCs/>
          <w:lang w:val="es-ES"/>
        </w:rPr>
        <w:t xml:space="preserve"> de forma íntegra, con la relación de licencias de funcionamiento expedidas del primero de enero al tres de octubre de dos mil veintidós, en el que se advierte el tipo de impacto, el nombre, el giro y el domicilio.</w:t>
      </w:r>
    </w:p>
    <w:p w14:paraId="409DEEAB" w14:textId="77777777" w:rsidR="00B1000A" w:rsidRPr="00874DD0" w:rsidRDefault="00B1000A" w:rsidP="00B1000A">
      <w:pPr>
        <w:spacing w:line="360" w:lineRule="auto"/>
        <w:ind w:right="49"/>
        <w:contextualSpacing/>
        <w:jc w:val="both"/>
        <w:rPr>
          <w:rFonts w:ascii="Palatino Linotype" w:eastAsia="Calibri" w:hAnsi="Palatino Linotype"/>
        </w:rPr>
      </w:pPr>
    </w:p>
    <w:p w14:paraId="05D9EB78" w14:textId="77777777" w:rsidR="00B1000A" w:rsidRPr="00874DD0" w:rsidRDefault="00B1000A" w:rsidP="00B1000A">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874DD0">
        <w:rPr>
          <w:rFonts w:ascii="Palatino Linotype" w:eastAsia="Calibri" w:hAnsi="Palatino Linotype"/>
        </w:rPr>
        <w:t xml:space="preserve">Por lo anteriormente expuesto y fundado, este </w:t>
      </w:r>
      <w:r w:rsidRPr="00874DD0">
        <w:rPr>
          <w:rFonts w:ascii="Palatino Linotype" w:eastAsia="Calibri" w:hAnsi="Palatino Linotype"/>
          <w:b/>
          <w:bCs/>
        </w:rPr>
        <w:t>ÓRGANO GARANTE</w:t>
      </w:r>
      <w:r w:rsidRPr="00874DD0">
        <w:rPr>
          <w:rFonts w:ascii="Palatino Linotype" w:eastAsia="Calibri" w:hAnsi="Palatino Linotype"/>
        </w:rPr>
        <w:t xml:space="preserve"> emite los siguientes:</w:t>
      </w:r>
    </w:p>
    <w:p w14:paraId="142B09CD" w14:textId="77777777" w:rsidR="008254EF" w:rsidRPr="00874DD0" w:rsidRDefault="008254EF" w:rsidP="00B1000A">
      <w:pPr>
        <w:spacing w:line="360" w:lineRule="auto"/>
        <w:contextualSpacing/>
        <w:jc w:val="both"/>
        <w:rPr>
          <w:rFonts w:ascii="Palatino Linotype" w:eastAsia="Calibri" w:hAnsi="Palatino Linotype"/>
        </w:rPr>
      </w:pPr>
    </w:p>
    <w:p w14:paraId="5223C195" w14:textId="77777777" w:rsidR="00B1000A" w:rsidRPr="00874DD0" w:rsidRDefault="00B1000A" w:rsidP="00B1000A">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17" w:name="_Toc528153792"/>
      <w:bookmarkStart w:id="18" w:name="_Toc71158406"/>
      <w:bookmarkStart w:id="19" w:name="_Toc83301643"/>
      <w:r w:rsidRPr="00874DD0">
        <w:rPr>
          <w:rFonts w:ascii="Palatino Linotype" w:eastAsiaTheme="majorEastAsia" w:hAnsi="Palatino Linotype" w:cstheme="majorBidi"/>
          <w:b/>
          <w:color w:val="000000" w:themeColor="text1"/>
          <w:lang w:eastAsia="en-US"/>
        </w:rPr>
        <w:t>R E S O L U T I V O S</w:t>
      </w:r>
      <w:bookmarkEnd w:id="17"/>
      <w:bookmarkEnd w:id="18"/>
      <w:bookmarkEnd w:id="19"/>
    </w:p>
    <w:p w14:paraId="40C64F3D" w14:textId="77777777" w:rsidR="00B1000A" w:rsidRPr="00874DD0" w:rsidRDefault="00B1000A" w:rsidP="00B1000A">
      <w:pPr>
        <w:keepNext/>
        <w:keepLines/>
        <w:spacing w:line="360" w:lineRule="auto"/>
        <w:jc w:val="center"/>
        <w:outlineLvl w:val="0"/>
        <w:rPr>
          <w:rFonts w:ascii="Palatino Linotype" w:eastAsiaTheme="majorEastAsia" w:hAnsi="Palatino Linotype" w:cstheme="majorBidi"/>
          <w:b/>
          <w:color w:val="000000" w:themeColor="text1"/>
          <w:lang w:eastAsia="en-US"/>
        </w:rPr>
      </w:pPr>
    </w:p>
    <w:p w14:paraId="12DAB666" w14:textId="77777777" w:rsidR="00B1000A" w:rsidRPr="00874DD0" w:rsidRDefault="00B1000A" w:rsidP="00B1000A">
      <w:pPr>
        <w:spacing w:line="360" w:lineRule="auto"/>
        <w:jc w:val="both"/>
        <w:rPr>
          <w:rFonts w:ascii="Palatino Linotype" w:hAnsi="Palatino Linotype" w:cs="Arial"/>
          <w:lang w:val="es-ES"/>
        </w:rPr>
      </w:pPr>
      <w:r w:rsidRPr="00874DD0">
        <w:rPr>
          <w:rFonts w:ascii="Palatino Linotype" w:hAnsi="Palatino Linotype" w:cs="Arial"/>
          <w:b/>
        </w:rPr>
        <w:t>PRIMERO</w:t>
      </w:r>
      <w:r w:rsidRPr="00874DD0">
        <w:rPr>
          <w:rFonts w:ascii="Palatino Linotype" w:hAnsi="Palatino Linotype" w:cs="Arial"/>
          <w:lang w:val="es-ES"/>
        </w:rPr>
        <w:t xml:space="preserve">. Resultan fundadas las razones o motivos de </w:t>
      </w:r>
      <w:r w:rsidR="002C604F">
        <w:rPr>
          <w:rFonts w:ascii="Palatino Linotype" w:hAnsi="Palatino Linotype" w:cs="Arial"/>
          <w:lang w:val="es-ES"/>
        </w:rPr>
        <w:t>i</w:t>
      </w:r>
      <w:r w:rsidR="00312DA7">
        <w:rPr>
          <w:rFonts w:ascii="Palatino Linotype" w:hAnsi="Palatino Linotype" w:cs="Arial"/>
          <w:lang w:val="es-ES"/>
        </w:rPr>
        <w:t>nconformidad hechos valer en el</w:t>
      </w:r>
      <w:r w:rsidRPr="00874DD0">
        <w:rPr>
          <w:rFonts w:ascii="Palatino Linotype" w:hAnsi="Palatino Linotype" w:cs="Arial"/>
          <w:lang w:val="es-ES"/>
        </w:rPr>
        <w:t xml:space="preserve"> Recurso de Revisión </w:t>
      </w:r>
      <w:r w:rsidR="009F1D76">
        <w:rPr>
          <w:rFonts w:ascii="Palatino Linotype" w:hAnsi="Palatino Linotype"/>
          <w:b/>
        </w:rPr>
        <w:t>16093</w:t>
      </w:r>
      <w:r w:rsidRPr="00874DD0">
        <w:rPr>
          <w:rFonts w:ascii="Palatino Linotype" w:hAnsi="Palatino Linotype"/>
          <w:b/>
        </w:rPr>
        <w:t>/INFOEM/I</w:t>
      </w:r>
      <w:r w:rsidR="009F1D76">
        <w:rPr>
          <w:rFonts w:ascii="Palatino Linotype" w:hAnsi="Palatino Linotype"/>
          <w:b/>
        </w:rPr>
        <w:t>P/RR/2022</w:t>
      </w:r>
      <w:r w:rsidRPr="00874DD0">
        <w:rPr>
          <w:rFonts w:ascii="Palatino Linotype" w:hAnsi="Palatino Linotype"/>
        </w:rPr>
        <w:t>,</w:t>
      </w:r>
      <w:r w:rsidRPr="00874DD0">
        <w:rPr>
          <w:rFonts w:ascii="Palatino Linotype" w:hAnsi="Palatino Linotype" w:cs="Arial"/>
          <w:b/>
          <w:lang w:val="es-ES"/>
        </w:rPr>
        <w:t xml:space="preserve"> </w:t>
      </w:r>
      <w:r w:rsidRPr="00874DD0">
        <w:rPr>
          <w:rFonts w:ascii="Palatino Linotype" w:hAnsi="Palatino Linotype" w:cs="Arial"/>
          <w:lang w:val="es-ES"/>
        </w:rPr>
        <w:t>en términos de los Considerandos</w:t>
      </w:r>
      <w:r w:rsidRPr="00874DD0">
        <w:rPr>
          <w:rFonts w:ascii="Palatino Linotype" w:hAnsi="Palatino Linotype" w:cs="Arial"/>
          <w:b/>
          <w:lang w:val="es-ES"/>
        </w:rPr>
        <w:t xml:space="preserve"> Cuarto y Quinto </w:t>
      </w:r>
      <w:r w:rsidRPr="00874DD0">
        <w:rPr>
          <w:rFonts w:ascii="Palatino Linotype" w:hAnsi="Palatino Linotype" w:cs="Arial"/>
          <w:lang w:val="es-ES"/>
        </w:rPr>
        <w:t xml:space="preserve">de la presente resolución. </w:t>
      </w:r>
    </w:p>
    <w:p w14:paraId="6B94155C" w14:textId="77777777" w:rsidR="00B1000A" w:rsidRPr="00874DD0" w:rsidRDefault="00B1000A" w:rsidP="00B1000A">
      <w:pPr>
        <w:spacing w:line="360" w:lineRule="auto"/>
        <w:jc w:val="both"/>
        <w:rPr>
          <w:rFonts w:ascii="Palatino Linotype" w:hAnsi="Palatino Linotype" w:cs="Arial"/>
          <w:lang w:val="es-ES"/>
        </w:rPr>
      </w:pPr>
    </w:p>
    <w:p w14:paraId="2B044E01" w14:textId="77777777" w:rsidR="00B1000A" w:rsidRPr="00874DD0" w:rsidRDefault="00B1000A" w:rsidP="00B1000A">
      <w:pPr>
        <w:autoSpaceDE w:val="0"/>
        <w:autoSpaceDN w:val="0"/>
        <w:adjustRightInd w:val="0"/>
        <w:spacing w:line="360" w:lineRule="auto"/>
        <w:ind w:right="49"/>
        <w:jc w:val="both"/>
        <w:rPr>
          <w:rFonts w:ascii="Palatino Linotype" w:hAnsi="Palatino Linotype" w:cs="Arial"/>
          <w:lang w:val="es-ES"/>
        </w:rPr>
      </w:pPr>
      <w:bookmarkStart w:id="20" w:name="_Toc503891607"/>
      <w:bookmarkStart w:id="21" w:name="_Toc511647757"/>
      <w:bookmarkStart w:id="22" w:name="_Toc511647818"/>
      <w:bookmarkStart w:id="23" w:name="_Toc477891768"/>
      <w:bookmarkStart w:id="24" w:name="_Toc477891858"/>
      <w:bookmarkStart w:id="25" w:name="_Toc481576259"/>
      <w:bookmarkStart w:id="26" w:name="_Toc492590391"/>
      <w:bookmarkStart w:id="27" w:name="_Toc462653937"/>
      <w:bookmarkStart w:id="28" w:name="_Toc453696502"/>
      <w:bookmarkStart w:id="29" w:name="_Toc454301155"/>
      <w:r w:rsidRPr="00874DD0">
        <w:rPr>
          <w:rFonts w:ascii="Palatino Linotype" w:hAnsi="Palatino Linotype"/>
          <w:b/>
        </w:rPr>
        <w:lastRenderedPageBreak/>
        <w:t>SEGUNDO.</w:t>
      </w:r>
      <w:bookmarkEnd w:id="20"/>
      <w:bookmarkEnd w:id="21"/>
      <w:bookmarkEnd w:id="22"/>
      <w:r w:rsidRPr="00874DD0">
        <w:rPr>
          <w:rFonts w:ascii="Palatino Linotype" w:hAnsi="Palatino Linotype"/>
          <w:b/>
        </w:rPr>
        <w:t xml:space="preserve"> </w:t>
      </w:r>
      <w:bookmarkEnd w:id="23"/>
      <w:bookmarkEnd w:id="24"/>
      <w:bookmarkEnd w:id="25"/>
      <w:bookmarkEnd w:id="26"/>
      <w:bookmarkEnd w:id="27"/>
      <w:bookmarkEnd w:id="28"/>
      <w:bookmarkEnd w:id="29"/>
      <w:r w:rsidRPr="00874DD0">
        <w:rPr>
          <w:rFonts w:ascii="Palatino Linotype" w:eastAsia="MS Mincho" w:hAnsi="Palatino Linotype"/>
          <w:color w:val="000000" w:themeColor="text1"/>
        </w:rPr>
        <w:t xml:space="preserve">Se </w:t>
      </w:r>
      <w:r w:rsidRPr="00874DD0">
        <w:rPr>
          <w:rFonts w:ascii="Palatino Linotype" w:eastAsia="MS Mincho" w:hAnsi="Palatino Linotype"/>
          <w:b/>
          <w:color w:val="000000" w:themeColor="text1"/>
        </w:rPr>
        <w:t xml:space="preserve">REVOCA </w:t>
      </w:r>
      <w:r w:rsidRPr="00874DD0">
        <w:rPr>
          <w:rFonts w:ascii="Palatino Linotype" w:eastAsia="MS Mincho" w:hAnsi="Palatino Linotype"/>
          <w:color w:val="000000" w:themeColor="text1"/>
        </w:rPr>
        <w:t xml:space="preserve">la respuesta emitida por el </w:t>
      </w:r>
      <w:r w:rsidR="009F1D76" w:rsidRPr="009F1D76">
        <w:rPr>
          <w:rFonts w:ascii="Palatino Linotype" w:hAnsi="Palatino Linotype"/>
          <w:b/>
          <w:bCs/>
          <w:color w:val="000000"/>
        </w:rPr>
        <w:t xml:space="preserve">Ayuntamiento de Tepotzotlán </w:t>
      </w:r>
      <w:r w:rsidR="009F1D76">
        <w:rPr>
          <w:rFonts w:ascii="Palatino Linotype" w:hAnsi="Palatino Linotype"/>
          <w:b/>
          <w:bCs/>
          <w:color w:val="000000"/>
        </w:rPr>
        <w:t xml:space="preserve"> </w:t>
      </w:r>
      <w:r w:rsidRPr="00874DD0">
        <w:rPr>
          <w:rFonts w:ascii="Palatino Linotype" w:eastAsia="MS Mincho" w:hAnsi="Palatino Linotype"/>
          <w:color w:val="000000" w:themeColor="text1"/>
        </w:rPr>
        <w:t xml:space="preserve">y se </w:t>
      </w:r>
      <w:r w:rsidRPr="00874DD0">
        <w:rPr>
          <w:rFonts w:ascii="Palatino Linotype" w:eastAsia="MS Mincho" w:hAnsi="Palatino Linotype"/>
          <w:b/>
          <w:color w:val="000000" w:themeColor="text1"/>
        </w:rPr>
        <w:t>ORDENA</w:t>
      </w:r>
      <w:r w:rsidRPr="00874DD0">
        <w:rPr>
          <w:rFonts w:ascii="Palatino Linotype" w:eastAsia="MS Mincho" w:hAnsi="Palatino Linotype"/>
          <w:color w:val="000000" w:themeColor="text1"/>
        </w:rPr>
        <w:t xml:space="preserve"> entregar vía Sistema de Acceso a la Información Mexiquense </w:t>
      </w:r>
      <w:r w:rsidRPr="00874DD0">
        <w:rPr>
          <w:rFonts w:ascii="Palatino Linotype" w:eastAsia="MS Mincho" w:hAnsi="Palatino Linotype"/>
          <w:b/>
          <w:color w:val="000000" w:themeColor="text1"/>
        </w:rPr>
        <w:t>(SAIMEX)</w:t>
      </w:r>
      <w:r w:rsidRPr="00874DD0">
        <w:rPr>
          <w:rFonts w:ascii="Palatino Linotype" w:eastAsia="MS Mincho" w:hAnsi="Palatino Linotype"/>
          <w:color w:val="000000" w:themeColor="text1"/>
        </w:rPr>
        <w:t>, la siguiente información:</w:t>
      </w:r>
    </w:p>
    <w:p w14:paraId="5F313F46" w14:textId="77777777" w:rsidR="00B1000A" w:rsidRPr="00874DD0" w:rsidRDefault="00B1000A" w:rsidP="00B1000A">
      <w:pPr>
        <w:spacing w:line="360" w:lineRule="auto"/>
        <w:jc w:val="both"/>
        <w:rPr>
          <w:rFonts w:ascii="Palatino Linotype" w:eastAsia="MS Mincho" w:hAnsi="Palatino Linotype"/>
          <w:color w:val="000000" w:themeColor="text1"/>
        </w:rPr>
      </w:pPr>
    </w:p>
    <w:p w14:paraId="7F554222" w14:textId="77777777" w:rsidR="00312DA7" w:rsidRPr="00312DA7" w:rsidRDefault="009F1D76" w:rsidP="00312DA7">
      <w:pPr>
        <w:pStyle w:val="Prrafodelista"/>
        <w:numPr>
          <w:ilvl w:val="0"/>
          <w:numId w:val="5"/>
        </w:numPr>
        <w:spacing w:line="360" w:lineRule="auto"/>
        <w:ind w:right="539"/>
        <w:jc w:val="both"/>
        <w:rPr>
          <w:rFonts w:ascii="Palatino Linotype" w:hAnsi="Palatino Linotype" w:cs="Arial"/>
          <w:b/>
          <w:sz w:val="24"/>
        </w:rPr>
      </w:pPr>
      <w:r>
        <w:rPr>
          <w:rFonts w:ascii="Palatino Linotype" w:eastAsia="MS Mincho" w:hAnsi="Palatino Linotype" w:cstheme="majorBidi"/>
          <w:b/>
          <w:sz w:val="24"/>
          <w:lang w:val="es-ES"/>
        </w:rPr>
        <w:t>Documento emitido a través de informe justificado,</w:t>
      </w:r>
      <w:r w:rsidRPr="009F1D76">
        <w:rPr>
          <w:rFonts w:ascii="Palatino Linotype" w:eastAsia="MS Mincho" w:hAnsi="Palatino Linotype" w:cstheme="majorBidi"/>
          <w:b/>
          <w:sz w:val="24"/>
          <w:lang w:val="es-ES"/>
        </w:rPr>
        <w:t xml:space="preserve"> de forma íntegra</w:t>
      </w:r>
      <w:r>
        <w:rPr>
          <w:rFonts w:ascii="Palatino Linotype" w:eastAsia="MS Mincho" w:hAnsi="Palatino Linotype" w:cstheme="majorBidi"/>
          <w:b/>
          <w:sz w:val="24"/>
          <w:lang w:val="es-ES"/>
        </w:rPr>
        <w:t>, con la relación de licencias de funcionamiento expedidas del primero de enero al tres de octubre de dos mil veintidós, en el que se advierte el tipo de impacto, el nombre, el giro y el domicilio.</w:t>
      </w:r>
    </w:p>
    <w:p w14:paraId="04D70D2A" w14:textId="77777777" w:rsidR="00B1000A" w:rsidRPr="00874DD0" w:rsidRDefault="00B1000A" w:rsidP="00B1000A">
      <w:pPr>
        <w:spacing w:line="360" w:lineRule="auto"/>
        <w:jc w:val="both"/>
        <w:rPr>
          <w:rFonts w:ascii="Palatino Linotype" w:eastAsia="Calibri" w:hAnsi="Palatino Linotype" w:cs="Arial"/>
          <w:b/>
        </w:rPr>
      </w:pPr>
    </w:p>
    <w:p w14:paraId="4920ACA5" w14:textId="77777777" w:rsidR="00B1000A" w:rsidRPr="00874DD0" w:rsidRDefault="00B1000A" w:rsidP="00B1000A">
      <w:pPr>
        <w:tabs>
          <w:tab w:val="left" w:pos="8080"/>
        </w:tabs>
        <w:spacing w:line="360" w:lineRule="auto"/>
        <w:ind w:right="48"/>
        <w:contextualSpacing/>
        <w:jc w:val="both"/>
        <w:rPr>
          <w:rFonts w:ascii="Palatino Linotype" w:hAnsi="Palatino Linotype"/>
          <w:color w:val="222222"/>
          <w:shd w:val="clear" w:color="auto" w:fill="FFFFFF"/>
        </w:rPr>
      </w:pPr>
      <w:r w:rsidRPr="00874DD0">
        <w:rPr>
          <w:rFonts w:ascii="Palatino Linotype" w:eastAsia="Palatino Linotype" w:hAnsi="Palatino Linotype" w:cs="Palatino Linotype"/>
          <w:b/>
        </w:rPr>
        <w:t xml:space="preserve">TERCERO. Notifíquese </w:t>
      </w:r>
      <w:r w:rsidRPr="00874DD0">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D3573B">
        <w:rPr>
          <w:rFonts w:ascii="Palatino Linotype" w:eastAsia="Palatino Linotype" w:hAnsi="Palatino Linotype" w:cs="Palatino Linotype"/>
          <w:b/>
        </w:rPr>
        <w:t>plazo de diez días hábiles</w:t>
      </w:r>
      <w:r w:rsidRPr="00874DD0">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58C0C1D" w14:textId="77777777" w:rsidR="00B1000A" w:rsidRPr="00874DD0" w:rsidRDefault="00B1000A" w:rsidP="00B1000A">
      <w:pPr>
        <w:tabs>
          <w:tab w:val="left" w:pos="8080"/>
        </w:tabs>
        <w:spacing w:line="360" w:lineRule="auto"/>
        <w:ind w:right="48"/>
        <w:contextualSpacing/>
        <w:jc w:val="both"/>
        <w:rPr>
          <w:rFonts w:ascii="Palatino Linotype" w:hAnsi="Palatino Linotype"/>
          <w:color w:val="222222"/>
          <w:shd w:val="clear" w:color="auto" w:fill="FFFFFF"/>
        </w:rPr>
      </w:pPr>
    </w:p>
    <w:p w14:paraId="68B963AA" w14:textId="77777777" w:rsidR="00B1000A" w:rsidRPr="00874DD0" w:rsidRDefault="00B1000A" w:rsidP="00B1000A">
      <w:pPr>
        <w:shd w:val="clear" w:color="auto" w:fill="FFFFFF"/>
        <w:spacing w:line="360" w:lineRule="auto"/>
        <w:ind w:right="48"/>
        <w:jc w:val="both"/>
        <w:rPr>
          <w:rFonts w:ascii="Palatino Linotype" w:hAnsi="Palatino Linotype"/>
        </w:rPr>
      </w:pPr>
      <w:r w:rsidRPr="00874DD0">
        <w:rPr>
          <w:rFonts w:ascii="Palatino Linotype" w:hAnsi="Palatino Linotype" w:cs="Arial"/>
          <w:b/>
        </w:rPr>
        <w:t xml:space="preserve">CUARTO. </w:t>
      </w:r>
      <w:r w:rsidRPr="00874DD0">
        <w:rPr>
          <w:rFonts w:ascii="Palatino Linotype" w:hAnsi="Palatino Linotype"/>
          <w:b/>
          <w:bCs/>
          <w:lang w:val="es-ES"/>
        </w:rPr>
        <w:t>Notifíquese al RECURRENTE</w:t>
      </w:r>
      <w:r w:rsidRPr="00874DD0">
        <w:rPr>
          <w:rFonts w:ascii="Palatino Linotype" w:hAnsi="Palatino Linotype"/>
        </w:rPr>
        <w:t xml:space="preserve"> la presente resolución.</w:t>
      </w:r>
    </w:p>
    <w:p w14:paraId="2B315444" w14:textId="77777777" w:rsidR="00B1000A" w:rsidRPr="00874DD0" w:rsidRDefault="00B1000A" w:rsidP="00B1000A">
      <w:pPr>
        <w:shd w:val="clear" w:color="auto" w:fill="FFFFFF"/>
        <w:spacing w:line="360" w:lineRule="auto"/>
        <w:ind w:right="48"/>
        <w:jc w:val="both"/>
        <w:rPr>
          <w:rFonts w:ascii="Palatino Linotype" w:hAnsi="Palatino Linotype"/>
          <w:b/>
          <w:color w:val="FF0000"/>
        </w:rPr>
      </w:pPr>
    </w:p>
    <w:p w14:paraId="1E7A7093" w14:textId="77777777" w:rsidR="00B1000A" w:rsidRPr="00874DD0" w:rsidRDefault="00B1000A" w:rsidP="00B1000A">
      <w:pPr>
        <w:spacing w:line="360" w:lineRule="auto"/>
        <w:ind w:right="48"/>
        <w:jc w:val="both"/>
        <w:rPr>
          <w:rFonts w:ascii="Palatino Linotype" w:eastAsia="MS Mincho" w:hAnsi="Palatino Linotype"/>
          <w:lang w:val="es-ES"/>
        </w:rPr>
      </w:pPr>
      <w:r w:rsidRPr="00874DD0">
        <w:rPr>
          <w:rFonts w:ascii="Palatino Linotype" w:eastAsia="MS Mincho" w:hAnsi="Palatino Linotype"/>
          <w:b/>
        </w:rPr>
        <w:t>QUINTO.</w:t>
      </w:r>
      <w:r w:rsidRPr="00874DD0">
        <w:rPr>
          <w:rFonts w:ascii="Palatino Linotype" w:eastAsia="MS Mincho" w:hAnsi="Palatino Linotype"/>
        </w:rPr>
        <w:t xml:space="preserve"> </w:t>
      </w:r>
      <w:r w:rsidRPr="00874DD0">
        <w:rPr>
          <w:rFonts w:ascii="Palatino Linotype" w:eastAsia="MS Mincho" w:hAnsi="Palatino Linotype"/>
          <w:lang w:val="es-ES"/>
        </w:rPr>
        <w:t xml:space="preserve">Se hace del conocimiento del </w:t>
      </w:r>
      <w:r w:rsidRPr="00874DD0">
        <w:rPr>
          <w:rFonts w:ascii="Palatino Linotype" w:hAnsi="Palatino Linotype"/>
          <w:b/>
        </w:rPr>
        <w:t>RECURRENTE</w:t>
      </w:r>
      <w:r w:rsidRPr="00874DD0">
        <w:rPr>
          <w:rFonts w:ascii="Palatino Linotype" w:hAnsi="Palatino Linotype"/>
        </w:rPr>
        <w:t xml:space="preserve"> </w:t>
      </w:r>
      <w:r w:rsidRPr="00874DD0">
        <w:rPr>
          <w:rFonts w:ascii="Palatino Linotype" w:eastAsia="MS Mincho" w:hAnsi="Palatino Linotype"/>
          <w:lang w:val="es-ES"/>
        </w:rPr>
        <w:t xml:space="preserve">que de conformidad con lo establecido en el artículo 196 de la Ley de Transparencia y Acceso a la Información Pública del Estado de México y Municipios, en caso de que considere que la resolución </w:t>
      </w:r>
      <w:r w:rsidRPr="00874DD0">
        <w:rPr>
          <w:rFonts w:ascii="Palatino Linotype" w:eastAsia="MS Mincho" w:hAnsi="Palatino Linotype"/>
          <w:lang w:val="es-ES"/>
        </w:rPr>
        <w:lastRenderedPageBreak/>
        <w:t>le cause algún perjuicio podrá impugnarla </w:t>
      </w:r>
      <w:r w:rsidRPr="00874DD0">
        <w:rPr>
          <w:rFonts w:ascii="Palatino Linotype" w:eastAsia="MS Mincho" w:hAnsi="Palatino Linotype"/>
          <w:bCs/>
          <w:lang w:val="es-ES"/>
        </w:rPr>
        <w:t>vía juicio de amparo</w:t>
      </w:r>
      <w:r w:rsidRPr="00874DD0">
        <w:rPr>
          <w:rFonts w:ascii="Palatino Linotype" w:eastAsia="MS Mincho" w:hAnsi="Palatino Linotype"/>
          <w:lang w:val="es-ES"/>
        </w:rPr>
        <w:t> en los términos de las leyes aplicables.</w:t>
      </w:r>
    </w:p>
    <w:p w14:paraId="5A3D6FE6" w14:textId="77777777" w:rsidR="00B1000A" w:rsidRPr="00874DD0" w:rsidRDefault="00B1000A" w:rsidP="00B1000A">
      <w:pPr>
        <w:spacing w:line="360" w:lineRule="auto"/>
        <w:ind w:right="48"/>
        <w:jc w:val="both"/>
        <w:rPr>
          <w:rFonts w:ascii="Palatino Linotype" w:hAnsi="Palatino Linotype"/>
          <w:color w:val="000000"/>
          <w:shd w:val="clear" w:color="auto" w:fill="FFFFFF"/>
        </w:rPr>
      </w:pPr>
    </w:p>
    <w:p w14:paraId="01FAA2C0" w14:textId="77777777" w:rsidR="00B1000A" w:rsidRPr="00874DD0" w:rsidRDefault="00B1000A" w:rsidP="00B1000A">
      <w:pPr>
        <w:spacing w:line="360" w:lineRule="auto"/>
        <w:ind w:right="48"/>
        <w:jc w:val="both"/>
        <w:rPr>
          <w:rFonts w:ascii="Palatino Linotype" w:eastAsia="Calibri" w:hAnsi="Palatino Linotype" w:cs="Arial"/>
          <w:bCs/>
        </w:rPr>
      </w:pPr>
      <w:r w:rsidRPr="00874DD0">
        <w:rPr>
          <w:rFonts w:ascii="Palatino Linotype" w:hAnsi="Palatino Linotype"/>
          <w:b/>
          <w:color w:val="000000"/>
          <w:shd w:val="clear" w:color="auto" w:fill="FFFFFF"/>
        </w:rPr>
        <w:t xml:space="preserve">SEXTO. </w:t>
      </w:r>
      <w:r w:rsidRPr="00874DD0">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7424B36" w14:textId="77777777" w:rsidR="00B1000A" w:rsidRPr="00874DD0" w:rsidRDefault="00B1000A" w:rsidP="00B1000A">
      <w:pPr>
        <w:spacing w:line="360" w:lineRule="auto"/>
        <w:ind w:right="48"/>
        <w:jc w:val="both"/>
        <w:rPr>
          <w:rFonts w:ascii="Palatino Linotype" w:hAnsi="Palatino Linotype"/>
        </w:rPr>
      </w:pPr>
    </w:p>
    <w:bookmarkEnd w:id="4"/>
    <w:bookmarkEnd w:id="5"/>
    <w:bookmarkEnd w:id="6"/>
    <w:bookmarkEnd w:id="7"/>
    <w:p w14:paraId="60ECE7AE" w14:textId="0FC7916A" w:rsidR="00E3109E" w:rsidRPr="00991BA9" w:rsidRDefault="008B449D" w:rsidP="00E3109E">
      <w:pPr>
        <w:spacing w:line="360" w:lineRule="auto"/>
        <w:ind w:right="48"/>
        <w:jc w:val="both"/>
        <w:rPr>
          <w:rFonts w:ascii="Palatino Linotype" w:hAnsi="Palatino Linotype"/>
        </w:rPr>
      </w:pPr>
      <w:r>
        <w:rPr>
          <w:rFonts w:ascii="Palatino Linotype" w:hAnsi="Palatino Linotype"/>
          <w:noProof/>
        </w:rPr>
        <mc:AlternateContent>
          <mc:Choice Requires="wps">
            <w:drawing>
              <wp:anchor distT="0" distB="0" distL="114300" distR="114300" simplePos="0" relativeHeight="251659264" behindDoc="0" locked="0" layoutInCell="1" allowOverlap="1" wp14:anchorId="76223BDD" wp14:editId="42BC2C57">
                <wp:simplePos x="0" y="0"/>
                <wp:positionH relativeFrom="column">
                  <wp:posOffset>20320</wp:posOffset>
                </wp:positionH>
                <wp:positionV relativeFrom="paragraph">
                  <wp:posOffset>2747009</wp:posOffset>
                </wp:positionV>
                <wp:extent cx="5715000" cy="223837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5715000" cy="2238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0FEA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216.3pt" to="451.6pt,3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" strokecolor="#5b9bd5 [3204]" strokeweight=".5pt">
                <v:stroke joinstyle="miter"/>
              </v:line>
            </w:pict>
          </mc:Fallback>
        </mc:AlternateContent>
      </w:r>
      <w:r w:rsidR="00E3109E" w:rsidRPr="00874DD0">
        <w:rPr>
          <w:rFonts w:ascii="Palatino Linotype" w:hAnsi="Palatino Linotype"/>
        </w:rPr>
        <w:t>ASÍ LO RESUELVE, POR UNANIMIDAD DE VOTOS, EL PLENO DEL INSTITUTO DE TRANSPARENCIA, ACCESO A LA INFORMACIÓN PÚBLICA Y PROTECCIÓN DE DATOS PERSONALES DEL ESTADO DE MÉXICO</w:t>
      </w:r>
      <w:r w:rsidR="00E3109E" w:rsidRPr="00ED3EBB">
        <w:rPr>
          <w:rFonts w:ascii="Palatino Linotype" w:hAnsi="Palatino Linotype"/>
        </w:rPr>
        <w:t xml:space="preserve"> Y MUNICIPIOS, CONFORMADO POR LOS COMISIONADOS JOSÉ MARTÍNEZ VILCHIS, MARÍA DEL ROSARIO MEJÍA AYALA, SHARON CRISTINA MORALES MARTÍNEZ, LUIS GUSTAVO PARRA NORIEGA Y GUADALUPE RAMÍREZ PEÑA;  EN LA </w:t>
      </w:r>
      <w:r w:rsidR="00E3109E">
        <w:rPr>
          <w:rFonts w:ascii="Palatino Linotype" w:hAnsi="Palatino Linotype"/>
        </w:rPr>
        <w:t xml:space="preserve">CUARTA  SESION ORDINARIA DEL OCHO </w:t>
      </w:r>
      <w:r w:rsidR="00D3573B">
        <w:rPr>
          <w:rFonts w:ascii="Palatino Linotype" w:hAnsi="Palatino Linotype"/>
        </w:rPr>
        <w:t xml:space="preserve">(08) </w:t>
      </w:r>
      <w:r w:rsidR="00E3109E">
        <w:rPr>
          <w:rFonts w:ascii="Palatino Linotype" w:hAnsi="Palatino Linotype"/>
        </w:rPr>
        <w:t>DE FEBRERO DE DOS MIL VEINTICUATRO</w:t>
      </w:r>
      <w:r w:rsidR="00E3109E" w:rsidRPr="00ED3EBB">
        <w:rPr>
          <w:rFonts w:ascii="Palatino Linotype" w:hAnsi="Palatino Linotype"/>
        </w:rPr>
        <w:t>, ANTE EL SECRETARIO TÉCNICO DEL PLENO, ALEXIS TAPIA RAMÍREZ.</w:t>
      </w:r>
      <w:r w:rsidR="00E3109E" w:rsidRPr="00991BA9">
        <w:rPr>
          <w:rFonts w:ascii="Palatino Linotype" w:hAnsi="Palatino Linotype"/>
        </w:rPr>
        <w:t xml:space="preserve"> </w:t>
      </w:r>
    </w:p>
    <w:p w14:paraId="7B80D918" w14:textId="77777777" w:rsidR="00E3109E" w:rsidRDefault="00E3109E" w:rsidP="00E3109E"/>
    <w:p w14:paraId="19157A96" w14:textId="77777777" w:rsidR="00E3109E" w:rsidRDefault="00E3109E" w:rsidP="00E3109E"/>
    <w:p w14:paraId="1CA51DC0" w14:textId="77777777" w:rsidR="00B1000A" w:rsidRDefault="00B1000A" w:rsidP="00B1000A"/>
    <w:p w14:paraId="05731423" w14:textId="77777777" w:rsidR="00B1000A" w:rsidRDefault="00B1000A" w:rsidP="00B1000A"/>
    <w:p w14:paraId="2AD83DD6" w14:textId="77777777" w:rsidR="00B1000A" w:rsidRDefault="00B1000A" w:rsidP="00B1000A"/>
    <w:p w14:paraId="44C8FA48" w14:textId="77777777" w:rsidR="00B1000A" w:rsidRDefault="00B1000A" w:rsidP="00B1000A"/>
    <w:p w14:paraId="6D367731" w14:textId="375A2502" w:rsidR="008B449D" w:rsidRDefault="008B449D"/>
    <w:p w14:paraId="184A9878" w14:textId="77777777" w:rsidR="008B449D" w:rsidRDefault="008B449D">
      <w:pPr>
        <w:spacing w:after="160" w:line="259" w:lineRule="auto"/>
      </w:pPr>
      <w:r>
        <w:br w:type="page"/>
      </w:r>
    </w:p>
    <w:p w14:paraId="707AF01B" w14:textId="77777777" w:rsidR="00676A4D" w:rsidRDefault="00676A4D"/>
    <w:sectPr w:rsidR="00676A4D" w:rsidSect="00E97B38">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D44B" w14:textId="77777777" w:rsidR="00020D23" w:rsidRDefault="00020D23" w:rsidP="00B1000A">
      <w:r>
        <w:separator/>
      </w:r>
    </w:p>
  </w:endnote>
  <w:endnote w:type="continuationSeparator" w:id="0">
    <w:p w14:paraId="5DCC49D5" w14:textId="77777777" w:rsidR="00020D23" w:rsidRDefault="00020D23" w:rsidP="00B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BFCC" w14:textId="77777777" w:rsidR="004024B4" w:rsidRDefault="004024B4">
    <w:pPr>
      <w:pStyle w:val="Piedepgina"/>
      <w:jc w:val="right"/>
    </w:pPr>
    <w:r>
      <w:rPr>
        <w:lang w:val="es-ES"/>
      </w:rPr>
      <w:t xml:space="preserve">Página </w:t>
    </w:r>
    <w:r>
      <w:rPr>
        <w:b/>
        <w:bCs/>
      </w:rPr>
      <w:fldChar w:fldCharType="begin"/>
    </w:r>
    <w:r>
      <w:rPr>
        <w:b/>
        <w:bCs/>
      </w:rPr>
      <w:instrText>PAGE</w:instrText>
    </w:r>
    <w:r>
      <w:rPr>
        <w:b/>
        <w:bCs/>
      </w:rPr>
      <w:fldChar w:fldCharType="separate"/>
    </w:r>
    <w:r w:rsidR="008B449D">
      <w:rPr>
        <w:b/>
        <w:bCs/>
        <w:noProof/>
      </w:rPr>
      <w:t>25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B449D">
      <w:rPr>
        <w:b/>
        <w:bCs/>
        <w:noProof/>
      </w:rPr>
      <w:t>26</w:t>
    </w:r>
    <w:r>
      <w:rPr>
        <w:b/>
        <w:bCs/>
      </w:rPr>
      <w:fldChar w:fldCharType="end"/>
    </w:r>
  </w:p>
  <w:p w14:paraId="1DD2A331" w14:textId="77777777" w:rsidR="004024B4" w:rsidRDefault="004024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F3DC" w14:textId="77777777" w:rsidR="004024B4" w:rsidRDefault="004024B4">
    <w:pPr>
      <w:pStyle w:val="Piedepgina"/>
      <w:jc w:val="right"/>
    </w:pPr>
    <w:r>
      <w:rPr>
        <w:lang w:val="es-ES"/>
      </w:rPr>
      <w:t xml:space="preserve">Página </w:t>
    </w:r>
    <w:r>
      <w:rPr>
        <w:b/>
        <w:bCs/>
      </w:rPr>
      <w:fldChar w:fldCharType="begin"/>
    </w:r>
    <w:r>
      <w:rPr>
        <w:b/>
        <w:bCs/>
      </w:rPr>
      <w:instrText>PAGE</w:instrText>
    </w:r>
    <w:r>
      <w:rPr>
        <w:b/>
        <w:bCs/>
      </w:rPr>
      <w:fldChar w:fldCharType="separate"/>
    </w:r>
    <w:r w:rsidR="008B449D">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B449D">
      <w:rPr>
        <w:b/>
        <w:bCs/>
        <w:noProof/>
      </w:rPr>
      <w:t>26</w:t>
    </w:r>
    <w:r>
      <w:rPr>
        <w:b/>
        <w:bCs/>
      </w:rPr>
      <w:fldChar w:fldCharType="end"/>
    </w:r>
  </w:p>
  <w:p w14:paraId="4D1A06DA" w14:textId="77777777" w:rsidR="004024B4" w:rsidRDefault="004024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AB8A" w14:textId="77777777" w:rsidR="00020D23" w:rsidRDefault="00020D23" w:rsidP="00B1000A">
      <w:r>
        <w:separator/>
      </w:r>
    </w:p>
  </w:footnote>
  <w:footnote w:type="continuationSeparator" w:id="0">
    <w:p w14:paraId="6CD5BBC4" w14:textId="77777777" w:rsidR="00020D23" w:rsidRDefault="00020D23" w:rsidP="00B1000A">
      <w:r>
        <w:continuationSeparator/>
      </w:r>
    </w:p>
  </w:footnote>
  <w:footnote w:id="1">
    <w:p w14:paraId="354C88AC" w14:textId="77777777" w:rsidR="004024B4" w:rsidRDefault="004024B4" w:rsidP="00B1000A">
      <w:pPr>
        <w:pStyle w:val="Textonotapie"/>
      </w:pPr>
      <w:r>
        <w:rPr>
          <w:rStyle w:val="Refdenotaalpie"/>
        </w:rPr>
        <w:footnoteRef/>
      </w:r>
      <w:r>
        <w:t xml:space="preserve"> Ley de Transparencia y Acceso a la Información Pública del Estado de México y Municipios. Artículo 9. …</w:t>
      </w:r>
    </w:p>
    <w:p w14:paraId="5423F0B8" w14:textId="77777777" w:rsidR="004024B4" w:rsidRDefault="004024B4" w:rsidP="00B1000A">
      <w:pPr>
        <w:pStyle w:val="Textonotapie"/>
      </w:pPr>
      <w:r>
        <w:t>II. Eficacia: Obligación del Instituto para tutelar, de manera efectiva, el derecho de acceso a la información;</w:t>
      </w:r>
    </w:p>
    <w:p w14:paraId="01D6B291" w14:textId="77777777" w:rsidR="004024B4" w:rsidRDefault="004024B4" w:rsidP="00B1000A">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BF83" w14:textId="77777777" w:rsidR="004024B4" w:rsidRDefault="00020D23">
    <w:pPr>
      <w:pStyle w:val="Encabezado"/>
    </w:pPr>
    <w:r>
      <w:rPr>
        <w:noProof/>
      </w:rPr>
      <w:pict w14:anchorId="33822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4024B4" w:rsidRPr="005C106F" w14:paraId="3D8824F1" w14:textId="77777777" w:rsidTr="00E97B38">
      <w:trPr>
        <w:trHeight w:val="1435"/>
      </w:trPr>
      <w:tc>
        <w:tcPr>
          <w:tcW w:w="2268" w:type="dxa"/>
          <w:shd w:val="clear" w:color="auto" w:fill="auto"/>
        </w:tcPr>
        <w:p w14:paraId="74842EA9" w14:textId="77777777" w:rsidR="004024B4" w:rsidRPr="005C106F" w:rsidRDefault="004024B4" w:rsidP="00E97B38">
          <w:pPr>
            <w:tabs>
              <w:tab w:val="right" w:pos="4273"/>
            </w:tabs>
            <w:rPr>
              <w:rFonts w:ascii="Garamond" w:eastAsia="Calibri" w:hAnsi="Garamond"/>
              <w:sz w:val="16"/>
              <w:szCs w:val="16"/>
              <w:lang w:eastAsia="en-US"/>
            </w:rPr>
          </w:pPr>
        </w:p>
      </w:tc>
      <w:tc>
        <w:tcPr>
          <w:tcW w:w="6946" w:type="dxa"/>
          <w:shd w:val="clear" w:color="auto" w:fill="auto"/>
        </w:tcPr>
        <w:p w14:paraId="0DFEF419" w14:textId="77777777" w:rsidR="004024B4" w:rsidRDefault="004024B4" w:rsidP="00E97B38"/>
        <w:tbl>
          <w:tblPr>
            <w:tblW w:w="6662" w:type="dxa"/>
            <w:tblInd w:w="40" w:type="dxa"/>
            <w:tblLayout w:type="fixed"/>
            <w:tblLook w:val="0420" w:firstRow="1" w:lastRow="0" w:firstColumn="0" w:lastColumn="0" w:noHBand="0" w:noVBand="1"/>
          </w:tblPr>
          <w:tblGrid>
            <w:gridCol w:w="2551"/>
            <w:gridCol w:w="4111"/>
          </w:tblGrid>
          <w:tr w:rsidR="004024B4" w14:paraId="3E350965" w14:textId="77777777" w:rsidTr="00E97B38">
            <w:trPr>
              <w:trHeight w:val="150"/>
            </w:trPr>
            <w:tc>
              <w:tcPr>
                <w:tcW w:w="2551" w:type="dxa"/>
                <w:shd w:val="clear" w:color="auto" w:fill="auto"/>
              </w:tcPr>
              <w:p w14:paraId="08E70960" w14:textId="77777777" w:rsidR="004024B4" w:rsidRPr="00020E73" w:rsidRDefault="004024B4" w:rsidP="00E97B38">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225F5462" w14:textId="173319AF" w:rsidR="004024B4" w:rsidRPr="00020E73" w:rsidRDefault="004024B4" w:rsidP="00E97B38">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16093/INFOEM/IP/RR/202</w:t>
                </w:r>
                <w:r w:rsidR="00530040">
                  <w:rPr>
                    <w:rFonts w:ascii="Palatino Linotype" w:eastAsia="Calibri" w:hAnsi="Palatino Linotype" w:cs="Tahoma"/>
                    <w:bCs/>
                    <w:sz w:val="22"/>
                    <w:szCs w:val="22"/>
                    <w:lang w:eastAsia="en-US"/>
                  </w:rPr>
                  <w:t>2</w:t>
                </w:r>
              </w:p>
            </w:tc>
          </w:tr>
          <w:tr w:rsidR="004024B4" w14:paraId="2DC0DBDC" w14:textId="77777777" w:rsidTr="00E97B38">
            <w:trPr>
              <w:trHeight w:val="295"/>
            </w:trPr>
            <w:tc>
              <w:tcPr>
                <w:tcW w:w="2551" w:type="dxa"/>
                <w:shd w:val="clear" w:color="auto" w:fill="auto"/>
              </w:tcPr>
              <w:p w14:paraId="13B640B6" w14:textId="77777777" w:rsidR="004024B4" w:rsidRPr="00020E73" w:rsidRDefault="004024B4" w:rsidP="00E97B38">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51DD3180" w14:textId="77777777" w:rsidR="004024B4" w:rsidRPr="0049568D" w:rsidRDefault="004024B4" w:rsidP="00E97B38">
                <w:pPr>
                  <w:tabs>
                    <w:tab w:val="left" w:pos="2834"/>
                    <w:tab w:val="right" w:pos="8838"/>
                  </w:tabs>
                  <w:ind w:left="-108" w:right="-102"/>
                  <w:jc w:val="both"/>
                  <w:rPr>
                    <w:rFonts w:ascii="Palatino Linotype" w:eastAsia="Calibri" w:hAnsi="Palatino Linotype" w:cs="Tahoma"/>
                    <w:sz w:val="22"/>
                    <w:szCs w:val="22"/>
                    <w:lang w:val="es-ES" w:eastAsia="en-US"/>
                  </w:rPr>
                </w:pPr>
                <w:r w:rsidRPr="0049568D">
                  <w:rPr>
                    <w:rFonts w:ascii="Palatino Linotype" w:eastAsia="Calibri" w:hAnsi="Palatino Linotype" w:cs="Tahoma"/>
                    <w:bCs/>
                    <w:sz w:val="22"/>
                    <w:szCs w:val="22"/>
                    <w:lang w:eastAsia="en-US"/>
                  </w:rPr>
                  <w:t>Ayuntamiento de Tepotzotlán</w:t>
                </w:r>
              </w:p>
            </w:tc>
          </w:tr>
          <w:tr w:rsidR="004024B4" w14:paraId="4FA1ACE7" w14:textId="77777777" w:rsidTr="00E97B38">
            <w:trPr>
              <w:trHeight w:val="295"/>
            </w:trPr>
            <w:tc>
              <w:tcPr>
                <w:tcW w:w="2551" w:type="dxa"/>
                <w:shd w:val="clear" w:color="auto" w:fill="auto"/>
              </w:tcPr>
              <w:p w14:paraId="5ABF5106" w14:textId="77777777" w:rsidR="004024B4" w:rsidRPr="00020E73" w:rsidRDefault="004024B4" w:rsidP="00E97B38">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789445AB" w14:textId="77777777" w:rsidR="004024B4" w:rsidRPr="00020E73" w:rsidRDefault="004024B4" w:rsidP="00E97B38">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B419FF0" w14:textId="77777777" w:rsidR="004024B4" w:rsidRPr="00020E73" w:rsidRDefault="004024B4" w:rsidP="00E97B38">
                <w:pPr>
                  <w:tabs>
                    <w:tab w:val="right" w:pos="8838"/>
                  </w:tabs>
                  <w:ind w:left="-108" w:right="171"/>
                  <w:jc w:val="both"/>
                  <w:rPr>
                    <w:rFonts w:ascii="Palatino Linotype" w:eastAsia="Calibri" w:hAnsi="Palatino Linotype" w:cs="Tahoma"/>
                    <w:b/>
                    <w:sz w:val="22"/>
                    <w:szCs w:val="22"/>
                    <w:lang w:val="es-ES" w:eastAsia="en-US"/>
                  </w:rPr>
                </w:pPr>
              </w:p>
            </w:tc>
          </w:tr>
        </w:tbl>
        <w:p w14:paraId="0872F75B" w14:textId="77777777" w:rsidR="004024B4" w:rsidRPr="005C106F" w:rsidRDefault="004024B4" w:rsidP="00E97B38">
          <w:pPr>
            <w:tabs>
              <w:tab w:val="right" w:pos="8838"/>
            </w:tabs>
            <w:ind w:left="-28"/>
            <w:jc w:val="both"/>
            <w:rPr>
              <w:rFonts w:ascii="Arial" w:eastAsia="Calibri" w:hAnsi="Arial" w:cs="Arial"/>
              <w:b/>
              <w:sz w:val="22"/>
              <w:szCs w:val="22"/>
              <w:lang w:eastAsia="en-US"/>
            </w:rPr>
          </w:pPr>
        </w:p>
      </w:tc>
    </w:tr>
  </w:tbl>
  <w:p w14:paraId="2AFE04F3" w14:textId="77777777" w:rsidR="004024B4" w:rsidRPr="00443C6B" w:rsidRDefault="00020D23" w:rsidP="00E97B38">
    <w:pPr>
      <w:pStyle w:val="Encabezado"/>
      <w:rPr>
        <w:sz w:val="14"/>
      </w:rPr>
    </w:pPr>
    <w:r>
      <w:rPr>
        <w:noProof/>
        <w:sz w:val="14"/>
      </w:rPr>
      <w:pict w14:anchorId="2455A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4024B4" w:rsidRPr="00330DA7" w14:paraId="39D087C0" w14:textId="77777777" w:rsidTr="00E97B38">
      <w:trPr>
        <w:trHeight w:val="1435"/>
      </w:trPr>
      <w:tc>
        <w:tcPr>
          <w:tcW w:w="2268" w:type="dxa"/>
          <w:shd w:val="clear" w:color="auto" w:fill="auto"/>
        </w:tcPr>
        <w:p w14:paraId="78CDE084" w14:textId="77777777" w:rsidR="004024B4" w:rsidRPr="00330DA7" w:rsidRDefault="004024B4" w:rsidP="00E97B38">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4024B4" w:rsidRPr="00330DA7" w14:paraId="7C615E9B" w14:textId="77777777" w:rsidTr="00E97B38">
            <w:trPr>
              <w:trHeight w:val="144"/>
            </w:trPr>
            <w:tc>
              <w:tcPr>
                <w:tcW w:w="2444" w:type="dxa"/>
                <w:shd w:val="clear" w:color="auto" w:fill="auto"/>
              </w:tcPr>
              <w:p w14:paraId="0D2B27EF" w14:textId="77777777" w:rsidR="004024B4" w:rsidRPr="00020E73" w:rsidRDefault="004024B4" w:rsidP="00E97B38">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4BA7B897" w14:textId="77777777" w:rsidR="004024B4" w:rsidRPr="00020E73" w:rsidRDefault="004024B4" w:rsidP="00E97B38">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16093/INFOEM/IP/RR/2022</w:t>
                </w:r>
              </w:p>
            </w:tc>
          </w:tr>
          <w:tr w:rsidR="004024B4" w:rsidRPr="00330DA7" w14:paraId="59CD9930" w14:textId="77777777" w:rsidTr="00E97B38">
            <w:trPr>
              <w:trHeight w:val="144"/>
            </w:trPr>
            <w:tc>
              <w:tcPr>
                <w:tcW w:w="2444" w:type="dxa"/>
                <w:shd w:val="clear" w:color="auto" w:fill="auto"/>
              </w:tcPr>
              <w:p w14:paraId="3E7753C6" w14:textId="77777777" w:rsidR="004024B4" w:rsidRPr="00020E73" w:rsidRDefault="004024B4" w:rsidP="00E97B38">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02D5A953" w14:textId="1180D624" w:rsidR="004024B4" w:rsidRPr="0049568D" w:rsidRDefault="002B3814" w:rsidP="00E97B38">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r>
                  <w:rPr>
                    <w:rFonts w:ascii="Palatino Linotype" w:eastAsia="Calibri" w:hAnsi="Palatino Linotype" w:cs="Tahoma"/>
                    <w:bCs/>
                    <w:sz w:val="22"/>
                    <w:szCs w:val="22"/>
                    <w:lang w:eastAsia="en-US"/>
                  </w:rPr>
                  <w:t xml:space="preserve"> </w:t>
                </w:r>
                <w:proofErr w:type="spellStart"/>
                <w:r>
                  <w:rPr>
                    <w:rFonts w:ascii="Palatino Linotype" w:eastAsia="Calibri" w:hAnsi="Palatino Linotype" w:cs="Tahoma"/>
                    <w:bCs/>
                    <w:sz w:val="22"/>
                    <w:szCs w:val="22"/>
                    <w:lang w:eastAsia="en-US"/>
                  </w:rPr>
                  <w:t>XXX</w:t>
                </w:r>
                <w:proofErr w:type="spellEnd"/>
              </w:p>
            </w:tc>
          </w:tr>
          <w:tr w:rsidR="004024B4" w:rsidRPr="00330DA7" w14:paraId="2EF563DB" w14:textId="77777777" w:rsidTr="00E97B38">
            <w:trPr>
              <w:trHeight w:val="283"/>
            </w:trPr>
            <w:tc>
              <w:tcPr>
                <w:tcW w:w="2444" w:type="dxa"/>
                <w:shd w:val="clear" w:color="auto" w:fill="auto"/>
              </w:tcPr>
              <w:p w14:paraId="3F7A9D95" w14:textId="77777777" w:rsidR="004024B4" w:rsidRPr="00020E73" w:rsidRDefault="004024B4" w:rsidP="00E97B38">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5DFC311F" w14:textId="77777777" w:rsidR="004024B4" w:rsidRPr="0049568D" w:rsidRDefault="004024B4" w:rsidP="00B1000A">
                <w:pPr>
                  <w:tabs>
                    <w:tab w:val="left" w:pos="2834"/>
                    <w:tab w:val="right" w:pos="8838"/>
                  </w:tabs>
                  <w:ind w:left="-74" w:right="-105"/>
                  <w:jc w:val="both"/>
                  <w:rPr>
                    <w:rFonts w:ascii="Palatino Linotype" w:eastAsia="Calibri" w:hAnsi="Palatino Linotype" w:cs="Tahoma"/>
                    <w:sz w:val="22"/>
                    <w:szCs w:val="22"/>
                    <w:lang w:val="es-ES" w:eastAsia="en-US"/>
                  </w:rPr>
                </w:pPr>
                <w:r w:rsidRPr="0049568D">
                  <w:rPr>
                    <w:rFonts w:ascii="Palatino Linotype" w:eastAsia="Calibri" w:hAnsi="Palatino Linotype" w:cs="Tahoma"/>
                    <w:bCs/>
                    <w:sz w:val="22"/>
                    <w:szCs w:val="22"/>
                    <w:lang w:eastAsia="en-US"/>
                  </w:rPr>
                  <w:t>Ayuntamiento de Tepotzotlán</w:t>
                </w:r>
              </w:p>
            </w:tc>
          </w:tr>
          <w:tr w:rsidR="004024B4" w:rsidRPr="00330DA7" w14:paraId="5DA095E5" w14:textId="77777777" w:rsidTr="00E97B38">
            <w:trPr>
              <w:trHeight w:val="283"/>
            </w:trPr>
            <w:tc>
              <w:tcPr>
                <w:tcW w:w="2444" w:type="dxa"/>
                <w:shd w:val="clear" w:color="auto" w:fill="auto"/>
              </w:tcPr>
              <w:p w14:paraId="17048A20" w14:textId="77777777" w:rsidR="004024B4" w:rsidRPr="00020E73" w:rsidRDefault="004024B4" w:rsidP="00E97B38">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24339EA1" w14:textId="77777777" w:rsidR="004024B4" w:rsidRPr="00020E73" w:rsidRDefault="004024B4" w:rsidP="00E97B38">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B595862" w14:textId="77777777" w:rsidR="004024B4" w:rsidRPr="00020E73" w:rsidRDefault="004024B4" w:rsidP="00E97B38">
                <w:pPr>
                  <w:tabs>
                    <w:tab w:val="right" w:pos="8838"/>
                  </w:tabs>
                  <w:ind w:left="-74" w:right="-105"/>
                  <w:jc w:val="both"/>
                  <w:rPr>
                    <w:rFonts w:ascii="Palatino Linotype" w:eastAsia="Calibri" w:hAnsi="Palatino Linotype" w:cs="Tahoma"/>
                    <w:b/>
                    <w:sz w:val="22"/>
                    <w:szCs w:val="22"/>
                    <w:lang w:val="es-ES" w:eastAsia="en-US"/>
                  </w:rPr>
                </w:pPr>
              </w:p>
            </w:tc>
          </w:tr>
        </w:tbl>
        <w:p w14:paraId="74A35A6A" w14:textId="77777777" w:rsidR="004024B4" w:rsidRPr="00330DA7" w:rsidRDefault="004024B4" w:rsidP="00E97B38">
          <w:pPr>
            <w:tabs>
              <w:tab w:val="right" w:pos="8838"/>
            </w:tabs>
            <w:ind w:left="-28"/>
            <w:jc w:val="both"/>
            <w:rPr>
              <w:rFonts w:ascii="Arial" w:eastAsia="Calibri" w:hAnsi="Arial" w:cs="Arial"/>
              <w:b/>
              <w:sz w:val="22"/>
              <w:szCs w:val="22"/>
              <w:lang w:eastAsia="en-US"/>
            </w:rPr>
          </w:pPr>
        </w:p>
      </w:tc>
    </w:tr>
  </w:tbl>
  <w:p w14:paraId="0FF49251" w14:textId="77777777" w:rsidR="004024B4" w:rsidRPr="00827FA0" w:rsidRDefault="00020D23" w:rsidP="00E97B38">
    <w:pPr>
      <w:pStyle w:val="Encabezado"/>
      <w:rPr>
        <w:sz w:val="2"/>
        <w:szCs w:val="22"/>
      </w:rPr>
    </w:pPr>
    <w:r>
      <w:rPr>
        <w:noProof/>
        <w:sz w:val="2"/>
        <w:szCs w:val="22"/>
      </w:rPr>
      <w:pict w14:anchorId="05555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270"/>
    <w:multiLevelType w:val="hybridMultilevel"/>
    <w:tmpl w:val="24A64F04"/>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6E3E65"/>
    <w:multiLevelType w:val="hybridMultilevel"/>
    <w:tmpl w:val="FBEC134C"/>
    <w:lvl w:ilvl="0" w:tplc="D28CF752">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E2C04"/>
    <w:multiLevelType w:val="hybridMultilevel"/>
    <w:tmpl w:val="AC9A3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917954"/>
    <w:multiLevelType w:val="hybridMultilevel"/>
    <w:tmpl w:val="27E6F5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727B65"/>
    <w:multiLevelType w:val="hybridMultilevel"/>
    <w:tmpl w:val="52423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2B190D"/>
    <w:multiLevelType w:val="hybridMultilevel"/>
    <w:tmpl w:val="EBAA89F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70136A0"/>
    <w:multiLevelType w:val="hybridMultilevel"/>
    <w:tmpl w:val="7D443150"/>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063593"/>
    <w:multiLevelType w:val="hybridMultilevel"/>
    <w:tmpl w:val="EF369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611279811">
    <w:abstractNumId w:val="0"/>
  </w:num>
  <w:num w:numId="2" w16cid:durableId="436683556">
    <w:abstractNumId w:val="4"/>
  </w:num>
  <w:num w:numId="3" w16cid:durableId="1330408851">
    <w:abstractNumId w:val="2"/>
  </w:num>
  <w:num w:numId="4" w16cid:durableId="283928063">
    <w:abstractNumId w:val="11"/>
  </w:num>
  <w:num w:numId="5" w16cid:durableId="151994989">
    <w:abstractNumId w:val="3"/>
  </w:num>
  <w:num w:numId="6" w16cid:durableId="2062944517">
    <w:abstractNumId w:val="10"/>
  </w:num>
  <w:num w:numId="7" w16cid:durableId="1673288982">
    <w:abstractNumId w:val="1"/>
  </w:num>
  <w:num w:numId="8" w16cid:durableId="1413966423">
    <w:abstractNumId w:val="5"/>
  </w:num>
  <w:num w:numId="9" w16cid:durableId="1316446637">
    <w:abstractNumId w:val="8"/>
  </w:num>
  <w:num w:numId="10" w16cid:durableId="752623929">
    <w:abstractNumId w:val="6"/>
  </w:num>
  <w:num w:numId="11" w16cid:durableId="1370956444">
    <w:abstractNumId w:val="7"/>
  </w:num>
  <w:num w:numId="12" w16cid:durableId="1298995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0A"/>
    <w:rsid w:val="00005162"/>
    <w:rsid w:val="00020D23"/>
    <w:rsid w:val="00061D51"/>
    <w:rsid w:val="00094768"/>
    <w:rsid w:val="00100655"/>
    <w:rsid w:val="001E4ECB"/>
    <w:rsid w:val="002314EE"/>
    <w:rsid w:val="00255BB5"/>
    <w:rsid w:val="00257ECD"/>
    <w:rsid w:val="00261CFE"/>
    <w:rsid w:val="002B3814"/>
    <w:rsid w:val="002C604F"/>
    <w:rsid w:val="002F1B1F"/>
    <w:rsid w:val="002F385F"/>
    <w:rsid w:val="003117BE"/>
    <w:rsid w:val="00312DA7"/>
    <w:rsid w:val="0031753A"/>
    <w:rsid w:val="003B7DC3"/>
    <w:rsid w:val="003D4382"/>
    <w:rsid w:val="003D526D"/>
    <w:rsid w:val="004024B4"/>
    <w:rsid w:val="00463F13"/>
    <w:rsid w:val="0049568D"/>
    <w:rsid w:val="00530040"/>
    <w:rsid w:val="006102F7"/>
    <w:rsid w:val="006359F0"/>
    <w:rsid w:val="00676A4D"/>
    <w:rsid w:val="006C5518"/>
    <w:rsid w:val="006D6868"/>
    <w:rsid w:val="00725867"/>
    <w:rsid w:val="00745FE8"/>
    <w:rsid w:val="00787F07"/>
    <w:rsid w:val="008254EF"/>
    <w:rsid w:val="00874DD0"/>
    <w:rsid w:val="008B449D"/>
    <w:rsid w:val="00911F13"/>
    <w:rsid w:val="009A7BCE"/>
    <w:rsid w:val="009F1D76"/>
    <w:rsid w:val="00A37754"/>
    <w:rsid w:val="00A8623C"/>
    <w:rsid w:val="00AA5A04"/>
    <w:rsid w:val="00AE434F"/>
    <w:rsid w:val="00AE7A51"/>
    <w:rsid w:val="00B06153"/>
    <w:rsid w:val="00B1000A"/>
    <w:rsid w:val="00BA7922"/>
    <w:rsid w:val="00BE5FD0"/>
    <w:rsid w:val="00C04142"/>
    <w:rsid w:val="00C32C28"/>
    <w:rsid w:val="00CD0CE3"/>
    <w:rsid w:val="00D3573B"/>
    <w:rsid w:val="00D40A8F"/>
    <w:rsid w:val="00D81B36"/>
    <w:rsid w:val="00E24E6B"/>
    <w:rsid w:val="00E3109E"/>
    <w:rsid w:val="00E96FD1"/>
    <w:rsid w:val="00E97B38"/>
    <w:rsid w:val="00EA6302"/>
    <w:rsid w:val="00EA682D"/>
    <w:rsid w:val="00F11093"/>
    <w:rsid w:val="00F77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F953B"/>
  <w15:chartTrackingRefBased/>
  <w15:docId w15:val="{7793D40E-9700-4DEB-8251-4A915635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86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1000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000A"/>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B1000A"/>
    <w:pPr>
      <w:tabs>
        <w:tab w:val="center" w:pos="4419"/>
        <w:tab w:val="right" w:pos="8838"/>
      </w:tabs>
    </w:pPr>
  </w:style>
  <w:style w:type="character" w:customStyle="1" w:styleId="EncabezadoCar">
    <w:name w:val="Encabezado Car"/>
    <w:basedOn w:val="Fuentedeprrafopredeter"/>
    <w:link w:val="Encabezado"/>
    <w:uiPriority w:val="99"/>
    <w:rsid w:val="00B1000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1000A"/>
    <w:pPr>
      <w:tabs>
        <w:tab w:val="center" w:pos="4419"/>
        <w:tab w:val="right" w:pos="8838"/>
      </w:tabs>
    </w:pPr>
  </w:style>
  <w:style w:type="character" w:customStyle="1" w:styleId="PiedepginaCar">
    <w:name w:val="Pie de página Car"/>
    <w:basedOn w:val="Fuentedeprrafopredeter"/>
    <w:link w:val="Piedepgina"/>
    <w:uiPriority w:val="99"/>
    <w:rsid w:val="00B1000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1000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B1000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B1000A"/>
    <w:rPr>
      <w:color w:val="0563C1"/>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uiPriority w:val="99"/>
    <w:unhideWhenUsed/>
    <w:qFormat/>
    <w:rsid w:val="00B1000A"/>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nhideWhenUsed/>
    <w:qFormat/>
    <w:rsid w:val="00B1000A"/>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qFormat/>
    <w:rsid w:val="00B1000A"/>
    <w:rPr>
      <w:rFonts w:ascii="Calibri" w:eastAsia="Calibri" w:hAnsi="Calibri" w:cs="Times New Roman"/>
      <w:sz w:val="24"/>
      <w:szCs w:val="24"/>
      <w:lang w:val="es-MX"/>
    </w:rPr>
  </w:style>
  <w:style w:type="table" w:styleId="Tablaconcuadrcula6concolores">
    <w:name w:val="Grid Table 6 Colorful"/>
    <w:basedOn w:val="Tablanormal"/>
    <w:uiPriority w:val="51"/>
    <w:rsid w:val="00B1000A"/>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6C5518"/>
    <w:pPr>
      <w:autoSpaceDE w:val="0"/>
      <w:autoSpaceDN w:val="0"/>
      <w:adjustRightInd w:val="0"/>
      <w:spacing w:after="0" w:line="240" w:lineRule="auto"/>
    </w:pPr>
    <w:rPr>
      <w:rFonts w:ascii="Arial" w:hAnsi="Arial" w:cs="Arial"/>
      <w:color w:val="000000"/>
      <w:sz w:val="24"/>
      <w:szCs w:val="24"/>
      <w:lang w:val="es-MX"/>
    </w:rPr>
  </w:style>
  <w:style w:type="paragraph" w:customStyle="1" w:styleId="Fundamentos">
    <w:name w:val="Fundamentos"/>
    <w:basedOn w:val="Normal"/>
    <w:qFormat/>
    <w:rsid w:val="00C32C28"/>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68601">
      <w:bodyDiv w:val="1"/>
      <w:marLeft w:val="0"/>
      <w:marRight w:val="0"/>
      <w:marTop w:val="0"/>
      <w:marBottom w:val="0"/>
      <w:divBdr>
        <w:top w:val="none" w:sz="0" w:space="0" w:color="auto"/>
        <w:left w:val="none" w:sz="0" w:space="0" w:color="auto"/>
        <w:bottom w:val="none" w:sz="0" w:space="0" w:color="auto"/>
        <w:right w:val="none" w:sz="0" w:space="0" w:color="auto"/>
      </w:divBdr>
    </w:div>
    <w:div w:id="731849689">
      <w:bodyDiv w:val="1"/>
      <w:marLeft w:val="0"/>
      <w:marRight w:val="0"/>
      <w:marTop w:val="0"/>
      <w:marBottom w:val="0"/>
      <w:divBdr>
        <w:top w:val="none" w:sz="0" w:space="0" w:color="auto"/>
        <w:left w:val="none" w:sz="0" w:space="0" w:color="auto"/>
        <w:bottom w:val="none" w:sz="0" w:space="0" w:color="auto"/>
        <w:right w:val="none" w:sz="0" w:space="0" w:color="auto"/>
      </w:divBdr>
    </w:div>
    <w:div w:id="791898434">
      <w:bodyDiv w:val="1"/>
      <w:marLeft w:val="0"/>
      <w:marRight w:val="0"/>
      <w:marTop w:val="0"/>
      <w:marBottom w:val="0"/>
      <w:divBdr>
        <w:top w:val="none" w:sz="0" w:space="0" w:color="auto"/>
        <w:left w:val="none" w:sz="0" w:space="0" w:color="auto"/>
        <w:bottom w:val="none" w:sz="0" w:space="0" w:color="auto"/>
        <w:right w:val="none" w:sz="0" w:space="0" w:color="auto"/>
      </w:divBdr>
    </w:div>
    <w:div w:id="850946880">
      <w:bodyDiv w:val="1"/>
      <w:marLeft w:val="0"/>
      <w:marRight w:val="0"/>
      <w:marTop w:val="0"/>
      <w:marBottom w:val="0"/>
      <w:divBdr>
        <w:top w:val="none" w:sz="0" w:space="0" w:color="auto"/>
        <w:left w:val="none" w:sz="0" w:space="0" w:color="auto"/>
        <w:bottom w:val="none" w:sz="0" w:space="0" w:color="auto"/>
        <w:right w:val="none" w:sz="0" w:space="0" w:color="auto"/>
      </w:divBdr>
    </w:div>
    <w:div w:id="1170172890">
      <w:bodyDiv w:val="1"/>
      <w:marLeft w:val="0"/>
      <w:marRight w:val="0"/>
      <w:marTop w:val="0"/>
      <w:marBottom w:val="0"/>
      <w:divBdr>
        <w:top w:val="none" w:sz="0" w:space="0" w:color="auto"/>
        <w:left w:val="none" w:sz="0" w:space="0" w:color="auto"/>
        <w:bottom w:val="none" w:sz="0" w:space="0" w:color="auto"/>
        <w:right w:val="none" w:sz="0" w:space="0" w:color="auto"/>
      </w:divBdr>
    </w:div>
    <w:div w:id="1262840084">
      <w:bodyDiv w:val="1"/>
      <w:marLeft w:val="0"/>
      <w:marRight w:val="0"/>
      <w:marTop w:val="0"/>
      <w:marBottom w:val="0"/>
      <w:divBdr>
        <w:top w:val="none" w:sz="0" w:space="0" w:color="auto"/>
        <w:left w:val="none" w:sz="0" w:space="0" w:color="auto"/>
        <w:bottom w:val="none" w:sz="0" w:space="0" w:color="auto"/>
        <w:right w:val="none" w:sz="0" w:space="0" w:color="auto"/>
      </w:divBdr>
    </w:div>
    <w:div w:id="1339383525">
      <w:bodyDiv w:val="1"/>
      <w:marLeft w:val="0"/>
      <w:marRight w:val="0"/>
      <w:marTop w:val="0"/>
      <w:marBottom w:val="0"/>
      <w:divBdr>
        <w:top w:val="none" w:sz="0" w:space="0" w:color="auto"/>
        <w:left w:val="none" w:sz="0" w:space="0" w:color="auto"/>
        <w:bottom w:val="none" w:sz="0" w:space="0" w:color="auto"/>
        <w:right w:val="none" w:sz="0" w:space="0" w:color="auto"/>
      </w:divBdr>
    </w:div>
    <w:div w:id="1536194886">
      <w:bodyDiv w:val="1"/>
      <w:marLeft w:val="0"/>
      <w:marRight w:val="0"/>
      <w:marTop w:val="0"/>
      <w:marBottom w:val="0"/>
      <w:divBdr>
        <w:top w:val="none" w:sz="0" w:space="0" w:color="auto"/>
        <w:left w:val="none" w:sz="0" w:space="0" w:color="auto"/>
        <w:bottom w:val="none" w:sz="0" w:space="0" w:color="auto"/>
        <w:right w:val="none" w:sz="0" w:space="0" w:color="auto"/>
      </w:divBdr>
    </w:div>
    <w:div w:id="1635211118">
      <w:bodyDiv w:val="1"/>
      <w:marLeft w:val="0"/>
      <w:marRight w:val="0"/>
      <w:marTop w:val="0"/>
      <w:marBottom w:val="0"/>
      <w:divBdr>
        <w:top w:val="none" w:sz="0" w:space="0" w:color="auto"/>
        <w:left w:val="none" w:sz="0" w:space="0" w:color="auto"/>
        <w:bottom w:val="none" w:sz="0" w:space="0" w:color="auto"/>
        <w:right w:val="none" w:sz="0" w:space="0" w:color="auto"/>
      </w:divBdr>
    </w:div>
    <w:div w:id="1855873318">
      <w:bodyDiv w:val="1"/>
      <w:marLeft w:val="0"/>
      <w:marRight w:val="0"/>
      <w:marTop w:val="0"/>
      <w:marBottom w:val="0"/>
      <w:divBdr>
        <w:top w:val="none" w:sz="0" w:space="0" w:color="auto"/>
        <w:left w:val="none" w:sz="0" w:space="0" w:color="auto"/>
        <w:bottom w:val="none" w:sz="0" w:space="0" w:color="auto"/>
        <w:right w:val="none" w:sz="0" w:space="0" w:color="auto"/>
      </w:divBdr>
    </w:div>
    <w:div w:id="1860045189">
      <w:bodyDiv w:val="1"/>
      <w:marLeft w:val="0"/>
      <w:marRight w:val="0"/>
      <w:marTop w:val="0"/>
      <w:marBottom w:val="0"/>
      <w:divBdr>
        <w:top w:val="none" w:sz="0" w:space="0" w:color="auto"/>
        <w:left w:val="none" w:sz="0" w:space="0" w:color="auto"/>
        <w:bottom w:val="none" w:sz="0" w:space="0" w:color="auto"/>
        <w:right w:val="none" w:sz="0" w:space="0" w:color="auto"/>
      </w:divBdr>
    </w:div>
    <w:div w:id="1937789809">
      <w:bodyDiv w:val="1"/>
      <w:marLeft w:val="0"/>
      <w:marRight w:val="0"/>
      <w:marTop w:val="0"/>
      <w:marBottom w:val="0"/>
      <w:divBdr>
        <w:top w:val="none" w:sz="0" w:space="0" w:color="auto"/>
        <w:left w:val="none" w:sz="0" w:space="0" w:color="auto"/>
        <w:bottom w:val="none" w:sz="0" w:space="0" w:color="auto"/>
        <w:right w:val="none" w:sz="0" w:space="0" w:color="auto"/>
      </w:divBdr>
    </w:div>
    <w:div w:id="2039307248">
      <w:bodyDiv w:val="1"/>
      <w:marLeft w:val="0"/>
      <w:marRight w:val="0"/>
      <w:marTop w:val="0"/>
      <w:marBottom w:val="0"/>
      <w:divBdr>
        <w:top w:val="none" w:sz="0" w:space="0" w:color="auto"/>
        <w:left w:val="none" w:sz="0" w:space="0" w:color="auto"/>
        <w:bottom w:val="none" w:sz="0" w:space="0" w:color="auto"/>
        <w:right w:val="none" w:sz="0" w:space="0" w:color="auto"/>
      </w:divBdr>
    </w:div>
    <w:div w:id="204743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640501.p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imex.org.mx/saimex/solicitud/downloadAttach/1618718.pag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aimex.org.mx/saimex/solicitud/downloadAttach/1640502.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26</Pages>
  <Words>5510</Words>
  <Characters>30306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13</cp:revision>
  <cp:lastPrinted>2024-02-12T17:26:00Z</cp:lastPrinted>
  <dcterms:created xsi:type="dcterms:W3CDTF">2024-01-30T19:31:00Z</dcterms:created>
  <dcterms:modified xsi:type="dcterms:W3CDTF">2024-02-21T17:48:00Z</dcterms:modified>
</cp:coreProperties>
</file>