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B367"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seis de marzo de dos mil veinticuatro. </w:t>
      </w:r>
    </w:p>
    <w:p w14:paraId="769A331B" w14:textId="77777777" w:rsidR="00FF4724" w:rsidRPr="00121977" w:rsidRDefault="00FF4724">
      <w:pPr>
        <w:spacing w:after="0" w:line="360" w:lineRule="auto"/>
        <w:ind w:right="49"/>
        <w:jc w:val="center"/>
        <w:rPr>
          <w:rFonts w:ascii="Palatino Linotype" w:eastAsia="Palatino Linotype" w:hAnsi="Palatino Linotype" w:cs="Palatino Linotype"/>
          <w:sz w:val="24"/>
          <w:szCs w:val="24"/>
        </w:rPr>
      </w:pPr>
    </w:p>
    <w:p w14:paraId="14A797F6" w14:textId="2DA016A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Visto el expediente relativo al recurso de revisión </w:t>
      </w:r>
      <w:r w:rsidRPr="00121977">
        <w:rPr>
          <w:rFonts w:ascii="Palatino Linotype" w:eastAsia="Palatino Linotype" w:hAnsi="Palatino Linotype" w:cs="Palatino Linotype"/>
          <w:b/>
          <w:sz w:val="24"/>
          <w:szCs w:val="24"/>
        </w:rPr>
        <w:t>04429/INFOEM/IP/RR/2023</w:t>
      </w:r>
      <w:r w:rsidRPr="00121977">
        <w:rPr>
          <w:rFonts w:ascii="Palatino Linotype" w:eastAsia="Palatino Linotype" w:hAnsi="Palatino Linotype" w:cs="Palatino Linotype"/>
          <w:sz w:val="24"/>
          <w:szCs w:val="24"/>
        </w:rPr>
        <w:t xml:space="preserve">, interpuesto por </w:t>
      </w:r>
      <w:r w:rsidR="000E25BA">
        <w:rPr>
          <w:rFonts w:ascii="Palatino Linotype" w:eastAsia="Palatino Linotype" w:hAnsi="Palatino Linotype" w:cs="Palatino Linotype"/>
          <w:b/>
          <w:sz w:val="24"/>
          <w:szCs w:val="24"/>
        </w:rPr>
        <w:t>XXXXXXX XXXXXX X</w:t>
      </w:r>
      <w:r w:rsidRPr="00121977">
        <w:rPr>
          <w:rFonts w:ascii="Palatino Linotype" w:eastAsia="Palatino Linotype" w:hAnsi="Palatino Linotype" w:cs="Palatino Linotype"/>
          <w:b/>
          <w:sz w:val="24"/>
          <w:szCs w:val="24"/>
        </w:rPr>
        <w:t xml:space="preserve"> </w:t>
      </w:r>
      <w:r w:rsidRPr="00121977">
        <w:rPr>
          <w:rFonts w:ascii="Palatino Linotype" w:eastAsia="Palatino Linotype" w:hAnsi="Palatino Linotype" w:cs="Palatino Linotype"/>
          <w:sz w:val="24"/>
          <w:szCs w:val="24"/>
        </w:rPr>
        <w:t xml:space="preserve">al cual en lo sucesivo se le denominará la parte </w:t>
      </w:r>
      <w:r w:rsidRPr="00121977">
        <w:rPr>
          <w:rFonts w:ascii="Palatino Linotype" w:eastAsia="Palatino Linotype" w:hAnsi="Palatino Linotype" w:cs="Palatino Linotype"/>
          <w:b/>
          <w:sz w:val="24"/>
          <w:szCs w:val="24"/>
        </w:rPr>
        <w:t>RECURRENTE</w:t>
      </w:r>
      <w:r w:rsidRPr="00121977">
        <w:rPr>
          <w:rFonts w:ascii="Palatino Linotype" w:eastAsia="Palatino Linotype" w:hAnsi="Palatino Linotype" w:cs="Palatino Linotype"/>
          <w:sz w:val="24"/>
          <w:szCs w:val="24"/>
        </w:rPr>
        <w:t xml:space="preserve">, en contra de la respuesta a su solicitud de información identificada con número de folio </w:t>
      </w:r>
      <w:r w:rsidRPr="00121977">
        <w:rPr>
          <w:rFonts w:ascii="Palatino Linotype" w:eastAsia="Palatino Linotype" w:hAnsi="Palatino Linotype" w:cs="Palatino Linotype"/>
          <w:b/>
          <w:sz w:val="24"/>
          <w:szCs w:val="24"/>
        </w:rPr>
        <w:t>00198/SECOGEM/IP/2023</w:t>
      </w:r>
      <w:r w:rsidRPr="00121977">
        <w:rPr>
          <w:rFonts w:ascii="Palatino Linotype" w:eastAsia="Palatino Linotype" w:hAnsi="Palatino Linotype" w:cs="Palatino Linotype"/>
          <w:sz w:val="24"/>
          <w:szCs w:val="24"/>
        </w:rPr>
        <w:t xml:space="preserve"> proporcionada por parte de la Secretaría de la Contraloría</w:t>
      </w:r>
      <w:r w:rsidRPr="00121977">
        <w:rPr>
          <w:rFonts w:ascii="Palatino Linotype" w:eastAsia="Palatino Linotype" w:hAnsi="Palatino Linotype" w:cs="Palatino Linotype"/>
          <w:b/>
          <w:sz w:val="24"/>
          <w:szCs w:val="24"/>
        </w:rPr>
        <w:t xml:space="preserve"> </w:t>
      </w:r>
      <w:r w:rsidRPr="00121977">
        <w:rPr>
          <w:rFonts w:ascii="Palatino Linotype" w:eastAsia="Palatino Linotype" w:hAnsi="Palatino Linotype" w:cs="Palatino Linotype"/>
          <w:sz w:val="24"/>
          <w:szCs w:val="24"/>
        </w:rPr>
        <w:t xml:space="preserve">en lo sucesivo el </w:t>
      </w:r>
      <w:r w:rsidRPr="00121977">
        <w:rPr>
          <w:rFonts w:ascii="Palatino Linotype" w:eastAsia="Palatino Linotype" w:hAnsi="Palatino Linotype" w:cs="Palatino Linotype"/>
          <w:b/>
          <w:sz w:val="24"/>
          <w:szCs w:val="24"/>
        </w:rPr>
        <w:t>SUJETO OBLIGADO</w:t>
      </w:r>
      <w:r w:rsidRPr="00121977">
        <w:rPr>
          <w:rFonts w:ascii="Palatino Linotype" w:eastAsia="Palatino Linotype" w:hAnsi="Palatino Linotype" w:cs="Palatino Linotype"/>
          <w:sz w:val="24"/>
          <w:szCs w:val="24"/>
        </w:rPr>
        <w:t>; se procede a dictar la presente resolución, con base en los siguientes:</w:t>
      </w:r>
    </w:p>
    <w:p w14:paraId="7C7D7A3A"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74C6F64F" w14:textId="77777777" w:rsidR="00FF4724" w:rsidRPr="00121977" w:rsidRDefault="008E2E73">
      <w:pPr>
        <w:spacing w:after="0" w:line="360" w:lineRule="auto"/>
        <w:ind w:right="49"/>
        <w:jc w:val="center"/>
        <w:rPr>
          <w:rFonts w:ascii="Palatino Linotype" w:eastAsia="Palatino Linotype" w:hAnsi="Palatino Linotype" w:cs="Palatino Linotype"/>
          <w:b/>
          <w:sz w:val="24"/>
          <w:szCs w:val="24"/>
        </w:rPr>
      </w:pPr>
      <w:r w:rsidRPr="00121977">
        <w:rPr>
          <w:rFonts w:ascii="Palatino Linotype" w:eastAsia="Palatino Linotype" w:hAnsi="Palatino Linotype" w:cs="Palatino Linotype"/>
          <w:b/>
          <w:sz w:val="24"/>
          <w:szCs w:val="24"/>
        </w:rPr>
        <w:t>I.</w:t>
      </w:r>
      <w:r w:rsidRPr="00121977">
        <w:rPr>
          <w:rFonts w:ascii="Palatino Linotype" w:eastAsia="Palatino Linotype" w:hAnsi="Palatino Linotype" w:cs="Palatino Linotype"/>
          <w:b/>
          <w:sz w:val="24"/>
          <w:szCs w:val="24"/>
        </w:rPr>
        <w:tab/>
        <w:t>A N T E C E D E N T E S</w:t>
      </w:r>
    </w:p>
    <w:p w14:paraId="0FE41CA1"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D2AFD91" w14:textId="77777777" w:rsidR="00FF4724" w:rsidRPr="00121977" w:rsidRDefault="008E2E7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Solicitud de acceso a la información.</w:t>
      </w:r>
      <w:r w:rsidRPr="00121977">
        <w:rPr>
          <w:rFonts w:ascii="Palatino Linotype" w:eastAsia="Palatino Linotype" w:hAnsi="Palatino Linotype" w:cs="Palatino Linotype"/>
          <w:sz w:val="24"/>
          <w:szCs w:val="24"/>
        </w:rPr>
        <w:t xml:space="preserve"> Con fecha </w:t>
      </w:r>
      <w:r w:rsidRPr="00121977">
        <w:rPr>
          <w:rFonts w:ascii="Palatino Linotype" w:eastAsia="Palatino Linotype" w:hAnsi="Palatino Linotype" w:cs="Palatino Linotype"/>
          <w:b/>
          <w:sz w:val="24"/>
          <w:szCs w:val="24"/>
        </w:rPr>
        <w:t>veintitrés de junio de dos mil veintitrés</w:t>
      </w:r>
      <w:r w:rsidRPr="00121977">
        <w:rPr>
          <w:rFonts w:ascii="Palatino Linotype" w:eastAsia="Palatino Linotype" w:hAnsi="Palatino Linotype" w:cs="Palatino Linotype"/>
          <w:sz w:val="24"/>
          <w:szCs w:val="24"/>
        </w:rPr>
        <w:t xml:space="preserve">, la parte </w:t>
      </w:r>
      <w:r w:rsidRPr="00121977">
        <w:rPr>
          <w:rFonts w:ascii="Palatino Linotype" w:eastAsia="Palatino Linotype" w:hAnsi="Palatino Linotype" w:cs="Palatino Linotype"/>
          <w:b/>
          <w:sz w:val="24"/>
          <w:szCs w:val="24"/>
        </w:rPr>
        <w:t>RECURRENTE</w:t>
      </w:r>
      <w:r w:rsidRPr="00121977">
        <w:rPr>
          <w:rFonts w:ascii="Palatino Linotype" w:eastAsia="Palatino Linotype" w:hAnsi="Palatino Linotype" w:cs="Palatino Linotype"/>
          <w:sz w:val="24"/>
          <w:szCs w:val="24"/>
        </w:rPr>
        <w:t xml:space="preserve"> formuló solicitud de acceso a información pública al</w:t>
      </w:r>
      <w:r w:rsidRPr="00121977">
        <w:rPr>
          <w:rFonts w:ascii="Palatino Linotype" w:eastAsia="Palatino Linotype" w:hAnsi="Palatino Linotype" w:cs="Palatino Linotype"/>
          <w:b/>
          <w:sz w:val="24"/>
          <w:szCs w:val="24"/>
        </w:rPr>
        <w:t xml:space="preserve"> SUJETO OBLIGADO</w:t>
      </w:r>
      <w:r w:rsidRPr="00121977">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54E7C8B" w14:textId="77777777" w:rsidR="00FF4724" w:rsidRPr="00121977" w:rsidRDefault="008E2E73">
      <w:pPr>
        <w:tabs>
          <w:tab w:val="left" w:pos="1530"/>
        </w:tabs>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ab/>
      </w:r>
    </w:p>
    <w:p w14:paraId="1F0CA44F" w14:textId="77777777" w:rsidR="00FF4724" w:rsidRPr="00121977" w:rsidRDefault="008E2E73">
      <w:pPr>
        <w:spacing w:after="0"/>
        <w:ind w:left="567" w:right="560"/>
        <w:jc w:val="both"/>
        <w:rPr>
          <w:rFonts w:ascii="Palatino Linotype" w:eastAsia="Palatino Linotype" w:hAnsi="Palatino Linotype" w:cs="Palatino Linotype"/>
          <w:i/>
        </w:rPr>
      </w:pPr>
      <w:bookmarkStart w:id="0" w:name="_heading=h.30j0zll" w:colFirst="0" w:colLast="0"/>
      <w:bookmarkEnd w:id="0"/>
      <w:r w:rsidRPr="00121977">
        <w:rPr>
          <w:rFonts w:ascii="Palatino Linotype" w:eastAsia="Palatino Linotype" w:hAnsi="Palatino Linotype" w:cs="Palatino Linotype"/>
          <w:i/>
        </w:rPr>
        <w:t>“Se solicita la información relativa al sexo, nivel académico y cargo de todos las y los servidores públicos con mandos medios (desde Jefatura de Departamento hasta Dirección u homólogos) y mandos superiores (desde Dirección General hasta Secretaría) en la Secretaría de la Contraloría desde el 16 de septiembre de 2017 a la fecha”.</w:t>
      </w:r>
    </w:p>
    <w:p w14:paraId="43082CF0" w14:textId="77777777" w:rsidR="00FF4724" w:rsidRPr="00121977" w:rsidRDefault="00FF4724">
      <w:pPr>
        <w:spacing w:after="0"/>
        <w:ind w:left="567" w:right="560"/>
        <w:jc w:val="both"/>
        <w:rPr>
          <w:rFonts w:ascii="Palatino Linotype" w:eastAsia="Palatino Linotype" w:hAnsi="Palatino Linotype" w:cs="Palatino Linotype"/>
          <w:i/>
        </w:rPr>
      </w:pPr>
    </w:p>
    <w:p w14:paraId="2BB0BC8B" w14:textId="77777777" w:rsidR="00FF4724" w:rsidRPr="00121977" w:rsidRDefault="008E2E73">
      <w:pPr>
        <w:spacing w:after="0"/>
        <w:ind w:right="56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Modalidad elegida para la entrega de la información:</w:t>
      </w:r>
      <w:r w:rsidRPr="00121977">
        <w:rPr>
          <w:rFonts w:ascii="Palatino Linotype" w:eastAsia="Palatino Linotype" w:hAnsi="Palatino Linotype" w:cs="Palatino Linotype"/>
          <w:sz w:val="24"/>
          <w:szCs w:val="24"/>
        </w:rPr>
        <w:t xml:space="preserve"> a través del Sistema de Acceso a la Información Mexiquense (SAIMEX). </w:t>
      </w:r>
    </w:p>
    <w:p w14:paraId="363DF3AB" w14:textId="77777777" w:rsidR="00FF4724" w:rsidRPr="00121977" w:rsidRDefault="008E2E7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lastRenderedPageBreak/>
        <w:t xml:space="preserve">Respuesta. </w:t>
      </w:r>
      <w:r w:rsidRPr="00121977">
        <w:rPr>
          <w:rFonts w:ascii="Palatino Linotype" w:eastAsia="Palatino Linotype" w:hAnsi="Palatino Linotype" w:cs="Palatino Linotype"/>
          <w:sz w:val="24"/>
          <w:szCs w:val="24"/>
        </w:rPr>
        <w:t xml:space="preserve">En fecha </w:t>
      </w:r>
      <w:r w:rsidRPr="00121977">
        <w:rPr>
          <w:rFonts w:ascii="Palatino Linotype" w:eastAsia="Palatino Linotype" w:hAnsi="Palatino Linotype" w:cs="Palatino Linotype"/>
          <w:b/>
          <w:sz w:val="24"/>
          <w:szCs w:val="24"/>
        </w:rPr>
        <w:t>cinco de julio de dos mil veintitrés</w:t>
      </w:r>
      <w:r w:rsidRPr="00121977">
        <w:rPr>
          <w:rFonts w:ascii="Palatino Linotype" w:eastAsia="Palatino Linotype" w:hAnsi="Palatino Linotype" w:cs="Palatino Linotype"/>
          <w:sz w:val="24"/>
          <w:szCs w:val="24"/>
        </w:rPr>
        <w:t xml:space="preserve">, el </w:t>
      </w:r>
      <w:r w:rsidRPr="00121977">
        <w:rPr>
          <w:rFonts w:ascii="Palatino Linotype" w:eastAsia="Palatino Linotype" w:hAnsi="Palatino Linotype" w:cs="Palatino Linotype"/>
          <w:b/>
          <w:sz w:val="24"/>
          <w:szCs w:val="24"/>
        </w:rPr>
        <w:t xml:space="preserve">SUJETO OBLIGADO </w:t>
      </w:r>
      <w:r w:rsidRPr="00121977">
        <w:rPr>
          <w:rFonts w:ascii="Palatino Linotype" w:eastAsia="Palatino Linotype" w:hAnsi="Palatino Linotype" w:cs="Palatino Linotype"/>
          <w:sz w:val="24"/>
          <w:szCs w:val="24"/>
        </w:rPr>
        <w:t xml:space="preserve">proporcionó respuesta a la solicitud de información, al tenor de lo siguiente: </w:t>
      </w:r>
    </w:p>
    <w:p w14:paraId="01B9B26E"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BFEC821" w14:textId="77777777" w:rsidR="00FF4724" w:rsidRPr="00121977" w:rsidRDefault="008E2E73">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506D3D" w14:textId="77777777" w:rsidR="00FF4724" w:rsidRPr="00121977" w:rsidRDefault="008E2E73">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t>SIRVASE ENCONTRAR EN ARCHIVOS ADJUNTOS, EN FORMATO .PDF, OFICIO DE RESPUESTA SIGNADO POR EL JEFE DE LA UNIDAD DE ÉTICA Y PREVENCIÓN DE LA CORRUPCIÓN Y RESPONSABLE DE LA UNIDAD DE TRANSPARENCIA, ASÍ COMO EL OFICIO SIGNADO POR EL SERVIDOR PÚBLICO HABILITADO QUE ATENDIO EL REQUERIMIENTO..</w:t>
      </w:r>
    </w:p>
    <w:p w14:paraId="107B8013"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CED143E" w14:textId="77777777" w:rsidR="00FF4724" w:rsidRPr="00121977" w:rsidRDefault="008E2E7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Asimismo, adjuntó su respuesta con el documento que se describe a continuación: </w:t>
      </w:r>
    </w:p>
    <w:p w14:paraId="5E2E8954"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A5750A1" w14:textId="77777777" w:rsidR="00FF4724" w:rsidRPr="00121977" w:rsidRDefault="008E2E7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rPr>
        <w:t xml:space="preserve">Oficio de fecha tres de julio de </w:t>
      </w:r>
      <w:proofErr w:type="spellStart"/>
      <w:r w:rsidRPr="00121977">
        <w:rPr>
          <w:rFonts w:ascii="Palatino Linotype" w:eastAsia="Palatino Linotype" w:hAnsi="Palatino Linotype" w:cs="Palatino Linotype"/>
        </w:rPr>
        <w:t>dis</w:t>
      </w:r>
      <w:proofErr w:type="spellEnd"/>
      <w:r w:rsidRPr="00121977">
        <w:rPr>
          <w:rFonts w:ascii="Palatino Linotype" w:eastAsia="Palatino Linotype" w:hAnsi="Palatino Linotype" w:cs="Palatino Linotype"/>
        </w:rPr>
        <w:t xml:space="preserve"> mil veintitrés, signado por el Subdirector de Administración de Recursos, mediante el cual informa que, se envía la información en sobre cerrado.  </w:t>
      </w:r>
    </w:p>
    <w:p w14:paraId="42BD06A8" w14:textId="77777777" w:rsidR="00FF4724" w:rsidRPr="00121977" w:rsidRDefault="008E2E7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rPr>
        <w:t xml:space="preserve">Anexo del oficio de fecha tres de julio de dos mil veintitrés, el cual refiere que no se encontró información relacionada con años anteriores, por lo que, se envía lo que obra en los archivos del Sujeto Obligado, en ese sentido, se remitió la siguiente información: </w:t>
      </w:r>
    </w:p>
    <w:p w14:paraId="68B53086" w14:textId="77777777" w:rsidR="00FF4724" w:rsidRPr="00121977" w:rsidRDefault="008E2E7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noProof/>
          <w:sz w:val="24"/>
          <w:szCs w:val="24"/>
          <w:lang w:eastAsia="es-MX"/>
        </w:rPr>
        <w:lastRenderedPageBreak/>
        <w:drawing>
          <wp:inline distT="0" distB="0" distL="0" distR="0" wp14:anchorId="506DA09A" wp14:editId="18B71DBF">
            <wp:extent cx="5756275" cy="1913255"/>
            <wp:effectExtent l="0" t="0" r="0" b="0"/>
            <wp:docPr id="14489867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56275" cy="1913255"/>
                    </a:xfrm>
                    <a:prstGeom prst="rect">
                      <a:avLst/>
                    </a:prstGeom>
                    <a:ln/>
                  </pic:spPr>
                </pic:pic>
              </a:graphicData>
            </a:graphic>
          </wp:inline>
        </w:drawing>
      </w:r>
    </w:p>
    <w:p w14:paraId="0A136830" w14:textId="77777777" w:rsidR="00FF4724" w:rsidRPr="00121977" w:rsidRDefault="008E2E73">
      <w:pPr>
        <w:pBdr>
          <w:top w:val="nil"/>
          <w:left w:val="nil"/>
          <w:bottom w:val="nil"/>
          <w:right w:val="nil"/>
          <w:between w:val="nil"/>
        </w:pBdr>
        <w:spacing w:after="0" w:line="360" w:lineRule="auto"/>
        <w:ind w:right="49"/>
        <w:jc w:val="center"/>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w:t>
      </w:r>
    </w:p>
    <w:p w14:paraId="2590B54F" w14:textId="77777777" w:rsidR="00FF4724" w:rsidRPr="00121977" w:rsidRDefault="008E2E73">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Oficio de fecha cinco de julio de dos mil veintitrés, signado por el jefe de la Unidad de Ética y Prevención de la Corrupción y </w:t>
      </w:r>
      <w:proofErr w:type="spellStart"/>
      <w:r w:rsidRPr="00121977">
        <w:rPr>
          <w:rFonts w:ascii="Palatino Linotype" w:eastAsia="Palatino Linotype" w:hAnsi="Palatino Linotype" w:cs="Palatino Linotype"/>
          <w:sz w:val="24"/>
          <w:szCs w:val="24"/>
        </w:rPr>
        <w:t>Reponsable</w:t>
      </w:r>
      <w:proofErr w:type="spellEnd"/>
      <w:r w:rsidRPr="00121977">
        <w:rPr>
          <w:rFonts w:ascii="Palatino Linotype" w:eastAsia="Palatino Linotype" w:hAnsi="Palatino Linotype" w:cs="Palatino Linotype"/>
          <w:sz w:val="24"/>
          <w:szCs w:val="24"/>
        </w:rPr>
        <w:t xml:space="preserve"> de la Unidad de Transparencia, mediante el cual informa que se entrega la información enviada de los servidores públicos habilitados. </w:t>
      </w:r>
    </w:p>
    <w:p w14:paraId="3B885032" w14:textId="77777777" w:rsidR="00FF4724" w:rsidRPr="00121977" w:rsidRDefault="00FF4724">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7779665A" w14:textId="77777777" w:rsidR="00FF4724" w:rsidRPr="00121977" w:rsidRDefault="008E2E7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 xml:space="preserve">Recurso de Revisión. </w:t>
      </w:r>
      <w:r w:rsidRPr="00121977">
        <w:rPr>
          <w:rFonts w:ascii="Palatino Linotype" w:eastAsia="Palatino Linotype" w:hAnsi="Palatino Linotype" w:cs="Palatino Linotype"/>
          <w:sz w:val="24"/>
          <w:szCs w:val="24"/>
        </w:rPr>
        <w:t xml:space="preserve">En fecha </w:t>
      </w:r>
      <w:r w:rsidRPr="00121977">
        <w:rPr>
          <w:rFonts w:ascii="Palatino Linotype" w:eastAsia="Palatino Linotype" w:hAnsi="Palatino Linotype" w:cs="Palatino Linotype"/>
          <w:b/>
          <w:sz w:val="24"/>
          <w:szCs w:val="24"/>
        </w:rPr>
        <w:t>nueve de agosto de dos mil veintitrés</w:t>
      </w:r>
      <w:r w:rsidRPr="00121977">
        <w:rPr>
          <w:rFonts w:ascii="Palatino Linotype" w:eastAsia="Palatino Linotype" w:hAnsi="Palatino Linotype" w:cs="Palatino Linotype"/>
          <w:sz w:val="24"/>
          <w:szCs w:val="24"/>
        </w:rPr>
        <w:t xml:space="preserve"> la persona Solicitante interpuso Recurso de Revisión a través del </w:t>
      </w:r>
      <w:r w:rsidRPr="00121977">
        <w:rPr>
          <w:rFonts w:ascii="Palatino Linotype" w:eastAsia="Palatino Linotype" w:hAnsi="Palatino Linotype" w:cs="Palatino Linotype"/>
          <w:b/>
          <w:sz w:val="24"/>
          <w:szCs w:val="24"/>
        </w:rPr>
        <w:t>SAIMEX</w:t>
      </w:r>
      <w:r w:rsidRPr="00121977">
        <w:rPr>
          <w:rFonts w:ascii="Palatino Linotype" w:eastAsia="Palatino Linotype" w:hAnsi="Palatino Linotype" w:cs="Palatino Linotype"/>
          <w:sz w:val="24"/>
          <w:szCs w:val="24"/>
        </w:rPr>
        <w:t>, a través del cual expresó lo siguiente:</w:t>
      </w:r>
    </w:p>
    <w:p w14:paraId="075882E2"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9A1D910" w14:textId="77777777" w:rsidR="00FF4724" w:rsidRPr="00121977" w:rsidRDefault="008E2E7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121977">
        <w:rPr>
          <w:rFonts w:ascii="Palatino Linotype" w:eastAsia="Palatino Linotype" w:hAnsi="Palatino Linotype" w:cs="Palatino Linotype"/>
          <w:b/>
          <w:sz w:val="24"/>
          <w:szCs w:val="24"/>
        </w:rPr>
        <w:t>Acto impugnado</w:t>
      </w:r>
      <w:r w:rsidRPr="00121977">
        <w:rPr>
          <w:rFonts w:ascii="Palatino Linotype" w:eastAsia="Palatino Linotype" w:hAnsi="Palatino Linotype" w:cs="Palatino Linotype"/>
          <w:b/>
          <w:i/>
          <w:sz w:val="24"/>
          <w:szCs w:val="24"/>
        </w:rPr>
        <w:t xml:space="preserve">. </w:t>
      </w:r>
      <w:r w:rsidRPr="00121977">
        <w:rPr>
          <w:rFonts w:ascii="Palatino Linotype" w:eastAsia="Palatino Linotype" w:hAnsi="Palatino Linotype" w:cs="Palatino Linotype"/>
          <w:i/>
        </w:rPr>
        <w:t>“Se impugna la respuesta de la Secretaría de la Contraloría relativa a la solicitud de información 00198/SECOGEM/IP/2023, según la cual se proporcionó información incompleta con respecto a la solicitada.</w:t>
      </w:r>
    </w:p>
    <w:p w14:paraId="0111272A" w14:textId="77777777" w:rsidR="00FF4724" w:rsidRPr="00121977" w:rsidRDefault="00FF472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0A181C66" w14:textId="77777777" w:rsidR="00FF4724" w:rsidRPr="00121977" w:rsidRDefault="008E2E7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121977">
        <w:rPr>
          <w:rFonts w:ascii="Palatino Linotype" w:eastAsia="Palatino Linotype" w:hAnsi="Palatino Linotype" w:cs="Palatino Linotype"/>
          <w:b/>
          <w:sz w:val="24"/>
          <w:szCs w:val="24"/>
        </w:rPr>
        <w:t xml:space="preserve">Razones o motivos de la inconformidad: </w:t>
      </w:r>
      <w:r w:rsidRPr="00121977">
        <w:rPr>
          <w:rFonts w:ascii="Palatino Linotype" w:eastAsia="Palatino Linotype" w:hAnsi="Palatino Linotype" w:cs="Palatino Linotype"/>
          <w:i/>
        </w:rPr>
        <w:t xml:space="preserve">“Toda vez que el portal de Información Pública de Oficio Mexiquense (IPOMEX) sólo considera la información solicitada relativa al último trimestre de 2023 (actualizada a julio de este año), </w:t>
      </w:r>
      <w:r w:rsidRPr="00121977">
        <w:rPr>
          <w:rFonts w:ascii="Palatino Linotype" w:eastAsia="Palatino Linotype" w:hAnsi="Palatino Linotype" w:cs="Palatino Linotype"/>
          <w:b/>
          <w:i/>
          <w:u w:val="single"/>
        </w:rPr>
        <w:t>se solicita la tocante a los últimos ejercicios de los años 2017, 2018, 2019, 2020, 2021 y 2022</w:t>
      </w:r>
      <w:r w:rsidRPr="00121977">
        <w:rPr>
          <w:rFonts w:ascii="Palatino Linotype" w:eastAsia="Palatino Linotype" w:hAnsi="Palatino Linotype" w:cs="Palatino Linotype"/>
          <w:i/>
        </w:rPr>
        <w:t xml:space="preserve">, misma que no puede ser consultada en dicho portal y que es tocante a la fracción XXI del artículo 92 de la Ley de Transparencia y Acceso a la Información Pública del Estado de </w:t>
      </w:r>
      <w:r w:rsidRPr="00121977">
        <w:rPr>
          <w:rFonts w:ascii="Palatino Linotype" w:eastAsia="Palatino Linotype" w:hAnsi="Palatino Linotype" w:cs="Palatino Linotype"/>
          <w:i/>
        </w:rPr>
        <w:lastRenderedPageBreak/>
        <w:t>México y Municipios (información curricular de las personas servidoras públicas desde el nivel de jefe de departamento, o equivalente, hasta la o el titular).</w:t>
      </w:r>
    </w:p>
    <w:p w14:paraId="5A0639FD" w14:textId="77777777" w:rsidR="00FF4724" w:rsidRPr="00121977" w:rsidRDefault="00FF4724">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3BEB8872" w14:textId="77777777" w:rsidR="00FF4724" w:rsidRPr="00121977" w:rsidRDefault="008E2E7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Turno.</w:t>
      </w:r>
      <w:r w:rsidRPr="00121977">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121977">
        <w:rPr>
          <w:rFonts w:ascii="Palatino Linotype" w:eastAsia="Palatino Linotype" w:hAnsi="Palatino Linotype" w:cs="Palatino Linotype"/>
          <w:b/>
          <w:sz w:val="24"/>
          <w:szCs w:val="24"/>
        </w:rPr>
        <w:t>04429/INFOEM/IP/RR/2023</w:t>
      </w:r>
      <w:r w:rsidRPr="00121977">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5DE645D"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BD33A7" w14:textId="77777777" w:rsidR="00FF4724" w:rsidRPr="00121977" w:rsidRDefault="008E2E7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Admisión del recurso de revisión</w:t>
      </w:r>
      <w:r w:rsidRPr="00121977">
        <w:rPr>
          <w:rFonts w:ascii="Palatino Linotype" w:eastAsia="Palatino Linotype" w:hAnsi="Palatino Linotype" w:cs="Palatino Linotype"/>
          <w:sz w:val="24"/>
          <w:szCs w:val="24"/>
        </w:rPr>
        <w:t xml:space="preserve">: En fecha </w:t>
      </w:r>
      <w:r w:rsidRPr="00121977">
        <w:rPr>
          <w:rFonts w:ascii="Palatino Linotype" w:eastAsia="Palatino Linotype" w:hAnsi="Palatino Linotype" w:cs="Palatino Linotype"/>
          <w:b/>
          <w:sz w:val="24"/>
          <w:szCs w:val="24"/>
        </w:rPr>
        <w:t>catorce de agosto de dos mil veintitrés</w:t>
      </w:r>
      <w:r w:rsidRPr="00121977">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8736EC7" w14:textId="77777777" w:rsidR="00FF4724" w:rsidRPr="00121977" w:rsidRDefault="00FF4724">
      <w:pPr>
        <w:pBdr>
          <w:top w:val="nil"/>
          <w:left w:val="nil"/>
          <w:bottom w:val="nil"/>
          <w:right w:val="nil"/>
          <w:between w:val="nil"/>
        </w:pBdr>
        <w:ind w:left="720"/>
        <w:rPr>
          <w:rFonts w:ascii="Palatino Linotype" w:eastAsia="Palatino Linotype" w:hAnsi="Palatino Linotype" w:cs="Palatino Linotype"/>
          <w:sz w:val="24"/>
          <w:szCs w:val="24"/>
        </w:rPr>
      </w:pPr>
    </w:p>
    <w:p w14:paraId="6F6D8B5A" w14:textId="77777777" w:rsidR="00FF4724" w:rsidRPr="00121977" w:rsidRDefault="008E2E7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 xml:space="preserve">Informe Justificado. </w:t>
      </w:r>
      <w:r w:rsidRPr="00121977">
        <w:rPr>
          <w:rFonts w:ascii="Palatino Linotype" w:eastAsia="Palatino Linotype" w:hAnsi="Palatino Linotype" w:cs="Palatino Linotype"/>
          <w:sz w:val="24"/>
          <w:szCs w:val="24"/>
        </w:rPr>
        <w:t xml:space="preserve">En fecha </w:t>
      </w:r>
      <w:r w:rsidRPr="00121977">
        <w:rPr>
          <w:rFonts w:ascii="Palatino Linotype" w:eastAsia="Palatino Linotype" w:hAnsi="Palatino Linotype" w:cs="Palatino Linotype"/>
          <w:b/>
          <w:sz w:val="24"/>
          <w:szCs w:val="24"/>
        </w:rPr>
        <w:t>dieciocho de agosto de dos mil veintitrés</w:t>
      </w:r>
      <w:r w:rsidRPr="00121977">
        <w:rPr>
          <w:rFonts w:ascii="Palatino Linotype" w:eastAsia="Palatino Linotype" w:hAnsi="Palatino Linotype" w:cs="Palatino Linotype"/>
          <w:sz w:val="24"/>
          <w:szCs w:val="24"/>
        </w:rPr>
        <w:t xml:space="preserve">, el </w:t>
      </w:r>
      <w:r w:rsidRPr="00121977">
        <w:rPr>
          <w:rFonts w:ascii="Palatino Linotype" w:eastAsia="Palatino Linotype" w:hAnsi="Palatino Linotype" w:cs="Palatino Linotype"/>
          <w:b/>
          <w:sz w:val="24"/>
          <w:szCs w:val="24"/>
        </w:rPr>
        <w:t xml:space="preserve">SUJETO OBLIGADO </w:t>
      </w:r>
      <w:r w:rsidRPr="00121977">
        <w:rPr>
          <w:rFonts w:ascii="Palatino Linotype" w:eastAsia="Palatino Linotype" w:hAnsi="Palatino Linotype" w:cs="Palatino Linotype"/>
          <w:sz w:val="24"/>
          <w:szCs w:val="24"/>
        </w:rPr>
        <w:t xml:space="preserve">rindió informe justificado, al tenor de lo siguiente: </w:t>
      </w:r>
    </w:p>
    <w:p w14:paraId="5887EB56" w14:textId="77777777" w:rsidR="00FF4724" w:rsidRPr="00121977" w:rsidRDefault="00FF4724">
      <w:pPr>
        <w:pBdr>
          <w:top w:val="nil"/>
          <w:left w:val="nil"/>
          <w:bottom w:val="nil"/>
          <w:right w:val="nil"/>
          <w:between w:val="nil"/>
        </w:pBdr>
        <w:spacing w:after="0" w:line="360" w:lineRule="auto"/>
        <w:ind w:left="993" w:right="49"/>
        <w:rPr>
          <w:rFonts w:ascii="Palatino Linotype" w:eastAsia="Palatino Linotype" w:hAnsi="Palatino Linotype" w:cs="Palatino Linotype"/>
        </w:rPr>
      </w:pPr>
    </w:p>
    <w:p w14:paraId="715C34F4" w14:textId="77777777" w:rsidR="00FF4724" w:rsidRPr="00121977" w:rsidRDefault="008E2E7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121977">
        <w:rPr>
          <w:rFonts w:ascii="Palatino Linotype" w:eastAsia="Palatino Linotype" w:hAnsi="Palatino Linotype" w:cs="Palatino Linotype"/>
        </w:rPr>
        <w:t xml:space="preserve">Oficio de fecha dieciocho de agosto de dos mil veintitrés, mediante el cual informa que el Departamento de Personal no cuenta con un sistema informático diseñado para guardar información o historial acerca de las personas servidores públicos en los años 2017, 2018, 2019, 2020 y 2022, sólo contiene información actualizada en las plantillas de Bases de Datos del Personal (Excel). Asimismo, refiere que el único sistema </w:t>
      </w:r>
      <w:r w:rsidRPr="00121977">
        <w:rPr>
          <w:rFonts w:ascii="Palatino Linotype" w:eastAsia="Palatino Linotype" w:hAnsi="Palatino Linotype" w:cs="Palatino Linotype"/>
        </w:rPr>
        <w:lastRenderedPageBreak/>
        <w:t xml:space="preserve">informático que maneja el Departamento de Personal es el llamado SIMP que sirve para dar las altas, bajas, cambios y movimientos de personal que actualmente se dan dentro de la Secretaría y que a nivel estatal es el que rige para dichos movimientos en colaboración con la Dirección General de Personal y que tampoco cuenta con información que pide el solicitante. </w:t>
      </w:r>
    </w:p>
    <w:p w14:paraId="7968785D"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DE6E37" w14:textId="77777777" w:rsidR="00FF4724" w:rsidRPr="00121977" w:rsidRDefault="008E2E73">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121977">
        <w:rPr>
          <w:rFonts w:ascii="Palatino Linotype" w:eastAsia="Palatino Linotype" w:hAnsi="Palatino Linotype" w:cs="Palatino Linotype"/>
        </w:rPr>
        <w:t xml:space="preserve">Documentos que se hicieron del conocimiento de la parte Recurrente el </w:t>
      </w:r>
      <w:r w:rsidRPr="00121977">
        <w:rPr>
          <w:rFonts w:ascii="Palatino Linotype" w:eastAsia="Palatino Linotype" w:hAnsi="Palatino Linotype" w:cs="Palatino Linotype"/>
          <w:b/>
        </w:rPr>
        <w:t>catorce de diciembre de dos mil veintitrés.</w:t>
      </w:r>
    </w:p>
    <w:p w14:paraId="6B36F325"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361AB100" w14:textId="77777777" w:rsidR="00FF4724" w:rsidRPr="00121977" w:rsidRDefault="008E2E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121977">
        <w:rPr>
          <w:rFonts w:ascii="Palatino Linotype" w:eastAsia="Palatino Linotype" w:hAnsi="Palatino Linotype" w:cs="Palatino Linotype"/>
        </w:rPr>
        <w:t xml:space="preserve">La parte Recurrente no realizó manifestaciones </w:t>
      </w:r>
    </w:p>
    <w:p w14:paraId="39052FD5" w14:textId="77777777" w:rsidR="00FF4724" w:rsidRPr="00121977" w:rsidRDefault="00FF4724">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1708C843" w14:textId="77777777" w:rsidR="00FF4724" w:rsidRPr="00121977" w:rsidRDefault="008E2E73">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Ampliación de plazo:</w:t>
      </w:r>
      <w:r w:rsidRPr="00121977">
        <w:rPr>
          <w:rFonts w:ascii="Palatino Linotype" w:eastAsia="Palatino Linotype" w:hAnsi="Palatino Linotype" w:cs="Palatino Linotype"/>
          <w:sz w:val="24"/>
          <w:szCs w:val="24"/>
        </w:rPr>
        <w:t xml:space="preserve"> En fecha </w:t>
      </w:r>
      <w:r w:rsidRPr="00121977">
        <w:rPr>
          <w:rFonts w:ascii="Palatino Linotype" w:eastAsia="Palatino Linotype" w:hAnsi="Palatino Linotype" w:cs="Palatino Linotype"/>
          <w:b/>
          <w:sz w:val="24"/>
          <w:szCs w:val="24"/>
        </w:rPr>
        <w:t>veintinueve de febrero de dos mil veinticuatro</w:t>
      </w:r>
      <w:r w:rsidRPr="00121977">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46F76990" w14:textId="77777777" w:rsidR="00FF4724" w:rsidRPr="00121977" w:rsidRDefault="00FF4724">
      <w:pPr>
        <w:widowControl w:val="0"/>
        <w:spacing w:after="0" w:line="360" w:lineRule="auto"/>
        <w:jc w:val="both"/>
        <w:rPr>
          <w:rFonts w:ascii="Palatino Linotype" w:eastAsia="Palatino Linotype" w:hAnsi="Palatino Linotype" w:cs="Palatino Linotype"/>
          <w:sz w:val="24"/>
          <w:szCs w:val="24"/>
        </w:rPr>
      </w:pPr>
    </w:p>
    <w:p w14:paraId="1C998E22" w14:textId="77777777" w:rsidR="00FF4724" w:rsidRPr="00121977" w:rsidRDefault="008E2E7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9EE7981" w14:textId="77777777" w:rsidR="00FF4724" w:rsidRPr="00121977" w:rsidRDefault="00FF472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5CB82AD2"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w:t>
      </w:r>
      <w:r w:rsidRPr="00121977">
        <w:rPr>
          <w:rFonts w:ascii="Palatino Linotype" w:eastAsia="Palatino Linotype" w:hAnsi="Palatino Linotype" w:cs="Palatino Linotype"/>
          <w:sz w:val="24"/>
          <w:szCs w:val="24"/>
        </w:rPr>
        <w:lastRenderedPageBreak/>
        <w:t>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04F95C7"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2831C4D1"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8585162"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0F36CCB5"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5806C2"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00081380" w14:textId="77777777" w:rsidR="00FF4724" w:rsidRPr="00121977" w:rsidRDefault="008E2E73">
      <w:pPr>
        <w:spacing w:after="0" w:line="360" w:lineRule="auto"/>
        <w:jc w:val="both"/>
        <w:rPr>
          <w:rFonts w:ascii="Palatino Linotype" w:eastAsia="Palatino Linotype" w:hAnsi="Palatino Linotype" w:cs="Palatino Linotype"/>
          <w:strike/>
          <w:sz w:val="24"/>
          <w:szCs w:val="24"/>
        </w:rPr>
      </w:pPr>
      <w:r w:rsidRPr="00121977">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0E0D2DE"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5C065F6C" w14:textId="77777777" w:rsidR="00FF4724" w:rsidRPr="00121977" w:rsidRDefault="008E2E73">
      <w:pPr>
        <w:numPr>
          <w:ilvl w:val="0"/>
          <w:numId w:val="5"/>
        </w:numPr>
        <w:spacing w:after="0" w:line="360" w:lineRule="auto"/>
        <w:jc w:val="both"/>
        <w:rPr>
          <w:rFonts w:ascii="Palatino Linotype" w:eastAsia="Palatino Linotype" w:hAnsi="Palatino Linotype" w:cs="Palatino Linotype"/>
        </w:rPr>
      </w:pPr>
      <w:r w:rsidRPr="00121977">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7B87925D" w14:textId="77777777" w:rsidR="00FF4724" w:rsidRPr="00121977" w:rsidRDefault="008E2E73">
      <w:pPr>
        <w:numPr>
          <w:ilvl w:val="0"/>
          <w:numId w:val="5"/>
        </w:numPr>
        <w:spacing w:after="0" w:line="360" w:lineRule="auto"/>
        <w:jc w:val="both"/>
        <w:rPr>
          <w:rFonts w:ascii="Palatino Linotype" w:eastAsia="Palatino Linotype" w:hAnsi="Palatino Linotype" w:cs="Palatino Linotype"/>
        </w:rPr>
      </w:pPr>
      <w:r w:rsidRPr="00121977">
        <w:rPr>
          <w:rFonts w:ascii="Palatino Linotype" w:eastAsia="Palatino Linotype" w:hAnsi="Palatino Linotype" w:cs="Palatino Linotype"/>
        </w:rPr>
        <w:t>Actividad Procesal del interesado. Acciones u omisiones del interesado.</w:t>
      </w:r>
    </w:p>
    <w:p w14:paraId="1B06FBB7" w14:textId="77777777" w:rsidR="00FF4724" w:rsidRPr="00121977" w:rsidRDefault="008E2E73">
      <w:pPr>
        <w:numPr>
          <w:ilvl w:val="0"/>
          <w:numId w:val="5"/>
        </w:numPr>
        <w:spacing w:after="0" w:line="360" w:lineRule="auto"/>
        <w:jc w:val="both"/>
        <w:rPr>
          <w:rFonts w:ascii="Palatino Linotype" w:eastAsia="Palatino Linotype" w:hAnsi="Palatino Linotype" w:cs="Palatino Linotype"/>
        </w:rPr>
      </w:pPr>
      <w:r w:rsidRPr="00121977">
        <w:rPr>
          <w:rFonts w:ascii="Palatino Linotype" w:eastAsia="Palatino Linotype" w:hAnsi="Palatino Linotype" w:cs="Palatino Linotype"/>
        </w:rPr>
        <w:t>Conducta de la Autoridad: Las Acciones u omisiones realizadas en el procedimiento. Así como si la autoridad actuó con la debida diligencia.</w:t>
      </w:r>
    </w:p>
    <w:p w14:paraId="75F34DC1" w14:textId="77777777" w:rsidR="00FF4724" w:rsidRPr="00121977" w:rsidRDefault="008E2E73">
      <w:pPr>
        <w:numPr>
          <w:ilvl w:val="0"/>
          <w:numId w:val="5"/>
        </w:numPr>
        <w:spacing w:after="0" w:line="360" w:lineRule="auto"/>
        <w:jc w:val="both"/>
        <w:rPr>
          <w:rFonts w:ascii="Palatino Linotype" w:eastAsia="Palatino Linotype" w:hAnsi="Palatino Linotype" w:cs="Palatino Linotype"/>
        </w:rPr>
      </w:pPr>
      <w:r w:rsidRPr="00121977">
        <w:rPr>
          <w:rFonts w:ascii="Palatino Linotype" w:eastAsia="Palatino Linotype" w:hAnsi="Palatino Linotype" w:cs="Palatino Linotype"/>
        </w:rPr>
        <w:lastRenderedPageBreak/>
        <w:t xml:space="preserve"> La afectación generada en la situación jurídica de la persona involucrada en el proceso: Violación a sus derechos humanos.</w:t>
      </w:r>
    </w:p>
    <w:p w14:paraId="11FAE0C0"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608CCE22"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4CCEAE3"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145BB599"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121977">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121977">
        <w:rPr>
          <w:rFonts w:ascii="Palatino Linotype" w:eastAsia="Palatino Linotype" w:hAnsi="Palatino Linotype" w:cs="Palatino Linotype"/>
          <w:sz w:val="24"/>
          <w:szCs w:val="24"/>
        </w:rPr>
        <w:t>, visible en la Gaceta del Seminario Judicial de la Federación con el registro digital 205635.</w:t>
      </w:r>
    </w:p>
    <w:p w14:paraId="1D526BBA"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7DFB7A6F"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121977">
        <w:rPr>
          <w:rFonts w:ascii="Palatino Linotype" w:eastAsia="Palatino Linotype" w:hAnsi="Palatino Linotype" w:cs="Palatino Linotype"/>
          <w:sz w:val="24"/>
          <w:szCs w:val="24"/>
        </w:rPr>
        <w:lastRenderedPageBreak/>
        <w:t>términos legales previamente establecidos por la Ley, por tratarse de causas de fuerza mayor.</w:t>
      </w:r>
    </w:p>
    <w:p w14:paraId="3394F98C"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75364832"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E7CAC49"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4FEA4BC1" w14:textId="77777777" w:rsidR="00FF4724" w:rsidRPr="00121977" w:rsidRDefault="008E2E73">
      <w:pPr>
        <w:spacing w:after="0" w:line="360" w:lineRule="auto"/>
        <w:ind w:left="567" w:right="616"/>
        <w:jc w:val="both"/>
        <w:rPr>
          <w:rFonts w:ascii="Palatino Linotype" w:eastAsia="Palatino Linotype" w:hAnsi="Palatino Linotype" w:cs="Palatino Linotype"/>
        </w:rPr>
      </w:pPr>
      <w:r w:rsidRPr="00121977">
        <w:rPr>
          <w:rFonts w:ascii="Palatino Linotype" w:eastAsia="Palatino Linotype" w:hAnsi="Palatino Linotype" w:cs="Palatino Linotype"/>
          <w:b/>
        </w:rPr>
        <w:t xml:space="preserve"> </w:t>
      </w:r>
      <w:r w:rsidRPr="00121977">
        <w:rPr>
          <w:rFonts w:ascii="Palatino Linotype" w:eastAsia="Palatino Linotype" w:hAnsi="Palatino Linotype" w:cs="Palatino Linotype"/>
          <w:b/>
          <w:i/>
        </w:rPr>
        <w:t>“PLAZO RAZONABLE PARA RESOLVER. DIMENSIÓN Y EFECTOS DE ESTE CONCEPTO CUANDO SE ADUCE EXCESIVA CARGA DE TRABAJO.”</w:t>
      </w:r>
      <w:r w:rsidRPr="00121977">
        <w:rPr>
          <w:rFonts w:ascii="Palatino Linotype" w:eastAsia="Palatino Linotype" w:hAnsi="Palatino Linotype" w:cs="Palatino Linotype"/>
        </w:rPr>
        <w:t xml:space="preserve"> consultable en el Seminario Judicial de la Federación y su gaceta, con el registro digital 2002351.</w:t>
      </w:r>
    </w:p>
    <w:p w14:paraId="6A68FFC8" w14:textId="77777777" w:rsidR="00FF4724" w:rsidRPr="00121977" w:rsidRDefault="00FF4724">
      <w:pPr>
        <w:spacing w:after="0" w:line="360" w:lineRule="auto"/>
        <w:ind w:left="567" w:right="616"/>
        <w:jc w:val="both"/>
        <w:rPr>
          <w:rFonts w:ascii="Palatino Linotype" w:eastAsia="Palatino Linotype" w:hAnsi="Palatino Linotype" w:cs="Palatino Linotype"/>
          <w:b/>
        </w:rPr>
      </w:pPr>
    </w:p>
    <w:p w14:paraId="59297F3C" w14:textId="77777777" w:rsidR="00FF4724" w:rsidRPr="00121977" w:rsidRDefault="008E2E73">
      <w:pPr>
        <w:spacing w:after="0" w:line="360" w:lineRule="auto"/>
        <w:ind w:left="567" w:right="616"/>
        <w:jc w:val="both"/>
        <w:rPr>
          <w:rFonts w:ascii="Palatino Linotype" w:eastAsia="Palatino Linotype" w:hAnsi="Palatino Linotype" w:cs="Palatino Linotype"/>
        </w:rPr>
      </w:pPr>
      <w:r w:rsidRPr="00121977">
        <w:rPr>
          <w:rFonts w:ascii="Palatino Linotype" w:eastAsia="Palatino Linotype" w:hAnsi="Palatino Linotype" w:cs="Palatino Linotype"/>
          <w:b/>
          <w:i/>
        </w:rPr>
        <w:t>“PLAZO RAZONABLE PARA RESOLVER. CONCEPTO Y ELEMENTOS QUE LO INTEGRAN A LA LUZ DEL DERECHO INTERNACIONAL DE LOS DERECHOS HUMANOS</w:t>
      </w:r>
      <w:r w:rsidRPr="00121977">
        <w:rPr>
          <w:rFonts w:ascii="Palatino Linotype" w:eastAsia="Palatino Linotype" w:hAnsi="Palatino Linotype" w:cs="Palatino Linotype"/>
          <w:i/>
        </w:rPr>
        <w:t>.”</w:t>
      </w:r>
      <w:r w:rsidRPr="00121977">
        <w:rPr>
          <w:rFonts w:ascii="Palatino Linotype" w:eastAsia="Palatino Linotype" w:hAnsi="Palatino Linotype" w:cs="Palatino Linotype"/>
        </w:rPr>
        <w:t>, visible en el Seminario Judicial de la Federación y su gaceta, con el registro digital 2002350.</w:t>
      </w:r>
    </w:p>
    <w:p w14:paraId="280309FF" w14:textId="77777777" w:rsidR="00FF4724" w:rsidRPr="00121977" w:rsidRDefault="00FF4724">
      <w:pPr>
        <w:spacing w:after="0" w:line="360" w:lineRule="auto"/>
        <w:ind w:left="567" w:right="616"/>
        <w:jc w:val="both"/>
        <w:rPr>
          <w:rFonts w:ascii="Palatino Linotype" w:eastAsia="Palatino Linotype" w:hAnsi="Palatino Linotype" w:cs="Palatino Linotype"/>
        </w:rPr>
      </w:pPr>
    </w:p>
    <w:p w14:paraId="17A35661"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Por ello, este organismo garante comprometido con la tutela de los derechos humanos confiados señala que este exceso de plazo legal para resolver el presente asunto resulta de carácter excepcional.</w:t>
      </w:r>
    </w:p>
    <w:p w14:paraId="70357970"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4E80B25A" w14:textId="77777777" w:rsidR="00FF4724" w:rsidRPr="00121977" w:rsidRDefault="008E2E7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Cierre de instrucción</w:t>
      </w:r>
      <w:r w:rsidRPr="00121977">
        <w:rPr>
          <w:rFonts w:ascii="Palatino Linotype" w:eastAsia="Palatino Linotype" w:hAnsi="Palatino Linotype" w:cs="Palatino Linotype"/>
          <w:sz w:val="24"/>
          <w:szCs w:val="24"/>
        </w:rPr>
        <w:t xml:space="preserve">. En fecha </w:t>
      </w:r>
      <w:r w:rsidRPr="00121977">
        <w:rPr>
          <w:rFonts w:ascii="Palatino Linotype" w:eastAsia="Palatino Linotype" w:hAnsi="Palatino Linotype" w:cs="Palatino Linotype"/>
          <w:b/>
          <w:sz w:val="24"/>
          <w:szCs w:val="24"/>
        </w:rPr>
        <w:t>veintinueve de febrero de dos mil veinticuatro</w:t>
      </w:r>
      <w:r w:rsidRPr="00121977">
        <w:rPr>
          <w:rFonts w:ascii="Palatino Linotype" w:eastAsia="Palatino Linotype" w:hAnsi="Palatino Linotype" w:cs="Palatino Linotype"/>
          <w:sz w:val="24"/>
          <w:szCs w:val="24"/>
        </w:rPr>
        <w:t xml:space="preserve">, la Comisionada Ponente determinó el cierre de instrucción en términos </w:t>
      </w:r>
      <w:r w:rsidRPr="00121977">
        <w:rPr>
          <w:rFonts w:ascii="Palatino Linotype" w:eastAsia="Palatino Linotype" w:hAnsi="Palatino Linotype" w:cs="Palatino Linotype"/>
          <w:sz w:val="24"/>
          <w:szCs w:val="24"/>
        </w:rPr>
        <w:lastRenderedPageBreak/>
        <w:t>de la fracción VI del artículo 185 de la Ley de Transparencia y Acceso a la Información Pública del Estado de México y Municipios.</w:t>
      </w:r>
    </w:p>
    <w:p w14:paraId="3A46F97E"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DE2599"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18553BB8"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18E0D338" w14:textId="77777777" w:rsidR="00FF4724" w:rsidRPr="00121977" w:rsidRDefault="008E2E73">
      <w:pPr>
        <w:spacing w:after="0" w:line="360" w:lineRule="auto"/>
        <w:ind w:right="49"/>
        <w:jc w:val="center"/>
        <w:rPr>
          <w:rFonts w:ascii="Palatino Linotype" w:eastAsia="Palatino Linotype" w:hAnsi="Palatino Linotype" w:cs="Palatino Linotype"/>
          <w:b/>
          <w:sz w:val="24"/>
          <w:szCs w:val="24"/>
        </w:rPr>
      </w:pPr>
      <w:r w:rsidRPr="00121977">
        <w:rPr>
          <w:rFonts w:ascii="Palatino Linotype" w:eastAsia="Palatino Linotype" w:hAnsi="Palatino Linotype" w:cs="Palatino Linotype"/>
          <w:b/>
          <w:sz w:val="24"/>
          <w:szCs w:val="24"/>
        </w:rPr>
        <w:t>II.</w:t>
      </w:r>
      <w:r w:rsidRPr="00121977">
        <w:rPr>
          <w:rFonts w:ascii="Palatino Linotype" w:eastAsia="Palatino Linotype" w:hAnsi="Palatino Linotype" w:cs="Palatino Linotype"/>
          <w:b/>
          <w:sz w:val="24"/>
          <w:szCs w:val="24"/>
        </w:rPr>
        <w:tab/>
        <w:t>C O N S I D E R A N D O:</w:t>
      </w:r>
    </w:p>
    <w:p w14:paraId="0413C8DD"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060D7EA3"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 xml:space="preserve">Primero. Competencia. </w:t>
      </w:r>
      <w:r w:rsidRPr="00121977">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EBFD71B"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0AC00E0"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Segundo. Oportunidad y Procedibilidad del Recurso de Revisión.</w:t>
      </w:r>
      <w:r w:rsidRPr="00121977">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w:t>
      </w:r>
      <w:r w:rsidRPr="00121977">
        <w:rPr>
          <w:rFonts w:ascii="Palatino Linotype" w:eastAsia="Palatino Linotype" w:hAnsi="Palatino Linotype" w:cs="Palatino Linotype"/>
          <w:sz w:val="24"/>
          <w:szCs w:val="24"/>
        </w:rPr>
        <w:lastRenderedPageBreak/>
        <w:t xml:space="preserve">artículos 178 y 180 de la Ley de Transparencia y Acceso a la Información Pública del Estado de México y Municipios. </w:t>
      </w:r>
    </w:p>
    <w:p w14:paraId="51AA5196"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0E08DAE3"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121977">
        <w:rPr>
          <w:rFonts w:ascii="Palatino Linotype" w:eastAsia="Palatino Linotype" w:hAnsi="Palatino Linotype" w:cs="Palatino Linotype"/>
          <w:b/>
          <w:sz w:val="24"/>
          <w:szCs w:val="24"/>
        </w:rPr>
        <w:t>SUJETO OBLIGADO</w:t>
      </w:r>
      <w:r w:rsidRPr="00121977">
        <w:rPr>
          <w:rFonts w:ascii="Palatino Linotype" w:eastAsia="Palatino Linotype" w:hAnsi="Palatino Linotype" w:cs="Palatino Linotype"/>
          <w:sz w:val="24"/>
          <w:szCs w:val="24"/>
        </w:rPr>
        <w:t xml:space="preserve"> remitió la respuesta a la solicitud de información el </w:t>
      </w:r>
      <w:r w:rsidRPr="00121977">
        <w:rPr>
          <w:rFonts w:ascii="Palatino Linotype" w:eastAsia="Palatino Linotype" w:hAnsi="Palatino Linotype" w:cs="Palatino Linotype"/>
          <w:b/>
          <w:sz w:val="24"/>
          <w:szCs w:val="24"/>
        </w:rPr>
        <w:t>cinco de julio de dos mil veintitrés</w:t>
      </w:r>
      <w:r w:rsidRPr="00121977">
        <w:rPr>
          <w:rFonts w:ascii="Palatino Linotype" w:eastAsia="Palatino Linotype" w:hAnsi="Palatino Linotype" w:cs="Palatino Linotype"/>
          <w:sz w:val="24"/>
          <w:szCs w:val="24"/>
        </w:rPr>
        <w:t xml:space="preserve">,  mientras que el recurso de revisión interpuesto por la parte </w:t>
      </w:r>
      <w:r w:rsidRPr="00121977">
        <w:rPr>
          <w:rFonts w:ascii="Palatino Linotype" w:eastAsia="Palatino Linotype" w:hAnsi="Palatino Linotype" w:cs="Palatino Linotype"/>
          <w:b/>
          <w:sz w:val="24"/>
          <w:szCs w:val="24"/>
        </w:rPr>
        <w:t xml:space="preserve">RECURRENTE </w:t>
      </w:r>
      <w:r w:rsidRPr="00121977">
        <w:rPr>
          <w:rFonts w:ascii="Palatino Linotype" w:eastAsia="Palatino Linotype" w:hAnsi="Palatino Linotype" w:cs="Palatino Linotype"/>
          <w:sz w:val="24"/>
          <w:szCs w:val="24"/>
        </w:rPr>
        <w:t xml:space="preserve">se tuvo por presentado el </w:t>
      </w:r>
      <w:r w:rsidRPr="00121977">
        <w:rPr>
          <w:rFonts w:ascii="Palatino Linotype" w:eastAsia="Palatino Linotype" w:hAnsi="Palatino Linotype" w:cs="Palatino Linotype"/>
          <w:b/>
          <w:sz w:val="24"/>
          <w:szCs w:val="24"/>
        </w:rPr>
        <w:t>nueve de agosto de dos mil veintitrés</w:t>
      </w:r>
      <w:r w:rsidRPr="00121977">
        <w:rPr>
          <w:rFonts w:ascii="Palatino Linotype" w:eastAsia="Palatino Linotype" w:hAnsi="Palatino Linotype" w:cs="Palatino Linotype"/>
          <w:sz w:val="24"/>
          <w:szCs w:val="24"/>
        </w:rPr>
        <w:t xml:space="preserve">, esto es al décimo quinto día hábil en que se tuvo conocimiento de la respuesta. </w:t>
      </w:r>
    </w:p>
    <w:p w14:paraId="04C1DF74"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1CA62655"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121977">
        <w:rPr>
          <w:rFonts w:ascii="Palatino Linotype" w:eastAsia="Palatino Linotype" w:hAnsi="Palatino Linotype" w:cs="Palatino Linotype"/>
          <w:b/>
          <w:sz w:val="24"/>
          <w:szCs w:val="24"/>
        </w:rPr>
        <w:t>SAIMEX</w:t>
      </w:r>
      <w:r w:rsidRPr="00121977">
        <w:rPr>
          <w:rFonts w:ascii="Palatino Linotype" w:eastAsia="Palatino Linotype" w:hAnsi="Palatino Linotype" w:cs="Palatino Linotype"/>
          <w:sz w:val="24"/>
          <w:szCs w:val="24"/>
        </w:rPr>
        <w:t xml:space="preserve">.  </w:t>
      </w:r>
    </w:p>
    <w:p w14:paraId="2D193F68"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CA238EC"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Es de suma importancia mencionar que si bien, la parte no proporcionó nombre completo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66E7BCB"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478FEE37" w14:textId="77777777" w:rsidR="00FF4724" w:rsidRPr="00121977" w:rsidRDefault="008E2E73">
      <w:pPr>
        <w:spacing w:after="0"/>
        <w:ind w:left="567"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77B29B27" w14:textId="77777777" w:rsidR="00FF4724" w:rsidRPr="00121977" w:rsidRDefault="00FF4724">
      <w:pPr>
        <w:spacing w:after="0" w:line="360" w:lineRule="auto"/>
        <w:ind w:left="567" w:right="560"/>
        <w:jc w:val="both"/>
        <w:rPr>
          <w:rFonts w:ascii="Palatino Linotype" w:eastAsia="Palatino Linotype" w:hAnsi="Palatino Linotype" w:cs="Palatino Linotype"/>
          <w:i/>
        </w:rPr>
      </w:pPr>
    </w:p>
    <w:p w14:paraId="19F72BF2"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fracción V de la Ley de la materia, que a la letra dice:</w:t>
      </w:r>
    </w:p>
    <w:p w14:paraId="3A5D914C"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29BD4CC" w14:textId="77777777" w:rsidR="00FF4724" w:rsidRPr="00121977" w:rsidRDefault="008E2E73">
      <w:pPr>
        <w:spacing w:after="0"/>
        <w:ind w:left="567"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r w:rsidRPr="00121977">
        <w:rPr>
          <w:rFonts w:ascii="Palatino Linotype" w:eastAsia="Palatino Linotype" w:hAnsi="Palatino Linotype" w:cs="Palatino Linotype"/>
          <w:b/>
          <w:i/>
        </w:rPr>
        <w:t>Artículo 179.</w:t>
      </w:r>
      <w:r w:rsidRPr="0012197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F3F54D4" w14:textId="77777777" w:rsidR="00FF4724" w:rsidRPr="00121977" w:rsidRDefault="008E2E73">
      <w:pPr>
        <w:spacing w:after="0"/>
        <w:ind w:left="567"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5BA5FDC4" w14:textId="77777777" w:rsidR="00FF4724" w:rsidRPr="00121977" w:rsidRDefault="008E2E73">
      <w:pPr>
        <w:spacing w:after="0"/>
        <w:ind w:left="567"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V. La entrega de la información incompleta. </w:t>
      </w:r>
    </w:p>
    <w:p w14:paraId="0A051D40" w14:textId="77777777" w:rsidR="00FF4724" w:rsidRPr="00121977" w:rsidRDefault="008E2E73">
      <w:pPr>
        <w:spacing w:after="0"/>
        <w:ind w:left="567"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013FD9F3" w14:textId="77777777" w:rsidR="00FF4724" w:rsidRPr="00121977" w:rsidRDefault="00FF4724">
      <w:pPr>
        <w:spacing w:after="0" w:line="360" w:lineRule="auto"/>
        <w:ind w:right="49"/>
        <w:jc w:val="both"/>
        <w:rPr>
          <w:rFonts w:ascii="Palatino Linotype" w:eastAsia="Palatino Linotype" w:hAnsi="Palatino Linotype" w:cs="Palatino Linotype"/>
          <w:b/>
          <w:sz w:val="24"/>
          <w:szCs w:val="24"/>
        </w:rPr>
      </w:pPr>
    </w:p>
    <w:p w14:paraId="0998ED83"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Tercero. Materia de Revisión</w:t>
      </w:r>
      <w:r w:rsidRPr="00121977">
        <w:rPr>
          <w:rFonts w:ascii="Palatino Linotype" w:eastAsia="Palatino Linotype" w:hAnsi="Palatino Linotype" w:cs="Palatino Linotype"/>
          <w:sz w:val="24"/>
          <w:szCs w:val="24"/>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4ADC70D7" w14:textId="77777777" w:rsidR="00FF4724" w:rsidRPr="00121977" w:rsidRDefault="00FF4724">
      <w:pPr>
        <w:spacing w:after="0" w:line="360" w:lineRule="auto"/>
        <w:jc w:val="both"/>
        <w:rPr>
          <w:rFonts w:ascii="Palatino Linotype" w:eastAsia="Palatino Linotype" w:hAnsi="Palatino Linotype" w:cs="Palatino Linotype"/>
        </w:rPr>
      </w:pPr>
    </w:p>
    <w:p w14:paraId="05E1BA91"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 xml:space="preserve">Cuarto. Estudio de fondo del asunto. </w:t>
      </w:r>
      <w:r w:rsidRPr="00121977">
        <w:rPr>
          <w:rFonts w:ascii="Palatino Linotype" w:eastAsia="Palatino Linotype" w:hAnsi="Palatino Linotype" w:cs="Palatino Linotype"/>
          <w:sz w:val="24"/>
          <w:szCs w:val="24"/>
        </w:rPr>
        <w:t>Es conveniente analizar si la respuesta del Sujeto Obligado</w:t>
      </w:r>
      <w:r w:rsidRPr="00121977">
        <w:rPr>
          <w:rFonts w:ascii="Palatino Linotype" w:eastAsia="Palatino Linotype" w:hAnsi="Palatino Linotype" w:cs="Palatino Linotype"/>
          <w:b/>
          <w:sz w:val="24"/>
          <w:szCs w:val="24"/>
        </w:rPr>
        <w:t xml:space="preserve"> </w:t>
      </w:r>
      <w:r w:rsidRPr="00121977">
        <w:rPr>
          <w:rFonts w:ascii="Palatino Linotype" w:eastAsia="Palatino Linotype" w:hAnsi="Palatino Linotype" w:cs="Palatino Linotype"/>
          <w:sz w:val="24"/>
          <w:szCs w:val="24"/>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w:t>
      </w:r>
      <w:r w:rsidRPr="00121977">
        <w:rPr>
          <w:rFonts w:ascii="Palatino Linotype" w:eastAsia="Palatino Linotype" w:hAnsi="Palatino Linotype" w:cs="Palatino Linotype"/>
          <w:sz w:val="24"/>
          <w:szCs w:val="24"/>
        </w:rPr>
        <w:lastRenderedPageBreak/>
        <w:t>establece dicha determinación, que a continuación se transcribe para un mejor entendimiento:</w:t>
      </w:r>
    </w:p>
    <w:p w14:paraId="3FBF0F5D"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1FBD2F97" w14:textId="77777777" w:rsidR="00FF4724" w:rsidRPr="00121977" w:rsidRDefault="008E2E73">
      <w:pPr>
        <w:tabs>
          <w:tab w:val="left" w:pos="851"/>
        </w:tabs>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r w:rsidRPr="00121977">
        <w:rPr>
          <w:rFonts w:ascii="Palatino Linotype" w:eastAsia="Palatino Linotype" w:hAnsi="Palatino Linotype" w:cs="Palatino Linotype"/>
          <w:b/>
          <w:i/>
        </w:rPr>
        <w:t>Artículo 4</w:t>
      </w:r>
      <w:r w:rsidRPr="0012197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7D76E4D" w14:textId="77777777" w:rsidR="00FF4724" w:rsidRPr="00121977" w:rsidRDefault="008E2E73">
      <w:pPr>
        <w:tabs>
          <w:tab w:val="left" w:pos="851"/>
        </w:tabs>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121977">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AF4D86" w14:textId="77777777" w:rsidR="00FF4724" w:rsidRPr="00121977" w:rsidRDefault="008E2E73">
      <w:pPr>
        <w:tabs>
          <w:tab w:val="left" w:pos="851"/>
        </w:tabs>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121977">
        <w:rPr>
          <w:rFonts w:ascii="Palatino Linotype" w:eastAsia="Palatino Linotype" w:hAnsi="Palatino Linotype" w:cs="Palatino Linotype"/>
          <w:i/>
        </w:rPr>
        <w:t>.”</w:t>
      </w:r>
    </w:p>
    <w:p w14:paraId="063DE773" w14:textId="77777777" w:rsidR="00FF4724" w:rsidRPr="00121977" w:rsidRDefault="00FF4724">
      <w:pPr>
        <w:spacing w:after="0" w:line="360" w:lineRule="auto"/>
        <w:jc w:val="both"/>
        <w:rPr>
          <w:rFonts w:ascii="Palatino Linotype" w:eastAsia="Palatino Linotype" w:hAnsi="Palatino Linotype" w:cs="Palatino Linotype"/>
        </w:rPr>
      </w:pPr>
    </w:p>
    <w:p w14:paraId="0FE4CB1F"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511B68" w14:textId="77777777" w:rsidR="00FF4724" w:rsidRPr="00121977" w:rsidRDefault="00FF4724">
      <w:pPr>
        <w:spacing w:after="0"/>
        <w:ind w:left="567" w:right="616"/>
        <w:jc w:val="both"/>
        <w:rPr>
          <w:rFonts w:ascii="Palatino Linotype" w:eastAsia="Palatino Linotype" w:hAnsi="Palatino Linotype" w:cs="Palatino Linotype"/>
        </w:rPr>
      </w:pPr>
    </w:p>
    <w:p w14:paraId="5D9558FE" w14:textId="77777777" w:rsidR="00FF4724" w:rsidRPr="00121977" w:rsidRDefault="008E2E73">
      <w:pPr>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r w:rsidRPr="00121977">
        <w:rPr>
          <w:rFonts w:ascii="Palatino Linotype" w:eastAsia="Palatino Linotype" w:hAnsi="Palatino Linotype" w:cs="Palatino Linotype"/>
          <w:b/>
          <w:i/>
        </w:rPr>
        <w:t>Artículo 12.-</w:t>
      </w:r>
      <w:r w:rsidRPr="0012197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583FDE9" w14:textId="77777777" w:rsidR="00FF4724" w:rsidRPr="00121977" w:rsidRDefault="00FF4724">
      <w:pPr>
        <w:spacing w:after="0"/>
        <w:ind w:left="567" w:right="616"/>
        <w:jc w:val="both"/>
        <w:rPr>
          <w:rFonts w:ascii="Palatino Linotype" w:eastAsia="Palatino Linotype" w:hAnsi="Palatino Linotype" w:cs="Palatino Linotype"/>
          <w:i/>
        </w:rPr>
      </w:pPr>
    </w:p>
    <w:p w14:paraId="73B0B439" w14:textId="77777777" w:rsidR="00FF4724" w:rsidRPr="00121977" w:rsidRDefault="008E2E73">
      <w:pPr>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21977">
        <w:rPr>
          <w:rFonts w:ascii="Palatino Linotype" w:eastAsia="Palatino Linotype" w:hAnsi="Palatino Linotype" w:cs="Palatino Linotype"/>
          <w:i/>
        </w:rPr>
        <w:t xml:space="preserve">. </w:t>
      </w:r>
      <w:r w:rsidRPr="00121977">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121977">
        <w:rPr>
          <w:rFonts w:ascii="Palatino Linotype" w:eastAsia="Palatino Linotype" w:hAnsi="Palatino Linotype" w:cs="Palatino Linotype"/>
          <w:i/>
        </w:rPr>
        <w:t xml:space="preserve">.” </w:t>
      </w:r>
    </w:p>
    <w:p w14:paraId="5CFEF414" w14:textId="77777777" w:rsidR="00FF4724" w:rsidRPr="00121977" w:rsidRDefault="00FF4724">
      <w:pPr>
        <w:spacing w:after="0"/>
        <w:ind w:left="567" w:right="616"/>
        <w:jc w:val="both"/>
        <w:rPr>
          <w:rFonts w:ascii="Palatino Linotype" w:eastAsia="Palatino Linotype" w:hAnsi="Palatino Linotype" w:cs="Palatino Linotype"/>
          <w:i/>
        </w:rPr>
      </w:pPr>
    </w:p>
    <w:p w14:paraId="3BE68965" w14:textId="77777777" w:rsidR="00FF4724" w:rsidRPr="00121977" w:rsidRDefault="008E2E73">
      <w:pPr>
        <w:spacing w:after="0" w:line="360" w:lineRule="auto"/>
        <w:ind w:right="-93"/>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631B146" w14:textId="77777777" w:rsidR="00FF4724" w:rsidRPr="00121977" w:rsidRDefault="00FF4724">
      <w:pPr>
        <w:spacing w:after="0" w:line="360" w:lineRule="auto"/>
        <w:ind w:right="-93"/>
        <w:jc w:val="both"/>
        <w:rPr>
          <w:rFonts w:ascii="Palatino Linotype" w:eastAsia="Palatino Linotype" w:hAnsi="Palatino Linotype" w:cs="Palatino Linotype"/>
        </w:rPr>
      </w:pPr>
    </w:p>
    <w:p w14:paraId="0B6A8C25" w14:textId="77777777" w:rsidR="00FF4724" w:rsidRPr="00121977" w:rsidRDefault="008E2E73">
      <w:pPr>
        <w:spacing w:after="0" w:line="360" w:lineRule="auto"/>
        <w:jc w:val="both"/>
        <w:rPr>
          <w:rFonts w:ascii="Palatino Linotype" w:eastAsia="Palatino Linotype" w:hAnsi="Palatino Linotype" w:cs="Palatino Linotype"/>
          <w:b/>
          <w:sz w:val="24"/>
          <w:szCs w:val="24"/>
        </w:rPr>
      </w:pPr>
      <w:r w:rsidRPr="00121977">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121977">
        <w:rPr>
          <w:rFonts w:ascii="Palatino Linotype" w:eastAsia="Palatino Linotype" w:hAnsi="Palatino Linotype" w:cs="Palatino Linotype"/>
          <w:b/>
          <w:sz w:val="24"/>
          <w:szCs w:val="24"/>
        </w:rPr>
        <w:t xml:space="preserve"> </w:t>
      </w:r>
    </w:p>
    <w:p w14:paraId="118F2662" w14:textId="77777777" w:rsidR="00FF4724" w:rsidRPr="00121977" w:rsidRDefault="00FF4724">
      <w:pPr>
        <w:spacing w:after="0"/>
        <w:ind w:left="851" w:right="850"/>
        <w:jc w:val="both"/>
        <w:rPr>
          <w:rFonts w:ascii="Palatino Linotype" w:eastAsia="Palatino Linotype" w:hAnsi="Palatino Linotype" w:cs="Palatino Linotype"/>
        </w:rPr>
      </w:pPr>
    </w:p>
    <w:p w14:paraId="3BC04742" w14:textId="77777777" w:rsidR="00FF4724" w:rsidRPr="00121977" w:rsidRDefault="008E2E73">
      <w:pPr>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r w:rsidRPr="00121977">
        <w:rPr>
          <w:rFonts w:ascii="Palatino Linotype" w:eastAsia="Palatino Linotype" w:hAnsi="Palatino Linotype" w:cs="Palatino Linotype"/>
          <w:b/>
          <w:i/>
        </w:rPr>
        <w:t>No existe obligación de elaborar documentos ad hoc para atender las solicitudes de acceso a la información.</w:t>
      </w:r>
      <w:r w:rsidRPr="00121977">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A7A77A8"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74D4937"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5AFE8D02"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274713F"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782970D3"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DA4111"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17FF111B" w14:textId="77777777" w:rsidR="00FF4724" w:rsidRPr="00121977" w:rsidRDefault="008E2E73">
      <w:pPr>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lastRenderedPageBreak/>
        <w:t>“</w:t>
      </w:r>
      <w:r w:rsidRPr="00121977">
        <w:rPr>
          <w:rFonts w:ascii="Palatino Linotype" w:eastAsia="Palatino Linotype" w:hAnsi="Palatino Linotype" w:cs="Palatino Linotype"/>
          <w:b/>
          <w:i/>
        </w:rPr>
        <w:t xml:space="preserve">Artículo 3. </w:t>
      </w:r>
      <w:r w:rsidRPr="00121977">
        <w:rPr>
          <w:rFonts w:ascii="Palatino Linotype" w:eastAsia="Palatino Linotype" w:hAnsi="Palatino Linotype" w:cs="Palatino Linotype"/>
          <w:i/>
        </w:rPr>
        <w:t>Para los efectos de la presente Ley se entenderá por:</w:t>
      </w:r>
    </w:p>
    <w:p w14:paraId="2F3FE9D0" w14:textId="77777777" w:rsidR="00FF4724" w:rsidRPr="00121977" w:rsidRDefault="008E2E73">
      <w:pPr>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41F9A276" w14:textId="77777777" w:rsidR="00FF4724" w:rsidRPr="00121977" w:rsidRDefault="008E2E73">
      <w:pPr>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XI. Documento:</w:t>
      </w:r>
      <w:r w:rsidRPr="00121977">
        <w:rPr>
          <w:rFonts w:ascii="Palatino Linotype" w:eastAsia="Palatino Linotype" w:hAnsi="Palatino Linotype" w:cs="Palatino Linotype"/>
          <w:i/>
        </w:rPr>
        <w:t xml:space="preserve"> Los expedientes, reportes, estudios, actas</w:t>
      </w:r>
      <w:r w:rsidRPr="00121977">
        <w:rPr>
          <w:rFonts w:ascii="Palatino Linotype" w:eastAsia="Palatino Linotype" w:hAnsi="Palatino Linotype" w:cs="Palatino Linotype"/>
          <w:b/>
          <w:i/>
        </w:rPr>
        <w:t>,</w:t>
      </w:r>
      <w:r w:rsidRPr="0012197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0DA50CD" w14:textId="77777777" w:rsidR="00FF4724" w:rsidRPr="00121977" w:rsidRDefault="00FF4724">
      <w:pPr>
        <w:spacing w:after="0" w:line="360" w:lineRule="auto"/>
        <w:ind w:left="851" w:right="899"/>
        <w:jc w:val="both"/>
        <w:rPr>
          <w:rFonts w:ascii="Palatino Linotype" w:eastAsia="Palatino Linotype" w:hAnsi="Palatino Linotype" w:cs="Palatino Linotype"/>
        </w:rPr>
      </w:pPr>
    </w:p>
    <w:p w14:paraId="725A8A55"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679D21F" w14:textId="77777777" w:rsidR="00FF4724" w:rsidRPr="00121977" w:rsidRDefault="00FF4724">
      <w:pPr>
        <w:spacing w:after="0" w:line="360" w:lineRule="auto"/>
        <w:ind w:left="851" w:right="899"/>
        <w:jc w:val="both"/>
        <w:rPr>
          <w:rFonts w:ascii="Palatino Linotype" w:eastAsia="Palatino Linotype" w:hAnsi="Palatino Linotype" w:cs="Palatino Linotype"/>
        </w:rPr>
      </w:pPr>
    </w:p>
    <w:p w14:paraId="5A7EB0D3" w14:textId="77777777" w:rsidR="00FF4724" w:rsidRPr="00121977" w:rsidRDefault="008E2E73">
      <w:pPr>
        <w:tabs>
          <w:tab w:val="left" w:pos="7797"/>
        </w:tabs>
        <w:spacing w:after="0"/>
        <w:ind w:left="709" w:right="616"/>
        <w:jc w:val="both"/>
        <w:rPr>
          <w:rFonts w:ascii="Palatino Linotype" w:eastAsia="Palatino Linotype" w:hAnsi="Palatino Linotype" w:cs="Palatino Linotype"/>
          <w:b/>
          <w:i/>
        </w:rPr>
      </w:pPr>
      <w:r w:rsidRPr="00121977">
        <w:rPr>
          <w:rFonts w:ascii="Palatino Linotype" w:eastAsia="Palatino Linotype" w:hAnsi="Palatino Linotype" w:cs="Palatino Linotype"/>
          <w:b/>
        </w:rPr>
        <w:t>“</w:t>
      </w:r>
      <w:r w:rsidRPr="00121977">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12197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9526605" w14:textId="77777777" w:rsidR="00FF4724" w:rsidRPr="00121977" w:rsidRDefault="008E2E73">
      <w:pPr>
        <w:tabs>
          <w:tab w:val="left" w:pos="7797"/>
        </w:tabs>
        <w:spacing w:after="0"/>
        <w:ind w:left="709"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En consecuencia el acceso a la información se refiere a que se cumplan cualquiera de los siguientes tres supuestos:</w:t>
      </w:r>
    </w:p>
    <w:p w14:paraId="79209FB6" w14:textId="77777777" w:rsidR="00FF4724" w:rsidRPr="00121977" w:rsidRDefault="008E2E73">
      <w:pPr>
        <w:tabs>
          <w:tab w:val="left" w:pos="7797"/>
        </w:tabs>
        <w:spacing w:after="0"/>
        <w:ind w:left="709"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39BF769" w14:textId="77777777" w:rsidR="00FF4724" w:rsidRPr="00121977" w:rsidRDefault="008E2E73">
      <w:pPr>
        <w:tabs>
          <w:tab w:val="left" w:pos="7797"/>
        </w:tabs>
        <w:spacing w:after="0"/>
        <w:ind w:left="709" w:right="616"/>
        <w:jc w:val="both"/>
        <w:rPr>
          <w:rFonts w:ascii="Palatino Linotype" w:eastAsia="Palatino Linotype" w:hAnsi="Palatino Linotype" w:cs="Palatino Linotype"/>
          <w:b/>
          <w:i/>
        </w:rPr>
      </w:pPr>
      <w:r w:rsidRPr="00121977">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16F5F5F" w14:textId="77777777" w:rsidR="00FF4724" w:rsidRPr="00121977" w:rsidRDefault="008E2E73">
      <w:pPr>
        <w:tabs>
          <w:tab w:val="left" w:pos="7797"/>
        </w:tabs>
        <w:spacing w:after="0"/>
        <w:ind w:left="709" w:right="616"/>
        <w:jc w:val="both"/>
        <w:rPr>
          <w:rFonts w:ascii="Palatino Linotype" w:eastAsia="Palatino Linotype" w:hAnsi="Palatino Linotype" w:cs="Palatino Linotype"/>
          <w:b/>
          <w:i/>
        </w:rPr>
      </w:pPr>
      <w:r w:rsidRPr="00121977">
        <w:rPr>
          <w:rFonts w:ascii="Palatino Linotype" w:eastAsia="Palatino Linotype" w:hAnsi="Palatino Linotype" w:cs="Palatino Linotype"/>
          <w:b/>
          <w:i/>
        </w:rPr>
        <w:lastRenderedPageBreak/>
        <w:t xml:space="preserve">3) Que se trate de información registrada en cualquier soporte documental, que en ejercicio de las atribuciones conferidas, se encuentre en posesión de los Sujetos Obligados.” </w:t>
      </w:r>
    </w:p>
    <w:p w14:paraId="68AA8C76" w14:textId="77777777" w:rsidR="00FF4724" w:rsidRPr="00121977" w:rsidRDefault="00FF4724">
      <w:pPr>
        <w:spacing w:after="0" w:line="360" w:lineRule="auto"/>
        <w:ind w:right="49"/>
        <w:jc w:val="both"/>
        <w:rPr>
          <w:rFonts w:ascii="Palatino Linotype" w:eastAsia="Palatino Linotype" w:hAnsi="Palatino Linotype" w:cs="Palatino Linotype"/>
          <w:b/>
          <w:sz w:val="24"/>
          <w:szCs w:val="24"/>
        </w:rPr>
      </w:pPr>
    </w:p>
    <w:p w14:paraId="71DB799C"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Para ello, en principio resulta recordar que la pretensión de la parte ahora Recurrente es obtener la siguiente información: </w:t>
      </w:r>
    </w:p>
    <w:p w14:paraId="0BD54159"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0F38A78F" w14:textId="77777777" w:rsidR="00FF4724" w:rsidRPr="00121977" w:rsidRDefault="008E2E73">
      <w:pPr>
        <w:numPr>
          <w:ilvl w:val="0"/>
          <w:numId w:val="6"/>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rPr>
      </w:pPr>
      <w:r w:rsidRPr="00121977">
        <w:rPr>
          <w:rFonts w:ascii="Palatino Linotype" w:eastAsia="Palatino Linotype" w:hAnsi="Palatino Linotype" w:cs="Palatino Linotype"/>
          <w:b/>
        </w:rPr>
        <w:t>Información relativa al sexo, nivel académico y cargo de todos las y los servidores públicos con mandos medios (desde Jefatura de Departamento hasta Dirección u homólogos) y mandos superiores (desde Dirección General hasta Secretaría) en la Secretaría de la Contraloría desde el 16 de septiembre de 2017 a la fecha.</w:t>
      </w:r>
    </w:p>
    <w:p w14:paraId="0B80E395" w14:textId="77777777" w:rsidR="00FF4724" w:rsidRPr="00121977" w:rsidRDefault="00FF4724">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AA77B4E" w14:textId="77777777" w:rsidR="00FF4724" w:rsidRPr="00121977" w:rsidRDefault="008E2E7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En respuesta, el Sujeto Obligado, proporcionó la información que se precisa a continuación:</w:t>
      </w:r>
    </w:p>
    <w:p w14:paraId="363257AC" w14:textId="77777777" w:rsidR="00FF4724" w:rsidRPr="00121977" w:rsidRDefault="00FF4724">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445A3062" w14:textId="77777777" w:rsidR="00FF4724" w:rsidRPr="00121977" w:rsidRDefault="008E2E7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rPr>
        <w:t xml:space="preserve">Oficio de fecha tres de julio de </w:t>
      </w:r>
      <w:proofErr w:type="spellStart"/>
      <w:r w:rsidRPr="00121977">
        <w:rPr>
          <w:rFonts w:ascii="Palatino Linotype" w:eastAsia="Palatino Linotype" w:hAnsi="Palatino Linotype" w:cs="Palatino Linotype"/>
        </w:rPr>
        <w:t>dis</w:t>
      </w:r>
      <w:proofErr w:type="spellEnd"/>
      <w:r w:rsidRPr="00121977">
        <w:rPr>
          <w:rFonts w:ascii="Palatino Linotype" w:eastAsia="Palatino Linotype" w:hAnsi="Palatino Linotype" w:cs="Palatino Linotype"/>
        </w:rPr>
        <w:t xml:space="preserve"> mil veintitrés, signado por el Subdirector de Administración de Recursos, mediante el cual informa que, se envía la información en sobre cerrado.  </w:t>
      </w:r>
    </w:p>
    <w:p w14:paraId="52FF03B4" w14:textId="77777777" w:rsidR="00FF4724" w:rsidRPr="00121977" w:rsidRDefault="008E2E7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rPr>
        <w:t xml:space="preserve">Anexo del oficio de fecha tres de julio de dos mil veintitrés, el cual refiere que no se encontró información relacionada con años anteriores, por lo que, se envía lo que obra en los archivos del Sujeto Obligado, en ese sentido, se remitió la siguiente información: </w:t>
      </w:r>
    </w:p>
    <w:p w14:paraId="1C3E0402" w14:textId="77777777" w:rsidR="00FF4724" w:rsidRPr="00121977" w:rsidRDefault="008E2E7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noProof/>
          <w:sz w:val="24"/>
          <w:szCs w:val="24"/>
          <w:lang w:eastAsia="es-MX"/>
        </w:rPr>
        <w:lastRenderedPageBreak/>
        <w:drawing>
          <wp:inline distT="0" distB="0" distL="0" distR="0" wp14:anchorId="43FCEE25" wp14:editId="5948DF66">
            <wp:extent cx="5756275" cy="1913255"/>
            <wp:effectExtent l="0" t="0" r="0" b="0"/>
            <wp:docPr id="14489867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56275" cy="1913255"/>
                    </a:xfrm>
                    <a:prstGeom prst="rect">
                      <a:avLst/>
                    </a:prstGeom>
                    <a:ln/>
                  </pic:spPr>
                </pic:pic>
              </a:graphicData>
            </a:graphic>
          </wp:inline>
        </w:drawing>
      </w:r>
    </w:p>
    <w:p w14:paraId="122C7E9F" w14:textId="77777777" w:rsidR="00FF4724" w:rsidRPr="00121977" w:rsidRDefault="008E2E73">
      <w:pPr>
        <w:pBdr>
          <w:top w:val="nil"/>
          <w:left w:val="nil"/>
          <w:bottom w:val="nil"/>
          <w:right w:val="nil"/>
          <w:between w:val="nil"/>
        </w:pBdr>
        <w:spacing w:after="0" w:line="360" w:lineRule="auto"/>
        <w:ind w:right="49"/>
        <w:jc w:val="center"/>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w:t>
      </w:r>
    </w:p>
    <w:p w14:paraId="50024E96" w14:textId="77777777" w:rsidR="00FF4724" w:rsidRPr="00121977" w:rsidRDefault="008E2E73">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Oficio de fecha cinco de julio de dos mil veintitrés, signado por el jefe de la Unidad de Ética y Prevención de la Corrupción y </w:t>
      </w:r>
      <w:proofErr w:type="spellStart"/>
      <w:r w:rsidRPr="00121977">
        <w:rPr>
          <w:rFonts w:ascii="Palatino Linotype" w:eastAsia="Palatino Linotype" w:hAnsi="Palatino Linotype" w:cs="Palatino Linotype"/>
          <w:sz w:val="24"/>
          <w:szCs w:val="24"/>
        </w:rPr>
        <w:t>Reponsable</w:t>
      </w:r>
      <w:proofErr w:type="spellEnd"/>
      <w:r w:rsidRPr="00121977">
        <w:rPr>
          <w:rFonts w:ascii="Palatino Linotype" w:eastAsia="Palatino Linotype" w:hAnsi="Palatino Linotype" w:cs="Palatino Linotype"/>
          <w:sz w:val="24"/>
          <w:szCs w:val="24"/>
        </w:rPr>
        <w:t xml:space="preserve"> de la Unidad de Transparencia, mediante el </w:t>
      </w:r>
      <w:proofErr w:type="spellStart"/>
      <w:r w:rsidRPr="00121977">
        <w:rPr>
          <w:rFonts w:ascii="Palatino Linotype" w:eastAsia="Palatino Linotype" w:hAnsi="Palatino Linotype" w:cs="Palatino Linotype"/>
          <w:sz w:val="24"/>
          <w:szCs w:val="24"/>
        </w:rPr>
        <w:t>cuaal</w:t>
      </w:r>
      <w:proofErr w:type="spellEnd"/>
      <w:r w:rsidRPr="00121977">
        <w:rPr>
          <w:rFonts w:ascii="Palatino Linotype" w:eastAsia="Palatino Linotype" w:hAnsi="Palatino Linotype" w:cs="Palatino Linotype"/>
          <w:sz w:val="24"/>
          <w:szCs w:val="24"/>
        </w:rPr>
        <w:t xml:space="preserve"> informa que se entrega la información enviada de los servidores públicos habilitados. </w:t>
      </w:r>
    </w:p>
    <w:p w14:paraId="038DAC82" w14:textId="77777777" w:rsidR="00FF4724" w:rsidRPr="00121977" w:rsidRDefault="00FF4724">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D1FACCC" w14:textId="77777777" w:rsidR="00FF4724" w:rsidRPr="00121977" w:rsidRDefault="008E2E7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Derivado de ello, la parte Recurrente se inconformó arguyendo que, sólo se le había entregado la información del último trimestre de dos mil veintitrés, no obstante, no se le había remitido la información de los años del 2017 al 2022.</w:t>
      </w:r>
    </w:p>
    <w:p w14:paraId="73350970" w14:textId="77777777" w:rsidR="00FF4724" w:rsidRPr="00121977" w:rsidRDefault="00FF4724">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54B80D4A"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En atención a ello, el Sujeto Obligado rindió su informe justificado, a través del cual  el Departamento de Personal preciso que:</w:t>
      </w:r>
    </w:p>
    <w:p w14:paraId="33E2B69C"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1B8459A3" w14:textId="77777777" w:rsidR="00FF4724" w:rsidRPr="00121977" w:rsidRDefault="008E2E7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121977">
        <w:rPr>
          <w:rFonts w:ascii="Palatino Linotype" w:eastAsia="Palatino Linotype" w:hAnsi="Palatino Linotype" w:cs="Palatino Linotype"/>
        </w:rPr>
        <w:t xml:space="preserve">El Departamento de Personal no cuenta con un sistema informático diseñado para guardar información o historial acerca de las personas servidores públicos en los años 2017, 2018, 2019, 2020 y 2022, sólo contiene información actualizada en las plantillas de Bases de Datos del Personal (Excel). Asimismo, refiere que el único sistema informático que maneja el Departamento de Personal es el llamado SIMP que sirve </w:t>
      </w:r>
      <w:r w:rsidRPr="00121977">
        <w:rPr>
          <w:rFonts w:ascii="Palatino Linotype" w:eastAsia="Palatino Linotype" w:hAnsi="Palatino Linotype" w:cs="Palatino Linotype"/>
        </w:rPr>
        <w:lastRenderedPageBreak/>
        <w:t xml:space="preserve">para dar las altas, bajas, cambios y movimientos de personal que actualmente se dan dentro de la Secretaría y que a nivel estatal es el que rige para dichos movimientos en colaboración con la Dirección General de Personal y que tampoco cuenta con información que pide el solicitante. </w:t>
      </w:r>
    </w:p>
    <w:p w14:paraId="3F6F8952"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4F3F717"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Dicho esto, no pasa inadvertido para este Organismo Garante que, toda vez que los motivos de inconformidad aducidos en el recurso de revisión, no versan sobre la totalidad de la información proporcionada por el Sujeto Obligado, pues la parte Recurrente se inconformó de manera expresa porque no se le proporcionó la información del periodo 2017-2022;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0E5B0134" w14:textId="77777777" w:rsidR="00FF4724" w:rsidRPr="00121977" w:rsidRDefault="00FF4724">
      <w:pPr>
        <w:spacing w:after="0" w:line="360" w:lineRule="auto"/>
        <w:jc w:val="both"/>
        <w:rPr>
          <w:rFonts w:ascii="Palatino Linotype" w:eastAsia="Palatino Linotype" w:hAnsi="Palatino Linotype" w:cs="Palatino Linotype"/>
        </w:rPr>
      </w:pPr>
    </w:p>
    <w:p w14:paraId="5449E52E"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1EA05E1" w14:textId="77777777" w:rsidR="00FF4724" w:rsidRPr="00121977" w:rsidRDefault="00FF4724">
      <w:pPr>
        <w:spacing w:after="0" w:line="360" w:lineRule="auto"/>
        <w:jc w:val="both"/>
        <w:rPr>
          <w:rFonts w:ascii="Palatino Linotype" w:eastAsia="Palatino Linotype" w:hAnsi="Palatino Linotype" w:cs="Palatino Linotype"/>
        </w:rPr>
      </w:pPr>
    </w:p>
    <w:p w14:paraId="79F05F5A" w14:textId="77777777" w:rsidR="00FF4724" w:rsidRPr="00121977" w:rsidRDefault="008E2E73">
      <w:pPr>
        <w:spacing w:after="0"/>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lastRenderedPageBreak/>
        <w:t xml:space="preserve">“REVISIÓN EN AMPARO. LOS RESOLUTIVOS NO COMBATIDOS DEBEN DECLARARSE FIRMES. </w:t>
      </w:r>
      <w:r w:rsidRPr="00121977">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586FF00" w14:textId="77777777" w:rsidR="00FF4724" w:rsidRPr="00121977" w:rsidRDefault="00FF4724">
      <w:pPr>
        <w:spacing w:after="0" w:line="360" w:lineRule="auto"/>
        <w:jc w:val="both"/>
        <w:rPr>
          <w:rFonts w:ascii="Palatino Linotype" w:eastAsia="Palatino Linotype" w:hAnsi="Palatino Linotype" w:cs="Palatino Linotype"/>
        </w:rPr>
      </w:pPr>
      <w:bookmarkStart w:id="1" w:name="_heading=h.gjdgxs" w:colFirst="0" w:colLast="0"/>
      <w:bookmarkEnd w:id="1"/>
    </w:p>
    <w:p w14:paraId="76F16DDA"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27102FA5"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330092B3"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3808BAFD" w14:textId="77777777" w:rsidR="00FF4724" w:rsidRPr="00121977" w:rsidRDefault="00FF4724">
      <w:pPr>
        <w:spacing w:after="0" w:line="360" w:lineRule="auto"/>
        <w:jc w:val="both"/>
        <w:rPr>
          <w:rFonts w:ascii="Palatino Linotype" w:eastAsia="Palatino Linotype" w:hAnsi="Palatino Linotype" w:cs="Palatino Linotype"/>
        </w:rPr>
      </w:pPr>
    </w:p>
    <w:p w14:paraId="41FA4D35" w14:textId="77777777" w:rsidR="00FF4724" w:rsidRPr="00121977" w:rsidRDefault="008E2E73">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r w:rsidRPr="00121977">
        <w:rPr>
          <w:rFonts w:ascii="Palatino Linotype" w:eastAsia="Palatino Linotype" w:hAnsi="Palatino Linotype" w:cs="Palatino Linotype"/>
          <w:b/>
          <w:i/>
        </w:rPr>
        <w:t xml:space="preserve">Actos consentidos tácitamente. Improcedencia de su análisis. </w:t>
      </w:r>
      <w:r w:rsidRPr="00121977">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A70C72A" w14:textId="77777777" w:rsidR="00FF4724" w:rsidRPr="00121977" w:rsidRDefault="00FF4724">
      <w:pPr>
        <w:pBdr>
          <w:top w:val="nil"/>
          <w:left w:val="nil"/>
          <w:bottom w:val="nil"/>
          <w:right w:val="nil"/>
          <w:between w:val="nil"/>
        </w:pBdr>
        <w:spacing w:after="0"/>
        <w:ind w:left="567" w:right="902"/>
        <w:jc w:val="both"/>
        <w:rPr>
          <w:rFonts w:ascii="Palatino Linotype" w:eastAsia="Palatino Linotype" w:hAnsi="Palatino Linotype" w:cs="Palatino Linotype"/>
          <w:i/>
          <w:sz w:val="24"/>
          <w:szCs w:val="24"/>
        </w:rPr>
      </w:pPr>
    </w:p>
    <w:p w14:paraId="13957917"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6853313C" w14:textId="77777777" w:rsidR="00FF4724" w:rsidRPr="00121977" w:rsidRDefault="00FF4724">
      <w:pPr>
        <w:spacing w:line="360" w:lineRule="auto"/>
        <w:ind w:left="851" w:right="900"/>
        <w:jc w:val="both"/>
        <w:rPr>
          <w:rFonts w:ascii="Palatino Linotype" w:eastAsia="Palatino Linotype" w:hAnsi="Palatino Linotype" w:cs="Palatino Linotype"/>
          <w:b/>
          <w:i/>
          <w:smallCaps/>
        </w:rPr>
      </w:pPr>
    </w:p>
    <w:p w14:paraId="5A94A862" w14:textId="77777777" w:rsidR="00FF4724" w:rsidRPr="00121977" w:rsidRDefault="008E2E73">
      <w:pPr>
        <w:tabs>
          <w:tab w:val="left" w:pos="851"/>
          <w:tab w:val="left" w:pos="1276"/>
        </w:tabs>
        <w:spacing w:after="0"/>
        <w:ind w:left="567" w:right="709"/>
        <w:jc w:val="both"/>
        <w:rPr>
          <w:rFonts w:ascii="Palatino Linotype" w:eastAsia="Palatino Linotype" w:hAnsi="Palatino Linotype" w:cs="Palatino Linotype"/>
        </w:rPr>
      </w:pPr>
      <w:r w:rsidRPr="00121977">
        <w:rPr>
          <w:rFonts w:ascii="Palatino Linotype" w:eastAsia="Palatino Linotype" w:hAnsi="Palatino Linotype" w:cs="Palatino Linotype"/>
          <w:b/>
          <w:i/>
          <w:smallCaps/>
        </w:rPr>
        <w:t xml:space="preserve">“ACTOS CONSENTIDOS. SON LOS QUE NO SE IMPUGNAN MEDIANTE EL RECURSO IDÓNEO. </w:t>
      </w:r>
      <w:r w:rsidRPr="00121977">
        <w:rPr>
          <w:rFonts w:ascii="Palatino Linotype" w:eastAsia="Palatino Linotype" w:hAnsi="Palatino Linotype" w:cs="Palatino Linotype"/>
          <w:i/>
        </w:rPr>
        <w:t xml:space="preserve">Debe reputarse como consentido el acto que no se impugnó por el medio establecido por la ley, ya que si se hizo uso de otro no previsto por ella o si se hace </w:t>
      </w:r>
      <w:r w:rsidRPr="00121977">
        <w:rPr>
          <w:rFonts w:ascii="Palatino Linotype" w:eastAsia="Palatino Linotype" w:hAnsi="Palatino Linotype" w:cs="Palatino Linotype"/>
          <w:i/>
        </w:rPr>
        <w:lastRenderedPageBreak/>
        <w:t>una simple manifestación de inconformidad, tales actuaciones no producen efectos jurídicos tendientes a revocar, confirmar o modificar el acto reclamado en amparo, lo que significa consentimiento del mismo por falta de impugnación eficaz.”</w:t>
      </w:r>
    </w:p>
    <w:p w14:paraId="140C8C6C"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073D663" w14:textId="77777777" w:rsidR="00FF4724" w:rsidRPr="00121977" w:rsidRDefault="008E2E7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Dicho lo anterior, se procede al análisis de la información solicitada correspondiente al periodo 2017-2022, no así, respecto a la información remitida en respuesta, que corresponde con la información actualizada al año dos mil veintitrés. </w:t>
      </w:r>
    </w:p>
    <w:p w14:paraId="36F474EC"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5B365D38"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Es así que, resulta menester mencionar que, de conformidad con la Ley de Transparencia y Acceso a la Información Pública del Estado de México y Municipios, los sujetos obligados deberán poner a disposición del público de manera permanente y actualizada de forma sencilla, precisa y entendible, la siguiente información: </w:t>
      </w:r>
    </w:p>
    <w:p w14:paraId="4FA3253A"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40D813E3"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b/>
          <w:i/>
        </w:rPr>
        <w:t>Artículo 92.</w:t>
      </w:r>
      <w:r w:rsidRPr="00121977">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C7FC1EF"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0C3FB8D5"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w:t>
      </w:r>
      <w:r w:rsidRPr="00121977">
        <w:rPr>
          <w:rFonts w:ascii="Palatino Linotype" w:eastAsia="Palatino Linotype" w:hAnsi="Palatino Linotype" w:cs="Palatino Linotype"/>
          <w:b/>
          <w:i/>
        </w:rPr>
        <w:t>cargo o nombramiento oficial asignado</w:t>
      </w:r>
      <w:r w:rsidRPr="00121977">
        <w:rPr>
          <w:rFonts w:ascii="Palatino Linotype" w:eastAsia="Palatino Linotype" w:hAnsi="Palatino Linotype" w:cs="Palatino Linotype"/>
          <w:i/>
        </w:rPr>
        <w:t xml:space="preserve">, nivel del puesto en la estructura orgánica, </w:t>
      </w:r>
      <w:r w:rsidRPr="00121977">
        <w:rPr>
          <w:rFonts w:ascii="Palatino Linotype" w:eastAsia="Palatino Linotype" w:hAnsi="Palatino Linotype" w:cs="Palatino Linotype"/>
          <w:b/>
          <w:i/>
        </w:rPr>
        <w:t>fecha de alta en el cargo</w:t>
      </w:r>
      <w:r w:rsidRPr="00121977">
        <w:rPr>
          <w:rFonts w:ascii="Palatino Linotype" w:eastAsia="Palatino Linotype" w:hAnsi="Palatino Linotype" w:cs="Palatino Linotype"/>
          <w:i/>
        </w:rPr>
        <w:t>, número telefónico, domicilio para recibir correspondencia y dirección de correo electrónico oficiales, datos que deberán señalarse de forma independiente por dependencia y entidad pública de cada sujeto obligado;</w:t>
      </w:r>
    </w:p>
    <w:p w14:paraId="03A2700A"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09B0ED01"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lastRenderedPageBreak/>
        <w:t>XXI. La información curricular, desde el nivel de jefe de departamento o equivalente, hasta el titular del sujeto obligado, así como, en su caso, las sanciones administrativas de que haya sido objeto;</w:t>
      </w:r>
    </w:p>
    <w:p w14:paraId="6380E9C5" w14:textId="77777777" w:rsidR="00FF4724" w:rsidRPr="00121977" w:rsidRDefault="008E2E73">
      <w:pPr>
        <w:spacing w:after="0"/>
        <w:ind w:left="567" w:right="843"/>
        <w:jc w:val="both"/>
        <w:rPr>
          <w:rFonts w:ascii="Palatino Linotype" w:eastAsia="Palatino Linotype" w:hAnsi="Palatino Linotype" w:cs="Palatino Linotype"/>
          <w:i/>
          <w:sz w:val="24"/>
          <w:szCs w:val="24"/>
        </w:rPr>
      </w:pPr>
      <w:r w:rsidRPr="00121977">
        <w:rPr>
          <w:rFonts w:ascii="Palatino Linotype" w:eastAsia="Palatino Linotype" w:hAnsi="Palatino Linotype" w:cs="Palatino Linotype"/>
          <w:i/>
        </w:rPr>
        <w:t>…</w:t>
      </w:r>
    </w:p>
    <w:p w14:paraId="6395236D"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6B7CE5E9"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Por otra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establece que:</w:t>
      </w:r>
    </w:p>
    <w:p w14:paraId="318D0944"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0AA945A8" w14:textId="77777777" w:rsidR="00FF4724" w:rsidRPr="00121977" w:rsidRDefault="008E2E73">
      <w:pPr>
        <w:spacing w:after="0"/>
        <w:ind w:left="567" w:right="843"/>
        <w:jc w:val="center"/>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1AE1EA3E"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67E40671" w14:textId="77777777" w:rsidR="00FF4724" w:rsidRPr="00121977" w:rsidRDefault="00FF4724">
      <w:pPr>
        <w:spacing w:after="0"/>
        <w:ind w:left="567" w:right="843"/>
        <w:jc w:val="both"/>
        <w:rPr>
          <w:rFonts w:ascii="Palatino Linotype" w:eastAsia="Palatino Linotype" w:hAnsi="Palatino Linotype" w:cs="Palatino Linotype"/>
          <w:i/>
        </w:rPr>
      </w:pPr>
    </w:p>
    <w:p w14:paraId="31D8068D"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t>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w:t>
      </w:r>
    </w:p>
    <w:p w14:paraId="47801F79" w14:textId="77777777" w:rsidR="00FF4724" w:rsidRPr="00121977" w:rsidRDefault="00FF4724">
      <w:pPr>
        <w:spacing w:after="0"/>
        <w:ind w:left="567" w:right="843"/>
        <w:jc w:val="both"/>
        <w:rPr>
          <w:rFonts w:ascii="Palatino Linotype" w:eastAsia="Palatino Linotype" w:hAnsi="Palatino Linotype" w:cs="Palatino Linotype"/>
          <w:i/>
        </w:rPr>
      </w:pPr>
    </w:p>
    <w:p w14:paraId="19442D0A"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 </w:t>
      </w:r>
    </w:p>
    <w:p w14:paraId="6780A86E" w14:textId="77777777" w:rsidR="00FF4724" w:rsidRPr="00121977" w:rsidRDefault="00FF4724">
      <w:pPr>
        <w:spacing w:after="0"/>
        <w:ind w:left="567" w:right="843"/>
        <w:jc w:val="both"/>
        <w:rPr>
          <w:rFonts w:ascii="Palatino Linotype" w:eastAsia="Palatino Linotype" w:hAnsi="Palatino Linotype" w:cs="Palatino Linotype"/>
          <w:i/>
        </w:rPr>
      </w:pPr>
    </w:p>
    <w:p w14:paraId="4DCA6EF5"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rPr>
        <w:lastRenderedPageBreak/>
        <w:t>Respecto de los prestadores de servicios profesionales reportados se incluirá una nota que especifique que éstos no forman parte de la estructura orgánica del sujeto obligado toda vez que fungen como apoyo para el desarrollo de las actividades de los puestos que sí conforman la estructura.</w:t>
      </w:r>
    </w:p>
    <w:p w14:paraId="6A0F9587" w14:textId="77777777" w:rsidR="00FF4724" w:rsidRPr="00121977" w:rsidRDefault="00FF4724">
      <w:pPr>
        <w:spacing w:after="0"/>
        <w:ind w:left="567" w:right="843"/>
        <w:jc w:val="both"/>
        <w:rPr>
          <w:rFonts w:ascii="Palatino Linotype" w:eastAsia="Palatino Linotype" w:hAnsi="Palatino Linotype" w:cs="Palatino Linotype"/>
          <w:i/>
        </w:rPr>
      </w:pPr>
    </w:p>
    <w:p w14:paraId="72E844CA" w14:textId="77777777" w:rsidR="00FF4724" w:rsidRPr="00121977" w:rsidRDefault="008E2E73">
      <w:pPr>
        <w:spacing w:after="0"/>
        <w:ind w:left="567" w:right="843"/>
        <w:jc w:val="both"/>
        <w:rPr>
          <w:rFonts w:ascii="Palatino Linotype" w:eastAsia="Palatino Linotype" w:hAnsi="Palatino Linotype" w:cs="Palatino Linotype"/>
          <w:i/>
        </w:rPr>
      </w:pPr>
      <w:r w:rsidRPr="00121977">
        <w:rPr>
          <w:rFonts w:ascii="Palatino Linotype" w:eastAsia="Palatino Linotype" w:hAnsi="Palatino Linotype" w:cs="Palatino Linotype"/>
          <w:i/>
          <w:noProof/>
          <w:lang w:eastAsia="es-MX"/>
        </w:rPr>
        <w:drawing>
          <wp:inline distT="0" distB="0" distL="0" distR="0" wp14:anchorId="5BAF43B7" wp14:editId="6DC5A064">
            <wp:extent cx="4934204" cy="3597369"/>
            <wp:effectExtent l="0" t="0" r="0" b="0"/>
            <wp:docPr id="14489867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34204" cy="3597369"/>
                    </a:xfrm>
                    <a:prstGeom prst="rect">
                      <a:avLst/>
                    </a:prstGeom>
                    <a:ln/>
                  </pic:spPr>
                </pic:pic>
              </a:graphicData>
            </a:graphic>
          </wp:inline>
        </w:drawing>
      </w:r>
      <w:r w:rsidRPr="00121977">
        <w:rPr>
          <w:noProof/>
          <w:lang w:eastAsia="es-MX"/>
        </w:rPr>
        <mc:AlternateContent>
          <mc:Choice Requires="wpg">
            <w:drawing>
              <wp:anchor distT="0" distB="0" distL="114300" distR="114300" simplePos="0" relativeHeight="251658240" behindDoc="0" locked="0" layoutInCell="1" hidden="0" allowOverlap="1" wp14:anchorId="51A6FF28" wp14:editId="0E9791DA">
                <wp:simplePos x="0" y="0"/>
                <wp:positionH relativeFrom="column">
                  <wp:posOffset>571500</wp:posOffset>
                </wp:positionH>
                <wp:positionV relativeFrom="paragraph">
                  <wp:posOffset>2184400</wp:posOffset>
                </wp:positionV>
                <wp:extent cx="2381250" cy="295275"/>
                <wp:effectExtent l="0" t="0" r="0" b="0"/>
                <wp:wrapNone/>
                <wp:docPr id="1448986767" name="Rectángulo 1448986767"/>
                <wp:cNvGraphicFramePr/>
                <a:graphic xmlns:a="http://schemas.openxmlformats.org/drawingml/2006/main">
                  <a:graphicData uri="http://schemas.microsoft.com/office/word/2010/wordprocessingShape">
                    <wps:wsp>
                      <wps:cNvSpPr/>
                      <wps:spPr>
                        <a:xfrm>
                          <a:off x="4174425" y="3651413"/>
                          <a:ext cx="2343150" cy="257175"/>
                        </a:xfrm>
                        <a:prstGeom prst="rect">
                          <a:avLst/>
                        </a:prstGeom>
                        <a:noFill/>
                        <a:ln w="38100" cap="flat" cmpd="sng">
                          <a:solidFill>
                            <a:srgbClr val="FF0000"/>
                          </a:solidFill>
                          <a:prstDash val="solid"/>
                          <a:miter lim="800000"/>
                          <a:headEnd type="none" w="sm" len="sm"/>
                          <a:tailEnd type="none" w="sm" len="sm"/>
                        </a:ln>
                      </wps:spPr>
                      <wps:txbx>
                        <w:txbxContent>
                          <w:p w14:paraId="2C84B754" w14:textId="77777777" w:rsidR="00FF4724" w:rsidRDefault="00FF47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2184400</wp:posOffset>
                </wp:positionV>
                <wp:extent cx="2381250" cy="295275"/>
                <wp:effectExtent b="0" l="0" r="0" t="0"/>
                <wp:wrapNone/>
                <wp:docPr id="144898676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381250" cy="295275"/>
                        </a:xfrm>
                        <a:prstGeom prst="rect"/>
                        <a:ln/>
                      </pic:spPr>
                    </pic:pic>
                  </a:graphicData>
                </a:graphic>
              </wp:anchor>
            </w:drawing>
          </mc:Fallback>
        </mc:AlternateContent>
      </w:r>
    </w:p>
    <w:p w14:paraId="53A3F709" w14:textId="77777777" w:rsidR="00FF4724" w:rsidRPr="00121977" w:rsidRDefault="008E2E73">
      <w:pPr>
        <w:spacing w:after="0"/>
        <w:ind w:left="567" w:right="843"/>
        <w:jc w:val="center"/>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544905A3" w14:textId="77777777" w:rsidR="00FF4724" w:rsidRPr="00121977" w:rsidRDefault="008E2E73">
      <w:pPr>
        <w:spacing w:after="0"/>
        <w:ind w:left="284" w:right="843"/>
        <w:jc w:val="center"/>
        <w:rPr>
          <w:rFonts w:ascii="Palatino Linotype" w:eastAsia="Palatino Linotype" w:hAnsi="Palatino Linotype" w:cs="Palatino Linotype"/>
          <w:i/>
        </w:rPr>
      </w:pPr>
      <w:r w:rsidRPr="00121977">
        <w:rPr>
          <w:rFonts w:ascii="Palatino Linotype" w:eastAsia="Palatino Linotype" w:hAnsi="Palatino Linotype" w:cs="Palatino Linotype"/>
          <w:i/>
          <w:noProof/>
          <w:lang w:eastAsia="es-MX"/>
        </w:rPr>
        <w:drawing>
          <wp:inline distT="0" distB="0" distL="0" distR="0" wp14:anchorId="67C31662" wp14:editId="423EA4AA">
            <wp:extent cx="5056412" cy="2065259"/>
            <wp:effectExtent l="0" t="0" r="0" b="0"/>
            <wp:docPr id="14489867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56412" cy="2065259"/>
                    </a:xfrm>
                    <a:prstGeom prst="rect">
                      <a:avLst/>
                    </a:prstGeom>
                    <a:ln/>
                  </pic:spPr>
                </pic:pic>
              </a:graphicData>
            </a:graphic>
          </wp:inline>
        </w:drawing>
      </w:r>
    </w:p>
    <w:p w14:paraId="106A113D" w14:textId="77777777" w:rsidR="00FF4724" w:rsidRPr="00121977" w:rsidRDefault="008E2E73">
      <w:pPr>
        <w:spacing w:after="0"/>
        <w:ind w:left="567" w:right="843"/>
        <w:jc w:val="both"/>
        <w:rPr>
          <w:rFonts w:ascii="Palatino Linotype" w:eastAsia="Palatino Linotype" w:hAnsi="Palatino Linotype" w:cs="Palatino Linotype"/>
          <w:i/>
          <w:sz w:val="24"/>
          <w:szCs w:val="24"/>
        </w:rPr>
      </w:pPr>
      <w:r w:rsidRPr="00121977">
        <w:rPr>
          <w:rFonts w:ascii="Palatino Linotype" w:eastAsia="Palatino Linotype" w:hAnsi="Palatino Linotype" w:cs="Palatino Linotype"/>
          <w:i/>
        </w:rPr>
        <w:lastRenderedPageBreak/>
        <w:t>XVII. La información curricular desde el nivel de jefe de departamento o equivalente hasta el titular del sujeto obligado, así como, en su caso, las sanciones administrativas de que haya sido objeto 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14:paraId="50240E87"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124E21D2"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En ese sentido, como se puede apreciar, la información relativa al </w:t>
      </w:r>
      <w:r w:rsidRPr="00121977">
        <w:rPr>
          <w:rFonts w:ascii="Palatino Linotype" w:eastAsia="Palatino Linotype" w:hAnsi="Palatino Linotype" w:cs="Palatino Linotype"/>
          <w:b/>
          <w:sz w:val="24"/>
          <w:szCs w:val="24"/>
          <w:u w:val="single"/>
        </w:rPr>
        <w:t>sexo, nivel académico y cargo de los servidores públicos</w:t>
      </w:r>
      <w:r w:rsidRPr="00121977">
        <w:rPr>
          <w:rFonts w:ascii="Palatino Linotype" w:eastAsia="Palatino Linotype" w:hAnsi="Palatino Linotype" w:cs="Palatino Linotype"/>
          <w:sz w:val="24"/>
          <w:szCs w:val="24"/>
        </w:rPr>
        <w:t xml:space="preserve">, son datos que coinciden con la información que los sujetos obligados deben hacer pública, en atención a las obligaciones de transparencia que deben acatar los sujetos obligados. </w:t>
      </w:r>
    </w:p>
    <w:p w14:paraId="5A74216C"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433058D"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En lo que respecta al Sujeto Obligado, es de destacar que el Manual General de Organización de la Secretaría de la Contraloría precisa que:</w:t>
      </w:r>
    </w:p>
    <w:p w14:paraId="2468B97B"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60A0738E" w14:textId="77777777" w:rsidR="00FF4724" w:rsidRPr="00121977" w:rsidRDefault="008E2E73">
      <w:pPr>
        <w:numPr>
          <w:ilvl w:val="0"/>
          <w:numId w:val="2"/>
        </w:numPr>
        <w:pBdr>
          <w:top w:val="nil"/>
          <w:left w:val="nil"/>
          <w:bottom w:val="nil"/>
          <w:right w:val="nil"/>
          <w:between w:val="nil"/>
        </w:pBdr>
        <w:spacing w:after="0" w:line="240" w:lineRule="auto"/>
        <w:ind w:left="567" w:right="560" w:firstLine="0"/>
        <w:jc w:val="both"/>
        <w:rPr>
          <w:rFonts w:ascii="Palatino" w:eastAsia="Palatino" w:hAnsi="Palatino" w:cs="Palatino"/>
          <w:i/>
        </w:rPr>
      </w:pPr>
      <w:r w:rsidRPr="00121977">
        <w:rPr>
          <w:rFonts w:ascii="Palatino" w:eastAsia="Palatino" w:hAnsi="Palatino" w:cs="Palatino"/>
          <w:b/>
          <w:i/>
        </w:rPr>
        <w:t>21800005000101S DEPARTAMENTO DE PERSONAL</w:t>
      </w:r>
      <w:r w:rsidRPr="00121977">
        <w:rPr>
          <w:rFonts w:ascii="Palatino" w:eastAsia="Palatino" w:hAnsi="Palatino" w:cs="Palatino"/>
          <w:b/>
          <w:i/>
        </w:rPr>
        <w:br/>
        <w:t xml:space="preserve">OBJETIVO: </w:t>
      </w:r>
    </w:p>
    <w:p w14:paraId="067E008E" w14:textId="77777777" w:rsidR="00FF4724" w:rsidRPr="00121977" w:rsidRDefault="008E2E73">
      <w:pPr>
        <w:pBdr>
          <w:top w:val="nil"/>
          <w:left w:val="nil"/>
          <w:bottom w:val="nil"/>
          <w:right w:val="nil"/>
          <w:between w:val="nil"/>
        </w:pBdr>
        <w:spacing w:line="240" w:lineRule="auto"/>
        <w:ind w:left="567" w:right="560"/>
        <w:jc w:val="both"/>
        <w:rPr>
          <w:rFonts w:ascii="Palatino" w:eastAsia="Palatino" w:hAnsi="Palatino" w:cs="Palatino"/>
          <w:i/>
        </w:rPr>
      </w:pPr>
      <w:r w:rsidRPr="00121977">
        <w:rPr>
          <w:rFonts w:ascii="Palatino" w:eastAsia="Palatino" w:hAnsi="Palatino" w:cs="Palatino"/>
          <w:i/>
        </w:rPr>
        <w:t xml:space="preserve">Gestionar, controlar y supervisar los movimientos administrativos de las personas servidoras </w:t>
      </w:r>
      <w:proofErr w:type="spellStart"/>
      <w:r w:rsidRPr="00121977">
        <w:rPr>
          <w:rFonts w:ascii="Palatino" w:eastAsia="Palatino" w:hAnsi="Palatino" w:cs="Palatino"/>
          <w:i/>
        </w:rPr>
        <w:t>públicas</w:t>
      </w:r>
      <w:proofErr w:type="spellEnd"/>
      <w:r w:rsidRPr="00121977">
        <w:rPr>
          <w:rFonts w:ascii="Palatino" w:eastAsia="Palatino" w:hAnsi="Palatino" w:cs="Palatino"/>
          <w:i/>
        </w:rPr>
        <w:t xml:space="preserve"> de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conforme a las normas y procedimientos establecidos por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de Finanzas. </w:t>
      </w:r>
    </w:p>
    <w:p w14:paraId="2AE805A1" w14:textId="77777777" w:rsidR="00FF4724" w:rsidRPr="00121977" w:rsidRDefault="008E2E73">
      <w:pPr>
        <w:pBdr>
          <w:top w:val="nil"/>
          <w:left w:val="nil"/>
          <w:bottom w:val="nil"/>
          <w:right w:val="nil"/>
          <w:between w:val="nil"/>
        </w:pBdr>
        <w:spacing w:line="240" w:lineRule="auto"/>
        <w:ind w:left="567" w:right="560"/>
        <w:jc w:val="both"/>
        <w:rPr>
          <w:rFonts w:ascii="Palatino" w:eastAsia="Palatino" w:hAnsi="Palatino" w:cs="Palatino"/>
          <w:i/>
        </w:rPr>
      </w:pPr>
      <w:r w:rsidRPr="00121977">
        <w:rPr>
          <w:rFonts w:ascii="Palatino" w:eastAsia="Palatino" w:hAnsi="Palatino" w:cs="Palatino"/>
          <w:b/>
          <w:i/>
        </w:rPr>
        <w:t xml:space="preserve">FUNCIONES: </w:t>
      </w:r>
    </w:p>
    <w:p w14:paraId="222CB440" w14:textId="77777777" w:rsidR="00FF4724" w:rsidRPr="00121977" w:rsidRDefault="008E2E73">
      <w:pPr>
        <w:numPr>
          <w:ilvl w:val="0"/>
          <w:numId w:val="6"/>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Aplicar las normas, </w:t>
      </w:r>
      <w:proofErr w:type="spellStart"/>
      <w:r w:rsidRPr="00121977">
        <w:rPr>
          <w:rFonts w:ascii="Palatino" w:eastAsia="Palatino" w:hAnsi="Palatino" w:cs="Palatino"/>
          <w:i/>
        </w:rPr>
        <w:t>políticas</w:t>
      </w:r>
      <w:proofErr w:type="spellEnd"/>
      <w:r w:rsidRPr="00121977">
        <w:rPr>
          <w:rFonts w:ascii="Palatino" w:eastAsia="Palatino" w:hAnsi="Palatino" w:cs="Palatino"/>
          <w:i/>
        </w:rPr>
        <w:t xml:space="preserve">, procedimientos y disposiciones de </w:t>
      </w:r>
      <w:proofErr w:type="spellStart"/>
      <w:r w:rsidRPr="00121977">
        <w:rPr>
          <w:rFonts w:ascii="Palatino" w:eastAsia="Palatino" w:hAnsi="Palatino" w:cs="Palatino"/>
          <w:i/>
        </w:rPr>
        <w:t>administración</w:t>
      </w:r>
      <w:proofErr w:type="spellEnd"/>
      <w:r w:rsidRPr="00121977">
        <w:rPr>
          <w:rFonts w:ascii="Palatino" w:eastAsia="Palatino" w:hAnsi="Palatino" w:cs="Palatino"/>
          <w:i/>
        </w:rPr>
        <w:t xml:space="preserve"> de personal que establezca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de Finanzas, </w:t>
      </w:r>
      <w:proofErr w:type="spellStart"/>
      <w:r w:rsidRPr="00121977">
        <w:rPr>
          <w:rFonts w:ascii="Palatino" w:eastAsia="Palatino" w:hAnsi="Palatino" w:cs="Palatino"/>
          <w:i/>
        </w:rPr>
        <w:t>asi</w:t>
      </w:r>
      <w:proofErr w:type="spellEnd"/>
      <w:r w:rsidRPr="00121977">
        <w:rPr>
          <w:rFonts w:ascii="Palatino" w:eastAsia="Palatino" w:hAnsi="Palatino" w:cs="Palatino"/>
          <w:i/>
        </w:rPr>
        <w:t xml:space="preserve">́ como proponer acciones complementarias para mejorar los procesos y la calidad de los servicios en la materia. </w:t>
      </w:r>
    </w:p>
    <w:p w14:paraId="280BCF06"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Ejercer el presupuesto autorizado de servicios personales, </w:t>
      </w:r>
      <w:proofErr w:type="spellStart"/>
      <w:r w:rsidRPr="00121977">
        <w:rPr>
          <w:rFonts w:ascii="Palatino" w:eastAsia="Palatino" w:hAnsi="Palatino" w:cs="Palatino"/>
          <w:i/>
        </w:rPr>
        <w:t>asi</w:t>
      </w:r>
      <w:proofErr w:type="spellEnd"/>
      <w:r w:rsidRPr="00121977">
        <w:rPr>
          <w:rFonts w:ascii="Palatino" w:eastAsia="Palatino" w:hAnsi="Palatino" w:cs="Palatino"/>
          <w:i/>
        </w:rPr>
        <w:t xml:space="preserve">́ como solicitar los movimientos presupuestales por </w:t>
      </w:r>
      <w:proofErr w:type="spellStart"/>
      <w:r w:rsidRPr="00121977">
        <w:rPr>
          <w:rFonts w:ascii="Palatino" w:eastAsia="Palatino" w:hAnsi="Palatino" w:cs="Palatino"/>
          <w:i/>
        </w:rPr>
        <w:t>ampliación</w:t>
      </w:r>
      <w:proofErr w:type="spellEnd"/>
      <w:r w:rsidRPr="00121977">
        <w:rPr>
          <w:rFonts w:ascii="Palatino" w:eastAsia="Palatino" w:hAnsi="Palatino" w:cs="Palatino"/>
          <w:i/>
        </w:rPr>
        <w:t xml:space="preserve">, </w:t>
      </w:r>
      <w:proofErr w:type="spellStart"/>
      <w:r w:rsidRPr="00121977">
        <w:rPr>
          <w:rFonts w:ascii="Palatino" w:eastAsia="Palatino" w:hAnsi="Palatino" w:cs="Palatino"/>
          <w:i/>
        </w:rPr>
        <w:t>reducción</w:t>
      </w:r>
      <w:proofErr w:type="spellEnd"/>
      <w:r w:rsidRPr="00121977">
        <w:rPr>
          <w:rFonts w:ascii="Palatino" w:eastAsia="Palatino" w:hAnsi="Palatino" w:cs="Palatino"/>
          <w:i/>
        </w:rPr>
        <w:t xml:space="preserve"> y transferencias. </w:t>
      </w:r>
    </w:p>
    <w:p w14:paraId="6811CF80"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lastRenderedPageBreak/>
        <w:t xml:space="preserve">−  Realizar el seguimiento y validar la </w:t>
      </w:r>
      <w:proofErr w:type="spellStart"/>
      <w:r w:rsidRPr="00121977">
        <w:rPr>
          <w:rFonts w:ascii="Palatino" w:eastAsia="Palatino" w:hAnsi="Palatino" w:cs="Palatino"/>
          <w:i/>
        </w:rPr>
        <w:t>afectación</w:t>
      </w:r>
      <w:proofErr w:type="spellEnd"/>
      <w:r w:rsidRPr="00121977">
        <w:rPr>
          <w:rFonts w:ascii="Palatino" w:eastAsia="Palatino" w:hAnsi="Palatino" w:cs="Palatino"/>
          <w:i/>
        </w:rPr>
        <w:t xml:space="preserve"> presupuestal del </w:t>
      </w:r>
      <w:proofErr w:type="spellStart"/>
      <w:r w:rsidRPr="00121977">
        <w:rPr>
          <w:rFonts w:ascii="Palatino" w:eastAsia="Palatino" w:hAnsi="Palatino" w:cs="Palatino"/>
          <w:i/>
        </w:rPr>
        <w:t>capítulo</w:t>
      </w:r>
      <w:proofErr w:type="spellEnd"/>
      <w:r w:rsidRPr="00121977">
        <w:rPr>
          <w:rFonts w:ascii="Palatino" w:eastAsia="Palatino" w:hAnsi="Palatino" w:cs="Palatino"/>
          <w:i/>
        </w:rPr>
        <w:t xml:space="preserve"> de servicios personales de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para remitirlo a la </w:t>
      </w:r>
      <w:proofErr w:type="spellStart"/>
      <w:r w:rsidRPr="00121977">
        <w:rPr>
          <w:rFonts w:ascii="Palatino" w:eastAsia="Palatino" w:hAnsi="Palatino" w:cs="Palatino"/>
          <w:i/>
        </w:rPr>
        <w:t>Subdirección</w:t>
      </w:r>
      <w:proofErr w:type="spellEnd"/>
      <w:r w:rsidRPr="00121977">
        <w:rPr>
          <w:rFonts w:ascii="Palatino" w:eastAsia="Palatino" w:hAnsi="Palatino" w:cs="Palatino"/>
          <w:i/>
        </w:rPr>
        <w:t xml:space="preserve"> de Contabilidad y Control Presupuestal. </w:t>
      </w:r>
    </w:p>
    <w:p w14:paraId="0E5255CB"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Formular el proyecto y </w:t>
      </w:r>
      <w:proofErr w:type="spellStart"/>
      <w:r w:rsidRPr="00121977">
        <w:rPr>
          <w:rFonts w:ascii="Palatino" w:eastAsia="Palatino" w:hAnsi="Palatino" w:cs="Palatino"/>
          <w:i/>
        </w:rPr>
        <w:t>calendarización</w:t>
      </w:r>
      <w:proofErr w:type="spellEnd"/>
      <w:r w:rsidRPr="00121977">
        <w:rPr>
          <w:rFonts w:ascii="Palatino" w:eastAsia="Palatino" w:hAnsi="Palatino" w:cs="Palatino"/>
          <w:i/>
        </w:rPr>
        <w:t xml:space="preserve"> del presupuesto autorizado a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en el </w:t>
      </w:r>
      <w:proofErr w:type="spellStart"/>
      <w:r w:rsidRPr="00121977">
        <w:rPr>
          <w:rFonts w:ascii="Palatino" w:eastAsia="Palatino" w:hAnsi="Palatino" w:cs="Palatino"/>
          <w:i/>
        </w:rPr>
        <w:t>capítulo</w:t>
      </w:r>
      <w:proofErr w:type="spellEnd"/>
      <w:r w:rsidRPr="00121977">
        <w:rPr>
          <w:rFonts w:ascii="Palatino" w:eastAsia="Palatino" w:hAnsi="Palatino" w:cs="Palatino"/>
          <w:i/>
        </w:rPr>
        <w:t xml:space="preserve"> de servicios personales para su </w:t>
      </w:r>
      <w:proofErr w:type="spellStart"/>
      <w:r w:rsidRPr="00121977">
        <w:rPr>
          <w:rFonts w:ascii="Palatino" w:eastAsia="Palatino" w:hAnsi="Palatino" w:cs="Palatino"/>
          <w:i/>
        </w:rPr>
        <w:t>envío</w:t>
      </w:r>
      <w:proofErr w:type="spellEnd"/>
      <w:r w:rsidRPr="00121977">
        <w:rPr>
          <w:rFonts w:ascii="Palatino" w:eastAsia="Palatino" w:hAnsi="Palatino" w:cs="Palatino"/>
          <w:i/>
        </w:rPr>
        <w:t xml:space="preserve"> a la </w:t>
      </w:r>
      <w:proofErr w:type="spellStart"/>
      <w:r w:rsidRPr="00121977">
        <w:rPr>
          <w:rFonts w:ascii="Palatino" w:eastAsia="Palatino" w:hAnsi="Palatino" w:cs="Palatino"/>
          <w:i/>
        </w:rPr>
        <w:t>Subdirección</w:t>
      </w:r>
      <w:proofErr w:type="spellEnd"/>
      <w:r w:rsidRPr="00121977">
        <w:rPr>
          <w:rFonts w:ascii="Palatino" w:eastAsia="Palatino" w:hAnsi="Palatino" w:cs="Palatino"/>
          <w:i/>
        </w:rPr>
        <w:t xml:space="preserve"> de Contabilidad y Control Presupuestal. </w:t>
      </w:r>
    </w:p>
    <w:p w14:paraId="07B1FCA1"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Aplicar las normas y </w:t>
      </w:r>
      <w:proofErr w:type="spellStart"/>
      <w:r w:rsidRPr="00121977">
        <w:rPr>
          <w:rFonts w:ascii="Palatino" w:eastAsia="Palatino" w:hAnsi="Palatino" w:cs="Palatino"/>
          <w:i/>
        </w:rPr>
        <w:t>políticas</w:t>
      </w:r>
      <w:proofErr w:type="spellEnd"/>
      <w:r w:rsidRPr="00121977">
        <w:rPr>
          <w:rFonts w:ascii="Palatino" w:eastAsia="Palatino" w:hAnsi="Palatino" w:cs="Palatino"/>
          <w:i/>
        </w:rPr>
        <w:t xml:space="preserve"> establecidas en materia de seguridad e higiene y medio ambiente en el trabajo, </w:t>
      </w:r>
      <w:proofErr w:type="spellStart"/>
      <w:r w:rsidRPr="00121977">
        <w:rPr>
          <w:rFonts w:ascii="Palatino" w:eastAsia="Palatino" w:hAnsi="Palatino" w:cs="Palatino"/>
          <w:i/>
        </w:rPr>
        <w:t>asi</w:t>
      </w:r>
      <w:proofErr w:type="spellEnd"/>
      <w:r w:rsidRPr="00121977">
        <w:rPr>
          <w:rFonts w:ascii="Palatino" w:eastAsia="Palatino" w:hAnsi="Palatino" w:cs="Palatino"/>
          <w:i/>
        </w:rPr>
        <w:t xml:space="preserve">́ como de </w:t>
      </w:r>
      <w:proofErr w:type="spellStart"/>
      <w:r w:rsidRPr="00121977">
        <w:rPr>
          <w:rFonts w:ascii="Palatino" w:eastAsia="Palatino" w:hAnsi="Palatino" w:cs="Palatino"/>
          <w:i/>
        </w:rPr>
        <w:t>señalización</w:t>
      </w:r>
      <w:proofErr w:type="spellEnd"/>
      <w:r w:rsidRPr="00121977">
        <w:rPr>
          <w:rFonts w:ascii="Palatino" w:eastAsia="Palatino" w:hAnsi="Palatino" w:cs="Palatino"/>
          <w:i/>
        </w:rPr>
        <w:t xml:space="preserve"> de oficinas para la </w:t>
      </w:r>
      <w:proofErr w:type="spellStart"/>
      <w:r w:rsidRPr="00121977">
        <w:rPr>
          <w:rFonts w:ascii="Palatino" w:eastAsia="Palatino" w:hAnsi="Palatino" w:cs="Palatino"/>
          <w:i/>
        </w:rPr>
        <w:t>protección</w:t>
      </w:r>
      <w:proofErr w:type="spellEnd"/>
      <w:r w:rsidRPr="00121977">
        <w:rPr>
          <w:rFonts w:ascii="Palatino" w:eastAsia="Palatino" w:hAnsi="Palatino" w:cs="Palatino"/>
          <w:i/>
        </w:rPr>
        <w:t xml:space="preserve"> de las personas servidoras </w:t>
      </w:r>
      <w:proofErr w:type="spellStart"/>
      <w:r w:rsidRPr="00121977">
        <w:rPr>
          <w:rFonts w:ascii="Palatino" w:eastAsia="Palatino" w:hAnsi="Palatino" w:cs="Palatino"/>
          <w:i/>
        </w:rPr>
        <w:t>públicas</w:t>
      </w:r>
      <w:proofErr w:type="spellEnd"/>
      <w:r w:rsidRPr="00121977">
        <w:rPr>
          <w:rFonts w:ascii="Palatino" w:eastAsia="Palatino" w:hAnsi="Palatino" w:cs="Palatino"/>
          <w:i/>
        </w:rPr>
        <w:t xml:space="preserve">. </w:t>
      </w:r>
    </w:p>
    <w:p w14:paraId="52356296"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Controlar y mantener actualizada la plantilla y el directorio de personal de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w:t>
      </w:r>
    </w:p>
    <w:p w14:paraId="6513F3E0"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b/>
          <w:i/>
        </w:rPr>
      </w:pPr>
      <w:r w:rsidRPr="00121977">
        <w:rPr>
          <w:rFonts w:ascii="Palatino" w:eastAsia="Palatino" w:hAnsi="Palatino" w:cs="Palatino"/>
          <w:b/>
          <w:i/>
        </w:rPr>
        <w:t xml:space="preserve">−  Integrar, conservar y mantener actualizados los expedientes de las personas servidoras </w:t>
      </w:r>
      <w:proofErr w:type="spellStart"/>
      <w:r w:rsidRPr="00121977">
        <w:rPr>
          <w:rFonts w:ascii="Palatino" w:eastAsia="Palatino" w:hAnsi="Palatino" w:cs="Palatino"/>
          <w:b/>
          <w:i/>
        </w:rPr>
        <w:t>públicas</w:t>
      </w:r>
      <w:proofErr w:type="spellEnd"/>
      <w:r w:rsidRPr="00121977">
        <w:rPr>
          <w:rFonts w:ascii="Palatino" w:eastAsia="Palatino" w:hAnsi="Palatino" w:cs="Palatino"/>
          <w:b/>
          <w:i/>
        </w:rPr>
        <w:t xml:space="preserve"> de la </w:t>
      </w:r>
      <w:proofErr w:type="spellStart"/>
      <w:r w:rsidRPr="00121977">
        <w:rPr>
          <w:rFonts w:ascii="Palatino" w:eastAsia="Palatino" w:hAnsi="Palatino" w:cs="Palatino"/>
          <w:b/>
          <w:i/>
        </w:rPr>
        <w:t>Secretaría</w:t>
      </w:r>
      <w:proofErr w:type="spellEnd"/>
      <w:r w:rsidRPr="00121977">
        <w:rPr>
          <w:rFonts w:ascii="Palatino" w:eastAsia="Palatino" w:hAnsi="Palatino" w:cs="Palatino"/>
          <w:b/>
          <w:i/>
        </w:rPr>
        <w:t xml:space="preserve">. </w:t>
      </w:r>
    </w:p>
    <w:p w14:paraId="497FBAFB"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Registrar, verificar y evaluar la puntualidad, asistencia y permanencia del personal de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de conformidad con la normatividad establecida. </w:t>
      </w:r>
    </w:p>
    <w:p w14:paraId="44350A85"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w:t>
      </w:r>
      <w:r w:rsidRPr="00121977">
        <w:rPr>
          <w:rFonts w:ascii="Palatino" w:eastAsia="Palatino" w:hAnsi="Palatino" w:cs="Palatino"/>
          <w:b/>
          <w:i/>
        </w:rPr>
        <w:t xml:space="preserve">Determinar y gestionar ante la </w:t>
      </w:r>
      <w:proofErr w:type="spellStart"/>
      <w:r w:rsidRPr="00121977">
        <w:rPr>
          <w:rFonts w:ascii="Palatino" w:eastAsia="Palatino" w:hAnsi="Palatino" w:cs="Palatino"/>
          <w:b/>
          <w:i/>
        </w:rPr>
        <w:t>Dirección</w:t>
      </w:r>
      <w:proofErr w:type="spellEnd"/>
      <w:r w:rsidRPr="00121977">
        <w:rPr>
          <w:rFonts w:ascii="Palatino" w:eastAsia="Palatino" w:hAnsi="Palatino" w:cs="Palatino"/>
          <w:b/>
          <w:i/>
        </w:rPr>
        <w:t xml:space="preserve"> General de Personal los movimientos de altas, bajas, cambios</w:t>
      </w:r>
      <w:r w:rsidRPr="00121977">
        <w:rPr>
          <w:rFonts w:ascii="Palatino" w:eastAsia="Palatino" w:hAnsi="Palatino" w:cs="Palatino"/>
          <w:i/>
        </w:rPr>
        <w:t xml:space="preserve">, conversiones, promociones, permisos, licencias y </w:t>
      </w:r>
      <w:proofErr w:type="spellStart"/>
      <w:r w:rsidRPr="00121977">
        <w:rPr>
          <w:rFonts w:ascii="Palatino" w:eastAsia="Palatino" w:hAnsi="Palatino" w:cs="Palatino"/>
          <w:i/>
        </w:rPr>
        <w:t>demás</w:t>
      </w:r>
      <w:proofErr w:type="spellEnd"/>
      <w:r w:rsidRPr="00121977">
        <w:rPr>
          <w:rFonts w:ascii="Palatino" w:eastAsia="Palatino" w:hAnsi="Palatino" w:cs="Palatino"/>
          <w:i/>
        </w:rPr>
        <w:t xml:space="preserve"> incidencias </w:t>
      </w:r>
      <w:r w:rsidRPr="00121977">
        <w:rPr>
          <w:rFonts w:ascii="Palatino" w:eastAsia="Palatino" w:hAnsi="Palatino" w:cs="Palatino"/>
          <w:b/>
          <w:i/>
        </w:rPr>
        <w:t xml:space="preserve">de las personas servidoras </w:t>
      </w:r>
      <w:proofErr w:type="spellStart"/>
      <w:r w:rsidRPr="00121977">
        <w:rPr>
          <w:rFonts w:ascii="Palatino" w:eastAsia="Palatino" w:hAnsi="Palatino" w:cs="Palatino"/>
          <w:b/>
          <w:i/>
        </w:rPr>
        <w:t>públicas</w:t>
      </w:r>
      <w:proofErr w:type="spellEnd"/>
      <w:r w:rsidRPr="00121977">
        <w:rPr>
          <w:rFonts w:ascii="Palatino" w:eastAsia="Palatino" w:hAnsi="Palatino" w:cs="Palatino"/>
          <w:b/>
          <w:i/>
        </w:rPr>
        <w:t xml:space="preserve"> de la </w:t>
      </w:r>
      <w:proofErr w:type="spellStart"/>
      <w:r w:rsidRPr="00121977">
        <w:rPr>
          <w:rFonts w:ascii="Palatino" w:eastAsia="Palatino" w:hAnsi="Palatino" w:cs="Palatino"/>
          <w:b/>
          <w:i/>
        </w:rPr>
        <w:t>Secretaría</w:t>
      </w:r>
      <w:proofErr w:type="spellEnd"/>
      <w:r w:rsidRPr="00121977">
        <w:rPr>
          <w:rFonts w:ascii="Palatino" w:eastAsia="Palatino" w:hAnsi="Palatino" w:cs="Palatino"/>
          <w:i/>
        </w:rPr>
        <w:t xml:space="preserve">. </w:t>
      </w:r>
    </w:p>
    <w:p w14:paraId="41E17A44"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Coordinar y supervisar la </w:t>
      </w:r>
      <w:proofErr w:type="spellStart"/>
      <w:r w:rsidRPr="00121977">
        <w:rPr>
          <w:rFonts w:ascii="Palatino" w:eastAsia="Palatino" w:hAnsi="Palatino" w:cs="Palatino"/>
          <w:i/>
        </w:rPr>
        <w:t>aplicación</w:t>
      </w:r>
      <w:proofErr w:type="spellEnd"/>
      <w:r w:rsidRPr="00121977">
        <w:rPr>
          <w:rFonts w:ascii="Palatino" w:eastAsia="Palatino" w:hAnsi="Palatino" w:cs="Palatino"/>
          <w:i/>
        </w:rPr>
        <w:t xml:space="preserve"> del Programa de </w:t>
      </w:r>
      <w:proofErr w:type="spellStart"/>
      <w:r w:rsidRPr="00121977">
        <w:rPr>
          <w:rFonts w:ascii="Palatino" w:eastAsia="Palatino" w:hAnsi="Palatino" w:cs="Palatino"/>
          <w:i/>
        </w:rPr>
        <w:t>Estímulos</w:t>
      </w:r>
      <w:proofErr w:type="spellEnd"/>
      <w:r w:rsidRPr="00121977">
        <w:rPr>
          <w:rFonts w:ascii="Palatino" w:eastAsia="Palatino" w:hAnsi="Palatino" w:cs="Palatino"/>
          <w:i/>
        </w:rPr>
        <w:t xml:space="preserve"> y Recompensas, </w:t>
      </w:r>
      <w:proofErr w:type="spellStart"/>
      <w:r w:rsidRPr="00121977">
        <w:rPr>
          <w:rFonts w:ascii="Palatino" w:eastAsia="Palatino" w:hAnsi="Palatino" w:cs="Palatino"/>
          <w:i/>
        </w:rPr>
        <w:t>asi</w:t>
      </w:r>
      <w:proofErr w:type="spellEnd"/>
      <w:r w:rsidRPr="00121977">
        <w:rPr>
          <w:rFonts w:ascii="Palatino" w:eastAsia="Palatino" w:hAnsi="Palatino" w:cs="Palatino"/>
          <w:i/>
        </w:rPr>
        <w:t xml:space="preserve">́ como los programas sociales, culturales y recreativos que promueve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w:t>
      </w:r>
    </w:p>
    <w:p w14:paraId="021C5667"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Tramitar las solicitudes del personal sindicalizado para apoyar al Sindicato </w:t>
      </w:r>
      <w:proofErr w:type="spellStart"/>
      <w:r w:rsidRPr="00121977">
        <w:rPr>
          <w:rFonts w:ascii="Palatino" w:eastAsia="Palatino" w:hAnsi="Palatino" w:cs="Palatino"/>
          <w:i/>
        </w:rPr>
        <w:t>Único</w:t>
      </w:r>
      <w:proofErr w:type="spellEnd"/>
      <w:r w:rsidRPr="00121977">
        <w:rPr>
          <w:rFonts w:ascii="Palatino" w:eastAsia="Palatino" w:hAnsi="Palatino" w:cs="Palatino"/>
          <w:i/>
        </w:rPr>
        <w:t xml:space="preserve"> de Trabajadores de los Poderes, Municipios e Instituciones Descentralizadas del Estado de </w:t>
      </w:r>
      <w:proofErr w:type="spellStart"/>
      <w:r w:rsidRPr="00121977">
        <w:rPr>
          <w:rFonts w:ascii="Palatino" w:eastAsia="Palatino" w:hAnsi="Palatino" w:cs="Palatino"/>
          <w:i/>
        </w:rPr>
        <w:t>México</w:t>
      </w:r>
      <w:proofErr w:type="spellEnd"/>
      <w:r w:rsidRPr="00121977">
        <w:rPr>
          <w:rFonts w:ascii="Palatino" w:eastAsia="Palatino" w:hAnsi="Palatino" w:cs="Palatino"/>
          <w:i/>
        </w:rPr>
        <w:t xml:space="preserve">. </w:t>
      </w:r>
    </w:p>
    <w:p w14:paraId="142B5CC7"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Reportar el incumplimiento de obligaciones laborales e intervenir en la </w:t>
      </w:r>
      <w:proofErr w:type="spellStart"/>
      <w:r w:rsidRPr="00121977">
        <w:rPr>
          <w:rFonts w:ascii="Palatino" w:eastAsia="Palatino" w:hAnsi="Palatino" w:cs="Palatino"/>
          <w:i/>
        </w:rPr>
        <w:t>práctica</w:t>
      </w:r>
      <w:proofErr w:type="spellEnd"/>
      <w:r w:rsidRPr="00121977">
        <w:rPr>
          <w:rFonts w:ascii="Palatino" w:eastAsia="Palatino" w:hAnsi="Palatino" w:cs="Palatino"/>
          <w:i/>
        </w:rPr>
        <w:t xml:space="preserve"> de diligencias e investigaciones para el levantamiento de actas de acuerdo con la normatividad establecida. </w:t>
      </w:r>
    </w:p>
    <w:p w14:paraId="5E92E9FA"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Gestionar ante el Instituto de Seguridad Social del Estado de </w:t>
      </w:r>
      <w:proofErr w:type="spellStart"/>
      <w:r w:rsidRPr="00121977">
        <w:rPr>
          <w:rFonts w:ascii="Palatino" w:eastAsia="Palatino" w:hAnsi="Palatino" w:cs="Palatino"/>
          <w:i/>
        </w:rPr>
        <w:t>México</w:t>
      </w:r>
      <w:proofErr w:type="spellEnd"/>
      <w:r w:rsidRPr="00121977">
        <w:rPr>
          <w:rFonts w:ascii="Palatino" w:eastAsia="Palatino" w:hAnsi="Palatino" w:cs="Palatino"/>
          <w:i/>
        </w:rPr>
        <w:t xml:space="preserve"> y Municipios, los </w:t>
      </w:r>
      <w:proofErr w:type="spellStart"/>
      <w:r w:rsidRPr="00121977">
        <w:rPr>
          <w:rFonts w:ascii="Palatino" w:eastAsia="Palatino" w:hAnsi="Palatino" w:cs="Palatino"/>
          <w:i/>
        </w:rPr>
        <w:t>dictámenes</w:t>
      </w:r>
      <w:proofErr w:type="spellEnd"/>
      <w:r w:rsidRPr="00121977">
        <w:rPr>
          <w:rFonts w:ascii="Palatino" w:eastAsia="Palatino" w:hAnsi="Palatino" w:cs="Palatino"/>
          <w:i/>
        </w:rPr>
        <w:t xml:space="preserve"> correspondientes al estado de salud de personas trabajadoras para dar cumplimiento a las disposiciones establecidas en materia de </w:t>
      </w:r>
      <w:proofErr w:type="spellStart"/>
      <w:r w:rsidRPr="00121977">
        <w:rPr>
          <w:rFonts w:ascii="Palatino" w:eastAsia="Palatino" w:hAnsi="Palatino" w:cs="Palatino"/>
          <w:i/>
        </w:rPr>
        <w:t>administración</w:t>
      </w:r>
      <w:proofErr w:type="spellEnd"/>
      <w:r w:rsidRPr="00121977">
        <w:rPr>
          <w:rFonts w:ascii="Palatino" w:eastAsia="Palatino" w:hAnsi="Palatino" w:cs="Palatino"/>
          <w:i/>
        </w:rPr>
        <w:t xml:space="preserve"> de personal. </w:t>
      </w:r>
    </w:p>
    <w:p w14:paraId="452708B1"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Elaborar, proponer y ejecutar el programa de </w:t>
      </w:r>
      <w:proofErr w:type="spellStart"/>
      <w:r w:rsidRPr="00121977">
        <w:rPr>
          <w:rFonts w:ascii="Palatino" w:eastAsia="Palatino" w:hAnsi="Palatino" w:cs="Palatino"/>
          <w:i/>
        </w:rPr>
        <w:t>protección</w:t>
      </w:r>
      <w:proofErr w:type="spellEnd"/>
      <w:r w:rsidRPr="00121977">
        <w:rPr>
          <w:rFonts w:ascii="Palatino" w:eastAsia="Palatino" w:hAnsi="Palatino" w:cs="Palatino"/>
          <w:i/>
        </w:rPr>
        <w:t xml:space="preserve"> civil de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en </w:t>
      </w:r>
      <w:proofErr w:type="spellStart"/>
      <w:r w:rsidRPr="00121977">
        <w:rPr>
          <w:rFonts w:ascii="Palatino" w:eastAsia="Palatino" w:hAnsi="Palatino" w:cs="Palatino"/>
          <w:i/>
        </w:rPr>
        <w:t>coordinación</w:t>
      </w:r>
      <w:proofErr w:type="spellEnd"/>
      <w:r w:rsidRPr="00121977">
        <w:rPr>
          <w:rFonts w:ascii="Palatino" w:eastAsia="Palatino" w:hAnsi="Palatino" w:cs="Palatino"/>
          <w:i/>
        </w:rPr>
        <w:t xml:space="preserve"> con las delegaciones administrativas, para el cumplimiento de las normas y procedimientos establecidos en la materia. </w:t>
      </w:r>
    </w:p>
    <w:p w14:paraId="05854539"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lastRenderedPageBreak/>
        <w:t xml:space="preserve">−  Impulsar e instrumentar los programas de servicio social en </w:t>
      </w:r>
      <w:proofErr w:type="spellStart"/>
      <w:r w:rsidRPr="00121977">
        <w:rPr>
          <w:rFonts w:ascii="Palatino" w:eastAsia="Palatino" w:hAnsi="Palatino" w:cs="Palatino"/>
          <w:i/>
        </w:rPr>
        <w:t>coordinación</w:t>
      </w:r>
      <w:proofErr w:type="spellEnd"/>
      <w:r w:rsidRPr="00121977">
        <w:rPr>
          <w:rFonts w:ascii="Palatino" w:eastAsia="Palatino" w:hAnsi="Palatino" w:cs="Palatino"/>
          <w:i/>
        </w:rPr>
        <w:t xml:space="preserve"> con las distintas instituciones educativas, para apoyar a las unidades administrativas de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en el desarrollo de sus actividades. </w:t>
      </w:r>
    </w:p>
    <w:p w14:paraId="64BD43CB"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Recibir el programa de </w:t>
      </w:r>
      <w:proofErr w:type="spellStart"/>
      <w:r w:rsidRPr="00121977">
        <w:rPr>
          <w:rFonts w:ascii="Palatino" w:eastAsia="Palatino" w:hAnsi="Palatino" w:cs="Palatino"/>
          <w:i/>
        </w:rPr>
        <w:t>capacitación</w:t>
      </w:r>
      <w:proofErr w:type="spellEnd"/>
      <w:r w:rsidRPr="00121977">
        <w:rPr>
          <w:rFonts w:ascii="Palatino" w:eastAsia="Palatino" w:hAnsi="Palatino" w:cs="Palatino"/>
          <w:i/>
        </w:rPr>
        <w:t xml:space="preserve"> emitido por el Instituto de </w:t>
      </w:r>
      <w:proofErr w:type="spellStart"/>
      <w:r w:rsidRPr="00121977">
        <w:rPr>
          <w:rFonts w:ascii="Palatino" w:eastAsia="Palatino" w:hAnsi="Palatino" w:cs="Palatino"/>
          <w:i/>
        </w:rPr>
        <w:t>Profesionalización</w:t>
      </w:r>
      <w:proofErr w:type="spellEnd"/>
      <w:r w:rsidRPr="00121977">
        <w:rPr>
          <w:rFonts w:ascii="Palatino" w:eastAsia="Palatino" w:hAnsi="Palatino" w:cs="Palatino"/>
          <w:i/>
        </w:rPr>
        <w:t xml:space="preserve"> de los Servidores </w:t>
      </w:r>
      <w:proofErr w:type="spellStart"/>
      <w:r w:rsidRPr="00121977">
        <w:rPr>
          <w:rFonts w:ascii="Palatino" w:eastAsia="Palatino" w:hAnsi="Palatino" w:cs="Palatino"/>
          <w:i/>
        </w:rPr>
        <w:t>Públicos</w:t>
      </w:r>
      <w:proofErr w:type="spellEnd"/>
      <w:r w:rsidRPr="00121977">
        <w:rPr>
          <w:rFonts w:ascii="Palatino" w:eastAsia="Palatino" w:hAnsi="Palatino" w:cs="Palatino"/>
          <w:i/>
        </w:rPr>
        <w:t xml:space="preserve"> del Poder Ejecutivo del Gobierno del Estado de </w:t>
      </w:r>
      <w:proofErr w:type="spellStart"/>
      <w:r w:rsidRPr="00121977">
        <w:rPr>
          <w:rFonts w:ascii="Palatino" w:eastAsia="Palatino" w:hAnsi="Palatino" w:cs="Palatino"/>
          <w:i/>
        </w:rPr>
        <w:t>México</w:t>
      </w:r>
      <w:proofErr w:type="spellEnd"/>
      <w:r w:rsidRPr="00121977">
        <w:rPr>
          <w:rFonts w:ascii="Palatino" w:eastAsia="Palatino" w:hAnsi="Palatino" w:cs="Palatino"/>
          <w:i/>
        </w:rPr>
        <w:t xml:space="preserve">, para darlo a conocer a las unidades administrativas en </w:t>
      </w:r>
      <w:proofErr w:type="spellStart"/>
      <w:r w:rsidRPr="00121977">
        <w:rPr>
          <w:rFonts w:ascii="Palatino" w:eastAsia="Palatino" w:hAnsi="Palatino" w:cs="Palatino"/>
          <w:i/>
        </w:rPr>
        <w:t>coordinación</w:t>
      </w:r>
      <w:proofErr w:type="spellEnd"/>
      <w:r w:rsidRPr="00121977">
        <w:rPr>
          <w:rFonts w:ascii="Palatino" w:eastAsia="Palatino" w:hAnsi="Palatino" w:cs="Palatino"/>
          <w:i/>
        </w:rPr>
        <w:t xml:space="preserve"> con las delegaciones administrativas. </w:t>
      </w:r>
    </w:p>
    <w:p w14:paraId="4BDEA367"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Difundir, aplicar y evaluar, a </w:t>
      </w:r>
      <w:proofErr w:type="spellStart"/>
      <w:r w:rsidRPr="00121977">
        <w:rPr>
          <w:rFonts w:ascii="Palatino" w:eastAsia="Palatino" w:hAnsi="Palatino" w:cs="Palatino"/>
          <w:i/>
        </w:rPr>
        <w:t>través</w:t>
      </w:r>
      <w:proofErr w:type="spellEnd"/>
      <w:r w:rsidRPr="00121977">
        <w:rPr>
          <w:rFonts w:ascii="Palatino" w:eastAsia="Palatino" w:hAnsi="Palatino" w:cs="Palatino"/>
          <w:i/>
        </w:rPr>
        <w:t xml:space="preserve"> de </w:t>
      </w:r>
      <w:proofErr w:type="spellStart"/>
      <w:r w:rsidRPr="00121977">
        <w:rPr>
          <w:rFonts w:ascii="Palatino" w:eastAsia="Palatino" w:hAnsi="Palatino" w:cs="Palatino"/>
          <w:i/>
        </w:rPr>
        <w:t>cédulas</w:t>
      </w:r>
      <w:proofErr w:type="spellEnd"/>
      <w:r w:rsidRPr="00121977">
        <w:rPr>
          <w:rFonts w:ascii="Palatino" w:eastAsia="Palatino" w:hAnsi="Palatino" w:cs="Palatino"/>
          <w:i/>
        </w:rPr>
        <w:t xml:space="preserve"> de </w:t>
      </w:r>
      <w:proofErr w:type="spellStart"/>
      <w:r w:rsidRPr="00121977">
        <w:rPr>
          <w:rFonts w:ascii="Palatino" w:eastAsia="Palatino" w:hAnsi="Palatino" w:cs="Palatino"/>
          <w:i/>
        </w:rPr>
        <w:t>evaluación</w:t>
      </w:r>
      <w:proofErr w:type="spellEnd"/>
      <w:r w:rsidRPr="00121977">
        <w:rPr>
          <w:rFonts w:ascii="Palatino" w:eastAsia="Palatino" w:hAnsi="Palatino" w:cs="Palatino"/>
          <w:i/>
        </w:rPr>
        <w:t xml:space="preserve"> del </w:t>
      </w:r>
      <w:proofErr w:type="spellStart"/>
      <w:r w:rsidRPr="00121977">
        <w:rPr>
          <w:rFonts w:ascii="Palatino" w:eastAsia="Palatino" w:hAnsi="Palatino" w:cs="Palatino"/>
          <w:i/>
        </w:rPr>
        <w:t>desempeño</w:t>
      </w:r>
      <w:proofErr w:type="spellEnd"/>
      <w:r w:rsidRPr="00121977">
        <w:rPr>
          <w:rFonts w:ascii="Palatino" w:eastAsia="Palatino" w:hAnsi="Palatino" w:cs="Palatino"/>
          <w:i/>
        </w:rPr>
        <w:t xml:space="preserve">, a las personas servidoras </w:t>
      </w:r>
      <w:proofErr w:type="spellStart"/>
      <w:r w:rsidRPr="00121977">
        <w:rPr>
          <w:rFonts w:ascii="Palatino" w:eastAsia="Palatino" w:hAnsi="Palatino" w:cs="Palatino"/>
          <w:i/>
        </w:rPr>
        <w:t>públicas</w:t>
      </w:r>
      <w:proofErr w:type="spellEnd"/>
      <w:r w:rsidRPr="00121977">
        <w:rPr>
          <w:rFonts w:ascii="Palatino" w:eastAsia="Palatino" w:hAnsi="Palatino" w:cs="Palatino"/>
          <w:i/>
        </w:rPr>
        <w:t xml:space="preserve"> operativas para la </w:t>
      </w:r>
      <w:proofErr w:type="spellStart"/>
      <w:r w:rsidRPr="00121977">
        <w:rPr>
          <w:rFonts w:ascii="Palatino" w:eastAsia="Palatino" w:hAnsi="Palatino" w:cs="Palatino"/>
          <w:i/>
        </w:rPr>
        <w:t>cuantificación</w:t>
      </w:r>
      <w:proofErr w:type="spellEnd"/>
      <w:r w:rsidRPr="00121977">
        <w:rPr>
          <w:rFonts w:ascii="Palatino" w:eastAsia="Palatino" w:hAnsi="Palatino" w:cs="Palatino"/>
          <w:i/>
        </w:rPr>
        <w:t xml:space="preserve"> del puntaje en el proceso de </w:t>
      </w:r>
      <w:proofErr w:type="spellStart"/>
      <w:r w:rsidRPr="00121977">
        <w:rPr>
          <w:rFonts w:ascii="Palatino" w:eastAsia="Palatino" w:hAnsi="Palatino" w:cs="Palatino"/>
          <w:i/>
        </w:rPr>
        <w:t>escalafón</w:t>
      </w:r>
      <w:proofErr w:type="spellEnd"/>
      <w:r w:rsidRPr="00121977">
        <w:rPr>
          <w:rFonts w:ascii="Palatino" w:eastAsia="Palatino" w:hAnsi="Palatino" w:cs="Palatino"/>
          <w:i/>
        </w:rPr>
        <w:t xml:space="preserve">, en </w:t>
      </w:r>
      <w:proofErr w:type="spellStart"/>
      <w:r w:rsidRPr="00121977">
        <w:rPr>
          <w:rFonts w:ascii="Palatino" w:eastAsia="Palatino" w:hAnsi="Palatino" w:cs="Palatino"/>
          <w:i/>
        </w:rPr>
        <w:t>coordinación</w:t>
      </w:r>
      <w:proofErr w:type="spellEnd"/>
      <w:r w:rsidRPr="00121977">
        <w:rPr>
          <w:rFonts w:ascii="Palatino" w:eastAsia="Palatino" w:hAnsi="Palatino" w:cs="Palatino"/>
          <w:i/>
        </w:rPr>
        <w:t xml:space="preserve"> con las delegaciones administrativas. </w:t>
      </w:r>
    </w:p>
    <w:p w14:paraId="372F8C65" w14:textId="77777777" w:rsidR="00FF4724" w:rsidRPr="00121977" w:rsidRDefault="008E2E73">
      <w:pPr>
        <w:numPr>
          <w:ilvl w:val="0"/>
          <w:numId w:val="3"/>
        </w:numPr>
        <w:pBdr>
          <w:top w:val="nil"/>
          <w:left w:val="nil"/>
          <w:bottom w:val="nil"/>
          <w:right w:val="nil"/>
          <w:between w:val="nil"/>
        </w:pBdr>
        <w:spacing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Fomentar y coordinar, con el apoyo de las delegaciones administrativas, la </w:t>
      </w:r>
      <w:proofErr w:type="spellStart"/>
      <w:r w:rsidRPr="00121977">
        <w:rPr>
          <w:rFonts w:ascii="Palatino" w:eastAsia="Palatino" w:hAnsi="Palatino" w:cs="Palatino"/>
          <w:i/>
        </w:rPr>
        <w:t>implementación</w:t>
      </w:r>
      <w:proofErr w:type="spellEnd"/>
      <w:r w:rsidRPr="00121977">
        <w:rPr>
          <w:rFonts w:ascii="Palatino" w:eastAsia="Palatino" w:hAnsi="Palatino" w:cs="Palatino"/>
          <w:i/>
        </w:rPr>
        <w:t xml:space="preserve"> de programas en materia de cultura, deporte, salud y </w:t>
      </w:r>
      <w:proofErr w:type="spellStart"/>
      <w:r w:rsidRPr="00121977">
        <w:rPr>
          <w:rFonts w:ascii="Palatino" w:eastAsia="Palatino" w:hAnsi="Palatino" w:cs="Palatino"/>
          <w:i/>
        </w:rPr>
        <w:t>recreación</w:t>
      </w:r>
      <w:proofErr w:type="spellEnd"/>
      <w:r w:rsidRPr="00121977">
        <w:rPr>
          <w:rFonts w:ascii="Palatino" w:eastAsia="Palatino" w:hAnsi="Palatino" w:cs="Palatino"/>
          <w:i/>
        </w:rPr>
        <w:t xml:space="preserve">, dirigidos al personal de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y, en su caso, para sus familiares, a </w:t>
      </w:r>
      <w:proofErr w:type="spellStart"/>
      <w:r w:rsidRPr="00121977">
        <w:rPr>
          <w:rFonts w:ascii="Palatino" w:eastAsia="Palatino" w:hAnsi="Palatino" w:cs="Palatino"/>
          <w:i/>
        </w:rPr>
        <w:t>través</w:t>
      </w:r>
      <w:proofErr w:type="spellEnd"/>
      <w:r w:rsidRPr="00121977">
        <w:rPr>
          <w:rFonts w:ascii="Palatino" w:eastAsia="Palatino" w:hAnsi="Palatino" w:cs="Palatino"/>
          <w:i/>
        </w:rPr>
        <w:t xml:space="preserve"> de acuerdos y convenios directos o los que establezca la </w:t>
      </w:r>
      <w:proofErr w:type="spellStart"/>
      <w:r w:rsidRPr="00121977">
        <w:rPr>
          <w:rFonts w:ascii="Palatino" w:eastAsia="Palatino" w:hAnsi="Palatino" w:cs="Palatino"/>
          <w:i/>
        </w:rPr>
        <w:t>Secretaría</w:t>
      </w:r>
      <w:proofErr w:type="spellEnd"/>
      <w:r w:rsidRPr="00121977">
        <w:rPr>
          <w:rFonts w:ascii="Palatino" w:eastAsia="Palatino" w:hAnsi="Palatino" w:cs="Palatino"/>
          <w:i/>
        </w:rPr>
        <w:t xml:space="preserve"> de Finanzas. </w:t>
      </w:r>
    </w:p>
    <w:p w14:paraId="3629E0B3" w14:textId="77777777" w:rsidR="00FF4724" w:rsidRPr="00121977" w:rsidRDefault="008E2E73">
      <w:pPr>
        <w:numPr>
          <w:ilvl w:val="0"/>
          <w:numId w:val="3"/>
        </w:numPr>
        <w:pBdr>
          <w:top w:val="nil"/>
          <w:left w:val="nil"/>
          <w:bottom w:val="nil"/>
          <w:right w:val="nil"/>
          <w:between w:val="nil"/>
        </w:pBdr>
        <w:spacing w:after="0"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Llevar a cabo, conforme a las </w:t>
      </w:r>
      <w:proofErr w:type="spellStart"/>
      <w:r w:rsidRPr="00121977">
        <w:rPr>
          <w:rFonts w:ascii="Palatino" w:eastAsia="Palatino" w:hAnsi="Palatino" w:cs="Palatino"/>
          <w:i/>
        </w:rPr>
        <w:t>políticas</w:t>
      </w:r>
      <w:proofErr w:type="spellEnd"/>
      <w:r w:rsidRPr="00121977">
        <w:rPr>
          <w:rFonts w:ascii="Palatino" w:eastAsia="Palatino" w:hAnsi="Palatino" w:cs="Palatino"/>
          <w:i/>
        </w:rPr>
        <w:t xml:space="preserve"> internas, el proceso de </w:t>
      </w:r>
      <w:proofErr w:type="spellStart"/>
      <w:r w:rsidRPr="00121977">
        <w:rPr>
          <w:rFonts w:ascii="Palatino" w:eastAsia="Palatino" w:hAnsi="Palatino" w:cs="Palatino"/>
          <w:i/>
        </w:rPr>
        <w:t>inducción</w:t>
      </w:r>
      <w:proofErr w:type="spellEnd"/>
      <w:r w:rsidRPr="00121977">
        <w:rPr>
          <w:rFonts w:ascii="Palatino" w:eastAsia="Palatino" w:hAnsi="Palatino" w:cs="Palatino"/>
          <w:i/>
        </w:rPr>
        <w:t xml:space="preserve"> del personal de nuevo ingreso. </w:t>
      </w:r>
    </w:p>
    <w:p w14:paraId="7F9DFCFA" w14:textId="77777777" w:rsidR="00FF4724" w:rsidRPr="00121977" w:rsidRDefault="008E2E73">
      <w:pPr>
        <w:numPr>
          <w:ilvl w:val="0"/>
          <w:numId w:val="3"/>
        </w:numPr>
        <w:pBdr>
          <w:top w:val="nil"/>
          <w:left w:val="nil"/>
          <w:bottom w:val="nil"/>
          <w:right w:val="nil"/>
          <w:between w:val="nil"/>
        </w:pBdr>
        <w:spacing w:after="0" w:line="240" w:lineRule="auto"/>
        <w:ind w:left="567" w:right="560" w:firstLine="0"/>
        <w:jc w:val="both"/>
        <w:rPr>
          <w:rFonts w:ascii="Palatino" w:eastAsia="Palatino" w:hAnsi="Palatino" w:cs="Palatino"/>
          <w:i/>
        </w:rPr>
      </w:pPr>
      <w:r w:rsidRPr="00121977">
        <w:rPr>
          <w:rFonts w:ascii="Palatino" w:eastAsia="Palatino" w:hAnsi="Palatino" w:cs="Palatino"/>
          <w:i/>
        </w:rPr>
        <w:t xml:space="preserve">−  Desarrollar las </w:t>
      </w:r>
      <w:proofErr w:type="spellStart"/>
      <w:r w:rsidRPr="00121977">
        <w:rPr>
          <w:rFonts w:ascii="Palatino" w:eastAsia="Palatino" w:hAnsi="Palatino" w:cs="Palatino"/>
          <w:i/>
        </w:rPr>
        <w:t>demás</w:t>
      </w:r>
      <w:proofErr w:type="spellEnd"/>
      <w:r w:rsidRPr="00121977">
        <w:rPr>
          <w:rFonts w:ascii="Palatino" w:eastAsia="Palatino" w:hAnsi="Palatino" w:cs="Palatino"/>
          <w:i/>
        </w:rPr>
        <w:t xml:space="preserve"> funciones inherentes al </w:t>
      </w:r>
      <w:proofErr w:type="spellStart"/>
      <w:r w:rsidRPr="00121977">
        <w:rPr>
          <w:rFonts w:ascii="Palatino" w:eastAsia="Palatino" w:hAnsi="Palatino" w:cs="Palatino"/>
          <w:i/>
        </w:rPr>
        <w:t>área</w:t>
      </w:r>
      <w:proofErr w:type="spellEnd"/>
      <w:r w:rsidRPr="00121977">
        <w:rPr>
          <w:rFonts w:ascii="Palatino" w:eastAsia="Palatino" w:hAnsi="Palatino" w:cs="Palatino"/>
          <w:i/>
        </w:rPr>
        <w:t xml:space="preserve"> de su competencia.</w:t>
      </w:r>
    </w:p>
    <w:p w14:paraId="6AFF0DBC" w14:textId="77777777" w:rsidR="00FF4724" w:rsidRPr="00121977" w:rsidRDefault="00FF4724">
      <w:pPr>
        <w:pBdr>
          <w:top w:val="nil"/>
          <w:left w:val="nil"/>
          <w:bottom w:val="nil"/>
          <w:right w:val="nil"/>
          <w:between w:val="nil"/>
        </w:pBdr>
        <w:spacing w:after="0" w:line="360" w:lineRule="auto"/>
        <w:ind w:left="567" w:right="560"/>
        <w:jc w:val="both"/>
        <w:rPr>
          <w:rFonts w:ascii="Palatino" w:eastAsia="Palatino" w:hAnsi="Palatino" w:cs="Palatino"/>
          <w:i/>
          <w:sz w:val="24"/>
          <w:szCs w:val="24"/>
        </w:rPr>
      </w:pPr>
    </w:p>
    <w:p w14:paraId="55BEDC82" w14:textId="77777777" w:rsidR="00FF4724" w:rsidRPr="00121977" w:rsidRDefault="008E2E73">
      <w:pPr>
        <w:spacing w:after="0" w:line="360" w:lineRule="auto"/>
        <w:ind w:right="49"/>
        <w:jc w:val="both"/>
        <w:rPr>
          <w:rFonts w:ascii="Palatino Linotype" w:eastAsia="Palatino Linotype" w:hAnsi="Palatino Linotype" w:cs="Palatino Linotype"/>
          <w:b/>
          <w:sz w:val="24"/>
          <w:szCs w:val="24"/>
        </w:rPr>
      </w:pPr>
      <w:r w:rsidRPr="00121977">
        <w:rPr>
          <w:rFonts w:ascii="Palatino Linotype" w:eastAsia="Palatino Linotype" w:hAnsi="Palatino Linotype" w:cs="Palatino Linotype"/>
          <w:sz w:val="24"/>
          <w:szCs w:val="24"/>
        </w:rPr>
        <w:t xml:space="preserve">De lo anterior, se colige que la información solicitada por la parte Recurrente constituye obligaciones de transparencia que deben ser acatadas por el Sujeto Obligado, aunado a que, se advierte que el Sujeto Obligado cuenta con facultades, competencia y funciones para generar, administrar y poseer la información solicitada, pues a través de su Departamento de Personal conoce, controla y supervisa los movimientos administrativos de los servidores públicos que se encuentran adscritos a dicha dependencia, mantiene actualizada la plantilla del personal y el directorio respectivo, así como, </w:t>
      </w:r>
      <w:r w:rsidRPr="00121977">
        <w:rPr>
          <w:rFonts w:ascii="Palatino Linotype" w:eastAsia="Palatino Linotype" w:hAnsi="Palatino Linotype" w:cs="Palatino Linotype"/>
          <w:b/>
          <w:sz w:val="24"/>
          <w:szCs w:val="24"/>
        </w:rPr>
        <w:t xml:space="preserve">integra los expedientes de los servidores públicos, asimismo conoce de las altas y bajas de personal.  </w:t>
      </w:r>
    </w:p>
    <w:p w14:paraId="161E40C5"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21A77B5E"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Ahora bien, en atención a los agravios hechos valer por la parte Solicitante, relacionados con la entrega de información incompleta, debido a que no se le </w:t>
      </w:r>
      <w:r w:rsidRPr="00121977">
        <w:rPr>
          <w:rFonts w:ascii="Palatino Linotype" w:eastAsia="Palatino Linotype" w:hAnsi="Palatino Linotype" w:cs="Palatino Linotype"/>
          <w:sz w:val="24"/>
          <w:szCs w:val="24"/>
        </w:rPr>
        <w:lastRenderedPageBreak/>
        <w:t>proporcionó la información solicitada del periodo 2017-2022; es de recordar que el Sujeto Obligado tanto en respuesta como en informe justificado, mencionó que no contaba con un sistema informático diseñado para guardar información o historial acerca de las personas servidores públicos del 2017-2022, sino que únicamente tiene información actualizada en las plantillas de bases de datos del personal, sin embargo, resulta necesario reiterar que la información solicitada se encuentra relacionada con obligaciones de transparencia, por lo que, es información que de manera obligatoria debe ser entregada a los particulares, aunado a esto, la Ley de Transparencia y Acceso a la Información del Estado de México y Municipios fue publicada el cuatro de mayo de dos mil dieciséis y entró en vigencia al día siguiente de su publicación, por lo que, los Sujetos Obligados a partir de esa fecha, debían acatar lo establecido como obligaciones de transparencia, prueba de ello, lo es el Portal de Información de Oficio Mexiquense, el cual cuenta con registros del Sujeto Obligado del periodo comprendido del 2015-2017 y 2018-2023, como se observa a continuación:</w:t>
      </w:r>
    </w:p>
    <w:p w14:paraId="313488A9"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476B881F"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noProof/>
          <w:sz w:val="24"/>
          <w:szCs w:val="24"/>
          <w:lang w:eastAsia="es-MX"/>
        </w:rPr>
        <w:drawing>
          <wp:inline distT="0" distB="0" distL="0" distR="0" wp14:anchorId="783FD948" wp14:editId="447FA2F5">
            <wp:extent cx="5756275" cy="1368425"/>
            <wp:effectExtent l="0" t="0" r="0" b="0"/>
            <wp:docPr id="14489867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56275" cy="1368425"/>
                    </a:xfrm>
                    <a:prstGeom prst="rect">
                      <a:avLst/>
                    </a:prstGeom>
                    <a:ln/>
                  </pic:spPr>
                </pic:pic>
              </a:graphicData>
            </a:graphic>
          </wp:inline>
        </w:drawing>
      </w:r>
    </w:p>
    <w:p w14:paraId="0351E71B"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781BA21D"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noProof/>
          <w:sz w:val="24"/>
          <w:szCs w:val="24"/>
          <w:lang w:eastAsia="es-MX"/>
        </w:rPr>
        <w:lastRenderedPageBreak/>
        <w:drawing>
          <wp:inline distT="0" distB="0" distL="0" distR="0" wp14:anchorId="6F9B57F5" wp14:editId="358A52BB">
            <wp:extent cx="5756275" cy="1163320"/>
            <wp:effectExtent l="0" t="0" r="0" b="0"/>
            <wp:docPr id="14489867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56275" cy="1163320"/>
                    </a:xfrm>
                    <a:prstGeom prst="rect">
                      <a:avLst/>
                    </a:prstGeom>
                    <a:ln/>
                  </pic:spPr>
                </pic:pic>
              </a:graphicData>
            </a:graphic>
          </wp:inline>
        </w:drawing>
      </w:r>
    </w:p>
    <w:p w14:paraId="5727324A" w14:textId="77777777" w:rsidR="00FF4724" w:rsidRPr="00121977" w:rsidRDefault="00FF4724">
      <w:pPr>
        <w:spacing w:after="0" w:line="360" w:lineRule="auto"/>
        <w:ind w:right="49"/>
        <w:jc w:val="center"/>
        <w:rPr>
          <w:rFonts w:ascii="Palatino Linotype" w:eastAsia="Palatino Linotype" w:hAnsi="Palatino Linotype" w:cs="Palatino Linotype"/>
          <w:sz w:val="24"/>
          <w:szCs w:val="24"/>
        </w:rPr>
      </w:pPr>
    </w:p>
    <w:p w14:paraId="15C1261D"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Aunado a lo anterior, no está por demás mencionar que, bajo los principios de auxilio y orientación, el Sujeto Obligado no se encuentra impedido en realizar un documento </w:t>
      </w:r>
      <w:r w:rsidRPr="00121977">
        <w:rPr>
          <w:rFonts w:ascii="Palatino Linotype" w:eastAsia="Palatino Linotype" w:hAnsi="Palatino Linotype" w:cs="Palatino Linotype"/>
          <w:i/>
          <w:sz w:val="24"/>
          <w:szCs w:val="24"/>
        </w:rPr>
        <w:t>ad hoc</w:t>
      </w:r>
      <w:r w:rsidRPr="00121977">
        <w:rPr>
          <w:rFonts w:ascii="Palatino Linotype" w:eastAsia="Palatino Linotype" w:hAnsi="Palatino Linotype" w:cs="Palatino Linotype"/>
          <w:sz w:val="24"/>
          <w:szCs w:val="24"/>
        </w:rPr>
        <w:t xml:space="preserve"> para dar cabal cumplimiento al derecho de acceso a la información del particular aún y </w:t>
      </w:r>
      <w:r w:rsidRPr="00121977">
        <w:rPr>
          <w:rFonts w:ascii="Palatino Linotype" w:eastAsia="Palatino Linotype" w:hAnsi="Palatino Linotype" w:cs="Palatino Linotype"/>
          <w:b/>
          <w:sz w:val="24"/>
          <w:szCs w:val="24"/>
        </w:rPr>
        <w:t>cuando no es una obligación de las autoridades</w:t>
      </w:r>
      <w:r w:rsidRPr="00121977">
        <w:rPr>
          <w:rFonts w:ascii="Palatino Linotype" w:eastAsia="Palatino Linotype" w:hAnsi="Palatino Linotype" w:cs="Palatino Linotype"/>
          <w:sz w:val="24"/>
          <w:szCs w:val="24"/>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Pr="00121977">
        <w:rPr>
          <w:rFonts w:ascii="Palatino Linotype" w:eastAsia="Palatino Linotype" w:hAnsi="Palatino Linotype" w:cs="Palatino Linotype"/>
          <w:b/>
          <w:sz w:val="24"/>
          <w:szCs w:val="24"/>
        </w:rPr>
        <w:t xml:space="preserve"> </w:t>
      </w:r>
    </w:p>
    <w:p w14:paraId="2DDFE939"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202FC83" w14:textId="77777777" w:rsidR="00FF4724" w:rsidRPr="00121977" w:rsidRDefault="008E2E73">
      <w:pPr>
        <w:spacing w:after="0"/>
        <w:ind w:left="426" w:right="560"/>
        <w:jc w:val="both"/>
        <w:rPr>
          <w:rFonts w:ascii="Palatino Linotype" w:eastAsia="Palatino Linotype" w:hAnsi="Palatino Linotype" w:cs="Palatino Linotype"/>
          <w:i/>
        </w:rPr>
      </w:pPr>
      <w:r w:rsidRPr="00121977">
        <w:rPr>
          <w:rFonts w:ascii="Palatino Linotype" w:eastAsia="Palatino Linotype" w:hAnsi="Palatino Linotype" w:cs="Palatino Linotype"/>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79DE809" w14:textId="77777777" w:rsidR="00FF4724" w:rsidRPr="00121977" w:rsidRDefault="00FF472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FDB6ED3" w14:textId="77777777" w:rsidR="00FF4724" w:rsidRPr="00121977" w:rsidRDefault="008E2E7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De igual manera el artículo 12 de la </w:t>
      </w:r>
      <w:r w:rsidRPr="00121977">
        <w:rPr>
          <w:rFonts w:ascii="Palatino Linotype" w:eastAsia="Palatino Linotype" w:hAnsi="Palatino Linotype" w:cs="Palatino Linotype"/>
          <w:b/>
          <w:sz w:val="24"/>
          <w:szCs w:val="24"/>
        </w:rPr>
        <w:t>Ley de Transparencia y Acceso a la Información Pública del Estado de México y Municipios</w:t>
      </w:r>
      <w:r w:rsidRPr="00121977">
        <w:rPr>
          <w:rFonts w:ascii="Palatino Linotype" w:eastAsia="Palatino Linotype" w:hAnsi="Palatino Linotype" w:cs="Palatino Linotype"/>
          <w:sz w:val="24"/>
          <w:szCs w:val="24"/>
        </w:rPr>
        <w:t xml:space="preserve"> señala que la obligación de proporcionar información </w:t>
      </w:r>
      <w:r w:rsidRPr="00121977">
        <w:rPr>
          <w:rFonts w:ascii="Palatino Linotype" w:eastAsia="Palatino Linotype" w:hAnsi="Palatino Linotype" w:cs="Palatino Linotype"/>
          <w:b/>
          <w:sz w:val="24"/>
          <w:szCs w:val="24"/>
        </w:rPr>
        <w:t>no comprende</w:t>
      </w:r>
      <w:r w:rsidRPr="00121977">
        <w:rPr>
          <w:rFonts w:ascii="Palatino Linotype" w:eastAsia="Palatino Linotype" w:hAnsi="Palatino Linotype" w:cs="Palatino Linotype"/>
          <w:sz w:val="24"/>
          <w:szCs w:val="24"/>
        </w:rPr>
        <w:t xml:space="preserve"> el procesamiento de la misma:</w:t>
      </w:r>
    </w:p>
    <w:p w14:paraId="70375F0E" w14:textId="77777777" w:rsidR="00FF4724" w:rsidRPr="00121977" w:rsidRDefault="00FF472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7468417" w14:textId="77777777" w:rsidR="00FF4724" w:rsidRPr="00121977" w:rsidRDefault="008E2E73">
      <w:pPr>
        <w:pBdr>
          <w:top w:val="nil"/>
          <w:left w:val="nil"/>
          <w:bottom w:val="nil"/>
          <w:right w:val="nil"/>
          <w:between w:val="nil"/>
        </w:pBdr>
        <w:spacing w:after="0"/>
        <w:ind w:left="567" w:right="567"/>
        <w:jc w:val="both"/>
        <w:rPr>
          <w:rFonts w:ascii="Palatino Linotype" w:eastAsia="Palatino Linotype" w:hAnsi="Palatino Linotype" w:cs="Palatino Linotype"/>
          <w:i/>
        </w:rPr>
      </w:pPr>
      <w:r w:rsidRPr="00121977">
        <w:rPr>
          <w:rFonts w:ascii="Palatino Linotype" w:eastAsia="Palatino Linotype" w:hAnsi="Palatino Linotype" w:cs="Palatino Linotype"/>
          <w:b/>
          <w:i/>
        </w:rPr>
        <w:lastRenderedPageBreak/>
        <w:t xml:space="preserve">Artículo 12. </w:t>
      </w:r>
      <w:r w:rsidRPr="00121977">
        <w:rPr>
          <w:rFonts w:ascii="Palatino Linotype" w:eastAsia="Palatino Linotype" w:hAnsi="Palatino Linotype" w:cs="Palatino Linotype"/>
          <w:i/>
        </w:rPr>
        <w:t>Quienes generen, recopilen, administren, manejen, procesen, archiven o conserven información pública serán responsables de la misma en los términos de las disposiciones jurídicas aplicables.</w:t>
      </w:r>
    </w:p>
    <w:p w14:paraId="07461E55" w14:textId="77777777" w:rsidR="00FF4724" w:rsidRPr="00121977" w:rsidRDefault="00FF4724">
      <w:pPr>
        <w:pBdr>
          <w:top w:val="nil"/>
          <w:left w:val="nil"/>
          <w:bottom w:val="nil"/>
          <w:right w:val="nil"/>
          <w:between w:val="nil"/>
        </w:pBdr>
        <w:spacing w:after="0"/>
        <w:ind w:left="567" w:right="567"/>
        <w:jc w:val="both"/>
        <w:rPr>
          <w:rFonts w:ascii="Palatino Linotype" w:eastAsia="Palatino Linotype" w:hAnsi="Palatino Linotype" w:cs="Palatino Linotype"/>
          <w:i/>
        </w:rPr>
      </w:pPr>
    </w:p>
    <w:p w14:paraId="28064A4B" w14:textId="77777777" w:rsidR="00FF4724" w:rsidRPr="00121977" w:rsidRDefault="008E2E73">
      <w:pPr>
        <w:pBdr>
          <w:top w:val="nil"/>
          <w:left w:val="nil"/>
          <w:bottom w:val="nil"/>
          <w:right w:val="nil"/>
          <w:between w:val="nil"/>
        </w:pBdr>
        <w:spacing w:after="0"/>
        <w:ind w:left="567" w:right="567"/>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Los sujetos obligados </w:t>
      </w:r>
      <w:r w:rsidRPr="00121977">
        <w:rPr>
          <w:rFonts w:ascii="Palatino Linotype" w:eastAsia="Palatino Linotype" w:hAnsi="Palatino Linotype" w:cs="Palatino Linotype"/>
          <w:b/>
          <w:i/>
        </w:rPr>
        <w:t>sólo proporcionarán la información pública que se les requiera y que obre en sus archivos</w:t>
      </w:r>
      <w:r w:rsidRPr="00121977">
        <w:rPr>
          <w:rFonts w:ascii="Palatino Linotype" w:eastAsia="Palatino Linotype" w:hAnsi="Palatino Linotype" w:cs="Palatino Linotype"/>
          <w:i/>
        </w:rPr>
        <w:t xml:space="preserve"> </w:t>
      </w:r>
      <w:r w:rsidRPr="00121977">
        <w:rPr>
          <w:rFonts w:ascii="Palatino Linotype" w:eastAsia="Palatino Linotype" w:hAnsi="Palatino Linotype" w:cs="Palatino Linotype"/>
          <w:b/>
          <w:i/>
        </w:rPr>
        <w:t xml:space="preserve">y en el </w:t>
      </w:r>
      <w:r w:rsidRPr="00121977">
        <w:rPr>
          <w:rFonts w:ascii="Palatino Linotype" w:eastAsia="Palatino Linotype" w:hAnsi="Palatino Linotype" w:cs="Palatino Linotype"/>
          <w:b/>
          <w:i/>
          <w:u w:val="single"/>
        </w:rPr>
        <w:t>estado en que ésta se encuentre.</w:t>
      </w:r>
      <w:r w:rsidRPr="00121977">
        <w:rPr>
          <w:rFonts w:ascii="Palatino Linotype" w:eastAsia="Palatino Linotype" w:hAnsi="Palatino Linotype" w:cs="Palatino Linotype"/>
          <w:i/>
        </w:rPr>
        <w:t xml:space="preserve"> La obligación de proporcionar información </w:t>
      </w:r>
      <w:r w:rsidRPr="00121977">
        <w:rPr>
          <w:rFonts w:ascii="Palatino Linotype" w:eastAsia="Palatino Linotype" w:hAnsi="Palatino Linotype" w:cs="Palatino Linotype"/>
          <w:b/>
          <w:i/>
        </w:rPr>
        <w:t>no comprende</w:t>
      </w:r>
      <w:r w:rsidRPr="00121977">
        <w:rPr>
          <w:rFonts w:ascii="Palatino Linotype" w:eastAsia="Palatino Linotype" w:hAnsi="Palatino Linotype" w:cs="Palatino Linotype"/>
          <w:i/>
        </w:rPr>
        <w:t xml:space="preserve"> el procesamiento de la misma, ni el presentarla conforme al interés del solicitante; no estarán obligados a generarla, resumirla, efectuar cálculos o práctica investigaciones.</w:t>
      </w:r>
    </w:p>
    <w:p w14:paraId="145CE78E"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4B2BF0ED" w14:textId="77777777" w:rsidR="00FF4724" w:rsidRPr="00121977" w:rsidRDefault="008E2E7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Entonces, dado a que el criterio en mención establece que las autoridades </w:t>
      </w:r>
      <w:r w:rsidRPr="00121977">
        <w:rPr>
          <w:rFonts w:ascii="Palatino Linotype" w:eastAsia="Palatino Linotype" w:hAnsi="Palatino Linotype" w:cs="Palatino Linotype"/>
          <w:b/>
          <w:sz w:val="24"/>
          <w:szCs w:val="24"/>
        </w:rPr>
        <w:t xml:space="preserve">no están obligadas a generar documentos </w:t>
      </w:r>
      <w:r w:rsidRPr="00121977">
        <w:rPr>
          <w:rFonts w:ascii="Palatino Linotype" w:eastAsia="Palatino Linotype" w:hAnsi="Palatino Linotype" w:cs="Palatino Linotype"/>
          <w:b/>
          <w:i/>
          <w:sz w:val="24"/>
          <w:szCs w:val="24"/>
        </w:rPr>
        <w:t>“ad hoc”</w:t>
      </w:r>
      <w:r w:rsidRPr="00121977">
        <w:rPr>
          <w:rFonts w:ascii="Palatino Linotype" w:eastAsia="Palatino Linotype" w:hAnsi="Palatino Linotype" w:cs="Palatino Linotype"/>
          <w:b/>
          <w:sz w:val="24"/>
          <w:szCs w:val="24"/>
        </w:rPr>
        <w:t xml:space="preserve"> </w:t>
      </w:r>
      <w:r w:rsidRPr="00121977">
        <w:rPr>
          <w:rFonts w:ascii="Palatino Linotype" w:eastAsia="Palatino Linotype" w:hAnsi="Palatino Linotype" w:cs="Palatino Linotype"/>
          <w:sz w:val="24"/>
          <w:szCs w:val="24"/>
        </w:rPr>
        <w:t xml:space="preserve">en contrario sensu, dicho criterio se puede interpretar resultando que las autoridades no están impedidas a generar documentos </w:t>
      </w:r>
      <w:r w:rsidRPr="00121977">
        <w:rPr>
          <w:rFonts w:ascii="Palatino Linotype" w:eastAsia="Palatino Linotype" w:hAnsi="Palatino Linotype" w:cs="Palatino Linotype"/>
          <w:i/>
          <w:sz w:val="24"/>
          <w:szCs w:val="24"/>
        </w:rPr>
        <w:t>“ad hoc”,</w:t>
      </w:r>
      <w:r w:rsidRPr="00121977">
        <w:rPr>
          <w:rFonts w:ascii="Palatino Linotype" w:eastAsia="Palatino Linotype" w:hAnsi="Palatino Linotype" w:cs="Palatino Linotype"/>
          <w:sz w:val="24"/>
          <w:szCs w:val="24"/>
        </w:rPr>
        <w:t xml:space="preserve"> esto, siempre que con dicho documento elaborado se dé cabal cumplimiento a los requerimientos planteados, como lo que aconteció para la entrega de información del año dos mil veintitrés, por lo que, la Secretaría de la Contraloría puede generar un documento para dar cumplimiento del requerimiento de información del periodo comprendido del dos mil diecisiete al dos mil veintidós. </w:t>
      </w:r>
    </w:p>
    <w:p w14:paraId="6FC692BB"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2FF7F995"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bookmarkStart w:id="2" w:name="_heading=h.3znysh7" w:colFirst="0" w:colLast="0"/>
      <w:bookmarkEnd w:id="2"/>
      <w:r w:rsidRPr="00121977">
        <w:rPr>
          <w:rFonts w:ascii="Palatino Linotype" w:eastAsia="Palatino Linotype" w:hAnsi="Palatino Linotype" w:cs="Palatino Linotype"/>
          <w:sz w:val="24"/>
          <w:szCs w:val="24"/>
        </w:rPr>
        <w:t xml:space="preserve">Por ello, se colige que, los agravios hechos valer en el medio de impugnación devienen </w:t>
      </w:r>
      <w:r w:rsidRPr="00121977">
        <w:rPr>
          <w:rFonts w:ascii="Palatino Linotype" w:eastAsia="Palatino Linotype" w:hAnsi="Palatino Linotype" w:cs="Palatino Linotype"/>
          <w:b/>
          <w:sz w:val="24"/>
          <w:szCs w:val="24"/>
        </w:rPr>
        <w:t xml:space="preserve">FUNDADOS, </w:t>
      </w:r>
      <w:r w:rsidRPr="00121977">
        <w:rPr>
          <w:rFonts w:ascii="Palatino Linotype" w:eastAsia="Palatino Linotype" w:hAnsi="Palatino Linotype" w:cs="Palatino Linotype"/>
          <w:sz w:val="24"/>
          <w:szCs w:val="24"/>
        </w:rPr>
        <w:t xml:space="preserve">por lo que, resulta procedente </w:t>
      </w:r>
      <w:r w:rsidRPr="00121977">
        <w:rPr>
          <w:rFonts w:ascii="Palatino Linotype" w:eastAsia="Palatino Linotype" w:hAnsi="Palatino Linotype" w:cs="Palatino Linotype"/>
          <w:b/>
          <w:sz w:val="24"/>
          <w:szCs w:val="24"/>
        </w:rPr>
        <w:t xml:space="preserve">MODIFICAR </w:t>
      </w:r>
      <w:r w:rsidRPr="00121977">
        <w:rPr>
          <w:rFonts w:ascii="Palatino Linotype" w:eastAsia="Palatino Linotype" w:hAnsi="Palatino Linotype" w:cs="Palatino Linotype"/>
          <w:sz w:val="24"/>
          <w:szCs w:val="24"/>
        </w:rPr>
        <w:t xml:space="preserve">la respuesta proporcionada por la Secretaría de la Contraloría, a fin de que realice una nueva búsqueda exhaustiva y razonable con la finalidad de que proporcione la siguiente información: </w:t>
      </w:r>
    </w:p>
    <w:p w14:paraId="572EA776"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3DB4E02" w14:textId="77777777" w:rsidR="00FF4724" w:rsidRPr="00121977" w:rsidRDefault="008E2E73">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lastRenderedPageBreak/>
        <w:t xml:space="preserve">Documentos que dan cuenta del sexo, nivel académico y el cargo de los servidores públicos que ostentan mandos medios y superiores del dieciséis de septiembre de dos mil diecisiete al treinta y uno de diciembre de dos mil veintidós. </w:t>
      </w:r>
    </w:p>
    <w:p w14:paraId="7F4C6B07"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1B2F69C" w14:textId="77777777" w:rsidR="00FF4724" w:rsidRPr="00121977" w:rsidRDefault="008E2E73">
      <w:pPr>
        <w:pBdr>
          <w:top w:val="nil"/>
          <w:left w:val="nil"/>
          <w:bottom w:val="nil"/>
          <w:right w:val="nil"/>
          <w:between w:val="nil"/>
        </w:pBdr>
        <w:tabs>
          <w:tab w:val="left" w:pos="993"/>
        </w:tabs>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De ser el caso,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9AB9D4F" w14:textId="77777777" w:rsidR="00FF4724" w:rsidRPr="00121977" w:rsidRDefault="00FF4724">
      <w:pPr>
        <w:pBdr>
          <w:top w:val="nil"/>
          <w:left w:val="nil"/>
          <w:bottom w:val="nil"/>
          <w:right w:val="nil"/>
          <w:between w:val="nil"/>
        </w:pBdr>
        <w:tabs>
          <w:tab w:val="left" w:pos="993"/>
        </w:tabs>
        <w:ind w:left="567" w:right="616"/>
        <w:jc w:val="both"/>
        <w:rPr>
          <w:rFonts w:ascii="Palatino Linotype" w:eastAsia="Palatino Linotype" w:hAnsi="Palatino Linotype" w:cs="Palatino Linotype"/>
          <w:i/>
        </w:rPr>
      </w:pPr>
    </w:p>
    <w:p w14:paraId="07BEA2FD"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Quinto. Versión Pública</w:t>
      </w:r>
      <w:r w:rsidRPr="00121977">
        <w:rPr>
          <w:rFonts w:ascii="Palatino Linotype" w:eastAsia="Palatino Linotype" w:hAnsi="Palatino Linotype" w:cs="Palatino Linotype"/>
          <w:sz w:val="24"/>
          <w:szCs w:val="24"/>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377F7BBC"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30BA9B23" w14:textId="77777777" w:rsidR="00FF4724" w:rsidRPr="00121977" w:rsidRDefault="008E2E73">
      <w:pPr>
        <w:spacing w:line="360" w:lineRule="auto"/>
        <w:ind w:right="5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Lo anterior, de conformidad con lo que señalan los artículos 3 fracciones IX, XX, XXI y XLV, 91, 132 fracciones II y III, y 143 de la Ley de Transparencia y Acceso a la Información Pública del Estado de México y Municipios que establecen:</w:t>
      </w:r>
    </w:p>
    <w:p w14:paraId="01DE5E44"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r w:rsidRPr="00121977">
        <w:rPr>
          <w:rFonts w:ascii="Palatino Linotype" w:eastAsia="Palatino Linotype" w:hAnsi="Palatino Linotype" w:cs="Palatino Linotype"/>
          <w:b/>
          <w:i/>
        </w:rPr>
        <w:t>Artículo 3.</w:t>
      </w:r>
      <w:r w:rsidRPr="00121977">
        <w:rPr>
          <w:rFonts w:ascii="Palatino Linotype" w:eastAsia="Palatino Linotype" w:hAnsi="Palatino Linotype" w:cs="Palatino Linotype"/>
          <w:i/>
        </w:rPr>
        <w:t xml:space="preserve"> Para los efectos de la presente Ley se entenderá por:</w:t>
      </w:r>
    </w:p>
    <w:p w14:paraId="4AD3144B"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lastRenderedPageBreak/>
        <w:t>[…]</w:t>
      </w:r>
    </w:p>
    <w:p w14:paraId="1EBE66EE"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97F6F3D"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XX. Información clasificada: Aquella considerada por la presente Ley como reservada o confidencial;</w:t>
      </w:r>
    </w:p>
    <w:p w14:paraId="78DB222A"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9BAAF81"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59EBA048"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3F70E1BE"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Artículo 91.</w:t>
      </w:r>
      <w:r w:rsidRPr="00121977">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68910BF7"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Artículo 132.</w:t>
      </w:r>
      <w:r w:rsidRPr="00121977">
        <w:rPr>
          <w:rFonts w:ascii="Palatino Linotype" w:eastAsia="Palatino Linotype" w:hAnsi="Palatino Linotype" w:cs="Palatino Linotype"/>
          <w:i/>
        </w:rPr>
        <w:t xml:space="preserve"> La clasificación de la información se llevará a cabo en el momento en que:</w:t>
      </w:r>
    </w:p>
    <w:p w14:paraId="1F84E9AF" w14:textId="77777777" w:rsidR="00FF4724" w:rsidRPr="00121977" w:rsidRDefault="008E2E73">
      <w:pPr>
        <w:tabs>
          <w:tab w:val="left" w:pos="1134"/>
        </w:tabs>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 Se reciba una solicitud de acceso a la información;</w:t>
      </w:r>
    </w:p>
    <w:p w14:paraId="4905A814" w14:textId="77777777" w:rsidR="00FF4724" w:rsidRPr="00121977" w:rsidRDefault="008E2E73">
      <w:pPr>
        <w:tabs>
          <w:tab w:val="left" w:pos="1134"/>
        </w:tabs>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II. Se determine mediante resolución de autoridad competente; o</w:t>
      </w:r>
    </w:p>
    <w:p w14:paraId="790DE85F" w14:textId="77777777" w:rsidR="00FF4724" w:rsidRPr="00121977" w:rsidRDefault="008E2E73">
      <w:pPr>
        <w:tabs>
          <w:tab w:val="left" w:pos="1134"/>
        </w:tabs>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III. Se generen versiones públicas para dar cumplimiento a las obligaciones de transparencia previstas en esta Ley.</w:t>
      </w:r>
    </w:p>
    <w:p w14:paraId="25986DF0"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63BE598A"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Artículo 143</w:t>
      </w:r>
      <w:r w:rsidRPr="0012197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87DFCAB"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3452F76D"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6DEAD920"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5989A3B"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A61C225"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361D0D3" w14:textId="77777777" w:rsidR="00FF4724" w:rsidRPr="00121977" w:rsidRDefault="00FF4724">
      <w:pPr>
        <w:spacing w:line="360" w:lineRule="auto"/>
        <w:ind w:left="567" w:right="616"/>
        <w:jc w:val="both"/>
        <w:rPr>
          <w:rFonts w:ascii="Palatino Linotype" w:eastAsia="Palatino Linotype" w:hAnsi="Palatino Linotype" w:cs="Palatino Linotype"/>
          <w:i/>
        </w:rPr>
      </w:pPr>
    </w:p>
    <w:p w14:paraId="5A94D7C9"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B272F82" w14:textId="77777777" w:rsidR="00FF4724" w:rsidRPr="00121977" w:rsidRDefault="00FF4724">
      <w:pPr>
        <w:spacing w:after="0" w:line="360" w:lineRule="auto"/>
        <w:jc w:val="both"/>
        <w:rPr>
          <w:rFonts w:ascii="Palatino Linotype" w:eastAsia="Palatino Linotype" w:hAnsi="Palatino Linotype" w:cs="Palatino Linotype"/>
        </w:rPr>
      </w:pPr>
    </w:p>
    <w:p w14:paraId="495660DF"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11CF3244" w14:textId="77777777" w:rsidR="00FF4724" w:rsidRPr="00121977" w:rsidRDefault="00FF4724">
      <w:pPr>
        <w:spacing w:line="360" w:lineRule="auto"/>
        <w:jc w:val="both"/>
        <w:rPr>
          <w:rFonts w:ascii="Palatino Linotype" w:eastAsia="Palatino Linotype" w:hAnsi="Palatino Linotype" w:cs="Palatino Linotype"/>
        </w:rPr>
      </w:pPr>
    </w:p>
    <w:p w14:paraId="54C819B8"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 “</w:t>
      </w:r>
      <w:r w:rsidRPr="00121977">
        <w:rPr>
          <w:rFonts w:ascii="Palatino Linotype" w:eastAsia="Palatino Linotype" w:hAnsi="Palatino Linotype" w:cs="Palatino Linotype"/>
          <w:b/>
          <w:i/>
        </w:rPr>
        <w:t>Quincuagésimo</w:t>
      </w:r>
      <w:r w:rsidRPr="00121977">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B8F7878"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Quincuagésimo primero.</w:t>
      </w:r>
      <w:r w:rsidRPr="00121977">
        <w:rPr>
          <w:rFonts w:ascii="Palatino Linotype" w:eastAsia="Palatino Linotype" w:hAnsi="Palatino Linotype" w:cs="Palatino Linotype"/>
          <w:i/>
        </w:rPr>
        <w:t xml:space="preserve"> Toda acta del Comité de Transparencia deberá contener: </w:t>
      </w:r>
    </w:p>
    <w:p w14:paraId="6A0D5827"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 El número de sesión y fecha; </w:t>
      </w:r>
    </w:p>
    <w:p w14:paraId="1CFBB1BA"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II. El nombre del área que solicitó la clasificación de información; </w:t>
      </w:r>
    </w:p>
    <w:p w14:paraId="7EDDF313"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III. La fundamentación legal y motivación correspondiente; </w:t>
      </w:r>
    </w:p>
    <w:p w14:paraId="23C31D2F"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IV. La resolución o resoluciones aprobadas; y </w:t>
      </w:r>
    </w:p>
    <w:p w14:paraId="0F436287"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V. La rúbrica o firma digital de cada integrante del Comité de Transparencia. </w:t>
      </w:r>
    </w:p>
    <w:p w14:paraId="27278F57"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33B2BC38"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 Los motivos y razonamientos que sustenten la confirmación o modificación de la prueba de daño;</w:t>
      </w:r>
    </w:p>
    <w:p w14:paraId="6AEB9259"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II. Descripción de las partes o secciones reservadas, en caso de clasificación parcial; </w:t>
      </w:r>
    </w:p>
    <w:p w14:paraId="6A5A50A6"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III. El periodo por el que mantendrá su clasificación y fecha de expiración; y </w:t>
      </w:r>
    </w:p>
    <w:p w14:paraId="25D4D4EF"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IV. El nombre del titular y área encargada de realizar la versión pública del documento, en su caso. </w:t>
      </w:r>
    </w:p>
    <w:p w14:paraId="70F9AC7D"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55B252E"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4AE339A"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lastRenderedPageBreak/>
        <w:t>Quincuagésimo segundo.</w:t>
      </w:r>
      <w:r w:rsidRPr="00121977">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9FE3EEA"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9C051AE"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 Fijar la fecha en que se elaboró la versión pública y la fecha en la cual el Comité de Transparencia confirmó dicha versión;</w:t>
      </w:r>
    </w:p>
    <w:p w14:paraId="020A3C4F"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DB849BC"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III. Señalar las personas o instancias autorizadas a acceder a la información clasificada.</w:t>
      </w:r>
    </w:p>
    <w:p w14:paraId="01F1A37E"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E19DC5C" w14:textId="77777777" w:rsidR="00FF4724" w:rsidRPr="00121977" w:rsidRDefault="00FF4724">
      <w:pPr>
        <w:ind w:left="567" w:right="616"/>
        <w:jc w:val="both"/>
        <w:rPr>
          <w:rFonts w:ascii="Palatino Linotype" w:eastAsia="Palatino Linotype" w:hAnsi="Palatino Linotype" w:cs="Palatino Linotype"/>
          <w:i/>
        </w:rPr>
      </w:pPr>
    </w:p>
    <w:p w14:paraId="3127891F" w14:textId="77777777" w:rsidR="00FF4724" w:rsidRPr="00121977" w:rsidRDefault="008E2E73">
      <w:pPr>
        <w:spacing w:after="0" w:line="360" w:lineRule="auto"/>
        <w:ind w:right="50"/>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Asimismo, se deberá observar el Lineamiento Quincuagésimo tercero de los Lineamientos Generales en Materia de Clasificación y Desclasificación de la Información </w:t>
      </w:r>
      <w:proofErr w:type="spellStart"/>
      <w:r w:rsidRPr="00121977">
        <w:rPr>
          <w:rFonts w:ascii="Palatino Linotype" w:eastAsia="Palatino Linotype" w:hAnsi="Palatino Linotype" w:cs="Palatino Linotype"/>
          <w:sz w:val="24"/>
          <w:szCs w:val="24"/>
        </w:rPr>
        <w:t>supraindicados</w:t>
      </w:r>
      <w:proofErr w:type="spellEnd"/>
      <w:r w:rsidRPr="00121977">
        <w:rPr>
          <w:rFonts w:ascii="Palatino Linotype" w:eastAsia="Palatino Linotype" w:hAnsi="Palatino Linotype" w:cs="Palatino Linotype"/>
          <w:sz w:val="24"/>
          <w:szCs w:val="24"/>
        </w:rPr>
        <w:t xml:space="preserve"> el cual establece los formatos para la clasificación de los documentos, conforme a lo siguiente: </w:t>
      </w:r>
    </w:p>
    <w:p w14:paraId="54C4309E" w14:textId="77777777" w:rsidR="00FF4724" w:rsidRPr="00121977" w:rsidRDefault="008E2E73">
      <w:pPr>
        <w:ind w:left="851" w:right="900"/>
        <w:jc w:val="center"/>
        <w:rPr>
          <w:rFonts w:ascii="Palatino Linotype" w:eastAsia="Palatino Linotype" w:hAnsi="Palatino Linotype" w:cs="Palatino Linotype"/>
          <w:b/>
          <w:i/>
        </w:rPr>
      </w:pPr>
      <w:r w:rsidRPr="00121977">
        <w:rPr>
          <w:rFonts w:ascii="Palatino Linotype" w:eastAsia="Palatino Linotype" w:hAnsi="Palatino Linotype" w:cs="Palatino Linotype"/>
          <w:b/>
          <w:i/>
        </w:rPr>
        <w:t>CAPÍTULO VIII</w:t>
      </w:r>
    </w:p>
    <w:p w14:paraId="058A0CBF" w14:textId="77777777" w:rsidR="00FF4724" w:rsidRPr="00121977" w:rsidRDefault="008E2E73">
      <w:pPr>
        <w:ind w:left="851" w:right="900"/>
        <w:jc w:val="center"/>
        <w:rPr>
          <w:rFonts w:ascii="Palatino Linotype" w:eastAsia="Palatino Linotype" w:hAnsi="Palatino Linotype" w:cs="Palatino Linotype"/>
          <w:b/>
          <w:i/>
        </w:rPr>
      </w:pPr>
      <w:r w:rsidRPr="00121977">
        <w:rPr>
          <w:rFonts w:ascii="Palatino Linotype" w:eastAsia="Palatino Linotype" w:hAnsi="Palatino Linotype" w:cs="Palatino Linotype"/>
          <w:b/>
          <w:i/>
        </w:rPr>
        <w:t xml:space="preserve">DE LOS ELEMENTOS PARA LA CLASIFICACIÓN </w:t>
      </w:r>
    </w:p>
    <w:p w14:paraId="1C17ABB8" w14:textId="77777777" w:rsidR="00FF4724" w:rsidRPr="00121977" w:rsidRDefault="008E2E73">
      <w:pPr>
        <w:ind w:left="851" w:right="902"/>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Quincuagésimo tercero. </w:t>
      </w:r>
      <w:r w:rsidRPr="00121977">
        <w:rPr>
          <w:rFonts w:ascii="Palatino Linotype" w:eastAsia="Palatino Linotype" w:hAnsi="Palatino Linotype" w:cs="Palatino Linotype"/>
          <w:i/>
          <w:u w:val="single"/>
        </w:rPr>
        <w:t>El formato para señalar la clasificación de un documento o expediente que contenga información reservada</w:t>
      </w:r>
      <w:r w:rsidRPr="00121977">
        <w:rPr>
          <w:rFonts w:ascii="Palatino Linotype" w:eastAsia="Palatino Linotype" w:hAnsi="Palatino Linotype" w:cs="Palatino Linotype"/>
          <w:i/>
        </w:rPr>
        <w:t xml:space="preserve">, es el siguiente: </w:t>
      </w:r>
    </w:p>
    <w:p w14:paraId="53236B63" w14:textId="77777777" w:rsidR="00FF4724" w:rsidRPr="00121977" w:rsidRDefault="00FF4724">
      <w:pPr>
        <w:ind w:left="851" w:right="902"/>
        <w:jc w:val="both"/>
        <w:rPr>
          <w:rFonts w:ascii="Palatino Linotype" w:eastAsia="Palatino Linotype" w:hAnsi="Palatino Linotype" w:cs="Palatino Linotype"/>
          <w:i/>
        </w:rPr>
      </w:pPr>
    </w:p>
    <w:tbl>
      <w:tblPr>
        <w:tblStyle w:val="a"/>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121977" w:rsidRPr="00121977" w14:paraId="5A222988" w14:textId="77777777">
        <w:trPr>
          <w:trHeight w:val="262"/>
          <w:jc w:val="center"/>
        </w:trPr>
        <w:tc>
          <w:tcPr>
            <w:tcW w:w="1271" w:type="dxa"/>
            <w:tcBorders>
              <w:top w:val="nil"/>
              <w:left w:val="nil"/>
            </w:tcBorders>
          </w:tcPr>
          <w:p w14:paraId="10DBA1FD" w14:textId="77777777" w:rsidR="00FF4724" w:rsidRPr="00121977" w:rsidRDefault="00FF4724">
            <w:pPr>
              <w:rPr>
                <w:rFonts w:ascii="Palatino Linotype" w:eastAsia="Palatino Linotype" w:hAnsi="Palatino Linotype" w:cs="Palatino Linotype"/>
                <w:sz w:val="20"/>
                <w:szCs w:val="20"/>
              </w:rPr>
            </w:pPr>
          </w:p>
        </w:tc>
        <w:tc>
          <w:tcPr>
            <w:tcW w:w="2693" w:type="dxa"/>
            <w:shd w:val="clear" w:color="auto" w:fill="D9D9D9"/>
          </w:tcPr>
          <w:p w14:paraId="54E22566" w14:textId="77777777" w:rsidR="00FF4724" w:rsidRPr="00121977" w:rsidRDefault="008E2E73">
            <w:pPr>
              <w:tabs>
                <w:tab w:val="center" w:pos="1238"/>
                <w:tab w:val="right" w:pos="2477"/>
              </w:tabs>
              <w:rPr>
                <w:rFonts w:ascii="Palatino Linotype" w:eastAsia="Palatino Linotype" w:hAnsi="Palatino Linotype" w:cs="Palatino Linotype"/>
                <w:b/>
                <w:sz w:val="20"/>
                <w:szCs w:val="20"/>
              </w:rPr>
            </w:pPr>
            <w:r w:rsidRPr="00121977">
              <w:rPr>
                <w:rFonts w:ascii="Palatino Linotype" w:eastAsia="Palatino Linotype" w:hAnsi="Palatino Linotype" w:cs="Palatino Linotype"/>
                <w:b/>
                <w:sz w:val="20"/>
                <w:szCs w:val="20"/>
              </w:rPr>
              <w:tab/>
              <w:t>Concepto</w:t>
            </w:r>
            <w:r w:rsidRPr="00121977">
              <w:rPr>
                <w:rFonts w:ascii="Palatino Linotype" w:eastAsia="Palatino Linotype" w:hAnsi="Palatino Linotype" w:cs="Palatino Linotype"/>
                <w:b/>
                <w:sz w:val="20"/>
                <w:szCs w:val="20"/>
              </w:rPr>
              <w:tab/>
            </w:r>
          </w:p>
        </w:tc>
        <w:tc>
          <w:tcPr>
            <w:tcW w:w="3691" w:type="dxa"/>
            <w:shd w:val="clear" w:color="auto" w:fill="D9D9D9"/>
          </w:tcPr>
          <w:p w14:paraId="02C1A6A1" w14:textId="77777777" w:rsidR="00FF4724" w:rsidRPr="00121977" w:rsidRDefault="008E2E73">
            <w:pPr>
              <w:jc w:val="center"/>
              <w:rPr>
                <w:rFonts w:ascii="Palatino Linotype" w:eastAsia="Palatino Linotype" w:hAnsi="Palatino Linotype" w:cs="Palatino Linotype"/>
                <w:b/>
                <w:sz w:val="20"/>
                <w:szCs w:val="20"/>
              </w:rPr>
            </w:pPr>
            <w:r w:rsidRPr="00121977">
              <w:rPr>
                <w:rFonts w:ascii="Palatino Linotype" w:eastAsia="Palatino Linotype" w:hAnsi="Palatino Linotype" w:cs="Palatino Linotype"/>
                <w:b/>
                <w:sz w:val="20"/>
                <w:szCs w:val="20"/>
              </w:rPr>
              <w:t>Dónde</w:t>
            </w:r>
          </w:p>
        </w:tc>
      </w:tr>
      <w:tr w:rsidR="00121977" w:rsidRPr="00121977" w14:paraId="6B56CCC6" w14:textId="77777777">
        <w:trPr>
          <w:jc w:val="center"/>
        </w:trPr>
        <w:tc>
          <w:tcPr>
            <w:tcW w:w="1271" w:type="dxa"/>
            <w:vMerge w:val="restart"/>
            <w:shd w:val="clear" w:color="auto" w:fill="D9D9D9"/>
          </w:tcPr>
          <w:p w14:paraId="6BA02557" w14:textId="77777777" w:rsidR="00FF4724" w:rsidRPr="00121977" w:rsidRDefault="00FF4724">
            <w:pPr>
              <w:jc w:val="both"/>
              <w:rPr>
                <w:rFonts w:ascii="Palatino Linotype" w:eastAsia="Palatino Linotype" w:hAnsi="Palatino Linotype" w:cs="Palatino Linotype"/>
                <w:b/>
                <w:sz w:val="20"/>
                <w:szCs w:val="20"/>
              </w:rPr>
            </w:pPr>
          </w:p>
          <w:p w14:paraId="79C570C4" w14:textId="77777777" w:rsidR="00FF4724" w:rsidRPr="00121977" w:rsidRDefault="00FF4724">
            <w:pPr>
              <w:jc w:val="both"/>
              <w:rPr>
                <w:rFonts w:ascii="Palatino Linotype" w:eastAsia="Palatino Linotype" w:hAnsi="Palatino Linotype" w:cs="Palatino Linotype"/>
                <w:b/>
                <w:sz w:val="20"/>
                <w:szCs w:val="20"/>
              </w:rPr>
            </w:pPr>
          </w:p>
          <w:p w14:paraId="2683FA47" w14:textId="77777777" w:rsidR="00FF4724" w:rsidRPr="00121977" w:rsidRDefault="00FF4724">
            <w:pPr>
              <w:jc w:val="both"/>
              <w:rPr>
                <w:rFonts w:ascii="Palatino Linotype" w:eastAsia="Palatino Linotype" w:hAnsi="Palatino Linotype" w:cs="Palatino Linotype"/>
                <w:b/>
                <w:sz w:val="20"/>
                <w:szCs w:val="20"/>
              </w:rPr>
            </w:pPr>
          </w:p>
          <w:p w14:paraId="30253F00" w14:textId="77777777" w:rsidR="00FF4724" w:rsidRPr="00121977" w:rsidRDefault="00FF4724">
            <w:pPr>
              <w:jc w:val="both"/>
              <w:rPr>
                <w:rFonts w:ascii="Palatino Linotype" w:eastAsia="Palatino Linotype" w:hAnsi="Palatino Linotype" w:cs="Palatino Linotype"/>
                <w:b/>
                <w:sz w:val="20"/>
                <w:szCs w:val="20"/>
              </w:rPr>
            </w:pPr>
          </w:p>
          <w:p w14:paraId="1FEEA83C" w14:textId="77777777" w:rsidR="00FF4724" w:rsidRPr="00121977" w:rsidRDefault="00FF4724">
            <w:pPr>
              <w:jc w:val="both"/>
              <w:rPr>
                <w:rFonts w:ascii="Palatino Linotype" w:eastAsia="Palatino Linotype" w:hAnsi="Palatino Linotype" w:cs="Palatino Linotype"/>
                <w:b/>
                <w:sz w:val="20"/>
                <w:szCs w:val="20"/>
              </w:rPr>
            </w:pPr>
          </w:p>
          <w:p w14:paraId="21B8D958" w14:textId="77777777" w:rsidR="00FF4724" w:rsidRPr="00121977" w:rsidRDefault="00FF4724">
            <w:pPr>
              <w:jc w:val="both"/>
              <w:rPr>
                <w:rFonts w:ascii="Palatino Linotype" w:eastAsia="Palatino Linotype" w:hAnsi="Palatino Linotype" w:cs="Palatino Linotype"/>
                <w:b/>
                <w:sz w:val="20"/>
                <w:szCs w:val="20"/>
              </w:rPr>
            </w:pPr>
          </w:p>
          <w:p w14:paraId="4B76CCC0" w14:textId="77777777" w:rsidR="00FF4724" w:rsidRPr="00121977" w:rsidRDefault="008E2E73">
            <w:pPr>
              <w:jc w:val="both"/>
              <w:rPr>
                <w:rFonts w:ascii="Palatino Linotype" w:eastAsia="Palatino Linotype" w:hAnsi="Palatino Linotype" w:cs="Palatino Linotype"/>
                <w:b/>
                <w:sz w:val="20"/>
                <w:szCs w:val="20"/>
              </w:rPr>
            </w:pPr>
            <w:r w:rsidRPr="00121977">
              <w:rPr>
                <w:rFonts w:ascii="Palatino Linotype" w:eastAsia="Palatino Linotype" w:hAnsi="Palatino Linotype" w:cs="Palatino Linotype"/>
                <w:b/>
                <w:sz w:val="20"/>
                <w:szCs w:val="20"/>
              </w:rPr>
              <w:t xml:space="preserve">Sello oficial o logotipo del sujeto obligado </w:t>
            </w:r>
          </w:p>
        </w:tc>
        <w:tc>
          <w:tcPr>
            <w:tcW w:w="2693" w:type="dxa"/>
          </w:tcPr>
          <w:p w14:paraId="2799BC0A"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Fecha de clasificación</w:t>
            </w:r>
          </w:p>
        </w:tc>
        <w:tc>
          <w:tcPr>
            <w:tcW w:w="3691" w:type="dxa"/>
          </w:tcPr>
          <w:p w14:paraId="4FCFA0C0"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121977" w:rsidRPr="00121977" w14:paraId="7AC03E91" w14:textId="77777777">
        <w:trPr>
          <w:jc w:val="center"/>
        </w:trPr>
        <w:tc>
          <w:tcPr>
            <w:tcW w:w="1271" w:type="dxa"/>
            <w:vMerge/>
            <w:shd w:val="clear" w:color="auto" w:fill="D9D9D9"/>
          </w:tcPr>
          <w:p w14:paraId="7BFABEC3" w14:textId="77777777" w:rsidR="00FF4724" w:rsidRPr="00121977" w:rsidRDefault="00FF4724">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5D754256"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Área </w:t>
            </w:r>
          </w:p>
        </w:tc>
        <w:tc>
          <w:tcPr>
            <w:tcW w:w="3691" w:type="dxa"/>
          </w:tcPr>
          <w:p w14:paraId="767ED50D"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Se señalará el nombre del área del cual es titular quien clasifica. </w:t>
            </w:r>
          </w:p>
        </w:tc>
      </w:tr>
      <w:tr w:rsidR="00121977" w:rsidRPr="00121977" w14:paraId="790C7451" w14:textId="77777777">
        <w:trPr>
          <w:jc w:val="center"/>
        </w:trPr>
        <w:tc>
          <w:tcPr>
            <w:tcW w:w="1271" w:type="dxa"/>
            <w:vMerge/>
            <w:shd w:val="clear" w:color="auto" w:fill="D9D9D9"/>
          </w:tcPr>
          <w:p w14:paraId="3C2D41C7" w14:textId="77777777" w:rsidR="00FF4724" w:rsidRPr="00121977" w:rsidRDefault="00FF4724">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2F4147EF"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Información Reservada</w:t>
            </w:r>
          </w:p>
        </w:tc>
        <w:tc>
          <w:tcPr>
            <w:tcW w:w="3691" w:type="dxa"/>
          </w:tcPr>
          <w:p w14:paraId="76717117"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121977" w:rsidRPr="00121977" w14:paraId="2B926423" w14:textId="77777777">
        <w:trPr>
          <w:jc w:val="center"/>
        </w:trPr>
        <w:tc>
          <w:tcPr>
            <w:tcW w:w="1271" w:type="dxa"/>
            <w:vMerge/>
            <w:shd w:val="clear" w:color="auto" w:fill="D9D9D9"/>
          </w:tcPr>
          <w:p w14:paraId="6DD73618" w14:textId="77777777" w:rsidR="00FF4724" w:rsidRPr="00121977" w:rsidRDefault="00FF4724">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74431B7F"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Periodo de Reserva </w:t>
            </w:r>
          </w:p>
        </w:tc>
        <w:tc>
          <w:tcPr>
            <w:tcW w:w="3691" w:type="dxa"/>
          </w:tcPr>
          <w:p w14:paraId="4D82BCD0"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121977" w:rsidRPr="00121977" w14:paraId="12FB870A" w14:textId="77777777">
        <w:trPr>
          <w:jc w:val="center"/>
        </w:trPr>
        <w:tc>
          <w:tcPr>
            <w:tcW w:w="1271" w:type="dxa"/>
            <w:vMerge/>
            <w:shd w:val="clear" w:color="auto" w:fill="D9D9D9"/>
          </w:tcPr>
          <w:p w14:paraId="2A184DC3" w14:textId="77777777" w:rsidR="00FF4724" w:rsidRPr="00121977" w:rsidRDefault="00FF4724">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016BEA6A"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Fundamento legal</w:t>
            </w:r>
          </w:p>
        </w:tc>
        <w:tc>
          <w:tcPr>
            <w:tcW w:w="3691" w:type="dxa"/>
          </w:tcPr>
          <w:p w14:paraId="240C9D4E"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121977" w:rsidRPr="00121977" w14:paraId="1489CEB9" w14:textId="77777777">
        <w:trPr>
          <w:jc w:val="center"/>
        </w:trPr>
        <w:tc>
          <w:tcPr>
            <w:tcW w:w="1271" w:type="dxa"/>
            <w:vMerge/>
            <w:shd w:val="clear" w:color="auto" w:fill="D9D9D9"/>
          </w:tcPr>
          <w:p w14:paraId="56785779" w14:textId="77777777" w:rsidR="00FF4724" w:rsidRPr="00121977" w:rsidRDefault="00FF4724">
            <w:pPr>
              <w:widowControl w:val="0"/>
              <w:pBdr>
                <w:top w:val="nil"/>
                <w:left w:val="nil"/>
                <w:bottom w:val="nil"/>
                <w:right w:val="nil"/>
                <w:between w:val="nil"/>
              </w:pBdr>
              <w:rPr>
                <w:rFonts w:ascii="Palatino Linotype" w:eastAsia="Palatino Linotype" w:hAnsi="Palatino Linotype" w:cs="Palatino Linotype"/>
                <w:sz w:val="20"/>
                <w:szCs w:val="20"/>
              </w:rPr>
            </w:pPr>
          </w:p>
        </w:tc>
        <w:tc>
          <w:tcPr>
            <w:tcW w:w="2693" w:type="dxa"/>
          </w:tcPr>
          <w:p w14:paraId="61C08E11"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Ampliación del periodo de reserva</w:t>
            </w:r>
          </w:p>
        </w:tc>
        <w:tc>
          <w:tcPr>
            <w:tcW w:w="3691" w:type="dxa"/>
          </w:tcPr>
          <w:p w14:paraId="331700E3"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121977" w:rsidRPr="00121977" w14:paraId="26D458F3" w14:textId="77777777">
        <w:trPr>
          <w:jc w:val="center"/>
        </w:trPr>
        <w:tc>
          <w:tcPr>
            <w:tcW w:w="3964" w:type="dxa"/>
            <w:gridSpan w:val="2"/>
            <w:shd w:val="clear" w:color="auto" w:fill="D9D9D9"/>
          </w:tcPr>
          <w:p w14:paraId="05CC42E9"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Rúbrica del titular del área</w:t>
            </w:r>
          </w:p>
        </w:tc>
        <w:tc>
          <w:tcPr>
            <w:tcW w:w="3691" w:type="dxa"/>
            <w:shd w:val="clear" w:color="auto" w:fill="D9D9D9"/>
          </w:tcPr>
          <w:p w14:paraId="082FA4DD"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Rúbrica autógrafa o firma digital de quien clasifica. </w:t>
            </w:r>
          </w:p>
        </w:tc>
      </w:tr>
      <w:tr w:rsidR="00121977" w:rsidRPr="00121977" w14:paraId="5792FDBC" w14:textId="77777777">
        <w:trPr>
          <w:jc w:val="center"/>
        </w:trPr>
        <w:tc>
          <w:tcPr>
            <w:tcW w:w="3964" w:type="dxa"/>
            <w:gridSpan w:val="2"/>
            <w:shd w:val="clear" w:color="auto" w:fill="D9D9D9"/>
          </w:tcPr>
          <w:p w14:paraId="3B6531A1"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342DAEAD"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Se anotará la fecha en que se desclasifica el documento. </w:t>
            </w:r>
          </w:p>
        </w:tc>
      </w:tr>
      <w:tr w:rsidR="00121977" w:rsidRPr="00121977" w14:paraId="14B20DE1" w14:textId="77777777">
        <w:trPr>
          <w:jc w:val="center"/>
        </w:trPr>
        <w:tc>
          <w:tcPr>
            <w:tcW w:w="3964" w:type="dxa"/>
            <w:gridSpan w:val="2"/>
            <w:shd w:val="clear" w:color="auto" w:fill="D9D9D9"/>
          </w:tcPr>
          <w:p w14:paraId="3D1CFBCD" w14:textId="77777777" w:rsidR="00FF4724" w:rsidRPr="00121977" w:rsidRDefault="008E2E73">
            <w:pPr>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1BF4AD88" w14:textId="77777777" w:rsidR="00FF4724" w:rsidRPr="00121977" w:rsidRDefault="008E2E73">
            <w:pPr>
              <w:jc w:val="both"/>
              <w:rPr>
                <w:rFonts w:ascii="Palatino Linotype" w:eastAsia="Palatino Linotype" w:hAnsi="Palatino Linotype" w:cs="Palatino Linotype"/>
                <w:sz w:val="20"/>
                <w:szCs w:val="20"/>
              </w:rPr>
            </w:pPr>
            <w:r w:rsidRPr="00121977">
              <w:rPr>
                <w:rFonts w:ascii="Palatino Linotype" w:eastAsia="Palatino Linotype" w:hAnsi="Palatino Linotype" w:cs="Palatino Linotype"/>
                <w:sz w:val="20"/>
                <w:szCs w:val="20"/>
              </w:rPr>
              <w:t xml:space="preserve">Rúbrica autógrafa o firma digital de quien desclasifica. </w:t>
            </w:r>
          </w:p>
        </w:tc>
      </w:tr>
    </w:tbl>
    <w:p w14:paraId="0DCB318E" w14:textId="77777777" w:rsidR="00FF4724" w:rsidRPr="00121977" w:rsidRDefault="00FF4724">
      <w:pPr>
        <w:spacing w:line="360" w:lineRule="auto"/>
        <w:ind w:right="902"/>
        <w:rPr>
          <w:rFonts w:ascii="Palatino Linotype" w:eastAsia="Palatino Linotype" w:hAnsi="Palatino Linotype" w:cs="Palatino Linotype"/>
          <w:i/>
        </w:rPr>
      </w:pPr>
    </w:p>
    <w:p w14:paraId="4738CCA2" w14:textId="77777777" w:rsidR="00FF4724" w:rsidRPr="00121977" w:rsidRDefault="008E2E73">
      <w:pPr>
        <w:ind w:left="567" w:right="902"/>
        <w:jc w:val="both"/>
        <w:rPr>
          <w:rFonts w:ascii="Palatino Linotype" w:eastAsia="Palatino Linotype" w:hAnsi="Palatino Linotype" w:cs="Palatino Linotype"/>
          <w:i/>
        </w:rPr>
      </w:pPr>
      <w:r w:rsidRPr="00121977">
        <w:rPr>
          <w:rFonts w:ascii="Palatino Linotype" w:eastAsia="Palatino Linotype" w:hAnsi="Palatino Linotype" w:cs="Palatino Linotype"/>
          <w:i/>
        </w:rPr>
        <w:t>Los documentos que integren un expediente reservado en su totalidad no deberán marcarse en lo individual.</w:t>
      </w:r>
    </w:p>
    <w:p w14:paraId="690F3798" w14:textId="77777777" w:rsidR="00FF4724" w:rsidRPr="00121977" w:rsidRDefault="008E2E73">
      <w:pPr>
        <w:ind w:left="567" w:right="902"/>
        <w:jc w:val="both"/>
        <w:rPr>
          <w:rFonts w:ascii="Palatino Linotype" w:eastAsia="Palatino Linotype" w:hAnsi="Palatino Linotype" w:cs="Palatino Linotype"/>
          <w:i/>
        </w:rPr>
      </w:pPr>
      <w:r w:rsidRPr="00121977">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07D4ACC5" w14:textId="77777777" w:rsidR="00FF4724" w:rsidRPr="00121977" w:rsidRDefault="00FF4724">
      <w:pPr>
        <w:spacing w:after="0" w:line="360" w:lineRule="auto"/>
        <w:jc w:val="both"/>
        <w:rPr>
          <w:rFonts w:ascii="Palatino Linotype" w:eastAsia="Palatino Linotype" w:hAnsi="Palatino Linotype" w:cs="Palatino Linotype"/>
        </w:rPr>
      </w:pPr>
    </w:p>
    <w:p w14:paraId="04F4C049"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lastRenderedPageBreak/>
        <w:t>De igual forma, deberá observar los Lineamientos Quincuagésimo cuarto, Quincuagésimo quinto, Quincuagésimo séptimo y Quincuagésimo octavo, establecen lo siguiente:</w:t>
      </w:r>
    </w:p>
    <w:p w14:paraId="3C816545"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4B16DD1C" w14:textId="77777777" w:rsidR="00FF4724" w:rsidRPr="00121977" w:rsidRDefault="008E2E73">
      <w:pPr>
        <w:pBdr>
          <w:top w:val="nil"/>
          <w:left w:val="nil"/>
          <w:bottom w:val="nil"/>
          <w:right w:val="nil"/>
          <w:between w:val="nil"/>
        </w:pBd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r w:rsidRPr="00121977">
        <w:rPr>
          <w:rFonts w:ascii="Palatino Linotype" w:eastAsia="Palatino Linotype" w:hAnsi="Palatino Linotype" w:cs="Palatino Linotype"/>
          <w:b/>
          <w:i/>
        </w:rPr>
        <w:t>Quincuagésimo cuarto.</w:t>
      </w:r>
      <w:r w:rsidRPr="00121977">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472D5B3B"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Quincuagésimo quinto.</w:t>
      </w:r>
      <w:r w:rsidRPr="00121977">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121977">
        <w:rPr>
          <w:rFonts w:ascii="Palatino Linotype" w:eastAsia="Palatino Linotype" w:hAnsi="Palatino Linotype" w:cs="Palatino Linotype"/>
          <w:i/>
        </w:rPr>
        <w:t>testado</w:t>
      </w:r>
      <w:proofErr w:type="spellEnd"/>
      <w:r w:rsidRPr="00121977">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211BB07"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w:t>
      </w:r>
    </w:p>
    <w:p w14:paraId="6D40D827"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b/>
          <w:i/>
        </w:rPr>
        <w:t>Quincuagésimo séptimo.</w:t>
      </w:r>
      <w:r w:rsidRPr="00121977">
        <w:rPr>
          <w:rFonts w:ascii="Palatino Linotype" w:eastAsia="Palatino Linotype" w:hAnsi="Palatino Linotype" w:cs="Palatino Linotype"/>
          <w:i/>
        </w:rPr>
        <w:t xml:space="preserve"> Se considera, en principio, como información pública y no podrá omitirse de las versiones públicas la siguiente: </w:t>
      </w:r>
    </w:p>
    <w:p w14:paraId="6BB13D7C"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0990BEDA"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10F66DF7"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8E55C1E"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20BDE5C" w14:textId="77777777" w:rsidR="00FF4724" w:rsidRPr="00121977" w:rsidRDefault="008E2E73">
      <w:pPr>
        <w:ind w:left="567" w:right="616"/>
        <w:jc w:val="both"/>
        <w:rPr>
          <w:rFonts w:ascii="Palatino Linotype" w:eastAsia="Palatino Linotype" w:hAnsi="Palatino Linotype" w:cs="Palatino Linotype"/>
          <w:i/>
        </w:rPr>
      </w:pPr>
      <w:r w:rsidRPr="00121977">
        <w:rPr>
          <w:rFonts w:ascii="Palatino Linotype" w:eastAsia="Palatino Linotype" w:hAnsi="Palatino Linotype" w:cs="Palatino Linotype"/>
          <w:i/>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4C5E6C1A" w14:textId="77777777" w:rsidR="00FF4724" w:rsidRPr="00121977" w:rsidRDefault="00FF4724">
      <w:pPr>
        <w:spacing w:after="0"/>
        <w:ind w:left="567" w:right="616"/>
        <w:jc w:val="both"/>
        <w:rPr>
          <w:rFonts w:ascii="Palatino Linotype" w:eastAsia="Palatino Linotype" w:hAnsi="Palatino Linotype" w:cs="Palatino Linotype"/>
          <w:i/>
        </w:rPr>
      </w:pPr>
    </w:p>
    <w:p w14:paraId="5D6604E0" w14:textId="77777777" w:rsidR="00FF4724" w:rsidRPr="00121977" w:rsidRDefault="008E2E73">
      <w:pPr>
        <w:spacing w:after="0" w:line="360" w:lineRule="auto"/>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DD5E0A4" w14:textId="77777777" w:rsidR="00FF4724" w:rsidRPr="00121977" w:rsidRDefault="00FF4724">
      <w:pPr>
        <w:spacing w:after="0" w:line="360" w:lineRule="auto"/>
        <w:ind w:right="49"/>
        <w:jc w:val="both"/>
        <w:rPr>
          <w:rFonts w:ascii="Palatino Linotype" w:eastAsia="Palatino Linotype" w:hAnsi="Palatino Linotype" w:cs="Palatino Linotype"/>
        </w:rPr>
      </w:pPr>
    </w:p>
    <w:p w14:paraId="0117B033" w14:textId="77777777" w:rsidR="00FF4724" w:rsidRPr="00121977" w:rsidRDefault="008E2E73">
      <w:pPr>
        <w:spacing w:after="0" w:line="360" w:lineRule="auto"/>
        <w:ind w:right="49"/>
        <w:jc w:val="both"/>
        <w:rPr>
          <w:rFonts w:ascii="Palatino Linotype" w:eastAsia="Palatino Linotype" w:hAnsi="Palatino Linotype" w:cs="Palatino Linotype"/>
          <w:b/>
          <w:sz w:val="24"/>
          <w:szCs w:val="24"/>
        </w:rPr>
      </w:pPr>
      <w:r w:rsidRPr="00121977">
        <w:rPr>
          <w:rFonts w:ascii="Palatino Linotype" w:eastAsia="Palatino Linotype" w:hAnsi="Palatino Linotype" w:cs="Palatino Linotype"/>
          <w:sz w:val="24"/>
          <w:szCs w:val="24"/>
        </w:rPr>
        <w:t xml:space="preserve">Es así como, en mérito de lo expuesto en líneas anteriores, resultan fundadas las razones o motivos de inconformidad hechos valer por la parte </w:t>
      </w:r>
      <w:r w:rsidRPr="00121977">
        <w:rPr>
          <w:rFonts w:ascii="Palatino Linotype" w:eastAsia="Palatino Linotype" w:hAnsi="Palatino Linotype" w:cs="Palatino Linotype"/>
          <w:b/>
          <w:sz w:val="24"/>
          <w:szCs w:val="24"/>
        </w:rPr>
        <w:t>RECURRENTE</w:t>
      </w:r>
      <w:r w:rsidRPr="00121977">
        <w:rPr>
          <w:rFonts w:ascii="Palatino Linotype" w:eastAsia="Palatino Linotype" w:hAnsi="Palatino Linotype" w:cs="Palatino Linotype"/>
          <w:sz w:val="24"/>
          <w:szCs w:val="24"/>
        </w:rPr>
        <w:t xml:space="preserve"> dentro del recurso de revisión </w:t>
      </w:r>
      <w:r w:rsidRPr="00121977">
        <w:rPr>
          <w:rFonts w:ascii="Palatino Linotype" w:eastAsia="Palatino Linotype" w:hAnsi="Palatino Linotype" w:cs="Palatino Linotype"/>
          <w:b/>
          <w:sz w:val="24"/>
          <w:szCs w:val="24"/>
        </w:rPr>
        <w:t>04429/INFOEM/IP/RR/2023</w:t>
      </w:r>
      <w:r w:rsidRPr="00121977">
        <w:rPr>
          <w:rFonts w:ascii="Palatino Linotype" w:eastAsia="Palatino Linotype" w:hAnsi="Palatino Linotype" w:cs="Palatino Linotype"/>
          <w:sz w:val="24"/>
          <w:szCs w:val="24"/>
        </w:rPr>
        <w:t>; por ello, y con fundamento en la fracción III del numeral 186 de la Ley de Transparencia y Acceso a la Información Pública del Estado de México y Municipios, se</w:t>
      </w:r>
      <w:r w:rsidRPr="00121977">
        <w:rPr>
          <w:rFonts w:ascii="Palatino Linotype" w:eastAsia="Palatino Linotype" w:hAnsi="Palatino Linotype" w:cs="Palatino Linotype"/>
          <w:b/>
          <w:sz w:val="24"/>
          <w:szCs w:val="24"/>
        </w:rPr>
        <w:t xml:space="preserve"> MODIFICA </w:t>
      </w:r>
      <w:r w:rsidRPr="00121977">
        <w:rPr>
          <w:rFonts w:ascii="Palatino Linotype" w:eastAsia="Palatino Linotype" w:hAnsi="Palatino Linotype" w:cs="Palatino Linotype"/>
          <w:sz w:val="24"/>
          <w:szCs w:val="24"/>
        </w:rPr>
        <w:t xml:space="preserve">la respuesta a la solicitud de información número </w:t>
      </w:r>
      <w:r w:rsidRPr="00121977">
        <w:rPr>
          <w:rFonts w:ascii="Palatino Linotype" w:eastAsia="Palatino Linotype" w:hAnsi="Palatino Linotype" w:cs="Palatino Linotype"/>
          <w:b/>
          <w:sz w:val="24"/>
          <w:szCs w:val="24"/>
        </w:rPr>
        <w:t xml:space="preserve">00198/SECOGEM/IP/2023. </w:t>
      </w:r>
    </w:p>
    <w:p w14:paraId="04CF45FC" w14:textId="77777777" w:rsidR="00FF4724" w:rsidRPr="00121977" w:rsidRDefault="00FF4724">
      <w:pPr>
        <w:spacing w:after="0" w:line="360" w:lineRule="auto"/>
        <w:ind w:right="49"/>
        <w:jc w:val="both"/>
        <w:rPr>
          <w:rFonts w:ascii="Palatino Linotype" w:eastAsia="Palatino Linotype" w:hAnsi="Palatino Linotype" w:cs="Palatino Linotype"/>
          <w:b/>
          <w:sz w:val="24"/>
          <w:szCs w:val="24"/>
        </w:rPr>
      </w:pPr>
    </w:p>
    <w:p w14:paraId="1EBC8388"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w:t>
      </w:r>
      <w:r w:rsidRPr="00121977">
        <w:rPr>
          <w:rFonts w:ascii="Palatino Linotype" w:eastAsia="Palatino Linotype" w:hAnsi="Palatino Linotype" w:cs="Palatino Linotype"/>
          <w:sz w:val="24"/>
          <w:szCs w:val="24"/>
        </w:rPr>
        <w:lastRenderedPageBreak/>
        <w:t>185, fracción I, 186 y 188 de la Ley de Transparencia y Acceso a la Información Pública del Estado de México y Municipios, este Pleno:</w:t>
      </w:r>
    </w:p>
    <w:p w14:paraId="410EB31C" w14:textId="77777777" w:rsidR="00FF4724" w:rsidRPr="00121977" w:rsidRDefault="00FF4724">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6BFA0449" w14:textId="77777777" w:rsidR="00FF4724" w:rsidRPr="00121977" w:rsidRDefault="008E2E73">
      <w:pPr>
        <w:spacing w:after="0" w:line="360" w:lineRule="auto"/>
        <w:ind w:right="49"/>
        <w:jc w:val="center"/>
        <w:rPr>
          <w:rFonts w:ascii="Palatino Linotype" w:eastAsia="Palatino Linotype" w:hAnsi="Palatino Linotype" w:cs="Palatino Linotype"/>
          <w:b/>
          <w:sz w:val="24"/>
          <w:szCs w:val="24"/>
        </w:rPr>
      </w:pPr>
      <w:r w:rsidRPr="00121977">
        <w:rPr>
          <w:rFonts w:ascii="Palatino Linotype" w:eastAsia="Palatino Linotype" w:hAnsi="Palatino Linotype" w:cs="Palatino Linotype"/>
          <w:b/>
          <w:sz w:val="24"/>
          <w:szCs w:val="24"/>
        </w:rPr>
        <w:t>III.</w:t>
      </w:r>
      <w:r w:rsidRPr="00121977">
        <w:rPr>
          <w:rFonts w:ascii="Palatino Linotype" w:eastAsia="Palatino Linotype" w:hAnsi="Palatino Linotype" w:cs="Palatino Linotype"/>
          <w:b/>
          <w:sz w:val="24"/>
          <w:szCs w:val="24"/>
        </w:rPr>
        <w:tab/>
        <w:t>R E S U E L V E:</w:t>
      </w:r>
    </w:p>
    <w:p w14:paraId="71835535"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5668D9A6"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Primero.</w:t>
      </w:r>
      <w:r w:rsidRPr="00121977">
        <w:rPr>
          <w:rFonts w:ascii="Palatino Linotype" w:eastAsia="Palatino Linotype" w:hAnsi="Palatino Linotype" w:cs="Palatino Linotype"/>
          <w:sz w:val="24"/>
          <w:szCs w:val="24"/>
        </w:rPr>
        <w:t xml:space="preserve"> Resultan </w:t>
      </w:r>
      <w:r w:rsidRPr="00121977">
        <w:rPr>
          <w:rFonts w:ascii="Palatino Linotype" w:eastAsia="Palatino Linotype" w:hAnsi="Palatino Linotype" w:cs="Palatino Linotype"/>
          <w:b/>
          <w:sz w:val="24"/>
          <w:szCs w:val="24"/>
        </w:rPr>
        <w:t>FUNDADOS</w:t>
      </w:r>
      <w:r w:rsidRPr="00121977">
        <w:rPr>
          <w:rFonts w:ascii="Palatino Linotype" w:eastAsia="Palatino Linotype" w:hAnsi="Palatino Linotype" w:cs="Palatino Linotype"/>
          <w:sz w:val="24"/>
          <w:szCs w:val="24"/>
        </w:rPr>
        <w:t xml:space="preserve"> los motivos de inconformidad hechos valer por la parte </w:t>
      </w:r>
      <w:r w:rsidRPr="00121977">
        <w:rPr>
          <w:rFonts w:ascii="Palatino Linotype" w:eastAsia="Palatino Linotype" w:hAnsi="Palatino Linotype" w:cs="Palatino Linotype"/>
          <w:b/>
          <w:sz w:val="24"/>
          <w:szCs w:val="24"/>
        </w:rPr>
        <w:t>RECURRENTE</w:t>
      </w:r>
      <w:r w:rsidRPr="00121977">
        <w:rPr>
          <w:rFonts w:ascii="Palatino Linotype" w:eastAsia="Palatino Linotype" w:hAnsi="Palatino Linotype" w:cs="Palatino Linotype"/>
          <w:sz w:val="24"/>
          <w:szCs w:val="24"/>
        </w:rPr>
        <w:t xml:space="preserve"> en el Recurso de Revisión </w:t>
      </w:r>
      <w:r w:rsidRPr="00121977">
        <w:rPr>
          <w:rFonts w:ascii="Palatino Linotype" w:eastAsia="Palatino Linotype" w:hAnsi="Palatino Linotype" w:cs="Palatino Linotype"/>
          <w:b/>
          <w:sz w:val="24"/>
          <w:szCs w:val="24"/>
        </w:rPr>
        <w:t>04429/INFOEM/IP/RR/2023</w:t>
      </w:r>
      <w:r w:rsidRPr="00121977">
        <w:rPr>
          <w:rFonts w:ascii="Palatino Linotype" w:eastAsia="Palatino Linotype" w:hAnsi="Palatino Linotype" w:cs="Palatino Linotype"/>
          <w:sz w:val="24"/>
          <w:szCs w:val="24"/>
        </w:rPr>
        <w:t xml:space="preserve">, por lo que, en términos del </w:t>
      </w:r>
      <w:r w:rsidRPr="00121977">
        <w:rPr>
          <w:rFonts w:ascii="Palatino Linotype" w:eastAsia="Palatino Linotype" w:hAnsi="Palatino Linotype" w:cs="Palatino Linotype"/>
          <w:b/>
          <w:sz w:val="24"/>
          <w:szCs w:val="24"/>
        </w:rPr>
        <w:t>Considerando Cuarto</w:t>
      </w:r>
      <w:r w:rsidRPr="00121977">
        <w:rPr>
          <w:rFonts w:ascii="Palatino Linotype" w:eastAsia="Palatino Linotype" w:hAnsi="Palatino Linotype" w:cs="Palatino Linotype"/>
          <w:sz w:val="24"/>
          <w:szCs w:val="24"/>
        </w:rPr>
        <w:t xml:space="preserve"> de esta resolución, se </w:t>
      </w:r>
      <w:r w:rsidRPr="00121977">
        <w:rPr>
          <w:rFonts w:ascii="Palatino Linotype" w:eastAsia="Palatino Linotype" w:hAnsi="Palatino Linotype" w:cs="Palatino Linotype"/>
          <w:b/>
          <w:sz w:val="24"/>
          <w:szCs w:val="24"/>
        </w:rPr>
        <w:t>MODIFICA</w:t>
      </w:r>
      <w:r w:rsidRPr="00121977">
        <w:rPr>
          <w:rFonts w:ascii="Palatino Linotype" w:eastAsia="Palatino Linotype" w:hAnsi="Palatino Linotype" w:cs="Palatino Linotype"/>
          <w:sz w:val="24"/>
          <w:szCs w:val="24"/>
        </w:rPr>
        <w:t xml:space="preserve"> la respuesta emitida por el </w:t>
      </w:r>
      <w:r w:rsidRPr="00121977">
        <w:rPr>
          <w:rFonts w:ascii="Palatino Linotype" w:eastAsia="Palatino Linotype" w:hAnsi="Palatino Linotype" w:cs="Palatino Linotype"/>
          <w:b/>
          <w:sz w:val="24"/>
          <w:szCs w:val="24"/>
        </w:rPr>
        <w:t>SUJETO OBLIGADO</w:t>
      </w:r>
      <w:r w:rsidRPr="00121977">
        <w:rPr>
          <w:rFonts w:ascii="Palatino Linotype" w:eastAsia="Palatino Linotype" w:hAnsi="Palatino Linotype" w:cs="Palatino Linotype"/>
          <w:sz w:val="24"/>
          <w:szCs w:val="24"/>
        </w:rPr>
        <w:t>.</w:t>
      </w:r>
    </w:p>
    <w:p w14:paraId="0F7297D7"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A37C11D"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Segundo</w:t>
      </w:r>
      <w:r w:rsidRPr="00121977">
        <w:rPr>
          <w:rFonts w:ascii="Palatino Linotype" w:eastAsia="Palatino Linotype" w:hAnsi="Palatino Linotype" w:cs="Palatino Linotype"/>
          <w:sz w:val="24"/>
          <w:szCs w:val="24"/>
        </w:rPr>
        <w:t xml:space="preserve">. Se </w:t>
      </w:r>
      <w:r w:rsidRPr="00121977">
        <w:rPr>
          <w:rFonts w:ascii="Palatino Linotype" w:eastAsia="Palatino Linotype" w:hAnsi="Palatino Linotype" w:cs="Palatino Linotype"/>
          <w:b/>
          <w:sz w:val="24"/>
          <w:szCs w:val="24"/>
        </w:rPr>
        <w:t>ORDENA</w:t>
      </w:r>
      <w:r w:rsidRPr="00121977">
        <w:rPr>
          <w:rFonts w:ascii="Palatino Linotype" w:eastAsia="Palatino Linotype" w:hAnsi="Palatino Linotype" w:cs="Palatino Linotype"/>
          <w:sz w:val="24"/>
          <w:szCs w:val="24"/>
        </w:rPr>
        <w:t xml:space="preserve"> al </w:t>
      </w:r>
      <w:r w:rsidRPr="00121977">
        <w:rPr>
          <w:rFonts w:ascii="Palatino Linotype" w:eastAsia="Palatino Linotype" w:hAnsi="Palatino Linotype" w:cs="Palatino Linotype"/>
          <w:b/>
          <w:sz w:val="24"/>
          <w:szCs w:val="24"/>
        </w:rPr>
        <w:t>SUJETO OBLIGADO</w:t>
      </w:r>
      <w:r w:rsidRPr="00121977">
        <w:rPr>
          <w:rFonts w:ascii="Palatino Linotype" w:eastAsia="Palatino Linotype" w:hAnsi="Palatino Linotype" w:cs="Palatino Linotype"/>
          <w:sz w:val="24"/>
          <w:szCs w:val="24"/>
        </w:rPr>
        <w:t xml:space="preserve"> a que, en términos del </w:t>
      </w:r>
      <w:r w:rsidRPr="00121977">
        <w:rPr>
          <w:rFonts w:ascii="Palatino Linotype" w:eastAsia="Palatino Linotype" w:hAnsi="Palatino Linotype" w:cs="Palatino Linotype"/>
          <w:b/>
          <w:sz w:val="24"/>
          <w:szCs w:val="24"/>
        </w:rPr>
        <w:t>Considerando Cuarto y Quinto</w:t>
      </w:r>
      <w:r w:rsidRPr="00121977">
        <w:rPr>
          <w:rFonts w:ascii="Palatino Linotype" w:eastAsia="Palatino Linotype" w:hAnsi="Palatino Linotype" w:cs="Palatino Linotype"/>
          <w:sz w:val="24"/>
          <w:szCs w:val="24"/>
        </w:rPr>
        <w:t xml:space="preserve">, haga entrega, previa búsqueda exhaustiva y razonable, en versión pública, vía Sistema de Acceso a la Información Mexiquense, lo siguiente: </w:t>
      </w:r>
    </w:p>
    <w:p w14:paraId="07F83D3F"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595246D8" w14:textId="77777777" w:rsidR="00FF4724" w:rsidRPr="00121977" w:rsidRDefault="008E2E73">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r w:rsidRPr="00121977">
        <w:rPr>
          <w:rFonts w:ascii="Palatino Linotype" w:eastAsia="Palatino Linotype" w:hAnsi="Palatino Linotype" w:cs="Palatino Linotype"/>
          <w:b/>
        </w:rPr>
        <w:t xml:space="preserve">Documentos que dan cuenta del sexo, nivel académico y el cargo de los servidores públicos que ostentan cargos de mandos medios y superiores del dieciséis de septiembre de dos mil diecisiete al treinta y uno de diciembre de dos mil veintidós. </w:t>
      </w:r>
    </w:p>
    <w:p w14:paraId="4474A5B5"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4A05F768" w14:textId="77777777" w:rsidR="00FF4724" w:rsidRPr="00121977" w:rsidRDefault="008E2E73">
      <w:pPr>
        <w:pBdr>
          <w:top w:val="nil"/>
          <w:left w:val="nil"/>
          <w:bottom w:val="nil"/>
          <w:right w:val="nil"/>
          <w:between w:val="nil"/>
        </w:pBdr>
        <w:tabs>
          <w:tab w:val="left" w:pos="993"/>
        </w:tabs>
        <w:spacing w:after="0"/>
        <w:ind w:left="567" w:right="616"/>
        <w:jc w:val="both"/>
        <w:rPr>
          <w:rFonts w:ascii="Palatino Linotype" w:eastAsia="Palatino Linotype" w:hAnsi="Palatino Linotype" w:cs="Palatino Linotype"/>
          <w:i/>
          <w:sz w:val="24"/>
          <w:szCs w:val="24"/>
        </w:rPr>
      </w:pPr>
      <w:r w:rsidRPr="00121977">
        <w:rPr>
          <w:rFonts w:ascii="Palatino Linotype" w:eastAsia="Palatino Linotype" w:hAnsi="Palatino Linotype" w:cs="Palatino Linotype"/>
          <w:i/>
          <w:sz w:val="24"/>
          <w:szCs w:val="24"/>
        </w:rPr>
        <w:t xml:space="preserve">De ser el caso,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w:t>
      </w:r>
      <w:r w:rsidRPr="00121977">
        <w:rPr>
          <w:rFonts w:ascii="Palatino Linotype" w:eastAsia="Palatino Linotype" w:hAnsi="Palatino Linotype" w:cs="Palatino Linotype"/>
          <w:i/>
          <w:sz w:val="24"/>
          <w:szCs w:val="24"/>
        </w:rPr>
        <w:lastRenderedPageBreak/>
        <w:t>versiones públicas que se formulen y se pongan a disposición de la parte Recurrente, mismo que igualmente hará de su conocimiento.</w:t>
      </w:r>
    </w:p>
    <w:p w14:paraId="61F124C6" w14:textId="77777777" w:rsidR="00FF4724" w:rsidRPr="00121977" w:rsidRDefault="00FF4724">
      <w:pPr>
        <w:pBdr>
          <w:top w:val="nil"/>
          <w:left w:val="nil"/>
          <w:bottom w:val="nil"/>
          <w:right w:val="nil"/>
          <w:between w:val="nil"/>
        </w:pBdr>
        <w:spacing w:after="0" w:line="360" w:lineRule="auto"/>
        <w:ind w:right="49"/>
        <w:jc w:val="both"/>
        <w:rPr>
          <w:rFonts w:ascii="Palatino Linotype" w:eastAsia="Palatino Linotype" w:hAnsi="Palatino Linotype" w:cs="Palatino Linotype"/>
          <w:i/>
          <w:sz w:val="24"/>
          <w:szCs w:val="24"/>
        </w:rPr>
      </w:pPr>
    </w:p>
    <w:p w14:paraId="7B1CB185"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Tercero.</w:t>
      </w:r>
      <w:r w:rsidRPr="00121977">
        <w:rPr>
          <w:rFonts w:ascii="Palatino Linotype" w:eastAsia="Palatino Linotype" w:hAnsi="Palatino Linotype" w:cs="Palatino Linotype"/>
          <w:sz w:val="24"/>
          <w:szCs w:val="24"/>
        </w:rPr>
        <w:t xml:space="preserve"> </w:t>
      </w:r>
      <w:r w:rsidRPr="00121977">
        <w:rPr>
          <w:rFonts w:ascii="Palatino Linotype" w:eastAsia="Palatino Linotype" w:hAnsi="Palatino Linotype" w:cs="Palatino Linotype"/>
          <w:b/>
          <w:sz w:val="24"/>
          <w:szCs w:val="24"/>
        </w:rPr>
        <w:t xml:space="preserve">Notifíquese </w:t>
      </w:r>
      <w:r w:rsidRPr="00121977">
        <w:rPr>
          <w:rFonts w:ascii="Palatino Linotype" w:eastAsia="Palatino Linotype" w:hAnsi="Palatino Linotype" w:cs="Palatino Linotype"/>
          <w:sz w:val="24"/>
          <w:szCs w:val="24"/>
        </w:rPr>
        <w:t>la presente resolución al T</w:t>
      </w:r>
      <w:r w:rsidRPr="00121977">
        <w:rPr>
          <w:rFonts w:ascii="Palatino Linotype" w:eastAsia="Palatino Linotype" w:hAnsi="Palatino Linotype" w:cs="Palatino Linotype"/>
          <w:b/>
          <w:sz w:val="24"/>
          <w:szCs w:val="24"/>
        </w:rPr>
        <w:t xml:space="preserve">itular de la Unidad de Transparencia </w:t>
      </w:r>
      <w:r w:rsidRPr="00121977">
        <w:rPr>
          <w:rFonts w:ascii="Palatino Linotype" w:eastAsia="Palatino Linotype" w:hAnsi="Palatino Linotype" w:cs="Palatino Linotype"/>
          <w:sz w:val="24"/>
          <w:szCs w:val="24"/>
        </w:rPr>
        <w:t xml:space="preserve">del </w:t>
      </w:r>
      <w:r w:rsidRPr="00121977">
        <w:rPr>
          <w:rFonts w:ascii="Palatino Linotype" w:eastAsia="Palatino Linotype" w:hAnsi="Palatino Linotype" w:cs="Palatino Linotype"/>
          <w:b/>
          <w:sz w:val="24"/>
          <w:szCs w:val="24"/>
        </w:rPr>
        <w:t>SUJETO OBLIGADO</w:t>
      </w:r>
      <w:r w:rsidRPr="00121977">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16D3233F" w14:textId="77777777" w:rsidR="00FF4724" w:rsidRPr="00121977" w:rsidRDefault="00FF4724">
      <w:pPr>
        <w:spacing w:after="0" w:line="360" w:lineRule="auto"/>
        <w:ind w:right="49"/>
        <w:jc w:val="both"/>
        <w:rPr>
          <w:rFonts w:ascii="Palatino Linotype" w:eastAsia="Palatino Linotype" w:hAnsi="Palatino Linotype" w:cs="Palatino Linotype"/>
          <w:b/>
          <w:sz w:val="24"/>
          <w:szCs w:val="24"/>
        </w:rPr>
      </w:pPr>
    </w:p>
    <w:p w14:paraId="3CFBD8F7"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Cuarto.</w:t>
      </w:r>
      <w:r w:rsidRPr="00121977">
        <w:rPr>
          <w:rFonts w:ascii="Palatino Linotype" w:eastAsia="Palatino Linotype" w:hAnsi="Palatino Linotype" w:cs="Palatino Linotype"/>
          <w:sz w:val="24"/>
          <w:szCs w:val="24"/>
        </w:rPr>
        <w:t xml:space="preserve"> </w:t>
      </w:r>
      <w:r w:rsidRPr="00121977">
        <w:rPr>
          <w:rFonts w:ascii="Palatino Linotype" w:eastAsia="Palatino Linotype" w:hAnsi="Palatino Linotype" w:cs="Palatino Linotype"/>
          <w:b/>
          <w:sz w:val="24"/>
          <w:szCs w:val="24"/>
        </w:rPr>
        <w:t xml:space="preserve">Notifíquese vía SAIMEX </w:t>
      </w:r>
      <w:r w:rsidRPr="00121977">
        <w:rPr>
          <w:rFonts w:ascii="Palatino Linotype" w:eastAsia="Palatino Linotype" w:hAnsi="Palatino Linotype" w:cs="Palatino Linotype"/>
          <w:sz w:val="24"/>
          <w:szCs w:val="24"/>
        </w:rPr>
        <w:t xml:space="preserve">a la parte </w:t>
      </w:r>
      <w:r w:rsidRPr="00121977">
        <w:rPr>
          <w:rFonts w:ascii="Palatino Linotype" w:eastAsia="Palatino Linotype" w:hAnsi="Palatino Linotype" w:cs="Palatino Linotype"/>
          <w:b/>
          <w:sz w:val="24"/>
          <w:szCs w:val="24"/>
        </w:rPr>
        <w:t xml:space="preserve">RECURRENTE </w:t>
      </w:r>
      <w:r w:rsidRPr="00121977">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4BF5499"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5B1D3564"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b/>
          <w:sz w:val="24"/>
          <w:szCs w:val="24"/>
        </w:rPr>
        <w:t>Quinto.</w:t>
      </w:r>
      <w:r w:rsidRPr="00121977">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121977">
        <w:rPr>
          <w:rFonts w:ascii="Palatino Linotype" w:eastAsia="Palatino Linotype" w:hAnsi="Palatino Linotype" w:cs="Palatino Linotype"/>
          <w:b/>
          <w:sz w:val="24"/>
          <w:szCs w:val="24"/>
        </w:rPr>
        <w:t>SUJETO OBLIGADO</w:t>
      </w:r>
      <w:r w:rsidRPr="00121977">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A9625EE" w14:textId="77777777" w:rsidR="00FF4724" w:rsidRPr="00121977" w:rsidRDefault="00FF4724">
      <w:pPr>
        <w:spacing w:after="0" w:line="360" w:lineRule="auto"/>
        <w:jc w:val="both"/>
        <w:rPr>
          <w:rFonts w:ascii="Palatino Linotype" w:eastAsia="Palatino Linotype" w:hAnsi="Palatino Linotype" w:cs="Palatino Linotype"/>
          <w:sz w:val="24"/>
          <w:szCs w:val="24"/>
        </w:rPr>
      </w:pPr>
    </w:p>
    <w:p w14:paraId="3D39E4D1" w14:textId="77777777" w:rsidR="00FF4724" w:rsidRPr="00121977" w:rsidRDefault="008E2E73">
      <w:pPr>
        <w:spacing w:after="0" w:line="360" w:lineRule="auto"/>
        <w:ind w:right="49"/>
        <w:jc w:val="both"/>
        <w:rPr>
          <w:rFonts w:ascii="Palatino Linotype" w:eastAsia="Palatino Linotype" w:hAnsi="Palatino Linotype" w:cs="Palatino Linotype"/>
          <w:sz w:val="24"/>
          <w:szCs w:val="24"/>
        </w:rPr>
      </w:pPr>
      <w:r w:rsidRPr="00121977">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 </w:t>
      </w:r>
    </w:p>
    <w:p w14:paraId="710BF918"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735FFF62"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44D54192"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44415854"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19E663A3" w14:textId="75FE64B0"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3B69AF92" w14:textId="608142C9" w:rsidR="00121977" w:rsidRPr="00121977" w:rsidRDefault="00121977">
      <w:pPr>
        <w:spacing w:after="0" w:line="360" w:lineRule="auto"/>
        <w:ind w:right="49"/>
        <w:jc w:val="both"/>
        <w:rPr>
          <w:rFonts w:ascii="Palatino Linotype" w:eastAsia="Palatino Linotype" w:hAnsi="Palatino Linotype" w:cs="Palatino Linotype"/>
          <w:sz w:val="24"/>
          <w:szCs w:val="24"/>
        </w:rPr>
      </w:pPr>
    </w:p>
    <w:p w14:paraId="59EC158D" w14:textId="510397B7" w:rsidR="00121977" w:rsidRPr="00121977" w:rsidRDefault="00121977">
      <w:pPr>
        <w:spacing w:after="0" w:line="360" w:lineRule="auto"/>
        <w:ind w:right="49"/>
        <w:jc w:val="both"/>
        <w:rPr>
          <w:rFonts w:ascii="Palatino Linotype" w:eastAsia="Palatino Linotype" w:hAnsi="Palatino Linotype" w:cs="Palatino Linotype"/>
          <w:sz w:val="24"/>
          <w:szCs w:val="24"/>
        </w:rPr>
      </w:pPr>
    </w:p>
    <w:p w14:paraId="11E02AFD" w14:textId="5FDDE7C7" w:rsidR="00121977" w:rsidRPr="00121977" w:rsidRDefault="00121977">
      <w:pPr>
        <w:spacing w:after="0" w:line="360" w:lineRule="auto"/>
        <w:ind w:right="49"/>
        <w:jc w:val="both"/>
        <w:rPr>
          <w:rFonts w:ascii="Palatino Linotype" w:eastAsia="Palatino Linotype" w:hAnsi="Palatino Linotype" w:cs="Palatino Linotype"/>
          <w:sz w:val="24"/>
          <w:szCs w:val="24"/>
        </w:rPr>
      </w:pPr>
    </w:p>
    <w:p w14:paraId="5F119C27" w14:textId="77777777" w:rsidR="00121977" w:rsidRPr="00121977" w:rsidRDefault="00121977">
      <w:pPr>
        <w:spacing w:after="0" w:line="360" w:lineRule="auto"/>
        <w:ind w:right="49"/>
        <w:jc w:val="both"/>
        <w:rPr>
          <w:rFonts w:ascii="Palatino Linotype" w:eastAsia="Palatino Linotype" w:hAnsi="Palatino Linotype" w:cs="Palatino Linotype"/>
          <w:sz w:val="24"/>
          <w:szCs w:val="24"/>
        </w:rPr>
      </w:pPr>
    </w:p>
    <w:p w14:paraId="368924E1"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p w14:paraId="46589C36" w14:textId="77777777" w:rsidR="00FF4724" w:rsidRPr="00121977" w:rsidRDefault="00FF4724">
      <w:pPr>
        <w:spacing w:after="0" w:line="360" w:lineRule="auto"/>
        <w:ind w:right="49"/>
        <w:jc w:val="both"/>
        <w:rPr>
          <w:rFonts w:ascii="Palatino Linotype" w:eastAsia="Palatino Linotype" w:hAnsi="Palatino Linotype" w:cs="Palatino Linotype"/>
          <w:sz w:val="24"/>
          <w:szCs w:val="24"/>
        </w:rPr>
      </w:pPr>
    </w:p>
    <w:sectPr w:rsidR="00FF4724" w:rsidRPr="00121977">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98D2" w14:textId="77777777" w:rsidR="004922C1" w:rsidRDefault="004922C1">
      <w:pPr>
        <w:spacing w:after="0" w:line="240" w:lineRule="auto"/>
      </w:pPr>
      <w:r>
        <w:separator/>
      </w:r>
    </w:p>
  </w:endnote>
  <w:endnote w:type="continuationSeparator" w:id="0">
    <w:p w14:paraId="0F567E2A" w14:textId="77777777" w:rsidR="004922C1" w:rsidRDefault="0049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74AE" w14:textId="77777777" w:rsidR="00FF4724" w:rsidRDefault="008E2E7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5D72">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5D72">
      <w:rPr>
        <w:b/>
        <w:noProof/>
        <w:color w:val="000000"/>
        <w:sz w:val="24"/>
        <w:szCs w:val="24"/>
      </w:rPr>
      <w:t>39</w:t>
    </w:r>
    <w:r>
      <w:rPr>
        <w:b/>
        <w:color w:val="000000"/>
        <w:sz w:val="24"/>
        <w:szCs w:val="24"/>
      </w:rPr>
      <w:fldChar w:fldCharType="end"/>
    </w:r>
  </w:p>
  <w:p w14:paraId="1C3DEFC9" w14:textId="77777777" w:rsidR="00FF4724" w:rsidRDefault="00FF472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2F93" w14:textId="77777777" w:rsidR="00FF4724" w:rsidRDefault="008E2E7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5D7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5D72">
      <w:rPr>
        <w:b/>
        <w:noProof/>
        <w:color w:val="000000"/>
        <w:sz w:val="24"/>
        <w:szCs w:val="24"/>
      </w:rPr>
      <w:t>39</w:t>
    </w:r>
    <w:r>
      <w:rPr>
        <w:b/>
        <w:color w:val="000000"/>
        <w:sz w:val="24"/>
        <w:szCs w:val="24"/>
      </w:rPr>
      <w:fldChar w:fldCharType="end"/>
    </w:r>
  </w:p>
  <w:p w14:paraId="18E8D839" w14:textId="77777777" w:rsidR="00FF4724" w:rsidRDefault="00FF472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3DF6" w14:textId="77777777" w:rsidR="004922C1" w:rsidRDefault="004922C1">
      <w:pPr>
        <w:spacing w:after="0" w:line="240" w:lineRule="auto"/>
      </w:pPr>
      <w:r>
        <w:separator/>
      </w:r>
    </w:p>
  </w:footnote>
  <w:footnote w:type="continuationSeparator" w:id="0">
    <w:p w14:paraId="388E7B4D" w14:textId="77777777" w:rsidR="004922C1" w:rsidRDefault="0049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537B" w14:textId="77777777" w:rsidR="00FF4724" w:rsidRDefault="008E2E73">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72744FA" wp14:editId="788E034F">
          <wp:simplePos x="0" y="0"/>
          <wp:positionH relativeFrom="column">
            <wp:posOffset>-727074</wp:posOffset>
          </wp:positionH>
          <wp:positionV relativeFrom="paragraph">
            <wp:posOffset>-288289</wp:posOffset>
          </wp:positionV>
          <wp:extent cx="7809876" cy="10165823"/>
          <wp:effectExtent l="0" t="0" r="0" b="0"/>
          <wp:wrapNone/>
          <wp:docPr id="14489867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FF4724" w14:paraId="0C52D920" w14:textId="77777777">
      <w:tc>
        <w:tcPr>
          <w:tcW w:w="2551" w:type="dxa"/>
          <w:vAlign w:val="center"/>
        </w:tcPr>
        <w:p w14:paraId="2AFE5992"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ABEFF3E"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04429/INFOEM/IP/RR/2023</w:t>
          </w:r>
        </w:p>
      </w:tc>
    </w:tr>
    <w:tr w:rsidR="00FF4724" w14:paraId="7326DF13" w14:textId="77777777">
      <w:trPr>
        <w:trHeight w:val="217"/>
      </w:trPr>
      <w:tc>
        <w:tcPr>
          <w:tcW w:w="2551" w:type="dxa"/>
          <w:vAlign w:val="center"/>
        </w:tcPr>
        <w:p w14:paraId="61604DCE"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695C5FB" w14:textId="77777777" w:rsidR="00FF4724" w:rsidRDefault="00FF472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AD90878" w14:textId="77777777" w:rsidR="00FF4724" w:rsidRDefault="008E2E73">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la Contraloría</w:t>
          </w:r>
        </w:p>
      </w:tc>
    </w:tr>
    <w:tr w:rsidR="00FF4724" w14:paraId="794631AD" w14:textId="77777777">
      <w:tc>
        <w:tcPr>
          <w:tcW w:w="2551" w:type="dxa"/>
          <w:vAlign w:val="center"/>
        </w:tcPr>
        <w:p w14:paraId="3548C2EE"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36AF502"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4ECC5E4" w14:textId="77777777" w:rsidR="00FF4724" w:rsidRDefault="00FF472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E1A1" w14:textId="77777777" w:rsidR="00FF4724" w:rsidRDefault="008E2E73">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7B21DB64" wp14:editId="5CEA8888">
          <wp:simplePos x="0" y="0"/>
          <wp:positionH relativeFrom="column">
            <wp:posOffset>0</wp:posOffset>
          </wp:positionH>
          <wp:positionV relativeFrom="paragraph">
            <wp:posOffset>-401319</wp:posOffset>
          </wp:positionV>
          <wp:extent cx="7809865" cy="10165715"/>
          <wp:effectExtent l="0" t="0" r="0" b="0"/>
          <wp:wrapNone/>
          <wp:docPr id="14489867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FF4724" w14:paraId="69D13F94" w14:textId="77777777">
      <w:tc>
        <w:tcPr>
          <w:tcW w:w="2551" w:type="dxa"/>
          <w:vAlign w:val="center"/>
        </w:tcPr>
        <w:p w14:paraId="52119ED3"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906ED7B"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04429/INFOEM/IP/RR/2023</w:t>
          </w:r>
        </w:p>
      </w:tc>
    </w:tr>
    <w:tr w:rsidR="00FF4724" w14:paraId="4EDCE75D" w14:textId="77777777">
      <w:tc>
        <w:tcPr>
          <w:tcW w:w="2551" w:type="dxa"/>
          <w:vAlign w:val="center"/>
        </w:tcPr>
        <w:p w14:paraId="1B80FDF0"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3E9AAC9D" w14:textId="7B2729A8" w:rsidR="00FF4724" w:rsidRDefault="000E25B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 XXXXXX X</w:t>
          </w:r>
        </w:p>
      </w:tc>
    </w:tr>
    <w:tr w:rsidR="00FF4724" w14:paraId="0B78893C" w14:textId="77777777">
      <w:trPr>
        <w:trHeight w:val="152"/>
      </w:trPr>
      <w:tc>
        <w:tcPr>
          <w:tcW w:w="2551" w:type="dxa"/>
          <w:vAlign w:val="center"/>
        </w:tcPr>
        <w:p w14:paraId="0BA4BCF2" w14:textId="77777777" w:rsidR="00FF4724" w:rsidRDefault="008E2E73">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9F14171" w14:textId="77777777" w:rsidR="00FF4724" w:rsidRDefault="00FF4724">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768685D" w14:textId="77777777" w:rsidR="00FF4724" w:rsidRDefault="008E2E73">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la Contraloría</w:t>
          </w:r>
        </w:p>
      </w:tc>
    </w:tr>
    <w:tr w:rsidR="00FF4724" w14:paraId="56C9FD04" w14:textId="77777777">
      <w:tc>
        <w:tcPr>
          <w:tcW w:w="2551" w:type="dxa"/>
          <w:vAlign w:val="center"/>
        </w:tcPr>
        <w:p w14:paraId="2A358748"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293AFBE" w14:textId="77777777" w:rsidR="00FF4724" w:rsidRDefault="008E2E7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DFC58FF" w14:textId="77777777" w:rsidR="00FF4724" w:rsidRDefault="008E2E73">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FD6"/>
    <w:multiLevelType w:val="multilevel"/>
    <w:tmpl w:val="895272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3C03D85"/>
    <w:multiLevelType w:val="multilevel"/>
    <w:tmpl w:val="C7CC806A"/>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3165E2"/>
    <w:multiLevelType w:val="multilevel"/>
    <w:tmpl w:val="B2B67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1669F4"/>
    <w:multiLevelType w:val="multilevel"/>
    <w:tmpl w:val="29924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1B3F0D"/>
    <w:multiLevelType w:val="multilevel"/>
    <w:tmpl w:val="1744D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CD08AC"/>
    <w:multiLevelType w:val="multilevel"/>
    <w:tmpl w:val="B40A9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24"/>
    <w:rsid w:val="000E25BA"/>
    <w:rsid w:val="00121977"/>
    <w:rsid w:val="00131A7C"/>
    <w:rsid w:val="00385AAD"/>
    <w:rsid w:val="004922C1"/>
    <w:rsid w:val="007F5D72"/>
    <w:rsid w:val="008E2E73"/>
    <w:rsid w:val="00FF4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44E5"/>
  <w15:docId w15:val="{4F176EAC-7721-4FAB-A270-8DC24457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BD7688"/>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iy6m0GwpmCS/qpuEtItv9RBOg==">CgMxLjAyCWguMzBqMHpsbDIIaC5namRneHMyCWguM3pueXNoNzgAciExSkZneVh6OWEwbkdDNXltazBzaDRJNTlJS01BYW5tOFQ=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9278</Words>
  <Characters>51030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dcterms:created xsi:type="dcterms:W3CDTF">2024-04-01T17:33:00Z</dcterms:created>
  <dcterms:modified xsi:type="dcterms:W3CDTF">2024-04-01T17:33:00Z</dcterms:modified>
</cp:coreProperties>
</file>