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tres de abril de dos mil veinticuatro. </w:t>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Visto 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06369/INFOEM/IP/RR/2023</w:t>
      </w:r>
      <w:r w:rsidDel="00000000" w:rsidR="00000000" w:rsidRPr="00000000">
        <w:rPr>
          <w:rFonts w:ascii="Palatino Linotype" w:cs="Palatino Linotype" w:eastAsia="Palatino Linotype" w:hAnsi="Palatino Linotype"/>
          <w:sz w:val="24"/>
          <w:szCs w:val="24"/>
          <w:rtl w:val="0"/>
        </w:rPr>
        <w:t xml:space="preserve">, interpuesto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4"/>
          <w:szCs w:val="24"/>
          <w:rtl w:val="0"/>
        </w:rPr>
        <w:t xml:space="preserve">XXXXXXXX X</w:t>
      </w:r>
      <w:r w:rsidDel="00000000" w:rsidR="00000000" w:rsidRPr="00000000">
        <w:rPr>
          <w:rFonts w:ascii="Palatino Linotype" w:cs="Palatino Linotype" w:eastAsia="Palatino Linotype" w:hAnsi="Palatino Linotype"/>
          <w:sz w:val="24"/>
          <w:szCs w:val="24"/>
          <w:rtl w:val="0"/>
        </w:rPr>
        <w:t xml:space="preserve">, a quien en lo sucesivo se le denominará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de la respuesta a su solicitud de información identificada con número de folio</w:t>
      </w:r>
      <w:r w:rsidDel="00000000" w:rsidR="00000000" w:rsidRPr="00000000">
        <w:rPr>
          <w:rFonts w:ascii="Verdana" w:cs="Verdana" w:eastAsia="Verdana" w:hAnsi="Verdana"/>
          <w:b w:val="1"/>
          <w:rtl w:val="0"/>
        </w:rPr>
        <w:t xml:space="preserve"> </w:t>
      </w:r>
      <w:r w:rsidDel="00000000" w:rsidR="00000000" w:rsidRPr="00000000">
        <w:rPr>
          <w:rFonts w:ascii="Palatino Linotype" w:cs="Palatino Linotype" w:eastAsia="Palatino Linotype" w:hAnsi="Palatino Linotype"/>
          <w:b w:val="1"/>
          <w:sz w:val="24"/>
          <w:szCs w:val="24"/>
          <w:rtl w:val="0"/>
        </w:rPr>
        <w:t xml:space="preserve">00056/ATLAUTLA/IP/2023,</w:t>
      </w:r>
      <w:r w:rsidDel="00000000" w:rsidR="00000000" w:rsidRPr="00000000">
        <w:rPr>
          <w:rFonts w:ascii="Palatino Linotype" w:cs="Palatino Linotype" w:eastAsia="Palatino Linotype" w:hAnsi="Palatino Linotype"/>
          <w:sz w:val="24"/>
          <w:szCs w:val="24"/>
          <w:rtl w:val="0"/>
        </w:rPr>
        <w:t xml:space="preserve"> proporcionada por el</w:t>
      </w:r>
      <w:r w:rsidDel="00000000" w:rsidR="00000000" w:rsidRPr="00000000">
        <w:rPr>
          <w:rFonts w:ascii="Verdana" w:cs="Verdana" w:eastAsia="Verdana" w:hAnsi="Verdana"/>
          <w:b w:val="1"/>
          <w:sz w:val="14"/>
          <w:szCs w:val="14"/>
          <w:rtl w:val="0"/>
        </w:rPr>
        <w:t xml:space="preserve"> </w:t>
      </w:r>
      <w:r w:rsidDel="00000000" w:rsidR="00000000" w:rsidRPr="00000000">
        <w:rPr>
          <w:rFonts w:ascii="Palatino Linotype" w:cs="Palatino Linotype" w:eastAsia="Palatino Linotype" w:hAnsi="Palatino Linotype"/>
          <w:b w:val="1"/>
          <w:sz w:val="24"/>
          <w:szCs w:val="24"/>
          <w:rtl w:val="0"/>
        </w:rPr>
        <w:t xml:space="preserve">Ayuntamiento de Atlautla</w:t>
      </w:r>
      <w:r w:rsidDel="00000000" w:rsidR="00000000" w:rsidRPr="00000000">
        <w:rPr>
          <w:rFonts w:ascii="Palatino Linotype" w:cs="Palatino Linotype" w:eastAsia="Palatino Linotype" w:hAnsi="Palatino Linotype"/>
          <w:sz w:val="24"/>
          <w:szCs w:val="24"/>
          <w:rtl w:val="0"/>
        </w:rPr>
        <w:t xml:space="preserve">, en lo sucesivo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w:t>
        <w:tab/>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sz w:val="24"/>
          <w:szCs w:val="24"/>
        </w:rPr>
      </w:pPr>
      <w:bookmarkStart w:colFirst="0" w:colLast="0" w:name="_heading=h.2et92p0" w:id="1"/>
      <w:bookmarkEnd w:id="1"/>
      <w:r w:rsidDel="00000000" w:rsidR="00000000" w:rsidRPr="00000000">
        <w:rPr>
          <w:rtl w:val="0"/>
        </w:rPr>
      </w:r>
    </w:p>
    <w:p w:rsidR="00000000" w:rsidDel="00000000" w:rsidP="00000000" w:rsidRDefault="00000000" w:rsidRPr="00000000" w14:paraId="00000007">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7" w:firstLine="0"/>
        <w:jc w:val="both"/>
        <w:rPr>
          <w:rFonts w:ascii="Palatino Linotype" w:cs="Palatino Linotype" w:eastAsia="Palatino Linotype" w:hAnsi="Palatino Linotype"/>
          <w:sz w:val="24"/>
          <w:szCs w:val="24"/>
        </w:rPr>
      </w:pPr>
      <w:bookmarkStart w:colFirst="0" w:colLast="0" w:name="_heading=h.30j0zll" w:id="2"/>
      <w:bookmarkEnd w:id="2"/>
      <w:r w:rsidDel="00000000" w:rsidR="00000000" w:rsidRPr="00000000">
        <w:rPr>
          <w:rFonts w:ascii="Palatino Linotype" w:cs="Palatino Linotype" w:eastAsia="Palatino Linotype" w:hAnsi="Palatino Linotype"/>
          <w:b w:val="1"/>
          <w:sz w:val="24"/>
          <w:szCs w:val="24"/>
          <w:rtl w:val="0"/>
        </w:rPr>
        <w:t xml:space="preserve">Solicitud de acceso a la información.</w:t>
      </w:r>
      <w:r w:rsidDel="00000000" w:rsidR="00000000" w:rsidRPr="00000000">
        <w:rPr>
          <w:rFonts w:ascii="Palatino Linotype" w:cs="Palatino Linotype" w:eastAsia="Palatino Linotype" w:hAnsi="Palatino Linotype"/>
          <w:sz w:val="24"/>
          <w:szCs w:val="24"/>
          <w:rtl w:val="0"/>
        </w:rPr>
        <w:t xml:space="preserve"> Con fecha </w:t>
      </w:r>
      <w:r w:rsidDel="00000000" w:rsidR="00000000" w:rsidRPr="00000000">
        <w:rPr>
          <w:rFonts w:ascii="Palatino Linotype" w:cs="Palatino Linotype" w:eastAsia="Palatino Linotype" w:hAnsi="Palatino Linotype"/>
          <w:b w:val="1"/>
          <w:sz w:val="24"/>
          <w:szCs w:val="24"/>
          <w:rtl w:val="0"/>
        </w:rPr>
        <w:t xml:space="preserve">catorce de agosto de dos mil veintitrés</w:t>
      </w:r>
      <w:r w:rsidDel="00000000" w:rsidR="00000000" w:rsidRPr="00000000">
        <w:rPr>
          <w:rFonts w:ascii="Palatino Linotype" w:cs="Palatino Linotype" w:eastAsia="Palatino Linotype" w:hAnsi="Palatino Linotype"/>
          <w:sz w:val="24"/>
          <w:szCs w:val="24"/>
          <w:rtl w:val="0"/>
        </w:rPr>
        <w:t xml:space="preserv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en lo subsecuente el SAIMEX, formuló ante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la solicitud de acceso a la información pública a la que se le asignó el número </w:t>
      </w:r>
      <w:r w:rsidDel="00000000" w:rsidR="00000000" w:rsidRPr="00000000">
        <w:rPr>
          <w:rFonts w:ascii="Palatino Linotype" w:cs="Palatino Linotype" w:eastAsia="Palatino Linotype" w:hAnsi="Palatino Linotype"/>
          <w:b w:val="1"/>
          <w:sz w:val="24"/>
          <w:szCs w:val="24"/>
          <w:rtl w:val="0"/>
        </w:rPr>
        <w:t xml:space="preserve">00056/ATLAUTLA/IP/2023</w:t>
      </w:r>
      <w:r w:rsidDel="00000000" w:rsidR="00000000" w:rsidRPr="00000000">
        <w:rPr>
          <w:rFonts w:ascii="Palatino Linotype" w:cs="Palatino Linotype" w:eastAsia="Palatino Linotype" w:hAnsi="Palatino Linotype"/>
          <w:sz w:val="24"/>
          <w:szCs w:val="24"/>
          <w:rtl w:val="0"/>
        </w:rPr>
        <w:t xml:space="preserve">, mediante la cual requirió la información siguiente:</w:t>
      </w:r>
    </w:p>
    <w:p w:rsidR="00000000" w:rsidDel="00000000" w:rsidP="00000000" w:rsidRDefault="00000000" w:rsidRPr="00000000" w14:paraId="00000008">
      <w:pPr>
        <w:tabs>
          <w:tab w:val="left" w:leader="none" w:pos="8505"/>
        </w:tabs>
        <w:spacing w:after="0" w:line="360"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276" w:lineRule="auto"/>
        <w:ind w:left="567" w:right="112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el expediente sobre la gasolinera que se esta construyendo en el popopark, los acuerdos que ha tenido el presidente con los pobladores para no seguir bloqueando la carretera, la opinion del director juridico y de gobierno sobre la gasolinera si cumple con los requisitos que ordena la ley tanto federales, estatales y municipales y de quien es competencia el otorgar esos permisos, tambien que explique en que horarios trabaja en el ayuntamiento de amecameca y en que horarios en atlautla su forma de pago, sueldo, cfdi de abril a julio y si no viola alguna ley como servidor publico.” (Sic)</w:t>
      </w:r>
    </w:p>
    <w:p w:rsidR="00000000" w:rsidDel="00000000" w:rsidP="00000000" w:rsidRDefault="00000000" w:rsidRPr="00000000" w14:paraId="0000000A">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Modalidad elegida para la entrega de la información:</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(SAIMEX).</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Prórroga.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cuatro de septiembre de dos mil veintitrés,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informó que el plazo de quince días hábiles para atender la solicitud de mérito fue prorrogado por siete días más en virtud de las siguientes razones: </w:t>
      </w:r>
    </w:p>
    <w:p w:rsidR="00000000" w:rsidDel="00000000" w:rsidP="00000000" w:rsidRDefault="00000000" w:rsidRPr="00000000" w14:paraId="0000000E">
      <w:pPr>
        <w:spacing w:after="240" w:before="24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0F">
      <w:pPr>
        <w:spacing w:after="240" w:before="24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Es aprobada su prorroga para que entregue en los días autorizados” (Sic)</w:t>
      </w:r>
    </w:p>
    <w:p w:rsidR="00000000" w:rsidDel="00000000" w:rsidP="00000000" w:rsidRDefault="00000000" w:rsidRPr="00000000" w14:paraId="0000001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como refiere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Del="00000000" w:rsidR="00000000" w:rsidRPr="00000000">
        <w:rPr>
          <w:rFonts w:ascii="Palatino Linotype" w:cs="Palatino Linotype" w:eastAsia="Palatino Linotype" w:hAnsi="Palatino Linotype"/>
          <w:b w:val="1"/>
          <w:sz w:val="24"/>
          <w:szCs w:val="24"/>
          <w:rtl w:val="0"/>
        </w:rPr>
        <w:t xml:space="preserve">NO se observaron las formalidades que establece la Ley de la materia</w:t>
      </w:r>
      <w:r w:rsidDel="00000000" w:rsidR="00000000" w:rsidRPr="00000000">
        <w:rPr>
          <w:rFonts w:ascii="Palatino Linotype" w:cs="Palatino Linotype" w:eastAsia="Palatino Linotype" w:hAnsi="Palatino Linotype"/>
          <w:sz w:val="24"/>
          <w:szCs w:val="24"/>
          <w:rtl w:val="0"/>
        </w:rPr>
        <w:t xml:space="preserve">, pues no se anexó el Acuerdo del Comité de Transparencia de dicho ente público, mediante el cual se aprobara la ampliación del plazo para dar atención a la solicitud de información.</w:t>
      </w:r>
    </w:p>
    <w:p w:rsidR="00000000" w:rsidDel="00000000" w:rsidP="00000000" w:rsidRDefault="00000000" w:rsidRPr="00000000" w14:paraId="0000001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2">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Respuesta.</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trece de septiembre de dos mil veintitrés</w:t>
      </w:r>
      <w:r w:rsidDel="00000000" w:rsidR="00000000" w:rsidRPr="00000000">
        <w:rPr>
          <w:rFonts w:ascii="Palatino Linotype" w:cs="Palatino Linotype" w:eastAsia="Palatino Linotype" w:hAnsi="Palatino Linotype"/>
          <w:sz w:val="24"/>
          <w:szCs w:val="24"/>
          <w:rtl w:val="0"/>
        </w:rPr>
        <w:t xml:space="preserv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remitió respuesta a la solicitud de información, al tenor de lo siguiente: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Estimado (a) solicitante reciba con el presente un cordial saludo, con fundamento en lo dispuesto en el artículo 50, 51, 53 59 y 160 de la Ley de Transparencia y Acceso a la Información Pública del Estado de México y Municipios; me permito adjuntar el archivo que subio a la plataforma SAIMEX el Director de Desarrollo Urbano del Municipio de Atlautla. Sin más por el momento me despido de usted.” (Sic)</w:t>
      </w:r>
    </w:p>
    <w:p w:rsidR="00000000" w:rsidDel="00000000" w:rsidP="00000000" w:rsidRDefault="00000000" w:rsidRPr="00000000" w14:paraId="00000017">
      <w:pPr>
        <w:spacing w:after="0" w:line="360"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8">
      <w:pPr>
        <w:spacing w:after="0" w:line="360" w:lineRule="auto"/>
        <w:ind w:right="5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Adjunto a la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entregó un archivo electrónico denominado “</w:t>
      </w:r>
      <w:r w:rsidDel="00000000" w:rsidR="00000000" w:rsidRPr="00000000">
        <w:rPr>
          <w:rFonts w:ascii="Palatino Linotype" w:cs="Palatino Linotype" w:eastAsia="Palatino Linotype" w:hAnsi="Palatino Linotype"/>
          <w:b w:val="1"/>
          <w:i w:val="1"/>
          <w:rtl w:val="0"/>
        </w:rPr>
        <w:t xml:space="preserve">ExpedientedeGasolineriaPopopark-Atlautla-2023.pdf</w:t>
      </w:r>
      <w:r w:rsidDel="00000000" w:rsidR="00000000" w:rsidRPr="00000000">
        <w:rPr>
          <w:rFonts w:ascii="Palatino Linotype" w:cs="Palatino Linotype" w:eastAsia="Palatino Linotype" w:hAnsi="Palatino Linotype"/>
          <w:rtl w:val="0"/>
        </w:rPr>
        <w:t xml:space="preserve">” que contiene la siguiente información:</w:t>
      </w:r>
    </w:p>
    <w:p w:rsidR="00000000" w:rsidDel="00000000" w:rsidP="00000000" w:rsidRDefault="00000000" w:rsidRPr="00000000" w14:paraId="00000019">
      <w:pPr>
        <w:spacing w:after="0" w:line="360" w:lineRule="auto"/>
        <w:ind w:right="560"/>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after="0" w:line="276" w:lineRule="auto"/>
        <w:ind w:left="360"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Oficio número ATLA/DMDU/059/2023 del veintiocho de agosto de dos mil veintitrés, a través del cual el Director Municipal de Desarrollo Urbano, informa que, en lo relativo a la solicitud del expediente de una Gasolinera que se está construyendo en Popo Park, localidad del Municipio de Atlautla, el predio se localiza de acuerdo al Plan Municipal de Desarrollo Urbano de Atlautla vigente, publicado en la Gaceta del Gobierno de fecha 11 de octubre de 2021, en una zona marcada como CRU-200-A y CRU-T, que son Corredores Urbanos densidad 200 y corredor urbano Turístico, que en su uso b-19 marcado en las tablas de usos del suelo en la especificación de uso General del suelo se tiene el uso de Gasolinera y su uso específico de Estaciones de Servicios, Almacenamiento y Expendio de Disel y Gasolina, cuyo uso es permitido de acuerdo al plan vigente.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76" w:lineRule="auto"/>
        <w:ind w:left="360"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76" w:lineRule="auto"/>
        <w:ind w:left="360"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con relación a las licencias de construcción y de excavación que fueron otorgadas por dicha Dirección informa que se rigieron en estricto cumplimiento a lo que marca el artículo 18.1, 18.3 fracción I, II y IV, 18.6 fracción II y 18.21, fracción I, II, III inciso D y E del Libro Décimo Octavo del Código Administrativo del Estado de México.</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76" w:lineRule="auto"/>
        <w:ind w:left="360"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numPr>
          <w:ilvl w:val="0"/>
          <w:numId w:val="7"/>
        </w:numPr>
        <w:pBdr>
          <w:top w:space="0" w:sz="0" w:val="nil"/>
          <w:left w:space="0" w:sz="0" w:val="nil"/>
          <w:bottom w:space="0" w:sz="0" w:val="nil"/>
          <w:right w:space="0" w:sz="0" w:val="nil"/>
          <w:between w:space="0" w:sz="0" w:val="nil"/>
        </w:pBdr>
        <w:spacing w:after="0" w:line="276" w:lineRule="auto"/>
        <w:ind w:left="360" w:right="560" w:hanging="360"/>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rtl w:val="0"/>
        </w:rPr>
        <w:t xml:space="preserve">Licencia de Construcción de Barda Perimetral, expedida dentro del expediente 019, en fecha 22 de junio del 2023, por el Director de Desarrollo Urbano, a favor de la persona moral con razón social “Combustibles CAMYCEN S.A. de C.V.” para el domicilio: XXXXXXX XXXXXX XXXXX, XXXXXX XXXXXXXX X, XXXXX XXXX XXXX del Municipio de Atlautla, Estado de México, en la que se dejó a la vista la clave catastral del predio donde se realizaría la obra.</w:t>
      </w:r>
    </w:p>
    <w:p w:rsidR="00000000" w:rsidDel="00000000" w:rsidP="00000000" w:rsidRDefault="00000000" w:rsidRPr="00000000" w14:paraId="0000001F">
      <w:pPr>
        <w:spacing w:after="0" w:line="276"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numPr>
          <w:ilvl w:val="0"/>
          <w:numId w:val="7"/>
        </w:numPr>
        <w:pBdr>
          <w:top w:space="0" w:sz="0" w:val="nil"/>
          <w:left w:space="0" w:sz="0" w:val="nil"/>
          <w:bottom w:space="0" w:sz="0" w:val="nil"/>
          <w:right w:space="0" w:sz="0" w:val="nil"/>
          <w:between w:space="0" w:sz="0" w:val="nil"/>
        </w:pBdr>
        <w:spacing w:after="0" w:line="276" w:lineRule="auto"/>
        <w:ind w:left="360"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Licencia de Excavación, expedida dentro del expediente 001, en fecha 05 de julio del 2023, por el Director de Desarrollo Urbano, a favor de la persona moral con razón social “Combustibles CAMYCEN S.A. de C.V.”, para el domicilio: XXXXXXX XXXXXX XXXXX, XXXXXX XXXXXXXX X, XXXXX XXXX XXXX del Municipio de Atlautla, Estado de México, en la que se dejó a la vista la clave catastral del predio.</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numPr>
          <w:ilvl w:val="0"/>
          <w:numId w:val="7"/>
        </w:numPr>
        <w:pBdr>
          <w:top w:space="0" w:sz="0" w:val="nil"/>
          <w:left w:space="0" w:sz="0" w:val="nil"/>
          <w:bottom w:space="0" w:sz="0" w:val="nil"/>
          <w:right w:space="0" w:sz="0" w:val="nil"/>
          <w:between w:space="0" w:sz="0" w:val="nil"/>
        </w:pBdr>
        <w:spacing w:after="0" w:line="276" w:lineRule="auto"/>
        <w:ind w:left="360"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Constancia de Alineamiento, Folio 019, de fecha de 19 de noviembre de 2022, expedida por la Dirección de Desarrollo Urbano para el predio ubicado en: XXXXXXX XXXXXX XXXXX, XXXXXX XXXXXXXX X, XXXXX XXXX XXXX del Municipio de Atlautla, Estado de México, en la que se dejó a la vista una clave catastral.</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numPr>
          <w:ilvl w:val="0"/>
          <w:numId w:val="7"/>
        </w:numPr>
        <w:pBdr>
          <w:top w:space="0" w:sz="0" w:val="nil"/>
          <w:left w:space="0" w:sz="0" w:val="nil"/>
          <w:bottom w:space="0" w:sz="0" w:val="nil"/>
          <w:right w:space="0" w:sz="0" w:val="nil"/>
          <w:between w:space="0" w:sz="0" w:val="nil"/>
        </w:pBdr>
        <w:spacing w:after="0" w:line="276" w:lineRule="auto"/>
        <w:ind w:left="360"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Constancia de Numero Oficial de fecha 22 de noviembre de 2022, expedida por el Director de Desarrollo Urbano, para el predio ubicado en: XXXXXXX XXXXXX XXXXX, XXXXXX XXXXXXXX X, XXXXX XXXX XXXX del Municipio de Atlautla, Estado de México, en la que se dejó a la vista la clave catastral del predio.</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76" w:lineRule="auto"/>
        <w:ind w:left="360"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76" w:lineRule="auto"/>
        <w:ind w:left="360"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w:t>
      </w:r>
      <w:r w:rsidDel="00000000" w:rsidR="00000000" w:rsidRPr="00000000">
        <w:rPr>
          <w:rFonts w:ascii="Palatino Linotype" w:cs="Palatino Linotype" w:eastAsia="Palatino Linotype" w:hAnsi="Palatino Linotype"/>
          <w:sz w:val="24"/>
          <w:szCs w:val="24"/>
          <w:rtl w:val="0"/>
        </w:rPr>
        <w:t xml:space="preserve"> Derivado de la respuesta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la persona solicitante interpuso Recurso de Revisión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veinte de septiembre de dos mil veintitrés</w:t>
      </w:r>
      <w:r w:rsidDel="00000000" w:rsidR="00000000" w:rsidRPr="00000000">
        <w:rPr>
          <w:rFonts w:ascii="Palatino Linotype" w:cs="Palatino Linotype" w:eastAsia="Palatino Linotype" w:hAnsi="Palatino Linotype"/>
          <w:sz w:val="24"/>
          <w:szCs w:val="24"/>
          <w:rtl w:val="0"/>
        </w:rPr>
        <w:t xml:space="preserve">, a través del cual expresó lo siguiente:</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851"/>
        </w:tabs>
        <w:spacing w:after="0" w:line="360" w:lineRule="auto"/>
        <w:ind w:left="567" w:right="701"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851"/>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informacion incompleta solicite la opinion del director juridico y de gobierno sobre la gasolinera si cumple con los requisitos que ordena la ley tanto federales, estatales y municipales y de quien es competencia el otorgar esos permisos, tambien que explique en que horarios trabaja en el ayuntamiento de amecameca y en que horarios en atlautla su forma de pago, sueldo, cfdi de abril a julio y si no viola alguna ley como servidor publico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993"/>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709"/>
          <w:tab w:val="left" w:leader="none" w:pos="851"/>
        </w:tabs>
        <w:spacing w:after="0" w:line="276" w:lineRule="auto"/>
        <w:ind w:left="567" w:right="70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“no me me entrego la información completa falto solicite la opinion del director juridico y de gobierno sobre la gasolinera si cumple con los requisitos que ordena la ley tanto federales, estatales y municipales y de quien es competencia el otorgar esos permisos, tambien que explique en que horarios trabaja en el ayuntamiento de amecameca y en que horarios en atlautla su forma de pago, sueldo, cfdi de abril a julio y si no viola alguna ley como servidor publico.” (Sic)</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709"/>
          <w:tab w:val="left" w:leader="none" w:pos="851"/>
        </w:tabs>
        <w:spacing w:after="0" w:line="276" w:lineRule="auto"/>
        <w:ind w:left="567" w:right="70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D">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Turno.</w:t>
      </w:r>
      <w:r w:rsidDel="00000000" w:rsidR="00000000" w:rsidRPr="00000000">
        <w:rPr>
          <w:rFonts w:ascii="Palatino Linotype" w:cs="Palatino Linotype" w:eastAsia="Palatino Linotype" w:hAnsi="Palatino Linotype"/>
          <w:sz w:val="24"/>
          <w:szCs w:val="24"/>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4"/>
          <w:szCs w:val="24"/>
          <w:rtl w:val="0"/>
        </w:rPr>
        <w:t xml:space="preserve">06369/INFOEM/IP/RR/2023</w:t>
      </w:r>
      <w:r w:rsidDel="00000000" w:rsidR="00000000" w:rsidRPr="00000000">
        <w:rPr>
          <w:rFonts w:ascii="Palatino Linotype" w:cs="Palatino Linotype" w:eastAsia="Palatino Linotype" w:hAnsi="Palatino Linotype"/>
          <w:sz w:val="24"/>
          <w:szCs w:val="24"/>
          <w:rtl w:val="0"/>
        </w:rPr>
        <w:t xml:space="preserve">,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sz w:val="24"/>
          <w:szCs w:val="24"/>
          <w:rtl w:val="0"/>
        </w:rPr>
        <w:t xml:space="preserve">Comisionada Guadalupe Ramírez Peña</w:t>
      </w:r>
      <w:r w:rsidDel="00000000" w:rsidR="00000000" w:rsidRPr="00000000">
        <w:rPr>
          <w:rFonts w:ascii="Palatino Linotype" w:cs="Palatino Linotype" w:eastAsia="Palatino Linotype" w:hAnsi="Palatino Linotype"/>
          <w:sz w:val="24"/>
          <w:szCs w:val="24"/>
          <w:rtl w:val="0"/>
        </w:rPr>
        <w:t xml:space="preserve"> para su análisis, estudio, elaboración del proyecto y presentación ante el Pleno de este Instituto.</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Admisión del recurso de revisión</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veinticinco de septiembre de dos mil veintitrés</w:t>
      </w:r>
      <w:r w:rsidDel="00000000" w:rsidR="00000000" w:rsidRPr="00000000">
        <w:rPr>
          <w:rFonts w:ascii="Palatino Linotype" w:cs="Palatino Linotype" w:eastAsia="Palatino Linotype" w:hAnsi="Palatino Linotype"/>
          <w:sz w:val="24"/>
          <w:szCs w:val="24"/>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presentara su informe justificado.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Informe Justificado. </w:t>
      </w:r>
      <w:r w:rsidDel="00000000" w:rsidR="00000000" w:rsidRPr="00000000">
        <w:rPr>
          <w:rFonts w:ascii="Palatino Linotype" w:cs="Palatino Linotype" w:eastAsia="Palatino Linotype" w:hAnsi="Palatino Linotype"/>
          <w:sz w:val="24"/>
          <w:szCs w:val="24"/>
          <w:rtl w:val="0"/>
        </w:rPr>
        <w:t xml:space="preserve">De las constancias que obran en el expediente electrónico aperturado con motivo del presente medio de impugnación, se advierte que durante el periodo de manifestaciones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fechas treinta de octubre y primero de noviembre de dos mil veintitrés, rindió su informe justificado a través de los archivos electrónicos que contienen la información siguiente:</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3">
      <w:pPr>
        <w:numPr>
          <w:ilvl w:val="0"/>
          <w:numId w:val="7"/>
        </w:numPr>
        <w:pBdr>
          <w:top w:space="0" w:sz="0" w:val="nil"/>
          <w:left w:space="0" w:sz="0" w:val="nil"/>
          <w:bottom w:space="0" w:sz="0" w:val="nil"/>
          <w:right w:space="0" w:sz="0" w:val="nil"/>
          <w:between w:space="0" w:sz="0" w:val="nil"/>
        </w:pBdr>
        <w:tabs>
          <w:tab w:val="left" w:leader="none" w:pos="142"/>
        </w:tabs>
        <w:ind w:left="360" w:hanging="36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ab/>
      </w:r>
      <w:r w:rsidDel="00000000" w:rsidR="00000000" w:rsidRPr="00000000">
        <w:rPr>
          <w:rFonts w:ascii="Palatino Linotype" w:cs="Palatino Linotype" w:eastAsia="Palatino Linotype" w:hAnsi="Palatino Linotype"/>
          <w:b w:val="1"/>
          <w:i w:val="1"/>
          <w:rtl w:val="0"/>
        </w:rPr>
        <w:t xml:space="preserve">R. R. 056. DIRECCIÓN DE GOBIERNO.pdf: </w:t>
      </w:r>
      <w:r w:rsidDel="00000000" w:rsidR="00000000" w:rsidRPr="00000000">
        <w:rPr>
          <w:rFonts w:ascii="Palatino Linotype" w:cs="Palatino Linotype" w:eastAsia="Palatino Linotype" w:hAnsi="Palatino Linotype"/>
          <w:rtl w:val="0"/>
        </w:rPr>
        <w:t xml:space="preserve">Oficio del treinta de octubre de dos mil veintitrés, a través del cual el Director de Gobierno Municipal, para atender el requerimiento relativo a su opinión como titular de dicha dirección, sobre el acuerdo al que se llegó con los pobladores de la delegación de PoPo Park, para no seguir bloqueando la carretera federal México-Cuautla, con respecto al tema de la construcción de la gasolinera, con fundamento en el Capítulo IV BIS, artículo 61 BIS, fracciones VII y X del Bando Municipal de Policía y Buen Gobierno informa lo siguiente:</w:t>
      </w:r>
      <w:r w:rsidDel="00000000" w:rsidR="00000000" w:rsidRPr="00000000">
        <w:rPr>
          <w:rtl w:val="0"/>
        </w:rPr>
      </w:r>
    </w:p>
    <w:p w:rsidR="00000000" w:rsidDel="00000000" w:rsidP="00000000" w:rsidRDefault="00000000" w:rsidRPr="00000000" w14:paraId="00000034">
      <w:pPr>
        <w:tabs>
          <w:tab w:val="left" w:leader="none" w:pos="142"/>
        </w:tabs>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35">
      <w:pPr>
        <w:tabs>
          <w:tab w:val="left" w:leader="none" w:pos="142"/>
        </w:tabs>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día 31 de Julio de 2013 se presentó el presidente municipal constitucional Raúl Navarro Rivera en la delegación de Popo Park sobre la carretera Federal México - Cuautla para atender a los ciudadanos que se manifestaron por la construcción de la Gasolinera.</w:t>
      </w:r>
    </w:p>
    <w:p w:rsidR="00000000" w:rsidDel="00000000" w:rsidP="00000000" w:rsidRDefault="00000000" w:rsidRPr="00000000" w14:paraId="00000036">
      <w:pPr>
        <w:tabs>
          <w:tab w:val="left" w:leader="none" w:pos="142"/>
        </w:tabs>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7">
      <w:pPr>
        <w:tabs>
          <w:tab w:val="left" w:leader="none" w:pos="142"/>
        </w:tabs>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llegó al acuerdo de reunirse el dia 04 de Agosto en las instalaciones de presidencia Municipal en Atlautla donde el Presidente municipal Raúl Navarro Rivera y los vecinos de Popo Park realizaron una mesa de trabajo donde se escucharon sus demandas. Estando presentes los representantes legales de la empresa CAMYCEN S. A. de C.V. quienes construyen la gasolinera.</w:t>
      </w:r>
    </w:p>
    <w:p w:rsidR="00000000" w:rsidDel="00000000" w:rsidP="00000000" w:rsidRDefault="00000000" w:rsidRPr="00000000" w14:paraId="00000038">
      <w:pPr>
        <w:tabs>
          <w:tab w:val="left" w:leader="none" w:pos="142"/>
        </w:tabs>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9">
      <w:pPr>
        <w:tabs>
          <w:tab w:val="left" w:leader="none" w:pos="142"/>
        </w:tabs>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Así mismo también estuvieron presentes funcionarios de la dirección regional de gobierno estatal, secretaria de desarrollo urbano estatal, secretario del Ayuntamiento Luis Alberto Rivera Torres, director municipal de desarrollo urbano José Alfredo Jiménez Galindo, director de Ecología Miguel Ángel Villanueva Bautista, así como el director de Gobierno municipal Liborio Flores Mejía.</w:t>
      </w:r>
    </w:p>
    <w:p w:rsidR="00000000" w:rsidDel="00000000" w:rsidP="00000000" w:rsidRDefault="00000000" w:rsidRPr="00000000" w14:paraId="0000003A">
      <w:pPr>
        <w:tabs>
          <w:tab w:val="left" w:leader="none" w:pos="142"/>
        </w:tabs>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B">
      <w:pPr>
        <w:tabs>
          <w:tab w:val="left" w:leader="none" w:pos="142"/>
        </w:tabs>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presidente municipal Raúl Navarro Rivera acordó de manera verbal con los ciudadanos inconformes, que se colocarán sellos de suspensión en el área donde se pretende construir la gasolinera, hasta que se muestren todos los permisos correspondientes y mientras tanto autoridades y vecinos estarán al pendiente de todo el proceso para que sea legal y transparente.”</w:t>
      </w:r>
    </w:p>
    <w:p w:rsidR="00000000" w:rsidDel="00000000" w:rsidP="00000000" w:rsidRDefault="00000000" w:rsidRPr="00000000" w14:paraId="0000003C">
      <w:pPr>
        <w:tabs>
          <w:tab w:val="left" w:leader="none" w:pos="142"/>
        </w:tabs>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D">
      <w:pPr>
        <w:numPr>
          <w:ilvl w:val="0"/>
          <w:numId w:val="7"/>
        </w:numPr>
        <w:pBdr>
          <w:top w:space="0" w:sz="0" w:val="nil"/>
          <w:left w:space="0" w:sz="0" w:val="nil"/>
          <w:bottom w:space="0" w:sz="0" w:val="nil"/>
          <w:right w:space="0" w:sz="0" w:val="nil"/>
          <w:between w:space="0" w:sz="0" w:val="nil"/>
        </w:pBdr>
        <w:tabs>
          <w:tab w:val="left" w:leader="none" w:pos="284"/>
        </w:tabs>
        <w:spacing w:after="0" w:line="276" w:lineRule="auto"/>
        <w:ind w:left="360" w:right="49" w:hanging="36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ab/>
      </w:r>
      <w:r w:rsidDel="00000000" w:rsidR="00000000" w:rsidRPr="00000000">
        <w:rPr>
          <w:rFonts w:ascii="Palatino Linotype" w:cs="Palatino Linotype" w:eastAsia="Palatino Linotype" w:hAnsi="Palatino Linotype"/>
          <w:b w:val="1"/>
          <w:i w:val="1"/>
          <w:rtl w:val="0"/>
        </w:rPr>
        <w:t xml:space="preserve">RR 06369 JURIDICO.pdf: </w:t>
      </w:r>
      <w:r w:rsidDel="00000000" w:rsidR="00000000" w:rsidRPr="00000000">
        <w:rPr>
          <w:rFonts w:ascii="Palatino Linotype" w:cs="Palatino Linotype" w:eastAsia="Palatino Linotype" w:hAnsi="Palatino Linotype"/>
          <w:rtl w:val="0"/>
        </w:rPr>
        <w:t xml:space="preserve">Oficios del veintitrés de agosto, diecinueve y treinta y uno de octubre de dos mil veintitrés, a través de los cuales la Titular de la Unidad de Transparencia solicita al Director Jurídico Municipal en varias ocasiones que remita la información que le fue requerida en la solicitud de información.</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Documentos los anteriores que se pusieron a la vista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para efecto de que manifestara lo que a su derecho resultara conveniente, o bien, rindiera alegatos; sin embargo, fue omisa en ejercer dicha prerrogativa.</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1">
      <w:pPr>
        <w:numPr>
          <w:ilvl w:val="0"/>
          <w:numId w:val="5"/>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Ampliación de plazo:</w:t>
      </w:r>
      <w:r w:rsidDel="00000000" w:rsidR="00000000" w:rsidRPr="00000000">
        <w:rPr>
          <w:rFonts w:ascii="Palatino Linotype" w:cs="Palatino Linotype" w:eastAsia="Palatino Linotype" w:hAnsi="Palatino Linotype"/>
          <w:sz w:val="24"/>
          <w:szCs w:val="24"/>
          <w:rtl w:val="0"/>
        </w:rPr>
        <w:t xml:space="preserve"> El</w:t>
      </w:r>
      <w:r w:rsidDel="00000000" w:rsidR="00000000" w:rsidRPr="00000000">
        <w:rPr>
          <w:rFonts w:ascii="Palatino Linotype" w:cs="Palatino Linotype" w:eastAsia="Palatino Linotype" w:hAnsi="Palatino Linotype"/>
          <w:b w:val="1"/>
          <w:sz w:val="24"/>
          <w:szCs w:val="24"/>
          <w:rtl w:val="0"/>
        </w:rPr>
        <w:t xml:space="preserve"> trece de marzo de dos mil veinticuatro</w:t>
      </w:r>
      <w:r w:rsidDel="00000000" w:rsidR="00000000" w:rsidRPr="00000000">
        <w:rPr>
          <w:rFonts w:ascii="Palatino Linotype" w:cs="Palatino Linotype" w:eastAsia="Palatino Linotype" w:hAnsi="Palatino Linotype"/>
          <w:sz w:val="24"/>
          <w:szCs w:val="24"/>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4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D">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4"/>
          <w:szCs w:val="24"/>
          <w:rtl w:val="0"/>
        </w:rPr>
        <w:t xml:space="preserve">a</w:t>
      </w:r>
      <w:r w:rsidDel="00000000" w:rsidR="00000000" w:rsidRPr="00000000">
        <w:rPr>
          <w:rFonts w:ascii="Palatino Linotype" w:cs="Palatino Linotype" w:eastAsia="Palatino Linotype" w:hAnsi="Palatino Linotype"/>
          <w:b w:val="1"/>
          <w:rtl w:val="0"/>
        </w:rPr>
        <w:t xml:space="preserve">)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4E">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4F">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50">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51">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5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5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A">
      <w:pPr>
        <w:spacing w:after="0"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5B">
      <w:pPr>
        <w:spacing w:after="0"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C">
      <w:pPr>
        <w:spacing w:after="0"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0">
      <w:pPr>
        <w:numPr>
          <w:ilvl w:val="0"/>
          <w:numId w:val="5"/>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Cierre de instrucción</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veinte de marzo de dos mil veinticuatro</w:t>
      </w:r>
      <w:r w:rsidDel="00000000" w:rsidR="00000000" w:rsidRPr="00000000">
        <w:rPr>
          <w:rFonts w:ascii="Palatino Linotype" w:cs="Palatino Linotype" w:eastAsia="Palatino Linotype" w:hAnsi="Palatino Linotype"/>
          <w:sz w:val="24"/>
          <w:szCs w:val="24"/>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4">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w:t>
        <w:tab/>
        <w:t xml:space="preserve">C O N S I D E R A N D O:</w:t>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w:t>
      </w:r>
      <w:r w:rsidDel="00000000" w:rsidR="00000000" w:rsidRPr="00000000">
        <w:rPr>
          <w:rFonts w:ascii="Palatino Linotype" w:cs="Palatino Linotype" w:eastAsia="Palatino Linotype" w:hAnsi="Palatino Linotype"/>
          <w:sz w:val="24"/>
          <w:szCs w:val="24"/>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sz w:val="24"/>
          <w:szCs w:val="24"/>
        </w:rPr>
      </w:pPr>
      <w:bookmarkStart w:colFirst="0" w:colLast="0" w:name="_heading=h.3znysh7" w:id="4"/>
      <w:bookmarkEnd w:id="4"/>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remitió la respuesta a la solicitud de información el </w:t>
      </w:r>
      <w:r w:rsidDel="00000000" w:rsidR="00000000" w:rsidRPr="00000000">
        <w:rPr>
          <w:rFonts w:ascii="Palatino Linotype" w:cs="Palatino Linotype" w:eastAsia="Palatino Linotype" w:hAnsi="Palatino Linotype"/>
          <w:b w:val="1"/>
          <w:sz w:val="24"/>
          <w:szCs w:val="24"/>
          <w:rtl w:val="0"/>
        </w:rPr>
        <w:t xml:space="preserve">trece de septiembre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dos mil veintitrés, </w:t>
      </w:r>
      <w:r w:rsidDel="00000000" w:rsidR="00000000" w:rsidRPr="00000000">
        <w:rPr>
          <w:rFonts w:ascii="Palatino Linotype" w:cs="Palatino Linotype" w:eastAsia="Palatino Linotype" w:hAnsi="Palatino Linotype"/>
          <w:sz w:val="24"/>
          <w:szCs w:val="24"/>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se tuvo por presentado el día </w:t>
      </w:r>
      <w:r w:rsidDel="00000000" w:rsidR="00000000" w:rsidRPr="00000000">
        <w:rPr>
          <w:rFonts w:ascii="Palatino Linotype" w:cs="Palatino Linotype" w:eastAsia="Palatino Linotype" w:hAnsi="Palatino Linotype"/>
          <w:b w:val="1"/>
          <w:sz w:val="24"/>
          <w:szCs w:val="24"/>
          <w:rtl w:val="0"/>
        </w:rPr>
        <w:t xml:space="preserve">veinte de septiembre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dos mil veintitrés, </w:t>
      </w:r>
      <w:r w:rsidDel="00000000" w:rsidR="00000000" w:rsidRPr="00000000">
        <w:rPr>
          <w:rFonts w:ascii="Palatino Linotype" w:cs="Palatino Linotype" w:eastAsia="Palatino Linotype" w:hAnsi="Palatino Linotype"/>
          <w:sz w:val="24"/>
          <w:szCs w:val="24"/>
          <w:rtl w:val="0"/>
        </w:rPr>
        <w:t xml:space="preserve">esto es al </w:t>
      </w:r>
      <w:r w:rsidDel="00000000" w:rsidR="00000000" w:rsidRPr="00000000">
        <w:rPr>
          <w:rFonts w:ascii="Palatino Linotype" w:cs="Palatino Linotype" w:eastAsia="Palatino Linotype" w:hAnsi="Palatino Linotype"/>
          <w:sz w:val="24"/>
          <w:szCs w:val="24"/>
          <w:u w:val="single"/>
          <w:rtl w:val="0"/>
        </w:rPr>
        <w:t xml:space="preserve">quinto</w:t>
      </w:r>
      <w:r w:rsidDel="00000000" w:rsidR="00000000" w:rsidRPr="00000000">
        <w:rPr>
          <w:rFonts w:ascii="Palatino Linotype" w:cs="Palatino Linotype" w:eastAsia="Palatino Linotype" w:hAnsi="Palatino Linotype"/>
          <w:sz w:val="24"/>
          <w:szCs w:val="24"/>
          <w:rtl w:val="0"/>
        </w:rPr>
        <w:t xml:space="preserve"> día hábil siguiente a aquel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6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C">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sz w:val="24"/>
          <w:szCs w:val="24"/>
          <w:rtl w:val="0"/>
        </w:rPr>
        <w:t xml:space="preserve">SAIMEX.</w:t>
      </w:r>
    </w:p>
    <w:p w:rsidR="00000000" w:rsidDel="00000000" w:rsidP="00000000" w:rsidRDefault="00000000" w:rsidRPr="00000000" w14:paraId="0000006D">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es de suma importancia mencionar que, si bien la parte</w:t>
      </w:r>
      <w:r w:rsidDel="00000000" w:rsidR="00000000" w:rsidRPr="00000000">
        <w:rPr>
          <w:rFonts w:ascii="Palatino Linotype" w:cs="Palatino Linotype" w:eastAsia="Palatino Linotype" w:hAnsi="Palatino Linotype"/>
          <w:b w:val="1"/>
          <w:sz w:val="24"/>
          <w:szCs w:val="24"/>
          <w:rtl w:val="0"/>
        </w:rPr>
        <w:t xml:space="preserve"> Recurrente</w:t>
      </w:r>
      <w:r w:rsidDel="00000000" w:rsidR="00000000" w:rsidRPr="00000000">
        <w:rPr>
          <w:rFonts w:ascii="Palatino Linotype" w:cs="Palatino Linotype" w:eastAsia="Palatino Linotype" w:hAnsi="Palatino Linotype"/>
          <w:sz w:val="24"/>
          <w:szCs w:val="24"/>
          <w:rtl w:val="0"/>
        </w:rPr>
        <w:t xml:space="preserve"> proporcionó un seudónimo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6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0">
      <w:pP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w:t>
      </w:r>
      <w:r w:rsidDel="00000000" w:rsidR="00000000" w:rsidRPr="00000000">
        <w:rPr>
          <w:rFonts w:ascii="Palatino Linotype" w:cs="Palatino Linotype" w:eastAsia="Palatino Linotype" w:hAnsi="Palatino Linotype"/>
          <w:i w:val="1"/>
          <w:rtl w:val="0"/>
        </w:rPr>
        <w:t xml:space="preserve">anónimas, con nombre incompleto </w:t>
      </w:r>
      <w:r w:rsidDel="00000000" w:rsidR="00000000" w:rsidRPr="00000000">
        <w:rPr>
          <w:rFonts w:ascii="Palatino Linotype" w:cs="Palatino Linotype" w:eastAsia="Palatino Linotype" w:hAnsi="Palatino Linotype"/>
          <w:b w:val="1"/>
          <w:i w:val="1"/>
          <w:rtl w:val="0"/>
        </w:rPr>
        <w:t xml:space="preserve">o seudónimo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7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sus motivos de inconformidad, de acuerdo con el artículo 179, fracción V del ordenamiento legal citado, que a la letra dice: </w:t>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5">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6">
      <w:pPr>
        <w:spacing w:after="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 La entrega de información incompleta;</w:t>
      </w:r>
    </w:p>
    <w:p w:rsidR="00000000" w:rsidDel="00000000" w:rsidP="00000000" w:rsidRDefault="00000000" w:rsidRPr="00000000" w14:paraId="00000077">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76" w:lineRule="auto"/>
        <w:ind w:left="567" w:right="902"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360" w:lineRule="auto"/>
        <w:ind w:left="567" w:right="902"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7A">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4"/>
          <w:szCs w:val="24"/>
          <w:rtl w:val="0"/>
        </w:rPr>
        <w:t xml:space="preserve">verificar si la respuesta e informe justificado otorgados por el Sujeto Obligado son adecuados y suficientes para satisfacer el derecho de acceso a la información pública de la parte Recurrente,</w:t>
      </w:r>
      <w:r w:rsidDel="00000000" w:rsidR="00000000" w:rsidRPr="00000000">
        <w:rPr>
          <w:rFonts w:ascii="Palatino Linotype" w:cs="Palatino Linotype" w:eastAsia="Palatino Linotype" w:hAnsi="Palatino Linotype"/>
          <w:sz w:val="24"/>
          <w:szCs w:val="24"/>
          <w:rtl w:val="0"/>
        </w:rPr>
        <w:t xml:space="preserve"> o en su defecto, en caso de ser procedente, ordenar la entrega de información oportuna.</w:t>
      </w:r>
      <w:r w:rsidDel="00000000" w:rsidR="00000000" w:rsidRPr="00000000">
        <w:rPr>
          <w:rtl w:val="0"/>
        </w:rPr>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Estudio del asunto. </w:t>
      </w:r>
      <w:r w:rsidDel="00000000" w:rsidR="00000000" w:rsidRPr="00000000">
        <w:rPr>
          <w:rFonts w:ascii="Palatino Linotype" w:cs="Palatino Linotype" w:eastAsia="Palatino Linotype" w:hAnsi="Palatino Linotype"/>
          <w:sz w:val="24"/>
          <w:szCs w:val="24"/>
          <w:rtl w:val="0"/>
        </w:rPr>
        <w:t xml:space="preserve">Antes de entrar al análisis de los pronunciamientos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76" w:lineRule="auto"/>
        <w:ind w:left="851" w:right="850" w:firstLine="0"/>
        <w:jc w:val="both"/>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76" w:lineRule="auto"/>
        <w:ind w:left="851" w:right="850" w:firstLine="0"/>
        <w:jc w:val="both"/>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76" w:lineRule="auto"/>
        <w:ind w:left="851" w:right="850" w:firstLine="0"/>
        <w:jc w:val="both"/>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76" w:lineRule="auto"/>
        <w:ind w:left="851" w:right="850"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76" w:lineRule="auto"/>
        <w:ind w:left="851" w:right="901" w:firstLine="0"/>
        <w:jc w:val="both"/>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76" w:lineRule="auto"/>
        <w:ind w:left="851" w:right="901"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08F">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90">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1">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92">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3">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9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7">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98">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9">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9A">
      <w:pPr>
        <w:spacing w:after="0" w:line="360" w:lineRule="auto"/>
        <w:ind w:left="567" w:right="616"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9B">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9C">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D">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9E">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9F">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A0">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A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A6">
      <w:pPr>
        <w:spacing w:after="0" w:line="360" w:lineRule="auto"/>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7">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A8">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9">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AA">
      <w:pPr>
        <w:spacing w:after="0" w:line="360"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A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D">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AE">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AF">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B0">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B1">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B2">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B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b w:val="1"/>
          <w:sz w:val="24"/>
          <w:szCs w:val="24"/>
          <w:u w:val="single"/>
        </w:rPr>
      </w:pPr>
      <w:bookmarkStart w:colFirst="0" w:colLast="0" w:name="_heading=h.1y810tw" w:id="5"/>
      <w:bookmarkEnd w:id="5"/>
      <w:r w:rsidDel="00000000" w:rsidR="00000000" w:rsidRPr="00000000">
        <w:rPr>
          <w:rFonts w:ascii="Palatino Linotype" w:cs="Palatino Linotype" w:eastAsia="Palatino Linotype" w:hAnsi="Palatino Linotype"/>
          <w:sz w:val="24"/>
          <w:szCs w:val="24"/>
          <w:rtl w:val="0"/>
        </w:rPr>
        <w:t xml:space="preserve">Dicho lo anterior, en el caso se analizará el agravio hecho valer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que actualiza la causal de procedencia prevista en la fracción V del artículo 179 de la Ley de Transparencia y Acceso a la Información del Estado de México y Municipios, relativa a </w:t>
      </w:r>
      <w:r w:rsidDel="00000000" w:rsidR="00000000" w:rsidRPr="00000000">
        <w:rPr>
          <w:rFonts w:ascii="Palatino Linotype" w:cs="Palatino Linotype" w:eastAsia="Palatino Linotype" w:hAnsi="Palatino Linotype"/>
          <w:b w:val="1"/>
          <w:sz w:val="24"/>
          <w:szCs w:val="24"/>
          <w:u w:val="single"/>
          <w:rtl w:val="0"/>
        </w:rPr>
        <w:t xml:space="preserve">la entrega de información incompleta.</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 de lo anterior, por cuestión de método se estima pertinente insertar el siguiente cuadro de análisis, en los que se precisarán los requerimientos medulares de la persona solicitante, respuesta emitida y el informe justificado rendido por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como se sigue:</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tbl>
      <w:tblPr>
        <w:tblStyle w:val="Table1"/>
        <w:tblW w:w="904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6"/>
        <w:gridCol w:w="2551"/>
        <w:gridCol w:w="2977"/>
        <w:gridCol w:w="2552"/>
        <w:tblGridChange w:id="0">
          <w:tblGrid>
            <w:gridCol w:w="966"/>
            <w:gridCol w:w="2551"/>
            <w:gridCol w:w="2977"/>
            <w:gridCol w:w="2552"/>
          </w:tblGrid>
        </w:tblGridChange>
      </w:tblGrid>
      <w:tr>
        <w:trPr>
          <w:cantSplit w:val="0"/>
          <w:tblHeader w:val="0"/>
        </w:trPr>
        <w:tc>
          <w:tcPr>
            <w:shd w:fill="f7cbac" w:val="clear"/>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w:t>
            </w:r>
          </w:p>
        </w:tc>
        <w:tc>
          <w:tcPr>
            <w:shd w:fill="f7cbac" w:val="clea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Requerimiento</w:t>
            </w:r>
          </w:p>
        </w:tc>
        <w:tc>
          <w:tcPr>
            <w:shd w:fill="f7cbac" w:val="clea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f7cbac" w:val="clear"/>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r>
      <w:tr>
        <w:trPr>
          <w:cantSplit w:val="0"/>
          <w:trHeight w:val="630" w:hRule="atLeast"/>
          <w:tblHeader w:val="0"/>
        </w:trPr>
        <w:tc>
          <w:tcPr>
            <w:tcBorders>
              <w:bottom w:color="000000" w:space="0" w:sz="4" w:val="single"/>
            </w:tcBorders>
          </w:tcPr>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1</w:t>
            </w:r>
          </w:p>
        </w:tc>
        <w:tc>
          <w:tcPr>
            <w:tcBorders>
              <w:bottom w:color="000000" w:space="0" w:sz="4" w:val="single"/>
            </w:tcBorders>
            <w:shd w:fill="auto" w:val="clear"/>
          </w:tcPr>
          <w:p w:rsidR="00000000" w:rsidDel="00000000" w:rsidP="00000000" w:rsidRDefault="00000000" w:rsidRPr="00000000" w14:paraId="000000BF">
            <w:pPr>
              <w:spacing w:after="0" w:line="36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El expediente sobre la gasolinera que se está construyendo en el popo park.</w:t>
            </w:r>
          </w:p>
        </w:tc>
        <w:tc>
          <w:tcPr>
            <w:tcBorders>
              <w:bottom w:color="000000" w:space="0" w:sz="4" w:val="single"/>
            </w:tcBorders>
            <w:shd w:fill="auto" w:val="clear"/>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El Director Municipal de Desarrollo Urbano, informó que, en lo relativo a la solicitud del expediente de una Gasolinera que se está construyendo en Popo Park, localidad del Municipio de Atlautla, el predio se localiza de acuerdo al Plan Municipal de Desarrollo Urbano de Atlautla vigente, publicado en la Gaceta del Gobierno de fecha 11 de octubre de 2021, en una zona marcada como CRU-200-A y CRU-T, que son Corredores Urbanos densidad 200 y corredor urbano Turístico, que en su uso b-19 marcado en las tablas de usos del suelo en la especificación de uso General del suelo se tiene el uso de Gasolinera y su uso específico de Estaciones de Servicios, Almacenamiento y Expendio de Disel y Gasolina, cuyo uso es permitido de acuerdo al plan vigente.</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18"/>
                <w:szCs w:val="18"/>
                <w:rtl w:val="0"/>
              </w:rPr>
              <w:t xml:space="preserve">Asimismo, adjuntó: Licencia de Construcción de Barda Perimetral, expedida dentro del expediente 019, en fecha 22 de junio del 2023;</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18"/>
                <w:szCs w:val="18"/>
                <w:rtl w:val="0"/>
              </w:rPr>
              <w:t xml:space="preserve">Licencia de Excavación, expedida dentro del expediente 001, en fecha 05 de julio del 2023;  Constancia de Alineamiento, Folio 019, de fecha de 19 de noviembre de 2022; y, Constancia de Numero Oficial de fecha 22 de noviembre de 2022; todas expedidas por el Director de Desarrollo Urbano.</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 se aportó información</w:t>
            </w:r>
          </w:p>
        </w:tc>
      </w:tr>
      <w:tr>
        <w:trPr>
          <w:cantSplit w:val="0"/>
          <w:trHeight w:val="1350" w:hRule="atLeast"/>
          <w:tblHeader w:val="0"/>
        </w:trPr>
        <w:tc>
          <w:tcPr>
            <w:tcBorders>
              <w:top w:color="000000" w:space="0" w:sz="4" w:val="single"/>
              <w:bottom w:color="000000" w:space="0" w:sz="4" w:val="single"/>
            </w:tcBorders>
          </w:tcPr>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2</w:t>
            </w:r>
          </w:p>
        </w:tc>
        <w:tc>
          <w:tcPr>
            <w:tcBorders>
              <w:top w:color="000000" w:space="0" w:sz="4" w:val="single"/>
              <w:bottom w:color="000000" w:space="0" w:sz="4" w:val="single"/>
            </w:tcBorders>
            <w:shd w:fill="auto" w:val="clear"/>
          </w:tcPr>
          <w:p w:rsidR="00000000" w:rsidDel="00000000" w:rsidP="00000000" w:rsidRDefault="00000000" w:rsidRPr="00000000" w14:paraId="000000C6">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Los acuerdos que ha tenido el presidente con los pobladores para no seguir bloqueando la carretera.</w:t>
            </w:r>
            <w:r w:rsidDel="00000000" w:rsidR="00000000" w:rsidRPr="00000000">
              <w:rPr>
                <w:rtl w:val="0"/>
              </w:rPr>
            </w:r>
          </w:p>
        </w:tc>
        <w:tc>
          <w:tcPr>
            <w:vMerge w:val="restart"/>
            <w:tcBorders>
              <w:top w:color="000000" w:space="0" w:sz="4" w:val="single"/>
            </w:tcBorders>
            <w:shd w:fill="auto" w:val="clear"/>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 se aportó información sobre estos puntos.</w:t>
            </w:r>
          </w:p>
        </w:tc>
        <w:tc>
          <w:tcPr>
            <w:tcBorders>
              <w:top w:color="000000" w:space="0" w:sz="4" w:val="single"/>
              <w:bottom w:color="000000" w:space="0" w:sz="4" w:val="single"/>
            </w:tcBorders>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informe el Director de Gobierno Municipal proporciona un oficio del treinta de octubre de dos mil veintitrés, a través del cual informa los acuerdos a los que llegó el Presidente Municipal con los pobladores de la delegación de PoPo Park, para no seguir bloqueando la carretera federal México-Cuautla, con respecto al tema de la construcción de la gasolinera, como se expuso en el antecedente sexto de la presente resolución.</w:t>
            </w:r>
          </w:p>
        </w:tc>
      </w:tr>
      <w:tr>
        <w:trPr>
          <w:cantSplit w:val="0"/>
          <w:trHeight w:val="675" w:hRule="atLeast"/>
          <w:tblHeader w:val="0"/>
        </w:trPr>
        <w:tc>
          <w:tcPr>
            <w:tcBorders>
              <w:top w:color="000000" w:space="0" w:sz="4" w:val="single"/>
              <w:bottom w:color="000000" w:space="0" w:sz="4" w:val="single"/>
            </w:tcBorders>
          </w:tcPr>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3</w:t>
            </w:r>
          </w:p>
        </w:tc>
        <w:tc>
          <w:tcPr>
            <w:tcBorders>
              <w:top w:color="000000" w:space="0" w:sz="4" w:val="single"/>
              <w:bottom w:color="000000" w:space="0" w:sz="4" w:val="single"/>
            </w:tcBorders>
            <w:shd w:fill="auto" w:val="clear"/>
          </w:tcPr>
          <w:p w:rsidR="00000000" w:rsidDel="00000000" w:rsidP="00000000" w:rsidRDefault="00000000" w:rsidRPr="00000000" w14:paraId="000000E3">
            <w:pPr>
              <w:spacing w:after="0" w:line="36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La opinión del Director Jurídico y de Gobierno sobre la gasolinera si cumple con los requisitos que ordena la ley tanto federales, estatales y municipales y de quien es competencia el otorgar esos permisos.</w:t>
            </w:r>
          </w:p>
        </w:tc>
        <w:tc>
          <w:tcPr>
            <w:vMerge w:val="continue"/>
            <w:tcBorders>
              <w:top w:color="000000" w:space="0" w:sz="4" w:val="single"/>
            </w:tcBorders>
            <w:shd w:fill="auto" w:val="cle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18"/>
                <w:szCs w:val="18"/>
              </w:rPr>
            </w:pPr>
            <w:r w:rsidDel="00000000" w:rsidR="00000000" w:rsidRPr="00000000">
              <w:rPr>
                <w:rtl w:val="0"/>
              </w:rPr>
            </w:r>
          </w:p>
        </w:tc>
        <w:tc>
          <w:tcPr>
            <w:vMerge w:val="restart"/>
            <w:tcBorders>
              <w:top w:color="000000" w:space="0" w:sz="4" w:val="single"/>
            </w:tcBorders>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No se aportó información sobre estos puntos.</w:t>
            </w:r>
            <w:r w:rsidDel="00000000" w:rsidR="00000000" w:rsidRPr="00000000">
              <w:rPr>
                <w:rtl w:val="0"/>
              </w:rPr>
            </w:r>
          </w:p>
        </w:tc>
      </w:tr>
      <w:tr>
        <w:trPr>
          <w:cantSplit w:val="0"/>
          <w:trHeight w:val="660" w:hRule="atLeast"/>
          <w:tblHeader w:val="0"/>
        </w:trPr>
        <w:tc>
          <w:tcPr>
            <w:tcBorders>
              <w:top w:color="000000" w:space="0" w:sz="4" w:val="single"/>
              <w:bottom w:color="000000" w:space="0" w:sz="4" w:val="single"/>
            </w:tcBorders>
          </w:tcPr>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4</w:t>
            </w:r>
          </w:p>
        </w:tc>
        <w:tc>
          <w:tcPr>
            <w:tcBorders>
              <w:top w:color="000000" w:space="0" w:sz="4" w:val="single"/>
              <w:bottom w:color="000000" w:space="0" w:sz="4" w:val="single"/>
            </w:tcBorders>
            <w:shd w:fill="auto" w:val="clear"/>
          </w:tcPr>
          <w:p w:rsidR="00000000" w:rsidDel="00000000" w:rsidP="00000000" w:rsidRDefault="00000000" w:rsidRPr="00000000" w14:paraId="000000EF">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Del Director Jurídico y de Gobierno, sobre los horarios que trabaja en el Ayuntamiento de Amecameca.</w:t>
            </w:r>
            <w:r w:rsidDel="00000000" w:rsidR="00000000" w:rsidRPr="00000000">
              <w:rPr>
                <w:rtl w:val="0"/>
              </w:rPr>
            </w:r>
          </w:p>
        </w:tc>
        <w:tc>
          <w:tcPr>
            <w:vMerge w:val="continue"/>
            <w:tcBorders>
              <w:top w:color="000000" w:space="0" w:sz="4" w:val="single"/>
            </w:tcBorders>
            <w:shd w:fill="auto"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18"/>
                <w:szCs w:val="18"/>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18"/>
                <w:szCs w:val="18"/>
              </w:rPr>
            </w:pPr>
            <w:r w:rsidDel="00000000" w:rsidR="00000000" w:rsidRPr="00000000">
              <w:rPr>
                <w:rtl w:val="0"/>
              </w:rPr>
            </w:r>
          </w:p>
        </w:tc>
      </w:tr>
      <w:tr>
        <w:trPr>
          <w:cantSplit w:val="0"/>
          <w:trHeight w:val="615" w:hRule="atLeast"/>
          <w:tblHeader w:val="0"/>
        </w:trPr>
        <w:tc>
          <w:tcPr>
            <w:tcBorders>
              <w:top w:color="000000" w:space="0" w:sz="4" w:val="single"/>
              <w:bottom w:color="000000" w:space="0" w:sz="4" w:val="single"/>
            </w:tcBorders>
          </w:tcPr>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5</w:t>
            </w:r>
          </w:p>
        </w:tc>
        <w:tc>
          <w:tcPr>
            <w:tcBorders>
              <w:top w:color="000000" w:space="0" w:sz="4" w:val="single"/>
              <w:bottom w:color="000000" w:space="0" w:sz="4" w:val="single"/>
            </w:tcBorders>
            <w:shd w:fill="auto" w:val="clear"/>
          </w:tcPr>
          <w:p w:rsidR="00000000" w:rsidDel="00000000" w:rsidP="00000000" w:rsidRDefault="00000000" w:rsidRPr="00000000" w14:paraId="000000F3">
            <w:pPr>
              <w:spacing w:after="0" w:line="36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Del Director Jurídico y de Gobierno, sobre los horarios que trabaja en el Ayuntamiento de Atlautla.</w:t>
            </w:r>
            <w:r w:rsidDel="00000000" w:rsidR="00000000" w:rsidRPr="00000000">
              <w:rPr>
                <w:rtl w:val="0"/>
              </w:rPr>
            </w:r>
          </w:p>
        </w:tc>
        <w:tc>
          <w:tcPr>
            <w:vMerge w:val="continue"/>
            <w:tcBorders>
              <w:top w:color="000000" w:space="0" w:sz="4" w:val="single"/>
            </w:tcBorders>
            <w:shd w:fill="auto" w:val="cle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18"/>
                <w:szCs w:val="18"/>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18"/>
                <w:szCs w:val="18"/>
              </w:rPr>
            </w:pPr>
            <w:r w:rsidDel="00000000" w:rsidR="00000000" w:rsidRPr="00000000">
              <w:rPr>
                <w:rtl w:val="0"/>
              </w:rPr>
            </w:r>
          </w:p>
        </w:tc>
      </w:tr>
      <w:tr>
        <w:trPr>
          <w:cantSplit w:val="0"/>
          <w:trHeight w:val="840" w:hRule="atLeast"/>
          <w:tblHeader w:val="0"/>
        </w:trPr>
        <w:tc>
          <w:tcPr>
            <w:tcBorders>
              <w:top w:color="000000" w:space="0" w:sz="4" w:val="single"/>
              <w:bottom w:color="000000" w:space="0" w:sz="4" w:val="single"/>
            </w:tcBorders>
          </w:tcPr>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6</w:t>
            </w:r>
          </w:p>
        </w:tc>
        <w:tc>
          <w:tcPr>
            <w:tcBorders>
              <w:top w:color="000000" w:space="0" w:sz="4" w:val="single"/>
              <w:bottom w:color="000000" w:space="0" w:sz="4" w:val="single"/>
            </w:tcBorders>
            <w:shd w:fill="auto" w:val="clear"/>
          </w:tcPr>
          <w:p w:rsidR="00000000" w:rsidDel="00000000" w:rsidP="00000000" w:rsidRDefault="00000000" w:rsidRPr="00000000" w14:paraId="000000F7">
            <w:pPr>
              <w:spacing w:after="0" w:line="36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La forma de pago, sueldo, cfdi de abril a julio de dos mil veintitrés al Director Jurídico y de Gobierno.</w:t>
            </w:r>
          </w:p>
        </w:tc>
        <w:tc>
          <w:tcPr>
            <w:vMerge w:val="continue"/>
            <w:tcBorders>
              <w:top w:color="000000" w:space="0" w:sz="4" w:val="single"/>
            </w:tcBorders>
            <w:shd w:fill="auto" w:val="cle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18"/>
                <w:szCs w:val="18"/>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18"/>
                <w:szCs w:val="18"/>
              </w:rPr>
            </w:pPr>
            <w:r w:rsidDel="00000000" w:rsidR="00000000" w:rsidRPr="00000000">
              <w:rPr>
                <w:rtl w:val="0"/>
              </w:rPr>
            </w:r>
          </w:p>
        </w:tc>
      </w:tr>
      <w:tr>
        <w:trPr>
          <w:cantSplit w:val="0"/>
          <w:trHeight w:val="1275" w:hRule="atLeast"/>
          <w:tblHeader w:val="0"/>
        </w:trPr>
        <w:tc>
          <w:tcPr>
            <w:tcBorders>
              <w:top w:color="000000" w:space="0" w:sz="4" w:val="single"/>
              <w:bottom w:color="000000" w:space="0" w:sz="4" w:val="single"/>
            </w:tcBorders>
          </w:tcPr>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leader="none" w:pos="29"/>
                <w:tab w:val="left" w:leader="none" w:pos="171"/>
              </w:tabs>
              <w:spacing w:after="0" w:line="240" w:lineRule="auto"/>
              <w:ind w:right="36"/>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7</w:t>
            </w:r>
          </w:p>
        </w:tc>
        <w:tc>
          <w:tcPr>
            <w:tcBorders>
              <w:top w:color="000000" w:space="0" w:sz="4" w:val="single"/>
              <w:bottom w:color="000000" w:space="0" w:sz="4" w:val="single"/>
            </w:tcBorders>
            <w:shd w:fill="auto" w:val="clear"/>
          </w:tcPr>
          <w:p w:rsidR="00000000" w:rsidDel="00000000" w:rsidP="00000000" w:rsidRDefault="00000000" w:rsidRPr="00000000" w14:paraId="000000FB">
            <w:pPr>
              <w:spacing w:after="0" w:line="36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Pronunciamiento del Director Jurídico y de Gobierno sobre si no viola alguna ley como servidor público.</w:t>
            </w:r>
          </w:p>
        </w:tc>
        <w:tc>
          <w:tcPr>
            <w:vMerge w:val="continue"/>
            <w:tcBorders>
              <w:top w:color="000000" w:space="0" w:sz="4" w:val="single"/>
            </w:tcBorders>
            <w:shd w:fill="auto" w:val="clea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18"/>
                <w:szCs w:val="18"/>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18"/>
                <w:szCs w:val="18"/>
              </w:rPr>
            </w:pPr>
            <w:r w:rsidDel="00000000" w:rsidR="00000000" w:rsidRPr="00000000">
              <w:rPr>
                <w:rtl w:val="0"/>
              </w:rPr>
            </w:r>
          </w:p>
        </w:tc>
      </w:tr>
    </w:tbl>
    <w:p w:rsidR="00000000" w:rsidDel="00000000" w:rsidP="00000000" w:rsidRDefault="00000000" w:rsidRPr="00000000" w14:paraId="000000FE">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F">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emitió pronunciamiento tanto en respuesta como en informe sobre los requerimientos analizados bajo los numerales </w:t>
      </w:r>
      <w:r w:rsidDel="00000000" w:rsidR="00000000" w:rsidRPr="00000000">
        <w:rPr>
          <w:rFonts w:ascii="Palatino Linotype" w:cs="Palatino Linotype" w:eastAsia="Palatino Linotype" w:hAnsi="Palatino Linotype"/>
          <w:b w:val="1"/>
          <w:sz w:val="24"/>
          <w:szCs w:val="24"/>
          <w:rtl w:val="0"/>
        </w:rPr>
        <w:t xml:space="preserve">1 y 2</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una vez notificada la respuesta, la persona solicitante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interpuso el recurso de revisión que nos ocupa, en el cual se advierte que la inconformidad no versa sobre la totalidad de los puntos requeridos ni sobre la información remitida en respuesta para atender el primero de ellos, pues solo se advierte que se hicieron valer como agravios la falta de entrega de la información precisada en los numerales del 3 al 7;</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por lo que, los requerimientos marcados en los numerales 1 y 2 deben declararse consentidos, al no haberse realizado manifestaciones de inconformidad al respecto, y por tanto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satisface los requerimientos indicados.</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así, debido a que cuando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impugna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y este no expresa Razón o Motivo de Inconformidad en contra de todos los rubros solicitados, dichos rubros deben declararse atendidos, pues se entiende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10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3">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104">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Consecuentemente, se insiste, ante la falta de impugnación eficaz, la respuesta entregada debe declararse consentida por la persona solicitante.</w:t>
      </w:r>
    </w:p>
    <w:p w:rsidR="00000000" w:rsidDel="00000000" w:rsidP="00000000" w:rsidRDefault="00000000" w:rsidRPr="00000000" w14:paraId="0000010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se sustenta con lo plasmado en el criterio 01/20 emitido por el Instituto Nacional de Transparencia, Acceso a la Información, y Protección de Datos Personales, INAI, que lleva por rubro y texto los siguientes: </w:t>
      </w:r>
    </w:p>
    <w:p w:rsidR="00000000" w:rsidDel="00000000" w:rsidP="00000000" w:rsidRDefault="00000000" w:rsidRPr="00000000" w14:paraId="0000010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Actos consentidos tácitamente. Improcedencia de su análisis. </w:t>
      </w:r>
      <w:r w:rsidDel="00000000" w:rsidR="00000000" w:rsidRPr="00000000">
        <w:rPr>
          <w:rFonts w:ascii="Palatino Linotype" w:cs="Palatino Linotype" w:eastAsia="Palatino Linotype" w:hAnsi="Palatino Linotype"/>
          <w:i w:val="1"/>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360" w:lineRule="auto"/>
        <w:ind w:left="567" w:right="902"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0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10C">
      <w:pPr>
        <w:spacing w:after="0" w:line="360" w:lineRule="auto"/>
        <w:ind w:left="851" w:right="900" w:firstLine="0"/>
        <w:jc w:val="both"/>
        <w:rPr>
          <w:rFonts w:ascii="Palatino Linotype" w:cs="Palatino Linotype" w:eastAsia="Palatino Linotype" w:hAnsi="Palatino Linotype"/>
          <w:b w:val="1"/>
          <w:i w:val="1"/>
          <w:smallCaps w:val="1"/>
          <w:sz w:val="24"/>
          <w:szCs w:val="24"/>
        </w:rPr>
      </w:pPr>
      <w:r w:rsidDel="00000000" w:rsidR="00000000" w:rsidRPr="00000000">
        <w:rPr>
          <w:rtl w:val="0"/>
        </w:rPr>
      </w:r>
    </w:p>
    <w:p w:rsidR="00000000" w:rsidDel="00000000" w:rsidP="00000000" w:rsidRDefault="00000000" w:rsidRPr="00000000" w14:paraId="0000010D">
      <w:pPr>
        <w:tabs>
          <w:tab w:val="left" w:leader="none" w:pos="851"/>
          <w:tab w:val="left" w:leader="none" w:pos="1276"/>
        </w:tabs>
        <w:spacing w:after="0" w:line="276" w:lineRule="auto"/>
        <w:ind w:left="567"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mallCaps w:val="1"/>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10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el estudio de la presente resolución versará en la falta de entrega de los requerimientos marcados en los numerales del 3 al 7 del cuadro de análisis inserto, mismos que se analizarán bajo los siguientes apartados:</w:t>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1">
      <w:pPr>
        <w:numPr>
          <w:ilvl w:val="3"/>
          <w:numId w:val="5"/>
        </w:numPr>
        <w:pBdr>
          <w:top w:space="0" w:sz="0" w:val="nil"/>
          <w:left w:space="0" w:sz="0" w:val="nil"/>
          <w:bottom w:space="0" w:sz="0" w:val="nil"/>
          <w:right w:space="0" w:sz="0" w:val="nil"/>
          <w:between w:space="0" w:sz="0" w:val="nil"/>
        </w:pBdr>
        <w:spacing w:after="0" w:line="276"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De la opinión del Director Jurídico y de Gobierno sobre la gasolinera si cumple con los requisitos que ordena la ley tanto federales, estatales y municipales y de quien es competencia el otorgar esos permisos; y, pronunciamiento sobre si no viola alguna ley como servidor público.</w:t>
      </w:r>
      <w:r w:rsidDel="00000000" w:rsidR="00000000" w:rsidRPr="00000000">
        <w:rPr>
          <w:rtl w:val="0"/>
        </w:rPr>
      </w:r>
    </w:p>
    <w:p w:rsidR="00000000" w:rsidDel="00000000" w:rsidP="00000000" w:rsidRDefault="00000000" w:rsidRPr="00000000" w14:paraId="0000011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Sobre los requerimientos de nuestra atención, en primer lugar, es de indicar que conforme el artículo 47 del Bando Municipal de Policía y Buen Gobierno 2023, el Ayuntamiento de Atlautla cuenta dentro de su estructura orgánica con diversas dependencias generales para el correcto desempeño de sus atribuciones, entre las cuales se encuentran: la Dirección Municipal de Gobierno y la Dirección Jurídica, como se muestra:</w:t>
      </w:r>
    </w:p>
    <w:p w:rsidR="00000000" w:rsidDel="00000000" w:rsidP="00000000" w:rsidRDefault="00000000" w:rsidRPr="00000000" w14:paraId="00000114">
      <w:pPr>
        <w:spacing w:after="0" w:line="276" w:lineRule="auto"/>
        <w:ind w:left="567" w:right="560" w:firstLine="0"/>
        <w:jc w:val="both"/>
        <w:rPr>
          <w:rFonts w:ascii="Palatino Linotype" w:cs="Palatino Linotype" w:eastAsia="Palatino Linotype" w:hAnsi="Palatino Linotype"/>
          <w:b w:val="1"/>
          <w:i w:val="1"/>
          <w:u w:val="single"/>
        </w:rPr>
      </w:pPr>
      <w:r w:rsidDel="00000000" w:rsidR="00000000" w:rsidRPr="00000000">
        <w:rPr>
          <w:rtl w:val="0"/>
        </w:rPr>
      </w:r>
    </w:p>
    <w:p w:rsidR="00000000" w:rsidDel="00000000" w:rsidP="00000000" w:rsidRDefault="00000000" w:rsidRPr="00000000" w14:paraId="00000115">
      <w:pPr>
        <w:spacing w:after="0" w:line="276" w:lineRule="auto"/>
        <w:ind w:left="567" w:right="5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“Artículo 47. La Administración Pública Municipal, se auxiliará de las siguientes Dependencias Generales y Dependencias Auxiliares:</w:t>
      </w:r>
    </w:p>
    <w:p w:rsidR="00000000" w:rsidDel="00000000" w:rsidP="00000000" w:rsidRDefault="00000000" w:rsidRPr="00000000" w14:paraId="00000116">
      <w:pPr>
        <w:spacing w:after="0" w:line="276" w:lineRule="auto"/>
        <w:ind w:left="567" w:right="56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7">
      <w:pPr>
        <w:spacing w:after="0" w:line="36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4486275" cy="3352800"/>
            <wp:effectExtent b="3175" l="3175" r="3175" t="3175"/>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486275" cy="335280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8">
      <w:pPr>
        <w:spacing w:after="0" w:line="36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19">
      <w:pPr>
        <w:spacing w:after="0" w:line="360" w:lineRule="auto"/>
        <w:ind w:right="560"/>
        <w:jc w:val="righ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(Énfasis añadido)</w:t>
      </w:r>
    </w:p>
    <w:p w:rsidR="00000000" w:rsidDel="00000000" w:rsidP="00000000" w:rsidRDefault="00000000" w:rsidRPr="00000000" w14:paraId="0000011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la opinión requerida por el particular sería tanto del </w:t>
      </w:r>
      <w:r w:rsidDel="00000000" w:rsidR="00000000" w:rsidRPr="00000000">
        <w:rPr>
          <w:rFonts w:ascii="Palatino Linotype" w:cs="Palatino Linotype" w:eastAsia="Palatino Linotype" w:hAnsi="Palatino Linotype"/>
          <w:b w:val="1"/>
          <w:sz w:val="24"/>
          <w:szCs w:val="24"/>
          <w:rtl w:val="0"/>
        </w:rPr>
        <w:t xml:space="preserve">Director Jurídico como del Director Municipal de Gobierno</w:t>
      </w:r>
      <w:r w:rsidDel="00000000" w:rsidR="00000000" w:rsidRPr="00000000">
        <w:rPr>
          <w:rFonts w:ascii="Palatino Linotype" w:cs="Palatino Linotype" w:eastAsia="Palatino Linotype" w:hAnsi="Palatino Linotype"/>
          <w:sz w:val="24"/>
          <w:szCs w:val="24"/>
          <w:rtl w:val="0"/>
        </w:rPr>
        <w:t xml:space="preserve">, así como el pronunciamiento de los mismos si como servidores públicos violan alguna ley.</w:t>
      </w:r>
    </w:p>
    <w:p w:rsidR="00000000" w:rsidDel="00000000" w:rsidP="00000000" w:rsidRDefault="00000000" w:rsidRPr="00000000" w14:paraId="0000011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Precisado lo anterior, atendiendo la naturaleza de la información requerida relativa a </w:t>
      </w:r>
      <w:r w:rsidDel="00000000" w:rsidR="00000000" w:rsidRPr="00000000">
        <w:rPr>
          <w:rFonts w:ascii="Palatino Linotype" w:cs="Palatino Linotype" w:eastAsia="Palatino Linotype" w:hAnsi="Palatino Linotype"/>
          <w:b w:val="1"/>
          <w:sz w:val="24"/>
          <w:szCs w:val="24"/>
          <w:rtl w:val="0"/>
        </w:rPr>
        <w:t xml:space="preserve">la opinión del Director Jurídico y del Director Municipal de Gobierno sobre si la gasolinera señalada en la solicitud cumple con los requisitos que ordena las leyes federales, estatales y municipales</w:t>
      </w:r>
      <w:r w:rsidDel="00000000" w:rsidR="00000000" w:rsidRPr="00000000">
        <w:rPr>
          <w:rFonts w:ascii="Palatino Linotype" w:cs="Palatino Linotype" w:eastAsia="Palatino Linotype" w:hAnsi="Palatino Linotype"/>
          <w:sz w:val="24"/>
          <w:szCs w:val="24"/>
          <w:rtl w:val="0"/>
        </w:rPr>
        <w:t xml:space="preserve">, resulta conveniente señalar lo siguiente:</w:t>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principio, se advierte que la opinión que requiere el particular de los servidores públicos indicados, son con relación al cumplimiento de los requisitos para el establecimiento de una gasolinera en un predio ubicado en el Municipio de Atlautla.</w:t>
      </w:r>
    </w:p>
    <w:p w:rsidR="00000000" w:rsidDel="00000000" w:rsidP="00000000" w:rsidRDefault="00000000" w:rsidRPr="00000000" w14:paraId="0000011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es necesario señalar que una gasolinera, entra dentro de la clasificación como una unidad económica de alto impacto, pues la misma genera una alteración al desarrollo normal de las actividades de la vida social, y para su funcionamiento se requiere de la expedición de la licencia de funcionamiento correspondiente.</w:t>
      </w:r>
    </w:p>
    <w:p w:rsidR="00000000" w:rsidDel="00000000" w:rsidP="00000000" w:rsidRDefault="00000000" w:rsidRPr="00000000" w14:paraId="0000012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referencia de lo anterior, se localizó la Cédula de Registro del Trámite o Servicio contenido en el Sistema Electrónico de Información de Trámites y Servicios del Gobierno del Estado de México, relativo a las unidades económicas de alto impacto que requieren una Licencia de funcionamiento de alto impacto:</w:t>
      </w:r>
    </w:p>
    <w:p w:rsidR="00000000" w:rsidDel="00000000" w:rsidP="00000000" w:rsidRDefault="00000000" w:rsidRPr="00000000" w14:paraId="0000012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766595" cy="2062226"/>
            <wp:effectExtent b="0" l="0" r="0" t="0"/>
            <wp:docPr id="1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66595" cy="2062226"/>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en efecto una gasolinera al ser una unidad económica de alto impacto, requiere para su funcionamiento una licencia.</w:t>
      </w:r>
    </w:p>
    <w:p w:rsidR="00000000" w:rsidDel="00000000" w:rsidP="00000000" w:rsidRDefault="00000000" w:rsidRPr="00000000" w14:paraId="0000012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a efecto de verificar la procedencia de la entrega de la información, resulta necesario puntualizar si dentro de los requisitos para otorgar una licencia de funcionamiento para este tipo de unidades económicas se requiere contar con la opinión requerida por la persona solicitante de los servidores públicos municipales indicados.</w:t>
      </w:r>
    </w:p>
    <w:p w:rsidR="00000000" w:rsidDel="00000000" w:rsidP="00000000" w:rsidRDefault="00000000" w:rsidRPr="00000000" w14:paraId="0000012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 de lo anterior, conviene citar el contenido de los siguientes artículos 2, fracciones XV, 4 fracción VIII, 7 fracción V, 16 fracción II y 66 de la Ley de Competitividad y Ordenamiento Comercial del Estado de México, que a la letra disponen lo siguiente:</w:t>
      </w:r>
    </w:p>
    <w:p w:rsidR="00000000" w:rsidDel="00000000" w:rsidP="00000000" w:rsidRDefault="00000000" w:rsidRPr="00000000" w14:paraId="0000012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C">
      <w:pPr>
        <w:spacing w:after="0" w:line="24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2. Para los efectos de esta Ley, se entenderá por:</w:t>
      </w:r>
    </w:p>
    <w:p w:rsidR="00000000" w:rsidDel="00000000" w:rsidP="00000000" w:rsidRDefault="00000000" w:rsidRPr="00000000" w14:paraId="0000012D">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2E">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XV. Licencia de funcionamiento:</w:t>
      </w:r>
      <w:r w:rsidDel="00000000" w:rsidR="00000000" w:rsidRPr="00000000">
        <w:rPr>
          <w:rFonts w:ascii="Palatino Linotype" w:cs="Palatino Linotype" w:eastAsia="Palatino Linotype" w:hAnsi="Palatino Linotype"/>
          <w:i w:val="1"/>
          <w:rtl w:val="0"/>
        </w:rPr>
        <w:t xml:space="preserve"> Al acto administrativo que emite la autoridad, por el cual autoriza a una persona física o jurídica colectiva a desarrollar actividades económicas.</w:t>
      </w:r>
    </w:p>
    <w:p w:rsidR="00000000" w:rsidDel="00000000" w:rsidP="00000000" w:rsidRDefault="00000000" w:rsidRPr="00000000" w14:paraId="0000012F">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0">
      <w:pPr>
        <w:spacing w:after="0" w:line="24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4. Son autoridades encargadas de la aplicación de esta Ley las siguientes:</w:t>
      </w:r>
    </w:p>
    <w:p w:rsidR="00000000" w:rsidDel="00000000" w:rsidP="00000000" w:rsidRDefault="00000000" w:rsidRPr="00000000" w14:paraId="00000131">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2">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Ayuntamientos.</w:t>
      </w:r>
    </w:p>
    <w:p w:rsidR="00000000" w:rsidDel="00000000" w:rsidP="00000000" w:rsidRDefault="00000000" w:rsidRPr="00000000" w14:paraId="00000133">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4">
      <w:pPr>
        <w:spacing w:after="0" w:line="24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7. Corresponde a los municipios:</w:t>
      </w:r>
    </w:p>
    <w:p w:rsidR="00000000" w:rsidDel="00000000" w:rsidP="00000000" w:rsidRDefault="00000000" w:rsidRPr="00000000" w14:paraId="00000135">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6">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w:t>
      </w:r>
      <w:r w:rsidDel="00000000" w:rsidR="00000000" w:rsidRPr="00000000">
        <w:rPr>
          <w:rFonts w:ascii="Palatino Linotype" w:cs="Palatino Linotype" w:eastAsia="Palatino Linotype" w:hAnsi="Palatino Linotype"/>
          <w:b w:val="1"/>
          <w:i w:val="1"/>
          <w:rtl w:val="0"/>
        </w:rPr>
        <w:t xml:space="preserve">. Resguardar y actualizar el archivo físico y digital con los documentos requeridos por las leyes para la expedición y refrendo de las licencias correspondientes.</w:t>
      </w:r>
      <w:r w:rsidDel="00000000" w:rsidR="00000000" w:rsidRPr="00000000">
        <w:rPr>
          <w:rtl w:val="0"/>
        </w:rPr>
      </w:r>
    </w:p>
    <w:p w:rsidR="00000000" w:rsidDel="00000000" w:rsidP="00000000" w:rsidRDefault="00000000" w:rsidRPr="00000000" w14:paraId="00000137">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8">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16. Las ventanillas, en los diferentes ámbitos de su competencia, gestionarán los trámites siguientes: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39">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A">
      <w:pPr>
        <w:spacing w:after="0" w:line="24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Licencias</w:t>
      </w:r>
    </w:p>
    <w:p w:rsidR="00000000" w:rsidDel="00000000" w:rsidP="00000000" w:rsidRDefault="00000000" w:rsidRPr="00000000" w14:paraId="0000013B">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C">
      <w:pPr>
        <w:spacing w:after="0" w:line="240" w:lineRule="auto"/>
        <w:ind w:left="567" w:right="56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LOS REQUISITOS PARA OBTENER PERMISO O LICENCIA DE FUNCIONAMIENTO PARA LAS UNIDADES ECONÓMICAS DE MEDIANO Y ALTO IMPACTO</w:t>
      </w:r>
    </w:p>
    <w:p w:rsidR="00000000" w:rsidDel="00000000" w:rsidP="00000000" w:rsidRDefault="00000000" w:rsidRPr="00000000" w14:paraId="0000013D">
      <w:pPr>
        <w:spacing w:after="0" w:line="24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66. Para la obtención de un permiso o licencia de funcionamiento, los solicitantes o representante legal tendrán que cumplir los requisitos siguientes:</w:t>
      </w:r>
    </w:p>
    <w:p w:rsidR="00000000" w:rsidDel="00000000" w:rsidP="00000000" w:rsidRDefault="00000000" w:rsidRPr="00000000" w14:paraId="0000013E">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Solicitud en la que se señale la razón social del solicitante, así como domicilio para oír y recibir notificaciones y dirección de correo electrónico para los efectos de esta Ley. En caso de que el solicitante sea persona física se cotejarán los datos de la credencial para votar con fotografía. </w:t>
      </w:r>
    </w:p>
    <w:p w:rsidR="00000000" w:rsidDel="00000000" w:rsidP="00000000" w:rsidRDefault="00000000" w:rsidRPr="00000000" w14:paraId="0000013F">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Actividad económica que se pretende operar. </w:t>
      </w:r>
    </w:p>
    <w:p w:rsidR="00000000" w:rsidDel="00000000" w:rsidP="00000000" w:rsidRDefault="00000000" w:rsidRPr="00000000" w14:paraId="00000140">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Datos de la licencia de uso del suelo que señale el permitido para la actividad económica que se pretende operar. </w:t>
      </w:r>
    </w:p>
    <w:p w:rsidR="00000000" w:rsidDel="00000000" w:rsidP="00000000" w:rsidRDefault="00000000" w:rsidRPr="00000000" w14:paraId="00000141">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Que cuenta con los cajones de estacionamiento que determine la autoridad correspondiente. </w:t>
      </w:r>
    </w:p>
    <w:p w:rsidR="00000000" w:rsidDel="00000000" w:rsidP="00000000" w:rsidRDefault="00000000" w:rsidRPr="00000000" w14:paraId="00000142">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capacidad de aforo respectiva. </w:t>
      </w:r>
    </w:p>
    <w:p w:rsidR="00000000" w:rsidDel="00000000" w:rsidP="00000000" w:rsidRDefault="00000000" w:rsidRPr="00000000" w14:paraId="00000143">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Dar cuenta del programa interno de protección civil. </w:t>
      </w:r>
    </w:p>
    <w:p w:rsidR="00000000" w:rsidDel="00000000" w:rsidP="00000000" w:rsidRDefault="00000000" w:rsidRPr="00000000" w14:paraId="00000144">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Dictamen de Giro o permiso, en su caso, emitido por la autoridad municipal. </w:t>
      </w:r>
    </w:p>
    <w:p w:rsidR="00000000" w:rsidDel="00000000" w:rsidP="00000000" w:rsidRDefault="00000000" w:rsidRPr="00000000" w14:paraId="00000145">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Para el caso de las unidades económicas de alto impacto deberá manifestar que cuenta con el sistema de seguridad a que hace referencia esta Ley. </w:t>
      </w:r>
    </w:p>
    <w:p w:rsidR="00000000" w:rsidDel="00000000" w:rsidP="00000000" w:rsidRDefault="00000000" w:rsidRPr="00000000" w14:paraId="00000146">
      <w:pPr>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Una vez cubiertos los requisitos señalados en el presente artículo y en caso de ser procedente el permiso o licencia de funcionamiento, la autoridad hará del conocimiento al solicitante o representante legal el monto a cubrir por los derechos correspondientes, una vez cubiertos se otorgará el permiso o licencia de funcionamiento.”</w:t>
      </w:r>
    </w:p>
    <w:p w:rsidR="00000000" w:rsidDel="00000000" w:rsidP="00000000" w:rsidRDefault="00000000" w:rsidRPr="00000000" w14:paraId="00000147">
      <w:pPr>
        <w:spacing w:after="0" w:line="240" w:lineRule="auto"/>
        <w:ind w:left="567" w:right="560"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14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las porciones legales citadas, se desprende que una licencia de funcionamiento es un acto administrativo que emite la autoridad, por el cual autoriza a una persona física o jurídica colectiva a desarrollar actividades económicas.</w:t>
      </w:r>
    </w:p>
    <w:p w:rsidR="00000000" w:rsidDel="00000000" w:rsidP="00000000" w:rsidRDefault="00000000" w:rsidRPr="00000000" w14:paraId="0000014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Consecuentemente, corresponde a los municipios, como lo es el Municipio de Atlautla, resguardar y actualizar el archivo físico y digital con los documentos requeridos por las leyes para la expedición de las licencias correspondientes.</w:t>
      </w:r>
    </w:p>
    <w:p w:rsidR="00000000" w:rsidDel="00000000" w:rsidP="00000000" w:rsidRDefault="00000000" w:rsidRPr="00000000" w14:paraId="0000014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dentro de los requisitos para obtener una licencia de funcionamiento para las unidades de alto impacto como lo es una gasolinera, se encuentran los siguientes:</w:t>
      </w:r>
    </w:p>
    <w:p w:rsidR="00000000" w:rsidDel="00000000" w:rsidP="00000000" w:rsidRDefault="00000000" w:rsidRPr="00000000" w14:paraId="0000014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F">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Solicitud en la que se señale la razón social del solicitante, así como domicilio para oír y recibir notificaciones y dirección de correo electrónico para los efectos de esta Ley. En caso de que el solicitante sea persona física se cotejarán los datos de la credencial para votar con fotografía. </w:t>
      </w:r>
    </w:p>
    <w:p w:rsidR="00000000" w:rsidDel="00000000" w:rsidP="00000000" w:rsidRDefault="00000000" w:rsidRPr="00000000" w14:paraId="00000150">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Señalar la actividad económica que se pretende operar. </w:t>
      </w:r>
    </w:p>
    <w:p w:rsidR="00000000" w:rsidDel="00000000" w:rsidP="00000000" w:rsidRDefault="00000000" w:rsidRPr="00000000" w14:paraId="00000151">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Proporcionar los datos de la licencia de uso del suelo que señale el permitido para la actividad económica que se pretende operar. </w:t>
      </w:r>
    </w:p>
    <w:p w:rsidR="00000000" w:rsidDel="00000000" w:rsidP="00000000" w:rsidRDefault="00000000" w:rsidRPr="00000000" w14:paraId="00000152">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Indicar que se cuenta con los cajones de estacionamiento que determine la autoridad correspondiente. </w:t>
      </w:r>
    </w:p>
    <w:p w:rsidR="00000000" w:rsidDel="00000000" w:rsidP="00000000" w:rsidRDefault="00000000" w:rsidRPr="00000000" w14:paraId="00000153">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Señalar la capacidad de aforo respectiva. </w:t>
      </w:r>
    </w:p>
    <w:p w:rsidR="00000000" w:rsidDel="00000000" w:rsidP="00000000" w:rsidRDefault="00000000" w:rsidRPr="00000000" w14:paraId="00000154">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cuenta del programa interno de protección civil. </w:t>
      </w:r>
    </w:p>
    <w:p w:rsidR="00000000" w:rsidDel="00000000" w:rsidP="00000000" w:rsidRDefault="00000000" w:rsidRPr="00000000" w14:paraId="00000155">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Exhibir el dictamen de Giro o permiso, en su caso, emitido por la autoridad municipal. </w:t>
      </w:r>
    </w:p>
    <w:p w:rsidR="00000000" w:rsidDel="00000000" w:rsidP="00000000" w:rsidRDefault="00000000" w:rsidRPr="00000000" w14:paraId="00000156">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las unidades económicas de alto impacto se deberá manifestar que se cuenta con el sistema de seguridad a que hace referencia la Ley de Competitividad y Ordenamiento Comercial del Estado de México.</w:t>
      </w:r>
    </w:p>
    <w:p w:rsidR="00000000" w:rsidDel="00000000" w:rsidP="00000000" w:rsidRDefault="00000000" w:rsidRPr="00000000" w14:paraId="0000015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atendiendo lo señalado en los numerales citados, los requisitos citados, deben ser resguardados por los Municipios para la expedición de las licencias correspondientes.</w:t>
      </w:r>
    </w:p>
    <w:p w:rsidR="00000000" w:rsidDel="00000000" w:rsidP="00000000" w:rsidRDefault="00000000" w:rsidRPr="00000000" w14:paraId="0000015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Bajo esa guisa, se advierte que, si bien es una atribución de los Municipios resguardar los documentos requeridos para la obtención de la licencia de funcionamiento para unidades económicas; también lo es que dentro de los requisitos para obtener dicha licencia no se advierte que el Titular o interesado en la obtención de la misma deba  exhibir una opinión emitida por la Dirección Jurídica y la Dirección de Gobierno Municipal en la que se señale si la unidad económica -gasolinera- cumple con los requisitos que ordena la ley tanto federales, estatales y municipales.</w:t>
      </w:r>
    </w:p>
    <w:p w:rsidR="00000000" w:rsidDel="00000000" w:rsidP="00000000" w:rsidRDefault="00000000" w:rsidRPr="00000000" w14:paraId="0000015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C">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atendiendo que no existe fuente obligacional que constriña al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a poseer y/o administrar el documento donde conste la opinión del Director Jurídico y del Director Municipal de Gobierno sobre si la gasolinera cumple con los requisitos que ordenan las leyes federales, estatales y municipales, es que existe impedimento para ordenar el mismo.</w:t>
      </w:r>
    </w:p>
    <w:p w:rsidR="00000000" w:rsidDel="00000000" w:rsidP="00000000" w:rsidRDefault="00000000" w:rsidRPr="00000000" w14:paraId="0000015D">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E">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Situación la anterior que, de igual manera ocurre con el pronunciamiento que requiere la persona solicitante sobre si el Director Jurídico y el Director Municipal de Gobierno no viola alguna ley como servidor público; pues del análisis a la normatividad que regula al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no se advierte que este tenga la obligación de generar un documento con las características requeridas.</w:t>
      </w:r>
    </w:p>
    <w:p w:rsidR="00000000" w:rsidDel="00000000" w:rsidP="00000000" w:rsidRDefault="00000000" w:rsidRPr="00000000" w14:paraId="0000015F">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0">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la pretensión de la persona solicitante es obtener un pronunciamiento específico respecto de dos situaciones planteadas, lo cual implicaría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genere un documento ad hoc, es decir que elabore una expresión documental que atienda lo peticionado, y por tal razón es necesario traer a colación los artículos 2°, fracción II; 3°, fracción XI y 18 de la Ley de Transparencia y Acceso a la Información Pública del Estado de México y Municipios, los cuales disponen lo siguiente:</w:t>
      </w:r>
    </w:p>
    <w:p w:rsidR="00000000" w:rsidDel="00000000" w:rsidP="00000000" w:rsidRDefault="00000000" w:rsidRPr="00000000" w14:paraId="00000161">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2">
      <w:pPr>
        <w:widowControl w:val="0"/>
        <w:numPr>
          <w:ilvl w:val="0"/>
          <w:numId w:val="8"/>
        </w:numPr>
        <w:tabs>
          <w:tab w:val="left" w:leader="none" w:pos="1701"/>
          <w:tab w:val="left" w:leader="none" w:pos="1843"/>
        </w:tabs>
        <w:spacing w:after="0" w:line="360" w:lineRule="auto"/>
        <w:ind w:left="36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uno de los objetivos de la Ley es proveer lo necesario para garantizar a toda persona el derecho de acceso a la información pública, y</w:t>
      </w:r>
    </w:p>
    <w:p w:rsidR="00000000" w:rsidDel="00000000" w:rsidP="00000000" w:rsidRDefault="00000000" w:rsidRPr="00000000" w14:paraId="00000163">
      <w:pPr>
        <w:widowControl w:val="0"/>
        <w:tabs>
          <w:tab w:val="left" w:leader="none" w:pos="1701"/>
          <w:tab w:val="left" w:leader="none" w:pos="1843"/>
        </w:tabs>
        <w:spacing w:after="0" w:line="360" w:lineRule="auto"/>
        <w:ind w:left="36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widowControl w:val="0"/>
        <w:numPr>
          <w:ilvl w:val="0"/>
          <w:numId w:val="8"/>
        </w:numPr>
        <w:tabs>
          <w:tab w:val="left" w:leader="none" w:pos="1701"/>
          <w:tab w:val="left" w:leader="none" w:pos="1843"/>
        </w:tabs>
        <w:spacing w:after="0" w:line="360" w:lineRule="auto"/>
        <w:ind w:left="36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los </w:t>
      </w:r>
      <w:r w:rsidDel="00000000" w:rsidR="00000000" w:rsidRPr="00000000">
        <w:rPr>
          <w:rFonts w:ascii="Palatino Linotype" w:cs="Palatino Linotype" w:eastAsia="Palatino Linotype" w:hAnsi="Palatino Linotype"/>
          <w:b w:val="1"/>
          <w:rtl w:val="0"/>
        </w:rPr>
        <w:t xml:space="preserve">documentos </w:t>
      </w:r>
      <w:r w:rsidDel="00000000" w:rsidR="00000000" w:rsidRPr="00000000">
        <w:rPr>
          <w:rFonts w:ascii="Palatino Linotype" w:cs="Palatino Linotype" w:eastAsia="Palatino Linotype" w:hAnsi="Palatino Linotype"/>
          <w:rtl w:val="0"/>
        </w:rPr>
        <w:t xml:space="preserve">son los expedientes, reportes, estudios, actas, resoluciones, contratos, convenios, instructivos, notas, memorandos, estadísticas o </w:t>
      </w:r>
      <w:r w:rsidDel="00000000" w:rsidR="00000000" w:rsidRPr="00000000">
        <w:rPr>
          <w:rFonts w:ascii="Palatino Linotype" w:cs="Palatino Linotype" w:eastAsia="Palatino Linotype" w:hAnsi="Palatino Linotype"/>
          <w:b w:val="1"/>
          <w:rtl w:val="0"/>
        </w:rPr>
        <w:t xml:space="preserve">cualquier registro que documente el ejercicio de facultades, funciones y competencia</w:t>
      </w:r>
      <w:r w:rsidDel="00000000" w:rsidR="00000000" w:rsidRPr="00000000">
        <w:rPr>
          <w:rFonts w:ascii="Palatino Linotype" w:cs="Palatino Linotype" w:eastAsia="Palatino Linotype" w:hAnsi="Palatino Linotype"/>
          <w:rtl w:val="0"/>
        </w:rPr>
        <w:t xml:space="preserve">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rsidR="00000000" w:rsidDel="00000000" w:rsidP="00000000" w:rsidRDefault="00000000" w:rsidRPr="00000000" w14:paraId="00000165">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resulta importante traer a colación lo que establece el artículo 12 de la Ley de Transparencia y Acceso a la Información Pública del Estado de México y Municipios, el cual señala que los sujetos obligados únicamente están constreñidos a entregar los documentos que obren en sus archivos en el estado en que estos se encuentren, lo que no comprende entregar la información conforme al interés del solicitante.  </w:t>
      </w:r>
    </w:p>
    <w:p w:rsidR="00000000" w:rsidDel="00000000" w:rsidP="00000000" w:rsidRDefault="00000000" w:rsidRPr="00000000" w14:paraId="0000016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 tales circunstancias, se colige que los sujetos obligados únicamente están constreñidos a proporcionar </w:t>
      </w:r>
      <w:r w:rsidDel="00000000" w:rsidR="00000000" w:rsidRPr="00000000">
        <w:rPr>
          <w:rFonts w:ascii="Palatino Linotype" w:cs="Palatino Linotype" w:eastAsia="Palatino Linotype" w:hAnsi="Palatino Linotype"/>
          <w:b w:val="1"/>
          <w:sz w:val="24"/>
          <w:szCs w:val="24"/>
          <w:rtl w:val="0"/>
        </w:rPr>
        <w:t xml:space="preserve">la documentación que obre en sus archivos</w:t>
      </w:r>
      <w:r w:rsidDel="00000000" w:rsidR="00000000" w:rsidRPr="00000000">
        <w:rPr>
          <w:rFonts w:ascii="Palatino Linotype" w:cs="Palatino Linotype" w:eastAsia="Palatino Linotype" w:hAnsi="Palatino Linotype"/>
          <w:sz w:val="24"/>
          <w:szCs w:val="24"/>
          <w:rtl w:val="0"/>
        </w:rPr>
        <w:t xml:space="preserve">; por lo que, no están obligados a generar o elaborar documentos </w:t>
      </w:r>
      <w:r w:rsidDel="00000000" w:rsidR="00000000" w:rsidRPr="00000000">
        <w:rPr>
          <w:rFonts w:ascii="Palatino Linotype" w:cs="Palatino Linotype" w:eastAsia="Palatino Linotype" w:hAnsi="Palatino Linotype"/>
          <w:i w:val="1"/>
          <w:sz w:val="24"/>
          <w:szCs w:val="24"/>
          <w:rtl w:val="0"/>
        </w:rPr>
        <w:t xml:space="preserve">ad hoc, </w:t>
      </w:r>
      <w:r w:rsidDel="00000000" w:rsidR="00000000" w:rsidRPr="00000000">
        <w:rPr>
          <w:rFonts w:ascii="Palatino Linotype" w:cs="Palatino Linotype" w:eastAsia="Palatino Linotype" w:hAnsi="Palatino Linotype"/>
          <w:sz w:val="24"/>
          <w:szCs w:val="24"/>
          <w:rtl w:val="0"/>
        </w:rPr>
        <w:t xml:space="preserve">como es el caso de proporcionar los documentos que atiendan los requerimientos formulados por la hoy parte </w:t>
      </w:r>
      <w:r w:rsidDel="00000000" w:rsidR="00000000" w:rsidRPr="00000000">
        <w:rPr>
          <w:rFonts w:ascii="Palatino Linotype" w:cs="Palatino Linotype" w:eastAsia="Palatino Linotype" w:hAnsi="Palatino Linotype"/>
          <w:b w:val="1"/>
          <w:sz w:val="24"/>
          <w:szCs w:val="24"/>
          <w:rtl w:val="0"/>
        </w:rPr>
        <w:t xml:space="preserve">Recurrente.</w:t>
      </w:r>
    </w:p>
    <w:p w:rsidR="00000000" w:rsidDel="00000000" w:rsidP="00000000" w:rsidRDefault="00000000" w:rsidRPr="00000000" w14:paraId="0000016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Robustece lo anterior el Criterio de Interpretación, con clave de control SO/013/2017, de la Segunda Época, emitido por el Instituto Nacional de Transparencia, Acceso a la Información y Protección de Datos Personales, que a continuación se cita:</w:t>
      </w:r>
    </w:p>
    <w:p w:rsidR="00000000" w:rsidDel="00000000" w:rsidP="00000000" w:rsidRDefault="00000000" w:rsidRPr="00000000" w14:paraId="0000016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16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por lo anteriormente expuesto, </w:t>
      </w:r>
      <w:r w:rsidDel="00000000" w:rsidR="00000000" w:rsidRPr="00000000">
        <w:rPr>
          <w:rFonts w:ascii="Palatino Linotype" w:cs="Palatino Linotype" w:eastAsia="Palatino Linotype" w:hAnsi="Palatino Linotype"/>
          <w:b w:val="1"/>
          <w:sz w:val="24"/>
          <w:szCs w:val="24"/>
          <w:rtl w:val="0"/>
        </w:rPr>
        <w:t xml:space="preserve">que se advierte que lo requerido no constituye un derecho de acceso a la información </w:t>
      </w:r>
      <w:r w:rsidDel="00000000" w:rsidR="00000000" w:rsidRPr="00000000">
        <w:rPr>
          <w:rFonts w:ascii="Palatino Linotype" w:cs="Palatino Linotype" w:eastAsia="Palatino Linotype" w:hAnsi="Palatino Linotype"/>
          <w:sz w:val="24"/>
          <w:szCs w:val="24"/>
          <w:rtl w:val="0"/>
        </w:rPr>
        <w:t xml:space="preserve">y, por lo tanto, no es atendible mediante una solicitud de acceso a la información pública, ya que se trata de una petición formulada por la parte Solicitante, </w:t>
      </w:r>
      <w:r w:rsidDel="00000000" w:rsidR="00000000" w:rsidRPr="00000000">
        <w:rPr>
          <w:rFonts w:ascii="Palatino Linotype" w:cs="Palatino Linotype" w:eastAsia="Palatino Linotype" w:hAnsi="Palatino Linotype"/>
          <w:b w:val="1"/>
          <w:sz w:val="24"/>
          <w:szCs w:val="24"/>
          <w:u w:val="single"/>
          <w:rtl w:val="0"/>
        </w:rPr>
        <w:t xml:space="preserve">situación que conlleva a afirmar que se está en presencia del ejercicio del derecho a la libre expresión y en todo caso a un derecho de petición. </w:t>
      </w:r>
      <w:r w:rsidDel="00000000" w:rsidR="00000000" w:rsidRPr="00000000">
        <w:rPr>
          <w:rtl w:val="0"/>
        </w:rPr>
      </w:r>
    </w:p>
    <w:p w:rsidR="00000000" w:rsidDel="00000000" w:rsidP="00000000" w:rsidRDefault="00000000" w:rsidRPr="00000000" w14:paraId="0000016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after="0" w:line="360" w:lineRule="auto"/>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sz w:val="24"/>
          <w:szCs w:val="24"/>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el derecho de toda persona a ser escuchado por quienes ejercen el poder públic</w:t>
      </w:r>
      <w:r w:rsidDel="00000000" w:rsidR="00000000" w:rsidRPr="00000000">
        <w:rPr>
          <w:rFonts w:ascii="Palatino Linotype" w:cs="Palatino Linotype" w:eastAsia="Palatino Linotype" w:hAnsi="Palatino Linotype"/>
          <w:i w:val="1"/>
          <w:sz w:val="24"/>
          <w:szCs w:val="24"/>
          <w:rtl w:val="0"/>
        </w:rPr>
        <w:t xml:space="preserve">o.”  </w:t>
      </w:r>
    </w:p>
    <w:p w:rsidR="00000000" w:rsidDel="00000000" w:rsidP="00000000" w:rsidRDefault="00000000" w:rsidRPr="00000000" w14:paraId="00000171">
      <w:pP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 misma manera, Miguel Carbonell en su libro </w:t>
      </w:r>
      <w:r w:rsidDel="00000000" w:rsidR="00000000" w:rsidRPr="00000000">
        <w:rPr>
          <w:rFonts w:ascii="Palatino Linotype" w:cs="Palatino Linotype" w:eastAsia="Palatino Linotype" w:hAnsi="Palatino Linotype"/>
          <w:i w:val="1"/>
          <w:sz w:val="24"/>
          <w:szCs w:val="24"/>
          <w:rtl w:val="0"/>
        </w:rPr>
        <w:t xml:space="preserve">“Los derechos fundamentales”</w:t>
      </w:r>
      <w:r w:rsidDel="00000000" w:rsidR="00000000" w:rsidRPr="00000000">
        <w:rPr>
          <w:rFonts w:ascii="Palatino Linotype" w:cs="Palatino Linotype" w:eastAsia="Palatino Linotype" w:hAnsi="Palatino Linotype"/>
          <w:sz w:val="24"/>
          <w:szCs w:val="24"/>
          <w:rtl w:val="0"/>
        </w:rPr>
        <w:t xml:space="preserve"> refiere que el </w:t>
      </w:r>
      <w:r w:rsidDel="00000000" w:rsidR="00000000" w:rsidRPr="00000000">
        <w:rPr>
          <w:rFonts w:ascii="Palatino Linotype" w:cs="Palatino Linotype" w:eastAsia="Palatino Linotype" w:hAnsi="Palatino Linotype"/>
          <w:sz w:val="24"/>
          <w:szCs w:val="24"/>
          <w:u w:val="single"/>
          <w:rtl w:val="0"/>
        </w:rPr>
        <w:t xml:space="preserve">derecho de petición se ha entendido de dos distintitas maneras</w:t>
      </w:r>
      <w:r w:rsidDel="00000000" w:rsidR="00000000" w:rsidRPr="00000000">
        <w:rPr>
          <w:rFonts w:ascii="Palatino Linotype" w:cs="Palatino Linotype" w:eastAsia="Palatino Linotype" w:hAnsi="Palatino Linotype"/>
          <w:sz w:val="24"/>
          <w:szCs w:val="24"/>
          <w:rtl w:val="0"/>
        </w:rPr>
        <w:t xml:space="preserve">, a saber: como un derecho fundamental de participación política ya que </w:t>
      </w:r>
      <w:r w:rsidDel="00000000" w:rsidR="00000000" w:rsidRPr="00000000">
        <w:rPr>
          <w:rFonts w:ascii="Palatino Linotype" w:cs="Palatino Linotype" w:eastAsia="Palatino Linotype" w:hAnsi="Palatino Linotype"/>
          <w:sz w:val="24"/>
          <w:szCs w:val="24"/>
          <w:u w:val="single"/>
          <w:rtl w:val="0"/>
        </w:rPr>
        <w:t xml:space="preserve">permite a los </w:t>
      </w:r>
      <w:r w:rsidDel="00000000" w:rsidR="00000000" w:rsidRPr="00000000">
        <w:rPr>
          <w:rFonts w:ascii="Palatino Linotype" w:cs="Palatino Linotype" w:eastAsia="Palatino Linotype" w:hAnsi="Palatino Linotype"/>
          <w:sz w:val="24"/>
          <w:szCs w:val="24"/>
          <w:rtl w:val="0"/>
        </w:rPr>
        <w:t xml:space="preserve">particulares trasladar a las autoridades sus </w:t>
      </w:r>
      <w:r w:rsidDel="00000000" w:rsidR="00000000" w:rsidRPr="00000000">
        <w:rPr>
          <w:rFonts w:ascii="Palatino Linotype" w:cs="Palatino Linotype" w:eastAsia="Palatino Linotype" w:hAnsi="Palatino Linotype"/>
          <w:b w:val="1"/>
          <w:sz w:val="24"/>
          <w:szCs w:val="24"/>
          <w:rtl w:val="0"/>
        </w:rPr>
        <w:t xml:space="preserve">inquietudes, quejas</w:t>
      </w:r>
      <w:r w:rsidDel="00000000" w:rsidR="00000000" w:rsidRPr="00000000">
        <w:rPr>
          <w:rFonts w:ascii="Palatino Linotype" w:cs="Palatino Linotype" w:eastAsia="Palatino Linotype" w:hAnsi="Palatino Linotype"/>
          <w:sz w:val="24"/>
          <w:szCs w:val="24"/>
          <w:rtl w:val="0"/>
        </w:rPr>
        <w:t xml:space="preserve">, sugerencias y requerimientos en cualquier materia o asunto; y como una </w:t>
      </w:r>
      <w:r w:rsidDel="00000000" w:rsidR="00000000" w:rsidRPr="00000000">
        <w:rPr>
          <w:rFonts w:ascii="Palatino Linotype" w:cs="Palatino Linotype" w:eastAsia="Palatino Linotype" w:hAnsi="Palatino Linotype"/>
          <w:b w:val="1"/>
          <w:sz w:val="24"/>
          <w:szCs w:val="24"/>
          <w:rtl w:val="0"/>
        </w:rPr>
        <w:t xml:space="preserve">forma específica de la libertad de expresión</w:t>
      </w:r>
      <w:r w:rsidDel="00000000" w:rsidR="00000000" w:rsidRPr="00000000">
        <w:rPr>
          <w:rFonts w:ascii="Palatino Linotype" w:cs="Palatino Linotype" w:eastAsia="Palatino Linotype" w:hAnsi="Palatino Linotype"/>
          <w:sz w:val="24"/>
          <w:szCs w:val="24"/>
          <w:rtl w:val="0"/>
        </w:rPr>
        <w:t xml:space="preserve">, en tanto que permite expresarse frente a las autoridades. </w:t>
      </w:r>
    </w:p>
    <w:p w:rsidR="00000000" w:rsidDel="00000000" w:rsidP="00000000" w:rsidRDefault="00000000" w:rsidRPr="00000000" w14:paraId="0000017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rsidR="00000000" w:rsidDel="00000000" w:rsidP="00000000" w:rsidRDefault="00000000" w:rsidRPr="00000000" w14:paraId="0000017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spacing w:after="0" w:line="360" w:lineRule="auto"/>
        <w:ind w:right="9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el autor anteriormente citado, indica que el </w:t>
      </w:r>
      <w:r w:rsidDel="00000000" w:rsidR="00000000" w:rsidRPr="00000000">
        <w:rPr>
          <w:rFonts w:ascii="Palatino Linotype" w:cs="Palatino Linotype" w:eastAsia="Palatino Linotype" w:hAnsi="Palatino Linotype"/>
          <w:b w:val="1"/>
          <w:sz w:val="24"/>
          <w:szCs w:val="24"/>
          <w:rtl w:val="0"/>
        </w:rPr>
        <w:t xml:space="preserve">derecho de acceso a la información pública</w:t>
      </w:r>
      <w:r w:rsidDel="00000000" w:rsidR="00000000" w:rsidRPr="00000000">
        <w:rPr>
          <w:rFonts w:ascii="Palatino Linotype" w:cs="Palatino Linotype" w:eastAsia="Palatino Linotype" w:hAnsi="Palatino Linotype"/>
          <w:sz w:val="24"/>
          <w:szCs w:val="24"/>
          <w:rtl w:val="0"/>
        </w:rPr>
        <w:t xml:space="preserve"> es el derecho de conocer la </w:t>
      </w:r>
      <w:r w:rsidDel="00000000" w:rsidR="00000000" w:rsidRPr="00000000">
        <w:rPr>
          <w:rFonts w:ascii="Palatino Linotype" w:cs="Palatino Linotype" w:eastAsia="Palatino Linotype" w:hAnsi="Palatino Linotype"/>
          <w:sz w:val="24"/>
          <w:szCs w:val="24"/>
          <w:u w:val="single"/>
          <w:rtl w:val="0"/>
        </w:rPr>
        <w:t xml:space="preserve">información de carácter público que se genera o está en posesión de los órganos del poder público</w:t>
      </w:r>
      <w:r w:rsidDel="00000000" w:rsidR="00000000" w:rsidRPr="00000000">
        <w:rPr>
          <w:rFonts w:ascii="Palatino Linotype" w:cs="Palatino Linotype" w:eastAsia="Palatino Linotype" w:hAnsi="Palatino Linotype"/>
          <w:sz w:val="24"/>
          <w:szCs w:val="24"/>
          <w:rtl w:val="0"/>
        </w:rPr>
        <w:t xml:space="preserve">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177">
      <w:pPr>
        <w:spacing w:after="0" w:line="360" w:lineRule="auto"/>
        <w:ind w:right="9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after="0" w:line="360" w:lineRule="auto"/>
        <w:ind w:right="9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rsidR="00000000" w:rsidDel="00000000" w:rsidP="00000000" w:rsidRDefault="00000000" w:rsidRPr="00000000" w14:paraId="00000179">
      <w:pPr>
        <w:spacing w:after="0" w:line="360" w:lineRule="auto"/>
        <w:ind w:right="9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A">
      <w:pPr>
        <w:spacing w:after="0" w:line="360" w:lineRule="auto"/>
        <w:ind w:right="9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puede concluir que la distinción entre el </w:t>
      </w:r>
      <w:r w:rsidDel="00000000" w:rsidR="00000000" w:rsidRPr="00000000">
        <w:rPr>
          <w:rFonts w:ascii="Palatino Linotype" w:cs="Palatino Linotype" w:eastAsia="Palatino Linotype" w:hAnsi="Palatino Linotype"/>
          <w:b w:val="1"/>
          <w:sz w:val="24"/>
          <w:szCs w:val="24"/>
          <w:rtl w:val="0"/>
        </w:rPr>
        <w:t xml:space="preserve">derecho de petición</w:t>
      </w:r>
      <w:r w:rsidDel="00000000" w:rsidR="00000000" w:rsidRPr="00000000">
        <w:rPr>
          <w:rFonts w:ascii="Palatino Linotype" w:cs="Palatino Linotype" w:eastAsia="Palatino Linotype" w:hAnsi="Palatino Linotype"/>
          <w:sz w:val="24"/>
          <w:szCs w:val="24"/>
          <w:rtl w:val="0"/>
        </w:rPr>
        <w:t xml:space="preserve"> y el derecho de acceso a la información descansa, principalmente, en que </w:t>
      </w:r>
      <w:r w:rsidDel="00000000" w:rsidR="00000000" w:rsidRPr="00000000">
        <w:rPr>
          <w:rFonts w:ascii="Palatino Linotype" w:cs="Palatino Linotype" w:eastAsia="Palatino Linotype" w:hAnsi="Palatino Linotype"/>
          <w:b w:val="1"/>
          <w:sz w:val="24"/>
          <w:szCs w:val="24"/>
          <w:u w:val="single"/>
          <w:rtl w:val="0"/>
        </w:rPr>
        <w:t xml:space="preserve">la pretensión del peticionario consiste generalmente en obligar a la autoridad responsable a que actúe en el sentido de contestar lo solicitado mediante la elaboración de un informe detallada</w:t>
      </w:r>
      <w:r w:rsidDel="00000000" w:rsidR="00000000" w:rsidRPr="00000000">
        <w:rPr>
          <w:rFonts w:ascii="Palatino Linotype" w:cs="Palatino Linotype" w:eastAsia="Palatino Linotype" w:hAnsi="Palatino Linotype"/>
          <w:sz w:val="24"/>
          <w:szCs w:val="24"/>
          <w:rtl w:val="0"/>
        </w:rPr>
        <w:t xml:space="preserve">,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000000" w:rsidDel="00000000" w:rsidP="00000000" w:rsidRDefault="00000000" w:rsidRPr="00000000" w14:paraId="0000017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virtud, los requerimientos de nuestra atención consisten en un ejercicio del derecho de petición, y no son atendibles vía acceso a la información.</w:t>
      </w:r>
    </w:p>
    <w:p w:rsidR="00000000" w:rsidDel="00000000" w:rsidP="00000000" w:rsidRDefault="00000000" w:rsidRPr="00000000" w14:paraId="0000017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E">
      <w:pPr>
        <w:numPr>
          <w:ilvl w:val="3"/>
          <w:numId w:val="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Pronunciamiento sobre quién es la autoridad competente para otorgar los permisos para la gasolinera referida en la solicitud.</w:t>
      </w:r>
      <w:r w:rsidDel="00000000" w:rsidR="00000000" w:rsidRPr="00000000">
        <w:rPr>
          <w:rtl w:val="0"/>
        </w:rPr>
      </w:r>
    </w:p>
    <w:p w:rsidR="00000000" w:rsidDel="00000000" w:rsidP="00000000" w:rsidRDefault="00000000" w:rsidRPr="00000000" w14:paraId="0000017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Sobre este punto, es de indicar que, conforme lo analizado en el apartado que antecede, el documento que se expide para la operación de una unidad económica de alto impacto como lo es una gasolinera, se requiere una licencia de funcionamiento.</w:t>
      </w:r>
    </w:p>
    <w:p w:rsidR="00000000" w:rsidDel="00000000" w:rsidP="00000000" w:rsidRDefault="00000000" w:rsidRPr="00000000" w14:paraId="0000018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en cuanto a la interrogante de la persona solicitante, relativa a quien es la autoridad competente para emitir, en este caso, la licencia de funcionamiento para la gasolinera sobre la cual versa la solicitud de información, de la normatividad que regula al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no advierte fuente obligacional que lo constriña a generar una expresión documental que atienda el cuestionamiento de referencia.</w:t>
      </w:r>
    </w:p>
    <w:p w:rsidR="00000000" w:rsidDel="00000000" w:rsidP="00000000" w:rsidRDefault="00000000" w:rsidRPr="00000000" w14:paraId="0000018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afirma lo anterior, pues en los mismos términos señalados el apartado que antecede,  se advierte que la petición formulada por la parte Solicitante, conlleva a afirmar que se está en presencia del ejercicio del derecho a la libre expresión y en todo caso a un derecho de petición, pues la misma requiere un pronunciamiento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relativo a contestar una determinada circunstancia que se atendería mediante la elaboración de un documento ad hoc, al cual no está obligado a generar.</w:t>
      </w:r>
    </w:p>
    <w:p w:rsidR="00000000" w:rsidDel="00000000" w:rsidP="00000000" w:rsidRDefault="00000000" w:rsidRPr="00000000" w14:paraId="0000018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obstante, en el presente caso, conviene citar el contenido de los artículos 2, fracción XXXVII y 14 de la Ley de Competitividad y Ordenamiento Comercial del Estado de México:</w:t>
      </w:r>
    </w:p>
    <w:p w:rsidR="00000000" w:rsidDel="00000000" w:rsidP="00000000" w:rsidRDefault="00000000" w:rsidRPr="00000000" w14:paraId="00000187">
      <w:pPr>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2. Para los efectos de esta Ley, se entenderá por:</w:t>
      </w:r>
      <w:r w:rsidDel="00000000" w:rsidR="00000000" w:rsidRPr="00000000">
        <w:rPr>
          <w:rtl w:val="0"/>
        </w:rPr>
      </w:r>
    </w:p>
    <w:p w:rsidR="00000000" w:rsidDel="00000000" w:rsidP="00000000" w:rsidRDefault="00000000" w:rsidRPr="00000000" w14:paraId="00000188">
      <w:pPr>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9">
      <w:pPr>
        <w:spacing w:after="0" w:line="276" w:lineRule="auto"/>
        <w:ind w:left="567" w:right="70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XXXVII. </w:t>
      </w:r>
      <w:r w:rsidDel="00000000" w:rsidR="00000000" w:rsidRPr="00000000">
        <w:rPr>
          <w:rFonts w:ascii="Palatino Linotype" w:cs="Palatino Linotype" w:eastAsia="Palatino Linotype" w:hAnsi="Palatino Linotype"/>
          <w:b w:val="1"/>
          <w:i w:val="1"/>
          <w:rtl w:val="0"/>
        </w:rPr>
        <w:t xml:space="preserve">Ventanilla de gestión: Al órgano administrativo de la Secretaría de Desarrollo Económico.</w:t>
      </w:r>
    </w:p>
    <w:p w:rsidR="00000000" w:rsidDel="00000000" w:rsidP="00000000" w:rsidRDefault="00000000" w:rsidRPr="00000000" w14:paraId="0000018A">
      <w:pPr>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B">
      <w:pPr>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 La ventanilla de gestión conocerá de los trámites de las unidades económicas de alto y mediano impacto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C">
      <w:pPr>
        <w:spacing w:after="0" w:line="276" w:lineRule="auto"/>
        <w:ind w:left="567" w:right="7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8D">
      <w:pPr>
        <w:spacing w:after="0" w:line="276" w:lineRule="auto"/>
        <w:ind w:left="567" w:right="701"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18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desprende de lo anterior, es la </w:t>
      </w:r>
      <w:r w:rsidDel="00000000" w:rsidR="00000000" w:rsidRPr="00000000">
        <w:rPr>
          <w:rFonts w:ascii="Palatino Linotype" w:cs="Palatino Linotype" w:eastAsia="Palatino Linotype" w:hAnsi="Palatino Linotype"/>
          <w:b w:val="1"/>
          <w:sz w:val="24"/>
          <w:szCs w:val="24"/>
          <w:u w:val="single"/>
          <w:rtl w:val="0"/>
        </w:rPr>
        <w:t xml:space="preserve">ventanilla de gestión</w:t>
      </w:r>
      <w:r w:rsidDel="00000000" w:rsidR="00000000" w:rsidRPr="00000000">
        <w:rPr>
          <w:rFonts w:ascii="Palatino Linotype" w:cs="Palatino Linotype" w:eastAsia="Palatino Linotype" w:hAnsi="Palatino Linotype"/>
          <w:sz w:val="24"/>
          <w:szCs w:val="24"/>
          <w:rtl w:val="0"/>
        </w:rPr>
        <w:t xml:space="preserve"> a cargo de la Secretaría de Desarrollo Económico del Gobierno del Estado de México, quien conocerá sobre trámites como lo es la licencia de funcionamiento de unidades de alto impacto como lo es la gasolinera sobre la cual versa la solicitud de información; y, por tanto, se desprende que quien es la autoridad competente para atender dicho trámite es la Secretaría indicada. </w:t>
      </w:r>
    </w:p>
    <w:p w:rsidR="00000000" w:rsidDel="00000000" w:rsidP="00000000" w:rsidRDefault="00000000" w:rsidRPr="00000000" w14:paraId="0000019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pues atendiendo lo puntualizado en el apartado que antecede, a los municipios, por cuanto hace al trámite de la licencia de funcionamiento de unidades económicas de alto impacto, únicamente le compete resguardar las documentales donde constan los requisitos para la obtención de la licencia de mérito.</w:t>
      </w:r>
    </w:p>
    <w:p w:rsidR="00000000" w:rsidDel="00000000" w:rsidP="00000000" w:rsidRDefault="00000000" w:rsidRPr="00000000" w14:paraId="0000019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3">
      <w:pPr>
        <w:numPr>
          <w:ilvl w:val="3"/>
          <w:numId w:val="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Del Director Jurídico y del Director Municipal de Gobierno, los horarios laborales que tienen en el Ayuntamiento de Amecameca y los recibos de nómina por trabajar en dicho ente público.</w:t>
      </w:r>
      <w:r w:rsidDel="00000000" w:rsidR="00000000" w:rsidRPr="00000000">
        <w:rPr>
          <w:rtl w:val="0"/>
        </w:rPr>
      </w:r>
    </w:p>
    <w:p w:rsidR="00000000" w:rsidDel="00000000" w:rsidP="00000000" w:rsidRDefault="00000000" w:rsidRPr="00000000" w14:paraId="0000019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es menester de este Organismo Garante precisar que la solicitud de información que dio origen al recurso de revisión que se resuelve fue dirigida al Ayuntamiento de Atlautla, como se desprende del primer antecedente de la presente resolución; no obstante, del análisis al requerimiento, se advierte que el mismo está relacionado con información en posesión de otro sujeto obligado, como lo es el Ayuntamiento de Amecameca.</w:t>
      </w:r>
    </w:p>
    <w:p w:rsidR="00000000" w:rsidDel="00000000" w:rsidP="00000000" w:rsidRDefault="00000000" w:rsidRPr="00000000" w14:paraId="0000019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afirma lo anterior, en virtud de que del contenido de la solicitud se desprende que la persona solicitante requiere acceder a los horarios en que trabaja el Director Jurídico y el Director Municipal de Gobierno del Ayuntamiento de Atlautla, en el Ayuntamiento de Amecameca; por lo que, este Órgano Garante al desconocer si los servidores públicos que fungen como titulares de dichas direcciones también trabajan para este último, es que se considera que nos encontramos en presencia de una notoria incompetencia.</w:t>
      </w:r>
    </w:p>
    <w:p w:rsidR="00000000" w:rsidDel="00000000" w:rsidP="00000000" w:rsidRDefault="00000000" w:rsidRPr="00000000" w14:paraId="0000019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obstante, atendiendo a que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fue omiso en realizar pronunciamiento alguno sobre el requerimiento en análisis, es menester de este Instituto señalar lo siguiente:</w:t>
      </w:r>
    </w:p>
    <w:p w:rsidR="00000000" w:rsidDel="00000000" w:rsidP="00000000" w:rsidRDefault="00000000" w:rsidRPr="00000000" w14:paraId="0000019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principio, el derecho de acceso a la Información Pública y el procedimiento para su acceso debe ser claro y preciso, a fin de dotar de certeza jurídica a todas las respuestas proporcionadas por los Sujetos Obligados.</w:t>
      </w:r>
    </w:p>
    <w:p w:rsidR="00000000" w:rsidDel="00000000" w:rsidP="00000000" w:rsidRDefault="00000000" w:rsidRPr="00000000" w14:paraId="0000019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para efectos de la materia de transparencia y acceso a la información pública, no debe dejar de observarse que, en fecha 14 de octubre de 2020, se publicó en el Periódico Oficial “Gaceta del Gobierno”, el Acuerdo mediante el cual el Pleno del Instituto de Transparencia, Acceso a la Información Pública y Protección de Datos Personales del Estado de México y Municipios, aprueba el </w:t>
      </w:r>
      <w:r w:rsidDel="00000000" w:rsidR="00000000" w:rsidRPr="00000000">
        <w:rPr>
          <w:rFonts w:ascii="Palatino Linotype" w:cs="Palatino Linotype" w:eastAsia="Palatino Linotype" w:hAnsi="Palatino Linotype"/>
          <w:b w:val="1"/>
          <w:sz w:val="24"/>
          <w:szCs w:val="24"/>
          <w:rtl w:val="0"/>
        </w:rPr>
        <w:t xml:space="preserve">Padrón de Sujetos Obligados en Materia de Transparencia y Acceso a la Información Pública del Estado de México y Municipios</w:t>
      </w:r>
      <w:r w:rsidDel="00000000" w:rsidR="00000000" w:rsidRPr="00000000">
        <w:rPr>
          <w:rFonts w:ascii="Palatino Linotype" w:cs="Palatino Linotype" w:eastAsia="Palatino Linotype" w:hAnsi="Palatino Linotype"/>
          <w:sz w:val="24"/>
          <w:szCs w:val="24"/>
          <w:rtl w:val="0"/>
        </w:rPr>
        <w:t xml:space="preserve">, el cual entró en vigor al día siguiente de su publicación; esto es, el 15 de octubre de 2020.</w:t>
      </w:r>
    </w:p>
    <w:p w:rsidR="00000000" w:rsidDel="00000000" w:rsidP="00000000" w:rsidRDefault="00000000" w:rsidRPr="00000000" w14:paraId="0000019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Padrón permite identificar plenamente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w:t>
      </w:r>
    </w:p>
    <w:p w:rsidR="00000000" w:rsidDel="00000000" w:rsidP="00000000" w:rsidRDefault="00000000" w:rsidRPr="00000000" w14:paraId="000001A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 dicho ordenamiento normativo, se advierte como Sujetos Obligados distintos al</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Ayuntamiento de Amecameca y al Ayuntamiento de Atlautla, como parte de los Sujetos Obligados de Competencia Municipal, sin que las modificaciones al Padrón publicadas en la Gaceta del Gobierno,</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en fechas 27 de noviembre de 2017, 23 de enero de 2019, 07 de agosto de 2019, 14 de octubre de 2020, 22 de marzo de 2021, 7 de junio de 2021, 29 de noviembre de 2021, 7 de abril de 2022, 19 de agosto de 2022 y 9 de marzo de 2023, modificaran dicha situación, como se muestra a continuación:</w:t>
      </w:r>
    </w:p>
    <w:p w:rsidR="00000000" w:rsidDel="00000000" w:rsidP="00000000" w:rsidRDefault="00000000" w:rsidRPr="00000000" w14:paraId="000001A2">
      <w:pP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3">
      <w:pPr>
        <w:spacing w:after="0" w:line="360" w:lineRule="auto"/>
        <w:ind w:left="567" w:right="560" w:firstLine="0"/>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“PADRÓN DE SUJETOS OBLIGADOS EN MATERIA DE TRANSPARENCIA Y ACCESO A LA INFORMACIÓN PÚBLICA DEL ESTADO DE MÉXICO Y MUNICIPIOS</w:t>
      </w:r>
    </w:p>
    <w:p w:rsidR="00000000" w:rsidDel="00000000" w:rsidP="00000000" w:rsidRDefault="00000000" w:rsidRPr="00000000" w14:paraId="000001A4">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A5">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SUJETOS OBLIGADOS DE COMPETENCIA MUNICIPAL </w:t>
      </w:r>
    </w:p>
    <w:p w:rsidR="00000000" w:rsidDel="00000000" w:rsidP="00000000" w:rsidRDefault="00000000" w:rsidRPr="00000000" w14:paraId="000001A6">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A7">
      <w:pPr>
        <w:spacing w:after="0" w:line="360" w:lineRule="auto"/>
        <w:ind w:left="567" w:right="5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135. Amecameca</w:t>
      </w:r>
    </w:p>
    <w:p w:rsidR="00000000" w:rsidDel="00000000" w:rsidP="00000000" w:rsidRDefault="00000000" w:rsidRPr="00000000" w14:paraId="000001A8">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A9">
      <w:pPr>
        <w:spacing w:after="0" w:line="360" w:lineRule="auto"/>
        <w:ind w:left="567" w:right="5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141. Atlautla</w:t>
      </w:r>
    </w:p>
    <w:p w:rsidR="00000000" w:rsidDel="00000000" w:rsidP="00000000" w:rsidRDefault="00000000" w:rsidRPr="00000000" w14:paraId="000001AA">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A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ello, del portal de la Información Pública de Oficio Mexiquense (IPOMEX), se advierte que 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sz w:val="24"/>
          <w:szCs w:val="24"/>
          <w:rtl w:val="0"/>
        </w:rPr>
        <w:t xml:space="preserve">Ayuntamiento de Amecameca es un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diverso al Ayuntamiento de Atlautla, que cuenta con su propia Unidad de Transparencia, tal como se ilustra:</w:t>
      </w:r>
    </w:p>
    <w:p w:rsidR="00000000" w:rsidDel="00000000" w:rsidP="00000000" w:rsidRDefault="00000000" w:rsidRPr="00000000" w14:paraId="000001A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649113" cy="2162477"/>
            <wp:effectExtent b="3175" l="3175" r="3175" t="3175"/>
            <wp:docPr id="1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49113" cy="2162477"/>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tanto, se acredita que el Ayuntamiento de Amecameca de mérito es el competente para conocer del requerimiento de nuestra atención.</w:t>
      </w:r>
    </w:p>
    <w:p w:rsidR="00000000" w:rsidDel="00000000" w:rsidP="00000000" w:rsidRDefault="00000000" w:rsidRPr="00000000" w14:paraId="000001B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Atento a lo anterior,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w:t>
      </w:r>
      <w:r w:rsidDel="00000000" w:rsidR="00000000" w:rsidRPr="00000000">
        <w:rPr>
          <w:rFonts w:ascii="Palatino Linotype" w:cs="Palatino Linotype" w:eastAsia="Palatino Linotype" w:hAnsi="Palatino Linotype"/>
          <w:b w:val="1"/>
          <w:sz w:val="24"/>
          <w:szCs w:val="24"/>
          <w:rtl w:val="0"/>
        </w:rPr>
        <w:t xml:space="preserve">al tenerse por acreditado que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Ayuntamiento de Amecameca es un sujeto obligado diferente, </w:t>
      </w:r>
      <w:r w:rsidDel="00000000" w:rsidR="00000000" w:rsidRPr="00000000">
        <w:rPr>
          <w:rFonts w:ascii="Palatino Linotype" w:cs="Palatino Linotype" w:eastAsia="Palatino Linotype" w:hAnsi="Palatino Linotype"/>
          <w:sz w:val="24"/>
          <w:szCs w:val="24"/>
          <w:rtl w:val="0"/>
        </w:rPr>
        <w:t xml:space="preserve">resulta fácticamente imposible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haga entrega de información que no genera, administra o posee.</w:t>
      </w:r>
    </w:p>
    <w:p w:rsidR="00000000" w:rsidDel="00000000" w:rsidP="00000000" w:rsidRDefault="00000000" w:rsidRPr="00000000" w14:paraId="000001B3">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B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Derivado de lo expuesto, es claro que existe una notoria incompetencia por parte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para dar respuesta al requerimiento en análisis; </w:t>
      </w:r>
      <w:r w:rsidDel="00000000" w:rsidR="00000000" w:rsidRPr="00000000">
        <w:rPr>
          <w:rFonts w:ascii="Palatino Linotype" w:cs="Palatino Linotype" w:eastAsia="Palatino Linotype" w:hAnsi="Palatino Linotype"/>
          <w:b w:val="1"/>
          <w:sz w:val="24"/>
          <w:szCs w:val="24"/>
          <w:rtl w:val="0"/>
        </w:rPr>
        <w:t xml:space="preserve">circunstancia que de acuerdo a las constancias que obran en el expediente electrónico aperturado con motivo del medio de impugnación que nos ocupa, no se advierte que dicho ente público lo hiciera del conocimiento de la persona solicitante, ni tampoco lo hubiera comunicado dentro del plazo de tres días hábiles posteriores a la recepción de la solicitud de información;</w:t>
      </w:r>
      <w:r w:rsidDel="00000000" w:rsidR="00000000" w:rsidRPr="00000000">
        <w:rPr>
          <w:rFonts w:ascii="Palatino Linotype" w:cs="Palatino Linotype" w:eastAsia="Palatino Linotype" w:hAnsi="Palatino Linotype"/>
          <w:sz w:val="24"/>
          <w:szCs w:val="24"/>
          <w:rtl w:val="0"/>
        </w:rPr>
        <w:t xml:space="preserve"> incumpliendo así con el párrafo primero del artículo 167, párrafo primero de la Ley de Transparencia y Acceso a la Información Pública del Estado de México y Municipios, que es del tenor literal siguiente:</w:t>
      </w:r>
    </w:p>
    <w:p w:rsidR="00000000" w:rsidDel="00000000" w:rsidP="00000000" w:rsidRDefault="00000000" w:rsidRPr="00000000" w14:paraId="000001B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6">
      <w:pPr>
        <w:spacing w:after="120" w:before="120" w:line="240" w:lineRule="auto"/>
        <w:ind w:left="851" w:right="902"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b w:val="1"/>
          <w:i w:val="1"/>
          <w:sz w:val="24"/>
          <w:szCs w:val="24"/>
          <w:rtl w:val="0"/>
        </w:rPr>
        <w:t xml:space="preserve">Artículo 167</w:t>
      </w:r>
      <w:r w:rsidDel="00000000" w:rsidR="00000000" w:rsidRPr="00000000">
        <w:rPr>
          <w:rFonts w:ascii="Palatino Linotype" w:cs="Palatino Linotype" w:eastAsia="Palatino Linotype" w:hAnsi="Palatino Linotype"/>
          <w:i w:val="1"/>
          <w:sz w:val="24"/>
          <w:szCs w:val="24"/>
          <w:rtl w:val="0"/>
        </w:rPr>
        <w:t xml:space="preserve">. C</w:t>
      </w:r>
      <w:r w:rsidDel="00000000" w:rsidR="00000000" w:rsidRPr="00000000">
        <w:rPr>
          <w:rFonts w:ascii="Palatino Linotype" w:cs="Palatino Linotype" w:eastAsia="Palatino Linotype" w:hAnsi="Palatino Linotype"/>
          <w:b w:val="1"/>
          <w:i w:val="1"/>
          <w:sz w:val="24"/>
          <w:szCs w:val="24"/>
          <w:rtl w:val="0"/>
        </w:rPr>
        <w:t xml:space="preserve">uando las </w:t>
      </w:r>
      <w:r w:rsidDel="00000000" w:rsidR="00000000" w:rsidRPr="00000000">
        <w:rPr>
          <w:rFonts w:ascii="Palatino Linotype" w:cs="Palatino Linotype" w:eastAsia="Palatino Linotype" w:hAnsi="Palatino Linotype"/>
          <w:b w:val="1"/>
          <w:i w:val="1"/>
          <w:sz w:val="24"/>
          <w:szCs w:val="24"/>
          <w:u w:val="single"/>
          <w:rtl w:val="0"/>
        </w:rPr>
        <w:t xml:space="preserve">unidades de transparencia</w:t>
      </w:r>
      <w:r w:rsidDel="00000000" w:rsidR="00000000" w:rsidRPr="00000000">
        <w:rPr>
          <w:rFonts w:ascii="Palatino Linotype" w:cs="Palatino Linotype" w:eastAsia="Palatino Linotype" w:hAnsi="Palatino Linotype"/>
          <w:b w:val="1"/>
          <w:i w:val="1"/>
          <w:sz w:val="24"/>
          <w:szCs w:val="24"/>
          <w:rtl w:val="0"/>
        </w:rPr>
        <w:t xml:space="preserve"> determinen la notoria incompetencia por parte de los sujetos obligados,</w:t>
      </w:r>
      <w:r w:rsidDel="00000000" w:rsidR="00000000" w:rsidRPr="00000000">
        <w:rPr>
          <w:rFonts w:ascii="Palatino Linotype" w:cs="Palatino Linotype" w:eastAsia="Palatino Linotype" w:hAnsi="Palatino Linotype"/>
          <w:i w:val="1"/>
          <w:sz w:val="24"/>
          <w:szCs w:val="24"/>
          <w:rtl w:val="0"/>
        </w:rPr>
        <w:t xml:space="preserve">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4"/>
          <w:szCs w:val="24"/>
          <w:rtl w:val="0"/>
        </w:rPr>
        <w:t xml:space="preserve">deberán comunicarlo al solicitante, dentro de los </w:t>
      </w:r>
      <w:r w:rsidDel="00000000" w:rsidR="00000000" w:rsidRPr="00000000">
        <w:rPr>
          <w:rFonts w:ascii="Palatino Linotype" w:cs="Palatino Linotype" w:eastAsia="Palatino Linotype" w:hAnsi="Palatino Linotype"/>
          <w:b w:val="1"/>
          <w:i w:val="1"/>
          <w:sz w:val="24"/>
          <w:szCs w:val="24"/>
          <w:u w:val="single"/>
          <w:rtl w:val="0"/>
        </w:rPr>
        <w:t xml:space="preserve">tres días hábiles posteriores</w:t>
      </w:r>
      <w:r w:rsidDel="00000000" w:rsidR="00000000" w:rsidRPr="00000000">
        <w:rPr>
          <w:rFonts w:ascii="Palatino Linotype" w:cs="Palatino Linotype" w:eastAsia="Palatino Linotype" w:hAnsi="Palatino Linotype"/>
          <w:b w:val="1"/>
          <w:i w:val="1"/>
          <w:sz w:val="24"/>
          <w:szCs w:val="24"/>
          <w:rtl w:val="0"/>
        </w:rPr>
        <w:t xml:space="preserve"> a la recepción de la solicitud</w:t>
      </w:r>
      <w:r w:rsidDel="00000000" w:rsidR="00000000" w:rsidRPr="00000000">
        <w:rPr>
          <w:rFonts w:ascii="Palatino Linotype" w:cs="Palatino Linotype" w:eastAsia="Palatino Linotype" w:hAnsi="Palatino Linotype"/>
          <w:i w:val="1"/>
          <w:sz w:val="24"/>
          <w:szCs w:val="24"/>
          <w:rtl w:val="0"/>
        </w:rPr>
        <w:t xml:space="preserve"> y, en su caso orientar al solicitante, el o los sujetos obligados competentes.”</w:t>
      </w:r>
    </w:p>
    <w:p w:rsidR="00000000" w:rsidDel="00000000" w:rsidP="00000000" w:rsidRDefault="00000000" w:rsidRPr="00000000" w14:paraId="000001B7">
      <w:pPr>
        <w:spacing w:after="120" w:before="120" w:line="240" w:lineRule="auto"/>
        <w:ind w:left="851" w:right="902" w:firstLine="0"/>
        <w:jc w:val="both"/>
        <w:rPr>
          <w:rFonts w:ascii="Palatino Linotype" w:cs="Palatino Linotype" w:eastAsia="Palatino Linotype" w:hAnsi="Palatino Linotype"/>
          <w:i w:val="1"/>
          <w:sz w:val="12"/>
          <w:szCs w:val="12"/>
        </w:rPr>
      </w:pPr>
      <w:r w:rsidDel="00000000" w:rsidR="00000000" w:rsidRPr="00000000">
        <w:rPr>
          <w:rtl w:val="0"/>
        </w:rPr>
      </w:r>
    </w:p>
    <w:p w:rsidR="00000000" w:rsidDel="00000000" w:rsidP="00000000" w:rsidRDefault="00000000" w:rsidRPr="00000000" w14:paraId="000001B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Del precepto normativo se desprende que cuando las Unidades de Transparencia, determinen una notoria incompetencia por parte de los entes públicos, deben realizar lo siguiente:</w:t>
      </w:r>
    </w:p>
    <w:p w:rsidR="00000000" w:rsidDel="00000000" w:rsidP="00000000" w:rsidRDefault="00000000" w:rsidRPr="00000000" w14:paraId="000001B9">
      <w:pPr>
        <w:numPr>
          <w:ilvl w:val="0"/>
          <w:numId w:val="1"/>
        </w:numPr>
        <w:tabs>
          <w:tab w:val="left" w:leader="none" w:pos="709"/>
        </w:tabs>
        <w:spacing w:after="120" w:before="120" w:line="360" w:lineRule="auto"/>
        <w:ind w:left="425"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Hacerlo del conocimiento de la persona solicitante, dentro de los tres días hábiles, posteriores a la presentación de la solicitud de información, y</w:t>
      </w:r>
    </w:p>
    <w:p w:rsidR="00000000" w:rsidDel="00000000" w:rsidP="00000000" w:rsidRDefault="00000000" w:rsidRPr="00000000" w14:paraId="000001BA">
      <w:pPr>
        <w:numPr>
          <w:ilvl w:val="0"/>
          <w:numId w:val="1"/>
        </w:numPr>
        <w:tabs>
          <w:tab w:val="left" w:leader="none" w:pos="709"/>
        </w:tabs>
        <w:spacing w:after="120" w:before="120" w:line="360" w:lineRule="auto"/>
        <w:ind w:left="425"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caso de conocer el Sujeto Obligado competente, orientarle a presentar la solicitud ante el mismo.</w:t>
      </w:r>
    </w:p>
    <w:p w:rsidR="00000000" w:rsidDel="00000000" w:rsidP="00000000" w:rsidRDefault="00000000" w:rsidRPr="00000000" w14:paraId="000001B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presente caso, como se indicó, no existe constancia que permitiera advertir que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cumpliera con dichos requisitos.</w:t>
      </w:r>
    </w:p>
    <w:p w:rsidR="00000000" w:rsidDel="00000000" w:rsidP="00000000" w:rsidRDefault="00000000" w:rsidRPr="00000000" w14:paraId="000001B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atendiendo a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no dio cumplimiento al requisito de hacer del conocimiento de la persona solicitante la notoria incompetencia del requerimiento de nuestra atención,  dentro del plazo de tres días hábiles posteriores a la presentación de la solicitud, ni que se hubiera orientado a la persona solicitante sobre el sujeto obligado competente para atender lo peticionado, es que se hace necesario la emisión del acuerdo por el que el Comité de Transparencia confirme la declaratoria de la información requerida consistente en:</w:t>
      </w:r>
      <w:r w:rsidDel="00000000" w:rsidR="00000000" w:rsidRPr="00000000">
        <w:rPr>
          <w:rFonts w:ascii="Palatino Linotype" w:cs="Palatino Linotype" w:eastAsia="Palatino Linotype" w:hAnsi="Palatino Linotype"/>
          <w:sz w:val="24"/>
          <w:szCs w:val="24"/>
          <w:u w:val="single"/>
          <w:rtl w:val="0"/>
        </w:rPr>
        <w:t xml:space="preserve"> el o los documentos donde consten los horarios laborales de los servidores públicos titulares de la Dirección Jurídica y la Dirección Municipal de Gobierno en el Ayuntamiento de Amecameca</w:t>
      </w:r>
      <w:r w:rsidDel="00000000" w:rsidR="00000000" w:rsidRPr="00000000">
        <w:rPr>
          <w:rFonts w:ascii="Palatino Linotype" w:cs="Palatino Linotype" w:eastAsia="Palatino Linotype" w:hAnsi="Palatino Linotype"/>
          <w:sz w:val="24"/>
          <w:szCs w:val="24"/>
          <w:rtl w:val="0"/>
        </w:rPr>
        <w:t xml:space="preserve">; resultando aplicable lo dispuesto por los artículos 49, fracción II, 53, fracción III y 167 de la Ley de Transparencia y Acceso a la Información Pública del Estado de México y Municipios.</w:t>
      </w:r>
    </w:p>
    <w:p w:rsidR="00000000" w:rsidDel="00000000" w:rsidP="00000000" w:rsidRDefault="00000000" w:rsidRPr="00000000" w14:paraId="000001B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Preceptos de los cuales se desprende que las </w:t>
      </w:r>
      <w:r w:rsidDel="00000000" w:rsidR="00000000" w:rsidRPr="00000000">
        <w:rPr>
          <w:rFonts w:ascii="Palatino Linotype" w:cs="Palatino Linotype" w:eastAsia="Palatino Linotype" w:hAnsi="Palatino Linotype"/>
          <w:b w:val="1"/>
          <w:sz w:val="24"/>
          <w:szCs w:val="24"/>
          <w:rtl w:val="0"/>
        </w:rPr>
        <w:t xml:space="preserve">Unidades de Transparencia son responsables de orientar a los particulares respecto de la dependencia, entidad u órgano que pudiera tener la información requerida, cuando la misma no sea competencia del sujeto obligado ante el cual se formule la solicitud de acceso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C0">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1">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que los </w:t>
      </w:r>
      <w:r w:rsidDel="00000000" w:rsidR="00000000" w:rsidRPr="00000000">
        <w:rPr>
          <w:rFonts w:ascii="Palatino Linotype" w:cs="Palatino Linotype" w:eastAsia="Palatino Linotype" w:hAnsi="Palatino Linotype"/>
          <w:b w:val="1"/>
          <w:sz w:val="24"/>
          <w:szCs w:val="24"/>
          <w:rtl w:val="0"/>
        </w:rPr>
        <w:t xml:space="preserve">Comités de Transparencia tienen entre sus atribuciones confirmar, modificar o revocar la declaración de incompetencia</w:t>
      </w:r>
      <w:r w:rsidDel="00000000" w:rsidR="00000000" w:rsidRPr="00000000">
        <w:rPr>
          <w:rFonts w:ascii="Palatino Linotype" w:cs="Palatino Linotype" w:eastAsia="Palatino Linotype" w:hAnsi="Palatino Linotype"/>
          <w:sz w:val="24"/>
          <w:szCs w:val="24"/>
          <w:rtl w:val="0"/>
        </w:rPr>
        <w:t xml:space="preserve"> que realicen los titulares de las unidades administrativas.</w:t>
      </w:r>
    </w:p>
    <w:p w:rsidR="00000000" w:rsidDel="00000000" w:rsidP="00000000" w:rsidRDefault="00000000" w:rsidRPr="00000000" w14:paraId="000001C2">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3">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cuando las Unidades de Transparencia determinen la notoria incompetencia por parte de </w:t>
      </w:r>
      <w:r w:rsidDel="00000000" w:rsidR="00000000" w:rsidRPr="00000000">
        <w:rPr>
          <w:rFonts w:ascii="Palatino Linotype" w:cs="Palatino Linotype" w:eastAsia="Palatino Linotype" w:hAnsi="Palatino Linotype"/>
          <w:b w:val="1"/>
          <w:sz w:val="24"/>
          <w:szCs w:val="24"/>
          <w:rtl w:val="0"/>
        </w:rPr>
        <w:t xml:space="preserve">los sujetos obligados deberán comunicar al solicitante la misma dentro de los tres días posteriores a la recepción de la solicitud</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C4">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5">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logra observar, si bien la Ley de la materia, prevé el supuesto de incompetencia para que los sujetos obligados den atención a solitudes de información, también lo es, que no se precisa en que consiste dicho concepto; al respecto, Cabanellas, Guillermo (1993), en el “Diccionario Jurídico Elemental” (p. 32 y 161), precisó los siguientes conceptos:</w:t>
      </w:r>
    </w:p>
    <w:p w:rsidR="00000000" w:rsidDel="00000000" w:rsidP="00000000" w:rsidRDefault="00000000" w:rsidRPr="00000000" w14:paraId="000001C6">
      <w:pPr>
        <w:tabs>
          <w:tab w:val="left" w:leader="none" w:pos="567"/>
          <w:tab w:val="left" w:leader="none" w:pos="851"/>
        </w:tabs>
        <w:spacing w:after="240" w:before="240" w:line="276" w:lineRule="auto"/>
        <w:ind w:left="284"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tab/>
        <w:t xml:space="preserve">Competencia: La capacidad de una autoridad para conocer sobre una materia o asunto.</w:t>
      </w:r>
    </w:p>
    <w:p w:rsidR="00000000" w:rsidDel="00000000" w:rsidP="00000000" w:rsidRDefault="00000000" w:rsidRPr="00000000" w14:paraId="000001C7">
      <w:pPr>
        <w:tabs>
          <w:tab w:val="left" w:leader="none" w:pos="567"/>
          <w:tab w:val="left" w:leader="none" w:pos="851"/>
        </w:tabs>
        <w:spacing w:after="240" w:before="240" w:line="276" w:lineRule="auto"/>
        <w:ind w:left="284"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tab/>
        <w:t xml:space="preserve">Incompetencia: Falta de Competencia.</w:t>
      </w:r>
    </w:p>
    <w:p w:rsidR="00000000" w:rsidDel="00000000" w:rsidP="00000000" w:rsidRDefault="00000000" w:rsidRPr="00000000" w14:paraId="000001C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000000" w:rsidDel="00000000" w:rsidP="00000000" w:rsidRDefault="00000000" w:rsidRPr="00000000" w14:paraId="000001C9">
      <w:pPr>
        <w:spacing w:after="120" w:before="12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b w:val="1"/>
          <w:i w:val="1"/>
          <w:sz w:val="24"/>
          <w:szCs w:val="24"/>
          <w:rtl w:val="0"/>
        </w:rPr>
        <w:t xml:space="preserve">LEGITIMACIÓN DE FUNCIONARIOS PÚBLICOS. LOS TRIBUNALES DE AMPARO, POR ESTAR VINCULADOS CON EL CONCEPTO DE COMPETENCIA A QUE SE REFIERE EL ARTÍCULO 16 CONSTITUCIONAL, NO PUEDEN CONOCER DE AQUÉLLA.</w:t>
      </w:r>
      <w:r w:rsidDel="00000000" w:rsidR="00000000" w:rsidRPr="00000000">
        <w:rPr>
          <w:rFonts w:ascii="Palatino Linotype" w:cs="Palatino Linotype" w:eastAsia="Palatino Linotype" w:hAnsi="Palatino Linotype"/>
          <w:i w:val="1"/>
          <w:sz w:val="24"/>
          <w:szCs w:val="24"/>
          <w:rtl w:val="0"/>
        </w:rPr>
        <w:t xml:space="preserve">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000000" w:rsidDel="00000000" w:rsidP="00000000" w:rsidRDefault="00000000" w:rsidRPr="00000000" w14:paraId="000001CA">
      <w:pPr>
        <w:spacing w:after="120" w:before="12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C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resulta necesario traer a colación, el Criterio 13/17, emitido por el Instituto Nacional de Transparencia, Acceso a la Información y Protección de Datos Personales, que dispone lo siguiente: </w:t>
      </w:r>
    </w:p>
    <w:p w:rsidR="00000000" w:rsidDel="00000000" w:rsidP="00000000" w:rsidRDefault="00000000" w:rsidRPr="00000000" w14:paraId="000001C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D">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Incompetencia</w:t>
      </w:r>
      <w:r w:rsidDel="00000000" w:rsidR="00000000" w:rsidRPr="00000000">
        <w:rPr>
          <w:rFonts w:ascii="Palatino Linotype" w:cs="Palatino Linotype" w:eastAsia="Palatino Linotype" w:hAnsi="Palatino Linotype"/>
          <w:i w:val="1"/>
          <w:sz w:val="24"/>
          <w:szCs w:val="24"/>
          <w:rtl w:val="0"/>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000000" w:rsidDel="00000000" w:rsidP="00000000" w:rsidRDefault="00000000" w:rsidRPr="00000000" w14:paraId="000001CE">
      <w:pPr>
        <w:spacing w:after="0" w:line="240"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CF">
      <w:pPr>
        <w:tabs>
          <w:tab w:val="left" w:leader="none" w:pos="709"/>
        </w:tabs>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virtud, la incompetencia implica que, de conformidad con las atribuciones conferidas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no habría razón por la cual éste deba contar con la información solicitada, en cuyo caso, tendría que orientar al particular para que acuda a la instancia competente.</w:t>
      </w:r>
    </w:p>
    <w:p w:rsidR="00000000" w:rsidDel="00000000" w:rsidP="00000000" w:rsidRDefault="00000000" w:rsidRPr="00000000" w14:paraId="000001D0">
      <w:pPr>
        <w:tabs>
          <w:tab w:val="left" w:leader="none" w:pos="709"/>
        </w:tabs>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1">
      <w:pPr>
        <w:tabs>
          <w:tab w:val="left" w:leader="none" w:pos="709"/>
        </w:tabs>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través de su Comité de Transparencia debe confirmar la incompetencia que en el presente asunto encuadra en el supuesto de la Ley, es decir se deberá elaborar el acuerdo mediante el cual se confirme la incompetencia respecto lo peticionado en este punto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debiendo notificarle de igual forma el Acuerdo de referencia.</w:t>
      </w:r>
    </w:p>
    <w:p w:rsidR="00000000" w:rsidDel="00000000" w:rsidP="00000000" w:rsidRDefault="00000000" w:rsidRPr="00000000" w14:paraId="000001D2">
      <w:pPr>
        <w:tabs>
          <w:tab w:val="left" w:leader="none" w:pos="709"/>
        </w:tabs>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3">
      <w:pPr>
        <w:tabs>
          <w:tab w:val="left" w:leader="none" w:pos="709"/>
        </w:tabs>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ante la incompetencia,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tiene la potestad de orientar al particular sobre la dependencia pública ante quien deba presentar su solicitud de información; situación que en el caso concreto dicho ente público tampoco cumplió.</w:t>
      </w:r>
    </w:p>
    <w:p w:rsidR="00000000" w:rsidDel="00000000" w:rsidP="00000000" w:rsidRDefault="00000000" w:rsidRPr="00000000" w14:paraId="000001D4">
      <w:pPr>
        <w:tabs>
          <w:tab w:val="left" w:leader="none" w:pos="709"/>
        </w:tabs>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5">
      <w:pPr>
        <w:tabs>
          <w:tab w:val="left" w:leader="none" w:pos="709"/>
        </w:tabs>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orden de ideas, se dejan a salvo los derechos de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para que formule una nueva solicitud de información ante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competente, para lo cual deberá señalar de manera precisa la información que es de su interés. </w:t>
      </w:r>
    </w:p>
    <w:p w:rsidR="00000000" w:rsidDel="00000000" w:rsidP="00000000" w:rsidRDefault="00000000" w:rsidRPr="00000000" w14:paraId="000001D6">
      <w:pPr>
        <w:tabs>
          <w:tab w:val="left" w:leader="none" w:pos="709"/>
        </w:tabs>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a consideración de este Organismo Garante, lo procedente para atender este punto de la solicitud es ordenar la entrega de lo siguiente:</w:t>
      </w:r>
    </w:p>
    <w:p w:rsidR="00000000" w:rsidDel="00000000" w:rsidP="00000000" w:rsidRDefault="00000000" w:rsidRPr="00000000" w14:paraId="000001D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9">
      <w:pPr>
        <w:numPr>
          <w:ilvl w:val="0"/>
          <w:numId w:val="1"/>
        </w:numPr>
        <w:spacing w:after="240" w:before="24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Acuerdo que emita el Comité de Transparencia mediante el que confirme la declaratoria de incompetencia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respecto de la información consistente en: </w:t>
      </w:r>
      <w:r w:rsidDel="00000000" w:rsidR="00000000" w:rsidRPr="00000000">
        <w:rPr>
          <w:rFonts w:ascii="Palatino Linotype" w:cs="Palatino Linotype" w:eastAsia="Palatino Linotype" w:hAnsi="Palatino Linotype"/>
          <w:sz w:val="24"/>
          <w:szCs w:val="24"/>
          <w:u w:val="single"/>
          <w:rtl w:val="0"/>
        </w:rPr>
        <w:t xml:space="preserve">el o los documentos donde consten los horarios laborales y recibos de nómina de los servidores públicos titulares de la Dirección Jurídica y la Dirección Municipal de Gobierno por su empleo en el Ayuntamiento de Amecameca.</w:t>
      </w:r>
      <w:r w:rsidDel="00000000" w:rsidR="00000000" w:rsidRPr="00000000">
        <w:rPr>
          <w:rtl w:val="0"/>
        </w:rPr>
      </w:r>
    </w:p>
    <w:p w:rsidR="00000000" w:rsidDel="00000000" w:rsidP="00000000" w:rsidRDefault="00000000" w:rsidRPr="00000000" w14:paraId="000001D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B">
      <w:pPr>
        <w:numPr>
          <w:ilvl w:val="3"/>
          <w:numId w:val="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Del Director Jurídico y del Director Municipal de Gobierno, los horarios en que trabajan en el Ayuntamiento de Atlautla.</w:t>
      </w:r>
      <w:r w:rsidDel="00000000" w:rsidR="00000000" w:rsidRPr="00000000">
        <w:rPr>
          <w:rtl w:val="0"/>
        </w:rPr>
      </w:r>
    </w:p>
    <w:p w:rsidR="00000000" w:rsidDel="00000000" w:rsidP="00000000" w:rsidRDefault="00000000" w:rsidRPr="00000000" w14:paraId="000001D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Sobre la naturaleza de la información solicitada, conviene traer a contexto el contenido de los artículos 5 y 49 de la Ley del Trabajo de los Servidores Públicos del Estado y Municipios, los cuales textualmente refieren lo siguiente:   </w:t>
      </w:r>
    </w:p>
    <w:p w:rsidR="00000000" w:rsidDel="00000000" w:rsidP="00000000" w:rsidRDefault="00000000" w:rsidRPr="00000000" w14:paraId="000001D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 </w:t>
      </w:r>
      <w:r w:rsidDel="00000000" w:rsidR="00000000" w:rsidRPr="00000000">
        <w:rPr>
          <w:rFonts w:ascii="Palatino Linotype" w:cs="Palatino Linotype" w:eastAsia="Palatino Linotype" w:hAnsi="Palatino Linotype"/>
          <w:b w:val="1"/>
          <w:i w:val="1"/>
          <w:rtl w:val="0"/>
        </w:rPr>
        <w:t xml:space="preserve">Ésta ley es de orden público e interés social y tiene por objeto regular las relaciones de trabajo, comprendidas entre </w:t>
      </w:r>
      <w:r w:rsidDel="00000000" w:rsidR="00000000" w:rsidRPr="00000000">
        <w:rPr>
          <w:rFonts w:ascii="Palatino Linotype" w:cs="Palatino Linotype" w:eastAsia="Palatino Linotype" w:hAnsi="Palatino Linotype"/>
          <w:i w:val="1"/>
          <w:rtl w:val="0"/>
        </w:rPr>
        <w:t xml:space="preserve">los poderes públicos del Estado y </w:t>
      </w:r>
      <w:r w:rsidDel="00000000" w:rsidR="00000000" w:rsidRPr="00000000">
        <w:rPr>
          <w:rFonts w:ascii="Palatino Linotype" w:cs="Palatino Linotype" w:eastAsia="Palatino Linotype" w:hAnsi="Palatino Linotype"/>
          <w:b w:val="1"/>
          <w:i w:val="1"/>
          <w:rtl w:val="0"/>
        </w:rPr>
        <w:t xml:space="preserve">los Municipios</w:t>
      </w:r>
      <w:r w:rsidDel="00000000" w:rsidR="00000000" w:rsidRPr="00000000">
        <w:rPr>
          <w:rFonts w:ascii="Palatino Linotype" w:cs="Palatino Linotype" w:eastAsia="Palatino Linotype" w:hAnsi="Palatino Linotype"/>
          <w:i w:val="1"/>
          <w:rtl w:val="0"/>
        </w:rPr>
        <w:t xml:space="preserve"> y sus respectivos servidores públicos.</w:t>
      </w:r>
    </w:p>
    <w:p w:rsidR="00000000" w:rsidDel="00000000" w:rsidP="00000000" w:rsidRDefault="00000000" w:rsidRPr="00000000" w14:paraId="000001E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E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 </w:t>
      </w:r>
      <w:r w:rsidDel="00000000" w:rsidR="00000000" w:rsidRPr="00000000">
        <w:rPr>
          <w:rFonts w:ascii="Palatino Linotype" w:cs="Palatino Linotype" w:eastAsia="Palatino Linotype" w:hAnsi="Palatino Linotype"/>
          <w:b w:val="1"/>
          <w:i w:val="1"/>
          <w:rtl w:val="0"/>
        </w:rPr>
        <w:t xml:space="preserve">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r w:rsidDel="00000000" w:rsidR="00000000" w:rsidRPr="00000000">
        <w:rPr>
          <w:rFonts w:ascii="Palatino Linotype" w:cs="Palatino Linotype" w:eastAsia="Palatino Linotype" w:hAnsi="Palatino Linotype"/>
          <w:i w:val="1"/>
          <w:rtl w:val="0"/>
        </w:rPr>
        <w:t xml:space="preserve">. Para los efectos de esta ley, las instituciones públicas estarán representadas por sus titulares.   </w:t>
      </w:r>
    </w:p>
    <w:p w:rsidR="00000000" w:rsidDel="00000000" w:rsidP="00000000" w:rsidRDefault="00000000" w:rsidRPr="00000000" w14:paraId="000001E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4">
      <w:pPr>
        <w:spacing w:after="0" w:line="276" w:lineRule="auto"/>
        <w:ind w:left="567" w:right="5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ARTÍCULO 49.- Los nombramientos, contratos o formato único de Movimientos de Personal de los servidores públicos deberán contener: </w:t>
      </w:r>
    </w:p>
    <w:p w:rsidR="00000000" w:rsidDel="00000000" w:rsidP="00000000" w:rsidRDefault="00000000" w:rsidRPr="00000000" w14:paraId="000001E5">
      <w:pPr>
        <w:spacing w:after="0" w:line="276" w:lineRule="auto"/>
        <w:ind w:left="567" w:right="5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 Nombre completo del servidor público; </w:t>
      </w:r>
    </w:p>
    <w:p w:rsidR="00000000" w:rsidDel="00000000" w:rsidP="00000000" w:rsidRDefault="00000000" w:rsidRPr="00000000" w14:paraId="000001E6">
      <w:pPr>
        <w:spacing w:after="0" w:line="276" w:lineRule="auto"/>
        <w:ind w:left="567" w:right="5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II. Cargo para el que es designado, fecha de inicio de sus servicios y lugar de adscripción; </w:t>
      </w:r>
    </w:p>
    <w:p w:rsidR="00000000" w:rsidDel="00000000" w:rsidP="00000000" w:rsidRDefault="00000000" w:rsidRPr="00000000" w14:paraId="000001E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Carácter del nombramiento, ya sea de servidores públicos generales o de confianza, así como la temporalidad del mismo;  </w:t>
      </w:r>
    </w:p>
    <w:p w:rsidR="00000000" w:rsidDel="00000000" w:rsidP="00000000" w:rsidRDefault="00000000" w:rsidRPr="00000000" w14:paraId="000001E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Remuneración correspondiente al puesto;  </w:t>
      </w:r>
    </w:p>
    <w:p w:rsidR="00000000" w:rsidDel="00000000" w:rsidP="00000000" w:rsidRDefault="00000000" w:rsidRPr="00000000" w14:paraId="000001E9">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 Jornada de trabajo;”  </w:t>
      </w:r>
    </w:p>
    <w:p w:rsidR="00000000" w:rsidDel="00000000" w:rsidP="00000000" w:rsidRDefault="00000000" w:rsidRPr="00000000" w14:paraId="000001EA">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EB">
      <w:pPr>
        <w:spacing w:after="0" w:line="276" w:lineRule="auto"/>
        <w:ind w:left="567" w:right="560"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1E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advierte que la Ley de mérito, tiene como finalidad regular las relaciones de trabajo, entre otros, en los municipios; las cuales se entienden establecidas </w:t>
      </w:r>
      <w:r w:rsidDel="00000000" w:rsidR="00000000" w:rsidRPr="00000000">
        <w:rPr>
          <w:rFonts w:ascii="Palatino Linotype" w:cs="Palatino Linotype" w:eastAsia="Palatino Linotype" w:hAnsi="Palatino Linotype"/>
          <w:b w:val="1"/>
          <w:sz w:val="24"/>
          <w:szCs w:val="24"/>
          <w:u w:val="single"/>
          <w:rtl w:val="0"/>
        </w:rPr>
        <w:t xml:space="preserve">mediante nombramiento</w:t>
      </w:r>
      <w:r w:rsidDel="00000000" w:rsidR="00000000" w:rsidRPr="00000000">
        <w:rPr>
          <w:rFonts w:ascii="Palatino Linotype" w:cs="Palatino Linotype" w:eastAsia="Palatino Linotype" w:hAnsi="Palatino Linotype"/>
          <w:sz w:val="24"/>
          <w:szCs w:val="24"/>
          <w:rtl w:val="0"/>
        </w:rPr>
        <w:t xml:space="preserve">, formato único de movimiento de personal, contrato o por cualquier otro acto que tenga como consecuencia la prestación personal subordinada del servicio y la percepción de un sueldo.</w:t>
      </w:r>
    </w:p>
    <w:p w:rsidR="00000000" w:rsidDel="00000000" w:rsidP="00000000" w:rsidRDefault="00000000" w:rsidRPr="00000000" w14:paraId="000001E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F">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Así, en el caso de nuestra atención, resulta relevante el nombramiento, en virtud de que el mismo, además de acreditar la relación laboral entre un servidor público y el ente público municipal, de los elementos que lo integran </w:t>
      </w:r>
      <w:r w:rsidDel="00000000" w:rsidR="00000000" w:rsidRPr="00000000">
        <w:rPr>
          <w:rFonts w:ascii="Palatino Linotype" w:cs="Palatino Linotype" w:eastAsia="Palatino Linotype" w:hAnsi="Palatino Linotype"/>
          <w:b w:val="1"/>
          <w:sz w:val="24"/>
          <w:szCs w:val="24"/>
          <w:rtl w:val="0"/>
        </w:rPr>
        <w:t xml:space="preserve">se encuentra la jornada laboral, es decir el horario que deberá cumplir el servidor público con motivo de su encargo.</w:t>
      </w:r>
    </w:p>
    <w:p w:rsidR="00000000" w:rsidDel="00000000" w:rsidP="00000000" w:rsidRDefault="00000000" w:rsidRPr="00000000" w14:paraId="000001F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se advierte que el nombramiento constituye el documento idóneo para dar atención al requerimiento relativo a los horarios de trabajo de los servidores públicos titulares de la Dirección Jurídica y el Director Municipal de Gobierno.</w:t>
      </w:r>
    </w:p>
    <w:p w:rsidR="00000000" w:rsidDel="00000000" w:rsidP="00000000" w:rsidRDefault="00000000" w:rsidRPr="00000000" w14:paraId="000001F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consecuencia, ante la falta de pronunciamiento por parte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sobre el requerimiento de nuestra atención, este Organismo Garante considera dable ordenar la entrega de la siguiente información, de ser procedente en versión pública:</w:t>
      </w:r>
    </w:p>
    <w:p w:rsidR="00000000" w:rsidDel="00000000" w:rsidP="00000000" w:rsidRDefault="00000000" w:rsidRPr="00000000" w14:paraId="000001F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5">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o los documentos donde conste el horario laboral de los servidores públicos titulares de la Dirección Jurídica y de la Dirección Municipal de Gobierno, que se encontraban a cargo a la fecha de la solicitud, esto es, al catorce de agosto de dos mil veintitrés.</w:t>
      </w:r>
    </w:p>
    <w:p w:rsidR="00000000" w:rsidDel="00000000" w:rsidP="00000000" w:rsidRDefault="00000000" w:rsidRPr="00000000" w14:paraId="000001F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7">
      <w:pPr>
        <w:numPr>
          <w:ilvl w:val="3"/>
          <w:numId w:val="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La forma de pago, sueldo, cfdi de abril a julio de dos mil veintitrés del Director Jurídico y del Director Municipal de Gobierno.</w:t>
      </w:r>
      <w:r w:rsidDel="00000000" w:rsidR="00000000" w:rsidRPr="00000000">
        <w:rPr>
          <w:rtl w:val="0"/>
        </w:rPr>
      </w:r>
    </w:p>
    <w:p w:rsidR="00000000" w:rsidDel="00000000" w:rsidP="00000000" w:rsidRDefault="00000000" w:rsidRPr="00000000" w14:paraId="000001F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9">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Sobre este punto, se procede al análisis de la naturaleza de la información solicitada, para lo cual conviene precisar que si bien el término “</w:t>
      </w:r>
      <w:r w:rsidDel="00000000" w:rsidR="00000000" w:rsidRPr="00000000">
        <w:rPr>
          <w:rFonts w:ascii="Palatino Linotype" w:cs="Palatino Linotype" w:eastAsia="Palatino Linotype" w:hAnsi="Palatino Linotype"/>
          <w:i w:val="1"/>
          <w:sz w:val="24"/>
          <w:szCs w:val="24"/>
          <w:rtl w:val="0"/>
        </w:rPr>
        <w:t xml:space="preserve">nómina” </w:t>
      </w:r>
      <w:r w:rsidDel="00000000" w:rsidR="00000000" w:rsidRPr="00000000">
        <w:rPr>
          <w:rFonts w:ascii="Palatino Linotype" w:cs="Palatino Linotype" w:eastAsia="Palatino Linotype" w:hAnsi="Palatino Linotype"/>
          <w:sz w:val="24"/>
          <w:szCs w:val="24"/>
          <w:rtl w:val="0"/>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Del="00000000" w:rsidR="00000000" w:rsidRPr="00000000">
        <w:rPr>
          <w:rFonts w:ascii="Palatino Linotype" w:cs="Palatino Linotype" w:eastAsia="Palatino Linotype" w:hAnsi="Palatino Linotype"/>
          <w:i w:val="1"/>
          <w:sz w:val="24"/>
          <w:szCs w:val="24"/>
          <w:rtl w:val="0"/>
        </w:rPr>
        <w:t xml:space="preserve">listado general de los trabajadores de una institución, en</w:t>
      </w:r>
      <w:r w:rsidDel="00000000" w:rsidR="00000000" w:rsidRPr="00000000">
        <w:rPr>
          <w:rFonts w:ascii="Palatino Linotype" w:cs="Palatino Linotype" w:eastAsia="Palatino Linotype" w:hAnsi="Palatino Linotype"/>
          <w:b w:val="1"/>
          <w:i w:val="1"/>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el cual se </w:t>
      </w:r>
      <w:r w:rsidDel="00000000" w:rsidR="00000000" w:rsidRPr="00000000">
        <w:rPr>
          <w:rFonts w:ascii="Palatino Linotype" w:cs="Palatino Linotype" w:eastAsia="Palatino Linotype" w:hAnsi="Palatino Linotype"/>
          <w:b w:val="1"/>
          <w:i w:val="1"/>
          <w:sz w:val="24"/>
          <w:szCs w:val="24"/>
          <w:rtl w:val="0"/>
        </w:rPr>
        <w:t xml:space="preserve">asientan las </w:t>
      </w:r>
      <w:r w:rsidDel="00000000" w:rsidR="00000000" w:rsidRPr="00000000">
        <w:rPr>
          <w:rFonts w:ascii="Palatino Linotype" w:cs="Palatino Linotype" w:eastAsia="Palatino Linotype" w:hAnsi="Palatino Linotype"/>
          <w:b w:val="1"/>
          <w:i w:val="1"/>
          <w:sz w:val="24"/>
          <w:szCs w:val="24"/>
          <w:u w:val="single"/>
          <w:rtl w:val="0"/>
        </w:rPr>
        <w:t xml:space="preserve">percepciones brutas, deducciones y alcance neto de las mismas</w:t>
      </w:r>
      <w:r w:rsidDel="00000000" w:rsidR="00000000" w:rsidRPr="00000000">
        <w:rPr>
          <w:rFonts w:ascii="Palatino Linotype" w:cs="Palatino Linotype" w:eastAsia="Palatino Linotype" w:hAnsi="Palatino Linotype"/>
          <w:i w:val="1"/>
          <w:sz w:val="24"/>
          <w:szCs w:val="24"/>
          <w:rtl w:val="0"/>
        </w:rPr>
        <w:t xml:space="preserve">; la nómina es utilizada para</w:t>
      </w:r>
      <w:r w:rsidDel="00000000" w:rsidR="00000000" w:rsidRPr="00000000">
        <w:rPr>
          <w:rFonts w:ascii="Palatino Linotype" w:cs="Palatino Linotype" w:eastAsia="Palatino Linotype" w:hAnsi="Palatino Linotype"/>
          <w:b w:val="1"/>
          <w:i w:val="1"/>
          <w:sz w:val="24"/>
          <w:szCs w:val="24"/>
          <w:rtl w:val="0"/>
        </w:rPr>
        <w:t xml:space="preserve"> efectuar los pagos periódicos</w:t>
      </w:r>
      <w:r w:rsidDel="00000000" w:rsidR="00000000" w:rsidRPr="00000000">
        <w:rPr>
          <w:rFonts w:ascii="Palatino Linotype" w:cs="Palatino Linotype" w:eastAsia="Palatino Linotype" w:hAnsi="Palatino Linotype"/>
          <w:i w:val="1"/>
          <w:sz w:val="24"/>
          <w:szCs w:val="24"/>
          <w:rtl w:val="0"/>
        </w:rPr>
        <w:t xml:space="preserve"> (semanales, quincenales o</w:t>
      </w:r>
      <w:r w:rsidDel="00000000" w:rsidR="00000000" w:rsidRPr="00000000">
        <w:rPr>
          <w:rFonts w:ascii="Palatino Linotype" w:cs="Palatino Linotype" w:eastAsia="Palatino Linotype" w:hAnsi="Palatino Linotype"/>
          <w:b w:val="1"/>
          <w:i w:val="1"/>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mensuales) a los trabajadores por concepto de </w:t>
      </w:r>
      <w:r w:rsidDel="00000000" w:rsidR="00000000" w:rsidRPr="00000000">
        <w:rPr>
          <w:rFonts w:ascii="Palatino Linotype" w:cs="Palatino Linotype" w:eastAsia="Palatino Linotype" w:hAnsi="Palatino Linotype"/>
          <w:b w:val="1"/>
          <w:i w:val="1"/>
          <w:sz w:val="24"/>
          <w:szCs w:val="24"/>
          <w:rtl w:val="0"/>
        </w:rPr>
        <w:t xml:space="preserve">sueldos y salarios</w:t>
      </w: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tl w:val="0"/>
        </w:rPr>
      </w:r>
    </w:p>
    <w:p w:rsidR="00000000" w:rsidDel="00000000" w:rsidP="00000000" w:rsidRDefault="00000000" w:rsidRPr="00000000" w14:paraId="000001FA">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Documento o término que ha sido mencionado en diferentes ordenamientos legales, tal es el caso, de la </w:t>
      </w:r>
      <w:r w:rsidDel="00000000" w:rsidR="00000000" w:rsidRPr="00000000">
        <w:rPr>
          <w:rFonts w:ascii="Palatino Linotype" w:cs="Palatino Linotype" w:eastAsia="Palatino Linotype" w:hAnsi="Palatino Linotype"/>
          <w:i w:val="1"/>
          <w:sz w:val="24"/>
          <w:szCs w:val="24"/>
          <w:rtl w:val="0"/>
        </w:rPr>
        <w:t xml:space="preserve">Ley Federal del Trabajo</w:t>
      </w:r>
      <w:r w:rsidDel="00000000" w:rsidR="00000000" w:rsidRPr="00000000">
        <w:rPr>
          <w:rFonts w:ascii="Palatino Linotype" w:cs="Palatino Linotype" w:eastAsia="Palatino Linotype" w:hAnsi="Palatino Linotype"/>
          <w:sz w:val="24"/>
          <w:szCs w:val="24"/>
          <w:rtl w:val="0"/>
        </w:rPr>
        <w:t xml:space="preserve"> en el artículo 804 fracción II, que además reconoce los recibos de pagos de salarios, por lo que resulta indispensable citar el artículo de referencia.</w:t>
      </w:r>
      <w:r w:rsidDel="00000000" w:rsidR="00000000" w:rsidRPr="00000000">
        <w:rPr>
          <w:rtl w:val="0"/>
        </w:rPr>
      </w:r>
    </w:p>
    <w:p w:rsidR="00000000" w:rsidDel="00000000" w:rsidP="00000000" w:rsidRDefault="00000000" w:rsidRPr="00000000" w14:paraId="000001F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after="120"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“Artículo 804.-</w:t>
      </w:r>
      <w:r w:rsidDel="00000000" w:rsidR="00000000" w:rsidRPr="00000000">
        <w:rPr>
          <w:rFonts w:ascii="Palatino Linotype" w:cs="Palatino Linotype" w:eastAsia="Palatino Linotype" w:hAnsi="Palatino Linotype"/>
          <w:i w:val="1"/>
          <w:rtl w:val="0"/>
        </w:rPr>
        <w:t xml:space="preserve"> El patrón tiene obligación de conservar y exhibir en juicio los documentos que a continuación se precisan:</w:t>
      </w:r>
      <w:r w:rsidDel="00000000" w:rsidR="00000000" w:rsidRPr="00000000">
        <w:rPr>
          <w:rtl w:val="0"/>
        </w:rPr>
      </w:r>
    </w:p>
    <w:p w:rsidR="00000000" w:rsidDel="00000000" w:rsidP="00000000" w:rsidRDefault="00000000" w:rsidRPr="00000000" w14:paraId="000001FE">
      <w:pPr>
        <w:spacing w:after="120"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1FF">
      <w:pPr>
        <w:spacing w:after="120"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Listas de raya o nómina de personal</w:t>
      </w:r>
      <w:r w:rsidDel="00000000" w:rsidR="00000000" w:rsidRPr="00000000">
        <w:rPr>
          <w:rFonts w:ascii="Palatino Linotype" w:cs="Palatino Linotype" w:eastAsia="Palatino Linotype" w:hAnsi="Palatino Linotype"/>
          <w:i w:val="1"/>
          <w:rtl w:val="0"/>
        </w:rPr>
        <w:t xml:space="preserve">, cuando se lleven en el centro de trabajo; </w:t>
      </w:r>
      <w:r w:rsidDel="00000000" w:rsidR="00000000" w:rsidRPr="00000000">
        <w:rPr>
          <w:rFonts w:ascii="Palatino Linotype" w:cs="Palatino Linotype" w:eastAsia="Palatino Linotype" w:hAnsi="Palatino Linotype"/>
          <w:b w:val="1"/>
          <w:i w:val="1"/>
          <w:rtl w:val="0"/>
        </w:rPr>
        <w:t xml:space="preserve">o recibos de pagos de salarios;</w:t>
      </w:r>
      <w:r w:rsidDel="00000000" w:rsidR="00000000" w:rsidRPr="00000000">
        <w:rPr>
          <w:rtl w:val="0"/>
        </w:rPr>
      </w:r>
    </w:p>
    <w:p w:rsidR="00000000" w:rsidDel="00000000" w:rsidP="00000000" w:rsidRDefault="00000000" w:rsidRPr="00000000" w14:paraId="00000200">
      <w:pPr>
        <w:spacing w:after="120"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201">
      <w:pPr>
        <w:spacing w:after="120"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Los documentos señalados en la fracción I deberán conservarse mientras dure la relación laboral y hasta un año después; los señalados en las fracciones </w:t>
      </w: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III y IV, durante el último año y un año después de que se extinga la relación laboral; y los mencionados en la fracción V, conforme lo señalen las Leyes que los rijan.”</w:t>
      </w:r>
      <w:r w:rsidDel="00000000" w:rsidR="00000000" w:rsidRPr="00000000">
        <w:rPr>
          <w:rtl w:val="0"/>
        </w:rPr>
      </w:r>
    </w:p>
    <w:p w:rsidR="00000000" w:rsidDel="00000000" w:rsidP="00000000" w:rsidRDefault="00000000" w:rsidRPr="00000000" w14:paraId="00000202">
      <w:pPr>
        <w:spacing w:after="36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De lo anteriormente citado, se puede llegar a la conclusión de que la nómina, es el documento que contiene el registro de los trabajadores a los cuales se va a remunerar por los </w:t>
      </w:r>
      <w:hyperlink r:id="rId11">
        <w:r w:rsidDel="00000000" w:rsidR="00000000" w:rsidRPr="00000000">
          <w:rPr>
            <w:rFonts w:ascii="Palatino Linotype" w:cs="Palatino Linotype" w:eastAsia="Palatino Linotype" w:hAnsi="Palatino Linotype"/>
            <w:sz w:val="24"/>
            <w:szCs w:val="24"/>
            <w:rtl w:val="0"/>
          </w:rPr>
          <w:t xml:space="preserve">servicios</w:t>
        </w:r>
      </w:hyperlink>
      <w:r w:rsidDel="00000000" w:rsidR="00000000" w:rsidRPr="00000000">
        <w:rPr>
          <w:rFonts w:ascii="Palatino Linotype" w:cs="Palatino Linotype" w:eastAsia="Palatino Linotype" w:hAnsi="Palatino Linotype"/>
          <w:sz w:val="24"/>
          <w:szCs w:val="24"/>
          <w:rtl w:val="0"/>
        </w:rPr>
        <w:t xml:space="preserve"> que éstos le prestan al patrón, en el cual </w:t>
      </w:r>
      <w:r w:rsidDel="00000000" w:rsidR="00000000" w:rsidRPr="00000000">
        <w:rPr>
          <w:rFonts w:ascii="Palatino Linotype" w:cs="Palatino Linotype" w:eastAsia="Palatino Linotype" w:hAnsi="Palatino Linotype"/>
          <w:b w:val="1"/>
          <w:sz w:val="24"/>
          <w:szCs w:val="24"/>
          <w:rtl w:val="0"/>
        </w:rPr>
        <w:t xml:space="preserve">se asientan las percepciones brutas, deducciones y el neto</w:t>
      </w:r>
      <w:r w:rsidDel="00000000" w:rsidR="00000000" w:rsidRPr="00000000">
        <w:rPr>
          <w:rFonts w:ascii="Palatino Linotype" w:cs="Palatino Linotype" w:eastAsia="Palatino Linotype" w:hAnsi="Palatino Linotype"/>
          <w:sz w:val="24"/>
          <w:szCs w:val="24"/>
          <w:rtl w:val="0"/>
        </w:rPr>
        <w:t xml:space="preserve"> a recibir de dichos trabajadores.</w:t>
      </w:r>
      <w:r w:rsidDel="00000000" w:rsidR="00000000" w:rsidRPr="00000000">
        <w:rPr>
          <w:rtl w:val="0"/>
        </w:rPr>
      </w:r>
    </w:p>
    <w:p w:rsidR="00000000" w:rsidDel="00000000" w:rsidP="00000000" w:rsidRDefault="00000000" w:rsidRPr="00000000" w14:paraId="00000203">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Ahora bien, relativo a los </w:t>
      </w:r>
      <w:r w:rsidDel="00000000" w:rsidR="00000000" w:rsidRPr="00000000">
        <w:rPr>
          <w:rFonts w:ascii="Palatino Linotype" w:cs="Palatino Linotype" w:eastAsia="Palatino Linotype" w:hAnsi="Palatino Linotype"/>
          <w:b w:val="1"/>
          <w:sz w:val="24"/>
          <w:szCs w:val="24"/>
          <w:rtl w:val="0"/>
        </w:rPr>
        <w:t xml:space="preserve">recibos de nómina</w:t>
      </w:r>
      <w:r w:rsidDel="00000000" w:rsidR="00000000" w:rsidRPr="00000000">
        <w:rPr>
          <w:rFonts w:ascii="Palatino Linotype" w:cs="Palatino Linotype" w:eastAsia="Palatino Linotype" w:hAnsi="Palatino Linotype"/>
          <w:sz w:val="24"/>
          <w:szCs w:val="24"/>
          <w:rtl w:val="0"/>
        </w:rPr>
        <w:t xml:space="preserve">,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personal y, que de acuerdo al uso implantado en la colectividad se denominan "recibos de nómina".</w:t>
      </w:r>
      <w:r w:rsidDel="00000000" w:rsidR="00000000" w:rsidRPr="00000000">
        <w:rPr>
          <w:rtl w:val="0"/>
        </w:rPr>
      </w:r>
    </w:p>
    <w:p w:rsidR="00000000" w:rsidDel="00000000" w:rsidP="00000000" w:rsidRDefault="00000000" w:rsidRPr="00000000" w14:paraId="00000204">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A efecto de robustecer lo anterior, es preciso hacer alusión, en primera instancia, a lo establecido en las normas de carácter general del </w:t>
      </w:r>
      <w:r w:rsidDel="00000000" w:rsidR="00000000" w:rsidRPr="00000000">
        <w:rPr>
          <w:rFonts w:ascii="Palatino Linotype" w:cs="Palatino Linotype" w:eastAsia="Palatino Linotype" w:hAnsi="Palatino Linotype"/>
          <w:b w:val="1"/>
          <w:sz w:val="24"/>
          <w:szCs w:val="24"/>
          <w:rtl w:val="0"/>
        </w:rPr>
        <w:t xml:space="preserve">Manual Único de Contabilidad Gubernamental para las Dependencias y Entidades Públicas del Gobierno y Municipios del Estado de México</w:t>
      </w: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donde se señala que el Régimen Fiscal para las entidades públicas es el correspondiente a </w:t>
      </w:r>
      <w:r w:rsidDel="00000000" w:rsidR="00000000" w:rsidRPr="00000000">
        <w:rPr>
          <w:rFonts w:ascii="Palatino Linotype" w:cs="Palatino Linotype" w:eastAsia="Palatino Linotype" w:hAnsi="Palatino Linotype"/>
          <w:i w:val="1"/>
          <w:sz w:val="24"/>
          <w:szCs w:val="24"/>
          <w:rtl w:val="0"/>
        </w:rPr>
        <w:t xml:space="preserve">personas morales con fines no lucrativos, </w:t>
      </w:r>
      <w:r w:rsidDel="00000000" w:rsidR="00000000" w:rsidRPr="00000000">
        <w:rPr>
          <w:rFonts w:ascii="Palatino Linotype" w:cs="Palatino Linotype" w:eastAsia="Palatino Linotype" w:hAnsi="Palatino Linotype"/>
          <w:sz w:val="24"/>
          <w:szCs w:val="24"/>
          <w:rtl w:val="0"/>
        </w:rPr>
        <w:t xml:space="preserve">y en segundo lugar remitirnos al párrafo séptimo del artículo 86 del Título III del Régimen de las Personas Morales con fines no lucrativos, de la </w:t>
      </w:r>
      <w:r w:rsidDel="00000000" w:rsidR="00000000" w:rsidRPr="00000000">
        <w:rPr>
          <w:rFonts w:ascii="Palatino Linotype" w:cs="Palatino Linotype" w:eastAsia="Palatino Linotype" w:hAnsi="Palatino Linotype"/>
          <w:b w:val="1"/>
          <w:sz w:val="24"/>
          <w:szCs w:val="24"/>
          <w:rtl w:val="0"/>
        </w:rPr>
        <w:t xml:space="preserve">Ley del Impuesto Sobre la Renta</w:t>
      </w: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que a la letra señala lo siguiente:</w:t>
      </w:r>
      <w:r w:rsidDel="00000000" w:rsidR="00000000" w:rsidRPr="00000000">
        <w:rPr>
          <w:rtl w:val="0"/>
        </w:rPr>
      </w:r>
    </w:p>
    <w:p w:rsidR="00000000" w:rsidDel="00000000" w:rsidP="00000000" w:rsidRDefault="00000000" w:rsidRPr="00000000" w14:paraId="00000206">
      <w:pPr>
        <w:spacing w:after="240" w:before="240" w:line="276" w:lineRule="auto"/>
        <w:ind w:left="567" w:right="53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“Artículo.- 86 </w:t>
      </w:r>
      <w:r w:rsidDel="00000000" w:rsidR="00000000" w:rsidRPr="00000000">
        <w:rPr>
          <w:rtl w:val="0"/>
        </w:rPr>
      </w:r>
    </w:p>
    <w:p w:rsidR="00000000" w:rsidDel="00000000" w:rsidP="00000000" w:rsidRDefault="00000000" w:rsidRPr="00000000" w14:paraId="00000207">
      <w:pPr>
        <w:spacing w:after="240" w:before="240" w:line="276" w:lineRule="auto"/>
        <w:ind w:left="567" w:right="53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208">
      <w:pPr>
        <w:spacing w:after="0" w:before="240" w:line="276" w:lineRule="auto"/>
        <w:ind w:left="567" w:right="53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Los partidos y asociaciones políticas, legalmente reconocidos, la Federación, las entidades federativas, </w:t>
      </w:r>
      <w:r w:rsidDel="00000000" w:rsidR="00000000" w:rsidRPr="00000000">
        <w:rPr>
          <w:rFonts w:ascii="Palatino Linotype" w:cs="Palatino Linotype" w:eastAsia="Palatino Linotype" w:hAnsi="Palatino Linotype"/>
          <w:b w:val="1"/>
          <w:i w:val="1"/>
          <w:rtl w:val="0"/>
        </w:rPr>
        <w:t xml:space="preserve">los municipios</w:t>
      </w:r>
      <w:r w:rsidDel="00000000" w:rsidR="00000000" w:rsidRPr="00000000">
        <w:rPr>
          <w:rFonts w:ascii="Palatino Linotype" w:cs="Palatino Linotype" w:eastAsia="Palatino Linotype" w:hAnsi="Palatino Linotype"/>
          <w:i w:val="1"/>
          <w:rtl w:val="0"/>
        </w:rPr>
        <w:t xml:space="preserve"> y las instituciones que por Ley estén obligadas a entregar al Gobierno Federal el importe íntegro de su remanente de operación y los organismos descentralizados que no tributen conforme al Título II de esta Ley </w:t>
      </w:r>
      <w:r w:rsidDel="00000000" w:rsidR="00000000" w:rsidRPr="00000000">
        <w:rPr>
          <w:rFonts w:ascii="Palatino Linotype" w:cs="Palatino Linotype" w:eastAsia="Palatino Linotype" w:hAnsi="Palatino Linotype"/>
          <w:b w:val="1"/>
          <w:i w:val="1"/>
          <w:rtl w:val="0"/>
        </w:rPr>
        <w:t xml:space="preserve">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Del="00000000" w:rsidR="00000000" w:rsidRPr="00000000">
        <w:rPr>
          <w:rFonts w:ascii="Palatino Linotype" w:cs="Palatino Linotype" w:eastAsia="Palatino Linotype" w:hAnsi="Palatino Linotype"/>
          <w:i w:val="1"/>
          <w:rtl w:val="0"/>
        </w:rPr>
        <w:t xml:space="preserve"> para efectos de la legislación laboral a que se refieren los artículos 132 fracciones VII y VIII, y 804 primer párrafo fracciones II y IV de la Ley Federal del Trabajo…</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20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Del precepto citado, se advierte que los municipios al ser entes públicos se encuentran constreñidos a expedir y entregar los </w:t>
      </w:r>
      <w:r w:rsidDel="00000000" w:rsidR="00000000" w:rsidRPr="00000000">
        <w:rPr>
          <w:rFonts w:ascii="Palatino Linotype" w:cs="Palatino Linotype" w:eastAsia="Palatino Linotype" w:hAnsi="Palatino Linotype"/>
          <w:b w:val="1"/>
          <w:sz w:val="24"/>
          <w:szCs w:val="24"/>
          <w:rtl w:val="0"/>
        </w:rPr>
        <w:t xml:space="preserve">comprobantes fiscales correspondientes a las personas que reciban pagos por conceptos de salarios, </w:t>
      </w:r>
      <w:r w:rsidDel="00000000" w:rsidR="00000000" w:rsidRPr="00000000">
        <w:rPr>
          <w:rFonts w:ascii="Palatino Linotype" w:cs="Palatino Linotype" w:eastAsia="Palatino Linotype" w:hAnsi="Palatino Linotype"/>
          <w:sz w:val="24"/>
          <w:szCs w:val="24"/>
          <w:rtl w:val="0"/>
        </w:rPr>
        <w:t xml:space="preserve">mismos que pueden ser utilizados como </w:t>
      </w:r>
      <w:r w:rsidDel="00000000" w:rsidR="00000000" w:rsidRPr="00000000">
        <w:rPr>
          <w:rFonts w:ascii="Palatino Linotype" w:cs="Palatino Linotype" w:eastAsia="Palatino Linotype" w:hAnsi="Palatino Linotype"/>
          <w:b w:val="1"/>
          <w:sz w:val="24"/>
          <w:szCs w:val="24"/>
          <w:rtl w:val="0"/>
        </w:rPr>
        <w:t xml:space="preserve">constancia 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recibo de pago</w:t>
      </w:r>
      <w:r w:rsidDel="00000000" w:rsidR="00000000" w:rsidRPr="00000000">
        <w:rPr>
          <w:rFonts w:ascii="Palatino Linotype" w:cs="Palatino Linotype" w:eastAsia="Palatino Linotype" w:hAnsi="Palatino Linotype"/>
          <w:sz w:val="24"/>
          <w:szCs w:val="24"/>
          <w:rtl w:val="0"/>
        </w:rPr>
        <w:t xml:space="preserve">, de conformidad con los artículos 132 fracciones VII y VIII de la </w:t>
      </w:r>
      <w:r w:rsidDel="00000000" w:rsidR="00000000" w:rsidRPr="00000000">
        <w:rPr>
          <w:rFonts w:ascii="Palatino Linotype" w:cs="Palatino Linotype" w:eastAsia="Palatino Linotype" w:hAnsi="Palatino Linotype"/>
          <w:b w:val="1"/>
          <w:sz w:val="24"/>
          <w:szCs w:val="24"/>
          <w:rtl w:val="0"/>
        </w:rPr>
        <w:t xml:space="preserve">Ley Federal del Trabajo</w:t>
      </w:r>
      <w:r w:rsidDel="00000000" w:rsidR="00000000" w:rsidRPr="00000000">
        <w:rPr>
          <w:rFonts w:ascii="Palatino Linotype" w:cs="Palatino Linotype" w:eastAsia="Palatino Linotype" w:hAnsi="Palatino Linotype"/>
          <w:sz w:val="24"/>
          <w:szCs w:val="24"/>
          <w:rtl w:val="0"/>
        </w:rPr>
        <w:t xml:space="preserve">, que a la letra señalan lo siguiente:</w:t>
      </w:r>
      <w:r w:rsidDel="00000000" w:rsidR="00000000" w:rsidRPr="00000000">
        <w:rPr>
          <w:rtl w:val="0"/>
        </w:rPr>
      </w:r>
    </w:p>
    <w:p w:rsidR="00000000" w:rsidDel="00000000" w:rsidP="00000000" w:rsidRDefault="00000000" w:rsidRPr="00000000" w14:paraId="0000020B">
      <w:pPr>
        <w:spacing w:after="120" w:before="120" w:line="276" w:lineRule="auto"/>
        <w:ind w:left="567" w:right="53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Son </w:t>
      </w:r>
      <w:r w:rsidDel="00000000" w:rsidR="00000000" w:rsidRPr="00000000">
        <w:rPr>
          <w:rFonts w:ascii="Palatino Linotype" w:cs="Palatino Linotype" w:eastAsia="Palatino Linotype" w:hAnsi="Palatino Linotype"/>
          <w:b w:val="1"/>
          <w:i w:val="1"/>
          <w:rtl w:val="0"/>
        </w:rPr>
        <w:t xml:space="preserve">obligaciones de los patrones</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20C">
      <w:pPr>
        <w:spacing w:after="120" w:before="120" w:line="276" w:lineRule="auto"/>
        <w:ind w:left="567" w:right="53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20D">
      <w:pPr>
        <w:spacing w:after="120" w:before="120" w:line="276" w:lineRule="auto"/>
        <w:ind w:left="567" w:right="53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VII.- </w:t>
      </w:r>
      <w:r w:rsidDel="00000000" w:rsidR="00000000" w:rsidRPr="00000000">
        <w:rPr>
          <w:rFonts w:ascii="Palatino Linotype" w:cs="Palatino Linotype" w:eastAsia="Palatino Linotype" w:hAnsi="Palatino Linotype"/>
          <w:b w:val="1"/>
          <w:i w:val="1"/>
          <w:rtl w:val="0"/>
        </w:rPr>
        <w:t xml:space="preserve">Expedir</w:t>
      </w:r>
      <w:r w:rsidDel="00000000" w:rsidR="00000000" w:rsidRPr="00000000">
        <w:rPr>
          <w:rFonts w:ascii="Palatino Linotype" w:cs="Palatino Linotype" w:eastAsia="Palatino Linotype" w:hAnsi="Palatino Linotype"/>
          <w:i w:val="1"/>
          <w:rtl w:val="0"/>
        </w:rPr>
        <w:t xml:space="preserve"> cada quince días, a solicitud de los trabajadores, una </w:t>
      </w:r>
      <w:r w:rsidDel="00000000" w:rsidR="00000000" w:rsidRPr="00000000">
        <w:rPr>
          <w:rFonts w:ascii="Palatino Linotype" w:cs="Palatino Linotype" w:eastAsia="Palatino Linotype" w:hAnsi="Palatino Linotype"/>
          <w:b w:val="1"/>
          <w:i w:val="1"/>
          <w:rtl w:val="0"/>
        </w:rPr>
        <w:t xml:space="preserve">constancia</w:t>
      </w:r>
      <w:r w:rsidDel="00000000" w:rsidR="00000000" w:rsidRPr="00000000">
        <w:rPr>
          <w:rFonts w:ascii="Palatino Linotype" w:cs="Palatino Linotype" w:eastAsia="Palatino Linotype" w:hAnsi="Palatino Linotype"/>
          <w:i w:val="1"/>
          <w:rtl w:val="0"/>
        </w:rPr>
        <w:t xml:space="preserve"> escrita del número de días trabajados y </w:t>
      </w:r>
      <w:r w:rsidDel="00000000" w:rsidR="00000000" w:rsidRPr="00000000">
        <w:rPr>
          <w:rFonts w:ascii="Palatino Linotype" w:cs="Palatino Linotype" w:eastAsia="Palatino Linotype" w:hAnsi="Palatino Linotype"/>
          <w:b w:val="1"/>
          <w:i w:val="1"/>
          <w:rtl w:val="0"/>
        </w:rPr>
        <w:t xml:space="preserve">del salario percibido</w:t>
      </w: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20E">
      <w:pPr>
        <w:spacing w:after="120" w:before="120" w:line="276" w:lineRule="auto"/>
        <w:ind w:left="567" w:right="53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VIII.- Expedir al trabajador que lo solicite o se separe de la empresa, dentro del término de tres días, una constancia escrita relativa a sus servicios;</w:t>
      </w:r>
      <w:r w:rsidDel="00000000" w:rsidR="00000000" w:rsidRPr="00000000">
        <w:rPr>
          <w:rtl w:val="0"/>
        </w:rPr>
      </w:r>
    </w:p>
    <w:p w:rsidR="00000000" w:rsidDel="00000000" w:rsidP="00000000" w:rsidRDefault="00000000" w:rsidRPr="00000000" w14:paraId="0000020F">
      <w:pPr>
        <w:spacing w:after="0" w:line="240" w:lineRule="auto"/>
        <w:ind w:left="567" w:right="53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210">
      <w:pPr>
        <w:spacing w:after="36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Por su parte la Ley del Trabajo de los Servidores Públicos del Estado y Municipios, en su artículo 220-K fracciones II y IV y último párrafo, establecen lo siguiente:</w:t>
      </w:r>
      <w:r w:rsidDel="00000000" w:rsidR="00000000" w:rsidRPr="00000000">
        <w:rPr>
          <w:rtl w:val="0"/>
        </w:rPr>
      </w:r>
    </w:p>
    <w:p w:rsidR="00000000" w:rsidDel="00000000" w:rsidP="00000000" w:rsidRDefault="00000000" w:rsidRPr="00000000" w14:paraId="00000211">
      <w:pPr>
        <w:spacing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“ARTÍCULO 220 K.-</w:t>
      </w:r>
      <w:r w:rsidDel="00000000" w:rsidR="00000000" w:rsidRPr="00000000">
        <w:rPr>
          <w:rFonts w:ascii="Palatino Linotype" w:cs="Palatino Linotype" w:eastAsia="Palatino Linotype" w:hAnsi="Palatino Linotype"/>
          <w:i w:val="1"/>
          <w:rtl w:val="0"/>
        </w:rPr>
        <w:t xml:space="preserve"> La institución o dependencia pública tiene la obligación de conservar y exhibir en el proceso los documentos que a continuación se precisan:</w:t>
      </w:r>
      <w:r w:rsidDel="00000000" w:rsidR="00000000" w:rsidRPr="00000000">
        <w:rPr>
          <w:rtl w:val="0"/>
        </w:rPr>
      </w:r>
    </w:p>
    <w:p w:rsidR="00000000" w:rsidDel="00000000" w:rsidP="00000000" w:rsidRDefault="00000000" w:rsidRPr="00000000" w14:paraId="00000212">
      <w:pPr>
        <w:spacing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213">
      <w:pPr>
        <w:spacing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II. </w:t>
      </w:r>
      <w:r w:rsidDel="00000000" w:rsidR="00000000" w:rsidRPr="00000000">
        <w:rPr>
          <w:rFonts w:ascii="Palatino Linotype" w:cs="Palatino Linotype" w:eastAsia="Palatino Linotype" w:hAnsi="Palatino Linotype"/>
          <w:b w:val="1"/>
          <w:i w:val="1"/>
          <w:rtl w:val="0"/>
        </w:rPr>
        <w:t xml:space="preserve">Recibos de pagos de salarios</w:t>
      </w:r>
      <w:r w:rsidDel="00000000" w:rsidR="00000000" w:rsidRPr="00000000">
        <w:rPr>
          <w:rFonts w:ascii="Palatino Linotype" w:cs="Palatino Linotype" w:eastAsia="Palatino Linotype" w:hAnsi="Palatino Linotype"/>
          <w:i w:val="1"/>
          <w:rtl w:val="0"/>
        </w:rPr>
        <w:t xml:space="preserve"> o las constancias documentales del pago de salario cuando sea por depósito o mediante información electrónica;</w:t>
      </w:r>
      <w:r w:rsidDel="00000000" w:rsidR="00000000" w:rsidRPr="00000000">
        <w:rPr>
          <w:rtl w:val="0"/>
        </w:rPr>
      </w:r>
    </w:p>
    <w:p w:rsidR="00000000" w:rsidDel="00000000" w:rsidP="00000000" w:rsidRDefault="00000000" w:rsidRPr="00000000" w14:paraId="00000214">
      <w:pPr>
        <w:spacing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215">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IV. Recibos o las constancias de depósito o del medio de información magnética o electrónica que sean utilizadas para el pago de salarios, prima vacacional, aguinaldo y demás prestaciones establecidas en la presente ley; y…</w:t>
      </w:r>
      <w:r w:rsidDel="00000000" w:rsidR="00000000" w:rsidRPr="00000000">
        <w:rPr>
          <w:rtl w:val="0"/>
        </w:rPr>
      </w:r>
    </w:p>
    <w:p w:rsidR="00000000" w:rsidDel="00000000" w:rsidP="00000000" w:rsidRDefault="00000000" w:rsidRPr="00000000" w14:paraId="00000217">
      <w:pPr>
        <w:spacing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r w:rsidDel="00000000" w:rsidR="00000000" w:rsidRPr="00000000">
        <w:rPr>
          <w:rtl w:val="0"/>
        </w:rPr>
      </w:r>
    </w:p>
    <w:p w:rsidR="00000000" w:rsidDel="00000000" w:rsidP="00000000" w:rsidRDefault="00000000" w:rsidRPr="00000000" w14:paraId="00000218">
      <w:pPr>
        <w:spacing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Del="00000000" w:rsidR="00000000" w:rsidRPr="00000000">
        <w:rPr>
          <w:rtl w:val="0"/>
        </w:rPr>
      </w:r>
    </w:p>
    <w:p w:rsidR="00000000" w:rsidDel="00000000" w:rsidP="00000000" w:rsidRDefault="00000000" w:rsidRPr="00000000" w14:paraId="00000219">
      <w:pPr>
        <w:spacing w:line="276" w:lineRule="auto"/>
        <w:ind w:left="567"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El incumplimiento por lo dispuesto por este artículo, establecerá la presunción de ser ciertos los hechos que el actor exprese en su demanda, en relación con tales documentos, salvo prueba en contrario.”</w:t>
      </w:r>
      <w:r w:rsidDel="00000000" w:rsidR="00000000" w:rsidRPr="00000000">
        <w:rPr>
          <w:rtl w:val="0"/>
        </w:rPr>
      </w:r>
    </w:p>
    <w:p w:rsidR="00000000" w:rsidDel="00000000" w:rsidP="00000000" w:rsidRDefault="00000000" w:rsidRPr="00000000" w14:paraId="0000021A">
      <w:pPr>
        <w:spacing w:after="0" w:before="12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Del="00000000" w:rsidR="00000000" w:rsidRPr="00000000">
        <w:rPr>
          <w:rtl w:val="0"/>
        </w:rPr>
      </w:r>
    </w:p>
    <w:p w:rsidR="00000000" w:rsidDel="00000000" w:rsidP="00000000" w:rsidRDefault="00000000" w:rsidRPr="00000000" w14:paraId="0000021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Por tanto, los </w:t>
      </w:r>
      <w:r w:rsidDel="00000000" w:rsidR="00000000" w:rsidRPr="00000000">
        <w:rPr>
          <w:rFonts w:ascii="Palatino Linotype" w:cs="Palatino Linotype" w:eastAsia="Palatino Linotype" w:hAnsi="Palatino Linotype"/>
          <w:i w:val="1"/>
          <w:sz w:val="24"/>
          <w:szCs w:val="24"/>
          <w:rtl w:val="0"/>
        </w:rPr>
        <w:t xml:space="preserve">recibos de nómina o comprobantes digitales por concepto de nómina </w:t>
      </w:r>
      <w:r w:rsidDel="00000000" w:rsidR="00000000" w:rsidRPr="00000000">
        <w:rPr>
          <w:rFonts w:ascii="Palatino Linotype" w:cs="Palatino Linotype" w:eastAsia="Palatino Linotype" w:hAnsi="Palatino Linotype"/>
          <w:sz w:val="24"/>
          <w:szCs w:val="24"/>
          <w:rtl w:val="0"/>
        </w:rPr>
        <w:t xml:space="preserve">tienen como objetivo presentar la información del pago de las remuneraciones de cada uno de los servidores públicos de la entidad fiscalizable de que se trate correspondiente a un periodo determinado.</w:t>
      </w:r>
      <w:r w:rsidDel="00000000" w:rsidR="00000000" w:rsidRPr="00000000">
        <w:rPr>
          <w:rtl w:val="0"/>
        </w:rPr>
      </w:r>
    </w:p>
    <w:p w:rsidR="00000000" w:rsidDel="00000000" w:rsidP="00000000" w:rsidRDefault="00000000" w:rsidRPr="00000000" w14:paraId="0000021D">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En estas condiciones, resulta claro que la información consistente en los comprobantes fiscales digitales donde consta el sueldo de los servidores públicos titulares de la Dirección Jurídica y de la Dirección Municipal de Gobierno, es generada en ejercicio de las atribuciones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r w:rsidDel="00000000" w:rsidR="00000000" w:rsidRPr="00000000">
        <w:rPr>
          <w:rtl w:val="0"/>
        </w:rPr>
      </w:r>
    </w:p>
    <w:p w:rsidR="00000000" w:rsidDel="00000000" w:rsidP="00000000" w:rsidRDefault="00000000" w:rsidRPr="00000000" w14:paraId="0000021F">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Además, de que la información requerida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r w:rsidDel="00000000" w:rsidR="00000000" w:rsidRPr="00000000">
        <w:rPr>
          <w:rtl w:val="0"/>
        </w:rPr>
      </w:r>
    </w:p>
    <w:p w:rsidR="00000000" w:rsidDel="00000000" w:rsidP="00000000" w:rsidRDefault="00000000" w:rsidRPr="00000000" w14:paraId="0000022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spacing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u w:val="single"/>
          <w:rtl w:val="0"/>
        </w:rPr>
        <w:t xml:space="preserve">“Artículo 7. El Estado de México garantizará el efectivo acceso de toda persona a la información en posesión de cualquier entidad,</w:t>
      </w:r>
      <w:r w:rsidDel="00000000" w:rsidR="00000000" w:rsidRPr="00000000">
        <w:rPr>
          <w:rFonts w:ascii="Palatino Linotype" w:cs="Palatino Linotype" w:eastAsia="Palatino Linotype" w:hAnsi="Palatino Linotype"/>
          <w:i w:val="1"/>
          <w:rtl w:val="0"/>
        </w:rPr>
        <w:t xml:space="preserve"> autoridad, órgano y organismo de los poderes Ejecutivo, Legislativo y Judicial, órganos autónomos, partidos políticos, fideicomisos y fondos públicos, así como de cualquier persona física, jurídico colectiva o sindicato </w:t>
      </w:r>
      <w:r w:rsidDel="00000000" w:rsidR="00000000" w:rsidRPr="00000000">
        <w:rPr>
          <w:rFonts w:ascii="Palatino Linotype" w:cs="Palatino Linotype" w:eastAsia="Palatino Linotype" w:hAnsi="Palatino Linotype"/>
          <w:b w:val="1"/>
          <w:i w:val="1"/>
          <w:u w:val="single"/>
          <w:rtl w:val="0"/>
        </w:rPr>
        <w:t xml:space="preserve">que reciba y ejerza recursos públicos</w:t>
      </w:r>
      <w:r w:rsidDel="00000000" w:rsidR="00000000" w:rsidRPr="00000000">
        <w:rPr>
          <w:rFonts w:ascii="Palatino Linotype" w:cs="Palatino Linotype" w:eastAsia="Palatino Linotype" w:hAnsi="Palatino Linotype"/>
          <w:i w:val="1"/>
          <w:rtl w:val="0"/>
        </w:rPr>
        <w:t xml:space="preserve"> o realice actos de autoridad </w:t>
      </w:r>
      <w:r w:rsidDel="00000000" w:rsidR="00000000" w:rsidRPr="00000000">
        <w:rPr>
          <w:rFonts w:ascii="Palatino Linotype" w:cs="Palatino Linotype" w:eastAsia="Palatino Linotype" w:hAnsi="Palatino Linotype"/>
          <w:b w:val="1"/>
          <w:i w:val="1"/>
          <w:u w:val="single"/>
          <w:rtl w:val="0"/>
        </w:rPr>
        <w:t xml:space="preserve">en el ámbito de competencia del Estado de México y sus municipios</w:t>
      </w:r>
      <w:r w:rsidDel="00000000" w:rsidR="00000000" w:rsidRPr="00000000">
        <w:rPr>
          <w:rFonts w:ascii="Palatino Linotype" w:cs="Palatino Linotype" w:eastAsia="Palatino Linotype" w:hAnsi="Palatino Linotype"/>
          <w:i w:val="1"/>
          <w:u w:val="single"/>
          <w:rtl w:val="0"/>
        </w:rPr>
        <w:t xml:space="preserve">.</w:t>
      </w:r>
      <w:r w:rsidDel="00000000" w:rsidR="00000000" w:rsidRPr="00000000">
        <w:rPr>
          <w:rtl w:val="0"/>
        </w:rPr>
      </w:r>
    </w:p>
    <w:p w:rsidR="00000000" w:rsidDel="00000000" w:rsidP="00000000" w:rsidRDefault="00000000" w:rsidRPr="00000000" w14:paraId="00000223">
      <w:pPr>
        <w:spacing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Artículo 23. Son sujetos obligados a transparentar y permitir el acceso a su información y proteger los datos personales que obren en su poder:</w:t>
      </w:r>
      <w:r w:rsidDel="00000000" w:rsidR="00000000" w:rsidRPr="00000000">
        <w:rPr>
          <w:rtl w:val="0"/>
        </w:rPr>
      </w:r>
    </w:p>
    <w:p w:rsidR="00000000" w:rsidDel="00000000" w:rsidP="00000000" w:rsidRDefault="00000000" w:rsidRPr="00000000" w14:paraId="00000224">
      <w:pPr>
        <w:spacing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225">
      <w:pPr>
        <w:spacing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u w:val="single"/>
          <w:rtl w:val="0"/>
        </w:rPr>
        <w:t xml:space="preserve">IV. Los ayuntamientos y las dependencias, organismos, órganos y entidades de la administración municipal;</w:t>
      </w:r>
      <w:r w:rsidDel="00000000" w:rsidR="00000000" w:rsidRPr="00000000">
        <w:rPr>
          <w:rtl w:val="0"/>
        </w:rPr>
      </w:r>
    </w:p>
    <w:p w:rsidR="00000000" w:rsidDel="00000000" w:rsidP="00000000" w:rsidRDefault="00000000" w:rsidRPr="00000000" w14:paraId="00000226">
      <w:pPr>
        <w:spacing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227">
      <w:pPr>
        <w:spacing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u w:val="single"/>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228">
      <w:pPr>
        <w:spacing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tl w:val="0"/>
        </w:rPr>
      </w:r>
    </w:p>
    <w:p w:rsidR="00000000" w:rsidDel="00000000" w:rsidP="00000000" w:rsidRDefault="00000000" w:rsidRPr="00000000" w14:paraId="000002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spacing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Sirve de sustento por analogía, para justificar la publicidad sobre los datos relativos a los montos por concepto de pago de las remuneraciones, los criterios </w:t>
      </w:r>
      <w:r w:rsidDel="00000000" w:rsidR="00000000" w:rsidRPr="00000000">
        <w:rPr>
          <w:rFonts w:ascii="Palatino Linotype" w:cs="Palatino Linotype" w:eastAsia="Palatino Linotype" w:hAnsi="Palatino Linotype"/>
          <w:b w:val="1"/>
          <w:sz w:val="24"/>
          <w:szCs w:val="24"/>
          <w:rtl w:val="0"/>
        </w:rPr>
        <w:t xml:space="preserve">01/2003</w:t>
      </w:r>
      <w:r w:rsidDel="00000000" w:rsidR="00000000" w:rsidRPr="00000000">
        <w:rPr>
          <w:rFonts w:ascii="Palatino Linotype" w:cs="Palatino Linotype" w:eastAsia="Palatino Linotype" w:hAnsi="Palatino Linotype"/>
          <w:sz w:val="24"/>
          <w:szCs w:val="24"/>
          <w:rtl w:val="0"/>
        </w:rPr>
        <w:t xml:space="preserve"> y </w:t>
      </w:r>
      <w:r w:rsidDel="00000000" w:rsidR="00000000" w:rsidRPr="00000000">
        <w:rPr>
          <w:rFonts w:ascii="Palatino Linotype" w:cs="Palatino Linotype" w:eastAsia="Palatino Linotype" w:hAnsi="Palatino Linotype"/>
          <w:b w:val="1"/>
          <w:sz w:val="24"/>
          <w:szCs w:val="24"/>
          <w:rtl w:val="0"/>
        </w:rPr>
        <w:t xml:space="preserve">02/2003</w:t>
      </w:r>
      <w:r w:rsidDel="00000000" w:rsidR="00000000" w:rsidRPr="00000000">
        <w:rPr>
          <w:rFonts w:ascii="Palatino Linotype" w:cs="Palatino Linotype" w:eastAsia="Palatino Linotype" w:hAnsi="Palatino Linotype"/>
          <w:sz w:val="24"/>
          <w:szCs w:val="24"/>
          <w:rtl w:val="0"/>
        </w:rPr>
        <w:t xml:space="preserve"> emitidos por el Comité de Acceso a la Información Pública y Protección de Datos Personales de la Suprema Corte de Justicia de la Nación que a continuación se citan: </w:t>
      </w:r>
      <w:r w:rsidDel="00000000" w:rsidR="00000000" w:rsidRPr="00000000">
        <w:rPr>
          <w:rtl w:val="0"/>
        </w:rPr>
      </w:r>
    </w:p>
    <w:p w:rsidR="00000000" w:rsidDel="00000000" w:rsidP="00000000" w:rsidRDefault="00000000" w:rsidRPr="00000000" w14:paraId="0000022B">
      <w:pPr>
        <w:spacing w:line="276" w:lineRule="auto"/>
        <w:ind w:left="851" w:right="851" w:firstLine="0"/>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“Criterio 01/2003.</w:t>
      </w:r>
      <w:r w:rsidDel="00000000" w:rsidR="00000000" w:rsidRPr="00000000">
        <w:rPr>
          <w:rtl w:val="0"/>
        </w:rPr>
      </w:r>
    </w:p>
    <w:p w:rsidR="00000000" w:rsidDel="00000000" w:rsidP="00000000" w:rsidRDefault="00000000" w:rsidRPr="00000000" w14:paraId="0000022C">
      <w:pPr>
        <w:spacing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INGRESOS DE LOS SERVIDORES PÚBLICOS. CONSTITUYEN INFORMACIÓN PÚBLICA AÚN Y CUANDO SU DIFUSIÓN PUEDE AFECTAR LA VIDA O LA SEGURIDAD DE AQUELLOS.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22D">
      <w:pPr>
        <w:spacing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b w:val="1"/>
          <w:i w:val="1"/>
          <w:u w:val="single"/>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Del="00000000" w:rsidR="00000000" w:rsidRPr="00000000">
        <w:rPr>
          <w:rFonts w:ascii="Palatino Linotype" w:cs="Palatino Linotype" w:eastAsia="Palatino Linotype" w:hAnsi="Palatino Linotype"/>
          <w:i w:val="1"/>
          <w:u w:val="single"/>
          <w:rtl w:val="0"/>
        </w:rPr>
        <w:t xml:space="preserve">…”</w:t>
      </w:r>
      <w:r w:rsidDel="00000000" w:rsidR="00000000" w:rsidRPr="00000000">
        <w:rPr>
          <w:rtl w:val="0"/>
        </w:rPr>
      </w:r>
    </w:p>
    <w:p w:rsidR="00000000" w:rsidDel="00000000" w:rsidP="00000000" w:rsidRDefault="00000000" w:rsidRPr="00000000" w14:paraId="0000022E">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line="276" w:lineRule="auto"/>
        <w:ind w:left="851" w:right="851" w:firstLine="0"/>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“Criterio 02/2003.</w:t>
      </w:r>
      <w:r w:rsidDel="00000000" w:rsidR="00000000" w:rsidRPr="00000000">
        <w:rPr>
          <w:rtl w:val="0"/>
        </w:rPr>
      </w:r>
    </w:p>
    <w:p w:rsidR="00000000" w:rsidDel="00000000" w:rsidP="00000000" w:rsidRDefault="00000000" w:rsidRPr="00000000" w14:paraId="00000230">
      <w:pPr>
        <w:spacing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231">
      <w:pPr>
        <w:spacing w:after="0" w:line="276"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b w:val="1"/>
          <w:i w:val="1"/>
          <w:u w:val="single"/>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Del="00000000" w:rsidR="00000000" w:rsidRPr="00000000">
        <w:rPr>
          <w:rFonts w:ascii="Palatino Linotype" w:cs="Palatino Linotype" w:eastAsia="Palatino Linotype" w:hAnsi="Palatino Linotype"/>
          <w:i w:val="1"/>
          <w:rtl w:val="0"/>
        </w:rPr>
        <w:t xml:space="preserve"> el sistema de compensación…”</w:t>
      </w:r>
      <w:r w:rsidDel="00000000" w:rsidR="00000000" w:rsidRPr="00000000">
        <w:rPr>
          <w:rtl w:val="0"/>
        </w:rPr>
      </w:r>
    </w:p>
    <w:p w:rsidR="00000000" w:rsidDel="00000000" w:rsidP="00000000" w:rsidRDefault="00000000" w:rsidRPr="00000000" w14:paraId="000002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Ahora bien, el artículo 70 de la Ley General de Transparencia y Acceso a la Información Pública dispone lo siguiente: </w:t>
      </w:r>
      <w:r w:rsidDel="00000000" w:rsidR="00000000" w:rsidRPr="00000000">
        <w:rPr>
          <w:rtl w:val="0"/>
        </w:rPr>
      </w:r>
    </w:p>
    <w:p w:rsidR="00000000" w:rsidDel="00000000" w:rsidP="00000000" w:rsidRDefault="00000000" w:rsidRPr="00000000" w14:paraId="000002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after="0" w:line="276"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r w:rsidDel="00000000" w:rsidR="00000000" w:rsidRPr="00000000">
        <w:rPr>
          <w:rtl w:val="0"/>
        </w:rPr>
      </w:r>
    </w:p>
    <w:p w:rsidR="00000000" w:rsidDel="00000000" w:rsidP="00000000" w:rsidRDefault="00000000" w:rsidRPr="00000000" w14:paraId="00000236">
      <w:pPr>
        <w:spacing w:after="0" w:line="276"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237">
      <w:pPr>
        <w:spacing w:after="0" w:line="276"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Del="00000000" w:rsidR="00000000" w:rsidRPr="00000000">
        <w:rPr>
          <w:rtl w:val="0"/>
        </w:rPr>
      </w:r>
    </w:p>
    <w:p w:rsidR="00000000" w:rsidDel="00000000" w:rsidP="00000000" w:rsidRDefault="00000000" w:rsidRPr="00000000" w14:paraId="0000023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spacing w:after="0" w:line="360" w:lineRule="auto"/>
        <w:ind w:right="49"/>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Robustece lo anterior, el artículo 92, fracción VIII de la Ley de Transparencia y Acceso a la Información Pública del Estado de México y Municipios, señala: </w:t>
      </w:r>
      <w:r w:rsidDel="00000000" w:rsidR="00000000" w:rsidRPr="00000000">
        <w:rPr>
          <w:rtl w:val="0"/>
        </w:rPr>
      </w:r>
    </w:p>
    <w:p w:rsidR="00000000" w:rsidDel="00000000" w:rsidP="00000000" w:rsidRDefault="00000000" w:rsidRPr="00000000" w14:paraId="000002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after="0" w:line="276"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Del="00000000" w:rsidR="00000000" w:rsidRPr="00000000">
        <w:rPr>
          <w:rtl w:val="0"/>
        </w:rPr>
      </w:r>
    </w:p>
    <w:p w:rsidR="00000000" w:rsidDel="00000000" w:rsidP="00000000" w:rsidRDefault="00000000" w:rsidRPr="00000000" w14:paraId="0000023C">
      <w:pPr>
        <w:spacing w:after="0" w:line="276"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23D">
      <w:pPr>
        <w:spacing w:after="0" w:line="276"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Del="00000000" w:rsidR="00000000" w:rsidRPr="00000000">
        <w:rPr>
          <w:rtl w:val="0"/>
        </w:rPr>
      </w:r>
    </w:p>
    <w:p w:rsidR="00000000" w:rsidDel="00000000" w:rsidP="00000000" w:rsidRDefault="00000000" w:rsidRPr="00000000" w14:paraId="0000023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3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las remuneraciones bruta y neta, o bien sueldos, de los servidores públicos, constituyen una obligación de transparencia común de los sujetos obligados; y en tal virtud procede la entrega de la información peticionada, máxime que los recibos de nómina o comprobantes fiscales digitales por internet, dentro de los elementos que lo integran se encuentra la forma de pago de la remuneración, información que también fue requerida y es de naturaleza pública por corresponder a la forma en que se le paga al trabajador por concepto de remuneración (efectivo, cheque o transferencia).</w:t>
      </w:r>
    </w:p>
    <w:p w:rsidR="00000000" w:rsidDel="00000000" w:rsidP="00000000" w:rsidRDefault="00000000" w:rsidRPr="00000000" w14:paraId="0000024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4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 de lo anterior, conviene señalar los requisitos que deben contener las facturas que emitan los entes públicos, entre otros, por concepto de nómina, conforme lo establecido por el Servicio de Administración Tributaria (SAT)</w:t>
      </w:r>
      <w:r w:rsidDel="00000000" w:rsidR="00000000" w:rsidRPr="00000000">
        <w:rPr>
          <w:rFonts w:ascii="Palatino Linotype" w:cs="Palatino Linotype" w:eastAsia="Palatino Linotype" w:hAnsi="Palatino Linotype"/>
          <w:sz w:val="24"/>
          <w:szCs w:val="24"/>
          <w:vertAlign w:val="superscript"/>
        </w:rPr>
        <w:footnoteReference w:customMarkFollows="0" w:id="2"/>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24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2"/>
        <w:tblW w:w="9065.0" w:type="dxa"/>
        <w:jc w:val="left"/>
        <w:tblLayout w:type="fixed"/>
        <w:tblLook w:val="0400"/>
      </w:tblPr>
      <w:tblGrid>
        <w:gridCol w:w="363"/>
        <w:gridCol w:w="8702"/>
        <w:tblGridChange w:id="0">
          <w:tblGrid>
            <w:gridCol w:w="363"/>
            <w:gridCol w:w="8702"/>
          </w:tblGrid>
        </w:tblGridChange>
      </w:tblGrid>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4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4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Clave del Registro Federal de Contribuyentes de quien los expida.</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4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4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Régimen Fiscal en que tributen conforme a la Ley del ISR.</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4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4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Sí se tiene más de un local o establecimiento, se deberá señalar el domicilio del local o establecimiento en el que se expidan las Facturas.</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4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4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Contener el número de folio asignado por el SAT y el sello digital del SAT.</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4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4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Sello digital del contribuyente que lo expide.</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4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4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Lugar y fecha de expedición.</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4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5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Clave del Registro Federal de Contribuyentes de la persona a favor de quien se expida.</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5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5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Nombre denominación o razón social de la persona a favor de quien se expide el comprobante.</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5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5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Régimen fiscal del receptor de comprobante.</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5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5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Código postal del domicilio fiscal del receptor del comprobante.</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5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5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Uso del comprobante.</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5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5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Cantidad, unidad de medida y clase de los bienes, mercancías o descripción del servicio o del uso o goce que amparen*.</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5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5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Valor unitario consignado en número.</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5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5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Importe total señalado en número o en letra.</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5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6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Señalamiento expreso cuando la prestación se pague en una sola exhibición o en parcialidades.</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6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6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Cuando proceda, se indicará el monto de los impuestos trasladados, desglosados por tasa de impuesto y, en su caso, el monto de los impuestos retenidos.</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6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64">
            <w:pPr>
              <w:spacing w:after="0" w:line="360" w:lineRule="auto"/>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b w:val="1"/>
                <w:sz w:val="24"/>
                <w:szCs w:val="24"/>
                <w:u w:val="single"/>
                <w:rtl w:val="0"/>
              </w:rPr>
              <w:t xml:space="preserve">Forma en que se realizó el pago (efectivo, transferencia electrónica de fondos, cheque nominativos o tarjeta de débito, de crédito, de servicio o la denominada monedero electrónico que autorice el Servicio de Administración Tributaria).</w:t>
            </w:r>
          </w:p>
        </w:tc>
      </w:tr>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26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26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Número y fecha del documento aduanero, tratándose de ventas de primera mano de mercancías de importación.</w:t>
            </w:r>
          </w:p>
        </w:tc>
      </w:tr>
    </w:tbl>
    <w:p w:rsidR="00000000" w:rsidDel="00000000" w:rsidP="00000000" w:rsidRDefault="00000000" w:rsidRPr="00000000" w14:paraId="0000026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6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lo anterior, el documento que puede dar cuenta del sueldo de los Titulares de la Dirección Jurídica y Dirección Municipal de Gobierno y la forma en que se paga el mismo, </w:t>
      </w:r>
      <w:r w:rsidDel="00000000" w:rsidR="00000000" w:rsidRPr="00000000">
        <w:rPr>
          <w:rFonts w:ascii="Palatino Linotype" w:cs="Palatino Linotype" w:eastAsia="Palatino Linotype" w:hAnsi="Palatino Linotype"/>
          <w:sz w:val="24"/>
          <w:szCs w:val="24"/>
          <w:u w:val="single"/>
          <w:rtl w:val="0"/>
        </w:rPr>
        <w:t xml:space="preserve">de manera enunciativa más no limitativa pueden ser los recibos de nómina en los que incluso puede advertirse la forma de pago de la remuneración.</w:t>
      </w:r>
      <w:r w:rsidDel="00000000" w:rsidR="00000000" w:rsidRPr="00000000">
        <w:rPr>
          <w:rtl w:val="0"/>
        </w:rPr>
      </w:r>
    </w:p>
    <w:p w:rsidR="00000000" w:rsidDel="00000000" w:rsidP="00000000" w:rsidRDefault="00000000" w:rsidRPr="00000000" w14:paraId="0000026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6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a efecto de que se tenga por colmado el presente requerimiento,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deberá entregar en cumplimiento a la presente resolución, en versión pública, lo siguiente:</w:t>
      </w:r>
    </w:p>
    <w:p w:rsidR="00000000" w:rsidDel="00000000" w:rsidP="00000000" w:rsidRDefault="00000000" w:rsidRPr="00000000" w14:paraId="0000026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6C">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recibos de pago de salarios  y el documento donde conste la forma de pago de la remuneración, de los Titulares de la Dirección Jurídica y Dirección Municipal de Gobierno de los meses de abril a julio de dos mil veintitrés.</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conforme la normatividad que regula al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se advierte que este cuenta con unidades administrativas que conforme sus atribuciones pueden poseer, generar y/o administrar lo ordenado en la presente resolución; siendo estas la Tesorería Municipal y la Presidencia Municipal.</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 de sustentar lo anterior, resulta conveniente citar el contenido de los artículos 48, fracción VI, 93, 95, fracción IV de la Ley Orgánica Municipal del Estado de México, que a la letra señalan lo siguiente:  </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40" w:lineRule="auto"/>
        <w:ind w:left="851" w:right="851"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Orgánica Municipal del Estado de México</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TITULO III De las Atribuciones de los Miembros del Ayuntamiento, sus Comisiones, Autoridades Auxiliares y Organos de Participación Ciudadana CAPITULO PRIMERO DE LOS PRESIDENTES MUNICIPALES </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48.- La persona titular de la presidencia municipal</w:t>
      </w:r>
      <w:r w:rsidDel="00000000" w:rsidR="00000000" w:rsidRPr="00000000">
        <w:rPr>
          <w:rFonts w:ascii="Palatino Linotype" w:cs="Palatino Linotype" w:eastAsia="Palatino Linotype" w:hAnsi="Palatino Linotype"/>
          <w:i w:val="1"/>
          <w:rtl w:val="0"/>
        </w:rPr>
        <w:t xml:space="preserve"> tiene las siguientes atribuciones:</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 Proponer al ayuntamiento los nombramientos de las personas titulares de la secretaría, tesorería y de las dependencias y</w:t>
      </w:r>
      <w:r w:rsidDel="00000000" w:rsidR="00000000" w:rsidRPr="00000000">
        <w:rPr>
          <w:rFonts w:ascii="Palatino Linotype" w:cs="Palatino Linotype" w:eastAsia="Palatino Linotype" w:hAnsi="Palatino Linotype"/>
          <w:i w:val="1"/>
          <w:rtl w:val="0"/>
        </w:rPr>
        <w:t xml:space="preserve"> organismos auxiliares de la administración pública municipal, observando en todo tiempo que en su integración se respeten los principios de igualdad, equidad y garantizando la paridad de género;</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TITULO IV Régimen Administrativo</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CAPITULO SEGUNDO De la Tesorería Municipal </w:t>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93.- La tesorería municipal es el órgano encargado de la recaudación de los ingresos municipales y responsable de realizar las erogaciones que haga el ayuntamiento.</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95.- Son atribuciones del tesorero municipal:</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Llevar los registros contables, financieros y administrativos de los ingresos, egresos, e inventarios;</w:t>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el Titular de la Presidencia Municipal es el encargado de proponer al Ayuntamiento los nombramientos de las dependencias de la administración pública municipal, por lo que, al ser este el documento donde consta la jornada laboral u horario de trabajo de los servidores públicos de quienes se requiere la información, por ende la </w:t>
      </w:r>
      <w:r w:rsidDel="00000000" w:rsidR="00000000" w:rsidRPr="00000000">
        <w:rPr>
          <w:rFonts w:ascii="Palatino Linotype" w:cs="Palatino Linotype" w:eastAsia="Palatino Linotype" w:hAnsi="Palatino Linotype"/>
          <w:b w:val="1"/>
          <w:sz w:val="24"/>
          <w:szCs w:val="24"/>
          <w:rtl w:val="0"/>
        </w:rPr>
        <w:t xml:space="preserve">Presidencia Municipal</w:t>
      </w:r>
      <w:r w:rsidDel="00000000" w:rsidR="00000000" w:rsidRPr="00000000">
        <w:rPr>
          <w:rFonts w:ascii="Palatino Linotype" w:cs="Palatino Linotype" w:eastAsia="Palatino Linotype" w:hAnsi="Palatino Linotype"/>
          <w:sz w:val="24"/>
          <w:szCs w:val="24"/>
          <w:rtl w:val="0"/>
        </w:rPr>
        <w:t xml:space="preserve"> es una de las áreas competentes para conocer de lo peticionado.</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la </w:t>
      </w:r>
      <w:r w:rsidDel="00000000" w:rsidR="00000000" w:rsidRPr="00000000">
        <w:rPr>
          <w:rFonts w:ascii="Palatino Linotype" w:cs="Palatino Linotype" w:eastAsia="Palatino Linotype" w:hAnsi="Palatino Linotype"/>
          <w:b w:val="1"/>
          <w:sz w:val="24"/>
          <w:szCs w:val="24"/>
          <w:rtl w:val="0"/>
        </w:rPr>
        <w:t xml:space="preserve">Tesorería Municipal</w:t>
      </w:r>
      <w:r w:rsidDel="00000000" w:rsidR="00000000" w:rsidRPr="00000000">
        <w:rPr>
          <w:rFonts w:ascii="Palatino Linotype" w:cs="Palatino Linotype" w:eastAsia="Palatino Linotype" w:hAnsi="Palatino Linotype"/>
          <w:sz w:val="24"/>
          <w:szCs w:val="24"/>
          <w:rtl w:val="0"/>
        </w:rPr>
        <w:t xml:space="preserve"> es el órgano encargado de la recaudación de los ingresos municipales y responsable de realizar las erogaciones que haga el ayuntamiento; encargado de llevar los registros contables, financieros y administrativos de los ingresos, egresos, e inventarios; de ahí que dicha área sea la competente para conocer de los recibos de nómina de los servidores públicos de quienes se requieren los mismos.</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en el caso, se debió turnar la solicitud de información a la </w:t>
      </w:r>
      <w:r w:rsidDel="00000000" w:rsidR="00000000" w:rsidRPr="00000000">
        <w:rPr>
          <w:rFonts w:ascii="Palatino Linotype" w:cs="Palatino Linotype" w:eastAsia="Palatino Linotype" w:hAnsi="Palatino Linotype"/>
          <w:b w:val="1"/>
          <w:sz w:val="24"/>
          <w:szCs w:val="24"/>
          <w:u w:val="single"/>
          <w:rtl w:val="0"/>
        </w:rPr>
        <w:t xml:space="preserve">Presidencia Municipal</w:t>
      </w:r>
      <w:r w:rsidDel="00000000" w:rsidR="00000000" w:rsidRPr="00000000">
        <w:rPr>
          <w:rFonts w:ascii="Palatino Linotype" w:cs="Palatino Linotype" w:eastAsia="Palatino Linotype" w:hAnsi="Palatino Linotype"/>
          <w:sz w:val="24"/>
          <w:szCs w:val="24"/>
          <w:rtl w:val="0"/>
        </w:rPr>
        <w:t xml:space="preserve"> y a la </w:t>
      </w:r>
      <w:r w:rsidDel="00000000" w:rsidR="00000000" w:rsidRPr="00000000">
        <w:rPr>
          <w:rFonts w:ascii="Palatino Linotype" w:cs="Palatino Linotype" w:eastAsia="Palatino Linotype" w:hAnsi="Palatino Linotype"/>
          <w:b w:val="1"/>
          <w:sz w:val="24"/>
          <w:szCs w:val="24"/>
          <w:u w:val="single"/>
          <w:rtl w:val="0"/>
        </w:rPr>
        <w:t xml:space="preserve">Tesorería Municipal; </w:t>
      </w:r>
      <w:r w:rsidDel="00000000" w:rsidR="00000000" w:rsidRPr="00000000">
        <w:rPr>
          <w:rFonts w:ascii="Palatino Linotype" w:cs="Palatino Linotype" w:eastAsia="Palatino Linotype" w:hAnsi="Palatino Linotype"/>
          <w:sz w:val="24"/>
          <w:szCs w:val="24"/>
          <w:rtl w:val="0"/>
        </w:rPr>
        <w:t xml:space="preserve">no obstante, de la consulta realizada al expediente electrónico aperturado con motivo del presente medio de impugnación, se advierte que no se turnó a los servidores públicos habilitados competentes; incumpliendo con el requisito de turnar las solicitudes de información a todas las Áreas competentes que cuenten con la información o deban tenerla de acuerdo a sus facultades, competencias y funciones.</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A mayor abundamiento, conviene precisar el procedimiento que los Sujetos Obligados deben seguir para la atención a las solicitudes de acceso a la información, establecido en los artículos 151, 159, 160, 162, 163, 164, 165 y 166, de la Ley de Transparencia y Acceso a la Información Pública del Estado de México y Municipios, el cual es el siguiente:</w:t>
      </w:r>
      <w:r w:rsidDel="00000000" w:rsidR="00000000" w:rsidRPr="00000000">
        <w:rPr>
          <w:rtl w:val="0"/>
        </w:rPr>
      </w:r>
    </w:p>
    <w:p w:rsidR="00000000" w:rsidDel="00000000" w:rsidP="00000000" w:rsidRDefault="00000000" w:rsidRPr="00000000" w14:paraId="00000289">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A">
      <w:pPr>
        <w:numPr>
          <w:ilvl w:val="0"/>
          <w:numId w:val="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C">
      <w:pPr>
        <w:numPr>
          <w:ilvl w:val="0"/>
          <w:numId w:val="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36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8E">
      <w:pPr>
        <w:numPr>
          <w:ilvl w:val="0"/>
          <w:numId w:val="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36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0">
      <w:pPr>
        <w:numPr>
          <w:ilvl w:val="0"/>
          <w:numId w:val="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360" w:lineRule="auto"/>
        <w:ind w:left="720" w:firstLine="0"/>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292">
      <w:pPr>
        <w:numPr>
          <w:ilvl w:val="0"/>
          <w:numId w:val="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360" w:lineRule="auto"/>
        <w:ind w:left="36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94">
      <w:pPr>
        <w:numPr>
          <w:ilvl w:val="0"/>
          <w:numId w:val="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29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sz w:val="24"/>
          <w:szCs w:val="24"/>
          <w:rtl w:val="0"/>
        </w:rPr>
        <w:t xml:space="preserve">En el caso se colige que la Unidad de Transparencia no turnó la solicitud de información a las áreas competentes que cuentan con la información de acuerdo con sus facultades, funciones y atribuciones; por lo que, </w:t>
      </w:r>
      <w:r w:rsidDel="00000000" w:rsidR="00000000" w:rsidRPr="00000000">
        <w:rPr>
          <w:rFonts w:ascii="Palatino Linotype" w:cs="Palatino Linotype" w:eastAsia="Palatino Linotype" w:hAnsi="Palatino Linotype"/>
          <w:b w:val="1"/>
          <w:sz w:val="24"/>
          <w:szCs w:val="24"/>
          <w:u w:val="single"/>
          <w:rtl w:val="0"/>
        </w:rPr>
        <w:t xml:space="preserve">el procedimiento de búsqueda de la información NO se tuvo por atendido. </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Bajo esas consideraciones, se advierte que los motivos de inconformidad hechos valer por la persona solicitante devienen </w:t>
      </w:r>
      <w:r w:rsidDel="00000000" w:rsidR="00000000" w:rsidRPr="00000000">
        <w:rPr>
          <w:rFonts w:ascii="Palatino Linotype" w:cs="Palatino Linotype" w:eastAsia="Palatino Linotype" w:hAnsi="Palatino Linotype"/>
          <w:b w:val="1"/>
          <w:sz w:val="24"/>
          <w:szCs w:val="24"/>
          <w:rtl w:val="0"/>
        </w:rPr>
        <w:t xml:space="preserve">parcialmente fundados</w:t>
      </w:r>
      <w:r w:rsidDel="00000000" w:rsidR="00000000" w:rsidRPr="00000000">
        <w:rPr>
          <w:rFonts w:ascii="Palatino Linotype" w:cs="Palatino Linotype" w:eastAsia="Palatino Linotype" w:hAnsi="Palatino Linotype"/>
          <w:sz w:val="24"/>
          <w:szCs w:val="24"/>
          <w:rtl w:val="0"/>
        </w:rPr>
        <w:t xml:space="preserve">, siendo procedente </w:t>
      </w:r>
      <w:r w:rsidDel="00000000" w:rsidR="00000000" w:rsidRPr="00000000">
        <w:rPr>
          <w:rFonts w:ascii="Palatino Linotype" w:cs="Palatino Linotype" w:eastAsia="Palatino Linotype" w:hAnsi="Palatino Linotype"/>
          <w:b w:val="1"/>
          <w:sz w:val="24"/>
          <w:szCs w:val="24"/>
          <w:rtl w:val="0"/>
        </w:rPr>
        <w:t xml:space="preserve">Modificar </w:t>
      </w:r>
      <w:r w:rsidDel="00000000" w:rsidR="00000000" w:rsidRPr="00000000">
        <w:rPr>
          <w:rFonts w:ascii="Palatino Linotype" w:cs="Palatino Linotype" w:eastAsia="Palatino Linotype" w:hAnsi="Palatino Linotype"/>
          <w:sz w:val="24"/>
          <w:szCs w:val="24"/>
          <w:rtl w:val="0"/>
        </w:rPr>
        <w:t xml:space="preserve">la respuesta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y </w:t>
      </w:r>
      <w:r w:rsidDel="00000000" w:rsidR="00000000" w:rsidRPr="00000000">
        <w:rPr>
          <w:rFonts w:ascii="Palatino Linotype" w:cs="Palatino Linotype" w:eastAsia="Palatino Linotype" w:hAnsi="Palatino Linotype"/>
          <w:b w:val="1"/>
          <w:sz w:val="24"/>
          <w:szCs w:val="24"/>
          <w:rtl w:val="0"/>
        </w:rPr>
        <w:t xml:space="preserve">ordenar </w:t>
      </w:r>
      <w:r w:rsidDel="00000000" w:rsidR="00000000" w:rsidRPr="00000000">
        <w:rPr>
          <w:rFonts w:ascii="Palatino Linotype" w:cs="Palatino Linotype" w:eastAsia="Palatino Linotype" w:hAnsi="Palatino Linotype"/>
          <w:sz w:val="24"/>
          <w:szCs w:val="24"/>
          <w:rtl w:val="0"/>
        </w:rPr>
        <w:t xml:space="preserve">la entrega de la información precisada.</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9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no pasa desapercibido que en el archivo entregado en respuesta, se advierte que se entregaron: Licencia de Construcción de Barda Perimetral, expedida dentro del expediente 019, en fecha 22 de junio del 2023; Licencia de Excavación, expedida dentro del expediente 001, en fecha 05 de julio del 2023;  Constancia de Alineamiento, Folio 019, de fecha de 19 de noviembre de 2022; y, Constancia de Numero Oficial de fecha 22 de noviembre de 2022; todas expedidas por el Director de Desarrollo Urbano; en las cuales se dejaron a la vista la clave catastral de un predio;  dato que debió clasificarse como información confidencial, no obstante, no se hizo.</w:t>
      </w:r>
    </w:p>
    <w:p w:rsidR="00000000" w:rsidDel="00000000" w:rsidP="00000000" w:rsidRDefault="00000000" w:rsidRPr="00000000" w14:paraId="0000029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9C">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Por lo que, al considerarse como una transgresión al derecho de protección de datos personales, resulta procedente 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investigue y sanciones las posibles omisiones en las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que este determine lo que conforme derecho corresponda, cuyo resultado deberá ser informado a este Instituto.</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9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Versión Pública. </w:t>
      </w:r>
      <w:r w:rsidDel="00000000" w:rsidR="00000000" w:rsidRPr="00000000">
        <w:rPr>
          <w:rFonts w:ascii="Palatino Linotype" w:cs="Palatino Linotype" w:eastAsia="Palatino Linotype" w:hAnsi="Palatino Linotype"/>
          <w:sz w:val="24"/>
          <w:szCs w:val="24"/>
          <w:rtl w:val="0"/>
        </w:rPr>
        <w:t xml:space="preserve">Finalmente, para la entrega de la información que se determina ordenar,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deberá realizar un análisis con la finalidad de advertir si los documentos que se ordenan contienen información susceptible de clasificarse en los términos que la Ley en la materia; por lo que, de ser así,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tendrá que elaborar la versión pública del documento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29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A0">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2A1">
      <w:pPr>
        <w:spacing w:after="0" w:line="360" w:lineRule="auto"/>
        <w:ind w:right="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A2">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2A3">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A4">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2A5">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p>
    <w:p w:rsidR="00000000" w:rsidDel="00000000" w:rsidP="00000000" w:rsidRDefault="00000000" w:rsidRPr="00000000" w14:paraId="000002A6">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XXI. Información confidencial:</w:t>
      </w:r>
      <w:r w:rsidDel="00000000" w:rsidR="00000000" w:rsidRPr="00000000">
        <w:rPr>
          <w:rFonts w:ascii="Palatino Linotype" w:cs="Palatino Linotype" w:eastAsia="Palatino Linotype" w:hAnsi="Palatino Linotype"/>
          <w:i w:val="1"/>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2A7">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2A8">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A9">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ésta sea clasificada como reservada o confidencial.</w:t>
      </w:r>
    </w:p>
    <w:p w:rsidR="00000000" w:rsidDel="00000000" w:rsidP="00000000" w:rsidRDefault="00000000" w:rsidRPr="00000000" w14:paraId="000002AA">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 </w:t>
      </w:r>
      <w:r w:rsidDel="00000000" w:rsidR="00000000" w:rsidRPr="00000000">
        <w:rPr>
          <w:rFonts w:ascii="Palatino Linotype" w:cs="Palatino Linotype" w:eastAsia="Palatino Linotype" w:hAnsi="Palatino Linotype"/>
          <w:i w:val="1"/>
          <w:rtl w:val="0"/>
        </w:rPr>
        <w:t xml:space="preserve">La clasificación de la información se llevará a cabo en el momento en que:</w:t>
      </w:r>
    </w:p>
    <w:p w:rsidR="00000000" w:rsidDel="00000000" w:rsidP="00000000" w:rsidRDefault="00000000" w:rsidRPr="00000000" w14:paraId="000002AB">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p>
    <w:p w:rsidR="00000000" w:rsidDel="00000000" w:rsidP="00000000" w:rsidRDefault="00000000" w:rsidRPr="00000000" w14:paraId="000002AC">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 autoridad competente; o</w:t>
      </w:r>
    </w:p>
    <w:p w:rsidR="00000000" w:rsidDel="00000000" w:rsidP="00000000" w:rsidRDefault="00000000" w:rsidRPr="00000000" w14:paraId="000002AD">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 generen versiones públicas para dar cumplimiento a las obligaciones de transparencia previstas en esta Ley.</w:t>
      </w:r>
    </w:p>
    <w:p w:rsidR="00000000" w:rsidDel="00000000" w:rsidP="00000000" w:rsidRDefault="00000000" w:rsidRPr="00000000" w14:paraId="000002AE">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AF">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B0">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2B1">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2B2">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2B3">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B4">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B5">
      <w:pPr>
        <w:spacing w:after="120" w:line="240" w:lineRule="auto"/>
        <w:ind w:left="567" w:right="90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B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000000" w:rsidDel="00000000" w:rsidP="00000000" w:rsidRDefault="00000000" w:rsidRPr="00000000" w14:paraId="000002B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B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2B9">
      <w:pP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B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2B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BC">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168</w:t>
      </w:r>
      <w:r w:rsidDel="00000000" w:rsidR="00000000" w:rsidRPr="00000000">
        <w:rPr>
          <w:rFonts w:ascii="Palatino Linotype" w:cs="Palatino Linotype" w:eastAsia="Palatino Linotype" w:hAnsi="Palatino Linotype"/>
          <w:i w:val="1"/>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2BD">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rtl w:val="0"/>
        </w:rPr>
        <w:t xml:space="preserve">funde y motive la clasificación al Comité de Transparencia</w:t>
      </w:r>
      <w:r w:rsidDel="00000000" w:rsidR="00000000" w:rsidRPr="00000000">
        <w:rPr>
          <w:rFonts w:ascii="Palatino Linotype" w:cs="Palatino Linotype" w:eastAsia="Palatino Linotype" w:hAnsi="Palatino Linotype"/>
          <w:i w:val="1"/>
          <w:rtl w:val="0"/>
        </w:rPr>
        <w:t xml:space="preserve">, mismo que deberá resolver para:</w:t>
      </w:r>
    </w:p>
    <w:p w:rsidR="00000000" w:rsidDel="00000000" w:rsidP="00000000" w:rsidRDefault="00000000" w:rsidRPr="00000000" w14:paraId="000002BE">
      <w:pPr>
        <w:spacing w:after="0" w:line="240"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a</w:t>
      </w:r>
      <w:r w:rsidDel="00000000" w:rsidR="00000000" w:rsidRPr="00000000">
        <w:rPr>
          <w:rFonts w:ascii="Palatino Linotype" w:cs="Palatino Linotype" w:eastAsia="Palatino Linotype" w:hAnsi="Palatino Linotype"/>
          <w:b w:val="1"/>
          <w:i w:val="1"/>
          <w:rtl w:val="0"/>
        </w:rPr>
        <w:t xml:space="preserve">) Confirmar la clasificación;</w:t>
      </w:r>
    </w:p>
    <w:p w:rsidR="00000000" w:rsidDel="00000000" w:rsidP="00000000" w:rsidRDefault="00000000" w:rsidRPr="00000000" w14:paraId="000002BF">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2C0">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2C1">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La resolución del Comité de Transparencia será notificada al interesado en el plazo de respuesta a la solicitud que establece esta Ley.” </w:t>
      </w:r>
    </w:p>
    <w:p w:rsidR="00000000" w:rsidDel="00000000" w:rsidP="00000000" w:rsidRDefault="00000000" w:rsidRPr="00000000" w14:paraId="000002C2">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C3">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2C4">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C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4"/>
          <w:szCs w:val="24"/>
          <w:rtl w:val="0"/>
        </w:rPr>
        <w:t xml:space="preserve">Registro Federal de Contribuyentes</w:t>
      </w:r>
      <w:r w:rsidDel="00000000" w:rsidR="00000000" w:rsidRPr="00000000">
        <w:rPr>
          <w:rFonts w:ascii="Palatino Linotype" w:cs="Palatino Linotype" w:eastAsia="Palatino Linotype" w:hAnsi="Palatino Linotype"/>
          <w:sz w:val="24"/>
          <w:szCs w:val="24"/>
          <w:rtl w:val="0"/>
        </w:rPr>
        <w:t xml:space="preserve"> (RFC), la </w:t>
      </w:r>
      <w:r w:rsidDel="00000000" w:rsidR="00000000" w:rsidRPr="00000000">
        <w:rPr>
          <w:rFonts w:ascii="Palatino Linotype" w:cs="Palatino Linotype" w:eastAsia="Palatino Linotype" w:hAnsi="Palatino Linotype"/>
          <w:b w:val="1"/>
          <w:sz w:val="24"/>
          <w:szCs w:val="24"/>
          <w:rtl w:val="0"/>
        </w:rPr>
        <w:t xml:space="preserve">Clave Única de Registro de Población</w:t>
      </w:r>
      <w:r w:rsidDel="00000000" w:rsidR="00000000" w:rsidRPr="00000000">
        <w:rPr>
          <w:rFonts w:ascii="Palatino Linotype" w:cs="Palatino Linotype" w:eastAsia="Palatino Linotype" w:hAnsi="Palatino Linotype"/>
          <w:sz w:val="24"/>
          <w:szCs w:val="24"/>
          <w:rtl w:val="0"/>
        </w:rPr>
        <w:t xml:space="preserve"> (CURP) y la </w:t>
      </w:r>
      <w:r w:rsidDel="00000000" w:rsidR="00000000" w:rsidRPr="00000000">
        <w:rPr>
          <w:rFonts w:ascii="Palatino Linotype" w:cs="Palatino Linotype" w:eastAsia="Palatino Linotype" w:hAnsi="Palatino Linotype"/>
          <w:b w:val="1"/>
          <w:sz w:val="24"/>
          <w:szCs w:val="24"/>
          <w:rtl w:val="0"/>
        </w:rPr>
        <w:t xml:space="preserve">Clave de cualquier tipo de seguridad social</w:t>
      </w:r>
      <w:r w:rsidDel="00000000" w:rsidR="00000000" w:rsidRPr="00000000">
        <w:rPr>
          <w:rFonts w:ascii="Palatino Linotype" w:cs="Palatino Linotype" w:eastAsia="Palatino Linotype" w:hAnsi="Palatino Linotype"/>
          <w:sz w:val="24"/>
          <w:szCs w:val="24"/>
          <w:rtl w:val="0"/>
        </w:rPr>
        <w:t xml:space="preserve"> (ISSEMYM, u otros), así como, los </w:t>
      </w:r>
      <w:r w:rsidDel="00000000" w:rsidR="00000000" w:rsidRPr="00000000">
        <w:rPr>
          <w:rFonts w:ascii="Palatino Linotype" w:cs="Palatino Linotype" w:eastAsia="Palatino Linotype" w:hAnsi="Palatino Linotype"/>
          <w:b w:val="1"/>
          <w:sz w:val="24"/>
          <w:szCs w:val="24"/>
          <w:rtl w:val="0"/>
        </w:rPr>
        <w:t xml:space="preserve">préstamos o descuentos</w:t>
      </w:r>
      <w:r w:rsidDel="00000000" w:rsidR="00000000" w:rsidRPr="00000000">
        <w:rPr>
          <w:rFonts w:ascii="Palatino Linotype" w:cs="Palatino Linotype" w:eastAsia="Palatino Linotype" w:hAnsi="Palatino Linotype"/>
          <w:sz w:val="24"/>
          <w:szCs w:val="24"/>
          <w:rtl w:val="0"/>
        </w:rPr>
        <w:t xml:space="preserve"> que se le hagan a la persona y que no tengan relación con los impuestos o la cuota por seguridad social, así el</w:t>
      </w:r>
      <w:r w:rsidDel="00000000" w:rsidR="00000000" w:rsidRPr="00000000">
        <w:rPr>
          <w:rFonts w:ascii="Palatino Linotype" w:cs="Palatino Linotype" w:eastAsia="Palatino Linotype" w:hAnsi="Palatino Linotype"/>
          <w:b w:val="1"/>
          <w:sz w:val="24"/>
          <w:szCs w:val="24"/>
          <w:rtl w:val="0"/>
        </w:rPr>
        <w:t xml:space="preserve"> número de empleado, </w:t>
      </w:r>
      <w:r w:rsidDel="00000000" w:rsidR="00000000" w:rsidRPr="00000000">
        <w:rPr>
          <w:rFonts w:ascii="Palatino Linotype" w:cs="Palatino Linotype" w:eastAsia="Palatino Linotype" w:hAnsi="Palatino Linotype"/>
          <w:sz w:val="24"/>
          <w:szCs w:val="24"/>
          <w:rtl w:val="0"/>
        </w:rPr>
        <w:t xml:space="preserve">así como de ser el caso, el </w:t>
      </w:r>
      <w:r w:rsidDel="00000000" w:rsidR="00000000" w:rsidRPr="00000000">
        <w:rPr>
          <w:rFonts w:ascii="Palatino Linotype" w:cs="Palatino Linotype" w:eastAsia="Palatino Linotype" w:hAnsi="Palatino Linotype"/>
          <w:b w:val="1"/>
          <w:sz w:val="24"/>
          <w:szCs w:val="24"/>
          <w:rtl w:val="0"/>
        </w:rPr>
        <w:t xml:space="preserve">folio fiscal</w:t>
      </w:r>
      <w:r w:rsidDel="00000000" w:rsidR="00000000" w:rsidRPr="00000000">
        <w:rPr>
          <w:rFonts w:ascii="Palatino Linotype" w:cs="Palatino Linotype" w:eastAsia="Palatino Linotype" w:hAnsi="Palatino Linotype"/>
          <w:sz w:val="24"/>
          <w:szCs w:val="24"/>
          <w:rtl w:val="0"/>
        </w:rPr>
        <w:t xml:space="preserve">, la  </w:t>
      </w:r>
      <w:r w:rsidDel="00000000" w:rsidR="00000000" w:rsidRPr="00000000">
        <w:rPr>
          <w:rFonts w:ascii="Palatino Linotype" w:cs="Palatino Linotype" w:eastAsia="Palatino Linotype" w:hAnsi="Palatino Linotype"/>
          <w:b w:val="1"/>
          <w:sz w:val="24"/>
          <w:szCs w:val="24"/>
          <w:rtl w:val="0"/>
        </w:rPr>
        <w:t xml:space="preserve">cadena original, </w:t>
      </w:r>
      <w:r w:rsidDel="00000000" w:rsidR="00000000" w:rsidRPr="00000000">
        <w:rPr>
          <w:rFonts w:ascii="Palatino Linotype" w:cs="Palatino Linotype" w:eastAsia="Palatino Linotype" w:hAnsi="Palatino Linotype"/>
          <w:sz w:val="24"/>
          <w:szCs w:val="24"/>
          <w:rtl w:val="0"/>
        </w:rPr>
        <w:t xml:space="preserve">los</w:t>
      </w:r>
      <w:r w:rsidDel="00000000" w:rsidR="00000000" w:rsidRPr="00000000">
        <w:rPr>
          <w:rFonts w:ascii="Palatino Linotype" w:cs="Palatino Linotype" w:eastAsia="Palatino Linotype" w:hAnsi="Palatino Linotype"/>
          <w:b w:val="1"/>
          <w:sz w:val="24"/>
          <w:szCs w:val="24"/>
          <w:rtl w:val="0"/>
        </w:rPr>
        <w:t xml:space="preserve"> códigos bidimensionales o códigos QR,</w:t>
      </w:r>
      <w:r w:rsidDel="00000000" w:rsidR="00000000" w:rsidRPr="00000000">
        <w:rPr>
          <w:rFonts w:ascii="Palatino Linotype" w:cs="Palatino Linotype" w:eastAsia="Palatino Linotype" w:hAnsi="Palatino Linotype"/>
          <w:sz w:val="24"/>
          <w:szCs w:val="24"/>
          <w:rtl w:val="0"/>
        </w:rPr>
        <w:t xml:space="preserve"> y cualquier información de carácter fiscal, bajo las siguientes consideraciones. </w:t>
      </w:r>
    </w:p>
    <w:p w:rsidR="00000000" w:rsidDel="00000000" w:rsidP="00000000" w:rsidRDefault="00000000" w:rsidRPr="00000000" w14:paraId="000002C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C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2C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C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2C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C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2CC">
      <w:pPr>
        <w:spacing w:after="120" w:line="24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0"/>
          <w:szCs w:val="20"/>
          <w:rtl w:val="0"/>
        </w:rPr>
        <w:t xml:space="preserve">El RFC es una clave de carácter fiscal, única e irrepetible, que permite identificar al titular, su edad y fecha de nacimiento, por lo que es un dato personal de carácter confidencial.” (Sic)</w:t>
      </w:r>
    </w:p>
    <w:p w:rsidR="00000000" w:rsidDel="00000000" w:rsidP="00000000" w:rsidRDefault="00000000" w:rsidRPr="00000000" w14:paraId="000002CD">
      <w:pPr>
        <w:spacing w:after="120" w:line="240" w:lineRule="auto"/>
        <w:ind w:left="851" w:right="90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2C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D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cuanto al CURP, en virtud de que este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2D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D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sz w:val="24"/>
          <w:szCs w:val="24"/>
          <w:rtl w:val="0"/>
        </w:rPr>
        <w:t xml:space="preserve">, conforme al </w:t>
      </w:r>
      <w:r w:rsidDel="00000000" w:rsidR="00000000" w:rsidRPr="00000000">
        <w:rPr>
          <w:rFonts w:ascii="Palatino Linotype" w:cs="Palatino Linotype" w:eastAsia="Palatino Linotype" w:hAnsi="Palatino Linotype"/>
          <w:sz w:val="24"/>
          <w:szCs w:val="24"/>
          <w:rtl w:val="0"/>
        </w:rPr>
        <w:t xml:space="preserve">criterio número 18/17, el cual refiere: </w:t>
      </w:r>
    </w:p>
    <w:p w:rsidR="00000000" w:rsidDel="00000000" w:rsidP="00000000" w:rsidRDefault="00000000" w:rsidRPr="00000000" w14:paraId="000002D3">
      <w:pPr>
        <w:spacing w:after="120" w:line="240" w:lineRule="auto"/>
        <w:ind w:left="851" w:right="902" w:firstLine="0"/>
        <w:jc w:val="both"/>
        <w:rPr>
          <w:rFonts w:ascii="Arial" w:cs="Arial" w:eastAsia="Arial" w:hAnsi="Arial"/>
          <w:b w:val="1"/>
          <w:sz w:val="24"/>
          <w:szCs w:val="24"/>
        </w:rPr>
      </w:pPr>
      <w:r w:rsidDel="00000000" w:rsidR="00000000" w:rsidRPr="00000000">
        <w:rPr>
          <w:rFonts w:ascii="Palatino Linotype" w:cs="Palatino Linotype" w:eastAsia="Palatino Linotype" w:hAnsi="Palatino Linotype"/>
          <w:b w:val="1"/>
          <w:i w:val="1"/>
          <w:sz w:val="20"/>
          <w:szCs w:val="20"/>
          <w:rtl w:val="0"/>
        </w:rPr>
        <w:t xml:space="preserve">“Clave Única de Registro de Población (CURP). </w:t>
      </w:r>
      <w:r w:rsidDel="00000000" w:rsidR="00000000" w:rsidRPr="00000000">
        <w:rPr>
          <w:rFonts w:ascii="Palatino Linotype" w:cs="Palatino Linotype" w:eastAsia="Palatino Linotype" w:hAnsi="Palatino Linotype"/>
          <w:i w:val="1"/>
          <w:sz w:val="20"/>
          <w:szCs w:val="20"/>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r w:rsidDel="00000000" w:rsidR="00000000" w:rsidRPr="00000000">
        <w:rPr>
          <w:rtl w:val="0"/>
        </w:rPr>
      </w:r>
    </w:p>
    <w:p w:rsidR="00000000" w:rsidDel="00000000" w:rsidP="00000000" w:rsidRDefault="00000000" w:rsidRPr="00000000" w14:paraId="000002D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D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2D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D7">
      <w:pP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rtl w:val="0"/>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rsidR="00000000" w:rsidDel="00000000" w:rsidP="00000000" w:rsidRDefault="00000000" w:rsidRPr="00000000" w14:paraId="000002D8">
      <w:pP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D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Respecto de los </w:t>
      </w:r>
      <w:r w:rsidDel="00000000" w:rsidR="00000000" w:rsidRPr="00000000">
        <w:rPr>
          <w:rFonts w:ascii="Palatino Linotype" w:cs="Palatino Linotype" w:eastAsia="Palatino Linotype" w:hAnsi="Palatino Linotype"/>
          <w:b w:val="1"/>
          <w:sz w:val="24"/>
          <w:szCs w:val="24"/>
          <w:rtl w:val="0"/>
        </w:rPr>
        <w:t xml:space="preserve">préstamos o descuentos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carácter personal</w:t>
      </w:r>
      <w:r w:rsidDel="00000000" w:rsidR="00000000" w:rsidRPr="00000000">
        <w:rPr>
          <w:rFonts w:ascii="Palatino Linotype" w:cs="Palatino Linotype" w:eastAsia="Palatino Linotype" w:hAnsi="Palatino Linotype"/>
          <w:sz w:val="24"/>
          <w:szCs w:val="24"/>
          <w:rtl w:val="0"/>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000000" w:rsidDel="00000000" w:rsidP="00000000" w:rsidRDefault="00000000" w:rsidRPr="00000000" w14:paraId="000002D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D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 las deducciones, 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2D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DD">
      <w:pPr>
        <w:spacing w:after="0" w:line="240"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84. </w:t>
      </w:r>
      <w:r w:rsidDel="00000000" w:rsidR="00000000" w:rsidRPr="00000000">
        <w:rPr>
          <w:rFonts w:ascii="Palatino Linotype" w:cs="Palatino Linotype" w:eastAsia="Palatino Linotype" w:hAnsi="Palatino Linotype"/>
          <w:i w:val="1"/>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2DE">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Gravámenes fiscales relacionados con el sueldo;</w:t>
      </w:r>
    </w:p>
    <w:p w:rsidR="00000000" w:rsidDel="00000000" w:rsidP="00000000" w:rsidRDefault="00000000" w:rsidRPr="00000000" w14:paraId="000002DF">
      <w:pPr>
        <w:spacing w:after="0" w:line="240"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2E0">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Cuotas sindicales;</w:t>
      </w:r>
    </w:p>
    <w:p w:rsidR="00000000" w:rsidDel="00000000" w:rsidP="00000000" w:rsidRDefault="00000000" w:rsidRPr="00000000" w14:paraId="000002E1">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2E2">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2E3">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2E4">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Faltas de puntualidad o de asistencia injustificadas;</w:t>
      </w:r>
    </w:p>
    <w:p w:rsidR="00000000" w:rsidDel="00000000" w:rsidP="00000000" w:rsidRDefault="00000000" w:rsidRPr="00000000" w14:paraId="000002E5">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Pensiones alimenticias ordenadas por la autoridad judicial;</w:t>
      </w:r>
      <w:r w:rsidDel="00000000" w:rsidR="00000000" w:rsidRPr="00000000">
        <w:rPr>
          <w:rFonts w:ascii="Palatino Linotype" w:cs="Palatino Linotype" w:eastAsia="Palatino Linotype" w:hAnsi="Palatino Linotype"/>
          <w:i w:val="1"/>
          <w:rtl w:val="0"/>
        </w:rPr>
        <w:t xml:space="preserve"> o</w:t>
      </w:r>
    </w:p>
    <w:p w:rsidR="00000000" w:rsidDel="00000000" w:rsidP="00000000" w:rsidRDefault="00000000" w:rsidRPr="00000000" w14:paraId="000002E6">
      <w:pPr>
        <w:spacing w:after="0" w:line="240"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IX. Cualquier otro convenido con instituciones de servicios y aceptado por el servidor público.</w:t>
      </w:r>
    </w:p>
    <w:p w:rsidR="00000000" w:rsidDel="00000000" w:rsidP="00000000" w:rsidRDefault="00000000" w:rsidRPr="00000000" w14:paraId="000002E7">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00000" w:rsidDel="00000000" w:rsidP="00000000" w:rsidRDefault="00000000" w:rsidRPr="00000000" w14:paraId="000002E8">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E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2E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E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los préstamos o descuentos de carácter personal, en virtud de no tener relación con la prestación del servicio y al no involucrar instituciones públicas, se consideran datos confidenciales.</w:t>
      </w:r>
    </w:p>
    <w:p w:rsidR="00000000" w:rsidDel="00000000" w:rsidP="00000000" w:rsidRDefault="00000000" w:rsidRPr="00000000" w14:paraId="000002E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E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De la información fiscal</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2E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w:t>
      </w:r>
      <w:r w:rsidDel="00000000" w:rsidR="00000000" w:rsidRPr="00000000">
        <w:rPr>
          <w:rFonts w:ascii="Palatino Linotype" w:cs="Palatino Linotype" w:eastAsia="Palatino Linotype" w:hAnsi="Palatino Linotype"/>
          <w:b w:val="1"/>
          <w:sz w:val="24"/>
          <w:szCs w:val="24"/>
          <w:rtl w:val="0"/>
        </w:rPr>
        <w:t xml:space="preserve">Cadena Original</w:t>
      </w:r>
      <w:r w:rsidDel="00000000" w:rsidR="00000000" w:rsidRPr="00000000">
        <w:rPr>
          <w:rFonts w:ascii="Palatino Linotype" w:cs="Palatino Linotype" w:eastAsia="Palatino Linotype" w:hAnsi="Palatino Linotype"/>
          <w:sz w:val="24"/>
          <w:szCs w:val="24"/>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2E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F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w:t>
      </w:r>
      <w:r w:rsidDel="00000000" w:rsidR="00000000" w:rsidRPr="00000000">
        <w:rPr>
          <w:rFonts w:ascii="Palatino Linotype" w:cs="Palatino Linotype" w:eastAsia="Palatino Linotype" w:hAnsi="Palatino Linotype"/>
          <w:b w:val="1"/>
          <w:sz w:val="24"/>
          <w:szCs w:val="24"/>
          <w:rtl w:val="0"/>
        </w:rPr>
        <w:t xml:space="preserve">códigos bidimensionales</w:t>
      </w:r>
      <w:r w:rsidDel="00000000" w:rsidR="00000000" w:rsidRPr="00000000">
        <w:rPr>
          <w:rFonts w:ascii="Palatino Linotype" w:cs="Palatino Linotype" w:eastAsia="Palatino Linotype" w:hAnsi="Palatino Linotype"/>
          <w:sz w:val="24"/>
          <w:szCs w:val="24"/>
          <w:rtl w:val="0"/>
        </w:rPr>
        <w:t xml:space="preserve"> o </w:t>
      </w:r>
      <w:r w:rsidDel="00000000" w:rsidR="00000000" w:rsidRPr="00000000">
        <w:rPr>
          <w:rFonts w:ascii="Palatino Linotype" w:cs="Palatino Linotype" w:eastAsia="Palatino Linotype" w:hAnsi="Palatino Linotype"/>
          <w:b w:val="1"/>
          <w:sz w:val="24"/>
          <w:szCs w:val="24"/>
          <w:rtl w:val="0"/>
        </w:rPr>
        <w:t xml:space="preserve">códigos QR, </w:t>
      </w:r>
      <w:r w:rsidDel="00000000" w:rsidR="00000000" w:rsidRPr="00000000">
        <w:rPr>
          <w:rFonts w:ascii="Palatino Linotype" w:cs="Palatino Linotype" w:eastAsia="Palatino Linotype" w:hAnsi="Palatino Linotype"/>
          <w:sz w:val="24"/>
          <w:szCs w:val="24"/>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analizar dicha circunstancia con la finalidad de determinar si se actualiza algún supuesto de confidencialidad.</w:t>
      </w:r>
    </w:p>
    <w:p w:rsidR="00000000" w:rsidDel="00000000" w:rsidP="00000000" w:rsidRDefault="00000000" w:rsidRPr="00000000" w14:paraId="000002F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F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sentido, si derivado del análisis efectuado por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F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se destaca que la versión pública que elabore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000000" w:rsidDel="00000000" w:rsidP="00000000" w:rsidRDefault="00000000" w:rsidRPr="00000000" w14:paraId="000002F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F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Efectivamente, cuando se clasifica información como confidencial o reservada es importante someterlo al Comité de Transparencia, quien debe confirmar, modificar o revocar la clasificación.</w:t>
      </w:r>
    </w:p>
    <w:p w:rsidR="00000000" w:rsidDel="00000000" w:rsidP="00000000" w:rsidRDefault="00000000" w:rsidRPr="00000000" w14:paraId="000002F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F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2F9">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FA">
      <w:pPr>
        <w:spacing w:after="0" w:line="24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atribuciones:</w:t>
      </w:r>
    </w:p>
    <w:p w:rsidR="00000000" w:rsidDel="00000000" w:rsidP="00000000" w:rsidRDefault="00000000" w:rsidRPr="00000000" w14:paraId="000002FB">
      <w:pPr>
        <w:spacing w:after="0" w:line="24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FC">
      <w:pPr>
        <w:spacing w:after="0" w:line="24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Las </w:t>
      </w:r>
      <w:r w:rsidDel="00000000" w:rsidR="00000000" w:rsidRPr="00000000">
        <w:rPr>
          <w:rFonts w:ascii="Palatino Linotype" w:cs="Palatino Linotype" w:eastAsia="Palatino Linotype" w:hAnsi="Palatino Linotype"/>
          <w:b w:val="1"/>
          <w:i w:val="1"/>
          <w:rtl w:val="0"/>
        </w:rPr>
        <w:t xml:space="preserve">Unidades de Transparencia</w:t>
      </w:r>
      <w:r w:rsidDel="00000000" w:rsidR="00000000" w:rsidRPr="00000000">
        <w:rPr>
          <w:rFonts w:ascii="Palatino Linotype" w:cs="Palatino Linotype" w:eastAsia="Palatino Linotype" w:hAnsi="Palatino Linotype"/>
          <w:i w:val="1"/>
          <w:rtl w:val="0"/>
        </w:rPr>
        <w:t xml:space="preserve"> tendrán las siguientes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FD">
      <w:pPr>
        <w:spacing w:after="0" w:line="24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2FE">
      <w:pPr>
        <w:spacing w:after="0" w:line="24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w:t>
      </w:r>
      <w:r w:rsidDel="00000000" w:rsidR="00000000" w:rsidRPr="00000000">
        <w:rPr>
          <w:rFonts w:ascii="Palatino Linotype" w:cs="Palatino Linotype" w:eastAsia="Palatino Linotype" w:hAnsi="Palatino Linotype"/>
          <w:b w:val="1"/>
          <w:i w:val="1"/>
          <w:rtl w:val="0"/>
        </w:rPr>
        <w:t xml:space="preserve">servidores públicos habilitados</w:t>
      </w:r>
      <w:r w:rsidDel="00000000" w:rsidR="00000000" w:rsidRPr="00000000">
        <w:rPr>
          <w:rFonts w:ascii="Palatino Linotype" w:cs="Palatino Linotype" w:eastAsia="Palatino Linotype" w:hAnsi="Palatino Linotype"/>
          <w:i w:val="1"/>
          <w:rtl w:val="0"/>
        </w:rPr>
        <w:t xml:space="preserve"> tendrán las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siguientes:</w:t>
      </w:r>
    </w:p>
    <w:p w:rsidR="00000000" w:rsidDel="00000000" w:rsidP="00000000" w:rsidRDefault="00000000" w:rsidRPr="00000000" w14:paraId="000002FF">
      <w:pPr>
        <w:spacing w:after="0" w:line="24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rtl w:val="0"/>
        </w:rPr>
        <w:t xml:space="preserve">, la cual tendrá los fundamentos y argumentos en que se basa dicha propuesta…”(Sic)</w:t>
      </w:r>
    </w:p>
    <w:p w:rsidR="00000000" w:rsidDel="00000000" w:rsidP="00000000" w:rsidRDefault="00000000" w:rsidRPr="00000000" w14:paraId="00000300">
      <w:pPr>
        <w:spacing w:after="0" w:line="240" w:lineRule="auto"/>
        <w:ind w:left="992" w:right="10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30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Denotándose de dichos elementos normativos que el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30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0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30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05">
      <w:pPr>
        <w:spacing w:after="240" w:line="24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w:t>
      </w:r>
      <w:r w:rsidDel="00000000" w:rsidR="00000000" w:rsidRPr="00000000">
        <w:rPr>
          <w:rFonts w:ascii="Palatino Linotype" w:cs="Palatino Linotype" w:eastAsia="Palatino Linotype" w:hAnsi="Palatino Linotype"/>
          <w:b w:val="1"/>
          <w:i w:val="1"/>
          <w:rtl w:val="0"/>
        </w:rPr>
        <w:t xml:space="preserve">acuerdo que clasifique la información como confidencial</w:t>
      </w:r>
      <w:r w:rsidDel="00000000" w:rsidR="00000000" w:rsidRPr="00000000">
        <w:rPr>
          <w:rFonts w:ascii="Palatino Linotype" w:cs="Palatino Linotype" w:eastAsia="Palatino Linotype" w:hAnsi="Palatino Linotype"/>
          <w:i w:val="1"/>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306">
      <w:pPr>
        <w:spacing w:after="240" w:line="240"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307">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30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0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30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0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siendo estas las siguientes:</w:t>
      </w:r>
    </w:p>
    <w:p w:rsidR="00000000" w:rsidDel="00000000" w:rsidP="00000000" w:rsidRDefault="00000000" w:rsidRPr="00000000" w14:paraId="0000030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0D">
      <w:pPr>
        <w:spacing w:after="0" w:line="276"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“CAPÍTULO VIII </w:t>
      </w:r>
    </w:p>
    <w:p w:rsidR="00000000" w:rsidDel="00000000" w:rsidP="00000000" w:rsidRDefault="00000000" w:rsidRPr="00000000" w14:paraId="0000030E">
      <w:pPr>
        <w:spacing w:after="0" w:line="276"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LOS ELEMENTOS PARA LA CLASIFICACIÓN </w:t>
      </w:r>
    </w:p>
    <w:p w:rsidR="00000000" w:rsidDel="00000000" w:rsidP="00000000" w:rsidRDefault="00000000" w:rsidRPr="00000000" w14:paraId="0000030F">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w:t>
      </w:r>
      <w:r w:rsidDel="00000000" w:rsidR="00000000" w:rsidRPr="00000000">
        <w:rPr>
          <w:rFonts w:ascii="Palatino Linotype" w:cs="Palatino Linotype" w:eastAsia="Palatino Linotype" w:hAnsi="Palatino Linotype"/>
          <w:i w:val="1"/>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310">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 </w:t>
      </w:r>
      <w:r w:rsidDel="00000000" w:rsidR="00000000" w:rsidRPr="00000000">
        <w:rPr>
          <w:rFonts w:ascii="Palatino Linotype" w:cs="Palatino Linotype" w:eastAsia="Palatino Linotype" w:hAnsi="Palatino Linotype"/>
          <w:i w:val="1"/>
          <w:rtl w:val="0"/>
        </w:rPr>
        <w:t xml:space="preserve">Toda acta del Comité de Transparencia deberá contener: </w:t>
      </w:r>
    </w:p>
    <w:p w:rsidR="00000000" w:rsidDel="00000000" w:rsidP="00000000" w:rsidRDefault="00000000" w:rsidRPr="00000000" w14:paraId="00000311">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312">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313">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314">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315">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316">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317">
      <w:pPr>
        <w:spacing w:after="0" w:line="276" w:lineRule="auto"/>
        <w:ind w:left="567" w:right="90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w:t>
      </w:r>
      <w:r w:rsidDel="00000000" w:rsidR="00000000" w:rsidRPr="00000000">
        <w:rPr>
          <w:rFonts w:ascii="Palatino Linotype" w:cs="Palatino Linotype" w:eastAsia="Palatino Linotype" w:hAnsi="Palatino Linotype"/>
          <w:b w:val="1"/>
          <w:i w:val="1"/>
          <w:u w:val="single"/>
          <w:rtl w:val="0"/>
        </w:rPr>
        <w:t xml:space="preserve">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318">
      <w:pPr>
        <w:spacing w:after="0" w:line="276"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Quincuagésimo segundo. </w:t>
      </w:r>
      <w:r w:rsidDel="00000000" w:rsidR="00000000" w:rsidRPr="00000000">
        <w:rPr>
          <w:rFonts w:ascii="Palatino Linotype" w:cs="Palatino Linotype" w:eastAsia="Palatino Linotype" w:hAnsi="Palatino Linotype"/>
          <w:i w:val="1"/>
          <w:rtl w:val="0"/>
        </w:rPr>
        <w:t xml:space="preserve">Para la clasificación y elaboración de versiones públicas de documentos que contengan información clasificada como reservada o </w:t>
      </w:r>
      <w:r w:rsidDel="00000000" w:rsidR="00000000" w:rsidRPr="00000000">
        <w:rPr>
          <w:rFonts w:ascii="Palatino Linotype" w:cs="Palatino Linotype" w:eastAsia="Palatino Linotype" w:hAnsi="Palatino Linotype"/>
          <w:b w:val="1"/>
          <w:i w:val="1"/>
          <w:rtl w:val="0"/>
        </w:rPr>
        <w:t xml:space="preserve">confidencial,</w:t>
      </w:r>
      <w:r w:rsidDel="00000000" w:rsidR="00000000" w:rsidRPr="00000000">
        <w:rPr>
          <w:rFonts w:ascii="Palatino Linotype" w:cs="Palatino Linotype" w:eastAsia="Palatino Linotype" w:hAnsi="Palatino Linotype"/>
          <w:i w:val="1"/>
          <w:rtl w:val="0"/>
        </w:rPr>
        <w:t xml:space="preserve"> las áreas de los sujetos obligados deberán tomar las medidas pertinentes tendientes a asegurar que el espacio utilizado para testar la información no podrá ser empleado para la sobreposición de contenido distinto al autorizado por el Comité.</w:t>
      </w:r>
      <w:r w:rsidDel="00000000" w:rsidR="00000000" w:rsidRPr="00000000">
        <w:rPr>
          <w:rtl w:val="0"/>
        </w:rPr>
      </w:r>
    </w:p>
    <w:p w:rsidR="00000000" w:rsidDel="00000000" w:rsidP="00000000" w:rsidRDefault="00000000" w:rsidRPr="00000000" w14:paraId="00000319">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31A">
      <w:pPr>
        <w:spacing w:after="0" w:line="276"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 Fijar la fecha en que se elaboró la versión pública y la fecha en la cual el Comité de Transparencia confirmó dicha versión; </w:t>
      </w:r>
    </w:p>
    <w:p w:rsidR="00000000" w:rsidDel="00000000" w:rsidP="00000000" w:rsidRDefault="00000000" w:rsidRPr="00000000" w14:paraId="0000031B">
      <w:pPr>
        <w:spacing w:after="0" w:line="276"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Señalar dentro del documento el tipo de información confidencial que fue testada en cada caso específico, de conformidad con el lineamiento trigésimo octavo; y </w:t>
      </w:r>
    </w:p>
    <w:p w:rsidR="00000000" w:rsidDel="00000000" w:rsidP="00000000" w:rsidRDefault="00000000" w:rsidRPr="00000000" w14:paraId="0000031C">
      <w:pPr>
        <w:spacing w:after="0" w:line="276"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Señalar las personas o instancias autorizadas a acceder a la información clasificada. </w:t>
      </w:r>
    </w:p>
    <w:p w:rsidR="00000000" w:rsidDel="00000000" w:rsidP="00000000" w:rsidRDefault="00000000" w:rsidRPr="00000000" w14:paraId="0000031D">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w:t>
      </w:r>
      <w:r w:rsidDel="00000000" w:rsidR="00000000" w:rsidRPr="00000000">
        <w:rPr>
          <w:rFonts w:ascii="Palatino Linotype" w:cs="Palatino Linotype" w:eastAsia="Palatino Linotype" w:hAnsi="Palatino Linotype"/>
          <w:b w:val="1"/>
          <w:i w:val="1"/>
          <w:u w:val="single"/>
          <w:rtl w:val="0"/>
        </w:rPr>
        <w:t xml:space="preserve">información confidencial.</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31E">
      <w:pPr>
        <w:spacing w:after="0" w:line="276"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31F">
      <w:pPr>
        <w:spacing w:after="0" w:line="276"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Quincuagésimo cuarto. </w:t>
      </w:r>
      <w:r w:rsidDel="00000000" w:rsidR="00000000" w:rsidRPr="00000000">
        <w:rPr>
          <w:rFonts w:ascii="Palatino Linotype" w:cs="Palatino Linotype" w:eastAsia="Palatino Linotype" w:hAnsi="Palatino Linotype"/>
          <w:i w:val="1"/>
          <w:rtl w:val="0"/>
        </w:rPr>
        <w:t xml:space="preserve">Cuando el Comité de Transparencia confirme la clasificación de documentos reservados y/o </w:t>
      </w:r>
      <w:r w:rsidDel="00000000" w:rsidR="00000000" w:rsidRPr="00000000">
        <w:rPr>
          <w:rFonts w:ascii="Palatino Linotype" w:cs="Palatino Linotype" w:eastAsia="Palatino Linotype" w:hAnsi="Palatino Linotype"/>
          <w:b w:val="1"/>
          <w:i w:val="1"/>
          <w:rtl w:val="0"/>
        </w:rPr>
        <w:t xml:space="preserve">confidenciales</w:t>
      </w:r>
      <w:r w:rsidDel="00000000" w:rsidR="00000000" w:rsidRPr="00000000">
        <w:rPr>
          <w:rFonts w:ascii="Palatino Linotype" w:cs="Palatino Linotype" w:eastAsia="Palatino Linotype" w:hAnsi="Palatino Linotype"/>
          <w:i w:val="1"/>
          <w:rtl w:val="0"/>
        </w:rPr>
        <w:t xml:space="preserve">,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320">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 </w:t>
      </w:r>
      <w:r w:rsidDel="00000000" w:rsidR="00000000" w:rsidRPr="00000000">
        <w:rPr>
          <w:rFonts w:ascii="Palatino Linotype" w:cs="Palatino Linotype" w:eastAsia="Palatino Linotype" w:hAnsi="Palatino Linotype"/>
          <w:i w:val="1"/>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rsidR="00000000" w:rsidDel="00000000" w:rsidP="00000000" w:rsidRDefault="00000000" w:rsidRPr="00000000" w14:paraId="00000321">
      <w:pPr>
        <w:spacing w:after="0" w:line="276" w:lineRule="auto"/>
        <w:ind w:left="567" w:right="90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2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 de la Ley de Transparencia y Acceso a la Información Pública del Estado de México y Municipios, este Pleno:</w:t>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sz w:val="24"/>
          <w:szCs w:val="24"/>
        </w:rPr>
      </w:pPr>
      <w:bookmarkStart w:colFirst="0" w:colLast="0" w:name="_heading=h.lnxbz9" w:id="6"/>
      <w:bookmarkEnd w:id="6"/>
      <w:r w:rsidDel="00000000" w:rsidR="00000000" w:rsidRPr="00000000">
        <w:rPr>
          <w:rFonts w:ascii="Palatino Linotype" w:cs="Palatino Linotype" w:eastAsia="Palatino Linotype" w:hAnsi="Palatino Linotype"/>
          <w:b w:val="1"/>
          <w:sz w:val="24"/>
          <w:szCs w:val="24"/>
          <w:rtl w:val="0"/>
        </w:rPr>
        <w:t xml:space="preserve">III. R E S U E L V E</w:t>
      </w:r>
    </w:p>
    <w:p w:rsidR="00000000" w:rsidDel="00000000" w:rsidP="00000000" w:rsidRDefault="00000000" w:rsidRPr="00000000" w14:paraId="00000327">
      <w:pPr>
        <w:tabs>
          <w:tab w:val="left" w:leader="none" w:pos="7936"/>
        </w:tabs>
        <w:spacing w:after="0" w:line="360" w:lineRule="auto"/>
        <w:jc w:val="both"/>
        <w:rPr>
          <w:rFonts w:ascii="Palatino Linotype" w:cs="Palatino Linotype" w:eastAsia="Palatino Linotype" w:hAnsi="Palatino Linotype"/>
          <w:b w:val="1"/>
          <w:sz w:val="24"/>
          <w:szCs w:val="24"/>
        </w:rPr>
      </w:pPr>
      <w:bookmarkStart w:colFirst="0" w:colLast="0" w:name="_heading=h.3rdcrjn" w:id="7"/>
      <w:bookmarkEnd w:id="7"/>
      <w:r w:rsidDel="00000000" w:rsidR="00000000" w:rsidRPr="00000000">
        <w:rPr>
          <w:rtl w:val="0"/>
        </w:rPr>
      </w:r>
    </w:p>
    <w:p w:rsidR="00000000" w:rsidDel="00000000" w:rsidP="00000000" w:rsidRDefault="00000000" w:rsidRPr="00000000" w14:paraId="00000328">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parcialmente fundados los motivos de inconformidad hechos valer por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en el recurso de revisión </w:t>
      </w:r>
      <w:r w:rsidDel="00000000" w:rsidR="00000000" w:rsidRPr="00000000">
        <w:rPr>
          <w:rFonts w:ascii="Palatino Linotype" w:cs="Palatino Linotype" w:eastAsia="Palatino Linotype" w:hAnsi="Palatino Linotype"/>
          <w:b w:val="1"/>
          <w:sz w:val="24"/>
          <w:szCs w:val="24"/>
          <w:rtl w:val="0"/>
        </w:rPr>
        <w:t xml:space="preserve">06369/INFOEM/IP/RR/2023, </w:t>
      </w:r>
      <w:r w:rsidDel="00000000" w:rsidR="00000000" w:rsidRPr="00000000">
        <w:rPr>
          <w:rFonts w:ascii="Palatino Linotype" w:cs="Palatino Linotype" w:eastAsia="Palatino Linotype" w:hAnsi="Palatino Linotype"/>
          <w:sz w:val="24"/>
          <w:szCs w:val="24"/>
          <w:rtl w:val="0"/>
        </w:rPr>
        <w:t xml:space="preserve">por lo que, en términos del Considerando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la presente resolución, se</w:t>
      </w:r>
      <w:r w:rsidDel="00000000" w:rsidR="00000000" w:rsidRPr="00000000">
        <w:rPr>
          <w:rFonts w:ascii="Palatino Linotype" w:cs="Palatino Linotype" w:eastAsia="Palatino Linotype" w:hAnsi="Palatino Linotype"/>
          <w:b w:val="1"/>
          <w:sz w:val="24"/>
          <w:szCs w:val="24"/>
          <w:rtl w:val="0"/>
        </w:rPr>
        <w:t xml:space="preserve"> Modifica </w:t>
      </w:r>
      <w:r w:rsidDel="00000000" w:rsidR="00000000" w:rsidRPr="00000000">
        <w:rPr>
          <w:rFonts w:ascii="Palatino Linotype" w:cs="Palatino Linotype" w:eastAsia="Palatino Linotype" w:hAnsi="Palatino Linotype"/>
          <w:sz w:val="24"/>
          <w:szCs w:val="24"/>
          <w:rtl w:val="0"/>
        </w:rPr>
        <w:t xml:space="preserve">la respuesta</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del </w:t>
      </w:r>
      <w:r w:rsidDel="00000000" w:rsidR="00000000" w:rsidRPr="00000000">
        <w:rPr>
          <w:rFonts w:ascii="Palatino Linotype" w:cs="Palatino Linotype" w:eastAsia="Palatino Linotype" w:hAnsi="Palatino Linotype"/>
          <w:b w:val="1"/>
          <w:sz w:val="24"/>
          <w:szCs w:val="24"/>
          <w:rtl w:val="0"/>
        </w:rPr>
        <w:t xml:space="preserve">Sujeto Obligado.</w:t>
      </w:r>
    </w:p>
    <w:p w:rsidR="00000000" w:rsidDel="00000000" w:rsidP="00000000" w:rsidRDefault="00000000" w:rsidRPr="00000000" w14:paraId="00000329">
      <w:pPr>
        <w:spacing w:after="0" w:line="360" w:lineRule="auto"/>
        <w:jc w:val="both"/>
        <w:rPr>
          <w:rFonts w:ascii="Palatino Linotype" w:cs="Palatino Linotype" w:eastAsia="Palatino Linotype" w:hAnsi="Palatino Linotype"/>
          <w:b w:val="1"/>
          <w:sz w:val="24"/>
          <w:szCs w:val="24"/>
        </w:rPr>
      </w:pPr>
      <w:bookmarkStart w:colFirst="0" w:colLast="0" w:name="_heading=h.17dp8vu" w:id="8"/>
      <w:bookmarkEnd w:id="8"/>
      <w:r w:rsidDel="00000000" w:rsidR="00000000" w:rsidRPr="00000000">
        <w:rPr>
          <w:rtl w:val="0"/>
        </w:rPr>
      </w:r>
    </w:p>
    <w:p w:rsidR="00000000" w:rsidDel="00000000" w:rsidP="00000000" w:rsidRDefault="00000000" w:rsidRPr="00000000" w14:paraId="0000032A">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términos de los Considerandos </w:t>
      </w:r>
      <w:r w:rsidDel="00000000" w:rsidR="00000000" w:rsidRPr="00000000">
        <w:rPr>
          <w:rFonts w:ascii="Palatino Linotype" w:cs="Palatino Linotype" w:eastAsia="Palatino Linotype" w:hAnsi="Palatino Linotype"/>
          <w:b w:val="1"/>
          <w:sz w:val="24"/>
          <w:szCs w:val="24"/>
          <w:rtl w:val="0"/>
        </w:rPr>
        <w:t xml:space="preserve">Cuarto y Quinto </w:t>
      </w:r>
      <w:r w:rsidDel="00000000" w:rsidR="00000000" w:rsidRPr="00000000">
        <w:rPr>
          <w:rFonts w:ascii="Palatino Linotype" w:cs="Palatino Linotype" w:eastAsia="Palatino Linotype" w:hAnsi="Palatino Linotype"/>
          <w:sz w:val="24"/>
          <w:szCs w:val="24"/>
          <w:rtl w:val="0"/>
        </w:rPr>
        <w:t xml:space="preserve">de esta resolución, haga entrega vía SAIMEX, previa búsqueda exhaustiva y razonable, en versión pública de ser procedente, los documentos donde conste lo siguiente:</w:t>
      </w:r>
      <w:r w:rsidDel="00000000" w:rsidR="00000000" w:rsidRPr="00000000">
        <w:rPr>
          <w:rtl w:val="0"/>
        </w:rPr>
      </w:r>
    </w:p>
    <w:p w:rsidR="00000000" w:rsidDel="00000000" w:rsidP="00000000" w:rsidRDefault="00000000" w:rsidRPr="00000000" w14:paraId="0000032B">
      <w:pPr>
        <w:tabs>
          <w:tab w:val="left" w:leader="none" w:pos="7936"/>
        </w:tabs>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32C">
      <w:pPr>
        <w:numPr>
          <w:ilvl w:val="0"/>
          <w:numId w:val="2"/>
        </w:numPr>
        <w:pBdr>
          <w:top w:space="0" w:sz="0" w:val="nil"/>
          <w:left w:space="0" w:sz="0" w:val="nil"/>
          <w:bottom w:space="0" w:sz="0" w:val="nil"/>
          <w:right w:space="0" w:sz="0" w:val="nil"/>
          <w:between w:space="0" w:sz="0" w:val="nil"/>
        </w:pBdr>
        <w:tabs>
          <w:tab w:val="left" w:leader="none" w:pos="7936"/>
        </w:tabs>
        <w:spacing w:after="0"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 los titulares de la</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Dirección Jurídica y de la Dirección Municipal de Gobierno, en funciones al catorce de agosto de dos mil veintitrés:</w:t>
      </w:r>
      <w:r w:rsidDel="00000000" w:rsidR="00000000" w:rsidRPr="00000000">
        <w:rPr>
          <w:rtl w:val="0"/>
        </w:rPr>
      </w:r>
    </w:p>
    <w:p w:rsidR="00000000" w:rsidDel="00000000" w:rsidP="00000000" w:rsidRDefault="00000000" w:rsidRPr="00000000" w14:paraId="0000032D">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horario laboral </w:t>
      </w:r>
    </w:p>
    <w:p w:rsidR="00000000" w:rsidDel="00000000" w:rsidP="00000000" w:rsidRDefault="00000000" w:rsidRPr="00000000" w14:paraId="0000032E">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recibos de pago de salarios y el documento donde conste la forma de pago de los meses de abril a julio de dos mil veintitrés.</w:t>
      </w:r>
    </w:p>
    <w:p w:rsidR="00000000" w:rsidDel="00000000" w:rsidP="00000000" w:rsidRDefault="00000000" w:rsidRPr="00000000" w14:paraId="0000032F">
      <w:pPr>
        <w:spacing w:after="0" w:line="276"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30">
      <w:pPr>
        <w:spacing w:after="0" w:line="240" w:lineRule="auto"/>
        <w:ind w:left="709"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 mismo que igualmente hará de su conocimiento.</w:t>
      </w:r>
    </w:p>
    <w:p w:rsidR="00000000" w:rsidDel="00000000" w:rsidP="00000000" w:rsidRDefault="00000000" w:rsidRPr="00000000" w14:paraId="00000331">
      <w:pPr>
        <w:spacing w:after="0" w:line="276"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32">
      <w:pPr>
        <w:numPr>
          <w:ilvl w:val="0"/>
          <w:numId w:val="2"/>
        </w:numPr>
        <w:pBdr>
          <w:top w:space="0" w:sz="0" w:val="nil"/>
          <w:left w:space="0" w:sz="0" w:val="nil"/>
          <w:bottom w:space="0" w:sz="0" w:val="nil"/>
          <w:right w:space="0" w:sz="0" w:val="nil"/>
          <w:between w:space="0" w:sz="0" w:val="nil"/>
        </w:pBdr>
        <w:spacing w:after="240" w:before="24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Acuerdo que emita el Comité de Transparencia mediante el que confirme la declaratoria de incompetencia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respecto de la información consistente en: el o los documentos donde consten los horarios laborales y recibos de nómina de los servidores públicos titulares de la Dirección Jurídica y la Dirección Municipal de Gobierno por su empleo en el Ayuntamiento de Amecameca.</w:t>
      </w:r>
    </w:p>
    <w:p w:rsidR="00000000" w:rsidDel="00000000" w:rsidP="00000000" w:rsidRDefault="00000000" w:rsidRPr="00000000" w14:paraId="00000333">
      <w:pPr>
        <w:spacing w:after="0" w:line="240" w:lineRule="auto"/>
        <w:ind w:left="709"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33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Notifíquese, </w:t>
      </w:r>
      <w:r w:rsidDel="00000000" w:rsidR="00000000" w:rsidRPr="00000000">
        <w:rPr>
          <w:rFonts w:ascii="Palatino Linotype" w:cs="Palatino Linotype" w:eastAsia="Palatino Linotype" w:hAnsi="Palatino Linotype"/>
          <w:sz w:val="24"/>
          <w:szCs w:val="24"/>
          <w:rtl w:val="0"/>
        </w:rPr>
        <w:t xml:space="preserve">vía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33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3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33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3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w:t>
      </w:r>
      <w:r w:rsidDel="00000000" w:rsidR="00000000" w:rsidRPr="00000000">
        <w:rPr>
          <w:rFonts w:ascii="Palatino Linotype" w:cs="Palatino Linotype" w:eastAsia="Palatino Linotype" w:hAnsi="Palatino Linotype"/>
          <w:sz w:val="24"/>
          <w:szCs w:val="24"/>
          <w:rtl w:val="0"/>
        </w:rPr>
        <w:t xml:space="preserve">vía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33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3A">
      <w:pPr>
        <w:spacing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Sexto. Gírese</w:t>
      </w:r>
      <w:r w:rsidDel="00000000" w:rsidR="00000000" w:rsidRPr="00000000">
        <w:rPr>
          <w:rFonts w:ascii="Palatino Linotype" w:cs="Palatino Linotype" w:eastAsia="Palatino Linotype" w:hAnsi="Palatino Linotype"/>
          <w:sz w:val="24"/>
          <w:szCs w:val="24"/>
          <w:rtl w:val="0"/>
        </w:rPr>
        <w:t xml:space="preserve"> a la </w:t>
      </w:r>
      <w:r w:rsidDel="00000000" w:rsidR="00000000" w:rsidRPr="00000000">
        <w:rPr>
          <w:rFonts w:ascii="Palatino Linotype" w:cs="Palatino Linotype" w:eastAsia="Palatino Linotype" w:hAnsi="Palatino Linotype"/>
          <w:b w:val="1"/>
          <w:sz w:val="24"/>
          <w:szCs w:val="24"/>
          <w:rtl w:val="0"/>
        </w:rPr>
        <w:t xml:space="preserve">Dirección General de Protección de Datos Personales</w:t>
      </w:r>
      <w:r w:rsidDel="00000000" w:rsidR="00000000" w:rsidRPr="00000000">
        <w:rPr>
          <w:rFonts w:ascii="Palatino Linotype" w:cs="Palatino Linotype" w:eastAsia="Palatino Linotype" w:hAnsi="Palatino Linotype"/>
          <w:sz w:val="24"/>
          <w:szCs w:val="24"/>
          <w:rtl w:val="0"/>
        </w:rPr>
        <w:t xml:space="preserve">, en atención al artículo 82, fracción XXVII de la Ley de Protección de Datos Personales en Posesión de Sujetos Obligados del Estado de México y Municipios en términos de lo señalado en el </w:t>
      </w:r>
      <w:r w:rsidDel="00000000" w:rsidR="00000000" w:rsidRPr="00000000">
        <w:rPr>
          <w:rFonts w:ascii="Palatino Linotype" w:cs="Palatino Linotype" w:eastAsia="Palatino Linotype" w:hAnsi="Palatino Linotype"/>
          <w:b w:val="1"/>
          <w:sz w:val="24"/>
          <w:szCs w:val="24"/>
          <w:rtl w:val="0"/>
        </w:rPr>
        <w:t xml:space="preserve">Considerando Cuarto</w:t>
      </w:r>
      <w:r w:rsidDel="00000000" w:rsidR="00000000" w:rsidRPr="00000000">
        <w:rPr>
          <w:rFonts w:ascii="Palatino Linotype" w:cs="Palatino Linotype" w:eastAsia="Palatino Linotype" w:hAnsi="Palatino Linotype"/>
          <w:sz w:val="24"/>
          <w:szCs w:val="24"/>
          <w:rtl w:val="0"/>
        </w:rPr>
        <w:t xml:space="preserve"> de la presente resolución.</w:t>
      </w:r>
      <w:r w:rsidDel="00000000" w:rsidR="00000000" w:rsidRPr="00000000">
        <w:rPr>
          <w:rtl w:val="0"/>
        </w:rPr>
      </w:r>
    </w:p>
    <w:p w:rsidR="00000000" w:rsidDel="00000000" w:rsidP="00000000" w:rsidRDefault="00000000" w:rsidRPr="00000000" w14:paraId="0000033B">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TRES DE ABRIL DE DOS MIL VEINTICUATRO, ANTE EL SECRETARIO TÉCNICO DEL PLENO ALEXIS TAPIA RAMÍREZ.</w:t>
      </w:r>
    </w:p>
    <w:p w:rsidR="00000000" w:rsidDel="00000000" w:rsidP="00000000" w:rsidRDefault="00000000" w:rsidRPr="00000000" w14:paraId="0000033C">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5638800" cy="4638675"/>
                <wp:effectExtent b="0" l="0" r="0" t="0"/>
                <wp:wrapNone/>
                <wp:docPr id="11" name=""/>
                <a:graphic>
                  <a:graphicData uri="http://schemas.microsoft.com/office/word/2010/wordprocessingShape">
                    <wps:wsp>
                      <wps:cNvCnPr/>
                      <wps:spPr>
                        <a:xfrm>
                          <a:off x="2531363" y="1465425"/>
                          <a:ext cx="5629275" cy="46291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5638800" cy="4638675"/>
                <wp:effectExtent b="0" l="0" r="0" t="0"/>
                <wp:wrapNone/>
                <wp:docPr id="1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5638800" cy="4638675"/>
                        </a:xfrm>
                        <a:prstGeom prst="rect"/>
                        <a:ln/>
                      </pic:spPr>
                    </pic:pic>
                  </a:graphicData>
                </a:graphic>
              </wp:anchor>
            </w:drawing>
          </mc:Fallback>
        </mc:AlternateContent>
      </w:r>
    </w:p>
    <w:p w:rsidR="00000000" w:rsidDel="00000000" w:rsidP="00000000" w:rsidRDefault="00000000" w:rsidRPr="00000000" w14:paraId="0000033D">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3E">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3F">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0">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1">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2">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3">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4">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5">
      <w:pPr>
        <w:tabs>
          <w:tab w:val="left" w:leader="none" w:pos="7936"/>
        </w:tabs>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346">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7">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8">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9">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A">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B">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C">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D">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E">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34F">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Arial"/>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50">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35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http://omawww.sat.gob.mx/factura/Paginas/solicita_requisitos.htm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-713098</wp:posOffset>
          </wp:positionH>
          <wp:positionV relativeFrom="paragraph">
            <wp:posOffset>-154933</wp:posOffset>
          </wp:positionV>
          <wp:extent cx="7809876" cy="10165823"/>
          <wp:effectExtent b="0" l="0" r="0" t="0"/>
          <wp:wrapNone/>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35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35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06369/INFOEM/IP/RR/2023</w:t>
          </w:r>
        </w:p>
      </w:tc>
    </w:tr>
    <w:tr>
      <w:trPr>
        <w:cantSplit w:val="0"/>
        <w:tblHeader w:val="0"/>
      </w:trPr>
      <w:tc>
        <w:tcPr>
          <w:vAlign w:val="center"/>
        </w:tcPr>
        <w:p w:rsidR="00000000" w:rsidDel="00000000" w:rsidP="00000000" w:rsidRDefault="00000000" w:rsidRPr="00000000" w14:paraId="0000035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357">
          <w:pPr>
            <w:pBdr>
              <w:top w:space="0" w:sz="0" w:val="nil"/>
              <w:left w:space="0" w:sz="0" w:val="nil"/>
              <w:bottom w:space="0" w:sz="0" w:val="nil"/>
              <w:right w:space="0" w:sz="0" w:val="nil"/>
              <w:between w:space="0" w:sz="0" w:val="nil"/>
            </w:pBdr>
            <w:tabs>
              <w:tab w:val="center" w:leader="none" w:pos="4419"/>
              <w:tab w:val="right" w:leader="none" w:pos="8838"/>
            </w:tabs>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XXXXXXXX X</w:t>
          </w:r>
        </w:p>
      </w:tc>
    </w:tr>
    <w:tr>
      <w:trPr>
        <w:cantSplit w:val="0"/>
        <w:trHeight w:val="228" w:hRule="atLeast"/>
        <w:tblHeader w:val="0"/>
      </w:trPr>
      <w:tc>
        <w:tcPr>
          <w:vAlign w:val="center"/>
        </w:tcPr>
        <w:p w:rsidR="00000000" w:rsidDel="00000000" w:rsidP="00000000" w:rsidRDefault="00000000" w:rsidRPr="00000000" w14:paraId="00000358">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35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35A">
          <w:pPr>
            <w:pBdr>
              <w:top w:space="0" w:sz="0" w:val="nil"/>
              <w:left w:space="0" w:sz="0" w:val="nil"/>
              <w:bottom w:space="0" w:sz="0" w:val="nil"/>
              <w:right w:space="0" w:sz="0" w:val="nil"/>
              <w:between w:space="0" w:sz="0" w:val="nil"/>
            </w:pBdr>
            <w:tabs>
              <w:tab w:val="center" w:leader="none" w:pos="4419"/>
              <w:tab w:val="right" w:leader="none" w:pos="8838"/>
            </w:tabs>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Atlautla</w:t>
          </w:r>
        </w:p>
      </w:tc>
    </w:tr>
    <w:tr>
      <w:trPr>
        <w:cantSplit w:val="0"/>
        <w:tblHeader w:val="0"/>
      </w:trPr>
      <w:tc>
        <w:tcPr>
          <w:vAlign w:val="center"/>
        </w:tcPr>
        <w:p w:rsidR="00000000" w:rsidDel="00000000" w:rsidP="00000000" w:rsidRDefault="00000000" w:rsidRPr="00000000" w14:paraId="0000035B">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35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35D">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E">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-746118</wp:posOffset>
          </wp:positionH>
          <wp:positionV relativeFrom="paragraph">
            <wp:posOffset>-448302</wp:posOffset>
          </wp:positionV>
          <wp:extent cx="7809876" cy="10165823"/>
          <wp:effectExtent b="0" l="0" r="0" t="0"/>
          <wp:wrapNone/>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35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36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06369/INFOEM/IP/RR/2023</w:t>
          </w:r>
        </w:p>
      </w:tc>
    </w:tr>
    <w:tr>
      <w:trPr>
        <w:cantSplit w:val="0"/>
        <w:trHeight w:val="228" w:hRule="atLeast"/>
        <w:tblHeader w:val="0"/>
      </w:trPr>
      <w:tc>
        <w:tcPr>
          <w:vAlign w:val="center"/>
        </w:tcPr>
        <w:p w:rsidR="00000000" w:rsidDel="00000000" w:rsidP="00000000" w:rsidRDefault="00000000" w:rsidRPr="00000000" w14:paraId="0000036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36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363">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Atlautla</w:t>
          </w:r>
        </w:p>
      </w:tc>
    </w:tr>
    <w:tr>
      <w:trPr>
        <w:cantSplit w:val="0"/>
        <w:tblHeader w:val="0"/>
      </w:trPr>
      <w:tc>
        <w:tcPr>
          <w:vAlign w:val="center"/>
        </w:tcPr>
        <w:p w:rsidR="00000000" w:rsidDel="00000000" w:rsidP="00000000" w:rsidRDefault="00000000" w:rsidRPr="00000000" w14:paraId="0000036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36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36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36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82028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0"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paragraph" w:styleId="Encabezado">
    <w:name w:val="header"/>
    <w:basedOn w:val="Normal"/>
    <w:link w:val="EncabezadoCar"/>
    <w:uiPriority w:val="99"/>
    <w:unhideWhenUsed w:val="1"/>
    <w:rsid w:val="007F178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F1783"/>
  </w:style>
  <w:style w:type="paragraph" w:styleId="Piedepgina">
    <w:name w:val="footer"/>
    <w:basedOn w:val="Normal"/>
    <w:link w:val="PiedepginaCar"/>
    <w:uiPriority w:val="99"/>
    <w:unhideWhenUsed w:val="1"/>
    <w:rsid w:val="007F178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F1783"/>
  </w:style>
  <w:style w:type="paragraph" w:styleId="Prrafodelista">
    <w:name w:val="List Paragraph"/>
    <w:basedOn w:val="Normal"/>
    <w:uiPriority w:val="34"/>
    <w:qFormat w:val="1"/>
    <w:rsid w:val="002B3F3D"/>
    <w:pPr>
      <w:ind w:left="720"/>
      <w:contextualSpacing w:val="1"/>
    </w:pPr>
  </w:style>
  <w:style w:type="character" w:styleId="Hipervnculo">
    <w:name w:val="Hyperlink"/>
    <w:basedOn w:val="Fuentedeprrafopredeter"/>
    <w:uiPriority w:val="99"/>
    <w:unhideWhenUsed w:val="1"/>
    <w:rsid w:val="00591630"/>
    <w:rPr>
      <w:color w:val="0000ff" w:themeColor="hyperlink"/>
      <w:u w:val="single"/>
    </w:rPr>
  </w:style>
  <w:style w:type="character" w:styleId="Hipervnculovisitado">
    <w:name w:val="FollowedHyperlink"/>
    <w:basedOn w:val="Fuentedeprrafopredeter"/>
    <w:uiPriority w:val="99"/>
    <w:semiHidden w:val="1"/>
    <w:unhideWhenUsed w:val="1"/>
    <w:rsid w:val="0094500F"/>
    <w:rPr>
      <w:color w:val="800080" w:themeColor="followedHyperlink"/>
      <w:u w:val="single"/>
    </w:rPr>
  </w:style>
  <w:style w:type="paragraph" w:styleId="Textonotapie">
    <w:name w:val="footnote text"/>
    <w:basedOn w:val="Normal"/>
    <w:link w:val="TextonotapieCar"/>
    <w:uiPriority w:val="99"/>
    <w:semiHidden w:val="1"/>
    <w:unhideWhenUsed w:val="1"/>
    <w:rsid w:val="00C160F7"/>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C160F7"/>
    <w:rPr>
      <w:sz w:val="20"/>
      <w:szCs w:val="20"/>
    </w:rPr>
  </w:style>
  <w:style w:type="character" w:styleId="Refdenotaalpie">
    <w:name w:val="footnote reference"/>
    <w:basedOn w:val="Fuentedeprrafopredeter"/>
    <w:uiPriority w:val="99"/>
    <w:semiHidden w:val="1"/>
    <w:unhideWhenUsed w:val="1"/>
    <w:rsid w:val="00C160F7"/>
    <w:rPr>
      <w:vertAlign w:val="superscript"/>
    </w:r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top w:w="75.0" w:type="dxa"/>
        <w:left w:w="75.0" w:type="dxa"/>
        <w:bottom w:w="75.0" w:type="dxa"/>
        <w:right w:w="75.0" w:type="dxa"/>
      </w:tblCellMar>
    </w:tblPr>
  </w:style>
  <w:style w:type="table" w:styleId="a3"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4"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monografias.com/trabajos14/verific-servicios/verific-servicios.shtml" TargetMode="External"/><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uZUFjCVhe5ahLydqxrlCoNp52A==">CgMxLjAyCGguZ2pkZ3hzMgloLjJldDkycDAyCWguMzBqMHpsbDIJaC4xZm9iOXRlMgloLjN6bnlzaDcyCWguMXk4MTB0dzIIaC5sbnhiejkyCWguM3JkY3JqbjIJaC4xN2RwOHZ1OAByITFsZ1FWdXgwbWtjZElVazk3Z296NU53cXJSU0U5Sk1Odw==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2024-04-29T16:39:00Z</dcterms:created>
  <dc:creator>USUARIO</dc:creator>
</cp:coreProperties>
</file>