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C44D" w14:textId="77777777" w:rsidR="00EC1D8D" w:rsidRDefault="00EC1D8D" w:rsidP="006922F5">
      <w:pPr>
        <w:pBdr>
          <w:top w:val="nil"/>
          <w:left w:val="nil"/>
          <w:bottom w:val="nil"/>
          <w:right w:val="nil"/>
          <w:between w:val="nil"/>
        </w:pBdr>
        <w:contextualSpacing/>
        <w:rPr>
          <w:rFonts w:eastAsia="Palatino Linotype" w:cs="Palatino Linotype"/>
          <w:color w:val="000000"/>
          <w:szCs w:val="24"/>
        </w:rPr>
      </w:pPr>
    </w:p>
    <w:p w14:paraId="49AF2C0C" w14:textId="15D6018D"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FB588E">
        <w:rPr>
          <w:rFonts w:eastAsia="Palatino Linotype" w:cs="Palatino Linotype"/>
          <w:color w:val="000000"/>
          <w:szCs w:val="24"/>
        </w:rPr>
        <w:t>veint</w:t>
      </w:r>
      <w:r w:rsidR="008C77CE">
        <w:rPr>
          <w:rFonts w:eastAsia="Palatino Linotype" w:cs="Palatino Linotype"/>
          <w:color w:val="000000"/>
          <w:szCs w:val="24"/>
        </w:rPr>
        <w:t xml:space="preserve">iuno de marzo </w:t>
      </w:r>
      <w:r w:rsidR="00DF6972">
        <w:rPr>
          <w:rFonts w:eastAsia="Palatino Linotype" w:cs="Palatino Linotype"/>
          <w:color w:val="000000"/>
          <w:szCs w:val="24"/>
        </w:rPr>
        <w:t>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42280D0A" w14:textId="7093C633" w:rsidR="002E75F0" w:rsidRPr="00875B7E" w:rsidRDefault="002E75F0" w:rsidP="002E75F0">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w:t>
      </w:r>
      <w:bookmarkStart w:id="0" w:name="_GoBack"/>
      <w:bookmarkEnd w:id="0"/>
      <w:r w:rsidRPr="00875B7E">
        <w:rPr>
          <w:rFonts w:eastAsia="Palatino Linotype" w:cs="Palatino Linotype"/>
          <w:color w:val="000000"/>
          <w:szCs w:val="24"/>
        </w:rPr>
        <w:t xml:space="preserve">do con motivo del recurso de revisión número </w:t>
      </w:r>
      <w:r w:rsidR="00C02107">
        <w:rPr>
          <w:rFonts w:eastAsia="Palatino Linotype" w:cs="Palatino Linotype"/>
          <w:b/>
          <w:color w:val="000000"/>
          <w:szCs w:val="24"/>
        </w:rPr>
        <w:t>0708</w:t>
      </w:r>
      <w:r>
        <w:rPr>
          <w:rFonts w:eastAsia="Palatino Linotype" w:cs="Palatino Linotype"/>
          <w:b/>
          <w:color w:val="000000"/>
          <w:szCs w:val="24"/>
        </w:rPr>
        <w:t>5/INFOEM/IP/RR/2023</w:t>
      </w:r>
      <w:r w:rsidRPr="00875B7E">
        <w:rPr>
          <w:rFonts w:eastAsia="Palatino Linotype" w:cs="Palatino Linotype"/>
          <w:color w:val="000000"/>
          <w:szCs w:val="24"/>
        </w:rPr>
        <w:t>, interpuesto por</w:t>
      </w:r>
      <w:r w:rsidR="00C02107">
        <w:rPr>
          <w:rFonts w:eastAsia="Palatino Linotype" w:cs="Palatino Linotype"/>
          <w:color w:val="000000"/>
          <w:szCs w:val="24"/>
        </w:rPr>
        <w:t xml:space="preserve"> el C. </w:t>
      </w:r>
      <w:r w:rsidR="000F712F">
        <w:rPr>
          <w:rFonts w:eastAsia="Palatino Linotype" w:cs="Palatino Linotype"/>
          <w:b/>
          <w:bCs/>
          <w:color w:val="000000"/>
          <w:szCs w:val="24"/>
        </w:rPr>
        <w:t>XXXXXXXXXXXXX</w:t>
      </w:r>
      <w:r w:rsidR="00C02107" w:rsidRPr="00C02107">
        <w:rPr>
          <w:rFonts w:eastAsia="Palatino Linotype" w:cs="Palatino Linotype"/>
          <w:b/>
          <w:bCs/>
          <w:color w:val="000000"/>
          <w:szCs w:val="24"/>
        </w:rPr>
        <w:t xml:space="preserve"> </w:t>
      </w:r>
      <w:r w:rsidR="000F712F">
        <w:rPr>
          <w:rFonts w:eastAsia="Palatino Linotype" w:cs="Palatino Linotype"/>
          <w:b/>
          <w:bCs/>
          <w:color w:val="000000"/>
          <w:szCs w:val="24"/>
        </w:rPr>
        <w:t>XXXXXXXXXXXXXX</w:t>
      </w:r>
      <w:r w:rsidRPr="00875B7E">
        <w:rPr>
          <w:rFonts w:eastAsia="Palatino Linotype" w:cs="Palatino Linotype"/>
          <w:color w:val="000000"/>
          <w:szCs w:val="24"/>
        </w:rPr>
        <w:t xml:space="preserve">, en lo sucesivo </w:t>
      </w:r>
      <w:r>
        <w:rPr>
          <w:rFonts w:eastAsia="Palatino Linotype" w:cs="Palatino Linotype"/>
          <w:color w:val="000000"/>
          <w:szCs w:val="24"/>
        </w:rPr>
        <w:t>la</w:t>
      </w:r>
      <w:r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de</w:t>
      </w:r>
      <w:r w:rsidR="00C02107">
        <w:rPr>
          <w:rFonts w:eastAsia="Palatino Linotype" w:cs="Palatino Linotype"/>
          <w:color w:val="000000"/>
          <w:szCs w:val="24"/>
        </w:rPr>
        <w:t xml:space="preserve"> </w:t>
      </w:r>
      <w:r w:rsidRPr="00875B7E">
        <w:rPr>
          <w:rFonts w:eastAsia="Palatino Linotype" w:cs="Palatino Linotype"/>
          <w:color w:val="000000"/>
          <w:szCs w:val="24"/>
        </w:rPr>
        <w:t>l</w:t>
      </w:r>
      <w:r w:rsidR="00C02107">
        <w:rPr>
          <w:rFonts w:eastAsia="Palatino Linotype" w:cs="Palatino Linotype"/>
          <w:color w:val="000000"/>
          <w:szCs w:val="24"/>
        </w:rPr>
        <w:t>a</w:t>
      </w:r>
      <w:r w:rsidRPr="00875B7E">
        <w:rPr>
          <w:rFonts w:eastAsia="Palatino Linotype" w:cs="Palatino Linotype"/>
          <w:color w:val="000000"/>
          <w:szCs w:val="24"/>
        </w:rPr>
        <w:t xml:space="preserve"> </w:t>
      </w:r>
      <w:r w:rsidR="00C02107" w:rsidRPr="00C02107">
        <w:rPr>
          <w:rFonts w:eastAsia="Palatino Linotype" w:cs="Palatino Linotype"/>
          <w:b/>
          <w:color w:val="000000"/>
          <w:szCs w:val="24"/>
        </w:rPr>
        <w:t>Secretaría de Desarrollo Urbano y Obra</w:t>
      </w:r>
      <w:r w:rsidRPr="00875B7E">
        <w:rPr>
          <w:rFonts w:eastAsia="Palatino Linotype" w:cs="Palatino Linotype"/>
          <w:color w:val="000000"/>
          <w:szCs w:val="24"/>
        </w:rPr>
        <w:t>, 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7CEEE806" w14:textId="52AA4BE9" w:rsidR="00B840B3" w:rsidRPr="006922F5" w:rsidRDefault="00B840B3" w:rsidP="00B840B3">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Pr>
          <w:rFonts w:eastAsia="Palatino Linotype" w:cs="Palatino Linotype"/>
          <w:color w:val="000000"/>
          <w:szCs w:val="24"/>
        </w:rPr>
        <w:t xml:space="preserve"> </w:t>
      </w:r>
      <w:r w:rsidR="00C02107">
        <w:rPr>
          <w:rFonts w:eastAsia="Palatino Linotype" w:cs="Palatino Linotype"/>
          <w:color w:val="000000"/>
          <w:szCs w:val="24"/>
        </w:rPr>
        <w:t>cuatro de octubre de d</w:t>
      </w:r>
      <w:r>
        <w:rPr>
          <w:rFonts w:eastAsia="Palatino Linotype" w:cs="Palatino Linotype"/>
          <w:color w:val="000000"/>
          <w:szCs w:val="24"/>
        </w:rPr>
        <w:t>os mil veintitrés</w:t>
      </w:r>
      <w:r w:rsidRPr="006922F5">
        <w:rPr>
          <w:rFonts w:eastAsia="Palatino Linotype" w:cs="Palatino Linotype"/>
          <w:color w:val="000000"/>
          <w:szCs w:val="24"/>
        </w:rPr>
        <w:t xml:space="preserve">, </w:t>
      </w:r>
      <w:r>
        <w:rPr>
          <w:rFonts w:eastAsia="Palatino Linotype" w:cs="Palatino Linotype"/>
          <w:color w:val="000000"/>
          <w:szCs w:val="24"/>
        </w:rPr>
        <w:t>la</w:t>
      </w:r>
      <w:r w:rsidRPr="006922F5">
        <w:rPr>
          <w:rFonts w:eastAsia="Palatino Linotype" w:cs="Palatino Linotype"/>
          <w:color w:val="000000"/>
          <w:szCs w:val="24"/>
        </w:rPr>
        <w:t xml:space="preserve"> Recurrente presentó mediante el Sistema de Acceso a la Información Mexiquense (SAIMEX), solicitud de información registrada con el número de expediente</w:t>
      </w:r>
      <w:r w:rsidRPr="006922F5">
        <w:rPr>
          <w:rFonts w:eastAsia="Palatino Linotype" w:cs="Palatino Linotype"/>
          <w:b/>
          <w:color w:val="000000"/>
          <w:szCs w:val="24"/>
        </w:rPr>
        <w:t xml:space="preserve"> </w:t>
      </w:r>
      <w:r w:rsidR="00C02107" w:rsidRPr="00C02107">
        <w:rPr>
          <w:rFonts w:eastAsia="Palatino Linotype" w:cs="Palatino Linotype"/>
          <w:b/>
          <w:bCs/>
          <w:color w:val="000000"/>
          <w:szCs w:val="24"/>
        </w:rPr>
        <w:t>00523/SEDUO/IP/2023</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B2AA7D9" w:rsidR="00A970D5" w:rsidRPr="006922F5" w:rsidRDefault="00BB2B73" w:rsidP="006922F5">
      <w:pPr>
        <w:pStyle w:val="Fundamentos"/>
      </w:pPr>
      <w:r>
        <w:t>«</w:t>
      </w:r>
      <w:r w:rsidR="00C02107" w:rsidRPr="00C02107">
        <w:t>Cursos, Talleres y Diplomados en materia de Ética e Integridad del C. Aarón Reynaldo Corral Nieto que haya tomado el servidor público.</w:t>
      </w:r>
      <w:r>
        <w:t>»</w:t>
      </w:r>
      <w:r w:rsidR="00A970D5" w:rsidRPr="006922F5">
        <w:t xml:space="preserve"> </w:t>
      </w:r>
      <w:r w:rsidR="00D7260C" w:rsidRPr="006922F5">
        <w:t>(</w:t>
      </w:r>
      <w:r w:rsidR="00A970D5" w:rsidRPr="006922F5">
        <w:t>Sic</w:t>
      </w:r>
      <w:r w:rsidR="00D7260C" w:rsidRPr="006922F5">
        <w:t>)</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7777777" w:rsidR="00A970D5" w:rsidRPr="006922F5"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6922F5" w:rsidRDefault="00F84E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75F5D096" w14:textId="49B9503C" w:rsidR="005E4FC6" w:rsidRPr="006922F5" w:rsidRDefault="005E4FC6" w:rsidP="005E4FC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que el día</w:t>
      </w:r>
      <w:r>
        <w:rPr>
          <w:rFonts w:eastAsia="Palatino Linotype" w:cs="Palatino Linotype"/>
          <w:color w:val="000000"/>
          <w:szCs w:val="24"/>
        </w:rPr>
        <w:t xml:space="preserve"> </w:t>
      </w:r>
      <w:r w:rsidR="00C02107">
        <w:rPr>
          <w:rFonts w:eastAsia="Palatino Linotype" w:cs="Palatino Linotype"/>
          <w:color w:val="000000"/>
          <w:szCs w:val="24"/>
        </w:rPr>
        <w:t xml:space="preserve">trece de abril </w:t>
      </w:r>
      <w:r>
        <w:rPr>
          <w:rFonts w:eastAsia="Palatino Linotype" w:cs="Palatino Linotype"/>
          <w:color w:val="000000"/>
          <w:szCs w:val="24"/>
        </w:rPr>
        <w:t>de dos mil veintitrés</w:t>
      </w:r>
      <w:r w:rsidRPr="006922F5">
        <w:rPr>
          <w:rFonts w:eastAsia="Palatino Linotype" w:cs="Palatino Linotype"/>
          <w:color w:val="000000"/>
          <w:szCs w:val="24"/>
        </w:rPr>
        <w:t>, el Sujeto Obligado dio respuesta a la solicitud de información manifestando lo siguiente:</w:t>
      </w:r>
    </w:p>
    <w:p w14:paraId="725001C6" w14:textId="77777777" w:rsidR="005E4FC6" w:rsidRPr="009279EC" w:rsidRDefault="005E4FC6" w:rsidP="005E4FC6">
      <w:pPr>
        <w:pBdr>
          <w:top w:val="nil"/>
          <w:left w:val="nil"/>
          <w:bottom w:val="nil"/>
          <w:right w:val="nil"/>
          <w:between w:val="nil"/>
        </w:pBdr>
        <w:contextualSpacing/>
        <w:rPr>
          <w:rFonts w:eastAsia="Palatino Linotype" w:cs="Palatino Linotype"/>
          <w:color w:val="000000"/>
          <w:sz w:val="21"/>
          <w:szCs w:val="21"/>
        </w:rPr>
      </w:pPr>
    </w:p>
    <w:p w14:paraId="146267D5" w14:textId="77777777" w:rsidR="00C02107" w:rsidRDefault="005E4FC6" w:rsidP="00C02107">
      <w:pPr>
        <w:pStyle w:val="Fundamentos"/>
        <w:jc w:val="right"/>
      </w:pPr>
      <w:r>
        <w:t>«</w:t>
      </w:r>
      <w:r w:rsidR="00C02107">
        <w:t>Folio de la solicitud: 00523/SEDUO/IP/2023</w:t>
      </w:r>
    </w:p>
    <w:p w14:paraId="54619563" w14:textId="77777777" w:rsidR="00C02107" w:rsidRDefault="00C02107" w:rsidP="00C02107">
      <w:pPr>
        <w:pStyle w:val="Fundamentos"/>
      </w:pPr>
    </w:p>
    <w:p w14:paraId="1E3625A8" w14:textId="77777777" w:rsidR="00C02107" w:rsidRDefault="00C02107" w:rsidP="00C02107">
      <w:pPr>
        <w:pStyle w:val="Fundamento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3EACDF0A" w14:textId="77777777" w:rsidR="00C02107" w:rsidRDefault="00C02107" w:rsidP="00C02107">
      <w:pPr>
        <w:pStyle w:val="Fundamentos"/>
      </w:pPr>
    </w:p>
    <w:p w14:paraId="1E4F5841" w14:textId="77777777" w:rsidR="00C02107" w:rsidRDefault="00C02107" w:rsidP="00C02107">
      <w:pPr>
        <w:pStyle w:val="Fundamentos"/>
      </w:pPr>
      <w:r>
        <w:t>Sobre el particular, sírvase encontrar en archivo adjunto copia del oficio número SEDUI-CI-1538/2023, de fecha 13 de octubre de 2023, mediante el cual se detalla lo referente a su solicitud.</w:t>
      </w:r>
    </w:p>
    <w:p w14:paraId="08F567F1" w14:textId="77777777" w:rsidR="00C02107" w:rsidRDefault="00C02107" w:rsidP="00C02107">
      <w:pPr>
        <w:pStyle w:val="Fundamentos"/>
      </w:pPr>
    </w:p>
    <w:p w14:paraId="64F96E42" w14:textId="77777777" w:rsidR="00C02107" w:rsidRDefault="00C02107" w:rsidP="00C02107">
      <w:pPr>
        <w:pStyle w:val="Fundamentos"/>
      </w:pPr>
      <w:r>
        <w:t>ATENTAMENTE</w:t>
      </w:r>
    </w:p>
    <w:p w14:paraId="60BD0C00" w14:textId="5007C01A" w:rsidR="005E4FC6" w:rsidRPr="00404754" w:rsidRDefault="00C02107" w:rsidP="00C02107">
      <w:pPr>
        <w:pStyle w:val="Fundamentos"/>
        <w:rPr>
          <w:lang w:val="es-MX"/>
        </w:rPr>
      </w:pPr>
      <w:r>
        <w:t xml:space="preserve">Lcda. </w:t>
      </w:r>
      <w:proofErr w:type="spellStart"/>
      <w:r>
        <w:t>Nandllely</w:t>
      </w:r>
      <w:proofErr w:type="spellEnd"/>
      <w:r>
        <w:t xml:space="preserve"> Karen Torres </w:t>
      </w:r>
      <w:proofErr w:type="spellStart"/>
      <w:r>
        <w:t>Torres</w:t>
      </w:r>
      <w:proofErr w:type="spellEnd"/>
      <w:r w:rsidR="005E4FC6">
        <w:rPr>
          <w:lang w:val="es-MX"/>
        </w:rPr>
        <w:t>»</w:t>
      </w:r>
      <w:r w:rsidR="005E4FC6" w:rsidRPr="00404754">
        <w:rPr>
          <w:lang w:val="es-MX"/>
        </w:rPr>
        <w:t xml:space="preserve"> (Sic)</w:t>
      </w:r>
    </w:p>
    <w:p w14:paraId="4F82426D" w14:textId="77777777" w:rsidR="005E4FC6" w:rsidRPr="009279EC" w:rsidRDefault="005E4FC6" w:rsidP="005E4FC6">
      <w:pPr>
        <w:pBdr>
          <w:top w:val="nil"/>
          <w:left w:val="nil"/>
          <w:bottom w:val="nil"/>
          <w:right w:val="nil"/>
          <w:between w:val="nil"/>
        </w:pBdr>
        <w:contextualSpacing/>
        <w:rPr>
          <w:rFonts w:eastAsia="Palatino Linotype" w:cs="Palatino Linotype"/>
          <w:color w:val="000000"/>
          <w:sz w:val="22"/>
          <w:lang w:val="es-MX"/>
        </w:rPr>
      </w:pPr>
    </w:p>
    <w:p w14:paraId="533B350D" w14:textId="33885BB2" w:rsidR="005E4FC6" w:rsidRPr="0037112D" w:rsidRDefault="005E4FC6" w:rsidP="005E4FC6">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Pr>
          <w:rFonts w:eastAsia="Palatino Linotype" w:cs="Palatino Linotype"/>
          <w:color w:val="000000"/>
          <w:szCs w:val="24"/>
        </w:rPr>
        <w:t>adjuntó a su respuesta el documento denominado</w:t>
      </w:r>
      <w:r w:rsidRPr="00AA6C98">
        <w:rPr>
          <w:rFonts w:eastAsia="Palatino Linotype" w:cs="Palatino Linotype"/>
          <w:bCs/>
          <w:color w:val="000000"/>
          <w:szCs w:val="24"/>
        </w:rPr>
        <w:t xml:space="preserve"> </w:t>
      </w:r>
      <w:r w:rsidR="00C02107">
        <w:rPr>
          <w:rFonts w:eastAsia="Palatino Linotype" w:cs="Palatino Linotype"/>
          <w:b/>
          <w:bCs/>
          <w:color w:val="000000"/>
          <w:szCs w:val="24"/>
        </w:rPr>
        <w:t>“</w:t>
      </w:r>
      <w:r w:rsidR="00C02107" w:rsidRPr="00C02107">
        <w:rPr>
          <w:rFonts w:eastAsia="Palatino Linotype" w:cs="Palatino Linotype"/>
          <w:b/>
          <w:bCs/>
          <w:color w:val="000000"/>
          <w:szCs w:val="24"/>
        </w:rPr>
        <w:t>R CA SOL 523-23.pdf</w:t>
      </w:r>
      <w:r w:rsidR="00C02107">
        <w:rPr>
          <w:rFonts w:eastAsia="Palatino Linotype" w:cs="Palatino Linotype"/>
          <w:b/>
          <w:bCs/>
          <w:color w:val="000000"/>
          <w:szCs w:val="24"/>
        </w:rPr>
        <w:t>”, “</w:t>
      </w:r>
      <w:r w:rsidR="00C02107" w:rsidRPr="00C02107">
        <w:rPr>
          <w:rFonts w:eastAsia="Palatino Linotype" w:cs="Palatino Linotype"/>
          <w:b/>
          <w:bCs/>
          <w:color w:val="000000"/>
          <w:szCs w:val="24"/>
        </w:rPr>
        <w:t>R ST SOL 523-23.pdf</w:t>
      </w:r>
      <w:r w:rsidR="00C02107">
        <w:rPr>
          <w:rFonts w:eastAsia="Palatino Linotype" w:cs="Palatino Linotype"/>
          <w:b/>
          <w:bCs/>
          <w:color w:val="000000"/>
          <w:szCs w:val="24"/>
        </w:rPr>
        <w:t>” y “</w:t>
      </w:r>
      <w:r w:rsidR="00C02107" w:rsidRPr="00C02107">
        <w:rPr>
          <w:rFonts w:eastAsia="Palatino Linotype" w:cs="Palatino Linotype"/>
          <w:b/>
          <w:bCs/>
          <w:color w:val="000000"/>
          <w:szCs w:val="24"/>
        </w:rPr>
        <w:t>UT SOL 523-23.pdf</w:t>
      </w:r>
      <w:r w:rsidR="00C02107">
        <w:rPr>
          <w:rFonts w:eastAsia="Palatino Linotype" w:cs="Palatino Linotype"/>
          <w:b/>
          <w:bCs/>
          <w:color w:val="000000"/>
          <w:szCs w:val="24"/>
        </w:rPr>
        <w:t>”</w:t>
      </w:r>
      <w:r w:rsidRPr="00AA6C98">
        <w:rPr>
          <w:rFonts w:eastAsia="Palatino Linotype" w:cs="Palatino Linotype"/>
          <w:bCs/>
          <w:color w:val="000000"/>
          <w:szCs w:val="24"/>
        </w:rPr>
        <w:t>,</w:t>
      </w:r>
      <w:r>
        <w:rPr>
          <w:rFonts w:eastAsia="Palatino Linotype" w:cs="Palatino Linotype"/>
          <w:color w:val="000000"/>
          <w:szCs w:val="24"/>
        </w:rPr>
        <w:t xml:space="preserve"> </w:t>
      </w:r>
      <w:r w:rsidR="00C02107">
        <w:rPr>
          <w:rFonts w:eastAsia="Palatino Linotype" w:cs="Palatino Linotype"/>
          <w:color w:val="000000"/>
          <w:szCs w:val="24"/>
        </w:rPr>
        <w:t xml:space="preserve">los cuales no se </w:t>
      </w:r>
      <w:r>
        <w:rPr>
          <w:rFonts w:eastAsia="Palatino Linotype" w:cs="Palatino Linotype"/>
          <w:color w:val="000000"/>
          <w:szCs w:val="24"/>
        </w:rPr>
        <w:t>reproduce</w:t>
      </w:r>
      <w:r w:rsidR="00C02107">
        <w:rPr>
          <w:rFonts w:eastAsia="Palatino Linotype" w:cs="Palatino Linotype"/>
          <w:color w:val="000000"/>
          <w:szCs w:val="24"/>
        </w:rPr>
        <w:t>n</w:t>
      </w:r>
      <w:r>
        <w:rPr>
          <w:rFonts w:eastAsia="Palatino Linotype" w:cs="Palatino Linotype"/>
          <w:color w:val="000000"/>
          <w:szCs w:val="24"/>
        </w:rPr>
        <w:t xml:space="preserve"> por ser del conocimiento de las partes; no obstante, su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1753EE35" w14:textId="7C8CA51A" w:rsidR="005E11DB" w:rsidRPr="006922F5" w:rsidRDefault="005E11DB" w:rsidP="005E11DB">
      <w:pPr>
        <w:pBdr>
          <w:top w:val="nil"/>
          <w:left w:val="nil"/>
          <w:bottom w:val="nil"/>
          <w:right w:val="nil"/>
          <w:between w:val="nil"/>
        </w:pBdr>
        <w:contextualSpacing/>
        <w:rPr>
          <w:rFonts w:eastAsia="Palatino Linotype" w:cs="Palatino Linotype"/>
          <w:color w:val="000000"/>
        </w:rPr>
      </w:pPr>
      <w:r w:rsidRPr="200530F2">
        <w:rPr>
          <w:rFonts w:eastAsia="Palatino Linotype" w:cs="Palatino Linotype"/>
          <w:color w:val="000000" w:themeColor="text1"/>
        </w:rPr>
        <w:t xml:space="preserve">Inconforme con la respuesta, </w:t>
      </w:r>
      <w:r>
        <w:rPr>
          <w:rFonts w:eastAsia="Palatino Linotype" w:cs="Palatino Linotype"/>
          <w:color w:val="000000" w:themeColor="text1"/>
        </w:rPr>
        <w:t>la</w:t>
      </w:r>
      <w:r w:rsidRPr="200530F2">
        <w:rPr>
          <w:rFonts w:eastAsia="Palatino Linotype" w:cs="Palatino Linotype"/>
          <w:color w:val="000000" w:themeColor="text1"/>
        </w:rPr>
        <w:t xml:space="preserve"> Recurrente interpuso el presente recurso de revisión el día </w:t>
      </w:r>
      <w:r w:rsidR="00C02107">
        <w:rPr>
          <w:rFonts w:eastAsia="Palatino Linotype" w:cs="Palatino Linotype"/>
          <w:color w:val="000000" w:themeColor="text1"/>
        </w:rPr>
        <w:t xml:space="preserve">dieciséis de octubre </w:t>
      </w:r>
      <w:r w:rsidRPr="200530F2">
        <w:rPr>
          <w:rFonts w:eastAsia="Palatino Linotype" w:cs="Palatino Linotype"/>
          <w:color w:val="000000" w:themeColor="text1"/>
        </w:rPr>
        <w:t xml:space="preserve">de dos mil veintitrés, el cual se registró en el SAIMEX con el expediente número </w:t>
      </w:r>
      <w:r w:rsidR="00C02107">
        <w:rPr>
          <w:rFonts w:eastAsia="Palatino Linotype" w:cs="Palatino Linotype"/>
          <w:b/>
          <w:bCs/>
          <w:color w:val="000000" w:themeColor="text1"/>
        </w:rPr>
        <w:t>07085</w:t>
      </w:r>
      <w:r w:rsidRPr="200530F2">
        <w:rPr>
          <w:rFonts w:eastAsia="Palatino Linotype" w:cs="Palatino Linotype"/>
          <w:b/>
          <w:bCs/>
          <w:color w:val="000000" w:themeColor="text1"/>
        </w:rPr>
        <w:t>/INFOEM/IP/RR/2023</w:t>
      </w:r>
      <w:r w:rsidRPr="200530F2">
        <w:rPr>
          <w:rFonts w:eastAsia="Palatino Linotype" w:cs="Palatino Linotype"/>
          <w:color w:val="000000" w:themeColor="text1"/>
        </w:rPr>
        <w:t>, manifestando lo siguiente:</w:t>
      </w:r>
    </w:p>
    <w:p w14:paraId="7AA0C9F4" w14:textId="046134A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7ADFA5E" w:rsidR="00A970D5" w:rsidRPr="006922F5" w:rsidRDefault="00BB2B73" w:rsidP="006922F5">
      <w:pPr>
        <w:pStyle w:val="Fundamentos"/>
        <w:rPr>
          <w:b/>
        </w:rPr>
      </w:pPr>
      <w:r>
        <w:lastRenderedPageBreak/>
        <w:t>«</w:t>
      </w:r>
      <w:r w:rsidR="00C02107" w:rsidRPr="00C02107">
        <w:t xml:space="preserve">Si bien el Servidor Público del cual se solicita información, a través de la Unidad de Transparencia, señala que participó en un curso de la Secretaría de la Secretaría de la Contraloría del Gobierno del Estado de México, se solicita la evidencia del mismo, de igual forma, es el único curso que ha tomado en Materia de Ética e Integridad en todo el periodo que ha sido servidor público de nombre </w:t>
      </w:r>
      <w:proofErr w:type="spellStart"/>
      <w:r w:rsidR="00C02107" w:rsidRPr="00C02107">
        <w:t>Aaron</w:t>
      </w:r>
      <w:proofErr w:type="spellEnd"/>
      <w:r w:rsidR="00C02107" w:rsidRPr="00C02107">
        <w:t xml:space="preserve"> Reynaldo Corral Nieto.</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46137D8E" w:rsidR="00A970D5" w:rsidRPr="006922F5" w:rsidRDefault="00BB2B73" w:rsidP="006922F5">
      <w:pPr>
        <w:pStyle w:val="Fundamentos"/>
      </w:pPr>
      <w:r>
        <w:t>«</w:t>
      </w:r>
      <w:r w:rsidR="00C02107" w:rsidRPr="00C02107">
        <w:t>La información no muestra evidencia de la solicitud, por lo cual no se puede constatar que sea verídica.</w:t>
      </w:r>
      <w:r>
        <w:t>»</w:t>
      </w:r>
      <w:r w:rsidR="00A970D5" w:rsidRPr="006922F5">
        <w:t xml:space="preserve"> (Sic)</w:t>
      </w:r>
    </w:p>
    <w:p w14:paraId="06A7D20F" w14:textId="77777777" w:rsidR="00A978AF" w:rsidRPr="00572A63"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51E6431A"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155150">
        <w:rPr>
          <w:rFonts w:eastAsia="Palatino Linotype" w:cs="Palatino Linotype"/>
          <w:color w:val="000000"/>
          <w:szCs w:val="24"/>
        </w:rPr>
        <w:t xml:space="preserve">veinte de octubre de dos mil </w:t>
      </w:r>
      <w:proofErr w:type="spellStart"/>
      <w:r w:rsidR="00155150">
        <w:rPr>
          <w:rFonts w:eastAsia="Palatino Linotype" w:cs="Palatino Linotype"/>
          <w:color w:val="000000"/>
          <w:szCs w:val="24"/>
        </w:rPr>
        <w:t>vientitrés</w:t>
      </w:r>
      <w:proofErr w:type="spellEnd"/>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572A63"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212747E7" w14:textId="68DC1A20" w:rsidR="00AC265B" w:rsidRPr="00AC265B" w:rsidRDefault="00155150" w:rsidP="00AC265B">
      <w:pPr>
        <w:pBdr>
          <w:top w:val="nil"/>
          <w:left w:val="nil"/>
          <w:bottom w:val="nil"/>
          <w:right w:val="nil"/>
          <w:between w:val="nil"/>
        </w:pBdr>
        <w:contextualSpacing/>
        <w:rPr>
          <w:rFonts w:eastAsia="Palatino Linotype" w:cs="Palatino Linotype"/>
          <w:color w:val="000000"/>
          <w:szCs w:val="24"/>
        </w:rPr>
      </w:pPr>
      <w:r w:rsidRPr="00155150">
        <w:rPr>
          <w:rFonts w:eastAsia="Palatino Linotype" w:cs="Palatino Linotype"/>
          <w:color w:val="000000"/>
          <w:szCs w:val="24"/>
        </w:rPr>
        <w:t xml:space="preserve">Una vez abierta la etapa de instrucción, se observa que en fecha </w:t>
      </w:r>
      <w:r>
        <w:rPr>
          <w:rFonts w:eastAsia="Palatino Linotype" w:cs="Palatino Linotype"/>
          <w:color w:val="000000"/>
          <w:szCs w:val="24"/>
        </w:rPr>
        <w:t>veinticinco de octubre de</w:t>
      </w:r>
      <w:r w:rsidRPr="00155150">
        <w:rPr>
          <w:rFonts w:eastAsia="Palatino Linotype" w:cs="Palatino Linotype"/>
          <w:color w:val="000000"/>
          <w:szCs w:val="24"/>
        </w:rPr>
        <w:t xml:space="preserve"> dos mil veintitrés, el Sujeto Obligado rindió su Informe Justificado, consistente en los documentos denominados </w:t>
      </w:r>
      <w:r>
        <w:rPr>
          <w:rFonts w:eastAsia="Palatino Linotype" w:cs="Palatino Linotype"/>
          <w:color w:val="000000"/>
          <w:szCs w:val="24"/>
        </w:rPr>
        <w:t>“</w:t>
      </w:r>
      <w:r w:rsidRPr="00155150">
        <w:rPr>
          <w:rFonts w:eastAsia="Palatino Linotype" w:cs="Palatino Linotype"/>
          <w:color w:val="000000"/>
          <w:szCs w:val="24"/>
        </w:rPr>
        <w:t>RR ST SOL 523-23.pdf</w:t>
      </w:r>
      <w:r>
        <w:rPr>
          <w:rFonts w:eastAsia="Palatino Linotype" w:cs="Palatino Linotype"/>
          <w:color w:val="000000"/>
          <w:szCs w:val="24"/>
        </w:rPr>
        <w:t>”, “</w:t>
      </w:r>
      <w:r w:rsidRPr="00155150">
        <w:rPr>
          <w:rFonts w:eastAsia="Palatino Linotype" w:cs="Palatino Linotype"/>
          <w:color w:val="000000"/>
          <w:szCs w:val="24"/>
        </w:rPr>
        <w:t>INFORME JUSTIFICADO 523-23.pdf</w:t>
      </w:r>
      <w:r>
        <w:rPr>
          <w:rFonts w:eastAsia="Palatino Linotype" w:cs="Palatino Linotype"/>
          <w:color w:val="000000"/>
          <w:szCs w:val="24"/>
        </w:rPr>
        <w:t>”</w:t>
      </w:r>
      <w:r w:rsidRPr="00155150">
        <w:rPr>
          <w:rFonts w:eastAsia="Palatino Linotype" w:cs="Palatino Linotype"/>
          <w:color w:val="000000"/>
          <w:szCs w:val="24"/>
        </w:rPr>
        <w:t xml:space="preserve"> y </w:t>
      </w:r>
      <w:r>
        <w:rPr>
          <w:rFonts w:eastAsia="Palatino Linotype" w:cs="Palatino Linotype"/>
          <w:color w:val="000000"/>
          <w:szCs w:val="24"/>
        </w:rPr>
        <w:t>“</w:t>
      </w:r>
      <w:r w:rsidRPr="00155150">
        <w:rPr>
          <w:rFonts w:eastAsia="Palatino Linotype" w:cs="Palatino Linotype"/>
          <w:color w:val="000000"/>
          <w:szCs w:val="24"/>
        </w:rPr>
        <w:t>RR CA SOL 523-23.pdf</w:t>
      </w:r>
      <w:r>
        <w:rPr>
          <w:rFonts w:eastAsia="Palatino Linotype" w:cs="Palatino Linotype"/>
          <w:color w:val="000000"/>
          <w:szCs w:val="24"/>
        </w:rPr>
        <w:t>”</w:t>
      </w:r>
      <w:r w:rsidRPr="00155150">
        <w:rPr>
          <w:rFonts w:eastAsia="Palatino Linotype" w:cs="Palatino Linotype"/>
          <w:color w:val="000000"/>
          <w:szCs w:val="24"/>
        </w:rPr>
        <w:t xml:space="preserve">. Dichos documentos fueron puestos a la vista del Recurrente mediante acuerdo de fecha </w:t>
      </w:r>
      <w:r>
        <w:rPr>
          <w:rFonts w:eastAsia="Palatino Linotype" w:cs="Palatino Linotype"/>
          <w:color w:val="000000"/>
          <w:szCs w:val="24"/>
        </w:rPr>
        <w:t>cinco de diciembre</w:t>
      </w:r>
      <w:r w:rsidRPr="00155150">
        <w:rPr>
          <w:rFonts w:eastAsia="Palatino Linotype" w:cs="Palatino Linotype"/>
          <w:color w:val="000000"/>
          <w:szCs w:val="24"/>
        </w:rPr>
        <w:t xml:space="preserve"> del mismo año, en términos de la fracción III del artículo 185 de la Ley de Transparencia y Acceso a la Información Pública del Estado de México y Municipios, otorgando a la particular un término de tres </w:t>
      </w:r>
      <w:r w:rsidRPr="00155150">
        <w:rPr>
          <w:rFonts w:eastAsia="Palatino Linotype" w:cs="Palatino Linotype"/>
          <w:color w:val="000000"/>
          <w:szCs w:val="24"/>
        </w:rPr>
        <w:lastRenderedPageBreak/>
        <w:t>días para manifestar lo que a su derecho conviniera. Por otra parte, se observa que el Recurrente no emitió manifestaciones vertió alegatos o presentó pruebas que a su derecho conviniera, del mismo modo, no realizó pronunciamiento alguno respecto del Informe Justificado del Sujeto Obligado. El contenido del documento referido será motivo de análisis durante el estudio respectivo.</w:t>
      </w:r>
    </w:p>
    <w:p w14:paraId="5B536618" w14:textId="7ED50870" w:rsidR="00C02596" w:rsidRPr="00572A63" w:rsidRDefault="00C02596" w:rsidP="006922F5">
      <w:pPr>
        <w:pBdr>
          <w:top w:val="nil"/>
          <w:left w:val="nil"/>
          <w:bottom w:val="nil"/>
          <w:right w:val="nil"/>
          <w:between w:val="nil"/>
        </w:pBdr>
        <w:contextualSpacing/>
        <w:rPr>
          <w:rFonts w:eastAsia="Palatino Linotype" w:cs="Palatino Linotype"/>
          <w:color w:val="000000"/>
          <w:szCs w:val="24"/>
        </w:rPr>
      </w:pPr>
    </w:p>
    <w:p w14:paraId="478B1300" w14:textId="77777777" w:rsidR="00155150" w:rsidRPr="00705051" w:rsidRDefault="00E27953" w:rsidP="00155150">
      <w:pPr>
        <w:pStyle w:val="Ttulo2"/>
        <w:rPr>
          <w:rFonts w:eastAsiaTheme="minorHAnsi"/>
          <w:lang w:eastAsia="en-US"/>
        </w:rPr>
      </w:pPr>
      <w:r w:rsidRPr="006922F5">
        <w:rPr>
          <w:rFonts w:eastAsia="Palatino Linotype"/>
        </w:rPr>
        <w:t>S</w:t>
      </w:r>
      <w:r w:rsidR="00F84E47">
        <w:rPr>
          <w:rFonts w:eastAsia="Palatino Linotype"/>
        </w:rPr>
        <w:t>EXT</w:t>
      </w:r>
      <w:r w:rsidR="00AA6C98">
        <w:rPr>
          <w:rFonts w:eastAsia="Palatino Linotype"/>
        </w:rPr>
        <w:t>O</w:t>
      </w:r>
      <w:r w:rsidR="00A970D5" w:rsidRPr="006922F5">
        <w:rPr>
          <w:rFonts w:eastAsia="Palatino Linotype"/>
        </w:rPr>
        <w:t xml:space="preserve">. </w:t>
      </w:r>
      <w:r w:rsidR="00155150" w:rsidRPr="00705051">
        <w:rPr>
          <w:rFonts w:eastAsiaTheme="minorHAnsi"/>
          <w:lang w:eastAsia="en-US"/>
        </w:rPr>
        <w:t>De la ampliación del término para resolver.</w:t>
      </w:r>
    </w:p>
    <w:p w14:paraId="3D64D106" w14:textId="524ECB2F" w:rsidR="00155150" w:rsidRPr="006922F5" w:rsidRDefault="00155150" w:rsidP="00155150">
      <w:pPr>
        <w:rPr>
          <w:rFonts w:eastAsiaTheme="minorHAnsi" w:cstheme="minorBidi"/>
          <w:szCs w:val="24"/>
          <w:lang w:eastAsia="en-US"/>
        </w:rPr>
      </w:pPr>
      <w:r>
        <w:rPr>
          <w:rFonts w:eastAsiaTheme="minorHAnsi" w:cstheme="minorBidi"/>
          <w:szCs w:val="24"/>
          <w:lang w:eastAsia="en-US"/>
        </w:rPr>
        <w:t xml:space="preserve">El cinco de diciembre </w:t>
      </w:r>
      <w:r w:rsidRPr="006922F5">
        <w:rPr>
          <w:rFonts w:eastAsiaTheme="minorHAnsi" w:cstheme="minorBidi"/>
          <w:szCs w:val="24"/>
          <w:lang w:eastAsia="en-US"/>
        </w:rPr>
        <w:t>de dos mil veinti</w:t>
      </w:r>
      <w:r>
        <w:rPr>
          <w:rFonts w:eastAsiaTheme="minorHAnsi" w:cstheme="minorBidi"/>
          <w:szCs w:val="24"/>
          <w:lang w:eastAsia="en-US"/>
        </w:rPr>
        <w:t>trés</w:t>
      </w:r>
      <w:r w:rsidRPr="00705051">
        <w:rPr>
          <w:rFonts w:eastAsiaTheme="minorHAnsi" w:cstheme="minorBidi"/>
          <w:szCs w:val="24"/>
          <w:lang w:eastAsia="en-US"/>
        </w:rPr>
        <w:t xml:space="preserve"> se amplió el término para resolver el recurso de revisión en términos del artículo 181 párrafo tercero de la Ley de Transparencia y Acceso a la Información Pública del Estado de México y Municipios.</w:t>
      </w:r>
    </w:p>
    <w:p w14:paraId="5FB3ADD7" w14:textId="77777777" w:rsidR="00155150" w:rsidRDefault="00155150" w:rsidP="00155150">
      <w:pPr>
        <w:pBdr>
          <w:top w:val="nil"/>
          <w:left w:val="nil"/>
          <w:bottom w:val="nil"/>
          <w:right w:val="nil"/>
          <w:between w:val="nil"/>
        </w:pBdr>
        <w:contextualSpacing/>
        <w:rPr>
          <w:rFonts w:eastAsia="Palatino Linotype" w:cs="Palatino Linotype"/>
          <w:color w:val="000000"/>
          <w:szCs w:val="24"/>
        </w:rPr>
      </w:pPr>
    </w:p>
    <w:p w14:paraId="0B210912"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D65A39A"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t xml:space="preserve"> </w:t>
      </w:r>
    </w:p>
    <w:p w14:paraId="0F41F6EE" w14:textId="77777777" w:rsidR="00155150" w:rsidRPr="00711DC7" w:rsidRDefault="00155150" w:rsidP="00155150">
      <w:pPr>
        <w:pBdr>
          <w:top w:val="nil"/>
          <w:left w:val="nil"/>
          <w:bottom w:val="nil"/>
          <w:right w:val="nil"/>
          <w:between w:val="nil"/>
        </w:pBdr>
        <w:contextualSpacing/>
        <w:rPr>
          <w:rFonts w:eastAsiaTheme="minorEastAsia" w:cstheme="minorBidi"/>
          <w:lang w:val="es-ES" w:eastAsia="en-US"/>
        </w:rPr>
      </w:pPr>
      <w:r w:rsidRPr="42D6076D">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0AAD3D6"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lastRenderedPageBreak/>
        <w:t xml:space="preserve"> </w:t>
      </w:r>
    </w:p>
    <w:p w14:paraId="648DAE9A" w14:textId="77777777" w:rsidR="00155150" w:rsidRPr="00711DC7" w:rsidRDefault="00155150" w:rsidP="00155150">
      <w:pPr>
        <w:pBdr>
          <w:top w:val="nil"/>
          <w:left w:val="nil"/>
          <w:bottom w:val="nil"/>
          <w:right w:val="nil"/>
          <w:between w:val="nil"/>
        </w:pBdr>
        <w:contextualSpacing/>
        <w:rPr>
          <w:rFonts w:eastAsiaTheme="minorEastAsia" w:cstheme="minorBidi"/>
          <w:lang w:val="es-ES" w:eastAsia="en-US"/>
        </w:rPr>
      </w:pPr>
      <w:r w:rsidRPr="42D6076D">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A703F82"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t xml:space="preserve"> </w:t>
      </w:r>
    </w:p>
    <w:p w14:paraId="2F4137D8"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08163C"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t xml:space="preserve"> </w:t>
      </w:r>
    </w:p>
    <w:p w14:paraId="7549E18C"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2E5EAB7A"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p>
    <w:p w14:paraId="00E5254A" w14:textId="77777777" w:rsidR="00155150" w:rsidRPr="00CD3C51" w:rsidRDefault="00155150" w:rsidP="00155150">
      <w:pPr>
        <w:pStyle w:val="Prrafodelista"/>
        <w:numPr>
          <w:ilvl w:val="0"/>
          <w:numId w:val="34"/>
        </w:numPr>
        <w:pBdr>
          <w:top w:val="nil"/>
          <w:left w:val="nil"/>
          <w:bottom w:val="nil"/>
          <w:right w:val="nil"/>
          <w:between w:val="nil"/>
        </w:pBdr>
        <w:contextualSpacing/>
        <w:rPr>
          <w:rFonts w:eastAsiaTheme="minorHAnsi" w:cstheme="minorBidi"/>
          <w:lang w:eastAsia="en-US"/>
        </w:rPr>
      </w:pPr>
      <w:r w:rsidRPr="00CD3C51">
        <w:rPr>
          <w:rFonts w:eastAsiaTheme="minorHAnsi" w:cstheme="minorBidi"/>
          <w:lang w:eastAsia="en-US"/>
        </w:rPr>
        <w:t>Complejidad del asunto: La complejidad de la prueba, la pluralidad de sujetos procesales, el tiempo transcurrido, las características y contexto del recurso.</w:t>
      </w:r>
    </w:p>
    <w:p w14:paraId="71D443AC" w14:textId="77777777" w:rsidR="00155150" w:rsidRPr="00CD3C51" w:rsidRDefault="00155150" w:rsidP="00155150">
      <w:pPr>
        <w:pStyle w:val="Prrafodelista"/>
        <w:numPr>
          <w:ilvl w:val="0"/>
          <w:numId w:val="34"/>
        </w:numPr>
        <w:pBdr>
          <w:top w:val="nil"/>
          <w:left w:val="nil"/>
          <w:bottom w:val="nil"/>
          <w:right w:val="nil"/>
          <w:between w:val="nil"/>
        </w:pBdr>
        <w:contextualSpacing/>
        <w:rPr>
          <w:rFonts w:eastAsiaTheme="minorHAnsi" w:cstheme="minorBidi"/>
          <w:lang w:eastAsia="en-US"/>
        </w:rPr>
      </w:pPr>
      <w:r w:rsidRPr="00CD3C51">
        <w:rPr>
          <w:rFonts w:eastAsiaTheme="minorHAnsi" w:cstheme="minorBidi"/>
          <w:lang w:eastAsia="en-US"/>
        </w:rPr>
        <w:t>Actividad Procesal del interesado: Acciones u omisiones del interesado.</w:t>
      </w:r>
    </w:p>
    <w:p w14:paraId="77351BBD" w14:textId="77777777" w:rsidR="00155150" w:rsidRPr="00CD3C51" w:rsidRDefault="00155150" w:rsidP="00155150">
      <w:pPr>
        <w:pStyle w:val="Prrafodelista"/>
        <w:numPr>
          <w:ilvl w:val="0"/>
          <w:numId w:val="34"/>
        </w:numPr>
        <w:pBdr>
          <w:top w:val="nil"/>
          <w:left w:val="nil"/>
          <w:bottom w:val="nil"/>
          <w:right w:val="nil"/>
          <w:between w:val="nil"/>
        </w:pBdr>
        <w:contextualSpacing/>
        <w:rPr>
          <w:rFonts w:eastAsiaTheme="minorHAnsi" w:cstheme="minorBidi"/>
          <w:lang w:eastAsia="en-US"/>
        </w:rPr>
      </w:pPr>
      <w:r w:rsidRPr="00CD3C51">
        <w:rPr>
          <w:rFonts w:eastAsiaTheme="minorHAnsi" w:cstheme="minorBidi"/>
          <w:lang w:eastAsia="en-US"/>
        </w:rPr>
        <w:t>Conducta de la Autoridad: Las Acciones u omisiones realizadas en el procedimiento. Así como si la autoridad actuó con la debida diligencia.</w:t>
      </w:r>
    </w:p>
    <w:p w14:paraId="4B760996" w14:textId="77777777" w:rsidR="00155150" w:rsidRPr="00CD3C51" w:rsidRDefault="00155150" w:rsidP="00155150">
      <w:pPr>
        <w:pStyle w:val="Prrafodelista"/>
        <w:numPr>
          <w:ilvl w:val="0"/>
          <w:numId w:val="34"/>
        </w:numPr>
        <w:pBdr>
          <w:top w:val="nil"/>
          <w:left w:val="nil"/>
          <w:bottom w:val="nil"/>
          <w:right w:val="nil"/>
          <w:between w:val="nil"/>
        </w:pBdr>
        <w:contextualSpacing/>
        <w:rPr>
          <w:rFonts w:eastAsiaTheme="minorHAnsi" w:cstheme="minorBidi"/>
          <w:lang w:eastAsia="en-US"/>
        </w:rPr>
      </w:pPr>
      <w:r w:rsidRPr="00CD3C51">
        <w:rPr>
          <w:rFonts w:eastAsiaTheme="minorHAnsi" w:cstheme="minorBidi"/>
          <w:lang w:eastAsia="en-US"/>
        </w:rPr>
        <w:t>La afectación generada en la situación jurídica de la persona involucrada en el proceso: Violación a sus derechos humanos.</w:t>
      </w:r>
    </w:p>
    <w:p w14:paraId="0A5A96F0"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p>
    <w:p w14:paraId="505D27B0"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C8751D"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p>
    <w:p w14:paraId="45419BC6"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t>Argumento que encuentra sustento en la jurisprudencia P</w:t>
      </w:r>
      <w:proofErr w:type="gramStart"/>
      <w:r w:rsidRPr="00711DC7">
        <w:rPr>
          <w:rFonts w:eastAsiaTheme="minorHAnsi" w:cstheme="minorBidi"/>
          <w:szCs w:val="24"/>
          <w:lang w:eastAsia="en-US"/>
        </w:rPr>
        <w:t>./</w:t>
      </w:r>
      <w:proofErr w:type="gramEnd"/>
      <w:r w:rsidRPr="00711DC7">
        <w:rPr>
          <w:rFonts w:eastAsiaTheme="minorHAnsi" w:cstheme="minorBidi"/>
          <w:szCs w:val="24"/>
          <w:lang w:eastAsia="en-US"/>
        </w:rPr>
        <w:t xml:space="preserve">J. 32/92 emitida por el Pleno de la Suprema Corte de </w:t>
      </w:r>
      <w:r>
        <w:rPr>
          <w:rFonts w:eastAsiaTheme="minorHAnsi" w:cstheme="minorBidi"/>
          <w:szCs w:val="24"/>
          <w:lang w:eastAsia="en-US"/>
        </w:rPr>
        <w:t>Justicia de la Nación de rubro «</w:t>
      </w:r>
      <w:r w:rsidRPr="00711DC7">
        <w:rPr>
          <w:rFonts w:eastAsiaTheme="minorHAnsi" w:cstheme="minorBidi"/>
          <w:szCs w:val="24"/>
          <w:lang w:eastAsia="en-US"/>
        </w:rPr>
        <w:t xml:space="preserve">TÉRMINOS PROCESALES. PARA DETERMINAR SI UN FUNCIONARIO JUDICIAL ACTUÓ INDEBIDAMENTE POR NO RESPETARLOS SE DEBE ATENDER AL PRESUPUESTO QUE CONSIDERÓ EL LEGISLADOR AL FIJARLOS </w:t>
      </w:r>
      <w:r>
        <w:rPr>
          <w:rFonts w:eastAsiaTheme="minorHAnsi" w:cstheme="minorBidi"/>
          <w:szCs w:val="24"/>
          <w:lang w:eastAsia="en-US"/>
        </w:rPr>
        <w:t>Y LAS CARACTERÍSTICAS DEL CASO»</w:t>
      </w:r>
      <w:r w:rsidRPr="00711DC7">
        <w:rPr>
          <w:rFonts w:eastAsiaTheme="minorHAnsi" w:cstheme="minorBidi"/>
          <w:szCs w:val="24"/>
          <w:lang w:eastAsia="en-US"/>
        </w:rPr>
        <w:t>, visible en la Gaceta del Seminario Judicial de la Federación con el registro digital 205635.</w:t>
      </w:r>
    </w:p>
    <w:p w14:paraId="0101C44A"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p>
    <w:p w14:paraId="3BD3F7B1" w14:textId="77777777" w:rsidR="00155150" w:rsidRDefault="00155150" w:rsidP="00155150">
      <w:pPr>
        <w:pBdr>
          <w:top w:val="nil"/>
          <w:left w:val="nil"/>
          <w:bottom w:val="nil"/>
          <w:right w:val="nil"/>
          <w:between w:val="nil"/>
        </w:pBdr>
        <w:contextualSpacing/>
        <w:rPr>
          <w:rFonts w:eastAsiaTheme="minorEastAsia" w:cstheme="minorBidi"/>
          <w:lang w:val="es-ES" w:eastAsia="en-US"/>
        </w:rPr>
      </w:pPr>
      <w:r w:rsidRPr="42D6076D">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4DD20C9B" w14:textId="77777777" w:rsidR="00155150" w:rsidRDefault="00155150" w:rsidP="00155150">
      <w:pPr>
        <w:pBdr>
          <w:top w:val="nil"/>
          <w:left w:val="nil"/>
          <w:bottom w:val="nil"/>
          <w:right w:val="nil"/>
          <w:between w:val="nil"/>
        </w:pBdr>
        <w:contextualSpacing/>
        <w:rPr>
          <w:rFonts w:eastAsiaTheme="minorHAnsi" w:cstheme="minorBidi"/>
          <w:szCs w:val="24"/>
          <w:lang w:eastAsia="en-US"/>
        </w:rPr>
      </w:pPr>
    </w:p>
    <w:p w14:paraId="0E3A6A4E"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sidRPr="00711DC7">
        <w:rPr>
          <w:rFonts w:eastAsiaTheme="minorHAnsi" w:cstheme="minorBidi"/>
          <w:szCs w:val="24"/>
          <w:lang w:eastAsia="en-US"/>
        </w:rPr>
        <w:lastRenderedPageBreak/>
        <w:t>Al respecto, también son de considerar los criterios sostenidos por el Cuarto Tribunal Colegiado en Materia Administrativa del Primer Circuito, cuyos rubros y datos de identificación son los siguientes:</w:t>
      </w:r>
    </w:p>
    <w:p w14:paraId="720CFD90"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p>
    <w:p w14:paraId="7768653C"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Pr="00711DC7">
        <w:rPr>
          <w:rFonts w:eastAsiaTheme="minorHAnsi" w:cstheme="minorBidi"/>
          <w:szCs w:val="24"/>
          <w:lang w:eastAsia="en-US"/>
        </w:rPr>
        <w:t>PLAZO RAZONABLE PARA RESOLVER. DIMENSIÓN Y EFECTOS DE ESTE CONCEPTO CUANDO SE A</w:t>
      </w:r>
      <w:r>
        <w:rPr>
          <w:rFonts w:eastAsiaTheme="minorHAnsi" w:cstheme="minorBidi"/>
          <w:szCs w:val="24"/>
          <w:lang w:eastAsia="en-US"/>
        </w:rPr>
        <w:t>DUCE EXCESIVA CARGA DE TRABAJO»,</w:t>
      </w:r>
      <w:r w:rsidRPr="00711DC7">
        <w:rPr>
          <w:rFonts w:eastAsiaTheme="minorHAnsi" w:cstheme="minorBidi"/>
          <w:szCs w:val="24"/>
          <w:lang w:eastAsia="en-US"/>
        </w:rPr>
        <w:t xml:space="preserve"> consultable en el Seminario Judicial de la Federación y su gaceta, con el registro digital 2002351.</w:t>
      </w:r>
    </w:p>
    <w:p w14:paraId="7B00AC99"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p>
    <w:p w14:paraId="63EA68E2"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r>
        <w:rPr>
          <w:rFonts w:eastAsiaTheme="minorHAnsi" w:cstheme="minorBidi"/>
          <w:szCs w:val="24"/>
          <w:lang w:eastAsia="en-US"/>
        </w:rPr>
        <w:t>«</w:t>
      </w:r>
      <w:r w:rsidRPr="00711DC7">
        <w:rPr>
          <w:rFonts w:eastAsiaTheme="minorHAnsi" w:cstheme="minorBidi"/>
          <w:szCs w:val="24"/>
          <w:lang w:eastAsia="en-US"/>
        </w:rPr>
        <w:t>PLAZO RAZONABLE PARA RESOLVER. CONCEPTO Y ELEMENTOS QUE LO INTEGRAN A LA LUZ DEL DERECHO INTERNA</w:t>
      </w:r>
      <w:r>
        <w:rPr>
          <w:rFonts w:eastAsiaTheme="minorHAnsi" w:cstheme="minorBidi"/>
          <w:szCs w:val="24"/>
          <w:lang w:eastAsia="en-US"/>
        </w:rPr>
        <w:t>CIONAL DE LOS DERECHOS HUMANOS»</w:t>
      </w:r>
      <w:r w:rsidRPr="00711DC7">
        <w:rPr>
          <w:rFonts w:eastAsiaTheme="minorHAnsi" w:cstheme="minorBidi"/>
          <w:szCs w:val="24"/>
          <w:lang w:eastAsia="en-US"/>
        </w:rPr>
        <w:t>, visible en el Seminario Judicial de la Federación y su gaceta, con el registro digital 2002350.</w:t>
      </w:r>
    </w:p>
    <w:p w14:paraId="32C69752" w14:textId="77777777" w:rsidR="00155150" w:rsidRPr="00711DC7" w:rsidRDefault="00155150" w:rsidP="00155150">
      <w:pPr>
        <w:pBdr>
          <w:top w:val="nil"/>
          <w:left w:val="nil"/>
          <w:bottom w:val="nil"/>
          <w:right w:val="nil"/>
          <w:between w:val="nil"/>
        </w:pBdr>
        <w:contextualSpacing/>
        <w:rPr>
          <w:rFonts w:eastAsiaTheme="minorHAnsi" w:cstheme="minorBidi"/>
          <w:szCs w:val="24"/>
          <w:lang w:eastAsia="en-US"/>
        </w:rPr>
      </w:pPr>
    </w:p>
    <w:p w14:paraId="2456F4BD" w14:textId="07A7E9E0" w:rsidR="00A970D5" w:rsidRPr="00155150" w:rsidRDefault="00155150" w:rsidP="00155150">
      <w:pPr>
        <w:pStyle w:val="Ttulo2"/>
        <w:rPr>
          <w:rFonts w:eastAsia="Palatino Linotype" w:cs="Palatino Linotype"/>
          <w:b w:val="0"/>
          <w:color w:val="000000"/>
          <w:sz w:val="24"/>
          <w:szCs w:val="24"/>
        </w:rPr>
      </w:pPr>
      <w:r w:rsidRPr="00155150">
        <w:rPr>
          <w:rFonts w:eastAsiaTheme="minorHAnsi" w:cstheme="minorBidi"/>
          <w:b w:val="0"/>
          <w:sz w:val="24"/>
          <w:szCs w:val="24"/>
          <w:lang w:eastAsia="en-US"/>
        </w:rPr>
        <w:t>Por ello, este organismo garante comprometido con la tutela de los derechos humanos confiados señala que este exceso del plazo legal para resolver el presente asunto resulta de carácter excepcional.</w:t>
      </w:r>
    </w:p>
    <w:p w14:paraId="364CFBE5" w14:textId="77777777" w:rsidR="00A914F3" w:rsidRPr="00572A63" w:rsidRDefault="00A914F3" w:rsidP="006922F5">
      <w:pPr>
        <w:pBdr>
          <w:top w:val="nil"/>
          <w:left w:val="nil"/>
          <w:bottom w:val="nil"/>
          <w:right w:val="nil"/>
          <w:between w:val="nil"/>
        </w:pBdr>
        <w:contextualSpacing/>
        <w:rPr>
          <w:rFonts w:eastAsia="Palatino Linotype" w:cs="Palatino Linotype"/>
          <w:color w:val="000000"/>
          <w:szCs w:val="24"/>
        </w:rPr>
      </w:pPr>
    </w:p>
    <w:p w14:paraId="5A70E779" w14:textId="77777777" w:rsidR="00155150" w:rsidRPr="006922F5" w:rsidRDefault="00F84E47" w:rsidP="00155150">
      <w:pPr>
        <w:pStyle w:val="Ttulo2"/>
        <w:rPr>
          <w:rFonts w:eastAsia="Palatino Linotype"/>
        </w:rPr>
      </w:pPr>
      <w:r w:rsidRPr="00705051">
        <w:rPr>
          <w:rFonts w:eastAsiaTheme="minorHAnsi"/>
          <w:lang w:eastAsia="en-US"/>
        </w:rPr>
        <w:t>SÉPTIM</w:t>
      </w:r>
      <w:r w:rsidR="004C52E8" w:rsidRPr="00705051">
        <w:rPr>
          <w:rFonts w:eastAsiaTheme="minorHAnsi"/>
          <w:lang w:eastAsia="en-US"/>
        </w:rPr>
        <w:t>O</w:t>
      </w:r>
      <w:r w:rsidR="00A914F3" w:rsidRPr="00705051">
        <w:rPr>
          <w:rFonts w:eastAsiaTheme="minorHAnsi"/>
          <w:lang w:eastAsia="en-US"/>
        </w:rPr>
        <w:t xml:space="preserve">. </w:t>
      </w:r>
      <w:r w:rsidR="00155150" w:rsidRPr="006922F5">
        <w:rPr>
          <w:rFonts w:eastAsia="Palatino Linotype"/>
        </w:rPr>
        <w:t>Del cierre de instrucción.</w:t>
      </w:r>
    </w:p>
    <w:p w14:paraId="386CF8A1" w14:textId="25FE19AE" w:rsidR="00155150" w:rsidRPr="006922F5" w:rsidRDefault="00155150" w:rsidP="0015515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instrucción en fecha</w:t>
      </w:r>
      <w:r>
        <w:rPr>
          <w:rFonts w:eastAsia="Palatino Linotype" w:cs="Palatino Linotype"/>
          <w:color w:val="000000"/>
          <w:szCs w:val="24"/>
        </w:rPr>
        <w:t xml:space="preserve"> quince de diciembre de dos mil veintitrés</w:t>
      </w:r>
      <w:r w:rsidRPr="006922F5">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2A341854" w14:textId="23356E99" w:rsidR="00155150" w:rsidRDefault="00155150" w:rsidP="00155150">
      <w:pPr>
        <w:pStyle w:val="Ttulo2"/>
        <w:rPr>
          <w:rFonts w:eastAsia="Palatino Linotype" w:cs="Palatino Linotype"/>
          <w:color w:val="000000"/>
          <w:szCs w:val="24"/>
        </w:rPr>
      </w:pPr>
    </w:p>
    <w:p w14:paraId="09CD28FE" w14:textId="77777777" w:rsidR="00BB2B73" w:rsidRDefault="00BB2B73"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6D04F852" w14:textId="6911EB27" w:rsidR="00A970D5" w:rsidRPr="006922F5" w:rsidRDefault="000A0FC9" w:rsidP="006922F5">
      <w:pPr>
        <w:pStyle w:val="Ttulo2"/>
        <w:rPr>
          <w:rFonts w:eastAsia="Palatino Linotype"/>
        </w:rPr>
      </w:pPr>
      <w:r>
        <w:rPr>
          <w:rFonts w:eastAsia="Palatino Linotype"/>
        </w:rPr>
        <w:lastRenderedPageBreak/>
        <w:t>TERCERO</w:t>
      </w:r>
      <w:r w:rsidR="00A970D5" w:rsidRPr="006922F5">
        <w:rPr>
          <w:rFonts w:eastAsia="Palatino Linotype"/>
        </w:rPr>
        <w:t>. De las causas de improcedencia.</w:t>
      </w:r>
    </w:p>
    <w:p w14:paraId="72B75EC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6922F5" w:rsidRDefault="00A970D5"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lang w:val="es-ES"/>
        </w:rPr>
        <w:t xml:space="preserve">Por lo anterior, es una facultad legal entrar al estudio de las causas de improcedencia que hagan valer las partes o que se adviertan de oficio por este </w:t>
      </w:r>
      <w:proofErr w:type="spellStart"/>
      <w:r w:rsidRPr="42D6076D">
        <w:rPr>
          <w:rFonts w:eastAsia="Palatino Linotype" w:cs="Palatino Linotype"/>
          <w:color w:val="000000"/>
          <w:lang w:val="es-ES"/>
        </w:rPr>
        <w:t>Resolutor</w:t>
      </w:r>
      <w:proofErr w:type="spellEnd"/>
      <w:r w:rsidRPr="42D6076D">
        <w:rPr>
          <w:rFonts w:eastAsia="Palatino Linotype" w:cs="Palatino Linotype"/>
          <w:color w:val="000000"/>
          <w:lang w:val="es-ES"/>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42D6076D">
        <w:rPr>
          <w:rFonts w:eastAsia="Palatino Linotype" w:cs="Palatino Linotype"/>
          <w:color w:val="000000"/>
          <w:vertAlign w:val="superscript"/>
          <w:lang w:val="es-ES"/>
        </w:rPr>
        <w:footnoteReference w:id="2"/>
      </w:r>
      <w:r w:rsidRPr="42D6076D">
        <w:rPr>
          <w:rFonts w:eastAsia="Palatino Linotype" w:cs="Palatino Linotype"/>
          <w:color w:val="000000"/>
          <w:lang w:val="es-ES"/>
        </w:rPr>
        <w:t xml:space="preserve">, la cual permite dilucidar alguna </w:t>
      </w:r>
      <w:r w:rsidRPr="42D6076D">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76DBFCC9"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14593CC4" w:rsidR="00A970D5" w:rsidRPr="006922F5" w:rsidRDefault="00DA08EB" w:rsidP="006922F5">
      <w:pPr>
        <w:pStyle w:val="Ttulo2"/>
        <w:rPr>
          <w:rFonts w:eastAsia="Palatino Linotype"/>
        </w:rPr>
      </w:pPr>
      <w:r>
        <w:rPr>
          <w:rFonts w:eastAsia="Palatino Linotype"/>
        </w:rPr>
        <w:t>CUARTO</w:t>
      </w:r>
      <w:r w:rsidR="00A970D5" w:rsidRPr="006922F5">
        <w:rPr>
          <w:rFonts w:eastAsia="Palatino Linotype"/>
        </w:rPr>
        <w:t>. Estudio y resolución del asunto.</w:t>
      </w:r>
    </w:p>
    <w:p w14:paraId="172D5B7B"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7AF299A" w14:textId="6650B7BD" w:rsidR="007738FC" w:rsidRPr="001C4CBF" w:rsidRDefault="007738FC" w:rsidP="007738FC">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lastRenderedPageBreak/>
        <w:t xml:space="preserve">Por tanto, es conveniente recordar que </w:t>
      </w:r>
      <w:r w:rsidR="00155150">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 xml:space="preserve">que el Sujeto Obligado le proporcionara, </w:t>
      </w:r>
      <w:r w:rsidR="00155150">
        <w:rPr>
          <w:rFonts w:eastAsia="Palatino Linotype" w:cs="Palatino Linotype"/>
          <w:color w:val="000000"/>
          <w:szCs w:val="24"/>
        </w:rPr>
        <w:t>los c</w:t>
      </w:r>
      <w:r w:rsidR="00155150" w:rsidRPr="00155150">
        <w:rPr>
          <w:rFonts w:eastAsia="Palatino Linotype" w:cs="Palatino Linotype"/>
          <w:color w:val="000000"/>
          <w:szCs w:val="24"/>
        </w:rPr>
        <w:t xml:space="preserve">ursos, </w:t>
      </w:r>
      <w:r w:rsidR="00155150">
        <w:rPr>
          <w:rFonts w:eastAsia="Palatino Linotype" w:cs="Palatino Linotype"/>
          <w:color w:val="000000"/>
          <w:szCs w:val="24"/>
        </w:rPr>
        <w:t>t</w:t>
      </w:r>
      <w:r w:rsidR="00155150" w:rsidRPr="00155150">
        <w:rPr>
          <w:rFonts w:eastAsia="Palatino Linotype" w:cs="Palatino Linotype"/>
          <w:color w:val="000000"/>
          <w:szCs w:val="24"/>
        </w:rPr>
        <w:t xml:space="preserve">alleres y </w:t>
      </w:r>
      <w:r w:rsidR="00155150">
        <w:rPr>
          <w:rFonts w:eastAsia="Palatino Linotype" w:cs="Palatino Linotype"/>
          <w:color w:val="000000"/>
          <w:szCs w:val="24"/>
        </w:rPr>
        <w:t>d</w:t>
      </w:r>
      <w:r w:rsidR="00155150" w:rsidRPr="00155150">
        <w:rPr>
          <w:rFonts w:eastAsia="Palatino Linotype" w:cs="Palatino Linotype"/>
          <w:color w:val="000000"/>
          <w:szCs w:val="24"/>
        </w:rPr>
        <w:t>iplomados en materia de Ética e Integridad del C. Aarón Reynaldo Corral Nieto que haya tomado el servidor público.</w:t>
      </w:r>
    </w:p>
    <w:p w14:paraId="35DBC2AD" w14:textId="77777777" w:rsidR="007738FC" w:rsidRDefault="007738FC" w:rsidP="007738FC">
      <w:pPr>
        <w:pBdr>
          <w:top w:val="nil"/>
          <w:left w:val="nil"/>
          <w:bottom w:val="nil"/>
          <w:right w:val="nil"/>
          <w:between w:val="nil"/>
        </w:pBdr>
        <w:contextualSpacing/>
        <w:rPr>
          <w:rFonts w:eastAsia="Palatino Linotype" w:cs="Palatino Linotype"/>
          <w:color w:val="000000"/>
          <w:szCs w:val="24"/>
        </w:rPr>
      </w:pPr>
    </w:p>
    <w:p w14:paraId="4AC8367F" w14:textId="77777777" w:rsidR="007738FC" w:rsidRDefault="007738FC" w:rsidP="007738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Pr>
          <w:rFonts w:eastAsia="Palatino Linotype" w:cs="Palatino Linotype"/>
          <w:color w:val="000000"/>
          <w:szCs w:val="24"/>
        </w:rPr>
        <w:t>respondió mediante la entrega del siguiente documento:</w:t>
      </w:r>
    </w:p>
    <w:p w14:paraId="7DDF8332" w14:textId="77777777" w:rsidR="007738FC" w:rsidRDefault="007738FC" w:rsidP="007738FC">
      <w:pPr>
        <w:pBdr>
          <w:top w:val="nil"/>
          <w:left w:val="nil"/>
          <w:bottom w:val="nil"/>
          <w:right w:val="nil"/>
          <w:between w:val="nil"/>
        </w:pBdr>
        <w:contextualSpacing/>
        <w:rPr>
          <w:rFonts w:eastAsia="Palatino Linotype" w:cs="Palatino Linotype"/>
          <w:color w:val="000000"/>
          <w:szCs w:val="24"/>
        </w:rPr>
      </w:pPr>
    </w:p>
    <w:p w14:paraId="02B905EF" w14:textId="798B8161" w:rsidR="007738FC" w:rsidRDefault="00155150" w:rsidP="00155150">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155150">
        <w:rPr>
          <w:rFonts w:eastAsia="Palatino Linotype" w:cs="Palatino Linotype"/>
          <w:b/>
          <w:bCs/>
          <w:color w:val="000000"/>
        </w:rPr>
        <w:t>R CA SOL 523-23.pdf</w:t>
      </w:r>
      <w:r>
        <w:rPr>
          <w:rFonts w:eastAsia="Palatino Linotype" w:cs="Palatino Linotype"/>
          <w:b/>
          <w:bCs/>
          <w:color w:val="000000"/>
        </w:rPr>
        <w:t>:</w:t>
      </w:r>
      <w:r w:rsidR="007738FC">
        <w:rPr>
          <w:rFonts w:eastAsia="Palatino Linotype" w:cs="Palatino Linotype"/>
          <w:color w:val="000000"/>
        </w:rPr>
        <w:t xml:space="preserve"> </w:t>
      </w:r>
      <w:r w:rsidR="00530004">
        <w:rPr>
          <w:rFonts w:eastAsia="Palatino Linotype" w:cs="Palatino Linotype"/>
          <w:color w:val="000000"/>
        </w:rPr>
        <w:t xml:space="preserve">Contiene el oficio número 22400004000000S/1770/2023, de fecha 10 de octubre de 2023, </w:t>
      </w:r>
      <w:r w:rsidR="00830730">
        <w:rPr>
          <w:rFonts w:eastAsia="Palatino Linotype" w:cs="Palatino Linotype"/>
          <w:color w:val="000000"/>
        </w:rPr>
        <w:t>signado por el Coordinador Administrativo, mediante el cual refiere que una vez realizada una búsqueda en los archivos de dicha área, no se cuenta con información referente a cursos, talleres y diplomados en materia de ética e integridad del Servidor Público referido en la solicitud de información.</w:t>
      </w:r>
    </w:p>
    <w:p w14:paraId="700DB979" w14:textId="545C1005" w:rsidR="00C36EE1" w:rsidRDefault="00830730" w:rsidP="00830730">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830730">
        <w:rPr>
          <w:rFonts w:eastAsia="Palatino Linotype" w:cs="Palatino Linotype"/>
          <w:b/>
          <w:bCs/>
          <w:color w:val="000000"/>
        </w:rPr>
        <w:t>R ST SOL 523-23.pdf</w:t>
      </w:r>
      <w:r w:rsidR="00C36EE1">
        <w:rPr>
          <w:rFonts w:eastAsia="Palatino Linotype" w:cs="Palatino Linotype"/>
          <w:b/>
          <w:bCs/>
          <w:color w:val="000000"/>
        </w:rPr>
        <w:t>:</w:t>
      </w:r>
      <w:r w:rsidR="00C36EE1">
        <w:rPr>
          <w:rFonts w:eastAsia="Palatino Linotype" w:cs="Palatino Linotype"/>
          <w:color w:val="000000"/>
        </w:rPr>
        <w:t xml:space="preserve"> </w:t>
      </w:r>
      <w:r>
        <w:rPr>
          <w:rFonts w:eastAsia="Palatino Linotype" w:cs="Palatino Linotype"/>
          <w:color w:val="000000"/>
        </w:rPr>
        <w:t xml:space="preserve">Contiene el oficio número 22400003000000S/485/2023, de fecha 09 de octubre de 2023, signado por el Secretario Técnico, mediante el cual refiere que cuenta con registro que el Servidor Público participó en las capacitaciones disertadas por el personal de la Unidad de Ética y Prevención de la Corrupción de la Secretaría de la Contraloría del Gobierno del Estado de México (SECOGEM) tituladas: </w:t>
      </w:r>
      <w:r>
        <w:rPr>
          <w:rFonts w:eastAsia="Palatino Linotype" w:cs="Palatino Linotype"/>
          <w:i/>
          <w:color w:val="000000"/>
        </w:rPr>
        <w:t>“Ética Pública e Integridad en el Servicio Público y Cultural de la Legalidad</w:t>
      </w:r>
      <w:r w:rsidR="00151044">
        <w:rPr>
          <w:rFonts w:eastAsia="Palatino Linotype" w:cs="Palatino Linotype"/>
          <w:i/>
          <w:color w:val="000000"/>
        </w:rPr>
        <w:t>”</w:t>
      </w:r>
      <w:r>
        <w:rPr>
          <w:rFonts w:eastAsia="Palatino Linotype" w:cs="Palatino Linotype"/>
          <w:i/>
          <w:color w:val="000000"/>
        </w:rPr>
        <w:t xml:space="preserve"> </w:t>
      </w:r>
      <w:r w:rsidRPr="00151044">
        <w:rPr>
          <w:rFonts w:eastAsia="Palatino Linotype" w:cs="Palatino Linotype"/>
          <w:color w:val="000000"/>
        </w:rPr>
        <w:t>y</w:t>
      </w:r>
      <w:r>
        <w:rPr>
          <w:rFonts w:eastAsia="Palatino Linotype" w:cs="Palatino Linotype"/>
          <w:i/>
          <w:color w:val="000000"/>
        </w:rPr>
        <w:t xml:space="preserve"> </w:t>
      </w:r>
      <w:r w:rsidR="00151044">
        <w:rPr>
          <w:rFonts w:eastAsia="Palatino Linotype" w:cs="Palatino Linotype"/>
          <w:i/>
          <w:color w:val="000000"/>
        </w:rPr>
        <w:t>“</w:t>
      </w:r>
      <w:r>
        <w:rPr>
          <w:rFonts w:eastAsia="Palatino Linotype" w:cs="Palatino Linotype"/>
          <w:i/>
          <w:color w:val="000000"/>
        </w:rPr>
        <w:t>Principios Éticos</w:t>
      </w:r>
      <w:r w:rsidR="00151044">
        <w:rPr>
          <w:rFonts w:eastAsia="Palatino Linotype" w:cs="Palatino Linotype"/>
          <w:i/>
          <w:color w:val="000000"/>
        </w:rPr>
        <w:t>”</w:t>
      </w:r>
      <w:r>
        <w:rPr>
          <w:rFonts w:eastAsia="Palatino Linotype" w:cs="Palatino Linotype"/>
          <w:i/>
          <w:color w:val="000000"/>
        </w:rPr>
        <w:t xml:space="preserve">, </w:t>
      </w:r>
      <w:r w:rsidRPr="00151044">
        <w:rPr>
          <w:rFonts w:eastAsia="Palatino Linotype" w:cs="Palatino Linotype"/>
          <w:color w:val="000000"/>
        </w:rPr>
        <w:t xml:space="preserve">en fechas 11 de noviembre de 2022 y 29 de mayo </w:t>
      </w:r>
      <w:r w:rsidR="00151044">
        <w:rPr>
          <w:rFonts w:eastAsia="Palatino Linotype" w:cs="Palatino Linotype"/>
          <w:color w:val="000000"/>
        </w:rPr>
        <w:t>de 2023, respectivamente. Aunado a lo anterior, comenta que las personas servidoras públicas que participan en las capacitaciones proporcionadas por el personal de la SECOGEM, no tienen diploma, constancia o documento alguno que otorgue evidencia de la participación de los servidores públicos en la capacitación.</w:t>
      </w:r>
    </w:p>
    <w:p w14:paraId="357C4C3B" w14:textId="515B6D5C" w:rsidR="00C36EE1" w:rsidRDefault="00151044" w:rsidP="00151044">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151044">
        <w:rPr>
          <w:rFonts w:eastAsia="Palatino Linotype" w:cs="Palatino Linotype"/>
          <w:b/>
          <w:bCs/>
          <w:color w:val="000000"/>
        </w:rPr>
        <w:lastRenderedPageBreak/>
        <w:t>UT SOL 523-23.pdf</w:t>
      </w:r>
      <w:r w:rsidR="00C36EE1">
        <w:rPr>
          <w:rFonts w:eastAsia="Palatino Linotype" w:cs="Palatino Linotype"/>
          <w:b/>
          <w:bCs/>
          <w:color w:val="000000"/>
        </w:rPr>
        <w:t>:</w:t>
      </w:r>
      <w:r w:rsidR="00C36EE1">
        <w:rPr>
          <w:rFonts w:eastAsia="Palatino Linotype" w:cs="Palatino Linotype"/>
          <w:color w:val="000000"/>
        </w:rPr>
        <w:t xml:space="preserve"> </w:t>
      </w:r>
      <w:r>
        <w:rPr>
          <w:rFonts w:eastAsia="Palatino Linotype" w:cs="Palatino Linotype"/>
          <w:color w:val="000000"/>
        </w:rPr>
        <w:t>Consta del oficio número SEDUI-CI-1538/2023, de fecha 13 de octubre de 2023, remitido por la Titular de la Unidad de Transparencia, mediante el cual refiere que tanto el Coordinador Administrativo y el Secretario Técnico, remitieron respuesta a la solicitud de mérito</w:t>
      </w:r>
      <w:r w:rsidR="0090389B">
        <w:rPr>
          <w:rFonts w:eastAsia="Palatino Linotype" w:cs="Palatino Linotype"/>
          <w:color w:val="000000"/>
        </w:rPr>
        <w:t>, mediante los cuales se detalla lo referente a su solicitud.</w:t>
      </w:r>
    </w:p>
    <w:p w14:paraId="0F25638A" w14:textId="77777777" w:rsidR="007738FC" w:rsidRPr="000A4D40" w:rsidRDefault="007738FC" w:rsidP="007738FC">
      <w:pPr>
        <w:pBdr>
          <w:top w:val="nil"/>
          <w:left w:val="nil"/>
          <w:bottom w:val="nil"/>
          <w:right w:val="nil"/>
          <w:between w:val="nil"/>
        </w:pBdr>
        <w:contextualSpacing/>
        <w:rPr>
          <w:rFonts w:eastAsia="Palatino Linotype" w:cs="Palatino Linotype"/>
          <w:color w:val="000000"/>
        </w:rPr>
      </w:pPr>
    </w:p>
    <w:p w14:paraId="28686414" w14:textId="42C17924" w:rsidR="007738FC" w:rsidRPr="00207028" w:rsidRDefault="007738FC" w:rsidP="007738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sidR="0090389B">
        <w:rPr>
          <w:rFonts w:eastAsia="Palatino Linotype" w:cs="Palatino Linotype"/>
          <w:color w:val="000000"/>
          <w:szCs w:val="24"/>
        </w:rPr>
        <w:t>el</w:t>
      </w:r>
      <w:r w:rsidRPr="006922F5">
        <w:rPr>
          <w:rFonts w:eastAsia="Palatino Linotype" w:cs="Palatino Linotype"/>
          <w:color w:val="000000"/>
          <w:szCs w:val="24"/>
        </w:rPr>
        <w:t xml:space="preserve"> Recurrente consideró que su derecho a la información pública había sido conculcado, por lo que interpuso el recurso de revisión al rubro citado, señalando como acto impugnado </w:t>
      </w:r>
      <w:r>
        <w:rPr>
          <w:rFonts w:eastAsia="Palatino Linotype" w:cs="Palatino Linotype"/>
          <w:color w:val="000000"/>
          <w:szCs w:val="24"/>
        </w:rPr>
        <w:t xml:space="preserve">que </w:t>
      </w:r>
      <w:r w:rsidR="005E006B">
        <w:rPr>
          <w:rFonts w:eastAsia="Palatino Linotype" w:cs="Palatino Linotype"/>
          <w:color w:val="000000"/>
          <w:szCs w:val="24"/>
        </w:rPr>
        <w:t>s</w:t>
      </w:r>
      <w:r w:rsidR="005E006B" w:rsidRPr="005E006B">
        <w:rPr>
          <w:rFonts w:eastAsia="Palatino Linotype" w:cs="Palatino Linotype"/>
          <w:color w:val="000000"/>
          <w:szCs w:val="24"/>
        </w:rPr>
        <w:t>i bien el Servidor Público del cual se solicita información, a través de la Unidad de Transparencia, señala que participó en un curso de la Secretaría de la Secretaría de la Contraloría del Gobierno del Estado de México, se solicita la evidencia del mismo</w:t>
      </w:r>
      <w:r>
        <w:rPr>
          <w:rFonts w:eastAsia="Palatino Linotype" w:cs="Palatino Linotype"/>
          <w:color w:val="000000"/>
          <w:szCs w:val="24"/>
        </w:rPr>
        <w:t xml:space="preserve">; dando como razones o motivos de inconformidad que </w:t>
      </w:r>
      <w:r w:rsidR="005E006B">
        <w:rPr>
          <w:rFonts w:eastAsia="Palatino Linotype" w:cs="Palatino Linotype"/>
          <w:color w:val="000000"/>
          <w:szCs w:val="24"/>
        </w:rPr>
        <w:t>l</w:t>
      </w:r>
      <w:r w:rsidR="005E006B" w:rsidRPr="005E006B">
        <w:rPr>
          <w:rFonts w:eastAsia="Palatino Linotype" w:cs="Palatino Linotype"/>
          <w:color w:val="000000"/>
          <w:szCs w:val="24"/>
        </w:rPr>
        <w:t>a información no muestra evidencia de la solicitud, por lo cual no se puede constatar que sea verídica.</w:t>
      </w:r>
    </w:p>
    <w:p w14:paraId="47D40D8F" w14:textId="77777777" w:rsidR="007738FC" w:rsidRDefault="007738FC" w:rsidP="007738FC">
      <w:pPr>
        <w:pBdr>
          <w:top w:val="nil"/>
          <w:left w:val="nil"/>
          <w:bottom w:val="nil"/>
          <w:right w:val="nil"/>
          <w:between w:val="nil"/>
        </w:pBdr>
        <w:contextualSpacing/>
        <w:rPr>
          <w:rFonts w:eastAsia="Palatino Linotype" w:cs="Palatino Linotype"/>
          <w:color w:val="000000"/>
          <w:szCs w:val="24"/>
        </w:rPr>
      </w:pPr>
    </w:p>
    <w:p w14:paraId="1DA7241C" w14:textId="77777777" w:rsidR="004C74EA" w:rsidRDefault="005E006B" w:rsidP="004C74EA">
      <w:r>
        <w:t>Durante la etapa de instrucción, el Sujeto Obligado rindió su Informe Justificado mediante la entrega de los siguientes documentos:</w:t>
      </w:r>
    </w:p>
    <w:p w14:paraId="0082B407" w14:textId="77777777" w:rsidR="004C74EA" w:rsidRDefault="004C74EA" w:rsidP="004C74EA"/>
    <w:p w14:paraId="0958B775" w14:textId="55A8F841" w:rsidR="004C74EA" w:rsidRPr="004C74EA" w:rsidRDefault="005E006B" w:rsidP="004C74EA">
      <w:pPr>
        <w:pStyle w:val="Prrafodelista"/>
        <w:numPr>
          <w:ilvl w:val="0"/>
          <w:numId w:val="43"/>
        </w:numPr>
        <w:rPr>
          <w:rFonts w:eastAsia="Calibri" w:cs="Calibri"/>
        </w:rPr>
      </w:pPr>
      <w:r w:rsidRPr="004C74EA">
        <w:rPr>
          <w:rFonts w:eastAsia="Palatino Linotype" w:cs="Palatino Linotype"/>
          <w:b/>
          <w:bCs/>
          <w:color w:val="000000"/>
        </w:rPr>
        <w:t>RR ST SOL 523-23.pdf:</w:t>
      </w:r>
      <w:r w:rsidRPr="004C74EA">
        <w:rPr>
          <w:rFonts w:eastAsia="Palatino Linotype" w:cs="Palatino Linotype"/>
          <w:bCs/>
          <w:color w:val="000000"/>
        </w:rPr>
        <w:t xml:space="preserve"> Oficio 23000003000000S/505/2023, de fecha 19 de octubre de 2023, suscrito por el Secretario Técnico, por medio del cual se manifestó que como fue señalado en el oficio 2240000300000S/485/2023, se tiene que el Servidor público participó en las capacitaciones disertadas por el personal de la Unidad de Ética y Prevención de la Corrupción de la Secretaría de la Contraloría del Gobierno del Estado de México (SECOGEM), tituladas: </w:t>
      </w:r>
      <w:r w:rsidRPr="004C74EA">
        <w:rPr>
          <w:rFonts w:eastAsia="Palatino Linotype" w:cs="Palatino Linotype"/>
          <w:bCs/>
          <w:i/>
          <w:color w:val="000000"/>
        </w:rPr>
        <w:t xml:space="preserve">“Ética Pública e Integridad en el </w:t>
      </w:r>
      <w:r w:rsidRPr="004C74EA">
        <w:rPr>
          <w:rFonts w:eastAsia="Palatino Linotype" w:cs="Palatino Linotype"/>
          <w:bCs/>
          <w:i/>
          <w:color w:val="000000"/>
        </w:rPr>
        <w:lastRenderedPageBreak/>
        <w:t xml:space="preserve">Servicio Público” </w:t>
      </w:r>
      <w:r w:rsidRPr="004C74EA">
        <w:rPr>
          <w:rFonts w:eastAsia="Palatino Linotype" w:cs="Palatino Linotype"/>
          <w:bCs/>
          <w:color w:val="000000"/>
        </w:rPr>
        <w:t xml:space="preserve"> y </w:t>
      </w:r>
      <w:r w:rsidRPr="004C74EA">
        <w:rPr>
          <w:rFonts w:eastAsia="Palatino Linotype" w:cs="Palatino Linotype"/>
          <w:bCs/>
          <w:i/>
          <w:color w:val="000000"/>
        </w:rPr>
        <w:t>“Cultura de la Legalidad y Principios Éticos”</w:t>
      </w:r>
      <w:r w:rsidRPr="004C74EA">
        <w:rPr>
          <w:rFonts w:eastAsia="Palatino Linotype" w:cs="Palatino Linotype"/>
          <w:bCs/>
          <w:color w:val="000000"/>
        </w:rPr>
        <w:t xml:space="preserve">, </w:t>
      </w:r>
      <w:r w:rsidR="004875B2" w:rsidRPr="004C74EA">
        <w:rPr>
          <w:rFonts w:eastAsia="Palatino Linotype" w:cs="Palatino Linotype"/>
          <w:bCs/>
          <w:color w:val="000000"/>
        </w:rPr>
        <w:t>por lo que resulta evidente que fueron dos capacitaciones en las que participó el servidor público. Asimismo, reitera que las personas servidoras públicas participantes no obtienen diploma, constancia o documento de la participación</w:t>
      </w:r>
      <w:r w:rsidRPr="004C74EA">
        <w:rPr>
          <w:rFonts w:eastAsia="Palatino Linotype" w:cs="Palatino Linotype"/>
          <w:bCs/>
          <w:color w:val="000000"/>
        </w:rPr>
        <w:t>.</w:t>
      </w:r>
      <w:r w:rsidR="004875B2" w:rsidRPr="004C74EA">
        <w:rPr>
          <w:rFonts w:eastAsia="Palatino Linotype" w:cs="Palatino Linotype"/>
          <w:bCs/>
          <w:color w:val="000000"/>
        </w:rPr>
        <w:t xml:space="preserve"> Aunado a lo anterior tuvo a bie</w:t>
      </w:r>
      <w:r w:rsidR="00F11EFF" w:rsidRPr="004C74EA">
        <w:rPr>
          <w:rFonts w:eastAsia="Palatino Linotype" w:cs="Palatino Linotype"/>
          <w:bCs/>
          <w:color w:val="000000"/>
        </w:rPr>
        <w:t xml:space="preserve">n adjuntar capturas de pantalla de las capacitaciones donde participó el servidor público, donde se observa que el nombre del participante se encuentra registrado bajo el usuario </w:t>
      </w:r>
      <w:proofErr w:type="spellStart"/>
      <w:r w:rsidR="00F11EFF" w:rsidRPr="004C74EA">
        <w:rPr>
          <w:rFonts w:eastAsia="Palatino Linotype" w:cs="Palatino Linotype"/>
          <w:b/>
          <w:bCs/>
          <w:color w:val="000000"/>
        </w:rPr>
        <w:t>Aaron</w:t>
      </w:r>
      <w:proofErr w:type="spellEnd"/>
      <w:r w:rsidR="00F11EFF" w:rsidRPr="004C74EA">
        <w:rPr>
          <w:rFonts w:eastAsia="Palatino Linotype" w:cs="Palatino Linotype"/>
          <w:b/>
          <w:bCs/>
          <w:color w:val="000000"/>
        </w:rPr>
        <w:t xml:space="preserve"> Corral, </w:t>
      </w:r>
      <w:r w:rsidR="00F11EFF" w:rsidRPr="004C74EA">
        <w:rPr>
          <w:rFonts w:eastAsia="Palatino Linotype" w:cs="Palatino Linotype"/>
          <w:bCs/>
          <w:color w:val="000000"/>
        </w:rPr>
        <w:t>con lo que se deja evidencia de la participación en las capacitaciones antes señaladas.</w:t>
      </w:r>
      <w:r w:rsidRPr="004C74EA">
        <w:rPr>
          <w:rFonts w:eastAsia="Palatino Linotype" w:cs="Palatino Linotype"/>
          <w:bCs/>
          <w:color w:val="000000"/>
        </w:rPr>
        <w:t xml:space="preserve"> </w:t>
      </w:r>
    </w:p>
    <w:p w14:paraId="2D190CEE" w14:textId="3BDF024F" w:rsidR="007738FC" w:rsidRPr="00F65DA3" w:rsidRDefault="004C74EA" w:rsidP="004C74EA">
      <w:pPr>
        <w:pStyle w:val="Prrafodelista"/>
        <w:numPr>
          <w:ilvl w:val="0"/>
          <w:numId w:val="43"/>
        </w:numPr>
        <w:rPr>
          <w:rFonts w:eastAsia="Calibri" w:cs="Calibri"/>
        </w:rPr>
      </w:pPr>
      <w:r w:rsidRPr="004C74EA">
        <w:rPr>
          <w:b/>
        </w:rPr>
        <w:t>INFORME JUSTIFICADO 523-23.pdf</w:t>
      </w:r>
      <w:r>
        <w:rPr>
          <w:rFonts w:eastAsia="Palatino Linotype" w:cs="Palatino Linotype"/>
          <w:bCs/>
          <w:color w:val="000000"/>
        </w:rPr>
        <w:t xml:space="preserve">: </w:t>
      </w:r>
      <w:r w:rsidR="005E006B" w:rsidRPr="004C74EA">
        <w:rPr>
          <w:rFonts w:eastAsia="Palatino Linotype" w:cs="Palatino Linotype"/>
          <w:bCs/>
          <w:color w:val="000000"/>
        </w:rPr>
        <w:t xml:space="preserve">Oficio </w:t>
      </w:r>
      <w:r>
        <w:rPr>
          <w:rFonts w:eastAsia="Palatino Linotype" w:cs="Palatino Linotype"/>
          <w:bCs/>
          <w:color w:val="000000"/>
        </w:rPr>
        <w:t>SEDUI-CI-1610/2023,</w:t>
      </w:r>
      <w:r w:rsidR="005E006B" w:rsidRPr="004C74EA">
        <w:rPr>
          <w:rFonts w:eastAsia="Palatino Linotype" w:cs="Palatino Linotype"/>
          <w:bCs/>
          <w:color w:val="000000"/>
        </w:rPr>
        <w:t xml:space="preserve"> emitido por el </w:t>
      </w:r>
      <w:r>
        <w:rPr>
          <w:rFonts w:eastAsia="Palatino Linotype" w:cs="Palatino Linotype"/>
          <w:bCs/>
          <w:color w:val="000000"/>
        </w:rPr>
        <w:t>la Titular de la Unidad de Transparencia</w:t>
      </w:r>
      <w:r w:rsidR="005E006B" w:rsidRPr="004C74EA">
        <w:rPr>
          <w:rFonts w:eastAsia="Palatino Linotype" w:cs="Palatino Linotype"/>
          <w:bCs/>
          <w:color w:val="000000"/>
        </w:rPr>
        <w:t>, mediante el cua</w:t>
      </w:r>
      <w:r w:rsidR="00F65DA3">
        <w:rPr>
          <w:rFonts w:eastAsia="Palatino Linotype" w:cs="Palatino Linotype"/>
          <w:bCs/>
          <w:color w:val="000000"/>
        </w:rPr>
        <w:t>l medularmente refiere que  se adjuntan como medios de prueba, copia de los oficios signados por el Secretario Técnico y el Coordinador Administrativo, a efecto de acreditar lo esgrimido en dicho oficio, por lo que solicita tener por presentado el informe justificado, y se sobresea el recurso de revisión por resultar improcedente de conformidad a las manifestaciones vertidas, en relación con los documentos exhibidos como medios de prueba.</w:t>
      </w:r>
    </w:p>
    <w:p w14:paraId="7AEB9C7B" w14:textId="039710EA" w:rsidR="00F65DA3" w:rsidRPr="003B11E3" w:rsidRDefault="00F65DA3" w:rsidP="00F65DA3">
      <w:pPr>
        <w:pStyle w:val="Prrafodelista"/>
        <w:numPr>
          <w:ilvl w:val="0"/>
          <w:numId w:val="43"/>
        </w:numPr>
        <w:rPr>
          <w:rFonts w:eastAsia="Calibri" w:cs="Calibri"/>
          <w:b/>
        </w:rPr>
      </w:pPr>
      <w:r w:rsidRPr="003B11E3">
        <w:rPr>
          <w:rFonts w:eastAsia="Calibri" w:cs="Calibri"/>
          <w:b/>
        </w:rPr>
        <w:t xml:space="preserve">RR CA SOL 523-23.pdf: </w:t>
      </w:r>
      <w:r w:rsidRPr="003B11E3">
        <w:rPr>
          <w:rFonts w:eastAsia="Calibri" w:cs="Calibri"/>
        </w:rPr>
        <w:t>Oficio 23000004000000S/0004/2023, de fecha 18 de octubre de 2023, emitido por el Coordinador Administrativo, mediante el cual refiere que después de haber realizado una nueva búsqueda en los archivos de la Coordinación Administrativa, así como, en el expediente personal del servidor público referido en la solicitud, se comenta que no se tiene información o evidencia referente a cursos, talleres y diplomados en materia de ética e integridad.</w:t>
      </w:r>
    </w:p>
    <w:p w14:paraId="35695B46" w14:textId="2A36E9AC" w:rsidR="00C006C6" w:rsidRDefault="00C006C6" w:rsidP="006922F5">
      <w:pPr>
        <w:pBdr>
          <w:top w:val="nil"/>
          <w:left w:val="nil"/>
          <w:bottom w:val="nil"/>
          <w:right w:val="nil"/>
          <w:between w:val="nil"/>
        </w:pBdr>
        <w:contextualSpacing/>
        <w:rPr>
          <w:szCs w:val="24"/>
        </w:rPr>
      </w:pPr>
    </w:p>
    <w:p w14:paraId="61F1D8D5" w14:textId="77777777" w:rsidR="00076116" w:rsidRPr="006922F5" w:rsidRDefault="00076116" w:rsidP="0007611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 xml:space="preserve"> </w:t>
      </w:r>
      <w:r w:rsidRPr="006922F5">
        <w:rPr>
          <w:rFonts w:eastAsia="Palatino Linotype" w:cs="Palatino Linotype"/>
          <w:color w:val="000000"/>
          <w:szCs w:val="24"/>
        </w:rPr>
        <w:t>l</w:t>
      </w:r>
      <w:r>
        <w:rPr>
          <w:rFonts w:eastAsia="Palatino Linotype" w:cs="Palatino Linotype"/>
          <w:color w:val="000000"/>
          <w:szCs w:val="24"/>
        </w:rPr>
        <w:t>a</w:t>
      </w:r>
      <w:r w:rsidRPr="006922F5">
        <w:rPr>
          <w:rFonts w:eastAsia="Palatino Linotype" w:cs="Palatino Linotype"/>
          <w:color w:val="000000"/>
          <w:szCs w:val="24"/>
        </w:rPr>
        <w:t xml:space="preserve"> Recurrente, así como calificar los motivos de inconformidad del particular. </w:t>
      </w:r>
    </w:p>
    <w:p w14:paraId="16184A56" w14:textId="77777777" w:rsidR="00076116" w:rsidRDefault="00076116" w:rsidP="00076116">
      <w:pPr>
        <w:pBdr>
          <w:top w:val="nil"/>
          <w:left w:val="nil"/>
          <w:bottom w:val="nil"/>
          <w:right w:val="nil"/>
          <w:between w:val="nil"/>
        </w:pBdr>
        <w:contextualSpacing/>
        <w:rPr>
          <w:rFonts w:eastAsia="Palatino Linotype" w:cs="Palatino Linotype"/>
          <w:color w:val="000000"/>
          <w:szCs w:val="24"/>
        </w:rPr>
      </w:pPr>
    </w:p>
    <w:p w14:paraId="5AEEFB80" w14:textId="77777777" w:rsidR="00CA010D" w:rsidRDefault="00CA010D" w:rsidP="00CA010D">
      <w:pPr>
        <w:rPr>
          <w:rFonts w:cs="Arial"/>
          <w:noProof/>
          <w:color w:val="000000"/>
        </w:rPr>
      </w:pPr>
      <w:r>
        <w:rPr>
          <w:rFonts w:cs="Arial"/>
          <w:szCs w:val="24"/>
        </w:rPr>
        <w:t xml:space="preserve">Bajo este contexto, a efecto de identificar las unidades administrativas competentes se traen a colación los </w:t>
      </w:r>
      <w:r>
        <w:rPr>
          <w:rFonts w:cs="Arial"/>
          <w:noProof/>
          <w:color w:val="000000"/>
        </w:rPr>
        <w:t>artículos 24, fracción XII, y 92, fracción II de la Ley de Transparencia local, porciones normativas cuyo contenido literal es el siguiente:</w:t>
      </w:r>
    </w:p>
    <w:p w14:paraId="1D333ACA" w14:textId="77777777" w:rsidR="00CA010D" w:rsidRPr="009535E0" w:rsidRDefault="00CA010D" w:rsidP="00CA010D">
      <w:pPr>
        <w:tabs>
          <w:tab w:val="left" w:pos="709"/>
        </w:tabs>
        <w:spacing w:before="240"/>
        <w:ind w:left="851" w:right="851"/>
        <w:rPr>
          <w:i/>
        </w:rPr>
      </w:pPr>
      <w:r>
        <w:rPr>
          <w:i/>
        </w:rPr>
        <w:t>“</w:t>
      </w:r>
      <w:r w:rsidRPr="009535E0">
        <w:rPr>
          <w:i/>
        </w:rPr>
        <w:t>Artículo 24. Para el cumplimiento de los objetivos de esta Ley, los sujetos obligados deberán cumplir con las siguientes obligaciones, según corresponda, de acuerdo a su naturaleza:</w:t>
      </w:r>
    </w:p>
    <w:p w14:paraId="51631054" w14:textId="77777777" w:rsidR="00CA010D" w:rsidRPr="009535E0" w:rsidRDefault="00CA010D" w:rsidP="00CA010D">
      <w:pPr>
        <w:tabs>
          <w:tab w:val="left" w:pos="709"/>
        </w:tabs>
        <w:spacing w:before="240"/>
        <w:ind w:left="851" w:right="851"/>
        <w:rPr>
          <w:i/>
        </w:rPr>
      </w:pPr>
      <w:r w:rsidRPr="009535E0">
        <w:rPr>
          <w:i/>
        </w:rPr>
        <w:t>XII. Publicar y mantener actualizada la información relativa a las obligaciones generales de transparencia previstas en la presente Ley o determinadas así por el Instituto, y en general aquella que sea de interés público;</w:t>
      </w:r>
    </w:p>
    <w:p w14:paraId="60764227" w14:textId="77777777" w:rsidR="00CA010D" w:rsidRPr="00C231A5" w:rsidRDefault="00CA010D" w:rsidP="00CA010D">
      <w:pPr>
        <w:tabs>
          <w:tab w:val="left" w:pos="709"/>
        </w:tabs>
        <w:spacing w:before="240"/>
        <w:ind w:left="851" w:right="851"/>
        <w:rPr>
          <w:b/>
          <w:i/>
        </w:rPr>
      </w:pPr>
      <w:r w:rsidRPr="00C231A5">
        <w:rPr>
          <w:b/>
          <w:i/>
        </w:rPr>
        <w:t>(…)</w:t>
      </w:r>
    </w:p>
    <w:p w14:paraId="33D4B1A1" w14:textId="77777777" w:rsidR="00CA010D" w:rsidRPr="009535E0" w:rsidRDefault="00CA010D" w:rsidP="00CA010D">
      <w:pPr>
        <w:tabs>
          <w:tab w:val="left" w:pos="709"/>
        </w:tabs>
        <w:spacing w:before="240"/>
        <w:ind w:left="851" w:right="851"/>
        <w:rPr>
          <w:i/>
        </w:rPr>
      </w:pPr>
      <w:r w:rsidRPr="009535E0">
        <w:rPr>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488BA03" w14:textId="77777777" w:rsidR="00CA010D" w:rsidRDefault="00CA010D" w:rsidP="00CA010D">
      <w:pPr>
        <w:pStyle w:val="INFOEM"/>
      </w:pPr>
      <w:r>
        <w:t xml:space="preserve">II. Su estructura orgánica completa, en un formato que permita vincular cada parte de la estructura, las atribuciones y responsabilidades que le corresponden a cada servidor </w:t>
      </w:r>
      <w:r>
        <w:lastRenderedPageBreak/>
        <w:t xml:space="preserve">público, prestador de servicios profesionales o miembro de los sujetos obligados, de conformidad con las disposiciones jurídicas aplicables; </w:t>
      </w:r>
    </w:p>
    <w:p w14:paraId="57C42C42" w14:textId="2C54BD23" w:rsidR="00CA010D" w:rsidRPr="006922F5" w:rsidRDefault="00CA010D" w:rsidP="00CA010D">
      <w:pPr>
        <w:pStyle w:val="INFOEM"/>
        <w:rPr>
          <w:rFonts w:eastAsia="Palatino Linotype" w:cs="Palatino Linotype"/>
          <w:color w:val="000000"/>
          <w:szCs w:val="24"/>
        </w:rPr>
      </w:pPr>
      <w:r>
        <w:t xml:space="preserve"> (…)” </w:t>
      </w:r>
      <w:r>
        <w:rPr>
          <w:b/>
        </w:rPr>
        <w:t>[Sic]</w:t>
      </w:r>
    </w:p>
    <w:p w14:paraId="14F6B681" w14:textId="1A8EBD24" w:rsidR="00CA010D" w:rsidRDefault="00CA010D" w:rsidP="00076116">
      <w:pPr>
        <w:pBdr>
          <w:top w:val="nil"/>
          <w:left w:val="nil"/>
          <w:bottom w:val="nil"/>
          <w:right w:val="nil"/>
          <w:between w:val="nil"/>
        </w:pBdr>
        <w:contextualSpacing/>
        <w:rPr>
          <w:rFonts w:cs="Arial"/>
          <w:b/>
          <w:bCs/>
          <w:szCs w:val="24"/>
        </w:rPr>
      </w:pPr>
      <w:r>
        <w:rPr>
          <w:rFonts w:cs="Arial"/>
          <w:szCs w:val="24"/>
        </w:rPr>
        <w:t xml:space="preserve">Resulta oportuno traer a colación las siguientes imágenes ilustrativas correspondientes al organigrama del </w:t>
      </w:r>
      <w:r>
        <w:rPr>
          <w:rFonts w:cs="Arial"/>
          <w:b/>
          <w:bCs/>
          <w:szCs w:val="24"/>
        </w:rPr>
        <w:t>Sujeto Obligado:</w:t>
      </w:r>
    </w:p>
    <w:p w14:paraId="70FAD123" w14:textId="77777777" w:rsidR="00CA010D" w:rsidRDefault="00CA010D" w:rsidP="00076116">
      <w:pPr>
        <w:pBdr>
          <w:top w:val="nil"/>
          <w:left w:val="nil"/>
          <w:bottom w:val="nil"/>
          <w:right w:val="nil"/>
          <w:between w:val="nil"/>
        </w:pBdr>
        <w:contextualSpacing/>
        <w:rPr>
          <w:rFonts w:cs="Arial"/>
          <w:b/>
          <w:bCs/>
          <w:szCs w:val="24"/>
        </w:rPr>
      </w:pPr>
    </w:p>
    <w:p w14:paraId="73C464C5" w14:textId="258EF862" w:rsidR="00CA010D" w:rsidRDefault="00A02ADC" w:rsidP="00A02ADC">
      <w:pPr>
        <w:pBdr>
          <w:top w:val="nil"/>
          <w:left w:val="nil"/>
          <w:bottom w:val="nil"/>
          <w:right w:val="nil"/>
          <w:between w:val="nil"/>
        </w:pBdr>
        <w:contextualSpacing/>
        <w:jc w:val="center"/>
        <w:rPr>
          <w:rFonts w:cs="Arial"/>
          <w:b/>
          <w:bCs/>
          <w:szCs w:val="24"/>
        </w:rPr>
      </w:pPr>
      <w:r>
        <w:rPr>
          <w:rFonts w:cs="Arial"/>
          <w:b/>
          <w:bCs/>
          <w:noProof/>
          <w:szCs w:val="24"/>
          <w:lang w:val="es-MX"/>
        </w:rPr>
        <mc:AlternateContent>
          <mc:Choice Requires="wps">
            <w:drawing>
              <wp:anchor distT="0" distB="0" distL="114300" distR="114300" simplePos="0" relativeHeight="251659264" behindDoc="0" locked="0" layoutInCell="1" allowOverlap="1" wp14:anchorId="78DB9812" wp14:editId="22649807">
                <wp:simplePos x="0" y="0"/>
                <wp:positionH relativeFrom="column">
                  <wp:posOffset>1573530</wp:posOffset>
                </wp:positionH>
                <wp:positionV relativeFrom="paragraph">
                  <wp:posOffset>2092325</wp:posOffset>
                </wp:positionV>
                <wp:extent cx="838200" cy="419100"/>
                <wp:effectExtent l="19050" t="19050" r="19050" b="19050"/>
                <wp:wrapNone/>
                <wp:docPr id="2" name="Rectángulo 2"/>
                <wp:cNvGraphicFramePr/>
                <a:graphic xmlns:a="http://schemas.openxmlformats.org/drawingml/2006/main">
                  <a:graphicData uri="http://schemas.microsoft.com/office/word/2010/wordprocessingShape">
                    <wps:wsp>
                      <wps:cNvSpPr/>
                      <wps:spPr>
                        <a:xfrm>
                          <a:off x="0" y="0"/>
                          <a:ext cx="838200" cy="419100"/>
                        </a:xfrm>
                        <a:prstGeom prst="rect">
                          <a:avLst/>
                        </a:prstGeom>
                        <a:noFill/>
                        <a:ln w="28575">
                          <a:solidFill>
                            <a:srgbClr val="FF0000"/>
                          </a:solid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0B7A2" id="Rectángulo 2" o:spid="_x0000_s1026" style="position:absolute;margin-left:123.9pt;margin-top:164.75pt;width:66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" filled="f" strokecolor="red" strokeweight="2.25pt"/>
            </w:pict>
          </mc:Fallback>
        </mc:AlternateContent>
      </w:r>
      <w:r w:rsidRPr="00A02ADC">
        <w:rPr>
          <w:rFonts w:cs="Arial"/>
          <w:b/>
          <w:bCs/>
          <w:noProof/>
          <w:szCs w:val="24"/>
          <w:lang w:val="es-MX"/>
        </w:rPr>
        <w:drawing>
          <wp:inline distT="0" distB="0" distL="0" distR="0" wp14:anchorId="322F63DF" wp14:editId="5F173C4C">
            <wp:extent cx="3696216" cy="37152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6216" cy="3715268"/>
                    </a:xfrm>
                    <a:prstGeom prst="rect">
                      <a:avLst/>
                    </a:prstGeom>
                  </pic:spPr>
                </pic:pic>
              </a:graphicData>
            </a:graphic>
          </wp:inline>
        </w:drawing>
      </w:r>
    </w:p>
    <w:p w14:paraId="61361B5B" w14:textId="77777777" w:rsidR="00CA010D" w:rsidRDefault="00CA010D" w:rsidP="00076116">
      <w:pPr>
        <w:pBdr>
          <w:top w:val="nil"/>
          <w:left w:val="nil"/>
          <w:bottom w:val="nil"/>
          <w:right w:val="nil"/>
          <w:between w:val="nil"/>
        </w:pBdr>
        <w:contextualSpacing/>
        <w:rPr>
          <w:rFonts w:eastAsia="Palatino Linotype" w:cs="Palatino Linotype"/>
          <w:color w:val="000000"/>
          <w:szCs w:val="24"/>
        </w:rPr>
      </w:pPr>
    </w:p>
    <w:p w14:paraId="10F3B3A0" w14:textId="7A31A8A5" w:rsidR="00A02ADC" w:rsidRPr="003D3305" w:rsidRDefault="00A02ADC" w:rsidP="00A02ADC">
      <w:pPr>
        <w:autoSpaceDE w:val="0"/>
        <w:autoSpaceDN w:val="0"/>
        <w:adjustRightInd w:val="0"/>
        <w:spacing w:before="240"/>
        <w:rPr>
          <w:szCs w:val="24"/>
        </w:rPr>
      </w:pPr>
      <w:r w:rsidRPr="003D3305">
        <w:rPr>
          <w:szCs w:val="24"/>
        </w:rPr>
        <w:t xml:space="preserve">En este tenor, para delimitar las fronteras competenciales de las unidades administrativas en cita, resulta oportuno traer a colación </w:t>
      </w:r>
      <w:r>
        <w:rPr>
          <w:szCs w:val="24"/>
        </w:rPr>
        <w:t xml:space="preserve">el apartado </w:t>
      </w:r>
      <w:r w:rsidR="00A817CF" w:rsidRPr="00A817CF">
        <w:rPr>
          <w:b/>
          <w:szCs w:val="24"/>
        </w:rPr>
        <w:t>21900004000000S</w:t>
      </w:r>
      <w:r w:rsidR="000E5B95">
        <w:rPr>
          <w:b/>
          <w:szCs w:val="24"/>
        </w:rPr>
        <w:t xml:space="preserve">, y </w:t>
      </w:r>
      <w:r w:rsidR="000E5B95" w:rsidRPr="000E5B95">
        <w:rPr>
          <w:b/>
          <w:bCs/>
          <w:szCs w:val="24"/>
        </w:rPr>
        <w:lastRenderedPageBreak/>
        <w:t>21900004010000S</w:t>
      </w:r>
      <w:r>
        <w:rPr>
          <w:szCs w:val="24"/>
        </w:rPr>
        <w:t xml:space="preserve"> del Manual General de </w:t>
      </w:r>
      <w:r w:rsidR="00A817CF">
        <w:rPr>
          <w:szCs w:val="24"/>
        </w:rPr>
        <w:t>la Secretaría de Obra Pública</w:t>
      </w:r>
      <w:r>
        <w:rPr>
          <w:szCs w:val="24"/>
        </w:rPr>
        <w:t>, porciones normativas que disponen a la literalidad lo siguiente:</w:t>
      </w:r>
    </w:p>
    <w:p w14:paraId="703EB7F8" w14:textId="01B24770" w:rsidR="00A02ADC" w:rsidRPr="00F3236A" w:rsidRDefault="00A817CF" w:rsidP="00A817CF">
      <w:pPr>
        <w:pStyle w:val="Citas"/>
        <w:jc w:val="center"/>
        <w:rPr>
          <w:b/>
          <w:bCs/>
          <w:i w:val="0"/>
          <w:iCs/>
        </w:rPr>
      </w:pPr>
      <w:bookmarkStart w:id="1" w:name="_Hlk159515691"/>
      <w:r w:rsidRPr="00A817CF">
        <w:rPr>
          <w:b/>
          <w:bCs/>
          <w:i w:val="0"/>
          <w:iCs/>
          <w:sz w:val="24"/>
          <w:szCs w:val="24"/>
        </w:rPr>
        <w:t>MANUAL GENERAL DE ORGANIZACIÓN DE LA</w:t>
      </w:r>
      <w:r>
        <w:rPr>
          <w:b/>
          <w:bCs/>
          <w:i w:val="0"/>
          <w:iCs/>
          <w:sz w:val="24"/>
          <w:szCs w:val="24"/>
        </w:rPr>
        <w:t xml:space="preserve"> </w:t>
      </w:r>
      <w:r w:rsidRPr="00A817CF">
        <w:rPr>
          <w:b/>
          <w:bCs/>
          <w:i w:val="0"/>
          <w:iCs/>
          <w:sz w:val="24"/>
          <w:szCs w:val="24"/>
        </w:rPr>
        <w:t>SECRETARÍA DE OBRA PÚBLICA.</w:t>
      </w:r>
    </w:p>
    <w:p w14:paraId="7C432C3D" w14:textId="7EA46899" w:rsidR="00A02ADC" w:rsidRDefault="00A02ADC" w:rsidP="00A02ADC">
      <w:pPr>
        <w:pStyle w:val="Citas"/>
        <w:spacing w:line="276" w:lineRule="auto"/>
      </w:pPr>
      <w:r>
        <w:t>“</w:t>
      </w:r>
      <w:r w:rsidR="00A817CF" w:rsidRPr="00A817CF">
        <w:rPr>
          <w:b/>
        </w:rPr>
        <w:t>21900004000000S SECRETARÍA TÉCNICA</w:t>
      </w:r>
    </w:p>
    <w:p w14:paraId="2C74CACC" w14:textId="77777777" w:rsidR="00A817CF" w:rsidRPr="00A817CF" w:rsidRDefault="00A817CF" w:rsidP="00A817CF">
      <w:pPr>
        <w:pStyle w:val="Citas"/>
        <w:spacing w:line="276" w:lineRule="auto"/>
        <w:rPr>
          <w:b/>
        </w:rPr>
      </w:pPr>
      <w:r w:rsidRPr="00A817CF">
        <w:rPr>
          <w:b/>
        </w:rPr>
        <w:t>OBJETIVO:</w:t>
      </w:r>
    </w:p>
    <w:p w14:paraId="1548FA4F" w14:textId="13E81864" w:rsidR="00A817CF" w:rsidRPr="00A817CF" w:rsidRDefault="00A817CF" w:rsidP="00A817CF">
      <w:pPr>
        <w:pStyle w:val="Citas"/>
        <w:spacing w:line="276" w:lineRule="auto"/>
      </w:pPr>
      <w:r w:rsidRPr="00A817CF">
        <w:t xml:space="preserve">Llevar a cabo el registro y seguimiento de acuerdos de la o del titular de la Secretaría, así como </w:t>
      </w:r>
      <w:r w:rsidRPr="00A817CF">
        <w:rPr>
          <w:b/>
          <w:u w:val="single"/>
        </w:rPr>
        <w:t>coordinar la recopilación y análisis de la información generada por las demás unidades que integran la Secretaría de Obra Públic</w:t>
      </w:r>
      <w:r w:rsidRPr="00A817CF">
        <w:t>a; emitiendo los estudios y reportes que coadyuven</w:t>
      </w:r>
      <w:r>
        <w:t xml:space="preserve"> </w:t>
      </w:r>
      <w:r w:rsidRPr="00A817CF">
        <w:t>en la toma de decisiones; asimismo coordinar, supervisar y ejecutar los procesos de planeación, programación y evaluación.</w:t>
      </w:r>
    </w:p>
    <w:p w14:paraId="2BB75954" w14:textId="77777777" w:rsidR="00A817CF" w:rsidRPr="00A817CF" w:rsidRDefault="00A817CF" w:rsidP="00A817CF">
      <w:pPr>
        <w:pStyle w:val="Citas"/>
        <w:spacing w:line="276" w:lineRule="auto"/>
        <w:rPr>
          <w:b/>
        </w:rPr>
      </w:pPr>
      <w:r w:rsidRPr="00A817CF">
        <w:rPr>
          <w:b/>
        </w:rPr>
        <w:t>FUNCIONES:</w:t>
      </w:r>
    </w:p>
    <w:p w14:paraId="33EAC0EF" w14:textId="302ED2C5" w:rsidR="00A817CF" w:rsidRPr="00A817CF" w:rsidRDefault="00A817CF" w:rsidP="00A817CF">
      <w:pPr>
        <w:pStyle w:val="Citas"/>
        <w:spacing w:line="276" w:lineRule="auto"/>
      </w:pPr>
      <w:r>
        <w:t>-</w:t>
      </w:r>
      <w:r w:rsidRPr="00A817CF">
        <w:t>Elaborar documentos estratégicos, apoyándose de las unidades administrativas del sector, en materia de obra pública.</w:t>
      </w:r>
    </w:p>
    <w:p w14:paraId="088848C7" w14:textId="64E96109" w:rsidR="00A817CF" w:rsidRPr="00A817CF" w:rsidRDefault="00A817CF" w:rsidP="00A817CF">
      <w:pPr>
        <w:pStyle w:val="Citas"/>
        <w:spacing w:line="276" w:lineRule="auto"/>
      </w:pPr>
      <w:r>
        <w:t>-</w:t>
      </w:r>
      <w:r w:rsidRPr="00A817CF">
        <w:t>Elaborar informes de obras, acciones relevantes y de indicadores que impactan en el cumplimiento de las políticas y estrategias</w:t>
      </w:r>
      <w:r>
        <w:t xml:space="preserve"> </w:t>
      </w:r>
      <w:r w:rsidRPr="00A817CF">
        <w:t>consideradas en el Plan de Desarrollo del Estado de México.</w:t>
      </w:r>
    </w:p>
    <w:p w14:paraId="52356838" w14:textId="3B33E1AE" w:rsidR="00A817CF" w:rsidRPr="00A817CF" w:rsidRDefault="00A817CF" w:rsidP="00A817CF">
      <w:pPr>
        <w:pStyle w:val="Citas"/>
        <w:spacing w:line="276" w:lineRule="auto"/>
      </w:pPr>
      <w:r>
        <w:t>-</w:t>
      </w:r>
      <w:r w:rsidRPr="00A817CF">
        <w:t>Registrar los acuerdos derivados de reuniones de Gabinete y de los demás grupos de trabajo establecidos con dependencias</w:t>
      </w:r>
      <w:r>
        <w:t xml:space="preserve"> </w:t>
      </w:r>
      <w:r w:rsidRPr="00A817CF">
        <w:t>estatales, federales y municipales.</w:t>
      </w:r>
    </w:p>
    <w:p w14:paraId="65EC12C5" w14:textId="2F53CED0" w:rsidR="00A817CF" w:rsidRPr="00A817CF" w:rsidRDefault="00A817CF" w:rsidP="00A817CF">
      <w:pPr>
        <w:pStyle w:val="Citas"/>
        <w:spacing w:line="276" w:lineRule="auto"/>
      </w:pPr>
      <w:r>
        <w:t>-</w:t>
      </w:r>
      <w:r w:rsidRPr="00A817CF">
        <w:t>Proponer a la o al titular de la Secretaría la realización de reuniones o grupos de trabajo para abordar temas de interés sustantivo.</w:t>
      </w:r>
    </w:p>
    <w:p w14:paraId="02FC9869" w14:textId="5692C48D" w:rsidR="00A817CF" w:rsidRPr="00A817CF" w:rsidRDefault="00A817CF" w:rsidP="00A817CF">
      <w:pPr>
        <w:pStyle w:val="Citas"/>
        <w:spacing w:line="276" w:lineRule="auto"/>
      </w:pPr>
      <w:r>
        <w:t>-</w:t>
      </w:r>
      <w:r w:rsidRPr="00A817CF">
        <w:t>Coordinar la recopilación y análisis de la información generada por las unidades administrativas que integran la Secretaría de Obra</w:t>
      </w:r>
      <w:r>
        <w:t xml:space="preserve"> </w:t>
      </w:r>
      <w:r w:rsidRPr="00A817CF">
        <w:t>Pública, así como la emisión de estadísticas y reportes que coadyuven en la toma de decisiones.</w:t>
      </w:r>
    </w:p>
    <w:p w14:paraId="6B6F9A0F" w14:textId="34536DB0" w:rsidR="00A817CF" w:rsidRPr="00A817CF" w:rsidRDefault="00A817CF" w:rsidP="00A817CF">
      <w:pPr>
        <w:pStyle w:val="Citas"/>
        <w:spacing w:line="276" w:lineRule="auto"/>
      </w:pPr>
      <w:r>
        <w:lastRenderedPageBreak/>
        <w:t>-</w:t>
      </w:r>
      <w:r w:rsidRPr="00A817CF">
        <w:t>Brindar asesoría en los temas que así lo requiera la o el titular de la Secretaría, que coadyuve a la atención oportuna de los asuntos</w:t>
      </w:r>
      <w:r>
        <w:t xml:space="preserve"> </w:t>
      </w:r>
      <w:r w:rsidRPr="00A817CF">
        <w:t>de su competencia y a la adecuada toma de decisiones.</w:t>
      </w:r>
    </w:p>
    <w:p w14:paraId="58616528" w14:textId="48FE2257" w:rsidR="00A817CF" w:rsidRPr="00A817CF" w:rsidRDefault="00A817CF" w:rsidP="00A817CF">
      <w:pPr>
        <w:pStyle w:val="Citas"/>
        <w:spacing w:line="276" w:lineRule="auto"/>
      </w:pPr>
      <w:r>
        <w:t>-</w:t>
      </w:r>
      <w:r w:rsidRPr="00A817CF">
        <w:t>Coordinar que los proyectos y programas sectoriales de mediano plazo, regionales, especiales y los anuales que deban integrarse al</w:t>
      </w:r>
      <w:r>
        <w:t xml:space="preserve"> </w:t>
      </w:r>
      <w:r w:rsidRPr="00A817CF">
        <w:t>proyecto de presupuesto de la dependencia, se vinculen con el Plan de Desarrollo del Estado de México.</w:t>
      </w:r>
    </w:p>
    <w:p w14:paraId="72BB07FA" w14:textId="1045B56D" w:rsidR="00A817CF" w:rsidRPr="00A817CF" w:rsidRDefault="00A817CF" w:rsidP="00A817CF">
      <w:pPr>
        <w:pStyle w:val="Citas"/>
        <w:spacing w:line="276" w:lineRule="auto"/>
      </w:pPr>
      <w:r>
        <w:t>-</w:t>
      </w:r>
      <w:r w:rsidRPr="00A817CF">
        <w:t>Representar a la Secretaría de Obra Pública y recopilar la información necesaria para atender eficientemente los asuntos que</w:t>
      </w:r>
      <w:r>
        <w:t xml:space="preserve"> </w:t>
      </w:r>
      <w:r w:rsidRPr="00A817CF">
        <w:t>competan a la dependencia ante los órganos de gobierno de los organismos auxiliares, gabinetes y demás órganos colegiados,</w:t>
      </w:r>
      <w:r>
        <w:t xml:space="preserve"> </w:t>
      </w:r>
      <w:r w:rsidRPr="00A817CF">
        <w:t>grupos de trabajo y representaciones que le sean encomendadas por la o el titular de la Secretaría.</w:t>
      </w:r>
    </w:p>
    <w:p w14:paraId="2FABC2FA" w14:textId="440E1AC5" w:rsidR="00A817CF" w:rsidRPr="00A817CF" w:rsidRDefault="00A817CF" w:rsidP="00A817CF">
      <w:pPr>
        <w:pStyle w:val="Citas"/>
        <w:spacing w:line="276" w:lineRule="auto"/>
      </w:pPr>
      <w:r>
        <w:t>-</w:t>
      </w:r>
      <w:r w:rsidRPr="00A817CF">
        <w:t>Coadyuvar con la Secretaría Técnica del Gabinete, dependencias y organismos de la administración pública estatal en el seguimiento</w:t>
      </w:r>
      <w:r>
        <w:t xml:space="preserve"> </w:t>
      </w:r>
      <w:r w:rsidRPr="00A817CF">
        <w:t>de las instrucciones y asuntos oficiales de la o del titular del Ejecutivo Estatal, así como aquellos asuntos que sean encomendados</w:t>
      </w:r>
      <w:r>
        <w:t xml:space="preserve"> </w:t>
      </w:r>
      <w:r w:rsidRPr="00A817CF">
        <w:t>por la o el titular de la Secretaría.</w:t>
      </w:r>
    </w:p>
    <w:p w14:paraId="6E1D8A2B" w14:textId="6D5D41A2" w:rsidR="00A817CF" w:rsidRPr="00A817CF" w:rsidRDefault="00A817CF" w:rsidP="00A817CF">
      <w:pPr>
        <w:pStyle w:val="Citas"/>
        <w:spacing w:line="276" w:lineRule="auto"/>
      </w:pPr>
      <w:r>
        <w:t>-</w:t>
      </w:r>
      <w:r w:rsidRPr="00A817CF">
        <w:t>Coordinar y apoyar en la integración de los programas sectoriales, regionales y especiales que sean competencia de la dependencia,</w:t>
      </w:r>
      <w:r>
        <w:t xml:space="preserve"> </w:t>
      </w:r>
      <w:r w:rsidRPr="00A817CF">
        <w:t>así como en su reconducción y cumplimiento de los objetivos y estrategias institucionales.</w:t>
      </w:r>
    </w:p>
    <w:p w14:paraId="0B9D73DB" w14:textId="1FAAC6E0" w:rsidR="00A817CF" w:rsidRPr="00A817CF" w:rsidRDefault="00A817CF" w:rsidP="00A817CF">
      <w:pPr>
        <w:pStyle w:val="Citas"/>
        <w:spacing w:line="276" w:lineRule="auto"/>
      </w:pPr>
      <w:r>
        <w:t>-</w:t>
      </w:r>
      <w:r w:rsidRPr="00A817CF">
        <w:t>Vigilar y dar seguimiento a las instrucciones emanadas de los distintos Gabinetes de la administración pública, que le hayan sido</w:t>
      </w:r>
      <w:r>
        <w:t xml:space="preserve"> </w:t>
      </w:r>
      <w:r w:rsidRPr="00A817CF">
        <w:t>encomendados por la o el titular de la Secretaría.</w:t>
      </w:r>
    </w:p>
    <w:p w14:paraId="64BC53DF" w14:textId="7D4A5C8B" w:rsidR="00A817CF" w:rsidRPr="00A817CF" w:rsidRDefault="00A817CF" w:rsidP="00A817CF">
      <w:pPr>
        <w:pStyle w:val="Citas"/>
        <w:spacing w:line="276" w:lineRule="auto"/>
      </w:pPr>
      <w:r>
        <w:t>-</w:t>
      </w:r>
      <w:r w:rsidRPr="00A817CF">
        <w:t>Preparar la Glosa del Informe de Gobierno de la o del titular de la Secretaría, mediante la integración, interpelación y validación de la</w:t>
      </w:r>
      <w:r>
        <w:t xml:space="preserve"> </w:t>
      </w:r>
      <w:r w:rsidRPr="00A817CF">
        <w:t>información correspondiente al sector.</w:t>
      </w:r>
    </w:p>
    <w:p w14:paraId="40B1D726" w14:textId="77777777" w:rsidR="00A817CF" w:rsidRDefault="00A817CF" w:rsidP="00A817CF">
      <w:pPr>
        <w:pStyle w:val="Citas"/>
        <w:spacing w:line="276" w:lineRule="auto"/>
      </w:pPr>
      <w:r>
        <w:t>-</w:t>
      </w:r>
      <w:r w:rsidRPr="00A817CF">
        <w:t>Integrar, analizar y presentar la información del sector para su incorporación a los Informes de Gobierno, así como para la evaluación</w:t>
      </w:r>
      <w:r>
        <w:t xml:space="preserve"> </w:t>
      </w:r>
      <w:r w:rsidRPr="00A817CF">
        <w:t>del Plan de Desarrollo del Estado de México</w:t>
      </w:r>
    </w:p>
    <w:p w14:paraId="74142462" w14:textId="6F0289AF" w:rsidR="00A817CF" w:rsidRDefault="00A817CF" w:rsidP="00A817CF">
      <w:pPr>
        <w:pStyle w:val="Citas"/>
        <w:spacing w:line="276" w:lineRule="auto"/>
      </w:pPr>
      <w:r>
        <w:t>-Participar en la integración del presupuesto y el programa anual de la dependencia, así como en los proyectos de la Secretaría de Obra Pública.</w:t>
      </w:r>
    </w:p>
    <w:p w14:paraId="6DBB319D" w14:textId="29F7A2AC" w:rsidR="00A817CF" w:rsidRDefault="00A817CF" w:rsidP="00A817CF">
      <w:pPr>
        <w:pStyle w:val="Citas"/>
        <w:spacing w:line="276" w:lineRule="auto"/>
      </w:pPr>
      <w:r>
        <w:lastRenderedPageBreak/>
        <w:t>-Proporcionar los reportes e informes que le requiera la Secretaría de Finanzas u otras instancias sobre los programas de trabajo de la dependencia.</w:t>
      </w:r>
    </w:p>
    <w:p w14:paraId="4B60B2F1" w14:textId="28339E86" w:rsidR="00A817CF" w:rsidRDefault="00A817CF" w:rsidP="00A817CF">
      <w:pPr>
        <w:pStyle w:val="Citas"/>
        <w:spacing w:line="276" w:lineRule="auto"/>
      </w:pPr>
      <w:r>
        <w:t>-Vigilar que los programas sectoriales, regionales y especiales, competencia de la dependencia, se apeguen a la normatividad vigente en la materia y estén alineados al Plan de Desarrollo del Estado de México.</w:t>
      </w:r>
    </w:p>
    <w:p w14:paraId="57BDA49C" w14:textId="44178E4B" w:rsidR="00A817CF" w:rsidRDefault="00A817CF" w:rsidP="00A817CF">
      <w:pPr>
        <w:pStyle w:val="Citas"/>
        <w:spacing w:line="276" w:lineRule="auto"/>
      </w:pPr>
      <w:r>
        <w:t>-Verificar el cumplimiento del Programa Operativo Anual, de conformidad con las disposiciones vigentes en la materia.</w:t>
      </w:r>
    </w:p>
    <w:p w14:paraId="2160E571" w14:textId="5017F73A" w:rsidR="00A817CF" w:rsidRDefault="00A817CF" w:rsidP="00A817CF">
      <w:pPr>
        <w:pStyle w:val="Citas"/>
        <w:spacing w:line="276" w:lineRule="auto"/>
      </w:pPr>
      <w:r>
        <w:t>-Otorgar a la o al titular de la Secretaría el apoyo y asesoría que no esté encomendado a otras unidades administrativas.</w:t>
      </w:r>
    </w:p>
    <w:p w14:paraId="7634FB45" w14:textId="54EB2FED" w:rsidR="00A817CF" w:rsidRDefault="00A817CF" w:rsidP="00A817CF">
      <w:pPr>
        <w:pStyle w:val="Citas"/>
        <w:spacing w:line="276" w:lineRule="auto"/>
      </w:pPr>
      <w:r>
        <w:t>-Participar y/o coordinar con las unidades administrativas de la Secretaría de Obra Pública, para llevar a cabo la implementación y seguimiento de los Comités de los que sean parte en cumplimiento a sus atribuciones.</w:t>
      </w:r>
    </w:p>
    <w:p w14:paraId="76189171" w14:textId="70DF3344" w:rsidR="00A02ADC" w:rsidRPr="00A817CF" w:rsidRDefault="00A817CF" w:rsidP="00A817CF">
      <w:pPr>
        <w:pStyle w:val="Citas"/>
        <w:spacing w:line="276" w:lineRule="auto"/>
        <w:rPr>
          <w:b/>
          <w:bCs/>
        </w:rPr>
      </w:pPr>
      <w:r>
        <w:t>-Desarrollar las demás funciones inherentes al área de su competencia.</w:t>
      </w:r>
      <w:r w:rsidR="00A02ADC">
        <w:t>”</w:t>
      </w:r>
      <w:bookmarkEnd w:id="1"/>
    </w:p>
    <w:p w14:paraId="27908973" w14:textId="77777777" w:rsidR="00A02ADC" w:rsidRPr="003D3305" w:rsidRDefault="00A02ADC" w:rsidP="00A02ADC">
      <w:pPr>
        <w:pStyle w:val="Citas"/>
        <w:rPr>
          <w:b/>
          <w:bCs/>
        </w:rPr>
      </w:pPr>
      <w:r w:rsidRPr="003D3305">
        <w:t>(…)”</w:t>
      </w:r>
      <w:r>
        <w:t xml:space="preserve"> </w:t>
      </w:r>
      <w:r>
        <w:rPr>
          <w:b/>
          <w:bCs/>
        </w:rPr>
        <w:t>(Sic)</w:t>
      </w:r>
    </w:p>
    <w:p w14:paraId="4D6828D4" w14:textId="77777777" w:rsidR="00A352CF" w:rsidRPr="000E5B95" w:rsidRDefault="00A352CF" w:rsidP="000E5B95">
      <w:pPr>
        <w:pStyle w:val="Citas"/>
        <w:spacing w:line="276" w:lineRule="auto"/>
        <w:rPr>
          <w:b/>
          <w:bCs/>
          <w:i w:val="0"/>
          <w:sz w:val="24"/>
          <w:szCs w:val="24"/>
        </w:rPr>
      </w:pPr>
      <w:r w:rsidRPr="000E5B95">
        <w:rPr>
          <w:b/>
          <w:bCs/>
          <w:i w:val="0"/>
          <w:sz w:val="24"/>
          <w:szCs w:val="24"/>
        </w:rPr>
        <w:t>21900004010000S DIRECCIÓN DE INFORMACIÓN, PLANEACIÓN, PROGRAMACIÓN Y EVALUACIÓN</w:t>
      </w:r>
    </w:p>
    <w:p w14:paraId="2FF32BBA" w14:textId="77777777" w:rsidR="00A352CF" w:rsidRPr="000E5B95" w:rsidRDefault="00A352CF" w:rsidP="000E5B95">
      <w:pPr>
        <w:pStyle w:val="Citas"/>
        <w:spacing w:line="276" w:lineRule="auto"/>
        <w:rPr>
          <w:b/>
          <w:bCs/>
          <w:sz w:val="24"/>
          <w:szCs w:val="24"/>
        </w:rPr>
      </w:pPr>
      <w:r w:rsidRPr="000E5B95">
        <w:rPr>
          <w:b/>
          <w:bCs/>
          <w:sz w:val="24"/>
          <w:szCs w:val="24"/>
        </w:rPr>
        <w:t>OBJETIVO:</w:t>
      </w:r>
    </w:p>
    <w:p w14:paraId="5D29730E" w14:textId="46A6C998" w:rsidR="00A352CF" w:rsidRPr="000E5B95" w:rsidRDefault="00A352CF" w:rsidP="000E5B95">
      <w:pPr>
        <w:pStyle w:val="Citas"/>
        <w:spacing w:line="276" w:lineRule="auto"/>
        <w:rPr>
          <w:bCs/>
          <w:sz w:val="24"/>
          <w:szCs w:val="24"/>
        </w:rPr>
      </w:pPr>
      <w:r w:rsidRPr="000E5B95">
        <w:rPr>
          <w:bCs/>
          <w:sz w:val="24"/>
          <w:szCs w:val="24"/>
        </w:rPr>
        <w:t>Integrar la información de carácter sectorial, regional y especial, y generar los reportes de seguimiento de acuerdo a los lineamientos,</w:t>
      </w:r>
      <w:r w:rsidR="000E5B95" w:rsidRPr="000E5B95">
        <w:rPr>
          <w:bCs/>
          <w:sz w:val="24"/>
          <w:szCs w:val="24"/>
        </w:rPr>
        <w:t xml:space="preserve"> </w:t>
      </w:r>
      <w:r w:rsidRPr="000E5B95">
        <w:rPr>
          <w:bCs/>
          <w:sz w:val="24"/>
          <w:szCs w:val="24"/>
        </w:rPr>
        <w:t>criterios y metodología que emita la Secretaría de Finanzas, así como realizar las acciones de evaluación del desempeño de la Secretaría</w:t>
      </w:r>
      <w:r w:rsidR="000E5B95" w:rsidRPr="000E5B95">
        <w:rPr>
          <w:bCs/>
          <w:sz w:val="24"/>
          <w:szCs w:val="24"/>
        </w:rPr>
        <w:t xml:space="preserve"> </w:t>
      </w:r>
      <w:r w:rsidRPr="000E5B95">
        <w:rPr>
          <w:bCs/>
          <w:sz w:val="24"/>
          <w:szCs w:val="24"/>
        </w:rPr>
        <w:t>de Obra Pública.</w:t>
      </w:r>
    </w:p>
    <w:p w14:paraId="1A2FD37A" w14:textId="77777777" w:rsidR="00A352CF" w:rsidRPr="000E5B95" w:rsidRDefault="00A352CF" w:rsidP="000E5B95">
      <w:pPr>
        <w:pStyle w:val="Citas"/>
        <w:spacing w:line="276" w:lineRule="auto"/>
        <w:rPr>
          <w:b/>
          <w:bCs/>
          <w:sz w:val="24"/>
          <w:szCs w:val="24"/>
        </w:rPr>
      </w:pPr>
      <w:r w:rsidRPr="000E5B95">
        <w:rPr>
          <w:b/>
          <w:bCs/>
          <w:sz w:val="24"/>
          <w:szCs w:val="24"/>
        </w:rPr>
        <w:t>FUNCIONES:</w:t>
      </w:r>
    </w:p>
    <w:p w14:paraId="5E2F8DAC" w14:textId="71D14B94" w:rsidR="00A352CF" w:rsidRPr="000E5B95" w:rsidRDefault="000E5B95" w:rsidP="000E5B95">
      <w:pPr>
        <w:pStyle w:val="Citas"/>
        <w:spacing w:line="276" w:lineRule="auto"/>
        <w:rPr>
          <w:bCs/>
          <w:sz w:val="24"/>
          <w:szCs w:val="24"/>
        </w:rPr>
      </w:pPr>
      <w:r>
        <w:rPr>
          <w:bCs/>
          <w:sz w:val="24"/>
          <w:szCs w:val="24"/>
        </w:rPr>
        <w:t>-</w:t>
      </w:r>
      <w:r w:rsidR="00A352CF" w:rsidRPr="000E5B95">
        <w:rPr>
          <w:bCs/>
          <w:sz w:val="24"/>
          <w:szCs w:val="24"/>
        </w:rPr>
        <w:t>Proporcionar los reportes e informes que requiera la Secretaría de Finanzas u otras instancias sobre los programas y proyectos de</w:t>
      </w:r>
      <w:r>
        <w:rPr>
          <w:bCs/>
          <w:sz w:val="24"/>
          <w:szCs w:val="24"/>
        </w:rPr>
        <w:t xml:space="preserve"> </w:t>
      </w:r>
      <w:r w:rsidR="00A352CF" w:rsidRPr="000E5B95">
        <w:rPr>
          <w:bCs/>
          <w:sz w:val="24"/>
          <w:szCs w:val="24"/>
        </w:rPr>
        <w:t>trabajo de la dependencia.</w:t>
      </w:r>
    </w:p>
    <w:p w14:paraId="75785503" w14:textId="3516C1E3" w:rsidR="00A352CF" w:rsidRPr="000E5B95" w:rsidRDefault="000E5B95" w:rsidP="000E5B95">
      <w:pPr>
        <w:pStyle w:val="Citas"/>
        <w:spacing w:line="276" w:lineRule="auto"/>
        <w:rPr>
          <w:bCs/>
          <w:sz w:val="24"/>
          <w:szCs w:val="24"/>
        </w:rPr>
      </w:pPr>
      <w:r>
        <w:rPr>
          <w:bCs/>
          <w:sz w:val="24"/>
          <w:szCs w:val="24"/>
        </w:rPr>
        <w:lastRenderedPageBreak/>
        <w:t>-</w:t>
      </w:r>
      <w:r w:rsidR="00A352CF" w:rsidRPr="000E5B95">
        <w:rPr>
          <w:bCs/>
          <w:sz w:val="24"/>
          <w:szCs w:val="24"/>
        </w:rPr>
        <w:t>Enviar a las instancias correspondientes la información de las funciones y actividades relacionadas con la planeación, programación y</w:t>
      </w:r>
      <w:r>
        <w:rPr>
          <w:bCs/>
          <w:sz w:val="24"/>
          <w:szCs w:val="24"/>
        </w:rPr>
        <w:t xml:space="preserve"> </w:t>
      </w:r>
      <w:r w:rsidR="00A352CF" w:rsidRPr="000E5B95">
        <w:rPr>
          <w:bCs/>
          <w:sz w:val="24"/>
          <w:szCs w:val="24"/>
        </w:rPr>
        <w:t>evaluación de la Secretaría de Obra Pública, así como resguardar la documentación y las evidencias que la sustenten.</w:t>
      </w:r>
    </w:p>
    <w:p w14:paraId="6851B522" w14:textId="79703EF0" w:rsidR="00A352CF" w:rsidRPr="000E5B95" w:rsidRDefault="000E5B95" w:rsidP="000E5B95">
      <w:pPr>
        <w:pStyle w:val="Citas"/>
        <w:spacing w:line="276" w:lineRule="auto"/>
        <w:rPr>
          <w:bCs/>
          <w:sz w:val="24"/>
          <w:szCs w:val="24"/>
        </w:rPr>
      </w:pPr>
      <w:r>
        <w:rPr>
          <w:bCs/>
          <w:sz w:val="24"/>
          <w:szCs w:val="24"/>
        </w:rPr>
        <w:t>-</w:t>
      </w:r>
      <w:r w:rsidR="00A352CF" w:rsidRPr="000E5B95">
        <w:rPr>
          <w:bCs/>
          <w:sz w:val="24"/>
          <w:szCs w:val="24"/>
        </w:rPr>
        <w:t>Recopilar y analizar la información que generan las unidades administrativas de la Secretaría de Obra Pública, a fin de que sea</w:t>
      </w:r>
      <w:r w:rsidRPr="000E5B95">
        <w:rPr>
          <w:bCs/>
          <w:sz w:val="24"/>
          <w:szCs w:val="24"/>
        </w:rPr>
        <w:t xml:space="preserve"> </w:t>
      </w:r>
      <w:r w:rsidR="00A352CF" w:rsidRPr="000E5B95">
        <w:rPr>
          <w:bCs/>
          <w:sz w:val="24"/>
          <w:szCs w:val="24"/>
        </w:rPr>
        <w:t>utilizada en la integración y evaluación de programas, en la realización de reportes y en la elaboración de estadísticas.</w:t>
      </w:r>
    </w:p>
    <w:p w14:paraId="63582D6C" w14:textId="6FCA8E3D" w:rsidR="00A352CF" w:rsidRPr="000E5B95" w:rsidRDefault="000E5B95" w:rsidP="000E5B95">
      <w:pPr>
        <w:pStyle w:val="Citas"/>
        <w:spacing w:line="276" w:lineRule="auto"/>
        <w:rPr>
          <w:bCs/>
          <w:sz w:val="24"/>
          <w:szCs w:val="24"/>
        </w:rPr>
      </w:pPr>
      <w:r>
        <w:rPr>
          <w:bCs/>
          <w:sz w:val="24"/>
          <w:szCs w:val="24"/>
        </w:rPr>
        <w:t>-</w:t>
      </w:r>
      <w:r w:rsidR="00A352CF" w:rsidRPr="000E5B95">
        <w:rPr>
          <w:bCs/>
          <w:sz w:val="24"/>
          <w:szCs w:val="24"/>
        </w:rPr>
        <w:t>Participar en la integración del presupuesto basado en resultados de la Secretaría de Obra Pública, así como en las acciones de</w:t>
      </w:r>
      <w:r w:rsidRPr="000E5B95">
        <w:rPr>
          <w:bCs/>
          <w:sz w:val="24"/>
          <w:szCs w:val="24"/>
        </w:rPr>
        <w:t xml:space="preserve"> </w:t>
      </w:r>
      <w:r w:rsidR="00A352CF" w:rsidRPr="000E5B95">
        <w:rPr>
          <w:bCs/>
          <w:sz w:val="24"/>
          <w:szCs w:val="24"/>
        </w:rPr>
        <w:t>modificación o reconducción de los proyectos y programas anuales.</w:t>
      </w:r>
    </w:p>
    <w:p w14:paraId="7570EA81" w14:textId="74DF7E91" w:rsidR="00A352CF" w:rsidRPr="000E5B95" w:rsidRDefault="000E5B95" w:rsidP="000E5B95">
      <w:pPr>
        <w:pStyle w:val="Citas"/>
        <w:spacing w:line="276" w:lineRule="auto"/>
        <w:rPr>
          <w:bCs/>
          <w:sz w:val="24"/>
          <w:szCs w:val="24"/>
        </w:rPr>
      </w:pPr>
      <w:r>
        <w:rPr>
          <w:bCs/>
          <w:sz w:val="24"/>
          <w:szCs w:val="24"/>
        </w:rPr>
        <w:t>-</w:t>
      </w:r>
      <w:r w:rsidR="00A352CF" w:rsidRPr="000E5B95">
        <w:rPr>
          <w:bCs/>
          <w:sz w:val="24"/>
          <w:szCs w:val="24"/>
        </w:rPr>
        <w:t>Colaborar en la integración de programas sectoriales, regionales y especiales que sean competencia de la dependencia, cuidando la</w:t>
      </w:r>
      <w:r w:rsidRPr="000E5B95">
        <w:rPr>
          <w:bCs/>
          <w:sz w:val="24"/>
          <w:szCs w:val="24"/>
        </w:rPr>
        <w:t xml:space="preserve"> </w:t>
      </w:r>
      <w:r w:rsidR="00A352CF" w:rsidRPr="000E5B95">
        <w:rPr>
          <w:bCs/>
          <w:sz w:val="24"/>
          <w:szCs w:val="24"/>
        </w:rPr>
        <w:t>alineación con el Plan de Desarrollo del Estado de México.</w:t>
      </w:r>
    </w:p>
    <w:p w14:paraId="555C81A1" w14:textId="6F15A60F" w:rsidR="00A352CF" w:rsidRPr="000E5B95" w:rsidRDefault="000E5B95" w:rsidP="000E5B95">
      <w:pPr>
        <w:pStyle w:val="Citas"/>
        <w:spacing w:line="276" w:lineRule="auto"/>
        <w:rPr>
          <w:bCs/>
          <w:sz w:val="24"/>
          <w:szCs w:val="24"/>
        </w:rPr>
      </w:pPr>
      <w:r>
        <w:rPr>
          <w:bCs/>
          <w:sz w:val="24"/>
          <w:szCs w:val="24"/>
        </w:rPr>
        <w:t>-</w:t>
      </w:r>
      <w:r w:rsidR="00A352CF" w:rsidRPr="000E5B95">
        <w:rPr>
          <w:bCs/>
          <w:sz w:val="24"/>
          <w:szCs w:val="24"/>
        </w:rPr>
        <w:t>Vigilar y coordinar que las funciones y actividades en materia de planeación y evaluación de las diferentes unidades administrativas</w:t>
      </w:r>
      <w:r w:rsidRPr="000E5B95">
        <w:rPr>
          <w:bCs/>
          <w:sz w:val="24"/>
          <w:szCs w:val="24"/>
        </w:rPr>
        <w:t xml:space="preserve"> </w:t>
      </w:r>
      <w:r w:rsidR="00A352CF" w:rsidRPr="000E5B95">
        <w:rPr>
          <w:bCs/>
          <w:sz w:val="24"/>
          <w:szCs w:val="24"/>
        </w:rPr>
        <w:t>de la Secretaría de Obra Pública, se conduzcan conforme a lo dispuesto por la Ley de Planeación del Estado de México y Municipios,</w:t>
      </w:r>
      <w:r w:rsidRPr="000E5B95">
        <w:rPr>
          <w:bCs/>
          <w:sz w:val="24"/>
          <w:szCs w:val="24"/>
        </w:rPr>
        <w:t xml:space="preserve"> </w:t>
      </w:r>
      <w:r w:rsidR="00A352CF" w:rsidRPr="000E5B95">
        <w:rPr>
          <w:bCs/>
          <w:sz w:val="24"/>
          <w:szCs w:val="24"/>
        </w:rPr>
        <w:t>y su reglamento.</w:t>
      </w:r>
    </w:p>
    <w:p w14:paraId="0603B1DD" w14:textId="24196B97" w:rsidR="00A352CF" w:rsidRPr="000E5B95" w:rsidRDefault="000E5B95" w:rsidP="000E5B95">
      <w:pPr>
        <w:pStyle w:val="Citas"/>
        <w:spacing w:line="276" w:lineRule="auto"/>
        <w:rPr>
          <w:bCs/>
          <w:sz w:val="24"/>
          <w:szCs w:val="24"/>
        </w:rPr>
      </w:pPr>
      <w:r>
        <w:rPr>
          <w:bCs/>
          <w:sz w:val="24"/>
          <w:szCs w:val="24"/>
        </w:rPr>
        <w:t>-</w:t>
      </w:r>
      <w:r w:rsidR="00A352CF" w:rsidRPr="000E5B95">
        <w:rPr>
          <w:bCs/>
          <w:sz w:val="24"/>
          <w:szCs w:val="24"/>
        </w:rPr>
        <w:t>Notificar a la Secretaría de Finanzas y a la Secretaría de la Contraloría las desviaciones u omisiones detectadas en el cumplimiento</w:t>
      </w:r>
      <w:r w:rsidRPr="000E5B95">
        <w:rPr>
          <w:bCs/>
          <w:sz w:val="24"/>
          <w:szCs w:val="24"/>
        </w:rPr>
        <w:t xml:space="preserve"> </w:t>
      </w:r>
      <w:r w:rsidR="00A352CF" w:rsidRPr="000E5B95">
        <w:rPr>
          <w:bCs/>
          <w:sz w:val="24"/>
          <w:szCs w:val="24"/>
        </w:rPr>
        <w:t>de la Ley de Planeación del Estado de México y Municipios, y su reglamento.</w:t>
      </w:r>
    </w:p>
    <w:p w14:paraId="0D89D8A0" w14:textId="77777777" w:rsidR="000E5B95" w:rsidRDefault="000E5B95" w:rsidP="000E5B95">
      <w:pPr>
        <w:pStyle w:val="Citas"/>
        <w:spacing w:line="276" w:lineRule="auto"/>
        <w:rPr>
          <w:bCs/>
          <w:sz w:val="24"/>
          <w:szCs w:val="24"/>
        </w:rPr>
      </w:pPr>
      <w:r>
        <w:rPr>
          <w:bCs/>
          <w:sz w:val="24"/>
          <w:szCs w:val="24"/>
        </w:rPr>
        <w:t>-</w:t>
      </w:r>
      <w:r w:rsidR="00A352CF" w:rsidRPr="000E5B95">
        <w:rPr>
          <w:bCs/>
          <w:sz w:val="24"/>
          <w:szCs w:val="24"/>
        </w:rPr>
        <w:t>Vigilar y coordinar que los proyectos y programas sectoriales de mediano plazo, regionales, especiales y los anuales que deban</w:t>
      </w:r>
      <w:r w:rsidRPr="000E5B95">
        <w:rPr>
          <w:bCs/>
          <w:sz w:val="24"/>
          <w:szCs w:val="24"/>
        </w:rPr>
        <w:t xml:space="preserve"> </w:t>
      </w:r>
      <w:r w:rsidR="00A352CF" w:rsidRPr="000E5B95">
        <w:rPr>
          <w:bCs/>
          <w:sz w:val="24"/>
          <w:szCs w:val="24"/>
        </w:rPr>
        <w:t>integrarse al proyecto de presupuesto de la dependencia, se vinculen con el Plan de Desarrollo del Estado de México.</w:t>
      </w:r>
    </w:p>
    <w:p w14:paraId="2B4A5A03" w14:textId="7ACBFA43" w:rsidR="00A352CF" w:rsidRPr="00A352CF" w:rsidRDefault="000E5B95" w:rsidP="000E5B95">
      <w:pPr>
        <w:pStyle w:val="Citas"/>
        <w:spacing w:line="276" w:lineRule="auto"/>
        <w:rPr>
          <w:bCs/>
          <w:i w:val="0"/>
          <w:sz w:val="24"/>
          <w:szCs w:val="24"/>
        </w:rPr>
      </w:pPr>
      <w:r>
        <w:rPr>
          <w:bCs/>
          <w:sz w:val="24"/>
          <w:szCs w:val="24"/>
        </w:rPr>
        <w:t>-</w:t>
      </w:r>
      <w:r w:rsidR="00A352CF" w:rsidRPr="000E5B95">
        <w:rPr>
          <w:bCs/>
          <w:sz w:val="24"/>
          <w:szCs w:val="24"/>
        </w:rPr>
        <w:t>Desarrollar las demás funciones inherentes al área de su competencia.</w:t>
      </w:r>
    </w:p>
    <w:p w14:paraId="082905A9" w14:textId="77777777" w:rsidR="00A02ADC" w:rsidRDefault="00A02ADC" w:rsidP="00076116">
      <w:pPr>
        <w:pBdr>
          <w:top w:val="nil"/>
          <w:left w:val="nil"/>
          <w:bottom w:val="nil"/>
          <w:right w:val="nil"/>
          <w:between w:val="nil"/>
        </w:pBdr>
        <w:contextualSpacing/>
        <w:rPr>
          <w:rFonts w:eastAsia="Palatino Linotype" w:cs="Palatino Linotype"/>
          <w:color w:val="000000"/>
          <w:szCs w:val="24"/>
        </w:rPr>
      </w:pPr>
    </w:p>
    <w:p w14:paraId="3CE87F63" w14:textId="77777777" w:rsidR="00076116" w:rsidRPr="006922F5" w:rsidRDefault="00076116" w:rsidP="0007611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3E6BD102" w14:textId="77777777" w:rsidR="00076116" w:rsidRPr="006922F5" w:rsidRDefault="00076116" w:rsidP="00076116">
      <w:pPr>
        <w:pBdr>
          <w:top w:val="nil"/>
          <w:left w:val="nil"/>
          <w:bottom w:val="nil"/>
          <w:right w:val="nil"/>
          <w:between w:val="nil"/>
        </w:pBdr>
        <w:contextualSpacing/>
        <w:rPr>
          <w:rFonts w:eastAsia="Palatino Linotype" w:cs="Palatino Linotype"/>
          <w:color w:val="000000"/>
          <w:szCs w:val="24"/>
        </w:rPr>
      </w:pPr>
    </w:p>
    <w:p w14:paraId="493DFD9D" w14:textId="77777777" w:rsidR="00076116" w:rsidRPr="006922F5" w:rsidRDefault="00076116" w:rsidP="00076116">
      <w:pPr>
        <w:pStyle w:val="Fundamentos"/>
      </w:pPr>
      <w:r w:rsidRPr="006922F5">
        <w:rPr>
          <w:b/>
        </w:rPr>
        <w:t>Artículo 6o.</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6A37393D" w14:textId="77777777" w:rsidR="00076116" w:rsidRPr="006922F5" w:rsidRDefault="00076116" w:rsidP="00076116">
      <w:pPr>
        <w:pStyle w:val="Fundamentos"/>
      </w:pPr>
    </w:p>
    <w:p w14:paraId="639BC4C1" w14:textId="77777777" w:rsidR="00076116" w:rsidRPr="006922F5" w:rsidRDefault="00076116" w:rsidP="00076116">
      <w:pPr>
        <w:pStyle w:val="Fundamentos"/>
      </w:pPr>
      <w:r w:rsidRPr="006922F5">
        <w:t>Toda persona tiene derecho al libre acceso a información plural y oportuna, así como a buscar, recibir y difundir información e ideas de toda índole por cualquier medio de expresión.</w:t>
      </w:r>
    </w:p>
    <w:p w14:paraId="69D81A05" w14:textId="77777777" w:rsidR="00076116" w:rsidRPr="006922F5" w:rsidRDefault="00076116" w:rsidP="00076116">
      <w:pPr>
        <w:pStyle w:val="Fundamentos"/>
      </w:pPr>
    </w:p>
    <w:p w14:paraId="226B1FF7" w14:textId="77777777" w:rsidR="00076116" w:rsidRPr="006922F5" w:rsidRDefault="00076116" w:rsidP="00076116">
      <w:pPr>
        <w:pStyle w:val="Fundamentos"/>
      </w:pPr>
      <w:r w:rsidRPr="006922F5">
        <w:t>Para efectos de lo dispuesto en el presente artículo se observará lo siguiente:</w:t>
      </w:r>
    </w:p>
    <w:p w14:paraId="02B5FAA9" w14:textId="77777777" w:rsidR="00076116" w:rsidRPr="006922F5" w:rsidRDefault="00076116" w:rsidP="00076116">
      <w:pPr>
        <w:pStyle w:val="Fundamentos"/>
      </w:pPr>
    </w:p>
    <w:p w14:paraId="1A5DD427" w14:textId="77777777" w:rsidR="00076116" w:rsidRPr="006922F5" w:rsidRDefault="00076116" w:rsidP="00076116">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1CA09CD6" w14:textId="77777777" w:rsidR="00076116" w:rsidRPr="006922F5" w:rsidRDefault="00076116" w:rsidP="00076116">
      <w:pPr>
        <w:pStyle w:val="Fundamentos"/>
      </w:pPr>
    </w:p>
    <w:p w14:paraId="58AD7EDB" w14:textId="77777777" w:rsidR="00076116" w:rsidRPr="006922F5" w:rsidRDefault="00076116" w:rsidP="00076116">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12E86B7B" w14:textId="77777777" w:rsidR="00076116" w:rsidRPr="006922F5" w:rsidRDefault="00076116" w:rsidP="00076116">
      <w:pPr>
        <w:pStyle w:val="Fundamentos"/>
      </w:pPr>
      <w:r w:rsidRPr="006922F5">
        <w:t>II. La información que se refiere a la vida privada y los datos personales será protegida en los términos y con las excepciones que fijen las leyes.</w:t>
      </w:r>
    </w:p>
    <w:p w14:paraId="797011F1" w14:textId="77777777" w:rsidR="00076116" w:rsidRPr="006922F5" w:rsidRDefault="00076116" w:rsidP="00076116">
      <w:pPr>
        <w:pStyle w:val="Fundamentos"/>
      </w:pPr>
      <w:r w:rsidRPr="006922F5">
        <w:t>III. Toda persona, sin necesidad de acreditar interés alguno o justificar su utilización, tendrá acceso gratuito a la información pública, a sus datos personales o a la rectificación de éstos.</w:t>
      </w:r>
    </w:p>
    <w:p w14:paraId="5B6D3699" w14:textId="77777777" w:rsidR="00076116" w:rsidRPr="006922F5" w:rsidRDefault="00076116" w:rsidP="00076116">
      <w:pPr>
        <w:pStyle w:val="Fundamentos"/>
      </w:pPr>
      <w:r w:rsidRPr="006922F5">
        <w:lastRenderedPageBreak/>
        <w:t>IV.   Se establecerán mecanismos de acceso a la información y procedimientos de revisión expeditos que se sustanciarán ante los organismos autónomos especializados e imparciales que establece esta Constitución.</w:t>
      </w:r>
    </w:p>
    <w:p w14:paraId="07D46294" w14:textId="77777777" w:rsidR="00076116" w:rsidRPr="006922F5" w:rsidRDefault="00076116" w:rsidP="00076116">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79D676D1" w14:textId="77777777" w:rsidR="00076116" w:rsidRPr="006922F5" w:rsidRDefault="00076116" w:rsidP="00076116">
      <w:pPr>
        <w:pStyle w:val="Fundamentos"/>
      </w:pPr>
      <w:r w:rsidRPr="006922F5">
        <w:t>VI. Las leyes determinarán la manera en que los sujetos obligados deberán hacer pública la información relativa a los recursos públicos que entreguen a personas físicas o morales.</w:t>
      </w:r>
    </w:p>
    <w:p w14:paraId="339932D4" w14:textId="77777777" w:rsidR="00076116" w:rsidRPr="006922F5" w:rsidRDefault="00076116" w:rsidP="00076116">
      <w:pPr>
        <w:pStyle w:val="Fundamentos"/>
      </w:pPr>
      <w:r w:rsidRPr="006922F5">
        <w:t>VII. La inobservancia a las disposiciones en materia de acceso a la información pública será sancionada en los términos que dispongan las leyes.</w:t>
      </w:r>
    </w:p>
    <w:p w14:paraId="173FAF15" w14:textId="77777777" w:rsidR="00076116" w:rsidRPr="006922F5" w:rsidRDefault="00076116" w:rsidP="00076116">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2C77B9" w14:textId="77777777" w:rsidR="00076116" w:rsidRPr="006922F5" w:rsidRDefault="00076116" w:rsidP="00076116">
      <w:pPr>
        <w:pStyle w:val="Fundamentos"/>
      </w:pPr>
      <w:r w:rsidRPr="006922F5">
        <w:t>…</w:t>
      </w:r>
    </w:p>
    <w:p w14:paraId="21F9A570" w14:textId="77777777" w:rsidR="00076116" w:rsidRPr="006922F5" w:rsidRDefault="00076116" w:rsidP="00076116">
      <w:pPr>
        <w:pStyle w:val="Fundamentos"/>
      </w:pPr>
      <w:r w:rsidRPr="006922F5">
        <w:t>La ley establecerá aquella información que se considere reservada o confidencial.</w:t>
      </w:r>
    </w:p>
    <w:p w14:paraId="014C7A22" w14:textId="77777777" w:rsidR="00076116" w:rsidRPr="006922F5" w:rsidRDefault="00076116" w:rsidP="00076116">
      <w:pPr>
        <w:pBdr>
          <w:top w:val="nil"/>
          <w:left w:val="nil"/>
          <w:bottom w:val="nil"/>
          <w:right w:val="nil"/>
          <w:between w:val="nil"/>
        </w:pBdr>
        <w:contextualSpacing/>
        <w:rPr>
          <w:rFonts w:eastAsia="Palatino Linotype" w:cs="Palatino Linotype"/>
          <w:color w:val="000000"/>
          <w:szCs w:val="24"/>
        </w:rPr>
      </w:pPr>
    </w:p>
    <w:p w14:paraId="6DF60B0E" w14:textId="77777777" w:rsidR="00076116" w:rsidRPr="006922F5" w:rsidRDefault="00076116" w:rsidP="0007611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13131016" w14:textId="77777777" w:rsidR="00076116" w:rsidRPr="006922F5" w:rsidRDefault="00076116" w:rsidP="00076116">
      <w:pPr>
        <w:pBdr>
          <w:top w:val="nil"/>
          <w:left w:val="nil"/>
          <w:bottom w:val="nil"/>
          <w:right w:val="nil"/>
          <w:between w:val="nil"/>
        </w:pBdr>
        <w:contextualSpacing/>
        <w:rPr>
          <w:rFonts w:eastAsia="Palatino Linotype" w:cs="Palatino Linotype"/>
          <w:color w:val="000000"/>
          <w:szCs w:val="24"/>
        </w:rPr>
      </w:pPr>
    </w:p>
    <w:p w14:paraId="5D5CEA24" w14:textId="77777777" w:rsidR="00076116" w:rsidRPr="006922F5" w:rsidRDefault="00076116" w:rsidP="00076116">
      <w:pPr>
        <w:pStyle w:val="Fundamentos"/>
      </w:pPr>
      <w:r w:rsidRPr="006922F5">
        <w:rPr>
          <w:b/>
          <w:bCs/>
        </w:rPr>
        <w:t>Artículo 5.</w:t>
      </w:r>
      <w:r w:rsidRPr="006922F5">
        <w:t xml:space="preserve"> (…) </w:t>
      </w:r>
    </w:p>
    <w:p w14:paraId="508F523A" w14:textId="77777777" w:rsidR="00076116" w:rsidRPr="006922F5" w:rsidRDefault="00076116" w:rsidP="00076116">
      <w:pPr>
        <w:pStyle w:val="Fundamentos"/>
      </w:pPr>
      <w:r w:rsidRPr="006922F5">
        <w:t xml:space="preserve">El derecho a la información será garantizado por el Estado. La ley establecerá las previsiones que permitan asegurar la protección, el respeto y la difusión de este derecho. </w:t>
      </w:r>
    </w:p>
    <w:p w14:paraId="25524B2C" w14:textId="77777777" w:rsidR="00076116" w:rsidRPr="006922F5" w:rsidRDefault="00076116" w:rsidP="00076116">
      <w:pPr>
        <w:pStyle w:val="Fundamentos"/>
      </w:pPr>
    </w:p>
    <w:p w14:paraId="611A9121" w14:textId="77777777" w:rsidR="00076116" w:rsidRPr="006922F5" w:rsidRDefault="00076116" w:rsidP="00076116">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3E7707" w14:textId="77777777" w:rsidR="00076116" w:rsidRPr="006922F5" w:rsidRDefault="00076116" w:rsidP="00076116">
      <w:pPr>
        <w:pStyle w:val="Fundamentos"/>
      </w:pPr>
    </w:p>
    <w:p w14:paraId="1E6931CB" w14:textId="77777777" w:rsidR="00076116" w:rsidRPr="006922F5" w:rsidRDefault="00076116" w:rsidP="00076116">
      <w:pPr>
        <w:pStyle w:val="Fundamentos"/>
      </w:pPr>
      <w:r w:rsidRPr="006922F5">
        <w:t>Este derecho se regirá por los principios y bases siguientes:</w:t>
      </w:r>
    </w:p>
    <w:p w14:paraId="44A801F3" w14:textId="77777777" w:rsidR="00076116" w:rsidRPr="006922F5" w:rsidRDefault="00076116" w:rsidP="00076116">
      <w:pPr>
        <w:pStyle w:val="Fundamentos"/>
      </w:pPr>
    </w:p>
    <w:p w14:paraId="7C5FB2DF" w14:textId="77777777" w:rsidR="00076116" w:rsidRPr="006922F5" w:rsidRDefault="00076116" w:rsidP="00076116">
      <w:pPr>
        <w:pStyle w:val="Fundamentos"/>
      </w:pPr>
      <w:r w:rsidRPr="006922F5">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5E0EEB" w14:textId="77777777" w:rsidR="00076116" w:rsidRPr="006922F5" w:rsidRDefault="00076116" w:rsidP="00076116">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796F3B96" w14:textId="77777777" w:rsidR="00076116" w:rsidRPr="006922F5" w:rsidRDefault="00076116" w:rsidP="00076116">
      <w:pPr>
        <w:pStyle w:val="Fundamentos"/>
      </w:pPr>
      <w:r w:rsidRPr="006922F5">
        <w:t>III. Toda persona, sin necesidad de acreditar interés alguno o justificar su utilización, tendrá acceso gratuito a la información pública, a sus datos personales o a la rectificación de éstos.</w:t>
      </w:r>
    </w:p>
    <w:p w14:paraId="3B4DF130" w14:textId="77777777" w:rsidR="00076116" w:rsidRPr="006922F5" w:rsidRDefault="00076116" w:rsidP="00076116">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382A967B" w14:textId="77777777" w:rsidR="00076116" w:rsidRPr="006922F5" w:rsidRDefault="00076116" w:rsidP="00076116">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4DBB091" w14:textId="77777777" w:rsidR="00076116" w:rsidRPr="006922F5" w:rsidRDefault="00076116" w:rsidP="00076116">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0B119A3F" w14:textId="77777777" w:rsidR="00076116" w:rsidRPr="006922F5" w:rsidRDefault="00076116" w:rsidP="00076116">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46D8F1A0" w14:textId="77777777" w:rsidR="00076116" w:rsidRDefault="00076116" w:rsidP="006922F5">
      <w:pPr>
        <w:pBdr>
          <w:top w:val="nil"/>
          <w:left w:val="nil"/>
          <w:bottom w:val="nil"/>
          <w:right w:val="nil"/>
          <w:between w:val="nil"/>
        </w:pBdr>
        <w:contextualSpacing/>
        <w:rPr>
          <w:szCs w:val="24"/>
        </w:rPr>
      </w:pPr>
    </w:p>
    <w:p w14:paraId="13421A33" w14:textId="77777777" w:rsidR="006148A7" w:rsidRDefault="006148A7" w:rsidP="006148A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Es así como, conforme a los preceptos legales citados, se desprende que el derecho de acceso a la información pública es un derecho individual que puede ser ejercido ante cualquier autoridad, entidad, órgano u organismo, tanto federales, como estatales, de la </w:t>
      </w:r>
      <w:r w:rsidRPr="006922F5">
        <w:rPr>
          <w:rFonts w:eastAsia="Palatino Linotype" w:cs="Palatino Linotype"/>
          <w:color w:val="000000"/>
          <w:szCs w:val="24"/>
        </w:rPr>
        <w:lastRenderedPageBreak/>
        <w:t>Ciudad de México, o Municipales, con el fin de que los particulares conozcan toda aquella información que es considerada como pública.</w:t>
      </w:r>
    </w:p>
    <w:p w14:paraId="3DBEB06A" w14:textId="77777777" w:rsidR="00A817CF" w:rsidRDefault="00A817CF" w:rsidP="006148A7">
      <w:pPr>
        <w:pBdr>
          <w:top w:val="nil"/>
          <w:left w:val="nil"/>
          <w:bottom w:val="nil"/>
          <w:right w:val="nil"/>
          <w:between w:val="nil"/>
        </w:pBdr>
        <w:contextualSpacing/>
        <w:rPr>
          <w:rFonts w:eastAsia="Palatino Linotype" w:cs="Palatino Linotype"/>
          <w:color w:val="000000"/>
          <w:szCs w:val="24"/>
        </w:rPr>
      </w:pPr>
    </w:p>
    <w:p w14:paraId="7C961678" w14:textId="764CC682" w:rsidR="00A817CF" w:rsidRDefault="00A817CF" w:rsidP="00A817CF">
      <w:pPr>
        <w:autoSpaceDE w:val="0"/>
        <w:autoSpaceDN w:val="0"/>
        <w:adjustRightInd w:val="0"/>
        <w:spacing w:before="240"/>
        <w:rPr>
          <w:rFonts w:cs="Arial"/>
          <w:color w:val="000000"/>
          <w:szCs w:val="24"/>
        </w:rPr>
      </w:pPr>
      <w:r w:rsidRPr="00367309">
        <w:rPr>
          <w:color w:val="212529"/>
          <w:szCs w:val="24"/>
          <w:shd w:val="clear" w:color="auto" w:fill="FFFFFF"/>
        </w:rPr>
        <w:t xml:space="preserve">En virtud de lo anterior, este Órgano Garante </w:t>
      </w:r>
      <w:r w:rsidRPr="00367309">
        <w:rPr>
          <w:color w:val="212529"/>
          <w:szCs w:val="24"/>
        </w:rPr>
        <w:t>advierte</w:t>
      </w:r>
      <w:r w:rsidRPr="00367309">
        <w:rPr>
          <w:color w:val="212529"/>
          <w:szCs w:val="24"/>
          <w:shd w:val="clear" w:color="auto" w:fill="FFFFFF"/>
        </w:rPr>
        <w:t xml:space="preserve"> </w:t>
      </w:r>
      <w:r w:rsidRPr="00367309">
        <w:rPr>
          <w:color w:val="212529"/>
          <w:szCs w:val="24"/>
        </w:rPr>
        <w:t>con relación a</w:t>
      </w:r>
      <w:r>
        <w:rPr>
          <w:color w:val="212529"/>
          <w:szCs w:val="24"/>
        </w:rPr>
        <w:t xml:space="preserve"> lo remitido mediante informe justificado</w:t>
      </w:r>
      <w:r w:rsidR="00A352CF">
        <w:rPr>
          <w:color w:val="212529"/>
          <w:szCs w:val="24"/>
        </w:rPr>
        <w:t>, el Secretario Técnico refirió que derivado de una búsqueda exhaustiva y razonable en los archivos de dicha unidad administrativa, se cuenta con capturas de pantalla de las capacitaciones donde participó el servidor público referido en la solicitud de información, mismas que se adjuntan en dicho informe, por lo tanto se modifica la respuesta inicial</w:t>
      </w:r>
      <w:r w:rsidR="00A352CF">
        <w:rPr>
          <w:color w:val="212529"/>
          <w:szCs w:val="24"/>
          <w:shd w:val="clear" w:color="auto" w:fill="FFFFFF"/>
        </w:rPr>
        <w:t>, aportando mayores elementos para dar respuesta a la solicitud de información</w:t>
      </w:r>
      <w:r>
        <w:rPr>
          <w:rFonts w:cs="Arial"/>
          <w:color w:val="000000"/>
          <w:szCs w:val="24"/>
        </w:rPr>
        <w:t xml:space="preserve">. </w:t>
      </w:r>
    </w:p>
    <w:p w14:paraId="3921E2CE" w14:textId="5E1FC1FE" w:rsidR="00E31C3D" w:rsidRDefault="00A817CF" w:rsidP="000E5B95">
      <w:pPr>
        <w:pBdr>
          <w:top w:val="nil"/>
          <w:left w:val="nil"/>
          <w:bottom w:val="nil"/>
          <w:right w:val="nil"/>
          <w:between w:val="nil"/>
        </w:pBdr>
        <w:contextualSpacing/>
        <w:rPr>
          <w:szCs w:val="24"/>
        </w:rPr>
      </w:pPr>
      <w:r>
        <w:rPr>
          <w:rFonts w:eastAsia="Palatino Linotype" w:cs="Palatino Linotype"/>
          <w:color w:val="000000"/>
          <w:szCs w:val="24"/>
        </w:rPr>
        <w:t xml:space="preserve"> </w:t>
      </w:r>
    </w:p>
    <w:p w14:paraId="065E570B" w14:textId="77777777" w:rsidR="00630023" w:rsidRDefault="00630023" w:rsidP="00630023">
      <w:pPr>
        <w:tabs>
          <w:tab w:val="left" w:pos="709"/>
        </w:tabs>
        <w:ind w:right="51"/>
        <w:rPr>
          <w:rFonts w:cs="Arial"/>
        </w:rPr>
      </w:pPr>
      <w:r>
        <w:rPr>
          <w:rFonts w:cs="Arial"/>
        </w:rPr>
        <w:t>En este sentido, por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Pr>
          <w:rFonts w:cs="Arial"/>
          <w:b/>
        </w:rPr>
        <w:t xml:space="preserve"> Recurrente </w:t>
      </w:r>
      <w:r>
        <w:rPr>
          <w:rFonts w:cs="Arial"/>
        </w:rPr>
        <w:t xml:space="preserve">o que el </w:t>
      </w:r>
      <w:r>
        <w:rPr>
          <w:rFonts w:cs="Arial"/>
          <w:b/>
        </w:rPr>
        <w:t xml:space="preserve">Sujeto Obligado </w:t>
      </w:r>
      <w:r>
        <w:rPr>
          <w:rFonts w:cs="Arial"/>
          <w:b/>
          <w:u w:val="single"/>
        </w:rPr>
        <w:t xml:space="preserve">modifique el acto; </w:t>
      </w:r>
      <w:r>
        <w:rPr>
          <w:rFonts w:cs="Arial"/>
        </w:rPr>
        <w:t xml:space="preserve">de ahí que la actualización de alguno de éstos trae como consecuencia que el medio de impugnación se concluya sin que se analice el objeto de estudio planteado, es decir se sobresea. </w:t>
      </w:r>
    </w:p>
    <w:p w14:paraId="6C3E02B5" w14:textId="77777777" w:rsidR="00630023" w:rsidRDefault="00630023" w:rsidP="00630023">
      <w:pPr>
        <w:rPr>
          <w:rFonts w:cs="Arial"/>
        </w:rPr>
      </w:pPr>
    </w:p>
    <w:p w14:paraId="21FABF0F" w14:textId="77777777" w:rsidR="00630023" w:rsidRDefault="00630023" w:rsidP="00630023">
      <w:pPr>
        <w:rPr>
          <w:rFonts w:cs="Arial"/>
        </w:rPr>
      </w:pPr>
      <w:r>
        <w:rPr>
          <w:rFonts w:cs="Arial"/>
        </w:rPr>
        <w:t xml:space="preserve">Por otra parte, la doctrina del sobreseimiento provoca que un procedimiento se suspenda o se resuelva en definitiva sin que se entre al estudio de los agravios o motivos de inconformidad. Este mismo criterio es compartido por el más alto tribunal del país en </w:t>
      </w:r>
      <w:r>
        <w:rPr>
          <w:rFonts w:cs="Arial"/>
        </w:rPr>
        <w:lastRenderedPageBreak/>
        <w:t>múltiples jurisprudencias, por lo que a continuación se agrega una de ellas que sirve como orientador en esta resolución:</w:t>
      </w:r>
    </w:p>
    <w:p w14:paraId="2B806C1B" w14:textId="77777777" w:rsidR="00630023" w:rsidRDefault="00630023" w:rsidP="00630023">
      <w:pPr>
        <w:rPr>
          <w:rFonts w:cs="Arial"/>
        </w:rPr>
      </w:pPr>
    </w:p>
    <w:p w14:paraId="78C0107C" w14:textId="77777777" w:rsidR="00630023" w:rsidRDefault="00630023" w:rsidP="00630023">
      <w:pPr>
        <w:ind w:left="851" w:right="851"/>
        <w:rPr>
          <w:rFonts w:cs="Arial"/>
          <w:b/>
          <w:i/>
        </w:rPr>
      </w:pPr>
      <w:r>
        <w:rPr>
          <w:rFonts w:cs="Arial"/>
          <w:b/>
          <w:i/>
        </w:rPr>
        <w:t>“SOBRESEIMIENTO EN EL JUICIO DE AMPARO DIRECTO. IMPIDE EL ESTUDIO DE LAS VIOLACIONES PROCESALES PLANTEADAS EN LOS CONCEPTOS DE VIOLACIÓN.</w:t>
      </w:r>
    </w:p>
    <w:p w14:paraId="7B456C97" w14:textId="77777777" w:rsidR="00630023" w:rsidRDefault="00630023" w:rsidP="00630023">
      <w:pPr>
        <w:ind w:left="851" w:right="851"/>
        <w:rPr>
          <w:i/>
          <w:color w:val="000000"/>
        </w:rPr>
      </w:pPr>
      <w:r>
        <w:rPr>
          <w:rFonts w:cs="Arial"/>
          <w:b/>
          <w:i/>
          <w:u w:val="single"/>
        </w:rPr>
        <w:t>El sobreseimiento</w:t>
      </w:r>
      <w:r>
        <w:rPr>
          <w:rFonts w:cs="Arial"/>
          <w:b/>
          <w:i/>
        </w:rPr>
        <w:t xml:space="preserve"> </w:t>
      </w:r>
      <w:r>
        <w:rPr>
          <w:rFonts w:cs="Arial"/>
          <w:i/>
        </w:rPr>
        <w:t xml:space="preserve">en el juicio de amparo directo </w:t>
      </w:r>
      <w:r>
        <w:rPr>
          <w:rFonts w:cs="Arial"/>
          <w:b/>
          <w:i/>
          <w:u w:val="single"/>
        </w:rPr>
        <w:t>provoca la terminación de la controversia planteada</w:t>
      </w:r>
      <w:r>
        <w:rPr>
          <w:rFonts w:cs="Arial"/>
          <w:b/>
          <w:i/>
        </w:rPr>
        <w:t xml:space="preserve"> </w:t>
      </w:r>
      <w:r>
        <w:rPr>
          <w:rFonts w:cs="Arial"/>
          <w:i/>
        </w:rPr>
        <w:t>por el quejoso en la demanda de amparo</w:t>
      </w:r>
      <w:r>
        <w:rPr>
          <w:rFonts w:ascii="Calibri" w:hAnsi="Calibri"/>
          <w:color w:val="000000"/>
          <w:sz w:val="26"/>
          <w:szCs w:val="26"/>
        </w:rPr>
        <w:t xml:space="preserve"> </w:t>
      </w:r>
      <w:r>
        <w:rPr>
          <w:i/>
          <w:color w:val="000000"/>
        </w:rPr>
        <w:t xml:space="preserve">provoca la terminación de la controversia planteada por el quejoso en la demanda de </w:t>
      </w:r>
      <w:r>
        <w:rPr>
          <w:b/>
          <w:i/>
          <w:color w:val="000000"/>
        </w:rPr>
        <w:t>amparo</w:t>
      </w:r>
      <w:r>
        <w:rPr>
          <w:i/>
          <w:color w:val="000000"/>
        </w:rPr>
        <w:t>, sin hacer un pronunciamiento de fondo sobre la legalidad o ilegalidad de la sentencia reclamada. Por consiguiente, si al sobreseerse en el</w:t>
      </w:r>
      <w:r>
        <w:rPr>
          <w:b/>
          <w:i/>
          <w:color w:val="000000"/>
        </w:rPr>
        <w:t xml:space="preserve"> juicio </w:t>
      </w:r>
      <w:r>
        <w:rPr>
          <w:i/>
          <w:color w:val="000000"/>
        </w:rPr>
        <w:t xml:space="preserve">de </w:t>
      </w:r>
      <w:r>
        <w:rPr>
          <w:b/>
          <w:i/>
          <w:color w:val="000000"/>
        </w:rPr>
        <w:t>amparo</w:t>
      </w:r>
      <w:r>
        <w:rPr>
          <w:i/>
          <w:color w:val="000000"/>
        </w:rPr>
        <w:t xml:space="preserve"> no se pueden estudiar los planteamientos que se hacen valer en contra del fallo reclamado, tampoco se deben analizar las</w:t>
      </w:r>
      <w:r>
        <w:rPr>
          <w:b/>
          <w:i/>
          <w:color w:val="000000"/>
        </w:rPr>
        <w:t xml:space="preserve"> violaciones procesales</w:t>
      </w:r>
      <w:r>
        <w:rPr>
          <w:i/>
          <w:color w:val="000000"/>
        </w:rPr>
        <w:t xml:space="preserve"> propuestas en los </w:t>
      </w:r>
      <w:r>
        <w:rPr>
          <w:b/>
          <w:i/>
          <w:color w:val="000000"/>
        </w:rPr>
        <w:t xml:space="preserve">conceptos </w:t>
      </w:r>
      <w:r>
        <w:rPr>
          <w:i/>
          <w:color w:val="000000"/>
        </w:rPr>
        <w:t xml:space="preserve">de </w:t>
      </w:r>
      <w:r>
        <w:rPr>
          <w:b/>
          <w:i/>
          <w:color w:val="000000"/>
        </w:rPr>
        <w:t>violación</w:t>
      </w:r>
      <w:r>
        <w:rPr>
          <w:i/>
          <w:color w:val="000000"/>
        </w:rPr>
        <w:t xml:space="preserve">, dado que, la principal consecuencia del </w:t>
      </w:r>
      <w:r>
        <w:rPr>
          <w:b/>
          <w:i/>
          <w:color w:val="000000"/>
        </w:rPr>
        <w:t>sobreseimiento</w:t>
      </w:r>
      <w:r>
        <w:rPr>
          <w:i/>
          <w:color w:val="000000"/>
        </w:rPr>
        <w:t xml:space="preserve"> es poner fin al </w:t>
      </w:r>
      <w:r>
        <w:rPr>
          <w:b/>
          <w:i/>
          <w:color w:val="000000"/>
        </w:rPr>
        <w:t xml:space="preserve">juicio </w:t>
      </w:r>
      <w:r>
        <w:rPr>
          <w:i/>
          <w:color w:val="000000"/>
        </w:rPr>
        <w:t xml:space="preserve">de </w:t>
      </w:r>
      <w:r>
        <w:rPr>
          <w:b/>
          <w:i/>
          <w:color w:val="000000"/>
        </w:rPr>
        <w:t xml:space="preserve">amparo </w:t>
      </w:r>
      <w:r>
        <w:rPr>
          <w:i/>
          <w:color w:val="000000"/>
        </w:rPr>
        <w:t>sin resolver la controversia en sus méritos.  </w:t>
      </w:r>
    </w:p>
    <w:p w14:paraId="3163CD53" w14:textId="77777777" w:rsidR="00630023" w:rsidRDefault="00630023" w:rsidP="00630023">
      <w:pPr>
        <w:ind w:left="851" w:right="851"/>
        <w:rPr>
          <w:rFonts w:cs="Arial"/>
          <w:b/>
          <w:i/>
        </w:rPr>
      </w:pPr>
      <w:r>
        <w:rPr>
          <w:rFonts w:cs="Arial"/>
          <w:b/>
          <w:i/>
        </w:rPr>
        <w:t>SÉPTIMO TRIBUNAL COLEGIADO EN MATERIA CIVIL DEL PRIMER CIRCUITO.</w:t>
      </w:r>
    </w:p>
    <w:p w14:paraId="5CC8B55A" w14:textId="77777777" w:rsidR="00630023" w:rsidRDefault="00630023" w:rsidP="00630023">
      <w:pPr>
        <w:ind w:left="851" w:right="851"/>
        <w:rPr>
          <w:rFonts w:cs="Arial"/>
          <w:i/>
        </w:rPr>
      </w:pPr>
      <w:r>
        <w:rPr>
          <w:rFonts w:cs="Arial"/>
          <w:i/>
        </w:rPr>
        <w:t xml:space="preserve">Amparo directo 699/2008. Mariana Leticia González </w:t>
      </w:r>
      <w:proofErr w:type="spellStart"/>
      <w:r>
        <w:rPr>
          <w:rFonts w:cs="Arial"/>
          <w:i/>
        </w:rPr>
        <w:t>Steele</w:t>
      </w:r>
      <w:proofErr w:type="spellEnd"/>
      <w:r>
        <w:rPr>
          <w:rFonts w:cs="Arial"/>
          <w:i/>
        </w:rPr>
        <w:t>. 13 de noviembre de 2008. Unanimidad de votos. Ponente: Sara Judith Montalvo Trejo. Secretario: Arnulfo Mateos García.”</w:t>
      </w:r>
      <w:r>
        <w:rPr>
          <w:b/>
          <w:i/>
        </w:rPr>
        <w:t xml:space="preserve"> [Sic]</w:t>
      </w:r>
    </w:p>
    <w:p w14:paraId="1AE2337C" w14:textId="77777777" w:rsidR="00630023" w:rsidRDefault="00630023" w:rsidP="00630023">
      <w:pPr>
        <w:ind w:right="141"/>
        <w:rPr>
          <w:rFonts w:cs="Arial"/>
        </w:rPr>
      </w:pPr>
    </w:p>
    <w:p w14:paraId="72DDE433" w14:textId="77777777" w:rsidR="00630023" w:rsidRDefault="00630023" w:rsidP="00630023">
      <w:pPr>
        <w:rPr>
          <w:rFonts w:cs="Arial"/>
        </w:rPr>
      </w:pPr>
      <w:r>
        <w:rPr>
          <w:rFonts w:cs="Arial"/>
        </w:rPr>
        <w:t xml:space="preserve">De este modo, se puede deducir que, en las resoluciones dictadas por el Pleno de este Instituto, en las que se decreta el sobreseimiento de un recurso de revisión por la </w:t>
      </w:r>
      <w:r>
        <w:rPr>
          <w:rFonts w:cs="Arial"/>
        </w:rPr>
        <w:lastRenderedPageBreak/>
        <w:t xml:space="preserve">actualización de alguno de los supuestos jurídicos contemplados en el </w:t>
      </w:r>
      <w:r>
        <w:rPr>
          <w:rFonts w:cs="Arial"/>
          <w:b/>
        </w:rPr>
        <w:t xml:space="preserve">artículo 192 </w:t>
      </w:r>
      <w:r>
        <w:rPr>
          <w:rFonts w:cs="Arial"/>
        </w:rPr>
        <w:t xml:space="preserve">de la </w:t>
      </w:r>
      <w:r>
        <w:rPr>
          <w:rFonts w:cs="Arial"/>
          <w:b/>
        </w:rPr>
        <w:t xml:space="preserve">Ley de Transparencia y Acceso a la Información Pública del Estado de México y Municipios, </w:t>
      </w:r>
      <w:r>
        <w:rPr>
          <w:rFonts w:cs="Arial"/>
        </w:rPr>
        <w:t xml:space="preserve">nos encontramos ante un sobreseimiento definitivo toda vez que pone fin al procedimiento sin entrar al estudio de fondo del mismo. </w:t>
      </w:r>
    </w:p>
    <w:p w14:paraId="458875A8" w14:textId="77777777" w:rsidR="00630023" w:rsidRDefault="00630023" w:rsidP="00630023">
      <w:pPr>
        <w:rPr>
          <w:rFonts w:cs="Arial"/>
        </w:rPr>
      </w:pPr>
    </w:p>
    <w:p w14:paraId="1F16950F" w14:textId="77777777" w:rsidR="00630023" w:rsidRDefault="00630023" w:rsidP="00630023">
      <w:pPr>
        <w:rPr>
          <w:rFonts w:cs="Arial"/>
          <w:b/>
        </w:rPr>
      </w:pPr>
      <w:r>
        <w:rPr>
          <w:rFonts w:cs="Arial"/>
        </w:rPr>
        <w:t xml:space="preserve">Para los efectos de esta resolución, resulta oportuno precisar los alcances jurídicos de la </w:t>
      </w:r>
      <w:r>
        <w:rPr>
          <w:rFonts w:cs="Arial"/>
          <w:b/>
        </w:rPr>
        <w:t xml:space="preserve">fracción III </w:t>
      </w:r>
      <w:r>
        <w:rPr>
          <w:rFonts w:cs="Arial"/>
        </w:rPr>
        <w:t xml:space="preserve">de la disposición legal transcrita. Así, procede el sobreseimiento del recurso de revisión cuando el </w:t>
      </w:r>
      <w:r>
        <w:rPr>
          <w:rFonts w:cs="Arial"/>
          <w:b/>
        </w:rPr>
        <w:t xml:space="preserve">Sujeto Obligado: </w:t>
      </w:r>
    </w:p>
    <w:p w14:paraId="406130EC" w14:textId="77777777" w:rsidR="00630023" w:rsidRDefault="00630023" w:rsidP="00630023">
      <w:pPr>
        <w:rPr>
          <w:rFonts w:cs="Arial"/>
          <w:b/>
        </w:rPr>
      </w:pPr>
    </w:p>
    <w:p w14:paraId="6B9EAAB8" w14:textId="77777777" w:rsidR="00630023" w:rsidRDefault="00630023" w:rsidP="00630023">
      <w:pPr>
        <w:pStyle w:val="Prrafodelista"/>
        <w:numPr>
          <w:ilvl w:val="0"/>
          <w:numId w:val="44"/>
        </w:numPr>
        <w:ind w:right="851"/>
        <w:rPr>
          <w:rFonts w:cs="Arial"/>
          <w:b/>
        </w:rPr>
      </w:pPr>
      <w:r>
        <w:rPr>
          <w:rFonts w:cs="Arial"/>
          <w:b/>
        </w:rPr>
        <w:t xml:space="preserve">Modifique el acto impugnado: </w:t>
      </w:r>
      <w:r>
        <w:rPr>
          <w:rFonts w:cs="Arial"/>
        </w:rPr>
        <w:t xml:space="preserve">Se actualiza cuando el </w:t>
      </w:r>
      <w:r>
        <w:rPr>
          <w:rFonts w:cs="Arial"/>
          <w:b/>
        </w:rPr>
        <w:t xml:space="preserve">Sujeto Obligado </w:t>
      </w:r>
      <w:r>
        <w:rPr>
          <w:rFonts w:cs="Arial"/>
        </w:rPr>
        <w:t xml:space="preserve">después de haber otorgado una respuesta y hasta antes de dictada la resolución del recurso de revisión, emite una diversa en la que subsane las deficiencias que hubiere tenido. </w:t>
      </w:r>
    </w:p>
    <w:p w14:paraId="41083EA5" w14:textId="77777777" w:rsidR="00630023" w:rsidRDefault="00630023" w:rsidP="00630023">
      <w:pPr>
        <w:pStyle w:val="Prrafodelista"/>
        <w:ind w:left="720" w:right="851"/>
        <w:rPr>
          <w:rFonts w:cs="Arial"/>
          <w:b/>
        </w:rPr>
      </w:pPr>
    </w:p>
    <w:p w14:paraId="745805B2" w14:textId="77777777" w:rsidR="00630023" w:rsidRDefault="00630023" w:rsidP="00630023">
      <w:pPr>
        <w:rPr>
          <w:rFonts w:cs="Arial"/>
          <w:u w:val="single"/>
        </w:rPr>
      </w:pPr>
      <w:r>
        <w:rPr>
          <w:rFonts w:cs="Arial"/>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Pr>
          <w:rFonts w:cs="Arial"/>
          <w:b/>
          <w:u w:val="single"/>
        </w:rPr>
        <w:t xml:space="preserve">cuando ha sido satisfecha la pretensión del particular, </w:t>
      </w:r>
      <w:r>
        <w:rPr>
          <w:rFonts w:cs="Arial"/>
        </w:rPr>
        <w:t>ya sea porque se hizo la entrega de la información solicitada o porque se completó la misma.</w:t>
      </w:r>
      <w:r>
        <w:rPr>
          <w:rFonts w:cs="Arial"/>
          <w:u w:val="single"/>
        </w:rPr>
        <w:t xml:space="preserve"> </w:t>
      </w:r>
    </w:p>
    <w:p w14:paraId="7CEEAD50" w14:textId="77777777" w:rsidR="00630023" w:rsidRPr="00FE72E2" w:rsidRDefault="00630023" w:rsidP="00630023">
      <w:pPr>
        <w:rPr>
          <w:rFonts w:cs="Arial"/>
          <w:u w:val="single"/>
        </w:rPr>
      </w:pPr>
    </w:p>
    <w:p w14:paraId="6FDF81FC" w14:textId="77777777" w:rsidR="00630023" w:rsidRDefault="00630023" w:rsidP="00630023">
      <w:pPr>
        <w:rPr>
          <w:rFonts w:cs="Arial"/>
        </w:rPr>
      </w:pPr>
      <w:r>
        <w:rPr>
          <w:rFonts w:cs="Arial"/>
        </w:rPr>
        <w:t xml:space="preserve">En este tenor, se advierte que </w:t>
      </w:r>
      <w:r>
        <w:rPr>
          <w:rFonts w:cs="Arial"/>
          <w:b/>
        </w:rPr>
        <w:t>El</w:t>
      </w:r>
      <w:r>
        <w:rPr>
          <w:rFonts w:cs="Arial"/>
        </w:rPr>
        <w:t xml:space="preserve"> </w:t>
      </w:r>
      <w:r>
        <w:rPr>
          <w:rFonts w:cs="Arial"/>
          <w:b/>
        </w:rPr>
        <w:t xml:space="preserve">Sujeto Obligado </w:t>
      </w:r>
      <w:r>
        <w:rPr>
          <w:rFonts w:cs="Arial"/>
        </w:rPr>
        <w:t xml:space="preserve">con la información enviada a este Órgano Garante, </w:t>
      </w:r>
      <w:r>
        <w:rPr>
          <w:rFonts w:cs="Arial"/>
          <w:b/>
        </w:rPr>
        <w:t xml:space="preserve">modifica </w:t>
      </w:r>
      <w:r>
        <w:rPr>
          <w:rFonts w:cs="Arial"/>
        </w:rPr>
        <w:t xml:space="preserve">el acto que le dio origen al recurso de revisión, </w:t>
      </w:r>
      <w:r>
        <w:rPr>
          <w:rFonts w:cs="Arial"/>
          <w:b/>
        </w:rPr>
        <w:t xml:space="preserve">por lo que trae </w:t>
      </w:r>
      <w:r>
        <w:rPr>
          <w:rFonts w:cs="Arial"/>
          <w:b/>
        </w:rPr>
        <w:lastRenderedPageBreak/>
        <w:t xml:space="preserve">como consecuencia que el mismo quede sin materia, </w:t>
      </w:r>
      <w:r>
        <w:rPr>
          <w:rFonts w:cs="Arial"/>
        </w:rPr>
        <w:t xml:space="preserve">actualizándose de este modo, la hipótesis jurídica contenida en la fracción III del artículo 192. </w:t>
      </w:r>
    </w:p>
    <w:p w14:paraId="6C8A985B" w14:textId="77777777" w:rsidR="00630023" w:rsidRDefault="00630023" w:rsidP="00630023">
      <w:pPr>
        <w:rPr>
          <w:rFonts w:cs="Arial"/>
        </w:rPr>
      </w:pPr>
    </w:p>
    <w:p w14:paraId="1C03C5FC" w14:textId="77777777" w:rsidR="00630023" w:rsidRDefault="00630023" w:rsidP="00630023">
      <w:pPr>
        <w:rPr>
          <w:rFonts w:cs="Arial"/>
        </w:rPr>
      </w:pPr>
      <w:r>
        <w:rPr>
          <w:rFonts w:cs="Arial"/>
        </w:rPr>
        <w:t xml:space="preserve">De este modo, cuando </w:t>
      </w:r>
      <w:r>
        <w:rPr>
          <w:rFonts w:cs="Arial"/>
          <w:b/>
        </w:rPr>
        <w:t>El</w:t>
      </w:r>
      <w:r>
        <w:rPr>
          <w:rFonts w:cs="Arial"/>
        </w:rPr>
        <w:t xml:space="preserve"> </w:t>
      </w:r>
      <w:r>
        <w:rPr>
          <w:rFonts w:cs="Arial"/>
          <w:b/>
        </w:rPr>
        <w:t>Sujeto Obligado</w:t>
      </w:r>
      <w:r>
        <w:rPr>
          <w:rFonts w:cs="Arial"/>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proofErr w:type="spellStart"/>
      <w:r>
        <w:rPr>
          <w:rFonts w:cs="Arial"/>
          <w:b/>
          <w:i/>
        </w:rPr>
        <w:t>litis</w:t>
      </w:r>
      <w:proofErr w:type="spellEnd"/>
      <w:r>
        <w:rPr>
          <w:rFonts w:cs="Arial"/>
          <w:b/>
          <w:i/>
        </w:rPr>
        <w:t xml:space="preserve"> </w:t>
      </w:r>
      <w:r>
        <w:rPr>
          <w:rFonts w:cs="Arial"/>
        </w:rPr>
        <w:t xml:space="preserve">planteada, debido a que la afectación en su esfera de derechos fue restituida por la propia autoridad que emitió el acto de impugnación. </w:t>
      </w:r>
    </w:p>
    <w:p w14:paraId="57CF0FD0" w14:textId="77777777" w:rsidR="00630023" w:rsidRDefault="00630023" w:rsidP="00630023">
      <w:pPr>
        <w:rPr>
          <w:rFonts w:cs="Arial"/>
        </w:rPr>
      </w:pPr>
    </w:p>
    <w:p w14:paraId="3D9E9267" w14:textId="77777777" w:rsidR="00630023" w:rsidRDefault="00630023" w:rsidP="00630023">
      <w:pPr>
        <w:tabs>
          <w:tab w:val="left" w:pos="7797"/>
        </w:tabs>
        <w:rPr>
          <w:rFonts w:cs="Arial"/>
        </w:rPr>
      </w:pPr>
      <w:r>
        <w:rPr>
          <w:rFonts w:cs="Arial"/>
        </w:rPr>
        <w:t xml:space="preserve">Por lo tanto, para que se actualice el sobreseimiento de un recurso de revisión, </w:t>
      </w:r>
      <w:r>
        <w:rPr>
          <w:rFonts w:cs="Arial"/>
          <w:b/>
        </w:rPr>
        <w:t>El</w:t>
      </w:r>
      <w:r>
        <w:rPr>
          <w:rFonts w:cs="Arial"/>
        </w:rPr>
        <w:t xml:space="preserve"> </w:t>
      </w:r>
      <w:r>
        <w:rPr>
          <w:rFonts w:cs="Arial"/>
          <w:b/>
        </w:rPr>
        <w:t xml:space="preserve">Sujeto Obligado </w:t>
      </w:r>
      <w:r>
        <w:rPr>
          <w:rFonts w:cs="Arial"/>
        </w:rPr>
        <w:t xml:space="preserve">puede entregar o completar la información al momento de rendir su </w:t>
      </w:r>
      <w:r>
        <w:rPr>
          <w:rFonts w:cs="Arial"/>
          <w:b/>
          <w:u w:val="single"/>
        </w:rPr>
        <w:t>informe de justificación dentro de los siete días</w:t>
      </w:r>
      <w:r>
        <w:rPr>
          <w:rFonts w:cs="Arial"/>
          <w:b/>
        </w:rPr>
        <w:t xml:space="preserve"> </w:t>
      </w:r>
      <w:r>
        <w:rPr>
          <w:rFonts w:cs="Arial"/>
        </w:rPr>
        <w:t>previstos para manifestar lo que a su derecho convenga.</w:t>
      </w:r>
    </w:p>
    <w:p w14:paraId="07634C38" w14:textId="77777777" w:rsidR="00630023" w:rsidRDefault="00630023" w:rsidP="00630023">
      <w:pPr>
        <w:tabs>
          <w:tab w:val="left" w:pos="7797"/>
        </w:tabs>
        <w:rPr>
          <w:rFonts w:cs="Arial"/>
        </w:rPr>
      </w:pPr>
    </w:p>
    <w:p w14:paraId="076FA8CF" w14:textId="3468F7B7" w:rsidR="00630023" w:rsidRDefault="00630023" w:rsidP="00630023">
      <w:pPr>
        <w:tabs>
          <w:tab w:val="left" w:pos="8080"/>
        </w:tabs>
        <w:rPr>
          <w:rFonts w:cs="Arial"/>
        </w:rPr>
      </w:pPr>
      <w:r>
        <w:rPr>
          <w:rFonts w:cs="Arial"/>
        </w:rPr>
        <w:t xml:space="preserve">En mérito de lo expuesto en líneas anteriores, resultan fundados los motivos de inconformidad que arguye </w:t>
      </w:r>
      <w:r>
        <w:rPr>
          <w:rFonts w:cs="Arial"/>
          <w:b/>
        </w:rPr>
        <w:t xml:space="preserve">El Recurrente </w:t>
      </w:r>
      <w:r>
        <w:rPr>
          <w:rFonts w:cs="Arial"/>
        </w:rPr>
        <w:t xml:space="preserve">en su medio de impugnación que fue materia de estudio, por ello </w:t>
      </w:r>
      <w:r>
        <w:rPr>
          <w:rFonts w:cs="Arial"/>
          <w:b/>
        </w:rPr>
        <w:t xml:space="preserve">con fundamento en el artículo 186 fracción I, en concordancia con el 192 fracción III de la Ley de Transparencia y Acceso a la Información Pública del Estado de México y Municipios, </w:t>
      </w:r>
      <w:r>
        <w:rPr>
          <w:rFonts w:cs="Arial"/>
        </w:rPr>
        <w:t xml:space="preserve">se </w:t>
      </w:r>
      <w:r>
        <w:rPr>
          <w:rFonts w:cs="Arial"/>
          <w:b/>
        </w:rPr>
        <w:t xml:space="preserve">SOBRESEE </w:t>
      </w:r>
      <w:r>
        <w:rPr>
          <w:rFonts w:cs="Arial"/>
        </w:rPr>
        <w:t xml:space="preserve">el recurso de revisión </w:t>
      </w:r>
      <w:r w:rsidRPr="00630023">
        <w:rPr>
          <w:rFonts w:cs="Arial"/>
          <w:b/>
        </w:rPr>
        <w:t>00523/SEDUO/IP/2023</w:t>
      </w:r>
      <w:r>
        <w:rPr>
          <w:rFonts w:cs="Arial"/>
          <w:b/>
        </w:rPr>
        <w:t xml:space="preserve">, </w:t>
      </w:r>
      <w:r>
        <w:rPr>
          <w:rFonts w:cs="Arial"/>
        </w:rPr>
        <w:t xml:space="preserve">que ha sido materia del presente fallo. </w:t>
      </w:r>
    </w:p>
    <w:p w14:paraId="61ABC3F8" w14:textId="77777777" w:rsidR="00630023" w:rsidRDefault="00630023" w:rsidP="00630023">
      <w:pPr>
        <w:tabs>
          <w:tab w:val="left" w:pos="8080"/>
        </w:tabs>
        <w:rPr>
          <w:rFonts w:cs="Arial"/>
          <w:bCs/>
        </w:rPr>
      </w:pPr>
      <w:r>
        <w:rPr>
          <w:rFonts w:cs="Arial"/>
          <w:bCs/>
        </w:rPr>
        <w:t>Por lo antes expuesto y fundado es de resolverse y,</w:t>
      </w:r>
    </w:p>
    <w:p w14:paraId="1589F8D5" w14:textId="77777777" w:rsidR="00630023" w:rsidRPr="00AC41D4" w:rsidRDefault="00630023" w:rsidP="00630023">
      <w:pPr>
        <w:tabs>
          <w:tab w:val="left" w:pos="8080"/>
        </w:tabs>
        <w:rPr>
          <w:rFonts w:cs="Arial"/>
          <w:bCs/>
        </w:rPr>
      </w:pPr>
    </w:p>
    <w:p w14:paraId="691BC0E5" w14:textId="77777777" w:rsidR="00630023" w:rsidRDefault="00630023" w:rsidP="00630023">
      <w:pPr>
        <w:jc w:val="center"/>
        <w:rPr>
          <w:b/>
          <w:bCs/>
          <w:spacing w:val="60"/>
          <w:sz w:val="28"/>
        </w:rPr>
      </w:pPr>
    </w:p>
    <w:p w14:paraId="68C3EFE6" w14:textId="77777777" w:rsidR="00630023" w:rsidRPr="00895C52" w:rsidRDefault="00630023" w:rsidP="00630023">
      <w:pPr>
        <w:jc w:val="center"/>
        <w:rPr>
          <w:b/>
          <w:bCs/>
          <w:spacing w:val="60"/>
          <w:sz w:val="28"/>
        </w:rPr>
      </w:pPr>
      <w:r w:rsidRPr="00895C52">
        <w:rPr>
          <w:b/>
          <w:bCs/>
          <w:spacing w:val="60"/>
          <w:sz w:val="28"/>
        </w:rPr>
        <w:lastRenderedPageBreak/>
        <w:t>SE    RESUELVE</w:t>
      </w:r>
    </w:p>
    <w:p w14:paraId="3FD73B2C" w14:textId="77777777" w:rsidR="00630023" w:rsidRPr="00895C52" w:rsidRDefault="00630023" w:rsidP="00630023">
      <w:pPr>
        <w:jc w:val="center"/>
        <w:rPr>
          <w:bCs/>
          <w:spacing w:val="60"/>
        </w:rPr>
      </w:pPr>
    </w:p>
    <w:p w14:paraId="3F05E10C" w14:textId="0005F707" w:rsidR="00630023" w:rsidRDefault="00630023" w:rsidP="00630023">
      <w:pPr>
        <w:tabs>
          <w:tab w:val="left" w:pos="8647"/>
        </w:tabs>
        <w:ind w:right="51"/>
        <w:rPr>
          <w:rFonts w:eastAsiaTheme="minorEastAsia" w:cs="Arial"/>
        </w:rPr>
      </w:pPr>
      <w:r w:rsidRPr="00895C52">
        <w:rPr>
          <w:rFonts w:eastAsiaTheme="minorEastAsia" w:cs="Arial"/>
          <w:b/>
          <w:sz w:val="28"/>
        </w:rPr>
        <w:t>PRIMERO.</w:t>
      </w:r>
      <w:r w:rsidRPr="00895C52">
        <w:rPr>
          <w:rFonts w:eastAsiaTheme="minorEastAsia" w:cs="Arial"/>
        </w:rPr>
        <w:t xml:space="preserve"> </w:t>
      </w:r>
      <w:r w:rsidRPr="00C40C29">
        <w:rPr>
          <w:rFonts w:eastAsiaTheme="minorEastAsia" w:cs="Arial"/>
        </w:rPr>
        <w:t xml:space="preserve">Se </w:t>
      </w:r>
      <w:r w:rsidRPr="00C40C29">
        <w:rPr>
          <w:rFonts w:eastAsiaTheme="minorEastAsia" w:cs="Arial"/>
          <w:b/>
        </w:rPr>
        <w:t>SOBRESEE</w:t>
      </w:r>
      <w:r w:rsidRPr="00C40C29">
        <w:rPr>
          <w:rFonts w:eastAsiaTheme="minorEastAsia" w:cs="Arial"/>
        </w:rPr>
        <w:t xml:space="preserve"> el recurso de revisión número </w:t>
      </w:r>
      <w:r w:rsidRPr="00630023">
        <w:rPr>
          <w:rFonts w:cs="Arial"/>
          <w:b/>
        </w:rPr>
        <w:t>00523/SEDUO/IP/2023</w:t>
      </w:r>
      <w:r w:rsidRPr="00C40C29">
        <w:rPr>
          <w:rFonts w:eastAsiaTheme="minorEastAsia" w:cs="Arial"/>
        </w:rPr>
        <w:t>, por</w:t>
      </w:r>
      <w:r>
        <w:rPr>
          <w:rFonts w:eastAsiaTheme="minorEastAsia" w:cs="Arial"/>
        </w:rPr>
        <w:t xml:space="preserve">que </w:t>
      </w:r>
      <w:r w:rsidRPr="00DB139B">
        <w:rPr>
          <w:rFonts w:eastAsiaTheme="minorEastAsia" w:cs="Arial"/>
          <w:b/>
          <w:bCs/>
        </w:rPr>
        <w:t>EL SUJETO OBLIGADO</w:t>
      </w:r>
      <w:r>
        <w:rPr>
          <w:rFonts w:eastAsiaTheme="minorEastAsia" w:cs="Arial"/>
        </w:rPr>
        <w:t xml:space="preserve"> al modificar su respuesta, el recurso de revisión quedó </w:t>
      </w:r>
      <w:r w:rsidRPr="00C40C29">
        <w:rPr>
          <w:rFonts w:eastAsiaTheme="minorEastAsia" w:cs="Arial"/>
        </w:rPr>
        <w:t>sin materia</w:t>
      </w:r>
      <w:r>
        <w:rPr>
          <w:rFonts w:eastAsiaTheme="minorEastAsia" w:cs="Arial"/>
        </w:rPr>
        <w:t xml:space="preserve">, en términos del </w:t>
      </w:r>
      <w:r w:rsidRPr="00C40C29">
        <w:rPr>
          <w:rFonts w:eastAsiaTheme="minorEastAsia" w:cs="Arial"/>
        </w:rPr>
        <w:t xml:space="preserve">artículo 192 fracción III de la Ley de Transparencia y Acceso a la Información Pública del Estado de México y Municipios, en términos del Considerando </w:t>
      </w:r>
      <w:r w:rsidR="000E5B95">
        <w:rPr>
          <w:rFonts w:eastAsiaTheme="minorEastAsia" w:cs="Arial"/>
          <w:b/>
        </w:rPr>
        <w:t>CUARTO</w:t>
      </w:r>
      <w:r w:rsidRPr="00C40C29">
        <w:rPr>
          <w:rFonts w:eastAsiaTheme="minorEastAsia" w:cs="Arial"/>
        </w:rPr>
        <w:t xml:space="preserve"> de la presente resolución.</w:t>
      </w:r>
    </w:p>
    <w:p w14:paraId="7FE26596" w14:textId="77777777" w:rsidR="000E5B95" w:rsidRDefault="000E5B95" w:rsidP="00630023">
      <w:pPr>
        <w:tabs>
          <w:tab w:val="left" w:pos="8647"/>
        </w:tabs>
        <w:ind w:right="51"/>
        <w:rPr>
          <w:rFonts w:eastAsiaTheme="minorEastAsia" w:cs="Arial"/>
        </w:rPr>
      </w:pPr>
    </w:p>
    <w:p w14:paraId="4FAE1737" w14:textId="77777777" w:rsidR="00630023" w:rsidRDefault="00630023" w:rsidP="00630023">
      <w:pPr>
        <w:tabs>
          <w:tab w:val="left" w:pos="8647"/>
        </w:tabs>
        <w:ind w:right="51"/>
        <w:rPr>
          <w:rFonts w:eastAsiaTheme="minorEastAsia" w:cs="Arial"/>
        </w:rPr>
      </w:pPr>
      <w:r w:rsidRPr="00895C52">
        <w:rPr>
          <w:rFonts w:eastAsiaTheme="minorEastAsia" w:cs="Arial"/>
          <w:b/>
          <w:sz w:val="28"/>
        </w:rPr>
        <w:t>SEGUNDO</w:t>
      </w:r>
      <w:r w:rsidRPr="00895C52">
        <w:rPr>
          <w:rFonts w:eastAsiaTheme="minorEastAsia" w:cs="Arial"/>
          <w:b/>
        </w:rPr>
        <w:t>.</w:t>
      </w:r>
      <w:r w:rsidRPr="00895C52">
        <w:rPr>
          <w:rFonts w:eastAsiaTheme="minorEastAsia" w:cs="Arial"/>
        </w:rPr>
        <w:t xml:space="preserve"> </w:t>
      </w:r>
      <w:r w:rsidRPr="00895C52">
        <w:rPr>
          <w:rFonts w:eastAsiaTheme="minorEastAsia" w:cs="Arial"/>
          <w:b/>
        </w:rPr>
        <w:t>NOTIFÍQUESE</w:t>
      </w:r>
      <w:r w:rsidRPr="00895C52">
        <w:rPr>
          <w:rFonts w:eastAsiaTheme="minorEastAsia" w:cs="Arial"/>
        </w:rPr>
        <w:t xml:space="preserve"> vía </w:t>
      </w:r>
      <w:r w:rsidRPr="00895C52">
        <w:t>Sistema de Acceso a la Información Mexiquense</w:t>
      </w:r>
      <w:r w:rsidRPr="00DB139B">
        <w:rPr>
          <w:rFonts w:eastAsiaTheme="minorEastAsia" w:cs="Arial"/>
          <w:b/>
          <w:bCs/>
        </w:rPr>
        <w:t xml:space="preserve"> </w:t>
      </w:r>
      <w:r>
        <w:rPr>
          <w:rFonts w:eastAsiaTheme="minorEastAsia" w:cs="Arial"/>
          <w:b/>
          <w:bCs/>
        </w:rPr>
        <w:t>(</w:t>
      </w:r>
      <w:r w:rsidRPr="00DB139B">
        <w:rPr>
          <w:rFonts w:eastAsiaTheme="minorEastAsia" w:cs="Arial"/>
          <w:b/>
          <w:bCs/>
        </w:rPr>
        <w:t>SAIMEX</w:t>
      </w:r>
      <w:r>
        <w:rPr>
          <w:rFonts w:eastAsiaTheme="minorEastAsia" w:cs="Arial"/>
          <w:b/>
          <w:bCs/>
        </w:rPr>
        <w:t>)</w:t>
      </w:r>
      <w:r w:rsidRPr="00895C52">
        <w:rPr>
          <w:rFonts w:eastAsiaTheme="minorEastAsia" w:cs="Arial"/>
        </w:rPr>
        <w:t xml:space="preserve"> la presente resolución al Titular de la Unidad de Transparencia del </w:t>
      </w:r>
      <w:r w:rsidRPr="00895C52">
        <w:rPr>
          <w:rFonts w:eastAsiaTheme="minorEastAsia" w:cs="Arial"/>
          <w:b/>
        </w:rPr>
        <w:t>Sujeto Obligado</w:t>
      </w:r>
      <w:r w:rsidRPr="00895C52">
        <w:rPr>
          <w:rFonts w:eastAsiaTheme="minorEastAsia" w:cs="Arial"/>
        </w:rPr>
        <w:t>.</w:t>
      </w:r>
    </w:p>
    <w:p w14:paraId="64BD6854" w14:textId="77777777" w:rsidR="00630023" w:rsidRDefault="00630023" w:rsidP="00630023">
      <w:pPr>
        <w:tabs>
          <w:tab w:val="left" w:pos="8647"/>
        </w:tabs>
        <w:ind w:right="51"/>
        <w:rPr>
          <w:rFonts w:eastAsiaTheme="minorEastAsia" w:cs="Arial"/>
        </w:rPr>
      </w:pPr>
    </w:p>
    <w:p w14:paraId="20A99F82" w14:textId="4284D510" w:rsidR="004841FE" w:rsidRPr="002C04F1" w:rsidRDefault="00630023" w:rsidP="00630023">
      <w:pPr>
        <w:pBdr>
          <w:top w:val="nil"/>
          <w:left w:val="nil"/>
          <w:bottom w:val="nil"/>
          <w:right w:val="nil"/>
          <w:between w:val="nil"/>
        </w:pBdr>
        <w:rPr>
          <w:rFonts w:eastAsia="Palatino Linotype" w:cs="Palatino Linotype"/>
          <w:color w:val="000000"/>
          <w:szCs w:val="24"/>
          <w:lang w:val="es-MX"/>
        </w:rPr>
      </w:pPr>
      <w:r w:rsidRPr="00895C52">
        <w:rPr>
          <w:rFonts w:cs="Arial"/>
          <w:b/>
          <w:sz w:val="28"/>
        </w:rPr>
        <w:t>TERCERO</w:t>
      </w:r>
      <w:r w:rsidRPr="00895C52">
        <w:rPr>
          <w:rFonts w:cs="Arial"/>
          <w:b/>
        </w:rPr>
        <w:t>.</w:t>
      </w:r>
      <w:r w:rsidRPr="00895C52">
        <w:rPr>
          <w:rFonts w:cs="Arial"/>
        </w:rPr>
        <w:t xml:space="preserve"> </w:t>
      </w:r>
      <w:r w:rsidRPr="00895C52">
        <w:rPr>
          <w:rFonts w:cs="Arial"/>
          <w:b/>
        </w:rPr>
        <w:t>NOTIFÍQUESE</w:t>
      </w:r>
      <w:r w:rsidRPr="00895C52">
        <w:rPr>
          <w:rFonts w:cs="Arial"/>
        </w:rPr>
        <w:t xml:space="preserve"> a través del</w:t>
      </w:r>
      <w:r w:rsidRPr="00895C52">
        <w:t xml:space="preserve"> Sistema de Acceso a la Información Mexiquense </w:t>
      </w:r>
      <w:r w:rsidRPr="00DB139B">
        <w:rPr>
          <w:b/>
          <w:bCs/>
        </w:rPr>
        <w:t>(SAIMEX)</w:t>
      </w:r>
      <w:r w:rsidRPr="00DB139B">
        <w:rPr>
          <w:rFonts w:cs="Arial"/>
          <w:b/>
          <w:bCs/>
        </w:rPr>
        <w:t>,</w:t>
      </w:r>
      <w:r w:rsidRPr="00895C52">
        <w:rPr>
          <w:rFonts w:cs="Arial"/>
        </w:rPr>
        <w:t xml:space="preserve"> </w:t>
      </w:r>
      <w:r>
        <w:rPr>
          <w:rFonts w:cs="Arial"/>
        </w:rPr>
        <w:t>al</w:t>
      </w:r>
      <w:r w:rsidRPr="00895C52">
        <w:rPr>
          <w:rFonts w:cs="Arial"/>
        </w:rPr>
        <w:t xml:space="preserve"> </w:t>
      </w:r>
      <w:r w:rsidRPr="00895C52">
        <w:rPr>
          <w:rFonts w:cs="Arial"/>
          <w:b/>
        </w:rPr>
        <w:t xml:space="preserve">RECURRENTE </w:t>
      </w:r>
      <w:r w:rsidRPr="00895C52">
        <w:rPr>
          <w:rFonts w:cs="Arial"/>
        </w:rPr>
        <w:t>la presente resolución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47A6D070" w14:textId="77777777" w:rsidR="00AD43DF" w:rsidRDefault="00AD43DF" w:rsidP="006922F5">
      <w:pPr>
        <w:pBdr>
          <w:top w:val="nil"/>
          <w:left w:val="nil"/>
          <w:bottom w:val="nil"/>
          <w:right w:val="nil"/>
          <w:between w:val="nil"/>
        </w:pBdr>
        <w:contextualSpacing/>
        <w:rPr>
          <w:szCs w:val="24"/>
          <w:lang w:val="es-MX"/>
        </w:rPr>
      </w:pPr>
    </w:p>
    <w:p w14:paraId="6338624D" w14:textId="77777777" w:rsidR="00630023" w:rsidRDefault="00630023" w:rsidP="006922F5">
      <w:pPr>
        <w:pBdr>
          <w:top w:val="nil"/>
          <w:left w:val="nil"/>
          <w:bottom w:val="nil"/>
          <w:right w:val="nil"/>
          <w:between w:val="nil"/>
        </w:pBdr>
        <w:contextualSpacing/>
        <w:rPr>
          <w:szCs w:val="24"/>
          <w:lang w:val="es-MX"/>
        </w:rPr>
      </w:pPr>
    </w:p>
    <w:p w14:paraId="2B60257A" w14:textId="77777777" w:rsidR="000E5B95" w:rsidRDefault="000E5B95" w:rsidP="006922F5">
      <w:pPr>
        <w:pBdr>
          <w:top w:val="nil"/>
          <w:left w:val="nil"/>
          <w:bottom w:val="nil"/>
          <w:right w:val="nil"/>
          <w:between w:val="nil"/>
        </w:pBdr>
        <w:contextualSpacing/>
        <w:rPr>
          <w:szCs w:val="24"/>
          <w:lang w:val="es-MX"/>
        </w:rPr>
      </w:pPr>
    </w:p>
    <w:p w14:paraId="05200768" w14:textId="77777777" w:rsidR="00630023" w:rsidRPr="004841FE" w:rsidRDefault="00630023" w:rsidP="006922F5">
      <w:pPr>
        <w:pBdr>
          <w:top w:val="nil"/>
          <w:left w:val="nil"/>
          <w:bottom w:val="nil"/>
          <w:right w:val="nil"/>
          <w:between w:val="nil"/>
        </w:pBdr>
        <w:contextualSpacing/>
        <w:rPr>
          <w:szCs w:val="24"/>
          <w:lang w:val="es-MX"/>
        </w:rPr>
      </w:pPr>
    </w:p>
    <w:p w14:paraId="20573BFF" w14:textId="095D51EF" w:rsidR="00A970D5" w:rsidRPr="006922F5" w:rsidRDefault="005A45B1" w:rsidP="00630023">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w:t>
      </w:r>
      <w:r w:rsidR="00247FE8">
        <w:rPr>
          <w:rFonts w:eastAsia="Palatino Linotype" w:cs="Palatino Linotype"/>
          <w:color w:val="000000"/>
          <w:szCs w:val="24"/>
        </w:rPr>
        <w:t xml:space="preserve"> POR UNANIMIDAD</w:t>
      </w:r>
      <w:r>
        <w:rPr>
          <w:rFonts w:eastAsia="Palatino Linotype" w:cs="Palatino Linotype"/>
          <w:color w:val="000000"/>
          <w:szCs w:val="24"/>
        </w:rPr>
        <w:t xml:space="preserve"> </w:t>
      </w:r>
      <w:r w:rsidR="006922F5">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w:t>
      </w:r>
      <w:r w:rsidR="003A32F7">
        <w:rPr>
          <w:rFonts w:eastAsia="Palatino Linotype" w:cs="Palatino Linotype"/>
          <w:color w:val="000000"/>
          <w:szCs w:val="24"/>
        </w:rPr>
        <w:t xml:space="preserve"> (AUSENCIA JUSTIFICADA)</w:t>
      </w:r>
      <w:r w:rsidR="006922F5">
        <w:rPr>
          <w:rFonts w:eastAsia="Palatino Linotype" w:cs="Palatino Linotype"/>
          <w:color w:val="000000"/>
          <w:szCs w:val="24"/>
        </w:rPr>
        <w:t>, SHARON CRISTINA MORALES MARTÍNEZ, LUIS GUSTAVO PARRA NORIEGA Y GUADALUPE RAMÍREZ PEÑA</w:t>
      </w:r>
      <w:r w:rsidR="003A32F7">
        <w:rPr>
          <w:rFonts w:eastAsia="Palatino Linotype" w:cs="Palatino Linotype"/>
          <w:color w:val="000000"/>
          <w:szCs w:val="24"/>
        </w:rPr>
        <w:t xml:space="preserve"> (AUSENCIA JUSTIFICADA)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0E5B95">
        <w:rPr>
          <w:rFonts w:eastAsia="Palatino Linotype" w:cs="Palatino Linotype"/>
          <w:color w:val="000000"/>
          <w:szCs w:val="24"/>
        </w:rPr>
        <w:t>DÉCIMA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0E5B95">
        <w:rPr>
          <w:rFonts w:eastAsia="Palatino Linotype" w:cs="Palatino Linotype"/>
          <w:color w:val="000000"/>
          <w:szCs w:val="24"/>
        </w:rPr>
        <w:t xml:space="preserve">VEINTIUNO DE MARZO </w:t>
      </w:r>
      <w:r w:rsidR="00DF6972">
        <w:rPr>
          <w:rFonts w:eastAsia="Palatino Linotype" w:cs="Palatino Linotype"/>
          <w:color w:val="000000"/>
          <w:szCs w:val="24"/>
        </w:rPr>
        <w:t>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8C77CE">
        <w:rPr>
          <w:rFonts w:eastAsia="Palatino Linotype" w:cs="Palatino Linotype"/>
          <w:color w:val="000000"/>
          <w:szCs w:val="24"/>
        </w:rPr>
        <w:t>---------------------------------------------------------------------------------------------------------------------------------------------------------------------------------------------------------------------------------------------------------------------------------------------------------------------------------------------------------------------------------------------------------------------------------------------------------------------------------------------------------------------------------------------------------------------------------------------------------------------------------------------------------------------------------------------------------------------------------------------------------------------------------------------------------------------------------------------------------------------------------------------------------------------------------------------------------------------------------------------------------------------------------------------------------------------------------------------------------------------------------------------------------------------------------------------------------------------------------------------------------------------------------------------------------------------------------------------------------------------------------------------------------------------------------------------------------------------------------------------------------------------------------------------------------------------------------------------------------------------------------------------------------------------------------------------------------------------</w:t>
      </w:r>
      <w:r w:rsidR="003A32F7">
        <w:rPr>
          <w:rFonts w:eastAsia="Palatino Linotype" w:cs="Palatino Linotype"/>
          <w:color w:val="000000"/>
          <w:szCs w:val="24"/>
        </w:rPr>
        <w:t>-------------------------------</w:t>
      </w:r>
    </w:p>
    <w:p w14:paraId="4DA57669" w14:textId="3A5214E9" w:rsidR="00A970D5" w:rsidRPr="004B7011" w:rsidRDefault="000E5B95" w:rsidP="00630023">
      <w:pPr>
        <w:pBdr>
          <w:top w:val="nil"/>
          <w:left w:val="nil"/>
          <w:bottom w:val="nil"/>
          <w:right w:val="nil"/>
          <w:between w:val="nil"/>
        </w:pBdr>
        <w:contextualSpacing/>
        <w:rPr>
          <w:rFonts w:eastAsia="Palatino Linotype" w:cs="Palatino Linotype"/>
          <w:color w:val="000000"/>
          <w:sz w:val="20"/>
          <w:szCs w:val="20"/>
          <w:lang w:val="es-ES"/>
        </w:rPr>
      </w:pPr>
      <w:r>
        <w:rPr>
          <w:rFonts w:eastAsia="Palatino Linotype" w:cs="Palatino Linotype"/>
          <w:color w:val="000000" w:themeColor="text1"/>
          <w:sz w:val="20"/>
          <w:szCs w:val="20"/>
          <w:lang w:val="es-ES"/>
        </w:rPr>
        <w:t>JMV/CCR/</w:t>
      </w:r>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1444A7">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1B00" w14:textId="77777777" w:rsidR="001444A7" w:rsidRDefault="001444A7" w:rsidP="00F2498E">
      <w:pPr>
        <w:spacing w:line="240" w:lineRule="auto"/>
      </w:pPr>
      <w:r>
        <w:separator/>
      </w:r>
    </w:p>
  </w:endnote>
  <w:endnote w:type="continuationSeparator" w:id="0">
    <w:p w14:paraId="0DBBB99D" w14:textId="77777777" w:rsidR="001444A7" w:rsidRDefault="001444A7" w:rsidP="00F2498E">
      <w:pPr>
        <w:spacing w:line="240" w:lineRule="auto"/>
      </w:pPr>
      <w:r>
        <w:continuationSeparator/>
      </w:r>
    </w:p>
  </w:endnote>
  <w:endnote w:type="continuationNotice" w:id="1">
    <w:p w14:paraId="3F51C117" w14:textId="77777777" w:rsidR="001444A7" w:rsidRDefault="001444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C70FE8" w:rsidRPr="00871A91" w:rsidRDefault="00C70FE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F712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F712F">
      <w:rPr>
        <w:rFonts w:ascii="Palatino Linotype" w:hAnsi="Palatino Linotype"/>
        <w:b/>
        <w:bCs/>
        <w:noProof/>
        <w:sz w:val="20"/>
      </w:rPr>
      <w:t>29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C70FE8" w:rsidRPr="00871A91" w:rsidRDefault="00C70FE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F712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F712F">
      <w:rPr>
        <w:rFonts w:ascii="Palatino Linotype" w:hAnsi="Palatino Linotype"/>
        <w:b/>
        <w:bCs/>
        <w:noProof/>
        <w:sz w:val="20"/>
      </w:rPr>
      <w:t>29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D671C" w14:textId="77777777" w:rsidR="001444A7" w:rsidRDefault="001444A7" w:rsidP="00F2498E">
      <w:pPr>
        <w:spacing w:line="240" w:lineRule="auto"/>
      </w:pPr>
      <w:r>
        <w:separator/>
      </w:r>
    </w:p>
  </w:footnote>
  <w:footnote w:type="continuationSeparator" w:id="0">
    <w:p w14:paraId="5DA62BBB" w14:textId="77777777" w:rsidR="001444A7" w:rsidRDefault="001444A7" w:rsidP="00F2498E">
      <w:pPr>
        <w:spacing w:line="240" w:lineRule="auto"/>
      </w:pPr>
      <w:r>
        <w:continuationSeparator/>
      </w:r>
    </w:p>
  </w:footnote>
  <w:footnote w:type="continuationNotice" w:id="1">
    <w:p w14:paraId="574B2175" w14:textId="77777777" w:rsidR="001444A7" w:rsidRDefault="001444A7">
      <w:pPr>
        <w:spacing w:line="240" w:lineRule="auto"/>
      </w:pPr>
    </w:p>
  </w:footnote>
  <w:footnote w:id="2">
    <w:p w14:paraId="2348F3B8" w14:textId="77777777" w:rsidR="00C70FE8" w:rsidRPr="0031280C" w:rsidRDefault="00C70FE8"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C70FE8" w:rsidRPr="0031280C" w:rsidRDefault="00C70FE8"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C70FE8" w:rsidRPr="0031280C" w:rsidRDefault="00C70FE8"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C70FE8" w:rsidRPr="0031280C" w:rsidRDefault="00C70FE8"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70FE8" w:rsidRDefault="000F712F">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70FE8" w:rsidRPr="00B17577" w14:paraId="37B9EBDE" w14:textId="77777777" w:rsidTr="005F2892">
      <w:trPr>
        <w:trHeight w:val="227"/>
      </w:trPr>
      <w:tc>
        <w:tcPr>
          <w:tcW w:w="4678" w:type="dxa"/>
          <w:hideMark/>
        </w:tcPr>
        <w:p w14:paraId="4964FBC5" w14:textId="54CDA645" w:rsidR="00C70FE8" w:rsidRPr="00096248" w:rsidRDefault="00C70FE8"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0D51AA65" w:rsidR="00C70FE8" w:rsidRPr="00096248" w:rsidRDefault="00C70FE8" w:rsidP="00C02107">
          <w:pPr>
            <w:spacing w:after="120" w:line="240" w:lineRule="auto"/>
            <w:ind w:right="71"/>
            <w:jc w:val="right"/>
            <w:rPr>
              <w:rFonts w:cs="Arial"/>
              <w:b/>
              <w:szCs w:val="24"/>
            </w:rPr>
          </w:pPr>
          <w:r>
            <w:rPr>
              <w:rFonts w:cs="Arial"/>
              <w:b/>
              <w:bCs/>
              <w:szCs w:val="24"/>
            </w:rPr>
            <w:t>0</w:t>
          </w:r>
          <w:r w:rsidR="00C02107">
            <w:rPr>
              <w:rFonts w:cs="Arial"/>
              <w:b/>
              <w:bCs/>
              <w:szCs w:val="24"/>
            </w:rPr>
            <w:t>7085</w:t>
          </w:r>
          <w:r w:rsidRPr="00096248">
            <w:rPr>
              <w:rFonts w:cs="Arial"/>
              <w:b/>
              <w:bCs/>
              <w:szCs w:val="24"/>
            </w:rPr>
            <w:t>/INFOEM/IP/RR/202</w:t>
          </w:r>
          <w:r>
            <w:rPr>
              <w:rFonts w:cs="Arial"/>
              <w:b/>
              <w:bCs/>
              <w:szCs w:val="24"/>
            </w:rPr>
            <w:t>3</w:t>
          </w:r>
        </w:p>
      </w:tc>
    </w:tr>
    <w:tr w:rsidR="00C70FE8" w14:paraId="7591D3C9" w14:textId="77777777" w:rsidTr="005F2892">
      <w:trPr>
        <w:trHeight w:val="242"/>
      </w:trPr>
      <w:tc>
        <w:tcPr>
          <w:tcW w:w="4678" w:type="dxa"/>
          <w:hideMark/>
        </w:tcPr>
        <w:p w14:paraId="729A65A8" w14:textId="77777777" w:rsidR="00C70FE8" w:rsidRPr="00096248" w:rsidRDefault="00C70FE8"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39C2A2C2" w:rsidR="00C70FE8" w:rsidRPr="00096248" w:rsidRDefault="00C02107" w:rsidP="00011C4D">
          <w:pPr>
            <w:spacing w:after="120" w:line="240" w:lineRule="auto"/>
            <w:ind w:left="-81" w:right="71"/>
            <w:jc w:val="right"/>
            <w:rPr>
              <w:rFonts w:cs="Arial"/>
              <w:szCs w:val="24"/>
            </w:rPr>
          </w:pPr>
          <w:r w:rsidRPr="00C02107">
            <w:rPr>
              <w:rFonts w:cs="Arial"/>
              <w:szCs w:val="24"/>
            </w:rPr>
            <w:t>Secretaría de Desarrollo Urbano y Obra</w:t>
          </w:r>
        </w:p>
      </w:tc>
    </w:tr>
    <w:tr w:rsidR="00C70FE8" w:rsidRPr="00F63239" w14:paraId="037E914D" w14:textId="77777777" w:rsidTr="005F2892">
      <w:trPr>
        <w:trHeight w:val="342"/>
      </w:trPr>
      <w:tc>
        <w:tcPr>
          <w:tcW w:w="4678" w:type="dxa"/>
          <w:hideMark/>
        </w:tcPr>
        <w:p w14:paraId="7676B68F" w14:textId="64D69EAF" w:rsidR="00C70FE8" w:rsidRPr="00096248" w:rsidRDefault="00C70FE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C70FE8" w:rsidRDefault="00C70FE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70FE8" w:rsidRPr="00711916" w:rsidRDefault="00C70FE8" w:rsidP="00011C4D">
          <w:pPr>
            <w:spacing w:after="120" w:line="240" w:lineRule="auto"/>
            <w:ind w:left="-486" w:right="71" w:firstLine="567"/>
            <w:jc w:val="right"/>
            <w:rPr>
              <w:rFonts w:cs="Arial"/>
              <w:sz w:val="2"/>
              <w:szCs w:val="2"/>
            </w:rPr>
          </w:pPr>
        </w:p>
      </w:tc>
    </w:tr>
  </w:tbl>
  <w:p w14:paraId="2998DBFD" w14:textId="07A0D97A" w:rsidR="00C70FE8" w:rsidRPr="00871A91" w:rsidRDefault="000F712F">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70FE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70FE8" w14:paraId="0F9FE9B6" w14:textId="77777777" w:rsidTr="005F2892">
      <w:trPr>
        <w:trHeight w:val="227"/>
      </w:trPr>
      <w:tc>
        <w:tcPr>
          <w:tcW w:w="4678" w:type="dxa"/>
          <w:hideMark/>
        </w:tcPr>
        <w:p w14:paraId="6D1D9D71" w14:textId="11150E5A" w:rsidR="00C70FE8" w:rsidRPr="00663A37" w:rsidRDefault="00C70FE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6F499D53" w:rsidR="00C70FE8" w:rsidRPr="00C81ECD" w:rsidRDefault="00C70FE8" w:rsidP="00011C4D">
          <w:pPr>
            <w:spacing w:after="120" w:line="240" w:lineRule="auto"/>
            <w:ind w:left="-486" w:right="68" w:firstLine="558"/>
            <w:jc w:val="right"/>
            <w:rPr>
              <w:rFonts w:cs="Arial"/>
              <w:b/>
              <w:szCs w:val="24"/>
            </w:rPr>
          </w:pPr>
          <w:r>
            <w:rPr>
              <w:rFonts w:cs="Arial"/>
              <w:b/>
              <w:bCs/>
              <w:szCs w:val="24"/>
            </w:rPr>
            <w:t>0</w:t>
          </w:r>
          <w:r w:rsidR="00C02107">
            <w:rPr>
              <w:rFonts w:cs="Arial"/>
              <w:b/>
              <w:bCs/>
              <w:szCs w:val="24"/>
            </w:rPr>
            <w:t>7085</w:t>
          </w:r>
          <w:r>
            <w:rPr>
              <w:rFonts w:cs="Arial"/>
              <w:b/>
              <w:bCs/>
              <w:szCs w:val="24"/>
            </w:rPr>
            <w:t>/INFOEM/IP/RR/2023</w:t>
          </w:r>
        </w:p>
      </w:tc>
    </w:tr>
    <w:tr w:rsidR="00C70FE8" w:rsidRPr="001F57CD" w14:paraId="1377D264" w14:textId="77777777" w:rsidTr="005F2892">
      <w:trPr>
        <w:trHeight w:val="196"/>
      </w:trPr>
      <w:tc>
        <w:tcPr>
          <w:tcW w:w="4678" w:type="dxa"/>
          <w:hideMark/>
        </w:tcPr>
        <w:p w14:paraId="04D597A1" w14:textId="77777777" w:rsidR="00C70FE8" w:rsidRPr="00663A37" w:rsidRDefault="00C70FE8"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15B24088" w:rsidR="00C70FE8" w:rsidRPr="00663A37" w:rsidRDefault="000F712F" w:rsidP="00657695">
          <w:pPr>
            <w:spacing w:after="120" w:line="240" w:lineRule="auto"/>
            <w:ind w:right="68"/>
            <w:jc w:val="right"/>
            <w:rPr>
              <w:rFonts w:cs="Arial"/>
              <w:szCs w:val="24"/>
            </w:rPr>
          </w:pPr>
          <w:r>
            <w:rPr>
              <w:rFonts w:cs="Arial"/>
              <w:szCs w:val="24"/>
            </w:rPr>
            <w:t>XXXXXXXXXXXXXXXXXXXXXXXX</w:t>
          </w:r>
        </w:p>
      </w:tc>
    </w:tr>
    <w:tr w:rsidR="00C70FE8" w14:paraId="4DC11993" w14:textId="77777777" w:rsidTr="005F2892">
      <w:trPr>
        <w:trHeight w:val="242"/>
      </w:trPr>
      <w:tc>
        <w:tcPr>
          <w:tcW w:w="4678" w:type="dxa"/>
          <w:hideMark/>
        </w:tcPr>
        <w:p w14:paraId="76CEF1B5" w14:textId="77777777" w:rsidR="00C70FE8" w:rsidRPr="00663A37" w:rsidRDefault="00C70FE8"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66862702" w:rsidR="00C70FE8" w:rsidRPr="00663A37" w:rsidRDefault="00C02107" w:rsidP="00011C4D">
          <w:pPr>
            <w:spacing w:after="120" w:line="240" w:lineRule="auto"/>
            <w:ind w:left="-70" w:right="68"/>
            <w:jc w:val="right"/>
            <w:rPr>
              <w:rFonts w:cs="Arial"/>
              <w:szCs w:val="24"/>
            </w:rPr>
          </w:pPr>
          <w:r w:rsidRPr="00C02107">
            <w:rPr>
              <w:rFonts w:cs="Arial"/>
              <w:szCs w:val="24"/>
            </w:rPr>
            <w:t>Secretaría de Desarrollo Urbano y Obra</w:t>
          </w:r>
        </w:p>
      </w:tc>
    </w:tr>
    <w:tr w:rsidR="00C70FE8" w14:paraId="5C2B511D" w14:textId="77777777" w:rsidTr="005F2892">
      <w:trPr>
        <w:trHeight w:val="342"/>
      </w:trPr>
      <w:tc>
        <w:tcPr>
          <w:tcW w:w="4678" w:type="dxa"/>
          <w:hideMark/>
        </w:tcPr>
        <w:p w14:paraId="03FEF68C" w14:textId="45E91CF4" w:rsidR="00C70FE8" w:rsidRPr="00663A37" w:rsidRDefault="00C70FE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C70FE8" w:rsidRPr="00663A37" w:rsidRDefault="00C70FE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C70FE8" w:rsidRPr="00871A91" w:rsidRDefault="000F712F">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70FE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011193"/>
    <w:multiLevelType w:val="hybridMultilevel"/>
    <w:tmpl w:val="96F4B5BA"/>
    <w:lvl w:ilvl="0" w:tplc="512A111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31402920"/>
    <w:multiLevelType w:val="hybridMultilevel"/>
    <w:tmpl w:val="D2A6D278"/>
    <w:lvl w:ilvl="0" w:tplc="CB38BC9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9DF095D"/>
    <w:multiLevelType w:val="hybridMultilevel"/>
    <w:tmpl w:val="E0ACA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8D5D94"/>
    <w:multiLevelType w:val="hybridMultilevel"/>
    <w:tmpl w:val="A4F4A3AE"/>
    <w:styleLink w:val="Listaactual1112"/>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1F18CD"/>
    <w:multiLevelType w:val="hybridMultilevel"/>
    <w:tmpl w:val="31EECCB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BA2654"/>
    <w:multiLevelType w:val="hybridMultilevel"/>
    <w:tmpl w:val="E102B2DA"/>
    <w:lvl w:ilvl="0" w:tplc="041CEFF0">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4"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9"/>
  </w:num>
  <w:num w:numId="3">
    <w:abstractNumId w:val="29"/>
  </w:num>
  <w:num w:numId="4">
    <w:abstractNumId w:val="10"/>
  </w:num>
  <w:num w:numId="5">
    <w:abstractNumId w:val="39"/>
  </w:num>
  <w:num w:numId="6">
    <w:abstractNumId w:val="4"/>
  </w:num>
  <w:num w:numId="7">
    <w:abstractNumId w:val="32"/>
  </w:num>
  <w:num w:numId="8">
    <w:abstractNumId w:val="8"/>
  </w:num>
  <w:num w:numId="9">
    <w:abstractNumId w:val="2"/>
  </w:num>
  <w:num w:numId="10">
    <w:abstractNumId w:val="14"/>
  </w:num>
  <w:num w:numId="11">
    <w:abstractNumId w:val="15"/>
  </w:num>
  <w:num w:numId="12">
    <w:abstractNumId w:val="42"/>
  </w:num>
  <w:num w:numId="13">
    <w:abstractNumId w:val="37"/>
  </w:num>
  <w:num w:numId="14">
    <w:abstractNumId w:val="24"/>
  </w:num>
  <w:num w:numId="15">
    <w:abstractNumId w:val="28"/>
  </w:num>
  <w:num w:numId="16">
    <w:abstractNumId w:val="12"/>
  </w:num>
  <w:num w:numId="17">
    <w:abstractNumId w:val="35"/>
  </w:num>
  <w:num w:numId="18">
    <w:abstractNumId w:val="27"/>
  </w:num>
  <w:num w:numId="19">
    <w:abstractNumId w:val="44"/>
  </w:num>
  <w:num w:numId="20">
    <w:abstractNumId w:val="23"/>
  </w:num>
  <w:num w:numId="21">
    <w:abstractNumId w:val="36"/>
  </w:num>
  <w:num w:numId="22">
    <w:abstractNumId w:val="5"/>
  </w:num>
  <w:num w:numId="23">
    <w:abstractNumId w:val="34"/>
  </w:num>
  <w:num w:numId="24">
    <w:abstractNumId w:val="6"/>
  </w:num>
  <w:num w:numId="25">
    <w:abstractNumId w:val="33"/>
  </w:num>
  <w:num w:numId="26">
    <w:abstractNumId w:val="41"/>
  </w:num>
  <w:num w:numId="27">
    <w:abstractNumId w:val="0"/>
  </w:num>
  <w:num w:numId="28">
    <w:abstractNumId w:val="1"/>
  </w:num>
  <w:num w:numId="29">
    <w:abstractNumId w:val="20"/>
  </w:num>
  <w:num w:numId="30">
    <w:abstractNumId w:val="13"/>
  </w:num>
  <w:num w:numId="31">
    <w:abstractNumId w:val="19"/>
  </w:num>
  <w:num w:numId="32">
    <w:abstractNumId w:val="7"/>
  </w:num>
  <w:num w:numId="33">
    <w:abstractNumId w:val="22"/>
  </w:num>
  <w:num w:numId="34">
    <w:abstractNumId w:val="40"/>
  </w:num>
  <w:num w:numId="35">
    <w:abstractNumId w:val="18"/>
  </w:num>
  <w:num w:numId="36">
    <w:abstractNumId w:val="3"/>
  </w:num>
  <w:num w:numId="37">
    <w:abstractNumId w:val="21"/>
  </w:num>
  <w:num w:numId="38">
    <w:abstractNumId w:val="43"/>
  </w:num>
  <w:num w:numId="39">
    <w:abstractNumId w:val="38"/>
  </w:num>
  <w:num w:numId="40">
    <w:abstractNumId w:val="31"/>
  </w:num>
  <w:num w:numId="41">
    <w:abstractNumId w:val="11"/>
  </w:num>
  <w:num w:numId="42">
    <w:abstractNumId w:val="30"/>
  </w:num>
  <w:num w:numId="43">
    <w:abstractNumId w:val="16"/>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348"/>
    <w:rsid w:val="00015487"/>
    <w:rsid w:val="000154CA"/>
    <w:rsid w:val="000171BE"/>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568"/>
    <w:rsid w:val="00054681"/>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2B86"/>
    <w:rsid w:val="00064854"/>
    <w:rsid w:val="00064C5C"/>
    <w:rsid w:val="00065463"/>
    <w:rsid w:val="000666B3"/>
    <w:rsid w:val="000676A2"/>
    <w:rsid w:val="00067CB5"/>
    <w:rsid w:val="0007107B"/>
    <w:rsid w:val="00072438"/>
    <w:rsid w:val="000739AF"/>
    <w:rsid w:val="00073E10"/>
    <w:rsid w:val="00075586"/>
    <w:rsid w:val="00075D5E"/>
    <w:rsid w:val="00076116"/>
    <w:rsid w:val="00076332"/>
    <w:rsid w:val="00077A55"/>
    <w:rsid w:val="00077F28"/>
    <w:rsid w:val="000802BA"/>
    <w:rsid w:val="00082E5D"/>
    <w:rsid w:val="00083498"/>
    <w:rsid w:val="0008496A"/>
    <w:rsid w:val="00085E3C"/>
    <w:rsid w:val="00085EA2"/>
    <w:rsid w:val="0008628E"/>
    <w:rsid w:val="000864CC"/>
    <w:rsid w:val="0008737D"/>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A00BB"/>
    <w:rsid w:val="000A0FC9"/>
    <w:rsid w:val="000A110B"/>
    <w:rsid w:val="000A1D0D"/>
    <w:rsid w:val="000A1D2C"/>
    <w:rsid w:val="000A2CA6"/>
    <w:rsid w:val="000A2F65"/>
    <w:rsid w:val="000A3F41"/>
    <w:rsid w:val="000A4202"/>
    <w:rsid w:val="000A5EA1"/>
    <w:rsid w:val="000A7D80"/>
    <w:rsid w:val="000B1F27"/>
    <w:rsid w:val="000B2390"/>
    <w:rsid w:val="000B28CF"/>
    <w:rsid w:val="000B350D"/>
    <w:rsid w:val="000B4159"/>
    <w:rsid w:val="000B41F6"/>
    <w:rsid w:val="000B491D"/>
    <w:rsid w:val="000B51CE"/>
    <w:rsid w:val="000B5608"/>
    <w:rsid w:val="000B5690"/>
    <w:rsid w:val="000B65C3"/>
    <w:rsid w:val="000C0203"/>
    <w:rsid w:val="000C066A"/>
    <w:rsid w:val="000C0E5D"/>
    <w:rsid w:val="000C1741"/>
    <w:rsid w:val="000C1FE0"/>
    <w:rsid w:val="000C2D59"/>
    <w:rsid w:val="000C416A"/>
    <w:rsid w:val="000C51AF"/>
    <w:rsid w:val="000C568A"/>
    <w:rsid w:val="000C661C"/>
    <w:rsid w:val="000C7472"/>
    <w:rsid w:val="000C7BF9"/>
    <w:rsid w:val="000C7F8F"/>
    <w:rsid w:val="000D0CD3"/>
    <w:rsid w:val="000D14DA"/>
    <w:rsid w:val="000D1955"/>
    <w:rsid w:val="000D2C63"/>
    <w:rsid w:val="000D2E93"/>
    <w:rsid w:val="000D3C8A"/>
    <w:rsid w:val="000D3E96"/>
    <w:rsid w:val="000D5244"/>
    <w:rsid w:val="000D55D2"/>
    <w:rsid w:val="000D5634"/>
    <w:rsid w:val="000D56B9"/>
    <w:rsid w:val="000D5C00"/>
    <w:rsid w:val="000D609A"/>
    <w:rsid w:val="000D66A1"/>
    <w:rsid w:val="000D7340"/>
    <w:rsid w:val="000D772A"/>
    <w:rsid w:val="000E06A3"/>
    <w:rsid w:val="000E0D32"/>
    <w:rsid w:val="000E1FD4"/>
    <w:rsid w:val="000E27CE"/>
    <w:rsid w:val="000E2BAC"/>
    <w:rsid w:val="000E35E0"/>
    <w:rsid w:val="000E37D0"/>
    <w:rsid w:val="000E48E3"/>
    <w:rsid w:val="000E4AFE"/>
    <w:rsid w:val="000E4EBC"/>
    <w:rsid w:val="000E513A"/>
    <w:rsid w:val="000E53A7"/>
    <w:rsid w:val="000E57E9"/>
    <w:rsid w:val="000E57FC"/>
    <w:rsid w:val="000E5B95"/>
    <w:rsid w:val="000E74D7"/>
    <w:rsid w:val="000E7BF6"/>
    <w:rsid w:val="000F015F"/>
    <w:rsid w:val="000F0B57"/>
    <w:rsid w:val="000F114E"/>
    <w:rsid w:val="000F146C"/>
    <w:rsid w:val="000F196A"/>
    <w:rsid w:val="000F367A"/>
    <w:rsid w:val="000F505E"/>
    <w:rsid w:val="000F54F6"/>
    <w:rsid w:val="000F712F"/>
    <w:rsid w:val="000F7D93"/>
    <w:rsid w:val="0010147E"/>
    <w:rsid w:val="0010149D"/>
    <w:rsid w:val="00103A9A"/>
    <w:rsid w:val="00103C89"/>
    <w:rsid w:val="00103D8C"/>
    <w:rsid w:val="001050A9"/>
    <w:rsid w:val="001059AF"/>
    <w:rsid w:val="001067FE"/>
    <w:rsid w:val="00107256"/>
    <w:rsid w:val="0011071D"/>
    <w:rsid w:val="001107C4"/>
    <w:rsid w:val="0011110C"/>
    <w:rsid w:val="001116B7"/>
    <w:rsid w:val="0011295F"/>
    <w:rsid w:val="00114F1E"/>
    <w:rsid w:val="00115495"/>
    <w:rsid w:val="00116E4B"/>
    <w:rsid w:val="00116F6B"/>
    <w:rsid w:val="00121842"/>
    <w:rsid w:val="00121F46"/>
    <w:rsid w:val="00122245"/>
    <w:rsid w:val="001235A0"/>
    <w:rsid w:val="00123D0B"/>
    <w:rsid w:val="00124B26"/>
    <w:rsid w:val="0012508E"/>
    <w:rsid w:val="00127EC8"/>
    <w:rsid w:val="00130C18"/>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4A7"/>
    <w:rsid w:val="00144A6E"/>
    <w:rsid w:val="00144ABF"/>
    <w:rsid w:val="00144BA8"/>
    <w:rsid w:val="00145C22"/>
    <w:rsid w:val="001464CD"/>
    <w:rsid w:val="0014696E"/>
    <w:rsid w:val="00146971"/>
    <w:rsid w:val="00150293"/>
    <w:rsid w:val="001502AD"/>
    <w:rsid w:val="001504AE"/>
    <w:rsid w:val="001509C0"/>
    <w:rsid w:val="00151044"/>
    <w:rsid w:val="00151431"/>
    <w:rsid w:val="00151764"/>
    <w:rsid w:val="00151FF5"/>
    <w:rsid w:val="00152B40"/>
    <w:rsid w:val="001530E5"/>
    <w:rsid w:val="00154548"/>
    <w:rsid w:val="00154F75"/>
    <w:rsid w:val="00155150"/>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B8F"/>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BDF"/>
    <w:rsid w:val="001A6849"/>
    <w:rsid w:val="001A6BF1"/>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C7F60"/>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CE0"/>
    <w:rsid w:val="00261886"/>
    <w:rsid w:val="00261A13"/>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7E1"/>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1797"/>
    <w:rsid w:val="002A51B8"/>
    <w:rsid w:val="002A564E"/>
    <w:rsid w:val="002A5ADD"/>
    <w:rsid w:val="002A5FDF"/>
    <w:rsid w:val="002A6FCE"/>
    <w:rsid w:val="002A7501"/>
    <w:rsid w:val="002A79CB"/>
    <w:rsid w:val="002A7D8D"/>
    <w:rsid w:val="002B0EA1"/>
    <w:rsid w:val="002B317E"/>
    <w:rsid w:val="002B3CE2"/>
    <w:rsid w:val="002B3EA9"/>
    <w:rsid w:val="002B40FF"/>
    <w:rsid w:val="002B44C4"/>
    <w:rsid w:val="002B5F48"/>
    <w:rsid w:val="002B6841"/>
    <w:rsid w:val="002B7549"/>
    <w:rsid w:val="002B78B9"/>
    <w:rsid w:val="002C0E65"/>
    <w:rsid w:val="002C0E9B"/>
    <w:rsid w:val="002C15CA"/>
    <w:rsid w:val="002C1D17"/>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F05"/>
    <w:rsid w:val="002D2F64"/>
    <w:rsid w:val="002D4953"/>
    <w:rsid w:val="002D5CCE"/>
    <w:rsid w:val="002D639B"/>
    <w:rsid w:val="002D66A5"/>
    <w:rsid w:val="002D785E"/>
    <w:rsid w:val="002E0D37"/>
    <w:rsid w:val="002E0FE2"/>
    <w:rsid w:val="002E10A1"/>
    <w:rsid w:val="002E1484"/>
    <w:rsid w:val="002E2D8A"/>
    <w:rsid w:val="002E37DA"/>
    <w:rsid w:val="002E40AD"/>
    <w:rsid w:val="002E55C9"/>
    <w:rsid w:val="002E5AFA"/>
    <w:rsid w:val="002E72F0"/>
    <w:rsid w:val="002E75F0"/>
    <w:rsid w:val="002F1D03"/>
    <w:rsid w:val="002F368E"/>
    <w:rsid w:val="002F3AAF"/>
    <w:rsid w:val="002F40FF"/>
    <w:rsid w:val="002F4294"/>
    <w:rsid w:val="002F5101"/>
    <w:rsid w:val="002F5C83"/>
    <w:rsid w:val="002F713F"/>
    <w:rsid w:val="002F799E"/>
    <w:rsid w:val="002F7D3E"/>
    <w:rsid w:val="003003D4"/>
    <w:rsid w:val="00300919"/>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1E69"/>
    <w:rsid w:val="00322C67"/>
    <w:rsid w:val="00324F09"/>
    <w:rsid w:val="00325C6E"/>
    <w:rsid w:val="003265D6"/>
    <w:rsid w:val="003275F8"/>
    <w:rsid w:val="0033067E"/>
    <w:rsid w:val="0033070B"/>
    <w:rsid w:val="00331513"/>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0D8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3C2"/>
    <w:rsid w:val="0037172A"/>
    <w:rsid w:val="0037269A"/>
    <w:rsid w:val="0037526D"/>
    <w:rsid w:val="0037545E"/>
    <w:rsid w:val="00376405"/>
    <w:rsid w:val="00376C6A"/>
    <w:rsid w:val="00380A66"/>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2F7"/>
    <w:rsid w:val="003A36BD"/>
    <w:rsid w:val="003A3A32"/>
    <w:rsid w:val="003A4262"/>
    <w:rsid w:val="003A53BF"/>
    <w:rsid w:val="003A59A6"/>
    <w:rsid w:val="003A6AFF"/>
    <w:rsid w:val="003A6D5C"/>
    <w:rsid w:val="003A7D55"/>
    <w:rsid w:val="003A7ED9"/>
    <w:rsid w:val="003B02EE"/>
    <w:rsid w:val="003B0DD6"/>
    <w:rsid w:val="003B10FB"/>
    <w:rsid w:val="003B1154"/>
    <w:rsid w:val="003B11E3"/>
    <w:rsid w:val="003B1752"/>
    <w:rsid w:val="003B279D"/>
    <w:rsid w:val="003B2AAD"/>
    <w:rsid w:val="003B3474"/>
    <w:rsid w:val="003B4BBE"/>
    <w:rsid w:val="003B542D"/>
    <w:rsid w:val="003B5841"/>
    <w:rsid w:val="003B595A"/>
    <w:rsid w:val="003B7208"/>
    <w:rsid w:val="003B7403"/>
    <w:rsid w:val="003B75A5"/>
    <w:rsid w:val="003C09A1"/>
    <w:rsid w:val="003C1100"/>
    <w:rsid w:val="003C1CFB"/>
    <w:rsid w:val="003C1DE6"/>
    <w:rsid w:val="003C27A8"/>
    <w:rsid w:val="003C30DA"/>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1CB7"/>
    <w:rsid w:val="0040213B"/>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0C1"/>
    <w:rsid w:val="00417379"/>
    <w:rsid w:val="004176BF"/>
    <w:rsid w:val="00417B8B"/>
    <w:rsid w:val="004204D0"/>
    <w:rsid w:val="00420AC4"/>
    <w:rsid w:val="004213DC"/>
    <w:rsid w:val="00421DD1"/>
    <w:rsid w:val="00423228"/>
    <w:rsid w:val="004232C6"/>
    <w:rsid w:val="00426124"/>
    <w:rsid w:val="00426222"/>
    <w:rsid w:val="00426F24"/>
    <w:rsid w:val="00430C63"/>
    <w:rsid w:val="004310BB"/>
    <w:rsid w:val="004325EA"/>
    <w:rsid w:val="004338C7"/>
    <w:rsid w:val="00433E65"/>
    <w:rsid w:val="00434C3F"/>
    <w:rsid w:val="00434EAD"/>
    <w:rsid w:val="00435009"/>
    <w:rsid w:val="00437085"/>
    <w:rsid w:val="004406B5"/>
    <w:rsid w:val="00442734"/>
    <w:rsid w:val="004431D5"/>
    <w:rsid w:val="004436C5"/>
    <w:rsid w:val="00444E7F"/>
    <w:rsid w:val="00445514"/>
    <w:rsid w:val="00445853"/>
    <w:rsid w:val="00447748"/>
    <w:rsid w:val="00447A90"/>
    <w:rsid w:val="00451C0A"/>
    <w:rsid w:val="0045354B"/>
    <w:rsid w:val="00453687"/>
    <w:rsid w:val="004536F3"/>
    <w:rsid w:val="004558BD"/>
    <w:rsid w:val="004579DC"/>
    <w:rsid w:val="004607C6"/>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1FE"/>
    <w:rsid w:val="0048423C"/>
    <w:rsid w:val="0048483C"/>
    <w:rsid w:val="00484C7F"/>
    <w:rsid w:val="00485194"/>
    <w:rsid w:val="004875B2"/>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514"/>
    <w:rsid w:val="004B37E3"/>
    <w:rsid w:val="004B3867"/>
    <w:rsid w:val="004B3E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74EA"/>
    <w:rsid w:val="004C75B3"/>
    <w:rsid w:val="004C7D54"/>
    <w:rsid w:val="004D069A"/>
    <w:rsid w:val="004D0CC4"/>
    <w:rsid w:val="004D11A8"/>
    <w:rsid w:val="004D1489"/>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1AE4"/>
    <w:rsid w:val="00512A53"/>
    <w:rsid w:val="00513D8C"/>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986"/>
    <w:rsid w:val="00525F6D"/>
    <w:rsid w:val="0052661E"/>
    <w:rsid w:val="00526627"/>
    <w:rsid w:val="00526DCA"/>
    <w:rsid w:val="00527EF6"/>
    <w:rsid w:val="00530004"/>
    <w:rsid w:val="00531016"/>
    <w:rsid w:val="00532218"/>
    <w:rsid w:val="00533849"/>
    <w:rsid w:val="00533D56"/>
    <w:rsid w:val="0053468B"/>
    <w:rsid w:val="00535912"/>
    <w:rsid w:val="00536373"/>
    <w:rsid w:val="005367E7"/>
    <w:rsid w:val="0053796D"/>
    <w:rsid w:val="0054081E"/>
    <w:rsid w:val="00540926"/>
    <w:rsid w:val="005412A2"/>
    <w:rsid w:val="00542B22"/>
    <w:rsid w:val="00542CDB"/>
    <w:rsid w:val="00543B6B"/>
    <w:rsid w:val="00543B75"/>
    <w:rsid w:val="00544041"/>
    <w:rsid w:val="005449D0"/>
    <w:rsid w:val="00545B24"/>
    <w:rsid w:val="0054712E"/>
    <w:rsid w:val="00550801"/>
    <w:rsid w:val="00550ECE"/>
    <w:rsid w:val="005515F8"/>
    <w:rsid w:val="00553B9B"/>
    <w:rsid w:val="0055407F"/>
    <w:rsid w:val="005543AF"/>
    <w:rsid w:val="00554BBE"/>
    <w:rsid w:val="00554BD4"/>
    <w:rsid w:val="0055572B"/>
    <w:rsid w:val="00555CE3"/>
    <w:rsid w:val="0055603D"/>
    <w:rsid w:val="00556978"/>
    <w:rsid w:val="005600CD"/>
    <w:rsid w:val="00560E60"/>
    <w:rsid w:val="00561255"/>
    <w:rsid w:val="00562117"/>
    <w:rsid w:val="00562E42"/>
    <w:rsid w:val="00563A96"/>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A63"/>
    <w:rsid w:val="00572C2A"/>
    <w:rsid w:val="00572E93"/>
    <w:rsid w:val="00572F6A"/>
    <w:rsid w:val="00573B2C"/>
    <w:rsid w:val="00573B96"/>
    <w:rsid w:val="005742BF"/>
    <w:rsid w:val="00574D31"/>
    <w:rsid w:val="005807A8"/>
    <w:rsid w:val="00580D15"/>
    <w:rsid w:val="00581A2E"/>
    <w:rsid w:val="00584C51"/>
    <w:rsid w:val="00587B1E"/>
    <w:rsid w:val="00587E84"/>
    <w:rsid w:val="005913E6"/>
    <w:rsid w:val="005944ED"/>
    <w:rsid w:val="005964D7"/>
    <w:rsid w:val="00596D61"/>
    <w:rsid w:val="00597018"/>
    <w:rsid w:val="00597D24"/>
    <w:rsid w:val="005A030B"/>
    <w:rsid w:val="005A0521"/>
    <w:rsid w:val="005A1C6D"/>
    <w:rsid w:val="005A1EA5"/>
    <w:rsid w:val="005A2CE7"/>
    <w:rsid w:val="005A2F92"/>
    <w:rsid w:val="005A43E7"/>
    <w:rsid w:val="005A4480"/>
    <w:rsid w:val="005A45B1"/>
    <w:rsid w:val="005A60E9"/>
    <w:rsid w:val="005A6D15"/>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6A5"/>
    <w:rsid w:val="005C3DF3"/>
    <w:rsid w:val="005C5501"/>
    <w:rsid w:val="005C5AEA"/>
    <w:rsid w:val="005C629E"/>
    <w:rsid w:val="005C7AFE"/>
    <w:rsid w:val="005D01B4"/>
    <w:rsid w:val="005D10B3"/>
    <w:rsid w:val="005D158D"/>
    <w:rsid w:val="005D1F9B"/>
    <w:rsid w:val="005D22BC"/>
    <w:rsid w:val="005D3A5F"/>
    <w:rsid w:val="005D43B1"/>
    <w:rsid w:val="005D647C"/>
    <w:rsid w:val="005D6CE0"/>
    <w:rsid w:val="005E006B"/>
    <w:rsid w:val="005E0835"/>
    <w:rsid w:val="005E0E2E"/>
    <w:rsid w:val="005E10A5"/>
    <w:rsid w:val="005E11DB"/>
    <w:rsid w:val="005E1AEC"/>
    <w:rsid w:val="005E21DE"/>
    <w:rsid w:val="005E24C2"/>
    <w:rsid w:val="005E34E9"/>
    <w:rsid w:val="005E35AB"/>
    <w:rsid w:val="005E3E29"/>
    <w:rsid w:val="005E40B7"/>
    <w:rsid w:val="005E4FC6"/>
    <w:rsid w:val="005E68C5"/>
    <w:rsid w:val="005E788B"/>
    <w:rsid w:val="005E7E9F"/>
    <w:rsid w:val="005F1439"/>
    <w:rsid w:val="005F21B0"/>
    <w:rsid w:val="005F2892"/>
    <w:rsid w:val="005F30F1"/>
    <w:rsid w:val="005F3103"/>
    <w:rsid w:val="005F3144"/>
    <w:rsid w:val="005F4D3D"/>
    <w:rsid w:val="005F5B10"/>
    <w:rsid w:val="005F6CAB"/>
    <w:rsid w:val="0060129A"/>
    <w:rsid w:val="0060193A"/>
    <w:rsid w:val="0060244C"/>
    <w:rsid w:val="006055AB"/>
    <w:rsid w:val="00610274"/>
    <w:rsid w:val="00610A95"/>
    <w:rsid w:val="00611CEF"/>
    <w:rsid w:val="006132FD"/>
    <w:rsid w:val="00613401"/>
    <w:rsid w:val="00614674"/>
    <w:rsid w:val="006148A7"/>
    <w:rsid w:val="0061516D"/>
    <w:rsid w:val="00615B10"/>
    <w:rsid w:val="006168EB"/>
    <w:rsid w:val="00616DEB"/>
    <w:rsid w:val="00620DE2"/>
    <w:rsid w:val="0062155F"/>
    <w:rsid w:val="00624E9E"/>
    <w:rsid w:val="0062573B"/>
    <w:rsid w:val="006263D3"/>
    <w:rsid w:val="0062694E"/>
    <w:rsid w:val="00630023"/>
    <w:rsid w:val="00630030"/>
    <w:rsid w:val="00630157"/>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938"/>
    <w:rsid w:val="00646D2C"/>
    <w:rsid w:val="006478AE"/>
    <w:rsid w:val="00647DF7"/>
    <w:rsid w:val="006512F6"/>
    <w:rsid w:val="006538FC"/>
    <w:rsid w:val="00653B0F"/>
    <w:rsid w:val="00655007"/>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4F17"/>
    <w:rsid w:val="00665A8F"/>
    <w:rsid w:val="00667860"/>
    <w:rsid w:val="00671353"/>
    <w:rsid w:val="0067157E"/>
    <w:rsid w:val="00672247"/>
    <w:rsid w:val="00673EAA"/>
    <w:rsid w:val="00675B61"/>
    <w:rsid w:val="00675D66"/>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721D"/>
    <w:rsid w:val="006A78E7"/>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12B"/>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3F27"/>
    <w:rsid w:val="0072514D"/>
    <w:rsid w:val="00725C5A"/>
    <w:rsid w:val="007263E6"/>
    <w:rsid w:val="007264EA"/>
    <w:rsid w:val="00726D09"/>
    <w:rsid w:val="00726F49"/>
    <w:rsid w:val="00727D9A"/>
    <w:rsid w:val="007327E4"/>
    <w:rsid w:val="00732AB3"/>
    <w:rsid w:val="007332CF"/>
    <w:rsid w:val="0073486B"/>
    <w:rsid w:val="00734FB5"/>
    <w:rsid w:val="00735D93"/>
    <w:rsid w:val="00736F47"/>
    <w:rsid w:val="00736F6B"/>
    <w:rsid w:val="00737911"/>
    <w:rsid w:val="00737BAB"/>
    <w:rsid w:val="00740ACC"/>
    <w:rsid w:val="00740DFE"/>
    <w:rsid w:val="007410C2"/>
    <w:rsid w:val="007411F0"/>
    <w:rsid w:val="0074208A"/>
    <w:rsid w:val="00743C05"/>
    <w:rsid w:val="00744A98"/>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38FC"/>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4B4"/>
    <w:rsid w:val="0078754B"/>
    <w:rsid w:val="00787C97"/>
    <w:rsid w:val="00787E62"/>
    <w:rsid w:val="007906EE"/>
    <w:rsid w:val="00791119"/>
    <w:rsid w:val="00791490"/>
    <w:rsid w:val="00791C7A"/>
    <w:rsid w:val="00791D59"/>
    <w:rsid w:val="00792D4C"/>
    <w:rsid w:val="007938AE"/>
    <w:rsid w:val="00793B7C"/>
    <w:rsid w:val="00794312"/>
    <w:rsid w:val="0079583E"/>
    <w:rsid w:val="0079756C"/>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A6FB2"/>
    <w:rsid w:val="007B13B0"/>
    <w:rsid w:val="007B28CF"/>
    <w:rsid w:val="007B3F26"/>
    <w:rsid w:val="007B4416"/>
    <w:rsid w:val="007B46BF"/>
    <w:rsid w:val="007B6DD8"/>
    <w:rsid w:val="007B777D"/>
    <w:rsid w:val="007C009D"/>
    <w:rsid w:val="007C05DC"/>
    <w:rsid w:val="007C0FF7"/>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5D30"/>
    <w:rsid w:val="007D6CF0"/>
    <w:rsid w:val="007E0B5E"/>
    <w:rsid w:val="007E0C9C"/>
    <w:rsid w:val="007E0FE3"/>
    <w:rsid w:val="007E18F8"/>
    <w:rsid w:val="007E2FF7"/>
    <w:rsid w:val="007E38F1"/>
    <w:rsid w:val="007E3C2E"/>
    <w:rsid w:val="007E3F8B"/>
    <w:rsid w:val="007E648C"/>
    <w:rsid w:val="007E660F"/>
    <w:rsid w:val="007E781F"/>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6045"/>
    <w:rsid w:val="00807B2A"/>
    <w:rsid w:val="008101FB"/>
    <w:rsid w:val="00810E97"/>
    <w:rsid w:val="0081123B"/>
    <w:rsid w:val="00811393"/>
    <w:rsid w:val="00812AB8"/>
    <w:rsid w:val="008151D2"/>
    <w:rsid w:val="00815716"/>
    <w:rsid w:val="00816C5A"/>
    <w:rsid w:val="00817344"/>
    <w:rsid w:val="00817678"/>
    <w:rsid w:val="0082049D"/>
    <w:rsid w:val="008217BC"/>
    <w:rsid w:val="00822BA1"/>
    <w:rsid w:val="00822DED"/>
    <w:rsid w:val="00824570"/>
    <w:rsid w:val="00824E58"/>
    <w:rsid w:val="008275DC"/>
    <w:rsid w:val="0082778F"/>
    <w:rsid w:val="00827D60"/>
    <w:rsid w:val="008302C5"/>
    <w:rsid w:val="00830730"/>
    <w:rsid w:val="00830D47"/>
    <w:rsid w:val="00831867"/>
    <w:rsid w:val="00831D6C"/>
    <w:rsid w:val="00832B86"/>
    <w:rsid w:val="00832F6C"/>
    <w:rsid w:val="008341ED"/>
    <w:rsid w:val="008362CE"/>
    <w:rsid w:val="00837584"/>
    <w:rsid w:val="00837E77"/>
    <w:rsid w:val="00841673"/>
    <w:rsid w:val="00841963"/>
    <w:rsid w:val="00845B52"/>
    <w:rsid w:val="00846D3E"/>
    <w:rsid w:val="00846DE7"/>
    <w:rsid w:val="008477B9"/>
    <w:rsid w:val="00847C27"/>
    <w:rsid w:val="008505FB"/>
    <w:rsid w:val="008514B5"/>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9A2"/>
    <w:rsid w:val="0086690B"/>
    <w:rsid w:val="00866973"/>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41CC"/>
    <w:rsid w:val="00895187"/>
    <w:rsid w:val="00895BD3"/>
    <w:rsid w:val="008964EF"/>
    <w:rsid w:val="00896EDC"/>
    <w:rsid w:val="00897AB4"/>
    <w:rsid w:val="008A06D7"/>
    <w:rsid w:val="008A0C9F"/>
    <w:rsid w:val="008A14F6"/>
    <w:rsid w:val="008A1645"/>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18C1"/>
    <w:rsid w:val="008C1E02"/>
    <w:rsid w:val="008C2BC9"/>
    <w:rsid w:val="008C3DC2"/>
    <w:rsid w:val="008C4229"/>
    <w:rsid w:val="008C442E"/>
    <w:rsid w:val="008C4943"/>
    <w:rsid w:val="008C5658"/>
    <w:rsid w:val="008C5DCA"/>
    <w:rsid w:val="008C6338"/>
    <w:rsid w:val="008C77CE"/>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035A"/>
    <w:rsid w:val="008F1C22"/>
    <w:rsid w:val="008F2554"/>
    <w:rsid w:val="008F2C23"/>
    <w:rsid w:val="008F31A7"/>
    <w:rsid w:val="008F47DC"/>
    <w:rsid w:val="008F52B5"/>
    <w:rsid w:val="008F635E"/>
    <w:rsid w:val="008F738E"/>
    <w:rsid w:val="009002CE"/>
    <w:rsid w:val="009025FB"/>
    <w:rsid w:val="009029DB"/>
    <w:rsid w:val="0090389B"/>
    <w:rsid w:val="009038A8"/>
    <w:rsid w:val="009042E8"/>
    <w:rsid w:val="00905C6E"/>
    <w:rsid w:val="0090753F"/>
    <w:rsid w:val="00910529"/>
    <w:rsid w:val="009118BA"/>
    <w:rsid w:val="00913E51"/>
    <w:rsid w:val="00914986"/>
    <w:rsid w:val="00914DFE"/>
    <w:rsid w:val="0091549C"/>
    <w:rsid w:val="0091614B"/>
    <w:rsid w:val="00916CEC"/>
    <w:rsid w:val="0091735D"/>
    <w:rsid w:val="009202C9"/>
    <w:rsid w:val="00921287"/>
    <w:rsid w:val="0092131F"/>
    <w:rsid w:val="00921595"/>
    <w:rsid w:val="00922FA3"/>
    <w:rsid w:val="00925D59"/>
    <w:rsid w:val="00926716"/>
    <w:rsid w:val="0092789B"/>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55E61"/>
    <w:rsid w:val="009603E5"/>
    <w:rsid w:val="00960554"/>
    <w:rsid w:val="0096071A"/>
    <w:rsid w:val="00960A35"/>
    <w:rsid w:val="00960C91"/>
    <w:rsid w:val="0096147A"/>
    <w:rsid w:val="00961AEB"/>
    <w:rsid w:val="00961B6D"/>
    <w:rsid w:val="00961BF0"/>
    <w:rsid w:val="00962053"/>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58B1"/>
    <w:rsid w:val="00977693"/>
    <w:rsid w:val="00977BB1"/>
    <w:rsid w:val="009818E4"/>
    <w:rsid w:val="00982494"/>
    <w:rsid w:val="009845F3"/>
    <w:rsid w:val="009845FD"/>
    <w:rsid w:val="00986E0B"/>
    <w:rsid w:val="00990935"/>
    <w:rsid w:val="00990A99"/>
    <w:rsid w:val="00990AFD"/>
    <w:rsid w:val="00991001"/>
    <w:rsid w:val="00991069"/>
    <w:rsid w:val="00992E0C"/>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4970"/>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518"/>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A01"/>
    <w:rsid w:val="009F7F22"/>
    <w:rsid w:val="00A004D3"/>
    <w:rsid w:val="00A00BD1"/>
    <w:rsid w:val="00A00FFB"/>
    <w:rsid w:val="00A02ADC"/>
    <w:rsid w:val="00A04C7E"/>
    <w:rsid w:val="00A06896"/>
    <w:rsid w:val="00A07CA6"/>
    <w:rsid w:val="00A07E26"/>
    <w:rsid w:val="00A10FD5"/>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2CF"/>
    <w:rsid w:val="00A35811"/>
    <w:rsid w:val="00A35D0A"/>
    <w:rsid w:val="00A40E66"/>
    <w:rsid w:val="00A40FB6"/>
    <w:rsid w:val="00A42629"/>
    <w:rsid w:val="00A42E1C"/>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3AA2"/>
    <w:rsid w:val="00A64575"/>
    <w:rsid w:val="00A64C36"/>
    <w:rsid w:val="00A651C0"/>
    <w:rsid w:val="00A65A26"/>
    <w:rsid w:val="00A671E7"/>
    <w:rsid w:val="00A67625"/>
    <w:rsid w:val="00A67EF4"/>
    <w:rsid w:val="00A73EF9"/>
    <w:rsid w:val="00A75324"/>
    <w:rsid w:val="00A756C6"/>
    <w:rsid w:val="00A76999"/>
    <w:rsid w:val="00A77138"/>
    <w:rsid w:val="00A77200"/>
    <w:rsid w:val="00A77D89"/>
    <w:rsid w:val="00A80BB6"/>
    <w:rsid w:val="00A80C68"/>
    <w:rsid w:val="00A8147A"/>
    <w:rsid w:val="00A81693"/>
    <w:rsid w:val="00A817CF"/>
    <w:rsid w:val="00A821A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2605"/>
    <w:rsid w:val="00AB26D5"/>
    <w:rsid w:val="00AB3885"/>
    <w:rsid w:val="00AB49EA"/>
    <w:rsid w:val="00AB4F00"/>
    <w:rsid w:val="00AB5F3B"/>
    <w:rsid w:val="00AC004D"/>
    <w:rsid w:val="00AC09F1"/>
    <w:rsid w:val="00AC1370"/>
    <w:rsid w:val="00AC265B"/>
    <w:rsid w:val="00AC2BD0"/>
    <w:rsid w:val="00AC38A9"/>
    <w:rsid w:val="00AC4BF6"/>
    <w:rsid w:val="00AC5375"/>
    <w:rsid w:val="00AC5AF0"/>
    <w:rsid w:val="00AC65E7"/>
    <w:rsid w:val="00AC6797"/>
    <w:rsid w:val="00AC6A7A"/>
    <w:rsid w:val="00AC6F68"/>
    <w:rsid w:val="00AC7896"/>
    <w:rsid w:val="00AD104E"/>
    <w:rsid w:val="00AD124D"/>
    <w:rsid w:val="00AD1EAE"/>
    <w:rsid w:val="00AD2280"/>
    <w:rsid w:val="00AD26C0"/>
    <w:rsid w:val="00AD3CC4"/>
    <w:rsid w:val="00AD43DF"/>
    <w:rsid w:val="00AD4839"/>
    <w:rsid w:val="00AD4C7C"/>
    <w:rsid w:val="00AD56B7"/>
    <w:rsid w:val="00AD7665"/>
    <w:rsid w:val="00AD76EF"/>
    <w:rsid w:val="00AE19D1"/>
    <w:rsid w:val="00AE2666"/>
    <w:rsid w:val="00AE29DB"/>
    <w:rsid w:val="00AE2D51"/>
    <w:rsid w:val="00AE2E9B"/>
    <w:rsid w:val="00AE31C2"/>
    <w:rsid w:val="00AE3BE0"/>
    <w:rsid w:val="00AE50C7"/>
    <w:rsid w:val="00AE5D09"/>
    <w:rsid w:val="00AE6037"/>
    <w:rsid w:val="00AE6B11"/>
    <w:rsid w:val="00AE7EBC"/>
    <w:rsid w:val="00AF434D"/>
    <w:rsid w:val="00AF4EE4"/>
    <w:rsid w:val="00AF4FB8"/>
    <w:rsid w:val="00AF5B98"/>
    <w:rsid w:val="00B0036F"/>
    <w:rsid w:val="00B00C8E"/>
    <w:rsid w:val="00B02AA5"/>
    <w:rsid w:val="00B04F50"/>
    <w:rsid w:val="00B05CA6"/>
    <w:rsid w:val="00B05DF6"/>
    <w:rsid w:val="00B1073D"/>
    <w:rsid w:val="00B11CD7"/>
    <w:rsid w:val="00B1205D"/>
    <w:rsid w:val="00B128F0"/>
    <w:rsid w:val="00B13307"/>
    <w:rsid w:val="00B1367C"/>
    <w:rsid w:val="00B13B7B"/>
    <w:rsid w:val="00B1486D"/>
    <w:rsid w:val="00B15202"/>
    <w:rsid w:val="00B1553A"/>
    <w:rsid w:val="00B17577"/>
    <w:rsid w:val="00B21CD1"/>
    <w:rsid w:val="00B23256"/>
    <w:rsid w:val="00B24CF5"/>
    <w:rsid w:val="00B26507"/>
    <w:rsid w:val="00B269CE"/>
    <w:rsid w:val="00B27329"/>
    <w:rsid w:val="00B3055A"/>
    <w:rsid w:val="00B31920"/>
    <w:rsid w:val="00B31CD8"/>
    <w:rsid w:val="00B32535"/>
    <w:rsid w:val="00B3277B"/>
    <w:rsid w:val="00B32B21"/>
    <w:rsid w:val="00B355AC"/>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2A3F"/>
    <w:rsid w:val="00B52C13"/>
    <w:rsid w:val="00B539AD"/>
    <w:rsid w:val="00B5462A"/>
    <w:rsid w:val="00B54BC7"/>
    <w:rsid w:val="00B565AE"/>
    <w:rsid w:val="00B56966"/>
    <w:rsid w:val="00B56C15"/>
    <w:rsid w:val="00B57348"/>
    <w:rsid w:val="00B61E5E"/>
    <w:rsid w:val="00B62533"/>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0B3"/>
    <w:rsid w:val="00B84A8A"/>
    <w:rsid w:val="00B87C64"/>
    <w:rsid w:val="00B87E47"/>
    <w:rsid w:val="00B91A82"/>
    <w:rsid w:val="00B91BC4"/>
    <w:rsid w:val="00B9279C"/>
    <w:rsid w:val="00B934BE"/>
    <w:rsid w:val="00B93569"/>
    <w:rsid w:val="00B94B37"/>
    <w:rsid w:val="00B95178"/>
    <w:rsid w:val="00B9576A"/>
    <w:rsid w:val="00B962BB"/>
    <w:rsid w:val="00BA088E"/>
    <w:rsid w:val="00BA152C"/>
    <w:rsid w:val="00BA2861"/>
    <w:rsid w:val="00BA3873"/>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42A8"/>
    <w:rsid w:val="00BC4869"/>
    <w:rsid w:val="00BC4B30"/>
    <w:rsid w:val="00BC66EE"/>
    <w:rsid w:val="00BC69F2"/>
    <w:rsid w:val="00BC7535"/>
    <w:rsid w:val="00BC7F3C"/>
    <w:rsid w:val="00BC7FFB"/>
    <w:rsid w:val="00BD034D"/>
    <w:rsid w:val="00BD3209"/>
    <w:rsid w:val="00BD323A"/>
    <w:rsid w:val="00BD3ECE"/>
    <w:rsid w:val="00BD4316"/>
    <w:rsid w:val="00BD4CF2"/>
    <w:rsid w:val="00BD5782"/>
    <w:rsid w:val="00BD780A"/>
    <w:rsid w:val="00BE0194"/>
    <w:rsid w:val="00BE0CEB"/>
    <w:rsid w:val="00BE1E12"/>
    <w:rsid w:val="00BE2B26"/>
    <w:rsid w:val="00BE346A"/>
    <w:rsid w:val="00BE38DF"/>
    <w:rsid w:val="00BE46DF"/>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107"/>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A64"/>
    <w:rsid w:val="00C35E7C"/>
    <w:rsid w:val="00C36B0D"/>
    <w:rsid w:val="00C36EE1"/>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1985"/>
    <w:rsid w:val="00C929B3"/>
    <w:rsid w:val="00C92A0D"/>
    <w:rsid w:val="00C93B8C"/>
    <w:rsid w:val="00C9443B"/>
    <w:rsid w:val="00C9490F"/>
    <w:rsid w:val="00C9629D"/>
    <w:rsid w:val="00C96C19"/>
    <w:rsid w:val="00C96E34"/>
    <w:rsid w:val="00C97067"/>
    <w:rsid w:val="00C9717B"/>
    <w:rsid w:val="00C97465"/>
    <w:rsid w:val="00C9749B"/>
    <w:rsid w:val="00C97586"/>
    <w:rsid w:val="00CA010D"/>
    <w:rsid w:val="00CA076C"/>
    <w:rsid w:val="00CA0E7A"/>
    <w:rsid w:val="00CA1AD6"/>
    <w:rsid w:val="00CA22F9"/>
    <w:rsid w:val="00CA39B7"/>
    <w:rsid w:val="00CA421D"/>
    <w:rsid w:val="00CA43EA"/>
    <w:rsid w:val="00CA45E8"/>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6EC"/>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2933"/>
    <w:rsid w:val="00D52C36"/>
    <w:rsid w:val="00D52FF0"/>
    <w:rsid w:val="00D537E5"/>
    <w:rsid w:val="00D56683"/>
    <w:rsid w:val="00D574A2"/>
    <w:rsid w:val="00D57F1A"/>
    <w:rsid w:val="00D6001A"/>
    <w:rsid w:val="00D60FC7"/>
    <w:rsid w:val="00D6189E"/>
    <w:rsid w:val="00D61E4F"/>
    <w:rsid w:val="00D62166"/>
    <w:rsid w:val="00D62E71"/>
    <w:rsid w:val="00D63146"/>
    <w:rsid w:val="00D635E2"/>
    <w:rsid w:val="00D64BB4"/>
    <w:rsid w:val="00D65159"/>
    <w:rsid w:val="00D658F1"/>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5A93"/>
    <w:rsid w:val="00D76565"/>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79CF"/>
    <w:rsid w:val="00DA04CA"/>
    <w:rsid w:val="00DA08EB"/>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B00"/>
    <w:rsid w:val="00DB5CD7"/>
    <w:rsid w:val="00DB6647"/>
    <w:rsid w:val="00DC0C9F"/>
    <w:rsid w:val="00DC1727"/>
    <w:rsid w:val="00DC1843"/>
    <w:rsid w:val="00DC33BA"/>
    <w:rsid w:val="00DC4957"/>
    <w:rsid w:val="00DC4AE2"/>
    <w:rsid w:val="00DC63B3"/>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2FD4"/>
    <w:rsid w:val="00E23A0E"/>
    <w:rsid w:val="00E23AFD"/>
    <w:rsid w:val="00E23EE3"/>
    <w:rsid w:val="00E245A1"/>
    <w:rsid w:val="00E24831"/>
    <w:rsid w:val="00E24DE7"/>
    <w:rsid w:val="00E25228"/>
    <w:rsid w:val="00E27953"/>
    <w:rsid w:val="00E31001"/>
    <w:rsid w:val="00E314BF"/>
    <w:rsid w:val="00E31C3D"/>
    <w:rsid w:val="00E34A4E"/>
    <w:rsid w:val="00E35198"/>
    <w:rsid w:val="00E357DD"/>
    <w:rsid w:val="00E376AC"/>
    <w:rsid w:val="00E419D5"/>
    <w:rsid w:val="00E41A97"/>
    <w:rsid w:val="00E41AC0"/>
    <w:rsid w:val="00E41C8A"/>
    <w:rsid w:val="00E41D06"/>
    <w:rsid w:val="00E41D0D"/>
    <w:rsid w:val="00E41E33"/>
    <w:rsid w:val="00E4260A"/>
    <w:rsid w:val="00E426BD"/>
    <w:rsid w:val="00E43C83"/>
    <w:rsid w:val="00E45508"/>
    <w:rsid w:val="00E46685"/>
    <w:rsid w:val="00E507BE"/>
    <w:rsid w:val="00E50A06"/>
    <w:rsid w:val="00E51D63"/>
    <w:rsid w:val="00E52141"/>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5585"/>
    <w:rsid w:val="00E8653F"/>
    <w:rsid w:val="00E86C05"/>
    <w:rsid w:val="00E90C8F"/>
    <w:rsid w:val="00E91006"/>
    <w:rsid w:val="00E91851"/>
    <w:rsid w:val="00E92106"/>
    <w:rsid w:val="00E92204"/>
    <w:rsid w:val="00E93276"/>
    <w:rsid w:val="00E93457"/>
    <w:rsid w:val="00E93F35"/>
    <w:rsid w:val="00E942A6"/>
    <w:rsid w:val="00EA04FB"/>
    <w:rsid w:val="00EA1F76"/>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275"/>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D5B"/>
    <w:rsid w:val="00EE5F95"/>
    <w:rsid w:val="00EE6B6F"/>
    <w:rsid w:val="00EE76B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10A38"/>
    <w:rsid w:val="00F1176A"/>
    <w:rsid w:val="00F11EFF"/>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4068"/>
    <w:rsid w:val="00F3421F"/>
    <w:rsid w:val="00F345E0"/>
    <w:rsid w:val="00F34F58"/>
    <w:rsid w:val="00F359C0"/>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27A8"/>
    <w:rsid w:val="00F53747"/>
    <w:rsid w:val="00F53B5B"/>
    <w:rsid w:val="00F54AF1"/>
    <w:rsid w:val="00F551D6"/>
    <w:rsid w:val="00F55B3B"/>
    <w:rsid w:val="00F55CBC"/>
    <w:rsid w:val="00F55DCB"/>
    <w:rsid w:val="00F56426"/>
    <w:rsid w:val="00F5643F"/>
    <w:rsid w:val="00F56CB4"/>
    <w:rsid w:val="00F60433"/>
    <w:rsid w:val="00F6068A"/>
    <w:rsid w:val="00F62332"/>
    <w:rsid w:val="00F62371"/>
    <w:rsid w:val="00F62B5A"/>
    <w:rsid w:val="00F63239"/>
    <w:rsid w:val="00F63C65"/>
    <w:rsid w:val="00F6499A"/>
    <w:rsid w:val="00F64F0D"/>
    <w:rsid w:val="00F656E5"/>
    <w:rsid w:val="00F65DA3"/>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5B86"/>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977"/>
    <w:rsid w:val="00FA1CA1"/>
    <w:rsid w:val="00FA1F4B"/>
    <w:rsid w:val="00FA3644"/>
    <w:rsid w:val="00FA4168"/>
    <w:rsid w:val="00FA4571"/>
    <w:rsid w:val="00FA4A6C"/>
    <w:rsid w:val="00FA4CAD"/>
    <w:rsid w:val="00FA4DC7"/>
    <w:rsid w:val="00FA4FF3"/>
    <w:rsid w:val="00FA5D15"/>
    <w:rsid w:val="00FB17D6"/>
    <w:rsid w:val="00FB3596"/>
    <w:rsid w:val="00FB41FD"/>
    <w:rsid w:val="00FB4353"/>
    <w:rsid w:val="00FB4E64"/>
    <w:rsid w:val="00FB588E"/>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35D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00FF724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 w:type="numbering" w:customStyle="1" w:styleId="Listaactual1112">
    <w:name w:val="Lista actual1112"/>
    <w:uiPriority w:val="99"/>
    <w:rsid w:val="00B56966"/>
    <w:pPr>
      <w:numPr>
        <w:numId w:val="40"/>
      </w:numPr>
    </w:pPr>
  </w:style>
  <w:style w:type="paragraph" w:customStyle="1" w:styleId="INFOEM">
    <w:name w:val="INFOEM"/>
    <w:basedOn w:val="Normal"/>
    <w:qFormat/>
    <w:rsid w:val="00CA010D"/>
    <w:pPr>
      <w:spacing w:before="240" w:after="160"/>
      <w:ind w:left="851" w:right="851"/>
    </w:pPr>
    <w:rPr>
      <w:rFonts w:eastAsiaTheme="minorHAnsi" w:cstheme="minorBidi"/>
      <w:i/>
      <w:sz w:val="22"/>
      <w:szCs w:val="14"/>
      <w:lang w:val="es-MX" w:eastAsia="en-US"/>
    </w:rPr>
  </w:style>
  <w:style w:type="paragraph" w:customStyle="1" w:styleId="Citas">
    <w:name w:val="Citas"/>
    <w:basedOn w:val="Normal"/>
    <w:qFormat/>
    <w:rsid w:val="00A02ADC"/>
    <w:pPr>
      <w:spacing w:before="240" w:after="160"/>
      <w:ind w:left="851" w:right="851"/>
    </w:pPr>
    <w:rPr>
      <w:rFonts w:eastAsiaTheme="minorHAnsi" w:cs="Arial"/>
      <w:i/>
      <w:sz w:val="22"/>
      <w:lang w:val="es-MX" w:eastAsia="en-US"/>
    </w:rPr>
  </w:style>
  <w:style w:type="numbering" w:customStyle="1" w:styleId="Estiloimportado2">
    <w:name w:val="Estilo importado 2"/>
    <w:rsid w:val="00A02AD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8665611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49591634">
      <w:bodyDiv w:val="1"/>
      <w:marLeft w:val="0"/>
      <w:marRight w:val="0"/>
      <w:marTop w:val="0"/>
      <w:marBottom w:val="0"/>
      <w:divBdr>
        <w:top w:val="none" w:sz="0" w:space="0" w:color="auto"/>
        <w:left w:val="none" w:sz="0" w:space="0" w:color="auto"/>
        <w:bottom w:val="none" w:sz="0" w:space="0" w:color="auto"/>
        <w:right w:val="none" w:sz="0" w:space="0" w:color="auto"/>
      </w:divBdr>
      <w:divsChild>
        <w:div w:id="2139101188">
          <w:marLeft w:val="0"/>
          <w:marRight w:val="0"/>
          <w:marTop w:val="0"/>
          <w:marBottom w:val="0"/>
          <w:divBdr>
            <w:top w:val="none" w:sz="0" w:space="0" w:color="auto"/>
            <w:left w:val="none" w:sz="0" w:space="0" w:color="auto"/>
            <w:bottom w:val="none" w:sz="0" w:space="0" w:color="auto"/>
            <w:right w:val="none" w:sz="0" w:space="0" w:color="auto"/>
          </w:divBdr>
        </w:div>
        <w:div w:id="1913661381">
          <w:marLeft w:val="0"/>
          <w:marRight w:val="0"/>
          <w:marTop w:val="0"/>
          <w:marBottom w:val="0"/>
          <w:divBdr>
            <w:top w:val="none" w:sz="0" w:space="0" w:color="auto"/>
            <w:left w:val="none" w:sz="0" w:space="0" w:color="auto"/>
            <w:bottom w:val="none" w:sz="0" w:space="0" w:color="auto"/>
            <w:right w:val="none" w:sz="0" w:space="0" w:color="auto"/>
          </w:divBdr>
        </w:div>
      </w:divsChild>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D3E9-5286-4035-8E0C-7A73769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6722</Words>
  <Characters>36972</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2019-06-13T15:30:00Z</cp:lastPrinted>
  <dcterms:created xsi:type="dcterms:W3CDTF">2024-03-14T17:51:00Z</dcterms:created>
  <dcterms:modified xsi:type="dcterms:W3CDTF">2024-04-08T18:38:00Z</dcterms:modified>
</cp:coreProperties>
</file>