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BC90A8" w14:textId="77777777" w:rsidR="007C27DC" w:rsidRPr="00613CCE" w:rsidRDefault="007D3D12" w:rsidP="00613CCE">
      <w:pPr>
        <w:spacing w:line="360" w:lineRule="auto"/>
        <w:jc w:val="both"/>
        <w:rPr>
          <w:rFonts w:ascii="Palatino Linotype" w:eastAsia="Palatino Linotype" w:hAnsi="Palatino Linotype" w:cs="Palatino Linotype"/>
          <w:sz w:val="24"/>
          <w:szCs w:val="24"/>
        </w:rPr>
      </w:pPr>
      <w:r w:rsidRPr="00613CCE">
        <w:rPr>
          <w:rFonts w:ascii="Palatino Linotype" w:eastAsia="Palatino Linotype" w:hAnsi="Palatino Linotype" w:cs="Palatino Linotype"/>
          <w:sz w:val="24"/>
          <w:szCs w:val="24"/>
        </w:rPr>
        <w:t>Resolución del Pleno del Instituto de Transparencia, Acceso a la Información Pública y Protección de Datos Personales del Estado de México y Municipios, con domicilio en Metepec, Estado</w:t>
      </w:r>
      <w:r w:rsidR="00595D98" w:rsidRPr="00613CCE">
        <w:rPr>
          <w:rFonts w:ascii="Palatino Linotype" w:eastAsia="Palatino Linotype" w:hAnsi="Palatino Linotype" w:cs="Palatino Linotype"/>
          <w:sz w:val="24"/>
          <w:szCs w:val="24"/>
        </w:rPr>
        <w:t xml:space="preserve"> de México; de trece</w:t>
      </w:r>
      <w:r w:rsidRPr="00613CCE">
        <w:rPr>
          <w:rFonts w:ascii="Palatino Linotype" w:eastAsia="Palatino Linotype" w:hAnsi="Palatino Linotype" w:cs="Palatino Linotype"/>
          <w:sz w:val="24"/>
          <w:szCs w:val="24"/>
        </w:rPr>
        <w:t xml:space="preserve"> </w:t>
      </w:r>
      <w:r w:rsidR="006E555A">
        <w:rPr>
          <w:rFonts w:ascii="Palatino Linotype" w:eastAsia="Palatino Linotype" w:hAnsi="Palatino Linotype" w:cs="Palatino Linotype"/>
          <w:sz w:val="24"/>
          <w:szCs w:val="24"/>
        </w:rPr>
        <w:t xml:space="preserve">(13) </w:t>
      </w:r>
      <w:r w:rsidRPr="00613CCE">
        <w:rPr>
          <w:rFonts w:ascii="Palatino Linotype" w:eastAsia="Palatino Linotype" w:hAnsi="Palatino Linotype" w:cs="Palatino Linotype"/>
          <w:sz w:val="24"/>
          <w:szCs w:val="24"/>
        </w:rPr>
        <w:t xml:space="preserve">de </w:t>
      </w:r>
      <w:r w:rsidR="00595D98" w:rsidRPr="00613CCE">
        <w:rPr>
          <w:rFonts w:ascii="Palatino Linotype" w:eastAsia="Palatino Linotype" w:hAnsi="Palatino Linotype" w:cs="Palatino Linotype"/>
          <w:sz w:val="24"/>
          <w:szCs w:val="24"/>
        </w:rPr>
        <w:t>nov</w:t>
      </w:r>
      <w:r w:rsidRPr="00613CCE">
        <w:rPr>
          <w:rFonts w:ascii="Palatino Linotype" w:eastAsia="Palatino Linotype" w:hAnsi="Palatino Linotype" w:cs="Palatino Linotype"/>
          <w:sz w:val="24"/>
          <w:szCs w:val="24"/>
        </w:rPr>
        <w:t>iembre de dos mil veinticuatro.</w:t>
      </w:r>
    </w:p>
    <w:p w14:paraId="01067B37" w14:textId="77777777" w:rsidR="00CD1C4D" w:rsidRPr="00613CCE" w:rsidRDefault="00CD1C4D" w:rsidP="00613CCE">
      <w:pPr>
        <w:spacing w:line="360" w:lineRule="auto"/>
        <w:jc w:val="both"/>
        <w:rPr>
          <w:rFonts w:ascii="Palatino Linotype" w:eastAsia="Palatino Linotype" w:hAnsi="Palatino Linotype" w:cs="Palatino Linotype"/>
          <w:sz w:val="24"/>
          <w:szCs w:val="24"/>
        </w:rPr>
      </w:pPr>
    </w:p>
    <w:p w14:paraId="70B19BF5" w14:textId="1A387B66" w:rsidR="007C27DC" w:rsidRPr="00613CCE" w:rsidRDefault="007D3D12" w:rsidP="00613CCE">
      <w:pPr>
        <w:pBdr>
          <w:top w:val="nil"/>
          <w:left w:val="nil"/>
          <w:bottom w:val="nil"/>
          <w:right w:val="nil"/>
          <w:between w:val="nil"/>
        </w:pBdr>
        <w:tabs>
          <w:tab w:val="center" w:pos="4419"/>
          <w:tab w:val="right" w:pos="8838"/>
        </w:tabs>
        <w:spacing w:line="360" w:lineRule="auto"/>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b/>
          <w:color w:val="000000"/>
          <w:sz w:val="24"/>
          <w:szCs w:val="24"/>
        </w:rPr>
        <w:t xml:space="preserve">VISTOS </w:t>
      </w:r>
      <w:r w:rsidRPr="00613CCE">
        <w:rPr>
          <w:rFonts w:ascii="Palatino Linotype" w:eastAsia="Palatino Linotype" w:hAnsi="Palatino Linotype" w:cs="Palatino Linotype"/>
          <w:color w:val="000000"/>
          <w:sz w:val="24"/>
          <w:szCs w:val="24"/>
        </w:rPr>
        <w:t xml:space="preserve">los expedientes electrónicos formados con motivo de los Recurso de Revisión: </w:t>
      </w:r>
      <w:r w:rsidR="006C01DC" w:rsidRPr="00613CCE">
        <w:rPr>
          <w:rFonts w:ascii="Palatino Linotype" w:eastAsia="Palatino Linotype" w:hAnsi="Palatino Linotype" w:cs="Palatino Linotype"/>
          <w:b/>
          <w:color w:val="000000"/>
          <w:sz w:val="24"/>
          <w:szCs w:val="24"/>
        </w:rPr>
        <w:t>054</w:t>
      </w:r>
      <w:r w:rsidR="00595D98" w:rsidRPr="00613CCE">
        <w:rPr>
          <w:rFonts w:ascii="Palatino Linotype" w:eastAsia="Palatino Linotype" w:hAnsi="Palatino Linotype" w:cs="Palatino Linotype"/>
          <w:b/>
          <w:color w:val="000000"/>
          <w:sz w:val="24"/>
          <w:szCs w:val="24"/>
        </w:rPr>
        <w:t>6</w:t>
      </w:r>
      <w:r w:rsidR="006C01DC" w:rsidRPr="00613CCE">
        <w:rPr>
          <w:rFonts w:ascii="Palatino Linotype" w:eastAsia="Palatino Linotype" w:hAnsi="Palatino Linotype" w:cs="Palatino Linotype"/>
          <w:b/>
          <w:color w:val="000000"/>
          <w:sz w:val="24"/>
          <w:szCs w:val="24"/>
        </w:rPr>
        <w:t>3/INFOEM/IP/RR/2024, 054</w:t>
      </w:r>
      <w:r w:rsidR="00595D98" w:rsidRPr="00613CCE">
        <w:rPr>
          <w:rFonts w:ascii="Palatino Linotype" w:eastAsia="Palatino Linotype" w:hAnsi="Palatino Linotype" w:cs="Palatino Linotype"/>
          <w:b/>
          <w:color w:val="000000"/>
          <w:sz w:val="24"/>
          <w:szCs w:val="24"/>
        </w:rPr>
        <w:t>6</w:t>
      </w:r>
      <w:r w:rsidR="006C01DC" w:rsidRPr="00613CCE">
        <w:rPr>
          <w:rFonts w:ascii="Palatino Linotype" w:eastAsia="Palatino Linotype" w:hAnsi="Palatino Linotype" w:cs="Palatino Linotype"/>
          <w:b/>
          <w:color w:val="000000"/>
          <w:sz w:val="24"/>
          <w:szCs w:val="24"/>
        </w:rPr>
        <w:t>4/INFOEM/IP/RR/2024, 054</w:t>
      </w:r>
      <w:r w:rsidR="00595D98" w:rsidRPr="00613CCE">
        <w:rPr>
          <w:rFonts w:ascii="Palatino Linotype" w:eastAsia="Palatino Linotype" w:hAnsi="Palatino Linotype" w:cs="Palatino Linotype"/>
          <w:b/>
          <w:color w:val="000000"/>
          <w:sz w:val="24"/>
          <w:szCs w:val="24"/>
        </w:rPr>
        <w:t>6</w:t>
      </w:r>
      <w:r w:rsidR="006C01DC" w:rsidRPr="00613CCE">
        <w:rPr>
          <w:rFonts w:ascii="Palatino Linotype" w:eastAsia="Palatino Linotype" w:hAnsi="Palatino Linotype" w:cs="Palatino Linotype"/>
          <w:b/>
          <w:color w:val="000000"/>
          <w:sz w:val="24"/>
          <w:szCs w:val="24"/>
        </w:rPr>
        <w:t>5/INFOEM/IP/RR/2024, 054</w:t>
      </w:r>
      <w:r w:rsidR="00595D98" w:rsidRPr="00613CCE">
        <w:rPr>
          <w:rFonts w:ascii="Palatino Linotype" w:eastAsia="Palatino Linotype" w:hAnsi="Palatino Linotype" w:cs="Palatino Linotype"/>
          <w:b/>
          <w:color w:val="000000"/>
          <w:sz w:val="24"/>
          <w:szCs w:val="24"/>
        </w:rPr>
        <w:t>6</w:t>
      </w:r>
      <w:r w:rsidR="006C01DC" w:rsidRPr="00613CCE">
        <w:rPr>
          <w:rFonts w:ascii="Palatino Linotype" w:eastAsia="Palatino Linotype" w:hAnsi="Palatino Linotype" w:cs="Palatino Linotype"/>
          <w:b/>
          <w:color w:val="000000"/>
          <w:sz w:val="24"/>
          <w:szCs w:val="24"/>
        </w:rPr>
        <w:t>6/INFOEM/IP/RR/2024</w:t>
      </w:r>
      <w:r w:rsidR="00595D98" w:rsidRPr="00613CCE">
        <w:rPr>
          <w:rFonts w:ascii="Palatino Linotype" w:eastAsia="Palatino Linotype" w:hAnsi="Palatino Linotype" w:cs="Palatino Linotype"/>
          <w:b/>
          <w:color w:val="000000"/>
          <w:sz w:val="24"/>
          <w:szCs w:val="24"/>
        </w:rPr>
        <w:t xml:space="preserve"> </w:t>
      </w:r>
      <w:r w:rsidR="006C01DC" w:rsidRPr="00613CCE">
        <w:rPr>
          <w:rFonts w:ascii="Palatino Linotype" w:eastAsia="Palatino Linotype" w:hAnsi="Palatino Linotype" w:cs="Palatino Linotype"/>
          <w:b/>
          <w:color w:val="000000"/>
          <w:sz w:val="24"/>
          <w:szCs w:val="24"/>
        </w:rPr>
        <w:t>y</w:t>
      </w:r>
      <w:r w:rsidR="00595D98" w:rsidRPr="00613CCE">
        <w:rPr>
          <w:rFonts w:ascii="Palatino Linotype" w:eastAsia="Palatino Linotype" w:hAnsi="Palatino Linotype" w:cs="Palatino Linotype"/>
          <w:b/>
          <w:color w:val="000000"/>
          <w:sz w:val="24"/>
          <w:szCs w:val="24"/>
        </w:rPr>
        <w:t>, 05468</w:t>
      </w:r>
      <w:r w:rsidR="006C01DC" w:rsidRPr="00613CCE">
        <w:rPr>
          <w:rFonts w:ascii="Palatino Linotype" w:eastAsia="Palatino Linotype" w:hAnsi="Palatino Linotype" w:cs="Palatino Linotype"/>
          <w:b/>
          <w:color w:val="000000"/>
          <w:sz w:val="24"/>
          <w:szCs w:val="24"/>
        </w:rPr>
        <w:t>/INFOEM/IP/RR/2024</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promovidos a través del Sistema de Acceso a la Información Mexiquense (</w:t>
      </w:r>
      <w:r w:rsidRPr="00613CCE">
        <w:rPr>
          <w:rFonts w:ascii="Palatino Linotype" w:eastAsia="Palatino Linotype" w:hAnsi="Palatino Linotype" w:cs="Palatino Linotype"/>
          <w:b/>
          <w:color w:val="000000"/>
          <w:sz w:val="24"/>
          <w:szCs w:val="24"/>
        </w:rPr>
        <w:t>SAIMEX</w:t>
      </w:r>
      <w:r w:rsidRPr="00613CCE">
        <w:rPr>
          <w:rFonts w:ascii="Palatino Linotype" w:eastAsia="Palatino Linotype" w:hAnsi="Palatino Linotype" w:cs="Palatino Linotype"/>
          <w:color w:val="000000"/>
          <w:sz w:val="24"/>
          <w:szCs w:val="24"/>
        </w:rPr>
        <w:t xml:space="preserve">) por </w:t>
      </w:r>
      <w:r w:rsidR="00DC0C0E">
        <w:rPr>
          <w:rFonts w:ascii="Palatino Linotype" w:eastAsia="Palatino Linotype" w:hAnsi="Palatino Linotype" w:cs="Palatino Linotype"/>
          <w:b/>
          <w:color w:val="000000"/>
          <w:sz w:val="24"/>
          <w:szCs w:val="24"/>
        </w:rPr>
        <w:t xml:space="preserve">XXX </w:t>
      </w:r>
      <w:proofErr w:type="spellStart"/>
      <w:r w:rsidR="00DC0C0E">
        <w:rPr>
          <w:rFonts w:ascii="Palatino Linotype" w:eastAsia="Palatino Linotype" w:hAnsi="Palatino Linotype" w:cs="Palatino Linotype"/>
          <w:b/>
          <w:color w:val="000000"/>
          <w:sz w:val="24"/>
          <w:szCs w:val="24"/>
        </w:rPr>
        <w:t>XXX</w:t>
      </w:r>
      <w:proofErr w:type="spellEnd"/>
      <w:r w:rsidRPr="00613CCE">
        <w:rPr>
          <w:rFonts w:ascii="Palatino Linotype" w:eastAsia="Palatino Linotype" w:hAnsi="Palatino Linotype" w:cs="Palatino Linotype"/>
          <w:color w:val="000000"/>
          <w:sz w:val="24"/>
          <w:szCs w:val="24"/>
        </w:rPr>
        <w:t xml:space="preserve">, a quien en adelante se le reconocerá como </w:t>
      </w:r>
      <w:r w:rsidRPr="00613CCE">
        <w:rPr>
          <w:rFonts w:ascii="Palatino Linotype" w:eastAsia="Palatino Linotype" w:hAnsi="Palatino Linotype" w:cs="Palatino Linotype"/>
          <w:b/>
          <w:color w:val="000000"/>
          <w:sz w:val="24"/>
          <w:szCs w:val="24"/>
        </w:rPr>
        <w:t>EL</w:t>
      </w:r>
      <w:r w:rsidRPr="00613CCE">
        <w:rPr>
          <w:rFonts w:ascii="Palatino Linotype" w:eastAsia="Palatino Linotype" w:hAnsi="Palatino Linotype" w:cs="Palatino Linotype"/>
          <w:color w:val="000000"/>
          <w:sz w:val="24"/>
          <w:szCs w:val="24"/>
        </w:rPr>
        <w:t xml:space="preserve"> </w:t>
      </w:r>
      <w:r w:rsidRPr="00613CCE">
        <w:rPr>
          <w:rFonts w:ascii="Palatino Linotype" w:eastAsia="Palatino Linotype" w:hAnsi="Palatino Linotype" w:cs="Palatino Linotype"/>
          <w:b/>
          <w:color w:val="000000"/>
          <w:sz w:val="24"/>
          <w:szCs w:val="24"/>
        </w:rPr>
        <w:t>RECURRENTE</w:t>
      </w:r>
      <w:r w:rsidRPr="00613CCE">
        <w:rPr>
          <w:rFonts w:ascii="Palatino Linotype" w:eastAsia="Palatino Linotype" w:hAnsi="Palatino Linotype" w:cs="Palatino Linotype"/>
          <w:color w:val="000000"/>
          <w:sz w:val="24"/>
          <w:szCs w:val="24"/>
        </w:rPr>
        <w:t xml:space="preserve">, en contra de las respuestas emitidas por el </w:t>
      </w:r>
      <w:r w:rsidR="006C01DC" w:rsidRPr="00613CCE">
        <w:rPr>
          <w:rFonts w:ascii="Palatino Linotype" w:eastAsia="Palatino Linotype" w:hAnsi="Palatino Linotype" w:cs="Palatino Linotype"/>
          <w:b/>
          <w:color w:val="000000"/>
          <w:sz w:val="24"/>
          <w:szCs w:val="24"/>
        </w:rPr>
        <w:t>Ayuntamiento de Valle de Chalco Solidaridad</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en lo sucesivo el</w:t>
      </w:r>
      <w:r w:rsidRPr="00613CCE">
        <w:rPr>
          <w:rFonts w:ascii="Palatino Linotype" w:eastAsia="Palatino Linotype" w:hAnsi="Palatino Linotype" w:cs="Palatino Linotype"/>
          <w:b/>
          <w:color w:val="000000"/>
          <w:sz w:val="24"/>
          <w:szCs w:val="24"/>
        </w:rPr>
        <w:t xml:space="preserve"> SUJETO OBLIGADO</w:t>
      </w:r>
      <w:r w:rsidRPr="00613CCE">
        <w:rPr>
          <w:rFonts w:ascii="Palatino Linotype" w:eastAsia="Palatino Linotype" w:hAnsi="Palatino Linotype" w:cs="Palatino Linotype"/>
          <w:color w:val="000000"/>
          <w:sz w:val="24"/>
          <w:szCs w:val="24"/>
        </w:rPr>
        <w:t xml:space="preserve">, en cumplimiento a las solicitudes de información </w:t>
      </w:r>
      <w:r w:rsidR="00595D98" w:rsidRPr="00613CCE">
        <w:rPr>
          <w:rFonts w:ascii="Palatino Linotype" w:eastAsia="Palatino Linotype" w:hAnsi="Palatino Linotype" w:cs="Palatino Linotype"/>
          <w:b/>
          <w:color w:val="000000"/>
          <w:sz w:val="24"/>
          <w:szCs w:val="24"/>
        </w:rPr>
        <w:t xml:space="preserve">00424/VACHASO/IP/2024, 00425/VACHASO/IP/2024, 00426/VACHASO/IP/2024, 00427/VACHASO/IP/2024 </w:t>
      </w:r>
      <w:r w:rsidR="00595D98" w:rsidRPr="00613CCE">
        <w:rPr>
          <w:rFonts w:ascii="Palatino Linotype" w:eastAsia="Palatino Linotype" w:hAnsi="Palatino Linotype" w:cs="Palatino Linotype"/>
          <w:color w:val="000000"/>
          <w:sz w:val="24"/>
          <w:szCs w:val="24"/>
        </w:rPr>
        <w:t>y</w:t>
      </w:r>
      <w:r w:rsidR="00595D98" w:rsidRPr="00613CCE">
        <w:rPr>
          <w:rFonts w:ascii="Palatino Linotype" w:eastAsia="Palatino Linotype" w:hAnsi="Palatino Linotype" w:cs="Palatino Linotype"/>
          <w:b/>
          <w:color w:val="000000"/>
          <w:sz w:val="24"/>
          <w:szCs w:val="24"/>
        </w:rPr>
        <w:t xml:space="preserve"> 00429/VACHASO/IP/2024</w:t>
      </w:r>
      <w:r w:rsidRPr="00613CCE">
        <w:rPr>
          <w:rFonts w:ascii="Palatino Linotype" w:eastAsia="Palatino Linotype" w:hAnsi="Palatino Linotype" w:cs="Palatino Linotype"/>
          <w:color w:val="000000"/>
          <w:sz w:val="24"/>
          <w:szCs w:val="24"/>
        </w:rPr>
        <w:t>,</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se procede a dictar la presente Resolución, con base en los siguientes:</w:t>
      </w:r>
    </w:p>
    <w:p w14:paraId="68B901EF" w14:textId="77777777" w:rsidR="00CD1C4D" w:rsidRPr="00613CCE" w:rsidRDefault="00CD1C4D" w:rsidP="00613CCE">
      <w:pPr>
        <w:pBdr>
          <w:top w:val="nil"/>
          <w:left w:val="nil"/>
          <w:bottom w:val="nil"/>
          <w:right w:val="nil"/>
          <w:between w:val="nil"/>
        </w:pBdr>
        <w:tabs>
          <w:tab w:val="center" w:pos="4419"/>
          <w:tab w:val="right" w:pos="8838"/>
        </w:tabs>
        <w:spacing w:line="360" w:lineRule="auto"/>
        <w:jc w:val="both"/>
        <w:rPr>
          <w:rFonts w:ascii="Palatino Linotype" w:eastAsia="Palatino Linotype" w:hAnsi="Palatino Linotype" w:cs="Palatino Linotype"/>
          <w:color w:val="000000"/>
          <w:sz w:val="24"/>
          <w:szCs w:val="24"/>
        </w:rPr>
      </w:pPr>
    </w:p>
    <w:p w14:paraId="1C8C23D7" w14:textId="77777777" w:rsidR="007C27DC" w:rsidRPr="00613CCE" w:rsidRDefault="007D3D12" w:rsidP="00613CCE">
      <w:pPr>
        <w:pStyle w:val="Ttulo1"/>
        <w:spacing w:before="0" w:line="360" w:lineRule="auto"/>
        <w:jc w:val="center"/>
        <w:rPr>
          <w:rFonts w:ascii="Palatino Linotype" w:eastAsia="Palatino Linotype" w:hAnsi="Palatino Linotype" w:cs="Palatino Linotype"/>
          <w:b/>
          <w:color w:val="000000"/>
          <w:sz w:val="24"/>
          <w:szCs w:val="24"/>
        </w:rPr>
      </w:pPr>
      <w:bookmarkStart w:id="0" w:name="_heading=h.gjdgxs" w:colFirst="0" w:colLast="0"/>
      <w:bookmarkEnd w:id="0"/>
      <w:r w:rsidRPr="00613CCE">
        <w:rPr>
          <w:rFonts w:ascii="Palatino Linotype" w:eastAsia="Palatino Linotype" w:hAnsi="Palatino Linotype" w:cs="Palatino Linotype"/>
          <w:b/>
          <w:color w:val="000000"/>
          <w:sz w:val="24"/>
          <w:szCs w:val="24"/>
        </w:rPr>
        <w:t>A N T E C E D E N T E S</w:t>
      </w:r>
    </w:p>
    <w:p w14:paraId="4747A5CE" w14:textId="77777777" w:rsidR="007C27DC" w:rsidRPr="00613CCE" w:rsidRDefault="007C27DC" w:rsidP="00613CCE">
      <w:pPr>
        <w:spacing w:line="360" w:lineRule="auto"/>
        <w:rPr>
          <w:rFonts w:ascii="Palatino Linotype" w:eastAsia="Palatino Linotype" w:hAnsi="Palatino Linotype" w:cs="Palatino Linotype"/>
          <w:sz w:val="24"/>
          <w:szCs w:val="24"/>
        </w:rPr>
      </w:pPr>
    </w:p>
    <w:p w14:paraId="22B09A3E" w14:textId="77777777" w:rsidR="007C27DC" w:rsidRPr="00613CCE" w:rsidRDefault="00CD1C4D"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El día veintitrés jul</w:t>
      </w:r>
      <w:r w:rsidR="007D3D12" w:rsidRPr="00613CCE">
        <w:rPr>
          <w:rFonts w:ascii="Palatino Linotype" w:eastAsia="Palatino Linotype" w:hAnsi="Palatino Linotype" w:cs="Palatino Linotype"/>
          <w:color w:val="000000"/>
          <w:sz w:val="24"/>
          <w:szCs w:val="24"/>
        </w:rPr>
        <w:t>io dos mil veinticuatro</w:t>
      </w:r>
      <w:r w:rsidR="007D3D12" w:rsidRPr="00613CCE">
        <w:rPr>
          <w:rFonts w:ascii="Palatino Linotype" w:eastAsia="Palatino Linotype" w:hAnsi="Palatino Linotype" w:cs="Palatino Linotype"/>
          <w:b/>
          <w:color w:val="000000"/>
          <w:sz w:val="24"/>
          <w:szCs w:val="24"/>
        </w:rPr>
        <w:t xml:space="preserve">, </w:t>
      </w:r>
      <w:r w:rsidR="007D3D12" w:rsidRPr="00613CCE">
        <w:rPr>
          <w:rFonts w:ascii="Palatino Linotype" w:eastAsia="Palatino Linotype" w:hAnsi="Palatino Linotype" w:cs="Palatino Linotype"/>
          <w:color w:val="000000"/>
          <w:sz w:val="24"/>
          <w:szCs w:val="24"/>
        </w:rPr>
        <w:t xml:space="preserve">se presentó ante el </w:t>
      </w:r>
      <w:r w:rsidR="007D3D12" w:rsidRPr="00613CCE">
        <w:rPr>
          <w:rFonts w:ascii="Palatino Linotype" w:eastAsia="Palatino Linotype" w:hAnsi="Palatino Linotype" w:cs="Palatino Linotype"/>
          <w:b/>
          <w:color w:val="000000"/>
          <w:sz w:val="24"/>
          <w:szCs w:val="24"/>
        </w:rPr>
        <w:t>SUJETO OBLIGADO</w:t>
      </w:r>
      <w:r w:rsidR="007D3D12" w:rsidRPr="00613CCE">
        <w:rPr>
          <w:rFonts w:ascii="Palatino Linotype" w:eastAsia="Palatino Linotype" w:hAnsi="Palatino Linotype" w:cs="Palatino Linotype"/>
          <w:color w:val="000000"/>
          <w:sz w:val="24"/>
          <w:szCs w:val="24"/>
        </w:rPr>
        <w:t xml:space="preserve"> vía </w:t>
      </w:r>
      <w:r w:rsidR="007D3D12" w:rsidRPr="00613CCE">
        <w:rPr>
          <w:rFonts w:ascii="Palatino Linotype" w:eastAsia="Palatino Linotype" w:hAnsi="Palatino Linotype" w:cs="Palatino Linotype"/>
          <w:b/>
          <w:color w:val="000000"/>
          <w:sz w:val="24"/>
          <w:szCs w:val="24"/>
        </w:rPr>
        <w:t>SAIMEX</w:t>
      </w:r>
      <w:r w:rsidR="007D3D12" w:rsidRPr="00613CCE">
        <w:rPr>
          <w:rFonts w:ascii="Palatino Linotype" w:eastAsia="Palatino Linotype" w:hAnsi="Palatino Linotype" w:cs="Palatino Linotype"/>
          <w:color w:val="000000"/>
          <w:sz w:val="24"/>
          <w:szCs w:val="24"/>
        </w:rPr>
        <w:t xml:space="preserve">, las solicitudes de información pública registradas con los </w:t>
      </w:r>
      <w:r w:rsidR="007D3D12" w:rsidRPr="00613CCE">
        <w:rPr>
          <w:rFonts w:ascii="Palatino Linotype" w:eastAsia="Palatino Linotype" w:hAnsi="Palatino Linotype" w:cs="Palatino Linotype"/>
          <w:color w:val="000000"/>
          <w:sz w:val="24"/>
          <w:szCs w:val="24"/>
        </w:rPr>
        <w:lastRenderedPageBreak/>
        <w:t>números</w:t>
      </w:r>
      <w:r w:rsidR="007D3D12" w:rsidRPr="00613CCE">
        <w:rPr>
          <w:rFonts w:ascii="Palatino Linotype" w:eastAsia="Palatino Linotype" w:hAnsi="Palatino Linotype" w:cs="Palatino Linotype"/>
          <w:b/>
          <w:color w:val="000000"/>
          <w:sz w:val="24"/>
          <w:szCs w:val="24"/>
        </w:rPr>
        <w:t xml:space="preserve"> </w:t>
      </w:r>
      <w:r w:rsidR="007D3D12" w:rsidRPr="00613CCE">
        <w:rPr>
          <w:rFonts w:ascii="Palatino Linotype" w:eastAsia="Palatino Linotype" w:hAnsi="Palatino Linotype" w:cs="Palatino Linotype"/>
          <w:color w:val="000000"/>
          <w:sz w:val="24"/>
          <w:szCs w:val="24"/>
        </w:rPr>
        <w:t>anteriormente enlistados</w:t>
      </w:r>
      <w:r w:rsidR="007D3D12" w:rsidRPr="00613CCE">
        <w:rPr>
          <w:rFonts w:ascii="Palatino Linotype" w:eastAsia="Palatino Linotype" w:hAnsi="Palatino Linotype" w:cs="Palatino Linotype"/>
          <w:b/>
          <w:color w:val="000000"/>
          <w:sz w:val="24"/>
          <w:szCs w:val="24"/>
        </w:rPr>
        <w:t>,</w:t>
      </w:r>
      <w:r w:rsidR="007D3D12" w:rsidRPr="00613CCE">
        <w:rPr>
          <w:rFonts w:ascii="Palatino Linotype" w:eastAsia="Palatino Linotype" w:hAnsi="Palatino Linotype" w:cs="Palatino Linotype"/>
          <w:color w:val="000000"/>
          <w:sz w:val="24"/>
          <w:szCs w:val="24"/>
        </w:rPr>
        <w:t xml:space="preserve"> mediante la cual se solicitó la siguiente información:</w:t>
      </w:r>
    </w:p>
    <w:p w14:paraId="6C19FE29" w14:textId="77777777" w:rsidR="007C27DC" w:rsidRPr="00613CCE" w:rsidRDefault="007C27DC"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3C38493B"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 xml:space="preserve">Número de Folio de la Solicitud: </w:t>
      </w:r>
      <w:r w:rsidR="00360BD2" w:rsidRPr="00613CCE">
        <w:rPr>
          <w:rFonts w:ascii="Palatino Linotype" w:eastAsia="Palatino Linotype" w:hAnsi="Palatino Linotype" w:cs="Palatino Linotype"/>
          <w:b/>
          <w:color w:val="000000"/>
          <w:sz w:val="24"/>
          <w:szCs w:val="24"/>
        </w:rPr>
        <w:t>00424/VACHASO/IP/2024</w:t>
      </w:r>
    </w:p>
    <w:p w14:paraId="565E2A48" w14:textId="77777777" w:rsidR="00CD1C4D" w:rsidRPr="00613CCE" w:rsidRDefault="00360BD2"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el Mantenimiento de equipos de bienes informáticos, que fuera contratado con la empresa GURIK SA DE CV.”</w:t>
      </w:r>
    </w:p>
    <w:p w14:paraId="758901CA"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p>
    <w:p w14:paraId="2416A955"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 xml:space="preserve">Número de Folio de la Solicitud: </w:t>
      </w:r>
      <w:r w:rsidR="00360BD2" w:rsidRPr="00613CCE">
        <w:rPr>
          <w:rFonts w:ascii="Palatino Linotype" w:eastAsia="Palatino Linotype" w:hAnsi="Palatino Linotype" w:cs="Palatino Linotype"/>
          <w:b/>
          <w:color w:val="000000"/>
          <w:sz w:val="24"/>
          <w:szCs w:val="24"/>
        </w:rPr>
        <w:t>00425/VACHASO/IP/2024</w:t>
      </w:r>
    </w:p>
    <w:p w14:paraId="146ADA9A" w14:textId="77777777" w:rsidR="00CD1C4D" w:rsidRPr="00613CCE" w:rsidRDefault="00360BD2"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el Mantenimiento de cámaras de video del municipio, que fuera contratado con la empresa GURIK SA DE CV.”</w:t>
      </w:r>
    </w:p>
    <w:p w14:paraId="62510CAD"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p>
    <w:p w14:paraId="5A6034AB"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 xml:space="preserve">Número de Folio de la Solicitud: </w:t>
      </w:r>
      <w:r w:rsidR="00360BD2" w:rsidRPr="00613CCE">
        <w:rPr>
          <w:rFonts w:ascii="Palatino Linotype" w:eastAsia="Palatino Linotype" w:hAnsi="Palatino Linotype" w:cs="Palatino Linotype"/>
          <w:b/>
          <w:color w:val="000000"/>
          <w:sz w:val="24"/>
          <w:szCs w:val="24"/>
        </w:rPr>
        <w:t>00426/VACHASO/IP/2024</w:t>
      </w:r>
    </w:p>
    <w:p w14:paraId="37D16C92" w14:textId="77777777" w:rsidR="00CD1C4D" w:rsidRPr="00613CCE" w:rsidRDefault="00360BD2"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lastRenderedPageBreak/>
        <w:t xml:space="preserve">“A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el SERVICIO DE COMPILACIÓN DE IMÁGENES EN PAQUETE. </w:t>
      </w:r>
      <w:proofErr w:type="spellStart"/>
      <w:r w:rsidRPr="00613CCE">
        <w:rPr>
          <w:rFonts w:ascii="Palatino Linotype" w:eastAsia="Palatino Linotype" w:hAnsi="Palatino Linotype" w:cs="Palatino Linotype"/>
          <w:i/>
          <w:color w:val="000000"/>
          <w:sz w:val="24"/>
          <w:szCs w:val="24"/>
        </w:rPr>
        <w:t>Tif</w:t>
      </w:r>
      <w:proofErr w:type="spellEnd"/>
      <w:r w:rsidRPr="00613CCE">
        <w:rPr>
          <w:rFonts w:ascii="Palatino Linotype" w:eastAsia="Palatino Linotype" w:hAnsi="Palatino Linotype" w:cs="Palatino Linotype"/>
          <w:i/>
          <w:color w:val="000000"/>
          <w:sz w:val="24"/>
          <w:szCs w:val="24"/>
        </w:rPr>
        <w:t>/</w:t>
      </w:r>
      <w:proofErr w:type="spellStart"/>
      <w:r w:rsidRPr="00613CCE">
        <w:rPr>
          <w:rFonts w:ascii="Palatino Linotype" w:eastAsia="Palatino Linotype" w:hAnsi="Palatino Linotype" w:cs="Palatino Linotype"/>
          <w:i/>
          <w:color w:val="000000"/>
          <w:sz w:val="24"/>
          <w:szCs w:val="24"/>
        </w:rPr>
        <w:t>Multitif</w:t>
      </w:r>
      <w:proofErr w:type="spellEnd"/>
      <w:r w:rsidRPr="00613CCE">
        <w:rPr>
          <w:rFonts w:ascii="Palatino Linotype" w:eastAsia="Palatino Linotype" w:hAnsi="Palatino Linotype" w:cs="Palatino Linotype"/>
          <w:i/>
          <w:color w:val="000000"/>
          <w:sz w:val="24"/>
          <w:szCs w:val="24"/>
        </w:rPr>
        <w:t xml:space="preserve"> Generación de archivo SIFE para integración al informe trimestral (Primer Trimestre 2023), que fuera contratado con la empresa GURIK SA DE CV.”</w:t>
      </w:r>
    </w:p>
    <w:p w14:paraId="783EFED1"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p>
    <w:p w14:paraId="23C299B4"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 xml:space="preserve">Número de Folio de la Solicitud: </w:t>
      </w:r>
      <w:r w:rsidR="00360BD2" w:rsidRPr="00613CCE">
        <w:rPr>
          <w:rFonts w:ascii="Palatino Linotype" w:eastAsia="Palatino Linotype" w:hAnsi="Palatino Linotype" w:cs="Palatino Linotype"/>
          <w:b/>
          <w:color w:val="000000"/>
          <w:sz w:val="24"/>
          <w:szCs w:val="24"/>
        </w:rPr>
        <w:t>00427/VACHASO/IP/2024</w:t>
      </w:r>
    </w:p>
    <w:p w14:paraId="7B8F58F1" w14:textId="77777777" w:rsidR="00CD1C4D" w:rsidRPr="00613CCE" w:rsidRDefault="00360BD2"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el SERVICIO DE DIGITALIZACION DE DOCUMENTOS DE EXPEDIENTES DE LOS PROCEDIMIENTOS DE ADQUISICIONES, ARRENDAMIENTOS DE BIENES O CONTRATACION DE SERVICIOS DEL EJERCICIOS FISCAL DE 2022, que fuera contratado con la empresa GURIK SA DE CV.”</w:t>
      </w:r>
    </w:p>
    <w:p w14:paraId="45540B7D"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p>
    <w:p w14:paraId="444990A7"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 xml:space="preserve">Número de Folio de la Solicitud: </w:t>
      </w:r>
      <w:r w:rsidR="00360BD2" w:rsidRPr="00613CCE">
        <w:rPr>
          <w:rFonts w:ascii="Palatino Linotype" w:eastAsia="Palatino Linotype" w:hAnsi="Palatino Linotype" w:cs="Palatino Linotype"/>
          <w:b/>
          <w:color w:val="000000"/>
          <w:sz w:val="24"/>
          <w:szCs w:val="24"/>
        </w:rPr>
        <w:t>00429/VACHASO/IP/2024</w:t>
      </w:r>
    </w:p>
    <w:p w14:paraId="553F3321" w14:textId="77777777" w:rsidR="00CD1C4D" w:rsidRPr="00613CCE" w:rsidRDefault="00360BD2"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lastRenderedPageBreak/>
        <w:t xml:space="preserve">“A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la </w:t>
      </w:r>
      <w:proofErr w:type="spellStart"/>
      <w:r w:rsidRPr="00613CCE">
        <w:rPr>
          <w:rFonts w:ascii="Palatino Linotype" w:eastAsia="Palatino Linotype" w:hAnsi="Palatino Linotype" w:cs="Palatino Linotype"/>
          <w:i/>
          <w:color w:val="000000"/>
          <w:sz w:val="24"/>
          <w:szCs w:val="24"/>
        </w:rPr>
        <w:t>Reingenieria</w:t>
      </w:r>
      <w:proofErr w:type="spellEnd"/>
      <w:r w:rsidRPr="00613CCE">
        <w:rPr>
          <w:rFonts w:ascii="Palatino Linotype" w:eastAsia="Palatino Linotype" w:hAnsi="Palatino Linotype" w:cs="Palatino Linotype"/>
          <w:i/>
          <w:color w:val="000000"/>
          <w:sz w:val="24"/>
          <w:szCs w:val="24"/>
        </w:rPr>
        <w:t xml:space="preserve"> de procesos de seguridad IA/ML </w:t>
      </w:r>
      <w:proofErr w:type="spellStart"/>
      <w:r w:rsidRPr="00613CCE">
        <w:rPr>
          <w:rFonts w:ascii="Palatino Linotype" w:eastAsia="Palatino Linotype" w:hAnsi="Palatino Linotype" w:cs="Palatino Linotype"/>
          <w:i/>
          <w:color w:val="000000"/>
          <w:sz w:val="24"/>
          <w:szCs w:val="24"/>
        </w:rPr>
        <w:t>Fortigate</w:t>
      </w:r>
      <w:proofErr w:type="spellEnd"/>
      <w:r w:rsidRPr="00613CCE">
        <w:rPr>
          <w:rFonts w:ascii="Palatino Linotype" w:eastAsia="Palatino Linotype" w:hAnsi="Palatino Linotype" w:cs="Palatino Linotype"/>
          <w:i/>
          <w:color w:val="000000"/>
          <w:sz w:val="24"/>
          <w:szCs w:val="24"/>
        </w:rPr>
        <w:t xml:space="preserve"> NGFW firewall, </w:t>
      </w:r>
      <w:proofErr w:type="spellStart"/>
      <w:r w:rsidRPr="00613CCE">
        <w:rPr>
          <w:rFonts w:ascii="Palatino Linotype" w:eastAsia="Palatino Linotype" w:hAnsi="Palatino Linotype" w:cs="Palatino Linotype"/>
          <w:i/>
          <w:color w:val="000000"/>
          <w:sz w:val="24"/>
          <w:szCs w:val="24"/>
        </w:rPr>
        <w:t>proteccion</w:t>
      </w:r>
      <w:proofErr w:type="spellEnd"/>
      <w:r w:rsidRPr="00613CCE">
        <w:rPr>
          <w:rFonts w:ascii="Palatino Linotype" w:eastAsia="Palatino Linotype" w:hAnsi="Palatino Linotype" w:cs="Palatino Linotype"/>
          <w:i/>
          <w:color w:val="000000"/>
          <w:sz w:val="24"/>
          <w:szCs w:val="24"/>
        </w:rPr>
        <w:t xml:space="preserve"> de acceso </w:t>
      </w:r>
      <w:proofErr w:type="spellStart"/>
      <w:r w:rsidRPr="00613CCE">
        <w:rPr>
          <w:rFonts w:ascii="Palatino Linotype" w:eastAsia="Palatino Linotype" w:hAnsi="Palatino Linotype" w:cs="Palatino Linotype"/>
          <w:i/>
          <w:color w:val="000000"/>
          <w:sz w:val="24"/>
          <w:szCs w:val="24"/>
        </w:rPr>
        <w:t>via</w:t>
      </w:r>
      <w:proofErr w:type="spellEnd"/>
      <w:r w:rsidRPr="00613CCE">
        <w:rPr>
          <w:rFonts w:ascii="Palatino Linotype" w:eastAsia="Palatino Linotype" w:hAnsi="Palatino Linotype" w:cs="Palatino Linotype"/>
          <w:i/>
          <w:color w:val="000000"/>
          <w:sz w:val="24"/>
          <w:szCs w:val="24"/>
        </w:rPr>
        <w:t xml:space="preserve"> NAS de QNAP "Prevención de ataques Hacker", que fuera contratado con la empresa GURIK SA DE CV.”</w:t>
      </w:r>
    </w:p>
    <w:p w14:paraId="7499585E" w14:textId="77777777" w:rsidR="00CD1C4D" w:rsidRPr="00613CCE" w:rsidRDefault="00CD1C4D" w:rsidP="00613CCE">
      <w:pPr>
        <w:pBdr>
          <w:top w:val="nil"/>
          <w:left w:val="nil"/>
          <w:bottom w:val="nil"/>
          <w:right w:val="nil"/>
          <w:between w:val="nil"/>
        </w:pBdr>
        <w:spacing w:line="360" w:lineRule="auto"/>
        <w:ind w:left="426" w:right="397"/>
        <w:jc w:val="both"/>
        <w:rPr>
          <w:rFonts w:ascii="Palatino Linotype" w:eastAsia="Palatino Linotype" w:hAnsi="Palatino Linotype" w:cs="Palatino Linotype"/>
          <w:b/>
          <w:color w:val="000000"/>
          <w:sz w:val="24"/>
          <w:szCs w:val="24"/>
        </w:rPr>
      </w:pPr>
    </w:p>
    <w:p w14:paraId="39E0171E" w14:textId="77777777" w:rsidR="007C27DC" w:rsidRPr="00613CCE" w:rsidRDefault="007D3D12" w:rsidP="00613CCE">
      <w:pPr>
        <w:numPr>
          <w:ilvl w:val="0"/>
          <w:numId w:val="5"/>
        </w:numPr>
        <w:pBdr>
          <w:top w:val="nil"/>
          <w:left w:val="nil"/>
          <w:bottom w:val="nil"/>
          <w:right w:val="nil"/>
          <w:between w:val="nil"/>
        </w:pBdr>
        <w:spacing w:line="360" w:lineRule="auto"/>
        <w:ind w:left="709" w:right="474"/>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b/>
          <w:color w:val="000000"/>
          <w:sz w:val="24"/>
          <w:szCs w:val="24"/>
        </w:rPr>
        <w:t>Modalidad de entrega</w:t>
      </w:r>
      <w:r w:rsidRPr="00613CCE">
        <w:rPr>
          <w:rFonts w:ascii="Palatino Linotype" w:eastAsia="Palatino Linotype" w:hAnsi="Palatino Linotype" w:cs="Palatino Linotype"/>
          <w:color w:val="000000"/>
          <w:sz w:val="24"/>
          <w:szCs w:val="24"/>
        </w:rPr>
        <w:t>: SAIMEX</w:t>
      </w:r>
      <w:r w:rsidRPr="00613CCE">
        <w:rPr>
          <w:rFonts w:ascii="Palatino Linotype" w:eastAsia="Palatino Linotype" w:hAnsi="Palatino Linotype" w:cs="Palatino Linotype"/>
          <w:b/>
          <w:color w:val="000000"/>
          <w:sz w:val="24"/>
          <w:szCs w:val="24"/>
        </w:rPr>
        <w:t xml:space="preserve"> </w:t>
      </w:r>
    </w:p>
    <w:p w14:paraId="64E3B53C" w14:textId="77777777" w:rsidR="007C27DC" w:rsidRPr="00613CCE" w:rsidRDefault="007D3D12" w:rsidP="00613CCE">
      <w:pPr>
        <w:pBdr>
          <w:top w:val="nil"/>
          <w:left w:val="nil"/>
          <w:bottom w:val="nil"/>
          <w:right w:val="nil"/>
          <w:between w:val="nil"/>
        </w:pBdr>
        <w:spacing w:line="360" w:lineRule="auto"/>
        <w:ind w:left="709" w:right="474"/>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ab/>
      </w:r>
      <w:r w:rsidRPr="00613CCE">
        <w:rPr>
          <w:rFonts w:ascii="Palatino Linotype" w:eastAsia="Palatino Linotype" w:hAnsi="Palatino Linotype" w:cs="Palatino Linotype"/>
          <w:color w:val="000000"/>
          <w:sz w:val="24"/>
          <w:szCs w:val="24"/>
        </w:rPr>
        <w:tab/>
      </w:r>
      <w:r w:rsidRPr="00613CCE">
        <w:rPr>
          <w:rFonts w:ascii="Palatino Linotype" w:eastAsia="Palatino Linotype" w:hAnsi="Palatino Linotype" w:cs="Palatino Linotype"/>
          <w:color w:val="000000"/>
          <w:sz w:val="24"/>
          <w:szCs w:val="24"/>
        </w:rPr>
        <w:tab/>
      </w:r>
      <w:r w:rsidRPr="00613CCE">
        <w:rPr>
          <w:rFonts w:ascii="Palatino Linotype" w:eastAsia="Palatino Linotype" w:hAnsi="Palatino Linotype" w:cs="Palatino Linotype"/>
          <w:color w:val="000000"/>
          <w:sz w:val="24"/>
          <w:szCs w:val="24"/>
        </w:rPr>
        <w:tab/>
      </w:r>
      <w:r w:rsidRPr="00613CCE">
        <w:rPr>
          <w:rFonts w:ascii="Palatino Linotype" w:eastAsia="Palatino Linotype" w:hAnsi="Palatino Linotype" w:cs="Palatino Linotype"/>
          <w:color w:val="000000"/>
          <w:sz w:val="24"/>
          <w:szCs w:val="24"/>
        </w:rPr>
        <w:tab/>
      </w:r>
      <w:r w:rsidRPr="00613CCE">
        <w:rPr>
          <w:rFonts w:ascii="Palatino Linotype" w:eastAsia="Palatino Linotype" w:hAnsi="Palatino Linotype" w:cs="Palatino Linotype"/>
          <w:color w:val="000000"/>
          <w:sz w:val="24"/>
          <w:szCs w:val="24"/>
        </w:rPr>
        <w:tab/>
      </w:r>
      <w:r w:rsidRPr="00613CCE">
        <w:rPr>
          <w:rFonts w:ascii="Palatino Linotype" w:eastAsia="Palatino Linotype" w:hAnsi="Palatino Linotype" w:cs="Palatino Linotype"/>
          <w:color w:val="000000"/>
          <w:sz w:val="24"/>
          <w:szCs w:val="24"/>
        </w:rPr>
        <w:tab/>
      </w:r>
    </w:p>
    <w:p w14:paraId="0EACA8C0"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b/>
          <w:i/>
          <w:color w:val="000000"/>
          <w:sz w:val="24"/>
          <w:szCs w:val="24"/>
        </w:rPr>
      </w:pPr>
      <w:r w:rsidRPr="00613CCE">
        <w:rPr>
          <w:rFonts w:ascii="Palatino Linotype" w:eastAsia="Palatino Linotype" w:hAnsi="Palatino Linotype" w:cs="Palatino Linotype"/>
          <w:color w:val="000000"/>
          <w:sz w:val="24"/>
          <w:szCs w:val="24"/>
        </w:rPr>
        <w:t xml:space="preserve">En fecha </w:t>
      </w:r>
      <w:r w:rsidR="00374F13" w:rsidRPr="00613CCE">
        <w:rPr>
          <w:rFonts w:ascii="Palatino Linotype" w:eastAsia="Palatino Linotype" w:hAnsi="Palatino Linotype" w:cs="Palatino Linotype"/>
          <w:b/>
          <w:color w:val="000000"/>
          <w:sz w:val="24"/>
          <w:szCs w:val="24"/>
        </w:rPr>
        <w:t>veintiséis de agosto</w:t>
      </w:r>
      <w:r w:rsidRPr="00613CCE">
        <w:rPr>
          <w:rFonts w:ascii="Palatino Linotype" w:eastAsia="Palatino Linotype" w:hAnsi="Palatino Linotype" w:cs="Palatino Linotype"/>
          <w:b/>
          <w:color w:val="000000"/>
          <w:sz w:val="24"/>
          <w:szCs w:val="24"/>
        </w:rPr>
        <w:t xml:space="preserve"> de dos mil veinticuatro, </w:t>
      </w:r>
      <w:r w:rsidRPr="00613CCE">
        <w:rPr>
          <w:rFonts w:ascii="Palatino Linotype" w:eastAsia="Palatino Linotype" w:hAnsi="Palatino Linotype" w:cs="Palatino Linotype"/>
          <w:color w:val="000000"/>
          <w:sz w:val="24"/>
          <w:szCs w:val="24"/>
        </w:rPr>
        <w:t xml:space="preserve">el </w:t>
      </w:r>
      <w:r w:rsidRPr="00613CCE">
        <w:rPr>
          <w:rFonts w:ascii="Palatino Linotype" w:eastAsia="Palatino Linotype" w:hAnsi="Palatino Linotype" w:cs="Palatino Linotype"/>
          <w:b/>
          <w:color w:val="000000"/>
          <w:sz w:val="24"/>
          <w:szCs w:val="24"/>
        </w:rPr>
        <w:t xml:space="preserve">SUJETO OBLIGADO, </w:t>
      </w:r>
      <w:r w:rsidRPr="00613CCE">
        <w:rPr>
          <w:rFonts w:ascii="Palatino Linotype" w:eastAsia="Palatino Linotype" w:hAnsi="Palatino Linotype" w:cs="Palatino Linotype"/>
          <w:color w:val="000000"/>
          <w:sz w:val="24"/>
          <w:szCs w:val="24"/>
        </w:rPr>
        <w:t>emitió una respuesta a todas y cada una de las solicitudes objeto de acumulación</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 xml:space="preserve">en las que de manera sustancial </w:t>
      </w:r>
      <w:r w:rsidR="00374F13" w:rsidRPr="00613CCE">
        <w:rPr>
          <w:rFonts w:ascii="Palatino Linotype" w:eastAsia="Palatino Linotype" w:hAnsi="Palatino Linotype" w:cs="Palatino Linotype"/>
          <w:color w:val="000000"/>
          <w:sz w:val="24"/>
          <w:szCs w:val="24"/>
        </w:rPr>
        <w:t>se remite</w:t>
      </w:r>
      <w:r w:rsidRPr="00613CCE">
        <w:rPr>
          <w:rFonts w:ascii="Palatino Linotype" w:eastAsia="Palatino Linotype" w:hAnsi="Palatino Linotype" w:cs="Palatino Linotype"/>
          <w:color w:val="000000"/>
          <w:sz w:val="24"/>
          <w:szCs w:val="24"/>
        </w:rPr>
        <w:t xml:space="preserve"> </w:t>
      </w:r>
      <w:r w:rsidR="00374F13" w:rsidRPr="00613CCE">
        <w:rPr>
          <w:rFonts w:ascii="Palatino Linotype" w:eastAsia="Palatino Linotype" w:hAnsi="Palatino Linotype" w:cs="Palatino Linotype"/>
          <w:color w:val="000000"/>
          <w:sz w:val="24"/>
          <w:szCs w:val="24"/>
        </w:rPr>
        <w:t xml:space="preserve">el </w:t>
      </w:r>
      <w:r w:rsidR="00914D6B" w:rsidRPr="00613CCE">
        <w:rPr>
          <w:rFonts w:ascii="Palatino Linotype" w:eastAsia="Palatino Linotype" w:hAnsi="Palatino Linotype" w:cs="Palatino Linotype"/>
          <w:color w:val="000000"/>
          <w:sz w:val="24"/>
          <w:szCs w:val="24"/>
        </w:rPr>
        <w:t>Acta de la Décimo Sexta Sesión Extraordinaria del Comité de Transparencia del H. Ayuntamiento de Valle de Chalco Solidaridad, Estado de México, Administración 2022-2024, a través de la cual se declara como reservada la información</w:t>
      </w:r>
      <w:r w:rsidR="00872161" w:rsidRPr="00613CCE">
        <w:rPr>
          <w:rFonts w:ascii="Palatino Linotype" w:eastAsia="Palatino Linotype" w:hAnsi="Palatino Linotype" w:cs="Palatino Linotype"/>
          <w:color w:val="000000"/>
          <w:sz w:val="24"/>
          <w:szCs w:val="24"/>
        </w:rPr>
        <w:t xml:space="preserve"> que se requiere en cada expediente respectivamente</w:t>
      </w:r>
      <w:r w:rsidR="00705709" w:rsidRPr="00613CCE">
        <w:rPr>
          <w:rFonts w:ascii="Palatino Linotype" w:eastAsia="Palatino Linotype" w:hAnsi="Palatino Linotype" w:cs="Palatino Linotype"/>
          <w:color w:val="000000"/>
          <w:sz w:val="24"/>
          <w:szCs w:val="24"/>
        </w:rPr>
        <w:t xml:space="preserve">, y </w:t>
      </w:r>
      <w:r w:rsidR="00872161" w:rsidRPr="00613CCE">
        <w:rPr>
          <w:rFonts w:ascii="Palatino Linotype" w:eastAsia="Palatino Linotype" w:hAnsi="Palatino Linotype" w:cs="Palatino Linotype"/>
          <w:color w:val="000000"/>
          <w:sz w:val="24"/>
          <w:szCs w:val="24"/>
        </w:rPr>
        <w:t>un</w:t>
      </w:r>
      <w:r w:rsidR="00705709" w:rsidRPr="00613CCE">
        <w:rPr>
          <w:rFonts w:ascii="Palatino Linotype" w:eastAsia="Palatino Linotype" w:hAnsi="Palatino Linotype" w:cs="Palatino Linotype"/>
          <w:color w:val="000000"/>
          <w:sz w:val="24"/>
          <w:szCs w:val="24"/>
        </w:rPr>
        <w:t xml:space="preserve"> Acuerdo, mediante el cual el Comité de Transparencia del Ayuntamiento de Valle de Chalco Solidaridad, clasifica</w:t>
      </w:r>
      <w:r w:rsidR="00872161" w:rsidRPr="00613CCE">
        <w:rPr>
          <w:rFonts w:ascii="Palatino Linotype" w:eastAsia="Palatino Linotype" w:hAnsi="Palatino Linotype" w:cs="Palatino Linotype"/>
          <w:color w:val="000000"/>
          <w:sz w:val="24"/>
          <w:szCs w:val="24"/>
        </w:rPr>
        <w:t xml:space="preserve"> en lo particular</w:t>
      </w:r>
      <w:r w:rsidR="00705709" w:rsidRPr="00613CCE">
        <w:rPr>
          <w:rFonts w:ascii="Palatino Linotype" w:eastAsia="Palatino Linotype" w:hAnsi="Palatino Linotype" w:cs="Palatino Linotype"/>
          <w:color w:val="000000"/>
          <w:sz w:val="24"/>
          <w:szCs w:val="24"/>
        </w:rPr>
        <w:t xml:space="preserve"> la información mediante la aplicación de la prueba de daño</w:t>
      </w:r>
      <w:r w:rsidR="00872161" w:rsidRPr="00613CCE">
        <w:rPr>
          <w:rFonts w:ascii="Palatino Linotype" w:eastAsia="Palatino Linotype" w:hAnsi="Palatino Linotype" w:cs="Palatino Linotype"/>
          <w:color w:val="000000"/>
          <w:sz w:val="24"/>
          <w:szCs w:val="24"/>
        </w:rPr>
        <w:t>, de acuerdo a lo requerido a cada solicitud de información.</w:t>
      </w:r>
    </w:p>
    <w:p w14:paraId="10D27B16"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i/>
          <w:color w:val="000000"/>
          <w:sz w:val="24"/>
          <w:szCs w:val="24"/>
        </w:rPr>
      </w:pPr>
      <w:bookmarkStart w:id="1" w:name="_heading=h.30j0zll" w:colFirst="0" w:colLast="0"/>
      <w:bookmarkEnd w:id="1"/>
      <w:r w:rsidRPr="00613CCE">
        <w:rPr>
          <w:rFonts w:ascii="Palatino Linotype" w:eastAsia="Palatino Linotype" w:hAnsi="Palatino Linotype" w:cs="Palatino Linotype"/>
          <w:color w:val="000000"/>
          <w:sz w:val="24"/>
          <w:szCs w:val="24"/>
        </w:rPr>
        <w:lastRenderedPageBreak/>
        <w:t xml:space="preserve">Ante la respuesta emitida, el </w:t>
      </w:r>
      <w:r w:rsidR="00705709" w:rsidRPr="00613CCE">
        <w:rPr>
          <w:rFonts w:ascii="Palatino Linotype" w:eastAsia="Palatino Linotype" w:hAnsi="Palatino Linotype" w:cs="Palatino Linotype"/>
          <w:b/>
          <w:color w:val="000000"/>
          <w:sz w:val="24"/>
          <w:szCs w:val="24"/>
        </w:rPr>
        <w:t>cuatro de septiembre</w:t>
      </w:r>
      <w:r w:rsidRPr="00613CCE">
        <w:rPr>
          <w:rFonts w:ascii="Palatino Linotype" w:eastAsia="Palatino Linotype" w:hAnsi="Palatino Linotype" w:cs="Palatino Linotype"/>
          <w:b/>
          <w:color w:val="000000"/>
          <w:sz w:val="24"/>
          <w:szCs w:val="24"/>
        </w:rPr>
        <w:t xml:space="preserve"> dos mil veinticuatro</w:t>
      </w:r>
      <w:r w:rsidRPr="00613CCE">
        <w:rPr>
          <w:rFonts w:ascii="Palatino Linotype" w:eastAsia="Palatino Linotype" w:hAnsi="Palatino Linotype" w:cs="Palatino Linotype"/>
          <w:color w:val="000000"/>
          <w:sz w:val="24"/>
          <w:szCs w:val="24"/>
        </w:rPr>
        <w:t>, el particular interpuso los Recurso de Revisión al rubro indicados, señalando, las siguientes razones o motivos de inconformidad:</w:t>
      </w:r>
    </w:p>
    <w:p w14:paraId="75C8AA58" w14:textId="77777777" w:rsidR="007C27DC" w:rsidRPr="00613CCE" w:rsidRDefault="007C27DC" w:rsidP="00613CCE">
      <w:pPr>
        <w:spacing w:line="360" w:lineRule="auto"/>
        <w:jc w:val="both"/>
        <w:rPr>
          <w:rFonts w:ascii="Palatino Linotype" w:eastAsia="Palatino Linotype" w:hAnsi="Palatino Linotype" w:cs="Palatino Linotype"/>
          <w:i/>
          <w:sz w:val="24"/>
          <w:szCs w:val="24"/>
        </w:rPr>
      </w:pPr>
    </w:p>
    <w:p w14:paraId="2E3BEA61" w14:textId="77777777" w:rsidR="00705709" w:rsidRPr="00613CCE" w:rsidRDefault="00705709" w:rsidP="00613CCE">
      <w:pPr>
        <w:spacing w:line="360" w:lineRule="auto"/>
        <w:ind w:left="709" w:right="567" w:hanging="141"/>
        <w:jc w:val="both"/>
        <w:rPr>
          <w:rFonts w:ascii="Palatino Linotype" w:eastAsia="Palatino Linotype" w:hAnsi="Palatino Linotype" w:cs="Palatino Linotype"/>
          <w:b/>
          <w:i/>
          <w:color w:val="000000"/>
          <w:sz w:val="24"/>
          <w:szCs w:val="24"/>
        </w:rPr>
      </w:pPr>
      <w:r w:rsidRPr="00613CCE">
        <w:rPr>
          <w:rFonts w:ascii="Palatino Linotype" w:eastAsia="Palatino Linotype" w:hAnsi="Palatino Linotype" w:cs="Palatino Linotype"/>
          <w:b/>
          <w:i/>
          <w:color w:val="000000"/>
          <w:sz w:val="24"/>
          <w:szCs w:val="24"/>
        </w:rPr>
        <w:t xml:space="preserve">Solicitud de información: </w:t>
      </w:r>
      <w:r w:rsidR="00E8458F" w:rsidRPr="00613CCE">
        <w:rPr>
          <w:rFonts w:ascii="Palatino Linotype" w:eastAsia="Palatino Linotype" w:hAnsi="Palatino Linotype" w:cs="Palatino Linotype"/>
          <w:b/>
          <w:i/>
          <w:color w:val="000000"/>
          <w:sz w:val="24"/>
          <w:szCs w:val="24"/>
        </w:rPr>
        <w:t>00424/VACHASO/IP/2024</w:t>
      </w:r>
    </w:p>
    <w:p w14:paraId="4B9B612E"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 xml:space="preserve">ACTO IMPUGNADO: </w:t>
      </w:r>
      <w:r w:rsidR="00E8458F" w:rsidRPr="00613CCE">
        <w:rPr>
          <w:rFonts w:ascii="Palatino Linotype" w:eastAsia="Palatino Linotype" w:hAnsi="Palatino Linotype" w:cs="Palatino Linotype"/>
          <w:i/>
          <w:color w:val="000000"/>
          <w:sz w:val="24"/>
          <w:szCs w:val="24"/>
        </w:rPr>
        <w:t>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el Mantenimiento de equipos de bienes informáticos, que fuera contratado con la empresa GURIK SA DE CV.</w:t>
      </w:r>
    </w:p>
    <w:p w14:paraId="22EC08AA" w14:textId="77777777" w:rsidR="00705709" w:rsidRPr="00613CCE" w:rsidRDefault="00705709" w:rsidP="00613CCE">
      <w:pPr>
        <w:spacing w:line="360" w:lineRule="auto"/>
        <w:ind w:left="709" w:right="567" w:hanging="141"/>
        <w:jc w:val="both"/>
        <w:rPr>
          <w:rFonts w:ascii="Palatino Linotype" w:eastAsia="Palatino Linotype" w:hAnsi="Palatino Linotype" w:cs="Palatino Linotype"/>
          <w:b/>
          <w:i/>
          <w:color w:val="000000"/>
          <w:sz w:val="24"/>
          <w:szCs w:val="24"/>
        </w:rPr>
      </w:pPr>
    </w:p>
    <w:p w14:paraId="54152B43" w14:textId="77777777" w:rsidR="007C27DC"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RAZONES O MOTIVOS DE LA INCONFORMIDAD:</w:t>
      </w:r>
      <w:r w:rsidRPr="00613CCE">
        <w:rPr>
          <w:rFonts w:ascii="Palatino Linotype" w:eastAsia="Palatino Linotype" w:hAnsi="Palatino Linotype" w:cs="Palatino Linotype"/>
          <w:b/>
          <w:i/>
          <w:color w:val="000000"/>
          <w:sz w:val="24"/>
          <w:szCs w:val="24"/>
        </w:rPr>
        <w:tab/>
      </w:r>
      <w:r w:rsidR="00E8458F" w:rsidRPr="00613CCE">
        <w:rPr>
          <w:rFonts w:ascii="Palatino Linotype" w:eastAsia="Palatino Linotype" w:hAnsi="Palatino Linotype" w:cs="Palatino Linotype"/>
          <w:i/>
          <w:color w:val="000000"/>
          <w:sz w:val="24"/>
          <w:szCs w:val="24"/>
        </w:rPr>
        <w:t>La institución no entrega la información solicitada.</w:t>
      </w:r>
    </w:p>
    <w:p w14:paraId="4B298A72"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p>
    <w:p w14:paraId="13B120D7" w14:textId="77777777" w:rsidR="00705709" w:rsidRPr="00613CCE" w:rsidRDefault="00E8458F" w:rsidP="00613CCE">
      <w:pPr>
        <w:spacing w:line="360" w:lineRule="auto"/>
        <w:ind w:left="709" w:right="567" w:hanging="141"/>
        <w:jc w:val="both"/>
        <w:rPr>
          <w:rFonts w:ascii="Palatino Linotype" w:eastAsia="Palatino Linotype" w:hAnsi="Palatino Linotype" w:cs="Palatino Linotype"/>
          <w:b/>
          <w:i/>
          <w:color w:val="000000"/>
          <w:sz w:val="24"/>
          <w:szCs w:val="24"/>
        </w:rPr>
      </w:pPr>
      <w:r w:rsidRPr="00613CCE">
        <w:rPr>
          <w:rFonts w:ascii="Palatino Linotype" w:eastAsia="Palatino Linotype" w:hAnsi="Palatino Linotype" w:cs="Palatino Linotype"/>
          <w:b/>
          <w:i/>
          <w:color w:val="000000"/>
          <w:sz w:val="24"/>
          <w:szCs w:val="24"/>
        </w:rPr>
        <w:t>Solicitud de información: 0042</w:t>
      </w:r>
      <w:r w:rsidR="00705709" w:rsidRPr="00613CCE">
        <w:rPr>
          <w:rFonts w:ascii="Palatino Linotype" w:eastAsia="Palatino Linotype" w:hAnsi="Palatino Linotype" w:cs="Palatino Linotype"/>
          <w:b/>
          <w:i/>
          <w:color w:val="000000"/>
          <w:sz w:val="24"/>
          <w:szCs w:val="24"/>
        </w:rPr>
        <w:t>5/VACHASO/IP/2024</w:t>
      </w:r>
    </w:p>
    <w:p w14:paraId="0D45A164"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 xml:space="preserve">ACTO IMPUGNADO: </w:t>
      </w:r>
      <w:r w:rsidR="00E8458F" w:rsidRPr="00613CCE">
        <w:rPr>
          <w:rFonts w:ascii="Palatino Linotype" w:eastAsia="Palatino Linotype" w:hAnsi="Palatino Linotype" w:cs="Palatino Linotype"/>
          <w:i/>
          <w:color w:val="000000"/>
          <w:sz w:val="24"/>
          <w:szCs w:val="24"/>
        </w:rPr>
        <w:t xml:space="preserve">A efecto de garantizar el derecho a la información pública, solicito a usted, remita a través de este medio, el monto pagado al Contador Público Jesús Ruiz Salazar que se ostenta como AUDITOR DEL ORGANO SUPERIOR DE FISCALIZACIÓN DEL ESTADO DE MEXICO (OSFEM), por su </w:t>
      </w:r>
      <w:r w:rsidR="00E8458F" w:rsidRPr="00613CCE">
        <w:rPr>
          <w:rFonts w:ascii="Palatino Linotype" w:eastAsia="Palatino Linotype" w:hAnsi="Palatino Linotype" w:cs="Palatino Linotype"/>
          <w:i/>
          <w:color w:val="000000"/>
          <w:sz w:val="24"/>
          <w:szCs w:val="24"/>
        </w:rPr>
        <w:lastRenderedPageBreak/>
        <w:t>participación en el Mantenimiento de cámaras de video del municipio, que fuera contratado con la empresa GURIK SA DE CV.</w:t>
      </w:r>
    </w:p>
    <w:p w14:paraId="434D1F2B" w14:textId="77777777" w:rsidR="00705709" w:rsidRPr="00613CCE" w:rsidRDefault="00705709" w:rsidP="00613CCE">
      <w:pPr>
        <w:spacing w:line="360" w:lineRule="auto"/>
        <w:ind w:left="709" w:right="567" w:hanging="141"/>
        <w:jc w:val="both"/>
        <w:rPr>
          <w:rFonts w:ascii="Palatino Linotype" w:eastAsia="Palatino Linotype" w:hAnsi="Palatino Linotype" w:cs="Palatino Linotype"/>
          <w:b/>
          <w:i/>
          <w:color w:val="000000"/>
          <w:sz w:val="24"/>
          <w:szCs w:val="24"/>
        </w:rPr>
      </w:pPr>
    </w:p>
    <w:p w14:paraId="00B1840D"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RAZONES O MOTIVOS DE LA INCONFORMIDAD:</w:t>
      </w:r>
      <w:r w:rsidRPr="00613CCE">
        <w:rPr>
          <w:rFonts w:ascii="Palatino Linotype" w:eastAsia="Palatino Linotype" w:hAnsi="Palatino Linotype" w:cs="Palatino Linotype"/>
          <w:b/>
          <w:i/>
          <w:color w:val="000000"/>
          <w:sz w:val="24"/>
          <w:szCs w:val="24"/>
        </w:rPr>
        <w:tab/>
      </w:r>
      <w:r w:rsidRPr="00613CCE">
        <w:rPr>
          <w:rFonts w:ascii="Palatino Linotype" w:eastAsia="Palatino Linotype" w:hAnsi="Palatino Linotype" w:cs="Palatino Linotype"/>
          <w:i/>
          <w:color w:val="000000"/>
          <w:sz w:val="24"/>
          <w:szCs w:val="24"/>
        </w:rPr>
        <w:t xml:space="preserve">La institución no entrega la información solicitada. </w:t>
      </w:r>
    </w:p>
    <w:p w14:paraId="35238884"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p>
    <w:p w14:paraId="2F3906B9" w14:textId="77777777" w:rsidR="00705709" w:rsidRPr="00613CCE" w:rsidRDefault="00705709" w:rsidP="00613CCE">
      <w:pPr>
        <w:spacing w:line="360" w:lineRule="auto"/>
        <w:ind w:left="709" w:right="567" w:hanging="141"/>
        <w:jc w:val="both"/>
        <w:rPr>
          <w:rFonts w:ascii="Palatino Linotype" w:eastAsia="Palatino Linotype" w:hAnsi="Palatino Linotype" w:cs="Palatino Linotype"/>
          <w:b/>
          <w:i/>
          <w:color w:val="000000"/>
          <w:sz w:val="24"/>
          <w:szCs w:val="24"/>
        </w:rPr>
      </w:pPr>
      <w:r w:rsidRPr="00613CCE">
        <w:rPr>
          <w:rFonts w:ascii="Palatino Linotype" w:eastAsia="Palatino Linotype" w:hAnsi="Palatino Linotype" w:cs="Palatino Linotype"/>
          <w:b/>
          <w:i/>
          <w:color w:val="000000"/>
          <w:sz w:val="24"/>
          <w:szCs w:val="24"/>
        </w:rPr>
        <w:t>Solicitud d</w:t>
      </w:r>
      <w:r w:rsidR="00E8458F" w:rsidRPr="00613CCE">
        <w:rPr>
          <w:rFonts w:ascii="Palatino Linotype" w:eastAsia="Palatino Linotype" w:hAnsi="Palatino Linotype" w:cs="Palatino Linotype"/>
          <w:b/>
          <w:i/>
          <w:color w:val="000000"/>
          <w:sz w:val="24"/>
          <w:szCs w:val="24"/>
        </w:rPr>
        <w:t>e información: 0042</w:t>
      </w:r>
      <w:r w:rsidRPr="00613CCE">
        <w:rPr>
          <w:rFonts w:ascii="Palatino Linotype" w:eastAsia="Palatino Linotype" w:hAnsi="Palatino Linotype" w:cs="Palatino Linotype"/>
          <w:b/>
          <w:i/>
          <w:color w:val="000000"/>
          <w:sz w:val="24"/>
          <w:szCs w:val="24"/>
        </w:rPr>
        <w:t>6/VACHASO/IP/2024</w:t>
      </w:r>
    </w:p>
    <w:p w14:paraId="39C3B339"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 xml:space="preserve">ACTO IMPUGNADO: </w:t>
      </w:r>
      <w:r w:rsidR="00E8458F" w:rsidRPr="00613CCE">
        <w:rPr>
          <w:rFonts w:ascii="Palatino Linotype" w:eastAsia="Palatino Linotype" w:hAnsi="Palatino Linotype" w:cs="Palatino Linotype"/>
          <w:i/>
          <w:color w:val="000000"/>
          <w:sz w:val="24"/>
          <w:szCs w:val="24"/>
        </w:rPr>
        <w:t xml:space="preserve">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el SERVICIO DE COMPILACIÓN DE IMÁGENES EN PAQUETE. </w:t>
      </w:r>
      <w:proofErr w:type="spellStart"/>
      <w:r w:rsidR="00E8458F" w:rsidRPr="00613CCE">
        <w:rPr>
          <w:rFonts w:ascii="Palatino Linotype" w:eastAsia="Palatino Linotype" w:hAnsi="Palatino Linotype" w:cs="Palatino Linotype"/>
          <w:i/>
          <w:color w:val="000000"/>
          <w:sz w:val="24"/>
          <w:szCs w:val="24"/>
        </w:rPr>
        <w:t>Tif</w:t>
      </w:r>
      <w:proofErr w:type="spellEnd"/>
      <w:r w:rsidR="00E8458F" w:rsidRPr="00613CCE">
        <w:rPr>
          <w:rFonts w:ascii="Palatino Linotype" w:eastAsia="Palatino Linotype" w:hAnsi="Palatino Linotype" w:cs="Palatino Linotype"/>
          <w:i/>
          <w:color w:val="000000"/>
          <w:sz w:val="24"/>
          <w:szCs w:val="24"/>
        </w:rPr>
        <w:t>/</w:t>
      </w:r>
      <w:proofErr w:type="spellStart"/>
      <w:r w:rsidR="00E8458F" w:rsidRPr="00613CCE">
        <w:rPr>
          <w:rFonts w:ascii="Palatino Linotype" w:eastAsia="Palatino Linotype" w:hAnsi="Palatino Linotype" w:cs="Palatino Linotype"/>
          <w:i/>
          <w:color w:val="000000"/>
          <w:sz w:val="24"/>
          <w:szCs w:val="24"/>
        </w:rPr>
        <w:t>Multitif</w:t>
      </w:r>
      <w:proofErr w:type="spellEnd"/>
      <w:r w:rsidR="00E8458F" w:rsidRPr="00613CCE">
        <w:rPr>
          <w:rFonts w:ascii="Palatino Linotype" w:eastAsia="Palatino Linotype" w:hAnsi="Palatino Linotype" w:cs="Palatino Linotype"/>
          <w:i/>
          <w:color w:val="000000"/>
          <w:sz w:val="24"/>
          <w:szCs w:val="24"/>
        </w:rPr>
        <w:t xml:space="preserve"> Generación de archivo SIFE para integración al informe trimestral (Primer Trimestre 2023), que fuera contratado con la empresa GURIK SA DE CV.</w:t>
      </w:r>
    </w:p>
    <w:p w14:paraId="23BF62E5" w14:textId="77777777" w:rsidR="00705709" w:rsidRPr="00613CCE" w:rsidRDefault="00705709" w:rsidP="00613CCE">
      <w:pPr>
        <w:spacing w:line="360" w:lineRule="auto"/>
        <w:ind w:left="709" w:right="567" w:hanging="141"/>
        <w:jc w:val="both"/>
        <w:rPr>
          <w:rFonts w:ascii="Palatino Linotype" w:eastAsia="Palatino Linotype" w:hAnsi="Palatino Linotype" w:cs="Palatino Linotype"/>
          <w:b/>
          <w:i/>
          <w:color w:val="000000"/>
          <w:sz w:val="24"/>
          <w:szCs w:val="24"/>
        </w:rPr>
      </w:pPr>
    </w:p>
    <w:p w14:paraId="0041AA6F"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RAZONES O MOTIVOS DE LA INCONFORMIDAD:</w:t>
      </w:r>
      <w:r w:rsidRPr="00613CCE">
        <w:rPr>
          <w:rFonts w:ascii="Palatino Linotype" w:eastAsia="Palatino Linotype" w:hAnsi="Palatino Linotype" w:cs="Palatino Linotype"/>
          <w:b/>
          <w:i/>
          <w:color w:val="000000"/>
          <w:sz w:val="24"/>
          <w:szCs w:val="24"/>
        </w:rPr>
        <w:tab/>
      </w:r>
      <w:r w:rsidR="00E8458F" w:rsidRPr="00613CCE">
        <w:rPr>
          <w:rFonts w:ascii="Palatino Linotype" w:eastAsia="Palatino Linotype" w:hAnsi="Palatino Linotype" w:cs="Palatino Linotype"/>
          <w:i/>
          <w:color w:val="000000"/>
          <w:sz w:val="24"/>
          <w:szCs w:val="24"/>
        </w:rPr>
        <w:t>La institución no entrega la información solicitada.</w:t>
      </w:r>
      <w:r w:rsidRPr="00613CCE">
        <w:rPr>
          <w:rFonts w:ascii="Palatino Linotype" w:eastAsia="Palatino Linotype" w:hAnsi="Palatino Linotype" w:cs="Palatino Linotype"/>
          <w:i/>
          <w:color w:val="000000"/>
          <w:sz w:val="24"/>
          <w:szCs w:val="24"/>
        </w:rPr>
        <w:t xml:space="preserve"> </w:t>
      </w:r>
    </w:p>
    <w:p w14:paraId="7234237C"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p>
    <w:p w14:paraId="554250F8" w14:textId="77777777" w:rsidR="00705709" w:rsidRPr="00613CCE" w:rsidRDefault="00E8458F" w:rsidP="00613CCE">
      <w:pPr>
        <w:spacing w:line="360" w:lineRule="auto"/>
        <w:ind w:left="709" w:right="567" w:hanging="141"/>
        <w:jc w:val="both"/>
        <w:rPr>
          <w:rFonts w:ascii="Palatino Linotype" w:eastAsia="Palatino Linotype" w:hAnsi="Palatino Linotype" w:cs="Palatino Linotype"/>
          <w:b/>
          <w:i/>
          <w:color w:val="000000"/>
          <w:sz w:val="24"/>
          <w:szCs w:val="24"/>
        </w:rPr>
      </w:pPr>
      <w:r w:rsidRPr="00613CCE">
        <w:rPr>
          <w:rFonts w:ascii="Palatino Linotype" w:eastAsia="Palatino Linotype" w:hAnsi="Palatino Linotype" w:cs="Palatino Linotype"/>
          <w:b/>
          <w:i/>
          <w:color w:val="000000"/>
          <w:sz w:val="24"/>
          <w:szCs w:val="24"/>
        </w:rPr>
        <w:t>Solicitud de información: 0042</w:t>
      </w:r>
      <w:r w:rsidR="00705709" w:rsidRPr="00613CCE">
        <w:rPr>
          <w:rFonts w:ascii="Palatino Linotype" w:eastAsia="Palatino Linotype" w:hAnsi="Palatino Linotype" w:cs="Palatino Linotype"/>
          <w:b/>
          <w:i/>
          <w:color w:val="000000"/>
          <w:sz w:val="24"/>
          <w:szCs w:val="24"/>
        </w:rPr>
        <w:t>7/VACHASO/IP/2024</w:t>
      </w:r>
    </w:p>
    <w:p w14:paraId="6C292B28"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lastRenderedPageBreak/>
        <w:t xml:space="preserve">ACTO IMPUGNADO: </w:t>
      </w:r>
      <w:r w:rsidR="00E8458F" w:rsidRPr="00613CCE">
        <w:rPr>
          <w:rFonts w:ascii="Palatino Linotype" w:eastAsia="Palatino Linotype" w:hAnsi="Palatino Linotype" w:cs="Palatino Linotype"/>
          <w:i/>
          <w:color w:val="000000"/>
          <w:sz w:val="24"/>
          <w:szCs w:val="24"/>
        </w:rPr>
        <w:t>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el SERVICIO DE DIGITALIZACION DE DOCUMENTOS DE EXPEDIENTES DE LOS PROCEDIMIENTOS DE ADQUISICIONES, ARRENDAMIENTOS DE BIENES O CONTRATACION DE SERVICIOS DEL EJERCICIOS FISCAL DE 2022, que fuera contratado con la empresa GURIK SA DE CV.</w:t>
      </w:r>
    </w:p>
    <w:p w14:paraId="0269A169" w14:textId="77777777" w:rsidR="00705709" w:rsidRPr="00613CCE" w:rsidRDefault="00705709" w:rsidP="00613CCE">
      <w:pPr>
        <w:spacing w:line="360" w:lineRule="auto"/>
        <w:ind w:left="709" w:right="567" w:hanging="141"/>
        <w:jc w:val="both"/>
        <w:rPr>
          <w:rFonts w:ascii="Palatino Linotype" w:eastAsia="Palatino Linotype" w:hAnsi="Palatino Linotype" w:cs="Palatino Linotype"/>
          <w:b/>
          <w:i/>
          <w:color w:val="000000"/>
          <w:sz w:val="24"/>
          <w:szCs w:val="24"/>
        </w:rPr>
      </w:pPr>
    </w:p>
    <w:p w14:paraId="2961E0A2"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RAZONES O MOTIVOS DE LA INCONFORMIDAD:</w:t>
      </w:r>
      <w:r w:rsidRPr="00613CCE">
        <w:rPr>
          <w:rFonts w:ascii="Palatino Linotype" w:eastAsia="Palatino Linotype" w:hAnsi="Palatino Linotype" w:cs="Palatino Linotype"/>
          <w:b/>
          <w:i/>
          <w:color w:val="000000"/>
          <w:sz w:val="24"/>
          <w:szCs w:val="24"/>
        </w:rPr>
        <w:tab/>
      </w:r>
      <w:r w:rsidR="00E8458F" w:rsidRPr="00613CCE">
        <w:rPr>
          <w:rFonts w:ascii="Palatino Linotype" w:eastAsia="Palatino Linotype" w:hAnsi="Palatino Linotype" w:cs="Palatino Linotype"/>
          <w:i/>
          <w:color w:val="000000"/>
          <w:sz w:val="24"/>
          <w:szCs w:val="24"/>
        </w:rPr>
        <w:t>La institución no entrega la información solicitada.</w:t>
      </w:r>
      <w:r w:rsidRPr="00613CCE">
        <w:rPr>
          <w:rFonts w:ascii="Palatino Linotype" w:eastAsia="Palatino Linotype" w:hAnsi="Palatino Linotype" w:cs="Palatino Linotype"/>
          <w:i/>
          <w:color w:val="000000"/>
          <w:sz w:val="24"/>
          <w:szCs w:val="24"/>
        </w:rPr>
        <w:t xml:space="preserve"> </w:t>
      </w:r>
    </w:p>
    <w:p w14:paraId="2AF37621"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p>
    <w:p w14:paraId="5907A136" w14:textId="77777777" w:rsidR="00705709" w:rsidRPr="00613CCE" w:rsidRDefault="00D83BEA" w:rsidP="00613CCE">
      <w:pPr>
        <w:spacing w:line="360" w:lineRule="auto"/>
        <w:ind w:left="709" w:right="567" w:hanging="141"/>
        <w:jc w:val="both"/>
        <w:rPr>
          <w:rFonts w:ascii="Palatino Linotype" w:eastAsia="Palatino Linotype" w:hAnsi="Palatino Linotype" w:cs="Palatino Linotype"/>
          <w:b/>
          <w:i/>
          <w:color w:val="000000"/>
          <w:sz w:val="24"/>
          <w:szCs w:val="24"/>
        </w:rPr>
      </w:pPr>
      <w:r w:rsidRPr="00613CCE">
        <w:rPr>
          <w:rFonts w:ascii="Palatino Linotype" w:eastAsia="Palatino Linotype" w:hAnsi="Palatino Linotype" w:cs="Palatino Linotype"/>
          <w:b/>
          <w:i/>
          <w:color w:val="000000"/>
          <w:sz w:val="24"/>
          <w:szCs w:val="24"/>
        </w:rPr>
        <w:t>Solicitud de información: 00429</w:t>
      </w:r>
      <w:r w:rsidR="00705709" w:rsidRPr="00613CCE">
        <w:rPr>
          <w:rFonts w:ascii="Palatino Linotype" w:eastAsia="Palatino Linotype" w:hAnsi="Palatino Linotype" w:cs="Palatino Linotype"/>
          <w:b/>
          <w:i/>
          <w:color w:val="000000"/>
          <w:sz w:val="24"/>
          <w:szCs w:val="24"/>
        </w:rPr>
        <w:t>/VACHASO/IP/2024</w:t>
      </w:r>
    </w:p>
    <w:p w14:paraId="14C06A90"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 xml:space="preserve">ACTO IMPUGNADO: </w:t>
      </w:r>
      <w:r w:rsidR="00D83BEA" w:rsidRPr="00613CCE">
        <w:rPr>
          <w:rFonts w:ascii="Palatino Linotype" w:eastAsia="Palatino Linotype" w:hAnsi="Palatino Linotype" w:cs="Palatino Linotype"/>
          <w:b/>
          <w:i/>
          <w:color w:val="000000"/>
          <w:sz w:val="24"/>
          <w:szCs w:val="24"/>
        </w:rPr>
        <w:t>“</w:t>
      </w:r>
      <w:r w:rsidR="00D83BEA" w:rsidRPr="00613CCE">
        <w:rPr>
          <w:rFonts w:ascii="Palatino Linotype" w:eastAsia="Palatino Linotype" w:hAnsi="Palatino Linotype" w:cs="Palatino Linotype"/>
          <w:i/>
          <w:color w:val="000000"/>
          <w:sz w:val="24"/>
          <w:szCs w:val="24"/>
        </w:rPr>
        <w:t xml:space="preserve">A efecto de garantizar el derecho a la información pública, solicito a usted, remita a través de este medio, el monto pagado al Contador Público Jesús Ruiz Salazar que se ostenta como AUDITOR DEL ORGANO SUPERIOR DE FISCALIZACIÓN DEL ESTADO DE MEXICO (OSFEM), por su participación en la </w:t>
      </w:r>
      <w:proofErr w:type="spellStart"/>
      <w:r w:rsidR="00D83BEA" w:rsidRPr="00613CCE">
        <w:rPr>
          <w:rFonts w:ascii="Palatino Linotype" w:eastAsia="Palatino Linotype" w:hAnsi="Palatino Linotype" w:cs="Palatino Linotype"/>
          <w:i/>
          <w:color w:val="000000"/>
          <w:sz w:val="24"/>
          <w:szCs w:val="24"/>
        </w:rPr>
        <w:t>Reingenieria</w:t>
      </w:r>
      <w:proofErr w:type="spellEnd"/>
      <w:r w:rsidR="00D83BEA" w:rsidRPr="00613CCE">
        <w:rPr>
          <w:rFonts w:ascii="Palatino Linotype" w:eastAsia="Palatino Linotype" w:hAnsi="Palatino Linotype" w:cs="Palatino Linotype"/>
          <w:i/>
          <w:color w:val="000000"/>
          <w:sz w:val="24"/>
          <w:szCs w:val="24"/>
        </w:rPr>
        <w:t xml:space="preserve"> de procesos de seguridad IA/ML </w:t>
      </w:r>
      <w:proofErr w:type="spellStart"/>
      <w:r w:rsidR="00D83BEA" w:rsidRPr="00613CCE">
        <w:rPr>
          <w:rFonts w:ascii="Palatino Linotype" w:eastAsia="Palatino Linotype" w:hAnsi="Palatino Linotype" w:cs="Palatino Linotype"/>
          <w:i/>
          <w:color w:val="000000"/>
          <w:sz w:val="24"/>
          <w:szCs w:val="24"/>
        </w:rPr>
        <w:t>Fortigate</w:t>
      </w:r>
      <w:proofErr w:type="spellEnd"/>
      <w:r w:rsidR="00D83BEA" w:rsidRPr="00613CCE">
        <w:rPr>
          <w:rFonts w:ascii="Palatino Linotype" w:eastAsia="Palatino Linotype" w:hAnsi="Palatino Linotype" w:cs="Palatino Linotype"/>
          <w:i/>
          <w:color w:val="000000"/>
          <w:sz w:val="24"/>
          <w:szCs w:val="24"/>
        </w:rPr>
        <w:t xml:space="preserve"> </w:t>
      </w:r>
      <w:r w:rsidR="00D83BEA" w:rsidRPr="00613CCE">
        <w:rPr>
          <w:rFonts w:ascii="Palatino Linotype" w:eastAsia="Palatino Linotype" w:hAnsi="Palatino Linotype" w:cs="Palatino Linotype"/>
          <w:i/>
          <w:color w:val="000000"/>
          <w:sz w:val="24"/>
          <w:szCs w:val="24"/>
        </w:rPr>
        <w:lastRenderedPageBreak/>
        <w:t xml:space="preserve">NGFW firewall, </w:t>
      </w:r>
      <w:proofErr w:type="spellStart"/>
      <w:r w:rsidR="00D83BEA" w:rsidRPr="00613CCE">
        <w:rPr>
          <w:rFonts w:ascii="Palatino Linotype" w:eastAsia="Palatino Linotype" w:hAnsi="Palatino Linotype" w:cs="Palatino Linotype"/>
          <w:i/>
          <w:color w:val="000000"/>
          <w:sz w:val="24"/>
          <w:szCs w:val="24"/>
        </w:rPr>
        <w:t>proteccion</w:t>
      </w:r>
      <w:proofErr w:type="spellEnd"/>
      <w:r w:rsidR="00D83BEA" w:rsidRPr="00613CCE">
        <w:rPr>
          <w:rFonts w:ascii="Palatino Linotype" w:eastAsia="Palatino Linotype" w:hAnsi="Palatino Linotype" w:cs="Palatino Linotype"/>
          <w:i/>
          <w:color w:val="000000"/>
          <w:sz w:val="24"/>
          <w:szCs w:val="24"/>
        </w:rPr>
        <w:t xml:space="preserve"> de acceso </w:t>
      </w:r>
      <w:proofErr w:type="spellStart"/>
      <w:r w:rsidR="00D83BEA" w:rsidRPr="00613CCE">
        <w:rPr>
          <w:rFonts w:ascii="Palatino Linotype" w:eastAsia="Palatino Linotype" w:hAnsi="Palatino Linotype" w:cs="Palatino Linotype"/>
          <w:i/>
          <w:color w:val="000000"/>
          <w:sz w:val="24"/>
          <w:szCs w:val="24"/>
        </w:rPr>
        <w:t>via</w:t>
      </w:r>
      <w:proofErr w:type="spellEnd"/>
      <w:r w:rsidR="00D83BEA" w:rsidRPr="00613CCE">
        <w:rPr>
          <w:rFonts w:ascii="Palatino Linotype" w:eastAsia="Palatino Linotype" w:hAnsi="Palatino Linotype" w:cs="Palatino Linotype"/>
          <w:i/>
          <w:color w:val="000000"/>
          <w:sz w:val="24"/>
          <w:szCs w:val="24"/>
        </w:rPr>
        <w:t xml:space="preserve"> NAS de QNAP "Prevención de ataques Hacker", que fuera contratado con la empresa GURIK SA DE CV.”</w:t>
      </w:r>
    </w:p>
    <w:p w14:paraId="34C4D6E7" w14:textId="77777777" w:rsidR="00705709" w:rsidRPr="00613CCE" w:rsidRDefault="00705709" w:rsidP="00613CCE">
      <w:pPr>
        <w:spacing w:line="360" w:lineRule="auto"/>
        <w:ind w:left="709" w:right="567" w:hanging="141"/>
        <w:jc w:val="both"/>
        <w:rPr>
          <w:rFonts w:ascii="Palatino Linotype" w:eastAsia="Palatino Linotype" w:hAnsi="Palatino Linotype" w:cs="Palatino Linotype"/>
          <w:b/>
          <w:i/>
          <w:color w:val="000000"/>
          <w:sz w:val="24"/>
          <w:szCs w:val="24"/>
        </w:rPr>
      </w:pPr>
    </w:p>
    <w:p w14:paraId="7E75256B"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RAZONES O MOTIVOS DE LA INCONFORMIDAD:</w:t>
      </w:r>
      <w:r w:rsidRPr="00613CCE">
        <w:rPr>
          <w:rFonts w:ascii="Palatino Linotype" w:eastAsia="Palatino Linotype" w:hAnsi="Palatino Linotype" w:cs="Palatino Linotype"/>
          <w:b/>
          <w:i/>
          <w:color w:val="000000"/>
          <w:sz w:val="24"/>
          <w:szCs w:val="24"/>
        </w:rPr>
        <w:tab/>
      </w:r>
      <w:r w:rsidRPr="00613CCE">
        <w:rPr>
          <w:rFonts w:ascii="Palatino Linotype" w:eastAsia="Palatino Linotype" w:hAnsi="Palatino Linotype" w:cs="Palatino Linotype"/>
          <w:i/>
          <w:color w:val="000000"/>
          <w:sz w:val="24"/>
          <w:szCs w:val="24"/>
        </w:rPr>
        <w:t xml:space="preserve">La institución no entrega la información solicitada. </w:t>
      </w:r>
    </w:p>
    <w:p w14:paraId="6F298157" w14:textId="77777777" w:rsidR="00705709" w:rsidRPr="00613CCE" w:rsidRDefault="00705709" w:rsidP="00613CCE">
      <w:pPr>
        <w:spacing w:line="360" w:lineRule="auto"/>
        <w:ind w:left="567" w:right="567"/>
        <w:jc w:val="both"/>
        <w:rPr>
          <w:rFonts w:ascii="Palatino Linotype" w:eastAsia="Palatino Linotype" w:hAnsi="Palatino Linotype" w:cs="Palatino Linotype"/>
          <w:i/>
          <w:color w:val="000000"/>
          <w:sz w:val="24"/>
          <w:szCs w:val="24"/>
        </w:rPr>
      </w:pPr>
    </w:p>
    <w:p w14:paraId="2653D008"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Los Comisionados Ponentes de origen con fundamento en lo dispuesto por el artículo 185 fracción II de la ley de la materia, a través de los </w:t>
      </w:r>
      <w:r w:rsidRPr="00613CCE">
        <w:rPr>
          <w:rFonts w:ascii="Palatino Linotype" w:eastAsia="Palatino Linotype" w:hAnsi="Palatino Linotype" w:cs="Palatino Linotype"/>
          <w:b/>
          <w:color w:val="000000"/>
          <w:sz w:val="24"/>
          <w:szCs w:val="24"/>
        </w:rPr>
        <w:t xml:space="preserve">acuerdos de admisión </w:t>
      </w:r>
      <w:r w:rsidRPr="00613CCE">
        <w:rPr>
          <w:rFonts w:ascii="Palatino Linotype" w:eastAsia="Palatino Linotype" w:hAnsi="Palatino Linotype" w:cs="Palatino Linotype"/>
          <w:color w:val="000000"/>
          <w:sz w:val="24"/>
          <w:szCs w:val="24"/>
        </w:rPr>
        <w:t xml:space="preserve">de fechas </w:t>
      </w:r>
      <w:r w:rsidR="001E7E30" w:rsidRPr="00613CCE">
        <w:rPr>
          <w:rFonts w:ascii="Palatino Linotype" w:eastAsia="Palatino Linotype" w:hAnsi="Palatino Linotype" w:cs="Palatino Linotype"/>
          <w:b/>
          <w:color w:val="000000"/>
          <w:sz w:val="24"/>
          <w:szCs w:val="24"/>
        </w:rPr>
        <w:t>seis y nueve de septiembre</w:t>
      </w:r>
      <w:r w:rsidRPr="00613CCE">
        <w:rPr>
          <w:rFonts w:ascii="Palatino Linotype" w:eastAsia="Palatino Linotype" w:hAnsi="Palatino Linotype" w:cs="Palatino Linotype"/>
          <w:b/>
          <w:color w:val="000000"/>
          <w:sz w:val="24"/>
          <w:szCs w:val="24"/>
        </w:rPr>
        <w:t xml:space="preserve"> de dos mil veinticuatro</w:t>
      </w:r>
      <w:r w:rsidRPr="00613CCE">
        <w:rPr>
          <w:rFonts w:ascii="Palatino Linotype" w:eastAsia="Palatino Linotype" w:hAnsi="Palatino Linotype" w:cs="Palatino Linotype"/>
          <w:color w:val="000000"/>
          <w:sz w:val="24"/>
          <w:szCs w:val="24"/>
        </w:rPr>
        <w:t xml:space="preserve">, pusieron a disposición de las partes los expedientes electrónicos vía SAIMEX a efecto de que en un plazo máximo de siete días manifestaran lo que a su derecho conviniera, ofrecieran pruebas y alegatos según corresponda al caso concreto, de esta forma para que el </w:t>
      </w:r>
      <w:r w:rsidRPr="00613CCE">
        <w:rPr>
          <w:rFonts w:ascii="Palatino Linotype" w:eastAsia="Palatino Linotype" w:hAnsi="Palatino Linotype" w:cs="Palatino Linotype"/>
          <w:b/>
          <w:color w:val="000000"/>
          <w:sz w:val="24"/>
          <w:szCs w:val="24"/>
        </w:rPr>
        <w:t xml:space="preserve">SUJETO OBLIGADO </w:t>
      </w:r>
      <w:r w:rsidRPr="00613CCE">
        <w:rPr>
          <w:rFonts w:ascii="Palatino Linotype" w:eastAsia="Palatino Linotype" w:hAnsi="Palatino Linotype" w:cs="Palatino Linotype"/>
          <w:color w:val="000000"/>
          <w:sz w:val="24"/>
          <w:szCs w:val="24"/>
        </w:rPr>
        <w:t>presentara el Informe Justificado procedente.</w:t>
      </w:r>
    </w:p>
    <w:p w14:paraId="78608C42" w14:textId="77777777" w:rsidR="00445675" w:rsidRPr="00613CCE" w:rsidRDefault="00445675"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2AF1B983" w14:textId="77777777" w:rsidR="00445675" w:rsidRPr="00613CCE" w:rsidRDefault="00445675"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En fecha diez de septiembre del año en curso, el </w:t>
      </w:r>
      <w:r w:rsidRPr="00613CCE">
        <w:rPr>
          <w:rFonts w:ascii="Palatino Linotype" w:eastAsia="Palatino Linotype" w:hAnsi="Palatino Linotype" w:cs="Palatino Linotype"/>
          <w:b/>
          <w:color w:val="000000"/>
          <w:sz w:val="24"/>
          <w:szCs w:val="24"/>
        </w:rPr>
        <w:t xml:space="preserve">SUJETO OBLIGADO </w:t>
      </w:r>
      <w:r w:rsidRPr="00613CCE">
        <w:rPr>
          <w:rFonts w:ascii="Palatino Linotype" w:eastAsia="Palatino Linotype" w:hAnsi="Palatino Linotype" w:cs="Palatino Linotype"/>
          <w:color w:val="000000"/>
          <w:sz w:val="24"/>
          <w:szCs w:val="24"/>
        </w:rPr>
        <w:t xml:space="preserve">rindió su informe justificado a todos y cada uno de los recursos de revisión objeto de la presente acumulación a través de tres archivos cuyo contenido en todos </w:t>
      </w:r>
      <w:r w:rsidR="00613CCE" w:rsidRPr="00613CCE">
        <w:rPr>
          <w:rFonts w:ascii="Palatino Linotype" w:eastAsia="Palatino Linotype" w:hAnsi="Palatino Linotype" w:cs="Palatino Linotype"/>
          <w:color w:val="000000"/>
          <w:sz w:val="24"/>
          <w:szCs w:val="24"/>
        </w:rPr>
        <w:t>los expedientes en que se actúa;</w:t>
      </w:r>
      <w:r w:rsidR="00613CCE" w:rsidRPr="00613CCE">
        <w:rPr>
          <w:rFonts w:ascii="Palatino Linotype" w:eastAsia="Palatino Linotype" w:hAnsi="Palatino Linotype" w:cs="Palatino Linotype"/>
          <w:i/>
          <w:color w:val="000000"/>
          <w:sz w:val="24"/>
          <w:szCs w:val="24"/>
        </w:rPr>
        <w:t xml:space="preserve"> </w:t>
      </w:r>
      <w:r w:rsidR="00613CCE" w:rsidRPr="00613CCE">
        <w:rPr>
          <w:rFonts w:ascii="Palatino Linotype" w:eastAsia="Palatino Linotype" w:hAnsi="Palatino Linotype" w:cs="Palatino Linotype"/>
          <w:color w:val="000000"/>
          <w:sz w:val="24"/>
          <w:szCs w:val="24"/>
        </w:rPr>
        <w:t>de manera general en</w:t>
      </w:r>
      <w:r w:rsidRPr="00613CCE">
        <w:rPr>
          <w:rFonts w:ascii="Palatino Linotype" w:eastAsia="Palatino Linotype" w:hAnsi="Palatino Linotype" w:cs="Palatino Linotype"/>
          <w:color w:val="000000"/>
          <w:sz w:val="24"/>
          <w:szCs w:val="24"/>
        </w:rPr>
        <w:t xml:space="preserve"> el mismo y</w:t>
      </w:r>
      <w:r w:rsidR="00613CCE" w:rsidRPr="00613CCE">
        <w:rPr>
          <w:rFonts w:ascii="Palatino Linotype" w:eastAsia="Palatino Linotype" w:hAnsi="Palatino Linotype" w:cs="Palatino Linotype"/>
          <w:color w:val="000000"/>
          <w:sz w:val="24"/>
          <w:szCs w:val="24"/>
        </w:rPr>
        <w:t>,</w:t>
      </w:r>
      <w:r w:rsidRPr="00613CCE">
        <w:rPr>
          <w:rFonts w:ascii="Palatino Linotype" w:eastAsia="Palatino Linotype" w:hAnsi="Palatino Linotype" w:cs="Palatino Linotype"/>
          <w:color w:val="000000"/>
          <w:sz w:val="24"/>
          <w:szCs w:val="24"/>
        </w:rPr>
        <w:t xml:space="preserve"> que versa en confirmar su respuesta inicial, remitiendo nuevamente un oficio signado por el Tesorero Municipal en el que refiere la imposibilidad de entrega de la información por tener el </w:t>
      </w:r>
      <w:r w:rsidRPr="00613CCE">
        <w:rPr>
          <w:rFonts w:ascii="Palatino Linotype" w:eastAsia="Palatino Linotype" w:hAnsi="Palatino Linotype" w:cs="Palatino Linotype"/>
          <w:color w:val="000000"/>
          <w:sz w:val="24"/>
          <w:szCs w:val="24"/>
        </w:rPr>
        <w:lastRenderedPageBreak/>
        <w:t>carácter de reservada al encontrarse sometida a auditoria</w:t>
      </w:r>
      <w:r w:rsidR="008A5E38" w:rsidRPr="00613CCE">
        <w:rPr>
          <w:rFonts w:ascii="Palatino Linotype" w:eastAsia="Palatino Linotype" w:hAnsi="Palatino Linotype" w:cs="Palatino Linotype"/>
          <w:color w:val="000000"/>
          <w:sz w:val="24"/>
          <w:szCs w:val="24"/>
        </w:rPr>
        <w:t>;</w:t>
      </w:r>
      <w:r w:rsidRPr="00613CCE">
        <w:rPr>
          <w:rFonts w:ascii="Palatino Linotype" w:eastAsia="Palatino Linotype" w:hAnsi="Palatino Linotype" w:cs="Palatino Linotype"/>
          <w:color w:val="000000"/>
          <w:sz w:val="24"/>
          <w:szCs w:val="24"/>
        </w:rPr>
        <w:t xml:space="preserve"> </w:t>
      </w:r>
      <w:r w:rsidR="008A5E38" w:rsidRPr="00613CCE">
        <w:rPr>
          <w:rFonts w:ascii="Palatino Linotype" w:eastAsia="Palatino Linotype" w:hAnsi="Palatino Linotype" w:cs="Palatino Linotype"/>
          <w:color w:val="000000"/>
          <w:sz w:val="24"/>
          <w:szCs w:val="24"/>
        </w:rPr>
        <w:t>así</w:t>
      </w:r>
      <w:r w:rsidRPr="00613CCE">
        <w:rPr>
          <w:rFonts w:ascii="Palatino Linotype" w:eastAsia="Palatino Linotype" w:hAnsi="Palatino Linotype" w:cs="Palatino Linotype"/>
          <w:color w:val="000000"/>
          <w:sz w:val="24"/>
          <w:szCs w:val="24"/>
        </w:rPr>
        <w:t xml:space="preserve"> como el Acuerdo</w:t>
      </w:r>
      <w:r w:rsidR="008A5E38" w:rsidRPr="00613CCE">
        <w:rPr>
          <w:rFonts w:ascii="Palatino Linotype" w:eastAsia="Palatino Linotype" w:hAnsi="Palatino Linotype" w:cs="Palatino Linotype"/>
          <w:color w:val="000000"/>
          <w:sz w:val="24"/>
          <w:szCs w:val="24"/>
        </w:rPr>
        <w:t xml:space="preserve"> del Comité de Transparencia numero</w:t>
      </w:r>
      <w:r w:rsidR="00D83BEA" w:rsidRPr="00613CCE">
        <w:rPr>
          <w:rFonts w:ascii="Palatino Linotype" w:eastAsia="Palatino Linotype" w:hAnsi="Palatino Linotype" w:cs="Palatino Linotype"/>
          <w:color w:val="000000"/>
          <w:sz w:val="24"/>
          <w:szCs w:val="24"/>
        </w:rPr>
        <w:t xml:space="preserve"> CTM/VACHASO/A/00324</w:t>
      </w:r>
      <w:r w:rsidRPr="00613CCE">
        <w:rPr>
          <w:rFonts w:ascii="Palatino Linotype" w:eastAsia="Palatino Linotype" w:hAnsi="Palatino Linotype" w:cs="Palatino Linotype"/>
          <w:color w:val="000000"/>
          <w:sz w:val="24"/>
          <w:szCs w:val="24"/>
        </w:rPr>
        <w:t>/2024 mediante la cual se pretende sustentar la clasificación de la información reservada.</w:t>
      </w:r>
    </w:p>
    <w:p w14:paraId="1666A20C" w14:textId="77777777" w:rsidR="007C27DC" w:rsidRPr="00613CCE" w:rsidRDefault="007C27DC" w:rsidP="00613CCE">
      <w:pPr>
        <w:pBdr>
          <w:top w:val="nil"/>
          <w:left w:val="nil"/>
          <w:bottom w:val="nil"/>
          <w:right w:val="nil"/>
          <w:between w:val="nil"/>
        </w:pBdr>
        <w:spacing w:line="360" w:lineRule="auto"/>
        <w:ind w:left="720"/>
        <w:rPr>
          <w:rFonts w:ascii="Palatino Linotype" w:eastAsia="Palatino Linotype" w:hAnsi="Palatino Linotype" w:cs="Palatino Linotype"/>
          <w:color w:val="000000"/>
          <w:sz w:val="24"/>
          <w:szCs w:val="24"/>
        </w:rPr>
      </w:pPr>
    </w:p>
    <w:p w14:paraId="7A635676" w14:textId="77777777" w:rsidR="007C27DC" w:rsidRPr="00613CCE" w:rsidRDefault="007D3D12" w:rsidP="00613CCE">
      <w:pPr>
        <w:numPr>
          <w:ilvl w:val="0"/>
          <w:numId w:val="1"/>
        </w:numPr>
        <w:pBdr>
          <w:top w:val="nil"/>
          <w:left w:val="nil"/>
          <w:bottom w:val="nil"/>
          <w:right w:val="nil"/>
          <w:between w:val="nil"/>
        </w:pBdr>
        <w:tabs>
          <w:tab w:val="left" w:pos="0"/>
        </w:tabs>
        <w:spacing w:line="360" w:lineRule="auto"/>
        <w:ind w:left="709" w:right="49"/>
        <w:jc w:val="both"/>
        <w:rPr>
          <w:rFonts w:ascii="Palatino Linotype" w:eastAsia="Palatino Linotype" w:hAnsi="Palatino Linotype" w:cs="Palatino Linotype"/>
          <w:i/>
          <w:color w:val="000000"/>
          <w:sz w:val="24"/>
          <w:szCs w:val="24"/>
          <w:u w:val="single"/>
        </w:rPr>
      </w:pPr>
      <w:r w:rsidRPr="00613CCE">
        <w:rPr>
          <w:rFonts w:ascii="Palatino Linotype" w:eastAsia="Palatino Linotype" w:hAnsi="Palatino Linotype" w:cs="Palatino Linotype"/>
          <w:b/>
          <w:color w:val="000000"/>
          <w:sz w:val="24"/>
          <w:szCs w:val="24"/>
          <w:u w:val="single"/>
        </w:rPr>
        <w:t>Acumulación, manifestaciones, alegatos y respuesta complementaría.</w:t>
      </w:r>
    </w:p>
    <w:p w14:paraId="4FF8DE3C"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color w:val="000000"/>
          <w:sz w:val="24"/>
          <w:szCs w:val="24"/>
        </w:rPr>
        <w:t>Con fundamento en lo dispuesto por el artículo 185 fracción II de la ley de la materia, se acordó a las partes a efecto de que en un plazo máximo de siete días, el Recurrente manifestara lo que a su derecho conviniera, ofrecieran pruebas y alegatos, y el Sujeto Obligado presentará el Informe Justificado.</w:t>
      </w:r>
    </w:p>
    <w:p w14:paraId="197276E5" w14:textId="77777777" w:rsidR="00D83BEA" w:rsidRPr="00613CCE" w:rsidRDefault="00D83BEA" w:rsidP="00613CCE">
      <w:pPr>
        <w:pBdr>
          <w:top w:val="nil"/>
          <w:left w:val="nil"/>
          <w:bottom w:val="nil"/>
          <w:right w:val="nil"/>
          <w:between w:val="nil"/>
        </w:pBdr>
        <w:spacing w:line="360" w:lineRule="auto"/>
        <w:jc w:val="both"/>
        <w:rPr>
          <w:rFonts w:ascii="Palatino Linotype" w:eastAsia="Palatino Linotype" w:hAnsi="Palatino Linotype" w:cs="Palatino Linotype"/>
          <w:i/>
          <w:color w:val="000000"/>
          <w:sz w:val="24"/>
          <w:szCs w:val="24"/>
        </w:rPr>
      </w:pPr>
    </w:p>
    <w:p w14:paraId="5747F386"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Posteriormente el Pleno de este Órgano Autónomo, en la </w:t>
      </w:r>
      <w:r w:rsidR="001E7E30" w:rsidRPr="00613CCE">
        <w:rPr>
          <w:rFonts w:ascii="Palatino Linotype" w:eastAsia="Palatino Linotype" w:hAnsi="Palatino Linotype" w:cs="Palatino Linotype"/>
          <w:b/>
          <w:color w:val="000000"/>
          <w:sz w:val="24"/>
          <w:szCs w:val="24"/>
        </w:rPr>
        <w:t xml:space="preserve">Trigésima </w:t>
      </w:r>
      <w:r w:rsidR="00D83BEA" w:rsidRPr="00613CCE">
        <w:rPr>
          <w:rFonts w:ascii="Palatino Linotype" w:eastAsia="Palatino Linotype" w:hAnsi="Palatino Linotype" w:cs="Palatino Linotype"/>
          <w:b/>
          <w:color w:val="000000"/>
          <w:sz w:val="24"/>
          <w:szCs w:val="24"/>
        </w:rPr>
        <w:t>Quinta</w:t>
      </w:r>
      <w:r w:rsidRPr="00613CCE">
        <w:rPr>
          <w:rFonts w:ascii="Palatino Linotype" w:eastAsia="Palatino Linotype" w:hAnsi="Palatino Linotype" w:cs="Palatino Linotype"/>
          <w:b/>
          <w:color w:val="000000"/>
          <w:sz w:val="24"/>
          <w:szCs w:val="24"/>
        </w:rPr>
        <w:t xml:space="preserve"> Sesión Ordinaria </w:t>
      </w:r>
      <w:r w:rsidRPr="00613CCE">
        <w:rPr>
          <w:rFonts w:ascii="Palatino Linotype" w:eastAsia="Palatino Linotype" w:hAnsi="Palatino Linotype" w:cs="Palatino Linotype"/>
          <w:color w:val="000000"/>
          <w:sz w:val="24"/>
          <w:szCs w:val="24"/>
        </w:rPr>
        <w:t>de fecha</w:t>
      </w:r>
      <w:r w:rsidRPr="00613CCE">
        <w:rPr>
          <w:rFonts w:ascii="Palatino Linotype" w:eastAsia="Palatino Linotype" w:hAnsi="Palatino Linotype" w:cs="Palatino Linotype"/>
          <w:b/>
          <w:color w:val="000000"/>
          <w:sz w:val="24"/>
          <w:szCs w:val="24"/>
        </w:rPr>
        <w:t xml:space="preserve"> </w:t>
      </w:r>
      <w:r w:rsidR="00D83BEA" w:rsidRPr="00613CCE">
        <w:rPr>
          <w:rFonts w:ascii="Palatino Linotype" w:eastAsia="Palatino Linotype" w:hAnsi="Palatino Linotype" w:cs="Palatino Linotype"/>
          <w:b/>
          <w:color w:val="000000"/>
          <w:sz w:val="24"/>
          <w:szCs w:val="24"/>
        </w:rPr>
        <w:t>tres de octubre</w:t>
      </w:r>
      <w:r w:rsidRPr="00613CCE">
        <w:rPr>
          <w:rFonts w:ascii="Palatino Linotype" w:eastAsia="Palatino Linotype" w:hAnsi="Palatino Linotype" w:cs="Palatino Linotype"/>
          <w:color w:val="000000"/>
          <w:sz w:val="24"/>
          <w:szCs w:val="24"/>
        </w:rPr>
        <w:t xml:space="preserve"> </w:t>
      </w:r>
      <w:r w:rsidRPr="00613CCE">
        <w:rPr>
          <w:rFonts w:ascii="Palatino Linotype" w:eastAsia="Palatino Linotype" w:hAnsi="Palatino Linotype" w:cs="Palatino Linotype"/>
          <w:b/>
          <w:color w:val="000000"/>
          <w:sz w:val="24"/>
          <w:szCs w:val="24"/>
        </w:rPr>
        <w:t>de dos mil veinticuatro</w:t>
      </w:r>
      <w:r w:rsidRPr="00613CCE">
        <w:rPr>
          <w:rFonts w:ascii="Palatino Linotype" w:eastAsia="Palatino Linotype" w:hAnsi="Palatino Linotype" w:cs="Palatino Linotype"/>
          <w:color w:val="000000"/>
          <w:sz w:val="24"/>
          <w:szCs w:val="24"/>
        </w:rPr>
        <w:t xml:space="preserve">, </w:t>
      </w:r>
      <w:r w:rsidRPr="00613CCE">
        <w:rPr>
          <w:rFonts w:ascii="Palatino Linotype" w:eastAsia="Palatino Linotype" w:hAnsi="Palatino Linotype" w:cs="Palatino Linotype"/>
          <w:b/>
          <w:color w:val="000000"/>
          <w:sz w:val="24"/>
          <w:szCs w:val="24"/>
        </w:rPr>
        <w:t xml:space="preserve">decretó </w:t>
      </w:r>
      <w:r w:rsidRPr="00613CCE">
        <w:rPr>
          <w:rFonts w:ascii="Palatino Linotype" w:eastAsia="Palatino Linotype" w:hAnsi="Palatino Linotype" w:cs="Palatino Linotype"/>
          <w:color w:val="000000"/>
          <w:sz w:val="24"/>
          <w:szCs w:val="24"/>
        </w:rPr>
        <w:t xml:space="preserve">la acumulación de los Recursos de Revisión de referencia y, remitió a la Ponencia de la </w:t>
      </w:r>
      <w:r w:rsidRPr="00613CCE">
        <w:rPr>
          <w:rFonts w:ascii="Palatino Linotype" w:eastAsia="Palatino Linotype" w:hAnsi="Palatino Linotype" w:cs="Palatino Linotype"/>
          <w:b/>
          <w:color w:val="000000"/>
          <w:sz w:val="24"/>
          <w:szCs w:val="24"/>
        </w:rPr>
        <w:t xml:space="preserve">Comisionada María del Rosario Mejía Ayala </w:t>
      </w:r>
      <w:r w:rsidRPr="00613CCE">
        <w:rPr>
          <w:rFonts w:ascii="Palatino Linotype" w:eastAsia="Palatino Linotype" w:hAnsi="Palatino Linotype" w:cs="Palatino Linotype"/>
          <w:color w:val="000000"/>
          <w:sz w:val="24"/>
          <w:szCs w:val="24"/>
        </w:rPr>
        <w:t xml:space="preserve">para que formulara y presentara el proyecto de resolución correspondiente, de conformidad con el numeral ONCE incisos b) y c) de los Lineamientos para la Recepción, Trámite y Resolución de las Solicitudes de Acceso a la Información Pública, así como de los Recursos de Revisión </w:t>
      </w:r>
      <w:r w:rsidRPr="00613CCE">
        <w:rPr>
          <w:rFonts w:ascii="Palatino Linotype" w:eastAsia="Palatino Linotype" w:hAnsi="Palatino Linotype" w:cs="Palatino Linotype"/>
          <w:color w:val="000000"/>
          <w:sz w:val="24"/>
          <w:szCs w:val="24"/>
        </w:rPr>
        <w:lastRenderedPageBreak/>
        <w:t>que deberán observar los Sujetos Obligados por la Ley de Transparencia Estatal</w:t>
      </w:r>
      <w:r w:rsidRPr="00613CCE">
        <w:rPr>
          <w:rFonts w:ascii="Palatino Linotype" w:eastAsia="Palatino Linotype" w:hAnsi="Palatino Linotype" w:cs="Palatino Linotype"/>
          <w:i/>
          <w:color w:val="000000"/>
          <w:sz w:val="24"/>
          <w:szCs w:val="24"/>
          <w:vertAlign w:val="superscript"/>
        </w:rPr>
        <w:footnoteReference w:id="1"/>
      </w:r>
      <w:r w:rsidRPr="00613CCE">
        <w:rPr>
          <w:rFonts w:ascii="Palatino Linotype" w:eastAsia="Palatino Linotype" w:hAnsi="Palatino Linotype" w:cs="Palatino Linotype"/>
          <w:color w:val="000000"/>
          <w:sz w:val="24"/>
          <w:szCs w:val="24"/>
        </w:rPr>
        <w:t>, que señala:</w:t>
      </w:r>
    </w:p>
    <w:p w14:paraId="7E564EB1" w14:textId="77777777" w:rsidR="007C27DC" w:rsidRPr="00613CCE" w:rsidRDefault="007D3D12" w:rsidP="00613CCE">
      <w:pPr>
        <w:pBdr>
          <w:top w:val="nil"/>
          <w:left w:val="nil"/>
          <w:bottom w:val="nil"/>
          <w:right w:val="nil"/>
          <w:between w:val="nil"/>
        </w:pBdr>
        <w:tabs>
          <w:tab w:val="left" w:pos="426"/>
        </w:tabs>
        <w:spacing w:line="360" w:lineRule="auto"/>
        <w:ind w:left="567" w:right="618"/>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“ONCE.</w:t>
      </w:r>
      <w:r w:rsidRPr="00613CCE">
        <w:rPr>
          <w:rFonts w:ascii="Palatino Linotype" w:eastAsia="Palatino Linotype" w:hAnsi="Palatino Linotype" w:cs="Palatino Linotype"/>
          <w:i/>
          <w:color w:val="000000"/>
          <w:sz w:val="24"/>
          <w:szCs w:val="24"/>
        </w:rPr>
        <w:t xml:space="preserve"> El Instituto, para mejor resolver y evitar la emisión de resoluciones contradictorias, podrá acordar la acumulación de los expedientes de recursos de revisión, de oficio o a petición de parte cuando:</w:t>
      </w:r>
    </w:p>
    <w:p w14:paraId="5015D589" w14:textId="77777777" w:rsidR="007C27DC" w:rsidRPr="00613CCE" w:rsidRDefault="007D3D12" w:rsidP="00613CCE">
      <w:pPr>
        <w:pBdr>
          <w:top w:val="nil"/>
          <w:left w:val="nil"/>
          <w:bottom w:val="nil"/>
          <w:right w:val="nil"/>
          <w:between w:val="nil"/>
        </w:pBdr>
        <w:tabs>
          <w:tab w:val="left" w:pos="426"/>
        </w:tabs>
        <w:spacing w:line="360" w:lineRule="auto"/>
        <w:ind w:left="567" w:right="618"/>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w:t>
      </w:r>
      <w:r w:rsidRPr="00613CCE">
        <w:rPr>
          <w:rFonts w:ascii="Palatino Linotype" w:eastAsia="Palatino Linotype" w:hAnsi="Palatino Linotype" w:cs="Palatino Linotype"/>
          <w:i/>
          <w:color w:val="000000"/>
          <w:sz w:val="24"/>
          <w:szCs w:val="24"/>
        </w:rPr>
        <w:tab/>
      </w:r>
    </w:p>
    <w:p w14:paraId="70ADBEB6" w14:textId="77777777" w:rsidR="007C27DC" w:rsidRPr="00613CCE" w:rsidRDefault="007D3D12" w:rsidP="00613CCE">
      <w:pPr>
        <w:pBdr>
          <w:top w:val="nil"/>
          <w:left w:val="nil"/>
          <w:bottom w:val="nil"/>
          <w:right w:val="nil"/>
          <w:between w:val="nil"/>
        </w:pBdr>
        <w:tabs>
          <w:tab w:val="left" w:pos="426"/>
        </w:tabs>
        <w:spacing w:line="360" w:lineRule="auto"/>
        <w:ind w:left="567" w:right="618"/>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b) Las partes o los actos impugnados sean iguales</w:t>
      </w:r>
    </w:p>
    <w:p w14:paraId="547A3311" w14:textId="77777777" w:rsidR="007C27DC" w:rsidRPr="00613CCE" w:rsidRDefault="007D3D12" w:rsidP="00613CCE">
      <w:pPr>
        <w:pBdr>
          <w:top w:val="nil"/>
          <w:left w:val="nil"/>
          <w:bottom w:val="nil"/>
          <w:right w:val="nil"/>
          <w:between w:val="nil"/>
        </w:pBdr>
        <w:tabs>
          <w:tab w:val="left" w:pos="426"/>
        </w:tabs>
        <w:spacing w:line="360" w:lineRule="auto"/>
        <w:ind w:left="567" w:right="618"/>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c) Cuando se trate del mismo solicitante, el mismo SUJETO OBLIGADO, aunque se trate de solicitudes diversas;</w:t>
      </w:r>
    </w:p>
    <w:p w14:paraId="6F060331" w14:textId="77777777" w:rsidR="007C27DC" w:rsidRPr="00613CCE" w:rsidRDefault="007D3D12" w:rsidP="00613CCE">
      <w:pPr>
        <w:pBdr>
          <w:top w:val="nil"/>
          <w:left w:val="nil"/>
          <w:bottom w:val="nil"/>
          <w:right w:val="nil"/>
          <w:between w:val="nil"/>
        </w:pBdr>
        <w:tabs>
          <w:tab w:val="left" w:pos="426"/>
        </w:tabs>
        <w:spacing w:line="360" w:lineRule="auto"/>
        <w:ind w:left="567" w:right="618"/>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w:t>
      </w:r>
    </w:p>
    <w:p w14:paraId="54B55DD8" w14:textId="77777777" w:rsidR="007C27DC" w:rsidRPr="00613CCE" w:rsidRDefault="007C27DC" w:rsidP="00613CCE">
      <w:pPr>
        <w:pBdr>
          <w:top w:val="nil"/>
          <w:left w:val="nil"/>
          <w:bottom w:val="nil"/>
          <w:right w:val="nil"/>
          <w:between w:val="nil"/>
        </w:pBdr>
        <w:tabs>
          <w:tab w:val="left" w:pos="426"/>
        </w:tabs>
        <w:spacing w:line="360" w:lineRule="auto"/>
        <w:ind w:left="567" w:right="616"/>
        <w:jc w:val="both"/>
        <w:rPr>
          <w:rFonts w:ascii="Palatino Linotype" w:eastAsia="Palatino Linotype" w:hAnsi="Palatino Linotype" w:cs="Palatino Linotype"/>
          <w:color w:val="000000"/>
          <w:sz w:val="24"/>
          <w:szCs w:val="24"/>
        </w:rPr>
      </w:pPr>
    </w:p>
    <w:p w14:paraId="4CDE08CD"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Es así que,</w:t>
      </w:r>
      <w:r w:rsidRPr="00613CCE">
        <w:rPr>
          <w:rFonts w:ascii="Palatino Linotype" w:eastAsia="Palatino Linotype" w:hAnsi="Palatino Linotype" w:cs="Palatino Linotype"/>
          <w:i/>
          <w:color w:val="000000"/>
          <w:sz w:val="24"/>
          <w:szCs w:val="24"/>
        </w:rPr>
        <w:t xml:space="preserve"> </w:t>
      </w:r>
      <w:r w:rsidRPr="00613CCE">
        <w:rPr>
          <w:rFonts w:ascii="Palatino Linotype" w:eastAsia="Palatino Linotype" w:hAnsi="Palatino Linotype" w:cs="Palatino Linotype"/>
          <w:color w:val="000000"/>
          <w:sz w:val="24"/>
          <w:szCs w:val="24"/>
        </w:rPr>
        <w:t>resulta conveniente su trámite de forma unificada para mejor resolver y evitar la emisión de resoluciones contradictorias, por ello resultó procedente que este Órgano Garante realizara la acumulación respectiva, de conformidad con lo dispuesto en el artículo 18 del Código de Procedimientos Administrativos del Estado de México, de aplicación supletoria, en términos del artículo 195 de la Ley de Transparencia y Acceso a la Información Pública del Estado de México y Municipios en vigor, que a la letra señalan:</w:t>
      </w:r>
    </w:p>
    <w:p w14:paraId="7D04786F" w14:textId="77777777" w:rsidR="007C27DC" w:rsidRPr="00613CCE" w:rsidRDefault="007D3D12" w:rsidP="00613CCE">
      <w:pPr>
        <w:tabs>
          <w:tab w:val="left" w:pos="567"/>
        </w:tabs>
        <w:spacing w:line="360" w:lineRule="auto"/>
        <w:ind w:left="567" w:right="616"/>
        <w:jc w:val="center"/>
        <w:rPr>
          <w:rFonts w:ascii="Palatino Linotype" w:eastAsia="Palatino Linotype" w:hAnsi="Palatino Linotype" w:cs="Palatino Linotype"/>
          <w:b/>
          <w:i/>
          <w:sz w:val="24"/>
          <w:szCs w:val="24"/>
        </w:rPr>
      </w:pPr>
      <w:r w:rsidRPr="00613CCE">
        <w:rPr>
          <w:rFonts w:ascii="Palatino Linotype" w:eastAsia="Palatino Linotype" w:hAnsi="Palatino Linotype" w:cs="Palatino Linotype"/>
          <w:b/>
          <w:i/>
          <w:sz w:val="24"/>
          <w:szCs w:val="24"/>
        </w:rPr>
        <w:lastRenderedPageBreak/>
        <w:t>Código de Procedimientos Administrativos del Estado de México.</w:t>
      </w:r>
    </w:p>
    <w:p w14:paraId="2F8D43F8" w14:textId="77777777" w:rsidR="007C27DC" w:rsidRPr="00613CCE" w:rsidRDefault="007D3D12" w:rsidP="00613CCE">
      <w:pPr>
        <w:spacing w:line="360" w:lineRule="auto"/>
        <w:ind w:left="567" w:right="616"/>
        <w:jc w:val="both"/>
        <w:rPr>
          <w:rFonts w:ascii="Palatino Linotype" w:eastAsia="Palatino Linotype" w:hAnsi="Palatino Linotype" w:cs="Palatino Linotype"/>
          <w:i/>
          <w:sz w:val="24"/>
          <w:szCs w:val="24"/>
        </w:rPr>
      </w:pPr>
      <w:r w:rsidRPr="00613CCE">
        <w:rPr>
          <w:rFonts w:ascii="Palatino Linotype" w:eastAsia="Palatino Linotype" w:hAnsi="Palatino Linotype" w:cs="Palatino Linotype"/>
          <w:b/>
          <w:i/>
          <w:sz w:val="24"/>
          <w:szCs w:val="24"/>
        </w:rPr>
        <w:t>“Artículo 18.-</w:t>
      </w:r>
      <w:r w:rsidRPr="00613CCE">
        <w:rPr>
          <w:rFonts w:ascii="Palatino Linotype" w:eastAsia="Palatino Linotype" w:hAnsi="Palatino Linotype" w:cs="Palatino Linotype"/>
          <w:i/>
          <w:sz w:val="24"/>
          <w:szCs w:val="24"/>
        </w:rPr>
        <w:t xml:space="preserve"> La autoridad administrativa o el Tribunal acordarán la acumulación de los expedientes del procedimiento y proceso administrativo que ante ellos se sigan, de oficio o a petición de parte, cuando las partes o los actos administrativos sean iguales, se trate de actos conexos o resulte conveniente el trámite unificado de los asuntos, para evitar la emisión de resoluciones contradictorias. La misma regla se aplicará, en lo conducente, para la separación de los expedientes.”</w:t>
      </w:r>
    </w:p>
    <w:p w14:paraId="59754E7E" w14:textId="77777777" w:rsidR="007C27DC" w:rsidRPr="00613CCE" w:rsidRDefault="007C27DC" w:rsidP="00613CCE">
      <w:pPr>
        <w:tabs>
          <w:tab w:val="left" w:pos="567"/>
        </w:tabs>
        <w:spacing w:line="360" w:lineRule="auto"/>
        <w:ind w:right="616"/>
        <w:jc w:val="both"/>
        <w:rPr>
          <w:rFonts w:ascii="Palatino Linotype" w:eastAsia="Palatino Linotype" w:hAnsi="Palatino Linotype" w:cs="Palatino Linotype"/>
          <w:i/>
          <w:sz w:val="24"/>
          <w:szCs w:val="24"/>
        </w:rPr>
      </w:pPr>
    </w:p>
    <w:p w14:paraId="045129F8" w14:textId="77777777" w:rsidR="007C27DC" w:rsidRPr="00613CCE" w:rsidRDefault="007D3D12" w:rsidP="00613CCE">
      <w:pPr>
        <w:spacing w:line="360" w:lineRule="auto"/>
        <w:ind w:left="567" w:right="618"/>
        <w:jc w:val="both"/>
        <w:rPr>
          <w:rFonts w:ascii="Palatino Linotype" w:eastAsia="Palatino Linotype" w:hAnsi="Palatino Linotype" w:cs="Palatino Linotype"/>
          <w:b/>
          <w:i/>
          <w:sz w:val="24"/>
          <w:szCs w:val="24"/>
        </w:rPr>
      </w:pPr>
      <w:r w:rsidRPr="00613CCE">
        <w:rPr>
          <w:rFonts w:ascii="Palatino Linotype" w:eastAsia="Palatino Linotype" w:hAnsi="Palatino Linotype" w:cs="Palatino Linotype"/>
          <w:b/>
          <w:i/>
          <w:sz w:val="24"/>
          <w:szCs w:val="24"/>
        </w:rPr>
        <w:t>Ley de Transparencia y Acceso a la Información Pública del Estado de México y Municipios</w:t>
      </w:r>
    </w:p>
    <w:p w14:paraId="38C3BBAD" w14:textId="77777777" w:rsidR="007C27DC" w:rsidRPr="00613CCE" w:rsidRDefault="007D3D12" w:rsidP="00613CCE">
      <w:pPr>
        <w:spacing w:line="360" w:lineRule="auto"/>
        <w:ind w:left="567" w:right="618"/>
        <w:jc w:val="both"/>
        <w:rPr>
          <w:rFonts w:ascii="Palatino Linotype" w:eastAsia="Palatino Linotype" w:hAnsi="Palatino Linotype" w:cs="Palatino Linotype"/>
          <w:i/>
          <w:sz w:val="24"/>
          <w:szCs w:val="24"/>
        </w:rPr>
      </w:pPr>
      <w:r w:rsidRPr="00613CCE">
        <w:rPr>
          <w:rFonts w:ascii="Palatino Linotype" w:eastAsia="Palatino Linotype" w:hAnsi="Palatino Linotype" w:cs="Palatino Linotype"/>
          <w:b/>
          <w:i/>
          <w:sz w:val="24"/>
          <w:szCs w:val="24"/>
        </w:rPr>
        <w:t>“Artículo 195.</w:t>
      </w:r>
      <w:r w:rsidRPr="00613CCE">
        <w:rPr>
          <w:rFonts w:ascii="Palatino Linotype" w:eastAsia="Palatino Linotype" w:hAnsi="Palatino Linotype" w:cs="Palatino Linotype"/>
          <w:i/>
          <w:sz w:val="24"/>
          <w:szCs w:val="24"/>
        </w:rPr>
        <w:t xml:space="preserve"> En la tramitación del recurso de revisión se aplicarán supletoriamente las disposiciones contenidas en el Código de Procedimientos Administrativos del Estado de México.”</w:t>
      </w:r>
    </w:p>
    <w:p w14:paraId="4803B89C" w14:textId="77777777" w:rsidR="007C27DC" w:rsidRPr="00613CCE" w:rsidRDefault="007C27DC" w:rsidP="00613CCE">
      <w:pPr>
        <w:pBdr>
          <w:top w:val="nil"/>
          <w:left w:val="nil"/>
          <w:bottom w:val="nil"/>
          <w:right w:val="nil"/>
          <w:between w:val="nil"/>
        </w:pBdr>
        <w:spacing w:line="360" w:lineRule="auto"/>
        <w:ind w:left="720"/>
        <w:rPr>
          <w:rFonts w:ascii="Palatino Linotype" w:eastAsia="Palatino Linotype" w:hAnsi="Palatino Linotype" w:cs="Palatino Linotype"/>
          <w:color w:val="000000"/>
          <w:sz w:val="24"/>
          <w:szCs w:val="24"/>
        </w:rPr>
      </w:pPr>
    </w:p>
    <w:p w14:paraId="51CE0D91" w14:textId="77777777" w:rsidR="007C27DC" w:rsidRPr="00613CCE" w:rsidRDefault="001E7E30" w:rsidP="00613CCE">
      <w:pPr>
        <w:numPr>
          <w:ilvl w:val="0"/>
          <w:numId w:val="5"/>
        </w:numPr>
        <w:pBdr>
          <w:top w:val="nil"/>
          <w:left w:val="nil"/>
          <w:bottom w:val="nil"/>
          <w:right w:val="nil"/>
          <w:between w:val="nil"/>
        </w:pBdr>
        <w:spacing w:line="360" w:lineRule="auto"/>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C</w:t>
      </w:r>
      <w:r w:rsidR="007D3D12" w:rsidRPr="00613CCE">
        <w:rPr>
          <w:rFonts w:ascii="Palatino Linotype" w:eastAsia="Palatino Linotype" w:hAnsi="Palatino Linotype" w:cs="Palatino Linotype"/>
          <w:b/>
          <w:color w:val="000000"/>
          <w:sz w:val="24"/>
          <w:szCs w:val="24"/>
        </w:rPr>
        <w:t>ierre de instrucción</w:t>
      </w:r>
    </w:p>
    <w:p w14:paraId="68EB45CC"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color w:val="000000"/>
          <w:sz w:val="24"/>
          <w:szCs w:val="24"/>
        </w:rPr>
        <w:t xml:space="preserve">En fecha </w:t>
      </w:r>
      <w:r w:rsidR="00D83BEA" w:rsidRPr="00613CCE">
        <w:rPr>
          <w:rFonts w:ascii="Palatino Linotype" w:eastAsia="Palatino Linotype" w:hAnsi="Palatino Linotype" w:cs="Palatino Linotype"/>
          <w:color w:val="000000"/>
          <w:sz w:val="24"/>
          <w:szCs w:val="24"/>
        </w:rPr>
        <w:t>doce de noviembre</w:t>
      </w:r>
      <w:r w:rsidRPr="00613CCE">
        <w:rPr>
          <w:rFonts w:ascii="Palatino Linotype" w:eastAsia="Palatino Linotype" w:hAnsi="Palatino Linotype" w:cs="Palatino Linotype"/>
          <w:color w:val="000000"/>
          <w:sz w:val="24"/>
          <w:szCs w:val="24"/>
        </w:rPr>
        <w:t xml:space="preserve"> del año en curso se decretó el cierre de instrucción de los expedientes y al no existir diligencias por realizar, se turnó el expediente para emitir la resolución correspondiente, por lo que: --------------------------</w:t>
      </w:r>
      <w:r w:rsidR="001E7E30" w:rsidRPr="00613CCE">
        <w:rPr>
          <w:rFonts w:ascii="Palatino Linotype" w:eastAsia="Palatino Linotype" w:hAnsi="Palatino Linotype" w:cs="Palatino Linotype"/>
          <w:color w:val="000000"/>
          <w:sz w:val="24"/>
          <w:szCs w:val="24"/>
        </w:rPr>
        <w:t>----------------------</w:t>
      </w:r>
    </w:p>
    <w:p w14:paraId="24E17FF3" w14:textId="77777777" w:rsidR="007C27DC" w:rsidRPr="00613CCE" w:rsidRDefault="007C27DC" w:rsidP="00613CCE">
      <w:pPr>
        <w:pBdr>
          <w:top w:val="nil"/>
          <w:left w:val="nil"/>
          <w:bottom w:val="nil"/>
          <w:right w:val="nil"/>
          <w:between w:val="nil"/>
        </w:pBdr>
        <w:spacing w:line="360" w:lineRule="auto"/>
        <w:jc w:val="both"/>
        <w:rPr>
          <w:rFonts w:ascii="Palatino Linotype" w:eastAsia="Palatino Linotype" w:hAnsi="Palatino Linotype" w:cs="Palatino Linotype"/>
          <w:b/>
          <w:color w:val="000000"/>
          <w:sz w:val="24"/>
          <w:szCs w:val="24"/>
        </w:rPr>
      </w:pPr>
    </w:p>
    <w:p w14:paraId="79F642C6" w14:textId="77777777" w:rsidR="007C27DC" w:rsidRPr="00613CCE" w:rsidRDefault="007D3D12" w:rsidP="00613CCE">
      <w:pPr>
        <w:pStyle w:val="Ttulo1"/>
        <w:spacing w:before="0" w:line="360" w:lineRule="auto"/>
        <w:jc w:val="center"/>
        <w:rPr>
          <w:rFonts w:ascii="Palatino Linotype" w:eastAsia="Palatino Linotype" w:hAnsi="Palatino Linotype" w:cs="Palatino Linotype"/>
          <w:b/>
          <w:color w:val="000000"/>
          <w:sz w:val="24"/>
          <w:szCs w:val="24"/>
        </w:rPr>
      </w:pPr>
      <w:bookmarkStart w:id="2" w:name="_heading=h.1fob9te" w:colFirst="0" w:colLast="0"/>
      <w:bookmarkEnd w:id="2"/>
      <w:r w:rsidRPr="00613CCE">
        <w:rPr>
          <w:rFonts w:ascii="Palatino Linotype" w:eastAsia="Palatino Linotype" w:hAnsi="Palatino Linotype" w:cs="Palatino Linotype"/>
          <w:b/>
          <w:color w:val="000000"/>
          <w:sz w:val="24"/>
          <w:szCs w:val="24"/>
        </w:rPr>
        <w:lastRenderedPageBreak/>
        <w:t xml:space="preserve">C O N S I D E R A N D O </w:t>
      </w:r>
    </w:p>
    <w:p w14:paraId="776C9A4A" w14:textId="77777777" w:rsidR="007C27DC" w:rsidRPr="00613CCE" w:rsidRDefault="007C27DC" w:rsidP="00613CCE">
      <w:pPr>
        <w:spacing w:line="360" w:lineRule="auto"/>
        <w:rPr>
          <w:rFonts w:ascii="Palatino Linotype" w:eastAsia="Palatino Linotype" w:hAnsi="Palatino Linotype" w:cs="Palatino Linotype"/>
          <w:sz w:val="24"/>
          <w:szCs w:val="24"/>
        </w:rPr>
      </w:pPr>
    </w:p>
    <w:p w14:paraId="1C680C89" w14:textId="77777777" w:rsidR="007C27DC" w:rsidRPr="00613CCE" w:rsidRDefault="007D3D12" w:rsidP="00613CCE">
      <w:pPr>
        <w:pStyle w:val="Ttulo2"/>
        <w:spacing w:before="0" w:line="360" w:lineRule="auto"/>
        <w:rPr>
          <w:rFonts w:ascii="Palatino Linotype" w:eastAsia="Palatino Linotype" w:hAnsi="Palatino Linotype" w:cs="Palatino Linotype"/>
          <w:b/>
          <w:color w:val="000000"/>
          <w:sz w:val="24"/>
          <w:szCs w:val="24"/>
        </w:rPr>
      </w:pPr>
      <w:bookmarkStart w:id="3" w:name="_heading=h.3znysh7" w:colFirst="0" w:colLast="0"/>
      <w:bookmarkEnd w:id="3"/>
      <w:r w:rsidRPr="00613CCE">
        <w:rPr>
          <w:rFonts w:ascii="Palatino Linotype" w:eastAsia="Palatino Linotype" w:hAnsi="Palatino Linotype" w:cs="Palatino Linotype"/>
          <w:b/>
          <w:color w:val="000000"/>
          <w:sz w:val="24"/>
          <w:szCs w:val="24"/>
        </w:rPr>
        <w:t>PRIMERO. De la competencia</w:t>
      </w:r>
    </w:p>
    <w:p w14:paraId="5EB59CCA" w14:textId="77777777" w:rsidR="007C27DC" w:rsidRPr="00613CCE" w:rsidRDefault="007C27DC" w:rsidP="00613CCE">
      <w:pPr>
        <w:spacing w:line="360" w:lineRule="auto"/>
        <w:rPr>
          <w:rFonts w:ascii="Palatino Linotype" w:eastAsia="Palatino Linotype" w:hAnsi="Palatino Linotype" w:cs="Palatino Linotype"/>
          <w:sz w:val="24"/>
          <w:szCs w:val="24"/>
        </w:rPr>
      </w:pPr>
    </w:p>
    <w:p w14:paraId="784CD3FC"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Este Instituto de Transparencia, Acceso a la Información Pública y Protección de Datos Personales del Estado de México, es competente para conocer y resolver el presente recurso de revisión interpuesto por el Recurrente conforme a lo dispuesto en los artículos 6, apartado A, fracción IV de la Constitución Política de los Estados Unidos Mexicanos; 5, párrafos trigésimo segundo, trigésimo tercero y trigésimo cuarto, fracciones IV y V, de la Constitución Política del Estado Libre y Soberano de México; artículos 1, 2 fracción II, 13, 29, 36 fracciones I y II, 176, 178, 179, 181 párrafo tercero y 185 de la Ley de Transparencia y Acceso a la Información Pública del Estado de México y Municipios; 6, 9 fracciones I y XXIII, y 11 del Reglamento Interior del Instituto de Transparencia, Acceso a la Información Pública y Protección de Datos Personales del Estado de México y Municipios.</w:t>
      </w:r>
    </w:p>
    <w:p w14:paraId="366D6C40" w14:textId="77777777" w:rsidR="007C27DC" w:rsidRPr="00613CCE" w:rsidRDefault="007C27DC"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1EDE96EA" w14:textId="77777777" w:rsidR="007C27DC" w:rsidRPr="00613CCE" w:rsidRDefault="007D3D12" w:rsidP="00613CCE">
      <w:pPr>
        <w:pStyle w:val="Ttulo2"/>
        <w:spacing w:before="0" w:line="360" w:lineRule="auto"/>
        <w:rPr>
          <w:rFonts w:ascii="Palatino Linotype" w:eastAsia="Palatino Linotype" w:hAnsi="Palatino Linotype" w:cs="Palatino Linotype"/>
          <w:b/>
          <w:color w:val="000000"/>
          <w:sz w:val="24"/>
          <w:szCs w:val="24"/>
        </w:rPr>
      </w:pPr>
      <w:bookmarkStart w:id="4" w:name="_heading=h.2et92p0" w:colFirst="0" w:colLast="0"/>
      <w:bookmarkEnd w:id="4"/>
      <w:r w:rsidRPr="00613CCE">
        <w:rPr>
          <w:rFonts w:ascii="Palatino Linotype" w:eastAsia="Palatino Linotype" w:hAnsi="Palatino Linotype" w:cs="Palatino Linotype"/>
          <w:b/>
          <w:color w:val="000000"/>
          <w:sz w:val="24"/>
          <w:szCs w:val="24"/>
        </w:rPr>
        <w:t>SEGUNDO. De la oportunidad y procedencia.</w:t>
      </w:r>
    </w:p>
    <w:p w14:paraId="5C50434E"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Este Órgano Garante considera que los medios de impugnación reúnen los requisitos de procedencia toda vez que: los recurso fueron presentados dentro del plazo establecido en el artículo 178 de la Ley de Transparencia y Acceso a la </w:t>
      </w:r>
      <w:r w:rsidRPr="00613CCE">
        <w:rPr>
          <w:rFonts w:ascii="Palatino Linotype" w:eastAsia="Palatino Linotype" w:hAnsi="Palatino Linotype" w:cs="Palatino Linotype"/>
          <w:color w:val="000000"/>
          <w:sz w:val="24"/>
          <w:szCs w:val="24"/>
        </w:rPr>
        <w:lastRenderedPageBreak/>
        <w:t>Información Pública del Estado de México y Municipios; asimismo no se tiene conocimiento de que se encuentre en trámite algún medio de defensa presentado por la Recurrente ante otra instancia.</w:t>
      </w:r>
    </w:p>
    <w:p w14:paraId="0E32FF4D" w14:textId="77777777" w:rsidR="007C27DC" w:rsidRPr="00613CCE" w:rsidRDefault="007C27DC"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5578D908"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Finalmente, los escritos </w:t>
      </w:r>
      <w:proofErr w:type="spellStart"/>
      <w:r w:rsidRPr="00613CCE">
        <w:rPr>
          <w:rFonts w:ascii="Palatino Linotype" w:eastAsia="Palatino Linotype" w:hAnsi="Palatino Linotype" w:cs="Palatino Linotype"/>
          <w:color w:val="000000"/>
          <w:sz w:val="24"/>
          <w:szCs w:val="24"/>
        </w:rPr>
        <w:t>recursales</w:t>
      </w:r>
      <w:proofErr w:type="spellEnd"/>
      <w:r w:rsidRPr="00613CCE">
        <w:rPr>
          <w:rFonts w:ascii="Palatino Linotype" w:eastAsia="Palatino Linotype" w:hAnsi="Palatino Linotype" w:cs="Palatino Linotype"/>
          <w:color w:val="000000"/>
          <w:sz w:val="24"/>
          <w:szCs w:val="24"/>
        </w:rPr>
        <w:t xml:space="preserve"> contienen las formalidades previstas por el artículo 180 último párrafo de la citada Ley de la materia, por lo que es procedente que este Instituto conozca y resuelva el presente recurso.</w:t>
      </w:r>
    </w:p>
    <w:p w14:paraId="182ADA41" w14:textId="77777777" w:rsidR="007C27DC" w:rsidRPr="00613CCE" w:rsidRDefault="007C27DC" w:rsidP="00613CCE">
      <w:pPr>
        <w:pBdr>
          <w:top w:val="nil"/>
          <w:left w:val="nil"/>
          <w:bottom w:val="nil"/>
          <w:right w:val="nil"/>
          <w:between w:val="nil"/>
        </w:pBdr>
        <w:spacing w:line="360" w:lineRule="auto"/>
        <w:ind w:left="720"/>
        <w:rPr>
          <w:rFonts w:ascii="Palatino Linotype" w:eastAsia="Palatino Linotype" w:hAnsi="Palatino Linotype" w:cs="Palatino Linotype"/>
          <w:color w:val="000000"/>
          <w:sz w:val="24"/>
          <w:szCs w:val="24"/>
        </w:rPr>
      </w:pPr>
    </w:p>
    <w:p w14:paraId="3F03BAFE" w14:textId="77777777" w:rsidR="007C27DC" w:rsidRPr="00613CCE" w:rsidRDefault="007D3D12" w:rsidP="00613CCE">
      <w:pPr>
        <w:pStyle w:val="Ttulo1"/>
        <w:spacing w:before="0" w:line="360" w:lineRule="auto"/>
        <w:rPr>
          <w:rFonts w:ascii="Palatino Linotype" w:eastAsia="Palatino Linotype" w:hAnsi="Palatino Linotype" w:cs="Palatino Linotype"/>
          <w:b/>
          <w:color w:val="000000"/>
          <w:sz w:val="24"/>
          <w:szCs w:val="24"/>
        </w:rPr>
      </w:pPr>
      <w:bookmarkStart w:id="5" w:name="_heading=h.tyjcwt" w:colFirst="0" w:colLast="0"/>
      <w:bookmarkEnd w:id="5"/>
      <w:r w:rsidRPr="00613CCE">
        <w:rPr>
          <w:rFonts w:ascii="Palatino Linotype" w:eastAsia="Palatino Linotype" w:hAnsi="Palatino Linotype" w:cs="Palatino Linotype"/>
          <w:b/>
          <w:color w:val="000000"/>
          <w:sz w:val="24"/>
          <w:szCs w:val="24"/>
        </w:rPr>
        <w:t xml:space="preserve">TERCERO. Del planteamiento de la </w:t>
      </w:r>
      <w:r w:rsidRPr="00613CCE">
        <w:rPr>
          <w:rFonts w:ascii="Palatino Linotype" w:eastAsia="Palatino Linotype" w:hAnsi="Palatino Linotype" w:cs="Palatino Linotype"/>
          <w:b/>
          <w:i/>
          <w:color w:val="000000"/>
          <w:sz w:val="24"/>
          <w:szCs w:val="24"/>
        </w:rPr>
        <w:t>Litis</w:t>
      </w:r>
    </w:p>
    <w:p w14:paraId="0D2971C7"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Se solicitó tener acceso, a la información que a continuación se simplifica:</w:t>
      </w:r>
    </w:p>
    <w:p w14:paraId="09FE880F" w14:textId="77777777" w:rsidR="007C27DC" w:rsidRPr="00613CCE" w:rsidRDefault="007C27DC"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04B653BC" w14:textId="77777777" w:rsidR="001E7E30" w:rsidRPr="00613CCE" w:rsidRDefault="00D83BEA" w:rsidP="00613CCE">
      <w:pPr>
        <w:pBdr>
          <w:top w:val="nil"/>
          <w:left w:val="nil"/>
          <w:bottom w:val="nil"/>
          <w:right w:val="nil"/>
          <w:between w:val="nil"/>
        </w:pBdr>
        <w:spacing w:line="360" w:lineRule="auto"/>
        <w:ind w:left="709" w:right="539"/>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El monto pagado al C. Jesús Ruiz Salazar, por su participación en los siguientes servicios</w:t>
      </w:r>
      <w:r w:rsidR="001E7E30" w:rsidRPr="00613CCE">
        <w:rPr>
          <w:rFonts w:ascii="Palatino Linotype" w:eastAsia="Palatino Linotype" w:hAnsi="Palatino Linotype" w:cs="Palatino Linotype"/>
          <w:b/>
          <w:color w:val="000000"/>
          <w:sz w:val="24"/>
          <w:szCs w:val="24"/>
        </w:rPr>
        <w:t xml:space="preserve">: </w:t>
      </w:r>
    </w:p>
    <w:p w14:paraId="61B7142F" w14:textId="77777777" w:rsidR="00D83BEA" w:rsidRPr="00613CCE" w:rsidRDefault="00D83BEA" w:rsidP="00613CCE">
      <w:pPr>
        <w:pBdr>
          <w:top w:val="nil"/>
          <w:left w:val="nil"/>
          <w:bottom w:val="nil"/>
          <w:right w:val="nil"/>
          <w:between w:val="nil"/>
        </w:pBdr>
        <w:spacing w:line="360" w:lineRule="auto"/>
        <w:ind w:left="709" w:right="539"/>
        <w:jc w:val="both"/>
        <w:rPr>
          <w:rFonts w:ascii="Palatino Linotype" w:eastAsia="Palatino Linotype" w:hAnsi="Palatino Linotype" w:cs="Palatino Linotype"/>
          <w:b/>
          <w:color w:val="000000"/>
          <w:sz w:val="24"/>
          <w:szCs w:val="24"/>
        </w:rPr>
      </w:pPr>
    </w:p>
    <w:p w14:paraId="478E3474" w14:textId="77777777" w:rsidR="005C541E" w:rsidRPr="00613CCE" w:rsidRDefault="005C541E" w:rsidP="00613CCE">
      <w:pPr>
        <w:pStyle w:val="Prrafodelista"/>
        <w:numPr>
          <w:ilvl w:val="0"/>
          <w:numId w:val="12"/>
        </w:numPr>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r w:rsidRPr="00613CCE">
        <w:rPr>
          <w:rFonts w:ascii="Palatino Linotype" w:eastAsia="Palatino Linotype" w:hAnsi="Palatino Linotype" w:cs="Palatino Linotype"/>
          <w:color w:val="000000"/>
          <w:sz w:val="24"/>
        </w:rPr>
        <w:t>Mantenimiento de equipos de bienes informáticos;</w:t>
      </w:r>
    </w:p>
    <w:p w14:paraId="357F16C4" w14:textId="77777777" w:rsidR="005C541E" w:rsidRPr="00613CCE" w:rsidRDefault="005C541E" w:rsidP="00613CCE">
      <w:pPr>
        <w:pStyle w:val="Prrafodelista"/>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p>
    <w:p w14:paraId="679921C3" w14:textId="77777777" w:rsidR="005C541E" w:rsidRPr="00613CCE" w:rsidRDefault="005C541E" w:rsidP="00613CCE">
      <w:pPr>
        <w:pStyle w:val="Prrafodelista"/>
        <w:numPr>
          <w:ilvl w:val="0"/>
          <w:numId w:val="12"/>
        </w:numPr>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r w:rsidRPr="00613CCE">
        <w:rPr>
          <w:rFonts w:ascii="Palatino Linotype" w:eastAsia="Palatino Linotype" w:hAnsi="Palatino Linotype" w:cs="Palatino Linotype"/>
          <w:color w:val="000000"/>
          <w:sz w:val="24"/>
        </w:rPr>
        <w:t>Mantenimiento de cámaras de video del Municipio;</w:t>
      </w:r>
    </w:p>
    <w:p w14:paraId="78B11765" w14:textId="77777777" w:rsidR="005C541E" w:rsidRPr="00613CCE" w:rsidRDefault="005C541E" w:rsidP="00613CCE">
      <w:pPr>
        <w:pStyle w:val="Prrafodelista"/>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p>
    <w:p w14:paraId="3CDB6A90" w14:textId="77777777" w:rsidR="005C541E" w:rsidRPr="00613CCE" w:rsidRDefault="005C541E" w:rsidP="00613CCE">
      <w:pPr>
        <w:pStyle w:val="Prrafodelista"/>
        <w:numPr>
          <w:ilvl w:val="0"/>
          <w:numId w:val="12"/>
        </w:numPr>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r w:rsidRPr="00613CCE">
        <w:rPr>
          <w:rFonts w:ascii="Palatino Linotype" w:eastAsia="Palatino Linotype" w:hAnsi="Palatino Linotype" w:cs="Palatino Linotype"/>
          <w:color w:val="000000"/>
          <w:sz w:val="24"/>
        </w:rPr>
        <w:t xml:space="preserve">Compilación de imágenes en paquete </w:t>
      </w:r>
      <w:proofErr w:type="spellStart"/>
      <w:r w:rsidRPr="00613CCE">
        <w:rPr>
          <w:rFonts w:ascii="Palatino Linotype" w:eastAsia="Palatino Linotype" w:hAnsi="Palatino Linotype" w:cs="Palatino Linotype"/>
          <w:color w:val="000000"/>
          <w:sz w:val="24"/>
        </w:rPr>
        <w:t>Tif</w:t>
      </w:r>
      <w:proofErr w:type="spellEnd"/>
      <w:r w:rsidRPr="00613CCE">
        <w:rPr>
          <w:rFonts w:ascii="Palatino Linotype" w:eastAsia="Palatino Linotype" w:hAnsi="Palatino Linotype" w:cs="Palatino Linotype"/>
          <w:color w:val="000000"/>
          <w:sz w:val="24"/>
        </w:rPr>
        <w:t>/</w:t>
      </w:r>
      <w:proofErr w:type="spellStart"/>
      <w:r w:rsidRPr="00613CCE">
        <w:rPr>
          <w:rFonts w:ascii="Palatino Linotype" w:eastAsia="Palatino Linotype" w:hAnsi="Palatino Linotype" w:cs="Palatino Linotype"/>
          <w:color w:val="000000"/>
          <w:sz w:val="24"/>
        </w:rPr>
        <w:t>Multitif</w:t>
      </w:r>
      <w:proofErr w:type="spellEnd"/>
      <w:r w:rsidRPr="00613CCE">
        <w:rPr>
          <w:rFonts w:ascii="Palatino Linotype" w:eastAsia="Palatino Linotype" w:hAnsi="Palatino Linotype" w:cs="Palatino Linotype"/>
          <w:color w:val="000000"/>
          <w:sz w:val="24"/>
        </w:rPr>
        <w:t xml:space="preserve"> Generación de archivo SIFE para integración al informe trimestral (Primer Trimestre 2023);</w:t>
      </w:r>
    </w:p>
    <w:p w14:paraId="4893ED4E" w14:textId="77777777" w:rsidR="005C541E" w:rsidRPr="00613CCE" w:rsidRDefault="005C541E" w:rsidP="00613CCE">
      <w:pPr>
        <w:pStyle w:val="Prrafodelista"/>
        <w:numPr>
          <w:ilvl w:val="0"/>
          <w:numId w:val="12"/>
        </w:numPr>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r w:rsidRPr="00613CCE">
        <w:rPr>
          <w:rFonts w:ascii="Palatino Linotype" w:eastAsia="Palatino Linotype" w:hAnsi="Palatino Linotype" w:cs="Palatino Linotype"/>
          <w:color w:val="000000"/>
          <w:sz w:val="24"/>
        </w:rPr>
        <w:lastRenderedPageBreak/>
        <w:t>Digitalización de documentos de expedientes de los procedimientos de adquisiciones, arrendamientos de bienes o contratación de servicios, del ejercicios fiscal de 2022; y</w:t>
      </w:r>
    </w:p>
    <w:p w14:paraId="6E039EC0" w14:textId="77777777" w:rsidR="005C541E" w:rsidRPr="00613CCE" w:rsidRDefault="005C541E" w:rsidP="00613CCE">
      <w:pPr>
        <w:pStyle w:val="Prrafodelista"/>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p>
    <w:p w14:paraId="1BEE2EA7" w14:textId="77777777" w:rsidR="007C27DC" w:rsidRPr="00613CCE" w:rsidRDefault="005C541E" w:rsidP="00613CCE">
      <w:pPr>
        <w:pStyle w:val="Prrafodelista"/>
        <w:numPr>
          <w:ilvl w:val="0"/>
          <w:numId w:val="12"/>
        </w:numPr>
        <w:pBdr>
          <w:top w:val="nil"/>
          <w:left w:val="nil"/>
          <w:bottom w:val="nil"/>
          <w:right w:val="nil"/>
          <w:between w:val="nil"/>
        </w:pBdr>
        <w:spacing w:line="360" w:lineRule="auto"/>
        <w:ind w:left="709" w:right="539"/>
        <w:jc w:val="both"/>
        <w:rPr>
          <w:rFonts w:ascii="Palatino Linotype" w:eastAsia="Palatino Linotype" w:hAnsi="Palatino Linotype" w:cs="Palatino Linotype"/>
          <w:b/>
          <w:color w:val="000000"/>
          <w:sz w:val="24"/>
        </w:rPr>
      </w:pPr>
      <w:r w:rsidRPr="00613CCE">
        <w:rPr>
          <w:rFonts w:ascii="Palatino Linotype" w:eastAsia="Palatino Linotype" w:hAnsi="Palatino Linotype" w:cs="Palatino Linotype"/>
          <w:color w:val="000000"/>
          <w:sz w:val="24"/>
        </w:rPr>
        <w:t xml:space="preserve">Reingeniería de procesos de seguridad IA/ML </w:t>
      </w:r>
      <w:proofErr w:type="spellStart"/>
      <w:r w:rsidRPr="00613CCE">
        <w:rPr>
          <w:rFonts w:ascii="Palatino Linotype" w:eastAsia="Palatino Linotype" w:hAnsi="Palatino Linotype" w:cs="Palatino Linotype"/>
          <w:color w:val="000000"/>
          <w:sz w:val="24"/>
        </w:rPr>
        <w:t>Fortigate</w:t>
      </w:r>
      <w:proofErr w:type="spellEnd"/>
      <w:r w:rsidRPr="00613CCE">
        <w:rPr>
          <w:rFonts w:ascii="Palatino Linotype" w:eastAsia="Palatino Linotype" w:hAnsi="Palatino Linotype" w:cs="Palatino Linotype"/>
          <w:color w:val="000000"/>
          <w:sz w:val="24"/>
        </w:rPr>
        <w:t xml:space="preserve"> NGFW firewall, protección de acceso vía NAS de QNAP "Prevención de ataques Hacker"</w:t>
      </w:r>
    </w:p>
    <w:p w14:paraId="1B807CBC" w14:textId="77777777" w:rsidR="007C27DC" w:rsidRPr="00613CCE" w:rsidRDefault="007C27DC" w:rsidP="00613CCE">
      <w:pPr>
        <w:pBdr>
          <w:top w:val="nil"/>
          <w:left w:val="nil"/>
          <w:bottom w:val="nil"/>
          <w:right w:val="nil"/>
          <w:between w:val="nil"/>
        </w:pBdr>
        <w:spacing w:line="360" w:lineRule="auto"/>
        <w:ind w:left="778" w:right="539"/>
        <w:jc w:val="both"/>
        <w:rPr>
          <w:rFonts w:ascii="Palatino Linotype" w:eastAsia="Palatino Linotype" w:hAnsi="Palatino Linotype" w:cs="Palatino Linotype"/>
          <w:b/>
          <w:color w:val="000000"/>
          <w:sz w:val="24"/>
          <w:szCs w:val="24"/>
        </w:rPr>
      </w:pPr>
    </w:p>
    <w:p w14:paraId="2B3DF763"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En respuesta, el </w:t>
      </w:r>
      <w:r w:rsidRPr="00613CCE">
        <w:rPr>
          <w:rFonts w:ascii="Palatino Linotype" w:eastAsia="Palatino Linotype" w:hAnsi="Palatino Linotype" w:cs="Palatino Linotype"/>
          <w:b/>
          <w:color w:val="000000"/>
          <w:sz w:val="24"/>
          <w:szCs w:val="24"/>
        </w:rPr>
        <w:t xml:space="preserve">SUJETO OBLIGADO </w:t>
      </w:r>
      <w:r w:rsidRPr="00613CCE">
        <w:rPr>
          <w:rFonts w:ascii="Palatino Linotype" w:eastAsia="Palatino Linotype" w:hAnsi="Palatino Linotype" w:cs="Palatino Linotype"/>
          <w:color w:val="000000"/>
          <w:sz w:val="24"/>
          <w:szCs w:val="24"/>
        </w:rPr>
        <w:t xml:space="preserve">señalo que la información es clasificada por tratarse de procedimientos en trámite no concluidos. Inconforme con las respuestas, se interpuso Recurso de Revisión impugnando sustancialmente </w:t>
      </w:r>
      <w:r w:rsidR="001821B8" w:rsidRPr="00613CCE">
        <w:rPr>
          <w:rFonts w:ascii="Palatino Linotype" w:eastAsia="Palatino Linotype" w:hAnsi="Palatino Linotype" w:cs="Palatino Linotype"/>
          <w:color w:val="000000"/>
          <w:sz w:val="24"/>
          <w:szCs w:val="24"/>
        </w:rPr>
        <w:t>que no entrega</w:t>
      </w:r>
      <w:r w:rsidRPr="00613CCE">
        <w:rPr>
          <w:rFonts w:ascii="Palatino Linotype" w:eastAsia="Palatino Linotype" w:hAnsi="Palatino Linotype" w:cs="Palatino Linotype"/>
          <w:color w:val="000000"/>
          <w:sz w:val="24"/>
          <w:szCs w:val="24"/>
        </w:rPr>
        <w:t xml:space="preserve"> la información.</w:t>
      </w:r>
    </w:p>
    <w:p w14:paraId="0348688F" w14:textId="77777777" w:rsidR="007C27DC" w:rsidRPr="00613CCE" w:rsidRDefault="007C27DC"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0BDFF664"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En dichas condiciones, la controversia a resolver en el presente proveído, corresponde a determinar si se actualiza la causal de procedencia prevista en el artículo 179, fracción </w:t>
      </w:r>
      <w:r w:rsidR="00F77C4D" w:rsidRPr="00613CCE">
        <w:rPr>
          <w:rFonts w:ascii="Palatino Linotype" w:eastAsia="Palatino Linotype" w:hAnsi="Palatino Linotype" w:cs="Palatino Linotype"/>
          <w:color w:val="000000"/>
          <w:sz w:val="24"/>
          <w:szCs w:val="24"/>
        </w:rPr>
        <w:t>I</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de la Ley de Transparencia y Acceso a la Información Pública del Estado de</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México</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y</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Municipios; fracción que determina las hipótesis relativa a la  negativa de la entrega de la información; contexto del cual se dolió la Recurrente al momento de interponer su inconformidad. De modo tal que el presente recurso de revisión se abocará en determinar si el Sujeto Obligado con su respuesta ciertamente actualiza las causales de procedencia</w:t>
      </w:r>
      <w:r w:rsidRPr="00613CCE">
        <w:rPr>
          <w:rFonts w:ascii="Palatino Linotype" w:eastAsia="Palatino Linotype" w:hAnsi="Palatino Linotype" w:cs="Palatino Linotype"/>
          <w:b/>
          <w:color w:val="000000"/>
          <w:sz w:val="24"/>
          <w:szCs w:val="24"/>
        </w:rPr>
        <w:t xml:space="preserve"> </w:t>
      </w:r>
      <w:r w:rsidRPr="00613CCE">
        <w:rPr>
          <w:rFonts w:ascii="Palatino Linotype" w:eastAsia="Palatino Linotype" w:hAnsi="Palatino Linotype" w:cs="Palatino Linotype"/>
          <w:color w:val="000000"/>
          <w:sz w:val="24"/>
          <w:szCs w:val="24"/>
        </w:rPr>
        <w:t xml:space="preserve">señaladas. </w:t>
      </w:r>
    </w:p>
    <w:p w14:paraId="29FC15E6" w14:textId="77777777" w:rsidR="007C27DC" w:rsidRPr="00613CCE" w:rsidRDefault="007D3D12" w:rsidP="00613CCE">
      <w:pPr>
        <w:pStyle w:val="Ttulo2"/>
        <w:spacing w:before="0" w:line="360" w:lineRule="auto"/>
        <w:ind w:right="-646"/>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lastRenderedPageBreak/>
        <w:t>CUARTA. Estudio de la controversia.</w:t>
      </w:r>
    </w:p>
    <w:p w14:paraId="46E0F289"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Determinado lo anterior; revisaremos la atención otorgada por el Sujeto Obligado a la solicitud que dio origen a este recurso, considerando imprescindible establecer lo que la regulación determina, por ello, en primer lugar, vamos a revisar lo que mandata nuestra Ley de Transparencia local, en su artículo 12, el cual establece que quienes generen, recopilen, administren, manejen, procesen, archiven o conserven información pública serán responsables de la misma, del mismo modo, el artículo 18 establece que los Sujetos Obligados </w:t>
      </w:r>
      <w:r w:rsidRPr="00613CCE">
        <w:rPr>
          <w:rFonts w:ascii="Palatino Linotype" w:eastAsia="Palatino Linotype" w:hAnsi="Palatino Linotype" w:cs="Palatino Linotype"/>
          <w:b/>
          <w:color w:val="000000"/>
          <w:sz w:val="24"/>
          <w:szCs w:val="24"/>
        </w:rPr>
        <w:t>deberán documentar todo acto que derive del ejercicio de sus facultades, competencias o funciones desde su origen la eventual publicidad y reutilización de la información que generen</w:t>
      </w:r>
      <w:r w:rsidRPr="00613CCE">
        <w:rPr>
          <w:rFonts w:ascii="Palatino Linotype" w:eastAsia="Palatino Linotype" w:hAnsi="Palatino Linotype" w:cs="Palatino Linotype"/>
          <w:color w:val="000000"/>
          <w:sz w:val="24"/>
          <w:szCs w:val="24"/>
        </w:rPr>
        <w:t>.</w:t>
      </w:r>
    </w:p>
    <w:p w14:paraId="3EC54221" w14:textId="77777777" w:rsidR="007C27DC" w:rsidRPr="00613CCE" w:rsidRDefault="007C27DC" w:rsidP="00613CCE">
      <w:pPr>
        <w:spacing w:line="360" w:lineRule="auto"/>
        <w:ind w:right="-646"/>
        <w:jc w:val="both"/>
        <w:rPr>
          <w:rFonts w:ascii="Palatino Linotype" w:eastAsia="Palatino Linotype" w:hAnsi="Palatino Linotype" w:cs="Palatino Linotype"/>
          <w:sz w:val="24"/>
          <w:szCs w:val="24"/>
        </w:rPr>
      </w:pPr>
    </w:p>
    <w:p w14:paraId="3086D1BE"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Asimismo, es relevante mencionar que el artículo 19 del ordenamiento local de la materia señala que se presume que la información debe existir si se refiere a las facultades, competencias y funciones que los ordenamientos jurídicos aplicables otorgan a los sujetos obligados y en caso de que dichas facultades no se hayan ejercido, se deberá motivar la respuesta en función de las causas que motivaron tal circunstancia.</w:t>
      </w:r>
    </w:p>
    <w:p w14:paraId="3F293320" w14:textId="77777777" w:rsidR="007C27DC" w:rsidRPr="00613CCE" w:rsidRDefault="007C27DC" w:rsidP="00613CCE">
      <w:pPr>
        <w:pBdr>
          <w:top w:val="nil"/>
          <w:left w:val="nil"/>
          <w:bottom w:val="nil"/>
          <w:right w:val="nil"/>
          <w:between w:val="nil"/>
        </w:pBdr>
        <w:spacing w:line="360" w:lineRule="auto"/>
        <w:ind w:left="720"/>
        <w:rPr>
          <w:rFonts w:ascii="Palatino Linotype" w:eastAsia="Palatino Linotype" w:hAnsi="Palatino Linotype" w:cs="Palatino Linotype"/>
          <w:color w:val="000000"/>
          <w:sz w:val="24"/>
          <w:szCs w:val="24"/>
        </w:rPr>
      </w:pPr>
    </w:p>
    <w:p w14:paraId="2A9B28F2"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Los artículos antes citados, refieren que el derecho de acceso a la información pública es un derecho humano que abarca el solicitar, investigar, difundir y buscar </w:t>
      </w:r>
      <w:r w:rsidRPr="00613CCE">
        <w:rPr>
          <w:rFonts w:ascii="Palatino Linotype" w:eastAsia="Palatino Linotype" w:hAnsi="Palatino Linotype" w:cs="Palatino Linotype"/>
          <w:color w:val="000000"/>
          <w:sz w:val="24"/>
          <w:szCs w:val="24"/>
        </w:rPr>
        <w:lastRenderedPageBreak/>
        <w:t>información que se encuentre en los archivos de los sujetos obligados, ya sea porque estos las generaron o la poseen en atención a sus funciones, por lo que se le considera un bien común de dominio público, toda vez que al tratarse de acciones ejercidas por un servidor público, este lo hace en representación del Estado, por lo que le pertenece a todos y debe ser accesible a cualquier persona, ya sea que los particulares la puedan consultar por encontrarse publicada en cualquier medio de difusión o porque la requieren a través de una solicitud de acceso a la información, siempre y cuando no encuadre en una de las excepciones contempladas por la ley.</w:t>
      </w:r>
    </w:p>
    <w:p w14:paraId="1D7E88FC" w14:textId="77777777" w:rsidR="007C27DC" w:rsidRPr="00613CCE" w:rsidRDefault="007C27DC" w:rsidP="00613CCE">
      <w:pPr>
        <w:pBdr>
          <w:top w:val="nil"/>
          <w:left w:val="nil"/>
          <w:bottom w:val="nil"/>
          <w:right w:val="nil"/>
          <w:between w:val="nil"/>
        </w:pBdr>
        <w:spacing w:line="360" w:lineRule="auto"/>
        <w:ind w:left="720" w:right="-646"/>
        <w:jc w:val="both"/>
        <w:rPr>
          <w:rFonts w:ascii="Palatino Linotype" w:eastAsia="Palatino Linotype" w:hAnsi="Palatino Linotype" w:cs="Palatino Linotype"/>
          <w:color w:val="000000"/>
          <w:sz w:val="24"/>
          <w:szCs w:val="24"/>
        </w:rPr>
      </w:pPr>
    </w:p>
    <w:p w14:paraId="1A59E073" w14:textId="77777777" w:rsidR="00E81211"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color w:val="000000"/>
          <w:sz w:val="24"/>
          <w:szCs w:val="24"/>
        </w:rPr>
        <w:t xml:space="preserve">Una vez mencionado lo anterior, es necesario de manera inicial recordar </w:t>
      </w:r>
      <w:r w:rsidR="002331C1" w:rsidRPr="00613CCE">
        <w:rPr>
          <w:rFonts w:ascii="Palatino Linotype" w:eastAsia="Palatino Linotype" w:hAnsi="Palatino Linotype" w:cs="Palatino Linotype"/>
          <w:color w:val="000000"/>
          <w:sz w:val="24"/>
          <w:szCs w:val="24"/>
        </w:rPr>
        <w:t>lo solicitado y que vers</w:t>
      </w:r>
      <w:r w:rsidR="0016784F" w:rsidRPr="00613CCE">
        <w:rPr>
          <w:rFonts w:ascii="Palatino Linotype" w:eastAsia="Palatino Linotype" w:hAnsi="Palatino Linotype" w:cs="Palatino Linotype"/>
          <w:color w:val="000000"/>
          <w:sz w:val="24"/>
          <w:szCs w:val="24"/>
        </w:rPr>
        <w:t>ó</w:t>
      </w:r>
      <w:r w:rsidR="002331C1" w:rsidRPr="00613CCE">
        <w:rPr>
          <w:rFonts w:ascii="Palatino Linotype" w:eastAsia="Palatino Linotype" w:hAnsi="Palatino Linotype" w:cs="Palatino Linotype"/>
          <w:color w:val="000000"/>
          <w:sz w:val="24"/>
          <w:szCs w:val="24"/>
        </w:rPr>
        <w:t xml:space="preserve"> toralmente en tener acceso a </w:t>
      </w:r>
      <w:r w:rsidR="00F77C4D" w:rsidRPr="00613CCE">
        <w:rPr>
          <w:rFonts w:ascii="Palatino Linotype" w:eastAsia="Palatino Linotype" w:hAnsi="Palatino Linotype" w:cs="Palatino Linotype"/>
          <w:color w:val="000000"/>
          <w:sz w:val="24"/>
          <w:szCs w:val="24"/>
        </w:rPr>
        <w:t>los montos pagados a una persona por la prestación de diversos</w:t>
      </w:r>
      <w:r w:rsidR="002331C1" w:rsidRPr="00613CCE">
        <w:rPr>
          <w:rFonts w:ascii="Palatino Linotype" w:eastAsia="Palatino Linotype" w:hAnsi="Palatino Linotype" w:cs="Palatino Linotype"/>
          <w:color w:val="000000"/>
          <w:sz w:val="24"/>
          <w:szCs w:val="24"/>
        </w:rPr>
        <w:t xml:space="preserve"> servicios</w:t>
      </w:r>
      <w:r w:rsidR="0016784F" w:rsidRPr="00613CCE">
        <w:rPr>
          <w:rFonts w:ascii="Palatino Linotype" w:eastAsia="Palatino Linotype" w:hAnsi="Palatino Linotype" w:cs="Palatino Linotype"/>
          <w:color w:val="000000"/>
          <w:sz w:val="24"/>
          <w:szCs w:val="24"/>
        </w:rPr>
        <w:t xml:space="preserve">, </w:t>
      </w:r>
      <w:r w:rsidR="00F77C4D" w:rsidRPr="00613CCE">
        <w:rPr>
          <w:rFonts w:ascii="Palatino Linotype" w:eastAsia="Palatino Linotype" w:hAnsi="Palatino Linotype" w:cs="Palatino Linotype"/>
          <w:color w:val="000000"/>
          <w:sz w:val="24"/>
          <w:szCs w:val="24"/>
        </w:rPr>
        <w:t>a saber</w:t>
      </w:r>
      <w:r w:rsidR="0016784F" w:rsidRPr="00613CCE">
        <w:rPr>
          <w:rFonts w:ascii="Palatino Linotype" w:eastAsia="Palatino Linotype" w:hAnsi="Palatino Linotype" w:cs="Palatino Linotype"/>
          <w:color w:val="000000"/>
          <w:sz w:val="24"/>
          <w:szCs w:val="24"/>
        </w:rPr>
        <w:t xml:space="preserve"> los ya disgregados en el planteamiento de la </w:t>
      </w:r>
      <w:r w:rsidR="0016784F" w:rsidRPr="00613CCE">
        <w:rPr>
          <w:rFonts w:ascii="Palatino Linotype" w:eastAsia="Palatino Linotype" w:hAnsi="Palatino Linotype" w:cs="Palatino Linotype"/>
          <w:i/>
          <w:color w:val="000000"/>
          <w:sz w:val="24"/>
          <w:szCs w:val="24"/>
        </w:rPr>
        <w:t xml:space="preserve">Litis, </w:t>
      </w:r>
      <w:r w:rsidR="0016784F" w:rsidRPr="00613CCE">
        <w:rPr>
          <w:rFonts w:ascii="Palatino Linotype" w:eastAsia="Palatino Linotype" w:hAnsi="Palatino Linotype" w:cs="Palatino Linotype"/>
          <w:color w:val="000000"/>
          <w:sz w:val="24"/>
          <w:szCs w:val="24"/>
        </w:rPr>
        <w:t xml:space="preserve">los cuales si bien es cierto el </w:t>
      </w:r>
      <w:r w:rsidR="0016784F" w:rsidRPr="00613CCE">
        <w:rPr>
          <w:rFonts w:ascii="Palatino Linotype" w:eastAsia="Palatino Linotype" w:hAnsi="Palatino Linotype" w:cs="Palatino Linotype"/>
          <w:b/>
          <w:color w:val="000000"/>
          <w:sz w:val="24"/>
          <w:szCs w:val="24"/>
        </w:rPr>
        <w:t>SUJETO OBLIGADO</w:t>
      </w:r>
      <w:r w:rsidR="0016784F" w:rsidRPr="00613CCE">
        <w:rPr>
          <w:rFonts w:ascii="Palatino Linotype" w:eastAsia="Palatino Linotype" w:hAnsi="Palatino Linotype" w:cs="Palatino Linotype"/>
          <w:color w:val="000000"/>
          <w:sz w:val="24"/>
          <w:szCs w:val="24"/>
        </w:rPr>
        <w:t xml:space="preserve"> aceptó de manera expresa que genera, posee y administra</w:t>
      </w:r>
      <w:r w:rsidR="00E81211" w:rsidRPr="00613CCE">
        <w:rPr>
          <w:rFonts w:ascii="Palatino Linotype" w:eastAsia="Palatino Linotype" w:hAnsi="Palatino Linotype" w:cs="Palatino Linotype"/>
          <w:color w:val="000000"/>
          <w:sz w:val="24"/>
          <w:szCs w:val="24"/>
        </w:rPr>
        <w:t>, no es óbice para realizar las siguientes precisiones.</w:t>
      </w:r>
    </w:p>
    <w:p w14:paraId="05045866" w14:textId="77777777" w:rsidR="00E81211" w:rsidRPr="00613CCE" w:rsidRDefault="00E81211" w:rsidP="00613CCE">
      <w:pPr>
        <w:pStyle w:val="Prrafodelista"/>
        <w:spacing w:line="360" w:lineRule="auto"/>
        <w:rPr>
          <w:rFonts w:ascii="Palatino Linotype" w:eastAsia="Palatino Linotype" w:hAnsi="Palatino Linotype" w:cs="Palatino Linotype"/>
          <w:b/>
          <w:color w:val="000000"/>
          <w:sz w:val="24"/>
        </w:rPr>
      </w:pPr>
    </w:p>
    <w:p w14:paraId="12BFF283" w14:textId="77777777" w:rsidR="00E81211" w:rsidRPr="00613CCE" w:rsidRDefault="00E81211" w:rsidP="00613CCE">
      <w:pPr>
        <w:numPr>
          <w:ilvl w:val="0"/>
          <w:numId w:val="6"/>
        </w:numPr>
        <w:pBdr>
          <w:top w:val="nil"/>
          <w:left w:val="nil"/>
          <w:bottom w:val="nil"/>
          <w:right w:val="nil"/>
          <w:between w:val="nil"/>
        </w:pBdr>
        <w:spacing w:line="360" w:lineRule="auto"/>
        <w:ind w:left="0" w:firstLine="0"/>
        <w:jc w:val="both"/>
        <w:rPr>
          <w:rFonts w:ascii="Palatino Linotype" w:hAnsi="Palatino Linotype"/>
          <w:sz w:val="24"/>
          <w:szCs w:val="24"/>
        </w:rPr>
      </w:pPr>
      <w:r w:rsidRPr="00613CCE">
        <w:rPr>
          <w:rFonts w:ascii="Palatino Linotype" w:hAnsi="Palatino Linotype"/>
          <w:sz w:val="24"/>
          <w:szCs w:val="24"/>
        </w:rPr>
        <w:t xml:space="preserve">Para delimitar esperas competenciales es necesario traer a colación los artículos 22, 23, 24 y 25 de la Ley de Contratación Pública del Estado de México y Municipios, mismos que establecen que todo </w:t>
      </w:r>
      <w:r w:rsidRPr="00613CCE">
        <w:rPr>
          <w:rFonts w:ascii="Palatino Linotype" w:eastAsia="Palatino Linotype" w:hAnsi="Palatino Linotype" w:cs="Palatino Linotype"/>
          <w:color w:val="000000"/>
          <w:sz w:val="24"/>
          <w:szCs w:val="24"/>
        </w:rPr>
        <w:t>Ayuntamiento</w:t>
      </w:r>
      <w:r w:rsidRPr="00613CCE">
        <w:rPr>
          <w:rFonts w:ascii="Palatino Linotype" w:hAnsi="Palatino Linotype"/>
          <w:sz w:val="24"/>
          <w:szCs w:val="24"/>
        </w:rPr>
        <w:t xml:space="preserve"> contará con un Comité de Adquisiciones y servicios, así como las funciones de dicho Comité, acotando su </w:t>
      </w:r>
      <w:r w:rsidRPr="00613CCE">
        <w:rPr>
          <w:rFonts w:ascii="Palatino Linotype" w:hAnsi="Palatino Linotype"/>
          <w:sz w:val="24"/>
          <w:szCs w:val="24"/>
        </w:rPr>
        <w:lastRenderedPageBreak/>
        <w:t>intervención en la participación en los procedimientos adquisitivos, normatividad que establece a la literalidad siguiente:</w:t>
      </w:r>
    </w:p>
    <w:p w14:paraId="68C73A91" w14:textId="77777777" w:rsidR="00E81211" w:rsidRPr="00613CCE" w:rsidRDefault="00E81211" w:rsidP="00613CCE">
      <w:pPr>
        <w:pStyle w:val="Citas"/>
        <w:spacing w:before="0" w:after="0"/>
        <w:jc w:val="center"/>
        <w:rPr>
          <w:b/>
          <w:sz w:val="24"/>
          <w:szCs w:val="24"/>
        </w:rPr>
      </w:pPr>
      <w:r w:rsidRPr="00613CCE">
        <w:rPr>
          <w:b/>
          <w:sz w:val="24"/>
          <w:szCs w:val="24"/>
        </w:rPr>
        <w:t>CAPÍTULO QUINTO</w:t>
      </w:r>
    </w:p>
    <w:p w14:paraId="3E1EC89C" w14:textId="77777777" w:rsidR="00E81211" w:rsidRPr="00613CCE" w:rsidRDefault="00E81211" w:rsidP="00613CCE">
      <w:pPr>
        <w:pStyle w:val="Citas"/>
        <w:spacing w:before="0" w:after="0"/>
        <w:jc w:val="center"/>
        <w:rPr>
          <w:b/>
          <w:sz w:val="24"/>
          <w:szCs w:val="24"/>
        </w:rPr>
      </w:pPr>
      <w:r w:rsidRPr="00613CCE">
        <w:rPr>
          <w:b/>
          <w:sz w:val="24"/>
          <w:szCs w:val="24"/>
        </w:rPr>
        <w:t>DE LA INTEGRACIÓN Y FUNCIONES DE LOS COMITÉS</w:t>
      </w:r>
    </w:p>
    <w:p w14:paraId="3E02CCC8" w14:textId="77777777" w:rsidR="00E81211" w:rsidRPr="00613CCE" w:rsidRDefault="00E81211" w:rsidP="00613CCE">
      <w:pPr>
        <w:pStyle w:val="Citas"/>
        <w:spacing w:before="0" w:after="0"/>
        <w:rPr>
          <w:sz w:val="24"/>
          <w:szCs w:val="24"/>
        </w:rPr>
      </w:pPr>
      <w:r w:rsidRPr="00613CCE">
        <w:rPr>
          <w:b/>
          <w:sz w:val="24"/>
          <w:szCs w:val="24"/>
        </w:rPr>
        <w:t>Artículo 22.-</w:t>
      </w:r>
      <w:r w:rsidRPr="00613CCE">
        <w:rPr>
          <w:sz w:val="24"/>
          <w:szCs w:val="24"/>
        </w:rPr>
        <w:t xml:space="preserve"> </w:t>
      </w:r>
      <w:r w:rsidRPr="00613CCE">
        <w:rPr>
          <w:b/>
          <w:sz w:val="24"/>
          <w:szCs w:val="24"/>
          <w:u w:val="single"/>
        </w:rPr>
        <w:t xml:space="preserve">Los comités son órganos colegiados con facultades de opinión, que tienen por objeto auxiliar a </w:t>
      </w:r>
      <w:r w:rsidRPr="00613CCE">
        <w:rPr>
          <w:sz w:val="24"/>
          <w:szCs w:val="24"/>
        </w:rPr>
        <w:t xml:space="preserve">la Secretaría, entidades, tribunales administrativos y </w:t>
      </w:r>
      <w:r w:rsidRPr="00613CCE">
        <w:rPr>
          <w:b/>
          <w:sz w:val="24"/>
          <w:szCs w:val="24"/>
          <w:u w:val="single"/>
        </w:rPr>
        <w:t>ayuntamientos</w:t>
      </w:r>
      <w:r w:rsidRPr="00613CCE">
        <w:rPr>
          <w:sz w:val="24"/>
          <w:szCs w:val="24"/>
        </w:rPr>
        <w:t xml:space="preserve">, en la substanciación de los procedimientos de adquisiciones y de servicios, de conformidad con el Reglamento y los manuales de operación. </w:t>
      </w:r>
    </w:p>
    <w:p w14:paraId="0C76F2C5" w14:textId="77777777" w:rsidR="00E81211" w:rsidRPr="00613CCE" w:rsidRDefault="00E81211" w:rsidP="00613CCE">
      <w:pPr>
        <w:pStyle w:val="Citas"/>
        <w:spacing w:before="0" w:after="0"/>
        <w:rPr>
          <w:b/>
          <w:sz w:val="24"/>
          <w:szCs w:val="24"/>
          <w:u w:val="single"/>
        </w:rPr>
      </w:pPr>
      <w:r w:rsidRPr="00613CCE">
        <w:rPr>
          <w:sz w:val="24"/>
          <w:szCs w:val="24"/>
        </w:rPr>
        <w:t xml:space="preserve">En la Secretaría, en cada entidad, tribunal administrativo y </w:t>
      </w:r>
      <w:r w:rsidRPr="00613CCE">
        <w:rPr>
          <w:b/>
          <w:sz w:val="24"/>
          <w:szCs w:val="24"/>
          <w:u w:val="single"/>
        </w:rPr>
        <w:t xml:space="preserve">ayuntamiento se constituirá un comité de adquisiciones y servicios. </w:t>
      </w:r>
    </w:p>
    <w:p w14:paraId="4A4C2870" w14:textId="77777777" w:rsidR="00E81211" w:rsidRPr="00613CCE" w:rsidRDefault="00E81211" w:rsidP="00613CCE">
      <w:pPr>
        <w:pStyle w:val="Citas"/>
        <w:spacing w:before="0" w:after="0"/>
        <w:rPr>
          <w:b/>
          <w:sz w:val="24"/>
          <w:szCs w:val="24"/>
          <w:u w:val="single"/>
        </w:rPr>
      </w:pPr>
      <w:r w:rsidRPr="00613CCE">
        <w:rPr>
          <w:sz w:val="24"/>
          <w:szCs w:val="24"/>
        </w:rPr>
        <w:t xml:space="preserve">La Secretaría, las entidades, los tribunales administrativos y los </w:t>
      </w:r>
      <w:r w:rsidRPr="00613CCE">
        <w:rPr>
          <w:b/>
          <w:sz w:val="24"/>
          <w:szCs w:val="24"/>
          <w:u w:val="single"/>
        </w:rPr>
        <w:t xml:space="preserve">ayuntamientos se auxiliarán de un comité de arrendamientos, adquisiciones de inmuebles y enajenaciones. </w:t>
      </w:r>
    </w:p>
    <w:p w14:paraId="66B8255B" w14:textId="77777777" w:rsidR="00E81211" w:rsidRPr="00613CCE" w:rsidRDefault="00E81211" w:rsidP="00613CCE">
      <w:pPr>
        <w:pStyle w:val="Citas"/>
        <w:spacing w:before="0" w:after="0"/>
        <w:rPr>
          <w:b/>
          <w:sz w:val="24"/>
          <w:szCs w:val="24"/>
          <w:u w:val="single"/>
        </w:rPr>
      </w:pPr>
      <w:r w:rsidRPr="00613CCE">
        <w:rPr>
          <w:b/>
          <w:sz w:val="24"/>
          <w:szCs w:val="24"/>
        </w:rPr>
        <w:t>Artículo 23.-</w:t>
      </w:r>
      <w:r w:rsidRPr="00613CCE">
        <w:rPr>
          <w:sz w:val="24"/>
          <w:szCs w:val="24"/>
        </w:rPr>
        <w:t xml:space="preserve"> </w:t>
      </w:r>
      <w:r w:rsidRPr="00613CCE">
        <w:rPr>
          <w:b/>
          <w:sz w:val="24"/>
          <w:szCs w:val="24"/>
          <w:u w:val="single"/>
        </w:rPr>
        <w:t xml:space="preserve">Los comités de adquisiciones y de servicios tendrán las funciones siguientes: </w:t>
      </w:r>
    </w:p>
    <w:p w14:paraId="417DF7A3" w14:textId="77777777" w:rsidR="00E81211" w:rsidRPr="00613CCE" w:rsidRDefault="00E81211" w:rsidP="00613CCE">
      <w:pPr>
        <w:pStyle w:val="Citas"/>
        <w:numPr>
          <w:ilvl w:val="0"/>
          <w:numId w:val="13"/>
        </w:numPr>
        <w:spacing w:before="0" w:after="0"/>
        <w:rPr>
          <w:sz w:val="24"/>
          <w:szCs w:val="24"/>
        </w:rPr>
      </w:pPr>
      <w:r w:rsidRPr="00613CCE">
        <w:rPr>
          <w:sz w:val="24"/>
          <w:szCs w:val="24"/>
        </w:rPr>
        <w:t xml:space="preserve">Dictaminar sobre la procedencia de los casos de excepción al procedimiento de licitación pública. </w:t>
      </w:r>
    </w:p>
    <w:p w14:paraId="1892116B" w14:textId="77777777" w:rsidR="00E81211" w:rsidRPr="00613CCE" w:rsidRDefault="00E81211" w:rsidP="00613CCE">
      <w:pPr>
        <w:pStyle w:val="Citas"/>
        <w:numPr>
          <w:ilvl w:val="0"/>
          <w:numId w:val="13"/>
        </w:numPr>
        <w:spacing w:before="0" w:after="0"/>
        <w:rPr>
          <w:sz w:val="24"/>
          <w:szCs w:val="24"/>
        </w:rPr>
      </w:pPr>
      <w:r w:rsidRPr="00613CCE">
        <w:rPr>
          <w:sz w:val="24"/>
          <w:szCs w:val="24"/>
        </w:rPr>
        <w:t xml:space="preserve">Participar en los procedimientos de licitación, invitación restringida y adjudicación directa, hasta dejarlos en estado de dictar el fallo </w:t>
      </w:r>
      <w:r w:rsidRPr="00613CCE">
        <w:rPr>
          <w:sz w:val="24"/>
          <w:szCs w:val="24"/>
        </w:rPr>
        <w:lastRenderedPageBreak/>
        <w:t xml:space="preserve">correspondiente, incluidos los que tengan que desahogarse bajo la modalidad de subasta inversa. </w:t>
      </w:r>
    </w:p>
    <w:p w14:paraId="36B2EA3F" w14:textId="77777777" w:rsidR="00E81211" w:rsidRPr="00613CCE" w:rsidRDefault="00E81211" w:rsidP="00613CCE">
      <w:pPr>
        <w:pStyle w:val="Citas"/>
        <w:numPr>
          <w:ilvl w:val="0"/>
          <w:numId w:val="13"/>
        </w:numPr>
        <w:spacing w:before="0" w:after="0"/>
        <w:rPr>
          <w:sz w:val="24"/>
          <w:szCs w:val="24"/>
        </w:rPr>
      </w:pPr>
      <w:r w:rsidRPr="00613CCE">
        <w:rPr>
          <w:sz w:val="24"/>
          <w:szCs w:val="24"/>
        </w:rPr>
        <w:t xml:space="preserve">Emitir los dictámenes de adjudicación. </w:t>
      </w:r>
    </w:p>
    <w:p w14:paraId="08D14B75" w14:textId="77777777" w:rsidR="00E81211" w:rsidRPr="00613CCE" w:rsidRDefault="00E81211" w:rsidP="00613CCE">
      <w:pPr>
        <w:pStyle w:val="Citas"/>
        <w:numPr>
          <w:ilvl w:val="0"/>
          <w:numId w:val="13"/>
        </w:numPr>
        <w:spacing w:before="0" w:after="0"/>
        <w:rPr>
          <w:sz w:val="24"/>
          <w:szCs w:val="24"/>
        </w:rPr>
      </w:pPr>
      <w:r w:rsidRPr="00613CCE">
        <w:rPr>
          <w:sz w:val="24"/>
          <w:szCs w:val="24"/>
        </w:rPr>
        <w:t xml:space="preserve">Las demás que establezca el reglamento de esta Ley. </w:t>
      </w:r>
    </w:p>
    <w:p w14:paraId="60486F70" w14:textId="77777777" w:rsidR="00E81211" w:rsidRPr="00613CCE" w:rsidRDefault="00E81211" w:rsidP="00613CCE">
      <w:pPr>
        <w:spacing w:line="360" w:lineRule="auto"/>
        <w:jc w:val="both"/>
        <w:rPr>
          <w:rFonts w:ascii="Palatino Linotype" w:hAnsi="Palatino Linotype"/>
          <w:sz w:val="24"/>
          <w:szCs w:val="24"/>
        </w:rPr>
      </w:pPr>
    </w:p>
    <w:p w14:paraId="55E814C5" w14:textId="77777777" w:rsidR="00E81211" w:rsidRPr="00613CCE" w:rsidRDefault="00E81211" w:rsidP="00613CCE">
      <w:pPr>
        <w:numPr>
          <w:ilvl w:val="0"/>
          <w:numId w:val="6"/>
        </w:numPr>
        <w:pBdr>
          <w:top w:val="nil"/>
          <w:left w:val="nil"/>
          <w:bottom w:val="nil"/>
          <w:right w:val="nil"/>
          <w:between w:val="nil"/>
        </w:pBdr>
        <w:spacing w:line="360" w:lineRule="auto"/>
        <w:ind w:left="0" w:firstLine="0"/>
        <w:jc w:val="both"/>
        <w:rPr>
          <w:rFonts w:ascii="Palatino Linotype" w:hAnsi="Palatino Linotype"/>
          <w:sz w:val="24"/>
          <w:szCs w:val="24"/>
        </w:rPr>
      </w:pPr>
      <w:r w:rsidRPr="00613CCE">
        <w:rPr>
          <w:rFonts w:ascii="Palatino Linotype" w:hAnsi="Palatino Linotype"/>
          <w:sz w:val="24"/>
          <w:szCs w:val="24"/>
        </w:rPr>
        <w:t xml:space="preserve">Por otro lado, el Reglamento de la Ley de Ley de Contratación Pública del Estado de México y Municipios, establece lo siguiente: </w:t>
      </w:r>
    </w:p>
    <w:p w14:paraId="4371B7C9" w14:textId="77777777" w:rsidR="00E81211" w:rsidRPr="00613CCE" w:rsidRDefault="00E81211" w:rsidP="00613CCE">
      <w:pPr>
        <w:pStyle w:val="Citas"/>
        <w:spacing w:before="0" w:after="0"/>
        <w:jc w:val="center"/>
        <w:rPr>
          <w:b/>
          <w:sz w:val="24"/>
          <w:szCs w:val="24"/>
        </w:rPr>
      </w:pPr>
      <w:r w:rsidRPr="00613CCE">
        <w:rPr>
          <w:b/>
          <w:sz w:val="24"/>
          <w:szCs w:val="24"/>
        </w:rPr>
        <w:t>CAPÍTULO PRIMERO</w:t>
      </w:r>
    </w:p>
    <w:p w14:paraId="7CA47B46" w14:textId="77777777" w:rsidR="00E81211" w:rsidRPr="00613CCE" w:rsidRDefault="00E81211" w:rsidP="00613CCE">
      <w:pPr>
        <w:pStyle w:val="Citas"/>
        <w:spacing w:before="0" w:after="0"/>
        <w:jc w:val="center"/>
        <w:rPr>
          <w:b/>
          <w:sz w:val="24"/>
          <w:szCs w:val="24"/>
        </w:rPr>
      </w:pPr>
      <w:r w:rsidRPr="00613CCE">
        <w:rPr>
          <w:b/>
          <w:sz w:val="24"/>
          <w:szCs w:val="24"/>
        </w:rPr>
        <w:t>DEL COMITÉ DE ADQUISICIONES Y SERVICIOS</w:t>
      </w:r>
    </w:p>
    <w:p w14:paraId="4D1A23CA" w14:textId="77777777" w:rsidR="00E81211" w:rsidRPr="00613CCE" w:rsidRDefault="00E81211" w:rsidP="00613CCE">
      <w:pPr>
        <w:pStyle w:val="Citas"/>
        <w:spacing w:before="0" w:after="0"/>
        <w:rPr>
          <w:sz w:val="24"/>
          <w:szCs w:val="24"/>
        </w:rPr>
      </w:pPr>
      <w:r w:rsidRPr="00613CCE">
        <w:rPr>
          <w:b/>
          <w:sz w:val="24"/>
          <w:szCs w:val="24"/>
        </w:rPr>
        <w:t>Artículo 43.-</w:t>
      </w:r>
      <w:r w:rsidRPr="00613CCE">
        <w:rPr>
          <w:sz w:val="24"/>
          <w:szCs w:val="24"/>
        </w:rPr>
        <w:t xml:space="preserve"> La Secretaría, organismos auxiliares, tribunales administrativos y </w:t>
      </w:r>
      <w:r w:rsidRPr="00613CCE">
        <w:rPr>
          <w:b/>
          <w:sz w:val="24"/>
          <w:szCs w:val="24"/>
          <w:u w:val="single"/>
        </w:rPr>
        <w:t>municipios, se auxiliarán de un Comité de Adquisiciones y Servicios, para la substanciación de los procedimientos de adquisición</w:t>
      </w:r>
      <w:r w:rsidRPr="00613CCE">
        <w:rPr>
          <w:sz w:val="24"/>
          <w:szCs w:val="24"/>
        </w:rPr>
        <w:t xml:space="preserve"> regulados en la Ley. </w:t>
      </w:r>
    </w:p>
    <w:p w14:paraId="7EDBE3DB" w14:textId="77777777" w:rsidR="00E81211" w:rsidRPr="00613CCE" w:rsidRDefault="00E81211" w:rsidP="00613CCE">
      <w:pPr>
        <w:pStyle w:val="Citas"/>
        <w:spacing w:before="0" w:after="0"/>
        <w:rPr>
          <w:sz w:val="24"/>
          <w:szCs w:val="24"/>
        </w:rPr>
      </w:pPr>
      <w:r w:rsidRPr="00613CCE">
        <w:rPr>
          <w:b/>
          <w:sz w:val="24"/>
          <w:szCs w:val="24"/>
        </w:rPr>
        <w:t>Artículo 44.-</w:t>
      </w:r>
      <w:r w:rsidRPr="00613CCE">
        <w:rPr>
          <w:sz w:val="24"/>
          <w:szCs w:val="24"/>
        </w:rPr>
        <w:t xml:space="preserve"> El Comité de Adquisiciones y Servicios se integrará por: </w:t>
      </w:r>
    </w:p>
    <w:p w14:paraId="54C142D7" w14:textId="77777777" w:rsidR="00E81211" w:rsidRPr="00613CCE" w:rsidRDefault="00E81211" w:rsidP="00613CCE">
      <w:pPr>
        <w:pStyle w:val="Citas"/>
        <w:numPr>
          <w:ilvl w:val="0"/>
          <w:numId w:val="14"/>
        </w:numPr>
        <w:spacing w:before="0" w:after="0"/>
        <w:rPr>
          <w:sz w:val="24"/>
          <w:szCs w:val="24"/>
        </w:rPr>
      </w:pPr>
      <w:r w:rsidRPr="00613CCE">
        <w:rPr>
          <w:sz w:val="24"/>
          <w:szCs w:val="24"/>
        </w:rPr>
        <w:t xml:space="preserve">En la Secretaría, por el titular del área encargada de operar el sistema de adquisiciones de las dependencias del Poder Ejecutivo, y en los organismos auxiliares, tribunales administrativos y municipios, por el titular de la unidad administrativa, quien fungirá como presidente; </w:t>
      </w:r>
    </w:p>
    <w:p w14:paraId="152E1CBB" w14:textId="77777777" w:rsidR="00E81211" w:rsidRPr="00613CCE" w:rsidRDefault="00E81211" w:rsidP="00613CCE">
      <w:pPr>
        <w:pStyle w:val="Citas"/>
        <w:numPr>
          <w:ilvl w:val="0"/>
          <w:numId w:val="14"/>
        </w:numPr>
        <w:spacing w:before="0" w:after="0"/>
        <w:rPr>
          <w:sz w:val="24"/>
          <w:szCs w:val="24"/>
        </w:rPr>
      </w:pPr>
      <w:r w:rsidRPr="00613CCE">
        <w:rPr>
          <w:sz w:val="24"/>
          <w:szCs w:val="24"/>
        </w:rPr>
        <w:t xml:space="preserve">Un representante del área financiera de la Secretaría, entidad, tribunal administrativo o municipio, con función de vocal; </w:t>
      </w:r>
    </w:p>
    <w:p w14:paraId="2510F79E" w14:textId="77777777" w:rsidR="00E81211" w:rsidRPr="00613CCE" w:rsidRDefault="00E81211" w:rsidP="00613CCE">
      <w:pPr>
        <w:pStyle w:val="Citas"/>
        <w:numPr>
          <w:ilvl w:val="0"/>
          <w:numId w:val="14"/>
        </w:numPr>
        <w:spacing w:before="0" w:after="0"/>
        <w:rPr>
          <w:sz w:val="24"/>
          <w:szCs w:val="24"/>
        </w:rPr>
      </w:pPr>
      <w:r w:rsidRPr="00613CCE">
        <w:rPr>
          <w:sz w:val="24"/>
          <w:szCs w:val="24"/>
        </w:rPr>
        <w:lastRenderedPageBreak/>
        <w:t>Un representante de cada dependencia o unidad administrativa interesada en la adquisición de los bienes o contratación del servicio, con función de vocal;</w:t>
      </w:r>
    </w:p>
    <w:p w14:paraId="16F83F65" w14:textId="77777777" w:rsidR="00E81211" w:rsidRPr="00613CCE" w:rsidRDefault="00E81211" w:rsidP="00613CCE">
      <w:pPr>
        <w:pStyle w:val="Citas"/>
        <w:numPr>
          <w:ilvl w:val="0"/>
          <w:numId w:val="14"/>
        </w:numPr>
        <w:spacing w:before="0" w:after="0"/>
        <w:rPr>
          <w:sz w:val="24"/>
          <w:szCs w:val="24"/>
        </w:rPr>
      </w:pPr>
      <w:r w:rsidRPr="00613CCE">
        <w:rPr>
          <w:sz w:val="24"/>
          <w:szCs w:val="24"/>
        </w:rPr>
        <w:t>Un representante de la Consejería Jurídica o del área jurídica respectiva o quien lleve a cabo las funciones de esta naturaleza, con función de vocal;</w:t>
      </w:r>
    </w:p>
    <w:p w14:paraId="4CA4B4BF" w14:textId="77777777" w:rsidR="00E81211" w:rsidRPr="00613CCE" w:rsidRDefault="00E81211" w:rsidP="00613CCE">
      <w:pPr>
        <w:pStyle w:val="Citas"/>
        <w:numPr>
          <w:ilvl w:val="0"/>
          <w:numId w:val="14"/>
        </w:numPr>
        <w:spacing w:before="0" w:after="0"/>
        <w:rPr>
          <w:sz w:val="24"/>
          <w:szCs w:val="24"/>
        </w:rPr>
      </w:pPr>
      <w:r w:rsidRPr="00613CCE">
        <w:rPr>
          <w:sz w:val="24"/>
          <w:szCs w:val="24"/>
        </w:rPr>
        <w:t>Un representante del Órgano de Control, con función de vocal; y</w:t>
      </w:r>
    </w:p>
    <w:p w14:paraId="65B6DFEC" w14:textId="77777777" w:rsidR="00E81211" w:rsidRPr="00613CCE" w:rsidRDefault="00E81211" w:rsidP="00613CCE">
      <w:pPr>
        <w:pStyle w:val="Citas"/>
        <w:numPr>
          <w:ilvl w:val="0"/>
          <w:numId w:val="14"/>
        </w:numPr>
        <w:spacing w:before="0" w:after="0"/>
        <w:rPr>
          <w:sz w:val="24"/>
          <w:szCs w:val="24"/>
        </w:rPr>
      </w:pPr>
      <w:r w:rsidRPr="00613CCE">
        <w:rPr>
          <w:sz w:val="24"/>
          <w:szCs w:val="24"/>
        </w:rPr>
        <w:t xml:space="preserve">Un secretario ejecutivo, que será designado por el presidente. </w:t>
      </w:r>
    </w:p>
    <w:p w14:paraId="33B94716" w14:textId="77777777" w:rsidR="00E81211" w:rsidRPr="00613CCE" w:rsidRDefault="00E81211" w:rsidP="00613CCE">
      <w:pPr>
        <w:pStyle w:val="Citas"/>
        <w:spacing w:before="0" w:after="0"/>
        <w:rPr>
          <w:sz w:val="24"/>
          <w:szCs w:val="24"/>
        </w:rPr>
      </w:pPr>
      <w:r w:rsidRPr="00613CCE">
        <w:rPr>
          <w:sz w:val="24"/>
          <w:szCs w:val="24"/>
        </w:rPr>
        <w:t xml:space="preserve">Los organismos auxiliares y tribunales administrativos que no cuenten con unidades administrativas con funciones de contraloría y jurídico, corresponderá a los titulares designar a los servidores públicos que por su perfil realicen las funciones de jurídico, y a la Contraloría, designar al servidor público que fungirá como su representante. </w:t>
      </w:r>
    </w:p>
    <w:p w14:paraId="65E8F57A" w14:textId="77777777" w:rsidR="00E81211" w:rsidRPr="00613CCE" w:rsidRDefault="00E81211" w:rsidP="00613CCE">
      <w:pPr>
        <w:pStyle w:val="Citas"/>
        <w:spacing w:before="0" w:after="0"/>
        <w:rPr>
          <w:sz w:val="24"/>
          <w:szCs w:val="24"/>
          <w:lang w:val="es-ES"/>
        </w:rPr>
      </w:pPr>
      <w:r w:rsidRPr="00613CCE">
        <w:rPr>
          <w:sz w:val="24"/>
          <w:szCs w:val="24"/>
        </w:rPr>
        <w:t xml:space="preserve">Los integrantes del comité tendrán derecho a voz y voto a excepción de los indicados en las fracciones V y VI, quienes sólo participarán con voz, debiendo fundamentar y motivar el sentido de su opinión, a </w:t>
      </w:r>
      <w:r w:rsidRPr="00613CCE">
        <w:rPr>
          <w:sz w:val="24"/>
          <w:szCs w:val="24"/>
          <w:lang w:val="es-ES"/>
        </w:rPr>
        <w:t xml:space="preserve">efecto de que sea incluida en el acta correspondiente. En caso de empate, el presidente tendrá voto de calidad. </w:t>
      </w:r>
    </w:p>
    <w:p w14:paraId="351E2509" w14:textId="77777777" w:rsidR="00E81211" w:rsidRPr="00613CCE" w:rsidRDefault="00E81211" w:rsidP="00613CCE">
      <w:pPr>
        <w:pStyle w:val="Citas"/>
        <w:spacing w:before="0" w:after="0"/>
        <w:rPr>
          <w:sz w:val="24"/>
          <w:szCs w:val="24"/>
          <w:lang w:val="es-ES"/>
        </w:rPr>
      </w:pPr>
      <w:r w:rsidRPr="00613CCE">
        <w:rPr>
          <w:sz w:val="24"/>
          <w:szCs w:val="24"/>
          <w:lang w:val="es-ES"/>
        </w:rPr>
        <w:t xml:space="preserve">A las sesiones del comité podrá invitarse a cualquier persona cuya intervención se considere necesaria por el secretario ejecutivo, para aclarar </w:t>
      </w:r>
      <w:r w:rsidRPr="00613CCE">
        <w:rPr>
          <w:sz w:val="24"/>
          <w:szCs w:val="24"/>
          <w:lang w:val="es-ES"/>
        </w:rPr>
        <w:lastRenderedPageBreak/>
        <w:t xml:space="preserve">aspectos técnicos o administrativos relacionados con los asuntos sometidos al comité. </w:t>
      </w:r>
    </w:p>
    <w:p w14:paraId="607F8A55" w14:textId="77777777" w:rsidR="00E81211" w:rsidRPr="00613CCE" w:rsidRDefault="00E81211" w:rsidP="00613CCE">
      <w:pPr>
        <w:pStyle w:val="Citas"/>
        <w:spacing w:before="0" w:after="0"/>
        <w:rPr>
          <w:sz w:val="24"/>
          <w:szCs w:val="24"/>
          <w:lang w:val="es-ES"/>
        </w:rPr>
      </w:pPr>
      <w:r w:rsidRPr="00613CCE">
        <w:rPr>
          <w:sz w:val="24"/>
          <w:szCs w:val="24"/>
          <w:lang w:val="es-ES"/>
        </w:rPr>
        <w:t>Los integrantes del comité designarán por escrito a sus respectivos suplentes, y sólo participarán en ausencia del titular. Los cargos de los integrantes del comité serán honoríficos.</w:t>
      </w:r>
    </w:p>
    <w:p w14:paraId="17EAC456" w14:textId="77777777" w:rsidR="00613CCE" w:rsidRPr="00613CCE" w:rsidRDefault="00613CCE" w:rsidP="00613CCE">
      <w:pPr>
        <w:pStyle w:val="Citas"/>
        <w:spacing w:before="0" w:after="0"/>
        <w:rPr>
          <w:sz w:val="24"/>
          <w:szCs w:val="24"/>
          <w:lang w:val="es-ES"/>
        </w:rPr>
      </w:pPr>
    </w:p>
    <w:p w14:paraId="247AC879" w14:textId="77777777" w:rsidR="0015067B" w:rsidRPr="00613CCE" w:rsidRDefault="0015067B" w:rsidP="00613CCE">
      <w:pPr>
        <w:numPr>
          <w:ilvl w:val="0"/>
          <w:numId w:val="6"/>
        </w:numPr>
        <w:pBdr>
          <w:top w:val="nil"/>
          <w:left w:val="nil"/>
          <w:bottom w:val="nil"/>
          <w:right w:val="nil"/>
          <w:between w:val="nil"/>
        </w:pBdr>
        <w:spacing w:line="360" w:lineRule="auto"/>
        <w:ind w:left="0" w:firstLine="0"/>
        <w:jc w:val="both"/>
        <w:rPr>
          <w:rFonts w:ascii="Palatino Linotype" w:hAnsi="Palatino Linotype"/>
          <w:sz w:val="24"/>
          <w:szCs w:val="24"/>
        </w:rPr>
      </w:pPr>
      <w:r w:rsidRPr="00613CCE">
        <w:rPr>
          <w:rFonts w:ascii="Palatino Linotype" w:hAnsi="Palatino Linotype"/>
          <w:sz w:val="24"/>
          <w:szCs w:val="24"/>
        </w:rPr>
        <w:t xml:space="preserve">Luego entonces, el </w:t>
      </w:r>
      <w:r w:rsidRPr="00613CCE">
        <w:rPr>
          <w:rFonts w:ascii="Palatino Linotype" w:hAnsi="Palatino Linotype"/>
          <w:b/>
          <w:sz w:val="24"/>
          <w:szCs w:val="24"/>
        </w:rPr>
        <w:t xml:space="preserve">SUJETO OBLIGADO </w:t>
      </w:r>
      <w:r w:rsidRPr="00613CCE">
        <w:rPr>
          <w:rFonts w:ascii="Palatino Linotype" w:hAnsi="Palatino Linotype"/>
          <w:sz w:val="24"/>
          <w:szCs w:val="24"/>
        </w:rPr>
        <w:t xml:space="preserve">cuenta con un Comité de Adquisiciones y Servicios, que </w:t>
      </w:r>
      <w:r w:rsidR="00822385" w:rsidRPr="00613CCE">
        <w:rPr>
          <w:rFonts w:ascii="Palatino Linotype" w:hAnsi="Palatino Linotype"/>
          <w:sz w:val="24"/>
          <w:szCs w:val="24"/>
        </w:rPr>
        <w:t>está</w:t>
      </w:r>
      <w:r w:rsidRPr="00613CCE">
        <w:rPr>
          <w:rFonts w:ascii="Palatino Linotype" w:hAnsi="Palatino Linotype"/>
          <w:sz w:val="24"/>
          <w:szCs w:val="24"/>
        </w:rPr>
        <w:t xml:space="preserve"> encargado de supervisar y regular los procesos de compra y contratación de bienes y servicios, y su objetivo es asegurar que las adquisiciones se realicen de manera eficiente, transparente y conforme a las normativas vigentes.</w:t>
      </w:r>
    </w:p>
    <w:p w14:paraId="15698A66" w14:textId="77777777" w:rsidR="0015067B" w:rsidRPr="00613CCE" w:rsidRDefault="0015067B" w:rsidP="00613CCE">
      <w:pPr>
        <w:pBdr>
          <w:top w:val="nil"/>
          <w:left w:val="nil"/>
          <w:bottom w:val="nil"/>
          <w:right w:val="nil"/>
          <w:between w:val="nil"/>
        </w:pBdr>
        <w:spacing w:line="360" w:lineRule="auto"/>
        <w:jc w:val="both"/>
        <w:rPr>
          <w:rFonts w:ascii="Palatino Linotype" w:hAnsi="Palatino Linotype"/>
          <w:sz w:val="24"/>
          <w:szCs w:val="24"/>
        </w:rPr>
      </w:pPr>
    </w:p>
    <w:p w14:paraId="0CEF26A0" w14:textId="77777777" w:rsidR="0015067B" w:rsidRPr="00613CCE" w:rsidRDefault="00C61499" w:rsidP="00613CCE">
      <w:pPr>
        <w:numPr>
          <w:ilvl w:val="0"/>
          <w:numId w:val="6"/>
        </w:numPr>
        <w:pBdr>
          <w:top w:val="nil"/>
          <w:left w:val="nil"/>
          <w:bottom w:val="nil"/>
          <w:right w:val="nil"/>
          <w:between w:val="nil"/>
        </w:pBdr>
        <w:spacing w:line="360" w:lineRule="auto"/>
        <w:ind w:left="0" w:firstLine="0"/>
        <w:jc w:val="both"/>
        <w:rPr>
          <w:rFonts w:ascii="Palatino Linotype" w:hAnsi="Palatino Linotype"/>
          <w:sz w:val="24"/>
          <w:szCs w:val="24"/>
        </w:rPr>
      </w:pPr>
      <w:r w:rsidRPr="00613CCE">
        <w:rPr>
          <w:rFonts w:ascii="Palatino Linotype" w:hAnsi="Palatino Linotype"/>
          <w:sz w:val="24"/>
          <w:szCs w:val="24"/>
        </w:rPr>
        <w:t>Lo anterior, se trae a contexto en virtud que en las solicitudes de información se hace referencia a que la persona realizó los servicios de referencia, derivado de la contratación de la empresa GURIK S.A. DE C.V.</w:t>
      </w:r>
    </w:p>
    <w:p w14:paraId="4DA98B1C" w14:textId="77777777" w:rsidR="0015067B" w:rsidRPr="00613CCE" w:rsidRDefault="0015067B" w:rsidP="00613CCE">
      <w:pPr>
        <w:pStyle w:val="Prrafodelista"/>
        <w:spacing w:line="360" w:lineRule="auto"/>
        <w:rPr>
          <w:rFonts w:ascii="Palatino Linotype" w:hAnsi="Palatino Linotype"/>
          <w:i/>
          <w:sz w:val="24"/>
        </w:rPr>
      </w:pPr>
    </w:p>
    <w:p w14:paraId="7C4A99D8" w14:textId="77777777" w:rsidR="0015067B" w:rsidRPr="00613CCE" w:rsidRDefault="00C61499" w:rsidP="00613CCE">
      <w:pPr>
        <w:numPr>
          <w:ilvl w:val="0"/>
          <w:numId w:val="6"/>
        </w:numPr>
        <w:pBdr>
          <w:top w:val="nil"/>
          <w:left w:val="nil"/>
          <w:bottom w:val="nil"/>
          <w:right w:val="nil"/>
          <w:between w:val="nil"/>
        </w:pBdr>
        <w:spacing w:line="360" w:lineRule="auto"/>
        <w:ind w:left="0" w:firstLine="0"/>
        <w:jc w:val="both"/>
        <w:rPr>
          <w:rFonts w:ascii="Palatino Linotype" w:hAnsi="Palatino Linotype"/>
          <w:i/>
          <w:sz w:val="24"/>
          <w:szCs w:val="24"/>
        </w:rPr>
      </w:pPr>
      <w:r w:rsidRPr="00613CCE">
        <w:rPr>
          <w:rFonts w:ascii="Palatino Linotype" w:hAnsi="Palatino Linotype" w:cs="Tahoma"/>
          <w:iCs/>
          <w:sz w:val="24"/>
          <w:szCs w:val="24"/>
          <w:lang w:val="es-ES"/>
        </w:rPr>
        <w:t>En esa tesitura</w:t>
      </w:r>
      <w:r w:rsidR="007D660D" w:rsidRPr="00613CCE">
        <w:rPr>
          <w:rFonts w:ascii="Palatino Linotype" w:hAnsi="Palatino Linotype" w:cs="Tahoma"/>
          <w:iCs/>
          <w:sz w:val="24"/>
          <w:szCs w:val="24"/>
          <w:lang w:val="es-ES"/>
        </w:rPr>
        <w:t xml:space="preserve">, resulta necesario traer a colación el </w:t>
      </w:r>
      <w:r w:rsidR="007D660D" w:rsidRPr="00613CCE">
        <w:rPr>
          <w:rFonts w:ascii="Palatino Linotype" w:hAnsi="Palatino Linotype" w:cs="Tahoma"/>
          <w:iCs/>
          <w:sz w:val="24"/>
          <w:szCs w:val="24"/>
        </w:rPr>
        <w:t>artículo 92, fracción XXIX de la Ley de Transparencia y Acceso a la Información Pública del Estado de México y Municipios</w:t>
      </w:r>
      <w:r w:rsidR="007D660D" w:rsidRPr="00613CCE">
        <w:rPr>
          <w:rFonts w:ascii="Palatino Linotype" w:hAnsi="Palatino Linotype" w:cs="Tahoma"/>
          <w:b/>
          <w:iCs/>
          <w:sz w:val="24"/>
          <w:szCs w:val="24"/>
        </w:rPr>
        <w:t>,</w:t>
      </w:r>
      <w:r w:rsidR="007D660D" w:rsidRPr="00613CCE">
        <w:rPr>
          <w:rFonts w:ascii="Palatino Linotype" w:hAnsi="Palatino Linotype" w:cs="Tahoma"/>
          <w:iCs/>
          <w:sz w:val="24"/>
          <w:szCs w:val="24"/>
        </w:rPr>
        <w:t xml:space="preserve"> que precisa que es </w:t>
      </w:r>
      <w:r w:rsidR="007D660D" w:rsidRPr="00613CCE">
        <w:rPr>
          <w:rFonts w:ascii="Palatino Linotype" w:hAnsi="Palatino Linotype" w:cs="Tahoma"/>
          <w:b/>
          <w:iCs/>
          <w:sz w:val="24"/>
          <w:szCs w:val="24"/>
        </w:rPr>
        <w:t xml:space="preserve">información que es pública de oficio, </w:t>
      </w:r>
      <w:r w:rsidR="007D660D" w:rsidRPr="00613CCE">
        <w:rPr>
          <w:rFonts w:ascii="Palatino Linotype" w:hAnsi="Palatino Linotype" w:cs="Tahoma"/>
          <w:iCs/>
          <w:sz w:val="24"/>
          <w:szCs w:val="24"/>
        </w:rPr>
        <w:t>la</w:t>
      </w:r>
      <w:r w:rsidR="007D660D" w:rsidRPr="00613CCE">
        <w:rPr>
          <w:rFonts w:ascii="Palatino Linotype" w:hAnsi="Palatino Linotype" w:cs="Tahoma"/>
          <w:b/>
          <w:iCs/>
          <w:sz w:val="24"/>
          <w:szCs w:val="24"/>
        </w:rPr>
        <w:t xml:space="preserve"> </w:t>
      </w:r>
      <w:r w:rsidR="007D660D" w:rsidRPr="00613CCE">
        <w:rPr>
          <w:rFonts w:ascii="Palatino Linotype" w:hAnsi="Palatino Linotype" w:cs="Tahoma"/>
          <w:iCs/>
          <w:sz w:val="24"/>
          <w:szCs w:val="24"/>
        </w:rPr>
        <w:t xml:space="preserve">documentación sobre los procesos y resultados sobre procedimientos de adjudicación </w:t>
      </w:r>
      <w:r w:rsidR="007D660D" w:rsidRPr="00613CCE">
        <w:rPr>
          <w:rFonts w:ascii="Palatino Linotype" w:hAnsi="Palatino Linotype" w:cs="Tahoma"/>
          <w:iCs/>
          <w:sz w:val="24"/>
          <w:szCs w:val="24"/>
        </w:rPr>
        <w:lastRenderedPageBreak/>
        <w:t xml:space="preserve">directa, invitación restringida y licitación de obra pública, incluyendo la versión pública del expediente respectivo y de los contratos celebrados, </w:t>
      </w:r>
      <w:r w:rsidRPr="00613CCE">
        <w:rPr>
          <w:rFonts w:ascii="Palatino Linotype" w:hAnsi="Palatino Linotype" w:cs="Tahoma"/>
          <w:iCs/>
          <w:sz w:val="24"/>
          <w:szCs w:val="24"/>
        </w:rPr>
        <w:t>como se observa:</w:t>
      </w:r>
    </w:p>
    <w:p w14:paraId="54FCEA27" w14:textId="77777777" w:rsidR="00C61499" w:rsidRPr="00613CCE" w:rsidRDefault="00C61499" w:rsidP="00613CCE">
      <w:pPr>
        <w:pBdr>
          <w:top w:val="nil"/>
          <w:left w:val="nil"/>
          <w:bottom w:val="nil"/>
          <w:right w:val="nil"/>
          <w:between w:val="nil"/>
        </w:pBdr>
        <w:spacing w:line="360" w:lineRule="auto"/>
        <w:jc w:val="both"/>
        <w:rPr>
          <w:rFonts w:ascii="Palatino Linotype" w:hAnsi="Palatino Linotype"/>
          <w:i/>
          <w:sz w:val="24"/>
          <w:szCs w:val="24"/>
        </w:rPr>
      </w:pPr>
    </w:p>
    <w:p w14:paraId="05AFCF96" w14:textId="77777777" w:rsidR="00C61499" w:rsidRPr="00613CCE" w:rsidRDefault="00773437"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 xml:space="preserve"> “</w:t>
      </w:r>
      <w:r w:rsidR="00C61499" w:rsidRPr="00613CCE">
        <w:rPr>
          <w:rFonts w:ascii="Palatino Linotype" w:hAnsi="Palatino Linotype"/>
          <w:i/>
          <w:sz w:val="24"/>
          <w:szCs w:val="24"/>
        </w:rPr>
        <w:t>Artículo 92. Los sujetos obligados deberán poner a disposición del público de manera permanente y actualizada de forma sencilla, precisa y entendible, en los respectivos medios electrónicos, de acuerdo con sus facultades, atribuciones, funciones u objeto social, según corresponda, la información, por lo menos, de los temas, documentos y políticas que a continuación se señalan:</w:t>
      </w:r>
    </w:p>
    <w:p w14:paraId="44BB52CE"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w:t>
      </w:r>
    </w:p>
    <w:p w14:paraId="61649435" w14:textId="77777777" w:rsidR="00773437" w:rsidRPr="00613CCE" w:rsidRDefault="00773437"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 xml:space="preserve">“XI. Las contrataciones de servicios profesionales por honorarios, señalando los nombres de los prestadores de servicios, los servicios contratados, </w:t>
      </w:r>
      <w:r w:rsidRPr="00613CCE">
        <w:rPr>
          <w:rFonts w:ascii="Palatino Linotype" w:hAnsi="Palatino Linotype"/>
          <w:b/>
          <w:i/>
          <w:sz w:val="24"/>
          <w:szCs w:val="24"/>
        </w:rPr>
        <w:t xml:space="preserve">el monto de los honorarios </w:t>
      </w:r>
      <w:r w:rsidRPr="00613CCE">
        <w:rPr>
          <w:rFonts w:ascii="Palatino Linotype" w:hAnsi="Palatino Linotype"/>
          <w:i/>
          <w:sz w:val="24"/>
          <w:szCs w:val="24"/>
        </w:rPr>
        <w:t>y el periodo de contratación;”</w:t>
      </w:r>
    </w:p>
    <w:p w14:paraId="6A969A41" w14:textId="77777777" w:rsidR="00773437" w:rsidRPr="00613CCE" w:rsidRDefault="00773437"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w:t>
      </w:r>
    </w:p>
    <w:p w14:paraId="2EA8AA1F"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XXIX. La información sobre los procesos y resultados sobre procedimientos de adjudicación directa, invitación restringida y licitación de cualquier naturaleza, incluyendo la versión pública del expediente respectivo y de los contratos celebrados, que deberán contener, por los menos, lo siguiente:</w:t>
      </w:r>
    </w:p>
    <w:p w14:paraId="1793406E"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a) De licitaciones públicas o procedimientos de invitación restringida:</w:t>
      </w:r>
    </w:p>
    <w:p w14:paraId="071B7549"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1) La convocatoria o invitación emitida, así como los fundamentos legales aplicados para llevarla a cabo;</w:t>
      </w:r>
    </w:p>
    <w:p w14:paraId="436F2346"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lastRenderedPageBreak/>
        <w:t>2) Los nombres de los participantes o invitados;</w:t>
      </w:r>
    </w:p>
    <w:p w14:paraId="19A8FF49"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3) El nombre del ganador y las razones que lo justifican;</w:t>
      </w:r>
    </w:p>
    <w:p w14:paraId="0356589C"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4) El área solicitante y la responsable de su ejecución;</w:t>
      </w:r>
    </w:p>
    <w:p w14:paraId="2291F7EB"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5) Las convocatorias e invitaciones emitidas;</w:t>
      </w:r>
    </w:p>
    <w:p w14:paraId="54E0C265"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6) Los dictámenes y fallo de adjudicación;</w:t>
      </w:r>
    </w:p>
    <w:p w14:paraId="4D8E763B"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 xml:space="preserve">7) </w:t>
      </w:r>
      <w:r w:rsidRPr="00613CCE">
        <w:rPr>
          <w:rFonts w:ascii="Palatino Linotype" w:hAnsi="Palatino Linotype"/>
          <w:b/>
          <w:i/>
          <w:sz w:val="24"/>
          <w:szCs w:val="24"/>
        </w:rPr>
        <w:t>El contrato y, en su caso, sus anexos</w:t>
      </w:r>
      <w:r w:rsidRPr="00613CCE">
        <w:rPr>
          <w:rFonts w:ascii="Palatino Linotype" w:hAnsi="Palatino Linotype"/>
          <w:i/>
          <w:sz w:val="24"/>
          <w:szCs w:val="24"/>
        </w:rPr>
        <w:t>;</w:t>
      </w:r>
    </w:p>
    <w:p w14:paraId="6D5A9198"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8) Los mecanismos de vigilancia y supervisión, incluyendo en su caso, los estudios de impacto urbano y ambiental, según corresponda;</w:t>
      </w:r>
    </w:p>
    <w:p w14:paraId="46905E18"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 xml:space="preserve">9) </w:t>
      </w:r>
      <w:r w:rsidRPr="00613CCE">
        <w:rPr>
          <w:rFonts w:ascii="Palatino Linotype" w:hAnsi="Palatino Linotype"/>
          <w:b/>
          <w:i/>
          <w:sz w:val="24"/>
          <w:szCs w:val="24"/>
        </w:rPr>
        <w:t>La partida presupuestal</w:t>
      </w:r>
      <w:r w:rsidRPr="00613CCE">
        <w:rPr>
          <w:rFonts w:ascii="Palatino Linotype" w:hAnsi="Palatino Linotype"/>
          <w:i/>
          <w:sz w:val="24"/>
          <w:szCs w:val="24"/>
        </w:rPr>
        <w:t>, de conformidad con el clasificador por objeto del gasto, en el caso de ser aplicable;</w:t>
      </w:r>
    </w:p>
    <w:p w14:paraId="2B768B86"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 xml:space="preserve">10) </w:t>
      </w:r>
      <w:r w:rsidRPr="00613CCE">
        <w:rPr>
          <w:rFonts w:ascii="Palatino Linotype" w:hAnsi="Palatino Linotype"/>
          <w:b/>
          <w:i/>
          <w:sz w:val="24"/>
          <w:szCs w:val="24"/>
        </w:rPr>
        <w:t>Origen de los recursos</w:t>
      </w:r>
      <w:r w:rsidRPr="00613CCE">
        <w:rPr>
          <w:rFonts w:ascii="Palatino Linotype" w:hAnsi="Palatino Linotype"/>
          <w:i/>
          <w:sz w:val="24"/>
          <w:szCs w:val="24"/>
        </w:rPr>
        <w:t xml:space="preserve"> especificando si son federales, estatales o municipales, así como el tipo de fondo de participación o aportación respectiva;</w:t>
      </w:r>
    </w:p>
    <w:p w14:paraId="7DD34E1F"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11) Los convenios modificatorios que, en su caso, sean firmados, precisando el objeto y la fecha de celebración;</w:t>
      </w:r>
    </w:p>
    <w:p w14:paraId="2E68EF2D"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12) Los informes de avance físico y financiero sobre las obras o servicios contratados;</w:t>
      </w:r>
    </w:p>
    <w:p w14:paraId="0AAC6B31"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13) El convenio de terminación; y</w:t>
      </w:r>
    </w:p>
    <w:p w14:paraId="1398E21D"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14) El finiquito.</w:t>
      </w:r>
    </w:p>
    <w:p w14:paraId="6B27258F"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p>
    <w:p w14:paraId="57D8D389"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b) De las adjudicaciones directas:</w:t>
      </w:r>
    </w:p>
    <w:p w14:paraId="343820E3"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1) La propuesta enviada por el participante;</w:t>
      </w:r>
    </w:p>
    <w:p w14:paraId="68527071"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lastRenderedPageBreak/>
        <w:t>2) Los motivos y fundamentos legales aplicados para llevarla a cabo;</w:t>
      </w:r>
    </w:p>
    <w:p w14:paraId="3DB07FEF"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3) La autorización del ejercicio de la opción;</w:t>
      </w:r>
    </w:p>
    <w:p w14:paraId="3728C858"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4) En su caso, las cotizaciones consideradas, especificando los nombres de los proveedores y sus montos;</w:t>
      </w:r>
    </w:p>
    <w:p w14:paraId="329AAD9D"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5) El nombre de la persona física o jurídica colectiva adjudicada;</w:t>
      </w:r>
    </w:p>
    <w:p w14:paraId="73032B1C"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6) La unidad administrativa solicitante y la responsable de su ejecución;</w:t>
      </w:r>
    </w:p>
    <w:p w14:paraId="5B99D186"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 xml:space="preserve">7) El número, fecha, </w:t>
      </w:r>
      <w:r w:rsidRPr="00613CCE">
        <w:rPr>
          <w:rFonts w:ascii="Palatino Linotype" w:hAnsi="Palatino Linotype"/>
          <w:b/>
          <w:i/>
          <w:sz w:val="24"/>
          <w:szCs w:val="24"/>
        </w:rPr>
        <w:t>el monto del contrato</w:t>
      </w:r>
      <w:r w:rsidRPr="00613CCE">
        <w:rPr>
          <w:rFonts w:ascii="Palatino Linotype" w:hAnsi="Palatino Linotype"/>
          <w:i/>
          <w:sz w:val="24"/>
          <w:szCs w:val="24"/>
        </w:rPr>
        <w:t xml:space="preserve"> y el plazo de entrega o de ejecución de los servicios u obra;</w:t>
      </w:r>
    </w:p>
    <w:p w14:paraId="3707E15D"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8) Los mecanismos de vigilancia y supervisión, incluyendo, en su caso, los estudios de impacto urbano y ambiental, según corresponda;</w:t>
      </w:r>
    </w:p>
    <w:p w14:paraId="445D84E7"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9) Los informes de avance sobre las obras o servicios contratados;</w:t>
      </w:r>
    </w:p>
    <w:p w14:paraId="52C05CC5"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10) El convenio de terminación; y</w:t>
      </w:r>
    </w:p>
    <w:p w14:paraId="38B3DD04" w14:textId="77777777" w:rsidR="00C61499" w:rsidRPr="00613CCE" w:rsidRDefault="00C61499" w:rsidP="00613CCE">
      <w:pPr>
        <w:pBdr>
          <w:top w:val="nil"/>
          <w:left w:val="nil"/>
          <w:bottom w:val="nil"/>
          <w:right w:val="nil"/>
          <w:between w:val="nil"/>
        </w:pBdr>
        <w:spacing w:line="360" w:lineRule="auto"/>
        <w:ind w:left="567" w:right="539"/>
        <w:jc w:val="both"/>
        <w:rPr>
          <w:rFonts w:ascii="Palatino Linotype" w:hAnsi="Palatino Linotype"/>
          <w:i/>
          <w:sz w:val="24"/>
          <w:szCs w:val="24"/>
        </w:rPr>
      </w:pPr>
      <w:r w:rsidRPr="00613CCE">
        <w:rPr>
          <w:rFonts w:ascii="Palatino Linotype" w:hAnsi="Palatino Linotype"/>
          <w:i/>
          <w:sz w:val="24"/>
          <w:szCs w:val="24"/>
        </w:rPr>
        <w:t>11) El finiquito.”</w:t>
      </w:r>
    </w:p>
    <w:p w14:paraId="6732A80F" w14:textId="77777777" w:rsidR="00C61499" w:rsidRPr="00613CCE" w:rsidRDefault="00C61499" w:rsidP="00613CCE">
      <w:pPr>
        <w:pBdr>
          <w:top w:val="nil"/>
          <w:left w:val="nil"/>
          <w:bottom w:val="nil"/>
          <w:right w:val="nil"/>
          <w:between w:val="nil"/>
        </w:pBdr>
        <w:spacing w:line="360" w:lineRule="auto"/>
        <w:jc w:val="both"/>
        <w:rPr>
          <w:rFonts w:ascii="Palatino Linotype" w:hAnsi="Palatino Linotype"/>
          <w:i/>
          <w:sz w:val="24"/>
          <w:szCs w:val="24"/>
        </w:rPr>
      </w:pPr>
    </w:p>
    <w:p w14:paraId="1D663DD7" w14:textId="77777777" w:rsidR="007D660D" w:rsidRPr="00613CCE" w:rsidRDefault="00773437" w:rsidP="00613CCE">
      <w:pPr>
        <w:pStyle w:val="Prrafodelista"/>
        <w:numPr>
          <w:ilvl w:val="0"/>
          <w:numId w:val="6"/>
        </w:numPr>
        <w:spacing w:line="360" w:lineRule="auto"/>
        <w:ind w:left="0" w:firstLine="0"/>
        <w:jc w:val="both"/>
        <w:rPr>
          <w:rFonts w:ascii="Palatino Linotype" w:hAnsi="Palatino Linotype" w:cs="Tahoma"/>
          <w:bCs/>
          <w:iCs/>
          <w:sz w:val="24"/>
          <w:lang w:val="es-ES" w:eastAsia="es-MX"/>
        </w:rPr>
      </w:pPr>
      <w:r w:rsidRPr="00613CCE">
        <w:rPr>
          <w:rFonts w:ascii="Palatino Linotype" w:eastAsia="Calibri" w:hAnsi="Palatino Linotype" w:cs="Tahoma"/>
          <w:bCs/>
          <w:sz w:val="24"/>
          <w:lang w:eastAsia="en-US"/>
        </w:rPr>
        <w:t>Ahora bien</w:t>
      </w:r>
      <w:r w:rsidR="007D660D" w:rsidRPr="00613CCE">
        <w:rPr>
          <w:rFonts w:ascii="Palatino Linotype" w:eastAsia="Calibri" w:hAnsi="Palatino Linotype" w:cs="Tahoma"/>
          <w:bCs/>
          <w:sz w:val="24"/>
          <w:lang w:eastAsia="en-US"/>
        </w:rPr>
        <w:t xml:space="preserve">, </w:t>
      </w:r>
      <w:r w:rsidR="007D660D" w:rsidRPr="00613CCE">
        <w:rPr>
          <w:rFonts w:ascii="Palatino Linotype" w:hAnsi="Palatino Linotype" w:cs="Tahoma"/>
          <w:sz w:val="24"/>
          <w:lang w:eastAsia="es-MX"/>
        </w:rPr>
        <w:t>resulta necesario señalar que l</w:t>
      </w:r>
      <w:r w:rsidR="007D660D" w:rsidRPr="00613CCE">
        <w:rPr>
          <w:rFonts w:ascii="Palatino Linotype" w:hAnsi="Palatino Linotype" w:cs="Tahoma"/>
          <w:sz w:val="24"/>
          <w:lang w:val="es-ES" w:eastAsia="es-MX"/>
        </w:rPr>
        <w:t xml:space="preserve">as </w:t>
      </w:r>
      <w:r w:rsidR="007D660D" w:rsidRPr="00613CCE">
        <w:rPr>
          <w:rFonts w:ascii="Palatino Linotype" w:hAnsi="Palatino Linotype" w:cs="Tahoma"/>
          <w:bCs/>
          <w:iCs/>
          <w:sz w:val="24"/>
          <w:lang w:val="es-ES" w:eastAsia="es-MX"/>
        </w:rPr>
        <w:t xml:space="preserve">excepciones al derecho de acceso a la información, consisten en que la documentación sea inexistente o </w:t>
      </w:r>
      <w:r w:rsidR="007D660D" w:rsidRPr="00613CCE">
        <w:rPr>
          <w:rFonts w:ascii="Palatino Linotype" w:hAnsi="Palatino Linotype" w:cs="Tahoma"/>
          <w:b/>
          <w:bCs/>
          <w:iCs/>
          <w:sz w:val="24"/>
          <w:lang w:val="es-ES" w:eastAsia="es-MX"/>
        </w:rPr>
        <w:t>se encuentre clasificada</w:t>
      </w:r>
      <w:r w:rsidRPr="00613CCE">
        <w:rPr>
          <w:rFonts w:ascii="Palatino Linotype" w:hAnsi="Palatino Linotype" w:cs="Tahoma"/>
          <w:b/>
          <w:bCs/>
          <w:iCs/>
          <w:sz w:val="24"/>
          <w:lang w:val="es-ES" w:eastAsia="es-MX"/>
        </w:rPr>
        <w:t xml:space="preserve"> como se pretende en el caso concreto</w:t>
      </w:r>
      <w:r w:rsidR="007D660D" w:rsidRPr="00613CCE">
        <w:rPr>
          <w:rFonts w:ascii="Palatino Linotype" w:hAnsi="Palatino Linotype" w:cs="Tahoma"/>
          <w:bCs/>
          <w:iCs/>
          <w:sz w:val="24"/>
          <w:lang w:val="es-ES" w:eastAsia="es-MX"/>
        </w:rPr>
        <w:t xml:space="preserve">; es decir, la negativa de acceso a la información, recae cuando la documentación no se encuentre en los archivos del sujeto obligado, o bien exista, pero no pueda proporcionar por </w:t>
      </w:r>
      <w:r w:rsidR="00185959" w:rsidRPr="00613CCE">
        <w:rPr>
          <w:rFonts w:ascii="Palatino Linotype" w:hAnsi="Palatino Linotype" w:cs="Tahoma"/>
          <w:bCs/>
          <w:iCs/>
          <w:sz w:val="24"/>
          <w:lang w:val="es-ES" w:eastAsia="es-MX"/>
        </w:rPr>
        <w:t>ser confidencial o reservada.</w:t>
      </w:r>
    </w:p>
    <w:p w14:paraId="765F1447" w14:textId="77777777" w:rsidR="007D660D" w:rsidRPr="00613CCE" w:rsidRDefault="007D660D" w:rsidP="00613CCE">
      <w:pPr>
        <w:pStyle w:val="Prrafodelista"/>
        <w:spacing w:line="360" w:lineRule="auto"/>
        <w:ind w:left="644"/>
        <w:jc w:val="both"/>
        <w:rPr>
          <w:rFonts w:ascii="Palatino Linotype" w:hAnsi="Palatino Linotype" w:cs="Tahoma"/>
          <w:sz w:val="24"/>
          <w:lang w:eastAsia="es-MX"/>
        </w:rPr>
      </w:pPr>
    </w:p>
    <w:p w14:paraId="3899EA52" w14:textId="77777777" w:rsidR="007D660D" w:rsidRPr="00613CCE" w:rsidRDefault="007D660D" w:rsidP="00613CCE">
      <w:pPr>
        <w:pStyle w:val="Prrafodelista"/>
        <w:numPr>
          <w:ilvl w:val="0"/>
          <w:numId w:val="6"/>
        </w:numPr>
        <w:spacing w:line="360" w:lineRule="auto"/>
        <w:ind w:left="0" w:firstLine="0"/>
        <w:jc w:val="both"/>
        <w:rPr>
          <w:rFonts w:ascii="Palatino Linotype" w:hAnsi="Palatino Linotype" w:cs="Tahoma"/>
          <w:sz w:val="24"/>
          <w:lang w:val="es-ES" w:eastAsia="es-MX"/>
        </w:rPr>
      </w:pPr>
      <w:r w:rsidRPr="00613CCE">
        <w:rPr>
          <w:rFonts w:ascii="Palatino Linotype" w:hAnsi="Palatino Linotype" w:cs="Tahoma"/>
          <w:sz w:val="24"/>
          <w:lang w:eastAsia="es-MX"/>
        </w:rPr>
        <w:lastRenderedPageBreak/>
        <w:t xml:space="preserve">Así, en los artículos 122, 128 y 130 de la Ley de la materia, se prevé que </w:t>
      </w:r>
      <w:r w:rsidRPr="00613CCE">
        <w:rPr>
          <w:rFonts w:ascii="Palatino Linotype" w:hAnsi="Palatino Linotype" w:cs="Tahoma"/>
          <w:b/>
          <w:sz w:val="24"/>
          <w:lang w:eastAsia="es-MX"/>
        </w:rPr>
        <w:t xml:space="preserve">la clasificación </w:t>
      </w:r>
      <w:r w:rsidRPr="00613CCE">
        <w:rPr>
          <w:rFonts w:ascii="Palatino Linotype" w:hAnsi="Palatino Linotype" w:cs="Tahoma"/>
          <w:sz w:val="24"/>
          <w:lang w:eastAsia="es-MX"/>
        </w:rPr>
        <w:t xml:space="preserve">es el proceso mediante el cual el Sujeto Obligado determina que la información en su poder, actualiza </w:t>
      </w:r>
      <w:r w:rsidRPr="00613CCE">
        <w:rPr>
          <w:rFonts w:ascii="Palatino Linotype" w:eastAsia="Calibri" w:hAnsi="Palatino Linotype" w:cs="Tahoma"/>
          <w:bCs/>
          <w:sz w:val="24"/>
          <w:lang w:eastAsia="en-US"/>
        </w:rPr>
        <w:t>alguno</w:t>
      </w:r>
      <w:r w:rsidRPr="00613CCE">
        <w:rPr>
          <w:rFonts w:ascii="Palatino Linotype" w:hAnsi="Palatino Linotype" w:cs="Tahoma"/>
          <w:sz w:val="24"/>
          <w:lang w:eastAsia="es-MX"/>
        </w:rPr>
        <w:t xml:space="preserve"> de los supuestos de reserva o confidencialidad. </w:t>
      </w:r>
      <w:r w:rsidRPr="00613CCE">
        <w:rPr>
          <w:rFonts w:ascii="Palatino Linotype" w:hAnsi="Palatino Linotype" w:cs="Tahoma"/>
          <w:sz w:val="24"/>
          <w:lang w:val="es-ES" w:eastAsia="es-MX"/>
        </w:rPr>
        <w:t xml:space="preserve">Además, que dichos entes deberán aplicar de manera restrictiva y limitada, las excepciones al derecho de acceso a la información, por lo que, tendrán que acreditar la procedencia. </w:t>
      </w:r>
    </w:p>
    <w:p w14:paraId="03BF0F74" w14:textId="77777777" w:rsidR="007D660D" w:rsidRPr="00613CCE" w:rsidRDefault="007D660D" w:rsidP="00613CCE">
      <w:pPr>
        <w:pStyle w:val="Prrafodelista"/>
        <w:spacing w:line="360" w:lineRule="auto"/>
        <w:ind w:left="644"/>
        <w:jc w:val="both"/>
        <w:rPr>
          <w:rFonts w:ascii="Palatino Linotype" w:hAnsi="Palatino Linotype" w:cs="Tahoma"/>
          <w:sz w:val="24"/>
          <w:lang w:eastAsia="es-MX"/>
        </w:rPr>
      </w:pPr>
    </w:p>
    <w:p w14:paraId="53C08971" w14:textId="77777777" w:rsidR="007D660D" w:rsidRPr="00613CCE" w:rsidRDefault="007D660D" w:rsidP="00613CCE">
      <w:pPr>
        <w:pStyle w:val="Prrafodelista"/>
        <w:numPr>
          <w:ilvl w:val="0"/>
          <w:numId w:val="6"/>
        </w:numPr>
        <w:spacing w:line="360" w:lineRule="auto"/>
        <w:ind w:left="0" w:firstLine="0"/>
        <w:jc w:val="both"/>
        <w:rPr>
          <w:rFonts w:ascii="Palatino Linotype" w:hAnsi="Palatino Linotype" w:cs="Tahoma"/>
          <w:sz w:val="24"/>
          <w:lang w:val="es-ES" w:eastAsia="es-MX"/>
        </w:rPr>
      </w:pPr>
      <w:r w:rsidRPr="00613CCE">
        <w:rPr>
          <w:rFonts w:ascii="Palatino Linotype" w:hAnsi="Palatino Linotype" w:cs="Tahoma"/>
          <w:sz w:val="24"/>
          <w:lang w:val="es-ES" w:eastAsia="es-MX"/>
        </w:rPr>
        <w:t xml:space="preserve">Asimismo, en los casos en que se niegue el acceso a la información, por actualizarse alguno de los supuestos de clasificación, </w:t>
      </w:r>
      <w:r w:rsidRPr="00613CCE">
        <w:rPr>
          <w:rFonts w:ascii="Palatino Linotype" w:hAnsi="Palatino Linotype" w:cs="Tahoma"/>
          <w:b/>
          <w:sz w:val="24"/>
          <w:lang w:val="es-ES" w:eastAsia="es-MX"/>
        </w:rPr>
        <w:t xml:space="preserve">el Comité de Transparencia deberá confirmar, modificar o revocar la decisión; </w:t>
      </w:r>
      <w:r w:rsidRPr="00613CCE">
        <w:rPr>
          <w:rFonts w:ascii="Palatino Linotype" w:hAnsi="Palatino Linotype" w:cs="Tahoma"/>
          <w:sz w:val="24"/>
          <w:lang w:val="es-ES" w:eastAsia="es-MX"/>
        </w:rPr>
        <w:t xml:space="preserve">por lo que deberá motivar la confirmación de dicha situación, señalando las razones, </w:t>
      </w:r>
      <w:r w:rsidRPr="00613CCE">
        <w:rPr>
          <w:rFonts w:ascii="Palatino Linotype" w:hAnsi="Palatino Linotype" w:cs="Tahoma"/>
          <w:sz w:val="24"/>
          <w:lang w:eastAsia="es-MX"/>
        </w:rPr>
        <w:t>motivos</w:t>
      </w:r>
      <w:r w:rsidRPr="00613CCE">
        <w:rPr>
          <w:rFonts w:ascii="Palatino Linotype" w:hAnsi="Palatino Linotype" w:cs="Tahoma"/>
          <w:sz w:val="24"/>
          <w:lang w:val="es-ES" w:eastAsia="es-MX"/>
        </w:rPr>
        <w:t xml:space="preserve"> o circunstancias especiales que llevaron al sujeto obligado a concluir que en el caso particular se ajusta al supuesto previsto por la norma legal invocada como fundamento.</w:t>
      </w:r>
    </w:p>
    <w:p w14:paraId="1C6585A6" w14:textId="77777777" w:rsidR="00185959" w:rsidRPr="00613CCE" w:rsidRDefault="00185959" w:rsidP="00613CCE">
      <w:pPr>
        <w:pStyle w:val="Prrafodelista"/>
        <w:spacing w:line="360" w:lineRule="auto"/>
        <w:rPr>
          <w:rFonts w:ascii="Palatino Linotype" w:hAnsi="Palatino Linotype" w:cs="Tahoma"/>
          <w:sz w:val="24"/>
          <w:lang w:val="es-ES" w:eastAsia="es-MX"/>
        </w:rPr>
      </w:pPr>
    </w:p>
    <w:p w14:paraId="7DC503B9" w14:textId="77777777" w:rsidR="00185959" w:rsidRPr="00613CCE" w:rsidRDefault="0018595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hAnsi="Palatino Linotype" w:cs="Tahoma"/>
          <w:sz w:val="24"/>
          <w:szCs w:val="24"/>
          <w:lang w:val="es-ES" w:eastAsia="es-MX"/>
        </w:rPr>
        <w:t xml:space="preserve">No obstante aun y cuando estuviera en proceso una auditoria como refiere el </w:t>
      </w:r>
      <w:r w:rsidRPr="00613CCE">
        <w:rPr>
          <w:rFonts w:ascii="Palatino Linotype" w:hAnsi="Palatino Linotype" w:cs="Tahoma"/>
          <w:b/>
          <w:sz w:val="24"/>
          <w:szCs w:val="24"/>
          <w:lang w:val="es-ES" w:eastAsia="es-MX"/>
        </w:rPr>
        <w:t>SUJETO OBLIGADO,</w:t>
      </w:r>
      <w:r w:rsidRPr="00613CCE">
        <w:rPr>
          <w:rFonts w:ascii="Palatino Linotype" w:hAnsi="Palatino Linotype" w:cs="Tahoma"/>
          <w:sz w:val="24"/>
          <w:szCs w:val="24"/>
          <w:lang w:val="es-ES" w:eastAsia="es-MX"/>
        </w:rPr>
        <w:t xml:space="preserve"> no se advierte que con su entrega se vulnere algún procedimiento de fiscalización o auditoria </w:t>
      </w:r>
      <w:r w:rsidRPr="00613CCE">
        <w:rPr>
          <w:rFonts w:ascii="Palatino Linotype" w:eastAsia="Palatino Linotype" w:hAnsi="Palatino Linotype" w:cs="Palatino Linotype"/>
          <w:color w:val="000000"/>
          <w:sz w:val="24"/>
          <w:szCs w:val="24"/>
        </w:rPr>
        <w:t xml:space="preserve">no es impedimento para que puedan ser entregados pues se trata </w:t>
      </w:r>
      <w:r w:rsidRPr="00613CCE">
        <w:rPr>
          <w:rFonts w:ascii="Palatino Linotype" w:eastAsia="Palatino Linotype" w:hAnsi="Palatino Linotype" w:cs="Palatino Linotype"/>
          <w:b/>
          <w:color w:val="000000"/>
          <w:sz w:val="24"/>
          <w:szCs w:val="24"/>
        </w:rPr>
        <w:t>de</w:t>
      </w:r>
      <w:r w:rsidR="00AE63FD" w:rsidRPr="00613CCE">
        <w:rPr>
          <w:rFonts w:ascii="Palatino Linotype" w:eastAsia="Palatino Linotype" w:hAnsi="Palatino Linotype" w:cs="Palatino Linotype"/>
          <w:b/>
          <w:color w:val="000000"/>
          <w:sz w:val="24"/>
          <w:szCs w:val="24"/>
        </w:rPr>
        <w:t xml:space="preserve"> pagos que ya fueron erogados con recursos públicos; es decir</w:t>
      </w:r>
      <w:r w:rsidRPr="00613CCE">
        <w:rPr>
          <w:rFonts w:ascii="Palatino Linotype" w:eastAsia="Palatino Linotype" w:hAnsi="Palatino Linotype" w:cs="Palatino Linotype"/>
          <w:color w:val="000000"/>
          <w:sz w:val="24"/>
          <w:szCs w:val="24"/>
        </w:rPr>
        <w:t xml:space="preserve"> </w:t>
      </w:r>
      <w:r w:rsidRPr="00613CCE">
        <w:rPr>
          <w:rFonts w:ascii="Palatino Linotype" w:eastAsia="Palatino Linotype" w:hAnsi="Palatino Linotype" w:cs="Palatino Linotype"/>
          <w:b/>
          <w:color w:val="000000"/>
          <w:sz w:val="24"/>
          <w:szCs w:val="24"/>
        </w:rPr>
        <w:t>documentos definitivos</w:t>
      </w:r>
      <w:r w:rsidRPr="00613CCE">
        <w:rPr>
          <w:rFonts w:ascii="Palatino Linotype" w:eastAsia="Palatino Linotype" w:hAnsi="Palatino Linotype" w:cs="Palatino Linotype"/>
          <w:color w:val="000000"/>
          <w:sz w:val="24"/>
          <w:szCs w:val="24"/>
        </w:rPr>
        <w:t xml:space="preserve">, que son aquellos que han alcanzado una versión final, oficial o concluyente, y que no están sujetos a modificaciones adicionales, por lo que </w:t>
      </w:r>
      <w:r w:rsidRPr="00613CCE">
        <w:rPr>
          <w:rFonts w:ascii="Palatino Linotype" w:eastAsia="Palatino Linotype" w:hAnsi="Palatino Linotype" w:cs="Palatino Linotype"/>
          <w:color w:val="000000"/>
          <w:sz w:val="24"/>
          <w:szCs w:val="24"/>
        </w:rPr>
        <w:lastRenderedPageBreak/>
        <w:t>este tipo de documentos no vulneran la conducción de expedientes judiciales o de los procedimientos administrativos seguidos en forma de juicio, en tanto no hayan quedado firmes en los que pudieran estar involucrados; o bien en procedimientos de auditoria como resulta del caso concreto.</w:t>
      </w:r>
    </w:p>
    <w:p w14:paraId="0A2CC8EC" w14:textId="77777777" w:rsidR="00185959" w:rsidRPr="00613CCE" w:rsidRDefault="00185959" w:rsidP="00613CCE">
      <w:pPr>
        <w:pStyle w:val="Prrafodelista"/>
        <w:spacing w:line="360" w:lineRule="auto"/>
        <w:rPr>
          <w:rFonts w:ascii="Palatino Linotype" w:eastAsia="Palatino Linotype" w:hAnsi="Palatino Linotype" w:cs="Palatino Linotype"/>
          <w:color w:val="000000"/>
          <w:sz w:val="24"/>
        </w:rPr>
      </w:pPr>
    </w:p>
    <w:p w14:paraId="7324AAD2" w14:textId="77777777" w:rsidR="00185959" w:rsidRPr="00613CCE" w:rsidRDefault="0018595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Luego entonces, al tratarse de documentos definitivos</w:t>
      </w:r>
      <w:r w:rsidRPr="00613CCE">
        <w:rPr>
          <w:rFonts w:ascii="Palatino Linotype" w:hAnsi="Palatino Linotype"/>
          <w:sz w:val="24"/>
          <w:szCs w:val="24"/>
        </w:rPr>
        <w:t xml:space="preserve">, el Sujeto Obligado al momento de desarrollar una prueba de daño específica, no podría acreditar las circunstancias analizadas </w:t>
      </w:r>
      <w:r w:rsidR="00006A49" w:rsidRPr="00613CCE">
        <w:rPr>
          <w:rFonts w:ascii="Palatino Linotype" w:hAnsi="Palatino Linotype"/>
          <w:sz w:val="24"/>
          <w:szCs w:val="24"/>
        </w:rPr>
        <w:t>como se pretende en los acuerdos remitidos</w:t>
      </w:r>
      <w:r w:rsidRPr="00613CCE">
        <w:rPr>
          <w:rFonts w:ascii="Palatino Linotype" w:hAnsi="Palatino Linotype"/>
          <w:sz w:val="24"/>
          <w:szCs w:val="24"/>
        </w:rPr>
        <w:t>,</w:t>
      </w:r>
      <w:r w:rsidR="00006A49" w:rsidRPr="00613CCE">
        <w:rPr>
          <w:rFonts w:ascii="Palatino Linotype" w:hAnsi="Palatino Linotype"/>
          <w:sz w:val="24"/>
          <w:szCs w:val="24"/>
        </w:rPr>
        <w:t xml:space="preserve"> al no poderse </w:t>
      </w:r>
      <w:r w:rsidRPr="00613CCE">
        <w:rPr>
          <w:rFonts w:ascii="Palatino Linotype" w:hAnsi="Palatino Linotype"/>
          <w:sz w:val="24"/>
          <w:szCs w:val="24"/>
        </w:rPr>
        <w:t xml:space="preserve"> tomar en cuenta lo establecido en el artículo 141 de la Ley de Transparencia y Acceso a la Información Pública del Estado de México y Municipios, que establece que las causales de reserva se deberán fundar y motivar, a través de la aplicación de la prueba de daño establecida en el artículo 129 de dicho ordenamiento, que se debe justificar de la siguiente manera: </w:t>
      </w:r>
    </w:p>
    <w:p w14:paraId="60BA371E" w14:textId="77777777" w:rsidR="00185959" w:rsidRPr="00613CCE" w:rsidRDefault="00185959" w:rsidP="00613CCE">
      <w:pPr>
        <w:pStyle w:val="Prrafodelista"/>
        <w:spacing w:line="360" w:lineRule="auto"/>
        <w:ind w:left="1440"/>
        <w:rPr>
          <w:rFonts w:ascii="Palatino Linotype" w:hAnsi="Palatino Linotype"/>
          <w:sz w:val="24"/>
        </w:rPr>
      </w:pPr>
    </w:p>
    <w:p w14:paraId="62E16B6A" w14:textId="77777777" w:rsidR="00185959" w:rsidRPr="00613CCE" w:rsidRDefault="00185959" w:rsidP="00613CCE">
      <w:pPr>
        <w:pStyle w:val="Prrafodelista"/>
        <w:numPr>
          <w:ilvl w:val="0"/>
          <w:numId w:val="18"/>
        </w:numPr>
        <w:pBdr>
          <w:top w:val="nil"/>
          <w:left w:val="nil"/>
          <w:bottom w:val="nil"/>
          <w:right w:val="nil"/>
          <w:between w:val="nil"/>
        </w:pBdr>
        <w:spacing w:line="360" w:lineRule="auto"/>
        <w:jc w:val="both"/>
        <w:rPr>
          <w:rFonts w:ascii="Palatino Linotype" w:hAnsi="Palatino Linotype"/>
          <w:sz w:val="24"/>
        </w:rPr>
      </w:pPr>
      <w:r w:rsidRPr="00613CCE">
        <w:rPr>
          <w:rFonts w:ascii="Palatino Linotype" w:hAnsi="Palatino Linotype"/>
          <w:sz w:val="24"/>
        </w:rPr>
        <w:t>La divulgación de la información representa un riesgo real, demostrable e identificable de perjuicio significativo al interés púb</w:t>
      </w:r>
      <w:r w:rsidR="00006A49" w:rsidRPr="00613CCE">
        <w:rPr>
          <w:rFonts w:ascii="Palatino Linotype" w:hAnsi="Palatino Linotype"/>
          <w:sz w:val="24"/>
        </w:rPr>
        <w:t>lico o a la seguridad nacional.</w:t>
      </w:r>
    </w:p>
    <w:p w14:paraId="7CE2A276" w14:textId="77777777" w:rsidR="00006A49" w:rsidRPr="00613CCE" w:rsidRDefault="00185959" w:rsidP="00613CCE">
      <w:pPr>
        <w:pStyle w:val="Prrafodelista"/>
        <w:numPr>
          <w:ilvl w:val="0"/>
          <w:numId w:val="18"/>
        </w:numPr>
        <w:pBdr>
          <w:top w:val="nil"/>
          <w:left w:val="nil"/>
          <w:bottom w:val="nil"/>
          <w:right w:val="nil"/>
          <w:between w:val="nil"/>
        </w:pBdr>
        <w:spacing w:line="360" w:lineRule="auto"/>
        <w:jc w:val="both"/>
        <w:rPr>
          <w:rFonts w:ascii="Palatino Linotype" w:hAnsi="Palatino Linotype"/>
          <w:sz w:val="24"/>
        </w:rPr>
      </w:pPr>
      <w:r w:rsidRPr="00613CCE">
        <w:rPr>
          <w:rFonts w:ascii="Palatino Linotype" w:hAnsi="Palatino Linotype"/>
          <w:sz w:val="24"/>
        </w:rPr>
        <w:t>El riesgo de perjuicio supera el interés púb</w:t>
      </w:r>
      <w:r w:rsidR="00006A49" w:rsidRPr="00613CCE">
        <w:rPr>
          <w:rFonts w:ascii="Palatino Linotype" w:hAnsi="Palatino Linotype"/>
          <w:sz w:val="24"/>
        </w:rPr>
        <w:t>lico general de que se difunda.</w:t>
      </w:r>
    </w:p>
    <w:p w14:paraId="1D7F8AB8" w14:textId="77777777" w:rsidR="00185959" w:rsidRPr="00613CCE" w:rsidRDefault="00185959" w:rsidP="00613CCE">
      <w:pPr>
        <w:pStyle w:val="Prrafodelista"/>
        <w:numPr>
          <w:ilvl w:val="0"/>
          <w:numId w:val="18"/>
        </w:numPr>
        <w:pBdr>
          <w:top w:val="nil"/>
          <w:left w:val="nil"/>
          <w:bottom w:val="nil"/>
          <w:right w:val="nil"/>
          <w:between w:val="nil"/>
        </w:pBdr>
        <w:spacing w:line="360" w:lineRule="auto"/>
        <w:jc w:val="both"/>
        <w:rPr>
          <w:rFonts w:ascii="Palatino Linotype" w:hAnsi="Palatino Linotype"/>
          <w:sz w:val="24"/>
        </w:rPr>
      </w:pPr>
      <w:r w:rsidRPr="00613CCE">
        <w:rPr>
          <w:rFonts w:ascii="Palatino Linotype" w:hAnsi="Palatino Linotype"/>
          <w:sz w:val="24"/>
        </w:rPr>
        <w:t xml:space="preserve">Que la limitación se adecua al principio de proporcionalidad y representa el medio menos restrictivo disponible para evitar el perjuicio. </w:t>
      </w:r>
    </w:p>
    <w:p w14:paraId="40F98671" w14:textId="77777777" w:rsidR="00185959" w:rsidRPr="00613CCE" w:rsidRDefault="00006A49"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lang w:val="es-ES" w:eastAsia="es-MX"/>
        </w:rPr>
      </w:pPr>
      <w:r w:rsidRPr="00613CCE">
        <w:rPr>
          <w:rFonts w:ascii="Palatino Linotype" w:hAnsi="Palatino Linotype"/>
          <w:sz w:val="24"/>
          <w:szCs w:val="24"/>
        </w:rPr>
        <w:lastRenderedPageBreak/>
        <w:t>Reiterando que por tratarse de documentos definitivos</w:t>
      </w:r>
      <w:r w:rsidR="00185959" w:rsidRPr="00613CCE">
        <w:rPr>
          <w:rFonts w:ascii="Palatino Linotype" w:hAnsi="Palatino Linotype"/>
          <w:sz w:val="24"/>
          <w:szCs w:val="24"/>
        </w:rPr>
        <w:t xml:space="preserve">. </w:t>
      </w:r>
      <w:r w:rsidR="00185959" w:rsidRPr="00613CCE">
        <w:rPr>
          <w:rFonts w:ascii="Palatino Linotype" w:hAnsi="Palatino Linotype" w:cs="Tahoma"/>
          <w:sz w:val="24"/>
          <w:szCs w:val="24"/>
          <w:lang w:val="es-ES" w:eastAsia="es-MX"/>
        </w:rPr>
        <w:t>Por el contrario la entrega de la información Trans</w:t>
      </w:r>
      <w:r w:rsidR="00960631" w:rsidRPr="00613CCE">
        <w:rPr>
          <w:rFonts w:ascii="Palatino Linotype" w:hAnsi="Palatino Linotype" w:cs="Tahoma"/>
          <w:sz w:val="24"/>
          <w:szCs w:val="24"/>
          <w:lang w:val="es-ES" w:eastAsia="es-MX"/>
        </w:rPr>
        <w:t>parencia y rendición de cuentas, en virtud que</w:t>
      </w:r>
      <w:r w:rsidR="00185959" w:rsidRPr="00613CCE">
        <w:rPr>
          <w:rFonts w:ascii="Palatino Linotype" w:hAnsi="Palatino Linotype" w:cs="Tahoma"/>
          <w:sz w:val="24"/>
          <w:szCs w:val="24"/>
          <w:lang w:val="es-ES" w:eastAsia="es-MX"/>
        </w:rPr>
        <w:t xml:space="preserve"> </w:t>
      </w:r>
      <w:r w:rsidR="00960631" w:rsidRPr="00613CCE">
        <w:rPr>
          <w:rFonts w:ascii="Palatino Linotype" w:hAnsi="Palatino Linotype" w:cs="Tahoma"/>
          <w:sz w:val="24"/>
          <w:szCs w:val="24"/>
          <w:lang w:val="es-ES" w:eastAsia="es-MX"/>
        </w:rPr>
        <w:t>l</w:t>
      </w:r>
      <w:r w:rsidR="00185959" w:rsidRPr="00613CCE">
        <w:rPr>
          <w:rFonts w:ascii="Palatino Linotype" w:hAnsi="Palatino Linotype" w:cs="Tahoma"/>
          <w:sz w:val="24"/>
          <w:szCs w:val="24"/>
          <w:lang w:val="es-ES" w:eastAsia="es-MX"/>
        </w:rPr>
        <w:t xml:space="preserve">os documentos definitivos, como </w:t>
      </w:r>
      <w:r w:rsidR="003F22B7" w:rsidRPr="00613CCE">
        <w:rPr>
          <w:rFonts w:ascii="Palatino Linotype" w:hAnsi="Palatino Linotype" w:cs="Tahoma"/>
          <w:sz w:val="24"/>
          <w:szCs w:val="24"/>
          <w:lang w:val="es-ES" w:eastAsia="es-MX"/>
        </w:rPr>
        <w:t>pagos ya efectuados</w:t>
      </w:r>
      <w:r w:rsidR="00185959" w:rsidRPr="00613CCE">
        <w:rPr>
          <w:rFonts w:ascii="Palatino Linotype" w:hAnsi="Palatino Linotype" w:cs="Tahoma"/>
          <w:sz w:val="24"/>
          <w:szCs w:val="24"/>
          <w:lang w:val="es-ES" w:eastAsia="es-MX"/>
        </w:rPr>
        <w:t>, deben ser accesibles para que los ciudadanos y otras partes interesadas puedan supervisar el uso de los recursos públicos, las decisiones gubernamentales y el cumplimient</w:t>
      </w:r>
      <w:r w:rsidR="00960631" w:rsidRPr="00613CCE">
        <w:rPr>
          <w:rFonts w:ascii="Palatino Linotype" w:hAnsi="Palatino Linotype" w:cs="Tahoma"/>
          <w:sz w:val="24"/>
          <w:szCs w:val="24"/>
          <w:lang w:val="es-ES" w:eastAsia="es-MX"/>
        </w:rPr>
        <w:t xml:space="preserve">o de los procedimientos legales, </w:t>
      </w:r>
      <w:r w:rsidR="00185959" w:rsidRPr="00613CCE">
        <w:rPr>
          <w:rFonts w:ascii="Palatino Linotype" w:hAnsi="Palatino Linotype" w:cs="Tahoma"/>
          <w:sz w:val="24"/>
          <w:szCs w:val="24"/>
          <w:lang w:val="es-ES" w:eastAsia="es-MX"/>
        </w:rPr>
        <w:t>garantizan</w:t>
      </w:r>
      <w:r w:rsidR="00960631" w:rsidRPr="00613CCE">
        <w:rPr>
          <w:rFonts w:ascii="Palatino Linotype" w:hAnsi="Palatino Linotype" w:cs="Tahoma"/>
          <w:sz w:val="24"/>
          <w:szCs w:val="24"/>
          <w:lang w:val="es-ES" w:eastAsia="es-MX"/>
        </w:rPr>
        <w:t>do</w:t>
      </w:r>
      <w:r w:rsidR="00185959" w:rsidRPr="00613CCE">
        <w:rPr>
          <w:rFonts w:ascii="Palatino Linotype" w:hAnsi="Palatino Linotype" w:cs="Tahoma"/>
          <w:sz w:val="24"/>
          <w:szCs w:val="24"/>
          <w:lang w:val="es-ES" w:eastAsia="es-MX"/>
        </w:rPr>
        <w:t xml:space="preserve"> que los ciudadanos tengan el derecho de conocer la información relacionada con la administración pública, excepto en casos muy específicos (segurid</w:t>
      </w:r>
      <w:r w:rsidR="00960631" w:rsidRPr="00613CCE">
        <w:rPr>
          <w:rFonts w:ascii="Palatino Linotype" w:hAnsi="Palatino Linotype" w:cs="Tahoma"/>
          <w:sz w:val="24"/>
          <w:szCs w:val="24"/>
          <w:lang w:val="es-ES" w:eastAsia="es-MX"/>
        </w:rPr>
        <w:t>ad nacional, etc.), por lo que</w:t>
      </w:r>
      <w:r w:rsidR="00185959" w:rsidRPr="00613CCE">
        <w:rPr>
          <w:rFonts w:ascii="Palatino Linotype" w:hAnsi="Palatino Linotype" w:cs="Tahoma"/>
          <w:sz w:val="24"/>
          <w:szCs w:val="24"/>
          <w:lang w:val="es-ES" w:eastAsia="es-MX"/>
        </w:rPr>
        <w:t xml:space="preserve"> documentos definitivos no suelen entrar en esas excepciones.</w:t>
      </w:r>
    </w:p>
    <w:p w14:paraId="3FA76F79" w14:textId="77777777" w:rsidR="00185959" w:rsidRPr="00613CCE" w:rsidRDefault="00185959" w:rsidP="00613CCE">
      <w:pPr>
        <w:pStyle w:val="Prrafodelista"/>
        <w:spacing w:line="360" w:lineRule="auto"/>
        <w:ind w:left="501"/>
        <w:jc w:val="both"/>
        <w:rPr>
          <w:rFonts w:ascii="Palatino Linotype" w:hAnsi="Palatino Linotype" w:cs="Tahoma"/>
          <w:sz w:val="24"/>
          <w:lang w:val="es-ES" w:eastAsia="es-MX"/>
        </w:rPr>
      </w:pPr>
    </w:p>
    <w:p w14:paraId="156C474E" w14:textId="77777777" w:rsidR="00185959" w:rsidRPr="00613CCE" w:rsidRDefault="00960631"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lang w:val="es-ES" w:eastAsia="es-MX"/>
        </w:rPr>
      </w:pPr>
      <w:r w:rsidRPr="00613CCE">
        <w:rPr>
          <w:rFonts w:ascii="Palatino Linotype" w:hAnsi="Palatino Linotype" w:cs="Tahoma"/>
          <w:sz w:val="24"/>
          <w:szCs w:val="24"/>
          <w:lang w:val="es-ES" w:eastAsia="es-MX"/>
        </w:rPr>
        <w:t>Por otro lado,</w:t>
      </w:r>
      <w:r w:rsidR="00185959" w:rsidRPr="00613CCE">
        <w:rPr>
          <w:rFonts w:ascii="Palatino Linotype" w:hAnsi="Palatino Linotype" w:cs="Tahoma"/>
          <w:sz w:val="24"/>
          <w:szCs w:val="24"/>
          <w:lang w:val="es-ES" w:eastAsia="es-MX"/>
        </w:rPr>
        <w:t xml:space="preserve"> </w:t>
      </w:r>
      <w:r w:rsidRPr="00613CCE">
        <w:rPr>
          <w:rFonts w:ascii="Palatino Linotype" w:hAnsi="Palatino Linotype" w:cs="Tahoma"/>
          <w:sz w:val="24"/>
          <w:szCs w:val="24"/>
          <w:lang w:val="es-ES" w:eastAsia="es-MX"/>
        </w:rPr>
        <w:t>m</w:t>
      </w:r>
      <w:r w:rsidR="00185959" w:rsidRPr="00613CCE">
        <w:rPr>
          <w:rFonts w:ascii="Palatino Linotype" w:hAnsi="Palatino Linotype" w:cs="Tahoma"/>
          <w:sz w:val="24"/>
          <w:szCs w:val="24"/>
          <w:lang w:val="es-ES" w:eastAsia="es-MX"/>
        </w:rPr>
        <w:t xml:space="preserve">antener los documentos definitivos accesibles ayuda a prevenir la </w:t>
      </w:r>
      <w:r w:rsidR="00185959" w:rsidRPr="00613CCE">
        <w:rPr>
          <w:rFonts w:ascii="Palatino Linotype" w:hAnsi="Palatino Linotype"/>
          <w:sz w:val="24"/>
          <w:szCs w:val="24"/>
        </w:rPr>
        <w:t>corrupción</w:t>
      </w:r>
      <w:r w:rsidRPr="00613CCE">
        <w:rPr>
          <w:rFonts w:ascii="Palatino Linotype" w:hAnsi="Palatino Linotype"/>
          <w:sz w:val="24"/>
          <w:szCs w:val="24"/>
        </w:rPr>
        <w:t>, s</w:t>
      </w:r>
      <w:r w:rsidR="00185959" w:rsidRPr="00613CCE">
        <w:rPr>
          <w:rFonts w:ascii="Palatino Linotype" w:hAnsi="Palatino Linotype" w:cs="Tahoma"/>
          <w:sz w:val="24"/>
          <w:szCs w:val="24"/>
          <w:lang w:val="es-ES" w:eastAsia="es-MX"/>
        </w:rPr>
        <w:t xml:space="preserve">i los documentos finales fueran reservados, </w:t>
      </w:r>
      <w:r w:rsidRPr="00613CCE">
        <w:rPr>
          <w:rFonts w:ascii="Palatino Linotype" w:hAnsi="Palatino Linotype" w:cs="Tahoma"/>
          <w:sz w:val="24"/>
          <w:szCs w:val="24"/>
          <w:lang w:val="es-ES" w:eastAsia="es-MX"/>
        </w:rPr>
        <w:t>se permitiría encubrir</w:t>
      </w:r>
      <w:r w:rsidR="00185959" w:rsidRPr="00613CCE">
        <w:rPr>
          <w:rFonts w:ascii="Palatino Linotype" w:hAnsi="Palatino Linotype" w:cs="Tahoma"/>
          <w:sz w:val="24"/>
          <w:szCs w:val="24"/>
          <w:lang w:val="es-ES" w:eastAsia="es-MX"/>
        </w:rPr>
        <w:t xml:space="preserve"> decision</w:t>
      </w:r>
      <w:r w:rsidR="003F22B7" w:rsidRPr="00613CCE">
        <w:rPr>
          <w:rFonts w:ascii="Palatino Linotype" w:hAnsi="Palatino Linotype" w:cs="Tahoma"/>
          <w:sz w:val="24"/>
          <w:szCs w:val="24"/>
          <w:lang w:val="es-ES" w:eastAsia="es-MX"/>
        </w:rPr>
        <w:t xml:space="preserve">es, pagos </w:t>
      </w:r>
      <w:r w:rsidR="00706629" w:rsidRPr="00613CCE">
        <w:rPr>
          <w:rFonts w:ascii="Palatino Linotype" w:hAnsi="Palatino Linotype" w:cs="Tahoma"/>
          <w:sz w:val="24"/>
          <w:szCs w:val="24"/>
          <w:lang w:val="es-ES" w:eastAsia="es-MX"/>
        </w:rPr>
        <w:t>o contrataciones irregulares aun y cuando estas ya fueron consumadas, por lo que</w:t>
      </w:r>
      <w:r w:rsidR="00185959" w:rsidRPr="00613CCE">
        <w:rPr>
          <w:rFonts w:ascii="Palatino Linotype" w:hAnsi="Palatino Linotype" w:cs="Tahoma"/>
          <w:sz w:val="24"/>
          <w:szCs w:val="24"/>
          <w:lang w:val="es-ES" w:eastAsia="es-MX"/>
        </w:rPr>
        <w:t xml:space="preserve"> los documentos finales aumenta la confianza de los ciudadanos en las instituciones, ya que se demuestra que las decisiones se han tomado de man</w:t>
      </w:r>
      <w:r w:rsidR="003F22B7" w:rsidRPr="00613CCE">
        <w:rPr>
          <w:rFonts w:ascii="Palatino Linotype" w:hAnsi="Palatino Linotype" w:cs="Tahoma"/>
          <w:sz w:val="24"/>
          <w:szCs w:val="24"/>
          <w:lang w:val="es-ES" w:eastAsia="es-MX"/>
        </w:rPr>
        <w:t>era abierta y conforme a la ley</w:t>
      </w:r>
      <w:r w:rsidR="00185959" w:rsidRPr="00613CCE">
        <w:rPr>
          <w:rFonts w:ascii="Palatino Linotype" w:hAnsi="Palatino Linotype" w:cs="Tahoma"/>
          <w:sz w:val="24"/>
          <w:szCs w:val="24"/>
          <w:lang w:val="es-ES" w:eastAsia="es-MX"/>
        </w:rPr>
        <w:t>,</w:t>
      </w:r>
      <w:r w:rsidR="003F22B7" w:rsidRPr="00613CCE">
        <w:rPr>
          <w:rFonts w:ascii="Palatino Linotype" w:hAnsi="Palatino Linotype" w:cs="Tahoma"/>
          <w:sz w:val="24"/>
          <w:szCs w:val="24"/>
          <w:lang w:val="es-ES" w:eastAsia="es-MX"/>
        </w:rPr>
        <w:t xml:space="preserve"> luego entonces</w:t>
      </w:r>
      <w:r w:rsidR="00185959" w:rsidRPr="00613CCE">
        <w:rPr>
          <w:rFonts w:ascii="Palatino Linotype" w:hAnsi="Palatino Linotype" w:cs="Tahoma"/>
          <w:sz w:val="24"/>
          <w:szCs w:val="24"/>
          <w:lang w:val="es-ES" w:eastAsia="es-MX"/>
        </w:rPr>
        <w:t xml:space="preserve"> los documentos definitivos se consideran el resultado de procesos que deben ser conocidos y evaluados por la sociedad, y por eso no se clasifican como reservados</w:t>
      </w:r>
      <w:r w:rsidR="00706629" w:rsidRPr="00613CCE">
        <w:rPr>
          <w:rFonts w:ascii="Palatino Linotype" w:hAnsi="Palatino Linotype" w:cs="Tahoma"/>
          <w:sz w:val="24"/>
          <w:szCs w:val="24"/>
          <w:lang w:val="es-ES" w:eastAsia="es-MX"/>
        </w:rPr>
        <w:t xml:space="preserve">, por lo que se desestima la pretendida clasificación propuesta por el </w:t>
      </w:r>
      <w:r w:rsidR="00706629" w:rsidRPr="00613CCE">
        <w:rPr>
          <w:rFonts w:ascii="Palatino Linotype" w:hAnsi="Palatino Linotype" w:cs="Tahoma"/>
          <w:b/>
          <w:sz w:val="24"/>
          <w:szCs w:val="24"/>
          <w:lang w:val="es-ES" w:eastAsia="es-MX"/>
        </w:rPr>
        <w:t>SUJETO OBLIGADO.</w:t>
      </w:r>
    </w:p>
    <w:p w14:paraId="75F846B6" w14:textId="77777777" w:rsidR="007D660D" w:rsidRPr="00613CCE" w:rsidRDefault="007D660D" w:rsidP="00613CCE">
      <w:pPr>
        <w:pBdr>
          <w:top w:val="nil"/>
          <w:left w:val="nil"/>
          <w:bottom w:val="nil"/>
          <w:right w:val="nil"/>
          <w:between w:val="nil"/>
        </w:pBdr>
        <w:spacing w:line="360" w:lineRule="auto"/>
        <w:jc w:val="both"/>
        <w:rPr>
          <w:rFonts w:ascii="Palatino Linotype" w:hAnsi="Palatino Linotype"/>
          <w:i/>
          <w:sz w:val="24"/>
          <w:szCs w:val="24"/>
        </w:rPr>
      </w:pPr>
    </w:p>
    <w:p w14:paraId="50BDA9FB"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sz w:val="24"/>
          <w:szCs w:val="24"/>
          <w:lang w:val="es-ES"/>
        </w:rPr>
      </w:pPr>
      <w:r w:rsidRPr="00613CCE">
        <w:rPr>
          <w:rFonts w:ascii="Palatino Linotype" w:hAnsi="Palatino Linotype"/>
          <w:sz w:val="24"/>
          <w:szCs w:val="24"/>
          <w:lang w:val="es-ES"/>
        </w:rPr>
        <w:lastRenderedPageBreak/>
        <w:t>Por otro lado, cabe subrayar lo dispuesto por la Ley de Transparencia y Acceso a la Información Pública del Estado de México y Municipios, que prevé en su artículo 23 fracción IV,</w:t>
      </w:r>
      <w:r w:rsidRPr="00613CCE">
        <w:rPr>
          <w:rFonts w:ascii="Palatino Linotype" w:hAnsi="Palatino Linotype"/>
          <w:sz w:val="24"/>
          <w:szCs w:val="24"/>
        </w:rPr>
        <w:t xml:space="preserve"> </w:t>
      </w:r>
      <w:r w:rsidRPr="00613CCE">
        <w:rPr>
          <w:rFonts w:ascii="Palatino Linotype" w:hAnsi="Palatino Linotype"/>
          <w:sz w:val="24"/>
          <w:szCs w:val="24"/>
          <w:lang w:val="es-ES"/>
        </w:rPr>
        <w:t xml:space="preserve">que los Ayuntamientos </w:t>
      </w:r>
      <w:r w:rsidRPr="00613CCE">
        <w:rPr>
          <w:rFonts w:ascii="Palatino Linotype" w:hAnsi="Palatino Linotype" w:cs="Tahoma"/>
          <w:sz w:val="24"/>
          <w:szCs w:val="24"/>
          <w:lang w:val="es-ES" w:eastAsia="es-MX"/>
        </w:rPr>
        <w:t>se</w:t>
      </w:r>
      <w:r w:rsidRPr="00613CCE">
        <w:rPr>
          <w:rFonts w:ascii="Palatino Linotype" w:hAnsi="Palatino Linotype"/>
          <w:sz w:val="24"/>
          <w:szCs w:val="24"/>
          <w:lang w:val="es-ES"/>
        </w:rPr>
        <w:t xml:space="preserve"> encuentran obligados a transparentar y permitir el acceso a la información que generen, posean o administren; de ahí que la Ley de la materia delimita perfectamente los alcances de las obligaciones que corresponden a los Ayuntamientos, como se advierte enseguida:</w:t>
      </w:r>
    </w:p>
    <w:p w14:paraId="172ED163" w14:textId="77777777" w:rsidR="003F22B7" w:rsidRPr="00613CCE" w:rsidRDefault="003F22B7" w:rsidP="00613CCE">
      <w:pPr>
        <w:spacing w:line="360" w:lineRule="auto"/>
        <w:jc w:val="both"/>
        <w:rPr>
          <w:rFonts w:ascii="Palatino Linotype" w:hAnsi="Palatino Linotype"/>
          <w:sz w:val="24"/>
          <w:szCs w:val="24"/>
          <w:lang w:val="es-ES"/>
        </w:rPr>
      </w:pPr>
    </w:p>
    <w:p w14:paraId="7A237636" w14:textId="77777777" w:rsidR="003F22B7" w:rsidRPr="00613CCE" w:rsidRDefault="003F22B7" w:rsidP="00613CCE">
      <w:pPr>
        <w:spacing w:line="360" w:lineRule="auto"/>
        <w:ind w:left="567" w:right="567"/>
        <w:jc w:val="both"/>
        <w:rPr>
          <w:rFonts w:ascii="Palatino Linotype" w:hAnsi="Palatino Linotype" w:cs="Arial"/>
          <w:i/>
          <w:sz w:val="24"/>
          <w:szCs w:val="24"/>
          <w:lang w:val="es-ES"/>
        </w:rPr>
      </w:pPr>
      <w:r w:rsidRPr="00613CCE">
        <w:rPr>
          <w:rFonts w:ascii="Palatino Linotype" w:hAnsi="Palatino Linotype" w:cs="Arial"/>
          <w:b/>
          <w:i/>
          <w:sz w:val="24"/>
          <w:szCs w:val="24"/>
          <w:lang w:val="es-ES"/>
        </w:rPr>
        <w:t>“Artículo 23.</w:t>
      </w:r>
      <w:r w:rsidRPr="00613CCE">
        <w:rPr>
          <w:rFonts w:ascii="Palatino Linotype" w:hAnsi="Palatino Linotype" w:cs="Arial"/>
          <w:i/>
          <w:sz w:val="24"/>
          <w:szCs w:val="24"/>
          <w:lang w:val="es-ES"/>
        </w:rPr>
        <w:t xml:space="preserve"> Son sujetos obligados a transparentar y permitir el acceso a su información y proteger los datos personales que obren en su poder:</w:t>
      </w:r>
    </w:p>
    <w:p w14:paraId="3D7AFF1C" w14:textId="77777777" w:rsidR="003F22B7" w:rsidRPr="00613CCE" w:rsidRDefault="003F22B7" w:rsidP="00613CCE">
      <w:pPr>
        <w:spacing w:line="360" w:lineRule="auto"/>
        <w:ind w:left="567" w:right="567"/>
        <w:jc w:val="both"/>
        <w:rPr>
          <w:rFonts w:ascii="Palatino Linotype" w:hAnsi="Palatino Linotype" w:cs="Arial"/>
          <w:i/>
          <w:sz w:val="24"/>
          <w:szCs w:val="24"/>
          <w:lang w:val="es-ES"/>
        </w:rPr>
      </w:pPr>
      <w:r w:rsidRPr="00613CCE">
        <w:rPr>
          <w:rFonts w:ascii="Palatino Linotype" w:hAnsi="Palatino Linotype" w:cs="Arial"/>
          <w:b/>
          <w:i/>
          <w:sz w:val="24"/>
          <w:szCs w:val="24"/>
          <w:lang w:val="es-ES"/>
        </w:rPr>
        <w:t>IV. Los ayuntamientos y las dependencias, organismos, órganos y entidades de la administración municipal</w:t>
      </w:r>
      <w:r w:rsidRPr="00613CCE">
        <w:rPr>
          <w:rFonts w:ascii="Palatino Linotype" w:hAnsi="Palatino Linotype" w:cs="Arial"/>
          <w:i/>
          <w:sz w:val="24"/>
          <w:szCs w:val="24"/>
          <w:lang w:val="es-ES"/>
        </w:rPr>
        <w:t>;”</w:t>
      </w:r>
    </w:p>
    <w:p w14:paraId="3299BB00" w14:textId="77777777" w:rsidR="003F22B7" w:rsidRPr="00613CCE" w:rsidRDefault="003F22B7" w:rsidP="00613CCE">
      <w:pPr>
        <w:spacing w:line="360" w:lineRule="auto"/>
        <w:ind w:left="567" w:right="567"/>
        <w:rPr>
          <w:rFonts w:ascii="Palatino Linotype" w:hAnsi="Palatino Linotype" w:cs="Arial"/>
          <w:sz w:val="24"/>
          <w:szCs w:val="24"/>
          <w:lang w:val="es-ES"/>
        </w:rPr>
      </w:pPr>
      <w:r w:rsidRPr="00613CCE">
        <w:rPr>
          <w:rFonts w:ascii="Palatino Linotype" w:hAnsi="Palatino Linotype" w:cs="Arial"/>
          <w:sz w:val="24"/>
          <w:szCs w:val="24"/>
          <w:lang w:val="es-ES"/>
        </w:rPr>
        <w:t xml:space="preserve"> (Énfasis añadido)</w:t>
      </w:r>
    </w:p>
    <w:p w14:paraId="4EA7C312" w14:textId="77777777" w:rsidR="003F22B7" w:rsidRPr="00613CCE" w:rsidRDefault="003F22B7" w:rsidP="00613CCE">
      <w:pPr>
        <w:autoSpaceDE w:val="0"/>
        <w:autoSpaceDN w:val="0"/>
        <w:adjustRightInd w:val="0"/>
        <w:spacing w:line="360" w:lineRule="auto"/>
        <w:jc w:val="both"/>
        <w:rPr>
          <w:rFonts w:ascii="Palatino Linotype" w:hAnsi="Palatino Linotype" w:cs="Arial"/>
          <w:sz w:val="24"/>
          <w:szCs w:val="24"/>
          <w:lang w:val="es-ES"/>
        </w:rPr>
      </w:pPr>
    </w:p>
    <w:p w14:paraId="14F35BBD"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Arial"/>
          <w:sz w:val="24"/>
          <w:szCs w:val="24"/>
        </w:rPr>
      </w:pPr>
      <w:r w:rsidRPr="00613CCE">
        <w:rPr>
          <w:rFonts w:ascii="Palatino Linotype" w:hAnsi="Palatino Linotype" w:cs="Arial"/>
          <w:sz w:val="24"/>
          <w:szCs w:val="24"/>
          <w:lang w:val="es-ES"/>
        </w:rPr>
        <w:t xml:space="preserve">Del precepto legal en cita se establece que los ayuntamientos, y las dependencias, organismos, </w:t>
      </w:r>
      <w:r w:rsidRPr="00613CCE">
        <w:rPr>
          <w:rFonts w:ascii="Palatino Linotype" w:hAnsi="Palatino Linotype"/>
          <w:sz w:val="24"/>
          <w:szCs w:val="24"/>
          <w:lang w:val="es-ES"/>
        </w:rPr>
        <w:t>órganos</w:t>
      </w:r>
      <w:r w:rsidRPr="00613CCE">
        <w:rPr>
          <w:rFonts w:ascii="Palatino Linotype" w:hAnsi="Palatino Linotype" w:cs="Arial"/>
          <w:sz w:val="24"/>
          <w:szCs w:val="24"/>
          <w:lang w:val="es-ES"/>
        </w:rPr>
        <w:t xml:space="preserve"> y entidades de la administración municipal se encuentran obligados a transparentar y permitir el acceso a la información que generen, posean o administren; de ahí que la Ley de la materia delimita perfectamente los alcances de las obligaciones que corresponden a los Ayuntamientos y las dependencias, organismos, órganos y entidades de la administración municipal.</w:t>
      </w:r>
    </w:p>
    <w:p w14:paraId="57131F1A" w14:textId="77777777" w:rsidR="003F22B7" w:rsidRPr="00613CCE" w:rsidRDefault="003F22B7" w:rsidP="00613CCE">
      <w:pPr>
        <w:spacing w:line="360" w:lineRule="auto"/>
        <w:jc w:val="both"/>
        <w:rPr>
          <w:rFonts w:ascii="Palatino Linotype" w:hAnsi="Palatino Linotype" w:cs="Arial"/>
          <w:sz w:val="24"/>
          <w:szCs w:val="24"/>
        </w:rPr>
      </w:pPr>
    </w:p>
    <w:p w14:paraId="139D0030"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Arial"/>
          <w:sz w:val="24"/>
          <w:szCs w:val="24"/>
          <w:lang w:val="es-ES"/>
        </w:rPr>
      </w:pPr>
      <w:r w:rsidRPr="00613CCE">
        <w:rPr>
          <w:rFonts w:ascii="Palatino Linotype" w:eastAsiaTheme="minorEastAsia" w:hAnsi="Palatino Linotype" w:cs="Arial"/>
          <w:sz w:val="24"/>
          <w:szCs w:val="24"/>
          <w:lang w:val="es-ES_tradnl"/>
        </w:rPr>
        <w:lastRenderedPageBreak/>
        <w:t xml:space="preserve">Atento a ello, en primer lugar se advierte que los artículos </w:t>
      </w:r>
      <w:r w:rsidRPr="00613CCE">
        <w:rPr>
          <w:rFonts w:ascii="Palatino Linotype" w:hAnsi="Palatino Linotype" w:cs="Arial"/>
          <w:sz w:val="24"/>
          <w:szCs w:val="24"/>
          <w:lang w:val="es-ES"/>
        </w:rPr>
        <w:t>342, 343, 344 y 345 del Código Financiero del Estado de México y Municipios disponen el sistema y las políticas que deben seguirse para llevar el registro contable y presupuestal de las operaciones financieras, en los siguientes términos:</w:t>
      </w:r>
    </w:p>
    <w:p w14:paraId="091CFFD1" w14:textId="77777777" w:rsidR="003F22B7" w:rsidRPr="00613CCE" w:rsidRDefault="003F22B7" w:rsidP="00613CCE">
      <w:pPr>
        <w:spacing w:line="360" w:lineRule="auto"/>
        <w:ind w:left="567" w:right="567"/>
        <w:jc w:val="both"/>
        <w:rPr>
          <w:rFonts w:ascii="Palatino Linotype" w:hAnsi="Palatino Linotype" w:cs="Arial"/>
          <w:sz w:val="24"/>
          <w:szCs w:val="24"/>
          <w:lang w:val="es-ES"/>
        </w:rPr>
      </w:pPr>
    </w:p>
    <w:p w14:paraId="388EA841" w14:textId="77777777" w:rsidR="003F22B7" w:rsidRPr="00613CCE" w:rsidRDefault="003F22B7" w:rsidP="00613CCE">
      <w:pPr>
        <w:spacing w:line="360" w:lineRule="auto"/>
        <w:ind w:left="567" w:right="567"/>
        <w:jc w:val="both"/>
        <w:rPr>
          <w:rFonts w:ascii="Palatino Linotype" w:hAnsi="Palatino Linotype"/>
          <w:b/>
          <w:i/>
          <w:sz w:val="24"/>
          <w:szCs w:val="24"/>
          <w:lang w:val="es-ES"/>
        </w:rPr>
      </w:pPr>
      <w:r w:rsidRPr="00613CCE">
        <w:rPr>
          <w:rFonts w:ascii="Palatino Linotype" w:hAnsi="Palatino Linotype" w:cs="Arial"/>
          <w:bCs/>
          <w:i/>
          <w:color w:val="000000"/>
          <w:sz w:val="24"/>
          <w:szCs w:val="24"/>
          <w:lang w:val="es-ES"/>
        </w:rPr>
        <w:t>“</w:t>
      </w:r>
      <w:r w:rsidRPr="00613CCE">
        <w:rPr>
          <w:rFonts w:ascii="Palatino Linotype" w:hAnsi="Palatino Linotype"/>
          <w:b/>
          <w:i/>
          <w:sz w:val="24"/>
          <w:szCs w:val="24"/>
          <w:lang w:val="es-ES"/>
        </w:rPr>
        <w:t>Artículo 342.-</w:t>
      </w:r>
      <w:r w:rsidRPr="00613CCE">
        <w:rPr>
          <w:rFonts w:ascii="Palatino Linotype" w:hAnsi="Palatino Linotype"/>
          <w:i/>
          <w:sz w:val="24"/>
          <w:szCs w:val="24"/>
          <w:lang w:val="es-ES"/>
        </w:rPr>
        <w:t xml:space="preserve"> El registro contable del efecto patrimonial y presupuestal de las operaciones financieras, se realizará conforme al sistema y a las disposiciones que se aprueben en materia de </w:t>
      </w:r>
      <w:r w:rsidRPr="00613CCE">
        <w:rPr>
          <w:rFonts w:ascii="Palatino Linotype" w:hAnsi="Palatino Linotype" w:cs="Arial"/>
          <w:i/>
          <w:color w:val="000000"/>
          <w:sz w:val="24"/>
          <w:szCs w:val="24"/>
          <w:lang w:val="es-ES"/>
        </w:rPr>
        <w:t>planeación</w:t>
      </w:r>
      <w:r w:rsidRPr="00613CCE">
        <w:rPr>
          <w:rFonts w:ascii="Palatino Linotype" w:hAnsi="Palatino Linotype"/>
          <w:i/>
          <w:sz w:val="24"/>
          <w:szCs w:val="24"/>
          <w:lang w:val="es-ES"/>
        </w:rPr>
        <w:t xml:space="preserve">, programación, presupuestación, evaluación y </w:t>
      </w:r>
      <w:r w:rsidRPr="00613CCE">
        <w:rPr>
          <w:rFonts w:ascii="Palatino Linotype" w:hAnsi="Palatino Linotype" w:cs="Arial"/>
          <w:i/>
          <w:color w:val="000000"/>
          <w:sz w:val="24"/>
          <w:szCs w:val="24"/>
          <w:lang w:val="es-ES"/>
        </w:rPr>
        <w:t>contabilidad</w:t>
      </w:r>
      <w:r w:rsidRPr="00613CCE">
        <w:rPr>
          <w:rFonts w:ascii="Palatino Linotype" w:hAnsi="Palatino Linotype"/>
          <w:i/>
          <w:sz w:val="24"/>
          <w:szCs w:val="24"/>
          <w:lang w:val="es-ES"/>
        </w:rPr>
        <w:t xml:space="preserve"> gubernamental. </w:t>
      </w:r>
    </w:p>
    <w:p w14:paraId="53D98959" w14:textId="77777777" w:rsidR="003F22B7" w:rsidRPr="00613CCE" w:rsidRDefault="003F22B7" w:rsidP="00613CCE">
      <w:pPr>
        <w:spacing w:line="360" w:lineRule="auto"/>
        <w:ind w:left="567" w:right="567"/>
        <w:jc w:val="both"/>
        <w:rPr>
          <w:rFonts w:ascii="Palatino Linotype" w:hAnsi="Palatino Linotype"/>
          <w:b/>
          <w:i/>
          <w:sz w:val="24"/>
          <w:szCs w:val="24"/>
          <w:lang w:val="es-ES"/>
        </w:rPr>
      </w:pPr>
      <w:r w:rsidRPr="00613CCE">
        <w:rPr>
          <w:rFonts w:ascii="Palatino Linotype" w:hAnsi="Palatino Linotype" w:cs="Arial"/>
          <w:b/>
          <w:bCs/>
          <w:i/>
          <w:color w:val="000000"/>
          <w:sz w:val="24"/>
          <w:szCs w:val="24"/>
          <w:lang w:val="es-ES"/>
        </w:rPr>
        <w:t>…</w:t>
      </w:r>
    </w:p>
    <w:p w14:paraId="5B76FCF6" w14:textId="77777777" w:rsidR="003F22B7" w:rsidRPr="00613CCE" w:rsidRDefault="003F22B7" w:rsidP="00613CCE">
      <w:pPr>
        <w:spacing w:line="360" w:lineRule="auto"/>
        <w:ind w:left="567" w:right="567"/>
        <w:jc w:val="both"/>
        <w:rPr>
          <w:rFonts w:ascii="Palatino Linotype" w:hAnsi="Palatino Linotype"/>
          <w:i/>
          <w:sz w:val="24"/>
          <w:szCs w:val="24"/>
          <w:lang w:val="es-ES"/>
        </w:rPr>
      </w:pPr>
      <w:r w:rsidRPr="00613CCE">
        <w:rPr>
          <w:rFonts w:ascii="Palatino Linotype" w:hAnsi="Palatino Linotype"/>
          <w:b/>
          <w:i/>
          <w:sz w:val="24"/>
          <w:szCs w:val="24"/>
          <w:lang w:val="es-ES"/>
        </w:rPr>
        <w:t>Artículo 343.-</w:t>
      </w:r>
      <w:r w:rsidRPr="00613CCE">
        <w:rPr>
          <w:rFonts w:ascii="Palatino Linotype" w:hAnsi="Palatino Linotype"/>
          <w:i/>
          <w:sz w:val="24"/>
          <w:szCs w:val="24"/>
          <w:lang w:val="es-ES"/>
        </w:rPr>
        <w:t xml:space="preserve"> El sistema de contabilidad debe diseñarse sobre base acumulativa total y operarse en forma que facilite la fiscalización de los activos, pasivos, ingresos, egresos y, en general, que posibilite medir la eficacia del gasto público, y contener las medidas de control interno que permitan verificar el registro de la totalidad de las operaciones financieras. </w:t>
      </w:r>
    </w:p>
    <w:p w14:paraId="7ED35D34" w14:textId="77777777" w:rsidR="003F22B7" w:rsidRPr="00613CCE" w:rsidRDefault="003F22B7" w:rsidP="00613CCE">
      <w:pPr>
        <w:spacing w:line="360" w:lineRule="auto"/>
        <w:ind w:left="567" w:right="567"/>
        <w:jc w:val="both"/>
        <w:rPr>
          <w:rFonts w:ascii="Palatino Linotype" w:hAnsi="Palatino Linotype"/>
          <w:i/>
          <w:sz w:val="24"/>
          <w:szCs w:val="24"/>
          <w:lang w:val="es-ES"/>
        </w:rPr>
      </w:pPr>
    </w:p>
    <w:p w14:paraId="0DAB8D0E" w14:textId="77777777" w:rsidR="003F22B7" w:rsidRPr="00613CCE" w:rsidRDefault="003F22B7" w:rsidP="00613CCE">
      <w:pPr>
        <w:spacing w:line="360" w:lineRule="auto"/>
        <w:ind w:left="567" w:right="567"/>
        <w:jc w:val="both"/>
        <w:rPr>
          <w:rFonts w:ascii="Palatino Linotype" w:hAnsi="Palatino Linotype"/>
          <w:i/>
          <w:sz w:val="24"/>
          <w:szCs w:val="24"/>
          <w:lang w:val="es-ES"/>
        </w:rPr>
      </w:pPr>
    </w:p>
    <w:p w14:paraId="094EFAA0" w14:textId="77777777" w:rsidR="003F22B7" w:rsidRPr="00613CCE" w:rsidRDefault="003F22B7" w:rsidP="00613CCE">
      <w:pPr>
        <w:spacing w:line="360" w:lineRule="auto"/>
        <w:ind w:left="567" w:right="567"/>
        <w:jc w:val="both"/>
        <w:rPr>
          <w:rFonts w:ascii="Palatino Linotype" w:hAnsi="Palatino Linotype"/>
          <w:i/>
          <w:sz w:val="24"/>
          <w:szCs w:val="24"/>
          <w:lang w:val="es-ES"/>
        </w:rPr>
      </w:pPr>
      <w:r w:rsidRPr="00613CCE">
        <w:rPr>
          <w:rFonts w:ascii="Palatino Linotype" w:hAnsi="Palatino Linotype"/>
          <w:i/>
          <w:sz w:val="24"/>
          <w:szCs w:val="24"/>
          <w:lang w:val="es-ES"/>
        </w:rPr>
        <w:t xml:space="preserve">El sistema de contabilidad sobre base acumulativa total se sustentará en los postulados básicos y el marco conceptual de la contabilidad gubernamental. </w:t>
      </w:r>
    </w:p>
    <w:p w14:paraId="35F189DE" w14:textId="77777777" w:rsidR="003F22B7" w:rsidRPr="00613CCE" w:rsidRDefault="003F22B7" w:rsidP="00613CCE">
      <w:pPr>
        <w:spacing w:line="360" w:lineRule="auto"/>
        <w:ind w:left="567" w:right="567"/>
        <w:jc w:val="both"/>
        <w:rPr>
          <w:rFonts w:ascii="Palatino Linotype" w:hAnsi="Palatino Linotype"/>
          <w:i/>
          <w:sz w:val="24"/>
          <w:szCs w:val="24"/>
          <w:lang w:val="es-ES"/>
        </w:rPr>
      </w:pPr>
    </w:p>
    <w:p w14:paraId="0E42D6E7" w14:textId="77777777" w:rsidR="003F22B7" w:rsidRPr="00613CCE" w:rsidRDefault="003F22B7" w:rsidP="00613CCE">
      <w:pPr>
        <w:spacing w:line="360" w:lineRule="auto"/>
        <w:ind w:left="567" w:right="567"/>
        <w:jc w:val="both"/>
        <w:rPr>
          <w:rFonts w:ascii="Palatino Linotype" w:hAnsi="Palatino Linotype"/>
          <w:i/>
          <w:sz w:val="24"/>
          <w:szCs w:val="24"/>
          <w:lang w:val="es-ES"/>
        </w:rPr>
      </w:pPr>
      <w:r w:rsidRPr="00613CCE">
        <w:rPr>
          <w:rFonts w:ascii="Palatino Linotype" w:hAnsi="Palatino Linotype"/>
          <w:b/>
          <w:i/>
          <w:sz w:val="24"/>
          <w:szCs w:val="24"/>
          <w:lang w:val="es-ES"/>
        </w:rPr>
        <w:lastRenderedPageBreak/>
        <w:t xml:space="preserve">Artículo 344.- </w:t>
      </w:r>
      <w:r w:rsidRPr="00613CCE">
        <w:rPr>
          <w:rFonts w:ascii="Palatino Linotype" w:hAnsi="Palatino Linotype"/>
          <w:i/>
          <w:sz w:val="24"/>
          <w:szCs w:val="24"/>
          <w:lang w:val="es-ES"/>
        </w:rPr>
        <w:t>Las Dependencias, Entidades Públicas y unidades administrativas registrarán contablemente el efecto patrimonial y presupuestal de las operaciones financieras que realicen, en el momento en que ocurran, con base en el sistema y políticas de registro establecidas,</w:t>
      </w:r>
      <w:r w:rsidRPr="00613CCE">
        <w:rPr>
          <w:rFonts w:ascii="Palatino Linotype" w:hAnsi="Palatino Linotype"/>
          <w:b/>
          <w:i/>
          <w:sz w:val="24"/>
          <w:szCs w:val="24"/>
          <w:lang w:val="es-ES"/>
        </w:rPr>
        <w:t xml:space="preserve"> </w:t>
      </w:r>
      <w:r w:rsidRPr="00613CCE">
        <w:rPr>
          <w:rFonts w:ascii="Palatino Linotype" w:hAnsi="Palatino Linotype"/>
          <w:i/>
          <w:sz w:val="24"/>
          <w:szCs w:val="24"/>
          <w:lang w:val="es-ES"/>
        </w:rPr>
        <w:t xml:space="preserve">en el caso de los Municipios se hará por la Tesorería. </w:t>
      </w:r>
    </w:p>
    <w:p w14:paraId="353B19CF" w14:textId="77777777" w:rsidR="003F22B7" w:rsidRPr="00613CCE" w:rsidRDefault="003F22B7" w:rsidP="00613CCE">
      <w:pPr>
        <w:autoSpaceDE w:val="0"/>
        <w:autoSpaceDN w:val="0"/>
        <w:adjustRightInd w:val="0"/>
        <w:spacing w:line="360" w:lineRule="auto"/>
        <w:ind w:left="567" w:right="567"/>
        <w:jc w:val="both"/>
        <w:rPr>
          <w:rFonts w:ascii="Palatino Linotype" w:hAnsi="Palatino Linotype"/>
          <w:i/>
          <w:sz w:val="24"/>
          <w:szCs w:val="24"/>
          <w:lang w:val="es-ES"/>
        </w:rPr>
      </w:pPr>
      <w:r w:rsidRPr="00613CCE">
        <w:rPr>
          <w:rFonts w:ascii="Palatino Linotype" w:hAnsi="Palatino Linotype"/>
          <w:i/>
          <w:sz w:val="24"/>
          <w:szCs w:val="24"/>
          <w:lang w:val="es-ES"/>
        </w:rPr>
        <w:t xml:space="preserve">Derogado. </w:t>
      </w:r>
    </w:p>
    <w:p w14:paraId="3759F563" w14:textId="77777777" w:rsidR="003F22B7" w:rsidRPr="00613CCE" w:rsidRDefault="003F22B7" w:rsidP="00613CCE">
      <w:pPr>
        <w:spacing w:line="360" w:lineRule="auto"/>
        <w:ind w:left="567" w:right="567"/>
        <w:jc w:val="both"/>
        <w:rPr>
          <w:rFonts w:ascii="Palatino Linotype" w:hAnsi="Palatino Linotype"/>
          <w:i/>
          <w:sz w:val="24"/>
          <w:szCs w:val="24"/>
          <w:lang w:val="es-ES"/>
        </w:rPr>
      </w:pPr>
      <w:r w:rsidRPr="00613CCE">
        <w:rPr>
          <w:rFonts w:ascii="Palatino Linotype" w:hAnsi="Palatino Linotype"/>
          <w:b/>
          <w:i/>
          <w:sz w:val="24"/>
          <w:szCs w:val="24"/>
          <w:u w:val="single"/>
          <w:lang w:val="es-ES"/>
        </w:rPr>
        <w:t>Todo registro contable y presupuestal deberá estar soportado con los documentos comprobatorios originales</w:t>
      </w:r>
      <w:r w:rsidRPr="00613CCE">
        <w:rPr>
          <w:rFonts w:ascii="Palatino Linotype" w:hAnsi="Palatino Linotype"/>
          <w:b/>
          <w:i/>
          <w:sz w:val="24"/>
          <w:szCs w:val="24"/>
          <w:lang w:val="es-ES"/>
        </w:rPr>
        <w:t>, los que deberán permanecer en custodia y conservación de las dependencias, entidades públicas y unidades administrativas que ejercieron el gasto, y a disposición del Órgano Superior de Fiscalización del Estado de México y de los órganos de control interno, por un término de cinco años contados</w:t>
      </w:r>
      <w:r w:rsidRPr="00613CCE">
        <w:rPr>
          <w:rFonts w:ascii="Palatino Linotype" w:hAnsi="Palatino Linotype"/>
          <w:i/>
          <w:sz w:val="24"/>
          <w:szCs w:val="24"/>
          <w:lang w:val="es-ES"/>
        </w:rPr>
        <w:t xml:space="preserve"> a partir del ejercicio presupuestal siguiente al que corresponda, en el caso de los municipios se hará por la Tesorería. </w:t>
      </w:r>
    </w:p>
    <w:p w14:paraId="1127B2FB" w14:textId="77777777" w:rsidR="003F22B7" w:rsidRPr="00613CCE" w:rsidRDefault="003F22B7" w:rsidP="00613CCE">
      <w:pPr>
        <w:autoSpaceDE w:val="0"/>
        <w:autoSpaceDN w:val="0"/>
        <w:adjustRightInd w:val="0"/>
        <w:spacing w:line="360" w:lineRule="auto"/>
        <w:ind w:left="567" w:right="567"/>
        <w:jc w:val="both"/>
        <w:rPr>
          <w:rFonts w:ascii="Palatino Linotype" w:hAnsi="Palatino Linotype"/>
          <w:i/>
          <w:sz w:val="24"/>
          <w:szCs w:val="24"/>
          <w:lang w:val="es-ES"/>
        </w:rPr>
      </w:pPr>
      <w:r w:rsidRPr="00613CCE">
        <w:rPr>
          <w:rFonts w:ascii="Palatino Linotype" w:hAnsi="Palatino Linotype"/>
          <w:i/>
          <w:sz w:val="24"/>
          <w:szCs w:val="24"/>
          <w:lang w:val="es-ES"/>
        </w:rPr>
        <w:t>…</w:t>
      </w:r>
    </w:p>
    <w:p w14:paraId="3B09FCC2" w14:textId="77777777" w:rsidR="003F22B7" w:rsidRPr="00613CCE" w:rsidRDefault="003F22B7" w:rsidP="00613CCE">
      <w:pPr>
        <w:spacing w:line="360" w:lineRule="auto"/>
        <w:ind w:left="567" w:right="567"/>
        <w:jc w:val="both"/>
        <w:rPr>
          <w:rFonts w:ascii="Palatino Linotype" w:hAnsi="Palatino Linotype"/>
          <w:i/>
          <w:sz w:val="24"/>
          <w:szCs w:val="24"/>
          <w:lang w:val="es-ES"/>
        </w:rPr>
      </w:pPr>
    </w:p>
    <w:p w14:paraId="09327373" w14:textId="77777777" w:rsidR="003F22B7" w:rsidRPr="00613CCE" w:rsidRDefault="003F22B7" w:rsidP="00613CCE">
      <w:pPr>
        <w:spacing w:line="360" w:lineRule="auto"/>
        <w:ind w:left="567" w:right="567"/>
        <w:jc w:val="both"/>
        <w:rPr>
          <w:rFonts w:ascii="Palatino Linotype" w:hAnsi="Palatino Linotype"/>
          <w:i/>
          <w:sz w:val="24"/>
          <w:szCs w:val="24"/>
          <w:lang w:val="es-ES"/>
        </w:rPr>
      </w:pPr>
      <w:r w:rsidRPr="00613CCE">
        <w:rPr>
          <w:rFonts w:ascii="Palatino Linotype" w:hAnsi="Palatino Linotype"/>
          <w:b/>
          <w:i/>
          <w:sz w:val="24"/>
          <w:szCs w:val="24"/>
          <w:lang w:val="es-ES"/>
        </w:rPr>
        <w:t>Artículo 345.-</w:t>
      </w:r>
      <w:r w:rsidRPr="00613CCE">
        <w:rPr>
          <w:rFonts w:ascii="Palatino Linotype" w:hAnsi="Palatino Linotype"/>
          <w:i/>
          <w:sz w:val="24"/>
          <w:szCs w:val="24"/>
          <w:lang w:val="es-ES"/>
        </w:rPr>
        <w:t xml:space="preserve"> </w:t>
      </w:r>
      <w:r w:rsidRPr="00613CCE">
        <w:rPr>
          <w:rFonts w:ascii="Palatino Linotype" w:hAnsi="Palatino Linotype"/>
          <w:b/>
          <w:i/>
          <w:sz w:val="24"/>
          <w:szCs w:val="24"/>
          <w:lang w:val="es-ES"/>
        </w:rPr>
        <w:t>Las Dependencias, Entidades Públicas y unidades administrativas deberán conservar la documentación contable del año en curso y la de ejercicios anteriores cuyas cuentas públicas hayan sido revisadas y fiscalizadas por la Legislatura</w:t>
      </w:r>
      <w:r w:rsidRPr="00613CCE">
        <w:rPr>
          <w:rFonts w:ascii="Palatino Linotype" w:hAnsi="Palatino Linotype"/>
          <w:i/>
          <w:sz w:val="24"/>
          <w:szCs w:val="24"/>
          <w:lang w:val="es-ES"/>
        </w:rPr>
        <w:t xml:space="preserve">, la remitirán en un plazo que no </w:t>
      </w:r>
      <w:r w:rsidRPr="00613CCE">
        <w:rPr>
          <w:rFonts w:ascii="Palatino Linotype" w:hAnsi="Palatino Linotype"/>
          <w:i/>
          <w:sz w:val="24"/>
          <w:szCs w:val="24"/>
          <w:lang w:val="es-ES"/>
        </w:rPr>
        <w:lastRenderedPageBreak/>
        <w:t xml:space="preserve">excederá de seis meses al Archivo Contable Gubernamental. </w:t>
      </w:r>
      <w:r w:rsidRPr="00613CCE">
        <w:rPr>
          <w:rFonts w:ascii="Palatino Linotype" w:hAnsi="Palatino Linotype"/>
          <w:b/>
          <w:i/>
          <w:sz w:val="24"/>
          <w:szCs w:val="24"/>
          <w:lang w:val="es-ES"/>
        </w:rPr>
        <w:t>Tratándose de los comprobantes fiscales digitales, estos deberán estar agregados en forma electrónica en cada póliza de registro contable</w:t>
      </w:r>
      <w:r w:rsidRPr="00613CCE">
        <w:rPr>
          <w:rFonts w:ascii="Palatino Linotype" w:hAnsi="Palatino Linotype"/>
          <w:i/>
          <w:sz w:val="24"/>
          <w:szCs w:val="24"/>
          <w:lang w:val="es-ES"/>
        </w:rPr>
        <w:t xml:space="preserve">. </w:t>
      </w:r>
    </w:p>
    <w:p w14:paraId="6F83B580" w14:textId="77777777" w:rsidR="003F22B7" w:rsidRPr="00613CCE" w:rsidRDefault="003F22B7" w:rsidP="00613CCE">
      <w:pPr>
        <w:spacing w:line="360" w:lineRule="auto"/>
        <w:ind w:left="567" w:right="567"/>
        <w:jc w:val="both"/>
        <w:rPr>
          <w:rFonts w:ascii="Palatino Linotype" w:hAnsi="Palatino Linotype" w:cs="Arial"/>
          <w:bCs/>
          <w:i/>
          <w:color w:val="000000"/>
          <w:sz w:val="24"/>
          <w:szCs w:val="24"/>
          <w:lang w:val="es-ES"/>
        </w:rPr>
      </w:pPr>
      <w:r w:rsidRPr="00613CCE">
        <w:rPr>
          <w:rFonts w:ascii="Palatino Linotype" w:hAnsi="Palatino Linotype"/>
          <w:i/>
          <w:sz w:val="24"/>
          <w:szCs w:val="24"/>
          <w:lang w:val="es-ES"/>
        </w:rPr>
        <w:t>El plazo señalado en el párrafo anterior, empezará a contar a partir de la publicación en el Periódico Oficial, del decreto correspondiente.</w:t>
      </w:r>
      <w:r w:rsidRPr="00613CCE">
        <w:rPr>
          <w:rFonts w:ascii="Palatino Linotype" w:hAnsi="Palatino Linotype" w:cs="Arial"/>
          <w:bCs/>
          <w:i/>
          <w:color w:val="000000"/>
          <w:sz w:val="24"/>
          <w:szCs w:val="24"/>
          <w:lang w:val="es-ES"/>
        </w:rPr>
        <w:t xml:space="preserve"> “</w:t>
      </w:r>
      <w:r w:rsidRPr="00613CCE">
        <w:rPr>
          <w:rFonts w:ascii="Palatino Linotype" w:hAnsi="Palatino Linotype" w:cs="Arial"/>
          <w:i/>
          <w:sz w:val="24"/>
          <w:szCs w:val="24"/>
          <w:lang w:val="es-ES"/>
        </w:rPr>
        <w:t>(Sic)</w:t>
      </w:r>
      <w:r w:rsidRPr="00613CCE">
        <w:rPr>
          <w:rFonts w:ascii="Palatino Linotype" w:hAnsi="Palatino Linotype" w:cs="Arial"/>
          <w:bCs/>
          <w:i/>
          <w:color w:val="000000"/>
          <w:sz w:val="24"/>
          <w:szCs w:val="24"/>
          <w:lang w:val="es-ES"/>
        </w:rPr>
        <w:t xml:space="preserve"> </w:t>
      </w:r>
    </w:p>
    <w:p w14:paraId="2AD6EE94" w14:textId="77777777" w:rsidR="003F22B7" w:rsidRPr="00613CCE" w:rsidRDefault="003F22B7" w:rsidP="00613CCE">
      <w:pPr>
        <w:spacing w:line="360" w:lineRule="auto"/>
        <w:ind w:left="567" w:right="567"/>
        <w:jc w:val="both"/>
        <w:rPr>
          <w:rFonts w:ascii="Palatino Linotype" w:hAnsi="Palatino Linotype" w:cs="Arial"/>
          <w:bCs/>
          <w:i/>
          <w:color w:val="000000"/>
          <w:sz w:val="24"/>
          <w:szCs w:val="24"/>
          <w:lang w:val="es-ES"/>
        </w:rPr>
      </w:pPr>
    </w:p>
    <w:p w14:paraId="128B8001" w14:textId="77777777" w:rsidR="003F22B7" w:rsidRPr="00613CCE" w:rsidRDefault="003F22B7" w:rsidP="00613CCE">
      <w:pPr>
        <w:spacing w:line="360" w:lineRule="auto"/>
        <w:ind w:left="567" w:right="567"/>
        <w:rPr>
          <w:rFonts w:ascii="Palatino Linotype" w:hAnsi="Palatino Linotype" w:cs="Arial"/>
          <w:bCs/>
          <w:color w:val="000000"/>
          <w:sz w:val="24"/>
          <w:szCs w:val="24"/>
          <w:lang w:val="es-ES"/>
        </w:rPr>
      </w:pPr>
      <w:r w:rsidRPr="00613CCE">
        <w:rPr>
          <w:rFonts w:ascii="Palatino Linotype" w:hAnsi="Palatino Linotype" w:cs="Arial"/>
          <w:bCs/>
          <w:color w:val="000000"/>
          <w:sz w:val="24"/>
          <w:szCs w:val="24"/>
          <w:lang w:val="es-ES"/>
        </w:rPr>
        <w:t>(Énfasis añadido)</w:t>
      </w:r>
    </w:p>
    <w:p w14:paraId="0CBA70D8" w14:textId="77777777" w:rsidR="003F22B7" w:rsidRPr="00613CCE" w:rsidRDefault="003F22B7" w:rsidP="00613CCE">
      <w:pPr>
        <w:spacing w:line="360" w:lineRule="auto"/>
        <w:ind w:left="567" w:right="567"/>
        <w:jc w:val="both"/>
        <w:rPr>
          <w:rFonts w:ascii="Palatino Linotype" w:hAnsi="Palatino Linotype" w:cs="Arial"/>
          <w:bCs/>
          <w:color w:val="000000"/>
          <w:sz w:val="24"/>
          <w:szCs w:val="24"/>
          <w:lang w:val="es-ES"/>
        </w:rPr>
      </w:pPr>
    </w:p>
    <w:p w14:paraId="6787D712"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Arial"/>
          <w:bCs/>
          <w:color w:val="000000"/>
          <w:sz w:val="24"/>
          <w:szCs w:val="24"/>
          <w:lang w:val="es-ES"/>
        </w:rPr>
      </w:pPr>
      <w:r w:rsidRPr="00613CCE">
        <w:rPr>
          <w:rFonts w:ascii="Palatino Linotype" w:hAnsi="Palatino Linotype" w:cs="Arial"/>
          <w:sz w:val="24"/>
          <w:szCs w:val="24"/>
          <w:lang w:val="es-ES"/>
        </w:rPr>
        <w:t>De la normatividad previamente plasmada, se desprende primeramente que el</w:t>
      </w:r>
      <w:r w:rsidRPr="00613CCE">
        <w:rPr>
          <w:rFonts w:ascii="Palatino Linotype" w:hAnsi="Palatino Linotype" w:cs="Arial"/>
          <w:bCs/>
          <w:color w:val="000000"/>
          <w:sz w:val="24"/>
          <w:szCs w:val="24"/>
          <w:lang w:val="es-ES"/>
        </w:rPr>
        <w:t xml:space="preserve"> registro contable </w:t>
      </w:r>
      <w:r w:rsidRPr="00613CCE">
        <w:rPr>
          <w:rFonts w:ascii="Palatino Linotype" w:eastAsiaTheme="minorEastAsia" w:hAnsi="Palatino Linotype" w:cs="Arial"/>
          <w:sz w:val="24"/>
          <w:szCs w:val="24"/>
          <w:lang w:val="es-ES_tradnl"/>
        </w:rPr>
        <w:t>del</w:t>
      </w:r>
      <w:r w:rsidRPr="00613CCE">
        <w:rPr>
          <w:rFonts w:ascii="Palatino Linotype" w:hAnsi="Palatino Linotype" w:cs="Arial"/>
          <w:bCs/>
          <w:color w:val="000000"/>
          <w:sz w:val="24"/>
          <w:szCs w:val="24"/>
          <w:lang w:val="es-ES"/>
        </w:rPr>
        <w:t xml:space="preserve"> efecto patrimonial y presupuestal de las operaciones financieras se realizará conforme al sistema y a las disposiciones que se aprueben en materia de planeación, programación, presupuestación, evaluación y contabilidad gubernamental.</w:t>
      </w:r>
    </w:p>
    <w:p w14:paraId="6152CE1D" w14:textId="77777777" w:rsidR="003F22B7" w:rsidRPr="00613CCE" w:rsidRDefault="003F22B7" w:rsidP="00613CCE">
      <w:pPr>
        <w:spacing w:line="360" w:lineRule="auto"/>
        <w:contextualSpacing/>
        <w:jc w:val="both"/>
        <w:rPr>
          <w:rFonts w:ascii="Palatino Linotype" w:hAnsi="Palatino Linotype" w:cs="Arial"/>
          <w:bCs/>
          <w:color w:val="000000"/>
          <w:sz w:val="24"/>
          <w:szCs w:val="24"/>
          <w:lang w:val="es-ES"/>
        </w:rPr>
      </w:pPr>
    </w:p>
    <w:p w14:paraId="40BA230D"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Arial"/>
          <w:bCs/>
          <w:color w:val="000000"/>
          <w:sz w:val="24"/>
          <w:szCs w:val="24"/>
          <w:lang w:val="es-ES"/>
        </w:rPr>
      </w:pPr>
      <w:r w:rsidRPr="00613CCE">
        <w:rPr>
          <w:rFonts w:ascii="Palatino Linotype" w:hAnsi="Palatino Linotype" w:cs="Arial"/>
          <w:sz w:val="24"/>
          <w:szCs w:val="24"/>
          <w:lang w:val="es-ES"/>
        </w:rPr>
        <w:t>Al respecto, si bien es cierto que el Código Financiero del Estado de México y Municipios establece la obligación de los Municipios para llevar los registros contables y presupuestales; también lo es que, dicho ordenamiento jurídico no establece que debemos entender por registro contable y presupuestal</w:t>
      </w:r>
      <w:r w:rsidRPr="00613CCE">
        <w:rPr>
          <w:rFonts w:ascii="Palatino Linotype" w:hAnsi="Palatino Linotype" w:cs="Arial"/>
          <w:sz w:val="24"/>
          <w:szCs w:val="24"/>
          <w:lang w:val="es-ES" w:eastAsia="es-MX"/>
        </w:rPr>
        <w:t xml:space="preserve">; sin embargo, el “Glosario de Términos Administrativos”, emitido por el Instituto Nacional de Administración Pública, A.C. y el “Glosario de Términos para el Proceso de Planeación, Programación, </w:t>
      </w:r>
      <w:r w:rsidRPr="00613CCE">
        <w:rPr>
          <w:rFonts w:ascii="Palatino Linotype" w:hAnsi="Palatino Linotype" w:cs="Arial"/>
          <w:sz w:val="24"/>
          <w:szCs w:val="24"/>
          <w:lang w:val="es-ES" w:eastAsia="es-MX"/>
        </w:rPr>
        <w:lastRenderedPageBreak/>
        <w:t xml:space="preserve">Presupuestación y Evaluación en la Administración Pública”, elaborado por el Grupo de Trabajo de Sistemas de Información Financiera, Contable y Presupuestal de la Comisión Permanente de Funcionarios Fiscales del Instituto para el Desarrollo Técnico de las Haciendas Públicas (INDETEC) señalan las siguientes definiciones de las palabras registro contable y registro presupuestario: </w:t>
      </w:r>
    </w:p>
    <w:p w14:paraId="3FDF6E82" w14:textId="77777777" w:rsidR="003F22B7" w:rsidRPr="00613CCE" w:rsidRDefault="003F22B7" w:rsidP="00613CCE">
      <w:pPr>
        <w:spacing w:line="360" w:lineRule="auto"/>
        <w:jc w:val="both"/>
        <w:rPr>
          <w:rFonts w:ascii="Palatino Linotype" w:hAnsi="Palatino Linotype" w:cs="Arial"/>
          <w:bCs/>
          <w:color w:val="000000"/>
          <w:sz w:val="24"/>
          <w:szCs w:val="24"/>
          <w:lang w:val="es-ES"/>
        </w:rPr>
      </w:pPr>
    </w:p>
    <w:p w14:paraId="799F4152" w14:textId="77777777" w:rsidR="003F22B7" w:rsidRPr="00613CCE" w:rsidRDefault="003F22B7" w:rsidP="00613CCE">
      <w:pPr>
        <w:spacing w:line="360" w:lineRule="auto"/>
        <w:ind w:left="567" w:right="567"/>
        <w:jc w:val="both"/>
        <w:rPr>
          <w:rFonts w:ascii="Palatino Linotype" w:hAnsi="Palatino Linotype" w:cs="Arial"/>
          <w:b/>
          <w:i/>
          <w:sz w:val="24"/>
          <w:szCs w:val="24"/>
          <w:lang w:val="es-ES" w:eastAsia="es-MX"/>
        </w:rPr>
      </w:pPr>
      <w:r w:rsidRPr="00613CCE">
        <w:rPr>
          <w:rFonts w:ascii="Palatino Linotype" w:hAnsi="Palatino Linotype" w:cs="Arial"/>
          <w:b/>
          <w:i/>
          <w:sz w:val="24"/>
          <w:szCs w:val="24"/>
          <w:lang w:val="es-ES" w:eastAsia="es-MX"/>
        </w:rPr>
        <w:t xml:space="preserve">“REGISTRO CONTABLE </w:t>
      </w:r>
    </w:p>
    <w:p w14:paraId="6D99EDA8" w14:textId="77777777" w:rsidR="003F22B7" w:rsidRPr="00613CCE" w:rsidRDefault="003F22B7" w:rsidP="00613CCE">
      <w:pPr>
        <w:spacing w:line="360" w:lineRule="auto"/>
        <w:ind w:left="567" w:right="567"/>
        <w:jc w:val="both"/>
        <w:rPr>
          <w:rFonts w:ascii="Palatino Linotype" w:hAnsi="Palatino Linotype" w:cs="Arial"/>
          <w:i/>
          <w:sz w:val="24"/>
          <w:szCs w:val="24"/>
          <w:lang w:val="es-ES"/>
        </w:rPr>
      </w:pPr>
      <w:r w:rsidRPr="00613CCE">
        <w:rPr>
          <w:rFonts w:ascii="Palatino Linotype" w:hAnsi="Palatino Linotype" w:cs="Arial"/>
          <w:i/>
          <w:sz w:val="24"/>
          <w:szCs w:val="24"/>
          <w:lang w:val="es-ES" w:eastAsia="es-MX"/>
        </w:rPr>
        <w:t xml:space="preserve">Asiento que se realiza en los libros de contabilidad de las actividades relacionadas con el ingreso y egresos de un ente económico.” </w:t>
      </w:r>
    </w:p>
    <w:p w14:paraId="453F446F" w14:textId="77777777" w:rsidR="003F22B7" w:rsidRPr="00613CCE" w:rsidRDefault="003F22B7" w:rsidP="00613CCE">
      <w:pPr>
        <w:spacing w:line="360" w:lineRule="auto"/>
        <w:ind w:left="567" w:right="567"/>
        <w:jc w:val="both"/>
        <w:rPr>
          <w:rFonts w:ascii="Palatino Linotype" w:hAnsi="Palatino Linotype" w:cs="Arial"/>
          <w:i/>
          <w:sz w:val="24"/>
          <w:szCs w:val="24"/>
          <w:lang w:val="es-ES" w:eastAsia="es-MX"/>
        </w:rPr>
      </w:pPr>
    </w:p>
    <w:p w14:paraId="273140A6" w14:textId="77777777" w:rsidR="003F22B7" w:rsidRPr="00613CCE" w:rsidRDefault="003F22B7" w:rsidP="00613CCE">
      <w:pPr>
        <w:spacing w:line="360" w:lineRule="auto"/>
        <w:ind w:left="567" w:right="567"/>
        <w:jc w:val="both"/>
        <w:rPr>
          <w:rFonts w:ascii="Palatino Linotype" w:hAnsi="Palatino Linotype" w:cs="Arial"/>
          <w:b/>
          <w:i/>
          <w:sz w:val="24"/>
          <w:szCs w:val="24"/>
          <w:lang w:val="es-ES" w:eastAsia="es-MX"/>
        </w:rPr>
      </w:pPr>
      <w:r w:rsidRPr="00613CCE">
        <w:rPr>
          <w:rFonts w:ascii="Palatino Linotype" w:hAnsi="Palatino Linotype" w:cs="Arial"/>
          <w:b/>
          <w:i/>
          <w:sz w:val="24"/>
          <w:szCs w:val="24"/>
          <w:lang w:val="es-ES" w:eastAsia="es-MX"/>
        </w:rPr>
        <w:t>“REGISTRO PRESUPUESTARIO</w:t>
      </w:r>
    </w:p>
    <w:p w14:paraId="2789F07B" w14:textId="77777777" w:rsidR="003F22B7" w:rsidRPr="00613CCE" w:rsidRDefault="003F22B7" w:rsidP="00613CCE">
      <w:pPr>
        <w:spacing w:line="360" w:lineRule="auto"/>
        <w:ind w:left="567" w:right="567"/>
        <w:jc w:val="both"/>
        <w:rPr>
          <w:rFonts w:ascii="Palatino Linotype" w:hAnsi="Palatino Linotype" w:cs="Arial"/>
          <w:i/>
          <w:sz w:val="24"/>
          <w:szCs w:val="24"/>
          <w:lang w:val="es-ES" w:eastAsia="es-MX"/>
        </w:rPr>
      </w:pPr>
      <w:r w:rsidRPr="00613CCE">
        <w:rPr>
          <w:rFonts w:ascii="Palatino Linotype" w:hAnsi="Palatino Linotype" w:cs="Arial"/>
          <w:i/>
          <w:sz w:val="24"/>
          <w:szCs w:val="24"/>
          <w:lang w:val="es-ES" w:eastAsia="es-MX"/>
        </w:rPr>
        <w:t xml:space="preserve">Asiento contable de las erogaciones realizadas por las dependencias y entidades con relación a la asignación, modificación y ejercicio de los recursos presupuestarios que se les hayan autorizado.” </w:t>
      </w:r>
    </w:p>
    <w:p w14:paraId="71DB5FCB" w14:textId="77777777" w:rsidR="00613CCE" w:rsidRPr="00613CCE" w:rsidRDefault="00613CCE" w:rsidP="00613CCE">
      <w:pPr>
        <w:spacing w:line="360" w:lineRule="auto"/>
        <w:ind w:left="567" w:right="567"/>
        <w:jc w:val="both"/>
        <w:rPr>
          <w:rFonts w:ascii="Palatino Linotype" w:hAnsi="Palatino Linotype" w:cs="Arial"/>
          <w:i/>
          <w:sz w:val="24"/>
          <w:szCs w:val="24"/>
          <w:lang w:val="es-ES"/>
        </w:rPr>
      </w:pPr>
    </w:p>
    <w:p w14:paraId="07F6E908"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Arial"/>
          <w:bCs/>
          <w:color w:val="000000"/>
          <w:sz w:val="24"/>
          <w:szCs w:val="24"/>
          <w:lang w:val="es-ES"/>
        </w:rPr>
      </w:pPr>
      <w:r w:rsidRPr="00613CCE">
        <w:rPr>
          <w:rFonts w:ascii="Palatino Linotype" w:hAnsi="Palatino Linotype" w:cs="Arial"/>
          <w:bCs/>
          <w:color w:val="000000"/>
          <w:sz w:val="24"/>
          <w:szCs w:val="24"/>
          <w:lang w:val="es-ES"/>
        </w:rPr>
        <w:t xml:space="preserve">Por otra parte, se establece que el sistema de contabilidad sobre base acumulativa total se sustentará en los principios de contabilidad gubernamental, igualmente señalan que los sujetos obligados deben contar con una unidad administrativa que registra contablemente el efecto patrimonial y presupuestal de las </w:t>
      </w:r>
      <w:r w:rsidRPr="00613CCE">
        <w:rPr>
          <w:rFonts w:ascii="Palatino Linotype" w:hAnsi="Palatino Linotype" w:cs="Arial"/>
          <w:bCs/>
          <w:color w:val="000000"/>
          <w:sz w:val="24"/>
          <w:szCs w:val="24"/>
          <w:lang w:val="es-ES"/>
        </w:rPr>
        <w:lastRenderedPageBreak/>
        <w:t>operaciones financieras que realizan, en el momento en que ocurran, con base en el sistema y políticas de registro establecidas.</w:t>
      </w:r>
    </w:p>
    <w:p w14:paraId="26569C2B" w14:textId="77777777" w:rsidR="003F22B7" w:rsidRPr="00613CCE" w:rsidRDefault="003F22B7" w:rsidP="00613CCE">
      <w:pPr>
        <w:autoSpaceDE w:val="0"/>
        <w:autoSpaceDN w:val="0"/>
        <w:adjustRightInd w:val="0"/>
        <w:spacing w:line="360" w:lineRule="auto"/>
        <w:jc w:val="both"/>
        <w:rPr>
          <w:rFonts w:ascii="Palatino Linotype" w:hAnsi="Palatino Linotype" w:cs="Arial"/>
          <w:sz w:val="24"/>
          <w:szCs w:val="24"/>
          <w:lang w:val="es-ES" w:eastAsia="es-MX"/>
        </w:rPr>
      </w:pPr>
    </w:p>
    <w:p w14:paraId="63B1E34D"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Arial"/>
          <w:sz w:val="24"/>
          <w:szCs w:val="24"/>
          <w:lang w:val="es-ES" w:eastAsia="es-MX"/>
        </w:rPr>
      </w:pPr>
      <w:r w:rsidRPr="00613CCE">
        <w:rPr>
          <w:rFonts w:ascii="Palatino Linotype" w:hAnsi="Palatino Linotype" w:cs="Arial"/>
          <w:sz w:val="24"/>
          <w:szCs w:val="24"/>
          <w:lang w:val="es-ES" w:eastAsia="es-MX"/>
        </w:rPr>
        <w:t xml:space="preserve">Correlativo a lo anterior, es preciso referir una definición de </w:t>
      </w:r>
      <w:r w:rsidRPr="00613CCE">
        <w:rPr>
          <w:rFonts w:ascii="Palatino Linotype" w:hAnsi="Palatino Linotype" w:cs="Arial"/>
          <w:b/>
          <w:sz w:val="24"/>
          <w:szCs w:val="24"/>
          <w:lang w:val="es-ES" w:eastAsia="es-MX"/>
        </w:rPr>
        <w:t>póliza contable</w:t>
      </w:r>
      <w:r w:rsidRPr="00613CCE">
        <w:rPr>
          <w:rFonts w:ascii="Palatino Linotype" w:hAnsi="Palatino Linotype" w:cs="Arial"/>
          <w:sz w:val="24"/>
          <w:szCs w:val="24"/>
          <w:lang w:val="es-ES" w:eastAsia="es-MX"/>
        </w:rPr>
        <w:t xml:space="preserve">, la cual, primeramente, no </w:t>
      </w:r>
      <w:r w:rsidRPr="00613CCE">
        <w:rPr>
          <w:rFonts w:ascii="Palatino Linotype" w:hAnsi="Palatino Linotype" w:cs="Arial"/>
          <w:bCs/>
          <w:color w:val="000000"/>
          <w:sz w:val="24"/>
          <w:szCs w:val="24"/>
          <w:lang w:val="es-ES"/>
        </w:rPr>
        <w:t>está</w:t>
      </w:r>
      <w:r w:rsidRPr="00613CCE">
        <w:rPr>
          <w:rFonts w:ascii="Palatino Linotype" w:hAnsi="Palatino Linotype" w:cs="Arial"/>
          <w:sz w:val="24"/>
          <w:szCs w:val="24"/>
          <w:lang w:val="es-ES" w:eastAsia="es-MX"/>
        </w:rPr>
        <w:t xml:space="preserve"> definida en el Código Financiero del Estado de México y Municipios; no obstante, los ya mencionados Glosarios la definen como: </w:t>
      </w:r>
    </w:p>
    <w:p w14:paraId="3A69FE54" w14:textId="77777777" w:rsidR="003F22B7" w:rsidRPr="00613CCE" w:rsidRDefault="003F22B7" w:rsidP="00613CCE">
      <w:pPr>
        <w:spacing w:line="360" w:lineRule="auto"/>
        <w:ind w:left="567" w:right="567"/>
        <w:jc w:val="both"/>
        <w:rPr>
          <w:rFonts w:ascii="Palatino Linotype" w:hAnsi="Palatino Linotype" w:cs="Arial"/>
          <w:b/>
          <w:i/>
          <w:sz w:val="24"/>
          <w:szCs w:val="24"/>
          <w:lang w:val="es-ES" w:eastAsia="es-MX"/>
        </w:rPr>
      </w:pPr>
      <w:r w:rsidRPr="00613CCE">
        <w:rPr>
          <w:rFonts w:ascii="Palatino Linotype" w:hAnsi="Palatino Linotype" w:cs="Arial"/>
          <w:i/>
          <w:sz w:val="24"/>
          <w:szCs w:val="24"/>
          <w:lang w:val="es-ES" w:eastAsia="es-MX"/>
        </w:rPr>
        <w:t>“</w:t>
      </w:r>
      <w:r w:rsidRPr="00613CCE">
        <w:rPr>
          <w:rFonts w:ascii="Palatino Linotype" w:hAnsi="Palatino Linotype" w:cs="Arial"/>
          <w:b/>
          <w:i/>
          <w:sz w:val="24"/>
          <w:szCs w:val="24"/>
          <w:lang w:val="es-ES" w:eastAsia="es-MX"/>
        </w:rPr>
        <w:t>PÓLIZA CONTABLE</w:t>
      </w:r>
    </w:p>
    <w:p w14:paraId="0F4EB1F0" w14:textId="77777777" w:rsidR="003F22B7" w:rsidRPr="00613CCE" w:rsidRDefault="003F22B7" w:rsidP="00613CCE">
      <w:pPr>
        <w:spacing w:line="360" w:lineRule="auto"/>
        <w:ind w:left="567" w:right="567"/>
        <w:jc w:val="both"/>
        <w:rPr>
          <w:rFonts w:ascii="Palatino Linotype" w:hAnsi="Palatino Linotype" w:cs="Arial"/>
          <w:i/>
          <w:sz w:val="24"/>
          <w:szCs w:val="24"/>
          <w:lang w:val="es-ES" w:eastAsia="es-MX"/>
        </w:rPr>
      </w:pPr>
      <w:r w:rsidRPr="00613CCE">
        <w:rPr>
          <w:rFonts w:ascii="Palatino Linotype" w:hAnsi="Palatino Linotype" w:cs="Arial"/>
          <w:i/>
          <w:sz w:val="24"/>
          <w:szCs w:val="24"/>
          <w:lang w:val="es-ES" w:eastAsia="es-MX"/>
        </w:rPr>
        <w:t xml:space="preserve">Documento en el cual </w:t>
      </w:r>
      <w:r w:rsidRPr="00613CCE">
        <w:rPr>
          <w:rFonts w:ascii="Palatino Linotype" w:hAnsi="Palatino Linotype" w:cs="Arial"/>
          <w:i/>
          <w:sz w:val="24"/>
          <w:szCs w:val="24"/>
          <w:u w:val="single"/>
          <w:lang w:val="es-ES" w:eastAsia="es-MX"/>
        </w:rPr>
        <w:t>se asientan en forma individual todas y cada una de las operaciones desarrolladas por una institución</w:t>
      </w:r>
      <w:r w:rsidRPr="00613CCE">
        <w:rPr>
          <w:rFonts w:ascii="Palatino Linotype" w:hAnsi="Palatino Linotype" w:cs="Arial"/>
          <w:i/>
          <w:sz w:val="24"/>
          <w:szCs w:val="24"/>
          <w:lang w:val="es-ES" w:eastAsia="es-MX"/>
        </w:rPr>
        <w:t xml:space="preserve">, así como la </w:t>
      </w:r>
      <w:r w:rsidRPr="00613CCE">
        <w:rPr>
          <w:rFonts w:ascii="Palatino Linotype" w:hAnsi="Palatino Linotype" w:cs="Arial"/>
          <w:i/>
          <w:sz w:val="24"/>
          <w:szCs w:val="24"/>
          <w:u w:val="single"/>
          <w:lang w:val="es-ES" w:eastAsia="es-MX"/>
        </w:rPr>
        <w:t xml:space="preserve">información necesaria para la identificación </w:t>
      </w:r>
      <w:r w:rsidRPr="00613CCE">
        <w:rPr>
          <w:rFonts w:ascii="Palatino Linotype" w:hAnsi="Palatino Linotype" w:cs="Arial"/>
          <w:i/>
          <w:sz w:val="24"/>
          <w:szCs w:val="24"/>
          <w:lang w:val="es-ES" w:eastAsia="es-MX"/>
        </w:rPr>
        <w:t>de dichas operaciones.” (sic)</w:t>
      </w:r>
    </w:p>
    <w:p w14:paraId="590CFA5C" w14:textId="77777777" w:rsidR="003F22B7" w:rsidRPr="00613CCE" w:rsidRDefault="003F22B7" w:rsidP="00613CCE">
      <w:pPr>
        <w:spacing w:line="360" w:lineRule="auto"/>
        <w:contextualSpacing/>
        <w:jc w:val="both"/>
        <w:rPr>
          <w:rFonts w:ascii="Palatino Linotype" w:hAnsi="Palatino Linotype" w:cs="Arial"/>
          <w:sz w:val="24"/>
          <w:szCs w:val="24"/>
          <w:lang w:val="es-ES" w:eastAsia="es-MX"/>
        </w:rPr>
      </w:pPr>
    </w:p>
    <w:p w14:paraId="61ED81C6"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Arial"/>
          <w:sz w:val="24"/>
          <w:szCs w:val="24"/>
          <w:lang w:val="es-ES" w:eastAsia="es-MX"/>
        </w:rPr>
      </w:pPr>
      <w:r w:rsidRPr="00613CCE">
        <w:rPr>
          <w:rFonts w:ascii="Palatino Linotype" w:hAnsi="Palatino Linotype" w:cs="Arial"/>
          <w:sz w:val="24"/>
          <w:szCs w:val="24"/>
          <w:lang w:val="es-ES" w:eastAsia="es-MX"/>
        </w:rPr>
        <w:t>Así, se advierte que la póliza contable constituye un registro contable y presupuestal con el que cuentan los Municipios para el registro de sus operaciones relacionadas con sus ingresos y egresos y se anexan los documentos o comprobantes que justifiquen las anotaciones y cantidades en ellas registradas, lo que permite la identificación plena de dichas operaciones.</w:t>
      </w:r>
    </w:p>
    <w:p w14:paraId="6F986769" w14:textId="77777777" w:rsidR="003F22B7" w:rsidRPr="00613CCE" w:rsidRDefault="003F22B7" w:rsidP="00613CCE">
      <w:pPr>
        <w:spacing w:line="360" w:lineRule="auto"/>
        <w:jc w:val="both"/>
        <w:rPr>
          <w:rFonts w:ascii="Palatino Linotype" w:hAnsi="Palatino Linotype" w:cs="Arial"/>
          <w:sz w:val="24"/>
          <w:szCs w:val="24"/>
          <w:lang w:val="es-ES" w:eastAsia="es-MX"/>
        </w:rPr>
      </w:pPr>
    </w:p>
    <w:p w14:paraId="44C42938" w14:textId="77777777" w:rsidR="003F22B7" w:rsidRPr="00613CCE" w:rsidRDefault="003F22B7"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Arial"/>
          <w:sz w:val="24"/>
          <w:szCs w:val="24"/>
          <w:lang w:val="es-ES" w:eastAsia="es-MX"/>
        </w:rPr>
      </w:pPr>
      <w:r w:rsidRPr="00613CCE">
        <w:rPr>
          <w:rFonts w:ascii="Palatino Linotype" w:hAnsi="Palatino Linotype" w:cs="Arial"/>
          <w:sz w:val="24"/>
          <w:szCs w:val="24"/>
          <w:lang w:val="es-ES" w:eastAsia="es-MX"/>
        </w:rPr>
        <w:t xml:space="preserve">En este sentido, existen diversos tipos de pólizas contables de acuerdo a las operaciones realizadas, dentro de las cuales, encontramos las llamadas pólizas de egresos, en las cuales se anotan diariamente las operaciones que representan egresos, </w:t>
      </w:r>
      <w:r w:rsidRPr="00613CCE">
        <w:rPr>
          <w:rFonts w:ascii="Palatino Linotype" w:hAnsi="Palatino Linotype" w:cs="Arial"/>
          <w:sz w:val="24"/>
          <w:szCs w:val="24"/>
          <w:lang w:val="es-ES" w:eastAsia="es-MX"/>
        </w:rPr>
        <w:lastRenderedPageBreak/>
        <w:t xml:space="preserve">es decir, salidas de dinero para el </w:t>
      </w:r>
      <w:r w:rsidRPr="00613CCE">
        <w:rPr>
          <w:rFonts w:ascii="Palatino Linotype" w:hAnsi="Palatino Linotype" w:cs="Arial"/>
          <w:b/>
          <w:sz w:val="24"/>
          <w:szCs w:val="24"/>
          <w:lang w:val="es-ES" w:eastAsia="es-MX"/>
        </w:rPr>
        <w:t>SUJETO OBLIGADO</w:t>
      </w:r>
      <w:r w:rsidRPr="00613CCE">
        <w:rPr>
          <w:rFonts w:ascii="Palatino Linotype" w:hAnsi="Palatino Linotype" w:cs="Arial"/>
          <w:sz w:val="24"/>
          <w:szCs w:val="24"/>
          <w:lang w:val="es-ES" w:eastAsia="es-MX"/>
        </w:rPr>
        <w:t xml:space="preserve">, la cual además, debe encontrarse acompañada de las documentales que sirven de soporte de dicho movimiento. </w:t>
      </w:r>
    </w:p>
    <w:p w14:paraId="346E2FC6" w14:textId="77777777" w:rsidR="00AE63FD" w:rsidRPr="00613CCE" w:rsidRDefault="00AE63FD" w:rsidP="00613CCE">
      <w:pPr>
        <w:pStyle w:val="Prrafodelista"/>
        <w:spacing w:line="360" w:lineRule="auto"/>
        <w:rPr>
          <w:rFonts w:ascii="Palatino Linotype" w:hAnsi="Palatino Linotype"/>
          <w:sz w:val="24"/>
        </w:rPr>
      </w:pPr>
    </w:p>
    <w:p w14:paraId="022B7E06" w14:textId="77777777" w:rsidR="00E81211" w:rsidRPr="00613CCE" w:rsidRDefault="00E81211" w:rsidP="00613CCE">
      <w:pPr>
        <w:numPr>
          <w:ilvl w:val="0"/>
          <w:numId w:val="6"/>
        </w:numPr>
        <w:pBdr>
          <w:top w:val="nil"/>
          <w:left w:val="nil"/>
          <w:bottom w:val="nil"/>
          <w:right w:val="nil"/>
          <w:between w:val="nil"/>
        </w:pBdr>
        <w:spacing w:line="360" w:lineRule="auto"/>
        <w:ind w:left="0" w:firstLine="0"/>
        <w:jc w:val="both"/>
        <w:rPr>
          <w:rFonts w:ascii="Palatino Linotype" w:hAnsi="Palatino Linotype"/>
          <w:i/>
          <w:sz w:val="24"/>
          <w:szCs w:val="24"/>
        </w:rPr>
      </w:pPr>
      <w:r w:rsidRPr="00613CCE">
        <w:rPr>
          <w:rFonts w:ascii="Palatino Linotype" w:hAnsi="Palatino Linotype"/>
          <w:sz w:val="24"/>
          <w:szCs w:val="24"/>
        </w:rPr>
        <w:t>En conclusión, a todo lo antes expuesto, se colige que la respuesta del Sujeto Obligado no satisface el derecho de acceso a la información, por ello resulta procedente determinar que el motivo de agravio hecho valer por la parte Recurrente resulta FUNDADO.</w:t>
      </w:r>
    </w:p>
    <w:p w14:paraId="598E5D68" w14:textId="77777777" w:rsidR="00613CCE" w:rsidRDefault="00613CCE" w:rsidP="00613CCE">
      <w:pPr>
        <w:pStyle w:val="Prrafodelista"/>
        <w:rPr>
          <w:rFonts w:ascii="Palatino Linotype" w:hAnsi="Palatino Linotype"/>
          <w:i/>
          <w:sz w:val="24"/>
        </w:rPr>
      </w:pPr>
    </w:p>
    <w:p w14:paraId="45A24596" w14:textId="77777777" w:rsidR="00706629" w:rsidRPr="00613CCE" w:rsidRDefault="0070662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Con la determinación anterior quedará por colmado el derecho de acceso a la información del ahora Recurrente; toda vez que el Derecho que tutela este Órgano Garante corresponde a la  </w:t>
      </w:r>
      <w:r w:rsidRPr="00613CCE">
        <w:rPr>
          <w:rFonts w:ascii="Palatino Linotype" w:eastAsia="Palatino Linotype" w:hAnsi="Palatino Linotype" w:cs="Palatino Linotype"/>
          <w:i/>
          <w:color w:val="000000"/>
          <w:sz w:val="24"/>
          <w:szCs w:val="24"/>
        </w:rPr>
        <w:t>igualdad de oportunidades para recibir, buscar e impartir información</w:t>
      </w:r>
      <w:r w:rsidRPr="00613CCE">
        <w:rPr>
          <w:rFonts w:ascii="Palatino Linotype" w:eastAsia="Palatino Linotype" w:hAnsi="Palatino Linotype" w:cs="Palatino Linotype"/>
          <w:i/>
          <w:color w:val="000000"/>
          <w:sz w:val="24"/>
          <w:szCs w:val="24"/>
          <w:vertAlign w:val="superscript"/>
        </w:rPr>
        <w:footnoteReference w:id="2"/>
      </w:r>
      <w:r w:rsidRPr="00613CCE">
        <w:rPr>
          <w:rFonts w:ascii="Palatino Linotype" w:eastAsia="Palatino Linotype" w:hAnsi="Palatino Linotype" w:cs="Palatino Linotype"/>
          <w:i/>
          <w:color w:val="000000"/>
          <w:sz w:val="24"/>
          <w:szCs w:val="24"/>
        </w:rPr>
        <w:t xml:space="preserve"> en posesión de cualquier autoridad, entidad, órgano y organismo de los </w:t>
      </w:r>
      <w:r w:rsidRPr="00613CCE">
        <w:rPr>
          <w:rFonts w:ascii="Palatino Linotype" w:eastAsia="Palatino Linotype" w:hAnsi="Palatino Linotype" w:cs="Palatino Linotype"/>
          <w:color w:val="000000"/>
          <w:sz w:val="24"/>
          <w:szCs w:val="24"/>
        </w:rPr>
        <w:t>poderes</w:t>
      </w:r>
      <w:r w:rsidRPr="00613CCE">
        <w:rPr>
          <w:rFonts w:ascii="Palatino Linotype" w:eastAsia="Palatino Linotype" w:hAnsi="Palatino Linotype" w:cs="Palatino Linotype"/>
          <w:i/>
          <w:color w:val="000000"/>
          <w:sz w:val="24"/>
          <w:szCs w:val="24"/>
        </w:rPr>
        <w:t xml:space="preserve"> Ejecutivo, Legislativo y Judicial, órganos autónomos, partidos políticos, fideicomisos, y fondos públicos, así como de cualquier persona física, moral o sindicato que reciba y ejerza recursos públicos o realice actos de autoridad en el ámbito federal, estatal y municipal</w:t>
      </w:r>
      <w:r w:rsidRPr="00613CCE">
        <w:rPr>
          <w:rFonts w:ascii="Palatino Linotype" w:eastAsia="Palatino Linotype" w:hAnsi="Palatino Linotype" w:cs="Palatino Linotype"/>
          <w:color w:val="000000"/>
          <w:sz w:val="24"/>
          <w:szCs w:val="24"/>
          <w:vertAlign w:val="superscript"/>
        </w:rPr>
        <w:footnoteReference w:id="3"/>
      </w:r>
      <w:r w:rsidRPr="00613CCE">
        <w:rPr>
          <w:rFonts w:ascii="Palatino Linotype" w:eastAsia="Palatino Linotype" w:hAnsi="Palatino Linotype" w:cs="Palatino Linotype"/>
          <w:i/>
          <w:color w:val="000000"/>
          <w:sz w:val="24"/>
          <w:szCs w:val="24"/>
        </w:rPr>
        <w:t xml:space="preserve"> </w:t>
      </w:r>
      <w:r w:rsidRPr="00613CCE">
        <w:rPr>
          <w:rFonts w:ascii="Palatino Linotype" w:eastAsia="Palatino Linotype" w:hAnsi="Palatino Linotype" w:cs="Palatino Linotype"/>
          <w:color w:val="000000"/>
          <w:sz w:val="24"/>
          <w:szCs w:val="24"/>
        </w:rPr>
        <w:t xml:space="preserve">que se constituye como una herramienta fundamental para </w:t>
      </w:r>
      <w:r w:rsidRPr="00613CCE">
        <w:rPr>
          <w:rFonts w:ascii="Palatino Linotype" w:eastAsia="Palatino Linotype" w:hAnsi="Palatino Linotype" w:cs="Palatino Linotype"/>
          <w:i/>
          <w:color w:val="000000"/>
          <w:sz w:val="24"/>
          <w:szCs w:val="24"/>
        </w:rPr>
        <w:t xml:space="preserve">ejercer control democrático de las gestiones estatales, de forma tal que puedan cuestionar, indagar y considerar si se está dando </w:t>
      </w:r>
      <w:r w:rsidRPr="00613CCE">
        <w:rPr>
          <w:rFonts w:ascii="Palatino Linotype" w:eastAsia="Palatino Linotype" w:hAnsi="Palatino Linotype" w:cs="Palatino Linotype"/>
          <w:i/>
          <w:color w:val="000000"/>
          <w:sz w:val="24"/>
          <w:szCs w:val="24"/>
        </w:rPr>
        <w:lastRenderedPageBreak/>
        <w:t>un adecuado cumplimiento de las funciones públicas,</w:t>
      </w:r>
      <w:r w:rsidRPr="00613CCE">
        <w:rPr>
          <w:rFonts w:ascii="Palatino Linotype" w:eastAsia="Palatino Linotype" w:hAnsi="Palatino Linotype" w:cs="Palatino Linotype"/>
          <w:i/>
          <w:color w:val="000000"/>
          <w:sz w:val="24"/>
          <w:szCs w:val="24"/>
          <w:vertAlign w:val="superscript"/>
        </w:rPr>
        <w:footnoteReference w:id="4"/>
      </w:r>
      <w:r w:rsidRPr="00613CCE">
        <w:rPr>
          <w:rFonts w:ascii="Palatino Linotype" w:eastAsia="Palatino Linotype" w:hAnsi="Palatino Linotype" w:cs="Palatino Linotype"/>
          <w:color w:val="000000"/>
          <w:sz w:val="24"/>
          <w:szCs w:val="24"/>
        </w:rPr>
        <w:t>fomentando</w:t>
      </w:r>
      <w:r w:rsidRPr="00613CCE">
        <w:rPr>
          <w:rFonts w:ascii="Palatino Linotype" w:eastAsia="Palatino Linotype" w:hAnsi="Palatino Linotype" w:cs="Palatino Linotype"/>
          <w:i/>
          <w:color w:val="000000"/>
          <w:sz w:val="24"/>
          <w:szCs w:val="24"/>
        </w:rPr>
        <w:t xml:space="preserve"> la transparencia de las actividades estatales y</w:t>
      </w:r>
      <w:r w:rsidRPr="00613CCE">
        <w:rPr>
          <w:rFonts w:ascii="Palatino Linotype" w:eastAsia="Palatino Linotype" w:hAnsi="Palatino Linotype" w:cs="Palatino Linotype"/>
          <w:color w:val="000000"/>
          <w:sz w:val="24"/>
          <w:szCs w:val="24"/>
        </w:rPr>
        <w:t xml:space="preserve"> promoviendo</w:t>
      </w:r>
      <w:r w:rsidRPr="00613CCE">
        <w:rPr>
          <w:rFonts w:ascii="Palatino Linotype" w:eastAsia="Palatino Linotype" w:hAnsi="Palatino Linotype" w:cs="Palatino Linotype"/>
          <w:i/>
          <w:color w:val="000000"/>
          <w:sz w:val="24"/>
          <w:szCs w:val="24"/>
        </w:rPr>
        <w:t xml:space="preserve"> la responsabilidad de los funcionarios sobre su gestión pública</w:t>
      </w:r>
      <w:r w:rsidRPr="00613CCE">
        <w:rPr>
          <w:rFonts w:ascii="Palatino Linotype" w:eastAsia="Palatino Linotype" w:hAnsi="Palatino Linotype" w:cs="Palatino Linotype"/>
          <w:i/>
          <w:color w:val="000000"/>
          <w:sz w:val="24"/>
          <w:szCs w:val="24"/>
          <w:vertAlign w:val="superscript"/>
        </w:rPr>
        <w:footnoteReference w:id="5"/>
      </w:r>
      <w:r w:rsidRPr="00613CCE">
        <w:rPr>
          <w:rFonts w:ascii="Palatino Linotype" w:eastAsia="Palatino Linotype" w:hAnsi="Palatino Linotype" w:cs="Palatino Linotype"/>
          <w:i/>
          <w:color w:val="000000"/>
          <w:sz w:val="24"/>
          <w:szCs w:val="24"/>
        </w:rPr>
        <w:t xml:space="preserve"> </w:t>
      </w:r>
      <w:r w:rsidRPr="00613CCE">
        <w:rPr>
          <w:rFonts w:ascii="Palatino Linotype" w:eastAsia="Palatino Linotype" w:hAnsi="Palatino Linotype" w:cs="Palatino Linotype"/>
          <w:color w:val="000000"/>
          <w:sz w:val="24"/>
          <w:szCs w:val="24"/>
        </w:rPr>
        <w:t>que permite</w:t>
      </w:r>
      <w:r w:rsidRPr="00613CCE">
        <w:rPr>
          <w:rFonts w:ascii="Palatino Linotype" w:eastAsia="Palatino Linotype" w:hAnsi="Palatino Linotype" w:cs="Palatino Linotype"/>
          <w:i/>
          <w:color w:val="000000"/>
          <w:sz w:val="24"/>
          <w:szCs w:val="24"/>
        </w:rPr>
        <w:t xml:space="preserve"> saber qué están haciendo los gobiernos por sus pueblos, sin lo cual la verdad languidecería y la participación en el gobierno permanecería fragmentada.</w:t>
      </w:r>
      <w:r w:rsidRPr="00613CCE">
        <w:rPr>
          <w:rFonts w:ascii="Palatino Linotype" w:eastAsia="Palatino Linotype" w:hAnsi="Palatino Linotype" w:cs="Palatino Linotype"/>
          <w:i/>
          <w:color w:val="000000"/>
          <w:sz w:val="24"/>
          <w:szCs w:val="24"/>
          <w:vertAlign w:val="superscript"/>
        </w:rPr>
        <w:footnoteReference w:id="6"/>
      </w:r>
      <w:r w:rsidRPr="00613CCE">
        <w:rPr>
          <w:rFonts w:ascii="Palatino Linotype" w:eastAsia="Palatino Linotype" w:hAnsi="Palatino Linotype" w:cs="Palatino Linotype"/>
          <w:color w:val="000000"/>
          <w:sz w:val="24"/>
          <w:szCs w:val="24"/>
        </w:rPr>
        <w:t xml:space="preserve"> ” </w:t>
      </w:r>
    </w:p>
    <w:p w14:paraId="7D545E0F" w14:textId="77777777" w:rsidR="00B506BA" w:rsidRPr="00613CCE" w:rsidRDefault="00B506BA"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28A96C19" w14:textId="77777777" w:rsidR="00706629" w:rsidRPr="00613CCE" w:rsidRDefault="0070662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color w:val="000000"/>
          <w:sz w:val="24"/>
          <w:szCs w:val="24"/>
        </w:rPr>
        <w:t>Para entender los alcances de la información pública se considera importante citar el criterio de interpretación en el orden administrativo número 0002-11, emitido por Acuerdo del Pleno de este Instituto de Transparencia y Acceso a la Información Pública del Estado de México y Municipios, publicado en el Periódico Oficial del Gobierno del Estado Libre y Soberano de México “Gaceta del Gobierno” el diecinueve de octubre de dos mil once, cuyo rubro y texto dispone:</w:t>
      </w:r>
    </w:p>
    <w:p w14:paraId="06A4BE4C" w14:textId="77777777" w:rsidR="00706629" w:rsidRPr="00613CCE" w:rsidRDefault="00706629" w:rsidP="00613CCE">
      <w:pPr>
        <w:pBdr>
          <w:top w:val="nil"/>
          <w:left w:val="nil"/>
          <w:bottom w:val="nil"/>
          <w:right w:val="nil"/>
          <w:between w:val="nil"/>
        </w:pBdr>
        <w:spacing w:line="360" w:lineRule="auto"/>
        <w:ind w:left="720"/>
        <w:rPr>
          <w:rFonts w:ascii="Palatino Linotype" w:eastAsia="Palatino Linotype" w:hAnsi="Palatino Linotype" w:cs="Palatino Linotype"/>
          <w:i/>
          <w:color w:val="000000"/>
          <w:sz w:val="24"/>
          <w:szCs w:val="24"/>
        </w:rPr>
      </w:pPr>
    </w:p>
    <w:p w14:paraId="79251A76" w14:textId="77777777" w:rsidR="00706629" w:rsidRPr="00613CCE" w:rsidRDefault="00706629" w:rsidP="00613CCE">
      <w:pPr>
        <w:spacing w:line="360" w:lineRule="auto"/>
        <w:ind w:left="426" w:right="474"/>
        <w:jc w:val="both"/>
        <w:rPr>
          <w:rFonts w:ascii="Palatino Linotype" w:eastAsia="Palatino Linotype" w:hAnsi="Palatino Linotype" w:cs="Palatino Linotype"/>
          <w:b/>
          <w:i/>
          <w:color w:val="000000"/>
          <w:sz w:val="24"/>
          <w:szCs w:val="24"/>
        </w:rPr>
      </w:pPr>
      <w:r w:rsidRPr="00613CCE">
        <w:rPr>
          <w:rFonts w:ascii="Palatino Linotype" w:eastAsia="Palatino Linotype" w:hAnsi="Palatino Linotype" w:cs="Palatino Linotype"/>
          <w:b/>
          <w:i/>
          <w:color w:val="000000"/>
          <w:sz w:val="24"/>
          <w:szCs w:val="24"/>
        </w:rPr>
        <w:t>“CRITERIO 0002-11</w:t>
      </w:r>
    </w:p>
    <w:p w14:paraId="1F750B31" w14:textId="77777777" w:rsidR="00706629" w:rsidRPr="00613CCE" w:rsidRDefault="00706629" w:rsidP="00613CCE">
      <w:pPr>
        <w:spacing w:line="360" w:lineRule="auto"/>
        <w:ind w:left="425" w:right="476"/>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 xml:space="preserve">INFORMACIÓN PÚBLICA, CONCEPTO DE, EN MATERIA DE TRANSPARENCIA. INTERPRETACIÓN TEMÁTICA DE LOS ARTÍCULOS </w:t>
      </w:r>
      <w:r w:rsidRPr="00613CCE">
        <w:rPr>
          <w:rFonts w:ascii="Palatino Linotype" w:eastAsia="Palatino Linotype" w:hAnsi="Palatino Linotype" w:cs="Palatino Linotype"/>
          <w:b/>
          <w:i/>
          <w:color w:val="000000"/>
          <w:sz w:val="24"/>
          <w:szCs w:val="24"/>
        </w:rPr>
        <w:lastRenderedPageBreak/>
        <w:t>2, FRACCIÓN V, XV, Y XVI, 3, 4,11 Y 41.</w:t>
      </w:r>
      <w:r w:rsidRPr="00613CCE">
        <w:rPr>
          <w:rFonts w:ascii="Palatino Linotype" w:eastAsia="Palatino Linotype" w:hAnsi="Palatino Linotype" w:cs="Palatino Linotype"/>
          <w:i/>
          <w:color w:val="000000"/>
          <w:sz w:val="24"/>
          <w:szCs w:val="24"/>
        </w:rPr>
        <w:t xml:space="preserve"> De conformidad con los artículos antes referidos, el derecho de acceso a la información pública, se define en cuanto a su alcance y resultado material, el acceso a los archivos, registros y documentos públicos, administrados, generados o en posesión de los órganos u organismos públicos, en virtud del ejercicio de sus funciones de derecho público, sin importar su fuente, soporte o fecha de elaboración.</w:t>
      </w:r>
    </w:p>
    <w:p w14:paraId="683B270C" w14:textId="77777777" w:rsidR="00706629" w:rsidRPr="00613CCE" w:rsidRDefault="00706629" w:rsidP="00613CCE">
      <w:pPr>
        <w:spacing w:line="360" w:lineRule="auto"/>
        <w:ind w:left="425" w:right="476"/>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En consecuencia el acceso a la información se refiere a que se cumplan cualquiera de los siguientes tres supuestos:</w:t>
      </w:r>
    </w:p>
    <w:p w14:paraId="4055E5CE" w14:textId="77777777" w:rsidR="00706629" w:rsidRPr="00613CCE" w:rsidRDefault="00706629" w:rsidP="00613CCE">
      <w:pPr>
        <w:spacing w:line="360" w:lineRule="auto"/>
        <w:ind w:left="425" w:right="476"/>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Que se trate de información registrada en cualquier soporte documental, que en ejercicio de las atribuciones conferidas, sea generada por los Sujetos Obligados;</w:t>
      </w:r>
    </w:p>
    <w:p w14:paraId="3A5DDFA3" w14:textId="77777777" w:rsidR="00706629" w:rsidRPr="00613CCE" w:rsidRDefault="00706629" w:rsidP="00613CCE">
      <w:pPr>
        <w:spacing w:line="360" w:lineRule="auto"/>
        <w:ind w:left="425" w:right="476"/>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Que se trate de información registrada en cualquier soporte documental, que en ejercicio de las atribuciones conferidas, sea administrada por los Sujetos Obligados, y</w:t>
      </w:r>
    </w:p>
    <w:p w14:paraId="3E5934D9" w14:textId="77777777" w:rsidR="00706629" w:rsidRPr="00613CCE" w:rsidRDefault="00706629" w:rsidP="00613CCE">
      <w:pPr>
        <w:spacing w:line="360" w:lineRule="auto"/>
        <w:ind w:left="425" w:right="476"/>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Que se trate de información registrada en cualquier soporte documental, que en ejercicio de las atribuciones conferidas, se encuentre en posesión de los Sujetos Obligados.”</w:t>
      </w:r>
    </w:p>
    <w:p w14:paraId="7F4D515A" w14:textId="77777777" w:rsidR="00706629" w:rsidRPr="00613CCE" w:rsidRDefault="00706629" w:rsidP="00613CCE">
      <w:pPr>
        <w:spacing w:line="360" w:lineRule="auto"/>
        <w:ind w:left="567" w:right="567"/>
        <w:jc w:val="both"/>
        <w:rPr>
          <w:rFonts w:ascii="Palatino Linotype" w:eastAsia="Palatino Linotype" w:hAnsi="Palatino Linotype" w:cs="Palatino Linotype"/>
          <w:i/>
          <w:color w:val="000000"/>
          <w:sz w:val="24"/>
          <w:szCs w:val="24"/>
        </w:rPr>
      </w:pPr>
    </w:p>
    <w:p w14:paraId="5436F8CF" w14:textId="77777777" w:rsidR="00706629" w:rsidRPr="00613CCE" w:rsidRDefault="0070662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El derecho de acceso a la información encuentra su materia elemental en los documentos, y la Ley de Transparencia local  nos brinda el siguiente concepto, para darnos un mejor panorama:</w:t>
      </w:r>
    </w:p>
    <w:p w14:paraId="5BF3F4A4" w14:textId="77777777" w:rsidR="00706629" w:rsidRPr="00613CCE" w:rsidRDefault="00706629" w:rsidP="00613CCE">
      <w:pPr>
        <w:spacing w:line="360" w:lineRule="auto"/>
        <w:ind w:left="425" w:right="476"/>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lastRenderedPageBreak/>
        <w:t xml:space="preserve">XI. Documento: </w:t>
      </w:r>
      <w:r w:rsidRPr="00613CCE">
        <w:rPr>
          <w:rFonts w:ascii="Palatino Linotype" w:eastAsia="Palatino Linotype" w:hAnsi="Palatino Linotype" w:cs="Palatino Linotype"/>
          <w:i/>
          <w:color w:val="000000"/>
          <w:sz w:val="24"/>
          <w:szCs w:val="24"/>
        </w:rPr>
        <w:t xml:space="preserve">Los expedientes, reportes, estudios, actas, resoluciones, oficios, correspondencia, acuerdos, directivas, directrices, circulares, contratos, convenios, instructivos, notas, memorandos, estadísticas o bien, </w:t>
      </w:r>
      <w:r w:rsidRPr="00613CCE">
        <w:rPr>
          <w:rFonts w:ascii="Palatino Linotype" w:eastAsia="Palatino Linotype" w:hAnsi="Palatino Linotype" w:cs="Palatino Linotype"/>
          <w:b/>
          <w:i/>
          <w:color w:val="000000"/>
          <w:sz w:val="24"/>
          <w:szCs w:val="24"/>
        </w:rPr>
        <w:t>cualquier otro registro</w:t>
      </w:r>
      <w:r w:rsidRPr="00613CCE">
        <w:rPr>
          <w:rFonts w:ascii="Palatino Linotype" w:eastAsia="Palatino Linotype" w:hAnsi="Palatino Linotype" w:cs="Palatino Linotype"/>
          <w:i/>
          <w:color w:val="000000"/>
          <w:sz w:val="24"/>
          <w:szCs w:val="24"/>
        </w:rPr>
        <w:t xml:space="preserve"> que documente el ejercicio de las facultades, funciones y competencias de los sujetos obligados, sus servidores públicos e integrantes, sin importar su fuente o fecha de elaboración. Los documentos podrán estar en cualquier medio, sea escrito, impreso, sonoro, visual, electrónico, informático u holográfico;</w:t>
      </w:r>
    </w:p>
    <w:p w14:paraId="38FD1072" w14:textId="77777777" w:rsidR="00706629" w:rsidRPr="00613CCE" w:rsidRDefault="00706629" w:rsidP="00613CCE">
      <w:pPr>
        <w:spacing w:line="360" w:lineRule="auto"/>
        <w:ind w:left="425" w:right="476"/>
        <w:jc w:val="both"/>
        <w:rPr>
          <w:rFonts w:ascii="Palatino Linotype" w:eastAsia="Palatino Linotype" w:hAnsi="Palatino Linotype" w:cs="Palatino Linotype"/>
          <w:i/>
          <w:color w:val="000000"/>
          <w:sz w:val="24"/>
          <w:szCs w:val="24"/>
        </w:rPr>
      </w:pPr>
    </w:p>
    <w:p w14:paraId="5F6CA939" w14:textId="77777777" w:rsidR="00706629" w:rsidRPr="00613CCE" w:rsidRDefault="0070662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 xml:space="preserve">Es así que, todos los actos de autoridad que realicen los Sujetos Obligados </w:t>
      </w:r>
      <w:r w:rsidRPr="00613CCE">
        <w:rPr>
          <w:rFonts w:ascii="Palatino Linotype" w:eastAsia="Palatino Linotype" w:hAnsi="Palatino Linotype" w:cs="Palatino Linotype"/>
          <w:b/>
          <w:color w:val="000000"/>
          <w:sz w:val="24"/>
          <w:szCs w:val="24"/>
        </w:rPr>
        <w:t xml:space="preserve">deben estar </w:t>
      </w:r>
      <w:r w:rsidRPr="00613CCE">
        <w:rPr>
          <w:rFonts w:ascii="Palatino Linotype" w:eastAsia="Palatino Linotype" w:hAnsi="Palatino Linotype" w:cs="Palatino Linotype"/>
          <w:color w:val="000000"/>
          <w:sz w:val="24"/>
          <w:szCs w:val="24"/>
        </w:rPr>
        <w:t>documentados y, bajo el más alto estándar de transparencia deberán poner toda la información que se encuentre en su posesión, a disposición de los particulares que la soliciten.</w:t>
      </w:r>
    </w:p>
    <w:p w14:paraId="66A4D84E" w14:textId="77777777" w:rsidR="00B506BA" w:rsidRPr="00613CCE" w:rsidRDefault="00B506BA"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5D0B180D" w14:textId="77777777" w:rsidR="00706629" w:rsidRPr="00613CCE" w:rsidRDefault="0070662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Además, debemos tomar en cuenta los artículos 4 y 12 (antes transcrito), de la Ley de Transparencia y Acceso a la Información Pública del Estado de México y Municipios, los cuales establecen lo siguiente:</w:t>
      </w:r>
    </w:p>
    <w:p w14:paraId="0DA6A442" w14:textId="77777777" w:rsidR="00706629" w:rsidRPr="00613CCE" w:rsidRDefault="00706629" w:rsidP="00613CCE">
      <w:pPr>
        <w:spacing w:line="360" w:lineRule="auto"/>
        <w:ind w:left="425"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 xml:space="preserve">“Artículo 4. </w:t>
      </w:r>
      <w:r w:rsidRPr="00613CCE">
        <w:rPr>
          <w:rFonts w:ascii="Palatino Linotype" w:eastAsia="Palatino Linotype" w:hAnsi="Palatino Linotype" w:cs="Palatino Linotype"/>
          <w:i/>
          <w:color w:val="000000"/>
          <w:sz w:val="24"/>
          <w:szCs w:val="24"/>
        </w:rPr>
        <w:t>El derecho humano de acceso a la información pública es la prerrogativa de las personas para buscar, difundir, investigar, recabar, recibir y solicitar información pública, sin necesidad de acreditar personalidad ni interés jurídico.</w:t>
      </w:r>
    </w:p>
    <w:p w14:paraId="4CF84347" w14:textId="77777777" w:rsidR="00706629" w:rsidRPr="00613CCE" w:rsidRDefault="00706629" w:rsidP="00613CCE">
      <w:pPr>
        <w:spacing w:line="360" w:lineRule="auto"/>
        <w:ind w:left="426"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lastRenderedPageBreak/>
        <w:t>Toda la información</w:t>
      </w:r>
      <w:r w:rsidRPr="00613CCE">
        <w:rPr>
          <w:rFonts w:ascii="Palatino Linotype" w:eastAsia="Palatino Linotype" w:hAnsi="Palatino Linotype" w:cs="Palatino Linotype"/>
          <w:i/>
          <w:color w:val="000000"/>
          <w:sz w:val="24"/>
          <w:szCs w:val="24"/>
        </w:rPr>
        <w:t xml:space="preserve"> generada, obtenida, adquirida, transformada, administrada o </w:t>
      </w:r>
      <w:r w:rsidRPr="00613CCE">
        <w:rPr>
          <w:rFonts w:ascii="Palatino Linotype" w:eastAsia="Palatino Linotype" w:hAnsi="Palatino Linotype" w:cs="Palatino Linotype"/>
          <w:b/>
          <w:i/>
          <w:color w:val="000000"/>
          <w:sz w:val="24"/>
          <w:szCs w:val="24"/>
        </w:rPr>
        <w:t>en posesión de los sujetos obligados es pública</w:t>
      </w:r>
      <w:r w:rsidRPr="00613CCE">
        <w:rPr>
          <w:rFonts w:ascii="Palatino Linotype" w:eastAsia="Palatino Linotype" w:hAnsi="Palatino Linotype" w:cs="Palatino Linotype"/>
          <w:i/>
          <w:color w:val="000000"/>
          <w:sz w:val="24"/>
          <w:szCs w:val="24"/>
        </w:rPr>
        <w:t xml:space="preserve"> y accesible de manera permanente a cualquier persona, en los términos y condiciones que se establezcan en los tratados internacionales de los que el Estado mexicano sea parte, en la Ley General, la presente Ley y demás disposiciones de la materia, privilegiando el principio de máxima publicidad de la información. Solo podrá ser clasificada excepcionalmente como reservada temporalmente por razones de interés público, en los términos de las causas legítimas y estrictamente necesarias previstas por esta Ley.</w:t>
      </w:r>
    </w:p>
    <w:p w14:paraId="6B39E9AF" w14:textId="77777777" w:rsidR="00706629" w:rsidRDefault="00706629" w:rsidP="00613CCE">
      <w:pPr>
        <w:spacing w:line="360" w:lineRule="auto"/>
        <w:ind w:left="426" w:right="567"/>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i/>
          <w:color w:val="000000"/>
          <w:sz w:val="24"/>
          <w:szCs w:val="24"/>
        </w:rPr>
        <w:t>Los sujetos obligados deben poner en práctica, políticas y programas de acceso a la información que se apeguen a criterios de publicidad, veracidad, oportunidad, precisión y suficiencia en beneficio de los solicitantes.”</w:t>
      </w:r>
    </w:p>
    <w:p w14:paraId="27C6D82F" w14:textId="77777777" w:rsidR="00613CCE" w:rsidRPr="00613CCE" w:rsidRDefault="00613CCE" w:rsidP="00613CCE">
      <w:pPr>
        <w:spacing w:line="360" w:lineRule="auto"/>
        <w:ind w:left="426" w:right="567"/>
        <w:jc w:val="both"/>
        <w:rPr>
          <w:rFonts w:ascii="Palatino Linotype" w:eastAsia="Palatino Linotype" w:hAnsi="Palatino Linotype" w:cs="Palatino Linotype"/>
          <w:i/>
          <w:color w:val="000000"/>
          <w:sz w:val="24"/>
          <w:szCs w:val="24"/>
        </w:rPr>
      </w:pPr>
    </w:p>
    <w:p w14:paraId="1260556C" w14:textId="77777777" w:rsidR="00706629" w:rsidRPr="00613CCE" w:rsidRDefault="0070662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Es así que, por un lado se tiene la obligación de documentar todos los actos que se lleven a cabo en el ejercicio de sus funciones, atribuciones y competencias, mientras que por otro, se ven impuestos por la obligación de hacer pública toda aquella información que se encuentre en su posesión en estricto apego a los principios de eficacia</w:t>
      </w:r>
      <w:r w:rsidRPr="00613CCE">
        <w:rPr>
          <w:rFonts w:ascii="Palatino Linotype" w:eastAsia="Palatino Linotype" w:hAnsi="Palatino Linotype" w:cs="Palatino Linotype"/>
          <w:color w:val="000000"/>
          <w:sz w:val="24"/>
          <w:szCs w:val="24"/>
          <w:vertAlign w:val="superscript"/>
        </w:rPr>
        <w:footnoteReference w:id="7"/>
      </w:r>
      <w:r w:rsidRPr="00613CCE">
        <w:rPr>
          <w:rFonts w:ascii="Palatino Linotype" w:eastAsia="Palatino Linotype" w:hAnsi="Palatino Linotype" w:cs="Palatino Linotype"/>
          <w:color w:val="000000"/>
          <w:sz w:val="24"/>
          <w:szCs w:val="24"/>
        </w:rPr>
        <w:t xml:space="preserve"> y máxima publicidad, sobre éste último se debe poner mayor énfasis, puesto que establece que toda la información en posesión de los Sujetos Obligados será </w:t>
      </w:r>
      <w:r w:rsidRPr="00613CCE">
        <w:rPr>
          <w:rFonts w:ascii="Palatino Linotype" w:eastAsia="Palatino Linotype" w:hAnsi="Palatino Linotype" w:cs="Palatino Linotype"/>
          <w:color w:val="000000"/>
          <w:sz w:val="24"/>
          <w:szCs w:val="24"/>
        </w:rPr>
        <w:lastRenderedPageBreak/>
        <w:t>pública, completa, oportuna y accesible, lo que permite que la ciudadanía tenga un amplio acceso sobre lo que es el actuar de las autoridades.</w:t>
      </w:r>
    </w:p>
    <w:p w14:paraId="14B9DB9D" w14:textId="77777777" w:rsidR="00706629" w:rsidRPr="00613CCE" w:rsidRDefault="00706629" w:rsidP="00613CCE">
      <w:pPr>
        <w:spacing w:line="360" w:lineRule="auto"/>
        <w:jc w:val="both"/>
        <w:rPr>
          <w:rFonts w:ascii="Palatino Linotype" w:eastAsia="Palatino Linotype" w:hAnsi="Palatino Linotype" w:cs="Palatino Linotype"/>
          <w:color w:val="000000"/>
          <w:sz w:val="24"/>
          <w:szCs w:val="24"/>
        </w:rPr>
      </w:pPr>
    </w:p>
    <w:p w14:paraId="392AE589" w14:textId="77777777" w:rsidR="00706629" w:rsidRPr="00613CCE" w:rsidRDefault="00706629"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Robustece lo anterior la Tesis aislada identificada con la clave I.4º.A.40 A del Cuarto Tribunal colegiado en Materia Administrativa del Primer Circuito, publicada en el Seminario Judicial de la Federación y su Gaceta en el libro XVIII, Marzo 2013, Página 1899.</w:t>
      </w:r>
    </w:p>
    <w:p w14:paraId="3DB487E5" w14:textId="77777777" w:rsidR="00706629" w:rsidRPr="00613CCE" w:rsidRDefault="00706629" w:rsidP="00613CCE">
      <w:pPr>
        <w:pBdr>
          <w:top w:val="nil"/>
          <w:left w:val="nil"/>
          <w:bottom w:val="nil"/>
          <w:right w:val="nil"/>
          <w:between w:val="nil"/>
        </w:pBdr>
        <w:tabs>
          <w:tab w:val="left" w:pos="851"/>
        </w:tabs>
        <w:spacing w:line="360" w:lineRule="auto"/>
        <w:ind w:left="425" w:right="476"/>
        <w:jc w:val="both"/>
        <w:rPr>
          <w:rFonts w:ascii="Palatino Linotype" w:eastAsia="Palatino Linotype" w:hAnsi="Palatino Linotype" w:cs="Palatino Linotype"/>
          <w:i/>
          <w:color w:val="000000"/>
          <w:sz w:val="24"/>
          <w:szCs w:val="24"/>
        </w:rPr>
      </w:pPr>
      <w:r w:rsidRPr="00613CCE">
        <w:rPr>
          <w:rFonts w:ascii="Palatino Linotype" w:eastAsia="Palatino Linotype" w:hAnsi="Palatino Linotype" w:cs="Palatino Linotype"/>
          <w:b/>
          <w:i/>
          <w:color w:val="000000"/>
          <w:sz w:val="24"/>
          <w:szCs w:val="24"/>
        </w:rPr>
        <w:t>“ACCESO A LA INFORMACIÓN. IMPLICACIÓN DEL PRINCIPIO DE MÁXIMA PUBLICIDAD EN EL DERECHO FUNDAMENTAL RELATIVO.</w:t>
      </w:r>
      <w:r w:rsidRPr="00613CCE">
        <w:rPr>
          <w:rFonts w:ascii="Palatino Linotype" w:eastAsia="Palatino Linotype" w:hAnsi="Palatino Linotype" w:cs="Palatino Linotype"/>
          <w:i/>
          <w:color w:val="000000"/>
          <w:sz w:val="24"/>
          <w:szCs w:val="24"/>
        </w:rPr>
        <w:t xml:space="preserve"> Del artículo 6o. de la Constitución Política de los Estados Unidos Mexicanos se advierte que el Estado Mexicano está constreñido a publicitar sus actos, pues se reconoce el derecho fundamental de los ciudadanos a acceder a la información que obra en poder de la autoridad, que como lo ha expuesto el Pleno de la Suprema Corte de Justicia de la Nación en la tesis P./J. 54/2008, publicada en el Semanario Judicial de la Federación y su Gaceta, Novena Época, Tomo XXVII, junio de 2008, página 743, de rubro: "ACCESO A LA INFORMACIÓN. SU NATURALEZA COMO GARANTÍAS INDIVIDUAL Y SOCIAL.", contiene una doble dimensión: individual y social. En su primer aspecto, cumple con la función de maximizar el campo de la autonomía personal, posibilitando el ejercicio de la libertad de expresión en un contexto de mayor diversidad de datos, voces y opiniones, mientras que en el </w:t>
      </w:r>
      <w:r w:rsidRPr="00613CCE">
        <w:rPr>
          <w:rFonts w:ascii="Palatino Linotype" w:eastAsia="Palatino Linotype" w:hAnsi="Palatino Linotype" w:cs="Palatino Linotype"/>
          <w:i/>
          <w:color w:val="000000"/>
          <w:sz w:val="24"/>
          <w:szCs w:val="24"/>
        </w:rPr>
        <w:lastRenderedPageBreak/>
        <w:t>segundo, brinda un derecho colectivo o social que tiende a revelar el empleo instrumental de la información no sólo como factor de autorrealización personal, sino como un mecanismo de control institucional, pues se trata de un derecho fundado en una de las características principales del gobierno republicano, que es la publicidad de los actos de gobierno y la transparencia en el actuar de la administración, conducente y necesaria para la rendición de cuentas. Por ello, el principio de máxima publicidad incorporado en el texto constitucional, implica para cualquier autoridad, realizar un manejo de la información bajo la premisa inicial que toda ella es pública y sólo por excepción, en los casos expresamente previstos en la legislación secundaria y justificados bajo determinadas circunstancias, se podrá clasificar como confidencial o reservada, esto es, considerarla con una calidad diversa. “</w:t>
      </w:r>
    </w:p>
    <w:p w14:paraId="51CE2ED6" w14:textId="77777777" w:rsidR="00706629" w:rsidRPr="00613CCE" w:rsidRDefault="00706629" w:rsidP="00613CCE">
      <w:pPr>
        <w:pBdr>
          <w:top w:val="nil"/>
          <w:left w:val="nil"/>
          <w:bottom w:val="nil"/>
          <w:right w:val="nil"/>
          <w:between w:val="nil"/>
        </w:pBdr>
        <w:tabs>
          <w:tab w:val="left" w:pos="851"/>
        </w:tabs>
        <w:spacing w:line="360" w:lineRule="auto"/>
        <w:ind w:left="425" w:right="476"/>
        <w:jc w:val="both"/>
        <w:rPr>
          <w:rFonts w:ascii="Palatino Linotype" w:eastAsia="Palatino Linotype" w:hAnsi="Palatino Linotype" w:cs="Palatino Linotype"/>
          <w:i/>
          <w:color w:val="000000"/>
          <w:sz w:val="24"/>
          <w:szCs w:val="24"/>
        </w:rPr>
      </w:pPr>
    </w:p>
    <w:p w14:paraId="6DE7AEFE" w14:textId="77777777" w:rsidR="00706629" w:rsidRPr="00613CCE" w:rsidRDefault="00706629" w:rsidP="00613CCE">
      <w:pPr>
        <w:keepNext/>
        <w:keepLines/>
        <w:spacing w:line="360" w:lineRule="auto"/>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QUINTO. De la versión pública.</w:t>
      </w:r>
    </w:p>
    <w:p w14:paraId="6C312BA6" w14:textId="77777777" w:rsidR="00706629" w:rsidRPr="00613CCE" w:rsidRDefault="00706629" w:rsidP="00613CCE">
      <w:pPr>
        <w:spacing w:line="360" w:lineRule="auto"/>
        <w:rPr>
          <w:rFonts w:ascii="Palatino Linotype" w:eastAsia="Palatino Linotype" w:hAnsi="Palatino Linotype" w:cs="Palatino Linotype"/>
          <w:sz w:val="24"/>
          <w:szCs w:val="24"/>
        </w:rPr>
      </w:pPr>
    </w:p>
    <w:p w14:paraId="3564765E"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bookmarkStart w:id="6" w:name="_heading=h.4d34og8" w:colFirst="0" w:colLast="0"/>
      <w:bookmarkEnd w:id="6"/>
      <w:r w:rsidRPr="00613CCE">
        <w:rPr>
          <w:rFonts w:ascii="Palatino Linotype" w:hAnsi="Palatino Linotype" w:cs="Tahoma"/>
          <w:bCs/>
          <w:iCs/>
          <w:sz w:val="24"/>
          <w:szCs w:val="24"/>
        </w:rPr>
        <w:t xml:space="preserve">Para determinar la publicidad o clasificación de datos personales, resulta conveniente traer a colación el artículo 6°, Apartado A), fracción II, de la Constitución Política de los Estados Unidos Mexicanos, prevé que la información que se refiere a la vida privada y los datos personales, </w:t>
      </w:r>
      <w:r w:rsidRPr="00613CCE">
        <w:rPr>
          <w:rFonts w:ascii="Palatino Linotype" w:eastAsia="Palatino Linotype" w:hAnsi="Palatino Linotype" w:cs="Palatino Linotype"/>
          <w:color w:val="000000"/>
          <w:sz w:val="24"/>
          <w:szCs w:val="24"/>
        </w:rPr>
        <w:t>será</w:t>
      </w:r>
      <w:r w:rsidRPr="00613CCE">
        <w:rPr>
          <w:rFonts w:ascii="Palatino Linotype" w:hAnsi="Palatino Linotype" w:cs="Tahoma"/>
          <w:bCs/>
          <w:iCs/>
          <w:sz w:val="24"/>
          <w:szCs w:val="24"/>
        </w:rPr>
        <w:t xml:space="preserve"> protegida en los términos y con las excepciones que fijen las leyes. Igualmente, el segundo párrafo del artículo 16 de la Carta Magna dispone que toda persona tiene derecho a la protección de sus datos </w:t>
      </w:r>
      <w:r w:rsidRPr="00613CCE">
        <w:rPr>
          <w:rFonts w:ascii="Palatino Linotype" w:hAnsi="Palatino Linotype" w:cs="Tahoma"/>
          <w:bCs/>
          <w:iCs/>
          <w:sz w:val="24"/>
          <w:szCs w:val="24"/>
        </w:rPr>
        <w:lastRenderedPageBreak/>
        <w:t>personales, al acceso, rectificación y cancelación de los mismos; así como, a manifestar su oposición, en los términos que fije la ley, la cual establecerá los supuestos de excepción a los principios que rijan el tratamiento de datos, por razones de seguridad nacional, disposiciones de orden público, seguridad y salud públicas o para proteger los derechos de terceros.</w:t>
      </w:r>
    </w:p>
    <w:p w14:paraId="6A1DBFC0"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12520D28"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Acorde con lo anterior, la Ley General de Transparencia y Acceso a la Información Pública, en su artículo 116, dispone que se considera información confidencial la que contenga datos personales concernientes a una persona física identificada o identificable.</w:t>
      </w:r>
    </w:p>
    <w:p w14:paraId="70CF7A4A"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62936304"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De la misma manera, el artículo 5°, fracciones I y II de la Constitución Política del Estado Libre y Soberano de México, prevé que toda la información en posesión de los Sujetos Obligados será pública; no obstante, aquella referente a la intimidad de la vida privada y la imagen de las personas, será protegida a través de un marco jurídico rígido, de tratamiento y manejo de datos personales.</w:t>
      </w:r>
    </w:p>
    <w:p w14:paraId="4B4A6D4A"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014F8BC0"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 xml:space="preserve">Por su parte, el artículo 24, fracción VI, de la Ley de Transparencia y Acceso a la Información Pública del Estado de México y Municipios, precisa que los Sujetos </w:t>
      </w:r>
      <w:r w:rsidRPr="00613CCE">
        <w:rPr>
          <w:rFonts w:ascii="Palatino Linotype" w:hAnsi="Palatino Linotype" w:cs="Tahoma"/>
          <w:bCs/>
          <w:iCs/>
          <w:sz w:val="24"/>
          <w:szCs w:val="24"/>
        </w:rPr>
        <w:lastRenderedPageBreak/>
        <w:t>Obligados serán los responsables de proteger y resguardar la información clasificada como reservada o confidencial.</w:t>
      </w:r>
    </w:p>
    <w:p w14:paraId="63B0EC63"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15696F2E"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En concordancia con lo previo, el artículo 143, fracción I, de la Ley previamente citada, establece que la información privada y los datos personales, concernientes a una persona física o jurídica colectiva identificada o identificable son confidenciales.</w:t>
      </w:r>
    </w:p>
    <w:p w14:paraId="08DAF528"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52FBB0E8"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lang w:val="es-ES"/>
        </w:rPr>
      </w:pPr>
      <w:r w:rsidRPr="00613CCE">
        <w:rPr>
          <w:rFonts w:ascii="Palatino Linotype" w:hAnsi="Palatino Linotype" w:cs="Tahoma"/>
          <w:bCs/>
          <w:iCs/>
          <w:sz w:val="24"/>
          <w:szCs w:val="24"/>
        </w:rPr>
        <w:t xml:space="preserve">Asimismo, en el artículo 145 de la Ley de Transparencia y Acceso a la Información Pública del Estado de México y Municipios, prevé que para que los Sujetos Obligados </w:t>
      </w:r>
      <w:r w:rsidRPr="00613CCE">
        <w:rPr>
          <w:rFonts w:ascii="Palatino Linotype" w:hAnsi="Palatino Linotype" w:cs="Tahoma"/>
          <w:bCs/>
          <w:iCs/>
          <w:sz w:val="24"/>
          <w:szCs w:val="24"/>
          <w:lang w:val="es-ES"/>
        </w:rPr>
        <w:t>puedan permitir el acceso a la información confidencial, requieren obtener el consentimiento de los particulares titulares de la información, excepto cuando i) la información se encuentre en registros públicos o fuentes de acceso público, ii) por ley tenga el carácter de pública, iii) exista una orden judicial, iv) por razones de seguridad nacional y salubridad general o v) para proteger los derechos de terceros o cuando se transmita entre sujetos obligados en términos de los tratados y los acuerdos interinstitucionales.</w:t>
      </w:r>
    </w:p>
    <w:p w14:paraId="1CBEA906"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5966FE81"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lang w:val="es-ES"/>
        </w:rPr>
      </w:pPr>
      <w:r w:rsidRPr="00613CCE">
        <w:rPr>
          <w:rFonts w:ascii="Palatino Linotype" w:hAnsi="Palatino Linotype" w:cs="Tahoma"/>
          <w:bCs/>
          <w:iCs/>
          <w:sz w:val="24"/>
          <w:szCs w:val="24"/>
          <w:lang w:val="es-ES"/>
        </w:rPr>
        <w:t xml:space="preserve">En términos de lo expuesto, la documentación y aquellos datos que se consideren </w:t>
      </w:r>
      <w:r w:rsidRPr="00613CCE">
        <w:rPr>
          <w:rFonts w:ascii="Palatino Linotype" w:hAnsi="Palatino Linotype" w:cs="Tahoma"/>
          <w:bCs/>
          <w:iCs/>
          <w:sz w:val="24"/>
          <w:szCs w:val="24"/>
        </w:rPr>
        <w:t>confidenciales</w:t>
      </w:r>
      <w:r w:rsidRPr="00613CCE">
        <w:rPr>
          <w:rFonts w:ascii="Palatino Linotype" w:hAnsi="Palatino Linotype" w:cs="Tahoma"/>
          <w:bCs/>
          <w:iCs/>
          <w:sz w:val="24"/>
          <w:szCs w:val="24"/>
          <w:lang w:val="es-ES"/>
        </w:rPr>
        <w:t>, serán una limitante del derecho de acceso a la información, siempre y cuando:</w:t>
      </w:r>
    </w:p>
    <w:p w14:paraId="5F3E84F6" w14:textId="77777777" w:rsidR="00EB65DC" w:rsidRPr="00613CCE" w:rsidRDefault="00EB65DC" w:rsidP="00613CCE">
      <w:pPr>
        <w:numPr>
          <w:ilvl w:val="0"/>
          <w:numId w:val="19"/>
        </w:numPr>
        <w:spacing w:line="360" w:lineRule="auto"/>
        <w:ind w:right="-93"/>
        <w:jc w:val="both"/>
        <w:rPr>
          <w:rFonts w:ascii="Palatino Linotype" w:hAnsi="Palatino Linotype" w:cs="Tahoma"/>
          <w:bCs/>
          <w:iCs/>
          <w:sz w:val="24"/>
          <w:szCs w:val="24"/>
          <w:lang w:val="es-ES"/>
        </w:rPr>
      </w:pPr>
      <w:r w:rsidRPr="00613CCE">
        <w:rPr>
          <w:rFonts w:ascii="Palatino Linotype" w:hAnsi="Palatino Linotype" w:cs="Tahoma"/>
          <w:bCs/>
          <w:iCs/>
          <w:sz w:val="24"/>
          <w:szCs w:val="24"/>
          <w:lang w:val="es-ES"/>
        </w:rPr>
        <w:lastRenderedPageBreak/>
        <w:t xml:space="preserve">Se trate de datos personales o información privada; esto es, información concerniente a una persona física o jurídico colectiva y que esta sea identificada o identificable. </w:t>
      </w:r>
    </w:p>
    <w:p w14:paraId="7C7FB2FF" w14:textId="77777777" w:rsidR="00EB65DC" w:rsidRPr="00613CCE" w:rsidRDefault="00EB65DC" w:rsidP="00613CCE">
      <w:pPr>
        <w:spacing w:line="360" w:lineRule="auto"/>
        <w:ind w:right="-93"/>
        <w:jc w:val="both"/>
        <w:rPr>
          <w:rFonts w:ascii="Palatino Linotype" w:hAnsi="Palatino Linotype" w:cs="Tahoma"/>
          <w:bCs/>
          <w:iCs/>
          <w:sz w:val="24"/>
          <w:szCs w:val="24"/>
          <w:lang w:val="es-ES"/>
        </w:rPr>
      </w:pPr>
    </w:p>
    <w:p w14:paraId="4A02D47A" w14:textId="77777777" w:rsidR="00EB65DC" w:rsidRPr="00613CCE" w:rsidRDefault="00EB65DC" w:rsidP="00613CCE">
      <w:pPr>
        <w:numPr>
          <w:ilvl w:val="0"/>
          <w:numId w:val="19"/>
        </w:numPr>
        <w:spacing w:line="360" w:lineRule="auto"/>
        <w:ind w:right="-93"/>
        <w:jc w:val="both"/>
        <w:rPr>
          <w:rFonts w:ascii="Palatino Linotype" w:hAnsi="Palatino Linotype" w:cs="Tahoma"/>
          <w:bCs/>
          <w:iCs/>
          <w:sz w:val="24"/>
          <w:szCs w:val="24"/>
          <w:lang w:val="es-ES"/>
        </w:rPr>
      </w:pPr>
      <w:r w:rsidRPr="00613CCE">
        <w:rPr>
          <w:rFonts w:ascii="Palatino Linotype" w:hAnsi="Palatino Linotype" w:cs="Tahoma"/>
          <w:bCs/>
          <w:iCs/>
          <w:sz w:val="24"/>
          <w:szCs w:val="24"/>
          <w:lang w:val="es-ES"/>
        </w:rPr>
        <w:t xml:space="preserve">Para la difusión de los datos, se requiera el consentimiento del titular. </w:t>
      </w:r>
    </w:p>
    <w:p w14:paraId="699E1F44"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72225076"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 xml:space="preserve">En ese orden de ideas, de conformidad con el artículo 3°, fracción IX, de la Ley de Transparencia y Acceso a la Información Pública del Estado de México y Municipios, con relación el diverso 4°, fracciones XI y XII, de la Ley de Protección de Datos Personales en Posesión de Sujetos Obligados del Estado de México y Municipios, se advierte que son datos personales, la información concerniente a una persona física identificada o identificable (cuando su identidad pueda determinarse directa o indirectamente a través de cualquier documento informativo físico o electrónico), establecida en cualquier formato o modalidad. </w:t>
      </w:r>
    </w:p>
    <w:p w14:paraId="2975BA20"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24722FD3"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Además, en el artículo 5° de dicho ordenamiento jurídico, establece que es la Ley aplicable para todo tratamiento de datos personales.</w:t>
      </w:r>
    </w:p>
    <w:p w14:paraId="4BA16F18"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0B2FC377"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 xml:space="preserve">En ese orden de ideas, los artículos 6°, 7°, 8° y 14 de la Ley de Protección de Datos Personales en Posesión de Sujetos Obligados del Estado de México y </w:t>
      </w:r>
      <w:r w:rsidRPr="00613CCE">
        <w:rPr>
          <w:rFonts w:ascii="Palatino Linotype" w:hAnsi="Palatino Linotype" w:cs="Tahoma"/>
          <w:bCs/>
          <w:iCs/>
          <w:sz w:val="24"/>
          <w:szCs w:val="24"/>
        </w:rPr>
        <w:lastRenderedPageBreak/>
        <w:t>Municipios, disponen que los responsables del tratamiento de datos personales, deben observar los principios de licitud, consentimiento, información, calidad, lealtad, finalidad, proporcionalidad y responsabilidad; además, que dicho tratamiento deberá obedecer exclusivamente a sus atribuciones legales y con el consentimiento de su titular, además de que debe estar justificado en ley (principio de finalidad).</w:t>
      </w:r>
    </w:p>
    <w:p w14:paraId="426A543E"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042EA837"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Por tales situaciones, un dato personal es cualquier información que pueda hacer a una persona físi</w:t>
      </w:r>
      <w:r w:rsidR="00B506BA" w:rsidRPr="00613CCE">
        <w:rPr>
          <w:rFonts w:ascii="Palatino Linotype" w:hAnsi="Palatino Linotype" w:cs="Tahoma"/>
          <w:bCs/>
          <w:iCs/>
          <w:sz w:val="24"/>
          <w:szCs w:val="24"/>
        </w:rPr>
        <w:t>ca identificada e identificable</w:t>
      </w:r>
      <w:r w:rsidRPr="00613CCE">
        <w:rPr>
          <w:rFonts w:ascii="Palatino Linotype" w:hAnsi="Palatino Linotype" w:cs="Tahoma"/>
          <w:bCs/>
          <w:iCs/>
          <w:sz w:val="24"/>
          <w:szCs w:val="24"/>
        </w:rPr>
        <w:t>. Asimismo, la doctrina desarrollada a nivel internacional, respecto del tema de datos personales, establece que también las preferencias, gustos, cualidades, opiniones y creencias, constituyen datos personales. En este sentido, cualquier información que por sí sola o relacionada con otra permita hacer identificable a una persona, es un dato personal, susceptible de ser clasificado.</w:t>
      </w:r>
    </w:p>
    <w:p w14:paraId="0CF809B8"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2299931D"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 xml:space="preserve">En este contexto, la confidencialidad de los datos personales, tiene por objetivo establecer el límite del derecho de acceso a la información a partir del derecho a la intimidad y la vida privada de los individuos. Sobre el particular, el legislador realizó un análisis en donde se ponderaban dos derechos: el derecho a la intimidad y la protección de los datos personales versus el interés público de conocer el ejercicio de </w:t>
      </w:r>
      <w:r w:rsidRPr="00613CCE">
        <w:rPr>
          <w:rFonts w:ascii="Palatino Linotype" w:hAnsi="Palatino Linotype" w:cs="Tahoma"/>
          <w:bCs/>
          <w:iCs/>
          <w:sz w:val="24"/>
          <w:szCs w:val="24"/>
        </w:rPr>
        <w:lastRenderedPageBreak/>
        <w:t>atribuciones y de recursos públicos de las instituciones y es a partir de ahí, en donde las instituciones públicas deben determinar la publicidad de su información.</w:t>
      </w:r>
    </w:p>
    <w:p w14:paraId="78AD8D02"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35077EE3"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De tal suerte, las instituciones públicas tienen la doble responsabilidad, por un lado, de proteger los datos personales y por otro, darles publicidad cuando la relevancia de esos datos sea de interés público.</w:t>
      </w:r>
    </w:p>
    <w:p w14:paraId="7B9B995C"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1B5768E4"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En este orden de ideas, toda la información que transparente la gestión pública, favorezca la rendición de cuentas y contribuya a la democratización del Estado Mexicano es, sin excepción, de naturaleza pública; tal es el caso de los salarios de todos los servidores públicos, la entrega de recursos públicos bajo cualquier esquema, el cumplimiento de requisitos legales, entre otros; información que necesariamente está vinculada con datos personales, que pierden la protección en beneficio del interés público (no por eso dejan de ser datos personales, sólo que no están protegidos en la confidencialidad).</w:t>
      </w:r>
    </w:p>
    <w:p w14:paraId="035FC015"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0B58A386"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 xml:space="preserve">Dada la complejidad de la información cuando involucra datos personales, pudiera pensarse que se trata de dos derechos en colisión; por un lado, la garantía individual de conocer sobre el ejercicio de atribuciones de servidores públicos así como de recursos públicos y, por el otro, el derecho de las personas a la </w:t>
      </w:r>
      <w:r w:rsidRPr="00613CCE">
        <w:rPr>
          <w:rFonts w:ascii="Palatino Linotype" w:hAnsi="Palatino Linotype" w:cs="Tahoma"/>
          <w:bCs/>
          <w:iCs/>
          <w:sz w:val="24"/>
          <w:szCs w:val="24"/>
        </w:rPr>
        <w:lastRenderedPageBreak/>
        <w:t>autodeterminación informativa y el derecho a la vida privada; tratándose de los datos personales que obran en los archivos de las instituciones públicas, la regla es clara, ya que los datos personales que permiten verificar el desempeño de los servidores públicos y el cumplimiento de obligaciones legales, transparentan la gestión pública y favorecen la rendición de cuentas, constituyen información de naturaleza pública, en razón de que el beneficio de su publicidad es mayor que el beneficio de su clasificación, aun tratándose de información personal.</w:t>
      </w:r>
    </w:p>
    <w:p w14:paraId="62860081"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49CE30E0" w14:textId="77777777" w:rsidR="00EB65DC"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 xml:space="preserve">Bajo este esquema a continuación se analizan los datos personales susceptibles de clasificación que podrían estar contenidos en los documentos que se ordenan entregar, tales como el </w:t>
      </w:r>
      <w:r w:rsidRPr="00613CCE">
        <w:rPr>
          <w:rFonts w:ascii="Palatino Linotype" w:hAnsi="Palatino Linotype" w:cs="Tahoma"/>
          <w:b/>
          <w:bCs/>
          <w:iCs/>
          <w:sz w:val="24"/>
          <w:szCs w:val="24"/>
        </w:rPr>
        <w:t>Registro Federal de Contribuyentes</w:t>
      </w:r>
      <w:r w:rsidRPr="00613CCE">
        <w:rPr>
          <w:rFonts w:ascii="Palatino Linotype" w:hAnsi="Palatino Linotype" w:cs="Tahoma"/>
          <w:bCs/>
          <w:iCs/>
          <w:sz w:val="24"/>
          <w:szCs w:val="24"/>
        </w:rPr>
        <w:t xml:space="preserve"> (RFC), la </w:t>
      </w:r>
      <w:r w:rsidRPr="00613CCE">
        <w:rPr>
          <w:rFonts w:ascii="Palatino Linotype" w:hAnsi="Palatino Linotype" w:cs="Tahoma"/>
          <w:b/>
          <w:bCs/>
          <w:iCs/>
          <w:sz w:val="24"/>
          <w:szCs w:val="24"/>
        </w:rPr>
        <w:t>Clave Única de Registro de Población</w:t>
      </w:r>
      <w:r w:rsidRPr="00613CCE">
        <w:rPr>
          <w:rFonts w:ascii="Palatino Linotype" w:hAnsi="Palatino Linotype" w:cs="Tahoma"/>
          <w:bCs/>
          <w:iCs/>
          <w:sz w:val="24"/>
          <w:szCs w:val="24"/>
        </w:rPr>
        <w:t xml:space="preserve"> (CURP).</w:t>
      </w:r>
    </w:p>
    <w:p w14:paraId="0635DD51" w14:textId="77777777" w:rsidR="00613CCE" w:rsidRDefault="00613CCE" w:rsidP="00613CCE">
      <w:pPr>
        <w:pStyle w:val="Prrafodelista"/>
        <w:rPr>
          <w:rFonts w:ascii="Palatino Linotype" w:hAnsi="Palatino Linotype" w:cs="Tahoma"/>
          <w:bCs/>
          <w:iCs/>
          <w:sz w:val="24"/>
        </w:rPr>
      </w:pPr>
    </w:p>
    <w:p w14:paraId="5B781B08" w14:textId="77777777" w:rsidR="00EB65DC" w:rsidRPr="00613CCE" w:rsidRDefault="00EB65DC" w:rsidP="00613CCE">
      <w:pPr>
        <w:pStyle w:val="Prrafodelista"/>
        <w:numPr>
          <w:ilvl w:val="0"/>
          <w:numId w:val="20"/>
        </w:numPr>
        <w:spacing w:line="360" w:lineRule="auto"/>
        <w:ind w:right="-93"/>
        <w:jc w:val="both"/>
        <w:rPr>
          <w:rFonts w:ascii="Palatino Linotype" w:hAnsi="Palatino Linotype" w:cs="Tahoma"/>
          <w:bCs/>
          <w:iCs/>
          <w:sz w:val="24"/>
        </w:rPr>
      </w:pPr>
      <w:r w:rsidRPr="00613CCE">
        <w:rPr>
          <w:rFonts w:ascii="Palatino Linotype" w:hAnsi="Palatino Linotype" w:cs="Tahoma"/>
          <w:b/>
          <w:bCs/>
          <w:iCs/>
          <w:sz w:val="24"/>
        </w:rPr>
        <w:t>Registro Federal de Contribuyentes</w:t>
      </w:r>
      <w:r w:rsidRPr="00613CCE">
        <w:rPr>
          <w:rFonts w:ascii="Palatino Linotype" w:hAnsi="Palatino Linotype" w:cs="Tahoma"/>
          <w:bCs/>
          <w:iCs/>
          <w:sz w:val="24"/>
        </w:rPr>
        <w:t xml:space="preserve"> (RFC)</w:t>
      </w:r>
    </w:p>
    <w:p w14:paraId="29B1DAFF" w14:textId="77777777" w:rsidR="00EB65DC" w:rsidRPr="00613CCE" w:rsidRDefault="00EB65DC" w:rsidP="00613CCE">
      <w:pPr>
        <w:spacing w:line="360" w:lineRule="auto"/>
        <w:ind w:left="360" w:right="-93"/>
        <w:jc w:val="both"/>
        <w:rPr>
          <w:rFonts w:ascii="Palatino Linotype" w:hAnsi="Palatino Linotype" w:cs="Tahoma"/>
          <w:bCs/>
          <w:iCs/>
          <w:sz w:val="24"/>
          <w:szCs w:val="24"/>
        </w:rPr>
      </w:pPr>
    </w:p>
    <w:p w14:paraId="272B415B"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 xml:space="preserve">Las personas físicas que deban presentar declaraciones periódicas o que están obligadas a expedir comprobantes fiscales, tienen que solicitar su inscripción en el Registro Federal de Contribuyentes, esta inscripción es realizada por el Servicio de Administración Tributaria, quien entrega una cédula de identificación fiscal en donde </w:t>
      </w:r>
      <w:r w:rsidRPr="00613CCE">
        <w:rPr>
          <w:rFonts w:ascii="Palatino Linotype" w:hAnsi="Palatino Linotype" w:cs="Tahoma"/>
          <w:bCs/>
          <w:iCs/>
          <w:sz w:val="24"/>
          <w:szCs w:val="24"/>
        </w:rPr>
        <w:lastRenderedPageBreak/>
        <w:t>consta la clave que asigna este órgano desconcentrado de la Secretaría de Hacienda y Crédito Público, de acuerdo con el artículo 27 del Código Fiscal de la Federación.</w:t>
      </w:r>
    </w:p>
    <w:p w14:paraId="4176F5EF"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0BC59C4E"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De acuerdo con lo establecido en el artículo en comento, esta clave se compone de trece caracteres alfanuméricos, con datos obtenidos de los apellidos, nombre (s), fecha de nacimiento del titular, más una homoclave que establece el sistema automático del Servicio de Administración Tributaria.</w:t>
      </w:r>
    </w:p>
    <w:p w14:paraId="370A24F1"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1B380BC4" w14:textId="77777777" w:rsidR="00EB65DC"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Ahora bien, la clave del Registro Federal de Contribuyentes es el medio de control que tiene la Secretaría de Hacienda y Crédito Público, a través del Servicio de Administración Tributaria, para exigir y vigilar el cumplimiento de las obligaciones fiscales de los contribuyentes; mientras que los particulares tramitan dicho dato, con el único propósito de realizar mediante esa clave de identificación, operaciones o actividades de naturaleza fiscal.</w:t>
      </w:r>
    </w:p>
    <w:p w14:paraId="50282C5A" w14:textId="77777777" w:rsidR="00613CCE" w:rsidRDefault="00613CCE" w:rsidP="00613CCE">
      <w:pPr>
        <w:pStyle w:val="Prrafodelista"/>
        <w:rPr>
          <w:rFonts w:ascii="Palatino Linotype" w:hAnsi="Palatino Linotype" w:cs="Tahoma"/>
          <w:bCs/>
          <w:iCs/>
          <w:sz w:val="24"/>
        </w:rPr>
      </w:pPr>
    </w:p>
    <w:p w14:paraId="303A63D8"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 xml:space="preserve">Conforme a lo expuesto, el Registro Federal de Contribuyentes, es un dato personal, ya que hace a las personas físicas identificables, además de que las relaciona como contribuyentes de las autoridades fiscales. Es de destacar que dicho dato únicamente sirve para efectos fiscales y pago de contribuciones, por lo que se trata de </w:t>
      </w:r>
      <w:r w:rsidRPr="00613CCE">
        <w:rPr>
          <w:rFonts w:ascii="Palatino Linotype" w:hAnsi="Palatino Linotype" w:cs="Tahoma"/>
          <w:bCs/>
          <w:iCs/>
          <w:sz w:val="24"/>
          <w:szCs w:val="24"/>
        </w:rPr>
        <w:lastRenderedPageBreak/>
        <w:t xml:space="preserve">un dato relevante únicamente para las personas involucradas, en el pago de estos, en el presente caso, del pago del Impuesto Sobre el Producto del Trabajo. </w:t>
      </w:r>
    </w:p>
    <w:p w14:paraId="4B152591"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054F0C30"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Lo anterior, resulta congruente con el Criterio 19/17 emitido por el Instituto Nacional de Transparencia, Acceso a la Información y Protección de Datos Personales, en el cual se señala lo siguiente:</w:t>
      </w:r>
    </w:p>
    <w:p w14:paraId="44933F1D"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5FE925C8" w14:textId="77777777" w:rsidR="00EB65DC" w:rsidRPr="00613CCE" w:rsidRDefault="00EB65DC" w:rsidP="00613CCE">
      <w:pPr>
        <w:spacing w:line="360" w:lineRule="auto"/>
        <w:ind w:left="567" w:right="539"/>
        <w:jc w:val="both"/>
        <w:rPr>
          <w:rFonts w:ascii="Palatino Linotype" w:hAnsi="Palatino Linotype" w:cs="Tahoma"/>
          <w:bCs/>
          <w:i/>
          <w:iCs/>
          <w:sz w:val="24"/>
          <w:szCs w:val="24"/>
        </w:rPr>
      </w:pPr>
      <w:r w:rsidRPr="00613CCE">
        <w:rPr>
          <w:rFonts w:ascii="Palatino Linotype" w:hAnsi="Palatino Linotype" w:cs="Tahoma"/>
          <w:bCs/>
          <w:i/>
          <w:iCs/>
          <w:sz w:val="24"/>
          <w:szCs w:val="24"/>
        </w:rPr>
        <w:t>“</w:t>
      </w:r>
      <w:r w:rsidRPr="00613CCE">
        <w:rPr>
          <w:rFonts w:ascii="Palatino Linotype" w:hAnsi="Palatino Linotype" w:cs="Tahoma"/>
          <w:b/>
          <w:bCs/>
          <w:i/>
          <w:iCs/>
          <w:sz w:val="24"/>
          <w:szCs w:val="24"/>
        </w:rPr>
        <w:t>Registro Federal de Contribuyentes (RFC) de personas físicas</w:t>
      </w:r>
      <w:r w:rsidRPr="00613CCE">
        <w:rPr>
          <w:rFonts w:ascii="Palatino Linotype" w:hAnsi="Palatino Linotype" w:cs="Tahoma"/>
          <w:bCs/>
          <w:i/>
          <w:iCs/>
          <w:sz w:val="24"/>
          <w:szCs w:val="24"/>
        </w:rPr>
        <w:t>. El RFC es una clave de carácter fiscal, única e irrepetible, que permite identificar al titular, su edad y fecha de nacimiento, por lo que es un dato personal de carácter confidencial.”</w:t>
      </w:r>
    </w:p>
    <w:p w14:paraId="0E5B593A"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617ACB4D"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bCs/>
          <w:iCs/>
          <w:sz w:val="24"/>
          <w:szCs w:val="24"/>
        </w:rPr>
      </w:pPr>
      <w:r w:rsidRPr="00613CCE">
        <w:rPr>
          <w:rFonts w:ascii="Palatino Linotype" w:hAnsi="Palatino Linotype" w:cs="Tahoma"/>
          <w:bCs/>
          <w:iCs/>
          <w:sz w:val="24"/>
          <w:szCs w:val="24"/>
        </w:rPr>
        <w:t>De tal suerte, el Registro Federal de Contribuyentes de los servidores públicos no guarda relación con la transparencia de los recursos públicos, así como tampoco con el desempeño laboral que pueda tener una persona, por lo que constituye un dato personal confidencial al actualizar el supuesto normativo del artículo 143, fracción I de la Ley de Transparencia y Acceso a la Información Pública del Estado de México y Municipios.</w:t>
      </w:r>
    </w:p>
    <w:p w14:paraId="3ED642E2" w14:textId="77777777" w:rsidR="00EB65DC" w:rsidRPr="00613CCE" w:rsidRDefault="00EB65DC" w:rsidP="00613CCE">
      <w:pPr>
        <w:spacing w:line="360" w:lineRule="auto"/>
        <w:ind w:right="-93"/>
        <w:jc w:val="both"/>
        <w:rPr>
          <w:rFonts w:ascii="Palatino Linotype" w:hAnsi="Palatino Linotype" w:cs="Tahoma"/>
          <w:bCs/>
          <w:iCs/>
          <w:sz w:val="24"/>
          <w:szCs w:val="24"/>
        </w:rPr>
      </w:pPr>
    </w:p>
    <w:p w14:paraId="3CD09FE2" w14:textId="77777777" w:rsidR="00EB65DC" w:rsidRPr="00613CCE" w:rsidRDefault="00EB65DC" w:rsidP="00613CCE">
      <w:pPr>
        <w:pStyle w:val="Prrafodelista"/>
        <w:numPr>
          <w:ilvl w:val="0"/>
          <w:numId w:val="20"/>
        </w:numPr>
        <w:spacing w:line="360" w:lineRule="auto"/>
        <w:ind w:right="-91"/>
        <w:jc w:val="both"/>
        <w:rPr>
          <w:rFonts w:ascii="Palatino Linotype" w:eastAsia="Calibri" w:hAnsi="Palatino Linotype" w:cs="Tahoma"/>
          <w:bCs/>
          <w:sz w:val="24"/>
          <w:lang w:val="es-ES" w:eastAsia="en-US"/>
        </w:rPr>
      </w:pPr>
      <w:r w:rsidRPr="00613CCE">
        <w:rPr>
          <w:rFonts w:ascii="Palatino Linotype" w:hAnsi="Palatino Linotype" w:cs="Tahoma"/>
          <w:b/>
          <w:bCs/>
          <w:iCs/>
          <w:sz w:val="24"/>
        </w:rPr>
        <w:t>Registro Federal de Contribuyentes</w:t>
      </w:r>
      <w:r w:rsidRPr="00613CCE">
        <w:rPr>
          <w:rFonts w:ascii="Palatino Linotype" w:hAnsi="Palatino Linotype" w:cs="Tahoma"/>
          <w:bCs/>
          <w:iCs/>
          <w:sz w:val="24"/>
        </w:rPr>
        <w:t xml:space="preserve"> (RFC) de proveedores </w:t>
      </w:r>
    </w:p>
    <w:p w14:paraId="2A927B64" w14:textId="77777777" w:rsidR="00EB65DC" w:rsidRPr="00613CCE" w:rsidRDefault="00EB65DC" w:rsidP="00613CCE">
      <w:pPr>
        <w:pStyle w:val="Prrafodelista"/>
        <w:spacing w:line="360" w:lineRule="auto"/>
        <w:ind w:right="-91"/>
        <w:jc w:val="both"/>
        <w:rPr>
          <w:rFonts w:ascii="Palatino Linotype" w:eastAsia="Calibri" w:hAnsi="Palatino Linotype" w:cs="Tahoma"/>
          <w:bCs/>
          <w:sz w:val="24"/>
          <w:lang w:val="es-ES" w:eastAsia="en-US"/>
        </w:rPr>
      </w:pPr>
    </w:p>
    <w:p w14:paraId="50948072"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Tahoma"/>
          <w:bCs/>
          <w:sz w:val="24"/>
          <w:szCs w:val="24"/>
          <w:lang w:val="es-ES" w:eastAsia="en-US"/>
        </w:rPr>
      </w:pPr>
      <w:r w:rsidRPr="00613CCE">
        <w:rPr>
          <w:rFonts w:ascii="Palatino Linotype" w:eastAsia="Calibri" w:hAnsi="Palatino Linotype" w:cs="Tahoma"/>
          <w:bCs/>
          <w:sz w:val="24"/>
          <w:szCs w:val="24"/>
          <w:lang w:val="es-ES" w:eastAsia="en-US"/>
        </w:rPr>
        <w:lastRenderedPageBreak/>
        <w:t xml:space="preserve">Por otro lado, el RFC de proveedores </w:t>
      </w:r>
      <w:r w:rsidRPr="00613CCE">
        <w:rPr>
          <w:rFonts w:ascii="Palatino Linotype" w:eastAsia="Calibri" w:hAnsi="Palatino Linotype" w:cs="Tahoma"/>
          <w:b/>
          <w:bCs/>
          <w:sz w:val="24"/>
          <w:szCs w:val="24"/>
          <w:u w:val="single"/>
          <w:lang w:val="es-ES" w:eastAsia="en-US"/>
        </w:rPr>
        <w:t>no puede considerarse como clasificado</w:t>
      </w:r>
      <w:r w:rsidRPr="00613CCE">
        <w:rPr>
          <w:rFonts w:ascii="Palatino Linotype" w:eastAsia="Calibri" w:hAnsi="Palatino Linotype" w:cs="Tahoma"/>
          <w:bCs/>
          <w:sz w:val="24"/>
          <w:szCs w:val="24"/>
          <w:lang w:val="es-ES" w:eastAsia="en-US"/>
        </w:rPr>
        <w:t xml:space="preserve"> aun siendo de </w:t>
      </w:r>
      <w:r w:rsidRPr="00613CCE">
        <w:rPr>
          <w:rFonts w:ascii="Palatino Linotype" w:hAnsi="Palatino Linotype" w:cs="Tahoma"/>
          <w:bCs/>
          <w:iCs/>
          <w:sz w:val="24"/>
          <w:szCs w:val="24"/>
        </w:rPr>
        <w:t>personas</w:t>
      </w:r>
      <w:r w:rsidRPr="00613CCE">
        <w:rPr>
          <w:rFonts w:ascii="Palatino Linotype" w:eastAsia="Calibri" w:hAnsi="Palatino Linotype" w:cs="Tahoma"/>
          <w:bCs/>
          <w:sz w:val="24"/>
          <w:szCs w:val="24"/>
          <w:lang w:val="es-ES" w:eastAsia="en-US"/>
        </w:rPr>
        <w:t xml:space="preserve"> físicas ya que corresponde a un requisito indispensable para ser contratista y/o proveedor y llevar a cabo actividades comerciales con los sujetos obligados de la Entidad, ya que sin este, no se pueden realizar, por lo que su entrega es un elemento adicional que respalda la legalidad de los procesos de contratación de obra pública, como corresponde a lo solicitado.</w:t>
      </w:r>
    </w:p>
    <w:p w14:paraId="6C107C70" w14:textId="77777777" w:rsidR="00EB65DC" w:rsidRPr="00613CCE" w:rsidRDefault="00EB65DC" w:rsidP="00613CCE">
      <w:pPr>
        <w:spacing w:line="360" w:lineRule="auto"/>
        <w:ind w:right="-91"/>
        <w:jc w:val="both"/>
        <w:rPr>
          <w:rFonts w:ascii="Palatino Linotype" w:eastAsia="Calibri" w:hAnsi="Palatino Linotype" w:cs="Tahoma"/>
          <w:bCs/>
          <w:sz w:val="24"/>
          <w:szCs w:val="24"/>
          <w:lang w:val="es-ES" w:eastAsia="en-US"/>
        </w:rPr>
      </w:pPr>
    </w:p>
    <w:p w14:paraId="4F82CB86"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Tahoma"/>
          <w:bCs/>
          <w:sz w:val="24"/>
          <w:szCs w:val="24"/>
          <w:lang w:val="es-ES" w:eastAsia="en-US"/>
        </w:rPr>
      </w:pPr>
      <w:r w:rsidRPr="00613CCE">
        <w:rPr>
          <w:rFonts w:ascii="Palatino Linotype" w:eastAsia="Calibri" w:hAnsi="Palatino Linotype" w:cs="Tahoma"/>
          <w:bCs/>
          <w:sz w:val="24"/>
          <w:szCs w:val="24"/>
          <w:lang w:val="es-ES" w:eastAsia="en-US"/>
        </w:rPr>
        <w:t>En ese contexto, entregar el Registro Federal de Contribuyentes de personas físicas cuando aceptan realizar la construcción de obras públicas con recursos del erario, favorece la rendición de cuentas, al permitir verificar que se cumplió con uno de los requisitos necesarios conforme a la normatividad aplicable en materia de contrataciones, lo cual, transparenta el correcto ejercicio de recursos públicos por parte de los sujetos obligados, lo que es acorde con el principio de máxima publicidad.</w:t>
      </w:r>
    </w:p>
    <w:p w14:paraId="67C6B0D0" w14:textId="77777777" w:rsidR="00EB65DC" w:rsidRPr="00613CCE" w:rsidRDefault="00EB65DC" w:rsidP="00613CCE">
      <w:pPr>
        <w:spacing w:line="360" w:lineRule="auto"/>
        <w:ind w:right="-91"/>
        <w:jc w:val="both"/>
        <w:rPr>
          <w:rFonts w:ascii="Palatino Linotype" w:eastAsia="Calibri" w:hAnsi="Palatino Linotype" w:cs="Tahoma"/>
          <w:bCs/>
          <w:sz w:val="24"/>
          <w:szCs w:val="24"/>
          <w:lang w:val="es-ES" w:eastAsia="en-US"/>
        </w:rPr>
      </w:pPr>
    </w:p>
    <w:p w14:paraId="4C7A134C"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Tahoma"/>
          <w:bCs/>
          <w:sz w:val="24"/>
          <w:szCs w:val="24"/>
          <w:lang w:val="es-ES" w:eastAsia="en-US"/>
        </w:rPr>
      </w:pPr>
      <w:r w:rsidRPr="00613CCE">
        <w:rPr>
          <w:rFonts w:ascii="Palatino Linotype" w:eastAsia="Calibri" w:hAnsi="Palatino Linotype" w:cs="Tahoma"/>
          <w:bCs/>
          <w:sz w:val="24"/>
          <w:szCs w:val="24"/>
          <w:lang w:val="es-ES" w:eastAsia="en-US"/>
        </w:rPr>
        <w:t xml:space="preserve">No debe dejarse de lado, que cualquier persona que pretenda tener cualquier tipo de relación, laboral, empresarial, de trámites, servicios o comercial, para el caso que nos ocupa, debe en cierta medida ceder información relacionada con su vida, en aras de obtener el beneficio pretendido, como formar parte de los proveedores gubernamentales, al respecto, la información sobre la que se debe conceder publicidad sólo es aquella relacionada con el ejercicio de recursos públicos o de funciones y las </w:t>
      </w:r>
      <w:r w:rsidRPr="00613CCE">
        <w:rPr>
          <w:rFonts w:ascii="Palatino Linotype" w:eastAsia="Calibri" w:hAnsi="Palatino Linotype" w:cs="Tahoma"/>
          <w:bCs/>
          <w:sz w:val="24"/>
          <w:szCs w:val="24"/>
          <w:lang w:val="es-ES" w:eastAsia="en-US"/>
        </w:rPr>
        <w:lastRenderedPageBreak/>
        <w:t>facturas, pólizas y documentos en donde constan las transferencias bancarias de pagos de sujetos obligados, están vinculadas directamente con el ejercicio de recursos públicos.</w:t>
      </w:r>
    </w:p>
    <w:p w14:paraId="02432E7E" w14:textId="77777777" w:rsidR="00EB65DC" w:rsidRPr="00613CCE" w:rsidRDefault="00EB65DC" w:rsidP="00613CCE">
      <w:pPr>
        <w:spacing w:line="360" w:lineRule="auto"/>
        <w:ind w:right="-91"/>
        <w:jc w:val="both"/>
        <w:rPr>
          <w:rFonts w:ascii="Palatino Linotype" w:eastAsia="Calibri" w:hAnsi="Palatino Linotype" w:cs="Tahoma"/>
          <w:bCs/>
          <w:sz w:val="24"/>
          <w:szCs w:val="24"/>
          <w:lang w:val="es-ES" w:eastAsia="en-US"/>
        </w:rPr>
      </w:pPr>
    </w:p>
    <w:p w14:paraId="665B501E"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eastAsia="Calibri" w:hAnsi="Palatino Linotype" w:cs="Tahoma"/>
          <w:bCs/>
          <w:sz w:val="24"/>
          <w:szCs w:val="24"/>
          <w:lang w:val="es-ES" w:eastAsia="en-US"/>
        </w:rPr>
      </w:pPr>
      <w:r w:rsidRPr="00613CCE">
        <w:rPr>
          <w:rFonts w:ascii="Palatino Linotype" w:eastAsia="Calibri" w:hAnsi="Palatino Linotype" w:cs="Tahoma"/>
          <w:bCs/>
          <w:sz w:val="24"/>
          <w:szCs w:val="24"/>
          <w:lang w:val="es-ES" w:eastAsia="en-US"/>
        </w:rPr>
        <w:t>Por lo que refiere al RFC de personas jurídico-colectivas, se reitera que no constituyen información confidencial, tal y como lo estableció en Instituto Nacional de Transparencia, Acceso a la Información Pública y Protección de Datos Personales –INAI-, en su Criterio histórico 1/2014.</w:t>
      </w:r>
    </w:p>
    <w:p w14:paraId="581D7F84" w14:textId="77777777" w:rsidR="00EB65DC" w:rsidRPr="00613CCE" w:rsidRDefault="00EB65DC" w:rsidP="00613CCE">
      <w:pPr>
        <w:spacing w:line="360" w:lineRule="auto"/>
        <w:ind w:right="-91"/>
        <w:jc w:val="both"/>
        <w:rPr>
          <w:rFonts w:ascii="Palatino Linotype" w:eastAsia="Calibri" w:hAnsi="Palatino Linotype" w:cs="Tahoma"/>
          <w:bCs/>
          <w:sz w:val="24"/>
          <w:szCs w:val="24"/>
          <w:lang w:val="es-ES" w:eastAsia="en-US"/>
        </w:rPr>
      </w:pPr>
    </w:p>
    <w:p w14:paraId="7EB1DC04" w14:textId="77777777" w:rsidR="00EB65DC" w:rsidRPr="00613CCE" w:rsidRDefault="00EB65DC" w:rsidP="00613CCE">
      <w:pPr>
        <w:spacing w:line="360" w:lineRule="auto"/>
        <w:ind w:left="567" w:right="539"/>
        <w:jc w:val="both"/>
        <w:rPr>
          <w:rFonts w:ascii="Palatino Linotype" w:eastAsia="Calibri" w:hAnsi="Palatino Linotype" w:cs="Tahoma"/>
          <w:bCs/>
          <w:i/>
          <w:sz w:val="24"/>
          <w:szCs w:val="24"/>
          <w:lang w:val="es-ES" w:eastAsia="en-US"/>
        </w:rPr>
      </w:pPr>
      <w:r w:rsidRPr="00613CCE">
        <w:rPr>
          <w:rFonts w:ascii="Palatino Linotype" w:eastAsia="Calibri" w:hAnsi="Palatino Linotype" w:cs="Tahoma"/>
          <w:b/>
          <w:bCs/>
          <w:i/>
          <w:sz w:val="24"/>
          <w:szCs w:val="24"/>
          <w:lang w:val="es-ES" w:eastAsia="en-US"/>
        </w:rPr>
        <w:t>Denominación o razón social, y Registro Federal de Contribuyentes de personas morales, no constituyen información confidencial</w:t>
      </w:r>
      <w:r w:rsidRPr="00613CCE">
        <w:rPr>
          <w:rFonts w:ascii="Palatino Linotype" w:eastAsia="Calibri" w:hAnsi="Palatino Linotype" w:cs="Tahoma"/>
          <w:bCs/>
          <w:i/>
          <w:sz w:val="24"/>
          <w:szCs w:val="24"/>
          <w:lang w:val="es-ES" w:eastAsia="en-US"/>
        </w:rPr>
        <w:t xml:space="preserve">. La denominación o razón social de personas morales es pública, por encontrarse inscritas en el Registro Público de Comercio. Por lo que respecta a su Registro Federal de Contribuyentes (RFC), en principio, también es público, ya que no se refiere a hechos o actos de carácter económico, contable, jurídico o administrativo que sean útiles o representen una ventaja a sus competidores, en términos de lo dispuesto en el artículo 18, fracción I de la Ley Federal de Transparencia y Acceso a la Información Pública Gubernamental y en el Trigésimo Sexto de los Lineamientos Generales para la clasificación y desclasificación de la información de las dependencias y entidades de la Administración Pública Federal; aunado al hecho </w:t>
      </w:r>
      <w:r w:rsidRPr="00613CCE">
        <w:rPr>
          <w:rFonts w:ascii="Palatino Linotype" w:eastAsia="Calibri" w:hAnsi="Palatino Linotype" w:cs="Tahoma"/>
          <w:bCs/>
          <w:i/>
          <w:sz w:val="24"/>
          <w:szCs w:val="24"/>
          <w:lang w:val="es-ES" w:eastAsia="en-US"/>
        </w:rPr>
        <w:lastRenderedPageBreak/>
        <w:t>de que tampoco se trata de información concerniente a personas físicas, por lo que no puede considerarse un dato personal, con fundamento en lo previsto en el artículo 18, fracción II de ese ordenamiento legal. Por lo anterior, la denominación o razón social, así como el RFC de personas morales, no constituye información confidencial.</w:t>
      </w:r>
    </w:p>
    <w:p w14:paraId="08528955" w14:textId="77777777" w:rsidR="00EB65DC" w:rsidRPr="00613CCE" w:rsidRDefault="00EB65DC" w:rsidP="00613CCE">
      <w:pPr>
        <w:spacing w:line="360" w:lineRule="auto"/>
        <w:ind w:right="-91"/>
        <w:jc w:val="both"/>
        <w:rPr>
          <w:rFonts w:ascii="Palatino Linotype" w:eastAsia="Calibri" w:hAnsi="Palatino Linotype" w:cs="Tahoma"/>
          <w:bCs/>
          <w:sz w:val="24"/>
          <w:szCs w:val="24"/>
          <w:lang w:val="es-ES" w:eastAsia="en-US"/>
        </w:rPr>
      </w:pPr>
    </w:p>
    <w:p w14:paraId="616B295D"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rPr>
      </w:pPr>
      <w:r w:rsidRPr="00613CCE">
        <w:rPr>
          <w:rFonts w:ascii="Palatino Linotype" w:eastAsia="Calibri" w:hAnsi="Palatino Linotype" w:cs="Tahoma"/>
          <w:bCs/>
          <w:sz w:val="24"/>
          <w:szCs w:val="24"/>
          <w:lang w:val="es-ES" w:eastAsia="en-US"/>
        </w:rPr>
        <w:t xml:space="preserve">Por consiguiente, no procede clasificar como confidencial con fundamento en el artículo 143, </w:t>
      </w:r>
      <w:r w:rsidRPr="00613CCE">
        <w:rPr>
          <w:rFonts w:ascii="Palatino Linotype" w:hAnsi="Palatino Linotype" w:cs="Tahoma"/>
          <w:sz w:val="24"/>
          <w:szCs w:val="24"/>
        </w:rPr>
        <w:t xml:space="preserve">fracción I, </w:t>
      </w:r>
      <w:r w:rsidRPr="00613CCE">
        <w:rPr>
          <w:rFonts w:ascii="Palatino Linotype" w:eastAsia="Calibri" w:hAnsi="Palatino Linotype" w:cs="Tahoma"/>
          <w:bCs/>
          <w:sz w:val="24"/>
          <w:szCs w:val="24"/>
          <w:lang w:val="es-ES" w:eastAsia="en-US"/>
        </w:rPr>
        <w:t>de</w:t>
      </w:r>
      <w:r w:rsidRPr="00613CCE">
        <w:rPr>
          <w:rFonts w:ascii="Palatino Linotype" w:hAnsi="Palatino Linotype" w:cs="Tahoma"/>
          <w:sz w:val="24"/>
          <w:szCs w:val="24"/>
        </w:rPr>
        <w:t xml:space="preserve"> la Ley de Transparencia y Acceso a la Información Pública del Estado de México y Municipios y, eliminar RFC de personas físicas ni de personas jurídico-colectivas en los documentos que pudiera proporcionar el Sujeto Obligado</w:t>
      </w:r>
    </w:p>
    <w:p w14:paraId="671ECA6C" w14:textId="77777777" w:rsidR="00EB65DC" w:rsidRPr="00613CCE" w:rsidRDefault="00EB65DC" w:rsidP="00613CCE">
      <w:pPr>
        <w:spacing w:line="360" w:lineRule="auto"/>
        <w:jc w:val="both"/>
        <w:rPr>
          <w:rFonts w:ascii="Palatino Linotype" w:hAnsi="Palatino Linotype" w:cs="Tahoma"/>
          <w:sz w:val="24"/>
          <w:szCs w:val="24"/>
        </w:rPr>
      </w:pPr>
    </w:p>
    <w:p w14:paraId="234871D2" w14:textId="77777777" w:rsidR="00EB65DC" w:rsidRPr="00613CCE" w:rsidRDefault="00EB65DC" w:rsidP="00613CCE">
      <w:pPr>
        <w:pStyle w:val="Prrafodelista"/>
        <w:numPr>
          <w:ilvl w:val="0"/>
          <w:numId w:val="20"/>
        </w:numPr>
        <w:spacing w:line="360" w:lineRule="auto"/>
        <w:jc w:val="both"/>
        <w:rPr>
          <w:rFonts w:ascii="Palatino Linotype" w:hAnsi="Palatino Linotype" w:cs="Tahoma"/>
          <w:b/>
          <w:sz w:val="24"/>
        </w:rPr>
      </w:pPr>
      <w:r w:rsidRPr="00613CCE">
        <w:rPr>
          <w:rFonts w:ascii="Palatino Linotype" w:hAnsi="Palatino Linotype" w:cs="Tahoma"/>
          <w:b/>
          <w:sz w:val="24"/>
        </w:rPr>
        <w:t xml:space="preserve">Clave </w:t>
      </w:r>
      <w:r w:rsidRPr="00613CCE">
        <w:rPr>
          <w:rFonts w:ascii="Palatino Linotype" w:hAnsi="Palatino Linotype" w:cs="Tahoma"/>
          <w:b/>
          <w:caps/>
          <w:sz w:val="24"/>
        </w:rPr>
        <w:t>ú</w:t>
      </w:r>
      <w:r w:rsidRPr="00613CCE">
        <w:rPr>
          <w:rFonts w:ascii="Palatino Linotype" w:hAnsi="Palatino Linotype" w:cs="Tahoma"/>
          <w:b/>
          <w:sz w:val="24"/>
        </w:rPr>
        <w:t>nica de Registro de Población –CURP-.</w:t>
      </w:r>
    </w:p>
    <w:p w14:paraId="2D433DF0" w14:textId="77777777" w:rsidR="00EB65DC" w:rsidRPr="00613CCE" w:rsidRDefault="00EB65DC" w:rsidP="00613CCE">
      <w:pPr>
        <w:spacing w:line="360" w:lineRule="auto"/>
        <w:contextualSpacing/>
        <w:jc w:val="both"/>
        <w:rPr>
          <w:rFonts w:ascii="Palatino Linotype" w:hAnsi="Palatino Linotype" w:cs="Tahoma"/>
          <w:sz w:val="24"/>
          <w:szCs w:val="24"/>
          <w:lang w:eastAsia="es-MX"/>
        </w:rPr>
      </w:pPr>
    </w:p>
    <w:p w14:paraId="07ABDFF5"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 xml:space="preserve">El </w:t>
      </w:r>
      <w:r w:rsidRPr="00613CCE">
        <w:rPr>
          <w:rFonts w:ascii="Palatino Linotype" w:eastAsia="Calibri" w:hAnsi="Palatino Linotype" w:cs="Tahoma"/>
          <w:bCs/>
          <w:sz w:val="24"/>
          <w:szCs w:val="24"/>
          <w:lang w:val="es-ES" w:eastAsia="en-US"/>
        </w:rPr>
        <w:t>artículo</w:t>
      </w:r>
      <w:r w:rsidRPr="00613CCE">
        <w:rPr>
          <w:rFonts w:ascii="Palatino Linotype" w:hAnsi="Palatino Linotype" w:cs="Tahoma"/>
          <w:sz w:val="24"/>
          <w:szCs w:val="24"/>
          <w:lang w:eastAsia="es-MX"/>
        </w:rPr>
        <w:t xml:space="preserve"> 36 de la Constitución Política de los Estados Unidos Mexicanos, dispone la obligación de los ciudadanos de inscribirse en el Registro Nacional de Ciudadanos. </w:t>
      </w:r>
    </w:p>
    <w:p w14:paraId="67BB5D38" w14:textId="77777777" w:rsidR="00EB65DC" w:rsidRPr="00613CCE" w:rsidRDefault="00EB65DC" w:rsidP="00613CCE">
      <w:pPr>
        <w:spacing w:line="360" w:lineRule="auto"/>
        <w:contextualSpacing/>
        <w:jc w:val="both"/>
        <w:rPr>
          <w:rFonts w:ascii="Palatino Linotype" w:hAnsi="Palatino Linotype" w:cs="Tahoma"/>
          <w:sz w:val="24"/>
          <w:szCs w:val="24"/>
          <w:lang w:eastAsia="es-MX"/>
        </w:rPr>
      </w:pPr>
    </w:p>
    <w:p w14:paraId="19F4156C"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El artículo 85 de la Ley General de Población, prevé que corresponde a la Secretaría de Gobernación el registro y acreditación de la identidad de todas las personas residentes en el país y de los nacionales que residan en el extranjero.</w:t>
      </w:r>
    </w:p>
    <w:p w14:paraId="43E68F2D"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lastRenderedPageBreak/>
        <w:t>Acorde con lo anterior, el artículo 22 del Reglamento Interior de la Secretaría de Gobernación, establece en su fracción III, que la Dirección General del Registro Nacional de Población e Identificación Personal tiene la atribución de asignar y depurar la Clave Única de Registro de Población a todas las personas residentes en el país, así como a los mexicanos que residan en el extranjero.</w:t>
      </w:r>
    </w:p>
    <w:p w14:paraId="7F0F7B00" w14:textId="77777777" w:rsidR="00A9306F" w:rsidRPr="00613CCE" w:rsidRDefault="00A9306F" w:rsidP="00613CCE">
      <w:pPr>
        <w:pStyle w:val="Prrafodelista"/>
        <w:spacing w:line="360" w:lineRule="auto"/>
        <w:rPr>
          <w:rFonts w:ascii="Palatino Linotype" w:hAnsi="Palatino Linotype" w:cs="Tahoma"/>
          <w:sz w:val="24"/>
          <w:lang w:eastAsia="es-MX"/>
        </w:rPr>
      </w:pPr>
    </w:p>
    <w:p w14:paraId="0FEE9E0C"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 xml:space="preserve">La Clave Única del Registro de Población  CURP-, es un instrumento de registro que se asigna a todas las personas que viven en el territorio nacional, así como a los mexicanos que residen en el extranjero y se compone de dieciocho elementos, representados por letras y números, que </w:t>
      </w:r>
      <w:r w:rsidRPr="00613CCE">
        <w:rPr>
          <w:rFonts w:ascii="Palatino Linotype" w:hAnsi="Palatino Linotype" w:cs="Tahoma"/>
          <w:b/>
          <w:sz w:val="24"/>
          <w:szCs w:val="24"/>
          <w:lang w:eastAsia="es-MX"/>
        </w:rPr>
        <w:t xml:space="preserve">se generan a partir de los datos contenidos en el documento probatorio de la identidad del interesado </w:t>
      </w:r>
      <w:r w:rsidRPr="00613CCE">
        <w:rPr>
          <w:rFonts w:ascii="Palatino Linotype" w:hAnsi="Palatino Linotype" w:cs="Tahoma"/>
          <w:sz w:val="24"/>
          <w:szCs w:val="24"/>
          <w:lang w:eastAsia="es-MX"/>
        </w:rPr>
        <w:t>(acta de nacimiento, carta de naturalización o documento migratorio) de la siguiente forma:</w:t>
      </w:r>
    </w:p>
    <w:p w14:paraId="5031ED54" w14:textId="77777777" w:rsidR="00EB65DC" w:rsidRPr="00613CCE" w:rsidRDefault="00EB65DC" w:rsidP="00613CCE">
      <w:pPr>
        <w:spacing w:line="360" w:lineRule="auto"/>
        <w:contextualSpacing/>
        <w:jc w:val="both"/>
        <w:rPr>
          <w:rFonts w:ascii="Palatino Linotype" w:hAnsi="Palatino Linotype" w:cs="Tahoma"/>
          <w:sz w:val="24"/>
          <w:szCs w:val="24"/>
          <w:lang w:eastAsia="es-MX"/>
        </w:rPr>
      </w:pPr>
    </w:p>
    <w:p w14:paraId="266A877C" w14:textId="77777777" w:rsidR="00EB65DC" w:rsidRPr="00613CCE" w:rsidRDefault="00EB65DC" w:rsidP="00613CCE">
      <w:pPr>
        <w:spacing w:line="360" w:lineRule="auto"/>
        <w:ind w:left="720"/>
        <w:contextualSpacing/>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 xml:space="preserve"> • El primero y segundo apellidos, así como al nombre de pila.</w:t>
      </w:r>
    </w:p>
    <w:p w14:paraId="5FDC5CF6" w14:textId="77777777" w:rsidR="00EB65DC" w:rsidRPr="00613CCE" w:rsidRDefault="00EB65DC" w:rsidP="00613CCE">
      <w:pPr>
        <w:spacing w:line="360" w:lineRule="auto"/>
        <w:ind w:left="720"/>
        <w:contextualSpacing/>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 xml:space="preserve"> • La fecha de nacimiento.</w:t>
      </w:r>
    </w:p>
    <w:p w14:paraId="23E73D0F" w14:textId="77777777" w:rsidR="00EB65DC" w:rsidRPr="00613CCE" w:rsidRDefault="00EB65DC" w:rsidP="00613CCE">
      <w:pPr>
        <w:spacing w:line="360" w:lineRule="auto"/>
        <w:ind w:left="720"/>
        <w:contextualSpacing/>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 xml:space="preserve"> • El sexo.</w:t>
      </w:r>
    </w:p>
    <w:p w14:paraId="791E2D4E" w14:textId="77777777" w:rsidR="00EB65DC" w:rsidRPr="00613CCE" w:rsidRDefault="00EB65DC" w:rsidP="00613CCE">
      <w:pPr>
        <w:spacing w:line="360" w:lineRule="auto"/>
        <w:ind w:left="720"/>
        <w:contextualSpacing/>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 xml:space="preserve"> • La entidad federativa de nacimiento.</w:t>
      </w:r>
    </w:p>
    <w:p w14:paraId="15BD06C5" w14:textId="77777777" w:rsidR="00EB65DC" w:rsidRPr="00613CCE" w:rsidRDefault="00EB65DC" w:rsidP="00613CCE">
      <w:pPr>
        <w:spacing w:line="360" w:lineRule="auto"/>
        <w:contextualSpacing/>
        <w:jc w:val="both"/>
        <w:rPr>
          <w:rFonts w:ascii="Palatino Linotype" w:hAnsi="Palatino Linotype" w:cs="Tahoma"/>
          <w:sz w:val="24"/>
          <w:szCs w:val="24"/>
          <w:lang w:eastAsia="es-MX"/>
        </w:rPr>
      </w:pPr>
    </w:p>
    <w:p w14:paraId="0FB969BE"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Los dos últimos elementos de la CURP evitan la duplicidad de la Clave y garantizan su correcta integración.</w:t>
      </w:r>
    </w:p>
    <w:p w14:paraId="571A5E03"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rPr>
      </w:pPr>
      <w:r w:rsidRPr="00613CCE">
        <w:rPr>
          <w:rFonts w:ascii="Palatino Linotype" w:hAnsi="Palatino Linotype" w:cs="Tahoma"/>
          <w:sz w:val="24"/>
          <w:szCs w:val="24"/>
        </w:rPr>
        <w:lastRenderedPageBreak/>
        <w:t xml:space="preserve">Como se desprende de lo anterior, la CURP es un dato personal confidencial, ya que por sí sola brinda información personal de su titular y lo hace identificado e identificable, motivo por el cual se aprueba su eliminación de las versiones públicas, ya que además no guarda relación con el </w:t>
      </w:r>
      <w:r w:rsidRPr="00613CCE">
        <w:rPr>
          <w:rFonts w:ascii="Palatino Linotype" w:hAnsi="Palatino Linotype" w:cs="Tahoma"/>
          <w:sz w:val="24"/>
          <w:szCs w:val="24"/>
          <w:lang w:eastAsia="es-MX"/>
        </w:rPr>
        <w:t>desempeño</w:t>
      </w:r>
      <w:r w:rsidRPr="00613CCE">
        <w:rPr>
          <w:rFonts w:ascii="Palatino Linotype" w:hAnsi="Palatino Linotype" w:cs="Tahoma"/>
          <w:sz w:val="24"/>
          <w:szCs w:val="24"/>
        </w:rPr>
        <w:t xml:space="preserve"> laboral de un individuo, simplemente se trata de un trámite administrativo requerido por la autoridad federal para hacer identificables a las personas.</w:t>
      </w:r>
    </w:p>
    <w:p w14:paraId="29957793" w14:textId="77777777" w:rsidR="00EB65DC" w:rsidRPr="00613CCE" w:rsidRDefault="00EB65DC" w:rsidP="00613CCE">
      <w:pPr>
        <w:spacing w:line="360" w:lineRule="auto"/>
        <w:contextualSpacing/>
        <w:jc w:val="both"/>
        <w:rPr>
          <w:rFonts w:ascii="Palatino Linotype" w:hAnsi="Palatino Linotype" w:cs="Tahoma"/>
          <w:sz w:val="24"/>
          <w:szCs w:val="24"/>
        </w:rPr>
      </w:pPr>
    </w:p>
    <w:p w14:paraId="66191E1D"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lang w:eastAsia="es-MX"/>
        </w:rPr>
      </w:pPr>
      <w:r w:rsidRPr="00613CCE">
        <w:rPr>
          <w:rFonts w:ascii="Palatino Linotype" w:hAnsi="Palatino Linotype" w:cs="Tahoma"/>
          <w:sz w:val="24"/>
          <w:szCs w:val="24"/>
          <w:lang w:eastAsia="es-MX"/>
        </w:rPr>
        <w:t>Resulta aplicable en la especie, como argumento orientador, el Criterio 3/10, emitido por el INAI.</w:t>
      </w:r>
    </w:p>
    <w:p w14:paraId="6CA524F6" w14:textId="77777777" w:rsidR="00EB65DC" w:rsidRPr="00613CCE" w:rsidRDefault="00EB65DC" w:rsidP="00613CCE">
      <w:pPr>
        <w:spacing w:line="360" w:lineRule="auto"/>
        <w:contextualSpacing/>
        <w:jc w:val="both"/>
        <w:rPr>
          <w:rFonts w:ascii="Palatino Linotype" w:hAnsi="Palatino Linotype" w:cs="Tahoma"/>
          <w:sz w:val="24"/>
          <w:szCs w:val="24"/>
        </w:rPr>
      </w:pPr>
    </w:p>
    <w:p w14:paraId="1687D6D3" w14:textId="77777777" w:rsidR="00EB65DC" w:rsidRPr="00613CCE" w:rsidRDefault="00512A93" w:rsidP="00613CCE">
      <w:pPr>
        <w:autoSpaceDE w:val="0"/>
        <w:autoSpaceDN w:val="0"/>
        <w:adjustRightInd w:val="0"/>
        <w:spacing w:line="360" w:lineRule="auto"/>
        <w:ind w:left="567" w:right="567"/>
        <w:jc w:val="both"/>
        <w:rPr>
          <w:rFonts w:ascii="Palatino Linotype" w:eastAsia="Calibri" w:hAnsi="Palatino Linotype" w:cs="Tahoma"/>
          <w:i/>
          <w:color w:val="000000"/>
          <w:sz w:val="24"/>
          <w:szCs w:val="24"/>
        </w:rPr>
      </w:pPr>
      <w:r w:rsidRPr="00613CCE">
        <w:rPr>
          <w:rFonts w:ascii="Palatino Linotype" w:eastAsia="Calibri" w:hAnsi="Palatino Linotype" w:cs="Tahoma"/>
          <w:b/>
          <w:bCs/>
          <w:i/>
          <w:color w:val="000000"/>
          <w:sz w:val="24"/>
          <w:szCs w:val="24"/>
        </w:rPr>
        <w:t>“</w:t>
      </w:r>
      <w:r w:rsidR="00EB65DC" w:rsidRPr="00613CCE">
        <w:rPr>
          <w:rFonts w:ascii="Palatino Linotype" w:eastAsia="Calibri" w:hAnsi="Palatino Linotype" w:cs="Tahoma"/>
          <w:b/>
          <w:bCs/>
          <w:i/>
          <w:color w:val="000000"/>
          <w:sz w:val="24"/>
          <w:szCs w:val="24"/>
        </w:rPr>
        <w:t xml:space="preserve">Clave Única de Registro de Población (CURP) es un dato personal confidencial. </w:t>
      </w:r>
      <w:r w:rsidR="00EB65DC" w:rsidRPr="00613CCE">
        <w:rPr>
          <w:rFonts w:ascii="Palatino Linotype" w:eastAsia="Calibri" w:hAnsi="Palatino Linotype" w:cs="Tahoma"/>
          <w:i/>
          <w:color w:val="000000"/>
          <w:sz w:val="24"/>
          <w:szCs w:val="24"/>
        </w:rPr>
        <w:t xml:space="preserve">De conformidad con lo establecido en el artículo 3, fracción II de la Ley Federal de Transparencia y Acceso a la Información Pública Gubernamental, dato personal es toda aquella información concerniente a una persona física identificada o identificable. Por su parte, el artículo 18, fracción II de la Ley considera información confidencial los datos personales que requieren el consentimiento de los individuos para su difusión, distribución o comercialización en los términos de esta Ley. En este sentido, la CURP se integra por datos personales que únicamente le conciernen a un particular como son su fecha de nacimiento, su nombre, sus apellidos y su lugar de nacimiento, y esta es </w:t>
      </w:r>
      <w:r w:rsidR="00EB65DC" w:rsidRPr="00613CCE">
        <w:rPr>
          <w:rFonts w:ascii="Palatino Linotype" w:eastAsia="Calibri" w:hAnsi="Palatino Linotype" w:cs="Tahoma"/>
          <w:i/>
          <w:color w:val="000000"/>
          <w:sz w:val="24"/>
          <w:szCs w:val="24"/>
        </w:rPr>
        <w:lastRenderedPageBreak/>
        <w:t>información que lo distingue plenamente del resto de los habitantes, por lo que es de carácter confidencial, en términos de lo dispuesto en el art</w:t>
      </w:r>
      <w:r w:rsidRPr="00613CCE">
        <w:rPr>
          <w:rFonts w:ascii="Palatino Linotype" w:eastAsia="Calibri" w:hAnsi="Palatino Linotype" w:cs="Tahoma"/>
          <w:i/>
          <w:color w:val="000000"/>
          <w:sz w:val="24"/>
          <w:szCs w:val="24"/>
        </w:rPr>
        <w:t xml:space="preserve">ículos anteriormente </w:t>
      </w:r>
      <w:proofErr w:type="gramStart"/>
      <w:r w:rsidRPr="00613CCE">
        <w:rPr>
          <w:rFonts w:ascii="Palatino Linotype" w:eastAsia="Calibri" w:hAnsi="Palatino Linotype" w:cs="Tahoma"/>
          <w:i/>
          <w:color w:val="000000"/>
          <w:sz w:val="24"/>
          <w:szCs w:val="24"/>
        </w:rPr>
        <w:t>señalados.“</w:t>
      </w:r>
      <w:proofErr w:type="gramEnd"/>
    </w:p>
    <w:p w14:paraId="74490E07" w14:textId="77777777" w:rsidR="00EB65DC" w:rsidRPr="00613CCE" w:rsidRDefault="00EB65DC" w:rsidP="00613CCE">
      <w:pPr>
        <w:spacing w:line="360" w:lineRule="auto"/>
        <w:jc w:val="both"/>
        <w:rPr>
          <w:rFonts w:ascii="Palatino Linotype" w:hAnsi="Palatino Linotype" w:cs="Tahoma"/>
          <w:sz w:val="24"/>
          <w:szCs w:val="24"/>
        </w:rPr>
      </w:pPr>
    </w:p>
    <w:p w14:paraId="31AC1748" w14:textId="77777777" w:rsidR="00EB65DC" w:rsidRPr="00613CCE" w:rsidRDefault="00EB65DC" w:rsidP="00613CCE">
      <w:pPr>
        <w:numPr>
          <w:ilvl w:val="0"/>
          <w:numId w:val="6"/>
        </w:numPr>
        <w:pBdr>
          <w:top w:val="nil"/>
          <w:left w:val="nil"/>
          <w:bottom w:val="nil"/>
          <w:right w:val="nil"/>
          <w:between w:val="nil"/>
        </w:pBdr>
        <w:spacing w:line="360" w:lineRule="auto"/>
        <w:ind w:left="0" w:firstLine="0"/>
        <w:jc w:val="both"/>
        <w:rPr>
          <w:rFonts w:ascii="Palatino Linotype" w:hAnsi="Palatino Linotype" w:cs="Tahoma"/>
          <w:sz w:val="24"/>
          <w:szCs w:val="24"/>
        </w:rPr>
      </w:pPr>
      <w:r w:rsidRPr="00613CCE">
        <w:rPr>
          <w:rFonts w:ascii="Palatino Linotype" w:hAnsi="Palatino Linotype" w:cs="Tahoma"/>
          <w:sz w:val="24"/>
          <w:szCs w:val="24"/>
        </w:rPr>
        <w:t xml:space="preserve">De acuerdo con lo anterior, se la clave CURP, es un dato personal confidencial, en términos del </w:t>
      </w:r>
      <w:r w:rsidRPr="00613CCE">
        <w:rPr>
          <w:rFonts w:ascii="Palatino Linotype" w:hAnsi="Palatino Linotype" w:cs="Tahoma"/>
          <w:sz w:val="24"/>
          <w:szCs w:val="24"/>
          <w:lang w:eastAsia="es-MX"/>
        </w:rPr>
        <w:t>artículo</w:t>
      </w:r>
      <w:r w:rsidRPr="00613CCE">
        <w:rPr>
          <w:rFonts w:ascii="Palatino Linotype" w:hAnsi="Palatino Linotype" w:cs="Tahoma"/>
          <w:sz w:val="24"/>
          <w:szCs w:val="24"/>
        </w:rPr>
        <w:t xml:space="preserve"> 143, fracción I de la Ley de Transparencia y Acceso a la Información Pública del Estado de México y Municipios.</w:t>
      </w:r>
    </w:p>
    <w:p w14:paraId="3205FEFF" w14:textId="77777777" w:rsidR="007C27DC" w:rsidRPr="00613CCE" w:rsidRDefault="007C27DC" w:rsidP="00613CCE">
      <w:pPr>
        <w:pBdr>
          <w:top w:val="nil"/>
          <w:left w:val="nil"/>
          <w:bottom w:val="nil"/>
          <w:right w:val="nil"/>
          <w:between w:val="nil"/>
        </w:pBdr>
        <w:spacing w:line="360" w:lineRule="auto"/>
        <w:jc w:val="both"/>
        <w:rPr>
          <w:rFonts w:ascii="Palatino Linotype" w:eastAsia="Palatino Linotype" w:hAnsi="Palatino Linotype" w:cs="Palatino Linotype"/>
          <w:color w:val="000000"/>
          <w:sz w:val="24"/>
          <w:szCs w:val="24"/>
        </w:rPr>
      </w:pPr>
    </w:p>
    <w:p w14:paraId="2B144E4F" w14:textId="77777777" w:rsidR="007C27DC" w:rsidRPr="00613CCE" w:rsidRDefault="007D3D12" w:rsidP="00613CCE">
      <w:pPr>
        <w:numPr>
          <w:ilvl w:val="0"/>
          <w:numId w:val="6"/>
        </w:numPr>
        <w:pBdr>
          <w:top w:val="nil"/>
          <w:left w:val="nil"/>
          <w:bottom w:val="nil"/>
          <w:right w:val="nil"/>
          <w:between w:val="nil"/>
        </w:pBdr>
        <w:spacing w:line="360" w:lineRule="auto"/>
        <w:ind w:left="0" w:firstLine="0"/>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t>Por anteriormente expuesto y fundado, el Pleno de este Instituto de Transparencia, Acceso a la Información Pública y Protección de Datos Personales del Estado de México y Municipios, emite los siguientes:</w:t>
      </w:r>
    </w:p>
    <w:p w14:paraId="450D0617" w14:textId="77777777" w:rsidR="007C27DC" w:rsidRPr="00613CCE" w:rsidRDefault="007C27DC" w:rsidP="00613CCE">
      <w:pPr>
        <w:pBdr>
          <w:top w:val="nil"/>
          <w:left w:val="nil"/>
          <w:bottom w:val="nil"/>
          <w:right w:val="nil"/>
          <w:between w:val="nil"/>
        </w:pBdr>
        <w:tabs>
          <w:tab w:val="left" w:pos="426"/>
        </w:tabs>
        <w:spacing w:line="360" w:lineRule="auto"/>
        <w:jc w:val="center"/>
        <w:rPr>
          <w:rFonts w:ascii="Palatino Linotype" w:eastAsia="Palatino Linotype" w:hAnsi="Palatino Linotype" w:cs="Palatino Linotype"/>
          <w:b/>
          <w:color w:val="000000"/>
          <w:sz w:val="24"/>
          <w:szCs w:val="24"/>
        </w:rPr>
      </w:pPr>
    </w:p>
    <w:p w14:paraId="1FAF6E95" w14:textId="77777777" w:rsidR="007C27DC" w:rsidRPr="00613CCE" w:rsidRDefault="007D3D12" w:rsidP="00613CCE">
      <w:pPr>
        <w:pBdr>
          <w:top w:val="nil"/>
          <w:left w:val="nil"/>
          <w:bottom w:val="nil"/>
          <w:right w:val="nil"/>
          <w:between w:val="nil"/>
        </w:pBdr>
        <w:tabs>
          <w:tab w:val="left" w:pos="426"/>
        </w:tabs>
        <w:spacing w:line="360" w:lineRule="auto"/>
        <w:jc w:val="center"/>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R E S O L U T I V O S</w:t>
      </w:r>
    </w:p>
    <w:p w14:paraId="283215E2" w14:textId="77777777" w:rsidR="007C27DC" w:rsidRPr="00613CCE" w:rsidRDefault="007C27DC" w:rsidP="00613CCE">
      <w:pPr>
        <w:pBdr>
          <w:top w:val="nil"/>
          <w:left w:val="nil"/>
          <w:bottom w:val="nil"/>
          <w:right w:val="nil"/>
          <w:between w:val="nil"/>
        </w:pBdr>
        <w:tabs>
          <w:tab w:val="left" w:pos="426"/>
        </w:tabs>
        <w:spacing w:line="360" w:lineRule="auto"/>
        <w:jc w:val="center"/>
        <w:rPr>
          <w:rFonts w:ascii="Palatino Linotype" w:eastAsia="Palatino Linotype" w:hAnsi="Palatino Linotype" w:cs="Palatino Linotype"/>
          <w:b/>
          <w:color w:val="000000"/>
          <w:sz w:val="24"/>
          <w:szCs w:val="24"/>
        </w:rPr>
      </w:pPr>
    </w:p>
    <w:p w14:paraId="247E4B15" w14:textId="77777777" w:rsidR="007C27DC" w:rsidRPr="00613CCE" w:rsidRDefault="007D3D12" w:rsidP="00613CCE">
      <w:pPr>
        <w:spacing w:line="360" w:lineRule="auto"/>
        <w:jc w:val="both"/>
        <w:rPr>
          <w:rFonts w:ascii="Palatino Linotype" w:eastAsia="Palatino Linotype" w:hAnsi="Palatino Linotype" w:cs="Palatino Linotype"/>
          <w:sz w:val="24"/>
          <w:szCs w:val="24"/>
        </w:rPr>
      </w:pPr>
      <w:bookmarkStart w:id="7" w:name="_heading=h.2s8eyo1" w:colFirst="0" w:colLast="0"/>
      <w:bookmarkEnd w:id="7"/>
      <w:r w:rsidRPr="00613CCE">
        <w:rPr>
          <w:rFonts w:ascii="Palatino Linotype" w:eastAsia="Palatino Linotype" w:hAnsi="Palatino Linotype" w:cs="Palatino Linotype"/>
          <w:b/>
          <w:sz w:val="24"/>
          <w:szCs w:val="24"/>
        </w:rPr>
        <w:t xml:space="preserve">PRIMERO. </w:t>
      </w:r>
      <w:r w:rsidR="00F32357" w:rsidRPr="00613CCE">
        <w:rPr>
          <w:rFonts w:ascii="Palatino Linotype" w:eastAsia="Palatino Linotype" w:hAnsi="Palatino Linotype" w:cs="Palatino Linotype"/>
          <w:sz w:val="24"/>
          <w:szCs w:val="24"/>
        </w:rPr>
        <w:t xml:space="preserve">Resultan </w:t>
      </w:r>
      <w:r w:rsidRPr="00613CCE">
        <w:rPr>
          <w:rFonts w:ascii="Palatino Linotype" w:eastAsia="Palatino Linotype" w:hAnsi="Palatino Linotype" w:cs="Palatino Linotype"/>
          <w:sz w:val="24"/>
          <w:szCs w:val="24"/>
        </w:rPr>
        <w:t>fundadas las</w:t>
      </w:r>
      <w:r w:rsidRPr="00613CCE">
        <w:rPr>
          <w:rFonts w:ascii="Palatino Linotype" w:eastAsia="Palatino Linotype" w:hAnsi="Palatino Linotype" w:cs="Palatino Linotype"/>
          <w:b/>
          <w:sz w:val="24"/>
          <w:szCs w:val="24"/>
        </w:rPr>
        <w:t xml:space="preserve"> </w:t>
      </w:r>
      <w:r w:rsidRPr="00613CCE">
        <w:rPr>
          <w:rFonts w:ascii="Palatino Linotype" w:eastAsia="Palatino Linotype" w:hAnsi="Palatino Linotype" w:cs="Palatino Linotype"/>
          <w:sz w:val="24"/>
          <w:szCs w:val="24"/>
        </w:rPr>
        <w:t xml:space="preserve">razones o motivos de inconformidad hechos valer en los Recursos de Revisión </w:t>
      </w:r>
      <w:r w:rsidR="00A9306F" w:rsidRPr="00613CCE">
        <w:rPr>
          <w:rFonts w:ascii="Palatino Linotype" w:eastAsia="Palatino Linotype" w:hAnsi="Palatino Linotype" w:cs="Palatino Linotype"/>
          <w:b/>
          <w:color w:val="000000"/>
          <w:sz w:val="24"/>
          <w:szCs w:val="24"/>
        </w:rPr>
        <w:t>05463/INFOEM/IP/RR/2024, 05464/INFOEM/IP/RR/2024, 05465/INFOEM/IP/RR/2024, 05466/INFOEM/IP/RR/2024 y, 05468/INFOEM/IP/RR/2024</w:t>
      </w:r>
      <w:r w:rsidRPr="00613CCE">
        <w:rPr>
          <w:rFonts w:ascii="Palatino Linotype" w:eastAsia="Palatino Linotype" w:hAnsi="Palatino Linotype" w:cs="Palatino Linotype"/>
          <w:b/>
          <w:sz w:val="24"/>
          <w:szCs w:val="24"/>
        </w:rPr>
        <w:t xml:space="preserve"> </w:t>
      </w:r>
      <w:r w:rsidR="00512A93" w:rsidRPr="00613CCE">
        <w:rPr>
          <w:rFonts w:ascii="Palatino Linotype" w:eastAsia="Palatino Linotype" w:hAnsi="Palatino Linotype" w:cs="Palatino Linotype"/>
          <w:b/>
          <w:sz w:val="24"/>
          <w:szCs w:val="24"/>
        </w:rPr>
        <w:t>acumulados</w:t>
      </w:r>
      <w:r w:rsidR="002C26B8">
        <w:rPr>
          <w:rFonts w:ascii="Palatino Linotype" w:eastAsia="Palatino Linotype" w:hAnsi="Palatino Linotype" w:cs="Palatino Linotype"/>
          <w:b/>
          <w:sz w:val="24"/>
          <w:szCs w:val="24"/>
        </w:rPr>
        <w:t>,</w:t>
      </w:r>
      <w:r w:rsidR="00512A93" w:rsidRPr="00613CCE">
        <w:rPr>
          <w:rFonts w:ascii="Palatino Linotype" w:eastAsia="Palatino Linotype" w:hAnsi="Palatino Linotype" w:cs="Palatino Linotype"/>
          <w:b/>
          <w:sz w:val="24"/>
          <w:szCs w:val="24"/>
        </w:rPr>
        <w:t xml:space="preserve"> </w:t>
      </w:r>
      <w:r w:rsidRPr="00613CCE">
        <w:rPr>
          <w:rFonts w:ascii="Palatino Linotype" w:eastAsia="Palatino Linotype" w:hAnsi="Palatino Linotype" w:cs="Palatino Linotype"/>
          <w:sz w:val="24"/>
          <w:szCs w:val="24"/>
        </w:rPr>
        <w:t>en términos de los</w:t>
      </w:r>
      <w:r w:rsidRPr="00613CCE">
        <w:rPr>
          <w:rFonts w:ascii="Palatino Linotype" w:eastAsia="Palatino Linotype" w:hAnsi="Palatino Linotype" w:cs="Palatino Linotype"/>
          <w:b/>
          <w:sz w:val="24"/>
          <w:szCs w:val="24"/>
        </w:rPr>
        <w:t xml:space="preserve"> Considerandos</w:t>
      </w:r>
      <w:r w:rsidRPr="00613CCE">
        <w:rPr>
          <w:rFonts w:ascii="Palatino Linotype" w:eastAsia="Palatino Linotype" w:hAnsi="Palatino Linotype" w:cs="Palatino Linotype"/>
          <w:sz w:val="24"/>
          <w:szCs w:val="24"/>
        </w:rPr>
        <w:t xml:space="preserve"> </w:t>
      </w:r>
      <w:r w:rsidRPr="00613CCE">
        <w:rPr>
          <w:rFonts w:ascii="Palatino Linotype" w:eastAsia="Palatino Linotype" w:hAnsi="Palatino Linotype" w:cs="Palatino Linotype"/>
          <w:b/>
          <w:sz w:val="24"/>
          <w:szCs w:val="24"/>
        </w:rPr>
        <w:t>Cuarto y Quinto</w:t>
      </w:r>
      <w:r w:rsidRPr="00613CCE">
        <w:rPr>
          <w:rFonts w:ascii="Palatino Linotype" w:eastAsia="Palatino Linotype" w:hAnsi="Palatino Linotype" w:cs="Palatino Linotype"/>
          <w:sz w:val="24"/>
          <w:szCs w:val="24"/>
        </w:rPr>
        <w:t xml:space="preserve"> de la presente Resolución.</w:t>
      </w:r>
    </w:p>
    <w:p w14:paraId="1C131F27" w14:textId="77777777" w:rsidR="005C62DC" w:rsidRPr="00613CCE" w:rsidRDefault="005C62DC" w:rsidP="00613CCE">
      <w:pPr>
        <w:spacing w:line="360" w:lineRule="auto"/>
        <w:jc w:val="both"/>
        <w:rPr>
          <w:rFonts w:ascii="Palatino Linotype" w:eastAsia="Palatino Linotype" w:hAnsi="Palatino Linotype" w:cs="Palatino Linotype"/>
          <w:sz w:val="24"/>
          <w:szCs w:val="24"/>
        </w:rPr>
      </w:pPr>
    </w:p>
    <w:p w14:paraId="249EC953" w14:textId="77777777" w:rsidR="007C27DC" w:rsidRPr="00613CCE" w:rsidRDefault="007D3D12" w:rsidP="00613CCE">
      <w:pPr>
        <w:spacing w:line="360" w:lineRule="auto"/>
        <w:ind w:right="48"/>
        <w:jc w:val="both"/>
        <w:rPr>
          <w:rFonts w:ascii="Palatino Linotype" w:eastAsia="Palatino Linotype" w:hAnsi="Palatino Linotype" w:cs="Palatino Linotype"/>
          <w:sz w:val="24"/>
          <w:szCs w:val="24"/>
        </w:rPr>
      </w:pPr>
      <w:r w:rsidRPr="00613CCE">
        <w:rPr>
          <w:rFonts w:ascii="Palatino Linotype" w:eastAsia="Palatino Linotype" w:hAnsi="Palatino Linotype" w:cs="Palatino Linotype"/>
          <w:b/>
          <w:sz w:val="24"/>
          <w:szCs w:val="24"/>
        </w:rPr>
        <w:lastRenderedPageBreak/>
        <w:t>SEGUNDO.</w:t>
      </w:r>
      <w:r w:rsidRPr="00613CCE">
        <w:rPr>
          <w:rFonts w:ascii="Palatino Linotype" w:eastAsia="Palatino Linotype" w:hAnsi="Palatino Linotype" w:cs="Palatino Linotype"/>
          <w:color w:val="2F5496"/>
          <w:sz w:val="24"/>
          <w:szCs w:val="24"/>
        </w:rPr>
        <w:t xml:space="preserve"> </w:t>
      </w:r>
      <w:r w:rsidRPr="00613CCE">
        <w:rPr>
          <w:rFonts w:ascii="Palatino Linotype" w:eastAsia="Palatino Linotype" w:hAnsi="Palatino Linotype" w:cs="Palatino Linotype"/>
          <w:sz w:val="24"/>
          <w:szCs w:val="24"/>
        </w:rPr>
        <w:t>Se</w:t>
      </w:r>
      <w:r w:rsidRPr="00613CCE">
        <w:rPr>
          <w:rFonts w:ascii="Palatino Linotype" w:eastAsia="Palatino Linotype" w:hAnsi="Palatino Linotype" w:cs="Palatino Linotype"/>
          <w:b/>
          <w:sz w:val="24"/>
          <w:szCs w:val="24"/>
        </w:rPr>
        <w:t xml:space="preserve"> </w:t>
      </w:r>
      <w:r w:rsidR="00512A93" w:rsidRPr="00613CCE">
        <w:rPr>
          <w:rFonts w:ascii="Palatino Linotype" w:eastAsia="Palatino Linotype" w:hAnsi="Palatino Linotype" w:cs="Palatino Linotype"/>
          <w:b/>
          <w:sz w:val="24"/>
          <w:szCs w:val="24"/>
        </w:rPr>
        <w:t>REVOCAN</w:t>
      </w:r>
      <w:r w:rsidRPr="00613CCE">
        <w:rPr>
          <w:rFonts w:ascii="Palatino Linotype" w:eastAsia="Palatino Linotype" w:hAnsi="Palatino Linotype" w:cs="Palatino Linotype"/>
          <w:b/>
          <w:sz w:val="24"/>
          <w:szCs w:val="24"/>
        </w:rPr>
        <w:t xml:space="preserve"> </w:t>
      </w:r>
      <w:r w:rsidRPr="00613CCE">
        <w:rPr>
          <w:rFonts w:ascii="Palatino Linotype" w:eastAsia="Palatino Linotype" w:hAnsi="Palatino Linotype" w:cs="Palatino Linotype"/>
          <w:sz w:val="24"/>
          <w:szCs w:val="24"/>
        </w:rPr>
        <w:t xml:space="preserve">las respuestas emitidas por el </w:t>
      </w:r>
      <w:r w:rsidR="006C01DC" w:rsidRPr="00613CCE">
        <w:rPr>
          <w:rFonts w:ascii="Palatino Linotype" w:eastAsia="Palatino Linotype" w:hAnsi="Palatino Linotype" w:cs="Palatino Linotype"/>
          <w:b/>
          <w:sz w:val="24"/>
          <w:szCs w:val="24"/>
        </w:rPr>
        <w:t>Ayuntamiento de Valle de Chalco Solidaridad</w:t>
      </w:r>
      <w:r w:rsidRPr="00613CCE">
        <w:rPr>
          <w:rFonts w:ascii="Palatino Linotype" w:eastAsia="Palatino Linotype" w:hAnsi="Palatino Linotype" w:cs="Palatino Linotype"/>
          <w:sz w:val="24"/>
          <w:szCs w:val="24"/>
        </w:rPr>
        <w:t xml:space="preserve"> y se</w:t>
      </w:r>
      <w:r w:rsidRPr="00613CCE">
        <w:rPr>
          <w:rFonts w:ascii="Palatino Linotype" w:eastAsia="Palatino Linotype" w:hAnsi="Palatino Linotype" w:cs="Palatino Linotype"/>
          <w:b/>
          <w:sz w:val="24"/>
          <w:szCs w:val="24"/>
        </w:rPr>
        <w:t xml:space="preserve"> ORDENA </w:t>
      </w:r>
      <w:r w:rsidRPr="00613CCE">
        <w:rPr>
          <w:rFonts w:ascii="Palatino Linotype" w:eastAsia="Palatino Linotype" w:hAnsi="Palatino Linotype" w:cs="Palatino Linotype"/>
          <w:sz w:val="24"/>
          <w:szCs w:val="24"/>
        </w:rPr>
        <w:t xml:space="preserve">entregar vía Sistema de Accesos a la Información Mexiquense </w:t>
      </w:r>
      <w:r w:rsidRPr="00613CCE">
        <w:rPr>
          <w:rFonts w:ascii="Palatino Linotype" w:eastAsia="Palatino Linotype" w:hAnsi="Palatino Linotype" w:cs="Palatino Linotype"/>
          <w:b/>
          <w:sz w:val="24"/>
          <w:szCs w:val="24"/>
        </w:rPr>
        <w:t>(SAIMEX)</w:t>
      </w:r>
      <w:r w:rsidRPr="00613CCE">
        <w:rPr>
          <w:rFonts w:ascii="Palatino Linotype" w:eastAsia="Palatino Linotype" w:hAnsi="Palatino Linotype" w:cs="Palatino Linotype"/>
          <w:sz w:val="24"/>
          <w:szCs w:val="24"/>
        </w:rPr>
        <w:t>, en versión pública la siguiente información</w:t>
      </w:r>
      <w:r w:rsidR="00B1724E" w:rsidRPr="00613CCE">
        <w:rPr>
          <w:rFonts w:ascii="Palatino Linotype" w:eastAsia="Palatino Linotype" w:hAnsi="Palatino Linotype" w:cs="Palatino Linotype"/>
          <w:sz w:val="24"/>
          <w:szCs w:val="24"/>
        </w:rPr>
        <w:t>,</w:t>
      </w:r>
      <w:r w:rsidR="00512A93" w:rsidRPr="00613CCE">
        <w:rPr>
          <w:rFonts w:ascii="Palatino Linotype" w:eastAsia="Palatino Linotype" w:hAnsi="Palatino Linotype" w:cs="Palatino Linotype"/>
          <w:sz w:val="24"/>
          <w:szCs w:val="24"/>
        </w:rPr>
        <w:t xml:space="preserve"> al 23 de julio de dos mil veinticuatro:</w:t>
      </w:r>
    </w:p>
    <w:p w14:paraId="7A9E4ACB" w14:textId="77777777" w:rsidR="007C27DC" w:rsidRPr="00613CCE" w:rsidRDefault="007C27DC" w:rsidP="00613CCE">
      <w:pPr>
        <w:spacing w:line="360" w:lineRule="auto"/>
        <w:ind w:right="48"/>
        <w:jc w:val="both"/>
        <w:rPr>
          <w:rFonts w:ascii="Palatino Linotype" w:eastAsia="Palatino Linotype" w:hAnsi="Palatino Linotype" w:cs="Palatino Linotype"/>
          <w:sz w:val="24"/>
          <w:szCs w:val="24"/>
        </w:rPr>
      </w:pPr>
    </w:p>
    <w:p w14:paraId="25A83F31" w14:textId="77777777" w:rsidR="00A9306F" w:rsidRPr="00613CCE" w:rsidRDefault="00A9306F" w:rsidP="00613CCE">
      <w:pPr>
        <w:pBdr>
          <w:top w:val="nil"/>
          <w:left w:val="nil"/>
          <w:bottom w:val="nil"/>
          <w:right w:val="nil"/>
          <w:between w:val="nil"/>
        </w:pBdr>
        <w:spacing w:line="360" w:lineRule="auto"/>
        <w:ind w:left="709" w:right="539"/>
        <w:jc w:val="both"/>
        <w:rPr>
          <w:rFonts w:ascii="Palatino Linotype" w:eastAsia="Palatino Linotype" w:hAnsi="Palatino Linotype" w:cs="Palatino Linotype"/>
          <w:b/>
          <w:color w:val="000000"/>
          <w:sz w:val="24"/>
          <w:szCs w:val="24"/>
        </w:rPr>
      </w:pPr>
      <w:r w:rsidRPr="00613CCE">
        <w:rPr>
          <w:rFonts w:ascii="Palatino Linotype" w:eastAsia="Palatino Linotype" w:hAnsi="Palatino Linotype" w:cs="Palatino Linotype"/>
          <w:b/>
          <w:color w:val="000000"/>
          <w:sz w:val="24"/>
          <w:szCs w:val="24"/>
        </w:rPr>
        <w:t xml:space="preserve">Soporte documental en que conste o se adviertan los montos erogados en favor de la persona referida en las solicitudes de información, por su participación en la prestación de los siguientes servicios: </w:t>
      </w:r>
    </w:p>
    <w:p w14:paraId="428CEE94" w14:textId="77777777" w:rsidR="00A9306F" w:rsidRPr="00613CCE" w:rsidRDefault="00A9306F" w:rsidP="00613CCE">
      <w:pPr>
        <w:pBdr>
          <w:top w:val="nil"/>
          <w:left w:val="nil"/>
          <w:bottom w:val="nil"/>
          <w:right w:val="nil"/>
          <w:between w:val="nil"/>
        </w:pBdr>
        <w:spacing w:line="360" w:lineRule="auto"/>
        <w:ind w:left="709" w:right="539"/>
        <w:jc w:val="both"/>
        <w:rPr>
          <w:rFonts w:ascii="Palatino Linotype" w:eastAsia="Palatino Linotype" w:hAnsi="Palatino Linotype" w:cs="Palatino Linotype"/>
          <w:b/>
          <w:color w:val="000000"/>
          <w:sz w:val="24"/>
          <w:szCs w:val="24"/>
        </w:rPr>
      </w:pPr>
    </w:p>
    <w:p w14:paraId="33A96AF3" w14:textId="77777777" w:rsidR="00A9306F" w:rsidRPr="00613CCE" w:rsidRDefault="00A9306F" w:rsidP="00613CCE">
      <w:pPr>
        <w:pStyle w:val="Prrafodelista"/>
        <w:numPr>
          <w:ilvl w:val="0"/>
          <w:numId w:val="21"/>
        </w:numPr>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r w:rsidRPr="00613CCE">
        <w:rPr>
          <w:rFonts w:ascii="Palatino Linotype" w:eastAsia="Palatino Linotype" w:hAnsi="Palatino Linotype" w:cs="Palatino Linotype"/>
          <w:color w:val="000000"/>
          <w:sz w:val="24"/>
        </w:rPr>
        <w:t>Mantenimiento de equipos de bienes informáticos;</w:t>
      </w:r>
    </w:p>
    <w:p w14:paraId="0578B530" w14:textId="77777777" w:rsidR="00A9306F" w:rsidRPr="00613CCE" w:rsidRDefault="00A9306F" w:rsidP="00613CCE">
      <w:pPr>
        <w:pStyle w:val="Prrafodelista"/>
        <w:numPr>
          <w:ilvl w:val="0"/>
          <w:numId w:val="21"/>
        </w:numPr>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r w:rsidRPr="00613CCE">
        <w:rPr>
          <w:rFonts w:ascii="Palatino Linotype" w:eastAsia="Palatino Linotype" w:hAnsi="Palatino Linotype" w:cs="Palatino Linotype"/>
          <w:color w:val="000000"/>
          <w:sz w:val="24"/>
        </w:rPr>
        <w:t>Mantenimiento de cámaras de video del Municipio;</w:t>
      </w:r>
    </w:p>
    <w:p w14:paraId="02CB9BCD" w14:textId="77777777" w:rsidR="00A9306F" w:rsidRPr="00613CCE" w:rsidRDefault="00A9306F" w:rsidP="00613CCE">
      <w:pPr>
        <w:pStyle w:val="Prrafodelista"/>
        <w:numPr>
          <w:ilvl w:val="0"/>
          <w:numId w:val="21"/>
        </w:numPr>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r w:rsidRPr="00613CCE">
        <w:rPr>
          <w:rFonts w:ascii="Palatino Linotype" w:eastAsia="Palatino Linotype" w:hAnsi="Palatino Linotype" w:cs="Palatino Linotype"/>
          <w:color w:val="000000"/>
          <w:sz w:val="24"/>
        </w:rPr>
        <w:t xml:space="preserve">Compilación de imágenes en paquete </w:t>
      </w:r>
      <w:proofErr w:type="spellStart"/>
      <w:r w:rsidRPr="00613CCE">
        <w:rPr>
          <w:rFonts w:ascii="Palatino Linotype" w:eastAsia="Palatino Linotype" w:hAnsi="Palatino Linotype" w:cs="Palatino Linotype"/>
          <w:color w:val="000000"/>
          <w:sz w:val="24"/>
        </w:rPr>
        <w:t>Tif</w:t>
      </w:r>
      <w:proofErr w:type="spellEnd"/>
      <w:r w:rsidRPr="00613CCE">
        <w:rPr>
          <w:rFonts w:ascii="Palatino Linotype" w:eastAsia="Palatino Linotype" w:hAnsi="Palatino Linotype" w:cs="Palatino Linotype"/>
          <w:color w:val="000000"/>
          <w:sz w:val="24"/>
        </w:rPr>
        <w:t>/</w:t>
      </w:r>
      <w:proofErr w:type="spellStart"/>
      <w:r w:rsidRPr="00613CCE">
        <w:rPr>
          <w:rFonts w:ascii="Palatino Linotype" w:eastAsia="Palatino Linotype" w:hAnsi="Palatino Linotype" w:cs="Palatino Linotype"/>
          <w:color w:val="000000"/>
          <w:sz w:val="24"/>
        </w:rPr>
        <w:t>Multitif</w:t>
      </w:r>
      <w:proofErr w:type="spellEnd"/>
      <w:r w:rsidRPr="00613CCE">
        <w:rPr>
          <w:rFonts w:ascii="Palatino Linotype" w:eastAsia="Palatino Linotype" w:hAnsi="Palatino Linotype" w:cs="Palatino Linotype"/>
          <w:color w:val="000000"/>
          <w:sz w:val="24"/>
        </w:rPr>
        <w:t xml:space="preserve"> Generación de archivo SIFE para integración al informe trimestral (Primer Trimestre 2023);</w:t>
      </w:r>
    </w:p>
    <w:p w14:paraId="5824C523" w14:textId="77777777" w:rsidR="00A9306F" w:rsidRPr="00613CCE" w:rsidRDefault="00A9306F" w:rsidP="00613CCE">
      <w:pPr>
        <w:pStyle w:val="Prrafodelista"/>
        <w:numPr>
          <w:ilvl w:val="0"/>
          <w:numId w:val="21"/>
        </w:numPr>
        <w:pBdr>
          <w:top w:val="nil"/>
          <w:left w:val="nil"/>
          <w:bottom w:val="nil"/>
          <w:right w:val="nil"/>
          <w:between w:val="nil"/>
        </w:pBdr>
        <w:spacing w:line="360" w:lineRule="auto"/>
        <w:ind w:left="709" w:right="539"/>
        <w:jc w:val="both"/>
        <w:rPr>
          <w:rFonts w:ascii="Palatino Linotype" w:eastAsia="Palatino Linotype" w:hAnsi="Palatino Linotype" w:cs="Palatino Linotype"/>
          <w:color w:val="000000"/>
          <w:sz w:val="24"/>
        </w:rPr>
      </w:pPr>
      <w:r w:rsidRPr="00613CCE">
        <w:rPr>
          <w:rFonts w:ascii="Palatino Linotype" w:eastAsia="Palatino Linotype" w:hAnsi="Palatino Linotype" w:cs="Palatino Linotype"/>
          <w:color w:val="000000"/>
          <w:sz w:val="24"/>
        </w:rPr>
        <w:t>Digitalización de documentos de expedientes de los procedimientos de adquisiciones, arrendamientos de bienes o contratación de servicios, del ejercicios fiscal de 2022; y</w:t>
      </w:r>
    </w:p>
    <w:p w14:paraId="15ABBC5E" w14:textId="77777777" w:rsidR="00A9306F" w:rsidRPr="00613CCE" w:rsidRDefault="00A9306F" w:rsidP="00613CCE">
      <w:pPr>
        <w:pStyle w:val="Prrafodelista"/>
        <w:numPr>
          <w:ilvl w:val="0"/>
          <w:numId w:val="21"/>
        </w:numPr>
        <w:pBdr>
          <w:top w:val="nil"/>
          <w:left w:val="nil"/>
          <w:bottom w:val="nil"/>
          <w:right w:val="nil"/>
          <w:between w:val="nil"/>
        </w:pBdr>
        <w:spacing w:line="360" w:lineRule="auto"/>
        <w:ind w:left="709" w:right="539"/>
        <w:jc w:val="both"/>
        <w:rPr>
          <w:rFonts w:ascii="Palatino Linotype" w:eastAsia="Palatino Linotype" w:hAnsi="Palatino Linotype" w:cs="Palatino Linotype"/>
          <w:b/>
          <w:color w:val="000000"/>
          <w:sz w:val="24"/>
        </w:rPr>
      </w:pPr>
      <w:r w:rsidRPr="00613CCE">
        <w:rPr>
          <w:rFonts w:ascii="Palatino Linotype" w:eastAsia="Palatino Linotype" w:hAnsi="Palatino Linotype" w:cs="Palatino Linotype"/>
          <w:color w:val="000000"/>
          <w:sz w:val="24"/>
        </w:rPr>
        <w:t xml:space="preserve">Reingeniería de procesos de seguridad IA/ML </w:t>
      </w:r>
      <w:proofErr w:type="spellStart"/>
      <w:r w:rsidRPr="00613CCE">
        <w:rPr>
          <w:rFonts w:ascii="Palatino Linotype" w:eastAsia="Palatino Linotype" w:hAnsi="Palatino Linotype" w:cs="Palatino Linotype"/>
          <w:color w:val="000000"/>
          <w:sz w:val="24"/>
        </w:rPr>
        <w:t>Fortigate</w:t>
      </w:r>
      <w:proofErr w:type="spellEnd"/>
      <w:r w:rsidRPr="00613CCE">
        <w:rPr>
          <w:rFonts w:ascii="Palatino Linotype" w:eastAsia="Palatino Linotype" w:hAnsi="Palatino Linotype" w:cs="Palatino Linotype"/>
          <w:color w:val="000000"/>
          <w:sz w:val="24"/>
        </w:rPr>
        <w:t xml:space="preserve"> NGFW firewall, protección de acceso vía NAS de QNAP "Prevención de ataques Hacker"</w:t>
      </w:r>
    </w:p>
    <w:p w14:paraId="786614CC" w14:textId="77777777" w:rsidR="007C27DC" w:rsidRPr="00613CCE" w:rsidRDefault="007C27DC" w:rsidP="00613CCE">
      <w:pPr>
        <w:pBdr>
          <w:top w:val="nil"/>
          <w:left w:val="nil"/>
          <w:bottom w:val="nil"/>
          <w:right w:val="nil"/>
          <w:between w:val="nil"/>
        </w:pBdr>
        <w:spacing w:line="360" w:lineRule="auto"/>
        <w:ind w:left="426" w:right="567"/>
        <w:jc w:val="both"/>
        <w:rPr>
          <w:rFonts w:ascii="Palatino Linotype" w:eastAsia="Palatino Linotype" w:hAnsi="Palatino Linotype" w:cs="Palatino Linotype"/>
          <w:sz w:val="24"/>
          <w:szCs w:val="24"/>
        </w:rPr>
      </w:pPr>
    </w:p>
    <w:p w14:paraId="7F38CE37" w14:textId="77777777" w:rsidR="007C27DC" w:rsidRPr="00613CCE" w:rsidRDefault="007D3D12" w:rsidP="00613CCE">
      <w:pPr>
        <w:spacing w:line="360" w:lineRule="auto"/>
        <w:jc w:val="both"/>
        <w:rPr>
          <w:rFonts w:ascii="Palatino Linotype" w:eastAsia="Palatino Linotype" w:hAnsi="Palatino Linotype" w:cs="Palatino Linotype"/>
          <w:color w:val="000000"/>
          <w:sz w:val="24"/>
          <w:szCs w:val="24"/>
        </w:rPr>
      </w:pPr>
      <w:r w:rsidRPr="00613CCE">
        <w:rPr>
          <w:rFonts w:ascii="Palatino Linotype" w:eastAsia="Palatino Linotype" w:hAnsi="Palatino Linotype" w:cs="Palatino Linotype"/>
          <w:color w:val="000000"/>
          <w:sz w:val="24"/>
          <w:szCs w:val="24"/>
        </w:rPr>
        <w:lastRenderedPageBreak/>
        <w:t xml:space="preserve">Para efectos de lo anterior, se deberá emitir el Acuerdo del Comité de Transparencia en términos de los artículos 49, fracción VIII y 132, fracción II de la Ley de Transparencia y Acceso a la Información Pública del Estado de México y Municipios, en el que funde y motive las razones sobre los datos que se supriman o eliminen dentro del soporte documental respectivo objeto de las versiones públicas que se formulen y se pongan a disposición </w:t>
      </w:r>
      <w:r w:rsidRPr="00613CCE">
        <w:rPr>
          <w:rFonts w:ascii="Palatino Linotype" w:eastAsia="Palatino Linotype" w:hAnsi="Palatino Linotype" w:cs="Palatino Linotype"/>
          <w:sz w:val="24"/>
          <w:szCs w:val="24"/>
        </w:rPr>
        <w:t>del</w:t>
      </w:r>
      <w:r w:rsidRPr="00613CCE">
        <w:rPr>
          <w:rFonts w:ascii="Palatino Linotype" w:eastAsia="Palatino Linotype" w:hAnsi="Palatino Linotype" w:cs="Palatino Linotype"/>
          <w:b/>
          <w:color w:val="000000"/>
          <w:sz w:val="24"/>
          <w:szCs w:val="24"/>
        </w:rPr>
        <w:t xml:space="preserve"> RECURRENTE</w:t>
      </w:r>
      <w:r w:rsidRPr="00613CCE">
        <w:rPr>
          <w:rFonts w:ascii="Palatino Linotype" w:eastAsia="Palatino Linotype" w:hAnsi="Palatino Linotype" w:cs="Palatino Linotype"/>
          <w:color w:val="000000"/>
          <w:sz w:val="24"/>
          <w:szCs w:val="24"/>
        </w:rPr>
        <w:t>.</w:t>
      </w:r>
    </w:p>
    <w:p w14:paraId="414C1AC7" w14:textId="77777777" w:rsidR="007C27DC" w:rsidRPr="00613CCE" w:rsidRDefault="007C27DC" w:rsidP="00613CCE">
      <w:pPr>
        <w:spacing w:line="360" w:lineRule="auto"/>
        <w:jc w:val="both"/>
        <w:rPr>
          <w:rFonts w:ascii="Palatino Linotype" w:eastAsia="Palatino Linotype" w:hAnsi="Palatino Linotype" w:cs="Palatino Linotype"/>
          <w:b/>
          <w:sz w:val="24"/>
          <w:szCs w:val="24"/>
        </w:rPr>
      </w:pPr>
    </w:p>
    <w:p w14:paraId="1FAC1571" w14:textId="77777777" w:rsidR="007C27DC" w:rsidRPr="00613CCE" w:rsidRDefault="007D3D12" w:rsidP="00613CCE">
      <w:pPr>
        <w:spacing w:line="360" w:lineRule="auto"/>
        <w:jc w:val="both"/>
        <w:rPr>
          <w:rFonts w:ascii="Palatino Linotype" w:eastAsia="Palatino Linotype" w:hAnsi="Palatino Linotype" w:cs="Palatino Linotype"/>
          <w:sz w:val="24"/>
          <w:szCs w:val="24"/>
        </w:rPr>
      </w:pPr>
      <w:r w:rsidRPr="00613CCE">
        <w:rPr>
          <w:rFonts w:ascii="Palatino Linotype" w:eastAsia="Palatino Linotype" w:hAnsi="Palatino Linotype" w:cs="Palatino Linotype"/>
          <w:b/>
          <w:sz w:val="24"/>
          <w:szCs w:val="24"/>
        </w:rPr>
        <w:t xml:space="preserve">TERCERO. Notifíquese </w:t>
      </w:r>
      <w:r w:rsidRPr="00613CCE">
        <w:rPr>
          <w:rFonts w:ascii="Palatino Linotype" w:eastAsia="Palatino Linotype" w:hAnsi="Palatino Linotype" w:cs="Palatino Linotype"/>
          <w:sz w:val="24"/>
          <w:szCs w:val="24"/>
        </w:rPr>
        <w:t xml:space="preserve">la presente resolución al Titular de la Unidad de Transparencia del Sujeto Obligado vía </w:t>
      </w:r>
      <w:r w:rsidRPr="00613CCE">
        <w:rPr>
          <w:rFonts w:ascii="Palatino Linotype" w:eastAsia="Palatino Linotype" w:hAnsi="Palatino Linotype" w:cs="Palatino Linotype"/>
          <w:b/>
          <w:sz w:val="24"/>
          <w:szCs w:val="24"/>
        </w:rPr>
        <w:t>SAIMEX</w:t>
      </w:r>
      <w:r w:rsidRPr="00613CCE">
        <w:rPr>
          <w:rFonts w:ascii="Palatino Linotype" w:eastAsia="Palatino Linotype" w:hAnsi="Palatino Linotype" w:cs="Palatino Linotype"/>
          <w:sz w:val="24"/>
          <w:szCs w:val="24"/>
        </w:rPr>
        <w:t xml:space="preserve">, para que conforme al artículo 186 último párrafo, 189 segundo párrafo y 194 de la Ley de Transparencia y Acceso a la Información Pública del Estado de México y Municipios; </w:t>
      </w:r>
      <w:r w:rsidRPr="00613CCE">
        <w:rPr>
          <w:rFonts w:ascii="Palatino Linotype" w:eastAsia="Palatino Linotype" w:hAnsi="Palatino Linotype" w:cs="Palatino Linotype"/>
          <w:b/>
          <w:sz w:val="24"/>
          <w:szCs w:val="24"/>
        </w:rPr>
        <w:t>dé cumplimiento a lo ordenado dentro del plazo de diez días hábiles,</w:t>
      </w:r>
      <w:r w:rsidRPr="00613CCE">
        <w:rPr>
          <w:rFonts w:ascii="Palatino Linotype" w:eastAsia="Palatino Linotype" w:hAnsi="Palatino Linotype" w:cs="Palatino Linotype"/>
          <w:sz w:val="24"/>
          <w:szCs w:val="24"/>
        </w:rPr>
        <w:t xml:space="preserve"> e informe a este Instituto en un plazo de tres días hábiles siguientes sobre el cumplimiento dado a la presente y, se le apercibe que en caso de negarse a cumplir la presente resolución o hacerlo de manera parcial, se le impondrá una medida de apremio de conformidad con lo previsto en los artículos 198, 200, fracción III; 214, 215 y 216 de la Ley  de Transparencia y Acceso a la Información Pública del Estado de México y Municipios.</w:t>
      </w:r>
    </w:p>
    <w:p w14:paraId="27BF5F07" w14:textId="77777777" w:rsidR="007D7EE8" w:rsidRPr="00613CCE" w:rsidRDefault="007D7EE8" w:rsidP="00613CCE">
      <w:pPr>
        <w:spacing w:line="360" w:lineRule="auto"/>
        <w:jc w:val="both"/>
        <w:rPr>
          <w:rFonts w:ascii="Palatino Linotype" w:eastAsia="Palatino Linotype" w:hAnsi="Palatino Linotype" w:cs="Palatino Linotype"/>
          <w:sz w:val="24"/>
          <w:szCs w:val="24"/>
        </w:rPr>
      </w:pPr>
    </w:p>
    <w:p w14:paraId="73AD5440" w14:textId="77777777" w:rsidR="007C27DC" w:rsidRPr="00613CCE" w:rsidRDefault="007D3D12" w:rsidP="00613CCE">
      <w:pPr>
        <w:spacing w:line="360" w:lineRule="auto"/>
        <w:jc w:val="both"/>
        <w:rPr>
          <w:rFonts w:ascii="Palatino Linotype" w:eastAsia="Palatino Linotype" w:hAnsi="Palatino Linotype" w:cs="Palatino Linotype"/>
          <w:sz w:val="24"/>
          <w:szCs w:val="24"/>
        </w:rPr>
      </w:pPr>
      <w:r w:rsidRPr="00613CCE">
        <w:rPr>
          <w:rFonts w:ascii="Palatino Linotype" w:eastAsia="Palatino Linotype" w:hAnsi="Palatino Linotype" w:cs="Palatino Linotype"/>
          <w:b/>
          <w:sz w:val="24"/>
          <w:szCs w:val="24"/>
        </w:rPr>
        <w:t xml:space="preserve">CUARTO. </w:t>
      </w:r>
      <w:r w:rsidRPr="00613CCE">
        <w:rPr>
          <w:rFonts w:ascii="Palatino Linotype" w:eastAsia="Palatino Linotype" w:hAnsi="Palatino Linotype" w:cs="Palatino Linotype"/>
          <w:sz w:val="24"/>
          <w:szCs w:val="24"/>
        </w:rPr>
        <w:t xml:space="preserve">De conformidad con el artículo 198 de la Ley de Transparencia y Acceso a la Información Pública del Estado de México y Municipios, de considerarlo </w:t>
      </w:r>
      <w:r w:rsidRPr="00613CCE">
        <w:rPr>
          <w:rFonts w:ascii="Palatino Linotype" w:eastAsia="Palatino Linotype" w:hAnsi="Palatino Linotype" w:cs="Palatino Linotype"/>
          <w:sz w:val="24"/>
          <w:szCs w:val="24"/>
        </w:rPr>
        <w:lastRenderedPageBreak/>
        <w:t xml:space="preserve">procedente, el </w:t>
      </w:r>
      <w:r w:rsidRPr="00613CCE">
        <w:rPr>
          <w:rFonts w:ascii="Palatino Linotype" w:eastAsia="Palatino Linotype" w:hAnsi="Palatino Linotype" w:cs="Palatino Linotype"/>
          <w:b/>
          <w:sz w:val="24"/>
          <w:szCs w:val="24"/>
        </w:rPr>
        <w:t>SUJETO OBLIGADO</w:t>
      </w:r>
      <w:r w:rsidRPr="00613CCE">
        <w:rPr>
          <w:rFonts w:ascii="Palatino Linotype" w:eastAsia="Palatino Linotype" w:hAnsi="Palatino Linotype" w:cs="Palatino Linotype"/>
          <w:sz w:val="24"/>
          <w:szCs w:val="24"/>
        </w:rPr>
        <w:t xml:space="preserve"> de manera fundada y motivada, podrá solicitar una ampliación de plazo para el cumplimiento de la presente Resolución.</w:t>
      </w:r>
    </w:p>
    <w:p w14:paraId="5B860ABE" w14:textId="77777777" w:rsidR="00A27F07" w:rsidRPr="00613CCE" w:rsidRDefault="00A27F07" w:rsidP="00613CCE">
      <w:pPr>
        <w:spacing w:line="360" w:lineRule="auto"/>
        <w:jc w:val="both"/>
        <w:rPr>
          <w:rFonts w:ascii="Palatino Linotype" w:eastAsia="Palatino Linotype" w:hAnsi="Palatino Linotype" w:cs="Palatino Linotype"/>
          <w:sz w:val="24"/>
          <w:szCs w:val="24"/>
        </w:rPr>
      </w:pPr>
    </w:p>
    <w:p w14:paraId="4056FFA7" w14:textId="77777777" w:rsidR="007C27DC" w:rsidRPr="00613CCE" w:rsidRDefault="007D3D12" w:rsidP="00613CCE">
      <w:pPr>
        <w:tabs>
          <w:tab w:val="left" w:pos="8080"/>
        </w:tabs>
        <w:spacing w:line="360" w:lineRule="auto"/>
        <w:ind w:right="49"/>
        <w:jc w:val="both"/>
        <w:rPr>
          <w:rFonts w:ascii="Palatino Linotype" w:eastAsia="Palatino Linotype" w:hAnsi="Palatino Linotype" w:cs="Palatino Linotype"/>
          <w:sz w:val="24"/>
          <w:szCs w:val="24"/>
        </w:rPr>
      </w:pPr>
      <w:bookmarkStart w:id="8" w:name="_heading=h.1ksv4uv" w:colFirst="0" w:colLast="0"/>
      <w:bookmarkEnd w:id="8"/>
      <w:r w:rsidRPr="00613CCE">
        <w:rPr>
          <w:rFonts w:ascii="Palatino Linotype" w:eastAsia="Palatino Linotype" w:hAnsi="Palatino Linotype" w:cs="Palatino Linotype"/>
          <w:b/>
          <w:sz w:val="24"/>
          <w:szCs w:val="24"/>
        </w:rPr>
        <w:t xml:space="preserve">QUINTO. </w:t>
      </w:r>
      <w:r w:rsidRPr="00613CCE">
        <w:rPr>
          <w:rFonts w:ascii="Palatino Linotype" w:eastAsia="Palatino Linotype" w:hAnsi="Palatino Linotype" w:cs="Palatino Linotype"/>
          <w:sz w:val="24"/>
          <w:szCs w:val="24"/>
        </w:rPr>
        <w:t xml:space="preserve">Notifíquese al </w:t>
      </w:r>
      <w:r w:rsidRPr="00613CCE">
        <w:rPr>
          <w:rFonts w:ascii="Palatino Linotype" w:eastAsia="Palatino Linotype" w:hAnsi="Palatino Linotype" w:cs="Palatino Linotype"/>
          <w:b/>
          <w:sz w:val="24"/>
          <w:szCs w:val="24"/>
        </w:rPr>
        <w:t>RECURRENTE</w:t>
      </w:r>
      <w:r w:rsidRPr="00613CCE">
        <w:rPr>
          <w:rFonts w:ascii="Palatino Linotype" w:eastAsia="Palatino Linotype" w:hAnsi="Palatino Linotype" w:cs="Palatino Linotype"/>
          <w:sz w:val="24"/>
          <w:szCs w:val="24"/>
        </w:rPr>
        <w:t xml:space="preserve"> la presente Resolución, vía </w:t>
      </w:r>
      <w:r w:rsidRPr="00613CCE">
        <w:rPr>
          <w:rFonts w:ascii="Palatino Linotype" w:eastAsia="Palatino Linotype" w:hAnsi="Palatino Linotype" w:cs="Palatino Linotype"/>
          <w:b/>
          <w:sz w:val="24"/>
          <w:szCs w:val="24"/>
        </w:rPr>
        <w:t>SAIMEX</w:t>
      </w:r>
      <w:r w:rsidRPr="00613CCE">
        <w:rPr>
          <w:rFonts w:ascii="Palatino Linotype" w:eastAsia="Palatino Linotype" w:hAnsi="Palatino Linotype" w:cs="Palatino Linotype"/>
          <w:sz w:val="24"/>
          <w:szCs w:val="24"/>
        </w:rPr>
        <w:t>.</w:t>
      </w:r>
    </w:p>
    <w:p w14:paraId="649A8155" w14:textId="77777777" w:rsidR="007C27DC" w:rsidRPr="00613CCE" w:rsidRDefault="007C27DC" w:rsidP="00613CCE">
      <w:pPr>
        <w:tabs>
          <w:tab w:val="left" w:pos="8080"/>
        </w:tabs>
        <w:spacing w:line="360" w:lineRule="auto"/>
        <w:ind w:right="49"/>
        <w:jc w:val="both"/>
        <w:rPr>
          <w:rFonts w:ascii="Palatino Linotype" w:eastAsia="Palatino Linotype" w:hAnsi="Palatino Linotype" w:cs="Palatino Linotype"/>
          <w:sz w:val="24"/>
          <w:szCs w:val="24"/>
        </w:rPr>
      </w:pPr>
    </w:p>
    <w:p w14:paraId="166087A7" w14:textId="77777777" w:rsidR="007C27DC" w:rsidRDefault="007D3D12" w:rsidP="00613CCE">
      <w:pPr>
        <w:shd w:val="clear" w:color="auto" w:fill="FFFFFF"/>
        <w:spacing w:line="360" w:lineRule="auto"/>
        <w:jc w:val="both"/>
        <w:rPr>
          <w:rFonts w:ascii="Palatino Linotype" w:eastAsia="Palatino Linotype" w:hAnsi="Palatino Linotype" w:cs="Palatino Linotype"/>
          <w:sz w:val="24"/>
          <w:szCs w:val="24"/>
        </w:rPr>
      </w:pPr>
      <w:r w:rsidRPr="00613CCE">
        <w:rPr>
          <w:rFonts w:ascii="Palatino Linotype" w:eastAsia="Palatino Linotype" w:hAnsi="Palatino Linotype" w:cs="Palatino Linotype"/>
          <w:b/>
          <w:sz w:val="24"/>
          <w:szCs w:val="24"/>
        </w:rPr>
        <w:t xml:space="preserve">SEXTO. </w:t>
      </w:r>
      <w:r w:rsidRPr="00613CCE">
        <w:rPr>
          <w:rFonts w:ascii="Palatino Linotype" w:eastAsia="Palatino Linotype" w:hAnsi="Palatino Linotype" w:cs="Palatino Linotype"/>
          <w:sz w:val="24"/>
          <w:szCs w:val="24"/>
        </w:rPr>
        <w:t>Se hace del conocimiento del</w:t>
      </w:r>
      <w:r w:rsidRPr="00613CCE">
        <w:rPr>
          <w:rFonts w:ascii="Palatino Linotype" w:eastAsia="Palatino Linotype" w:hAnsi="Palatino Linotype" w:cs="Palatino Linotype"/>
          <w:b/>
          <w:sz w:val="24"/>
          <w:szCs w:val="24"/>
        </w:rPr>
        <w:t xml:space="preserve"> RECURRENTE </w:t>
      </w:r>
      <w:r w:rsidRPr="00613CCE">
        <w:rPr>
          <w:rFonts w:ascii="Palatino Linotype" w:eastAsia="Palatino Linotype" w:hAnsi="Palatino Linotype" w:cs="Palatino Linotype"/>
          <w:sz w:val="24"/>
          <w:szCs w:val="24"/>
        </w:rPr>
        <w:t>que, de conformidad con lo establecido en el artículo 196 de la Ley de Transparencia y Acceso a la Información Pública del Estado de México y Municipios, en caso de que considere que la resolución le cause algún perjuicio podrá impugnar vía juicio de amparo en los términos de las leyes aplicables.</w:t>
      </w:r>
    </w:p>
    <w:p w14:paraId="1040C91E" w14:textId="77777777" w:rsidR="002C26B8" w:rsidRPr="00613CCE" w:rsidRDefault="002C26B8" w:rsidP="00613CCE">
      <w:pPr>
        <w:shd w:val="clear" w:color="auto" w:fill="FFFFFF"/>
        <w:spacing w:line="360" w:lineRule="auto"/>
        <w:jc w:val="both"/>
        <w:rPr>
          <w:rFonts w:ascii="Palatino Linotype" w:eastAsia="Palatino Linotype" w:hAnsi="Palatino Linotype" w:cs="Palatino Linotype"/>
          <w:sz w:val="24"/>
          <w:szCs w:val="24"/>
        </w:rPr>
      </w:pPr>
    </w:p>
    <w:p w14:paraId="20704743" w14:textId="77777777" w:rsidR="007C27DC" w:rsidRPr="00745153" w:rsidRDefault="006E555A" w:rsidP="00745153">
      <w:pPr>
        <w:spacing w:line="360" w:lineRule="auto"/>
        <w:ind w:left="-142" w:right="-234" w:firstLine="1"/>
        <w:jc w:val="both"/>
        <w:rPr>
          <w:rFonts w:ascii="Palatino Linotype" w:hAnsi="Palatino Linotype"/>
          <w:sz w:val="24"/>
        </w:rPr>
      </w:pPr>
      <w:r w:rsidRPr="006E555A">
        <w:rPr>
          <w:rFonts w:ascii="Palatino Linotype" w:hAnsi="Palatino Linotype"/>
          <w:sz w:val="24"/>
        </w:rPr>
        <w:t xml:space="preserve">ASÍ LO RESUELVE, POR UNANIMIDAD DE VOTOS, EL PLENO DEL INSTITUTO DE TRANSPARENCIA, ACCESO A LA INFORMACIÓN PÚBLICA Y PROTECCIÓN DE DATOS PERSONALES DEL ESTADO DE MÉXICO Y MUNICIPIOS, CONFORMADO POR LOS COMISIONADOS JOSÉ MARTÍNEZ VILCHIS; MARÍA DEL ROSARIO MEJÍA AYALA; SHARON CRISTINA MORALES MARTÍNEZ; LUIS GUSTAVO PARRA NORIEGA Y GUADALUPE RAMÍREZ PEÑA; EN LA TRIGÉSIMA NOVENA SESIÓN ORDINARIA CELEBRADA EL TRECE (13) DE NOVIEMBRE DE DOS MIL VEINTICUATRO, ANTE EL SECRETARIO TÉCNICO </w:t>
      </w:r>
      <w:r w:rsidR="00745153">
        <w:rPr>
          <w:rFonts w:ascii="Palatino Linotype" w:hAnsi="Palatino Linotype"/>
          <w:sz w:val="24"/>
        </w:rPr>
        <w:t>DEL PLENO ALEXIS TAPIA RAMÍREZ.</w:t>
      </w:r>
    </w:p>
    <w:p w14:paraId="0E6A9422"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29C19812"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02F3BB77"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5B6B7E4C"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45D9210C"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35D5A85F"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60A90446"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4F15E15F"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1573E197"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19A21CCC"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7B3787C3"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1C6032E3"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318CE96F"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05E41F4B"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1B913D2A"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2DE44196"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28B4DC5A" w14:textId="77777777" w:rsidR="00B1724E" w:rsidRPr="00613CCE" w:rsidRDefault="00B1724E" w:rsidP="00613CCE">
      <w:pPr>
        <w:spacing w:line="360" w:lineRule="auto"/>
        <w:ind w:firstLine="1"/>
        <w:jc w:val="both"/>
        <w:rPr>
          <w:rFonts w:ascii="Palatino Linotype" w:eastAsia="Palatino Linotype" w:hAnsi="Palatino Linotype" w:cs="Palatino Linotype"/>
          <w:sz w:val="24"/>
          <w:szCs w:val="24"/>
        </w:rPr>
      </w:pPr>
    </w:p>
    <w:p w14:paraId="3D763FC3" w14:textId="77777777" w:rsidR="005C62DC" w:rsidRPr="00613CCE" w:rsidRDefault="005C62DC" w:rsidP="00613CCE">
      <w:pPr>
        <w:spacing w:line="360" w:lineRule="auto"/>
        <w:ind w:firstLine="1"/>
        <w:jc w:val="both"/>
        <w:rPr>
          <w:rFonts w:ascii="Palatino Linotype" w:eastAsia="Palatino Linotype" w:hAnsi="Palatino Linotype" w:cs="Palatino Linotype"/>
          <w:sz w:val="24"/>
          <w:szCs w:val="24"/>
        </w:rPr>
      </w:pPr>
    </w:p>
    <w:sectPr w:rsidR="005C62DC" w:rsidRPr="00613CCE">
      <w:headerReference w:type="even" r:id="rId8"/>
      <w:headerReference w:type="default" r:id="rId9"/>
      <w:footerReference w:type="default" r:id="rId10"/>
      <w:headerReference w:type="first" r:id="rId11"/>
      <w:footerReference w:type="first" r:id="rId12"/>
      <w:pgSz w:w="12240" w:h="15840"/>
      <w:pgMar w:top="80" w:right="1608" w:bottom="1418" w:left="1588" w:header="709" w:footer="737"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40BE59" w14:textId="77777777" w:rsidR="00297507" w:rsidRDefault="00297507">
      <w:r>
        <w:separator/>
      </w:r>
    </w:p>
  </w:endnote>
  <w:endnote w:type="continuationSeparator" w:id="0">
    <w:p w14:paraId="4628F1D1" w14:textId="77777777" w:rsidR="00297507" w:rsidRDefault="002975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Times New Roman"/>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E982CA" w14:textId="77777777" w:rsidR="005C541E" w:rsidRDefault="005C541E">
    <w:pPr>
      <w:pBdr>
        <w:top w:val="nil"/>
        <w:left w:val="nil"/>
        <w:bottom w:val="nil"/>
        <w:right w:val="nil"/>
        <w:between w:val="nil"/>
      </w:pBdr>
      <w:tabs>
        <w:tab w:val="center" w:pos="4419"/>
        <w:tab w:val="right" w:pos="8838"/>
      </w:tabs>
      <w:jc w:val="right"/>
      <w:rPr>
        <w:color w:val="000000"/>
      </w:rPr>
    </w:pPr>
  </w:p>
  <w:p w14:paraId="334B6ECD" w14:textId="77777777" w:rsidR="005C541E" w:rsidRDefault="005C541E">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457C9D">
      <w:rPr>
        <w:b/>
        <w:noProof/>
        <w:color w:val="000000"/>
        <w:sz w:val="24"/>
        <w:szCs w:val="24"/>
      </w:rPr>
      <w:t>56</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457C9D">
      <w:rPr>
        <w:b/>
        <w:noProof/>
        <w:color w:val="000000"/>
        <w:sz w:val="24"/>
        <w:szCs w:val="24"/>
      </w:rPr>
      <w:t>57</w:t>
    </w:r>
    <w:r>
      <w:rPr>
        <w:b/>
        <w:color w:val="000000"/>
        <w:sz w:val="24"/>
        <w:szCs w:val="24"/>
      </w:rPr>
      <w:fldChar w:fldCharType="end"/>
    </w:r>
  </w:p>
  <w:p w14:paraId="6FE68C21" w14:textId="77777777" w:rsidR="005C541E" w:rsidRDefault="005C541E">
    <w:pPr>
      <w:pBdr>
        <w:top w:val="nil"/>
        <w:left w:val="nil"/>
        <w:bottom w:val="nil"/>
        <w:right w:val="nil"/>
        <w:between w:val="nil"/>
      </w:pBdr>
      <w:tabs>
        <w:tab w:val="center" w:pos="4419"/>
        <w:tab w:val="right" w:pos="8838"/>
      </w:tabs>
      <w:rPr>
        <w:color w:val="000000"/>
      </w:rPr>
    </w:pPr>
  </w:p>
  <w:p w14:paraId="7A9AD023" w14:textId="77777777" w:rsidR="005C541E" w:rsidRDefault="005C541E"/>
  <w:p w14:paraId="202FBC30" w14:textId="77777777" w:rsidR="005C541E" w:rsidRDefault="005C541E"/>
  <w:p w14:paraId="62533F73" w14:textId="77777777" w:rsidR="005C541E" w:rsidRDefault="005C541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479D3" w14:textId="77777777" w:rsidR="005C541E" w:rsidRDefault="005C541E">
    <w:pPr>
      <w:pBdr>
        <w:top w:val="nil"/>
        <w:left w:val="nil"/>
        <w:bottom w:val="nil"/>
        <w:right w:val="nil"/>
        <w:between w:val="nil"/>
      </w:pBdr>
      <w:tabs>
        <w:tab w:val="center" w:pos="4419"/>
        <w:tab w:val="right" w:pos="8838"/>
      </w:tabs>
      <w:jc w:val="right"/>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457C9D">
      <w:rPr>
        <w:b/>
        <w:noProof/>
        <w:color w:val="000000"/>
        <w:sz w:val="24"/>
        <w:szCs w:val="24"/>
      </w:rPr>
      <w:t>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457C9D">
      <w:rPr>
        <w:b/>
        <w:noProof/>
        <w:color w:val="000000"/>
        <w:sz w:val="24"/>
        <w:szCs w:val="24"/>
      </w:rPr>
      <w:t>57</w:t>
    </w:r>
    <w:r>
      <w:rPr>
        <w:b/>
        <w:color w:val="000000"/>
        <w:sz w:val="24"/>
        <w:szCs w:val="24"/>
      </w:rPr>
      <w:fldChar w:fldCharType="end"/>
    </w:r>
  </w:p>
  <w:p w14:paraId="01F25D16" w14:textId="77777777" w:rsidR="005C541E" w:rsidRDefault="005C541E">
    <w:pPr>
      <w:pBdr>
        <w:top w:val="nil"/>
        <w:left w:val="nil"/>
        <w:bottom w:val="nil"/>
        <w:right w:val="nil"/>
        <w:between w:val="nil"/>
      </w:pBdr>
      <w:tabs>
        <w:tab w:val="center" w:pos="4419"/>
        <w:tab w:val="right" w:pos="8838"/>
      </w:tabs>
      <w:rPr>
        <w:color w:val="000000"/>
      </w:rPr>
    </w:pPr>
  </w:p>
  <w:p w14:paraId="49E9C8C4" w14:textId="77777777" w:rsidR="005C541E" w:rsidRDefault="005C541E"/>
  <w:p w14:paraId="28C7F4C1" w14:textId="77777777" w:rsidR="005C541E" w:rsidRDefault="005C541E"/>
  <w:p w14:paraId="1A0549A9" w14:textId="77777777" w:rsidR="005C541E" w:rsidRDefault="005C541E"/>
  <w:p w14:paraId="57E79F0D" w14:textId="77777777" w:rsidR="005C541E" w:rsidRDefault="005C541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BF7AE9" w14:textId="77777777" w:rsidR="00297507" w:rsidRDefault="00297507">
      <w:r>
        <w:separator/>
      </w:r>
    </w:p>
  </w:footnote>
  <w:footnote w:type="continuationSeparator" w:id="0">
    <w:p w14:paraId="27897037" w14:textId="77777777" w:rsidR="00297507" w:rsidRDefault="00297507">
      <w:r>
        <w:continuationSeparator/>
      </w:r>
    </w:p>
  </w:footnote>
  <w:footnote w:id="1">
    <w:p w14:paraId="59FC58C5" w14:textId="77777777" w:rsidR="005C541E" w:rsidRDefault="005C541E">
      <w:pPr>
        <w:pBdr>
          <w:top w:val="nil"/>
          <w:left w:val="nil"/>
          <w:bottom w:val="nil"/>
          <w:right w:val="nil"/>
          <w:between w:val="nil"/>
        </w:pBdr>
        <w:jc w:val="both"/>
        <w:rPr>
          <w:rFonts w:ascii="Palatino Linotype" w:eastAsia="Palatino Linotype" w:hAnsi="Palatino Linotype" w:cs="Palatino Linotype"/>
          <w:color w:val="000000"/>
          <w:sz w:val="16"/>
          <w:szCs w:val="16"/>
        </w:rPr>
      </w:pPr>
      <w:r>
        <w:rPr>
          <w:vertAlign w:val="superscript"/>
        </w:rPr>
        <w:footnoteRef/>
      </w:r>
      <w:r>
        <w:rPr>
          <w:rFonts w:ascii="Palatino Linotype" w:eastAsia="Palatino Linotype" w:hAnsi="Palatino Linotype" w:cs="Palatino Linotype"/>
          <w:color w:val="000000"/>
          <w:sz w:val="16"/>
          <w:szCs w:val="16"/>
        </w:rPr>
        <w:t xml:space="preserve"> Emitidos por este Instituto y publicados en el Periódico Oficial del Gobierno del Estado de México “Gaceta del Gobierno” en fecha treinta de octubre de dos mil ocho.</w:t>
      </w:r>
    </w:p>
  </w:footnote>
  <w:footnote w:id="2">
    <w:p w14:paraId="40E65263" w14:textId="77777777" w:rsidR="005C541E" w:rsidRDefault="005C541E" w:rsidP="00706629">
      <w:pPr>
        <w:pBdr>
          <w:top w:val="nil"/>
          <w:left w:val="nil"/>
          <w:bottom w:val="nil"/>
          <w:right w:val="nil"/>
          <w:between w:val="nil"/>
        </w:pBdr>
        <w:rPr>
          <w:color w:val="000000"/>
        </w:rPr>
      </w:pPr>
      <w:r>
        <w:rPr>
          <w:vertAlign w:val="superscript"/>
        </w:rPr>
        <w:footnoteRef/>
      </w:r>
      <w:r>
        <w:rPr>
          <w:color w:val="000000"/>
        </w:rPr>
        <w:t xml:space="preserve"> Convención Americana sobre Derechos Humanos. Artículo 13.</w:t>
      </w:r>
    </w:p>
  </w:footnote>
  <w:footnote w:id="3">
    <w:p w14:paraId="5EF36B1E" w14:textId="77777777" w:rsidR="005C541E" w:rsidRDefault="005C541E" w:rsidP="00706629">
      <w:pPr>
        <w:pBdr>
          <w:top w:val="nil"/>
          <w:left w:val="nil"/>
          <w:bottom w:val="nil"/>
          <w:right w:val="nil"/>
          <w:between w:val="nil"/>
        </w:pBdr>
        <w:rPr>
          <w:color w:val="000000"/>
        </w:rPr>
      </w:pPr>
      <w:r>
        <w:rPr>
          <w:vertAlign w:val="superscript"/>
        </w:rPr>
        <w:footnoteRef/>
      </w:r>
      <w:r>
        <w:rPr>
          <w:color w:val="000000"/>
        </w:rPr>
        <w:t xml:space="preserve"> Constitución Política de los Estados Unidos Mexicanos. Artículo sexto, sección A, Fracción I.</w:t>
      </w:r>
    </w:p>
  </w:footnote>
  <w:footnote w:id="4">
    <w:p w14:paraId="3B613EDB" w14:textId="77777777" w:rsidR="005C541E" w:rsidRDefault="005C541E" w:rsidP="00706629">
      <w:pPr>
        <w:pBdr>
          <w:top w:val="nil"/>
          <w:left w:val="nil"/>
          <w:bottom w:val="nil"/>
          <w:right w:val="nil"/>
          <w:between w:val="nil"/>
        </w:pBdr>
        <w:rPr>
          <w:rFonts w:ascii="Palatino Linotype" w:eastAsia="Palatino Linotype" w:hAnsi="Palatino Linotype" w:cs="Palatino Linotype"/>
          <w:color w:val="000000"/>
          <w:sz w:val="18"/>
          <w:szCs w:val="18"/>
        </w:rPr>
      </w:pPr>
      <w:r>
        <w:rPr>
          <w:vertAlign w:val="superscript"/>
        </w:rPr>
        <w:footnoteRef/>
      </w:r>
      <w:r>
        <w:rPr>
          <w:rFonts w:ascii="Palatino Linotype" w:eastAsia="Palatino Linotype" w:hAnsi="Palatino Linotype" w:cs="Palatino Linotype"/>
          <w:color w:val="000000"/>
          <w:sz w:val="18"/>
          <w:szCs w:val="18"/>
        </w:rPr>
        <w:t xml:space="preserve"> Corte Interamericana de Derechos Humanos. Caso Claude Reyes y otros vs Chile. Sentencia de 19 de septiembre de 2006. Serie C. No. 151. Párr. 86.</w:t>
      </w:r>
    </w:p>
  </w:footnote>
  <w:footnote w:id="5">
    <w:p w14:paraId="1CB5330C" w14:textId="77777777" w:rsidR="005C541E" w:rsidRDefault="005C541E" w:rsidP="00706629">
      <w:pPr>
        <w:pBdr>
          <w:top w:val="nil"/>
          <w:left w:val="nil"/>
          <w:bottom w:val="nil"/>
          <w:right w:val="nil"/>
          <w:between w:val="nil"/>
        </w:pBdr>
        <w:rPr>
          <w:rFonts w:ascii="Palatino Linotype" w:eastAsia="Palatino Linotype" w:hAnsi="Palatino Linotype" w:cs="Palatino Linotype"/>
          <w:color w:val="000000"/>
          <w:sz w:val="18"/>
          <w:szCs w:val="18"/>
        </w:rPr>
      </w:pPr>
      <w:r>
        <w:rPr>
          <w:vertAlign w:val="superscript"/>
        </w:rPr>
        <w:footnoteRef/>
      </w:r>
      <w:r>
        <w:rPr>
          <w:rFonts w:ascii="Palatino Linotype" w:eastAsia="Palatino Linotype" w:hAnsi="Palatino Linotype" w:cs="Palatino Linotype"/>
          <w:color w:val="000000"/>
          <w:sz w:val="18"/>
          <w:szCs w:val="18"/>
        </w:rPr>
        <w:t xml:space="preserve"> Ibídem. Párr. 87.</w:t>
      </w:r>
    </w:p>
  </w:footnote>
  <w:footnote w:id="6">
    <w:p w14:paraId="6E7424E1" w14:textId="77777777" w:rsidR="005C541E" w:rsidRDefault="005C541E" w:rsidP="00706629">
      <w:pPr>
        <w:pBdr>
          <w:top w:val="nil"/>
          <w:left w:val="nil"/>
          <w:bottom w:val="nil"/>
          <w:right w:val="nil"/>
          <w:between w:val="nil"/>
        </w:pBdr>
        <w:rPr>
          <w:color w:val="000000"/>
        </w:rPr>
      </w:pPr>
      <w:r>
        <w:rPr>
          <w:vertAlign w:val="superscript"/>
        </w:rPr>
        <w:footnoteRef/>
      </w:r>
      <w:r>
        <w:rPr>
          <w:rFonts w:ascii="Palatino Linotype" w:eastAsia="Palatino Linotype" w:hAnsi="Palatino Linotype" w:cs="Palatino Linotype"/>
          <w:color w:val="000000"/>
          <w:sz w:val="18"/>
          <w:szCs w:val="18"/>
        </w:rPr>
        <w:t xml:space="preserve"> Declaración conjunta del Relator Especial de las Naciones Unidas (ONU) para la Libertad de Opinión y de Expresión, el Representante para la Libertad de los Medios de Comunicación de la Organización para la Seguridad y la Cooperación en Europa (OSCE) y el Relator Especial de la Organización de los Estados Americanos (OEA) para la Libertad de Expresión (2004), disponible en </w:t>
      </w:r>
      <w:hyperlink r:id="rId1">
        <w:r>
          <w:rPr>
            <w:rFonts w:ascii="Palatino Linotype" w:eastAsia="Palatino Linotype" w:hAnsi="Palatino Linotype" w:cs="Palatino Linotype"/>
            <w:color w:val="0000FF"/>
            <w:sz w:val="18"/>
            <w:szCs w:val="18"/>
            <w:u w:val="single"/>
          </w:rPr>
          <w:t>http://www.oas.org/es/cidh/expresion/documentos_basicos/declaraciones.asp</w:t>
        </w:r>
      </w:hyperlink>
      <w:r>
        <w:rPr>
          <w:rFonts w:ascii="Palatino Linotype" w:eastAsia="Palatino Linotype" w:hAnsi="Palatino Linotype" w:cs="Palatino Linotype"/>
          <w:color w:val="000000"/>
          <w:sz w:val="18"/>
          <w:szCs w:val="18"/>
        </w:rPr>
        <w:t>.</w:t>
      </w:r>
    </w:p>
  </w:footnote>
  <w:footnote w:id="7">
    <w:p w14:paraId="78B7BD8D" w14:textId="77777777" w:rsidR="005C541E" w:rsidRDefault="005C541E" w:rsidP="00706629">
      <w:pPr>
        <w:pBdr>
          <w:top w:val="nil"/>
          <w:left w:val="nil"/>
          <w:bottom w:val="nil"/>
          <w:right w:val="nil"/>
          <w:between w:val="nil"/>
        </w:pBdr>
        <w:rPr>
          <w:rFonts w:ascii="Palatino Linotype" w:eastAsia="Palatino Linotype" w:hAnsi="Palatino Linotype" w:cs="Palatino Linotype"/>
          <w:color w:val="000000"/>
          <w:sz w:val="18"/>
          <w:szCs w:val="18"/>
        </w:rPr>
      </w:pPr>
      <w:r>
        <w:rPr>
          <w:vertAlign w:val="superscript"/>
        </w:rPr>
        <w:footnoteRef/>
      </w:r>
      <w:r>
        <w:rPr>
          <w:rFonts w:ascii="Palatino Linotype" w:eastAsia="Palatino Linotype" w:hAnsi="Palatino Linotype" w:cs="Palatino Linotype"/>
          <w:color w:val="000000"/>
          <w:sz w:val="18"/>
          <w:szCs w:val="18"/>
        </w:rPr>
        <w:t xml:space="preserve"> Ley de Transparencia y Acceso a la Información Pública del Estado de México y Municipios. Artículo 9. …</w:t>
      </w:r>
    </w:p>
    <w:p w14:paraId="3BEFC721" w14:textId="77777777" w:rsidR="005C541E" w:rsidRDefault="005C541E" w:rsidP="00706629">
      <w:pPr>
        <w:pBdr>
          <w:top w:val="nil"/>
          <w:left w:val="nil"/>
          <w:bottom w:val="nil"/>
          <w:right w:val="nil"/>
          <w:between w:val="nil"/>
        </w:pBdr>
        <w:rPr>
          <w:rFonts w:ascii="Palatino Linotype" w:eastAsia="Palatino Linotype" w:hAnsi="Palatino Linotype" w:cs="Palatino Linotype"/>
          <w:color w:val="000000"/>
          <w:sz w:val="18"/>
          <w:szCs w:val="18"/>
        </w:rPr>
      </w:pPr>
      <w:r>
        <w:rPr>
          <w:rFonts w:ascii="Palatino Linotype" w:eastAsia="Palatino Linotype" w:hAnsi="Palatino Linotype" w:cs="Palatino Linotype"/>
          <w:color w:val="000000"/>
          <w:sz w:val="18"/>
          <w:szCs w:val="18"/>
        </w:rPr>
        <w:t>II. Eficacia: Obligación del Instituto para tutelar, de manera efectiva, el derecho de acceso a la información;</w:t>
      </w:r>
    </w:p>
    <w:p w14:paraId="78B70F08" w14:textId="77777777" w:rsidR="005C541E" w:rsidRDefault="005C541E" w:rsidP="00706629">
      <w:pPr>
        <w:pBdr>
          <w:top w:val="nil"/>
          <w:left w:val="nil"/>
          <w:bottom w:val="nil"/>
          <w:right w:val="nil"/>
          <w:between w:val="nil"/>
        </w:pBdr>
        <w:rPr>
          <w:color w:val="000000"/>
        </w:rPr>
      </w:pPr>
      <w:r>
        <w:rPr>
          <w:color w:val="000000"/>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C9BFA" w14:textId="77777777" w:rsidR="005C541E" w:rsidRDefault="00297507">
    <w:pPr>
      <w:pBdr>
        <w:top w:val="nil"/>
        <w:left w:val="nil"/>
        <w:bottom w:val="nil"/>
        <w:right w:val="nil"/>
        <w:between w:val="nil"/>
      </w:pBdr>
      <w:tabs>
        <w:tab w:val="center" w:pos="4419"/>
        <w:tab w:val="right" w:pos="8838"/>
      </w:tabs>
      <w:rPr>
        <w:color w:val="000000"/>
      </w:rPr>
    </w:pPr>
    <w:r>
      <w:rPr>
        <w:color w:val="000000"/>
      </w:rPr>
      <w:pict w14:anchorId="7C1662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 o:spid="_x0000_s1026" type="#_x0000_t75" alt="" style="position:absolute;margin-left:0;margin-top:0;width:663.5pt;height:12in;z-index:-251658752;mso-position-horizontal:center;mso-position-horizontal-relative:margin;mso-position-vertical:center;mso-position-vertical-relative:margin">
          <v:imagedata r:id="rId1" o:title="image2"/>
          <w10:wrap anchorx="margin" anchory="margin"/>
        </v:shape>
      </w:pict>
    </w:r>
  </w:p>
  <w:p w14:paraId="1938C2CE" w14:textId="77777777" w:rsidR="005C541E" w:rsidRDefault="005C541E"/>
  <w:p w14:paraId="31960B6A" w14:textId="77777777" w:rsidR="005C541E" w:rsidRDefault="005C541E"/>
  <w:p w14:paraId="6440AC49" w14:textId="77777777" w:rsidR="005C541E" w:rsidRDefault="005C541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636BB" w14:textId="77777777" w:rsidR="005C541E" w:rsidRDefault="005C541E">
    <w:pPr>
      <w:widowControl w:val="0"/>
      <w:pBdr>
        <w:top w:val="nil"/>
        <w:left w:val="nil"/>
        <w:bottom w:val="nil"/>
        <w:right w:val="nil"/>
        <w:between w:val="nil"/>
      </w:pBdr>
      <w:spacing w:line="276" w:lineRule="auto"/>
    </w:pPr>
  </w:p>
  <w:tbl>
    <w:tblPr>
      <w:tblStyle w:val="a0"/>
      <w:tblW w:w="9356" w:type="dxa"/>
      <w:tblInd w:w="0" w:type="dxa"/>
      <w:tblLayout w:type="fixed"/>
      <w:tblLook w:val="0400" w:firstRow="0" w:lastRow="0" w:firstColumn="0" w:lastColumn="0" w:noHBand="0" w:noVBand="1"/>
    </w:tblPr>
    <w:tblGrid>
      <w:gridCol w:w="1843"/>
      <w:gridCol w:w="7513"/>
    </w:tblGrid>
    <w:tr w:rsidR="005C541E" w14:paraId="380CA48A" w14:textId="77777777">
      <w:trPr>
        <w:trHeight w:val="1435"/>
      </w:trPr>
      <w:tc>
        <w:tcPr>
          <w:tcW w:w="1843" w:type="dxa"/>
          <w:shd w:val="clear" w:color="auto" w:fill="auto"/>
        </w:tcPr>
        <w:p w14:paraId="5D3E7395" w14:textId="77777777" w:rsidR="005C541E" w:rsidRDefault="005C541E">
          <w:pPr>
            <w:tabs>
              <w:tab w:val="right" w:pos="4273"/>
            </w:tabs>
            <w:rPr>
              <w:rFonts w:ascii="Garamond" w:eastAsia="Garamond" w:hAnsi="Garamond" w:cs="Garamond"/>
              <w:sz w:val="16"/>
              <w:szCs w:val="16"/>
            </w:rPr>
          </w:pPr>
          <w:r>
            <w:rPr>
              <w:rFonts w:ascii="Garamond" w:eastAsia="Garamond" w:hAnsi="Garamond" w:cs="Garamond"/>
              <w:sz w:val="16"/>
              <w:szCs w:val="16"/>
            </w:rPr>
            <w:t xml:space="preserve"> </w:t>
          </w:r>
        </w:p>
      </w:tc>
      <w:tc>
        <w:tcPr>
          <w:tcW w:w="7513" w:type="dxa"/>
          <w:shd w:val="clear" w:color="auto" w:fill="auto"/>
        </w:tcPr>
        <w:p w14:paraId="3FE4F831" w14:textId="77777777" w:rsidR="005C541E" w:rsidRDefault="005C541E"/>
        <w:tbl>
          <w:tblPr>
            <w:tblStyle w:val="a1"/>
            <w:tblW w:w="7525" w:type="dxa"/>
            <w:tblInd w:w="879" w:type="dxa"/>
            <w:tblBorders>
              <w:top w:val="nil"/>
              <w:left w:val="nil"/>
              <w:bottom w:val="nil"/>
              <w:right w:val="nil"/>
              <w:insideH w:val="nil"/>
              <w:insideV w:val="nil"/>
            </w:tblBorders>
            <w:tblLayout w:type="fixed"/>
            <w:tblLook w:val="0400" w:firstRow="0" w:lastRow="0" w:firstColumn="0" w:lastColumn="0" w:noHBand="0" w:noVBand="1"/>
          </w:tblPr>
          <w:tblGrid>
            <w:gridCol w:w="2557"/>
            <w:gridCol w:w="4968"/>
          </w:tblGrid>
          <w:tr w:rsidR="005C541E" w14:paraId="49F61B93" w14:textId="77777777">
            <w:trPr>
              <w:trHeight w:val="338"/>
            </w:trPr>
            <w:tc>
              <w:tcPr>
                <w:tcW w:w="2557" w:type="dxa"/>
              </w:tcPr>
              <w:p w14:paraId="4E123A34" w14:textId="77777777" w:rsidR="005C541E" w:rsidRDefault="005C541E">
                <w:pPr>
                  <w:tabs>
                    <w:tab w:val="right" w:pos="8838"/>
                  </w:tabs>
                  <w:ind w:right="-105"/>
                  <w:rPr>
                    <w:rFonts w:ascii="Palatino Linotype" w:eastAsia="Palatino Linotype" w:hAnsi="Palatino Linotype" w:cs="Palatino Linotype"/>
                    <w:b/>
                    <w:sz w:val="22"/>
                    <w:szCs w:val="22"/>
                  </w:rPr>
                </w:pPr>
              </w:p>
              <w:p w14:paraId="2C4FC4E5" w14:textId="77777777" w:rsidR="005C541E" w:rsidRDefault="005C541E">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Recurso de Revisión:</w:t>
                </w:r>
              </w:p>
            </w:tc>
            <w:tc>
              <w:tcPr>
                <w:tcW w:w="4969" w:type="dxa"/>
              </w:tcPr>
              <w:p w14:paraId="0B413D2B" w14:textId="77777777" w:rsidR="005C541E" w:rsidRDefault="005C541E">
                <w:pPr>
                  <w:tabs>
                    <w:tab w:val="right" w:pos="8838"/>
                  </w:tabs>
                  <w:ind w:right="-105" w:hanging="101"/>
                  <w:jc w:val="both"/>
                  <w:rPr>
                    <w:rFonts w:ascii="Palatino Linotype" w:eastAsia="Palatino Linotype" w:hAnsi="Palatino Linotype" w:cs="Palatino Linotype"/>
                    <w:b/>
                    <w:sz w:val="22"/>
                    <w:szCs w:val="22"/>
                  </w:rPr>
                </w:pPr>
              </w:p>
              <w:p w14:paraId="60D44208" w14:textId="77777777" w:rsidR="005C541E" w:rsidRDefault="005C541E" w:rsidP="001E7E30">
                <w:pPr>
                  <w:tabs>
                    <w:tab w:val="right" w:pos="8838"/>
                  </w:tabs>
                  <w:ind w:left="-108" w:right="-105" w:hanging="108"/>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005463/INFOEM/IP/RR/2024</w:t>
                </w:r>
                <w:r w:rsidR="0044382C">
                  <w:rPr>
                    <w:rFonts w:ascii="Palatino Linotype" w:eastAsia="Palatino Linotype" w:hAnsi="Palatino Linotype" w:cs="Palatino Linotype"/>
                    <w:b/>
                    <w:sz w:val="22"/>
                    <w:szCs w:val="22"/>
                  </w:rPr>
                  <w:t xml:space="preserve"> y</w:t>
                </w:r>
                <w:r>
                  <w:rPr>
                    <w:rFonts w:ascii="Palatino Linotype" w:eastAsia="Palatino Linotype" w:hAnsi="Palatino Linotype" w:cs="Palatino Linotype"/>
                    <w:b/>
                    <w:sz w:val="22"/>
                    <w:szCs w:val="22"/>
                  </w:rPr>
                  <w:t xml:space="preserve"> </w:t>
                </w:r>
                <w:proofErr w:type="spellStart"/>
                <w:r>
                  <w:rPr>
                    <w:rFonts w:ascii="Palatino Linotype" w:eastAsia="Palatino Linotype" w:hAnsi="Palatino Linotype" w:cs="Palatino Linotype"/>
                    <w:b/>
                    <w:sz w:val="22"/>
                    <w:szCs w:val="22"/>
                  </w:rPr>
                  <w:t>y</w:t>
                </w:r>
                <w:proofErr w:type="spellEnd"/>
                <w:r>
                  <w:rPr>
                    <w:rFonts w:ascii="Palatino Linotype" w:eastAsia="Palatino Linotype" w:hAnsi="Palatino Linotype" w:cs="Palatino Linotype"/>
                    <w:b/>
                    <w:sz w:val="22"/>
                    <w:szCs w:val="22"/>
                  </w:rPr>
                  <w:t xml:space="preserve"> </w:t>
                </w:r>
                <w:r>
                  <w:rPr>
                    <w:rFonts w:ascii="Palatino Linotype" w:eastAsia="Palatino Linotype" w:hAnsi="Palatino Linotype" w:cs="Palatino Linotype"/>
                    <w:b/>
                    <w:sz w:val="22"/>
                    <w:szCs w:val="22"/>
                  </w:rPr>
                  <w:br/>
                  <w:t>acumulados</w:t>
                </w:r>
              </w:p>
            </w:tc>
          </w:tr>
          <w:tr w:rsidR="005C541E" w14:paraId="158CADB4" w14:textId="77777777">
            <w:trPr>
              <w:trHeight w:val="283"/>
            </w:trPr>
            <w:tc>
              <w:tcPr>
                <w:tcW w:w="2557" w:type="dxa"/>
              </w:tcPr>
              <w:p w14:paraId="018CBB1C" w14:textId="77777777" w:rsidR="005C541E" w:rsidRDefault="005C541E">
                <w:pPr>
                  <w:tabs>
                    <w:tab w:val="right" w:pos="8838"/>
                  </w:tabs>
                  <w:ind w:right="-105"/>
                  <w:rPr>
                    <w:rFonts w:ascii="Palatino Linotype" w:eastAsia="Palatino Linotype" w:hAnsi="Palatino Linotype" w:cs="Palatino Linotype"/>
                    <w:b/>
                    <w:sz w:val="22"/>
                    <w:szCs w:val="22"/>
                  </w:rPr>
                </w:pPr>
                <w:bookmarkStart w:id="9" w:name="_heading=h.17dp8vu" w:colFirst="0" w:colLast="0"/>
                <w:bookmarkEnd w:id="9"/>
                <w:r>
                  <w:rPr>
                    <w:rFonts w:ascii="Palatino Linotype" w:eastAsia="Palatino Linotype" w:hAnsi="Palatino Linotype" w:cs="Palatino Linotype"/>
                    <w:b/>
                    <w:sz w:val="22"/>
                    <w:szCs w:val="22"/>
                  </w:rPr>
                  <w:t>Sujeto Obligado:</w:t>
                </w:r>
              </w:p>
            </w:tc>
            <w:tc>
              <w:tcPr>
                <w:tcW w:w="4969" w:type="dxa"/>
              </w:tcPr>
              <w:p w14:paraId="0EF2D972" w14:textId="77777777" w:rsidR="005C541E" w:rsidRDefault="005C541E">
                <w:pPr>
                  <w:tabs>
                    <w:tab w:val="left" w:pos="2834"/>
                    <w:tab w:val="right" w:pos="8838"/>
                  </w:tabs>
                  <w:ind w:left="-113" w:right="1318"/>
                  <w:jc w:val="both"/>
                  <w:rPr>
                    <w:rFonts w:ascii="Palatino Linotype" w:eastAsia="Palatino Linotype" w:hAnsi="Palatino Linotype" w:cs="Palatino Linotype"/>
                    <w:b/>
                    <w:sz w:val="22"/>
                    <w:szCs w:val="22"/>
                  </w:rPr>
                </w:pPr>
                <w:r w:rsidRPr="00EA6246">
                  <w:rPr>
                    <w:rFonts w:ascii="Palatino Linotype" w:eastAsia="Palatino Linotype" w:hAnsi="Palatino Linotype" w:cs="Palatino Linotype"/>
                    <w:b/>
                    <w:sz w:val="22"/>
                    <w:szCs w:val="22"/>
                  </w:rPr>
                  <w:t>Ayuntamiento de Valle de Chalco Solidaridad</w:t>
                </w:r>
              </w:p>
            </w:tc>
          </w:tr>
          <w:tr w:rsidR="005C541E" w14:paraId="47510A04" w14:textId="77777777">
            <w:trPr>
              <w:trHeight w:val="283"/>
            </w:trPr>
            <w:tc>
              <w:tcPr>
                <w:tcW w:w="2557" w:type="dxa"/>
              </w:tcPr>
              <w:p w14:paraId="50F095B7" w14:textId="77777777" w:rsidR="005C541E" w:rsidRDefault="005C541E">
                <w:pPr>
                  <w:tabs>
                    <w:tab w:val="right" w:pos="8838"/>
                  </w:tabs>
                  <w:ind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969" w:type="dxa"/>
              </w:tcPr>
              <w:p w14:paraId="38AC5BF8" w14:textId="77777777" w:rsidR="005C541E" w:rsidRDefault="005C541E">
                <w:pPr>
                  <w:tabs>
                    <w:tab w:val="right" w:pos="8838"/>
                  </w:tabs>
                  <w:ind w:left="-113" w:right="-10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María del Rosario Mejía Ayala</w:t>
                </w:r>
              </w:p>
            </w:tc>
          </w:tr>
        </w:tbl>
        <w:p w14:paraId="0AFA1BE4" w14:textId="77777777" w:rsidR="005C541E" w:rsidRDefault="005C541E">
          <w:pPr>
            <w:tabs>
              <w:tab w:val="right" w:pos="8838"/>
            </w:tabs>
            <w:ind w:left="-28"/>
            <w:jc w:val="both"/>
            <w:rPr>
              <w:rFonts w:ascii="Arial" w:eastAsia="Arial" w:hAnsi="Arial" w:cs="Arial"/>
              <w:b/>
              <w:sz w:val="22"/>
              <w:szCs w:val="22"/>
            </w:rPr>
          </w:pPr>
        </w:p>
      </w:tc>
    </w:tr>
  </w:tbl>
  <w:p w14:paraId="58110A23" w14:textId="77777777" w:rsidR="005C541E" w:rsidRDefault="00297507">
    <w:pPr>
      <w:pBdr>
        <w:top w:val="nil"/>
        <w:left w:val="nil"/>
        <w:bottom w:val="nil"/>
        <w:right w:val="nil"/>
        <w:between w:val="nil"/>
      </w:pBdr>
      <w:tabs>
        <w:tab w:val="center" w:pos="4419"/>
        <w:tab w:val="right" w:pos="8838"/>
      </w:tabs>
      <w:rPr>
        <w:color w:val="000000"/>
        <w:sz w:val="14"/>
        <w:szCs w:val="14"/>
      </w:rPr>
    </w:pPr>
    <w:r>
      <w:rPr>
        <w:color w:val="000000"/>
        <w:sz w:val="14"/>
        <w:szCs w:val="14"/>
      </w:rPr>
      <w:pict w14:anchorId="01DE771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 o:spid="_x0000_s1027" type="#_x0000_t75" alt="" style="position:absolute;margin-left:-104.3pt;margin-top:-147.5pt;width:663.5pt;height:12in;z-index:-251659776;mso-position-horizontal:absolute;mso-position-horizontal-relative:margin;mso-position-vertical:absolute;mso-position-vertical-relative:margin">
          <v:imagedata r:id="rId1" o:title="image2"/>
          <w10:wrap anchorx="margin" anchory="margin"/>
        </v:shape>
      </w:pict>
    </w:r>
  </w:p>
  <w:p w14:paraId="20BECFE9" w14:textId="77777777" w:rsidR="005C541E" w:rsidRDefault="005C541E"/>
  <w:p w14:paraId="533AE666" w14:textId="77777777" w:rsidR="005C541E" w:rsidRDefault="005C541E"/>
  <w:p w14:paraId="15A5BF35" w14:textId="77777777" w:rsidR="005C541E" w:rsidRDefault="005C541E"/>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4F564" w14:textId="77777777" w:rsidR="005C541E" w:rsidRDefault="005C541E">
    <w:pPr>
      <w:widowControl w:val="0"/>
      <w:pBdr>
        <w:top w:val="nil"/>
        <w:left w:val="nil"/>
        <w:bottom w:val="nil"/>
        <w:right w:val="nil"/>
        <w:between w:val="nil"/>
      </w:pBdr>
      <w:spacing w:line="276" w:lineRule="auto"/>
    </w:pPr>
  </w:p>
  <w:tbl>
    <w:tblPr>
      <w:tblStyle w:val="a2"/>
      <w:tblW w:w="9498" w:type="dxa"/>
      <w:tblInd w:w="0" w:type="dxa"/>
      <w:tblLayout w:type="fixed"/>
      <w:tblLook w:val="0400" w:firstRow="0" w:lastRow="0" w:firstColumn="0" w:lastColumn="0" w:noHBand="0" w:noVBand="1"/>
    </w:tblPr>
    <w:tblGrid>
      <w:gridCol w:w="1560"/>
      <w:gridCol w:w="7938"/>
    </w:tblGrid>
    <w:tr w:rsidR="005C541E" w14:paraId="0FD8CE6C" w14:textId="77777777">
      <w:trPr>
        <w:trHeight w:val="1435"/>
      </w:trPr>
      <w:tc>
        <w:tcPr>
          <w:tcW w:w="1560" w:type="dxa"/>
          <w:shd w:val="clear" w:color="auto" w:fill="auto"/>
        </w:tcPr>
        <w:p w14:paraId="08B6C783" w14:textId="77777777" w:rsidR="005C541E" w:rsidRDefault="005C541E">
          <w:pPr>
            <w:tabs>
              <w:tab w:val="right" w:pos="4273"/>
            </w:tabs>
            <w:rPr>
              <w:rFonts w:ascii="Garamond" w:eastAsia="Garamond" w:hAnsi="Garamond" w:cs="Garamond"/>
              <w:sz w:val="22"/>
              <w:szCs w:val="22"/>
            </w:rPr>
          </w:pPr>
        </w:p>
      </w:tc>
      <w:tc>
        <w:tcPr>
          <w:tcW w:w="7938" w:type="dxa"/>
          <w:shd w:val="clear" w:color="auto" w:fill="auto"/>
        </w:tcPr>
        <w:p w14:paraId="67109952" w14:textId="77777777" w:rsidR="005C541E" w:rsidRDefault="005C541E">
          <w:pPr>
            <w:widowControl w:val="0"/>
            <w:pBdr>
              <w:top w:val="nil"/>
              <w:left w:val="nil"/>
              <w:bottom w:val="nil"/>
              <w:right w:val="nil"/>
              <w:between w:val="nil"/>
            </w:pBdr>
            <w:spacing w:line="276" w:lineRule="auto"/>
            <w:rPr>
              <w:rFonts w:ascii="Garamond" w:eastAsia="Garamond" w:hAnsi="Garamond" w:cs="Garamond"/>
              <w:sz w:val="22"/>
              <w:szCs w:val="22"/>
            </w:rPr>
          </w:pPr>
        </w:p>
        <w:tbl>
          <w:tblPr>
            <w:tblStyle w:val="a3"/>
            <w:tblW w:w="10740" w:type="dxa"/>
            <w:tblInd w:w="1449" w:type="dxa"/>
            <w:tblBorders>
              <w:top w:val="nil"/>
              <w:left w:val="nil"/>
              <w:bottom w:val="nil"/>
              <w:right w:val="nil"/>
              <w:insideH w:val="nil"/>
              <w:insideV w:val="nil"/>
            </w:tblBorders>
            <w:tblLayout w:type="fixed"/>
            <w:tblLook w:val="0400" w:firstRow="0" w:lastRow="0" w:firstColumn="0" w:lastColumn="0" w:noHBand="0" w:noVBand="1"/>
          </w:tblPr>
          <w:tblGrid>
            <w:gridCol w:w="2415"/>
            <w:gridCol w:w="4923"/>
            <w:gridCol w:w="3402"/>
          </w:tblGrid>
          <w:tr w:rsidR="005C541E" w14:paraId="4362335C" w14:textId="77777777">
            <w:trPr>
              <w:trHeight w:val="144"/>
            </w:trPr>
            <w:tc>
              <w:tcPr>
                <w:tcW w:w="2415" w:type="dxa"/>
              </w:tcPr>
              <w:p w14:paraId="02D6C97E" w14:textId="77777777" w:rsidR="005C541E" w:rsidRDefault="005C541E">
                <w:pPr>
                  <w:tabs>
                    <w:tab w:val="right" w:pos="8838"/>
                  </w:tabs>
                  <w:ind w:left="-74" w:right="-105"/>
                  <w:rPr>
                    <w:rFonts w:ascii="Palatino Linotype" w:eastAsia="Palatino Linotype" w:hAnsi="Palatino Linotype" w:cs="Palatino Linotype"/>
                    <w:b/>
                    <w:sz w:val="22"/>
                    <w:szCs w:val="22"/>
                  </w:rPr>
                </w:pPr>
                <w:bookmarkStart w:id="10" w:name="_heading=h.3rdcrjn" w:colFirst="0" w:colLast="0"/>
                <w:bookmarkEnd w:id="10"/>
                <w:r>
                  <w:rPr>
                    <w:rFonts w:ascii="Palatino Linotype" w:eastAsia="Palatino Linotype" w:hAnsi="Palatino Linotype" w:cs="Palatino Linotype"/>
                    <w:b/>
                    <w:sz w:val="22"/>
                    <w:szCs w:val="22"/>
                  </w:rPr>
                  <w:t>Recurso de Revisión:</w:t>
                </w:r>
              </w:p>
            </w:tc>
            <w:tc>
              <w:tcPr>
                <w:tcW w:w="4923" w:type="dxa"/>
              </w:tcPr>
              <w:p w14:paraId="04FC8D11" w14:textId="77777777" w:rsidR="005C541E" w:rsidRDefault="005C541E" w:rsidP="00515EE4">
                <w:pPr>
                  <w:tabs>
                    <w:tab w:val="right" w:pos="8838"/>
                  </w:tabs>
                  <w:ind w:left="-3" w:right="-105"/>
                  <w:jc w:val="both"/>
                  <w:rPr>
                    <w:rFonts w:ascii="Palatino Linotype" w:eastAsia="Palatino Linotype" w:hAnsi="Palatino Linotype" w:cs="Palatino Linotype"/>
                    <w:sz w:val="22"/>
                    <w:szCs w:val="22"/>
                  </w:rPr>
                </w:pPr>
                <w:r>
                  <w:rPr>
                    <w:rFonts w:ascii="Palatino Linotype" w:eastAsia="Palatino Linotype" w:hAnsi="Palatino Linotype" w:cs="Palatino Linotype"/>
                    <w:b/>
                    <w:sz w:val="22"/>
                    <w:szCs w:val="22"/>
                  </w:rPr>
                  <w:t>05463/INFOEM/IP/RR/2024</w:t>
                </w:r>
                <w:r w:rsidR="0044382C">
                  <w:rPr>
                    <w:rFonts w:ascii="Palatino Linotype" w:eastAsia="Palatino Linotype" w:hAnsi="Palatino Linotype" w:cs="Palatino Linotype"/>
                    <w:b/>
                    <w:sz w:val="22"/>
                    <w:szCs w:val="22"/>
                  </w:rPr>
                  <w:t xml:space="preserve"> y</w:t>
                </w:r>
                <w:r>
                  <w:rPr>
                    <w:rFonts w:ascii="Palatino Linotype" w:eastAsia="Palatino Linotype" w:hAnsi="Palatino Linotype" w:cs="Palatino Linotype"/>
                    <w:b/>
                    <w:sz w:val="22"/>
                    <w:szCs w:val="22"/>
                  </w:rPr>
                  <w:t xml:space="preserve"> </w:t>
                </w:r>
                <w:proofErr w:type="spellStart"/>
                <w:r>
                  <w:rPr>
                    <w:rFonts w:ascii="Palatino Linotype" w:eastAsia="Palatino Linotype" w:hAnsi="Palatino Linotype" w:cs="Palatino Linotype"/>
                    <w:b/>
                    <w:sz w:val="22"/>
                    <w:szCs w:val="22"/>
                  </w:rPr>
                  <w:t>y</w:t>
                </w:r>
                <w:proofErr w:type="spellEnd"/>
                <w:r>
                  <w:rPr>
                    <w:rFonts w:ascii="Palatino Linotype" w:eastAsia="Palatino Linotype" w:hAnsi="Palatino Linotype" w:cs="Palatino Linotype"/>
                    <w:b/>
                    <w:sz w:val="22"/>
                    <w:szCs w:val="22"/>
                  </w:rPr>
                  <w:br/>
                  <w:t>acumulados</w:t>
                </w:r>
              </w:p>
            </w:tc>
            <w:tc>
              <w:tcPr>
                <w:tcW w:w="3402" w:type="dxa"/>
              </w:tcPr>
              <w:p w14:paraId="67BC71AF" w14:textId="77777777" w:rsidR="005C541E" w:rsidRDefault="005C541E">
                <w:pPr>
                  <w:tabs>
                    <w:tab w:val="right" w:pos="8838"/>
                  </w:tabs>
                  <w:ind w:left="-74" w:right="-105"/>
                  <w:jc w:val="both"/>
                  <w:rPr>
                    <w:rFonts w:ascii="Palatino Linotype" w:eastAsia="Palatino Linotype" w:hAnsi="Palatino Linotype" w:cs="Palatino Linotype"/>
                    <w:sz w:val="22"/>
                    <w:szCs w:val="22"/>
                  </w:rPr>
                </w:pPr>
              </w:p>
            </w:tc>
          </w:tr>
          <w:tr w:rsidR="005C541E" w14:paraId="0B9F8A99" w14:textId="77777777">
            <w:trPr>
              <w:trHeight w:val="144"/>
            </w:trPr>
            <w:tc>
              <w:tcPr>
                <w:tcW w:w="2415" w:type="dxa"/>
              </w:tcPr>
              <w:p w14:paraId="29593773" w14:textId="77777777" w:rsidR="005C541E" w:rsidRDefault="005C541E">
                <w:pPr>
                  <w:tabs>
                    <w:tab w:val="right" w:pos="8838"/>
                  </w:tabs>
                  <w:ind w:left="-74" w:right="-105"/>
                  <w:rPr>
                    <w:rFonts w:ascii="Palatino Linotype" w:eastAsia="Palatino Linotype" w:hAnsi="Palatino Linotype" w:cs="Palatino Linotype"/>
                    <w:b/>
                    <w:sz w:val="22"/>
                    <w:szCs w:val="22"/>
                  </w:rPr>
                </w:pPr>
                <w:bookmarkStart w:id="11" w:name="_heading=h.26in1rg" w:colFirst="0" w:colLast="0"/>
                <w:bookmarkEnd w:id="11"/>
                <w:r>
                  <w:rPr>
                    <w:rFonts w:ascii="Palatino Linotype" w:eastAsia="Palatino Linotype" w:hAnsi="Palatino Linotype" w:cs="Palatino Linotype"/>
                    <w:b/>
                    <w:sz w:val="22"/>
                    <w:szCs w:val="22"/>
                  </w:rPr>
                  <w:t>Recurrente:</w:t>
                </w:r>
              </w:p>
            </w:tc>
            <w:tc>
              <w:tcPr>
                <w:tcW w:w="4923" w:type="dxa"/>
              </w:tcPr>
              <w:p w14:paraId="5EB10740" w14:textId="61E14D24" w:rsidR="005C541E" w:rsidRDefault="00DC0C0E">
                <w:pPr>
                  <w:tabs>
                    <w:tab w:val="left" w:pos="3122"/>
                    <w:tab w:val="right" w:pos="8838"/>
                  </w:tabs>
                  <w:ind w:right="1457"/>
                  <w:jc w:val="both"/>
                  <w:rPr>
                    <w:rFonts w:ascii="Palatino Linotype" w:eastAsia="Palatino Linotype" w:hAnsi="Palatino Linotype" w:cs="Palatino Linotype"/>
                    <w:b/>
                    <w:sz w:val="22"/>
                    <w:szCs w:val="22"/>
                  </w:rPr>
                </w:pPr>
                <w:r>
                  <w:rPr>
                    <w:rFonts w:ascii="Palatino Linotype" w:eastAsia="Palatino Linotype" w:hAnsi="Palatino Linotype" w:cs="Palatino Linotype"/>
                    <w:b/>
                    <w:color w:val="000000"/>
                    <w:sz w:val="24"/>
                    <w:szCs w:val="24"/>
                  </w:rPr>
                  <w:t xml:space="preserve">XXX </w:t>
                </w:r>
                <w:proofErr w:type="spellStart"/>
                <w:r>
                  <w:rPr>
                    <w:rFonts w:ascii="Palatino Linotype" w:eastAsia="Palatino Linotype" w:hAnsi="Palatino Linotype" w:cs="Palatino Linotype"/>
                    <w:b/>
                    <w:color w:val="000000"/>
                    <w:sz w:val="24"/>
                    <w:szCs w:val="24"/>
                  </w:rPr>
                  <w:t>XXX</w:t>
                </w:r>
                <w:proofErr w:type="spellEnd"/>
              </w:p>
            </w:tc>
            <w:tc>
              <w:tcPr>
                <w:tcW w:w="3402" w:type="dxa"/>
              </w:tcPr>
              <w:p w14:paraId="486FFF3C" w14:textId="77777777" w:rsidR="005C541E" w:rsidRDefault="005C541E">
                <w:pPr>
                  <w:tabs>
                    <w:tab w:val="left" w:pos="3122"/>
                    <w:tab w:val="right" w:pos="8838"/>
                  </w:tabs>
                  <w:ind w:right="-105"/>
                  <w:jc w:val="both"/>
                  <w:rPr>
                    <w:rFonts w:ascii="Palatino Linotype" w:eastAsia="Palatino Linotype" w:hAnsi="Palatino Linotype" w:cs="Palatino Linotype"/>
                    <w:sz w:val="22"/>
                    <w:szCs w:val="22"/>
                  </w:rPr>
                </w:pPr>
              </w:p>
            </w:tc>
          </w:tr>
          <w:tr w:rsidR="005C541E" w14:paraId="39924B5F" w14:textId="77777777">
            <w:trPr>
              <w:trHeight w:val="283"/>
            </w:trPr>
            <w:tc>
              <w:tcPr>
                <w:tcW w:w="2415" w:type="dxa"/>
              </w:tcPr>
              <w:p w14:paraId="0294D558" w14:textId="77777777" w:rsidR="005C541E" w:rsidRDefault="005C541E">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Sujeto Obligado:</w:t>
                </w:r>
              </w:p>
            </w:tc>
            <w:tc>
              <w:tcPr>
                <w:tcW w:w="4923" w:type="dxa"/>
              </w:tcPr>
              <w:p w14:paraId="22C94891" w14:textId="77777777" w:rsidR="005C541E" w:rsidRDefault="005C541E">
                <w:pPr>
                  <w:tabs>
                    <w:tab w:val="left" w:pos="2834"/>
                    <w:tab w:val="right" w:pos="8838"/>
                  </w:tabs>
                  <w:ind w:left="-3" w:right="1315"/>
                  <w:jc w:val="both"/>
                  <w:rPr>
                    <w:rFonts w:ascii="Palatino Linotype" w:eastAsia="Palatino Linotype" w:hAnsi="Palatino Linotype" w:cs="Palatino Linotype"/>
                    <w:b/>
                    <w:sz w:val="22"/>
                    <w:szCs w:val="22"/>
                  </w:rPr>
                </w:pPr>
                <w:r w:rsidRPr="006C01DC">
                  <w:rPr>
                    <w:rFonts w:ascii="Palatino Linotype" w:eastAsia="Palatino Linotype" w:hAnsi="Palatino Linotype" w:cs="Palatino Linotype"/>
                    <w:b/>
                    <w:sz w:val="22"/>
                    <w:szCs w:val="22"/>
                  </w:rPr>
                  <w:t>Ayuntamiento de Valle de Chalco Solidaridad</w:t>
                </w:r>
              </w:p>
            </w:tc>
            <w:tc>
              <w:tcPr>
                <w:tcW w:w="3402" w:type="dxa"/>
              </w:tcPr>
              <w:p w14:paraId="1EF1B3FA" w14:textId="77777777" w:rsidR="005C541E" w:rsidRDefault="005C541E">
                <w:pPr>
                  <w:tabs>
                    <w:tab w:val="left" w:pos="2834"/>
                    <w:tab w:val="right" w:pos="8838"/>
                  </w:tabs>
                  <w:ind w:left="-74" w:right="-105"/>
                  <w:jc w:val="both"/>
                  <w:rPr>
                    <w:rFonts w:ascii="Palatino Linotype" w:eastAsia="Palatino Linotype" w:hAnsi="Palatino Linotype" w:cs="Palatino Linotype"/>
                    <w:sz w:val="22"/>
                    <w:szCs w:val="22"/>
                  </w:rPr>
                </w:pPr>
              </w:p>
            </w:tc>
          </w:tr>
          <w:tr w:rsidR="005C541E" w14:paraId="64A8E627" w14:textId="77777777">
            <w:trPr>
              <w:trHeight w:val="283"/>
            </w:trPr>
            <w:tc>
              <w:tcPr>
                <w:tcW w:w="2415" w:type="dxa"/>
              </w:tcPr>
              <w:p w14:paraId="3C625547" w14:textId="77777777" w:rsidR="005C541E" w:rsidRDefault="005C541E">
                <w:pPr>
                  <w:tabs>
                    <w:tab w:val="right" w:pos="8838"/>
                  </w:tabs>
                  <w:ind w:left="-74" w:right="-105"/>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Comisionada Ponente:</w:t>
                </w:r>
              </w:p>
            </w:tc>
            <w:tc>
              <w:tcPr>
                <w:tcW w:w="4923" w:type="dxa"/>
              </w:tcPr>
              <w:p w14:paraId="236E4F80" w14:textId="77777777" w:rsidR="005C541E" w:rsidRDefault="005C541E">
                <w:pPr>
                  <w:tabs>
                    <w:tab w:val="right" w:pos="8838"/>
                  </w:tabs>
                  <w:ind w:left="-3" w:right="-105"/>
                  <w:jc w:val="both"/>
                  <w:rPr>
                    <w:rFonts w:ascii="Palatino Linotype" w:eastAsia="Palatino Linotype" w:hAnsi="Palatino Linotype" w:cs="Palatino Linotype"/>
                    <w:b/>
                    <w:sz w:val="22"/>
                    <w:szCs w:val="22"/>
                  </w:rPr>
                </w:pPr>
                <w:r>
                  <w:rPr>
                    <w:rFonts w:ascii="Palatino Linotype" w:eastAsia="Palatino Linotype" w:hAnsi="Palatino Linotype" w:cs="Palatino Linotype"/>
                    <w:b/>
                    <w:sz w:val="22"/>
                    <w:szCs w:val="22"/>
                  </w:rPr>
                  <w:t>María del Rosario Mejía Ayala</w:t>
                </w:r>
              </w:p>
            </w:tc>
            <w:tc>
              <w:tcPr>
                <w:tcW w:w="3402" w:type="dxa"/>
              </w:tcPr>
              <w:p w14:paraId="59EC98A5" w14:textId="77777777" w:rsidR="005C541E" w:rsidRDefault="005C541E">
                <w:pPr>
                  <w:tabs>
                    <w:tab w:val="right" w:pos="8838"/>
                  </w:tabs>
                  <w:ind w:left="-74" w:right="-105"/>
                  <w:jc w:val="both"/>
                  <w:rPr>
                    <w:rFonts w:ascii="Palatino Linotype" w:eastAsia="Palatino Linotype" w:hAnsi="Palatino Linotype" w:cs="Palatino Linotype"/>
                    <w:sz w:val="22"/>
                    <w:szCs w:val="22"/>
                  </w:rPr>
                </w:pPr>
              </w:p>
            </w:tc>
          </w:tr>
        </w:tbl>
        <w:p w14:paraId="3E925BCE" w14:textId="77777777" w:rsidR="005C541E" w:rsidRDefault="005C541E">
          <w:pPr>
            <w:tabs>
              <w:tab w:val="right" w:pos="8838"/>
            </w:tabs>
            <w:ind w:left="-28"/>
            <w:jc w:val="both"/>
            <w:rPr>
              <w:rFonts w:ascii="Arial" w:eastAsia="Arial" w:hAnsi="Arial" w:cs="Arial"/>
              <w:b/>
              <w:sz w:val="22"/>
              <w:szCs w:val="22"/>
            </w:rPr>
          </w:pPr>
        </w:p>
      </w:tc>
    </w:tr>
  </w:tbl>
  <w:p w14:paraId="0B73BDE2" w14:textId="77777777" w:rsidR="005C541E" w:rsidRDefault="00297507">
    <w:pPr>
      <w:pBdr>
        <w:top w:val="nil"/>
        <w:left w:val="nil"/>
        <w:bottom w:val="nil"/>
        <w:right w:val="nil"/>
        <w:between w:val="nil"/>
      </w:pBdr>
      <w:tabs>
        <w:tab w:val="center" w:pos="4419"/>
        <w:tab w:val="right" w:pos="8838"/>
        <w:tab w:val="center" w:pos="4522"/>
      </w:tabs>
      <w:rPr>
        <w:color w:val="000000"/>
      </w:rPr>
    </w:pPr>
    <w:r>
      <w:rPr>
        <w:color w:val="000000"/>
        <w:sz w:val="14"/>
        <w:szCs w:val="14"/>
      </w:rPr>
      <w:pict w14:anchorId="4E8B88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96.45pt;margin-top:-149.05pt;width:661.75pt;height:861.75pt;z-index:-251657728;mso-wrap-edited:f;mso-position-horizontal:absolute;mso-position-horizontal-relative:margin;mso-position-vertical:absolute;mso-position-vertical-relative:margin" o:allowincell="f">
          <v:imagedata r:id="rId1" o:title="marcaaguaINFOEM"/>
          <w10:wrap anchorx="margin" anchory="margin"/>
        </v:shape>
      </w:pict>
    </w:r>
  </w:p>
  <w:p w14:paraId="724846DD" w14:textId="77777777" w:rsidR="005C541E" w:rsidRDefault="005C541E"/>
  <w:p w14:paraId="59D37C3A" w14:textId="77777777" w:rsidR="005C541E" w:rsidRDefault="005C541E"/>
  <w:p w14:paraId="2151A54C" w14:textId="77777777" w:rsidR="005C541E" w:rsidRDefault="005C541E"/>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374ECC"/>
    <w:multiLevelType w:val="multilevel"/>
    <w:tmpl w:val="3A1CBE5A"/>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0D3C56DF"/>
    <w:multiLevelType w:val="hybridMultilevel"/>
    <w:tmpl w:val="A1B4E91A"/>
    <w:lvl w:ilvl="0" w:tplc="4418E33E">
      <w:start w:val="1"/>
      <w:numFmt w:val="lowerLetter"/>
      <w:lvlText w:val="%1)"/>
      <w:lvlJc w:val="left"/>
      <w:pPr>
        <w:ind w:left="180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08C79F4"/>
    <w:multiLevelType w:val="hybridMultilevel"/>
    <w:tmpl w:val="6966DE1E"/>
    <w:lvl w:ilvl="0" w:tplc="1DEE904E">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3" w15:restartNumberingAfterBreak="0">
    <w:nsid w:val="1143708C"/>
    <w:multiLevelType w:val="multilevel"/>
    <w:tmpl w:val="F4421A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14B87859"/>
    <w:multiLevelType w:val="multilevel"/>
    <w:tmpl w:val="96BC30F0"/>
    <w:lvl w:ilvl="0">
      <w:start w:val="1"/>
      <w:numFmt w:val="bullet"/>
      <w:lvlText w:val="●"/>
      <w:lvlJc w:val="left"/>
      <w:pPr>
        <w:ind w:left="1146" w:hanging="360"/>
      </w:pPr>
      <w:rPr>
        <w:rFonts w:ascii="Noto Sans Symbols" w:eastAsia="Noto Sans Symbols" w:hAnsi="Noto Sans Symbols" w:cs="Noto Sans Symbols"/>
      </w:rPr>
    </w:lvl>
    <w:lvl w:ilvl="1">
      <w:start w:val="1"/>
      <w:numFmt w:val="bullet"/>
      <w:lvlText w:val="o"/>
      <w:lvlJc w:val="left"/>
      <w:pPr>
        <w:ind w:left="1866" w:hanging="360"/>
      </w:pPr>
      <w:rPr>
        <w:rFonts w:ascii="Courier New" w:eastAsia="Courier New" w:hAnsi="Courier New" w:cs="Courier New"/>
      </w:rPr>
    </w:lvl>
    <w:lvl w:ilvl="2">
      <w:start w:val="1"/>
      <w:numFmt w:val="bullet"/>
      <w:lvlText w:val="▪"/>
      <w:lvlJc w:val="left"/>
      <w:pPr>
        <w:ind w:left="2586" w:hanging="360"/>
      </w:pPr>
      <w:rPr>
        <w:rFonts w:ascii="Noto Sans Symbols" w:eastAsia="Noto Sans Symbols" w:hAnsi="Noto Sans Symbols" w:cs="Noto Sans Symbols"/>
      </w:rPr>
    </w:lvl>
    <w:lvl w:ilvl="3">
      <w:start w:val="1"/>
      <w:numFmt w:val="bullet"/>
      <w:lvlText w:val="●"/>
      <w:lvlJc w:val="left"/>
      <w:pPr>
        <w:ind w:left="3306" w:hanging="360"/>
      </w:pPr>
      <w:rPr>
        <w:rFonts w:ascii="Noto Sans Symbols" w:eastAsia="Noto Sans Symbols" w:hAnsi="Noto Sans Symbols" w:cs="Noto Sans Symbols"/>
      </w:rPr>
    </w:lvl>
    <w:lvl w:ilvl="4">
      <w:start w:val="1"/>
      <w:numFmt w:val="bullet"/>
      <w:lvlText w:val="o"/>
      <w:lvlJc w:val="left"/>
      <w:pPr>
        <w:ind w:left="4026" w:hanging="360"/>
      </w:pPr>
      <w:rPr>
        <w:rFonts w:ascii="Courier New" w:eastAsia="Courier New" w:hAnsi="Courier New" w:cs="Courier New"/>
      </w:rPr>
    </w:lvl>
    <w:lvl w:ilvl="5">
      <w:start w:val="1"/>
      <w:numFmt w:val="bullet"/>
      <w:lvlText w:val="▪"/>
      <w:lvlJc w:val="left"/>
      <w:pPr>
        <w:ind w:left="4746" w:hanging="360"/>
      </w:pPr>
      <w:rPr>
        <w:rFonts w:ascii="Noto Sans Symbols" w:eastAsia="Noto Sans Symbols" w:hAnsi="Noto Sans Symbols" w:cs="Noto Sans Symbols"/>
      </w:rPr>
    </w:lvl>
    <w:lvl w:ilvl="6">
      <w:start w:val="1"/>
      <w:numFmt w:val="bullet"/>
      <w:lvlText w:val="●"/>
      <w:lvlJc w:val="left"/>
      <w:pPr>
        <w:ind w:left="5466" w:hanging="360"/>
      </w:pPr>
      <w:rPr>
        <w:rFonts w:ascii="Noto Sans Symbols" w:eastAsia="Noto Sans Symbols" w:hAnsi="Noto Sans Symbols" w:cs="Noto Sans Symbols"/>
      </w:rPr>
    </w:lvl>
    <w:lvl w:ilvl="7">
      <w:start w:val="1"/>
      <w:numFmt w:val="bullet"/>
      <w:lvlText w:val="o"/>
      <w:lvlJc w:val="left"/>
      <w:pPr>
        <w:ind w:left="6186" w:hanging="360"/>
      </w:pPr>
      <w:rPr>
        <w:rFonts w:ascii="Courier New" w:eastAsia="Courier New" w:hAnsi="Courier New" w:cs="Courier New"/>
      </w:rPr>
    </w:lvl>
    <w:lvl w:ilvl="8">
      <w:start w:val="1"/>
      <w:numFmt w:val="bullet"/>
      <w:lvlText w:val="▪"/>
      <w:lvlJc w:val="left"/>
      <w:pPr>
        <w:ind w:left="6906" w:hanging="360"/>
      </w:pPr>
      <w:rPr>
        <w:rFonts w:ascii="Noto Sans Symbols" w:eastAsia="Noto Sans Symbols" w:hAnsi="Noto Sans Symbols" w:cs="Noto Sans Symbols"/>
      </w:rPr>
    </w:lvl>
  </w:abstractNum>
  <w:abstractNum w:abstractNumId="5" w15:restartNumberingAfterBreak="0">
    <w:nsid w:val="20BB58B5"/>
    <w:multiLevelType w:val="multilevel"/>
    <w:tmpl w:val="B41AF2C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28E22AA6"/>
    <w:multiLevelType w:val="hybridMultilevel"/>
    <w:tmpl w:val="D80A720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C1E37DB"/>
    <w:multiLevelType w:val="hybridMultilevel"/>
    <w:tmpl w:val="2CC85242"/>
    <w:lvl w:ilvl="0" w:tplc="080A0017">
      <w:start w:val="1"/>
      <w:numFmt w:val="lowerLetter"/>
      <w:lvlText w:val="%1)"/>
      <w:lvlJc w:val="left"/>
      <w:pPr>
        <w:ind w:left="1800" w:hanging="360"/>
      </w:pPr>
      <w:rPr>
        <w:rFonts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8" w15:restartNumberingAfterBreak="0">
    <w:nsid w:val="2CCF36A8"/>
    <w:multiLevelType w:val="hybridMultilevel"/>
    <w:tmpl w:val="F000D552"/>
    <w:lvl w:ilvl="0" w:tplc="1E560E0A">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9" w15:restartNumberingAfterBreak="0">
    <w:nsid w:val="3AE47147"/>
    <w:multiLevelType w:val="hybridMultilevel"/>
    <w:tmpl w:val="BF50DBA2"/>
    <w:lvl w:ilvl="0" w:tplc="2CEE2B3A">
      <w:start w:val="1"/>
      <w:numFmt w:val="decimal"/>
      <w:lvlText w:val="%1)"/>
      <w:lvlJc w:val="left"/>
      <w:pPr>
        <w:ind w:left="735" w:hanging="37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15:restartNumberingAfterBreak="0">
    <w:nsid w:val="3BCC37CE"/>
    <w:multiLevelType w:val="hybridMultilevel"/>
    <w:tmpl w:val="D7EE659C"/>
    <w:lvl w:ilvl="0" w:tplc="B2A27AAE">
      <w:start w:val="1"/>
      <w:numFmt w:val="upperRoman"/>
      <w:lvlText w:val="%1."/>
      <w:lvlJc w:val="left"/>
      <w:pPr>
        <w:ind w:left="1440" w:hanging="72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1" w15:restartNumberingAfterBreak="0">
    <w:nsid w:val="3C816A84"/>
    <w:multiLevelType w:val="hybridMultilevel"/>
    <w:tmpl w:val="BE44CBF8"/>
    <w:lvl w:ilvl="0" w:tplc="7480C6B8">
      <w:start w:val="1"/>
      <w:numFmt w:val="lowerLetter"/>
      <w:lvlText w:val="%1)"/>
      <w:lvlJc w:val="left"/>
      <w:pPr>
        <w:ind w:left="720" w:hanging="360"/>
      </w:pPr>
      <w:rPr>
        <w:rFonts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4325361A"/>
    <w:multiLevelType w:val="multilevel"/>
    <w:tmpl w:val="7DACA1B4"/>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3" w15:restartNumberingAfterBreak="0">
    <w:nsid w:val="48FA4FEF"/>
    <w:multiLevelType w:val="hybridMultilevel"/>
    <w:tmpl w:val="B8CE33C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BCC0928"/>
    <w:multiLevelType w:val="multilevel"/>
    <w:tmpl w:val="CD4ED73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15:restartNumberingAfterBreak="0">
    <w:nsid w:val="5C0D1D37"/>
    <w:multiLevelType w:val="hybridMultilevel"/>
    <w:tmpl w:val="81E6D15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618B60FC"/>
    <w:multiLevelType w:val="multilevel"/>
    <w:tmpl w:val="FA427544"/>
    <w:lvl w:ilvl="0">
      <w:start w:val="1"/>
      <w:numFmt w:val="bullet"/>
      <w:lvlText w:val="⎯"/>
      <w:lvlJc w:val="left"/>
      <w:pPr>
        <w:ind w:left="1498" w:hanging="360"/>
      </w:pPr>
      <w:rPr>
        <w:rFonts w:ascii="Noto Sans Symbols" w:eastAsia="Noto Sans Symbols" w:hAnsi="Noto Sans Symbols" w:cs="Noto Sans Symbols"/>
      </w:rPr>
    </w:lvl>
    <w:lvl w:ilvl="1">
      <w:start w:val="1"/>
      <w:numFmt w:val="bullet"/>
      <w:lvlText w:val="o"/>
      <w:lvlJc w:val="left"/>
      <w:pPr>
        <w:ind w:left="2218" w:hanging="360"/>
      </w:pPr>
      <w:rPr>
        <w:rFonts w:ascii="Courier New" w:eastAsia="Courier New" w:hAnsi="Courier New" w:cs="Courier New"/>
      </w:rPr>
    </w:lvl>
    <w:lvl w:ilvl="2">
      <w:start w:val="1"/>
      <w:numFmt w:val="bullet"/>
      <w:lvlText w:val="▪"/>
      <w:lvlJc w:val="left"/>
      <w:pPr>
        <w:ind w:left="2938" w:hanging="360"/>
      </w:pPr>
      <w:rPr>
        <w:rFonts w:ascii="Noto Sans Symbols" w:eastAsia="Noto Sans Symbols" w:hAnsi="Noto Sans Symbols" w:cs="Noto Sans Symbols"/>
      </w:rPr>
    </w:lvl>
    <w:lvl w:ilvl="3">
      <w:start w:val="1"/>
      <w:numFmt w:val="bullet"/>
      <w:lvlText w:val="●"/>
      <w:lvlJc w:val="left"/>
      <w:pPr>
        <w:ind w:left="3658" w:hanging="360"/>
      </w:pPr>
      <w:rPr>
        <w:rFonts w:ascii="Noto Sans Symbols" w:eastAsia="Noto Sans Symbols" w:hAnsi="Noto Sans Symbols" w:cs="Noto Sans Symbols"/>
      </w:rPr>
    </w:lvl>
    <w:lvl w:ilvl="4">
      <w:start w:val="1"/>
      <w:numFmt w:val="bullet"/>
      <w:lvlText w:val="o"/>
      <w:lvlJc w:val="left"/>
      <w:pPr>
        <w:ind w:left="4378" w:hanging="360"/>
      </w:pPr>
      <w:rPr>
        <w:rFonts w:ascii="Courier New" w:eastAsia="Courier New" w:hAnsi="Courier New" w:cs="Courier New"/>
      </w:rPr>
    </w:lvl>
    <w:lvl w:ilvl="5">
      <w:start w:val="1"/>
      <w:numFmt w:val="bullet"/>
      <w:lvlText w:val="▪"/>
      <w:lvlJc w:val="left"/>
      <w:pPr>
        <w:ind w:left="5098" w:hanging="360"/>
      </w:pPr>
      <w:rPr>
        <w:rFonts w:ascii="Noto Sans Symbols" w:eastAsia="Noto Sans Symbols" w:hAnsi="Noto Sans Symbols" w:cs="Noto Sans Symbols"/>
      </w:rPr>
    </w:lvl>
    <w:lvl w:ilvl="6">
      <w:start w:val="1"/>
      <w:numFmt w:val="bullet"/>
      <w:lvlText w:val="●"/>
      <w:lvlJc w:val="left"/>
      <w:pPr>
        <w:ind w:left="5818" w:hanging="360"/>
      </w:pPr>
      <w:rPr>
        <w:rFonts w:ascii="Noto Sans Symbols" w:eastAsia="Noto Sans Symbols" w:hAnsi="Noto Sans Symbols" w:cs="Noto Sans Symbols"/>
      </w:rPr>
    </w:lvl>
    <w:lvl w:ilvl="7">
      <w:start w:val="1"/>
      <w:numFmt w:val="bullet"/>
      <w:lvlText w:val="o"/>
      <w:lvlJc w:val="left"/>
      <w:pPr>
        <w:ind w:left="6538" w:hanging="360"/>
      </w:pPr>
      <w:rPr>
        <w:rFonts w:ascii="Courier New" w:eastAsia="Courier New" w:hAnsi="Courier New" w:cs="Courier New"/>
      </w:rPr>
    </w:lvl>
    <w:lvl w:ilvl="8">
      <w:start w:val="1"/>
      <w:numFmt w:val="bullet"/>
      <w:lvlText w:val="▪"/>
      <w:lvlJc w:val="left"/>
      <w:pPr>
        <w:ind w:left="7258" w:hanging="360"/>
      </w:pPr>
      <w:rPr>
        <w:rFonts w:ascii="Noto Sans Symbols" w:eastAsia="Noto Sans Symbols" w:hAnsi="Noto Sans Symbols" w:cs="Noto Sans Symbols"/>
      </w:rPr>
    </w:lvl>
  </w:abstractNum>
  <w:abstractNum w:abstractNumId="17" w15:restartNumberingAfterBreak="0">
    <w:nsid w:val="62C32BA5"/>
    <w:multiLevelType w:val="hybridMultilevel"/>
    <w:tmpl w:val="C73E0DA0"/>
    <w:lvl w:ilvl="0" w:tplc="24149676">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18" w15:restartNumberingAfterBreak="0">
    <w:nsid w:val="681422DD"/>
    <w:multiLevelType w:val="multilevel"/>
    <w:tmpl w:val="6A0CD136"/>
    <w:lvl w:ilvl="0">
      <w:start w:val="1"/>
      <w:numFmt w:val="decimal"/>
      <w:lvlText w:val="%1."/>
      <w:lvlJc w:val="left"/>
      <w:pPr>
        <w:ind w:left="501" w:hanging="359"/>
      </w:pPr>
      <w:rPr>
        <w:rFonts w:ascii="Palatino Linotype" w:eastAsia="Palatino Linotype" w:hAnsi="Palatino Linotype" w:cs="Palatino Linotype"/>
        <w:b/>
        <w:i w:val="0"/>
        <w:color w:val="00000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6CB076DB"/>
    <w:multiLevelType w:val="hybridMultilevel"/>
    <w:tmpl w:val="05DC4AD0"/>
    <w:lvl w:ilvl="0" w:tplc="7FA8DEDA">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abstractNum w:abstractNumId="20" w15:restartNumberingAfterBreak="0">
    <w:nsid w:val="76A13E2C"/>
    <w:multiLevelType w:val="hybridMultilevel"/>
    <w:tmpl w:val="F71C8E2C"/>
    <w:lvl w:ilvl="0" w:tplc="44C23830">
      <w:start w:val="1"/>
      <w:numFmt w:val="upperRoman"/>
      <w:lvlText w:val="%1."/>
      <w:lvlJc w:val="left"/>
      <w:pPr>
        <w:ind w:left="1571" w:hanging="720"/>
      </w:pPr>
      <w:rPr>
        <w:rFonts w:hint="default"/>
      </w:rPr>
    </w:lvl>
    <w:lvl w:ilvl="1" w:tplc="080A0019" w:tentative="1">
      <w:start w:val="1"/>
      <w:numFmt w:val="lowerLetter"/>
      <w:lvlText w:val="%2."/>
      <w:lvlJc w:val="left"/>
      <w:pPr>
        <w:ind w:left="1931" w:hanging="360"/>
      </w:pPr>
    </w:lvl>
    <w:lvl w:ilvl="2" w:tplc="080A001B" w:tentative="1">
      <w:start w:val="1"/>
      <w:numFmt w:val="lowerRoman"/>
      <w:lvlText w:val="%3."/>
      <w:lvlJc w:val="right"/>
      <w:pPr>
        <w:ind w:left="2651" w:hanging="180"/>
      </w:pPr>
    </w:lvl>
    <w:lvl w:ilvl="3" w:tplc="080A000F" w:tentative="1">
      <w:start w:val="1"/>
      <w:numFmt w:val="decimal"/>
      <w:lvlText w:val="%4."/>
      <w:lvlJc w:val="left"/>
      <w:pPr>
        <w:ind w:left="3371" w:hanging="360"/>
      </w:pPr>
    </w:lvl>
    <w:lvl w:ilvl="4" w:tplc="080A0019" w:tentative="1">
      <w:start w:val="1"/>
      <w:numFmt w:val="lowerLetter"/>
      <w:lvlText w:val="%5."/>
      <w:lvlJc w:val="left"/>
      <w:pPr>
        <w:ind w:left="4091" w:hanging="360"/>
      </w:pPr>
    </w:lvl>
    <w:lvl w:ilvl="5" w:tplc="080A001B" w:tentative="1">
      <w:start w:val="1"/>
      <w:numFmt w:val="lowerRoman"/>
      <w:lvlText w:val="%6."/>
      <w:lvlJc w:val="right"/>
      <w:pPr>
        <w:ind w:left="4811" w:hanging="180"/>
      </w:pPr>
    </w:lvl>
    <w:lvl w:ilvl="6" w:tplc="080A000F" w:tentative="1">
      <w:start w:val="1"/>
      <w:numFmt w:val="decimal"/>
      <w:lvlText w:val="%7."/>
      <w:lvlJc w:val="left"/>
      <w:pPr>
        <w:ind w:left="5531" w:hanging="360"/>
      </w:pPr>
    </w:lvl>
    <w:lvl w:ilvl="7" w:tplc="080A0019" w:tentative="1">
      <w:start w:val="1"/>
      <w:numFmt w:val="lowerLetter"/>
      <w:lvlText w:val="%8."/>
      <w:lvlJc w:val="left"/>
      <w:pPr>
        <w:ind w:left="6251" w:hanging="360"/>
      </w:pPr>
    </w:lvl>
    <w:lvl w:ilvl="8" w:tplc="080A001B" w:tentative="1">
      <w:start w:val="1"/>
      <w:numFmt w:val="lowerRoman"/>
      <w:lvlText w:val="%9."/>
      <w:lvlJc w:val="right"/>
      <w:pPr>
        <w:ind w:left="6971" w:hanging="180"/>
      </w:pPr>
    </w:lvl>
  </w:abstractNum>
  <w:num w:numId="1" w16cid:durableId="1679507010">
    <w:abstractNumId w:val="12"/>
  </w:num>
  <w:num w:numId="2" w16cid:durableId="2035572529">
    <w:abstractNumId w:val="0"/>
  </w:num>
  <w:num w:numId="3" w16cid:durableId="211890340">
    <w:abstractNumId w:val="3"/>
  </w:num>
  <w:num w:numId="4" w16cid:durableId="132991928">
    <w:abstractNumId w:val="14"/>
  </w:num>
  <w:num w:numId="5" w16cid:durableId="1439791484">
    <w:abstractNumId w:val="4"/>
  </w:num>
  <w:num w:numId="6" w16cid:durableId="2024160994">
    <w:abstractNumId w:val="18"/>
  </w:num>
  <w:num w:numId="7" w16cid:durableId="932589802">
    <w:abstractNumId w:val="16"/>
  </w:num>
  <w:num w:numId="8" w16cid:durableId="676925569">
    <w:abstractNumId w:val="5"/>
  </w:num>
  <w:num w:numId="9" w16cid:durableId="332075115">
    <w:abstractNumId w:val="6"/>
  </w:num>
  <w:num w:numId="10" w16cid:durableId="2106143281">
    <w:abstractNumId w:val="13"/>
  </w:num>
  <w:num w:numId="11" w16cid:durableId="1902254206">
    <w:abstractNumId w:val="9"/>
  </w:num>
  <w:num w:numId="12" w16cid:durableId="1819762217">
    <w:abstractNumId w:val="7"/>
  </w:num>
  <w:num w:numId="13" w16cid:durableId="759301702">
    <w:abstractNumId w:val="19"/>
  </w:num>
  <w:num w:numId="14" w16cid:durableId="15860954">
    <w:abstractNumId w:val="20"/>
  </w:num>
  <w:num w:numId="15" w16cid:durableId="1244146810">
    <w:abstractNumId w:val="17"/>
  </w:num>
  <w:num w:numId="16" w16cid:durableId="1593124941">
    <w:abstractNumId w:val="2"/>
  </w:num>
  <w:num w:numId="17" w16cid:durableId="1670133723">
    <w:abstractNumId w:val="8"/>
  </w:num>
  <w:num w:numId="18" w16cid:durableId="1857622274">
    <w:abstractNumId w:val="10"/>
  </w:num>
  <w:num w:numId="19" w16cid:durableId="582837003">
    <w:abstractNumId w:val="11"/>
  </w:num>
  <w:num w:numId="20" w16cid:durableId="1052729107">
    <w:abstractNumId w:val="15"/>
  </w:num>
  <w:num w:numId="21" w16cid:durableId="2151197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C27DC"/>
    <w:rsid w:val="00006A49"/>
    <w:rsid w:val="00063A7C"/>
    <w:rsid w:val="0015067B"/>
    <w:rsid w:val="0016784F"/>
    <w:rsid w:val="001821B8"/>
    <w:rsid w:val="00185959"/>
    <w:rsid w:val="001E7E30"/>
    <w:rsid w:val="002331C1"/>
    <w:rsid w:val="00297507"/>
    <w:rsid w:val="002C26B8"/>
    <w:rsid w:val="00341EB8"/>
    <w:rsid w:val="00360BD2"/>
    <w:rsid w:val="00374F13"/>
    <w:rsid w:val="003B23B4"/>
    <w:rsid w:val="003F22B7"/>
    <w:rsid w:val="00412527"/>
    <w:rsid w:val="0044382C"/>
    <w:rsid w:val="00445675"/>
    <w:rsid w:val="00457C9D"/>
    <w:rsid w:val="00480734"/>
    <w:rsid w:val="004827BA"/>
    <w:rsid w:val="00512A93"/>
    <w:rsid w:val="00513770"/>
    <w:rsid w:val="00515EE4"/>
    <w:rsid w:val="005225C1"/>
    <w:rsid w:val="00595D98"/>
    <w:rsid w:val="005C541E"/>
    <w:rsid w:val="005C62DC"/>
    <w:rsid w:val="00613CCE"/>
    <w:rsid w:val="006431C9"/>
    <w:rsid w:val="006C01DC"/>
    <w:rsid w:val="006E555A"/>
    <w:rsid w:val="00705709"/>
    <w:rsid w:val="00706629"/>
    <w:rsid w:val="00737038"/>
    <w:rsid w:val="00745153"/>
    <w:rsid w:val="00773437"/>
    <w:rsid w:val="00780D8F"/>
    <w:rsid w:val="007C27DC"/>
    <w:rsid w:val="007D3D12"/>
    <w:rsid w:val="007D660D"/>
    <w:rsid w:val="007D7EE8"/>
    <w:rsid w:val="00822385"/>
    <w:rsid w:val="00847803"/>
    <w:rsid w:val="00872161"/>
    <w:rsid w:val="008A5E38"/>
    <w:rsid w:val="008B3D15"/>
    <w:rsid w:val="008F2A87"/>
    <w:rsid w:val="00914D6B"/>
    <w:rsid w:val="00960631"/>
    <w:rsid w:val="00987329"/>
    <w:rsid w:val="009B1155"/>
    <w:rsid w:val="00A27F07"/>
    <w:rsid w:val="00A9306F"/>
    <w:rsid w:val="00AA648A"/>
    <w:rsid w:val="00AE3A58"/>
    <w:rsid w:val="00AE63FD"/>
    <w:rsid w:val="00B1724E"/>
    <w:rsid w:val="00B506BA"/>
    <w:rsid w:val="00B72A43"/>
    <w:rsid w:val="00B86C66"/>
    <w:rsid w:val="00C61499"/>
    <w:rsid w:val="00C67FA5"/>
    <w:rsid w:val="00C9107E"/>
    <w:rsid w:val="00CA550B"/>
    <w:rsid w:val="00CB55FF"/>
    <w:rsid w:val="00CC1180"/>
    <w:rsid w:val="00CD1C4D"/>
    <w:rsid w:val="00D83BEA"/>
    <w:rsid w:val="00DC0C0E"/>
    <w:rsid w:val="00E679F0"/>
    <w:rsid w:val="00E81211"/>
    <w:rsid w:val="00E8458F"/>
    <w:rsid w:val="00EA6246"/>
    <w:rsid w:val="00EB65DC"/>
    <w:rsid w:val="00EE22F9"/>
    <w:rsid w:val="00EF60E3"/>
    <w:rsid w:val="00F02B72"/>
    <w:rsid w:val="00F32357"/>
    <w:rsid w:val="00F77C4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5577865"/>
  <w15:docId w15:val="{AB499F5A-7066-4AA0-8A69-64A993A2C3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2D4E"/>
    <w:rPr>
      <w:lang w:eastAsia="es-ES"/>
    </w:rPr>
  </w:style>
  <w:style w:type="paragraph" w:styleId="Ttulo1">
    <w:name w:val="heading 1"/>
    <w:basedOn w:val="Normal"/>
    <w:next w:val="Normal"/>
    <w:link w:val="Ttulo1Car"/>
    <w:uiPriority w:val="9"/>
    <w:qFormat/>
    <w:rsid w:val="00CA2D4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CA2D4E"/>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sz w:val="22"/>
      <w:szCs w:val="22"/>
    </w:rPr>
  </w:style>
  <w:style w:type="paragraph" w:styleId="Ttulo6">
    <w:name w:val="heading 6"/>
    <w:basedOn w:val="Normal"/>
    <w:next w:val="Normal"/>
    <w:pPr>
      <w:keepNext/>
      <w:keepLines/>
      <w:spacing w:before="200" w:after="40"/>
      <w:outlineLvl w:val="5"/>
    </w:pPr>
    <w:rPr>
      <w:b/>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character" w:customStyle="1" w:styleId="Ttulo1Car">
    <w:name w:val="Título 1 Car"/>
    <w:basedOn w:val="Fuentedeprrafopredeter"/>
    <w:link w:val="Ttulo1"/>
    <w:uiPriority w:val="9"/>
    <w:rsid w:val="00CA2D4E"/>
    <w:rPr>
      <w:rFonts w:asciiTheme="majorHAnsi" w:eastAsiaTheme="majorEastAsia" w:hAnsiTheme="majorHAnsi" w:cstheme="majorBidi"/>
      <w:color w:val="2E74B5" w:themeColor="accent1" w:themeShade="BF"/>
      <w:sz w:val="32"/>
      <w:szCs w:val="32"/>
      <w:lang w:val="es-MX" w:eastAsia="es-ES"/>
    </w:rPr>
  </w:style>
  <w:style w:type="character" w:customStyle="1" w:styleId="Ttulo2Car">
    <w:name w:val="Título 2 Car"/>
    <w:basedOn w:val="Fuentedeprrafopredeter"/>
    <w:link w:val="Ttulo2"/>
    <w:uiPriority w:val="9"/>
    <w:rsid w:val="00CA2D4E"/>
    <w:rPr>
      <w:rFonts w:asciiTheme="majorHAnsi" w:eastAsiaTheme="majorEastAsia" w:hAnsiTheme="majorHAnsi" w:cstheme="majorBidi"/>
      <w:color w:val="2E74B5" w:themeColor="accent1" w:themeShade="BF"/>
      <w:sz w:val="26"/>
      <w:szCs w:val="26"/>
      <w:lang w:val="es-MX" w:eastAsia="es-ES"/>
    </w:rPr>
  </w:style>
  <w:style w:type="paragraph" w:styleId="Textonotapie">
    <w:name w:val="footnote text"/>
    <w:aliases w:val="Footnote Text Char Char Char Char Char,Footnote Text Char Char Char Char,Footnote reference,FA Fu,Footnote Text Char Char Char,Footnote Text Cha,FA Fußnotentext,FA Fu?notentext,Footnote Text Char Char,FA Fuﬂnotentext,Ca,FA Fu?notente,ADB"/>
    <w:basedOn w:val="Normal"/>
    <w:link w:val="TextonotapieCar"/>
    <w:uiPriority w:val="99"/>
    <w:unhideWhenUsed/>
    <w:qFormat/>
    <w:rsid w:val="00CA2D4E"/>
    <w:rPr>
      <w:rFonts w:ascii="Calibri" w:eastAsia="Calibri" w:hAnsi="Calibri"/>
      <w:lang w:eastAsia="en-US"/>
    </w:rPr>
  </w:style>
  <w:style w:type="character" w:customStyle="1" w:styleId="TextonotapieCar">
    <w:name w:val="Texto nota pie Car"/>
    <w:aliases w:val="Footnote Text Char Char Char Char Char Car,Footnote Text Char Char Char Char Car,Footnote reference Car,FA Fu Car,Footnote Text Char Char Char Car,Footnote Text Cha Car,FA Fußnotentext Car,FA Fu?notentext Car,FA Fuﬂnotentext Car"/>
    <w:basedOn w:val="Fuentedeprrafopredeter"/>
    <w:link w:val="Textonotapie"/>
    <w:uiPriority w:val="99"/>
    <w:qFormat/>
    <w:rsid w:val="00CA2D4E"/>
    <w:rPr>
      <w:rFonts w:ascii="Calibri" w:eastAsia="Calibri" w:hAnsi="Calibri" w:cs="Times New Roman"/>
      <w:sz w:val="20"/>
      <w:szCs w:val="20"/>
      <w:lang w:val="es-MX"/>
    </w:rPr>
  </w:style>
  <w:style w:type="paragraph" w:styleId="Encabezado">
    <w:name w:val="header"/>
    <w:basedOn w:val="Normal"/>
    <w:link w:val="EncabezadoCar"/>
    <w:uiPriority w:val="99"/>
    <w:unhideWhenUsed/>
    <w:qFormat/>
    <w:rsid w:val="00CA2D4E"/>
    <w:pPr>
      <w:tabs>
        <w:tab w:val="center" w:pos="4419"/>
        <w:tab w:val="right" w:pos="8838"/>
      </w:tabs>
    </w:pPr>
  </w:style>
  <w:style w:type="character" w:customStyle="1" w:styleId="EncabezadoCar">
    <w:name w:val="Encabezado Car"/>
    <w:basedOn w:val="Fuentedeprrafopredeter"/>
    <w:link w:val="Encabezado"/>
    <w:uiPriority w:val="99"/>
    <w:qFormat/>
    <w:rsid w:val="00CA2D4E"/>
    <w:rPr>
      <w:rFonts w:ascii="Times New Roman" w:eastAsia="Times New Roman" w:hAnsi="Times New Roman" w:cs="Times New Roman"/>
      <w:sz w:val="20"/>
      <w:szCs w:val="20"/>
      <w:lang w:val="es-MX" w:eastAsia="es-ES"/>
    </w:rPr>
  </w:style>
  <w:style w:type="paragraph" w:styleId="Piedepgina">
    <w:name w:val="footer"/>
    <w:basedOn w:val="Normal"/>
    <w:link w:val="PiedepginaCar"/>
    <w:uiPriority w:val="99"/>
    <w:unhideWhenUsed/>
    <w:qFormat/>
    <w:rsid w:val="00CA2D4E"/>
    <w:pPr>
      <w:tabs>
        <w:tab w:val="center" w:pos="4419"/>
        <w:tab w:val="right" w:pos="8838"/>
      </w:tabs>
    </w:pPr>
  </w:style>
  <w:style w:type="character" w:customStyle="1" w:styleId="PiedepginaCar">
    <w:name w:val="Pie de página Car"/>
    <w:basedOn w:val="Fuentedeprrafopredeter"/>
    <w:link w:val="Piedepgina"/>
    <w:uiPriority w:val="99"/>
    <w:qFormat/>
    <w:rsid w:val="00CA2D4E"/>
    <w:rPr>
      <w:rFonts w:ascii="Times New Roman" w:eastAsia="Times New Roman" w:hAnsi="Times New Roman" w:cs="Times New Roman"/>
      <w:sz w:val="20"/>
      <w:szCs w:val="20"/>
      <w:lang w:val="es-MX" w:eastAsia="es-ES"/>
    </w:rPr>
  </w:style>
  <w:style w:type="character" w:styleId="Refdenotaalpie">
    <w:name w:val="footnote reference"/>
    <w:aliases w:val="Footnotes refss,Texto de nota al pie,Ref. de nota al pie 2,Appel note de bas de page,referencia nota al pie,BVI fnr,Footnote number,4_G,16 Point,Superscript 6 Point,Texto nota al pie,Footnote Reference Char3,Ref,de nota al pie,註腳內容,f"/>
    <w:basedOn w:val="Fuentedeprrafopredeter"/>
    <w:uiPriority w:val="99"/>
    <w:unhideWhenUsed/>
    <w:qFormat/>
    <w:rsid w:val="00CA2D4E"/>
    <w:rPr>
      <w:vertAlign w:val="superscript"/>
    </w:rPr>
  </w:style>
  <w:style w:type="character" w:styleId="Hipervnculo">
    <w:name w:val="Hyperlink"/>
    <w:aliases w:val="Hipervínculo1,Hipervínculo11,Hipervínculo12,Hipervínculo13,Hipervínculo14,Hipervínculo15"/>
    <w:basedOn w:val="Fuentedeprrafopredeter"/>
    <w:uiPriority w:val="99"/>
    <w:unhideWhenUsed/>
    <w:qFormat/>
    <w:rsid w:val="00CA2D4E"/>
    <w:rPr>
      <w:color w:val="0563C1" w:themeColor="hyperlink"/>
      <w:u w:val="single"/>
    </w:rPr>
  </w:style>
  <w:style w:type="table" w:styleId="Tablaconcuadrcula">
    <w:name w:val="Table Grid"/>
    <w:basedOn w:val="Tablanormal"/>
    <w:uiPriority w:val="39"/>
    <w:qFormat/>
    <w:rsid w:val="00CA2D4E"/>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aliases w:val="lp1,List Paragraph1,Lista de nivel 1,4 Párrafo de lista,Figuras,Dot pt,No Spacing1,List Paragraph Char Char Char,Indicator Text,Numbered Para 1,DH1,Listas,Light Grid - Accent 31,Colorful List - Accent 11,Bullet 1,F5 List Paragraph,5.9.1"/>
    <w:basedOn w:val="Normal"/>
    <w:link w:val="PrrafodelistaCar"/>
    <w:uiPriority w:val="34"/>
    <w:qFormat/>
    <w:rsid w:val="00CA2D4E"/>
    <w:pPr>
      <w:ind w:left="720"/>
      <w:contextualSpacing/>
    </w:pPr>
    <w:rPr>
      <w:rFonts w:ascii="Century Gothic" w:hAnsi="Century Gothic"/>
      <w:sz w:val="22"/>
      <w:szCs w:val="24"/>
    </w:rPr>
  </w:style>
  <w:style w:type="character" w:customStyle="1" w:styleId="PrrafodelistaCar">
    <w:name w:val="Párrafo de lista Car"/>
    <w:aliases w:val="lp1 Car,List Paragraph1 Car,Lista de nivel 1 Car,4 Párrafo de lista Car,Figuras Car,Dot pt Car,No Spacing1 Car,List Paragraph Char Char Char Car,Indicator Text Car,Numbered Para 1 Car,DH1 Car,Listas Car,Light Grid - Accent 31 Car"/>
    <w:basedOn w:val="Fuentedeprrafopredeter"/>
    <w:link w:val="Prrafodelista"/>
    <w:uiPriority w:val="34"/>
    <w:qFormat/>
    <w:rsid w:val="00CA2D4E"/>
    <w:rPr>
      <w:rFonts w:ascii="Century Gothic" w:eastAsia="Times New Roman" w:hAnsi="Century Gothic" w:cs="Times New Roman"/>
      <w:szCs w:val="24"/>
      <w:lang w:val="es-MX" w:eastAsia="es-ES"/>
    </w:rPr>
  </w:style>
  <w:style w:type="paragraph" w:customStyle="1" w:styleId="m1609377113336227858gmail-msonormal">
    <w:name w:val="m_1609377113336227858gmail-msonormal"/>
    <w:basedOn w:val="Normal"/>
    <w:rsid w:val="00CA2D4E"/>
    <w:pPr>
      <w:spacing w:before="100" w:beforeAutospacing="1" w:after="100" w:afterAutospacing="1"/>
    </w:pPr>
    <w:rPr>
      <w:sz w:val="24"/>
      <w:szCs w:val="24"/>
      <w:lang w:val="es-ES"/>
    </w:rPr>
  </w:style>
  <w:style w:type="paragraph" w:styleId="TDC1">
    <w:name w:val="toc 1"/>
    <w:basedOn w:val="Normal"/>
    <w:next w:val="Normal"/>
    <w:autoRedefine/>
    <w:uiPriority w:val="39"/>
    <w:semiHidden/>
    <w:unhideWhenUsed/>
    <w:rsid w:val="0001292A"/>
    <w:pPr>
      <w:spacing w:after="100"/>
    </w:pPr>
  </w:style>
  <w:style w:type="character" w:customStyle="1" w:styleId="TextonotapieCar1">
    <w:name w:val="Texto nota pie Car1"/>
    <w:basedOn w:val="Fuentedeprrafopredeter"/>
    <w:uiPriority w:val="99"/>
    <w:semiHidden/>
    <w:rsid w:val="00814BAF"/>
    <w:rPr>
      <w:rFonts w:ascii="Times New Roman" w:eastAsia="Times New Roman" w:hAnsi="Times New Roman" w:cs="Times New Roman"/>
      <w:sz w:val="20"/>
      <w:szCs w:val="20"/>
      <w:lang w:eastAsia="es-MX"/>
    </w:rPr>
  </w:style>
  <w:style w:type="paragraph" w:styleId="Textosinformato">
    <w:name w:val="Plain Text"/>
    <w:basedOn w:val="Normal"/>
    <w:link w:val="TextosinformatoCar"/>
    <w:rsid w:val="00744FC2"/>
    <w:rPr>
      <w:rFonts w:ascii="Courier New" w:hAnsi="Courier New"/>
      <w:lang w:val="x-none"/>
    </w:rPr>
  </w:style>
  <w:style w:type="character" w:customStyle="1" w:styleId="TextosinformatoCar">
    <w:name w:val="Texto sin formato Car"/>
    <w:basedOn w:val="Fuentedeprrafopredeter"/>
    <w:link w:val="Textosinformato"/>
    <w:rsid w:val="00744FC2"/>
    <w:rPr>
      <w:rFonts w:ascii="Courier New" w:eastAsia="Times New Roman" w:hAnsi="Courier New" w:cs="Times New Roman"/>
      <w:sz w:val="20"/>
      <w:szCs w:val="20"/>
      <w:lang w:val="x-none" w:eastAsia="es-ES"/>
    </w:rPr>
  </w:style>
  <w:style w:type="table" w:customStyle="1" w:styleId="Tablanormal12">
    <w:name w:val="Tabla normal 12"/>
    <w:basedOn w:val="Tablanormal"/>
    <w:next w:val="Tablanormal1"/>
    <w:uiPriority w:val="41"/>
    <w:rsid w:val="0081270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anormal1">
    <w:name w:val="Plain Table 1"/>
    <w:basedOn w:val="Tablanormal"/>
    <w:uiPriority w:val="41"/>
    <w:rsid w:val="0081270F"/>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tblStylePr w:type="firstRow">
      <w:rPr>
        <w:b/>
      </w:rPr>
    </w:tblStylePr>
    <w:tblStylePr w:type="lastRow">
      <w:rPr>
        <w:b/>
      </w:rPr>
      <w:tblPr/>
      <w:tcPr>
        <w:tcBorders>
          <w:top w:val="single" w:sz="4" w:space="0" w:color="BFBFBF"/>
        </w:tcBorders>
      </w:tcPr>
    </w:tblStylePr>
    <w:tblStylePr w:type="firstCol">
      <w:rPr>
        <w:b/>
      </w:rPr>
    </w:tblStylePr>
    <w:tblStylePr w:type="lastCol">
      <w:rPr>
        <w:b/>
      </w:rPr>
    </w:tblStylePr>
    <w:tblStylePr w:type="band1Vert">
      <w:tblPr/>
      <w:tcPr>
        <w:shd w:val="clear" w:color="auto" w:fill="F2F2F2"/>
      </w:tcPr>
    </w:tblStylePr>
    <w:tblStylePr w:type="band1Horz">
      <w:tblPr/>
      <w:tcPr>
        <w:shd w:val="clear" w:color="auto" w:fill="F2F2F2"/>
      </w:tcPr>
    </w:tblStyle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08" w:type="dxa"/>
        <w:right w:w="108"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08" w:type="dxa"/>
        <w:right w:w="108" w:type="dxa"/>
      </w:tblCellMar>
    </w:tblPr>
  </w:style>
  <w:style w:type="paragraph" w:customStyle="1" w:styleId="Citas">
    <w:name w:val="Citas"/>
    <w:basedOn w:val="Normal"/>
    <w:qFormat/>
    <w:rsid w:val="00E81211"/>
    <w:pPr>
      <w:spacing w:before="240" w:after="160" w:line="360" w:lineRule="auto"/>
      <w:ind w:left="851" w:right="851"/>
      <w:jc w:val="both"/>
    </w:pPr>
    <w:rPr>
      <w:rFonts w:ascii="Palatino Linotype" w:eastAsiaTheme="minorHAnsi" w:hAnsi="Palatino Linotype" w:cs="Arial"/>
      <w: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oas.org/es/cidh/expresion/documentos_basicos/declaraciones.as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W0uE5C3CAtkzwd5t85/E1udYagg==">CgMxLjAyCGguZ2pkZ3hzMgloLjMwajB6bGwyCWguMWZvYjl0ZTIJaC4zem55c2g3MgloLjJldDkycDAyCGgudHlqY3d0MgloLjF0M2g1c2YyCWguM2R5NnZrbTIJaC4xdDNoNXNmMgloLjRkMzRvZzgyCWguMnM4ZXlvMTIJaC4xa3N2NHV2MgloLjE3ZHA4dnUyCWguM3JkY3JqbjIJaC4yNmluMXJnOAByITFnX3pyaU94QzNIcmQ5RElIYWVUY3FJUjZmZ2ZLelE5VQ==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282</TotalTime>
  <Pages>57</Pages>
  <Words>10244</Words>
  <Characters>56346</Characters>
  <Application>Microsoft Office Word</Application>
  <DocSecurity>0</DocSecurity>
  <Lines>469</Lines>
  <Paragraphs>132</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66458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inf03m612@outlook.com</cp:lastModifiedBy>
  <cp:revision>14</cp:revision>
  <cp:lastPrinted>2024-11-15T00:07:00Z</cp:lastPrinted>
  <dcterms:created xsi:type="dcterms:W3CDTF">2024-11-06T17:55:00Z</dcterms:created>
  <dcterms:modified xsi:type="dcterms:W3CDTF">2024-12-04T19:05:00Z</dcterms:modified>
</cp:coreProperties>
</file>